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E2A7A" w14:textId="77777777" w:rsidR="005A630B" w:rsidRPr="005A630B" w:rsidRDefault="005A630B" w:rsidP="00DF5E7F">
      <w:pPr>
        <w:spacing w:after="0"/>
        <w:rPr>
          <w:rFonts w:ascii="Century Gothic" w:eastAsia="Geomanist Light" w:hAnsi="Century Gothic" w:cs="Arial"/>
          <w:color w:val="201F1E"/>
          <w:sz w:val="20"/>
          <w:szCs w:val="20"/>
          <w:lang w:val="es-MX"/>
        </w:rPr>
      </w:pPr>
      <w:bookmarkStart w:id="0" w:name="_Hlk94281581"/>
      <w:bookmarkStart w:id="1" w:name="_Hlk102489058"/>
      <w:bookmarkStart w:id="2" w:name="_Hlk34951122"/>
    </w:p>
    <w:p w14:paraId="17251C65" w14:textId="77777777" w:rsidR="005A630B" w:rsidRPr="005A630B" w:rsidRDefault="005A630B" w:rsidP="005A630B">
      <w:pPr>
        <w:tabs>
          <w:tab w:val="left" w:pos="426"/>
        </w:tabs>
        <w:spacing w:line="240" w:lineRule="auto"/>
        <w:contextualSpacing/>
        <w:jc w:val="both"/>
        <w:rPr>
          <w:rFonts w:ascii="Century Gothic" w:eastAsia="Calibri" w:hAnsi="Century Gothic" w:cs="Arial"/>
          <w:b/>
          <w:bCs/>
          <w:lang w:val="es-MX"/>
        </w:rPr>
      </w:pPr>
      <w:bookmarkStart w:id="3" w:name="_Hlk77152637"/>
      <w:bookmarkStart w:id="4" w:name="_Hlk77157066"/>
      <w:bookmarkStart w:id="5" w:name="_Hlk78821436"/>
      <w:r w:rsidRPr="005A630B">
        <w:rPr>
          <w:rFonts w:ascii="Century Gothic" w:eastAsia="Calibri" w:hAnsi="Century Gothic" w:cs="Arial"/>
          <w:b/>
          <w:bCs/>
          <w:lang w:val="es-MX"/>
        </w:rPr>
        <w:t xml:space="preserve">LEY DE GARANTÍAS ELECTORALES </w:t>
      </w:r>
      <w:r w:rsidRPr="005A630B">
        <w:rPr>
          <w:rFonts w:ascii="Arial" w:eastAsia="Calibri" w:hAnsi="Arial" w:cs="Arial"/>
          <w:b/>
          <w:bCs/>
          <w:lang w:val="es-MX"/>
        </w:rPr>
        <w:t>‒</w:t>
      </w:r>
      <w:r w:rsidRPr="005A630B">
        <w:rPr>
          <w:rFonts w:ascii="Century Gothic" w:eastAsia="Calibri" w:hAnsi="Century Gothic" w:cs="Arial"/>
          <w:b/>
          <w:bCs/>
          <w:lang w:val="es-MX"/>
        </w:rPr>
        <w:t xml:space="preserve"> Finalidad</w:t>
      </w:r>
    </w:p>
    <w:p w14:paraId="05BF0CF6" w14:textId="77777777" w:rsidR="005A630B" w:rsidRPr="005A630B" w:rsidRDefault="005A630B" w:rsidP="005A630B">
      <w:pPr>
        <w:tabs>
          <w:tab w:val="left" w:pos="426"/>
        </w:tabs>
        <w:spacing w:line="240" w:lineRule="auto"/>
        <w:contextualSpacing/>
        <w:jc w:val="both"/>
        <w:rPr>
          <w:rFonts w:ascii="Century Gothic" w:eastAsia="Calibri" w:hAnsi="Century Gothic" w:cs="Arial"/>
          <w:b/>
          <w:bCs/>
          <w:sz w:val="20"/>
          <w:szCs w:val="20"/>
          <w:lang w:val="es-MX"/>
        </w:rPr>
      </w:pPr>
    </w:p>
    <w:p w14:paraId="0D60EAAC" w14:textId="77777777" w:rsidR="005A630B" w:rsidRPr="005A630B" w:rsidRDefault="005A630B" w:rsidP="005A630B">
      <w:pPr>
        <w:tabs>
          <w:tab w:val="left" w:pos="426"/>
        </w:tabs>
        <w:spacing w:line="240" w:lineRule="auto"/>
        <w:contextualSpacing/>
        <w:jc w:val="both"/>
        <w:rPr>
          <w:rFonts w:ascii="Century Gothic" w:eastAsia="Times New Roman" w:hAnsi="Century Gothic" w:cs="Arial"/>
          <w:bCs/>
          <w:sz w:val="20"/>
          <w:szCs w:val="20"/>
          <w:lang w:val="es-MX" w:eastAsia="es-CO"/>
        </w:rPr>
      </w:pPr>
      <w:r w:rsidRPr="005A630B">
        <w:rPr>
          <w:rFonts w:ascii="Century Gothic" w:eastAsia="Calibri" w:hAnsi="Century Gothic" w:cs="Arial"/>
          <w:noProof/>
          <w:sz w:val="20"/>
          <w:szCs w:val="20"/>
          <w:lang w:val="es-ES_tradnl"/>
        </w:rPr>
        <w:t xml:space="preserve">[…] </w:t>
      </w:r>
      <w:r w:rsidRPr="005A630B">
        <w:rPr>
          <w:rFonts w:ascii="Century Gothic" w:eastAsia="Times New Roman" w:hAnsi="Century Gothic" w:cs="Arial"/>
          <w:bCs/>
          <w:sz w:val="20"/>
          <w:szCs w:val="20"/>
          <w:lang w:val="es-MX" w:eastAsia="es-CO"/>
        </w:rPr>
        <w:t>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 En esta medida, introduce limitaciones para realizar nombramientos, postulaciones, contrataciones o cualquier otro tipo de actividad que implique destinación de recursos públicos bajo el devenir propio de las entidades estatales.</w:t>
      </w:r>
    </w:p>
    <w:p w14:paraId="5A178FE4" w14:textId="77777777" w:rsidR="005A630B" w:rsidRPr="005A630B" w:rsidRDefault="005A630B" w:rsidP="005A630B">
      <w:pPr>
        <w:tabs>
          <w:tab w:val="left" w:pos="426"/>
        </w:tabs>
        <w:spacing w:line="240" w:lineRule="auto"/>
        <w:contextualSpacing/>
        <w:jc w:val="both"/>
        <w:rPr>
          <w:rFonts w:ascii="Century Gothic" w:eastAsia="Calibri" w:hAnsi="Century Gothic" w:cs="Arial"/>
          <w:b/>
          <w:bCs/>
          <w:sz w:val="20"/>
          <w:szCs w:val="20"/>
          <w:lang w:val="es-MX"/>
        </w:rPr>
      </w:pPr>
    </w:p>
    <w:p w14:paraId="54F7FBA3" w14:textId="77777777" w:rsidR="005A630B" w:rsidRPr="005A630B" w:rsidRDefault="005A630B" w:rsidP="005A630B">
      <w:pPr>
        <w:tabs>
          <w:tab w:val="left" w:pos="426"/>
        </w:tabs>
        <w:spacing w:line="240" w:lineRule="auto"/>
        <w:contextualSpacing/>
        <w:jc w:val="both"/>
        <w:rPr>
          <w:rFonts w:ascii="Century Gothic" w:eastAsia="Calibri" w:hAnsi="Century Gothic" w:cs="Arial"/>
          <w:b/>
          <w:bCs/>
          <w:lang w:val="es-MX"/>
        </w:rPr>
      </w:pPr>
      <w:r w:rsidRPr="005A630B">
        <w:rPr>
          <w:rFonts w:ascii="Century Gothic" w:eastAsia="Calibri" w:hAnsi="Century Gothic" w:cs="Arial"/>
          <w:b/>
          <w:bCs/>
          <w:lang w:val="es-MX"/>
        </w:rPr>
        <w:t xml:space="preserve">LEY DE GARANTÍAS ELECTORALES </w:t>
      </w:r>
      <w:r w:rsidRPr="005A630B">
        <w:rPr>
          <w:rFonts w:ascii="Arial" w:eastAsia="Calibri" w:hAnsi="Arial" w:cs="Arial"/>
          <w:b/>
          <w:bCs/>
          <w:lang w:val="es-MX"/>
        </w:rPr>
        <w:t>‒</w:t>
      </w:r>
      <w:bookmarkEnd w:id="3"/>
      <w:r w:rsidRPr="005A630B">
        <w:rPr>
          <w:rFonts w:ascii="Century Gothic" w:eastAsia="Calibri" w:hAnsi="Century Gothic" w:cs="Arial"/>
          <w:b/>
          <w:bCs/>
          <w:lang w:val="es-MX"/>
        </w:rPr>
        <w:t xml:space="preserve"> Tipos de restricciones </w:t>
      </w:r>
      <w:bookmarkStart w:id="6" w:name="_Hlk77157034"/>
      <w:r w:rsidRPr="005A630B">
        <w:rPr>
          <w:rFonts w:ascii="Arial" w:eastAsia="Calibri" w:hAnsi="Arial" w:cs="Arial"/>
          <w:b/>
          <w:bCs/>
          <w:lang w:val="es-MX"/>
        </w:rPr>
        <w:t>‒</w:t>
      </w:r>
      <w:r w:rsidRPr="005A630B">
        <w:rPr>
          <w:rFonts w:ascii="Century Gothic" w:eastAsia="Calibri" w:hAnsi="Century Gothic" w:cs="Arial"/>
          <w:b/>
          <w:bCs/>
          <w:lang w:val="es-MX"/>
        </w:rPr>
        <w:t xml:space="preserve"> </w:t>
      </w:r>
      <w:bookmarkStart w:id="7" w:name="_Hlk77153098"/>
      <w:bookmarkEnd w:id="6"/>
      <w:r w:rsidRPr="005A630B">
        <w:rPr>
          <w:rFonts w:ascii="Century Gothic" w:eastAsia="Calibri" w:hAnsi="Century Gothic" w:cs="Century Gothic"/>
          <w:b/>
          <w:bCs/>
          <w:lang w:val="es-MX"/>
        </w:rPr>
        <w:t>Á</w:t>
      </w:r>
      <w:r w:rsidRPr="005A630B">
        <w:rPr>
          <w:rFonts w:ascii="Century Gothic" w:eastAsia="Calibri" w:hAnsi="Century Gothic" w:cs="Arial"/>
          <w:b/>
          <w:bCs/>
          <w:lang w:val="es-MX"/>
        </w:rPr>
        <w:t xml:space="preserve">mbito temporal </w:t>
      </w:r>
      <w:bookmarkEnd w:id="7"/>
    </w:p>
    <w:p w14:paraId="487D85F0" w14:textId="77777777" w:rsidR="005A630B" w:rsidRPr="005A630B" w:rsidRDefault="005A630B" w:rsidP="005A630B">
      <w:pPr>
        <w:tabs>
          <w:tab w:val="left" w:pos="426"/>
        </w:tabs>
        <w:spacing w:line="240" w:lineRule="auto"/>
        <w:contextualSpacing/>
        <w:jc w:val="both"/>
        <w:rPr>
          <w:rFonts w:ascii="Century Gothic" w:eastAsia="Calibri" w:hAnsi="Century Gothic" w:cs="Arial"/>
          <w:b/>
          <w:bCs/>
          <w:sz w:val="20"/>
          <w:szCs w:val="20"/>
          <w:lang w:val="es-MX"/>
        </w:rPr>
      </w:pPr>
    </w:p>
    <w:bookmarkEnd w:id="4"/>
    <w:p w14:paraId="12882D58" w14:textId="77777777" w:rsidR="005A630B" w:rsidRPr="005A630B" w:rsidRDefault="005A630B" w:rsidP="005A630B">
      <w:pPr>
        <w:spacing w:line="240" w:lineRule="auto"/>
        <w:contextualSpacing/>
        <w:jc w:val="both"/>
        <w:rPr>
          <w:rFonts w:ascii="Century Gothic" w:eastAsia="Arial" w:hAnsi="Century Gothic" w:cs="Arial"/>
          <w:sz w:val="20"/>
          <w:szCs w:val="20"/>
          <w:lang w:val="es-ES" w:eastAsia="es-ES" w:bidi="es-ES"/>
        </w:rPr>
      </w:pPr>
      <w:r w:rsidRPr="005A630B">
        <w:rPr>
          <w:rFonts w:ascii="Century Gothic" w:eastAsia="Calibri" w:hAnsi="Century Gothic" w:cs="Arial"/>
          <w:noProof/>
          <w:sz w:val="20"/>
          <w:szCs w:val="20"/>
          <w:lang w:val="es-ES_tradnl"/>
        </w:rPr>
        <w:t xml:space="preserve">[…] </w:t>
      </w:r>
      <w:bookmarkStart w:id="8" w:name="_Hlk77165666"/>
      <w:r w:rsidRPr="005A630B">
        <w:rPr>
          <w:rFonts w:ascii="Century Gothic" w:eastAsia="Arial" w:hAnsi="Century Gothic" w:cs="Arial"/>
          <w:sz w:val="20"/>
          <w:szCs w:val="20"/>
          <w:lang w:val="es-ES" w:eastAsia="es-ES" w:bidi="es-ES"/>
        </w:rPr>
        <w:t xml:space="preserve">la Ley 996 de 2005 establece dos (2) tipos de restricciones en materia de contratación, las cuales coinciden parcialmente. </w:t>
      </w:r>
      <w:r w:rsidRPr="005A630B">
        <w:rPr>
          <w:rFonts w:ascii="Century Gothic" w:eastAsia="Arial" w:hAnsi="Century Gothic" w:cs="Arial"/>
          <w:i/>
          <w:iCs/>
          <w:sz w:val="20"/>
          <w:szCs w:val="20"/>
          <w:lang w:val="es-ES" w:eastAsia="es-ES" w:bidi="es-ES"/>
        </w:rPr>
        <w:t>En primer lugar</w:t>
      </w:r>
      <w:r w:rsidRPr="005A630B">
        <w:rPr>
          <w:rFonts w:ascii="Century Gothic" w:eastAsia="Arial" w:hAnsi="Century Gothic" w:cs="Arial"/>
          <w:sz w:val="20"/>
          <w:szCs w:val="20"/>
          <w:lang w:val="es-ES"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5A630B">
        <w:rPr>
          <w:rFonts w:ascii="Century Gothic" w:eastAsia="Arial" w:hAnsi="Century Gothic" w:cs="Arial"/>
          <w:i/>
          <w:iCs/>
          <w:sz w:val="20"/>
          <w:szCs w:val="20"/>
          <w:lang w:val="es-ES" w:eastAsia="es-ES" w:bidi="es-ES"/>
        </w:rPr>
        <w:t>En segundo lugar</w:t>
      </w:r>
      <w:r w:rsidRPr="005A630B">
        <w:rPr>
          <w:rFonts w:ascii="Century Gothic" w:eastAsia="Arial" w:hAnsi="Century Gothic" w:cs="Arial"/>
          <w:sz w:val="20"/>
          <w:szCs w:val="20"/>
          <w:lang w:val="es-ES"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bookmarkEnd w:id="8"/>
    <w:p w14:paraId="0D4044B1" w14:textId="77777777" w:rsidR="005A630B" w:rsidRPr="005A630B" w:rsidRDefault="005A630B" w:rsidP="005A630B">
      <w:pPr>
        <w:tabs>
          <w:tab w:val="left" w:pos="426"/>
        </w:tabs>
        <w:spacing w:line="240" w:lineRule="auto"/>
        <w:contextualSpacing/>
        <w:jc w:val="both"/>
        <w:rPr>
          <w:rFonts w:ascii="Century Gothic" w:eastAsia="Calibri" w:hAnsi="Century Gothic" w:cs="Arial"/>
          <w:sz w:val="20"/>
          <w:szCs w:val="20"/>
          <w:lang w:val="es-MX"/>
        </w:rPr>
      </w:pPr>
    </w:p>
    <w:p w14:paraId="7597E4DB" w14:textId="77777777" w:rsidR="005A630B" w:rsidRPr="005A630B" w:rsidRDefault="005A630B" w:rsidP="005A630B">
      <w:pPr>
        <w:tabs>
          <w:tab w:val="left" w:pos="426"/>
        </w:tabs>
        <w:spacing w:line="240" w:lineRule="auto"/>
        <w:contextualSpacing/>
        <w:jc w:val="both"/>
        <w:rPr>
          <w:rFonts w:ascii="Century Gothic" w:eastAsia="Calibri" w:hAnsi="Century Gothic" w:cs="Arial"/>
          <w:b/>
          <w:bCs/>
          <w:lang w:val="es-MX"/>
        </w:rPr>
      </w:pPr>
      <w:r w:rsidRPr="005A630B">
        <w:rPr>
          <w:rFonts w:ascii="Century Gothic" w:eastAsia="Calibri" w:hAnsi="Century Gothic" w:cs="Arial"/>
          <w:b/>
          <w:bCs/>
          <w:lang w:val="es-MX"/>
        </w:rPr>
        <w:t xml:space="preserve">LEY DE GARANTÍAS ELECTORALES </w:t>
      </w:r>
      <w:r w:rsidRPr="005A630B">
        <w:rPr>
          <w:rFonts w:ascii="Arial" w:eastAsia="Calibri" w:hAnsi="Arial" w:cs="Arial"/>
          <w:b/>
          <w:bCs/>
          <w:lang w:val="es-MX"/>
        </w:rPr>
        <w:t>‒</w:t>
      </w:r>
      <w:r w:rsidRPr="005A630B">
        <w:rPr>
          <w:rFonts w:ascii="Century Gothic" w:eastAsia="Calibri" w:hAnsi="Century Gothic" w:cs="Arial"/>
          <w:b/>
          <w:bCs/>
          <w:lang w:val="es-MX"/>
        </w:rPr>
        <w:t xml:space="preserve"> Prohibici</w:t>
      </w:r>
      <w:r w:rsidRPr="005A630B">
        <w:rPr>
          <w:rFonts w:ascii="Century Gothic" w:eastAsia="Calibri" w:hAnsi="Century Gothic" w:cs="Century Gothic"/>
          <w:b/>
          <w:bCs/>
          <w:lang w:val="es-MX"/>
        </w:rPr>
        <w:t>ó</w:t>
      </w:r>
      <w:r w:rsidRPr="005A630B">
        <w:rPr>
          <w:rFonts w:ascii="Century Gothic" w:eastAsia="Calibri" w:hAnsi="Century Gothic" w:cs="Arial"/>
          <w:b/>
          <w:bCs/>
          <w:lang w:val="es-MX"/>
        </w:rPr>
        <w:t>n por elecci</w:t>
      </w:r>
      <w:r w:rsidRPr="005A630B">
        <w:rPr>
          <w:rFonts w:ascii="Century Gothic" w:eastAsia="Calibri" w:hAnsi="Century Gothic" w:cs="Century Gothic"/>
          <w:b/>
          <w:bCs/>
          <w:lang w:val="es-MX"/>
        </w:rPr>
        <w:t>ó</w:t>
      </w:r>
      <w:r w:rsidRPr="005A630B">
        <w:rPr>
          <w:rFonts w:ascii="Century Gothic" w:eastAsia="Calibri" w:hAnsi="Century Gothic" w:cs="Arial"/>
          <w:b/>
          <w:bCs/>
          <w:lang w:val="es-MX"/>
        </w:rPr>
        <w:t xml:space="preserve">n de cargos populares </w:t>
      </w:r>
      <w:r w:rsidRPr="005A630B">
        <w:rPr>
          <w:rFonts w:ascii="Century Gothic" w:eastAsia="Calibri" w:hAnsi="Century Gothic" w:cs="Century Gothic"/>
          <w:b/>
          <w:bCs/>
          <w:lang w:val="es-MX"/>
        </w:rPr>
        <w:t>–</w:t>
      </w:r>
      <w:r w:rsidRPr="005A630B">
        <w:rPr>
          <w:rFonts w:ascii="Century Gothic" w:eastAsia="Calibri" w:hAnsi="Century Gothic" w:cs="Arial"/>
          <w:b/>
          <w:bCs/>
          <w:lang w:val="es-MX"/>
        </w:rPr>
        <w:t xml:space="preserve"> Convenios y contratos interadministrativos </w:t>
      </w:r>
      <w:r w:rsidRPr="005A630B">
        <w:rPr>
          <w:rFonts w:ascii="Century Gothic" w:eastAsia="Calibri" w:hAnsi="Century Gothic" w:cs="Arial"/>
          <w:b/>
          <w:lang w:val="es-MX"/>
        </w:rPr>
        <w:t>– Definición – Criterio orgánico</w:t>
      </w:r>
    </w:p>
    <w:p w14:paraId="5F33AC5A" w14:textId="77777777" w:rsidR="005A630B" w:rsidRPr="005A630B" w:rsidRDefault="005A630B" w:rsidP="005A630B">
      <w:pPr>
        <w:tabs>
          <w:tab w:val="left" w:pos="426"/>
        </w:tabs>
        <w:spacing w:line="240" w:lineRule="auto"/>
        <w:contextualSpacing/>
        <w:jc w:val="both"/>
        <w:rPr>
          <w:rFonts w:ascii="Century Gothic" w:eastAsia="Calibri" w:hAnsi="Century Gothic" w:cs="Arial"/>
          <w:sz w:val="20"/>
          <w:szCs w:val="20"/>
          <w:lang w:val="es-MX"/>
        </w:rPr>
      </w:pPr>
    </w:p>
    <w:p w14:paraId="5C67F034" w14:textId="77777777" w:rsidR="005A630B" w:rsidRPr="005A630B" w:rsidRDefault="005A630B" w:rsidP="005A630B">
      <w:pPr>
        <w:tabs>
          <w:tab w:val="left" w:pos="426"/>
        </w:tabs>
        <w:spacing w:line="240" w:lineRule="auto"/>
        <w:contextualSpacing/>
        <w:jc w:val="both"/>
        <w:rPr>
          <w:rFonts w:ascii="Century Gothic" w:eastAsia="Calibri" w:hAnsi="Century Gothic" w:cs="Arial"/>
          <w:sz w:val="20"/>
          <w:szCs w:val="20"/>
          <w:lang w:val="es-MX"/>
        </w:rPr>
      </w:pPr>
      <w:r w:rsidRPr="005A630B">
        <w:rPr>
          <w:rFonts w:ascii="Century Gothic" w:eastAsia="Calibri" w:hAnsi="Century Gothic" w:cs="Arial"/>
          <w:sz w:val="20"/>
          <w:szCs w:val="20"/>
          <w:lang w:val="es-MX"/>
        </w:rPr>
        <w:t xml:space="preserve">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 </w:t>
      </w:r>
    </w:p>
    <w:p w14:paraId="1A76F03B" w14:textId="77777777" w:rsidR="005A630B" w:rsidRPr="005A630B" w:rsidRDefault="005A630B" w:rsidP="005A630B">
      <w:pPr>
        <w:tabs>
          <w:tab w:val="left" w:pos="426"/>
        </w:tabs>
        <w:spacing w:line="240" w:lineRule="auto"/>
        <w:contextualSpacing/>
        <w:jc w:val="both"/>
        <w:rPr>
          <w:rFonts w:ascii="Century Gothic" w:eastAsia="Calibri" w:hAnsi="Century Gothic" w:cs="Arial"/>
          <w:sz w:val="20"/>
          <w:szCs w:val="20"/>
          <w:lang w:val="es-MX"/>
        </w:rPr>
      </w:pPr>
    </w:p>
    <w:p w14:paraId="5FEACC24" w14:textId="77777777" w:rsidR="005A630B" w:rsidRPr="005A630B" w:rsidRDefault="005A630B" w:rsidP="005A630B">
      <w:pPr>
        <w:widowControl w:val="0"/>
        <w:autoSpaceDE w:val="0"/>
        <w:autoSpaceDN w:val="0"/>
        <w:spacing w:line="240" w:lineRule="auto"/>
        <w:contextualSpacing/>
        <w:jc w:val="both"/>
        <w:rPr>
          <w:rFonts w:ascii="Century Gothic" w:eastAsia="Arial" w:hAnsi="Century Gothic" w:cs="Arial"/>
          <w:sz w:val="20"/>
          <w:szCs w:val="20"/>
          <w:lang w:val="es-ES" w:eastAsia="es-ES" w:bidi="es-ES"/>
        </w:rPr>
      </w:pPr>
      <w:r w:rsidRPr="005A630B">
        <w:rPr>
          <w:rFonts w:ascii="Century Gothic" w:eastAsia="Calibri" w:hAnsi="Century Gothic" w:cs="Arial"/>
          <w:sz w:val="20"/>
          <w:szCs w:val="20"/>
          <w:lang w:val="es-MX"/>
        </w:rPr>
        <w:t xml:space="preserve">[…] </w:t>
      </w:r>
      <w:r w:rsidRPr="005A630B">
        <w:rPr>
          <w:rFonts w:ascii="Century Gothic" w:eastAsia="Calibri" w:hAnsi="Century Gothic" w:cs="Arial"/>
          <w:bCs/>
          <w:sz w:val="20"/>
          <w:szCs w:val="20"/>
          <w:lang w:eastAsia="es-ES" w:bidi="es-ES"/>
        </w:rPr>
        <w:t xml:space="preserve">para determinar el alcance de la prohibición consagrada por la Ley de Garantías Electorales, conviene precisar la tipología de convenios o contratos interadministrativos. </w:t>
      </w:r>
      <w:r w:rsidRPr="005A630B">
        <w:rPr>
          <w:rFonts w:ascii="Century Gothic" w:eastAsia="Arial" w:hAnsi="Century Gothic" w:cs="Arial"/>
          <w:sz w:val="20"/>
          <w:szCs w:val="20"/>
          <w:lang w:val="es-ES" w:eastAsia="es-ES" w:bidi="es-ES"/>
        </w:rPr>
        <w:t xml:space="preserve">Aunque la ley no la definió ni desarrolló, el Decreto 1082 de 2015 califica a los convenios o contratos interadministrativos como aquella contratación entre entidades estatales.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w:t>
      </w:r>
      <w:r w:rsidRPr="005A630B">
        <w:rPr>
          <w:rFonts w:ascii="Century Gothic" w:eastAsia="Arial" w:hAnsi="Century Gothic" w:cs="Arial"/>
          <w:sz w:val="20"/>
          <w:szCs w:val="20"/>
          <w:lang w:val="es-ES" w:eastAsia="es-ES" w:bidi="es-ES"/>
        </w:rPr>
        <w:lastRenderedPageBreak/>
        <w:t>entidades</w:t>
      </w:r>
      <w:r w:rsidRPr="005A630B">
        <w:rPr>
          <w:rFonts w:ascii="Century Gothic" w:eastAsia="Arial" w:hAnsi="Century Gothic" w:cs="Arial"/>
          <w:spacing w:val="-6"/>
          <w:sz w:val="20"/>
          <w:szCs w:val="20"/>
          <w:lang w:val="es-ES" w:eastAsia="es-ES" w:bidi="es-ES"/>
        </w:rPr>
        <w:t xml:space="preserve"> </w:t>
      </w:r>
      <w:r w:rsidRPr="005A630B">
        <w:rPr>
          <w:rFonts w:ascii="Century Gothic" w:eastAsia="Arial" w:hAnsi="Century Gothic" w:cs="Arial"/>
          <w:sz w:val="20"/>
          <w:szCs w:val="20"/>
          <w:lang w:val="es-ES" w:eastAsia="es-ES" w:bidi="es-ES"/>
        </w:rPr>
        <w:t>estatales.</w:t>
      </w:r>
      <w:bookmarkEnd w:id="5"/>
    </w:p>
    <w:p w14:paraId="4DA67092" w14:textId="77777777" w:rsidR="005A630B" w:rsidRPr="005A630B" w:rsidRDefault="005A630B" w:rsidP="005A630B">
      <w:pPr>
        <w:tabs>
          <w:tab w:val="left" w:pos="426"/>
        </w:tabs>
        <w:spacing w:line="240" w:lineRule="auto"/>
        <w:contextualSpacing/>
        <w:jc w:val="both"/>
        <w:rPr>
          <w:rFonts w:ascii="Century Gothic" w:eastAsia="Calibri" w:hAnsi="Century Gothic" w:cs="Arial"/>
          <w:sz w:val="20"/>
          <w:szCs w:val="20"/>
          <w:lang w:val="es-MX"/>
        </w:rPr>
      </w:pPr>
    </w:p>
    <w:p w14:paraId="053975AC" w14:textId="77777777" w:rsidR="005A630B" w:rsidRPr="005A630B" w:rsidRDefault="005A630B" w:rsidP="005A630B">
      <w:pPr>
        <w:tabs>
          <w:tab w:val="left" w:pos="426"/>
        </w:tabs>
        <w:spacing w:line="240" w:lineRule="auto"/>
        <w:contextualSpacing/>
        <w:jc w:val="both"/>
        <w:rPr>
          <w:rFonts w:ascii="Century Gothic" w:eastAsia="Calibri" w:hAnsi="Century Gothic" w:cs="Arial"/>
          <w:b/>
          <w:bCs/>
          <w:lang w:val="es-MX"/>
        </w:rPr>
      </w:pPr>
      <w:r w:rsidRPr="005A630B">
        <w:rPr>
          <w:rFonts w:ascii="Century Gothic" w:eastAsia="Calibri" w:hAnsi="Century Gothic" w:cs="Arial"/>
          <w:b/>
          <w:bCs/>
          <w:lang w:val="es-MX"/>
        </w:rPr>
        <w:t xml:space="preserve">CONCEJOS MUNICIPALES </w:t>
      </w:r>
      <w:r w:rsidRPr="005A630B">
        <w:rPr>
          <w:rFonts w:ascii="Arial" w:eastAsia="Calibri" w:hAnsi="Arial" w:cs="Arial"/>
          <w:b/>
          <w:bCs/>
          <w:lang w:val="es-MX"/>
        </w:rPr>
        <w:t>‒</w:t>
      </w:r>
      <w:r w:rsidRPr="005A630B">
        <w:rPr>
          <w:rFonts w:ascii="Century Gothic" w:eastAsia="Calibri" w:hAnsi="Century Gothic" w:cs="Arial"/>
          <w:b/>
          <w:bCs/>
          <w:lang w:val="es-MX"/>
        </w:rPr>
        <w:t xml:space="preserve"> Alcance de las restricciones</w:t>
      </w:r>
    </w:p>
    <w:p w14:paraId="0863F8CA" w14:textId="77777777" w:rsidR="005A630B" w:rsidRPr="005A630B" w:rsidRDefault="005A630B" w:rsidP="005A630B">
      <w:pPr>
        <w:tabs>
          <w:tab w:val="left" w:pos="426"/>
        </w:tabs>
        <w:spacing w:line="240" w:lineRule="auto"/>
        <w:contextualSpacing/>
        <w:jc w:val="both"/>
        <w:rPr>
          <w:rFonts w:ascii="Century Gothic" w:eastAsia="Calibri" w:hAnsi="Century Gothic" w:cs="Arial"/>
          <w:sz w:val="20"/>
          <w:szCs w:val="20"/>
          <w:lang w:val="es-MX"/>
        </w:rPr>
      </w:pPr>
    </w:p>
    <w:p w14:paraId="7E4C24C9" w14:textId="77777777" w:rsidR="005A630B" w:rsidRPr="005A630B" w:rsidRDefault="005A630B" w:rsidP="005A630B">
      <w:pPr>
        <w:widowControl w:val="0"/>
        <w:autoSpaceDE w:val="0"/>
        <w:autoSpaceDN w:val="0"/>
        <w:spacing w:line="240" w:lineRule="auto"/>
        <w:contextualSpacing/>
        <w:jc w:val="both"/>
        <w:rPr>
          <w:rFonts w:ascii="Century Gothic" w:eastAsia="Calibri" w:hAnsi="Century Gothic" w:cs="Arial"/>
          <w:sz w:val="20"/>
          <w:szCs w:val="20"/>
          <w:lang w:val="es-MX"/>
        </w:rPr>
      </w:pPr>
      <w:r w:rsidRPr="005A630B">
        <w:rPr>
          <w:rFonts w:ascii="Century Gothic" w:eastAsia="Calibri" w:hAnsi="Century Gothic" w:cs="Arial"/>
          <w:sz w:val="20"/>
          <w:szCs w:val="20"/>
          <w:lang w:val="es-MX"/>
        </w:rPr>
        <w:t xml:space="preserve">[…] tratándose del artículo 33 de la Ley 996 de 2005, la norma señala expresamente a los destinatarios de la prohibición, en el sentido de que son “todos los entes del Estado”, expresión que contempla a los diferentes organismos o entidades autorizadas por la ley para suscribir contratos. En efecto, el vocablo “todos” utilizado por el legislador comprende 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 Así, la restricción prevista en la Ley 996 de 2005, teniendo en cuenta la finalidad de la ley de garantías electorales, cobija a cualquier ente público que pueda a través de la contratación directa romper el equilibrio entre los partidos y los candidatos en las elecciones presidenciales. </w:t>
      </w:r>
    </w:p>
    <w:p w14:paraId="4A2C3731" w14:textId="77777777" w:rsidR="005A630B" w:rsidRPr="005A630B" w:rsidRDefault="005A630B" w:rsidP="005A630B">
      <w:pPr>
        <w:widowControl w:val="0"/>
        <w:autoSpaceDE w:val="0"/>
        <w:autoSpaceDN w:val="0"/>
        <w:spacing w:line="240" w:lineRule="auto"/>
        <w:contextualSpacing/>
        <w:jc w:val="both"/>
        <w:rPr>
          <w:rFonts w:ascii="Century Gothic" w:eastAsia="Calibri" w:hAnsi="Century Gothic" w:cs="Arial"/>
          <w:sz w:val="20"/>
          <w:szCs w:val="20"/>
          <w:lang w:val="es-MX"/>
        </w:rPr>
      </w:pPr>
    </w:p>
    <w:p w14:paraId="1D4E3C87" w14:textId="77777777" w:rsidR="005A630B" w:rsidRPr="005A630B" w:rsidRDefault="005A630B" w:rsidP="005A630B">
      <w:pPr>
        <w:widowControl w:val="0"/>
        <w:autoSpaceDE w:val="0"/>
        <w:autoSpaceDN w:val="0"/>
        <w:spacing w:line="240" w:lineRule="auto"/>
        <w:contextualSpacing/>
        <w:jc w:val="both"/>
        <w:rPr>
          <w:rFonts w:ascii="Century Gothic" w:eastAsia="Calibri" w:hAnsi="Century Gothic" w:cs="Arial"/>
          <w:sz w:val="20"/>
          <w:szCs w:val="20"/>
          <w:lang w:val="es-MX"/>
        </w:rPr>
      </w:pPr>
      <w:r w:rsidRPr="005A630B">
        <w:rPr>
          <w:rFonts w:ascii="Century Gothic" w:eastAsia="Calibri" w:hAnsi="Century Gothic" w:cs="Arial"/>
          <w:sz w:val="20"/>
          <w:szCs w:val="20"/>
          <w:lang w:val="es-MX"/>
        </w:rPr>
        <w:t>En contraste, para efectos del parágrafo del artículo 38 de la Ley 996 de 2005, la prohibición de celebrar contratos interadministrativos para la ejecución de recursos públicos no aplica a todas las entidades estatales. Esta se restringe a los gobernadores, alcaldes municipales y/o distritales, secretarios, gerentes y directores de entidades descentralizadas del orden municipal, departamental o distrital dentro de los cuatro (4) meses anteriores a las elecciones. En este sentido, si una o ambas partes de la relación contractual es una entidad de aquellas descritas en el parágrafo ibidem, no podrá celebrar tales convenios o contratos durante la aplicación de la Ley de Garantías Electorales, toda vez que la citada disposición hace referencia a dicha tipología contractual sin que el legislador hubiere contemplado excepción alguna frente a la modalidad de selección o naturaleza de su objeto.</w:t>
      </w:r>
    </w:p>
    <w:p w14:paraId="5D74C5D5" w14:textId="77777777" w:rsidR="005A630B" w:rsidRPr="005A630B" w:rsidRDefault="005A630B" w:rsidP="005A630B">
      <w:pPr>
        <w:tabs>
          <w:tab w:val="left" w:pos="426"/>
        </w:tabs>
        <w:spacing w:line="240" w:lineRule="auto"/>
        <w:contextualSpacing/>
        <w:jc w:val="both"/>
        <w:rPr>
          <w:rFonts w:ascii="Century Gothic" w:eastAsia="Calibri" w:hAnsi="Century Gothic" w:cs="Arial"/>
          <w:sz w:val="20"/>
          <w:szCs w:val="20"/>
          <w:lang w:val="es-MX"/>
        </w:rPr>
      </w:pPr>
    </w:p>
    <w:p w14:paraId="63D65E75" w14:textId="77777777" w:rsidR="005A630B" w:rsidRPr="005A630B" w:rsidRDefault="005A630B" w:rsidP="005A630B">
      <w:pPr>
        <w:tabs>
          <w:tab w:val="left" w:pos="426"/>
        </w:tabs>
        <w:spacing w:line="240" w:lineRule="auto"/>
        <w:contextualSpacing/>
        <w:jc w:val="both"/>
        <w:rPr>
          <w:rFonts w:ascii="Century Gothic" w:eastAsia="Calibri" w:hAnsi="Century Gothic" w:cs="Arial"/>
          <w:b/>
          <w:bCs/>
          <w:lang w:val="es-MX"/>
        </w:rPr>
      </w:pPr>
      <w:r w:rsidRPr="005A630B">
        <w:rPr>
          <w:rFonts w:ascii="Century Gothic" w:eastAsia="Calibri" w:hAnsi="Century Gothic" w:cs="Arial"/>
          <w:b/>
          <w:bCs/>
          <w:lang w:val="es-MX"/>
        </w:rPr>
        <w:t xml:space="preserve">CONCEJOS MUNICIPALES </w:t>
      </w:r>
      <w:r w:rsidRPr="005A630B">
        <w:rPr>
          <w:rFonts w:ascii="Arial" w:eastAsia="Calibri" w:hAnsi="Arial" w:cs="Arial"/>
          <w:b/>
          <w:bCs/>
          <w:lang w:val="es-MX"/>
        </w:rPr>
        <w:t>‒</w:t>
      </w:r>
      <w:r w:rsidRPr="005A630B">
        <w:rPr>
          <w:rFonts w:ascii="Century Gothic" w:eastAsia="Calibri" w:hAnsi="Century Gothic" w:cs="Arial"/>
          <w:b/>
          <w:bCs/>
          <w:lang w:val="es-MX"/>
        </w:rPr>
        <w:t xml:space="preserve"> Naturaleza jur</w:t>
      </w:r>
      <w:r w:rsidRPr="005A630B">
        <w:rPr>
          <w:rFonts w:ascii="Century Gothic" w:eastAsia="Calibri" w:hAnsi="Century Gothic" w:cs="Century Gothic"/>
          <w:b/>
          <w:bCs/>
          <w:lang w:val="es-MX"/>
        </w:rPr>
        <w:t>í</w:t>
      </w:r>
      <w:r w:rsidRPr="005A630B">
        <w:rPr>
          <w:rFonts w:ascii="Century Gothic" w:eastAsia="Calibri" w:hAnsi="Century Gothic" w:cs="Arial"/>
          <w:b/>
          <w:bCs/>
          <w:lang w:val="es-MX"/>
        </w:rPr>
        <w:t xml:space="preserve">dica </w:t>
      </w:r>
      <w:r w:rsidRPr="005A630B">
        <w:rPr>
          <w:rFonts w:ascii="Century Gothic" w:eastAsia="Calibri" w:hAnsi="Century Gothic" w:cs="Century Gothic"/>
          <w:b/>
          <w:bCs/>
          <w:lang w:val="es-MX"/>
        </w:rPr>
        <w:t>–</w:t>
      </w:r>
      <w:r w:rsidRPr="005A630B">
        <w:rPr>
          <w:rFonts w:ascii="Century Gothic" w:eastAsia="Calibri" w:hAnsi="Century Gothic" w:cs="Arial"/>
          <w:b/>
          <w:bCs/>
          <w:lang w:val="es-MX"/>
        </w:rPr>
        <w:t xml:space="preserve"> Entidades descentralizadas – Enumeración – Criterios de taxatividad e interpretación restrictiva</w:t>
      </w:r>
    </w:p>
    <w:p w14:paraId="31F2A5CA" w14:textId="77777777" w:rsidR="005A630B" w:rsidRPr="005A630B" w:rsidRDefault="005A630B" w:rsidP="005A630B">
      <w:pPr>
        <w:tabs>
          <w:tab w:val="left" w:pos="426"/>
        </w:tabs>
        <w:spacing w:line="240" w:lineRule="auto"/>
        <w:contextualSpacing/>
        <w:jc w:val="both"/>
        <w:rPr>
          <w:rFonts w:ascii="Century Gothic" w:eastAsia="Calibri" w:hAnsi="Century Gothic" w:cs="Arial"/>
          <w:sz w:val="20"/>
          <w:szCs w:val="20"/>
          <w:lang w:val="es-MX"/>
        </w:rPr>
      </w:pPr>
    </w:p>
    <w:p w14:paraId="44CF16D1" w14:textId="77777777" w:rsidR="005A630B" w:rsidRPr="005A630B" w:rsidRDefault="005A630B" w:rsidP="005A630B">
      <w:pPr>
        <w:widowControl w:val="0"/>
        <w:autoSpaceDE w:val="0"/>
        <w:autoSpaceDN w:val="0"/>
        <w:spacing w:line="240" w:lineRule="auto"/>
        <w:contextualSpacing/>
        <w:jc w:val="both"/>
        <w:rPr>
          <w:rFonts w:ascii="Century Gothic" w:eastAsia="Calibri" w:hAnsi="Century Gothic" w:cs="Arial"/>
          <w:sz w:val="20"/>
          <w:szCs w:val="20"/>
          <w:lang w:val="es-MX"/>
        </w:rPr>
      </w:pPr>
      <w:r w:rsidRPr="005A630B">
        <w:rPr>
          <w:rFonts w:ascii="Century Gothic" w:eastAsia="Calibri" w:hAnsi="Century Gothic" w:cs="Arial"/>
          <w:sz w:val="20"/>
          <w:szCs w:val="20"/>
          <w:lang w:val="es-MX"/>
        </w:rPr>
        <w:t xml:space="preserve">En concordancia con el artículo 314 constitucional, la prohibición del artículo 38 de la Ley de Garantías aplica los alcaldes en calidad de jefes de la administración local y representantes legales del municipio o distrito. Hasta este punto no se observa referencia alguna a los concejos, definidos por el artículo 312 ibidem como una corporación político – administrativa de carácter colegiado elegida popularmente para períodos de cuatro (4) años, para ejercer –entre otras funciones– el control político sobre la administración municipal. Al ser un órgano distinto a la alcaldía, la restricción para los alcaldes municipales o distritales no se extiende al miembro del concejo que tengan capacidad para celebrar contratos en representación de dicha corporación pública.  </w:t>
      </w:r>
    </w:p>
    <w:p w14:paraId="57AB20FF" w14:textId="77777777" w:rsidR="005A630B" w:rsidRPr="005A630B" w:rsidRDefault="005A630B" w:rsidP="005A630B">
      <w:pPr>
        <w:widowControl w:val="0"/>
        <w:autoSpaceDE w:val="0"/>
        <w:autoSpaceDN w:val="0"/>
        <w:spacing w:line="240" w:lineRule="auto"/>
        <w:contextualSpacing/>
        <w:jc w:val="both"/>
        <w:rPr>
          <w:rFonts w:ascii="Century Gothic" w:eastAsia="Calibri" w:hAnsi="Century Gothic" w:cs="Arial"/>
          <w:sz w:val="20"/>
          <w:szCs w:val="20"/>
          <w:lang w:val="es-MX"/>
        </w:rPr>
      </w:pPr>
    </w:p>
    <w:p w14:paraId="5B1DC501" w14:textId="77777777" w:rsidR="005A630B" w:rsidRPr="005A630B" w:rsidRDefault="005A630B" w:rsidP="005A630B">
      <w:pPr>
        <w:widowControl w:val="0"/>
        <w:autoSpaceDE w:val="0"/>
        <w:autoSpaceDN w:val="0"/>
        <w:spacing w:line="240" w:lineRule="auto"/>
        <w:contextualSpacing/>
        <w:jc w:val="both"/>
        <w:rPr>
          <w:rFonts w:ascii="Century Gothic" w:eastAsia="Calibri" w:hAnsi="Century Gothic" w:cs="Arial"/>
          <w:sz w:val="20"/>
          <w:szCs w:val="20"/>
          <w:lang w:val="es-MX"/>
        </w:rPr>
      </w:pPr>
      <w:r w:rsidRPr="005A630B">
        <w:rPr>
          <w:rFonts w:ascii="Century Gothic" w:eastAsia="Calibri" w:hAnsi="Century Gothic" w:cs="Arial"/>
          <w:sz w:val="20"/>
          <w:szCs w:val="20"/>
          <w:lang w:val="es-MX"/>
        </w:rPr>
        <w:t xml:space="preserve">Ahora bien, la restricción del artículo 38 de la Ley 996 de 2005 se extiende a los secretarios, gerentes y directores de las entidades descentralizadas del municipio. Al respecto, el inciso primero del artículo 68 de la Ley 489 de 1998 dispone que “Son entidades descentralizadas del orden nacional, los establecimientos públicos, las empresas industriales y comerciales del Estado, las sociedades públicas y las sociedades de economía mixta, las </w:t>
      </w:r>
      <w:r w:rsidRPr="005A630B">
        <w:rPr>
          <w:rFonts w:ascii="Century Gothic" w:eastAsia="Calibri" w:hAnsi="Century Gothic" w:cs="Arial"/>
          <w:sz w:val="20"/>
          <w:szCs w:val="20"/>
          <w:lang w:val="es-MX"/>
        </w:rPr>
        <w:lastRenderedPageBreak/>
        <w:t>superintendencias y las unidades administrativas especiales con personería jurídica, las empresas sociales del Estado, las empresas oficiales de servicios públicos y las demás entidades creadas por la ley o con su autorización, cuyo objeto principal sea el ejercicio de funciones administrativas, la prestación de servicios públicos o la realización de actividades industriales o comerciales con personería jurídica, autonomía administrativa y patrimonio propio”. Conforme parágrafo 1 de la norma precitada, en concordancia con el parágrafo 2 del artículo 2 ibidem, dicha regulación es aplicable a las entidades territoriales, por lo que las entidades mencionadas también son descentralizadas en el orden municipal.</w:t>
      </w:r>
    </w:p>
    <w:p w14:paraId="201BA68F" w14:textId="77777777" w:rsidR="005A630B" w:rsidRPr="005A630B" w:rsidRDefault="005A630B" w:rsidP="005A630B">
      <w:pPr>
        <w:widowControl w:val="0"/>
        <w:autoSpaceDE w:val="0"/>
        <w:autoSpaceDN w:val="0"/>
        <w:spacing w:line="240" w:lineRule="auto"/>
        <w:contextualSpacing/>
        <w:jc w:val="both"/>
        <w:rPr>
          <w:rFonts w:ascii="Century Gothic" w:eastAsia="Calibri" w:hAnsi="Century Gothic" w:cs="Arial"/>
          <w:sz w:val="20"/>
          <w:szCs w:val="20"/>
          <w:lang w:val="es-MX"/>
        </w:rPr>
      </w:pPr>
    </w:p>
    <w:p w14:paraId="5FD184B4" w14:textId="77777777" w:rsidR="005A630B" w:rsidRPr="005A630B" w:rsidRDefault="005A630B" w:rsidP="005A630B">
      <w:pPr>
        <w:widowControl w:val="0"/>
        <w:autoSpaceDE w:val="0"/>
        <w:autoSpaceDN w:val="0"/>
        <w:spacing w:line="240" w:lineRule="auto"/>
        <w:contextualSpacing/>
        <w:jc w:val="both"/>
        <w:rPr>
          <w:rFonts w:ascii="Century Gothic" w:eastAsia="Arial" w:hAnsi="Century Gothic" w:cs="Arial"/>
          <w:sz w:val="20"/>
          <w:szCs w:val="20"/>
          <w:lang w:val="es-ES" w:eastAsia="es-ES" w:bidi="es-ES"/>
        </w:rPr>
      </w:pPr>
      <w:r w:rsidRPr="005A630B">
        <w:rPr>
          <w:rFonts w:ascii="Century Gothic" w:eastAsia="Calibri" w:hAnsi="Century Gothic" w:cs="Arial"/>
          <w:sz w:val="20"/>
          <w:szCs w:val="20"/>
          <w:lang w:val="es-MX"/>
        </w:rPr>
        <w:t xml:space="preserve">De acuerdo con criterios de taxatividad e interpretación restrictiva, la Agencia observa que los concejos no hacen parte de la enumeración del artículo 68 de la Ley 489 de 1998; razón por la que, si bien intervienen en la creación de entidades descentralizadas, estas corporaciones no comparten la misma naturaleza. Como explica la Corte Constitucional en la Sentencia T-1039 de 2006, con ponencia del Magistrado Humberto Antonio Sierra Porto, “[…] los concejos municipales son </w:t>
      </w:r>
      <w:bookmarkStart w:id="9" w:name="_Hlk143009212"/>
      <w:r w:rsidRPr="005A630B">
        <w:rPr>
          <w:rFonts w:ascii="Century Gothic" w:eastAsia="Calibri" w:hAnsi="Century Gothic" w:cs="Arial"/>
          <w:sz w:val="20"/>
          <w:szCs w:val="20"/>
          <w:lang w:val="es-MX"/>
        </w:rPr>
        <w:t>corporaciones públicas</w:t>
      </w:r>
      <w:bookmarkEnd w:id="9"/>
      <w:r w:rsidRPr="005A630B">
        <w:rPr>
          <w:rFonts w:ascii="Century Gothic" w:eastAsia="Calibri" w:hAnsi="Century Gothic" w:cs="Arial"/>
          <w:sz w:val="20"/>
          <w:szCs w:val="20"/>
          <w:lang w:val="es-MX"/>
        </w:rPr>
        <w:t xml:space="preserve"> del nivel territorial municipal, pero ni constitucional ni legalmente se las ha definido como pertenecientes a la administración central o descentralizada municipal […]”. Por lo demás, los entes descentralizados se caracterizan por tener personería jurídica, atributo del cual carecen los concejos conforme a lo explicado ut supra. Desde esta perspectiva, dichos organismos colegiados no son entidades descentralizadas del orden municipal, por lo que –en este aspecto– tampoco son destinatarios del artículo 38 de la Ley de Garantías.</w:t>
      </w:r>
    </w:p>
    <w:p w14:paraId="2A0B861F" w14:textId="77777777" w:rsidR="005A630B" w:rsidRDefault="005A630B" w:rsidP="00DF5E7F">
      <w:pPr>
        <w:spacing w:after="0"/>
        <w:rPr>
          <w:rFonts w:ascii="Century Gothic" w:eastAsia="Geomanist Light" w:hAnsi="Century Gothic" w:cs="Arial"/>
          <w:color w:val="201F1E"/>
          <w:lang w:val="es-MX"/>
        </w:rPr>
      </w:pPr>
    </w:p>
    <w:p w14:paraId="4BCB88A5" w14:textId="77777777" w:rsidR="005A630B" w:rsidRDefault="005A630B" w:rsidP="00DF5E7F">
      <w:pPr>
        <w:spacing w:after="0"/>
        <w:rPr>
          <w:rFonts w:ascii="Century Gothic" w:eastAsia="Geomanist Light" w:hAnsi="Century Gothic" w:cs="Arial"/>
          <w:color w:val="201F1E"/>
          <w:lang w:val="es-MX"/>
        </w:rPr>
      </w:pPr>
    </w:p>
    <w:p w14:paraId="4AB64F5F" w14:textId="77777777" w:rsidR="005A630B" w:rsidRDefault="005A630B" w:rsidP="00DF5E7F">
      <w:pPr>
        <w:spacing w:after="0"/>
        <w:rPr>
          <w:rFonts w:ascii="Century Gothic" w:eastAsia="Geomanist Light" w:hAnsi="Century Gothic" w:cs="Arial"/>
          <w:color w:val="201F1E"/>
          <w:lang w:val="es-MX"/>
        </w:rPr>
      </w:pPr>
    </w:p>
    <w:p w14:paraId="4564137C" w14:textId="77777777" w:rsidR="005A630B" w:rsidRDefault="005A630B" w:rsidP="00DF5E7F">
      <w:pPr>
        <w:spacing w:after="0"/>
        <w:rPr>
          <w:rFonts w:ascii="Century Gothic" w:eastAsia="Geomanist Light" w:hAnsi="Century Gothic" w:cs="Arial"/>
          <w:color w:val="201F1E"/>
          <w:lang w:val="es-MX"/>
        </w:rPr>
      </w:pPr>
    </w:p>
    <w:p w14:paraId="2914E7D2" w14:textId="77777777" w:rsidR="005A630B" w:rsidRDefault="005A630B" w:rsidP="00DF5E7F">
      <w:pPr>
        <w:spacing w:after="0"/>
        <w:rPr>
          <w:rFonts w:ascii="Century Gothic" w:eastAsia="Geomanist Light" w:hAnsi="Century Gothic" w:cs="Arial"/>
          <w:color w:val="201F1E"/>
          <w:lang w:val="es-MX"/>
        </w:rPr>
      </w:pPr>
    </w:p>
    <w:p w14:paraId="1668D6E1" w14:textId="77777777" w:rsidR="005A630B" w:rsidRDefault="005A630B" w:rsidP="00DF5E7F">
      <w:pPr>
        <w:spacing w:after="0"/>
        <w:rPr>
          <w:rFonts w:ascii="Century Gothic" w:eastAsia="Geomanist Light" w:hAnsi="Century Gothic" w:cs="Arial"/>
          <w:color w:val="201F1E"/>
          <w:lang w:val="es-MX"/>
        </w:rPr>
      </w:pPr>
    </w:p>
    <w:p w14:paraId="09DC753B" w14:textId="77777777" w:rsidR="005A630B" w:rsidRDefault="005A630B" w:rsidP="00DF5E7F">
      <w:pPr>
        <w:spacing w:after="0"/>
        <w:rPr>
          <w:rFonts w:ascii="Century Gothic" w:eastAsia="Geomanist Light" w:hAnsi="Century Gothic" w:cs="Arial"/>
          <w:color w:val="201F1E"/>
          <w:lang w:val="es-MX"/>
        </w:rPr>
      </w:pPr>
    </w:p>
    <w:p w14:paraId="6F4E22F2" w14:textId="77777777" w:rsidR="005A630B" w:rsidRDefault="005A630B" w:rsidP="00DF5E7F">
      <w:pPr>
        <w:spacing w:after="0"/>
        <w:rPr>
          <w:rFonts w:ascii="Century Gothic" w:eastAsia="Geomanist Light" w:hAnsi="Century Gothic" w:cs="Arial"/>
          <w:color w:val="201F1E"/>
          <w:lang w:val="es-MX"/>
        </w:rPr>
      </w:pPr>
    </w:p>
    <w:p w14:paraId="39A20357" w14:textId="77777777" w:rsidR="005A630B" w:rsidRDefault="005A630B" w:rsidP="00DF5E7F">
      <w:pPr>
        <w:spacing w:after="0"/>
        <w:rPr>
          <w:rFonts w:ascii="Century Gothic" w:eastAsia="Geomanist Light" w:hAnsi="Century Gothic" w:cs="Arial"/>
          <w:color w:val="201F1E"/>
          <w:lang w:val="es-MX"/>
        </w:rPr>
      </w:pPr>
    </w:p>
    <w:p w14:paraId="61418003" w14:textId="77777777" w:rsidR="005A630B" w:rsidRDefault="005A630B" w:rsidP="00DF5E7F">
      <w:pPr>
        <w:spacing w:after="0"/>
        <w:rPr>
          <w:rFonts w:ascii="Century Gothic" w:eastAsia="Geomanist Light" w:hAnsi="Century Gothic" w:cs="Arial"/>
          <w:color w:val="201F1E"/>
          <w:lang w:val="es-MX"/>
        </w:rPr>
      </w:pPr>
    </w:p>
    <w:p w14:paraId="2214E2CC" w14:textId="77777777" w:rsidR="005A630B" w:rsidRDefault="005A630B" w:rsidP="00DF5E7F">
      <w:pPr>
        <w:spacing w:after="0"/>
        <w:rPr>
          <w:rFonts w:ascii="Century Gothic" w:eastAsia="Geomanist Light" w:hAnsi="Century Gothic" w:cs="Arial"/>
          <w:color w:val="201F1E"/>
          <w:lang w:val="es-MX"/>
        </w:rPr>
      </w:pPr>
    </w:p>
    <w:p w14:paraId="32DCDDB5" w14:textId="77777777" w:rsidR="005A630B" w:rsidRDefault="005A630B" w:rsidP="00DF5E7F">
      <w:pPr>
        <w:spacing w:after="0"/>
        <w:rPr>
          <w:rFonts w:ascii="Century Gothic" w:eastAsia="Geomanist Light" w:hAnsi="Century Gothic" w:cs="Arial"/>
          <w:color w:val="201F1E"/>
          <w:lang w:val="es-MX"/>
        </w:rPr>
      </w:pPr>
    </w:p>
    <w:p w14:paraId="463D94E7" w14:textId="77777777" w:rsidR="005A630B" w:rsidRDefault="005A630B" w:rsidP="00DF5E7F">
      <w:pPr>
        <w:spacing w:after="0"/>
        <w:rPr>
          <w:rFonts w:ascii="Century Gothic" w:eastAsia="Geomanist Light" w:hAnsi="Century Gothic" w:cs="Arial"/>
          <w:color w:val="201F1E"/>
          <w:lang w:val="es-MX"/>
        </w:rPr>
      </w:pPr>
    </w:p>
    <w:p w14:paraId="1110E33F" w14:textId="77777777" w:rsidR="005A630B" w:rsidRDefault="005A630B" w:rsidP="00DF5E7F">
      <w:pPr>
        <w:spacing w:after="0"/>
        <w:rPr>
          <w:rFonts w:ascii="Century Gothic" w:eastAsia="Geomanist Light" w:hAnsi="Century Gothic" w:cs="Arial"/>
          <w:color w:val="201F1E"/>
          <w:lang w:val="es-MX"/>
        </w:rPr>
      </w:pPr>
    </w:p>
    <w:p w14:paraId="750C7F54" w14:textId="77777777" w:rsidR="005A630B" w:rsidRDefault="005A630B" w:rsidP="00DF5E7F">
      <w:pPr>
        <w:spacing w:after="0"/>
        <w:rPr>
          <w:rFonts w:ascii="Century Gothic" w:eastAsia="Geomanist Light" w:hAnsi="Century Gothic" w:cs="Arial"/>
          <w:color w:val="201F1E"/>
          <w:lang w:val="es-MX"/>
        </w:rPr>
      </w:pPr>
    </w:p>
    <w:p w14:paraId="1D81E540" w14:textId="77777777" w:rsidR="005A630B" w:rsidRDefault="005A630B" w:rsidP="00DF5E7F">
      <w:pPr>
        <w:spacing w:after="0"/>
        <w:rPr>
          <w:rFonts w:ascii="Century Gothic" w:eastAsia="Geomanist Light" w:hAnsi="Century Gothic" w:cs="Arial"/>
          <w:color w:val="201F1E"/>
          <w:lang w:val="es-MX"/>
        </w:rPr>
      </w:pPr>
    </w:p>
    <w:p w14:paraId="307BBB84" w14:textId="77777777" w:rsidR="005A630B" w:rsidRDefault="005A630B" w:rsidP="00DF5E7F">
      <w:pPr>
        <w:spacing w:after="0"/>
        <w:rPr>
          <w:rFonts w:ascii="Century Gothic" w:eastAsia="Geomanist Light" w:hAnsi="Century Gothic" w:cs="Arial"/>
          <w:color w:val="201F1E"/>
          <w:lang w:val="es-MX"/>
        </w:rPr>
      </w:pPr>
    </w:p>
    <w:p w14:paraId="3A23EFD2" w14:textId="77777777" w:rsidR="005A630B" w:rsidRDefault="005A630B" w:rsidP="00DF5E7F">
      <w:pPr>
        <w:spacing w:after="0"/>
        <w:rPr>
          <w:rFonts w:ascii="Century Gothic" w:eastAsia="Geomanist Light" w:hAnsi="Century Gothic" w:cs="Arial"/>
          <w:color w:val="201F1E"/>
          <w:lang w:val="es-MX"/>
        </w:rPr>
      </w:pPr>
    </w:p>
    <w:p w14:paraId="0A7D51A2" w14:textId="77777777" w:rsidR="005A630B" w:rsidRDefault="005A630B" w:rsidP="00DF5E7F">
      <w:pPr>
        <w:spacing w:after="0"/>
        <w:rPr>
          <w:rFonts w:ascii="Century Gothic" w:eastAsia="Geomanist Light" w:hAnsi="Century Gothic" w:cs="Arial"/>
          <w:color w:val="201F1E"/>
          <w:lang w:val="es-MX"/>
        </w:rPr>
      </w:pPr>
    </w:p>
    <w:p w14:paraId="25208FD4" w14:textId="77777777" w:rsidR="005A630B" w:rsidRDefault="005A630B" w:rsidP="00DF5E7F">
      <w:pPr>
        <w:spacing w:after="0"/>
        <w:rPr>
          <w:rFonts w:ascii="Century Gothic" w:eastAsia="Geomanist Light" w:hAnsi="Century Gothic" w:cs="Arial"/>
          <w:color w:val="201F1E"/>
          <w:lang w:val="es-MX"/>
        </w:rPr>
      </w:pPr>
    </w:p>
    <w:p w14:paraId="765A0582" w14:textId="77777777" w:rsidR="005A630B" w:rsidRDefault="005A630B" w:rsidP="00DF5E7F">
      <w:pPr>
        <w:spacing w:after="0"/>
        <w:rPr>
          <w:rFonts w:ascii="Century Gothic" w:eastAsia="Geomanist Light" w:hAnsi="Century Gothic" w:cs="Arial"/>
          <w:color w:val="201F1E"/>
          <w:lang w:val="es-MX"/>
        </w:rPr>
      </w:pPr>
    </w:p>
    <w:p w14:paraId="66FAD927" w14:textId="77777777" w:rsidR="005A630B" w:rsidRDefault="005A630B" w:rsidP="00DF5E7F">
      <w:pPr>
        <w:spacing w:after="0"/>
        <w:rPr>
          <w:rFonts w:ascii="Century Gothic" w:eastAsia="Geomanist Light" w:hAnsi="Century Gothic" w:cs="Arial"/>
          <w:color w:val="201F1E"/>
          <w:lang w:val="es-MX"/>
        </w:rPr>
      </w:pPr>
    </w:p>
    <w:p w14:paraId="2C7EFBB9" w14:textId="76925604" w:rsidR="00DF5E7F" w:rsidRPr="00317783" w:rsidRDefault="00DF5E7F" w:rsidP="00DF5E7F">
      <w:pPr>
        <w:spacing w:after="0"/>
        <w:rPr>
          <w:rFonts w:ascii="Century Gothic" w:eastAsia="Geomanist Light" w:hAnsi="Century Gothic" w:cs="Arial"/>
          <w:color w:val="201F1E"/>
          <w:lang w:val="es-MX"/>
        </w:rPr>
      </w:pPr>
      <w:r w:rsidRPr="00317783">
        <w:rPr>
          <w:rFonts w:ascii="Century Gothic" w:eastAsia="Geomanist Light" w:hAnsi="Century Gothic" w:cs="Arial"/>
          <w:color w:val="201F1E"/>
          <w:lang w:val="es-MX"/>
        </w:rPr>
        <w:lastRenderedPageBreak/>
        <w:t xml:space="preserve">Bogotá D.C., </w:t>
      </w:r>
      <w:r w:rsidR="00C50D37" w:rsidRPr="00C50D37">
        <w:rPr>
          <w:rFonts w:ascii="Century Gothic" w:eastAsia="Geomanist Light" w:hAnsi="Century Gothic" w:cs="Arial"/>
          <w:color w:val="201F1E"/>
          <w:lang w:val="es-MX"/>
        </w:rPr>
        <w:t xml:space="preserve">12 de </w:t>
      </w:r>
      <w:proofErr w:type="gramStart"/>
      <w:r w:rsidR="00C50D37" w:rsidRPr="00C50D37">
        <w:rPr>
          <w:rFonts w:ascii="Century Gothic" w:eastAsia="Geomanist Light" w:hAnsi="Century Gothic" w:cs="Arial"/>
          <w:color w:val="201F1E"/>
          <w:lang w:val="es-MX"/>
        </w:rPr>
        <w:t>Septiembre</w:t>
      </w:r>
      <w:proofErr w:type="gramEnd"/>
      <w:r w:rsidR="00C50D37" w:rsidRPr="00C50D37">
        <w:rPr>
          <w:rFonts w:ascii="Century Gothic" w:eastAsia="Geomanist Light" w:hAnsi="Century Gothic" w:cs="Arial"/>
          <w:color w:val="201F1E"/>
          <w:lang w:val="es-MX"/>
        </w:rPr>
        <w:t xml:space="preserve"> de 2023</w:t>
      </w:r>
    </w:p>
    <w:p w14:paraId="1E8BA93F" w14:textId="77777777" w:rsidR="00DF5E7F" w:rsidRDefault="00DF5E7F" w:rsidP="00DF5E7F">
      <w:pPr>
        <w:spacing w:after="0"/>
        <w:rPr>
          <w:rFonts w:ascii="Century Gothic" w:eastAsia="Times New Roman" w:hAnsi="Century Gothic" w:cs="Arial"/>
          <w:lang w:val="es-MX" w:eastAsia="es-ES"/>
        </w:rPr>
      </w:pPr>
    </w:p>
    <w:p w14:paraId="0B35EB76" w14:textId="7CFD0FD2" w:rsidR="00C50D37" w:rsidRDefault="00C50D37" w:rsidP="00C50D37">
      <w:pPr>
        <w:spacing w:after="0"/>
        <w:jc w:val="right"/>
        <w:rPr>
          <w:rFonts w:ascii="Century Gothic" w:eastAsia="Times New Roman" w:hAnsi="Century Gothic" w:cs="Arial"/>
          <w:lang w:val="es-MX" w:eastAsia="es-ES"/>
        </w:rPr>
      </w:pPr>
      <w:r>
        <w:rPr>
          <w:rFonts w:ascii="Century Gothic" w:eastAsia="Times New Roman" w:hAnsi="Century Gothic" w:cs="Arial"/>
          <w:noProof/>
          <w:lang w:val="es-MX" w:eastAsia="es-ES"/>
        </w:rPr>
        <w:drawing>
          <wp:inline distT="0" distB="0" distL="0" distR="0" wp14:anchorId="7D6F7E64" wp14:editId="64028D8B">
            <wp:extent cx="2943860" cy="723900"/>
            <wp:effectExtent l="0" t="0" r="8890" b="0"/>
            <wp:docPr id="2360134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43860" cy="723900"/>
                    </a:xfrm>
                    <a:prstGeom prst="rect">
                      <a:avLst/>
                    </a:prstGeom>
                    <a:noFill/>
                    <a:ln>
                      <a:noFill/>
                    </a:ln>
                  </pic:spPr>
                </pic:pic>
              </a:graphicData>
            </a:graphic>
          </wp:inline>
        </w:drawing>
      </w:r>
    </w:p>
    <w:p w14:paraId="6A64290A" w14:textId="77777777" w:rsidR="00C50D37" w:rsidRPr="00317783" w:rsidRDefault="00C50D37" w:rsidP="00DF5E7F">
      <w:pPr>
        <w:spacing w:after="0"/>
        <w:rPr>
          <w:rFonts w:ascii="Century Gothic" w:eastAsia="Times New Roman" w:hAnsi="Century Gothic" w:cs="Arial"/>
          <w:lang w:val="es-MX" w:eastAsia="es-ES"/>
        </w:rPr>
      </w:pPr>
    </w:p>
    <w:p w14:paraId="6DBBDA7C" w14:textId="77777777" w:rsidR="00DF5E7F" w:rsidRPr="00317783" w:rsidRDefault="00DF5E7F" w:rsidP="00DF5E7F">
      <w:pPr>
        <w:contextualSpacing/>
        <w:jc w:val="both"/>
        <w:rPr>
          <w:rFonts w:ascii="Century Gothic" w:eastAsia="Calibri" w:hAnsi="Century Gothic" w:cs="Arial"/>
          <w:lang w:eastAsia="es-ES_tradnl"/>
        </w:rPr>
      </w:pPr>
      <w:r w:rsidRPr="00317783">
        <w:rPr>
          <w:rFonts w:ascii="Century Gothic" w:eastAsia="Calibri" w:hAnsi="Century Gothic" w:cs="Arial"/>
          <w:lang w:eastAsia="es-ES_tradnl"/>
        </w:rPr>
        <w:t>Señor</w:t>
      </w:r>
    </w:p>
    <w:p w14:paraId="5AB9B2DE" w14:textId="77777777" w:rsidR="00DF5E7F" w:rsidRPr="00317783" w:rsidRDefault="00DF5E7F" w:rsidP="00DF5E7F">
      <w:pPr>
        <w:contextualSpacing/>
        <w:jc w:val="both"/>
        <w:rPr>
          <w:rFonts w:ascii="Century Gothic" w:eastAsia="Calibri" w:hAnsi="Century Gothic" w:cs="Arial"/>
          <w:b/>
          <w:lang w:eastAsia="es-ES_tradnl"/>
        </w:rPr>
      </w:pPr>
      <w:r w:rsidRPr="00317783">
        <w:rPr>
          <w:rFonts w:ascii="Century Gothic" w:eastAsia="Calibri" w:hAnsi="Century Gothic" w:cs="Arial"/>
          <w:b/>
          <w:lang w:eastAsia="es-ES_tradnl"/>
        </w:rPr>
        <w:t>Felipe Muñoz Morales</w:t>
      </w:r>
    </w:p>
    <w:p w14:paraId="210FD72D" w14:textId="77777777" w:rsidR="00DF5E7F" w:rsidRPr="00317783" w:rsidRDefault="00DF5E7F" w:rsidP="00DF5E7F">
      <w:pPr>
        <w:contextualSpacing/>
        <w:jc w:val="both"/>
        <w:rPr>
          <w:rFonts w:ascii="Century Gothic" w:eastAsia="Calibri" w:hAnsi="Century Gothic" w:cs="Arial"/>
          <w:lang w:eastAsia="es-ES_tradnl"/>
        </w:rPr>
      </w:pPr>
      <w:r w:rsidRPr="00317783">
        <w:rPr>
          <w:rFonts w:ascii="Century Gothic" w:eastAsia="Calibri" w:hAnsi="Century Gothic" w:cs="Arial"/>
          <w:lang w:eastAsia="es-ES_tradnl"/>
        </w:rPr>
        <w:t xml:space="preserve">Pereira, Risaralda   </w:t>
      </w:r>
    </w:p>
    <w:p w14:paraId="66695296" w14:textId="77777777" w:rsidR="00DF5E7F" w:rsidRPr="00317783" w:rsidRDefault="00DF5E7F" w:rsidP="00DF5E7F">
      <w:pPr>
        <w:contextualSpacing/>
        <w:rPr>
          <w:rFonts w:ascii="Century Gothic" w:eastAsia="Calibri" w:hAnsi="Century Gothic" w:cs="Arial"/>
          <w:b/>
          <w:lang w:val="es-ES_tradnl" w:eastAsia="es-ES_tradnl"/>
        </w:rPr>
      </w:pPr>
    </w:p>
    <w:p w14:paraId="719235DB" w14:textId="77777777" w:rsidR="00DF5E7F" w:rsidRPr="00317783" w:rsidRDefault="00DF5E7F" w:rsidP="00DF5E7F">
      <w:pPr>
        <w:ind w:left="2124" w:firstLine="570"/>
        <w:contextualSpacing/>
        <w:rPr>
          <w:rFonts w:ascii="Century Gothic" w:eastAsia="Calibri" w:hAnsi="Century Gothic" w:cs="Arial"/>
          <w:b/>
          <w:lang w:val="es-ES_tradnl" w:eastAsia="es-ES_tradnl"/>
        </w:rPr>
      </w:pPr>
      <w:r w:rsidRPr="00317783">
        <w:rPr>
          <w:rFonts w:ascii="Century Gothic" w:eastAsia="Calibri" w:hAnsi="Century Gothic" w:cs="Arial"/>
          <w:b/>
          <w:lang w:val="es-ES_tradnl" w:eastAsia="es-ES_tradnl"/>
        </w:rPr>
        <w:t>Concepto C – 377 de 2023</w:t>
      </w:r>
    </w:p>
    <w:p w14:paraId="11290BF2" w14:textId="77777777" w:rsidR="00DF5E7F" w:rsidRPr="00317783" w:rsidRDefault="00DF5E7F" w:rsidP="00DF5E7F">
      <w:pPr>
        <w:contextualSpacing/>
        <w:jc w:val="both"/>
        <w:rPr>
          <w:rFonts w:ascii="Century Gothic" w:eastAsia="Calibri" w:hAnsi="Century Gothic" w:cs="Arial"/>
          <w:lang w:val="es-ES_tradnl"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DF5E7F" w:rsidRPr="002240DB" w14:paraId="5022460F" w14:textId="77777777" w:rsidTr="00065B28">
        <w:tc>
          <w:tcPr>
            <w:tcW w:w="2689" w:type="dxa"/>
          </w:tcPr>
          <w:p w14:paraId="6EBC0047" w14:textId="77777777" w:rsidR="00DF5E7F" w:rsidRPr="00317783" w:rsidRDefault="00DF5E7F" w:rsidP="00065B28">
            <w:pPr>
              <w:contextualSpacing/>
              <w:jc w:val="both"/>
              <w:rPr>
                <w:rFonts w:ascii="Century Gothic" w:eastAsia="Calibri" w:hAnsi="Century Gothic" w:cs="Arial"/>
                <w:lang w:val="es-ES_tradnl" w:eastAsia="es-ES_tradnl"/>
              </w:rPr>
            </w:pPr>
            <w:r w:rsidRPr="00317783">
              <w:rPr>
                <w:rFonts w:ascii="Century Gothic" w:eastAsia="Calibri" w:hAnsi="Century Gothic" w:cs="Arial"/>
                <w:b/>
                <w:lang w:val="es-ES_tradnl" w:eastAsia="es-ES_tradnl"/>
              </w:rPr>
              <w:t>Temas:</w:t>
            </w:r>
            <w:r w:rsidRPr="00317783">
              <w:rPr>
                <w:rFonts w:ascii="Century Gothic" w:eastAsia="Calibri" w:hAnsi="Century Gothic" w:cs="Arial"/>
                <w:lang w:val="es-ES_tradnl" w:eastAsia="es-ES_tradnl"/>
              </w:rPr>
              <w:t xml:space="preserve">                                      </w:t>
            </w:r>
          </w:p>
        </w:tc>
        <w:tc>
          <w:tcPr>
            <w:tcW w:w="6237" w:type="dxa"/>
          </w:tcPr>
          <w:p w14:paraId="3D639AEE" w14:textId="77777777" w:rsidR="00DF5E7F" w:rsidRPr="00317783" w:rsidRDefault="00DF5E7F" w:rsidP="00065B28">
            <w:pPr>
              <w:spacing w:after="120"/>
              <w:contextualSpacing/>
              <w:jc w:val="both"/>
              <w:rPr>
                <w:rFonts w:ascii="Century Gothic" w:eastAsia="Calibri" w:hAnsi="Century Gothic" w:cs="Arial"/>
                <w:lang w:val="es-MX" w:eastAsia="es-ES_tradnl"/>
              </w:rPr>
            </w:pPr>
            <w:r w:rsidRPr="00317783">
              <w:rPr>
                <w:rFonts w:ascii="Century Gothic" w:eastAsia="Calibri" w:hAnsi="Century Gothic" w:cs="Arial"/>
                <w:lang w:val="es-MX" w:eastAsia="es-ES_tradnl"/>
              </w:rPr>
              <w:t xml:space="preserve">LEY DE GARANTÍAS ELECTORALES </w:t>
            </w:r>
            <w:r w:rsidRPr="002240DB">
              <w:rPr>
                <w:rFonts w:ascii="Arial" w:eastAsia="Calibri" w:hAnsi="Arial" w:cs="Arial"/>
                <w:bCs/>
                <w:lang w:val="es-MX" w:eastAsia="es-ES_tradnl"/>
              </w:rPr>
              <w:t>‒</w:t>
            </w:r>
            <w:r w:rsidRPr="00317783">
              <w:rPr>
                <w:rFonts w:ascii="Century Gothic" w:eastAsia="Calibri" w:hAnsi="Century Gothic" w:cs="Arial"/>
                <w:lang w:val="es-MX" w:eastAsia="es-ES_tradnl"/>
              </w:rPr>
              <w:t xml:space="preserve"> Finalidad / LEY DE GARANTÍAS ELECTORALES </w:t>
            </w:r>
            <w:r w:rsidRPr="002240DB">
              <w:rPr>
                <w:rFonts w:ascii="Arial" w:eastAsia="Calibri" w:hAnsi="Arial" w:cs="Arial"/>
                <w:bCs/>
                <w:lang w:val="es-MX" w:eastAsia="es-ES_tradnl"/>
              </w:rPr>
              <w:t>‒</w:t>
            </w:r>
            <w:r w:rsidRPr="00317783">
              <w:rPr>
                <w:rFonts w:ascii="Century Gothic" w:eastAsia="Calibri" w:hAnsi="Century Gothic" w:cs="Arial"/>
                <w:lang w:val="es-MX" w:eastAsia="es-ES_tradnl"/>
              </w:rPr>
              <w:t xml:space="preserve"> Tipos de restricciones </w:t>
            </w:r>
            <w:r w:rsidRPr="002240DB">
              <w:rPr>
                <w:rFonts w:ascii="Arial" w:eastAsia="Calibri" w:hAnsi="Arial" w:cs="Arial"/>
                <w:bCs/>
                <w:lang w:val="es-MX" w:eastAsia="es-ES_tradnl"/>
              </w:rPr>
              <w:t>‒</w:t>
            </w:r>
            <w:r w:rsidRPr="00317783">
              <w:rPr>
                <w:rFonts w:ascii="Century Gothic" w:eastAsia="Calibri" w:hAnsi="Century Gothic" w:cs="Arial"/>
                <w:lang w:val="es-MX" w:eastAsia="es-ES_tradnl"/>
              </w:rPr>
              <w:t xml:space="preserve"> Ámbito temporal / LEY DE GARANTÍAS ELECTORALES </w:t>
            </w:r>
            <w:r w:rsidRPr="002240DB">
              <w:rPr>
                <w:rFonts w:ascii="Arial" w:eastAsia="Calibri" w:hAnsi="Arial" w:cs="Arial"/>
                <w:bCs/>
                <w:lang w:val="es-MX" w:eastAsia="es-ES_tradnl"/>
              </w:rPr>
              <w:t>‒</w:t>
            </w:r>
            <w:r w:rsidRPr="00317783">
              <w:rPr>
                <w:rFonts w:ascii="Century Gothic" w:eastAsia="Calibri" w:hAnsi="Century Gothic" w:cs="Arial"/>
                <w:lang w:val="es-MX" w:eastAsia="es-ES_tradnl"/>
              </w:rPr>
              <w:t xml:space="preserve"> Prohibición por elección de cargos populares – Convenios y contratos interadministrativos – Definición – Criterio orgánico / CONCEJOS MUNICIPALES </w:t>
            </w:r>
            <w:r w:rsidRPr="002240DB">
              <w:rPr>
                <w:rFonts w:ascii="Arial" w:eastAsia="Calibri" w:hAnsi="Arial" w:cs="Arial"/>
                <w:lang w:val="es-MX" w:eastAsia="es-ES_tradnl"/>
              </w:rPr>
              <w:t>‒</w:t>
            </w:r>
            <w:r w:rsidRPr="00317783">
              <w:rPr>
                <w:rFonts w:ascii="Century Gothic" w:eastAsia="Calibri" w:hAnsi="Century Gothic" w:cs="Arial"/>
                <w:lang w:val="es-MX" w:eastAsia="es-ES_tradnl"/>
              </w:rPr>
              <w:t xml:space="preserve"> Alcance de las restricciones / CONCEJOS MUNICIPALES </w:t>
            </w:r>
            <w:r w:rsidRPr="002240DB">
              <w:rPr>
                <w:rFonts w:ascii="Arial" w:eastAsia="Calibri" w:hAnsi="Arial" w:cs="Arial"/>
                <w:lang w:val="es-MX" w:eastAsia="es-ES_tradnl"/>
              </w:rPr>
              <w:t>‒</w:t>
            </w:r>
            <w:r w:rsidRPr="00317783">
              <w:rPr>
                <w:rFonts w:ascii="Century Gothic" w:eastAsia="Calibri" w:hAnsi="Century Gothic" w:cs="Arial"/>
                <w:lang w:val="es-MX" w:eastAsia="es-ES_tradnl"/>
              </w:rPr>
              <w:t xml:space="preserve"> Naturaleza jur</w:t>
            </w:r>
            <w:r w:rsidRPr="00317783">
              <w:rPr>
                <w:rFonts w:ascii="Century Gothic" w:eastAsia="Calibri" w:hAnsi="Century Gothic" w:cs="Century Gothic"/>
                <w:lang w:val="es-MX" w:eastAsia="es-ES_tradnl"/>
              </w:rPr>
              <w:t>í</w:t>
            </w:r>
            <w:r w:rsidRPr="00317783">
              <w:rPr>
                <w:rFonts w:ascii="Century Gothic" w:eastAsia="Calibri" w:hAnsi="Century Gothic" w:cs="Arial"/>
                <w:lang w:val="es-MX" w:eastAsia="es-ES_tradnl"/>
              </w:rPr>
              <w:t xml:space="preserve">dica </w:t>
            </w:r>
            <w:r w:rsidRPr="00317783">
              <w:rPr>
                <w:rFonts w:ascii="Century Gothic" w:eastAsia="Calibri" w:hAnsi="Century Gothic" w:cs="Century Gothic"/>
                <w:lang w:val="es-MX" w:eastAsia="es-ES_tradnl"/>
              </w:rPr>
              <w:t>–</w:t>
            </w:r>
            <w:r w:rsidRPr="00317783">
              <w:rPr>
                <w:rFonts w:ascii="Century Gothic" w:eastAsia="Calibri" w:hAnsi="Century Gothic" w:cs="Arial"/>
                <w:lang w:val="es-MX" w:eastAsia="es-ES_tradnl"/>
              </w:rPr>
              <w:t xml:space="preserve"> Entidades descentralizadas </w:t>
            </w:r>
            <w:r w:rsidRPr="00317783">
              <w:rPr>
                <w:rFonts w:ascii="Century Gothic" w:eastAsia="Calibri" w:hAnsi="Century Gothic" w:cs="Century Gothic"/>
                <w:lang w:val="es-MX" w:eastAsia="es-ES_tradnl"/>
              </w:rPr>
              <w:t>–</w:t>
            </w:r>
            <w:r w:rsidRPr="00317783">
              <w:rPr>
                <w:rFonts w:ascii="Century Gothic" w:eastAsia="Calibri" w:hAnsi="Century Gothic" w:cs="Arial"/>
                <w:lang w:val="es-MX" w:eastAsia="es-ES_tradnl"/>
              </w:rPr>
              <w:t xml:space="preserve"> Enumeraci</w:t>
            </w:r>
            <w:r w:rsidRPr="00317783">
              <w:rPr>
                <w:rFonts w:ascii="Century Gothic" w:eastAsia="Calibri" w:hAnsi="Century Gothic" w:cs="Century Gothic"/>
                <w:lang w:val="es-MX" w:eastAsia="es-ES_tradnl"/>
              </w:rPr>
              <w:t>ó</w:t>
            </w:r>
            <w:r w:rsidRPr="00317783">
              <w:rPr>
                <w:rFonts w:ascii="Century Gothic" w:eastAsia="Calibri" w:hAnsi="Century Gothic" w:cs="Arial"/>
                <w:lang w:val="es-MX" w:eastAsia="es-ES_tradnl"/>
              </w:rPr>
              <w:t xml:space="preserve">n </w:t>
            </w:r>
            <w:r w:rsidRPr="00317783">
              <w:rPr>
                <w:rFonts w:ascii="Century Gothic" w:eastAsia="Calibri" w:hAnsi="Century Gothic" w:cs="Century Gothic"/>
                <w:lang w:val="es-MX" w:eastAsia="es-ES_tradnl"/>
              </w:rPr>
              <w:t>–</w:t>
            </w:r>
            <w:r w:rsidRPr="00317783">
              <w:rPr>
                <w:rFonts w:ascii="Century Gothic" w:eastAsia="Calibri" w:hAnsi="Century Gothic" w:cs="Arial"/>
                <w:lang w:val="es-MX" w:eastAsia="es-ES_tradnl"/>
              </w:rPr>
              <w:t xml:space="preserve"> Criterios de taxatividad e interpretaci</w:t>
            </w:r>
            <w:r w:rsidRPr="00317783">
              <w:rPr>
                <w:rFonts w:ascii="Century Gothic" w:eastAsia="Calibri" w:hAnsi="Century Gothic" w:cs="Century Gothic"/>
                <w:lang w:val="es-MX" w:eastAsia="es-ES_tradnl"/>
              </w:rPr>
              <w:t>ó</w:t>
            </w:r>
            <w:r w:rsidRPr="00317783">
              <w:rPr>
                <w:rFonts w:ascii="Century Gothic" w:eastAsia="Calibri" w:hAnsi="Century Gothic" w:cs="Arial"/>
                <w:lang w:val="es-MX" w:eastAsia="es-ES_tradnl"/>
              </w:rPr>
              <w:t xml:space="preserve">n restrictiva </w:t>
            </w:r>
          </w:p>
          <w:p w14:paraId="313B6F1C" w14:textId="77777777" w:rsidR="00DF5E7F" w:rsidRPr="00317783" w:rsidRDefault="00DF5E7F" w:rsidP="00065B28">
            <w:pPr>
              <w:spacing w:after="120"/>
              <w:contextualSpacing/>
              <w:jc w:val="both"/>
              <w:rPr>
                <w:rFonts w:ascii="Century Gothic" w:eastAsia="Calibri" w:hAnsi="Century Gothic" w:cs="Arial"/>
                <w:sz w:val="12"/>
                <w:szCs w:val="12"/>
                <w:lang w:val="es-ES_tradnl" w:eastAsia="es-ES_tradnl"/>
              </w:rPr>
            </w:pPr>
          </w:p>
        </w:tc>
      </w:tr>
      <w:tr w:rsidR="00DF5E7F" w:rsidRPr="002240DB" w14:paraId="6A481B23" w14:textId="77777777" w:rsidTr="00065B28">
        <w:trPr>
          <w:trHeight w:val="227"/>
        </w:trPr>
        <w:tc>
          <w:tcPr>
            <w:tcW w:w="2689" w:type="dxa"/>
          </w:tcPr>
          <w:p w14:paraId="4DE692D4" w14:textId="77777777" w:rsidR="00DF5E7F" w:rsidRPr="00317783" w:rsidRDefault="00DF5E7F" w:rsidP="00065B28">
            <w:pPr>
              <w:contextualSpacing/>
              <w:jc w:val="both"/>
              <w:rPr>
                <w:rFonts w:ascii="Century Gothic" w:eastAsia="Calibri" w:hAnsi="Century Gothic" w:cs="Arial"/>
                <w:b/>
                <w:lang w:val="es-ES_tradnl" w:eastAsia="es-ES_tradnl"/>
              </w:rPr>
            </w:pPr>
            <w:r w:rsidRPr="00317783">
              <w:rPr>
                <w:rFonts w:ascii="Century Gothic" w:eastAsia="Calibri" w:hAnsi="Century Gothic" w:cs="Arial"/>
                <w:b/>
                <w:lang w:val="es-ES_tradnl" w:eastAsia="es-ES_tradnl"/>
              </w:rPr>
              <w:t>Radicación:</w:t>
            </w:r>
            <w:r w:rsidRPr="00317783">
              <w:rPr>
                <w:rFonts w:ascii="Century Gothic" w:eastAsia="Calibri" w:hAnsi="Century Gothic" w:cs="Arial"/>
                <w:lang w:val="es-ES_tradnl" w:eastAsia="es-ES_tradnl"/>
              </w:rPr>
              <w:t xml:space="preserve">                             </w:t>
            </w:r>
          </w:p>
        </w:tc>
        <w:tc>
          <w:tcPr>
            <w:tcW w:w="6237" w:type="dxa"/>
          </w:tcPr>
          <w:p w14:paraId="219B9FA4" w14:textId="77777777" w:rsidR="00DF5E7F" w:rsidRPr="00317783" w:rsidRDefault="00DF5E7F" w:rsidP="00065B28">
            <w:pPr>
              <w:contextualSpacing/>
              <w:jc w:val="both"/>
              <w:rPr>
                <w:rFonts w:ascii="Century Gothic" w:eastAsia="Calibri" w:hAnsi="Century Gothic" w:cs="Arial"/>
                <w:lang w:val="es-ES_tradnl" w:eastAsia="es-ES_tradnl"/>
              </w:rPr>
            </w:pPr>
            <w:r w:rsidRPr="00317783">
              <w:rPr>
                <w:rFonts w:ascii="Century Gothic" w:eastAsia="Calibri" w:hAnsi="Century Gothic" w:cs="Arial"/>
                <w:lang w:val="es-ES_tradnl" w:eastAsia="es-ES_tradnl"/>
              </w:rPr>
              <w:t>Respuesta a consulta P20230809014024</w:t>
            </w:r>
          </w:p>
        </w:tc>
      </w:tr>
    </w:tbl>
    <w:p w14:paraId="6B45EF45" w14:textId="77777777" w:rsidR="00DF5E7F" w:rsidRPr="00317783" w:rsidRDefault="00DF5E7F" w:rsidP="00DF5E7F">
      <w:pPr>
        <w:contextualSpacing/>
        <w:jc w:val="both"/>
        <w:rPr>
          <w:rFonts w:ascii="Century Gothic" w:eastAsia="Calibri" w:hAnsi="Century Gothic" w:cs="Arial"/>
          <w:lang w:val="es-ES_tradnl" w:eastAsia="es-ES_tradnl"/>
        </w:rPr>
      </w:pPr>
    </w:p>
    <w:p w14:paraId="74F916EF" w14:textId="77777777" w:rsidR="00DF5E7F" w:rsidRPr="00317783" w:rsidRDefault="00DF5E7F" w:rsidP="00DF5E7F">
      <w:pPr>
        <w:contextualSpacing/>
        <w:jc w:val="both"/>
        <w:rPr>
          <w:rFonts w:ascii="Century Gothic" w:eastAsia="Calibri" w:hAnsi="Century Gothic" w:cs="Arial"/>
          <w:lang w:val="es-ES_tradnl" w:eastAsia="es-ES_tradnl"/>
        </w:rPr>
      </w:pPr>
    </w:p>
    <w:p w14:paraId="12F1CC2F" w14:textId="77777777" w:rsidR="00DF5E7F" w:rsidRPr="00317783" w:rsidRDefault="00DF5E7F" w:rsidP="00DF5E7F">
      <w:pPr>
        <w:contextualSpacing/>
        <w:jc w:val="both"/>
        <w:rPr>
          <w:rFonts w:ascii="Century Gothic" w:eastAsia="Calibri" w:hAnsi="Century Gothic" w:cs="Arial"/>
          <w:lang w:val="es-ES" w:eastAsia="es-ES"/>
        </w:rPr>
      </w:pPr>
      <w:r w:rsidRPr="00317783">
        <w:rPr>
          <w:rFonts w:ascii="Century Gothic" w:eastAsia="Calibri" w:hAnsi="Century Gothic" w:cs="Arial"/>
          <w:lang w:val="es-ES" w:eastAsia="es-ES"/>
        </w:rPr>
        <w:t xml:space="preserve">Respetado señor Muñoz Morales: </w:t>
      </w:r>
    </w:p>
    <w:p w14:paraId="6132D634" w14:textId="77777777" w:rsidR="00DF5E7F" w:rsidRPr="00317783" w:rsidRDefault="00DF5E7F" w:rsidP="00DF5E7F">
      <w:pPr>
        <w:spacing w:line="276" w:lineRule="auto"/>
        <w:contextualSpacing/>
        <w:jc w:val="both"/>
        <w:rPr>
          <w:rFonts w:ascii="Century Gothic" w:eastAsia="Calibri" w:hAnsi="Century Gothic" w:cs="Arial"/>
          <w:szCs w:val="24"/>
          <w:lang w:val="es-ES_tradnl" w:eastAsia="es-ES_tradnl"/>
        </w:rPr>
      </w:pPr>
    </w:p>
    <w:bookmarkEnd w:id="0"/>
    <w:bookmarkEnd w:id="1"/>
    <w:p w14:paraId="76506C64" w14:textId="77777777" w:rsidR="00DF5E7F" w:rsidRPr="00317783" w:rsidRDefault="00DF5E7F" w:rsidP="00DF5E7F">
      <w:pPr>
        <w:spacing w:after="0" w:line="276" w:lineRule="auto"/>
        <w:jc w:val="both"/>
        <w:rPr>
          <w:rFonts w:ascii="Century Gothic" w:eastAsia="Calibri" w:hAnsi="Century Gothic" w:cs="Arial"/>
          <w:color w:val="000000" w:themeColor="text1"/>
          <w:lang w:val="es-ES_tradnl"/>
        </w:rPr>
      </w:pPr>
      <w:r w:rsidRPr="00317783">
        <w:rPr>
          <w:rFonts w:ascii="Century Gothic" w:eastAsia="Calibri" w:hAnsi="Century Gothic" w:cs="Arial"/>
          <w:color w:val="000000" w:themeColor="text1"/>
          <w:lang w:val="es-ES_tradnl"/>
        </w:rPr>
        <w:t>En ejercicio de la competencia otorgada por el numeral 8 del artículo 11 y el numeral 5 del artículo 3 del Decreto Ley 4170 de 2011</w:t>
      </w:r>
      <w:bookmarkStart w:id="10" w:name="_Hlk99120496"/>
      <w:r w:rsidRPr="00317783">
        <w:rPr>
          <w:rFonts w:ascii="Century Gothic" w:eastAsia="Arial MT" w:hAnsi="Century Gothic" w:cs="Arial"/>
          <w:lang w:val="es-ES"/>
        </w:rPr>
        <w:t xml:space="preserve">, </w:t>
      </w:r>
      <w:bookmarkEnd w:id="10"/>
      <w:r w:rsidRPr="00317783">
        <w:rPr>
          <w:rFonts w:ascii="Century Gothic" w:eastAsia="Calibri" w:hAnsi="Century Gothic" w:cs="Arial"/>
          <w:color w:val="000000" w:themeColor="text1"/>
          <w:lang w:val="es-ES_tradnl"/>
        </w:rPr>
        <w:t>la Agencia Nacional de Contratación Pública – Colombia Compra Eficiente responde la consulta radicada el 9 de agosto de 2023.</w:t>
      </w:r>
    </w:p>
    <w:p w14:paraId="065B40ED" w14:textId="77777777" w:rsidR="00DF5E7F" w:rsidRPr="00317783" w:rsidRDefault="00DF5E7F" w:rsidP="00DF5E7F">
      <w:pPr>
        <w:spacing w:after="0" w:line="276" w:lineRule="auto"/>
        <w:jc w:val="both"/>
        <w:rPr>
          <w:rFonts w:ascii="Century Gothic" w:eastAsia="Calibri" w:hAnsi="Century Gothic" w:cs="Arial"/>
          <w:b/>
          <w:color w:val="000000" w:themeColor="text1"/>
          <w:lang w:val="es-ES_tradnl"/>
        </w:rPr>
      </w:pPr>
    </w:p>
    <w:p w14:paraId="75D67CAA" w14:textId="77777777" w:rsidR="00DF5E7F" w:rsidRPr="00317783" w:rsidRDefault="00DF5E7F" w:rsidP="00DF5E7F">
      <w:pPr>
        <w:pStyle w:val="Prrafodelista"/>
        <w:numPr>
          <w:ilvl w:val="0"/>
          <w:numId w:val="6"/>
        </w:numPr>
        <w:tabs>
          <w:tab w:val="left" w:pos="0"/>
          <w:tab w:val="left" w:pos="142"/>
          <w:tab w:val="left" w:pos="284"/>
        </w:tabs>
        <w:spacing w:after="0" w:line="276" w:lineRule="auto"/>
        <w:ind w:left="0" w:firstLine="0"/>
        <w:jc w:val="both"/>
        <w:rPr>
          <w:rFonts w:ascii="Century Gothic" w:eastAsia="Calibri" w:hAnsi="Century Gothic" w:cs="Arial"/>
          <w:b/>
          <w:color w:val="000000" w:themeColor="text1"/>
          <w:lang w:val="es-ES_tradnl"/>
        </w:rPr>
      </w:pPr>
      <w:r w:rsidRPr="00317783">
        <w:rPr>
          <w:rFonts w:ascii="Century Gothic" w:eastAsia="Calibri" w:hAnsi="Century Gothic" w:cs="Arial"/>
          <w:b/>
          <w:color w:val="000000" w:themeColor="text1"/>
          <w:lang w:val="es-ES_tradnl"/>
        </w:rPr>
        <w:t xml:space="preserve">Problemas planteados </w:t>
      </w:r>
    </w:p>
    <w:p w14:paraId="40798B48" w14:textId="77777777" w:rsidR="00DF5E7F" w:rsidRPr="00317783" w:rsidRDefault="00DF5E7F" w:rsidP="00DF5E7F">
      <w:pPr>
        <w:tabs>
          <w:tab w:val="left" w:pos="426"/>
        </w:tabs>
        <w:spacing w:after="0" w:line="276" w:lineRule="auto"/>
        <w:jc w:val="both"/>
        <w:rPr>
          <w:rFonts w:ascii="Century Gothic" w:eastAsia="Calibri" w:hAnsi="Century Gothic" w:cs="Arial"/>
          <w:b/>
          <w:color w:val="000000" w:themeColor="text1"/>
          <w:lang w:val="es-ES_tradnl"/>
        </w:rPr>
      </w:pPr>
    </w:p>
    <w:p w14:paraId="11E11703" w14:textId="77777777" w:rsidR="00DF5E7F" w:rsidRPr="00317783" w:rsidRDefault="00DF5E7F" w:rsidP="00DF5E7F">
      <w:pPr>
        <w:spacing w:after="0" w:line="276" w:lineRule="auto"/>
        <w:jc w:val="both"/>
        <w:rPr>
          <w:rFonts w:ascii="Century Gothic" w:hAnsi="Century Gothic" w:cs="Arial"/>
          <w:color w:val="000000" w:themeColor="text1"/>
          <w:lang w:val="es-ES"/>
        </w:rPr>
      </w:pPr>
      <w:r w:rsidRPr="00317783">
        <w:rPr>
          <w:rFonts w:ascii="Century Gothic" w:hAnsi="Century Gothic" w:cs="Arial"/>
          <w:color w:val="000000" w:themeColor="text1"/>
          <w:lang w:val="es-ES"/>
        </w:rPr>
        <w:t xml:space="preserve">Usted realiza las siguientes preguntas: i) “[¿]Cuál es el alcance del artículo 38 de la Ley 996 de 2005 (garantías electorales) en el entendido si cobija todas las entidades estatales[?]” (Corchetes fuera de texto), </w:t>
      </w:r>
      <w:bookmarkStart w:id="11" w:name="_Hlk143008321"/>
      <w:proofErr w:type="spellStart"/>
      <w:r w:rsidRPr="00317783">
        <w:rPr>
          <w:rFonts w:ascii="Century Gothic" w:hAnsi="Century Gothic" w:cs="Arial"/>
          <w:color w:val="000000" w:themeColor="text1"/>
          <w:lang w:val="es-ES"/>
        </w:rPr>
        <w:t>ii</w:t>
      </w:r>
      <w:proofErr w:type="spellEnd"/>
      <w:r w:rsidRPr="00317783">
        <w:rPr>
          <w:rFonts w:ascii="Century Gothic" w:hAnsi="Century Gothic" w:cs="Arial"/>
          <w:color w:val="000000" w:themeColor="text1"/>
          <w:lang w:val="es-ES"/>
        </w:rPr>
        <w:t xml:space="preserve">) “Entendiéndose que los concejos municipales no hacen parte de las entidades descentralizadas que se mencionan en el artículo 68 de la Ley 489 de 1998, se pregunta, ¿cobija el artículo 38 de la Ley </w:t>
      </w:r>
      <w:r w:rsidRPr="00317783">
        <w:rPr>
          <w:rFonts w:ascii="Century Gothic" w:hAnsi="Century Gothic" w:cs="Arial"/>
          <w:color w:val="000000" w:themeColor="text1"/>
          <w:lang w:val="es-ES"/>
        </w:rPr>
        <w:lastRenderedPageBreak/>
        <w:t>996 de 2005 a los concejos municipales? […]”</w:t>
      </w:r>
      <w:bookmarkEnd w:id="11"/>
      <w:r w:rsidRPr="00317783">
        <w:rPr>
          <w:rFonts w:ascii="Century Gothic" w:hAnsi="Century Gothic" w:cs="Arial"/>
          <w:color w:val="000000" w:themeColor="text1"/>
          <w:lang w:val="es-ES"/>
        </w:rPr>
        <w:t xml:space="preserve"> y </w:t>
      </w:r>
      <w:proofErr w:type="spellStart"/>
      <w:r w:rsidRPr="00317783">
        <w:rPr>
          <w:rFonts w:ascii="Century Gothic" w:hAnsi="Century Gothic" w:cs="Arial"/>
          <w:color w:val="000000" w:themeColor="text1"/>
          <w:lang w:val="es-ES"/>
        </w:rPr>
        <w:t>iii</w:t>
      </w:r>
      <w:proofErr w:type="spellEnd"/>
      <w:r w:rsidRPr="00317783">
        <w:rPr>
          <w:rFonts w:ascii="Century Gothic" w:hAnsi="Century Gothic" w:cs="Arial"/>
          <w:color w:val="000000" w:themeColor="text1"/>
          <w:lang w:val="es-ES"/>
        </w:rPr>
        <w:t xml:space="preserve">) “[¿]cuenta su entidad con algún concepto emitido el cual esté relacionado con la aplicación a los concejos municipales del artículo 38 de la ley 996 de 2005[?], si cuenta con ellos comedidamente solicito se me suministre copia de </w:t>
      </w:r>
      <w:proofErr w:type="gramStart"/>
      <w:r w:rsidRPr="00317783">
        <w:rPr>
          <w:rFonts w:ascii="Century Gothic" w:hAnsi="Century Gothic" w:cs="Arial"/>
          <w:color w:val="000000" w:themeColor="text1"/>
          <w:lang w:val="es-ES"/>
        </w:rPr>
        <w:t>los mismos</w:t>
      </w:r>
      <w:proofErr w:type="gramEnd"/>
      <w:r w:rsidRPr="00317783">
        <w:rPr>
          <w:rFonts w:ascii="Century Gothic" w:hAnsi="Century Gothic" w:cs="Arial"/>
          <w:color w:val="000000" w:themeColor="text1"/>
          <w:lang w:val="es-ES"/>
        </w:rPr>
        <w:t>” (Corchetes fuera de texto).</w:t>
      </w:r>
    </w:p>
    <w:p w14:paraId="033C7701" w14:textId="77777777" w:rsidR="00DF5E7F" w:rsidRPr="00317783" w:rsidRDefault="00DF5E7F" w:rsidP="00DF5E7F">
      <w:pPr>
        <w:spacing w:after="0" w:line="276" w:lineRule="auto"/>
        <w:ind w:right="709"/>
        <w:jc w:val="both"/>
        <w:rPr>
          <w:rFonts w:ascii="Century Gothic" w:hAnsi="Century Gothic" w:cs="Arial"/>
          <w:color w:val="000000" w:themeColor="text1"/>
          <w:sz w:val="21"/>
          <w:szCs w:val="21"/>
        </w:rPr>
      </w:pPr>
    </w:p>
    <w:p w14:paraId="41AE1B95" w14:textId="77777777" w:rsidR="00DF5E7F" w:rsidRPr="00317783" w:rsidRDefault="00DF5E7F" w:rsidP="00DF5E7F">
      <w:pPr>
        <w:pStyle w:val="Prrafodelista"/>
        <w:numPr>
          <w:ilvl w:val="0"/>
          <w:numId w:val="6"/>
        </w:numPr>
        <w:tabs>
          <w:tab w:val="left" w:pos="0"/>
          <w:tab w:val="left" w:pos="284"/>
        </w:tabs>
        <w:spacing w:after="0" w:line="240" w:lineRule="auto"/>
        <w:ind w:left="0" w:firstLine="0"/>
        <w:jc w:val="both"/>
        <w:rPr>
          <w:rFonts w:ascii="Century Gothic" w:eastAsia="Calibri" w:hAnsi="Century Gothic" w:cs="Arial"/>
          <w:b/>
          <w:color w:val="000000" w:themeColor="text1"/>
          <w:lang w:val="es-ES_tradnl"/>
        </w:rPr>
      </w:pPr>
      <w:r w:rsidRPr="00317783">
        <w:rPr>
          <w:rFonts w:ascii="Century Gothic" w:eastAsia="Calibri" w:hAnsi="Century Gothic" w:cs="Arial"/>
          <w:b/>
          <w:color w:val="000000" w:themeColor="text1"/>
          <w:lang w:val="es-ES_tradnl"/>
        </w:rPr>
        <w:t>Consideraciones</w:t>
      </w:r>
    </w:p>
    <w:p w14:paraId="4F650224" w14:textId="77777777" w:rsidR="00DF5E7F" w:rsidRPr="00317783" w:rsidRDefault="00DF5E7F" w:rsidP="00DF5E7F">
      <w:pPr>
        <w:spacing w:after="0" w:line="276" w:lineRule="auto"/>
        <w:jc w:val="both"/>
        <w:rPr>
          <w:rFonts w:ascii="Century Gothic" w:eastAsia="Calibri" w:hAnsi="Century Gothic" w:cs="Arial"/>
          <w:color w:val="000000" w:themeColor="text1"/>
          <w:lang w:val="es-ES"/>
        </w:rPr>
      </w:pPr>
    </w:p>
    <w:p w14:paraId="710FF5D8" w14:textId="77777777" w:rsidR="00DF5E7F" w:rsidRPr="00317783" w:rsidRDefault="00DF5E7F" w:rsidP="00DF5E7F">
      <w:pPr>
        <w:spacing w:line="276" w:lineRule="auto"/>
        <w:jc w:val="both"/>
        <w:rPr>
          <w:rFonts w:ascii="Century Gothic" w:hAnsi="Century Gothic" w:cs="Arial"/>
          <w:color w:val="000000" w:themeColor="text1"/>
          <w:lang w:val="es-ES"/>
        </w:rPr>
      </w:pPr>
      <w:r w:rsidRPr="00317783">
        <w:rPr>
          <w:rFonts w:ascii="Century Gothic" w:hAnsi="Century Gothic" w:cs="Arial"/>
          <w:bCs/>
        </w:rPr>
        <w:t>L</w:t>
      </w:r>
      <w:r w:rsidRPr="00317783">
        <w:rPr>
          <w:rFonts w:ascii="Century Gothic" w:eastAsia="Calibri" w:hAnsi="Century Gothic" w:cs="Arial"/>
        </w:rPr>
        <w:t xml:space="preserve">a Subdirección resolverá la petición conforme a las normas generales en materia de contratación estatal. Con este objetivo se abordarán </w:t>
      </w:r>
      <w:r w:rsidRPr="00317783">
        <w:rPr>
          <w:rFonts w:ascii="Century Gothic" w:eastAsia="Calibri" w:hAnsi="Century Gothic" w:cs="Arial"/>
          <w:lang w:val="es-ES"/>
        </w:rPr>
        <w:t>los siguientes temas:</w:t>
      </w:r>
      <w:r w:rsidRPr="00317783">
        <w:rPr>
          <w:rFonts w:ascii="Century Gothic" w:hAnsi="Century Gothic" w:cs="Arial"/>
          <w:color w:val="000000" w:themeColor="text1"/>
          <w:lang w:val="es-ES"/>
        </w:rPr>
        <w:t xml:space="preserve"> </w:t>
      </w:r>
      <w:r w:rsidRPr="00317783">
        <w:rPr>
          <w:rFonts w:ascii="Century Gothic" w:hAnsi="Century Gothic" w:cs="Arial"/>
          <w:color w:val="000000" w:themeColor="text1"/>
          <w:lang w:val="es-ES_tradnl"/>
        </w:rPr>
        <w:t xml:space="preserve">i) definición y finalidad de la Ley de Garantías Electorales, </w:t>
      </w:r>
      <w:proofErr w:type="spellStart"/>
      <w:r w:rsidRPr="00317783">
        <w:rPr>
          <w:rFonts w:ascii="Century Gothic" w:hAnsi="Century Gothic" w:cs="Arial"/>
          <w:color w:val="000000" w:themeColor="text1"/>
          <w:lang w:val="es-ES_tradnl"/>
        </w:rPr>
        <w:t>ii</w:t>
      </w:r>
      <w:proofErr w:type="spellEnd"/>
      <w:r w:rsidRPr="00317783">
        <w:rPr>
          <w:rFonts w:ascii="Century Gothic" w:hAnsi="Century Gothic" w:cs="Arial"/>
          <w:color w:val="000000" w:themeColor="text1"/>
          <w:lang w:val="es-ES_tradnl"/>
        </w:rPr>
        <w:t xml:space="preserve">) restricciones en los comicios para cargos de elección popular y </w:t>
      </w:r>
      <w:proofErr w:type="spellStart"/>
      <w:r w:rsidRPr="00317783">
        <w:rPr>
          <w:rFonts w:ascii="Century Gothic" w:hAnsi="Century Gothic" w:cs="Arial"/>
          <w:color w:val="000000" w:themeColor="text1"/>
          <w:lang w:val="es-ES_tradnl"/>
        </w:rPr>
        <w:t>iii</w:t>
      </w:r>
      <w:proofErr w:type="spellEnd"/>
      <w:r w:rsidRPr="00317783">
        <w:rPr>
          <w:rFonts w:ascii="Century Gothic" w:hAnsi="Century Gothic" w:cs="Arial"/>
          <w:color w:val="000000" w:themeColor="text1"/>
          <w:lang w:val="es-ES_tradnl"/>
        </w:rPr>
        <w:t xml:space="preserve">) concejos municipales como entidades estatales y el impacto de su naturaleza jurídica en la aplicación de la Ley 996 de 2005. </w:t>
      </w:r>
    </w:p>
    <w:p w14:paraId="0C574659" w14:textId="77777777" w:rsidR="00DF5E7F" w:rsidRPr="00317783" w:rsidRDefault="00DF5E7F" w:rsidP="00DF5E7F">
      <w:pPr>
        <w:spacing w:before="120" w:after="0" w:line="276" w:lineRule="auto"/>
        <w:ind w:firstLine="709"/>
        <w:jc w:val="both"/>
        <w:rPr>
          <w:rFonts w:ascii="Century Gothic" w:hAnsi="Century Gothic" w:cs="Arial"/>
          <w:color w:val="000000"/>
          <w:shd w:val="clear" w:color="auto" w:fill="FFFFFF"/>
        </w:rPr>
      </w:pPr>
      <w:r w:rsidRPr="00317783">
        <w:rPr>
          <w:rFonts w:ascii="Century Gothic" w:eastAsia="Calibri" w:hAnsi="Century Gothic" w:cs="Arial"/>
          <w:color w:val="000000" w:themeColor="text1"/>
          <w:lang w:val="es-ES"/>
        </w:rPr>
        <w:t xml:space="preserve">La Agencia Nacional de Contratación Pública – Colombia Compra Eficiente, en los Conceptos 4201912000004632 del 6 de agosto de 2019, 2201913000005655 del 8 de agosto de 2019, 2201913000006283 del 27 de agosto de 2019, 2201913000006521 del 3 de septiembre de 2019, 2201913000006634 del 6 de septiembre de 2019, 2201913000006639 del 9 de septiembre de 2019, 2201913000007430 del 7 de octubre de 2019, 2201913000007565 del 10 de octubre de 2019, 2201913000008259 del 6 de noviembre de 2019, C-074 del 17 de marzo de 2021, C-075 del 16 de marzo de 2021, C-227 de 2021 del 5 de mayo de 2021, C-259 del 2 de junio de 2021, C-296 del 22 de junio de 2021, C-337 del 13 de julio de 2021, C-350 del 16 de julio de 2021, C-352 del 27 de julio de 2021, C-374 del 16 de septiembre de 2021, C-381 del 2 de agosto de 2021, C-391 del 11 de agosto de 2021, C-396 del 13 de agosto de 2021, C-401 del 10 de agosto de 2021, C-413 del 17 de agosto de 2021, C-439  del 27 de agosto de 2021, C-456 del 3 de septiembre de 2021, C-481 del 98 de septiembre de 2021, C-495 del 15 de septiembre de 2021, C-497 del 15 de septiembre de 2021, C-499 del 15 de septiembre de 2021, C-523 del 10 de octubre de 2021, C-528 del 27 de septiembre de 2021, C-543 del 9 de noviembre de 2021, C-550 del 5 de octubre de 2021, C-557 del 7 de octubre de 2021, C-563 del 8 de octubre de 2021, C-606 del 3 de noviembre de 2021, C-614 del 2 de noviembre de 2021, C-633 del 11 de noviembre de 2021, C-634 del 11 de noviembre de 2021, C-636 del 16 de noviembre de 2021, C-674 del 6 de diciembre de 2021, C-675 del 6 de enero de 2022, C-677 del 4 de diciembre de 2021, C-695 del 22 de diciembre de 2021, C-699 del 6 de enero de 2022, C-700 del 6 de enero </w:t>
      </w:r>
      <w:r w:rsidRPr="00317783">
        <w:rPr>
          <w:rFonts w:ascii="Century Gothic" w:eastAsia="Calibri" w:hAnsi="Century Gothic" w:cs="Arial"/>
          <w:color w:val="000000" w:themeColor="text1"/>
          <w:lang w:val="es-ES"/>
        </w:rPr>
        <w:lastRenderedPageBreak/>
        <w:t>de 2021, C-723 del 28 de diciembre de 2021, C-715 del 21 de enero de 2022, C-718 del 24 de enero de 2022 y C-726 del 24 de enero de 2022, C-002 del 15 de febrero de 2022, C–005 del 16 de febrero de 2022, C-009 del 15 de febrero de 2022, C-014 del 18 de febrero de 2022, C-022 del 21 de febrero de 2022, C-023 del 22 de febrero de 2022, C-008 del 24 de febrero de 2022, C-045 del 3 de marzo de 2022, C-054 del 7 de marzo de 2022, C-064 del 8 de marzo de 2022, C-072 del 11 de marzo de 2022, C-109 del 14 de marzo de 2022, C-073 del 14 de marzo de 2022, C-075 del 10 de marzo de 2022, C-077 del 17 de marzo de 2022, C-092 del 16 de marzo de 2022, C-094 del 16 de marzo de 2022, C-096 del 22 de marzo de 2022, C-097 del 18 de marzo de 2022, C-098 del 9 de marzo de 2022, C-099 del 22 de marzo de 2022, C-102 del 22 de marzo de 2022, C-107 del 18 de marzo de 2022, C-111 del 22 de marzo de 2022. C-115 del 22 de marzo de 2022, C-116 del 18 de marzo de 2022, C-127 del 22 de marzo de 2022, C-134 del 1° de abril de 2022, C-164 del 22 de marzo de 2022, C-170 del 5 de abril de 2022, C-175 del 17 de mayo de 2022, C-329 del 24 de mayo de 2022, C-027 del 22 de marzo de 2023, C-049 del 13 de abril de 2023, C-052 del 21 de abril de 2023, C-073 del 15 de marzo de 2023, C-075 del 25 de abril de 2023, C-076 del 25 de abril de 2023, C-078 del 25 de abril de 2023, C-098 del 4 de mayo de 2023, C-099 del 20 de junio de 2023, C-105 del 14 de junio de 2023, C-107 del 8 de mayo de 2023, C-115 del 8 de junio de 2023, C-116 del 8 de junio de 2023, C-118 del 9 de junio de 2023, C-134 del 26 de mayo de 2023, C-145 del 18 de mayo de 2023, C-149 del 1° de junio de 2023, C-154 del 2 de junio de 2023, C-200 del 27 de julio de 2023, C-233 del 25 de julio de 2023, C-241 del 6 de julio de 2023, C-243 del 6 de julio de 2023, C-247 del 7 de julio de 2023, C-251 del 10 de julio de 2023, C-268 del 12 de julio de 2023, C-285 del 4 de julio de 2023, C-311 del 31 de julio de 2023, C-320 del 2 de agosto de 2023, C-345 del 14 de julio de 2023 y C-358 del 19 de julio de 2023</w:t>
      </w:r>
      <w:r w:rsidRPr="00317783">
        <w:rPr>
          <w:rStyle w:val="normaltextrun"/>
          <w:rFonts w:ascii="Century Gothic" w:hAnsi="Century Gothic" w:cs="Arial"/>
          <w:color w:val="000000"/>
          <w:shd w:val="clear" w:color="auto" w:fill="FFFFFF"/>
        </w:rPr>
        <w:t>, se ha pronunciado sobre la aplicación de la Ley de Garantías, sin que se haya analizado el tema objeto de consulta</w:t>
      </w:r>
      <w:r w:rsidRPr="00317783">
        <w:rPr>
          <w:rStyle w:val="Refdenotaalpie"/>
          <w:rFonts w:ascii="Century Gothic" w:eastAsia="Calibri" w:hAnsi="Century Gothic" w:cs="Arial"/>
        </w:rPr>
        <w:footnoteReference w:id="1"/>
      </w:r>
      <w:r w:rsidRPr="00317783">
        <w:rPr>
          <w:rStyle w:val="normaltextrun"/>
          <w:rFonts w:ascii="Century Gothic" w:hAnsi="Century Gothic" w:cs="Arial"/>
          <w:color w:val="000000"/>
          <w:shd w:val="clear" w:color="auto" w:fill="FFFFFF"/>
        </w:rPr>
        <w:t xml:space="preserve">. </w:t>
      </w:r>
      <w:r w:rsidRPr="00317783">
        <w:rPr>
          <w:rFonts w:ascii="Century Gothic" w:eastAsia="Calibri" w:hAnsi="Century Gothic" w:cs="Arial"/>
          <w:color w:val="000000" w:themeColor="text1"/>
          <w:lang w:val="es-ES_tradnl"/>
        </w:rPr>
        <w:t xml:space="preserve">La tesis propuesta en estos conceptos se reitera a continuación y se complementa en lo pertinente. </w:t>
      </w:r>
    </w:p>
    <w:p w14:paraId="0B3286F2" w14:textId="77777777" w:rsidR="00DF5E7F" w:rsidRPr="00317783" w:rsidRDefault="00DF5E7F" w:rsidP="00DF5E7F">
      <w:pPr>
        <w:spacing w:after="0" w:line="276" w:lineRule="auto"/>
        <w:contextualSpacing/>
        <w:jc w:val="both"/>
        <w:rPr>
          <w:rFonts w:ascii="Century Gothic" w:eastAsia="Times New Roman" w:hAnsi="Century Gothic" w:cs="Arial"/>
          <w:b/>
          <w:szCs w:val="24"/>
          <w:lang w:eastAsia="es-ES_tradnl"/>
        </w:rPr>
      </w:pPr>
    </w:p>
    <w:p w14:paraId="2C6FB7C0" w14:textId="77777777" w:rsidR="00DF5E7F" w:rsidRPr="00317783" w:rsidRDefault="00DF5E7F" w:rsidP="00DF5E7F">
      <w:pPr>
        <w:spacing w:after="0" w:line="276" w:lineRule="auto"/>
        <w:contextualSpacing/>
        <w:jc w:val="both"/>
        <w:rPr>
          <w:rFonts w:ascii="Century Gothic" w:eastAsia="Calibri" w:hAnsi="Century Gothic" w:cs="Arial"/>
          <w:b/>
        </w:rPr>
      </w:pPr>
      <w:r w:rsidRPr="00317783">
        <w:rPr>
          <w:rFonts w:ascii="Century Gothic" w:eastAsia="Times New Roman" w:hAnsi="Century Gothic" w:cs="Arial"/>
          <w:b/>
          <w:szCs w:val="24"/>
          <w:lang w:eastAsia="es-ES_tradnl"/>
        </w:rPr>
        <w:t xml:space="preserve">2.1. </w:t>
      </w:r>
      <w:r w:rsidRPr="00317783">
        <w:rPr>
          <w:rFonts w:ascii="Century Gothic" w:eastAsia="Calibri" w:hAnsi="Century Gothic" w:cs="Arial"/>
          <w:b/>
        </w:rPr>
        <w:t>Definición y finalidad de la Ley de Garantías Electorales: alcance de las restricciones</w:t>
      </w:r>
    </w:p>
    <w:p w14:paraId="54E8FF50" w14:textId="77777777" w:rsidR="00DF5E7F" w:rsidRPr="00317783" w:rsidRDefault="00DF5E7F" w:rsidP="00DF5E7F">
      <w:pPr>
        <w:tabs>
          <w:tab w:val="left" w:pos="426"/>
        </w:tabs>
        <w:spacing w:after="0" w:line="276" w:lineRule="auto"/>
        <w:ind w:firstLine="709"/>
        <w:contextualSpacing/>
        <w:jc w:val="both"/>
        <w:rPr>
          <w:rFonts w:ascii="Century Gothic" w:eastAsia="Calibri" w:hAnsi="Century Gothic" w:cs="Arial"/>
        </w:rPr>
      </w:pPr>
    </w:p>
    <w:p w14:paraId="0997939B" w14:textId="77777777" w:rsidR="00DF5E7F" w:rsidRPr="00317783" w:rsidRDefault="00DF5E7F" w:rsidP="00DF5E7F">
      <w:pPr>
        <w:tabs>
          <w:tab w:val="left" w:pos="426"/>
        </w:tabs>
        <w:spacing w:after="120" w:line="276" w:lineRule="auto"/>
        <w:jc w:val="both"/>
        <w:rPr>
          <w:rFonts w:ascii="Century Gothic" w:eastAsia="Times New Roman" w:hAnsi="Century Gothic" w:cs="Arial"/>
          <w:lang w:eastAsia="es-CO"/>
        </w:rPr>
      </w:pPr>
      <w:r w:rsidRPr="00317783">
        <w:rPr>
          <w:rFonts w:ascii="Century Gothic" w:eastAsia="Calibri" w:hAnsi="Century Gothic" w:cs="Arial"/>
        </w:rPr>
        <w:t xml:space="preserve">El ordenamiento jurídico colombiano contempla previsiones claras para evitar la obtención de beneficios personales en asuntos propios de la administración </w:t>
      </w:r>
      <w:r w:rsidRPr="00317783">
        <w:rPr>
          <w:rFonts w:ascii="Century Gothic" w:eastAsia="Calibri" w:hAnsi="Century Gothic" w:cs="Arial"/>
        </w:rPr>
        <w:lastRenderedPageBreak/>
        <w:t>pública</w:t>
      </w:r>
      <w:r w:rsidRPr="00317783">
        <w:rPr>
          <w:rFonts w:ascii="Century Gothic" w:eastAsia="Calibri" w:hAnsi="Century Gothic" w:cs="Arial"/>
          <w:i/>
        </w:rPr>
        <w:t xml:space="preserve">. </w:t>
      </w:r>
      <w:r w:rsidRPr="00317783">
        <w:rPr>
          <w:rFonts w:ascii="Century Gothic" w:eastAsia="Calibri" w:hAnsi="Century Gothic" w:cs="Arial"/>
        </w:rPr>
        <w:t>Por ejemplo, el artículo 127 de la Constitución Política establece una prohibición contractual a los servidores públicos y en cuanto a aspectos políticos consagra restricciones a ciertos empleados del Estado, incluso en época no electoral</w:t>
      </w:r>
      <w:r w:rsidRPr="00317783">
        <w:rPr>
          <w:rFonts w:ascii="Century Gothic" w:eastAsia="Calibri" w:hAnsi="Century Gothic" w:cs="Arial"/>
          <w:vertAlign w:val="superscript"/>
        </w:rPr>
        <w:footnoteReference w:id="2"/>
      </w:r>
      <w:r w:rsidRPr="00317783">
        <w:rPr>
          <w:rFonts w:ascii="Century Gothic" w:eastAsia="Calibri" w:hAnsi="Century Gothic" w:cs="Arial"/>
        </w:rPr>
        <w:t xml:space="preserve">. </w:t>
      </w:r>
    </w:p>
    <w:p w14:paraId="1706583C" w14:textId="77777777" w:rsidR="00DF5E7F" w:rsidRPr="00317783" w:rsidRDefault="00DF5E7F" w:rsidP="00DF5E7F">
      <w:pPr>
        <w:tabs>
          <w:tab w:val="left" w:pos="426"/>
        </w:tabs>
        <w:spacing w:after="0" w:line="276" w:lineRule="auto"/>
        <w:ind w:firstLine="709"/>
        <w:jc w:val="both"/>
        <w:rPr>
          <w:rFonts w:ascii="Century Gothic" w:eastAsia="Times New Roman" w:hAnsi="Century Gothic" w:cs="Arial"/>
          <w:lang w:val="es-MX" w:eastAsia="es-CO"/>
        </w:rPr>
      </w:pPr>
      <w:r w:rsidRPr="00317783">
        <w:rPr>
          <w:rFonts w:ascii="Century Gothic" w:eastAsia="Times New Roman" w:hAnsi="Century Gothic" w:cs="Arial"/>
          <w:lang w:eastAsia="es-CO"/>
        </w:rPr>
        <w:t>En el mismo sentido</w:t>
      </w:r>
      <w:r w:rsidRPr="00317783">
        <w:rPr>
          <w:rFonts w:ascii="Century Gothic" w:eastAsia="Times New Roman" w:hAnsi="Century Gothic" w:cs="Arial"/>
          <w:lang w:val="es-MX" w:eastAsia="es-CO"/>
        </w:rPr>
        <w:t xml:space="preserve">, </w:t>
      </w:r>
      <w:bookmarkStart w:id="12" w:name="_Hlk99576829"/>
      <w:r w:rsidRPr="00317783">
        <w:rPr>
          <w:rFonts w:ascii="Century Gothic" w:eastAsia="Times New Roman" w:hAnsi="Century Gothic" w:cs="Arial"/>
          <w:lang w:val="es-MX" w:eastAsia="es-CO"/>
        </w:rPr>
        <w:t>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Pr="00317783">
        <w:rPr>
          <w:rFonts w:ascii="Century Gothic" w:eastAsia="Times New Roman" w:hAnsi="Century Gothic" w:cs="Arial"/>
          <w:vertAlign w:val="superscript"/>
          <w:lang w:val="es-MX" w:eastAsia="es-CO"/>
        </w:rPr>
        <w:footnoteReference w:id="3"/>
      </w:r>
      <w:r w:rsidRPr="00317783">
        <w:rPr>
          <w:rFonts w:ascii="Century Gothic" w:eastAsia="Times New Roman" w:hAnsi="Century Gothic" w:cs="Arial"/>
          <w:lang w:val="es-MX" w:eastAsia="es-CO"/>
        </w:rPr>
        <w:t>. En esta medida, introduce limitaciones para realizar nombramientos, postulaciones, contrataciones o cualquier otro tipo de actividad que implique destinación de recursos públicos bajo el devenir propio de las entidades estatales.</w:t>
      </w:r>
      <w:r w:rsidRPr="00317783">
        <w:rPr>
          <w:rFonts w:ascii="Century Gothic" w:eastAsia="Calibri" w:hAnsi="Century Gothic" w:cs="Arial"/>
          <w:lang w:val="es-ES_tradnl"/>
        </w:rPr>
        <w:t xml:space="preserve"> </w:t>
      </w:r>
      <w:bookmarkEnd w:id="12"/>
      <w:r w:rsidRPr="00317783">
        <w:rPr>
          <w:rFonts w:ascii="Century Gothic" w:eastAsia="Times New Roman" w:hAnsi="Century Gothic" w:cs="Arial"/>
          <w:lang w:val="es-MX" w:eastAsia="es-CO"/>
        </w:rPr>
        <w:t>En armonía con lo anterior, la Corte Constitucional ha abordado la definición de la Ley de Garantías Electorales. De esta manera, explica que tiene como propósito:</w:t>
      </w:r>
    </w:p>
    <w:p w14:paraId="6973AEBD" w14:textId="77777777" w:rsidR="00DF5E7F" w:rsidRPr="00317783" w:rsidRDefault="00DF5E7F" w:rsidP="00DF5E7F">
      <w:pPr>
        <w:spacing w:after="0" w:line="276" w:lineRule="auto"/>
        <w:ind w:right="709"/>
        <w:contextualSpacing/>
        <w:jc w:val="both"/>
        <w:rPr>
          <w:rFonts w:ascii="Century Gothic" w:eastAsia="Times New Roman" w:hAnsi="Century Gothic" w:cs="Arial"/>
          <w:sz w:val="21"/>
          <w:szCs w:val="21"/>
          <w:lang w:val="es-ES" w:eastAsia="es-CO"/>
        </w:rPr>
      </w:pPr>
    </w:p>
    <w:p w14:paraId="16038AAA" w14:textId="77777777" w:rsidR="00DF5E7F" w:rsidRPr="00317783" w:rsidRDefault="00DF5E7F" w:rsidP="00DF5E7F">
      <w:pPr>
        <w:spacing w:after="0" w:line="240" w:lineRule="auto"/>
        <w:ind w:left="709" w:right="709"/>
        <w:contextualSpacing/>
        <w:jc w:val="both"/>
        <w:rPr>
          <w:rFonts w:ascii="Century Gothic" w:eastAsia="Times New Roman" w:hAnsi="Century Gothic" w:cs="Arial"/>
          <w:sz w:val="20"/>
          <w:szCs w:val="20"/>
          <w:lang w:val="es-MX" w:eastAsia="es-CO"/>
        </w:rPr>
      </w:pPr>
      <w:r w:rsidRPr="00317783">
        <w:rPr>
          <w:rFonts w:ascii="Century Gothic" w:eastAsia="Times New Roman" w:hAnsi="Century Gothic" w:cs="Arial"/>
          <w:sz w:val="20"/>
          <w:szCs w:val="20"/>
          <w:lang w:val="es-ES" w:eastAsia="es-CO"/>
        </w:rPr>
        <w:t xml:space="preserve">“[…] </w:t>
      </w:r>
      <w:r w:rsidRPr="00317783">
        <w:rPr>
          <w:rFonts w:ascii="Century Gothic" w:eastAsia="Times New Roman" w:hAnsi="Century Gothic" w:cs="Arial"/>
          <w:sz w:val="20"/>
          <w:szCs w:val="20"/>
          <w:lang w:val="es-MX" w:eastAsia="es-CO"/>
        </w:rPr>
        <w:t>la definición de reglas claras que permitan acceder a los canales de expresión democrática de manera efectiva e igualitaria. El objetivo de una ley de garantías es definir esas reglas.</w:t>
      </w:r>
    </w:p>
    <w:p w14:paraId="20EB54DB" w14:textId="77777777" w:rsidR="00DF5E7F" w:rsidRPr="00317783" w:rsidRDefault="00DF5E7F" w:rsidP="00DF5E7F">
      <w:pPr>
        <w:spacing w:after="0" w:line="240" w:lineRule="auto"/>
        <w:ind w:left="709" w:right="709"/>
        <w:contextualSpacing/>
        <w:jc w:val="both"/>
        <w:rPr>
          <w:rFonts w:ascii="Century Gothic" w:eastAsia="Times New Roman" w:hAnsi="Century Gothic" w:cs="Arial"/>
          <w:sz w:val="20"/>
          <w:szCs w:val="20"/>
          <w:lang w:val="es-MX" w:eastAsia="es-CO"/>
        </w:rPr>
      </w:pPr>
      <w:r w:rsidRPr="00317783">
        <w:rPr>
          <w:rFonts w:ascii="Century Gothic" w:eastAsia="Times New Roman" w:hAnsi="Century Gothic" w:cs="Arial"/>
          <w:sz w:val="20"/>
          <w:szCs w:val="20"/>
          <w:lang w:val="es-MX" w:eastAsia="es-CO"/>
        </w:rPr>
        <w:t xml:space="preserve">[…] </w:t>
      </w:r>
    </w:p>
    <w:p w14:paraId="7F2318C4" w14:textId="77777777" w:rsidR="00DF5E7F" w:rsidRPr="00317783" w:rsidRDefault="00DF5E7F" w:rsidP="00DF5E7F">
      <w:pPr>
        <w:spacing w:after="0" w:line="240" w:lineRule="auto"/>
        <w:ind w:right="709"/>
        <w:contextualSpacing/>
        <w:jc w:val="both"/>
        <w:rPr>
          <w:rFonts w:ascii="Century Gothic" w:eastAsia="Times New Roman" w:hAnsi="Century Gothic" w:cs="Arial"/>
          <w:sz w:val="20"/>
          <w:szCs w:val="20"/>
          <w:lang w:val="es-MX" w:eastAsia="es-CO"/>
        </w:rPr>
      </w:pPr>
    </w:p>
    <w:p w14:paraId="007A14CA" w14:textId="77777777" w:rsidR="00DF5E7F" w:rsidRPr="00317783" w:rsidRDefault="00DF5E7F" w:rsidP="00DF5E7F">
      <w:pPr>
        <w:spacing w:after="0" w:line="240" w:lineRule="auto"/>
        <w:ind w:left="709" w:right="709"/>
        <w:contextualSpacing/>
        <w:jc w:val="both"/>
        <w:rPr>
          <w:rFonts w:ascii="Century Gothic" w:eastAsia="Times New Roman" w:hAnsi="Century Gothic" w:cs="Arial"/>
          <w:sz w:val="20"/>
          <w:szCs w:val="20"/>
          <w:lang w:val="es-MX" w:eastAsia="es-CO"/>
        </w:rPr>
      </w:pPr>
      <w:r w:rsidRPr="00317783">
        <w:rPr>
          <w:rFonts w:ascii="Century Gothic" w:eastAsia="Times New Roman" w:hAnsi="Century Gothic" w:cs="Arial"/>
          <w:sz w:val="20"/>
          <w:szCs w:val="20"/>
          <w:lang w:val="es-MX" w:eastAsia="es-CO"/>
        </w:rPr>
        <w:t xml:space="preserve">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w:t>
      </w:r>
      <w:r w:rsidRPr="00317783">
        <w:rPr>
          <w:rFonts w:ascii="Century Gothic" w:eastAsia="Times New Roman" w:hAnsi="Century Gothic" w:cs="Arial"/>
          <w:sz w:val="20"/>
          <w:szCs w:val="20"/>
          <w:lang w:val="es-MX" w:eastAsia="es-CO"/>
        </w:rPr>
        <w:lastRenderedPageBreak/>
        <w:t>propuestas las que definan el ascenso al poder, y no el músculo económico de los que se lo disputan”.</w:t>
      </w:r>
      <w:r w:rsidRPr="00317783">
        <w:rPr>
          <w:rFonts w:ascii="Century Gothic" w:eastAsia="Calibri" w:hAnsi="Century Gothic" w:cs="Arial"/>
          <w:sz w:val="20"/>
          <w:szCs w:val="20"/>
          <w:vertAlign w:val="superscript"/>
          <w:lang w:val="es-MX"/>
        </w:rPr>
        <w:footnoteReference w:id="4"/>
      </w:r>
    </w:p>
    <w:p w14:paraId="43F03B5C" w14:textId="77777777" w:rsidR="00DF5E7F" w:rsidRPr="00317783" w:rsidRDefault="00DF5E7F" w:rsidP="00DF5E7F">
      <w:pPr>
        <w:spacing w:after="0" w:line="276" w:lineRule="auto"/>
        <w:ind w:firstLine="709"/>
        <w:jc w:val="both"/>
        <w:rPr>
          <w:rFonts w:ascii="Century Gothic" w:eastAsia="Times New Roman" w:hAnsi="Century Gothic" w:cs="Arial"/>
          <w:lang w:val="es-MX" w:eastAsia="es-CO"/>
        </w:rPr>
      </w:pPr>
      <w:bookmarkStart w:id="13" w:name="_Hlk78818186"/>
      <w:r w:rsidRPr="00317783">
        <w:rPr>
          <w:rFonts w:ascii="Century Gothic" w:eastAsia="Times New Roman" w:hAnsi="Century Gothic" w:cs="Arial"/>
          <w:lang w:val="es-MX" w:eastAsia="es-CO"/>
        </w:rPr>
        <w:t xml:space="preserve">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 </w:t>
      </w:r>
      <w:bookmarkEnd w:id="13"/>
      <w:r w:rsidRPr="00317783">
        <w:rPr>
          <w:rFonts w:ascii="Century Gothic" w:eastAsia="Times New Roman" w:hAnsi="Century Gothic" w:cs="Arial"/>
          <w:lang w:val="es-MX" w:eastAsia="es-CO"/>
        </w:rPr>
        <w:t>Por ello, varias de las disposiciones de la Ley 996 de 2005, al contener normas prohibitivas, no admiten una interpretación amplia, sino que deben interpretarse restrictivamente. En efecto, la Sala de Consulta y Servicio Civil del Consejo de Estado, precisó lo siguiente:</w:t>
      </w:r>
    </w:p>
    <w:p w14:paraId="722204FF" w14:textId="77777777" w:rsidR="00DF5E7F" w:rsidRPr="00317783" w:rsidRDefault="00DF5E7F" w:rsidP="00DF5E7F">
      <w:pPr>
        <w:spacing w:after="0" w:line="276" w:lineRule="auto"/>
        <w:ind w:firstLine="709"/>
        <w:contextualSpacing/>
        <w:jc w:val="both"/>
        <w:rPr>
          <w:rFonts w:ascii="Century Gothic" w:eastAsia="Times New Roman" w:hAnsi="Century Gothic" w:cs="Arial"/>
          <w:lang w:val="es-MX" w:eastAsia="es-CO"/>
        </w:rPr>
      </w:pPr>
    </w:p>
    <w:p w14:paraId="1E269CE8" w14:textId="77777777" w:rsidR="00DF5E7F" w:rsidRPr="00317783" w:rsidRDefault="00DF5E7F" w:rsidP="00DF5E7F">
      <w:pPr>
        <w:spacing w:after="0" w:line="240" w:lineRule="auto"/>
        <w:ind w:left="709" w:right="709"/>
        <w:contextualSpacing/>
        <w:jc w:val="both"/>
        <w:rPr>
          <w:rFonts w:ascii="Century Gothic" w:eastAsia="Times New Roman" w:hAnsi="Century Gothic" w:cs="Arial"/>
          <w:sz w:val="20"/>
          <w:szCs w:val="20"/>
          <w:lang w:val="es-MX" w:eastAsia="es-CO"/>
        </w:rPr>
      </w:pPr>
      <w:r w:rsidRPr="00317783">
        <w:rPr>
          <w:rFonts w:ascii="Century Gothic" w:eastAsia="Times New Roman" w:hAnsi="Century Gothic" w:cs="Arial"/>
          <w:sz w:val="20"/>
          <w:szCs w:val="20"/>
          <w:lang w:val="es-MX" w:eastAsia="es-CO"/>
        </w:rPr>
        <w:t xml:space="preserve">“No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w:t>
      </w:r>
      <w:proofErr w:type="spellStart"/>
      <w:r w:rsidRPr="00317783">
        <w:rPr>
          <w:rFonts w:ascii="Century Gothic" w:eastAsia="Times New Roman" w:hAnsi="Century Gothic" w:cs="Arial"/>
          <w:sz w:val="20"/>
          <w:szCs w:val="20"/>
          <w:lang w:val="es-MX" w:eastAsia="es-CO"/>
        </w:rPr>
        <w:t>legis</w:t>
      </w:r>
      <w:proofErr w:type="spellEnd"/>
      <w:r w:rsidRPr="00317783">
        <w:rPr>
          <w:rFonts w:ascii="Century Gothic" w:eastAsia="Times New Roman" w:hAnsi="Century Gothic" w:cs="Arial"/>
          <w:sz w:val="20"/>
          <w:szCs w:val="20"/>
          <w:lang w:val="es-MX" w:eastAsia="es-CO"/>
        </w:rPr>
        <w:t xml:space="preserve">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4A5E23E8" w14:textId="77777777" w:rsidR="00DF5E7F" w:rsidRPr="00317783" w:rsidRDefault="00DF5E7F" w:rsidP="00DF5E7F">
      <w:pPr>
        <w:spacing w:after="0" w:line="240" w:lineRule="auto"/>
        <w:ind w:right="709"/>
        <w:contextualSpacing/>
        <w:jc w:val="both"/>
        <w:rPr>
          <w:rFonts w:ascii="Century Gothic" w:eastAsia="Times New Roman" w:hAnsi="Century Gothic" w:cs="Arial"/>
          <w:sz w:val="20"/>
          <w:szCs w:val="20"/>
          <w:lang w:val="es-MX" w:eastAsia="es-CO"/>
        </w:rPr>
      </w:pPr>
    </w:p>
    <w:p w14:paraId="18945AE4" w14:textId="77777777" w:rsidR="00DF5E7F" w:rsidRPr="00317783" w:rsidRDefault="00DF5E7F" w:rsidP="00DF5E7F">
      <w:pPr>
        <w:spacing w:after="0" w:line="240" w:lineRule="auto"/>
        <w:ind w:left="709" w:right="709"/>
        <w:contextualSpacing/>
        <w:jc w:val="both"/>
        <w:rPr>
          <w:rFonts w:ascii="Century Gothic" w:eastAsia="Times New Roman" w:hAnsi="Century Gothic" w:cs="Arial"/>
          <w:sz w:val="20"/>
          <w:szCs w:val="20"/>
          <w:lang w:val="es-MX" w:eastAsia="es-CO"/>
        </w:rPr>
      </w:pPr>
      <w:r w:rsidRPr="00317783">
        <w:rPr>
          <w:rFonts w:ascii="Century Gothic" w:eastAsia="Times New Roman" w:hAnsi="Century Gothic" w:cs="Arial"/>
          <w:sz w:val="20"/>
          <w:szCs w:val="20"/>
          <w:lang w:val="es-MX" w:eastAsia="es-CO"/>
        </w:rPr>
        <w:t>La jurisprudencia de la Corte Constitucional</w:t>
      </w:r>
      <w:r w:rsidRPr="00317783">
        <w:rPr>
          <w:rFonts w:ascii="Century Gothic" w:eastAsia="Times New Roman" w:hAnsi="Century Gothic" w:cs="Arial"/>
          <w:sz w:val="20"/>
          <w:szCs w:val="20"/>
          <w:vertAlign w:val="superscript"/>
          <w:lang w:val="es-MX" w:eastAsia="es-CO"/>
        </w:rPr>
        <w:footnoteReference w:id="5"/>
      </w:r>
      <w:r w:rsidRPr="00317783">
        <w:rPr>
          <w:rFonts w:ascii="Century Gothic" w:eastAsia="Times New Roman" w:hAnsi="Century Gothic" w:cs="Arial"/>
          <w:sz w:val="20"/>
          <w:szCs w:val="20"/>
          <w:lang w:val="es-MX" w:eastAsia="es-CO"/>
        </w:rPr>
        <w:t> y del Consejo de Estado</w:t>
      </w:r>
      <w:r w:rsidRPr="00317783">
        <w:rPr>
          <w:rFonts w:ascii="Century Gothic" w:eastAsia="Times New Roman" w:hAnsi="Century Gothic" w:cs="Arial"/>
          <w:sz w:val="20"/>
          <w:szCs w:val="20"/>
          <w:vertAlign w:val="superscript"/>
          <w:lang w:val="es-MX" w:eastAsia="es-CO"/>
        </w:rPr>
        <w:footnoteReference w:id="6"/>
      </w:r>
      <w:r w:rsidRPr="00317783">
        <w:rPr>
          <w:rFonts w:ascii="Century Gothic" w:eastAsia="Times New Roman" w:hAnsi="Century Gothic" w:cs="Arial"/>
          <w:sz w:val="20"/>
          <w:szCs w:val="20"/>
          <w:lang w:val="es-MX" w:eastAsia="es-CO"/>
        </w:rPr>
        <w:t>,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317783">
        <w:rPr>
          <w:rFonts w:ascii="Century Gothic" w:eastAsia="Times New Roman" w:hAnsi="Century Gothic" w:cs="Arial"/>
          <w:sz w:val="20"/>
          <w:szCs w:val="20"/>
          <w:vertAlign w:val="superscript"/>
          <w:lang w:val="es-MX" w:eastAsia="es-CO"/>
        </w:rPr>
        <w:footnoteReference w:id="7"/>
      </w:r>
      <w:r w:rsidRPr="00317783">
        <w:rPr>
          <w:rFonts w:ascii="Century Gothic" w:eastAsia="Times New Roman" w:hAnsi="Century Gothic" w:cs="Arial"/>
          <w:sz w:val="20"/>
          <w:szCs w:val="20"/>
          <w:lang w:val="es-MX" w:eastAsia="es-CO"/>
        </w:rPr>
        <w:t>.</w:t>
      </w:r>
    </w:p>
    <w:p w14:paraId="0E6FADFB" w14:textId="77777777" w:rsidR="00DF5E7F" w:rsidRPr="00317783" w:rsidRDefault="00DF5E7F" w:rsidP="00DF5E7F">
      <w:pPr>
        <w:spacing w:after="0" w:line="276" w:lineRule="auto"/>
        <w:ind w:right="709"/>
        <w:contextualSpacing/>
        <w:jc w:val="both"/>
        <w:rPr>
          <w:rFonts w:ascii="Century Gothic" w:eastAsia="Times New Roman" w:hAnsi="Century Gothic" w:cs="Arial"/>
          <w:sz w:val="21"/>
          <w:szCs w:val="21"/>
          <w:lang w:val="es-MX" w:eastAsia="es-CO"/>
        </w:rPr>
      </w:pPr>
    </w:p>
    <w:p w14:paraId="6D721ECB" w14:textId="77777777" w:rsidR="00DF5E7F" w:rsidRPr="00317783" w:rsidRDefault="00DF5E7F" w:rsidP="00DF5E7F">
      <w:pPr>
        <w:spacing w:after="120" w:line="276" w:lineRule="auto"/>
        <w:jc w:val="both"/>
        <w:rPr>
          <w:rFonts w:ascii="Century Gothic" w:eastAsia="Arial" w:hAnsi="Century Gothic" w:cs="Arial"/>
          <w:lang w:val="es-ES" w:eastAsia="es-ES" w:bidi="es-ES"/>
        </w:rPr>
      </w:pPr>
      <w:r w:rsidRPr="00317783">
        <w:rPr>
          <w:rFonts w:ascii="Century Gothic" w:eastAsia="Times New Roman" w:hAnsi="Century Gothic" w:cs="Arial"/>
          <w:lang w:val="es-MX" w:eastAsia="es-CO"/>
        </w:rPr>
        <w:tab/>
        <w:t>De</w:t>
      </w:r>
      <w:r w:rsidRPr="00317783">
        <w:rPr>
          <w:rFonts w:ascii="Century Gothic" w:eastAsia="Arial" w:hAnsi="Century Gothic" w:cs="Arial"/>
          <w:lang w:val="es-ES" w:eastAsia="es-ES" w:bidi="es-ES"/>
        </w:rPr>
        <w:t xml:space="preserve"> conformidad con lo anterior, </w:t>
      </w:r>
      <w:bookmarkStart w:id="14" w:name="_Hlk77236098"/>
      <w:bookmarkStart w:id="15" w:name="_Hlk100679383"/>
      <w:r w:rsidRPr="00317783">
        <w:rPr>
          <w:rFonts w:ascii="Century Gothic" w:eastAsia="Arial" w:hAnsi="Century Gothic" w:cs="Arial"/>
          <w:lang w:val="es-ES" w:eastAsia="es-ES" w:bidi="es-ES"/>
        </w:rPr>
        <w:t>la Ley de Garantías Electorales fijó una serie de regulaciones y prohibiciones dirigidas a los servidores públicos. Con la finalidad de preservar la igualdad entre los candidatos en las elecciones, aumentó las garantías en materia de contratación, de forma que no exista siquiera sospecha de que, por ese medio, en los periodos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territorial.</w:t>
      </w:r>
      <w:bookmarkEnd w:id="14"/>
    </w:p>
    <w:p w14:paraId="4E143CD1" w14:textId="77777777" w:rsidR="00DF5E7F" w:rsidRPr="00317783" w:rsidRDefault="00DF5E7F" w:rsidP="00DF5E7F">
      <w:pPr>
        <w:spacing w:after="120" w:line="276" w:lineRule="auto"/>
        <w:ind w:firstLine="708"/>
        <w:jc w:val="both"/>
        <w:rPr>
          <w:rFonts w:ascii="Century Gothic" w:eastAsia="Calibri" w:hAnsi="Century Gothic" w:cs="Arial"/>
        </w:rPr>
      </w:pPr>
      <w:r w:rsidRPr="00317783">
        <w:rPr>
          <w:rFonts w:ascii="Century Gothic" w:eastAsia="Calibri" w:hAnsi="Century Gothic" w:cs="Arial"/>
        </w:rPr>
        <w:t>Por un lado, el artículo 33 de la Ley 996 de 2005 prohíbe “[…] la contratación directa por parte de todos los entes del Estado” durante los cuatro (4) meses anteriores a las elecciones presidenciales, salvo “[…]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317783">
        <w:rPr>
          <w:rFonts w:ascii="Century Gothic" w:eastAsia="Calibri" w:hAnsi="Century Gothic" w:cs="Arial"/>
          <w:vertAlign w:val="superscript"/>
        </w:rPr>
        <w:footnoteReference w:id="8"/>
      </w:r>
      <w:r w:rsidRPr="00317783">
        <w:rPr>
          <w:rFonts w:ascii="Century Gothic" w:eastAsia="Calibri" w:hAnsi="Century Gothic" w:cs="Arial"/>
        </w:rPr>
        <w:t>.</w:t>
      </w:r>
    </w:p>
    <w:p w14:paraId="796E0D7E" w14:textId="77777777" w:rsidR="00DF5E7F" w:rsidRPr="00317783" w:rsidRDefault="00DF5E7F" w:rsidP="00DF5E7F">
      <w:pPr>
        <w:widowControl w:val="0"/>
        <w:autoSpaceDE w:val="0"/>
        <w:autoSpaceDN w:val="0"/>
        <w:spacing w:after="0" w:line="276" w:lineRule="auto"/>
        <w:ind w:right="113" w:firstLine="708"/>
        <w:contextualSpacing/>
        <w:jc w:val="both"/>
        <w:rPr>
          <w:rFonts w:ascii="Century Gothic" w:eastAsia="Arial" w:hAnsi="Century Gothic" w:cs="Arial"/>
          <w:lang w:val="es-ES" w:eastAsia="es-ES" w:bidi="es-ES"/>
        </w:rPr>
      </w:pPr>
      <w:r w:rsidRPr="00317783">
        <w:rPr>
          <w:rFonts w:ascii="Century Gothic" w:eastAsia="Calibri" w:hAnsi="Century Gothic" w:cs="Arial"/>
        </w:rPr>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 </w:t>
      </w:r>
      <w:r w:rsidRPr="00317783">
        <w:rPr>
          <w:rFonts w:ascii="Century Gothic" w:eastAsia="Calibri" w:hAnsi="Century Gothic" w:cs="Arial"/>
          <w:lang w:val="es-MX"/>
        </w:rPr>
        <w:t xml:space="preserve">celebrar convenios interadministrativos para la ejecución de recursos públicos, ni participar, promover y destinar recursos públicos de las entidades a su cargo, como tampoco de las que participen como </w:t>
      </w:r>
      <w:r w:rsidRPr="00317783">
        <w:rPr>
          <w:rFonts w:ascii="Century Gothic" w:eastAsia="Calibri" w:hAnsi="Century Gothic" w:cs="Arial"/>
          <w:lang w:val="es-MX"/>
        </w:rPr>
        <w:lastRenderedPageBreak/>
        <w:t>miembros de sus juntas directivas, en o para reuniones de carácter proselitista</w:t>
      </w:r>
      <w:r w:rsidRPr="00317783">
        <w:rPr>
          <w:rFonts w:ascii="Century Gothic" w:eastAsia="Calibri" w:hAnsi="Century Gothic" w:cs="Arial"/>
          <w:sz w:val="19"/>
          <w:szCs w:val="19"/>
        </w:rPr>
        <w:t>”</w:t>
      </w:r>
      <w:bookmarkEnd w:id="15"/>
      <w:r w:rsidRPr="00317783">
        <w:rPr>
          <w:rFonts w:ascii="Century Gothic" w:eastAsia="Calibri" w:hAnsi="Century Gothic" w:cs="Arial"/>
          <w:sz w:val="19"/>
          <w:szCs w:val="19"/>
          <w:vertAlign w:val="superscript"/>
        </w:rPr>
        <w:footnoteReference w:id="9"/>
      </w:r>
      <w:r w:rsidRPr="00317783">
        <w:rPr>
          <w:rFonts w:ascii="Century Gothic" w:eastAsia="Calibri" w:hAnsi="Century Gothic" w:cs="Arial"/>
          <w:lang w:val="es-MX"/>
        </w:rPr>
        <w:t>.</w:t>
      </w:r>
      <w:r w:rsidRPr="00317783">
        <w:rPr>
          <w:rFonts w:ascii="Century Gothic" w:eastAsia="Arial" w:hAnsi="Century Gothic" w:cs="Arial"/>
          <w:lang w:val="es-ES" w:eastAsia="es-ES" w:bidi="es-ES"/>
        </w:rPr>
        <w:t xml:space="preserve"> La Sala de Consulta y Servicio Civil del Consejo de Estado ha aclarado la distinción en la aplicación de las prohibiciones de la Ley 996 de 2005, dependiendo del tipo de elección que se trate. Al respecto, considera que:</w:t>
      </w:r>
    </w:p>
    <w:p w14:paraId="0E088660" w14:textId="77777777" w:rsidR="00DF5E7F" w:rsidRPr="00317783" w:rsidRDefault="00DF5E7F" w:rsidP="00317783">
      <w:pPr>
        <w:widowControl w:val="0"/>
        <w:autoSpaceDE w:val="0"/>
        <w:autoSpaceDN w:val="0"/>
        <w:spacing w:after="0" w:line="240" w:lineRule="auto"/>
        <w:ind w:left="805" w:right="812"/>
        <w:contextualSpacing/>
        <w:jc w:val="both"/>
        <w:rPr>
          <w:rFonts w:ascii="Century Gothic" w:eastAsia="Arial" w:hAnsi="Century Gothic" w:cs="Arial"/>
          <w:lang w:val="es-ES" w:eastAsia="es-ES" w:bidi="es-ES"/>
        </w:rPr>
      </w:pPr>
    </w:p>
    <w:p w14:paraId="7817BE0E" w14:textId="77777777" w:rsidR="00DF5E7F" w:rsidRPr="00317783" w:rsidRDefault="00DF5E7F" w:rsidP="00DF5E7F">
      <w:pPr>
        <w:widowControl w:val="0"/>
        <w:autoSpaceDE w:val="0"/>
        <w:autoSpaceDN w:val="0"/>
        <w:spacing w:after="0" w:line="240" w:lineRule="auto"/>
        <w:ind w:left="709" w:right="709"/>
        <w:contextualSpacing/>
        <w:jc w:val="both"/>
        <w:rPr>
          <w:rFonts w:ascii="Century Gothic" w:eastAsia="Arial" w:hAnsi="Century Gothic" w:cs="Arial"/>
          <w:sz w:val="20"/>
          <w:szCs w:val="20"/>
          <w:lang w:val="es-ES" w:eastAsia="es-ES" w:bidi="es-ES"/>
        </w:rPr>
      </w:pPr>
      <w:r w:rsidRPr="00317783">
        <w:rPr>
          <w:rFonts w:ascii="Century Gothic" w:eastAsia="Arial" w:hAnsi="Century Gothic" w:cs="Arial"/>
          <w:sz w:val="20"/>
          <w:szCs w:val="20"/>
          <w:lang w:val="es-ES" w:eastAsia="es-ES" w:bidi="es-ES"/>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w:t>
      </w:r>
      <w:bookmarkStart w:id="18" w:name="_Hlk76109421"/>
      <w:r w:rsidRPr="00317783">
        <w:rPr>
          <w:rFonts w:ascii="Century Gothic" w:eastAsia="Arial" w:hAnsi="Century Gothic" w:cs="Arial"/>
          <w:sz w:val="20"/>
          <w:szCs w:val="20"/>
          <w:lang w:val="es-ES" w:eastAsia="es-ES" w:bidi="es-ES"/>
        </w:rPr>
        <w:t>se integran parcialmente</w:t>
      </w:r>
      <w:bookmarkEnd w:id="18"/>
      <w:r w:rsidRPr="00317783">
        <w:rPr>
          <w:rFonts w:ascii="Century Gothic" w:eastAsia="Arial" w:hAnsi="Century Gothic" w:cs="Arial"/>
          <w:sz w:val="20"/>
          <w:szCs w:val="20"/>
          <w:lang w:val="es-ES" w:eastAsia="es-ES" w:bidi="es-ES"/>
        </w:rPr>
        <w:t xml:space="preserve">, lo que permite concluir que en periodo preelectoral para elección de Presidente de la República, a todos los entes del Estado, incluidos los territoriales, se aplican las restricciones de los artículos 32 y 33 con sus excepciones, así como las del parágrafo del artículo 38. En cambio, para elecciones en general, excluyendo las correspondientes a </w:t>
      </w:r>
      <w:proofErr w:type="gramStart"/>
      <w:r w:rsidRPr="00317783">
        <w:rPr>
          <w:rFonts w:ascii="Century Gothic" w:eastAsia="Arial" w:hAnsi="Century Gothic" w:cs="Arial"/>
          <w:sz w:val="20"/>
          <w:szCs w:val="20"/>
          <w:lang w:val="es-ES" w:eastAsia="es-ES" w:bidi="es-ES"/>
        </w:rPr>
        <w:t>Presidente</w:t>
      </w:r>
      <w:proofErr w:type="gramEnd"/>
      <w:r w:rsidRPr="00317783">
        <w:rPr>
          <w:rFonts w:ascii="Century Gothic" w:eastAsia="Arial" w:hAnsi="Century Gothic" w:cs="Arial"/>
          <w:sz w:val="20"/>
          <w:szCs w:val="20"/>
          <w:lang w:val="es-ES" w:eastAsia="es-ES" w:bidi="es-ES"/>
        </w:rPr>
        <w:t xml:space="preserve"> de la República, a las autoridades territoriales allí mencionadas sólo se aplican las restricciones contenidas en el parágrafo del artículo 38”.</w:t>
      </w:r>
      <w:r w:rsidRPr="00317783">
        <w:rPr>
          <w:rFonts w:ascii="Century Gothic" w:eastAsia="Arial" w:hAnsi="Century Gothic" w:cs="Arial"/>
          <w:sz w:val="20"/>
          <w:szCs w:val="20"/>
          <w:vertAlign w:val="superscript"/>
          <w:lang w:val="es-ES" w:eastAsia="es-ES" w:bidi="es-ES"/>
        </w:rPr>
        <w:footnoteReference w:id="10"/>
      </w:r>
    </w:p>
    <w:p w14:paraId="41E30D3B" w14:textId="77777777" w:rsidR="00DF5E7F" w:rsidRPr="00317783" w:rsidRDefault="00DF5E7F" w:rsidP="00DF5E7F">
      <w:pPr>
        <w:widowControl w:val="0"/>
        <w:autoSpaceDE w:val="0"/>
        <w:autoSpaceDN w:val="0"/>
        <w:spacing w:after="0" w:line="276" w:lineRule="auto"/>
        <w:contextualSpacing/>
        <w:rPr>
          <w:rFonts w:ascii="Century Gothic" w:eastAsia="Arial" w:hAnsi="Century Gothic" w:cs="Arial"/>
          <w:lang w:val="es-ES" w:eastAsia="es-ES" w:bidi="es-ES"/>
        </w:rPr>
      </w:pPr>
    </w:p>
    <w:p w14:paraId="3E7F6ADF" w14:textId="77777777" w:rsidR="00DF5E7F" w:rsidRPr="00317783" w:rsidRDefault="00DF5E7F" w:rsidP="00DF5E7F">
      <w:pPr>
        <w:spacing w:after="120" w:line="276" w:lineRule="auto"/>
        <w:ind w:firstLine="709"/>
        <w:jc w:val="both"/>
        <w:rPr>
          <w:rFonts w:ascii="Century Gothic" w:eastAsia="Arial" w:hAnsi="Century Gothic" w:cs="Arial"/>
          <w:lang w:val="es-ES" w:eastAsia="es-ES" w:bidi="es-ES"/>
        </w:rPr>
      </w:pPr>
      <w:r w:rsidRPr="00317783">
        <w:rPr>
          <w:rFonts w:ascii="Century Gothic" w:eastAsia="Arial" w:hAnsi="Century Gothic" w:cs="Arial"/>
          <w:lang w:val="es-ES" w:eastAsia="es-ES" w:bidi="es-ES"/>
        </w:rPr>
        <w:t xml:space="preserve">De conformidad con lo anterior, </w:t>
      </w:r>
      <w:bookmarkStart w:id="19" w:name="_Hlk77236420"/>
      <w:bookmarkStart w:id="20" w:name="_Hlk78818435"/>
      <w:bookmarkStart w:id="21" w:name="_Hlk75780333"/>
      <w:r w:rsidRPr="00317783">
        <w:rPr>
          <w:rFonts w:ascii="Century Gothic" w:eastAsia="Arial" w:hAnsi="Century Gothic" w:cs="Arial"/>
          <w:lang w:val="es-ES" w:eastAsia="es-ES" w:bidi="es-ES"/>
        </w:rPr>
        <w:t xml:space="preserve">la Ley 996 de 2005 establece dos (2) tipos de restricciones en materia de contratación, las cuales coinciden parcialmente. </w:t>
      </w:r>
      <w:r w:rsidRPr="00317783">
        <w:rPr>
          <w:rFonts w:ascii="Century Gothic" w:eastAsia="Arial" w:hAnsi="Century Gothic" w:cs="Arial"/>
          <w:i/>
          <w:lang w:val="es-ES" w:eastAsia="es-ES" w:bidi="es-ES"/>
        </w:rPr>
        <w:t>En primer lugar</w:t>
      </w:r>
      <w:r w:rsidRPr="00317783">
        <w:rPr>
          <w:rFonts w:ascii="Century Gothic" w:eastAsia="Arial" w:hAnsi="Century Gothic" w:cs="Arial"/>
          <w:lang w:val="es-ES"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w:t>
      </w:r>
      <w:r w:rsidRPr="00317783">
        <w:rPr>
          <w:rFonts w:ascii="Century Gothic" w:eastAsia="Arial" w:hAnsi="Century Gothic" w:cs="Arial"/>
          <w:lang w:val="es-ES" w:eastAsia="es-ES" w:bidi="es-ES"/>
        </w:rPr>
        <w:lastRenderedPageBreak/>
        <w:t xml:space="preserve">de conformidad con el artículo 190 de la Constitución Política. Para estos efectos, la restricción se extenderá hasta la fecha en la que se realice la segunda vuelta. </w:t>
      </w:r>
      <w:r w:rsidRPr="00317783">
        <w:rPr>
          <w:rFonts w:ascii="Century Gothic" w:eastAsia="Arial" w:hAnsi="Century Gothic" w:cs="Arial"/>
          <w:i/>
          <w:lang w:val="es-ES" w:eastAsia="es-ES" w:bidi="es-ES"/>
        </w:rPr>
        <w:t>En segundo lugar</w:t>
      </w:r>
      <w:r w:rsidRPr="00317783">
        <w:rPr>
          <w:rFonts w:ascii="Century Gothic" w:eastAsia="Arial" w:hAnsi="Century Gothic" w:cs="Arial"/>
          <w:lang w:val="es-ES"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bookmarkEnd w:id="19"/>
    </w:p>
    <w:bookmarkEnd w:id="20"/>
    <w:p w14:paraId="3933D011" w14:textId="77777777" w:rsidR="00DF5E7F" w:rsidRPr="00317783" w:rsidRDefault="00DF5E7F" w:rsidP="00DF5E7F">
      <w:pPr>
        <w:spacing w:after="120" w:line="276" w:lineRule="auto"/>
        <w:ind w:firstLine="709"/>
        <w:jc w:val="both"/>
        <w:rPr>
          <w:rFonts w:ascii="Century Gothic" w:eastAsia="Arial" w:hAnsi="Century Gothic" w:cs="Arial"/>
          <w:lang w:val="es-ES" w:eastAsia="es-ES" w:bidi="es-ES"/>
        </w:rPr>
      </w:pPr>
      <w:r w:rsidRPr="00317783">
        <w:rPr>
          <w:rFonts w:ascii="Century Gothic" w:eastAsia="Arial" w:hAnsi="Century Gothic" w:cs="Arial"/>
          <w:lang w:val="es-ES" w:eastAsia="es-ES" w:bidi="es-ES"/>
        </w:rPr>
        <w:t xml:space="preserve">Ambas restricciones no son excluyentes, lo que permite concluir que en el período preelectoral para elección de </w:t>
      </w:r>
      <w:proofErr w:type="gramStart"/>
      <w:r w:rsidRPr="00317783">
        <w:rPr>
          <w:rFonts w:ascii="Century Gothic" w:eastAsia="Arial" w:hAnsi="Century Gothic" w:cs="Arial"/>
          <w:lang w:val="es-ES" w:eastAsia="es-ES" w:bidi="es-ES"/>
        </w:rPr>
        <w:t>Presidente</w:t>
      </w:r>
      <w:proofErr w:type="gramEnd"/>
      <w:r w:rsidRPr="00317783">
        <w:rPr>
          <w:rFonts w:ascii="Century Gothic" w:eastAsia="Arial" w:hAnsi="Century Gothic" w:cs="Arial"/>
          <w:lang w:val="es-ES" w:eastAsia="es-ES" w:bidi="es-ES"/>
        </w:rPr>
        <w:t xml:space="preserve"> de la República, a todos los entes del Estado, incluidos los territoriales, aplican las restricciones del artículo 33 con sus excepciones, así como las del parágrafo del artículo 38. En cambio, tratándose de elecciones en general, excluyendo las correspondientes al </w:t>
      </w:r>
      <w:proofErr w:type="gramStart"/>
      <w:r w:rsidRPr="00317783">
        <w:rPr>
          <w:rFonts w:ascii="Century Gothic" w:eastAsia="Arial" w:hAnsi="Century Gothic" w:cs="Arial"/>
          <w:lang w:val="es-ES" w:eastAsia="es-ES" w:bidi="es-ES"/>
        </w:rPr>
        <w:t>Presidente</w:t>
      </w:r>
      <w:proofErr w:type="gramEnd"/>
      <w:r w:rsidRPr="00317783">
        <w:rPr>
          <w:rFonts w:ascii="Century Gothic" w:eastAsia="Arial" w:hAnsi="Century Gothic" w:cs="Arial"/>
          <w:lang w:val="es-ES" w:eastAsia="es-ES" w:bidi="es-ES"/>
        </w:rPr>
        <w:t xml:space="preserve"> de la República, las autoridades allí mencionadas sólo deben aplicar las restricciones contenidas en el parágrafo del artículo 38.</w:t>
      </w:r>
    </w:p>
    <w:bookmarkEnd w:id="21"/>
    <w:p w14:paraId="13C1FAF7" w14:textId="77777777" w:rsidR="00DF5E7F" w:rsidRPr="00317783" w:rsidRDefault="00DF5E7F" w:rsidP="00DF5E7F">
      <w:pPr>
        <w:spacing w:after="0" w:line="276" w:lineRule="auto"/>
        <w:ind w:firstLine="708"/>
        <w:jc w:val="both"/>
        <w:rPr>
          <w:rFonts w:ascii="Century Gothic" w:eastAsia="Arial" w:hAnsi="Century Gothic" w:cs="Arial"/>
          <w:lang w:val="es-ES" w:eastAsia="es-ES" w:bidi="es-ES"/>
        </w:rPr>
      </w:pPr>
      <w:r w:rsidRPr="00317783">
        <w:rPr>
          <w:rFonts w:ascii="Century Gothic" w:eastAsia="Arial" w:hAnsi="Century Gothic" w:cs="Arial"/>
          <w:lang w:val="es-ES" w:eastAsia="es-ES" w:bidi="es-ES"/>
        </w:rPr>
        <w:t xml:space="preserve">La Corte Constitucional, en la Sentencia C-1153 del 11 de noviembre de 2005, señaló que, para que la garantía sea plena, era necesario que la prohibición se aplicara para el </w:t>
      </w:r>
      <w:proofErr w:type="gramStart"/>
      <w:r w:rsidRPr="00317783">
        <w:rPr>
          <w:rFonts w:ascii="Century Gothic" w:eastAsia="Arial" w:hAnsi="Century Gothic" w:cs="Arial"/>
          <w:lang w:val="es-ES" w:eastAsia="es-ES" w:bidi="es-ES"/>
        </w:rPr>
        <w:t>Presidente</w:t>
      </w:r>
      <w:proofErr w:type="gramEnd"/>
      <w:r w:rsidRPr="00317783">
        <w:rPr>
          <w:rFonts w:ascii="Century Gothic" w:eastAsia="Arial" w:hAnsi="Century Gothic" w:cs="Arial"/>
          <w:lang w:val="es-ES" w:eastAsia="es-ES" w:bidi="es-ES"/>
        </w:rPr>
        <w:t xml:space="preserve"> o el Vicepresidente desde que éstos –estando en ejercicio de su cargo–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 conforme al artículo 197 de la Constitución Política.  </w:t>
      </w:r>
    </w:p>
    <w:p w14:paraId="13C58098" w14:textId="77777777" w:rsidR="00DF5E7F" w:rsidRPr="00317783" w:rsidRDefault="00DF5E7F" w:rsidP="00DF5E7F">
      <w:pPr>
        <w:spacing w:after="0" w:line="276" w:lineRule="auto"/>
        <w:jc w:val="both"/>
        <w:rPr>
          <w:rFonts w:ascii="Century Gothic" w:eastAsia="Calibri" w:hAnsi="Century Gothic" w:cs="Arial"/>
          <w:lang w:val="es-MX"/>
        </w:rPr>
      </w:pPr>
    </w:p>
    <w:p w14:paraId="1AE2F6CD" w14:textId="77777777" w:rsidR="00DF5E7F" w:rsidRPr="00317783" w:rsidRDefault="00DF5E7F" w:rsidP="00DF5E7F">
      <w:pPr>
        <w:spacing w:after="0" w:line="276" w:lineRule="auto"/>
        <w:jc w:val="both"/>
        <w:rPr>
          <w:rFonts w:ascii="Century Gothic" w:eastAsia="Calibri" w:hAnsi="Century Gothic" w:cs="Arial"/>
          <w:b/>
          <w:lang w:val="es-MX"/>
        </w:rPr>
      </w:pPr>
      <w:bookmarkStart w:id="22" w:name="_Hlk75784645"/>
      <w:r w:rsidRPr="00317783">
        <w:rPr>
          <w:rFonts w:ascii="Century Gothic" w:eastAsia="Calibri" w:hAnsi="Century Gothic" w:cs="Arial"/>
          <w:b/>
          <w:lang w:val="es-MX"/>
        </w:rPr>
        <w:t xml:space="preserve">2.2. </w:t>
      </w:r>
      <w:bookmarkStart w:id="23" w:name="_Hlk77153296"/>
      <w:r w:rsidRPr="00317783">
        <w:rPr>
          <w:rFonts w:ascii="Century Gothic" w:eastAsia="Times New Roman" w:hAnsi="Century Gothic" w:cs="Arial"/>
          <w:b/>
          <w:lang w:val="es-MX" w:eastAsia="es-CO"/>
        </w:rPr>
        <w:t xml:space="preserve">Restricciones </w:t>
      </w:r>
      <w:bookmarkStart w:id="24" w:name="_Hlk75643279"/>
      <w:r w:rsidRPr="00317783">
        <w:rPr>
          <w:rFonts w:ascii="Century Gothic" w:eastAsia="Times New Roman" w:hAnsi="Century Gothic" w:cs="Arial"/>
          <w:b/>
          <w:lang w:val="es-MX" w:eastAsia="es-CO"/>
        </w:rPr>
        <w:t xml:space="preserve">para la celebración de contratos y convenios interadministrativos en los comicios para cargos de elección popular </w:t>
      </w:r>
    </w:p>
    <w:p w14:paraId="1022D710" w14:textId="77777777" w:rsidR="00DF5E7F" w:rsidRPr="00317783" w:rsidRDefault="00DF5E7F" w:rsidP="00DF5E7F">
      <w:pPr>
        <w:tabs>
          <w:tab w:val="left" w:pos="426"/>
        </w:tabs>
        <w:spacing w:after="0" w:line="276" w:lineRule="auto"/>
        <w:jc w:val="both"/>
        <w:rPr>
          <w:rFonts w:ascii="Century Gothic" w:eastAsia="Calibri" w:hAnsi="Century Gothic" w:cs="Arial"/>
        </w:rPr>
      </w:pPr>
      <w:bookmarkStart w:id="25" w:name="_Hlk88210558"/>
      <w:bookmarkEnd w:id="23"/>
      <w:bookmarkEnd w:id="24"/>
    </w:p>
    <w:p w14:paraId="23A14A52" w14:textId="77777777" w:rsidR="00DF5E7F" w:rsidRPr="00317783" w:rsidRDefault="00DF5E7F" w:rsidP="00DF5E7F">
      <w:pPr>
        <w:tabs>
          <w:tab w:val="left" w:pos="426"/>
        </w:tabs>
        <w:spacing w:after="120" w:line="276" w:lineRule="auto"/>
        <w:jc w:val="both"/>
        <w:rPr>
          <w:rFonts w:ascii="Century Gothic" w:eastAsia="Calibri" w:hAnsi="Century Gothic" w:cs="Arial"/>
        </w:rPr>
      </w:pPr>
      <w:r w:rsidRPr="00317783">
        <w:rPr>
          <w:rFonts w:ascii="Century Gothic" w:eastAsia="Calibri" w:hAnsi="Century Gothic" w:cs="Arial"/>
        </w:rPr>
        <w:t xml:space="preserve">El parágrafo del artículo 38 de la Ley 996 de 2005 dispone que “[l]os Gobernadores, </w:t>
      </w:r>
      <w:proofErr w:type="gramStart"/>
      <w:r w:rsidRPr="00317783">
        <w:rPr>
          <w:rFonts w:ascii="Century Gothic" w:eastAsia="Calibri" w:hAnsi="Century Gothic" w:cs="Arial"/>
        </w:rPr>
        <w:t>Alcaldes</w:t>
      </w:r>
      <w:proofErr w:type="gramEnd"/>
      <w:r w:rsidRPr="00317783">
        <w:rPr>
          <w:rFonts w:ascii="Century Gothic" w:eastAsia="Calibri" w:hAnsi="Century Gothic" w:cs="Arial"/>
        </w:rPr>
        <w:t xml:space="preserve">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w:t>
      </w:r>
      <w:r w:rsidRPr="00317783">
        <w:rPr>
          <w:rFonts w:ascii="Century Gothic" w:eastAsia="Times New Roman" w:hAnsi="Century Gothic" w:cs="Arial"/>
          <w:lang w:val="es-MX" w:eastAsia="x-none"/>
        </w:rPr>
        <w:t xml:space="preserve"> </w:t>
      </w:r>
      <w:bookmarkStart w:id="26" w:name="_Hlk99578153"/>
      <w:bookmarkEnd w:id="25"/>
      <w:r w:rsidRPr="00317783">
        <w:rPr>
          <w:rFonts w:ascii="Century Gothic" w:eastAsia="Times New Roman" w:hAnsi="Century Gothic" w:cs="Arial"/>
          <w:lang w:val="es-MX" w:eastAsia="x-none"/>
        </w:rPr>
        <w:t xml:space="preserve">Los convenios o </w:t>
      </w:r>
      <w:r w:rsidRPr="00317783">
        <w:rPr>
          <w:rFonts w:ascii="Century Gothic" w:eastAsia="Times New Roman" w:hAnsi="Century Gothic" w:cs="Arial"/>
          <w:lang w:val="es-MX" w:eastAsia="x-none"/>
        </w:rPr>
        <w:lastRenderedPageBreak/>
        <w:t>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bookmarkEnd w:id="26"/>
      <w:r w:rsidRPr="00317783">
        <w:rPr>
          <w:rFonts w:ascii="Century Gothic" w:eastAsia="Times New Roman" w:hAnsi="Century Gothic" w:cs="Arial"/>
          <w:vertAlign w:val="superscript"/>
          <w:lang w:val="es-MX" w:eastAsia="x-none"/>
        </w:rPr>
        <w:footnoteReference w:id="11"/>
      </w:r>
      <w:r w:rsidRPr="00317783">
        <w:rPr>
          <w:rFonts w:ascii="Century Gothic" w:eastAsia="Times New Roman" w:hAnsi="Century Gothic" w:cs="Arial"/>
          <w:lang w:val="es-MX" w:eastAsia="x-none"/>
        </w:rPr>
        <w:t>.</w:t>
      </w:r>
      <w:r w:rsidRPr="00317783">
        <w:rPr>
          <w:rFonts w:ascii="Century Gothic" w:eastAsia="Calibri" w:hAnsi="Century Gothic" w:cs="Arial"/>
          <w:sz w:val="24"/>
          <w:lang w:val="es-MX"/>
        </w:rPr>
        <w:t xml:space="preserve"> </w:t>
      </w:r>
    </w:p>
    <w:p w14:paraId="7DACE688" w14:textId="77777777" w:rsidR="00DF5E7F" w:rsidRPr="00317783" w:rsidRDefault="00DF5E7F" w:rsidP="00DF5E7F">
      <w:pPr>
        <w:widowControl w:val="0"/>
        <w:autoSpaceDE w:val="0"/>
        <w:autoSpaceDN w:val="0"/>
        <w:spacing w:after="120" w:line="276" w:lineRule="auto"/>
        <w:ind w:firstLine="707"/>
        <w:jc w:val="both"/>
        <w:rPr>
          <w:rFonts w:ascii="Century Gothic" w:eastAsia="Arial" w:hAnsi="Century Gothic" w:cs="Arial"/>
          <w:lang w:val="es-ES" w:eastAsia="es-ES" w:bidi="es-ES"/>
        </w:rPr>
      </w:pPr>
      <w:r w:rsidRPr="00317783">
        <w:rPr>
          <w:rFonts w:ascii="Century Gothic" w:eastAsia="Calibri" w:hAnsi="Century Gothic" w:cs="Arial"/>
          <w:lang w:eastAsia="es-ES" w:bidi="es-ES"/>
        </w:rPr>
        <w:t xml:space="preserve">Ahora bien, </w:t>
      </w:r>
      <w:bookmarkStart w:id="27" w:name="_Hlk78820161"/>
      <w:r w:rsidRPr="00317783">
        <w:rPr>
          <w:rFonts w:ascii="Century Gothic" w:eastAsia="Calibri" w:hAnsi="Century Gothic" w:cs="Arial"/>
          <w:lang w:eastAsia="es-ES" w:bidi="es-ES"/>
        </w:rPr>
        <w:t xml:space="preserve">para determinar el alcance de la prohibición consagrada por la Ley de Garantías Electorales, conviene precisar la tipología de convenios o contratos interadministrativos. </w:t>
      </w:r>
      <w:r w:rsidRPr="00317783">
        <w:rPr>
          <w:rFonts w:ascii="Century Gothic" w:eastAsia="Arial" w:hAnsi="Century Gothic" w:cs="Arial"/>
          <w:lang w:val="es-ES" w:eastAsia="es-ES" w:bidi="es-ES"/>
        </w:rPr>
        <w:t>Aunque la ley no la definió ni desarrolló, el Decreto 1082 de 2015 califica a los convenios o contratos interadministrativos como aquella contratación entre entidades estatales</w:t>
      </w:r>
      <w:r w:rsidRPr="00317783">
        <w:rPr>
          <w:rFonts w:ascii="Century Gothic" w:eastAsia="Arial" w:hAnsi="Century Gothic" w:cs="Arial"/>
          <w:vertAlign w:val="superscript"/>
          <w:lang w:val="es-ES" w:eastAsia="es-ES" w:bidi="es-ES"/>
        </w:rPr>
        <w:footnoteReference w:id="12"/>
      </w:r>
      <w:r w:rsidRPr="00317783">
        <w:rPr>
          <w:rFonts w:ascii="Century Gothic" w:eastAsia="Arial" w:hAnsi="Century Gothic" w:cs="Arial"/>
          <w:lang w:val="es-ES" w:eastAsia="es-ES" w:bidi="es-ES"/>
        </w:rPr>
        <w:t>.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w:t>
      </w:r>
      <w:r w:rsidRPr="00317783">
        <w:rPr>
          <w:rFonts w:ascii="Century Gothic" w:eastAsia="Arial" w:hAnsi="Century Gothic" w:cs="Arial"/>
          <w:spacing w:val="-6"/>
          <w:lang w:val="es-ES" w:eastAsia="es-ES" w:bidi="es-ES"/>
        </w:rPr>
        <w:t xml:space="preserve"> </w:t>
      </w:r>
      <w:r w:rsidRPr="00317783">
        <w:rPr>
          <w:rFonts w:ascii="Century Gothic" w:eastAsia="Arial" w:hAnsi="Century Gothic" w:cs="Arial"/>
          <w:lang w:val="es-ES" w:eastAsia="es-ES" w:bidi="es-ES"/>
        </w:rPr>
        <w:t>estatales.</w:t>
      </w:r>
    </w:p>
    <w:p w14:paraId="6D14D8D4" w14:textId="77777777" w:rsidR="00DF5E7F" w:rsidRPr="00317783" w:rsidRDefault="00DF5E7F" w:rsidP="00DF5E7F">
      <w:pPr>
        <w:widowControl w:val="0"/>
        <w:autoSpaceDE w:val="0"/>
        <w:autoSpaceDN w:val="0"/>
        <w:spacing w:before="117" w:after="120" w:line="276" w:lineRule="auto"/>
        <w:ind w:firstLine="707"/>
        <w:jc w:val="both"/>
        <w:rPr>
          <w:rFonts w:ascii="Century Gothic" w:eastAsia="Calibri" w:hAnsi="Century Gothic" w:cs="Arial"/>
          <w:lang w:val="es-ES"/>
        </w:rPr>
      </w:pPr>
      <w:bookmarkStart w:id="28" w:name="_Hlk78820654"/>
      <w:bookmarkEnd w:id="27"/>
      <w:r w:rsidRPr="00317783">
        <w:rPr>
          <w:rFonts w:ascii="Century Gothic" w:eastAsia="Arial" w:hAnsi="Century Gothic" w:cs="Arial"/>
          <w:lang w:val="es-ES" w:eastAsia="es-ES" w:bidi="es-ES"/>
        </w:rPr>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 De esta manera, sin perjuicio de lo dispuesto en el artículo 56 de la Ley 2195 de 2022, el literal c) del artículo 2.4 de la Ley 1150 de 2007 dispone que “</w:t>
      </w:r>
      <w:r w:rsidRPr="00317783">
        <w:rPr>
          <w:rFonts w:ascii="Century Gothic" w:eastAsia="Arial" w:hAnsi="Century Gothic" w:cs="Arial"/>
          <w:lang w:eastAsia="es-ES" w:bidi="es-ES"/>
        </w:rPr>
        <w:t xml:space="preserve">En aquellos eventos en que el régimen aplicable a la contratación de la entidad ejecutora no sea el de la Ley 80 de 1993, la ejecución de dichos contratos estará en todo caso sometida a esta ley, salvo que la entidad ejecutora desarrolle su actividad en competencia con el sector privado o cuando la ejecución del contrato interadministrativo tenga relación directa con el desarrollo de su </w:t>
      </w:r>
      <w:r w:rsidRPr="00317783">
        <w:rPr>
          <w:rFonts w:ascii="Century Gothic" w:eastAsia="Arial" w:hAnsi="Century Gothic" w:cs="Arial"/>
          <w:lang w:eastAsia="es-ES" w:bidi="es-ES"/>
        </w:rPr>
        <w:lastRenderedPageBreak/>
        <w:t>actividad”.</w:t>
      </w:r>
    </w:p>
    <w:p w14:paraId="53CF2CBC" w14:textId="77777777" w:rsidR="00DF5E7F" w:rsidRPr="00317783" w:rsidRDefault="00DF5E7F" w:rsidP="00DF5E7F">
      <w:pPr>
        <w:widowControl w:val="0"/>
        <w:autoSpaceDE w:val="0"/>
        <w:autoSpaceDN w:val="0"/>
        <w:spacing w:before="121" w:after="120" w:line="276" w:lineRule="auto"/>
        <w:ind w:firstLine="707"/>
        <w:jc w:val="both"/>
        <w:rPr>
          <w:rFonts w:ascii="Century Gothic" w:eastAsia="Arial" w:hAnsi="Century Gothic" w:cs="Arial"/>
          <w:lang w:val="es-ES" w:eastAsia="es-ES" w:bidi="es-ES"/>
        </w:rPr>
      </w:pPr>
      <w:bookmarkStart w:id="29" w:name="_Hlk99578261"/>
      <w:bookmarkEnd w:id="28"/>
      <w:r w:rsidRPr="00317783">
        <w:rPr>
          <w:rFonts w:ascii="Century Gothic" w:eastAsia="Arial" w:hAnsi="Century Gothic" w:cs="Arial"/>
          <w:lang w:val="es-ES" w:eastAsia="es-ES" w:bidi="es-ES"/>
        </w:rPr>
        <w:t>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w:t>
      </w:r>
      <w:r w:rsidRPr="00317783">
        <w:rPr>
          <w:rFonts w:ascii="Century Gothic" w:eastAsia="Arial" w:hAnsi="Century Gothic" w:cs="Arial"/>
          <w:vertAlign w:val="superscript"/>
          <w:lang w:val="es-ES" w:eastAsia="es-ES" w:bidi="es-ES"/>
        </w:rPr>
        <w:footnoteReference w:id="13"/>
      </w:r>
      <w:r w:rsidRPr="00317783">
        <w:rPr>
          <w:rFonts w:ascii="Century Gothic" w:eastAsia="Arial" w:hAnsi="Century Gothic" w:cs="Arial"/>
          <w:lang w:val="es-ES" w:eastAsia="es-ES" w:bidi="es-ES"/>
        </w:rPr>
        <w:t>. Nótese que, en este caso, lo que cambia es la modalidad de selección y no la naturaleza de contrato</w:t>
      </w:r>
      <w:r w:rsidRPr="00317783">
        <w:rPr>
          <w:rFonts w:ascii="Century Gothic" w:eastAsia="Arial" w:hAnsi="Century Gothic" w:cs="Arial"/>
          <w:spacing w:val="-18"/>
          <w:lang w:val="es-ES" w:eastAsia="es-ES" w:bidi="es-ES"/>
        </w:rPr>
        <w:t xml:space="preserve"> </w:t>
      </w:r>
      <w:r w:rsidRPr="00317783">
        <w:rPr>
          <w:rFonts w:ascii="Century Gothic" w:eastAsia="Arial" w:hAnsi="Century Gothic" w:cs="Arial"/>
          <w:lang w:val="es-ES" w:eastAsia="es-ES" w:bidi="es-ES"/>
        </w:rPr>
        <w:t>interadministrativo.</w:t>
      </w:r>
    </w:p>
    <w:bookmarkEnd w:id="29"/>
    <w:p w14:paraId="4DF3FB8B" w14:textId="77777777" w:rsidR="00DF5E7F" w:rsidRPr="00317783" w:rsidRDefault="00DF5E7F" w:rsidP="00DF5E7F">
      <w:pPr>
        <w:widowControl w:val="0"/>
        <w:autoSpaceDE w:val="0"/>
        <w:autoSpaceDN w:val="0"/>
        <w:spacing w:before="114" w:after="0" w:line="276" w:lineRule="auto"/>
        <w:ind w:firstLine="707"/>
        <w:jc w:val="both"/>
        <w:rPr>
          <w:rFonts w:ascii="Century Gothic" w:eastAsia="Arial" w:hAnsi="Century Gothic" w:cs="Arial"/>
          <w:lang w:val="es-ES" w:eastAsia="es-ES" w:bidi="es-ES"/>
        </w:rPr>
      </w:pPr>
      <w:r w:rsidRPr="00317783">
        <w:rPr>
          <w:rFonts w:ascii="Century Gothic" w:eastAsia="Arial" w:hAnsi="Century Gothic" w:cs="Arial"/>
          <w:lang w:val="es-ES" w:eastAsia="es-ES" w:bidi="es-ES"/>
        </w:rPr>
        <w:t>La Corte Constitucional expresó en la Sentencia C–671 de 2015 que “Lo que hace interadministrativo a un contrato o convenio no es el procedimiento de selección aplicable, sino la calidad de los sujetos contratantes, esto es que las dos partes de la relación jurídica contractual formen parte de la administración pública”. Así las cosas,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w:t>
      </w:r>
      <w:r w:rsidRPr="00317783">
        <w:rPr>
          <w:rFonts w:ascii="Century Gothic" w:eastAsia="Arial" w:hAnsi="Century Gothic" w:cs="Arial"/>
          <w:spacing w:val="-13"/>
          <w:lang w:val="es-ES" w:eastAsia="es-ES" w:bidi="es-ES"/>
        </w:rPr>
        <w:t xml:space="preserve"> </w:t>
      </w:r>
      <w:r w:rsidRPr="00317783">
        <w:rPr>
          <w:rFonts w:ascii="Century Gothic" w:eastAsia="Arial" w:hAnsi="Century Gothic" w:cs="Arial"/>
          <w:lang w:val="es-ES" w:eastAsia="es-ES" w:bidi="es-ES"/>
        </w:rPr>
        <w:t>que:</w:t>
      </w:r>
    </w:p>
    <w:p w14:paraId="2405D5C5" w14:textId="77777777" w:rsidR="00DF5E7F" w:rsidRPr="00317783" w:rsidRDefault="00DF5E7F" w:rsidP="00DF5E7F">
      <w:pPr>
        <w:widowControl w:val="0"/>
        <w:autoSpaceDE w:val="0"/>
        <w:autoSpaceDN w:val="0"/>
        <w:spacing w:after="0" w:line="276" w:lineRule="auto"/>
        <w:ind w:firstLine="707"/>
        <w:contextualSpacing/>
        <w:jc w:val="both"/>
        <w:rPr>
          <w:rFonts w:ascii="Century Gothic" w:eastAsia="Arial" w:hAnsi="Century Gothic" w:cs="Arial"/>
          <w:lang w:val="es-ES" w:eastAsia="es-ES" w:bidi="es-ES"/>
        </w:rPr>
      </w:pPr>
    </w:p>
    <w:p w14:paraId="0EE6AAFB" w14:textId="77777777" w:rsidR="00DF5E7F" w:rsidRPr="00317783" w:rsidRDefault="00DF5E7F" w:rsidP="00DF5E7F">
      <w:pPr>
        <w:spacing w:after="0" w:line="240" w:lineRule="auto"/>
        <w:ind w:left="709" w:right="709"/>
        <w:contextualSpacing/>
        <w:jc w:val="both"/>
        <w:rPr>
          <w:rFonts w:ascii="Century Gothic" w:eastAsia="Calibri" w:hAnsi="Century Gothic" w:cs="Arial"/>
          <w:sz w:val="20"/>
          <w:szCs w:val="20"/>
          <w:lang w:val="es-MX"/>
        </w:rPr>
      </w:pPr>
      <w:r w:rsidRPr="00317783">
        <w:rPr>
          <w:rFonts w:ascii="Century Gothic" w:eastAsia="Calibri" w:hAnsi="Century Gothic" w:cs="Arial"/>
          <w:sz w:val="20"/>
          <w:szCs w:val="20"/>
          <w:lang w:val="es-MX"/>
        </w:rPr>
        <w:t>“[…] se puede señalar que los convenios o contratos interadministrativos tienen como características principales las siguientes: (i) constituyen verdaderos contratos en los términos del Código de Comercio cuando su objeto lo constituyen obligaciones patrimoniales; (</w:t>
      </w:r>
      <w:proofErr w:type="spellStart"/>
      <w:r w:rsidRPr="00317783">
        <w:rPr>
          <w:rFonts w:ascii="Century Gothic" w:eastAsia="Calibri" w:hAnsi="Century Gothic" w:cs="Arial"/>
          <w:sz w:val="20"/>
          <w:szCs w:val="20"/>
          <w:lang w:val="es-MX"/>
        </w:rPr>
        <w:t>ii</w:t>
      </w:r>
      <w:proofErr w:type="spellEnd"/>
      <w:r w:rsidRPr="00317783">
        <w:rPr>
          <w:rFonts w:ascii="Century Gothic" w:eastAsia="Calibri" w:hAnsi="Century Gothic" w:cs="Arial"/>
          <w:sz w:val="20"/>
          <w:szCs w:val="20"/>
          <w:lang w:val="es-MX"/>
        </w:rPr>
        <w:t>) tienen como fuente la autonomía contractual; (</w:t>
      </w:r>
      <w:proofErr w:type="spellStart"/>
      <w:r w:rsidRPr="00317783">
        <w:rPr>
          <w:rFonts w:ascii="Century Gothic" w:eastAsia="Calibri" w:hAnsi="Century Gothic" w:cs="Arial"/>
          <w:sz w:val="20"/>
          <w:szCs w:val="20"/>
          <w:lang w:val="es-MX"/>
        </w:rPr>
        <w:t>iii</w:t>
      </w:r>
      <w:proofErr w:type="spellEnd"/>
      <w:r w:rsidRPr="00317783">
        <w:rPr>
          <w:rFonts w:ascii="Century Gothic" w:eastAsia="Calibri" w:hAnsi="Century Gothic" w:cs="Arial"/>
          <w:sz w:val="20"/>
          <w:szCs w:val="20"/>
          <w:lang w:val="es-MX"/>
        </w:rPr>
        <w:t>) son contratos nominados puesto que están mencionados en la ley; (</w:t>
      </w:r>
      <w:proofErr w:type="spellStart"/>
      <w:r w:rsidRPr="00317783">
        <w:rPr>
          <w:rFonts w:ascii="Century Gothic" w:eastAsia="Calibri" w:hAnsi="Century Gothic" w:cs="Arial"/>
          <w:sz w:val="20"/>
          <w:szCs w:val="20"/>
          <w:lang w:val="es-MX"/>
        </w:rPr>
        <w:t>iv</w:t>
      </w:r>
      <w:proofErr w:type="spellEnd"/>
      <w:r w:rsidRPr="00317783">
        <w:rPr>
          <w:rFonts w:ascii="Century Gothic" w:eastAsia="Calibri" w:hAnsi="Century Gothic" w:cs="Arial"/>
          <w:sz w:val="20"/>
          <w:szCs w:val="20"/>
          <w:lang w:val="es-MX"/>
        </w:rPr>
        <w:t xml:space="preserve">)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w:t>
      </w:r>
      <w:r w:rsidRPr="00317783">
        <w:rPr>
          <w:rFonts w:ascii="Century Gothic" w:eastAsia="Calibri" w:hAnsi="Century Gothic" w:cs="Arial"/>
          <w:sz w:val="20"/>
          <w:szCs w:val="20"/>
          <w:lang w:val="es-MX"/>
        </w:rPr>
        <w:lastRenderedPageBreak/>
        <w:t>Comercio; (vi) dan lugar a la creación de obligaciones jurídicamente exigibles; (</w:t>
      </w:r>
      <w:proofErr w:type="spellStart"/>
      <w:r w:rsidRPr="00317783">
        <w:rPr>
          <w:rFonts w:ascii="Century Gothic" w:eastAsia="Calibri" w:hAnsi="Century Gothic" w:cs="Arial"/>
          <w:sz w:val="20"/>
          <w:szCs w:val="20"/>
          <w:lang w:val="es-MX"/>
        </w:rPr>
        <w:t>vii</w:t>
      </w:r>
      <w:proofErr w:type="spellEnd"/>
      <w:r w:rsidRPr="00317783">
        <w:rPr>
          <w:rFonts w:ascii="Century Gothic" w:eastAsia="Calibri" w:hAnsi="Century Gothic" w:cs="Arial"/>
          <w:sz w:val="20"/>
          <w:szCs w:val="20"/>
          <w:lang w:val="es-MX"/>
        </w:rPr>
        <w:t>) persiguen  una finalidad común a través de la realización de intereses compartidos entre las entidades vinculadas; (</w:t>
      </w:r>
      <w:proofErr w:type="spellStart"/>
      <w:r w:rsidRPr="00317783">
        <w:rPr>
          <w:rFonts w:ascii="Century Gothic" w:eastAsia="Calibri" w:hAnsi="Century Gothic" w:cs="Arial"/>
          <w:sz w:val="20"/>
          <w:szCs w:val="20"/>
          <w:lang w:val="es-MX"/>
        </w:rPr>
        <w:t>viii</w:t>
      </w:r>
      <w:proofErr w:type="spellEnd"/>
      <w:r w:rsidRPr="00317783">
        <w:rPr>
          <w:rFonts w:ascii="Century Gothic" w:eastAsia="Calibri" w:hAnsi="Century Gothic" w:cs="Arial"/>
          <w:sz w:val="20"/>
          <w:szCs w:val="20"/>
          <w:lang w:val="es-MX"/>
        </w:rPr>
        <w:t>) la acción mediante la cual se deben ventilar las diferencias que sobre el particular surjan es la de controversias contractuales”</w:t>
      </w:r>
      <w:r w:rsidRPr="00317783">
        <w:rPr>
          <w:rFonts w:ascii="Century Gothic" w:eastAsia="Calibri" w:hAnsi="Century Gothic" w:cs="Arial"/>
          <w:sz w:val="20"/>
          <w:szCs w:val="20"/>
          <w:vertAlign w:val="superscript"/>
          <w:lang w:val="es-MX"/>
        </w:rPr>
        <w:footnoteReference w:id="14"/>
      </w:r>
      <w:r w:rsidRPr="00317783">
        <w:rPr>
          <w:rFonts w:ascii="Century Gothic" w:eastAsia="Calibri" w:hAnsi="Century Gothic" w:cs="Arial"/>
          <w:sz w:val="20"/>
          <w:szCs w:val="20"/>
          <w:lang w:val="es-MX"/>
        </w:rPr>
        <w:t>.</w:t>
      </w:r>
    </w:p>
    <w:p w14:paraId="423A0C71" w14:textId="77777777" w:rsidR="00DF5E7F" w:rsidRPr="00317783" w:rsidRDefault="00DF5E7F" w:rsidP="00DF5E7F">
      <w:pPr>
        <w:spacing w:after="0" w:line="276" w:lineRule="auto"/>
        <w:ind w:left="709" w:right="709"/>
        <w:contextualSpacing/>
        <w:jc w:val="both"/>
        <w:rPr>
          <w:rFonts w:ascii="Century Gothic" w:eastAsia="Calibri" w:hAnsi="Century Gothic" w:cs="Arial"/>
          <w:lang w:val="es-MX"/>
        </w:rPr>
      </w:pPr>
    </w:p>
    <w:p w14:paraId="47FC19CD" w14:textId="77777777" w:rsidR="00DF5E7F" w:rsidRPr="00317783" w:rsidRDefault="00DF5E7F" w:rsidP="00DF5E7F">
      <w:pPr>
        <w:widowControl w:val="0"/>
        <w:autoSpaceDE w:val="0"/>
        <w:autoSpaceDN w:val="0"/>
        <w:spacing w:after="120" w:line="276" w:lineRule="auto"/>
        <w:ind w:firstLine="707"/>
        <w:jc w:val="both"/>
        <w:rPr>
          <w:rFonts w:ascii="Century Gothic" w:eastAsia="Arial" w:hAnsi="Century Gothic" w:cs="Arial"/>
          <w:lang w:val="es-ES" w:eastAsia="es-ES" w:bidi="es-ES"/>
        </w:rPr>
      </w:pPr>
      <w:r w:rsidRPr="00317783">
        <w:rPr>
          <w:rFonts w:ascii="Century Gothic" w:eastAsia="Arial" w:hAnsi="Century Gothic" w:cs="Arial"/>
          <w:lang w:val="es-ES" w:eastAsia="es-ES" w:bidi="es-ES"/>
        </w:rPr>
        <w:t>En ese sentido, los convenios interadministrativos se caracterizan por los sujetos que intervienen y por la modalidad de selección que la ley permite aplicar para su celebración, ya que comporta un grado de excepcionalidad frente a las demás tipologías contractuales, donde los sujetos no están restringidos a una cualificación particular y aplican otras modalidades de selección. El Estatuto General de Contratación de la Administración Pública establece la contratación directa como la modalidad de selección aplicable, por regla general, a la celebración de los contratos interadministrativos.</w:t>
      </w:r>
    </w:p>
    <w:p w14:paraId="2D76A3A4" w14:textId="77777777" w:rsidR="00DF5E7F" w:rsidRPr="00317783" w:rsidRDefault="00DF5E7F" w:rsidP="00DF5E7F">
      <w:pPr>
        <w:widowControl w:val="0"/>
        <w:autoSpaceDE w:val="0"/>
        <w:autoSpaceDN w:val="0"/>
        <w:spacing w:before="119" w:after="120" w:line="276" w:lineRule="auto"/>
        <w:ind w:firstLine="707"/>
        <w:jc w:val="both"/>
        <w:rPr>
          <w:rFonts w:ascii="Century Gothic" w:eastAsia="Arial" w:hAnsi="Century Gothic" w:cs="Arial"/>
          <w:lang w:val="es-ES" w:eastAsia="es-ES" w:bidi="es-ES"/>
        </w:rPr>
      </w:pPr>
      <w:r w:rsidRPr="00317783">
        <w:rPr>
          <w:rFonts w:ascii="Century Gothic" w:eastAsia="Arial" w:hAnsi="Century Gothic" w:cs="Arial"/>
          <w:lang w:val="es-ES" w:eastAsia="es-ES" w:bidi="es-ES"/>
        </w:rPr>
        <w:t>Así las cosas, 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celebran un negocio jurídico. No obstante, es posible que se celebren contratos interadministrativos en el marco de un proceso donde sea posible la participación de los interesados en ofertar, es decir, a través de las otras modalidades de selección previstas en la Ley 1150 de 2007 diferentes a la de contratación directa, pues, como se indicó, la existencia de un contrato interadministrativo no está determinada por la modalidad de selección sino, entre otras cosas, de la calidad de las partes que lo suscriben, es decir, debe tratarse de entidades</w:t>
      </w:r>
      <w:r w:rsidRPr="00317783">
        <w:rPr>
          <w:rFonts w:ascii="Century Gothic" w:eastAsia="Arial" w:hAnsi="Century Gothic" w:cs="Arial"/>
          <w:spacing w:val="-3"/>
          <w:lang w:val="es-ES" w:eastAsia="es-ES" w:bidi="es-ES"/>
        </w:rPr>
        <w:t xml:space="preserve"> </w:t>
      </w:r>
      <w:r w:rsidRPr="00317783">
        <w:rPr>
          <w:rFonts w:ascii="Century Gothic" w:eastAsia="Arial" w:hAnsi="Century Gothic" w:cs="Arial"/>
          <w:lang w:val="es-ES" w:eastAsia="es-ES" w:bidi="es-ES"/>
        </w:rPr>
        <w:t>estatales.</w:t>
      </w:r>
    </w:p>
    <w:p w14:paraId="3B70A012" w14:textId="77777777" w:rsidR="00DF5E7F" w:rsidRPr="00317783" w:rsidRDefault="00DF5E7F" w:rsidP="00DF5E7F">
      <w:pPr>
        <w:widowControl w:val="0"/>
        <w:autoSpaceDE w:val="0"/>
        <w:autoSpaceDN w:val="0"/>
        <w:spacing w:before="120" w:after="120" w:line="276" w:lineRule="auto"/>
        <w:ind w:firstLine="709"/>
        <w:jc w:val="both"/>
        <w:rPr>
          <w:rFonts w:ascii="Century Gothic" w:eastAsia="Arial" w:hAnsi="Century Gothic" w:cs="Arial"/>
          <w:lang w:val="es-ES" w:eastAsia="es-ES" w:bidi="es-ES"/>
        </w:rPr>
      </w:pPr>
      <w:r w:rsidRPr="00317783">
        <w:rPr>
          <w:rFonts w:ascii="Century Gothic" w:eastAsia="Arial" w:hAnsi="Century Gothic" w:cs="Arial"/>
          <w:lang w:val="es-ES" w:eastAsia="es-ES" w:bidi="es-ES"/>
        </w:rPr>
        <w:t xml:space="preserve">Además, es necesario tener en cuenta que para que un contrato o convenio interadministrativo exista, debe cumplir con los siguientes elementos: acuerdo sobre el objeto y la contraprestación, y que se eleve a escrito. Por otra parte, si bien actualmente el EGCAP hace referencia de manera expresa al contrato interadministrativo o en términos generales a los interadministrativos y no al convenio, no por esto puede concluirse que se trate de figuras totalmente diferentes, pues las entidades del Estado, en el marco de la Ley 80 de 1993, pueden acordar entre sí diferentes tipos de obligaciones, siempre que su objeto de creación les permita cumplirlas, con el objetivo común de materializar los fines del Estado. </w:t>
      </w:r>
      <w:r w:rsidRPr="00317783">
        <w:rPr>
          <w:rFonts w:ascii="Century Gothic" w:eastAsia="Arial" w:hAnsi="Century Gothic" w:cs="Arial"/>
          <w:lang w:val="es-ES" w:eastAsia="es-ES" w:bidi="es-ES"/>
        </w:rPr>
        <w:lastRenderedPageBreak/>
        <w:t>Por este motivo, cuando la 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w:t>
      </w:r>
      <w:r w:rsidRPr="00317783">
        <w:rPr>
          <w:rFonts w:ascii="Century Gothic" w:eastAsia="Arial" w:hAnsi="Century Gothic" w:cs="Arial"/>
          <w:spacing w:val="-4"/>
          <w:lang w:val="es-ES" w:eastAsia="es-ES" w:bidi="es-ES"/>
        </w:rPr>
        <w:t xml:space="preserve"> </w:t>
      </w:r>
      <w:r w:rsidRPr="00317783">
        <w:rPr>
          <w:rFonts w:ascii="Century Gothic" w:eastAsia="Arial" w:hAnsi="Century Gothic" w:cs="Arial"/>
          <w:lang w:val="es-ES" w:eastAsia="es-ES" w:bidi="es-ES"/>
        </w:rPr>
        <w:t>estatales.</w:t>
      </w:r>
    </w:p>
    <w:p w14:paraId="6AB9B60B" w14:textId="77777777" w:rsidR="00DF5E7F" w:rsidRPr="00317783" w:rsidRDefault="00DF5E7F" w:rsidP="00DF5E7F">
      <w:pPr>
        <w:widowControl w:val="0"/>
        <w:autoSpaceDE w:val="0"/>
        <w:autoSpaceDN w:val="0"/>
        <w:spacing w:before="122" w:after="120" w:line="276" w:lineRule="auto"/>
        <w:ind w:firstLine="708"/>
        <w:jc w:val="both"/>
        <w:rPr>
          <w:rFonts w:ascii="Century Gothic" w:eastAsia="Arial" w:hAnsi="Century Gothic" w:cs="Arial"/>
          <w:lang w:val="es-ES" w:eastAsia="es-ES" w:bidi="es-ES"/>
        </w:rPr>
      </w:pPr>
      <w:r w:rsidRPr="00317783">
        <w:rPr>
          <w:rFonts w:ascii="Century Gothic" w:eastAsia="Arial" w:hAnsi="Century Gothic" w:cs="Arial"/>
          <w:lang w:val="es-ES" w:eastAsia="es-ES" w:bidi="es-ES"/>
        </w:rPr>
        <w:t>Es bueno destacar que el Decreto 1082 de 2015 dispone que los convenios o contratos interadministrativos, así denominados en su artículo 2.2.1.2.1.4.4, se contratan directamente, por lo que no hay lugar a dudas que representan lo mismo en la medida en que concurran entidades estatales en el acuerdo de voluntades. De este modo, es posible concluir que en la contratación estatal no existen mayores diferencias entre convenio y contrato y, dando aplicación al derecho privado y a la definición contenida en el Código Civil, puede afirmarse que se trata de figuras equivalentes.</w:t>
      </w:r>
    </w:p>
    <w:p w14:paraId="7189A639" w14:textId="16C82E5A" w:rsidR="00DF5E7F" w:rsidRPr="00317783" w:rsidRDefault="00DF5E7F" w:rsidP="00DF5E7F">
      <w:pPr>
        <w:widowControl w:val="0"/>
        <w:autoSpaceDE w:val="0"/>
        <w:autoSpaceDN w:val="0"/>
        <w:spacing w:after="120" w:line="276" w:lineRule="auto"/>
        <w:ind w:firstLine="708"/>
        <w:jc w:val="both"/>
        <w:rPr>
          <w:rFonts w:ascii="Century Gothic" w:eastAsia="Calibri" w:hAnsi="Century Gothic" w:cs="Arial"/>
          <w:lang w:eastAsia="es-ES" w:bidi="es-ES"/>
        </w:rPr>
      </w:pPr>
      <w:r w:rsidRPr="00317783">
        <w:rPr>
          <w:rFonts w:ascii="Century Gothic" w:eastAsia="Arial" w:hAnsi="Century Gothic" w:cs="Arial"/>
          <w:lang w:val="es-ES" w:eastAsia="es-ES" w:bidi="es-ES"/>
        </w:rPr>
        <w:t xml:space="preserve">Por tanto, aunque el artículo 95 de la Ley 489 de 1998 dispone que </w:t>
      </w:r>
      <w:r w:rsidRPr="00317783">
        <w:rPr>
          <w:rFonts w:ascii="Century Gothic" w:eastAsia="Arial" w:hAnsi="Century Gothic" w:cs="Arial"/>
          <w:i/>
          <w:iCs/>
          <w:lang w:val="es-ES" w:eastAsia="es-ES" w:bidi="es-ES"/>
        </w:rPr>
        <w:t>“Las entidades públicas podrán asociarse con el fin de cooperar en el cumplimiento de funciones administrativas o de prestar conjuntamente servicios que se hallen a su cargo, mediante la celebración de convenios interadministrativos […]”</w:t>
      </w:r>
      <w:r w:rsidRPr="00317783">
        <w:rPr>
          <w:rFonts w:ascii="Century Gothic" w:eastAsia="Arial" w:hAnsi="Century Gothic" w:cs="Arial"/>
          <w:lang w:val="es-ES" w:eastAsia="es-ES" w:bidi="es-ES"/>
        </w:rPr>
        <w:t>,</w:t>
      </w:r>
      <w:r w:rsidRPr="00317783">
        <w:rPr>
          <w:rFonts w:ascii="Century Gothic" w:eastAsia="Arial" w:hAnsi="Century Gothic" w:cs="Arial"/>
          <w:i/>
          <w:iCs/>
          <w:lang w:val="es-ES" w:eastAsia="es-ES" w:bidi="es-ES"/>
        </w:rPr>
        <w:t xml:space="preserve"> </w:t>
      </w:r>
      <w:r w:rsidRPr="00317783">
        <w:rPr>
          <w:rFonts w:ascii="Century Gothic" w:eastAsia="Arial" w:hAnsi="Century Gothic" w:cs="Arial"/>
          <w:lang w:val="es-ES" w:eastAsia="es-ES" w:bidi="es-ES"/>
        </w:rPr>
        <w:t>esto no significa que dichos acuerdos estén exceptuados del Estatuto General de Contratación de la Administración Pública por no tener carácter contractual. Por ello, la jurisprudencia considera que</w:t>
      </w:r>
      <w:r w:rsidR="00946032">
        <w:rPr>
          <w:rFonts w:ascii="Century Gothic" w:eastAsia="Arial" w:hAnsi="Century Gothic" w:cs="Arial"/>
          <w:lang w:val="es-ES" w:eastAsia="es-ES" w:bidi="es-ES"/>
        </w:rPr>
        <w:t>:</w:t>
      </w:r>
      <w:r w:rsidRPr="00317783">
        <w:rPr>
          <w:rFonts w:ascii="Century Gothic" w:eastAsia="Arial" w:hAnsi="Century Gothic" w:cs="Arial"/>
          <w:lang w:val="es-ES" w:eastAsia="es-ES" w:bidi="es-ES"/>
        </w:rPr>
        <w:t xml:space="preserve"> </w:t>
      </w:r>
      <w:r w:rsidRPr="00317783">
        <w:rPr>
          <w:rFonts w:ascii="Century Gothic" w:eastAsia="Arial" w:hAnsi="Century Gothic" w:cs="Arial"/>
          <w:i/>
          <w:iCs/>
          <w:lang w:val="es-ES" w:eastAsia="es-ES" w:bidi="es-ES"/>
        </w:rPr>
        <w:t>“Estos convenios cuentan con las características propias de los contratos, cuando su objeto lo constituyen obligaciones patrimoniales, y las entidades estatales que los conforman están sujetas tanto a la normativa contractual pública, como a las normas del derecho civil</w:t>
      </w:r>
      <w:r w:rsidRPr="00317783">
        <w:rPr>
          <w:rFonts w:ascii="Century Gothic" w:eastAsia="Arial" w:hAnsi="Century Gothic" w:cs="Arial"/>
          <w:i/>
          <w:iCs/>
          <w:spacing w:val="-4"/>
          <w:lang w:val="es-ES" w:eastAsia="es-ES" w:bidi="es-ES"/>
        </w:rPr>
        <w:t xml:space="preserve"> </w:t>
      </w:r>
      <w:r w:rsidRPr="00317783">
        <w:rPr>
          <w:rFonts w:ascii="Century Gothic" w:eastAsia="Arial" w:hAnsi="Century Gothic" w:cs="Arial"/>
          <w:i/>
          <w:iCs/>
          <w:lang w:val="es-ES" w:eastAsia="es-ES" w:bidi="es-ES"/>
        </w:rPr>
        <w:t>[…]”</w:t>
      </w:r>
      <w:r w:rsidRPr="00317783">
        <w:rPr>
          <w:rFonts w:ascii="Century Gothic" w:eastAsia="Arial" w:hAnsi="Century Gothic" w:cs="Arial"/>
          <w:vertAlign w:val="superscript"/>
          <w:lang w:val="es-ES" w:eastAsia="es-ES" w:bidi="es-ES"/>
        </w:rPr>
        <w:footnoteReference w:id="15"/>
      </w:r>
      <w:r w:rsidRPr="00317783">
        <w:rPr>
          <w:rFonts w:ascii="Century Gothic" w:eastAsia="Arial" w:hAnsi="Century Gothic" w:cs="Arial"/>
          <w:lang w:val="es-ES" w:eastAsia="es-ES" w:bidi="es-ES"/>
        </w:rPr>
        <w:t>.</w:t>
      </w:r>
      <w:bookmarkStart w:id="30" w:name="_Hlk77171241"/>
    </w:p>
    <w:p w14:paraId="48BADDEE" w14:textId="77777777" w:rsidR="00DF5E7F" w:rsidRPr="00317783" w:rsidRDefault="00DF5E7F" w:rsidP="00DF5E7F">
      <w:pPr>
        <w:widowControl w:val="0"/>
        <w:autoSpaceDE w:val="0"/>
        <w:autoSpaceDN w:val="0"/>
        <w:spacing w:after="0" w:line="276" w:lineRule="auto"/>
        <w:ind w:firstLine="709"/>
        <w:contextualSpacing/>
        <w:jc w:val="both"/>
        <w:rPr>
          <w:rFonts w:ascii="Century Gothic" w:eastAsia="Arial" w:hAnsi="Century Gothic" w:cs="Arial"/>
          <w:lang w:val="es-ES" w:eastAsia="es-ES" w:bidi="es-ES"/>
        </w:rPr>
      </w:pPr>
      <w:r w:rsidRPr="00317783">
        <w:rPr>
          <w:rFonts w:ascii="Century Gothic" w:eastAsia="Arial" w:hAnsi="Century Gothic" w:cs="Arial"/>
          <w:lang w:val="es-ES" w:eastAsia="es-ES" w:bidi="es-ES"/>
        </w:rPr>
        <w:t>Sin perjuicio de lo anterior, vale la pena tener en cuenta que cierto sector de la doctrina y la jurisprudencia han establecido algunas diferencias o caracterización de los contratos interadministrativos frente a los convenios interadministrativos de que trata el artículo 95 de la Ley 489 de 1998. Por ejemplo, el Consejo de Estado en sentencia del 14 de junio de 2019 expresó:</w:t>
      </w:r>
    </w:p>
    <w:p w14:paraId="43E0CBCD" w14:textId="77777777" w:rsidR="00DF5E7F" w:rsidRPr="00317783" w:rsidRDefault="00DF5E7F" w:rsidP="00317783">
      <w:pPr>
        <w:widowControl w:val="0"/>
        <w:autoSpaceDE w:val="0"/>
        <w:autoSpaceDN w:val="0"/>
        <w:spacing w:after="0" w:line="240" w:lineRule="auto"/>
        <w:ind w:firstLine="709"/>
        <w:contextualSpacing/>
        <w:jc w:val="both"/>
        <w:rPr>
          <w:rFonts w:ascii="Century Gothic" w:eastAsia="Arial" w:hAnsi="Century Gothic" w:cs="Arial"/>
          <w:lang w:val="es-ES" w:eastAsia="es-ES" w:bidi="es-ES"/>
        </w:rPr>
      </w:pPr>
    </w:p>
    <w:p w14:paraId="21F7573C" w14:textId="77777777" w:rsidR="00DF5E7F" w:rsidRPr="00317783" w:rsidRDefault="00DF5E7F" w:rsidP="00DF5E7F">
      <w:pPr>
        <w:spacing w:after="0" w:line="240" w:lineRule="auto"/>
        <w:ind w:left="709" w:right="709"/>
        <w:contextualSpacing/>
        <w:jc w:val="both"/>
        <w:rPr>
          <w:rFonts w:ascii="Century Gothic" w:eastAsia="Calibri" w:hAnsi="Century Gothic" w:cs="Arial"/>
          <w:sz w:val="20"/>
          <w:szCs w:val="20"/>
          <w:lang w:val="es-ES_tradnl"/>
        </w:rPr>
      </w:pPr>
      <w:r w:rsidRPr="00317783">
        <w:rPr>
          <w:rFonts w:ascii="Century Gothic" w:eastAsia="Calibri" w:hAnsi="Century Gothic" w:cs="Arial"/>
          <w:sz w:val="20"/>
          <w:szCs w:val="20"/>
          <w:lang w:val="es-ES_tradnl"/>
        </w:rPr>
        <w:t>“La Sala de Consulta y Servicio Civil</w:t>
      </w:r>
      <w:r w:rsidRPr="00317783">
        <w:rPr>
          <w:rFonts w:ascii="Century Gothic" w:eastAsia="Calibri" w:hAnsi="Century Gothic" w:cs="Arial"/>
          <w:sz w:val="20"/>
          <w:szCs w:val="20"/>
          <w:vertAlign w:val="superscript"/>
          <w:lang w:val="es-ES_tradnl"/>
        </w:rPr>
        <w:footnoteReference w:id="16"/>
      </w:r>
      <w:r w:rsidRPr="00317783">
        <w:rPr>
          <w:rFonts w:ascii="Century Gothic" w:eastAsia="Calibri" w:hAnsi="Century Gothic" w:cs="Arial"/>
          <w:sz w:val="20"/>
          <w:szCs w:val="20"/>
          <w:lang w:val="es-ES_tradnl"/>
        </w:rPr>
        <w:t xml:space="preserve"> de esta Corporación se ha referido a los </w:t>
      </w:r>
      <w:r w:rsidRPr="00317783">
        <w:rPr>
          <w:rFonts w:ascii="Century Gothic" w:eastAsia="Calibri" w:hAnsi="Century Gothic" w:cs="Arial"/>
          <w:i/>
          <w:sz w:val="20"/>
          <w:szCs w:val="20"/>
          <w:lang w:val="es-ES_tradnl"/>
        </w:rPr>
        <w:t>“convenios interadministrativos”</w:t>
      </w:r>
      <w:r w:rsidRPr="00317783">
        <w:rPr>
          <w:rFonts w:ascii="Century Gothic" w:eastAsia="Calibri" w:hAnsi="Century Gothic" w:cs="Arial"/>
          <w:sz w:val="20"/>
          <w:szCs w:val="20"/>
          <w:lang w:val="es-ES_tradnl"/>
        </w:rPr>
        <w:t xml:space="preserve"> a los cuales alude el artículo 95 de la Ley </w:t>
      </w:r>
      <w:r w:rsidRPr="00317783">
        <w:rPr>
          <w:rFonts w:ascii="Century Gothic" w:eastAsia="Calibri" w:hAnsi="Century Gothic" w:cs="Arial"/>
          <w:sz w:val="20"/>
          <w:szCs w:val="20"/>
          <w:lang w:val="es-ES_tradnl"/>
        </w:rPr>
        <w:lastRenderedPageBreak/>
        <w:t xml:space="preserve">489 de 1998, calificándolos de </w:t>
      </w:r>
      <w:r w:rsidRPr="00317783">
        <w:rPr>
          <w:rFonts w:ascii="Century Gothic" w:eastAsia="Calibri" w:hAnsi="Century Gothic" w:cs="Arial"/>
          <w:i/>
          <w:sz w:val="20"/>
          <w:szCs w:val="20"/>
          <w:lang w:val="es-ES_tradnl"/>
        </w:rPr>
        <w:t xml:space="preserve">“puros” </w:t>
      </w:r>
      <w:r w:rsidRPr="00317783">
        <w:rPr>
          <w:rFonts w:ascii="Century Gothic" w:eastAsia="Calibri" w:hAnsi="Century Gothic" w:cs="Arial"/>
          <w:sz w:val="20"/>
          <w:szCs w:val="20"/>
          <w:lang w:val="es-ES_tradnl"/>
        </w:rPr>
        <w:t xml:space="preserve">y entendiendo que estos, además de perseguir la finalidad de cooperación antes indicada, no implican intereses contrapuestos ni tampoco se circunscriben a un </w:t>
      </w:r>
      <w:r w:rsidRPr="00317783">
        <w:rPr>
          <w:rFonts w:ascii="Century Gothic" w:eastAsia="Calibri" w:hAnsi="Century Gothic" w:cs="Arial"/>
          <w:i/>
          <w:sz w:val="20"/>
          <w:szCs w:val="20"/>
          <w:lang w:val="es-ES_tradnl"/>
        </w:rPr>
        <w:t>“intercambio patrimonial”</w:t>
      </w:r>
      <w:r w:rsidRPr="00317783">
        <w:rPr>
          <w:rFonts w:ascii="Century Gothic" w:eastAsia="Calibri" w:hAnsi="Century Gothic" w:cs="Arial"/>
          <w:sz w:val="20"/>
          <w:szCs w:val="20"/>
          <w:lang w:val="es-ES_tradnl"/>
        </w:rPr>
        <w:t>. Sin perjuicio de lo anterior, en otra oportunidad, la misma Sala</w:t>
      </w:r>
      <w:r w:rsidRPr="00317783">
        <w:rPr>
          <w:rFonts w:ascii="Century Gothic" w:eastAsia="Calibri" w:hAnsi="Century Gothic" w:cs="Arial"/>
          <w:sz w:val="20"/>
          <w:szCs w:val="20"/>
          <w:vertAlign w:val="superscript"/>
          <w:lang w:val="es-ES_tradnl"/>
        </w:rPr>
        <w:footnoteReference w:id="17"/>
      </w:r>
      <w:r w:rsidRPr="00317783">
        <w:rPr>
          <w:rFonts w:ascii="Century Gothic" w:eastAsia="Calibri" w:hAnsi="Century Gothic" w:cs="Arial"/>
          <w:sz w:val="20"/>
          <w:szCs w:val="20"/>
          <w:lang w:val="es-ES_tradnl"/>
        </w:rPr>
        <w:t xml:space="preserve"> había indicado que, si bien en dichos convenios no se daba un </w:t>
      </w:r>
      <w:r w:rsidRPr="00317783">
        <w:rPr>
          <w:rFonts w:ascii="Century Gothic" w:eastAsia="Calibri" w:hAnsi="Century Gothic" w:cs="Arial"/>
          <w:i/>
          <w:sz w:val="20"/>
          <w:szCs w:val="20"/>
          <w:lang w:val="es-ES_tradnl"/>
        </w:rPr>
        <w:t>“verdadero intercambio de bienes o servicios (contrato conmutativo)”</w:t>
      </w:r>
      <w:r w:rsidRPr="00317783">
        <w:rPr>
          <w:rFonts w:ascii="Century Gothic" w:eastAsia="Calibri" w:hAnsi="Century Gothic" w:cs="Arial"/>
          <w:sz w:val="20"/>
          <w:szCs w:val="20"/>
          <w:lang w:val="es-ES_tradnl"/>
        </w:rPr>
        <w:t>, ello no impedía que se conviniera una remuneración a cargo de alguna(s) entidad(es).</w:t>
      </w:r>
    </w:p>
    <w:p w14:paraId="28DA5185" w14:textId="77777777" w:rsidR="00DF5E7F" w:rsidRPr="00317783" w:rsidRDefault="00DF5E7F" w:rsidP="00DF5E7F">
      <w:pPr>
        <w:spacing w:after="0" w:line="240" w:lineRule="auto"/>
        <w:ind w:left="709" w:right="709"/>
        <w:contextualSpacing/>
        <w:jc w:val="both"/>
        <w:rPr>
          <w:rFonts w:ascii="Century Gothic" w:eastAsia="Calibri" w:hAnsi="Century Gothic" w:cs="Arial"/>
          <w:sz w:val="10"/>
          <w:szCs w:val="10"/>
          <w:lang w:val="es-ES_tradnl"/>
        </w:rPr>
      </w:pPr>
    </w:p>
    <w:p w14:paraId="5A76220C" w14:textId="77777777" w:rsidR="00DF5E7F" w:rsidRPr="00317783" w:rsidRDefault="00DF5E7F" w:rsidP="00DF5E7F">
      <w:pPr>
        <w:widowControl w:val="0"/>
        <w:autoSpaceDE w:val="0"/>
        <w:autoSpaceDN w:val="0"/>
        <w:spacing w:after="0" w:line="240" w:lineRule="auto"/>
        <w:ind w:left="709" w:right="709"/>
        <w:contextualSpacing/>
        <w:jc w:val="both"/>
        <w:rPr>
          <w:rFonts w:ascii="Century Gothic" w:eastAsia="Arial" w:hAnsi="Century Gothic" w:cs="Arial"/>
          <w:sz w:val="20"/>
          <w:szCs w:val="20"/>
          <w:lang w:val="es-ES" w:eastAsia="es-ES" w:bidi="es-ES"/>
        </w:rPr>
      </w:pPr>
      <w:r w:rsidRPr="00317783">
        <w:rPr>
          <w:rFonts w:ascii="Century Gothic" w:eastAsia="Arial" w:hAnsi="Century Gothic" w:cs="Arial"/>
          <w:sz w:val="20"/>
          <w:szCs w:val="20"/>
          <w:lang w:val="es-ES_tradnl" w:eastAsia="es-ES" w:bidi="es-ES"/>
        </w:rPr>
        <w:t xml:space="preserve">Lo expuesto evidencia que, en general, las interpretaciones en torno a los </w:t>
      </w:r>
      <w:r w:rsidRPr="00317783">
        <w:rPr>
          <w:rFonts w:ascii="Century Gothic" w:eastAsia="Arial" w:hAnsi="Century Gothic" w:cs="Arial"/>
          <w:i/>
          <w:sz w:val="20"/>
          <w:szCs w:val="20"/>
          <w:lang w:val="es-ES_tradnl" w:eastAsia="es-ES" w:bidi="es-ES"/>
        </w:rPr>
        <w:t>“convenios interadministrativos”</w:t>
      </w:r>
      <w:r w:rsidRPr="00317783">
        <w:rPr>
          <w:rFonts w:ascii="Century Gothic" w:eastAsia="Arial" w:hAnsi="Century Gothic" w:cs="Arial"/>
          <w:sz w:val="20"/>
          <w:szCs w:val="20"/>
          <w:lang w:val="es-ES_tradnl" w:eastAsia="es-ES" w:bidi="es-ES"/>
        </w:rPr>
        <w:t xml:space="preserve"> previstos en el artículo 95 de la Ley 489 de 1998, en el propósito de encasillarlos dentro de una categoría normativa delimitada en su estructura, elementos y régimen jurídico, han sido dubitativas al vincular o no las obligaciones propias de dichos convenios con las de los contratos estatales sometidos al EGCAP, las cuales tienen por objeto prestaciones patrimoniales”</w:t>
      </w:r>
      <w:r w:rsidRPr="00317783">
        <w:rPr>
          <w:rFonts w:ascii="Century Gothic" w:eastAsia="Arial" w:hAnsi="Century Gothic" w:cs="Arial"/>
          <w:sz w:val="20"/>
          <w:szCs w:val="20"/>
          <w:vertAlign w:val="superscript"/>
          <w:lang w:val="es-ES_tradnl" w:eastAsia="es-ES" w:bidi="es-ES"/>
        </w:rPr>
        <w:footnoteReference w:id="18"/>
      </w:r>
      <w:r w:rsidRPr="00317783">
        <w:rPr>
          <w:rFonts w:ascii="Century Gothic" w:eastAsia="Arial" w:hAnsi="Century Gothic" w:cs="Arial"/>
          <w:sz w:val="20"/>
          <w:szCs w:val="20"/>
          <w:lang w:val="es-ES_tradnl" w:eastAsia="es-ES" w:bidi="es-ES"/>
        </w:rPr>
        <w:t xml:space="preserve"> </w:t>
      </w:r>
      <w:r w:rsidRPr="00317783">
        <w:rPr>
          <w:rFonts w:ascii="Century Gothic" w:eastAsia="Arial" w:hAnsi="Century Gothic" w:cs="Arial"/>
          <w:sz w:val="20"/>
          <w:szCs w:val="20"/>
          <w:vertAlign w:val="superscript"/>
          <w:lang w:val="es-ES_tradnl" w:eastAsia="es-ES" w:bidi="es-ES"/>
        </w:rPr>
        <w:footnoteReference w:id="19"/>
      </w:r>
      <w:r w:rsidRPr="00317783">
        <w:rPr>
          <w:rFonts w:ascii="Century Gothic" w:eastAsia="Arial" w:hAnsi="Century Gothic" w:cs="Arial"/>
          <w:sz w:val="20"/>
          <w:szCs w:val="20"/>
          <w:lang w:val="es-ES_tradnl" w:eastAsia="es-ES" w:bidi="es-ES"/>
        </w:rPr>
        <w:t>.</w:t>
      </w:r>
    </w:p>
    <w:p w14:paraId="0105122F" w14:textId="77777777" w:rsidR="00DF5E7F" w:rsidRPr="00317783" w:rsidRDefault="00DF5E7F" w:rsidP="00DF5E7F">
      <w:pPr>
        <w:widowControl w:val="0"/>
        <w:autoSpaceDE w:val="0"/>
        <w:autoSpaceDN w:val="0"/>
        <w:spacing w:after="0" w:line="276" w:lineRule="auto"/>
        <w:contextualSpacing/>
        <w:jc w:val="both"/>
        <w:rPr>
          <w:rFonts w:ascii="Century Gothic" w:eastAsia="Arial" w:hAnsi="Century Gothic" w:cs="Arial"/>
          <w:lang w:val="es-ES" w:eastAsia="es-ES" w:bidi="es-ES"/>
        </w:rPr>
      </w:pPr>
    </w:p>
    <w:p w14:paraId="3A975729" w14:textId="77777777" w:rsidR="00DF5E7F" w:rsidRPr="00317783" w:rsidRDefault="00DF5E7F" w:rsidP="00DF5E7F">
      <w:pPr>
        <w:widowControl w:val="0"/>
        <w:autoSpaceDE w:val="0"/>
        <w:autoSpaceDN w:val="0"/>
        <w:spacing w:after="120" w:line="276" w:lineRule="auto"/>
        <w:jc w:val="both"/>
        <w:rPr>
          <w:rFonts w:ascii="Century Gothic" w:eastAsia="Arial" w:hAnsi="Century Gothic" w:cs="Arial"/>
          <w:lang w:val="es-ES" w:eastAsia="es-ES" w:bidi="es-ES"/>
        </w:rPr>
      </w:pPr>
      <w:r w:rsidRPr="00317783">
        <w:rPr>
          <w:rFonts w:ascii="Century Gothic" w:eastAsia="Arial" w:hAnsi="Century Gothic" w:cs="Arial"/>
          <w:lang w:val="es-ES" w:eastAsia="es-ES" w:bidi="es-ES"/>
        </w:rPr>
        <w:tab/>
        <w:t>Vale la pena reiterar que el legislador y el ordenamiento jurídico, en general, en distintas ocasiones utiliza de forma indistinta los conceptos de contrato o convenio para referirse a la misma institución jurídica</w:t>
      </w:r>
      <w:r w:rsidRPr="00317783">
        <w:rPr>
          <w:rFonts w:ascii="Century Gothic" w:eastAsia="Arial" w:hAnsi="Century Gothic" w:cs="Arial"/>
          <w:vertAlign w:val="superscript"/>
          <w:lang w:val="es-ES" w:eastAsia="es-ES" w:bidi="es-ES"/>
        </w:rPr>
        <w:footnoteReference w:id="20"/>
      </w:r>
      <w:r w:rsidRPr="00317783">
        <w:rPr>
          <w:rFonts w:ascii="Century Gothic" w:eastAsia="Arial" w:hAnsi="Century Gothic" w:cs="Arial"/>
          <w:lang w:val="es-ES" w:eastAsia="es-ES" w:bidi="es-ES"/>
        </w:rPr>
        <w:t xml:space="preserve">. Incluso, la Corte Constitucional fundamenta la posibilidad de celebrar convenios interadministrativos de forma directa, con fundamento en la causal establecida en </w:t>
      </w:r>
      <w:r w:rsidRPr="00317783">
        <w:rPr>
          <w:rFonts w:ascii="Century Gothic" w:eastAsia="Arial" w:hAnsi="Century Gothic" w:cs="Arial"/>
          <w:lang w:val="es-ES" w:eastAsia="es-ES" w:bidi="es-ES"/>
        </w:rPr>
        <w:lastRenderedPageBreak/>
        <w:t>la Ley 1150 de 2007 respecto a los contratos interadministrativos</w:t>
      </w:r>
      <w:r w:rsidRPr="00317783">
        <w:rPr>
          <w:rFonts w:ascii="Century Gothic" w:eastAsia="Arial" w:hAnsi="Century Gothic" w:cs="Arial"/>
          <w:vertAlign w:val="superscript"/>
          <w:lang w:val="es-ES" w:eastAsia="es-ES" w:bidi="es-ES"/>
        </w:rPr>
        <w:footnoteReference w:id="21"/>
      </w:r>
      <w:r w:rsidRPr="00317783">
        <w:rPr>
          <w:rFonts w:ascii="Century Gothic" w:eastAsia="Arial" w:hAnsi="Century Gothic" w:cs="Arial"/>
          <w:lang w:val="es-ES" w:eastAsia="es-ES" w:bidi="es-ES"/>
        </w:rPr>
        <w:t>.</w:t>
      </w:r>
    </w:p>
    <w:p w14:paraId="5AF7A1AD" w14:textId="77777777" w:rsidR="00DF5E7F" w:rsidRPr="00317783" w:rsidRDefault="00DF5E7F" w:rsidP="00DF5E7F">
      <w:pPr>
        <w:widowControl w:val="0"/>
        <w:autoSpaceDE w:val="0"/>
        <w:autoSpaceDN w:val="0"/>
        <w:spacing w:after="0" w:line="276" w:lineRule="auto"/>
        <w:contextualSpacing/>
        <w:jc w:val="both"/>
        <w:rPr>
          <w:rFonts w:ascii="Century Gothic" w:eastAsia="Arial" w:hAnsi="Century Gothic" w:cs="Arial"/>
          <w:lang w:val="es-ES" w:eastAsia="es-ES" w:bidi="es-ES"/>
        </w:rPr>
      </w:pPr>
      <w:r w:rsidRPr="00317783">
        <w:rPr>
          <w:rFonts w:ascii="Century Gothic" w:eastAsia="Arial" w:hAnsi="Century Gothic" w:cs="Arial"/>
          <w:lang w:val="es-ES" w:eastAsia="es-ES" w:bidi="es-ES"/>
        </w:rPr>
        <w:tab/>
        <w:t>En desarrollo de lo anterior, se destaca que la Circular Externa Única de Colombia Compra Eficiente, pese a reconocer que se han realizado algunas distinciones jurisprudenciales en torno a los contratos y convenios interadministrativos, relacionados con el alcance de las obligaciones que los caracterizan, señala que no existe una definición legal que diferencie los conceptos de convenio o de contrato. En tal sentido, de acuerdo con las consideraciones expuestas en este numeral los asimila para efectos de aplicar las disposiciones que tangencialmente se refieren a uno u otro vocablo, por ejemplo, lo que resulta bastante relevante para este concepto, para la aplicación de la Ley de Garantías Electorales. En este sentido, la Circular, refiriéndose al parágrafo del artículo 38 de la Ley 996 de 2005, expresa:</w:t>
      </w:r>
    </w:p>
    <w:p w14:paraId="690250B9" w14:textId="77777777" w:rsidR="00DF5E7F" w:rsidRPr="00317783" w:rsidRDefault="00DF5E7F" w:rsidP="00DF5E7F">
      <w:pPr>
        <w:widowControl w:val="0"/>
        <w:autoSpaceDE w:val="0"/>
        <w:autoSpaceDN w:val="0"/>
        <w:spacing w:after="0" w:line="276" w:lineRule="auto"/>
        <w:contextualSpacing/>
        <w:jc w:val="both"/>
        <w:rPr>
          <w:rFonts w:ascii="Century Gothic" w:eastAsia="Arial" w:hAnsi="Century Gothic" w:cs="Arial"/>
          <w:lang w:val="es-ES" w:eastAsia="es-ES" w:bidi="es-ES"/>
        </w:rPr>
      </w:pPr>
    </w:p>
    <w:p w14:paraId="18DFB21C" w14:textId="77777777" w:rsidR="00DF5E7F" w:rsidRPr="00317783" w:rsidRDefault="00DF5E7F" w:rsidP="00DF5E7F">
      <w:pPr>
        <w:spacing w:after="120" w:line="240" w:lineRule="auto"/>
        <w:ind w:left="709" w:right="709"/>
        <w:contextualSpacing/>
        <w:jc w:val="both"/>
        <w:rPr>
          <w:rFonts w:ascii="Century Gothic" w:eastAsia="Calibri" w:hAnsi="Century Gothic" w:cs="Arial"/>
          <w:sz w:val="20"/>
          <w:szCs w:val="20"/>
          <w:lang w:val="es-MX"/>
        </w:rPr>
      </w:pPr>
      <w:r w:rsidRPr="00317783">
        <w:rPr>
          <w:rFonts w:ascii="Century Gothic" w:eastAsia="Calibri" w:hAnsi="Century Gothic" w:cs="Arial"/>
          <w:sz w:val="20"/>
          <w:szCs w:val="20"/>
          <w:lang w:val="es-ES_tradnl"/>
        </w:rPr>
        <w:t xml:space="preserve">“Esta restricción es aplicable tanto a los convenios como a los contratos interadministrativos. Toda vez que, al no existir definición legal que diferencie el concepto de convenio del concepto de contrato, la denominación prevista por la Ley 80 de 1993 y la Ley 1150 de 2007 </w:t>
      </w:r>
      <w:r w:rsidRPr="00317783">
        <w:rPr>
          <w:rFonts w:ascii="Century Gothic" w:eastAsia="Calibri" w:hAnsi="Century Gothic" w:cs="Arial"/>
          <w:sz w:val="20"/>
          <w:szCs w:val="20"/>
          <w:lang w:val="es-MX"/>
        </w:rPr>
        <w:t>para tal fin, se entenderán en el mismo sentido. Es así como el Decreto 1082 de 2015 trata indistintamente a los convenios y contratos interadministrativos, al establecer la contratación directa como la modalidad de selección para la contratación entre entidades públicas a través de estas dos figuras jurídicas.</w:t>
      </w:r>
    </w:p>
    <w:p w14:paraId="58C09B09" w14:textId="77777777" w:rsidR="00DF5E7F" w:rsidRPr="00317783" w:rsidRDefault="00DF5E7F" w:rsidP="00DF5E7F">
      <w:pPr>
        <w:spacing w:after="120" w:line="240" w:lineRule="auto"/>
        <w:ind w:left="709" w:right="709"/>
        <w:contextualSpacing/>
        <w:jc w:val="both"/>
        <w:rPr>
          <w:rFonts w:ascii="Century Gothic" w:eastAsia="Calibri" w:hAnsi="Century Gothic" w:cs="Arial"/>
          <w:sz w:val="10"/>
          <w:szCs w:val="10"/>
          <w:lang w:val="es-MX"/>
        </w:rPr>
      </w:pPr>
    </w:p>
    <w:p w14:paraId="70089151" w14:textId="77777777" w:rsidR="00DF5E7F" w:rsidRPr="00317783" w:rsidRDefault="00DF5E7F" w:rsidP="00DF5E7F">
      <w:pPr>
        <w:spacing w:after="120" w:line="240" w:lineRule="auto"/>
        <w:ind w:left="709" w:right="709"/>
        <w:contextualSpacing/>
        <w:jc w:val="both"/>
        <w:rPr>
          <w:rFonts w:ascii="Century Gothic" w:eastAsia="Calibri" w:hAnsi="Century Gothic" w:cs="Arial"/>
          <w:sz w:val="20"/>
          <w:szCs w:val="20"/>
          <w:lang w:val="es-MX"/>
        </w:rPr>
      </w:pPr>
      <w:r w:rsidRPr="00317783">
        <w:rPr>
          <w:rFonts w:ascii="Century Gothic" w:eastAsia="Calibri" w:hAnsi="Century Gothic" w:cs="Arial"/>
          <w:sz w:val="20"/>
          <w:szCs w:val="20"/>
          <w:lang w:val="es-MX"/>
        </w:rPr>
        <w:t>No obstante, por vía jurisprudencial se ha establecido que en los contratos interadministrativos existe una contraprestación directa a favor de la entidad que ha entregado el bien o prestado el servicio a la Entidad contratante, habilitado para ello por su objeto legal como entidad ejecutora, como quiera que las obligaciones asignadas legalmente a aquella entidad pública están directamente relacionadas con el objeto contractual. Por su parte, en los convenios interadministrativos las entidades se asocian con el fin de cooperar en el cumplimiento de funciones administrativas o de prestar conjuntamente servicios que se hallen a su cargo, sin que exista una contraprestación para ninguna de las entidades ni la prestación de un servicio a cargo de alguna de ellas y en favor de la otra parte del convenio.</w:t>
      </w:r>
    </w:p>
    <w:p w14:paraId="13BBC398" w14:textId="77777777" w:rsidR="00DF5E7F" w:rsidRPr="00317783" w:rsidRDefault="00DF5E7F" w:rsidP="00DF5E7F">
      <w:pPr>
        <w:spacing w:after="120" w:line="240" w:lineRule="auto"/>
        <w:ind w:left="709" w:right="709"/>
        <w:contextualSpacing/>
        <w:jc w:val="both"/>
        <w:rPr>
          <w:rFonts w:ascii="Century Gothic" w:eastAsia="Calibri" w:hAnsi="Century Gothic" w:cs="Arial"/>
          <w:sz w:val="10"/>
          <w:szCs w:val="10"/>
          <w:lang w:val="es-MX"/>
        </w:rPr>
      </w:pPr>
    </w:p>
    <w:p w14:paraId="254B58BD" w14:textId="77777777" w:rsidR="00DF5E7F" w:rsidRPr="00317783" w:rsidRDefault="00DF5E7F" w:rsidP="00DF5E7F">
      <w:pPr>
        <w:spacing w:after="0" w:line="240" w:lineRule="auto"/>
        <w:ind w:left="709" w:right="709"/>
        <w:contextualSpacing/>
        <w:jc w:val="both"/>
        <w:rPr>
          <w:rFonts w:ascii="Century Gothic" w:eastAsia="Calibri" w:hAnsi="Century Gothic" w:cs="Arial"/>
          <w:szCs w:val="20"/>
          <w:lang w:val="es-MX"/>
        </w:rPr>
      </w:pPr>
      <w:r w:rsidRPr="00317783">
        <w:rPr>
          <w:rFonts w:ascii="Century Gothic" w:eastAsia="Calibri" w:hAnsi="Century Gothic" w:cs="Arial"/>
          <w:sz w:val="20"/>
          <w:szCs w:val="20"/>
          <w:lang w:val="es-MX"/>
        </w:rPr>
        <w:t xml:space="preserve">En el contexto de la Ley de Garantías, las restricciones además de propender por la igualdad de los candidatos están encaminadas a evitar que por </w:t>
      </w:r>
      <w:r w:rsidRPr="00317783">
        <w:rPr>
          <w:rFonts w:ascii="Century Gothic" w:eastAsia="Calibri" w:hAnsi="Century Gothic" w:cs="Arial"/>
          <w:sz w:val="20"/>
          <w:szCs w:val="20"/>
          <w:lang w:val="es-MX"/>
        </w:rPr>
        <w:lastRenderedPageBreak/>
        <w:t>medio de la contratación se altere la voluntad popular, lo cual se puede lograr a través de contratos o convenios. En este sentido, la prohibición que establece el parágrafo del artículo 38 de la Ley de Garantías consiste en evitar que los recursos del Estado se ejecuten para lograr apoyos indebidos mediante la suscripción de contratos y/o convenios, que para efectos de la Ley de Garantías tienen la misma connotación y propósito”.</w:t>
      </w:r>
    </w:p>
    <w:p w14:paraId="56981F2E" w14:textId="77777777" w:rsidR="00DF5E7F" w:rsidRPr="00317783" w:rsidRDefault="00DF5E7F" w:rsidP="00DF5E7F">
      <w:pPr>
        <w:widowControl w:val="0"/>
        <w:autoSpaceDE w:val="0"/>
        <w:autoSpaceDN w:val="0"/>
        <w:spacing w:after="0" w:line="276" w:lineRule="auto"/>
        <w:contextualSpacing/>
        <w:jc w:val="both"/>
        <w:rPr>
          <w:rFonts w:ascii="Century Gothic" w:eastAsia="Arial" w:hAnsi="Century Gothic" w:cs="Arial"/>
          <w:lang w:val="es-ES" w:eastAsia="es-ES" w:bidi="es-ES"/>
        </w:rPr>
      </w:pPr>
    </w:p>
    <w:p w14:paraId="24F0FD5B" w14:textId="77777777" w:rsidR="00DF5E7F" w:rsidRPr="00317783" w:rsidRDefault="00DF5E7F" w:rsidP="00DF5E7F">
      <w:pPr>
        <w:widowControl w:val="0"/>
        <w:autoSpaceDE w:val="0"/>
        <w:autoSpaceDN w:val="0"/>
        <w:spacing w:after="120" w:line="276" w:lineRule="auto"/>
        <w:jc w:val="both"/>
        <w:rPr>
          <w:rFonts w:ascii="Century Gothic" w:eastAsia="Calibri" w:hAnsi="Century Gothic" w:cs="Arial"/>
          <w:lang w:eastAsia="es-ES" w:bidi="es-ES"/>
        </w:rPr>
      </w:pPr>
      <w:r w:rsidRPr="00317783">
        <w:rPr>
          <w:rFonts w:ascii="Century Gothic" w:eastAsia="Arial" w:hAnsi="Century Gothic" w:cs="Arial"/>
          <w:sz w:val="25"/>
          <w:lang w:val="es-ES" w:eastAsia="es-ES" w:bidi="es-ES"/>
        </w:rPr>
        <w:tab/>
      </w:r>
      <w:r w:rsidRPr="00317783">
        <w:rPr>
          <w:rFonts w:ascii="Century Gothic" w:eastAsia="Arial" w:hAnsi="Century Gothic" w:cs="Arial"/>
          <w:lang w:val="es-ES" w:eastAsia="es-ES" w:bidi="es-ES"/>
        </w:rPr>
        <w:t>Teniendo en cuenta lo anterior, se reitera la conclusión en el sentido de que lo que define los contratos o convenios interadministrativos es la naturaleza de las partes, de manera que están determinados por un criterio orgánico, en el sentido de que lo serán aquellos celebrados entre entidades estatales. Además, como se indicó en la Circular citada, no existe una definición legal que diferencie los conceptos de contrato y convenio, por lo que se partió de su asimilación para la aplicación de la Ley de Garantías Electorales. En tal sentido, las referencias realizadas por el legislador a estos términos deben asimilarse, salvo que de su contenido se logre inferir que se le quiere otorgar un contenido en particular, pues como se expresó, el legislador utiliza estos conceptos de forma indistinta.</w:t>
      </w:r>
      <w:bookmarkEnd w:id="30"/>
    </w:p>
    <w:p w14:paraId="4C345723" w14:textId="77777777" w:rsidR="00DF5E7F" w:rsidRPr="00317783" w:rsidRDefault="00DF5E7F" w:rsidP="00DF5E7F">
      <w:pPr>
        <w:tabs>
          <w:tab w:val="left" w:pos="426"/>
        </w:tabs>
        <w:spacing w:after="120" w:line="276" w:lineRule="auto"/>
        <w:ind w:firstLine="709"/>
        <w:jc w:val="both"/>
        <w:rPr>
          <w:rFonts w:ascii="Century Gothic" w:eastAsia="Times New Roman" w:hAnsi="Century Gothic" w:cs="Arial"/>
          <w:lang w:val="es-MX" w:eastAsia="es-CO"/>
        </w:rPr>
      </w:pPr>
      <w:r w:rsidRPr="00317783">
        <w:rPr>
          <w:rFonts w:ascii="Century Gothic" w:eastAsia="Times New Roman" w:hAnsi="Century Gothic" w:cs="Arial"/>
          <w:lang w:eastAsia="es-CO"/>
        </w:rPr>
        <w:t xml:space="preserve">Se observa entonces que </w:t>
      </w:r>
      <w:r w:rsidRPr="00317783">
        <w:rPr>
          <w:rFonts w:ascii="Century Gothic" w:eastAsia="Times New Roman" w:hAnsi="Century Gothic" w:cs="Arial"/>
          <w:lang w:val="es-MX" w:eastAsia="es-CO"/>
        </w:rPr>
        <w:t xml:space="preserve">el parágrafo del artículo 38 de la Ley 996 de 2005 prohíbe a los alcaldes, gobernadores, secretarios, gerentes y directores de las entidades del orden municipal, departamental o distrital celebrar convenios y contratos interadministrativos para la ejecución de recursos públicos. En este sentido, si una o ambas partes de la relación contractual es una entidad de aquellas descritas en el parágrafo </w:t>
      </w:r>
      <w:r w:rsidRPr="00317783">
        <w:rPr>
          <w:rFonts w:ascii="Century Gothic" w:eastAsia="Times New Roman" w:hAnsi="Century Gothic" w:cs="Arial"/>
          <w:i/>
          <w:lang w:val="es-MX" w:eastAsia="es-CO"/>
        </w:rPr>
        <w:t>ibidem</w:t>
      </w:r>
      <w:r w:rsidRPr="00317783">
        <w:rPr>
          <w:rFonts w:ascii="Century Gothic" w:eastAsia="Times New Roman" w:hAnsi="Century Gothic" w:cs="Arial"/>
          <w:lang w:val="es-MX" w:eastAsia="es-CO"/>
        </w:rPr>
        <w:t xml:space="preserve">, no podrá celebrar tales convenios o contratos durante la aplicación de la Ley de Garantías Electorales, toda vez que la citada disposición hace referencia a dicha tipología contractual sin que el legislador hubiere contemplado excepción alguna frente a la modalidad de selección o naturaleza de su objeto. </w:t>
      </w:r>
    </w:p>
    <w:p w14:paraId="0EFFB3B5" w14:textId="77777777" w:rsidR="00DF5E7F" w:rsidRPr="00317783" w:rsidRDefault="00DF5E7F" w:rsidP="00DF5E7F">
      <w:pPr>
        <w:widowControl w:val="0"/>
        <w:autoSpaceDE w:val="0"/>
        <w:autoSpaceDN w:val="0"/>
        <w:spacing w:after="0" w:line="276" w:lineRule="auto"/>
        <w:ind w:firstLine="709"/>
        <w:contextualSpacing/>
        <w:jc w:val="both"/>
        <w:rPr>
          <w:rFonts w:ascii="Century Gothic" w:eastAsia="Calibri" w:hAnsi="Century Gothic" w:cs="Arial"/>
          <w:lang w:eastAsia="es-ES" w:bidi="es-ES"/>
        </w:rPr>
      </w:pPr>
      <w:bookmarkStart w:id="31" w:name="_Hlk77154098"/>
      <w:r w:rsidRPr="00317783">
        <w:rPr>
          <w:rFonts w:ascii="Century Gothic" w:eastAsia="Times New Roman" w:hAnsi="Century Gothic" w:cs="Arial"/>
          <w:lang w:val="es-ES" w:eastAsia="es-CO" w:bidi="es-ES"/>
        </w:rPr>
        <w:t>En todo caso</w:t>
      </w:r>
      <w:r w:rsidRPr="00317783">
        <w:rPr>
          <w:rFonts w:ascii="Century Gothic" w:eastAsia="Arial" w:hAnsi="Century Gothic" w:cs="Arial"/>
          <w:lang w:val="es-ES" w:eastAsia="es-ES" w:bidi="es-ES"/>
        </w:rPr>
        <w:t xml:space="preserve">, es importante resaltar que la Sala de Consulta y Servicio Civil del Consejo de Estado se ha pronunciado en el sentido de que </w:t>
      </w:r>
      <w:bookmarkStart w:id="32" w:name="_Hlk78820889"/>
      <w:r w:rsidRPr="00317783">
        <w:rPr>
          <w:rFonts w:ascii="Century Gothic" w:eastAsia="Arial" w:hAnsi="Century Gothic" w:cs="Arial"/>
          <w:lang w:val="es-ES" w:eastAsia="es-ES" w:bidi="es-ES"/>
        </w:rPr>
        <w:t>no se les aplica la restricción contemplada en el artículo 38 de la Ley de Garantías a los convenios o contratos interadministrativos que deben celebrarse en virtud de un fallo judicial. Esto en la medida que la obligatoriedad y la fuerza vinculante de las sentencias ejecutoriadas proferidas por los funcionarios investidos del poder judicial emanan de la autonomía conferida a estos por la Constitución y del derecho que tienen los ciudadanos al acceso y oportuna administración de justicia</w:t>
      </w:r>
      <w:bookmarkEnd w:id="32"/>
      <w:r w:rsidRPr="00317783">
        <w:rPr>
          <w:rFonts w:ascii="Century Gothic" w:eastAsia="Arial" w:hAnsi="Century Gothic" w:cs="Arial"/>
          <w:vertAlign w:val="superscript"/>
          <w:lang w:val="es-ES" w:eastAsia="es-ES" w:bidi="es-ES"/>
        </w:rPr>
        <w:footnoteReference w:id="22"/>
      </w:r>
      <w:r w:rsidRPr="00317783">
        <w:rPr>
          <w:rFonts w:ascii="Century Gothic" w:eastAsia="Calibri" w:hAnsi="Century Gothic" w:cs="Arial"/>
          <w:lang w:eastAsia="es-ES" w:bidi="es-ES"/>
        </w:rPr>
        <w:t>.</w:t>
      </w:r>
      <w:bookmarkEnd w:id="31"/>
    </w:p>
    <w:p w14:paraId="029DE001" w14:textId="77777777" w:rsidR="00DF5E7F" w:rsidRPr="00317783" w:rsidRDefault="00DF5E7F" w:rsidP="00DF5E7F">
      <w:pPr>
        <w:widowControl w:val="0"/>
        <w:autoSpaceDE w:val="0"/>
        <w:autoSpaceDN w:val="0"/>
        <w:spacing w:after="0" w:line="276" w:lineRule="auto"/>
        <w:contextualSpacing/>
        <w:jc w:val="both"/>
        <w:rPr>
          <w:rFonts w:ascii="Century Gothic" w:eastAsia="Calibri" w:hAnsi="Century Gothic" w:cs="Arial"/>
          <w:lang w:eastAsia="es-ES" w:bidi="es-ES"/>
        </w:rPr>
      </w:pPr>
    </w:p>
    <w:p w14:paraId="7DA73125" w14:textId="77777777" w:rsidR="00DF5E7F" w:rsidRPr="00317783" w:rsidRDefault="00DF5E7F" w:rsidP="00DF5E7F">
      <w:pPr>
        <w:spacing w:after="0" w:line="276" w:lineRule="auto"/>
        <w:contextualSpacing/>
        <w:jc w:val="both"/>
        <w:rPr>
          <w:rFonts w:ascii="Century Gothic" w:eastAsia="Times New Roman" w:hAnsi="Century Gothic" w:cs="Arial"/>
          <w:b/>
          <w:bCs/>
          <w:szCs w:val="24"/>
          <w:lang w:eastAsia="es-ES_tradnl"/>
        </w:rPr>
      </w:pPr>
      <w:r w:rsidRPr="00317783">
        <w:rPr>
          <w:rFonts w:ascii="Century Gothic" w:eastAsia="Calibri" w:hAnsi="Century Gothic" w:cs="Arial"/>
          <w:b/>
          <w:lang w:eastAsia="es-ES" w:bidi="es-ES"/>
        </w:rPr>
        <w:t xml:space="preserve">2.3. </w:t>
      </w:r>
      <w:bookmarkStart w:id="33" w:name="_Hlk143009424"/>
      <w:r w:rsidRPr="00317783">
        <w:rPr>
          <w:rFonts w:ascii="Century Gothic" w:eastAsia="Times New Roman" w:hAnsi="Century Gothic" w:cs="Arial"/>
          <w:b/>
          <w:bCs/>
          <w:szCs w:val="24"/>
          <w:lang w:eastAsia="es-ES_tradnl"/>
        </w:rPr>
        <w:t xml:space="preserve">Concejos municipales como entidades estatales: impacto en la aplicación de la Ley de Garantías </w:t>
      </w:r>
      <w:bookmarkEnd w:id="33"/>
    </w:p>
    <w:p w14:paraId="12154DC9" w14:textId="77777777" w:rsidR="00DF5E7F" w:rsidRPr="00317783" w:rsidRDefault="00DF5E7F" w:rsidP="00DF5E7F">
      <w:pPr>
        <w:autoSpaceDE w:val="0"/>
        <w:autoSpaceDN w:val="0"/>
        <w:adjustRightInd w:val="0"/>
        <w:spacing w:after="0" w:line="276" w:lineRule="auto"/>
        <w:jc w:val="both"/>
        <w:rPr>
          <w:rFonts w:ascii="Century Gothic" w:eastAsia="Times New Roman" w:hAnsi="Century Gothic" w:cs="Arial"/>
          <w:color w:val="000000"/>
          <w:szCs w:val="24"/>
          <w:lang w:val="es-ES_tradnl" w:eastAsia="es-ES_tradnl"/>
        </w:rPr>
      </w:pPr>
    </w:p>
    <w:p w14:paraId="5655CD71" w14:textId="77777777" w:rsidR="00DF5E7F" w:rsidRPr="00317783" w:rsidRDefault="00DF5E7F" w:rsidP="00DF5E7F">
      <w:pPr>
        <w:spacing w:after="120" w:line="276" w:lineRule="auto"/>
        <w:jc w:val="both"/>
        <w:rPr>
          <w:rFonts w:ascii="Century Gothic" w:eastAsia="Calibri" w:hAnsi="Century Gothic" w:cs="Arial"/>
          <w:lang w:val="es-ES"/>
        </w:rPr>
      </w:pPr>
      <w:r w:rsidRPr="00317783">
        <w:rPr>
          <w:rFonts w:ascii="Century Gothic" w:eastAsia="Calibri" w:hAnsi="Century Gothic" w:cs="Arial"/>
          <w:lang w:val="es-ES"/>
        </w:rPr>
        <w:t>El concepto de entidades estatales de la Ley 80 de 1993 es importante para efectos de la aplicación del Estatuto General. Aunque el numeral 1 de ese artículo no lista expresamente a los concejos, el literal b) de dicho numeral dispone que son entidades estatales “los organismos o dependencias del Estado a los que la ley otorgue capacidad para celebrar contratos”. De otra parte, el numeral 2 del artículo 2 de la Ley 80 de 1993 considera como servidores públicos a “b) Los miembros de las corporaciones públicas que tengan capacidad para celebrar contratos en representación de éstas”.</w:t>
      </w:r>
    </w:p>
    <w:p w14:paraId="34B75572" w14:textId="77777777" w:rsidR="00DF5E7F" w:rsidRPr="00317783" w:rsidRDefault="00DF5E7F" w:rsidP="00DF5E7F">
      <w:pPr>
        <w:spacing w:after="0" w:line="276" w:lineRule="auto"/>
        <w:ind w:firstLine="709"/>
        <w:jc w:val="both"/>
        <w:rPr>
          <w:rFonts w:ascii="Century Gothic" w:eastAsia="Calibri" w:hAnsi="Century Gothic" w:cs="Arial"/>
          <w:lang w:val="es-ES"/>
        </w:rPr>
      </w:pPr>
      <w:r w:rsidRPr="00317783">
        <w:rPr>
          <w:rFonts w:ascii="Century Gothic" w:eastAsia="Calibri" w:hAnsi="Century Gothic" w:cs="Arial"/>
          <w:lang w:val="es-ES"/>
        </w:rPr>
        <w:t xml:space="preserve">De los apartes transcritos se desprende, en primer lugar, que los miembros de las corporaciones públicas que tengan capacidad para celebrar contratos en representación de estas son funcionarios públicos para efectos de la Ley 80 de 1993. Con ello, el Estatuto General acepta tácitamente la capacidad de contratación de las corporaciones públicas. En segundo lugar, se observa que el numeral primero literal b) no incluyó expresamente a los concejos municipales, por lo cual la calidad de entidad estatal que puede predicarse de estas corporaciones depende de que la ley les otorgue capacidad para celebrar contratos. Sobre este punto, el artículo 352 de la Constitución Política de 1991 prescribe: </w:t>
      </w:r>
    </w:p>
    <w:p w14:paraId="7855D7BE" w14:textId="77777777" w:rsidR="00DF5E7F" w:rsidRPr="00317783" w:rsidRDefault="00DF5E7F" w:rsidP="00DF5E7F">
      <w:pPr>
        <w:tabs>
          <w:tab w:val="left" w:pos="426"/>
        </w:tabs>
        <w:spacing w:after="0" w:line="276" w:lineRule="auto"/>
        <w:jc w:val="both"/>
        <w:rPr>
          <w:rFonts w:ascii="Century Gothic" w:eastAsia="Calibri" w:hAnsi="Century Gothic" w:cs="Arial"/>
          <w:bCs/>
          <w:color w:val="000000" w:themeColor="text1"/>
          <w:lang w:val="es-ES"/>
        </w:rPr>
      </w:pPr>
    </w:p>
    <w:p w14:paraId="1042925B" w14:textId="77777777" w:rsidR="00DF5E7F" w:rsidRPr="00317783" w:rsidRDefault="00DF5E7F" w:rsidP="00DF5E7F">
      <w:pPr>
        <w:spacing w:after="0" w:line="240" w:lineRule="auto"/>
        <w:ind w:left="709" w:right="616"/>
        <w:jc w:val="both"/>
        <w:rPr>
          <w:rFonts w:ascii="Century Gothic" w:eastAsia="Calibri" w:hAnsi="Century Gothic" w:cs="Arial"/>
          <w:bCs/>
          <w:color w:val="000000" w:themeColor="text1"/>
          <w:sz w:val="20"/>
          <w:szCs w:val="20"/>
          <w:lang w:val="es-ES"/>
        </w:rPr>
      </w:pPr>
      <w:r w:rsidRPr="00317783">
        <w:rPr>
          <w:rFonts w:ascii="Century Gothic" w:eastAsia="Calibri" w:hAnsi="Century Gothic" w:cs="Arial"/>
          <w:bCs/>
          <w:color w:val="000000" w:themeColor="text1"/>
          <w:sz w:val="20"/>
          <w:szCs w:val="20"/>
          <w:lang w:val="es-ES"/>
        </w:rPr>
        <w:t>“Artículo 352. Además de lo señalado en esta Constitución, la Ley Orgánica del Presupuesto regulará lo correspondiente a la programación, aprobación, modificación, ejecución de los presupuestos de la Nación, de las entidades territoriales y de los entes descentralizados de cualquier nivel administrativo, y su coordinación con el Plan Nacional de Desarrollo, así como también la capacidad de los organismos y entidades estatales para contratar”.</w:t>
      </w:r>
    </w:p>
    <w:p w14:paraId="64F56A20" w14:textId="77777777" w:rsidR="00DF5E7F" w:rsidRPr="00317783" w:rsidRDefault="00DF5E7F" w:rsidP="00DF5E7F">
      <w:pPr>
        <w:tabs>
          <w:tab w:val="left" w:pos="426"/>
        </w:tabs>
        <w:spacing w:after="0" w:line="276" w:lineRule="auto"/>
        <w:jc w:val="both"/>
        <w:rPr>
          <w:rFonts w:ascii="Century Gothic" w:eastAsia="Calibri" w:hAnsi="Century Gothic" w:cs="Arial"/>
          <w:bCs/>
          <w:color w:val="000000" w:themeColor="text1"/>
          <w:lang w:val="es-ES"/>
        </w:rPr>
      </w:pPr>
    </w:p>
    <w:p w14:paraId="35F528E3" w14:textId="77777777" w:rsidR="00DF5E7F" w:rsidRPr="00317783" w:rsidRDefault="00DF5E7F" w:rsidP="00DF5E7F">
      <w:pPr>
        <w:tabs>
          <w:tab w:val="left" w:pos="709"/>
        </w:tabs>
        <w:spacing w:after="0" w:line="276" w:lineRule="auto"/>
        <w:ind w:firstLine="709"/>
        <w:jc w:val="both"/>
        <w:rPr>
          <w:rFonts w:ascii="Century Gothic" w:eastAsia="Calibri" w:hAnsi="Century Gothic" w:cs="Arial"/>
          <w:bCs/>
          <w:color w:val="000000" w:themeColor="text1"/>
          <w:lang w:val="es-ES"/>
        </w:rPr>
      </w:pPr>
      <w:r w:rsidRPr="00317783">
        <w:rPr>
          <w:rFonts w:ascii="Century Gothic" w:eastAsia="Calibri" w:hAnsi="Century Gothic" w:cs="Arial"/>
          <w:bCs/>
          <w:color w:val="000000" w:themeColor="text1"/>
          <w:lang w:val="es-ES"/>
        </w:rPr>
        <w:t xml:space="preserve">Constitucionalmente corresponde a la Ley Orgánica del Presupuesto regular la capacidad de los organismos y entidades estatales para contratar. En esta medida, para entender el alcance del artículo 2, literal b) del numeral 1, de la Ley 80 de 1993 es necesario concordarlo con el artículo 110 del Decreto 111 de 1996. Esta norma, modificada </w:t>
      </w:r>
      <w:r w:rsidRPr="00317783">
        <w:rPr>
          <w:rFonts w:ascii="Century Gothic" w:eastAsia="Calibri" w:hAnsi="Century Gothic" w:cs="Arial"/>
          <w:color w:val="000000" w:themeColor="text1"/>
          <w:lang w:val="es-ES"/>
        </w:rPr>
        <w:t xml:space="preserve">por el artículo 124 de la Ley 1957 de 2019, dispone: </w:t>
      </w:r>
    </w:p>
    <w:p w14:paraId="192E6F73" w14:textId="77777777" w:rsidR="00DF5E7F" w:rsidRPr="00317783" w:rsidRDefault="00DF5E7F" w:rsidP="00DF5E7F">
      <w:pPr>
        <w:tabs>
          <w:tab w:val="left" w:pos="426"/>
        </w:tabs>
        <w:spacing w:after="0" w:line="276" w:lineRule="auto"/>
        <w:jc w:val="both"/>
        <w:rPr>
          <w:rFonts w:ascii="Century Gothic" w:eastAsia="Calibri" w:hAnsi="Century Gothic" w:cs="Arial"/>
          <w:color w:val="000000" w:themeColor="text1"/>
          <w:lang w:val="es-ES"/>
        </w:rPr>
      </w:pPr>
    </w:p>
    <w:p w14:paraId="2576403B" w14:textId="77777777" w:rsidR="00DF5E7F" w:rsidRPr="00317783" w:rsidRDefault="00DF5E7F" w:rsidP="00DF5E7F">
      <w:pPr>
        <w:tabs>
          <w:tab w:val="left" w:pos="709"/>
        </w:tabs>
        <w:spacing w:after="0" w:line="240" w:lineRule="auto"/>
        <w:ind w:left="709" w:right="709"/>
        <w:jc w:val="both"/>
        <w:rPr>
          <w:rFonts w:ascii="Century Gothic" w:eastAsia="Calibri" w:hAnsi="Century Gothic" w:cs="Arial"/>
          <w:color w:val="000000" w:themeColor="text1"/>
          <w:sz w:val="21"/>
          <w:szCs w:val="21"/>
        </w:rPr>
      </w:pPr>
      <w:r w:rsidRPr="00317783">
        <w:rPr>
          <w:rFonts w:ascii="Century Gothic" w:eastAsia="Calibri" w:hAnsi="Century Gothic" w:cs="Arial"/>
          <w:color w:val="000000" w:themeColor="text1"/>
          <w:sz w:val="21"/>
          <w:szCs w:val="21"/>
        </w:rPr>
        <w:t xml:space="preserve">“Artículo. 110. Los órganos que son una sección en el Presupuesto General de la Nación, </w:t>
      </w:r>
      <w:r w:rsidRPr="00317783">
        <w:rPr>
          <w:rFonts w:ascii="Century Gothic" w:eastAsia="Calibri" w:hAnsi="Century Gothic" w:cs="Arial"/>
          <w:i/>
          <w:iCs/>
          <w:color w:val="000000" w:themeColor="text1"/>
          <w:sz w:val="21"/>
          <w:szCs w:val="21"/>
        </w:rPr>
        <w:t>tendrán la capacidad de contratar</w:t>
      </w:r>
      <w:r w:rsidRPr="00317783">
        <w:rPr>
          <w:rFonts w:ascii="Century Gothic" w:eastAsia="Calibri" w:hAnsi="Century Gothic" w:cs="Arial"/>
          <w:b/>
          <w:bCs/>
          <w:color w:val="000000" w:themeColor="text1"/>
          <w:sz w:val="21"/>
          <w:szCs w:val="21"/>
        </w:rPr>
        <w:t xml:space="preserve"> </w:t>
      </w:r>
      <w:r w:rsidRPr="00317783">
        <w:rPr>
          <w:rFonts w:ascii="Century Gothic" w:eastAsia="Calibri" w:hAnsi="Century Gothic" w:cs="Arial"/>
          <w:color w:val="000000" w:themeColor="text1"/>
          <w:sz w:val="21"/>
          <w:szCs w:val="21"/>
        </w:rPr>
        <w:t xml:space="preserve">y comprometer a nombre de la persona jurídica de la cual hagan parte, y </w:t>
      </w:r>
      <w:r w:rsidRPr="00317783">
        <w:rPr>
          <w:rFonts w:ascii="Century Gothic" w:eastAsia="Calibri" w:hAnsi="Century Gothic" w:cs="Arial"/>
          <w:color w:val="000000" w:themeColor="text1"/>
          <w:sz w:val="21"/>
          <w:szCs w:val="21"/>
        </w:rPr>
        <w:lastRenderedPageBreak/>
        <w:t xml:space="preserve">ordenar el gasto en desarrollo de las apropiaciones incorporadas en la respectiva sección, lo que constituye la autonomía presupuestal a que se refieren la Constitución Política y la ley. </w:t>
      </w:r>
      <w:r w:rsidRPr="00317783">
        <w:rPr>
          <w:rFonts w:ascii="Century Gothic" w:eastAsia="Calibri" w:hAnsi="Century Gothic" w:cs="Arial"/>
          <w:i/>
          <w:iCs/>
          <w:color w:val="000000" w:themeColor="text1"/>
          <w:sz w:val="21"/>
          <w:szCs w:val="21"/>
        </w:rPr>
        <w:t>Estas facultades estarán en cabeza del jefe de cada órgano quien podrá delegarlas en funcionarios del nivel directivo, o quien haga sus veces, y serán ejercidas teniendo en cuenta las normas consagradas en el Estatuto General de Contratación de la Administración Pública y en las disposiciones legales vigentes</w:t>
      </w:r>
      <w:r w:rsidRPr="00317783">
        <w:rPr>
          <w:rFonts w:ascii="Century Gothic" w:eastAsia="Calibri" w:hAnsi="Century Gothic" w:cs="Arial"/>
          <w:color w:val="000000" w:themeColor="text1"/>
          <w:sz w:val="21"/>
          <w:szCs w:val="21"/>
        </w:rPr>
        <w:t>.</w:t>
      </w:r>
    </w:p>
    <w:p w14:paraId="448AECC7" w14:textId="77777777" w:rsidR="00DF5E7F" w:rsidRPr="00317783" w:rsidRDefault="00DF5E7F" w:rsidP="00DF5E7F">
      <w:pPr>
        <w:tabs>
          <w:tab w:val="left" w:pos="709"/>
        </w:tabs>
        <w:spacing w:after="120" w:line="240" w:lineRule="auto"/>
        <w:ind w:left="709" w:right="709"/>
        <w:jc w:val="both"/>
        <w:rPr>
          <w:rFonts w:ascii="Century Gothic" w:eastAsia="Calibri" w:hAnsi="Century Gothic" w:cs="Arial"/>
          <w:color w:val="000000" w:themeColor="text1"/>
          <w:sz w:val="21"/>
          <w:szCs w:val="21"/>
        </w:rPr>
      </w:pPr>
      <w:r w:rsidRPr="00317783">
        <w:rPr>
          <w:rFonts w:ascii="Century Gothic" w:eastAsia="Calibri" w:hAnsi="Century Gothic" w:cs="Arial"/>
          <w:color w:val="000000" w:themeColor="text1"/>
          <w:sz w:val="21"/>
          <w:szCs w:val="21"/>
        </w:rPr>
        <w:t>[…]</w:t>
      </w:r>
    </w:p>
    <w:p w14:paraId="20AA63DD" w14:textId="77777777" w:rsidR="00DF5E7F" w:rsidRPr="00317783" w:rsidRDefault="00DF5E7F" w:rsidP="00DF5E7F">
      <w:pPr>
        <w:tabs>
          <w:tab w:val="left" w:pos="709"/>
        </w:tabs>
        <w:spacing w:after="120" w:line="240" w:lineRule="auto"/>
        <w:ind w:left="709" w:right="709"/>
        <w:jc w:val="both"/>
        <w:rPr>
          <w:rFonts w:ascii="Century Gothic" w:eastAsia="Calibri" w:hAnsi="Century Gothic" w:cs="Arial"/>
          <w:color w:val="000000" w:themeColor="text1"/>
          <w:sz w:val="21"/>
          <w:szCs w:val="21"/>
        </w:rPr>
      </w:pPr>
      <w:r w:rsidRPr="00317783">
        <w:rPr>
          <w:rFonts w:ascii="Century Gothic" w:eastAsia="Calibri" w:hAnsi="Century Gothic" w:cs="Arial"/>
          <w:i/>
          <w:iCs/>
          <w:color w:val="000000" w:themeColor="text1"/>
          <w:sz w:val="21"/>
          <w:szCs w:val="21"/>
        </w:rPr>
        <w:t>En los mismos términos y condiciones tendrán estas capacidades</w:t>
      </w:r>
      <w:r w:rsidRPr="00317783">
        <w:rPr>
          <w:rFonts w:ascii="Century Gothic" w:eastAsia="Calibri" w:hAnsi="Century Gothic" w:cs="Arial"/>
          <w:color w:val="000000" w:themeColor="text1"/>
          <w:sz w:val="21"/>
          <w:szCs w:val="21"/>
        </w:rPr>
        <w:t xml:space="preserve"> las Superintendencias, Unidades Administrativas Especiales, las Entidades Territoriales, Asambleas y </w:t>
      </w:r>
      <w:r w:rsidRPr="00317783">
        <w:rPr>
          <w:rFonts w:ascii="Century Gothic" w:eastAsia="Calibri" w:hAnsi="Century Gothic" w:cs="Arial"/>
          <w:i/>
          <w:iCs/>
          <w:color w:val="000000" w:themeColor="text1"/>
          <w:sz w:val="21"/>
          <w:szCs w:val="21"/>
        </w:rPr>
        <w:t>Concejos</w:t>
      </w:r>
      <w:r w:rsidRPr="00317783">
        <w:rPr>
          <w:rFonts w:ascii="Century Gothic" w:eastAsia="Calibri" w:hAnsi="Century Gothic" w:cs="Arial"/>
          <w:color w:val="000000" w:themeColor="text1"/>
          <w:sz w:val="21"/>
          <w:szCs w:val="21"/>
        </w:rPr>
        <w:t>, las Contralorías y Personerías Territoriales</w:t>
      </w:r>
      <w:r w:rsidRPr="00317783">
        <w:rPr>
          <w:rFonts w:ascii="Century Gothic" w:eastAsia="Calibri" w:hAnsi="Century Gothic" w:cs="Arial"/>
          <w:color w:val="000000" w:themeColor="text1"/>
          <w:sz w:val="21"/>
          <w:szCs w:val="21"/>
          <w:u w:val="single"/>
        </w:rPr>
        <w:t xml:space="preserve"> </w:t>
      </w:r>
      <w:r w:rsidRPr="00317783">
        <w:rPr>
          <w:rFonts w:ascii="Century Gothic" w:eastAsia="Calibri" w:hAnsi="Century Gothic" w:cs="Arial"/>
          <w:color w:val="000000" w:themeColor="text1"/>
          <w:sz w:val="21"/>
          <w:szCs w:val="21"/>
        </w:rPr>
        <w:t>y todos los demás órganos estatales de cualquier nivel que tengan personería jurídica.</w:t>
      </w:r>
    </w:p>
    <w:p w14:paraId="43C5D965" w14:textId="77777777" w:rsidR="00DF5E7F" w:rsidRPr="00317783" w:rsidRDefault="00DF5E7F" w:rsidP="00DF5E7F">
      <w:pPr>
        <w:tabs>
          <w:tab w:val="left" w:pos="709"/>
        </w:tabs>
        <w:spacing w:after="0" w:line="240" w:lineRule="auto"/>
        <w:ind w:left="709" w:right="709"/>
        <w:jc w:val="both"/>
        <w:rPr>
          <w:rFonts w:ascii="Century Gothic" w:eastAsia="Calibri" w:hAnsi="Century Gothic" w:cs="Arial"/>
          <w:color w:val="000000" w:themeColor="text1"/>
          <w:sz w:val="21"/>
          <w:szCs w:val="21"/>
        </w:rPr>
      </w:pPr>
      <w:r w:rsidRPr="00317783">
        <w:rPr>
          <w:rFonts w:ascii="Century Gothic" w:eastAsia="Calibri" w:hAnsi="Century Gothic" w:cs="Arial"/>
          <w:color w:val="000000" w:themeColor="text1"/>
          <w:sz w:val="21"/>
          <w:szCs w:val="21"/>
        </w:rPr>
        <w:t xml:space="preserve">En todo caso, el </w:t>
      </w:r>
      <w:proofErr w:type="gramStart"/>
      <w:r w:rsidRPr="00317783">
        <w:rPr>
          <w:rFonts w:ascii="Century Gothic" w:eastAsia="Calibri" w:hAnsi="Century Gothic" w:cs="Arial"/>
          <w:color w:val="000000" w:themeColor="text1"/>
          <w:sz w:val="21"/>
          <w:szCs w:val="21"/>
        </w:rPr>
        <w:t>Presidente</w:t>
      </w:r>
      <w:proofErr w:type="gramEnd"/>
      <w:r w:rsidRPr="00317783">
        <w:rPr>
          <w:rFonts w:ascii="Century Gothic" w:eastAsia="Calibri" w:hAnsi="Century Gothic" w:cs="Arial"/>
          <w:color w:val="000000" w:themeColor="text1"/>
          <w:sz w:val="21"/>
          <w:szCs w:val="21"/>
        </w:rPr>
        <w:t xml:space="preserve"> de la República podrá celebrar contratos a nombre de la Nación”. (Énfasis fuera de texto)</w:t>
      </w:r>
    </w:p>
    <w:p w14:paraId="1831D5CE" w14:textId="77777777" w:rsidR="00DF5E7F" w:rsidRPr="00317783" w:rsidRDefault="00DF5E7F" w:rsidP="00DF5E7F">
      <w:pPr>
        <w:spacing w:after="0" w:line="276" w:lineRule="auto"/>
        <w:jc w:val="both"/>
        <w:rPr>
          <w:rFonts w:ascii="Century Gothic" w:eastAsia="Calibri" w:hAnsi="Century Gothic" w:cs="Arial"/>
          <w:color w:val="000000" w:themeColor="text1"/>
        </w:rPr>
      </w:pPr>
    </w:p>
    <w:p w14:paraId="4AE3F8B5" w14:textId="77777777" w:rsidR="00DF5E7F" w:rsidRPr="00317783" w:rsidRDefault="00DF5E7F" w:rsidP="00DF5E7F">
      <w:pPr>
        <w:spacing w:after="120" w:line="276" w:lineRule="auto"/>
        <w:ind w:firstLine="709"/>
        <w:jc w:val="both"/>
        <w:rPr>
          <w:rFonts w:ascii="Century Gothic" w:eastAsia="Calibri" w:hAnsi="Century Gothic" w:cs="Arial"/>
          <w:lang w:val="es-ES"/>
        </w:rPr>
      </w:pPr>
      <w:r w:rsidRPr="00317783">
        <w:rPr>
          <w:rFonts w:ascii="Century Gothic" w:eastAsia="Calibri" w:hAnsi="Century Gothic" w:cs="Arial"/>
          <w:lang w:val="es-ES"/>
        </w:rPr>
        <w:t xml:space="preserve">Del artículo 110 del Estatuto Orgánico del Presupuesto se desprende que los concejos tienen facultad para suscribir contratos de manera independiente y que son entidades estatales para el Estatuto General de Contratación Pública, pues son organismos a los que la ley otorga capacidad para celebrar contratos conforme al artículo 2 de la Ley 80 de 1993. Por tanto, de su calidad de entidades estatales para los efectos del Estatuto General de Contratación de la Administración Pública, los concejos tienen los mismos derechos y obligaciones que ese estatuto y sus normas reglamentarias establecen para las entidades estatales en general. </w:t>
      </w:r>
    </w:p>
    <w:p w14:paraId="26C90C6D" w14:textId="77777777" w:rsidR="00DF5E7F" w:rsidRPr="00317783" w:rsidRDefault="00DF5E7F" w:rsidP="00DF5E7F">
      <w:pPr>
        <w:spacing w:after="120" w:line="276" w:lineRule="auto"/>
        <w:ind w:firstLine="709"/>
        <w:jc w:val="both"/>
        <w:rPr>
          <w:rFonts w:ascii="Century Gothic" w:eastAsia="Calibri" w:hAnsi="Century Gothic" w:cs="Arial"/>
          <w:lang w:val="es-ES"/>
        </w:rPr>
      </w:pPr>
      <w:r w:rsidRPr="00317783">
        <w:rPr>
          <w:rFonts w:ascii="Century Gothic" w:eastAsia="Calibri" w:hAnsi="Century Gothic" w:cs="Arial"/>
          <w:lang w:val="es-ES"/>
        </w:rPr>
        <w:t>Este aspecto también delimita las restricciones de la Ley de Garantías tratándose de los concejos municipales, especialmente, cuando las autoridades del literal b) del numeral 1 del artículo 2 del Estatuto General de Contratación de la Administración Pública son entidades estatales sin personería jurídica. Como estos órganos tienen capacidad contractual, pueden celebrar contratos sin necesidad de recibir una delegación previa; circunstancia que permite delegar la competencia en subalternos, lo cual sería imposible si su participación nace de ella puesto que la subdelegación está prohibida</w:t>
      </w:r>
      <w:r w:rsidRPr="00317783">
        <w:rPr>
          <w:rStyle w:val="Refdenotaalpie"/>
          <w:rFonts w:ascii="Century Gothic" w:eastAsia="Calibri" w:hAnsi="Century Gothic" w:cs="Arial"/>
          <w:lang w:val="es-ES"/>
        </w:rPr>
        <w:footnoteReference w:id="23"/>
      </w:r>
      <w:r w:rsidRPr="00317783">
        <w:rPr>
          <w:rFonts w:ascii="Century Gothic" w:eastAsia="Calibri" w:hAnsi="Century Gothic" w:cs="Arial"/>
          <w:lang w:val="es-ES"/>
        </w:rPr>
        <w:t xml:space="preserve">. De esta manera, “[…] el estatuto no se refiere a personas y por tanto no parte del supuesto de que los entes públicos </w:t>
      </w:r>
      <w:r w:rsidRPr="00317783">
        <w:rPr>
          <w:rFonts w:ascii="Century Gothic" w:eastAsia="Calibri" w:hAnsi="Century Gothic" w:cs="Arial"/>
          <w:lang w:val="es-ES"/>
        </w:rPr>
        <w:lastRenderedPageBreak/>
        <w:t>contratantes son exclusivamente la nación colombiana y las entidades descentralizadas, dotadas todas ellas por definición de personería jurídica”</w:t>
      </w:r>
      <w:r w:rsidRPr="00317783">
        <w:rPr>
          <w:rStyle w:val="Refdenotaalpie"/>
          <w:rFonts w:ascii="Century Gothic" w:eastAsia="Calibri" w:hAnsi="Century Gothic" w:cs="Arial"/>
          <w:lang w:val="es-ES"/>
        </w:rPr>
        <w:footnoteReference w:id="24"/>
      </w:r>
      <w:r w:rsidRPr="00317783">
        <w:rPr>
          <w:rFonts w:ascii="Century Gothic" w:eastAsia="Calibri" w:hAnsi="Century Gothic" w:cs="Arial"/>
          <w:lang w:val="es-ES"/>
        </w:rPr>
        <w:t>.</w:t>
      </w:r>
    </w:p>
    <w:p w14:paraId="09EE6ED1" w14:textId="77777777" w:rsidR="00DF5E7F" w:rsidRPr="00317783" w:rsidRDefault="00DF5E7F" w:rsidP="00DF5E7F">
      <w:pPr>
        <w:spacing w:after="120" w:line="276" w:lineRule="auto"/>
        <w:ind w:firstLine="709"/>
        <w:jc w:val="both"/>
        <w:rPr>
          <w:rFonts w:ascii="Century Gothic" w:eastAsia="Times New Roman" w:hAnsi="Century Gothic" w:cs="Arial"/>
          <w:lang w:val="es-MX" w:eastAsia="x-none"/>
        </w:rPr>
      </w:pPr>
      <w:r w:rsidRPr="00317783">
        <w:rPr>
          <w:rFonts w:ascii="Century Gothic" w:eastAsia="Times New Roman" w:hAnsi="Century Gothic" w:cs="Arial"/>
          <w:lang w:val="es-MX" w:eastAsia="x-none"/>
        </w:rPr>
        <w:t>Por ello, tratándose del artículo 33 de la Ley 996 de 2005, la norma señala expresamente a los destinatarios de la prohibición, en el sentido de que son “todos los entes del Estado”, expresión que contempla a los diferentes organismos o entidades autorizadas por la ley para suscribir contratos.</w:t>
      </w:r>
      <w:r w:rsidRPr="00317783">
        <w:rPr>
          <w:rFonts w:ascii="Century Gothic" w:eastAsia="Calibri" w:hAnsi="Century Gothic" w:cs="Arial"/>
          <w:sz w:val="24"/>
          <w:lang w:val="es-MX"/>
        </w:rPr>
        <w:t xml:space="preserve"> </w:t>
      </w:r>
      <w:r w:rsidRPr="00317783">
        <w:rPr>
          <w:rFonts w:ascii="Century Gothic" w:eastAsia="Times New Roman" w:hAnsi="Century Gothic" w:cs="Arial"/>
          <w:lang w:val="es-MX" w:eastAsia="x-none"/>
        </w:rPr>
        <w:t>En efecto, el vocablo “todos” utilizado por el legislador comprende</w:t>
      </w:r>
      <w:r w:rsidRPr="00317783">
        <w:rPr>
          <w:rFonts w:ascii="Century Gothic" w:eastAsia="Calibri" w:hAnsi="Century Gothic" w:cs="Arial"/>
          <w:sz w:val="24"/>
          <w:lang w:val="es-MX"/>
        </w:rPr>
        <w:t xml:space="preserve"> </w:t>
      </w:r>
      <w:r w:rsidRPr="00317783">
        <w:rPr>
          <w:rFonts w:ascii="Century Gothic" w:eastAsia="Times New Roman" w:hAnsi="Century Gothic" w:cs="Arial"/>
          <w:lang w:val="es-MX" w:eastAsia="x-none"/>
        </w:rPr>
        <w:t xml:space="preserve">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 Así, </w:t>
      </w:r>
      <w:r w:rsidRPr="00317783">
        <w:rPr>
          <w:rFonts w:ascii="Century Gothic" w:eastAsia="Calibri" w:hAnsi="Century Gothic" w:cs="Arial"/>
          <w:lang w:val="es-MX"/>
        </w:rPr>
        <w:t xml:space="preserve">la restricción prevista en la Ley 996 de 2005, </w:t>
      </w:r>
      <w:r w:rsidRPr="00317783">
        <w:rPr>
          <w:rFonts w:ascii="Century Gothic" w:eastAsia="Times New Roman" w:hAnsi="Century Gothic" w:cs="Arial"/>
          <w:lang w:val="es-MX" w:eastAsia="x-none"/>
        </w:rPr>
        <w:t xml:space="preserve">teniendo en cuenta la finalidad de la ley de garantías electorales, cobija a cualquier ente público que pueda a través de la contratación directa romper el equilibrio entre los partidos y los candidatos en las elecciones presidenciales. </w:t>
      </w:r>
    </w:p>
    <w:p w14:paraId="1B1E0AC4" w14:textId="77777777" w:rsidR="00DF5E7F" w:rsidRPr="00317783" w:rsidRDefault="00DF5E7F" w:rsidP="00DF5E7F">
      <w:pPr>
        <w:spacing w:after="120" w:line="276" w:lineRule="auto"/>
        <w:ind w:firstLine="709"/>
        <w:jc w:val="both"/>
        <w:rPr>
          <w:rFonts w:ascii="Century Gothic" w:eastAsia="Times New Roman" w:hAnsi="Century Gothic" w:cs="Arial"/>
          <w:lang w:val="es-MX" w:eastAsia="x-none"/>
        </w:rPr>
      </w:pPr>
      <w:r w:rsidRPr="00317783">
        <w:rPr>
          <w:rFonts w:ascii="Century Gothic" w:eastAsia="Times New Roman" w:hAnsi="Century Gothic" w:cs="Arial"/>
          <w:lang w:val="es-MX" w:eastAsia="x-none"/>
        </w:rPr>
        <w:t xml:space="preserve">En contraste, para efectos del parágrafo del artículo 38 de la Ley 996 de 2005, la prohibición de celebrar contratos interadministrativos para la ejecución de recursos públicos no aplica a todas las entidades estatales. Esta se restringe a los gobernadores, alcaldes municipales y/o distritales, secretarios, gerentes y directores de entidades descentralizadas del orden municipal, departamental o distrital dentro de los cuatro (4) meses anteriores a las elecciones. </w:t>
      </w:r>
    </w:p>
    <w:p w14:paraId="6A8FB593" w14:textId="77777777" w:rsidR="00DF5E7F" w:rsidRPr="00317783" w:rsidRDefault="00DF5E7F" w:rsidP="00DF5E7F">
      <w:pPr>
        <w:spacing w:after="120" w:line="276" w:lineRule="auto"/>
        <w:ind w:firstLine="709"/>
        <w:jc w:val="both"/>
        <w:rPr>
          <w:rFonts w:ascii="Century Gothic" w:eastAsia="Times New Roman" w:hAnsi="Century Gothic" w:cs="Arial"/>
          <w:lang w:val="es-MX" w:eastAsia="x-none"/>
        </w:rPr>
      </w:pPr>
      <w:r w:rsidRPr="00317783">
        <w:rPr>
          <w:rFonts w:ascii="Century Gothic" w:eastAsia="Times New Roman" w:hAnsi="Century Gothic" w:cs="Arial"/>
          <w:lang w:val="es-MX" w:eastAsia="x-none"/>
        </w:rPr>
        <w:t xml:space="preserve">Las gobernaciones y alcaldías, tanto en el ámbito municipal como distrital, son una manifestación de la </w:t>
      </w:r>
      <w:r w:rsidRPr="00317783">
        <w:rPr>
          <w:rFonts w:ascii="Century Gothic" w:eastAsia="Times New Roman" w:hAnsi="Century Gothic" w:cs="Arial"/>
          <w:i/>
          <w:iCs/>
          <w:lang w:val="es-MX" w:eastAsia="x-none"/>
        </w:rPr>
        <w:t>descentralización territorial</w:t>
      </w:r>
      <w:r w:rsidRPr="00317783">
        <w:rPr>
          <w:rFonts w:ascii="Century Gothic" w:eastAsia="Times New Roman" w:hAnsi="Century Gothic" w:cs="Arial"/>
          <w:lang w:val="es-MX" w:eastAsia="x-none"/>
        </w:rPr>
        <w:t xml:space="preserve"> en los términos de los artículos 1 y 286 de la Constitución Política de 1991</w:t>
      </w:r>
      <w:r w:rsidRPr="00317783">
        <w:rPr>
          <w:rStyle w:val="Refdenotaalpie"/>
          <w:rFonts w:ascii="Century Gothic" w:eastAsia="Times New Roman" w:hAnsi="Century Gothic" w:cs="Arial"/>
          <w:lang w:val="es-MX" w:eastAsia="x-none"/>
        </w:rPr>
        <w:footnoteReference w:id="25"/>
      </w:r>
      <w:r w:rsidRPr="00317783">
        <w:rPr>
          <w:rFonts w:ascii="Century Gothic" w:eastAsia="Times New Roman" w:hAnsi="Century Gothic" w:cs="Arial"/>
          <w:lang w:val="es-MX" w:eastAsia="x-none"/>
        </w:rPr>
        <w:t xml:space="preserve">. Por el contrario, las entidades descentralizadas del orden municipal, departamental o distrital corresponden al </w:t>
      </w:r>
      <w:r w:rsidRPr="00317783">
        <w:rPr>
          <w:rFonts w:ascii="Century Gothic" w:eastAsia="Times New Roman" w:hAnsi="Century Gothic" w:cs="Arial"/>
          <w:lang w:val="es-MX" w:eastAsia="x-none"/>
        </w:rPr>
        <w:lastRenderedPageBreak/>
        <w:t xml:space="preserve">concepto de </w:t>
      </w:r>
      <w:r w:rsidRPr="00317783">
        <w:rPr>
          <w:rFonts w:ascii="Century Gothic" w:eastAsia="Times New Roman" w:hAnsi="Century Gothic" w:cs="Arial"/>
          <w:i/>
          <w:iCs/>
          <w:lang w:val="es-MX" w:eastAsia="x-none"/>
        </w:rPr>
        <w:t>descentralización por servicios</w:t>
      </w:r>
      <w:r w:rsidRPr="00317783">
        <w:rPr>
          <w:rFonts w:ascii="Century Gothic" w:eastAsia="Times New Roman" w:hAnsi="Century Gothic" w:cs="Arial"/>
          <w:lang w:val="es-MX" w:eastAsia="x-none"/>
        </w:rPr>
        <w:t xml:space="preserve"> de que trata el artículo 209 superior</w:t>
      </w:r>
      <w:r w:rsidRPr="00317783">
        <w:rPr>
          <w:rStyle w:val="Refdenotaalpie"/>
          <w:rFonts w:ascii="Century Gothic" w:eastAsia="Times New Roman" w:hAnsi="Century Gothic" w:cs="Arial"/>
          <w:lang w:val="es-MX" w:eastAsia="x-none"/>
        </w:rPr>
        <w:footnoteReference w:id="26"/>
      </w:r>
      <w:r w:rsidRPr="00317783">
        <w:rPr>
          <w:rFonts w:ascii="Century Gothic" w:eastAsia="Times New Roman" w:hAnsi="Century Gothic" w:cs="Arial"/>
          <w:lang w:val="es-MX" w:eastAsia="x-none"/>
        </w:rPr>
        <w:t>. Mientras la primera se fundamenta sobre una base geográfica y tiene como resultado la creación de personas jurídicas cuya competencia viene determinada por referencia a un territorio, la segunda descansa sobre una base técnica y por ella se confía a una persona jurídica, en la forma de establecimiento público, una actividad determinada</w:t>
      </w:r>
      <w:r w:rsidRPr="00317783">
        <w:rPr>
          <w:rStyle w:val="Refdenotaalpie"/>
          <w:rFonts w:ascii="Century Gothic" w:eastAsia="Times New Roman" w:hAnsi="Century Gothic" w:cs="Arial"/>
          <w:lang w:val="es-MX" w:eastAsia="x-none"/>
        </w:rPr>
        <w:footnoteReference w:id="27"/>
      </w:r>
      <w:r w:rsidRPr="00317783">
        <w:rPr>
          <w:rFonts w:ascii="Century Gothic" w:eastAsia="Times New Roman" w:hAnsi="Century Gothic" w:cs="Arial"/>
          <w:lang w:val="es-MX" w:eastAsia="x-none"/>
        </w:rPr>
        <w:t>. Así, el común denominador de la descentralización es la transferencia de funciones del Estado a otras personas jurídicas públicas</w:t>
      </w:r>
      <w:r w:rsidRPr="00317783">
        <w:rPr>
          <w:rStyle w:val="Refdenotaalpie"/>
          <w:rFonts w:ascii="Century Gothic" w:eastAsia="Times New Roman" w:hAnsi="Century Gothic" w:cs="Arial"/>
          <w:lang w:val="es-MX" w:eastAsia="x-none"/>
        </w:rPr>
        <w:footnoteReference w:id="28"/>
      </w:r>
      <w:r w:rsidRPr="00317783">
        <w:rPr>
          <w:rFonts w:ascii="Century Gothic" w:eastAsia="Times New Roman" w:hAnsi="Century Gothic" w:cs="Arial"/>
          <w:lang w:val="es-MX" w:eastAsia="x-none"/>
        </w:rPr>
        <w:t>.</w:t>
      </w:r>
    </w:p>
    <w:p w14:paraId="2635C755" w14:textId="77777777" w:rsidR="00DF5E7F" w:rsidRPr="00317783" w:rsidRDefault="00DF5E7F" w:rsidP="00DF5E7F">
      <w:pPr>
        <w:spacing w:after="120" w:line="276" w:lineRule="auto"/>
        <w:ind w:firstLine="709"/>
        <w:jc w:val="both"/>
        <w:rPr>
          <w:rFonts w:ascii="Century Gothic" w:eastAsia="Times New Roman" w:hAnsi="Century Gothic" w:cs="Arial"/>
          <w:lang w:val="es-MX" w:eastAsia="x-none"/>
        </w:rPr>
      </w:pPr>
      <w:r w:rsidRPr="00317783">
        <w:rPr>
          <w:rFonts w:ascii="Century Gothic" w:eastAsia="Times New Roman" w:hAnsi="Century Gothic" w:cs="Arial"/>
          <w:lang w:val="es-MX" w:eastAsia="x-none"/>
        </w:rPr>
        <w:t xml:space="preserve">Desde esta perspectiva, en concordancia con el artículo 314 constitucional, la prohibición aplica los alcaldes en calidad de jefes de la administración local y representantes legales del municipio o distrito. Hasta este punto no se observa referencia alguna a los concejos, definidos por el artículo 312 </w:t>
      </w:r>
      <w:r w:rsidRPr="00317783">
        <w:rPr>
          <w:rFonts w:ascii="Century Gothic" w:eastAsia="Times New Roman" w:hAnsi="Century Gothic" w:cs="Arial"/>
          <w:i/>
          <w:iCs/>
          <w:lang w:val="es-MX" w:eastAsia="x-none"/>
        </w:rPr>
        <w:t>ibidem</w:t>
      </w:r>
      <w:r w:rsidRPr="00317783">
        <w:rPr>
          <w:rFonts w:ascii="Century Gothic" w:eastAsia="Times New Roman" w:hAnsi="Century Gothic" w:cs="Arial"/>
          <w:lang w:val="es-MX" w:eastAsia="x-none"/>
        </w:rPr>
        <w:t xml:space="preserve"> como una corporación político – administrativa de carácter colegiado elegida popularmente para períodos de cuatro (4) años, para ejercer –entre otras funciones– el control político sobre la administración municipal. Al ser un órgano distinto a la alcaldía, la restricción para los alcaldes municipales o distritales no se extiende al miembro del concejo que tengan capacidad para celebrar contratos en representación de dicha corporación pública.  </w:t>
      </w:r>
    </w:p>
    <w:p w14:paraId="782CD62D" w14:textId="77777777" w:rsidR="00DF5E7F" w:rsidRPr="00317783" w:rsidRDefault="00DF5E7F" w:rsidP="00DF5E7F">
      <w:pPr>
        <w:spacing w:after="120" w:line="276" w:lineRule="auto"/>
        <w:ind w:firstLine="709"/>
        <w:jc w:val="both"/>
        <w:rPr>
          <w:rFonts w:ascii="Century Gothic" w:eastAsia="Times New Roman" w:hAnsi="Century Gothic" w:cs="Arial"/>
          <w:lang w:val="es-MX" w:eastAsia="x-none"/>
        </w:rPr>
      </w:pPr>
      <w:r w:rsidRPr="00317783">
        <w:rPr>
          <w:rFonts w:ascii="Century Gothic" w:eastAsia="Times New Roman" w:hAnsi="Century Gothic" w:cs="Arial"/>
          <w:lang w:val="es-MX" w:eastAsia="x-none"/>
        </w:rPr>
        <w:t xml:space="preserve">Ahora bien, la restricción se extiende a los secretarios, gerentes y directores de las entidades descentralizadas del municipio. Al respecto, el inciso primero del </w:t>
      </w:r>
      <w:r w:rsidRPr="00317783">
        <w:rPr>
          <w:rFonts w:ascii="Century Gothic" w:eastAsia="Times New Roman" w:hAnsi="Century Gothic" w:cs="Arial"/>
          <w:lang w:val="es-MX" w:eastAsia="x-none"/>
        </w:rPr>
        <w:lastRenderedPageBreak/>
        <w:t xml:space="preserve">artículo 68 de la Ley 489 de 1998 dispone que “Son entidades descentralizadas del orden nacional, los establecimientos públicos, las empresas industriales y comerciales del Estado, las sociedades públicas y las sociedades de economía mixta, las superintendencias y las unidades administrativas especiales con personería jurídica, las empresas sociales del Estado, las empresas oficiales de servicios públicos y las demás entidades creadas por la ley o con su autorización, cuyo objeto principal sea el ejercicio de funciones administrativas, la prestación de servicios públicos o la realización de actividades industriales o comerciales con personería jurídica, autonomía administrativa y patrimonio propio”. Conforme parágrafo 1 de la norma precitada, en concordancia con el parágrafo 2 del artículo 2 </w:t>
      </w:r>
      <w:r w:rsidRPr="00317783">
        <w:rPr>
          <w:rFonts w:ascii="Century Gothic" w:eastAsia="Times New Roman" w:hAnsi="Century Gothic" w:cs="Arial"/>
          <w:i/>
          <w:iCs/>
          <w:lang w:val="es-MX" w:eastAsia="x-none"/>
        </w:rPr>
        <w:t>ibidem</w:t>
      </w:r>
      <w:r w:rsidRPr="00317783">
        <w:rPr>
          <w:rFonts w:ascii="Century Gothic" w:eastAsia="Times New Roman" w:hAnsi="Century Gothic" w:cs="Arial"/>
          <w:lang w:val="es-MX" w:eastAsia="x-none"/>
        </w:rPr>
        <w:t>, dicha regulación es aplicable a las entidades territoriales, por lo que las entidades mencionadas también son descentralizadas en el orden municipal</w:t>
      </w:r>
      <w:r w:rsidRPr="00317783">
        <w:rPr>
          <w:rStyle w:val="Refdenotaalpie"/>
          <w:rFonts w:ascii="Century Gothic" w:eastAsia="Times New Roman" w:hAnsi="Century Gothic" w:cs="Arial"/>
          <w:lang w:val="es-MX" w:eastAsia="x-none"/>
        </w:rPr>
        <w:footnoteReference w:id="29"/>
      </w:r>
      <w:r w:rsidRPr="00317783">
        <w:rPr>
          <w:rFonts w:ascii="Century Gothic" w:eastAsia="Times New Roman" w:hAnsi="Century Gothic" w:cs="Arial"/>
          <w:lang w:val="es-MX" w:eastAsia="x-none"/>
        </w:rPr>
        <w:t>.</w:t>
      </w:r>
    </w:p>
    <w:p w14:paraId="6B21756E" w14:textId="77777777" w:rsidR="00DF5E7F" w:rsidRPr="00317783" w:rsidRDefault="00DF5E7F" w:rsidP="00DF5E7F">
      <w:pPr>
        <w:spacing w:after="0" w:line="276" w:lineRule="auto"/>
        <w:ind w:firstLine="709"/>
        <w:jc w:val="both"/>
        <w:rPr>
          <w:rFonts w:ascii="Century Gothic" w:eastAsia="Calibri" w:hAnsi="Century Gothic" w:cs="Arial"/>
          <w:lang w:val="es-ES"/>
        </w:rPr>
      </w:pPr>
      <w:r w:rsidRPr="00317783">
        <w:rPr>
          <w:rFonts w:ascii="Century Gothic" w:eastAsia="Times New Roman" w:hAnsi="Century Gothic" w:cs="Arial"/>
          <w:lang w:val="es-MX" w:eastAsia="x-none"/>
        </w:rPr>
        <w:t>De acuerdo con criterios de taxatividad e interpretación restrictiva, la Agencia observa que los concejos no hacen parte de la enumeración del artículo 68 de la Ley 489 de 1998; razón por la que, si bien intervienen en la creación de entidades descentralizadas, estas corporaciones no comparten la misma naturaleza</w:t>
      </w:r>
      <w:r w:rsidRPr="00317783">
        <w:rPr>
          <w:rStyle w:val="Refdenotaalpie"/>
          <w:rFonts w:ascii="Century Gothic" w:eastAsia="Times New Roman" w:hAnsi="Century Gothic" w:cs="Arial"/>
          <w:lang w:val="es-MX" w:eastAsia="x-none"/>
        </w:rPr>
        <w:footnoteReference w:id="30"/>
      </w:r>
      <w:r w:rsidRPr="00317783">
        <w:rPr>
          <w:rFonts w:ascii="Century Gothic" w:eastAsia="Times New Roman" w:hAnsi="Century Gothic" w:cs="Arial"/>
          <w:lang w:val="es-MX" w:eastAsia="x-none"/>
        </w:rPr>
        <w:t xml:space="preserve">. Como explica la Corte Constitucional en la Sentencia T-1039 de 2006, con ponencia del Magistrado Humberto Antonio Sierra Porto, “[…] los concejos municipales son corporaciones públicas del nivel territorial municipal, pero ni constitucional ni legalmente se las ha definido como pertenecientes a la administración central o descentralizada municipal […]”. Por lo demás, los entes descentralizados se caracterizan por tener personería jurídica, atributo del cual carecen los concejos conforme a lo explicado </w:t>
      </w:r>
      <w:r w:rsidRPr="00317783">
        <w:rPr>
          <w:rFonts w:ascii="Century Gothic" w:eastAsia="Times New Roman" w:hAnsi="Century Gothic" w:cs="Arial"/>
          <w:i/>
          <w:iCs/>
          <w:lang w:val="es-MX" w:eastAsia="x-none"/>
        </w:rPr>
        <w:t>ut supra</w:t>
      </w:r>
      <w:r w:rsidRPr="00317783">
        <w:rPr>
          <w:rFonts w:ascii="Century Gothic" w:eastAsia="Times New Roman" w:hAnsi="Century Gothic" w:cs="Arial"/>
          <w:lang w:val="es-MX" w:eastAsia="x-none"/>
        </w:rPr>
        <w:t xml:space="preserve">. Desde esta perspectiva, dichos organismos colegiados no son entidades descentralizadas del orden </w:t>
      </w:r>
      <w:r w:rsidRPr="00317783">
        <w:rPr>
          <w:rFonts w:ascii="Century Gothic" w:eastAsia="Times New Roman" w:hAnsi="Century Gothic" w:cs="Arial"/>
          <w:lang w:val="es-MX" w:eastAsia="x-none"/>
        </w:rPr>
        <w:lastRenderedPageBreak/>
        <w:t>municipal, por lo que –en este aspecto– tampoco son destinatarios del artículo 38 de la Ley de Garantías.</w:t>
      </w:r>
    </w:p>
    <w:bookmarkEnd w:id="22"/>
    <w:p w14:paraId="7DA2EB2D" w14:textId="77777777" w:rsidR="00DF5E7F" w:rsidRPr="00317783" w:rsidRDefault="00DF5E7F" w:rsidP="00DF5E7F">
      <w:pPr>
        <w:spacing w:after="0" w:line="276" w:lineRule="auto"/>
        <w:jc w:val="both"/>
        <w:rPr>
          <w:rFonts w:ascii="Century Gothic" w:hAnsi="Century Gothic" w:cs="Arial"/>
          <w:color w:val="000000" w:themeColor="text1"/>
          <w:lang w:eastAsia="es-MX"/>
        </w:rPr>
      </w:pPr>
    </w:p>
    <w:p w14:paraId="6E25250A" w14:textId="77777777" w:rsidR="00DF5E7F" w:rsidRPr="00317783" w:rsidRDefault="00DF5E7F" w:rsidP="00DF5E7F">
      <w:pPr>
        <w:tabs>
          <w:tab w:val="left" w:pos="0"/>
        </w:tabs>
        <w:spacing w:after="0"/>
        <w:jc w:val="both"/>
        <w:rPr>
          <w:rFonts w:ascii="Century Gothic" w:eastAsia="Calibri" w:hAnsi="Century Gothic" w:cs="Arial"/>
          <w:b/>
          <w:color w:val="000000" w:themeColor="text1"/>
          <w:lang w:val="es-ES_tradnl"/>
        </w:rPr>
      </w:pPr>
      <w:r w:rsidRPr="00317783">
        <w:rPr>
          <w:rFonts w:ascii="Century Gothic" w:eastAsia="Calibri" w:hAnsi="Century Gothic" w:cs="Arial"/>
          <w:b/>
          <w:color w:val="000000" w:themeColor="text1"/>
          <w:lang w:val="es-ES_tradnl"/>
        </w:rPr>
        <w:t>3. Respuesta</w:t>
      </w:r>
    </w:p>
    <w:p w14:paraId="220AEF0A" w14:textId="77777777" w:rsidR="00DF5E7F" w:rsidRPr="00317783" w:rsidRDefault="00DF5E7F" w:rsidP="00DF5E7F">
      <w:pPr>
        <w:spacing w:after="0" w:line="276" w:lineRule="auto"/>
        <w:ind w:firstLine="709"/>
        <w:jc w:val="both"/>
        <w:rPr>
          <w:rFonts w:ascii="Century Gothic" w:eastAsia="Times New Roman" w:hAnsi="Century Gothic" w:cs="Arial"/>
          <w:lang w:eastAsia="es-CO"/>
        </w:rPr>
      </w:pPr>
      <w:bookmarkStart w:id="34" w:name="_Hlk131064197"/>
    </w:p>
    <w:p w14:paraId="18811698" w14:textId="77777777" w:rsidR="00DF5E7F" w:rsidRPr="00317783" w:rsidRDefault="00DF5E7F" w:rsidP="00DF5E7F">
      <w:pPr>
        <w:spacing w:after="0" w:line="240" w:lineRule="auto"/>
        <w:ind w:left="709" w:right="709"/>
        <w:jc w:val="both"/>
        <w:rPr>
          <w:rFonts w:ascii="Century Gothic" w:hAnsi="Century Gothic" w:cs="Arial"/>
          <w:color w:val="000000" w:themeColor="text1"/>
          <w:sz w:val="21"/>
          <w:szCs w:val="21"/>
          <w:lang w:val="es-ES_tradnl"/>
        </w:rPr>
      </w:pPr>
      <w:r w:rsidRPr="00317783">
        <w:rPr>
          <w:rFonts w:ascii="Century Gothic" w:hAnsi="Century Gothic" w:cs="Arial"/>
          <w:color w:val="000000" w:themeColor="text1"/>
          <w:sz w:val="21"/>
          <w:szCs w:val="21"/>
          <w:lang w:val="es-ES_tradnl"/>
        </w:rPr>
        <w:t>i) “[¿]Cuál es el alcance del artículo 38 de la Ley 996 de 2005 (garantías electorales) en el entendido si cobija todas las entidades estatales[?]” (Corchetes fuera de texto).</w:t>
      </w:r>
    </w:p>
    <w:p w14:paraId="2B4C9565" w14:textId="77777777" w:rsidR="00DF5E7F" w:rsidRPr="00317783" w:rsidRDefault="00DF5E7F" w:rsidP="00DF5E7F">
      <w:pPr>
        <w:spacing w:after="0" w:line="276" w:lineRule="auto"/>
        <w:jc w:val="both"/>
        <w:rPr>
          <w:rFonts w:ascii="Century Gothic" w:hAnsi="Century Gothic" w:cs="Arial"/>
          <w:color w:val="000000" w:themeColor="text1"/>
          <w:lang w:val="es-ES_tradnl"/>
        </w:rPr>
      </w:pPr>
    </w:p>
    <w:p w14:paraId="340C04CE" w14:textId="77777777" w:rsidR="00DF5E7F" w:rsidRPr="00317783" w:rsidRDefault="00DF5E7F" w:rsidP="00DF5E7F">
      <w:pPr>
        <w:spacing w:after="120" w:line="276" w:lineRule="auto"/>
        <w:jc w:val="both"/>
        <w:rPr>
          <w:rFonts w:ascii="Century Gothic" w:eastAsia="Times New Roman" w:hAnsi="Century Gothic" w:cs="Arial"/>
          <w:lang w:val="es-MX" w:eastAsia="x-none"/>
        </w:rPr>
      </w:pPr>
      <w:r w:rsidRPr="00317783">
        <w:rPr>
          <w:rFonts w:ascii="Century Gothic" w:eastAsia="Arial" w:hAnsi="Century Gothic" w:cs="Arial"/>
          <w:lang w:val="es-ES" w:eastAsia="es-ES" w:bidi="es-ES"/>
        </w:rPr>
        <w:t>De acuerdo con la interpretación de las normas generales del sistema de compras públicas</w:t>
      </w:r>
      <w:r w:rsidRPr="00317783">
        <w:rPr>
          <w:rFonts w:ascii="Century Gothic" w:eastAsia="Calibri" w:hAnsi="Century Gothic" w:cs="Arial"/>
        </w:rPr>
        <w:t xml:space="preserve">, </w:t>
      </w:r>
      <w:r w:rsidRPr="00317783">
        <w:rPr>
          <w:rFonts w:ascii="Century Gothic" w:eastAsia="Times New Roman" w:hAnsi="Century Gothic" w:cs="Arial"/>
          <w:lang w:val="es-MX" w:eastAsia="x-none"/>
        </w:rPr>
        <w:t>tratándose del artículo 33 de la Ley 996 de 2005, la norma señala expresamente a los destinatarios de la prohibición, en el sentido de que son “todos los entes del Estado”, expresión que contempla a los diferentes organismos o entidades autorizadas por la ley para suscribir contratos.</w:t>
      </w:r>
      <w:r w:rsidRPr="00317783">
        <w:rPr>
          <w:rFonts w:ascii="Century Gothic" w:eastAsia="Calibri" w:hAnsi="Century Gothic" w:cs="Arial"/>
          <w:sz w:val="24"/>
          <w:lang w:val="es-MX"/>
        </w:rPr>
        <w:t xml:space="preserve"> </w:t>
      </w:r>
      <w:r w:rsidRPr="00317783">
        <w:rPr>
          <w:rFonts w:ascii="Century Gothic" w:eastAsia="Times New Roman" w:hAnsi="Century Gothic" w:cs="Arial"/>
          <w:lang w:val="es-MX" w:eastAsia="x-none"/>
        </w:rPr>
        <w:t>En efecto, el vocablo “todos” utilizado por el legislador comprende</w:t>
      </w:r>
      <w:r w:rsidRPr="00317783">
        <w:rPr>
          <w:rFonts w:ascii="Century Gothic" w:eastAsia="Calibri" w:hAnsi="Century Gothic" w:cs="Arial"/>
          <w:sz w:val="24"/>
          <w:lang w:val="es-MX"/>
        </w:rPr>
        <w:t xml:space="preserve"> </w:t>
      </w:r>
      <w:r w:rsidRPr="00317783">
        <w:rPr>
          <w:rFonts w:ascii="Century Gothic" w:eastAsia="Times New Roman" w:hAnsi="Century Gothic" w:cs="Arial"/>
          <w:lang w:val="es-MX" w:eastAsia="x-none"/>
        </w:rPr>
        <w:t xml:space="preserve">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 Así, </w:t>
      </w:r>
      <w:r w:rsidRPr="00317783">
        <w:rPr>
          <w:rFonts w:ascii="Century Gothic" w:eastAsia="Calibri" w:hAnsi="Century Gothic" w:cs="Arial"/>
          <w:lang w:val="es-MX"/>
        </w:rPr>
        <w:t xml:space="preserve">la restricción prevista en la Ley 996 de 2005, </w:t>
      </w:r>
      <w:r w:rsidRPr="00317783">
        <w:rPr>
          <w:rFonts w:ascii="Century Gothic" w:eastAsia="Times New Roman" w:hAnsi="Century Gothic" w:cs="Arial"/>
          <w:lang w:val="es-MX" w:eastAsia="x-none"/>
        </w:rPr>
        <w:t xml:space="preserve">teniendo en cuenta la finalidad de la ley de garantías electorales, cobija a cualquier ente público que pueda a través de la contratación directa romper el equilibrio entre los partidos y los candidatos en las elecciones presidenciales. </w:t>
      </w:r>
    </w:p>
    <w:p w14:paraId="4C2126C1" w14:textId="77777777" w:rsidR="00DF5E7F" w:rsidRPr="00317783" w:rsidRDefault="00DF5E7F" w:rsidP="00DF5E7F">
      <w:pPr>
        <w:spacing w:after="0" w:line="276" w:lineRule="auto"/>
        <w:ind w:firstLine="709"/>
        <w:jc w:val="both"/>
        <w:rPr>
          <w:rFonts w:ascii="Century Gothic" w:hAnsi="Century Gothic" w:cs="Arial"/>
          <w:lang w:val="es-ES"/>
        </w:rPr>
      </w:pPr>
      <w:r w:rsidRPr="00317783">
        <w:rPr>
          <w:rFonts w:ascii="Century Gothic" w:eastAsia="Times New Roman" w:hAnsi="Century Gothic" w:cs="Arial"/>
          <w:lang w:val="es-MX" w:eastAsia="x-none"/>
        </w:rPr>
        <w:t>En contraste, para efectos del parágrafo del artículo 38 de la Ley 996 de 2005, la prohibición de celebrar contratos interadministrativos para la ejecución de recursos públicos no aplica a todas las entidades estatales. Esta se restringe a los gobernadores, alcaldes municipales y/o distritales, secretarios, gerentes y directores de entidades descentralizadas del orden municipal, departamental o distrital dentro de los cuatro (4) meses anteriores a las elecciones</w:t>
      </w:r>
      <w:r w:rsidRPr="00317783">
        <w:rPr>
          <w:rFonts w:ascii="Century Gothic" w:hAnsi="Century Gothic" w:cs="Arial"/>
          <w:lang w:val="es-ES"/>
        </w:rPr>
        <w:t xml:space="preserve">. </w:t>
      </w:r>
      <w:r w:rsidRPr="00317783">
        <w:rPr>
          <w:rFonts w:ascii="Century Gothic" w:eastAsia="Times New Roman" w:hAnsi="Century Gothic" w:cs="Arial"/>
          <w:lang w:val="es-MX" w:eastAsia="es-CO"/>
        </w:rPr>
        <w:t xml:space="preserve">En este sentido, si una o ambas partes de la relación contractual es una entidad de aquellas descritas en el parágrafo </w:t>
      </w:r>
      <w:r w:rsidRPr="00317783">
        <w:rPr>
          <w:rFonts w:ascii="Century Gothic" w:eastAsia="Times New Roman" w:hAnsi="Century Gothic" w:cs="Arial"/>
          <w:i/>
          <w:lang w:val="es-MX" w:eastAsia="es-CO"/>
        </w:rPr>
        <w:t>ibidem</w:t>
      </w:r>
      <w:r w:rsidRPr="00317783">
        <w:rPr>
          <w:rFonts w:ascii="Century Gothic" w:eastAsia="Times New Roman" w:hAnsi="Century Gothic" w:cs="Arial"/>
          <w:lang w:val="es-MX" w:eastAsia="es-CO"/>
        </w:rPr>
        <w:t>, no podrá celebrar tales convenios o contratos durante la aplicación de la Ley de Garantías Electorales, toda vez que la citada disposición hace referencia a dicha tipología contractual sin que el legislador hubiere contemplado excepción alguna frente a la modalidad de selección o naturaleza de su objeto.</w:t>
      </w:r>
    </w:p>
    <w:p w14:paraId="2ED8A4BD" w14:textId="77777777" w:rsidR="00DF5E7F" w:rsidRPr="00317783" w:rsidRDefault="00DF5E7F" w:rsidP="00DF5E7F">
      <w:pPr>
        <w:spacing w:after="0" w:line="276" w:lineRule="auto"/>
        <w:jc w:val="both"/>
        <w:rPr>
          <w:rFonts w:ascii="Century Gothic" w:eastAsia="Times New Roman" w:hAnsi="Century Gothic" w:cs="Arial"/>
          <w:lang w:eastAsia="es-CO"/>
        </w:rPr>
      </w:pPr>
    </w:p>
    <w:p w14:paraId="4834AC58" w14:textId="77777777" w:rsidR="00DF5E7F" w:rsidRPr="00317783" w:rsidRDefault="00DF5E7F" w:rsidP="00DF5E7F">
      <w:pPr>
        <w:spacing w:after="0" w:line="240" w:lineRule="auto"/>
        <w:ind w:left="709" w:right="709"/>
        <w:jc w:val="both"/>
        <w:rPr>
          <w:rFonts w:ascii="Century Gothic" w:hAnsi="Century Gothic" w:cs="Arial"/>
          <w:color w:val="000000" w:themeColor="text1"/>
          <w:sz w:val="21"/>
          <w:szCs w:val="21"/>
          <w:lang w:val="es-ES_tradnl"/>
        </w:rPr>
      </w:pPr>
      <w:proofErr w:type="spellStart"/>
      <w:r w:rsidRPr="00317783">
        <w:rPr>
          <w:rFonts w:ascii="Century Gothic" w:hAnsi="Century Gothic" w:cs="Arial"/>
          <w:color w:val="000000" w:themeColor="text1"/>
          <w:sz w:val="21"/>
          <w:szCs w:val="21"/>
          <w:lang w:val="es-ES_tradnl"/>
        </w:rPr>
        <w:lastRenderedPageBreak/>
        <w:t>ii</w:t>
      </w:r>
      <w:proofErr w:type="spellEnd"/>
      <w:r w:rsidRPr="00317783">
        <w:rPr>
          <w:rFonts w:ascii="Century Gothic" w:hAnsi="Century Gothic" w:cs="Arial"/>
          <w:color w:val="000000" w:themeColor="text1"/>
          <w:sz w:val="21"/>
          <w:szCs w:val="21"/>
          <w:lang w:val="es-ES_tradnl"/>
        </w:rPr>
        <w:t>) “Entendiéndose que los concejos municipales no hacen parte de las entidades descentralizadas que se mencionan en el artículo 68 de la Ley 489 de 1998, se pregunta, ¿cobija el artículo 38 de la Ley 996 de 2005 a los concejos municipales? […]”.</w:t>
      </w:r>
    </w:p>
    <w:p w14:paraId="27C482F6" w14:textId="77777777" w:rsidR="00DF5E7F" w:rsidRPr="00317783" w:rsidRDefault="00DF5E7F" w:rsidP="00DF5E7F">
      <w:pPr>
        <w:spacing w:after="0" w:line="276" w:lineRule="auto"/>
        <w:jc w:val="both"/>
        <w:rPr>
          <w:rFonts w:ascii="Century Gothic" w:hAnsi="Century Gothic" w:cs="Arial"/>
          <w:color w:val="000000" w:themeColor="text1"/>
          <w:lang w:val="es-ES_tradnl"/>
        </w:rPr>
      </w:pPr>
    </w:p>
    <w:p w14:paraId="38E0ECC9" w14:textId="77777777" w:rsidR="00DF5E7F" w:rsidRPr="00317783" w:rsidRDefault="00DF5E7F" w:rsidP="00317783">
      <w:pPr>
        <w:spacing w:after="120" w:line="276" w:lineRule="auto"/>
        <w:ind w:firstLine="708"/>
        <w:jc w:val="both"/>
        <w:rPr>
          <w:rFonts w:ascii="Century Gothic" w:eastAsia="Times New Roman" w:hAnsi="Century Gothic" w:cs="Arial"/>
          <w:lang w:val="es-MX" w:eastAsia="x-none"/>
        </w:rPr>
      </w:pPr>
      <w:r w:rsidRPr="00317783">
        <w:rPr>
          <w:rFonts w:ascii="Century Gothic" w:eastAsia="Times New Roman" w:hAnsi="Century Gothic" w:cs="Arial"/>
          <w:lang w:val="es-MX" w:eastAsia="x-none"/>
        </w:rPr>
        <w:t xml:space="preserve">En concordancia con el artículo 314 constitucional, la prohibición del artículo 38 de la Ley de Garantías aplica los alcaldes en calidad de jefes de la administración local y representantes legales del municipio o distrito. Hasta este punto no se observa referencia alguna a los concejos, definidos por el artículo 312 </w:t>
      </w:r>
      <w:r w:rsidRPr="00317783">
        <w:rPr>
          <w:rFonts w:ascii="Century Gothic" w:eastAsia="Times New Roman" w:hAnsi="Century Gothic" w:cs="Arial"/>
          <w:i/>
          <w:iCs/>
          <w:lang w:val="es-MX" w:eastAsia="x-none"/>
        </w:rPr>
        <w:t>ibidem</w:t>
      </w:r>
      <w:r w:rsidRPr="00317783">
        <w:rPr>
          <w:rFonts w:ascii="Century Gothic" w:eastAsia="Times New Roman" w:hAnsi="Century Gothic" w:cs="Arial"/>
          <w:lang w:val="es-MX" w:eastAsia="x-none"/>
        </w:rPr>
        <w:t xml:space="preserve"> como una corporación político – administrativa de carácter colegiado elegida popularmente para períodos de cuatro (4) años, para ejercer –entre otras funciones– el control político sobre la administración municipal. Al ser un órgano distinto a la alcaldía, la restricción para los alcaldes municipales o distritales no se extiende al miembro del concejo que tengan capacidad para celebrar contratos en representación de dicha corporación pública.  </w:t>
      </w:r>
    </w:p>
    <w:p w14:paraId="27E8B78F" w14:textId="77777777" w:rsidR="00DF5E7F" w:rsidRPr="00317783" w:rsidRDefault="00DF5E7F" w:rsidP="00DF5E7F">
      <w:pPr>
        <w:spacing w:after="120" w:line="276" w:lineRule="auto"/>
        <w:ind w:firstLine="709"/>
        <w:jc w:val="both"/>
        <w:rPr>
          <w:rFonts w:ascii="Century Gothic" w:eastAsia="Times New Roman" w:hAnsi="Century Gothic" w:cs="Arial"/>
          <w:lang w:val="es-MX" w:eastAsia="x-none"/>
        </w:rPr>
      </w:pPr>
      <w:r w:rsidRPr="00317783">
        <w:rPr>
          <w:rFonts w:ascii="Century Gothic" w:eastAsia="Times New Roman" w:hAnsi="Century Gothic" w:cs="Arial"/>
          <w:lang w:val="es-MX" w:eastAsia="x-none"/>
        </w:rPr>
        <w:t xml:space="preserve">Ahora bien, la restricción del artículo 38 de la Ley 996 de 2005 se extiende a los secretarios, gerentes y directores de las entidades descentralizadas del municipio. Al respecto, el inciso primero del artículo 68 de la Ley 489 de 1998 dispone que “Son entidades descentralizadas del orden nacional, los establecimientos públicos, las empresas industriales y comerciales del Estado, las sociedades públicas y las sociedades de economía mixta, las superintendencias y las unidades administrativas especiales con personería jurídica, las empresas sociales del Estado, las empresas oficiales de servicios públicos y las demás entidades creadas por la ley o con su autorización, cuyo objeto principal sea el ejercicio de funciones administrativas, la prestación de servicios públicos o la realización de actividades industriales o comerciales con personería jurídica, autonomía administrativa y patrimonio propio”. Conforme parágrafo 1 de la norma precitada, en concordancia con el parágrafo 2 del artículo 2 </w:t>
      </w:r>
      <w:r w:rsidRPr="00317783">
        <w:rPr>
          <w:rFonts w:ascii="Century Gothic" w:eastAsia="Times New Roman" w:hAnsi="Century Gothic" w:cs="Arial"/>
          <w:i/>
          <w:iCs/>
          <w:lang w:val="es-MX" w:eastAsia="x-none"/>
        </w:rPr>
        <w:t>ibidem</w:t>
      </w:r>
      <w:r w:rsidRPr="00317783">
        <w:rPr>
          <w:rFonts w:ascii="Century Gothic" w:eastAsia="Times New Roman" w:hAnsi="Century Gothic" w:cs="Arial"/>
          <w:lang w:val="es-MX" w:eastAsia="x-none"/>
        </w:rPr>
        <w:t>, dicha regulación es aplicable a las entidades territoriales, por lo que las entidades mencionadas también son descentralizadas en el orden municipal.</w:t>
      </w:r>
    </w:p>
    <w:p w14:paraId="25D6A8F1" w14:textId="77777777" w:rsidR="00DF5E7F" w:rsidRPr="00317783" w:rsidRDefault="00DF5E7F" w:rsidP="00DF5E7F">
      <w:pPr>
        <w:spacing w:after="0" w:line="276" w:lineRule="auto"/>
        <w:ind w:firstLine="709"/>
        <w:jc w:val="both"/>
        <w:rPr>
          <w:rFonts w:ascii="Century Gothic" w:hAnsi="Century Gothic" w:cs="Arial"/>
          <w:lang w:val="es-ES"/>
        </w:rPr>
      </w:pPr>
      <w:r w:rsidRPr="00317783">
        <w:rPr>
          <w:rFonts w:ascii="Century Gothic" w:eastAsia="Times New Roman" w:hAnsi="Century Gothic" w:cs="Arial"/>
          <w:lang w:val="es-MX" w:eastAsia="x-none"/>
        </w:rPr>
        <w:t xml:space="preserve">De acuerdo con criterios de taxatividad e interpretación restrictiva, la Agencia observa que los concejos no hacen parte de la enumeración del artículo 68 de la Ley 489 de 1998; razón por la que, si bien intervienen en la creación de entidades descentralizadas, estas corporaciones no comparten la misma naturaleza. Como explica la Corte Constitucional en la Sentencia T-1039 de 2006, con ponencia del Magistrado Humberto Antonio Sierra Porto, “[…] los concejos municipales son corporaciones públicas del nivel territorial municipal, pero ni </w:t>
      </w:r>
      <w:r w:rsidRPr="00317783">
        <w:rPr>
          <w:rFonts w:ascii="Century Gothic" w:eastAsia="Times New Roman" w:hAnsi="Century Gothic" w:cs="Arial"/>
          <w:lang w:val="es-MX" w:eastAsia="x-none"/>
        </w:rPr>
        <w:lastRenderedPageBreak/>
        <w:t xml:space="preserve">constitucional ni legalmente se las ha definido como pertenecientes a la administración central o descentralizada municipal […]”. Por lo demás, los entes descentralizados se caracterizan por tener personería jurídica, atributo del cual carecen los concejos conforme a lo explicado </w:t>
      </w:r>
      <w:r w:rsidRPr="00317783">
        <w:rPr>
          <w:rFonts w:ascii="Century Gothic" w:eastAsia="Times New Roman" w:hAnsi="Century Gothic" w:cs="Arial"/>
          <w:i/>
          <w:iCs/>
          <w:lang w:val="es-MX" w:eastAsia="x-none"/>
        </w:rPr>
        <w:t>ut supra</w:t>
      </w:r>
      <w:r w:rsidRPr="00317783">
        <w:rPr>
          <w:rFonts w:ascii="Century Gothic" w:eastAsia="Times New Roman" w:hAnsi="Century Gothic" w:cs="Arial"/>
          <w:lang w:val="es-MX" w:eastAsia="x-none"/>
        </w:rPr>
        <w:t>. Desde esta perspectiva, dichos organismos colegiados no son entidades descentralizadas del orden municipal, por lo que –en este aspecto– tampoco son destinatarios del artículo 38 de la Ley de Garantías</w:t>
      </w:r>
      <w:r w:rsidRPr="00317783">
        <w:rPr>
          <w:rFonts w:ascii="Century Gothic" w:hAnsi="Century Gothic" w:cs="Arial"/>
          <w:lang w:val="es-ES"/>
        </w:rPr>
        <w:t>.</w:t>
      </w:r>
    </w:p>
    <w:p w14:paraId="371BDDAC" w14:textId="77777777" w:rsidR="00DF5E7F" w:rsidRPr="00317783" w:rsidRDefault="00DF5E7F" w:rsidP="00DF5E7F">
      <w:pPr>
        <w:spacing w:after="0" w:line="276" w:lineRule="auto"/>
        <w:jc w:val="both"/>
        <w:rPr>
          <w:rFonts w:ascii="Century Gothic" w:eastAsia="Times New Roman" w:hAnsi="Century Gothic" w:cs="Arial"/>
          <w:lang w:eastAsia="es-CO"/>
        </w:rPr>
      </w:pPr>
    </w:p>
    <w:p w14:paraId="4313EB32" w14:textId="77777777" w:rsidR="00DF5E7F" w:rsidRPr="00317783" w:rsidRDefault="00DF5E7F" w:rsidP="00DF5E7F">
      <w:pPr>
        <w:spacing w:after="0" w:line="240" w:lineRule="auto"/>
        <w:ind w:left="709" w:right="709"/>
        <w:jc w:val="both"/>
        <w:rPr>
          <w:rFonts w:ascii="Century Gothic" w:hAnsi="Century Gothic" w:cs="Arial"/>
          <w:color w:val="000000" w:themeColor="text1"/>
          <w:sz w:val="21"/>
          <w:szCs w:val="21"/>
          <w:lang w:val="es-ES_tradnl"/>
        </w:rPr>
      </w:pPr>
      <w:proofErr w:type="spellStart"/>
      <w:r w:rsidRPr="00317783">
        <w:rPr>
          <w:rFonts w:ascii="Century Gothic" w:hAnsi="Century Gothic" w:cs="Arial"/>
          <w:color w:val="000000" w:themeColor="text1"/>
          <w:sz w:val="21"/>
          <w:szCs w:val="21"/>
          <w:lang w:val="es-ES_tradnl"/>
        </w:rPr>
        <w:t>iii</w:t>
      </w:r>
      <w:proofErr w:type="spellEnd"/>
      <w:r w:rsidRPr="00317783">
        <w:rPr>
          <w:rFonts w:ascii="Century Gothic" w:hAnsi="Century Gothic" w:cs="Arial"/>
          <w:color w:val="000000" w:themeColor="text1"/>
          <w:sz w:val="21"/>
          <w:szCs w:val="21"/>
          <w:lang w:val="es-ES_tradnl"/>
        </w:rPr>
        <w:t xml:space="preserve">) “[¿]cuenta su entidad con algún concepto emitido el cual esté relacionado con la aplicación a los concejos municipales del artículo 38 de la ley 996 de 2005[?], si cuenta con ellos comedidamente solicito se me suministre copia de </w:t>
      </w:r>
      <w:proofErr w:type="gramStart"/>
      <w:r w:rsidRPr="00317783">
        <w:rPr>
          <w:rFonts w:ascii="Century Gothic" w:hAnsi="Century Gothic" w:cs="Arial"/>
          <w:color w:val="000000" w:themeColor="text1"/>
          <w:sz w:val="21"/>
          <w:szCs w:val="21"/>
          <w:lang w:val="es-ES_tradnl"/>
        </w:rPr>
        <w:t>los mismos</w:t>
      </w:r>
      <w:proofErr w:type="gramEnd"/>
      <w:r w:rsidRPr="00317783">
        <w:rPr>
          <w:rFonts w:ascii="Century Gothic" w:hAnsi="Century Gothic" w:cs="Arial"/>
          <w:color w:val="000000" w:themeColor="text1"/>
          <w:sz w:val="21"/>
          <w:szCs w:val="21"/>
          <w:lang w:val="es-ES_tradnl"/>
        </w:rPr>
        <w:t>” (Corchetes fuera de texto).</w:t>
      </w:r>
    </w:p>
    <w:p w14:paraId="6E32C397" w14:textId="77777777" w:rsidR="00DF5E7F" w:rsidRPr="00317783" w:rsidRDefault="00DF5E7F" w:rsidP="00DF5E7F">
      <w:pPr>
        <w:spacing w:after="0" w:line="276" w:lineRule="auto"/>
        <w:jc w:val="both"/>
        <w:rPr>
          <w:rFonts w:ascii="Century Gothic" w:hAnsi="Century Gothic" w:cs="Arial"/>
          <w:color w:val="000000" w:themeColor="text1"/>
          <w:lang w:val="es-ES_tradnl"/>
        </w:rPr>
      </w:pPr>
    </w:p>
    <w:p w14:paraId="2C865D4F" w14:textId="77777777" w:rsidR="00DF5E7F" w:rsidRPr="00317783" w:rsidRDefault="00DF5E7F" w:rsidP="00317783">
      <w:pPr>
        <w:spacing w:after="0" w:line="276" w:lineRule="auto"/>
        <w:ind w:firstLine="708"/>
        <w:jc w:val="both"/>
        <w:rPr>
          <w:rFonts w:ascii="Century Gothic" w:eastAsia="Times New Roman" w:hAnsi="Century Gothic" w:cs="Arial"/>
          <w:lang w:val="es-MX" w:eastAsia="x-none"/>
        </w:rPr>
      </w:pPr>
      <w:r w:rsidRPr="00317783">
        <w:rPr>
          <w:rFonts w:ascii="Century Gothic" w:eastAsia="Times New Roman" w:hAnsi="Century Gothic" w:cs="Arial"/>
          <w:lang w:val="es-MX" w:eastAsia="x-none"/>
        </w:rPr>
        <w:t xml:space="preserve">Como se explicó al inicio de los considerandos, a pesar de que la Agencia se ha pronunciado en múltiples ocasiones sobre el alcance de la Ley de Garantías, </w:t>
      </w:r>
      <w:r w:rsidRPr="00317783">
        <w:rPr>
          <w:rStyle w:val="normaltextrun"/>
          <w:rFonts w:ascii="Century Gothic" w:hAnsi="Century Gothic" w:cs="Arial"/>
          <w:color w:val="000000"/>
          <w:shd w:val="clear" w:color="auto" w:fill="FFFFFF"/>
        </w:rPr>
        <w:t>no había tenido la oportunidad de analizar el tema objeto de consulta</w:t>
      </w:r>
      <w:r w:rsidRPr="00317783">
        <w:rPr>
          <w:rFonts w:ascii="Century Gothic" w:eastAsia="Times New Roman" w:hAnsi="Century Gothic" w:cs="Arial"/>
          <w:lang w:val="es-MX" w:eastAsia="x-none"/>
        </w:rPr>
        <w:t xml:space="preserve">. Dado que no existen conceptos previos sobre esta problémica en específico, no es posible remitir las copias solicitadas. Sin perjuicio de lo anterior, los conceptos referenciados en el presente oficio, así como otros expedidos por la Subdirección de Gestión Contractual, se encuentran disponibles para consulta pública en el portal de relatoría de Colombia Compra Eficiente, al cual se puede acceder a través del siguiente enlace: </w:t>
      </w:r>
      <w:hyperlink r:id="rId11" w:history="1">
        <w:r w:rsidRPr="00317783">
          <w:rPr>
            <w:rStyle w:val="Hipervnculo"/>
            <w:rFonts w:ascii="Century Gothic" w:eastAsia="Times New Roman" w:hAnsi="Century Gothic" w:cs="Arial"/>
            <w:lang w:val="es-MX" w:eastAsia="x-none"/>
          </w:rPr>
          <w:t>https://relatoria.colombiacompra.gov.co/busqueda/conceptos</w:t>
        </w:r>
      </w:hyperlink>
      <w:r w:rsidRPr="00317783">
        <w:rPr>
          <w:rFonts w:ascii="Century Gothic" w:eastAsia="Times New Roman" w:hAnsi="Century Gothic" w:cs="Arial"/>
          <w:lang w:val="es-MX" w:eastAsia="x-none"/>
        </w:rPr>
        <w:t xml:space="preserve">.      </w:t>
      </w:r>
    </w:p>
    <w:bookmarkEnd w:id="34"/>
    <w:p w14:paraId="39B67771" w14:textId="77777777" w:rsidR="00DF5E7F" w:rsidRPr="00317783" w:rsidRDefault="00DF5E7F" w:rsidP="00DF5E7F">
      <w:pPr>
        <w:spacing w:after="0" w:line="276" w:lineRule="auto"/>
        <w:jc w:val="both"/>
        <w:rPr>
          <w:rFonts w:ascii="Century Gothic" w:eastAsia="Arial" w:hAnsi="Century Gothic" w:cs="Arial"/>
          <w:color w:val="000000"/>
        </w:rPr>
      </w:pPr>
    </w:p>
    <w:p w14:paraId="2810F86D" w14:textId="77777777" w:rsidR="00DF5E7F" w:rsidRPr="00317783" w:rsidRDefault="00DF5E7F" w:rsidP="00DF5E7F">
      <w:pPr>
        <w:widowControl w:val="0"/>
        <w:autoSpaceDE w:val="0"/>
        <w:autoSpaceDN w:val="0"/>
        <w:spacing w:after="0" w:line="276" w:lineRule="auto"/>
        <w:jc w:val="both"/>
        <w:rPr>
          <w:rFonts w:ascii="Century Gothic" w:hAnsi="Century Gothic" w:cs="Arial"/>
          <w:color w:val="000000" w:themeColor="text1"/>
          <w:lang w:val="es-ES_tradnl" w:bidi="es-ES"/>
        </w:rPr>
      </w:pPr>
      <w:r w:rsidRPr="00317783">
        <w:rPr>
          <w:rFonts w:ascii="Century Gothic" w:hAnsi="Century Gothic" w:cs="Arial"/>
          <w:color w:val="000000" w:themeColor="text1"/>
          <w:lang w:val="es-ES_tradnl"/>
        </w:rPr>
        <w:t>Este concepto tiene el alcance previsto en el artículo 28 del Código de Procedimiento Administrativo y de lo Contencioso Administrativo.</w:t>
      </w:r>
    </w:p>
    <w:p w14:paraId="2E17474A" w14:textId="77777777" w:rsidR="00DF5E7F" w:rsidRPr="00317783" w:rsidRDefault="00DF5E7F" w:rsidP="00DF5E7F">
      <w:pPr>
        <w:widowControl w:val="0"/>
        <w:autoSpaceDE w:val="0"/>
        <w:autoSpaceDN w:val="0"/>
        <w:spacing w:after="0" w:line="276" w:lineRule="auto"/>
        <w:jc w:val="both"/>
        <w:rPr>
          <w:rFonts w:ascii="Century Gothic" w:hAnsi="Century Gothic" w:cs="Arial"/>
          <w:color w:val="000000" w:themeColor="text1"/>
          <w:sz w:val="18"/>
          <w:szCs w:val="18"/>
          <w:lang w:val="es-ES_tradnl" w:bidi="es-ES"/>
        </w:rPr>
      </w:pPr>
    </w:p>
    <w:p w14:paraId="4E16A59E" w14:textId="77777777" w:rsidR="00DF5E7F" w:rsidRPr="00317783" w:rsidRDefault="00DF5E7F" w:rsidP="00DF5E7F">
      <w:pPr>
        <w:tabs>
          <w:tab w:val="left" w:pos="426"/>
        </w:tabs>
        <w:spacing w:line="276" w:lineRule="auto"/>
        <w:jc w:val="both"/>
        <w:rPr>
          <w:rFonts w:ascii="Century Gothic" w:eastAsia="Times New Roman" w:hAnsi="Century Gothic" w:cs="Arial"/>
          <w:color w:val="000000" w:themeColor="text1"/>
        </w:rPr>
      </w:pPr>
      <w:r w:rsidRPr="00317783">
        <w:rPr>
          <w:rFonts w:ascii="Century Gothic" w:eastAsia="Times New Roman" w:hAnsi="Century Gothic" w:cs="Arial"/>
          <w:color w:val="000000" w:themeColor="text1"/>
        </w:rPr>
        <w:t>Atentamente,</w:t>
      </w:r>
    </w:p>
    <w:p w14:paraId="55DC8007" w14:textId="17AC0F1E" w:rsidR="00DF5E7F" w:rsidRPr="00317783" w:rsidRDefault="00576670" w:rsidP="00DF5E7F">
      <w:pPr>
        <w:jc w:val="center"/>
        <w:rPr>
          <w:rFonts w:ascii="Century Gothic" w:eastAsia="Times New Roman" w:hAnsi="Century Gothic" w:cs="Arial"/>
          <w:lang w:eastAsia="es-CO"/>
        </w:rPr>
      </w:pPr>
      <w:r>
        <w:rPr>
          <w:noProof/>
        </w:rPr>
        <w:drawing>
          <wp:inline distT="0" distB="0" distL="0" distR="0" wp14:anchorId="3ECC9FC1" wp14:editId="4B198F3F">
            <wp:extent cx="3152775" cy="1209675"/>
            <wp:effectExtent l="0" t="0" r="9525" b="9525"/>
            <wp:docPr id="136766671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666717" name="Imagen 1" descr="Texto&#10;&#10;Descripción generada automáticamente"/>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2775" cy="1209675"/>
                    </a:xfrm>
                    <a:prstGeom prst="rect">
                      <a:avLst/>
                    </a:prstGeom>
                    <a:noFill/>
                    <a:ln>
                      <a:noFill/>
                    </a:ln>
                  </pic:spPr>
                </pic:pic>
              </a:graphicData>
            </a:graphic>
          </wp:inline>
        </w:drawing>
      </w: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DF5E7F" w:rsidRPr="002240DB" w14:paraId="7D2A81DF" w14:textId="77777777" w:rsidTr="2429BD31">
        <w:trPr>
          <w:trHeight w:val="409"/>
        </w:trPr>
        <w:tc>
          <w:tcPr>
            <w:tcW w:w="817" w:type="dxa"/>
            <w:tcBorders>
              <w:top w:val="nil"/>
              <w:left w:val="nil"/>
              <w:bottom w:val="nil"/>
              <w:right w:val="nil"/>
            </w:tcBorders>
            <w:vAlign w:val="center"/>
            <w:hideMark/>
          </w:tcPr>
          <w:p w14:paraId="07288063" w14:textId="77777777" w:rsidR="00DF5E7F" w:rsidRPr="00317783" w:rsidRDefault="00DF5E7F" w:rsidP="00065B28">
            <w:pPr>
              <w:spacing w:after="0" w:line="240" w:lineRule="auto"/>
              <w:jc w:val="both"/>
              <w:rPr>
                <w:rFonts w:ascii="Century Gothic" w:hAnsi="Century Gothic" w:cs="Arial"/>
                <w:sz w:val="16"/>
                <w:szCs w:val="16"/>
              </w:rPr>
            </w:pPr>
            <w:r w:rsidRPr="00317783">
              <w:rPr>
                <w:rFonts w:ascii="Century Gothic" w:hAnsi="Century Gothic" w:cs="Arial"/>
                <w:sz w:val="16"/>
                <w:szCs w:val="16"/>
              </w:rPr>
              <w:t>Elaboró: </w:t>
            </w:r>
          </w:p>
        </w:tc>
        <w:tc>
          <w:tcPr>
            <w:tcW w:w="4937" w:type="dxa"/>
            <w:tcBorders>
              <w:top w:val="nil"/>
              <w:left w:val="nil"/>
              <w:bottom w:val="dotted" w:sz="6" w:space="0" w:color="7F7F7F" w:themeColor="text1" w:themeTint="80"/>
              <w:right w:val="nil"/>
            </w:tcBorders>
            <w:vAlign w:val="center"/>
            <w:hideMark/>
          </w:tcPr>
          <w:p w14:paraId="37D20266" w14:textId="77777777" w:rsidR="00DF5E7F" w:rsidRPr="00317783" w:rsidRDefault="00DF5E7F" w:rsidP="00065B28">
            <w:pPr>
              <w:spacing w:after="0" w:line="240" w:lineRule="auto"/>
              <w:jc w:val="both"/>
              <w:rPr>
                <w:rFonts w:ascii="Century Gothic" w:hAnsi="Century Gothic" w:cs="Arial"/>
                <w:sz w:val="16"/>
                <w:szCs w:val="16"/>
              </w:rPr>
            </w:pPr>
            <w:r w:rsidRPr="00317783">
              <w:rPr>
                <w:rFonts w:ascii="Century Gothic" w:hAnsi="Century Gothic" w:cs="Arial"/>
                <w:sz w:val="16"/>
                <w:szCs w:val="16"/>
              </w:rPr>
              <w:t>Juan David Montoya Penagos</w:t>
            </w:r>
          </w:p>
          <w:p w14:paraId="0EB2D1E2" w14:textId="77777777" w:rsidR="00DF5E7F" w:rsidRPr="00317783" w:rsidRDefault="00DF5E7F" w:rsidP="00065B28">
            <w:pPr>
              <w:spacing w:after="0" w:line="240" w:lineRule="auto"/>
              <w:jc w:val="both"/>
              <w:rPr>
                <w:rFonts w:ascii="Century Gothic" w:hAnsi="Century Gothic" w:cs="Arial"/>
                <w:sz w:val="16"/>
                <w:szCs w:val="16"/>
              </w:rPr>
            </w:pPr>
            <w:r w:rsidRPr="00317783">
              <w:rPr>
                <w:rFonts w:ascii="Century Gothic" w:hAnsi="Century Gothic" w:cs="Arial"/>
                <w:sz w:val="16"/>
                <w:szCs w:val="16"/>
              </w:rPr>
              <w:t>Contratista de la Subdirección de Gestión Contractual</w:t>
            </w:r>
          </w:p>
        </w:tc>
      </w:tr>
      <w:tr w:rsidR="00DF5E7F" w:rsidRPr="002240DB" w14:paraId="65A5098B" w14:textId="77777777" w:rsidTr="2429BD31">
        <w:trPr>
          <w:trHeight w:val="409"/>
        </w:trPr>
        <w:tc>
          <w:tcPr>
            <w:tcW w:w="817" w:type="dxa"/>
            <w:tcBorders>
              <w:top w:val="nil"/>
              <w:left w:val="nil"/>
              <w:right w:val="nil"/>
            </w:tcBorders>
            <w:vAlign w:val="center"/>
          </w:tcPr>
          <w:p w14:paraId="62C53FBF" w14:textId="77777777" w:rsidR="00DF5E7F" w:rsidRPr="00317783" w:rsidRDefault="00DF5E7F" w:rsidP="00065B28">
            <w:pPr>
              <w:jc w:val="both"/>
              <w:rPr>
                <w:rFonts w:ascii="Century Gothic" w:hAnsi="Century Gothic" w:cs="Arial"/>
                <w:sz w:val="16"/>
                <w:szCs w:val="16"/>
              </w:rPr>
            </w:pPr>
            <w:r w:rsidRPr="00317783">
              <w:rPr>
                <w:rFonts w:ascii="Century Gothic" w:hAnsi="Century Gothic" w:cs="Arial"/>
                <w:sz w:val="16"/>
                <w:szCs w:val="16"/>
              </w:rPr>
              <w:t>Revisó</w:t>
            </w:r>
          </w:p>
        </w:tc>
        <w:tc>
          <w:tcPr>
            <w:tcW w:w="4937" w:type="dxa"/>
            <w:tcBorders>
              <w:top w:val="dotted" w:sz="6" w:space="0" w:color="7F7F7F" w:themeColor="text1" w:themeTint="80"/>
              <w:left w:val="nil"/>
              <w:bottom w:val="dotted" w:sz="6" w:space="0" w:color="7F7F7F" w:themeColor="text1" w:themeTint="80"/>
              <w:right w:val="nil"/>
            </w:tcBorders>
            <w:vAlign w:val="center"/>
          </w:tcPr>
          <w:p w14:paraId="442B666B" w14:textId="77777777" w:rsidR="00DF5E7F" w:rsidRPr="00317783" w:rsidRDefault="00DF5E7F" w:rsidP="00065B28">
            <w:pPr>
              <w:spacing w:after="0" w:line="240" w:lineRule="auto"/>
              <w:jc w:val="both"/>
              <w:rPr>
                <w:rFonts w:ascii="Century Gothic" w:hAnsi="Century Gothic" w:cs="Arial"/>
                <w:sz w:val="16"/>
                <w:szCs w:val="16"/>
              </w:rPr>
            </w:pPr>
            <w:r w:rsidRPr="00317783">
              <w:rPr>
                <w:rFonts w:ascii="Century Gothic" w:hAnsi="Century Gothic" w:cs="Arial"/>
                <w:sz w:val="16"/>
                <w:szCs w:val="16"/>
              </w:rPr>
              <w:t>Alejandro Sarmiento Cantillo</w:t>
            </w:r>
          </w:p>
          <w:p w14:paraId="5004DD27" w14:textId="716BF10D" w:rsidR="00DF5E7F" w:rsidRPr="00317783" w:rsidRDefault="00DF5E7F" w:rsidP="2429BD31">
            <w:pPr>
              <w:spacing w:after="0" w:line="240" w:lineRule="auto"/>
              <w:jc w:val="both"/>
              <w:rPr>
                <w:rFonts w:ascii="Century Gothic" w:hAnsi="Century Gothic" w:cs="Arial"/>
                <w:sz w:val="16"/>
                <w:szCs w:val="16"/>
              </w:rPr>
            </w:pPr>
            <w:r w:rsidRPr="00317783">
              <w:rPr>
                <w:rFonts w:ascii="Century Gothic" w:hAnsi="Century Gothic" w:cs="Arial"/>
                <w:sz w:val="16"/>
                <w:szCs w:val="16"/>
              </w:rPr>
              <w:t xml:space="preserve">Gestor T1 </w:t>
            </w:r>
            <w:r w:rsidRPr="2429BD31">
              <w:rPr>
                <w:rFonts w:ascii="Arial" w:hAnsi="Arial" w:cs="Arial"/>
                <w:sz w:val="16"/>
                <w:szCs w:val="16"/>
              </w:rPr>
              <w:t>‒</w:t>
            </w:r>
            <w:r w:rsidRPr="00317783">
              <w:rPr>
                <w:rFonts w:ascii="Century Gothic" w:hAnsi="Century Gothic" w:cs="Arial"/>
                <w:sz w:val="16"/>
                <w:szCs w:val="16"/>
              </w:rPr>
              <w:t xml:space="preserve"> 15 de la Subdirecci</w:t>
            </w:r>
            <w:r w:rsidRPr="00317783">
              <w:rPr>
                <w:rFonts w:ascii="Century Gothic" w:hAnsi="Century Gothic" w:cs="Century Gothic"/>
                <w:sz w:val="16"/>
                <w:szCs w:val="16"/>
              </w:rPr>
              <w:t>ó</w:t>
            </w:r>
            <w:r w:rsidRPr="00317783">
              <w:rPr>
                <w:rFonts w:ascii="Century Gothic" w:hAnsi="Century Gothic" w:cs="Arial"/>
                <w:sz w:val="16"/>
                <w:szCs w:val="16"/>
              </w:rPr>
              <w:t>n de Gesti</w:t>
            </w:r>
            <w:r w:rsidRPr="00317783">
              <w:rPr>
                <w:rFonts w:ascii="Century Gothic" w:hAnsi="Century Gothic" w:cs="Century Gothic"/>
                <w:sz w:val="16"/>
                <w:szCs w:val="16"/>
              </w:rPr>
              <w:t>ó</w:t>
            </w:r>
            <w:r w:rsidRPr="00317783">
              <w:rPr>
                <w:rFonts w:ascii="Century Gothic" w:hAnsi="Century Gothic" w:cs="Arial"/>
                <w:sz w:val="16"/>
                <w:szCs w:val="16"/>
              </w:rPr>
              <w:t>n Contractual</w:t>
            </w:r>
          </w:p>
        </w:tc>
      </w:tr>
      <w:tr w:rsidR="00DF5E7F" w:rsidRPr="002240DB" w14:paraId="14263EEB" w14:textId="77777777" w:rsidTr="2429BD31">
        <w:trPr>
          <w:trHeight w:val="389"/>
        </w:trPr>
        <w:tc>
          <w:tcPr>
            <w:tcW w:w="817" w:type="dxa"/>
            <w:tcBorders>
              <w:top w:val="nil"/>
              <w:left w:val="nil"/>
              <w:bottom w:val="nil"/>
              <w:right w:val="nil"/>
            </w:tcBorders>
            <w:vAlign w:val="center"/>
            <w:hideMark/>
          </w:tcPr>
          <w:p w14:paraId="076BF450" w14:textId="77777777" w:rsidR="00DF5E7F" w:rsidRPr="00317783" w:rsidRDefault="00DF5E7F" w:rsidP="00065B28">
            <w:pPr>
              <w:spacing w:after="0" w:line="240" w:lineRule="auto"/>
              <w:jc w:val="both"/>
              <w:rPr>
                <w:rFonts w:ascii="Century Gothic" w:hAnsi="Century Gothic" w:cs="Arial"/>
                <w:sz w:val="16"/>
                <w:szCs w:val="16"/>
              </w:rPr>
            </w:pPr>
            <w:r w:rsidRPr="00317783">
              <w:rPr>
                <w:rFonts w:ascii="Century Gothic" w:hAnsi="Century Gothic" w:cs="Arial"/>
                <w:sz w:val="16"/>
                <w:szCs w:val="16"/>
              </w:rPr>
              <w:lastRenderedPageBreak/>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53885A3B" w14:textId="77777777" w:rsidR="00DF5E7F" w:rsidRPr="00317783" w:rsidRDefault="00DF5E7F" w:rsidP="00065B28">
            <w:pPr>
              <w:spacing w:after="0" w:line="240" w:lineRule="auto"/>
              <w:jc w:val="both"/>
              <w:rPr>
                <w:rFonts w:ascii="Century Gothic" w:hAnsi="Century Gothic" w:cs="Arial"/>
                <w:sz w:val="16"/>
                <w:szCs w:val="16"/>
              </w:rPr>
            </w:pPr>
            <w:r w:rsidRPr="00317783">
              <w:rPr>
                <w:rFonts w:ascii="Century Gothic" w:hAnsi="Century Gothic" w:cs="Arial"/>
                <w:sz w:val="16"/>
                <w:szCs w:val="16"/>
              </w:rPr>
              <w:t xml:space="preserve">Nohelia del Carmen </w:t>
            </w:r>
            <w:proofErr w:type="spellStart"/>
            <w:r w:rsidRPr="00317783">
              <w:rPr>
                <w:rFonts w:ascii="Century Gothic" w:hAnsi="Century Gothic" w:cs="Arial"/>
                <w:sz w:val="16"/>
                <w:szCs w:val="16"/>
              </w:rPr>
              <w:t>Zawady</w:t>
            </w:r>
            <w:proofErr w:type="spellEnd"/>
            <w:r w:rsidRPr="00317783">
              <w:rPr>
                <w:rFonts w:ascii="Century Gothic" w:hAnsi="Century Gothic" w:cs="Arial"/>
                <w:sz w:val="16"/>
                <w:szCs w:val="16"/>
              </w:rPr>
              <w:t xml:space="preserve"> Palacio</w:t>
            </w:r>
          </w:p>
          <w:p w14:paraId="30FA79FA" w14:textId="77777777" w:rsidR="00DF5E7F" w:rsidRPr="00317783" w:rsidRDefault="00DF5E7F" w:rsidP="00065B28">
            <w:pPr>
              <w:spacing w:after="0" w:line="240" w:lineRule="auto"/>
              <w:jc w:val="both"/>
              <w:rPr>
                <w:rFonts w:ascii="Century Gothic" w:hAnsi="Century Gothic" w:cs="Arial"/>
                <w:sz w:val="16"/>
                <w:szCs w:val="16"/>
              </w:rPr>
            </w:pPr>
            <w:r w:rsidRPr="00317783">
              <w:rPr>
                <w:rFonts w:ascii="Century Gothic" w:hAnsi="Century Gothic" w:cs="Arial"/>
                <w:sz w:val="16"/>
                <w:szCs w:val="16"/>
              </w:rPr>
              <w:t>Subdirectora de Gestión Contractual ANCP – CCE</w:t>
            </w:r>
          </w:p>
        </w:tc>
      </w:tr>
      <w:bookmarkEnd w:id="2"/>
    </w:tbl>
    <w:p w14:paraId="0F293BF4" w14:textId="08D6D38A" w:rsidR="00127233" w:rsidRPr="00317783" w:rsidRDefault="00127233" w:rsidP="00885527">
      <w:pPr>
        <w:rPr>
          <w:rFonts w:ascii="Century Gothic" w:hAnsi="Century Gothic"/>
        </w:rPr>
      </w:pPr>
    </w:p>
    <w:sectPr w:rsidR="00127233" w:rsidRPr="00317783" w:rsidSect="00923EEF">
      <w:headerReference w:type="default" r:id="rId13"/>
      <w:footerReference w:type="default" r:id="rId14"/>
      <w:pgSz w:w="12240" w:h="15840"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682A2" w14:textId="77777777" w:rsidR="00E11589" w:rsidRDefault="00E11589" w:rsidP="004A1847">
      <w:pPr>
        <w:spacing w:after="0" w:line="240" w:lineRule="auto"/>
      </w:pPr>
      <w:r>
        <w:separator/>
      </w:r>
    </w:p>
  </w:endnote>
  <w:endnote w:type="continuationSeparator" w:id="0">
    <w:p w14:paraId="3D17A068" w14:textId="77777777" w:rsidR="00E11589" w:rsidRDefault="00E11589"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3BA5BB2D" w:rsidR="004A1847" w:rsidRDefault="009419F9">
    <w:pPr>
      <w:pStyle w:val="Piedepgina"/>
    </w:pPr>
    <w:r>
      <w:rPr>
        <w:noProof/>
      </w:rPr>
      <w:drawing>
        <wp:inline distT="0" distB="0" distL="0" distR="0" wp14:anchorId="600A8696" wp14:editId="357635FE">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65408"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62368336"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VERSIÓN: 0</w:t>
          </w:r>
          <w:r w:rsidR="00B72CD3">
            <w:rPr>
              <w:rFonts w:ascii="Century Gothic" w:hAnsi="Century Gothic"/>
              <w:sz w:val="16"/>
              <w:szCs w:val="16"/>
            </w:rPr>
            <w:t>1</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3F78C758"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13</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5E0DB946"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961B09">
            <w:rPr>
              <w:rFonts w:ascii="Century Gothic" w:hAnsi="Century Gothic"/>
              <w:sz w:val="16"/>
              <w:szCs w:val="16"/>
            </w:rPr>
            <w:t>15</w:t>
          </w:r>
          <w:r w:rsidRPr="003F3941">
            <w:rPr>
              <w:rFonts w:ascii="Century Gothic" w:hAnsi="Century Gothic"/>
              <w:sz w:val="16"/>
              <w:szCs w:val="16"/>
            </w:rPr>
            <w:t xml:space="preserve"> DE </w:t>
          </w:r>
          <w:r w:rsidR="00961B09">
            <w:rPr>
              <w:rFonts w:ascii="Century Gothic" w:hAnsi="Century Gothic"/>
              <w:sz w:val="16"/>
              <w:szCs w:val="16"/>
            </w:rPr>
            <w:t>JUNIO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6039C9C7"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1</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7D6FC" w14:textId="77777777" w:rsidR="00E11589" w:rsidRDefault="00E11589" w:rsidP="004A1847">
      <w:pPr>
        <w:spacing w:after="0" w:line="240" w:lineRule="auto"/>
      </w:pPr>
      <w:r>
        <w:separator/>
      </w:r>
    </w:p>
  </w:footnote>
  <w:footnote w:type="continuationSeparator" w:id="0">
    <w:p w14:paraId="2AFB088B" w14:textId="77777777" w:rsidR="00E11589" w:rsidRDefault="00E11589" w:rsidP="004A1847">
      <w:pPr>
        <w:spacing w:after="0" w:line="240" w:lineRule="auto"/>
      </w:pPr>
      <w:r>
        <w:continuationSeparator/>
      </w:r>
    </w:p>
  </w:footnote>
  <w:footnote w:id="1">
    <w:p w14:paraId="06AE7577" w14:textId="77777777" w:rsidR="00DF5E7F" w:rsidRPr="00317783" w:rsidRDefault="00DF5E7F" w:rsidP="00DF5E7F">
      <w:pPr>
        <w:pStyle w:val="Textonotapie"/>
        <w:ind w:firstLine="708"/>
        <w:jc w:val="both"/>
        <w:rPr>
          <w:rFonts w:ascii="Century Gothic" w:hAnsi="Century Gothic" w:cs="Arial"/>
          <w:sz w:val="18"/>
          <w:szCs w:val="18"/>
        </w:rPr>
      </w:pPr>
      <w:r w:rsidRPr="00317783">
        <w:rPr>
          <w:rStyle w:val="Refdenotaalpie"/>
          <w:rFonts w:ascii="Century Gothic" w:hAnsi="Century Gothic" w:cs="Arial"/>
          <w:sz w:val="18"/>
          <w:szCs w:val="18"/>
        </w:rPr>
        <w:footnoteRef/>
      </w:r>
      <w:r w:rsidRPr="00317783">
        <w:rPr>
          <w:rFonts w:ascii="Century Gothic" w:hAnsi="Century Gothic" w:cs="Arial"/>
          <w:sz w:val="18"/>
          <w:szCs w:val="18"/>
        </w:rPr>
        <w:t xml:space="preserve"> Los conceptos referenciados, así como otros expedidos por la Subdirección se encuentran disponibles para consulta pública en el portal de relatoría de la Agencia, al cual se puede acceder a través del siguiente enlace: </w:t>
      </w:r>
      <w:hyperlink r:id="rId1" w:history="1">
        <w:r w:rsidRPr="00317783">
          <w:rPr>
            <w:rStyle w:val="Hipervnculo"/>
            <w:rFonts w:ascii="Century Gothic" w:hAnsi="Century Gothic" w:cs="Arial"/>
            <w:sz w:val="18"/>
            <w:szCs w:val="18"/>
          </w:rPr>
          <w:t>https://relatoria.colombiacompra.gov.co/busqueda/conceptos</w:t>
        </w:r>
      </w:hyperlink>
      <w:r w:rsidRPr="00317783">
        <w:rPr>
          <w:rStyle w:val="Hipervnculo"/>
          <w:rFonts w:ascii="Century Gothic" w:hAnsi="Century Gothic" w:cs="Arial"/>
          <w:sz w:val="18"/>
          <w:szCs w:val="18"/>
        </w:rPr>
        <w:t xml:space="preserve">. </w:t>
      </w:r>
      <w:r w:rsidRPr="00317783">
        <w:rPr>
          <w:rFonts w:ascii="Century Gothic" w:hAnsi="Century Gothic" w:cs="Arial"/>
          <w:sz w:val="18"/>
          <w:szCs w:val="18"/>
          <w:shd w:val="clear" w:color="auto" w:fill="E6E6E6"/>
        </w:rPr>
        <w:t xml:space="preserve"> </w:t>
      </w:r>
    </w:p>
  </w:footnote>
  <w:footnote w:id="2">
    <w:p w14:paraId="6DDD08E1" w14:textId="77777777" w:rsidR="00DF5E7F" w:rsidRPr="00317783" w:rsidRDefault="00DF5E7F" w:rsidP="00DF5E7F">
      <w:pPr>
        <w:pStyle w:val="Textonotapie"/>
        <w:ind w:firstLine="709"/>
        <w:contextualSpacing/>
        <w:jc w:val="both"/>
        <w:rPr>
          <w:rFonts w:ascii="Century Gothic" w:hAnsi="Century Gothic" w:cs="Arial"/>
          <w:sz w:val="18"/>
          <w:szCs w:val="18"/>
        </w:rPr>
      </w:pPr>
      <w:r w:rsidRPr="00317783">
        <w:rPr>
          <w:rStyle w:val="Refdenotaalpie"/>
          <w:rFonts w:ascii="Century Gothic" w:hAnsi="Century Gothic" w:cs="Arial"/>
          <w:sz w:val="18"/>
          <w:szCs w:val="18"/>
        </w:rPr>
        <w:footnoteRef/>
      </w:r>
      <w:r w:rsidRPr="00317783">
        <w:rPr>
          <w:rFonts w:ascii="Century Gothic" w:hAnsi="Century Gothic" w:cs="Arial"/>
          <w:sz w:val="18"/>
          <w:szCs w:val="18"/>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53AA97D9" w14:textId="77777777" w:rsidR="00DF5E7F" w:rsidRDefault="00DF5E7F" w:rsidP="00DF5E7F">
      <w:pPr>
        <w:pStyle w:val="Textonotapie"/>
        <w:ind w:firstLine="709"/>
        <w:contextualSpacing/>
        <w:jc w:val="both"/>
        <w:rPr>
          <w:rFonts w:ascii="Century Gothic" w:hAnsi="Century Gothic" w:cs="Arial"/>
          <w:sz w:val="18"/>
          <w:szCs w:val="18"/>
        </w:rPr>
      </w:pPr>
      <w:r w:rsidRPr="00317783">
        <w:rPr>
          <w:rFonts w:ascii="Century Gothic" w:hAnsi="Century Gothic" w:cs="Arial"/>
          <w:sz w:val="18"/>
          <w:szCs w:val="18"/>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p w14:paraId="48226552" w14:textId="77777777" w:rsidR="00531189" w:rsidRPr="00317783" w:rsidRDefault="00531189" w:rsidP="00DF5E7F">
      <w:pPr>
        <w:pStyle w:val="Textonotapie"/>
        <w:ind w:firstLine="709"/>
        <w:contextualSpacing/>
        <w:jc w:val="both"/>
        <w:rPr>
          <w:rFonts w:ascii="Century Gothic" w:hAnsi="Century Gothic" w:cs="Arial"/>
          <w:sz w:val="18"/>
          <w:szCs w:val="18"/>
        </w:rPr>
      </w:pPr>
    </w:p>
  </w:footnote>
  <w:footnote w:id="3">
    <w:p w14:paraId="52904044" w14:textId="56558D11" w:rsidR="00DF5E7F" w:rsidRDefault="00DF5E7F" w:rsidP="00DF5E7F">
      <w:pPr>
        <w:pStyle w:val="Textonotapie"/>
        <w:ind w:firstLine="709"/>
        <w:contextualSpacing/>
        <w:jc w:val="both"/>
        <w:rPr>
          <w:rFonts w:ascii="Century Gothic" w:hAnsi="Century Gothic" w:cs="Arial"/>
          <w:sz w:val="18"/>
          <w:szCs w:val="18"/>
        </w:rPr>
      </w:pPr>
      <w:r w:rsidRPr="00317783">
        <w:rPr>
          <w:rStyle w:val="Refdenotaalpie"/>
          <w:rFonts w:ascii="Century Gothic" w:hAnsi="Century Gothic" w:cs="Arial"/>
          <w:sz w:val="18"/>
          <w:szCs w:val="18"/>
        </w:rPr>
        <w:footnoteRef/>
      </w:r>
      <w:r w:rsidRPr="00317783">
        <w:rPr>
          <w:rFonts w:ascii="Century Gothic" w:hAnsi="Century Gothic" w:cs="Arial"/>
          <w:sz w:val="18"/>
          <w:szCs w:val="18"/>
        </w:rPr>
        <w:t xml:space="preserve"> Gaceta del Congreso de la República No. 71 del 2005.</w:t>
      </w:r>
    </w:p>
    <w:p w14:paraId="402E1C82" w14:textId="77777777" w:rsidR="00531189" w:rsidRPr="00317783" w:rsidRDefault="00531189" w:rsidP="00DF5E7F">
      <w:pPr>
        <w:pStyle w:val="Textonotapie"/>
        <w:ind w:firstLine="709"/>
        <w:contextualSpacing/>
        <w:jc w:val="both"/>
        <w:rPr>
          <w:rFonts w:ascii="Century Gothic" w:hAnsi="Century Gothic" w:cs="Arial"/>
          <w:sz w:val="18"/>
          <w:szCs w:val="18"/>
        </w:rPr>
      </w:pPr>
    </w:p>
  </w:footnote>
  <w:footnote w:id="4">
    <w:p w14:paraId="02FE41C8" w14:textId="77777777" w:rsidR="00DF5E7F" w:rsidRPr="00317783" w:rsidRDefault="00DF5E7F" w:rsidP="00DF5E7F">
      <w:pPr>
        <w:pStyle w:val="Textonotapie"/>
        <w:ind w:firstLine="709"/>
        <w:contextualSpacing/>
        <w:jc w:val="both"/>
        <w:rPr>
          <w:rFonts w:ascii="Century Gothic" w:hAnsi="Century Gothic" w:cs="Arial"/>
          <w:sz w:val="18"/>
          <w:szCs w:val="18"/>
        </w:rPr>
      </w:pPr>
      <w:r w:rsidRPr="00317783">
        <w:rPr>
          <w:rStyle w:val="Refdenotaalpie"/>
          <w:rFonts w:ascii="Century Gothic" w:hAnsi="Century Gothic" w:cs="Arial"/>
          <w:sz w:val="18"/>
          <w:szCs w:val="18"/>
        </w:rPr>
        <w:footnoteRef/>
      </w:r>
      <w:r w:rsidRPr="00317783">
        <w:rPr>
          <w:rFonts w:ascii="Century Gothic" w:hAnsi="Century Gothic" w:cs="Arial"/>
          <w:sz w:val="18"/>
          <w:szCs w:val="18"/>
        </w:rPr>
        <w:t xml:space="preserve"> Corte Constitucional, Sentencia C- 1153 de 2005, M.P. Marco Gerardo Monroy Cabra.</w:t>
      </w:r>
    </w:p>
  </w:footnote>
  <w:footnote w:id="5">
    <w:p w14:paraId="6F2E374C" w14:textId="77777777" w:rsidR="00DF5E7F" w:rsidRDefault="00DF5E7F" w:rsidP="00DF5E7F">
      <w:pPr>
        <w:pStyle w:val="Textonotapie"/>
        <w:ind w:firstLine="709"/>
        <w:contextualSpacing/>
        <w:jc w:val="both"/>
        <w:rPr>
          <w:rFonts w:ascii="Century Gothic" w:hAnsi="Century Gothic" w:cs="Arial"/>
          <w:sz w:val="18"/>
          <w:szCs w:val="18"/>
        </w:rPr>
      </w:pPr>
      <w:r w:rsidRPr="00317783">
        <w:rPr>
          <w:rStyle w:val="Refdenotaalpie"/>
          <w:rFonts w:ascii="Century Gothic" w:hAnsi="Century Gothic" w:cs="Arial"/>
          <w:sz w:val="18"/>
          <w:szCs w:val="18"/>
        </w:rPr>
        <w:footnoteRef/>
      </w:r>
      <w:r w:rsidRPr="00317783">
        <w:rPr>
          <w:rFonts w:ascii="Century Gothic" w:hAnsi="Century Gothic" w:cs="Arial"/>
          <w:sz w:val="18"/>
          <w:szCs w:val="18"/>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p w14:paraId="40140E1B" w14:textId="77777777" w:rsidR="00531189" w:rsidRPr="00317783" w:rsidRDefault="00531189" w:rsidP="00DF5E7F">
      <w:pPr>
        <w:pStyle w:val="Textonotapie"/>
        <w:ind w:firstLine="709"/>
        <w:contextualSpacing/>
        <w:jc w:val="both"/>
        <w:rPr>
          <w:rFonts w:ascii="Century Gothic" w:hAnsi="Century Gothic" w:cs="Arial"/>
          <w:sz w:val="18"/>
          <w:szCs w:val="18"/>
        </w:rPr>
      </w:pPr>
    </w:p>
  </w:footnote>
  <w:footnote w:id="6">
    <w:p w14:paraId="5B0C4DCE" w14:textId="77777777" w:rsidR="00DF5E7F" w:rsidRPr="00317783" w:rsidRDefault="00DF5E7F" w:rsidP="00DF5E7F">
      <w:pPr>
        <w:pStyle w:val="Textonotapie"/>
        <w:ind w:firstLine="709"/>
        <w:contextualSpacing/>
        <w:jc w:val="both"/>
        <w:rPr>
          <w:rFonts w:ascii="Century Gothic" w:hAnsi="Century Gothic" w:cs="Arial"/>
          <w:sz w:val="18"/>
          <w:szCs w:val="18"/>
          <w:lang w:val="es-CO"/>
        </w:rPr>
      </w:pPr>
      <w:r w:rsidRPr="00317783">
        <w:rPr>
          <w:rStyle w:val="Refdenotaalpie"/>
          <w:rFonts w:ascii="Century Gothic" w:hAnsi="Century Gothic" w:cs="Arial"/>
          <w:sz w:val="18"/>
          <w:szCs w:val="18"/>
        </w:rPr>
        <w:footnoteRef/>
      </w:r>
      <w:r w:rsidRPr="00317783">
        <w:rPr>
          <w:rFonts w:ascii="Century Gothic" w:hAnsi="Century Gothic" w:cs="Arial"/>
          <w:sz w:val="18"/>
          <w:szCs w:val="18"/>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footnote>
  <w:footnote w:id="7">
    <w:p w14:paraId="6A8B1799" w14:textId="77777777" w:rsidR="00531189" w:rsidRDefault="00531189" w:rsidP="00DF5E7F">
      <w:pPr>
        <w:pStyle w:val="Textonotapie"/>
        <w:ind w:firstLine="709"/>
        <w:contextualSpacing/>
        <w:jc w:val="both"/>
        <w:rPr>
          <w:rFonts w:ascii="Century Gothic" w:hAnsi="Century Gothic" w:cs="Arial"/>
          <w:sz w:val="18"/>
          <w:szCs w:val="18"/>
        </w:rPr>
      </w:pPr>
    </w:p>
    <w:p w14:paraId="0211B7AC" w14:textId="61F4DC27" w:rsidR="00DF5E7F" w:rsidRPr="00317783" w:rsidRDefault="00DF5E7F" w:rsidP="00DF5E7F">
      <w:pPr>
        <w:pStyle w:val="Textonotapie"/>
        <w:ind w:firstLine="709"/>
        <w:contextualSpacing/>
        <w:jc w:val="both"/>
        <w:rPr>
          <w:rFonts w:ascii="Century Gothic" w:hAnsi="Century Gothic" w:cs="Arial"/>
          <w:sz w:val="18"/>
          <w:szCs w:val="18"/>
        </w:rPr>
      </w:pPr>
      <w:r w:rsidRPr="00317783">
        <w:rPr>
          <w:rStyle w:val="Refdenotaalpie"/>
          <w:rFonts w:ascii="Century Gothic" w:hAnsi="Century Gothic" w:cs="Arial"/>
          <w:sz w:val="18"/>
          <w:szCs w:val="18"/>
        </w:rPr>
        <w:footnoteRef/>
      </w:r>
      <w:r w:rsidRPr="00317783">
        <w:rPr>
          <w:rFonts w:ascii="Century Gothic" w:hAnsi="Century Gothic" w:cs="Arial"/>
          <w:sz w:val="18"/>
          <w:szCs w:val="18"/>
        </w:rPr>
        <w:t xml:space="preserve"> Consejo de Estado, Sala de Consulta y Servicio Civil de fecha 24 de julio de 2013, radicado 2166, C</w:t>
      </w:r>
      <w:r w:rsidR="00531189">
        <w:rPr>
          <w:rFonts w:ascii="Century Gothic" w:hAnsi="Century Gothic" w:cs="Arial"/>
          <w:sz w:val="18"/>
          <w:szCs w:val="18"/>
        </w:rPr>
        <w:t>.</w:t>
      </w:r>
      <w:r w:rsidRPr="00317783">
        <w:rPr>
          <w:rFonts w:ascii="Century Gothic" w:hAnsi="Century Gothic" w:cs="Arial"/>
          <w:sz w:val="18"/>
          <w:szCs w:val="18"/>
        </w:rPr>
        <w:t xml:space="preserve"> P</w:t>
      </w:r>
      <w:r w:rsidR="00531189">
        <w:rPr>
          <w:rFonts w:ascii="Century Gothic" w:hAnsi="Century Gothic" w:cs="Arial"/>
          <w:sz w:val="18"/>
          <w:szCs w:val="18"/>
        </w:rPr>
        <w:t>.</w:t>
      </w:r>
      <w:r w:rsidRPr="00317783">
        <w:rPr>
          <w:rFonts w:ascii="Century Gothic" w:hAnsi="Century Gothic" w:cs="Arial"/>
          <w:sz w:val="18"/>
          <w:szCs w:val="18"/>
        </w:rPr>
        <w:t xml:space="preserve"> Álvaro Namén Vargas.  </w:t>
      </w:r>
    </w:p>
  </w:footnote>
  <w:footnote w:id="8">
    <w:p w14:paraId="7CC0012C" w14:textId="77777777" w:rsidR="00DF5E7F" w:rsidRPr="00317783" w:rsidRDefault="00DF5E7F" w:rsidP="00DF5E7F">
      <w:pPr>
        <w:spacing w:after="0" w:line="240" w:lineRule="auto"/>
        <w:ind w:firstLine="709"/>
        <w:contextualSpacing/>
        <w:jc w:val="both"/>
        <w:rPr>
          <w:rFonts w:ascii="Century Gothic" w:eastAsia="Times New Roman" w:hAnsi="Century Gothic" w:cs="Arial"/>
          <w:sz w:val="18"/>
          <w:szCs w:val="18"/>
        </w:rPr>
      </w:pPr>
      <w:r w:rsidRPr="00317783">
        <w:rPr>
          <w:rStyle w:val="Refdenotaalpie"/>
          <w:rFonts w:ascii="Century Gothic" w:hAnsi="Century Gothic" w:cs="Arial"/>
          <w:sz w:val="18"/>
          <w:szCs w:val="18"/>
        </w:rPr>
        <w:footnoteRef/>
      </w:r>
      <w:r w:rsidRPr="00317783">
        <w:rPr>
          <w:rFonts w:ascii="Century Gothic" w:hAnsi="Century Gothic" w:cs="Arial"/>
          <w:sz w:val="18"/>
          <w:szCs w:val="18"/>
        </w:rPr>
        <w:t xml:space="preserve"> </w:t>
      </w:r>
      <w:bookmarkStart w:id="16" w:name="33"/>
      <w:r w:rsidRPr="00317783">
        <w:rPr>
          <w:rFonts w:ascii="Century Gothic" w:eastAsia="Calibri" w:hAnsi="Century Gothic" w:cs="Arial"/>
          <w:color w:val="000000"/>
          <w:sz w:val="18"/>
          <w:szCs w:val="18"/>
        </w:rPr>
        <w:t>“</w:t>
      </w:r>
      <w:r w:rsidRPr="00317783">
        <w:rPr>
          <w:rFonts w:ascii="Century Gothic" w:eastAsia="Times New Roman" w:hAnsi="Century Gothic" w:cs="Arial"/>
          <w:sz w:val="18"/>
          <w:szCs w:val="18"/>
        </w:rPr>
        <w:t>Artículo 33. Restricciones a la contratación pública.</w:t>
      </w:r>
      <w:bookmarkEnd w:id="16"/>
      <w:r w:rsidRPr="00317783">
        <w:rPr>
          <w:rFonts w:ascii="Century Gothic" w:eastAsia="Times New Roman" w:hAnsi="Century Gothic" w:cs="Arial"/>
          <w:sz w:val="18"/>
          <w:szCs w:val="18"/>
        </w:rPr>
        <w:t> Durante los cuatro (4) meses anteriores a la elección presidencial y hasta la realización de la elección en la segunda vuelta, si fuere el caso, queda prohibida la contratación directa por parte de todos los entes del Estado.</w:t>
      </w:r>
    </w:p>
    <w:p w14:paraId="6CF9DDF5" w14:textId="77777777" w:rsidR="00DF5E7F" w:rsidRDefault="00DF5E7F" w:rsidP="00DF5E7F">
      <w:pPr>
        <w:spacing w:after="0" w:line="240" w:lineRule="auto"/>
        <w:ind w:firstLine="709"/>
        <w:contextualSpacing/>
        <w:jc w:val="both"/>
        <w:rPr>
          <w:rFonts w:ascii="Century Gothic" w:eastAsia="Times New Roman" w:hAnsi="Century Gothic" w:cs="Arial"/>
          <w:sz w:val="18"/>
          <w:szCs w:val="18"/>
        </w:rPr>
      </w:pPr>
      <w:r w:rsidRPr="00317783">
        <w:rPr>
          <w:rFonts w:ascii="Century Gothic" w:eastAsia="Times New Roman" w:hAnsi="Century Gothic" w:cs="Arial"/>
          <w:sz w:val="18"/>
          <w:szCs w:val="18"/>
        </w:rPr>
        <w:t>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317783">
        <w:rPr>
          <w:rFonts w:ascii="Century Gothic" w:eastAsia="Calibri" w:hAnsi="Century Gothic" w:cs="Arial"/>
          <w:color w:val="000000"/>
          <w:sz w:val="18"/>
          <w:szCs w:val="18"/>
        </w:rPr>
        <w:t>”</w:t>
      </w:r>
      <w:r w:rsidRPr="00317783">
        <w:rPr>
          <w:rFonts w:ascii="Century Gothic" w:eastAsia="Times New Roman" w:hAnsi="Century Gothic" w:cs="Arial"/>
          <w:sz w:val="18"/>
          <w:szCs w:val="18"/>
        </w:rPr>
        <w:t>.</w:t>
      </w:r>
    </w:p>
    <w:p w14:paraId="01054B78" w14:textId="77777777" w:rsidR="005C3ED0" w:rsidRPr="00317783" w:rsidRDefault="005C3ED0" w:rsidP="00DF5E7F">
      <w:pPr>
        <w:spacing w:after="0" w:line="240" w:lineRule="auto"/>
        <w:ind w:firstLine="709"/>
        <w:contextualSpacing/>
        <w:jc w:val="both"/>
        <w:rPr>
          <w:rFonts w:ascii="Century Gothic" w:eastAsia="Times New Roman" w:hAnsi="Century Gothic" w:cs="Arial"/>
          <w:sz w:val="18"/>
          <w:szCs w:val="18"/>
        </w:rPr>
      </w:pPr>
    </w:p>
  </w:footnote>
  <w:footnote w:id="9">
    <w:p w14:paraId="4918BDD4" w14:textId="55B93D5D" w:rsidR="00DF5E7F" w:rsidRPr="00317783" w:rsidRDefault="00DF5E7F" w:rsidP="00DF5E7F">
      <w:pPr>
        <w:pStyle w:val="NormalWeb"/>
        <w:spacing w:before="0" w:beforeAutospacing="0" w:after="0" w:afterAutospacing="0"/>
        <w:ind w:firstLine="709"/>
        <w:contextualSpacing/>
        <w:jc w:val="both"/>
        <w:rPr>
          <w:rFonts w:ascii="Century Gothic" w:hAnsi="Century Gothic" w:cs="Arial"/>
          <w:sz w:val="18"/>
          <w:szCs w:val="18"/>
          <w:lang w:val="es-MX"/>
        </w:rPr>
      </w:pPr>
      <w:r w:rsidRPr="00317783">
        <w:rPr>
          <w:rStyle w:val="Refdenotaalpie"/>
          <w:rFonts w:ascii="Century Gothic" w:hAnsi="Century Gothic" w:cs="Arial"/>
          <w:sz w:val="18"/>
          <w:szCs w:val="18"/>
        </w:rPr>
        <w:footnoteRef/>
      </w:r>
      <w:r w:rsidRPr="00317783">
        <w:rPr>
          <w:rFonts w:ascii="Century Gothic" w:hAnsi="Century Gothic" w:cs="Arial"/>
          <w:sz w:val="18"/>
          <w:szCs w:val="18"/>
        </w:rPr>
        <w:t xml:space="preserve"> </w:t>
      </w:r>
      <w:bookmarkStart w:id="17" w:name="38"/>
      <w:r w:rsidRPr="00317783">
        <w:rPr>
          <w:rFonts w:ascii="Century Gothic" w:eastAsia="Calibri" w:hAnsi="Century Gothic" w:cs="Arial"/>
          <w:color w:val="000000"/>
          <w:sz w:val="18"/>
          <w:szCs w:val="18"/>
        </w:rPr>
        <w:t>“</w:t>
      </w:r>
      <w:r w:rsidRPr="00317783">
        <w:rPr>
          <w:rFonts w:ascii="Century Gothic" w:hAnsi="Century Gothic" w:cs="Arial"/>
          <w:sz w:val="18"/>
          <w:szCs w:val="18"/>
          <w:lang w:val="es-MX"/>
        </w:rPr>
        <w:t>Artículo 38. Prohibiciones para los servidores públicos. A los empleados del Estado les está prohibido:</w:t>
      </w:r>
      <w:bookmarkEnd w:id="17"/>
      <w:r w:rsidR="005C3ED0">
        <w:rPr>
          <w:rFonts w:ascii="Century Gothic" w:hAnsi="Century Gothic" w:cs="Arial"/>
          <w:sz w:val="18"/>
          <w:szCs w:val="18"/>
          <w:lang w:val="es-MX"/>
        </w:rPr>
        <w:t xml:space="preserve"> </w:t>
      </w:r>
      <w:r w:rsidRPr="00317783">
        <w:rPr>
          <w:rFonts w:ascii="Century Gothic" w:hAnsi="Century Gothic" w:cs="Arial"/>
          <w:sz w:val="18"/>
          <w:szCs w:val="18"/>
          <w:lang w:val="es-MX"/>
        </w:rPr>
        <w:t>[…]</w:t>
      </w:r>
    </w:p>
    <w:p w14:paraId="553742FC" w14:textId="77777777" w:rsidR="00DF5E7F" w:rsidRDefault="00DF5E7F" w:rsidP="00DF5E7F">
      <w:pPr>
        <w:pStyle w:val="NormalWeb"/>
        <w:spacing w:before="0" w:beforeAutospacing="0" w:after="0" w:afterAutospacing="0"/>
        <w:ind w:firstLine="709"/>
        <w:contextualSpacing/>
        <w:jc w:val="both"/>
        <w:rPr>
          <w:rFonts w:ascii="Century Gothic" w:hAnsi="Century Gothic" w:cs="Arial"/>
          <w:sz w:val="18"/>
          <w:szCs w:val="18"/>
          <w:lang w:val="es-MX"/>
        </w:rPr>
      </w:pPr>
      <w:r w:rsidRPr="00317783">
        <w:rPr>
          <w:rStyle w:val="baj"/>
          <w:rFonts w:ascii="Century Gothic" w:hAnsi="Century Gothic" w:cs="Arial"/>
          <w:sz w:val="18"/>
          <w:szCs w:val="18"/>
          <w:lang w:val="es-MX"/>
        </w:rPr>
        <w:t>Parágrafo.</w:t>
      </w:r>
      <w:r w:rsidRPr="00317783">
        <w:rPr>
          <w:rFonts w:ascii="Century Gothic" w:hAnsi="Century Gothic" w:cs="Arial"/>
          <w:sz w:val="18"/>
          <w:szCs w:val="18"/>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317783">
        <w:rPr>
          <w:rFonts w:ascii="Century Gothic" w:eastAsia="Calibri" w:hAnsi="Century Gothic" w:cs="Arial"/>
          <w:color w:val="000000"/>
          <w:sz w:val="18"/>
          <w:szCs w:val="18"/>
        </w:rPr>
        <w:t>”</w:t>
      </w:r>
      <w:r w:rsidRPr="00317783">
        <w:rPr>
          <w:rFonts w:ascii="Century Gothic" w:hAnsi="Century Gothic" w:cs="Arial"/>
          <w:sz w:val="18"/>
          <w:szCs w:val="18"/>
          <w:lang w:val="es-MX"/>
        </w:rPr>
        <w:t>.</w:t>
      </w:r>
    </w:p>
    <w:p w14:paraId="158D5271" w14:textId="77777777" w:rsidR="002F10F8" w:rsidRPr="00317783" w:rsidRDefault="002F10F8" w:rsidP="00DF5E7F">
      <w:pPr>
        <w:pStyle w:val="NormalWeb"/>
        <w:spacing w:before="0" w:beforeAutospacing="0" w:after="0" w:afterAutospacing="0"/>
        <w:ind w:firstLine="709"/>
        <w:contextualSpacing/>
        <w:jc w:val="both"/>
        <w:rPr>
          <w:rFonts w:ascii="Century Gothic" w:hAnsi="Century Gothic" w:cs="Arial"/>
          <w:sz w:val="18"/>
          <w:szCs w:val="18"/>
          <w:lang w:val="es-MX"/>
        </w:rPr>
      </w:pPr>
    </w:p>
  </w:footnote>
  <w:footnote w:id="10">
    <w:p w14:paraId="441196A3" w14:textId="77777777" w:rsidR="00DF5E7F" w:rsidRPr="00317783" w:rsidRDefault="00DF5E7F" w:rsidP="00DF5E7F">
      <w:pPr>
        <w:spacing w:after="0" w:line="240" w:lineRule="auto"/>
        <w:ind w:left="100" w:right="244" w:firstLine="709"/>
        <w:contextualSpacing/>
        <w:jc w:val="both"/>
        <w:rPr>
          <w:rFonts w:ascii="Century Gothic" w:hAnsi="Century Gothic" w:cs="Arial"/>
          <w:sz w:val="18"/>
          <w:szCs w:val="18"/>
          <w:lang w:val="es-ES"/>
        </w:rPr>
      </w:pPr>
      <w:r w:rsidRPr="00317783">
        <w:rPr>
          <w:rStyle w:val="Refdenotaalpie"/>
          <w:rFonts w:ascii="Century Gothic" w:hAnsi="Century Gothic" w:cs="Arial"/>
          <w:sz w:val="18"/>
          <w:szCs w:val="18"/>
        </w:rPr>
        <w:footnoteRef/>
      </w:r>
      <w:r w:rsidRPr="00317783">
        <w:rPr>
          <w:rFonts w:ascii="Century Gothic" w:hAnsi="Century Gothic" w:cs="Arial"/>
          <w:sz w:val="18"/>
          <w:szCs w:val="18"/>
        </w:rPr>
        <w:t xml:space="preserve"> Consejo de Estado. Sala de Consulta y Servicio Civil. Concepto del 17 de febrero de 2015. C.P. William Zambrano Cetina. Radicación No. 11001-03-06-000-2015-00164-00(2269).</w:t>
      </w:r>
    </w:p>
  </w:footnote>
  <w:footnote w:id="11">
    <w:p w14:paraId="71CCC3ED" w14:textId="77777777" w:rsidR="00DF5E7F" w:rsidRPr="00317783" w:rsidRDefault="00DF5E7F" w:rsidP="00DF5E7F">
      <w:pPr>
        <w:pStyle w:val="Textonotapie"/>
        <w:ind w:firstLine="709"/>
        <w:contextualSpacing/>
        <w:jc w:val="both"/>
        <w:rPr>
          <w:rFonts w:ascii="Century Gothic" w:hAnsi="Century Gothic" w:cs="Arial"/>
          <w:sz w:val="18"/>
          <w:szCs w:val="18"/>
        </w:rPr>
      </w:pPr>
      <w:r w:rsidRPr="00317783">
        <w:rPr>
          <w:rStyle w:val="Refdenotaalpie"/>
          <w:rFonts w:ascii="Century Gothic" w:hAnsi="Century Gothic" w:cs="Arial"/>
          <w:sz w:val="18"/>
          <w:szCs w:val="18"/>
        </w:rPr>
        <w:footnoteRef/>
      </w:r>
      <w:r w:rsidRPr="00317783">
        <w:rPr>
          <w:rFonts w:ascii="Century Gothic" w:hAnsi="Century Gothic" w:cs="Arial"/>
          <w:sz w:val="18"/>
          <w:szCs w:val="18"/>
        </w:rPr>
        <w:t xml:space="preserve"> Consejo de Estado. Sala de Consulta y Servicio Civil. Concepto de 20 de febrero de2006. Radicación 11001-03-06-000-2006-00023-00(1724). Consejero Ponente: Flavio Augusto Rodríguez Arce.</w:t>
      </w:r>
    </w:p>
  </w:footnote>
  <w:footnote w:id="12">
    <w:p w14:paraId="57855DB2" w14:textId="77777777" w:rsidR="00DF5E7F" w:rsidRPr="00317783" w:rsidRDefault="00DF5E7F" w:rsidP="00DF5E7F">
      <w:pPr>
        <w:spacing w:after="0" w:line="240" w:lineRule="auto"/>
        <w:ind w:firstLine="709"/>
        <w:contextualSpacing/>
        <w:jc w:val="both"/>
        <w:rPr>
          <w:rFonts w:ascii="Century Gothic" w:hAnsi="Century Gothic" w:cs="Arial"/>
          <w:sz w:val="18"/>
          <w:szCs w:val="18"/>
        </w:rPr>
      </w:pPr>
      <w:r w:rsidRPr="00317783">
        <w:rPr>
          <w:rStyle w:val="Refdenotaalpie"/>
          <w:rFonts w:ascii="Century Gothic" w:hAnsi="Century Gothic" w:cs="Arial"/>
          <w:sz w:val="18"/>
          <w:szCs w:val="18"/>
        </w:rPr>
        <w:footnoteRef/>
      </w:r>
      <w:r w:rsidRPr="00317783">
        <w:rPr>
          <w:rFonts w:ascii="Century Gothic" w:hAnsi="Century Gothic" w:cs="Arial"/>
          <w:sz w:val="18"/>
          <w:szCs w:val="18"/>
        </w:rPr>
        <w:t xml:space="preserve"> Decreto 1082 de 2015: “Artículo 2.2.1.2.1.4.4. Convenios o contratos interadministrativos. La modalidad de selección para la contratación entre Entidades Estatales es la contratación directa; y en consecuencia, le es aplicable lo establecido en el artículo 2.2.1.2.1.4.1 del presente decreto.</w:t>
      </w:r>
    </w:p>
    <w:p w14:paraId="32686695" w14:textId="77777777" w:rsidR="00DF5E7F" w:rsidRPr="00317783" w:rsidRDefault="00DF5E7F" w:rsidP="00DF5E7F">
      <w:pPr>
        <w:spacing w:after="0" w:line="240" w:lineRule="auto"/>
        <w:ind w:firstLine="709"/>
        <w:contextualSpacing/>
        <w:jc w:val="both"/>
        <w:rPr>
          <w:rFonts w:ascii="Century Gothic" w:hAnsi="Century Gothic" w:cs="Arial"/>
          <w:sz w:val="18"/>
          <w:szCs w:val="18"/>
        </w:rPr>
      </w:pPr>
      <w:r w:rsidRPr="00317783">
        <w:rPr>
          <w:rFonts w:ascii="Century Gothic" w:hAnsi="Century Gothic" w:cs="Arial"/>
          <w:sz w:val="18"/>
          <w:szCs w:val="18"/>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317783">
        <w:rPr>
          <w:rFonts w:ascii="Century Gothic" w:hAnsi="Century Gothic" w:cs="Arial"/>
          <w:spacing w:val="-1"/>
          <w:sz w:val="18"/>
          <w:szCs w:val="18"/>
        </w:rPr>
        <w:t xml:space="preserve"> </w:t>
      </w:r>
      <w:r w:rsidRPr="00317783">
        <w:rPr>
          <w:rFonts w:ascii="Century Gothic" w:hAnsi="Century Gothic" w:cs="Arial"/>
          <w:sz w:val="18"/>
          <w:szCs w:val="18"/>
        </w:rPr>
        <w:t>Estatales”.</w:t>
      </w:r>
    </w:p>
  </w:footnote>
  <w:footnote w:id="13">
    <w:p w14:paraId="6A3431B3" w14:textId="77777777" w:rsidR="00DF5E7F" w:rsidRPr="00317783" w:rsidRDefault="00DF5E7F" w:rsidP="00DF5E7F">
      <w:pPr>
        <w:spacing w:after="0" w:line="240" w:lineRule="auto"/>
        <w:ind w:firstLine="709"/>
        <w:contextualSpacing/>
        <w:jc w:val="both"/>
        <w:rPr>
          <w:rFonts w:ascii="Century Gothic" w:hAnsi="Century Gothic" w:cs="Arial"/>
          <w:sz w:val="18"/>
          <w:szCs w:val="18"/>
        </w:rPr>
      </w:pPr>
      <w:r w:rsidRPr="00317783">
        <w:rPr>
          <w:rStyle w:val="Refdenotaalpie"/>
          <w:rFonts w:ascii="Century Gothic" w:hAnsi="Century Gothic" w:cs="Arial"/>
          <w:sz w:val="18"/>
          <w:szCs w:val="18"/>
        </w:rPr>
        <w:footnoteRef/>
      </w:r>
      <w:r w:rsidRPr="00317783">
        <w:rPr>
          <w:rFonts w:ascii="Century Gothic" w:hAnsi="Century Gothic" w:cs="Arial"/>
          <w:sz w:val="18"/>
          <w:szCs w:val="18"/>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317783">
        <w:rPr>
          <w:rFonts w:ascii="Century Gothic" w:hAnsi="Century Gothic" w:cs="Arial"/>
          <w:spacing w:val="-6"/>
          <w:sz w:val="18"/>
          <w:szCs w:val="18"/>
        </w:rPr>
        <w:t xml:space="preserve"> </w:t>
      </w:r>
      <w:r w:rsidRPr="00317783">
        <w:rPr>
          <w:rFonts w:ascii="Century Gothic" w:hAnsi="Century Gothic" w:cs="Arial"/>
          <w:sz w:val="18"/>
          <w:szCs w:val="18"/>
        </w:rPr>
        <w:t>artículo”.</w:t>
      </w:r>
    </w:p>
  </w:footnote>
  <w:footnote w:id="14">
    <w:p w14:paraId="6F639C7B" w14:textId="77777777" w:rsidR="00DF5E7F" w:rsidRPr="00317783" w:rsidRDefault="00DF5E7F" w:rsidP="00DF5E7F">
      <w:pPr>
        <w:spacing w:after="0" w:line="240" w:lineRule="auto"/>
        <w:ind w:right="454" w:firstLine="709"/>
        <w:contextualSpacing/>
        <w:jc w:val="both"/>
        <w:rPr>
          <w:rFonts w:ascii="Century Gothic" w:hAnsi="Century Gothic" w:cs="Arial"/>
          <w:sz w:val="18"/>
          <w:szCs w:val="18"/>
        </w:rPr>
      </w:pPr>
      <w:r w:rsidRPr="00317783">
        <w:rPr>
          <w:rStyle w:val="Refdenotaalpie"/>
          <w:rFonts w:ascii="Century Gothic" w:hAnsi="Century Gothic" w:cs="Arial"/>
          <w:sz w:val="18"/>
          <w:szCs w:val="18"/>
        </w:rPr>
        <w:footnoteRef/>
      </w:r>
      <w:r w:rsidRPr="00317783">
        <w:rPr>
          <w:rFonts w:ascii="Century Gothic" w:hAnsi="Century Gothic" w:cs="Arial"/>
          <w:position w:val="7"/>
          <w:sz w:val="18"/>
          <w:szCs w:val="18"/>
        </w:rPr>
        <w:t xml:space="preserve"> </w:t>
      </w:r>
      <w:r w:rsidRPr="00317783">
        <w:rPr>
          <w:rFonts w:ascii="Century Gothic" w:hAnsi="Century Gothic" w:cs="Arial"/>
          <w:sz w:val="18"/>
          <w:szCs w:val="18"/>
        </w:rPr>
        <w:t>Consejo de Estado. Sección Tercera. Sentencia del 23 de junio de 2010. Radicación No. 66001-23-31-000-1998-00261-01(17.860). Consejero Ponente: Mauricio Fajardo Gómez.</w:t>
      </w:r>
    </w:p>
  </w:footnote>
  <w:footnote w:id="15">
    <w:p w14:paraId="5B770F92" w14:textId="77777777" w:rsidR="00DF5E7F" w:rsidRDefault="00DF5E7F" w:rsidP="00DF5E7F">
      <w:pPr>
        <w:spacing w:after="0" w:line="240" w:lineRule="auto"/>
        <w:ind w:firstLine="709"/>
        <w:contextualSpacing/>
        <w:jc w:val="both"/>
        <w:rPr>
          <w:rFonts w:ascii="Century Gothic" w:hAnsi="Century Gothic" w:cs="Arial"/>
          <w:sz w:val="18"/>
          <w:szCs w:val="18"/>
        </w:rPr>
      </w:pPr>
      <w:r w:rsidRPr="00317783">
        <w:rPr>
          <w:rStyle w:val="Refdenotaalpie"/>
          <w:rFonts w:ascii="Century Gothic" w:hAnsi="Century Gothic" w:cs="Arial"/>
          <w:sz w:val="18"/>
          <w:szCs w:val="18"/>
        </w:rPr>
        <w:footnoteRef/>
      </w:r>
      <w:r w:rsidRPr="00317783">
        <w:rPr>
          <w:rFonts w:ascii="Century Gothic" w:hAnsi="Century Gothic" w:cs="Arial"/>
          <w:sz w:val="18"/>
          <w:szCs w:val="18"/>
        </w:rPr>
        <w:t xml:space="preserve"> Consejo de Estado. Sección Tercera. Subsección C. Sentencia del 11 de diciembre de 2019. Exp. 46.986. C.P. Jaime Enrique Rodríguez Navas.</w:t>
      </w:r>
    </w:p>
    <w:p w14:paraId="5DB0EDCF" w14:textId="77777777" w:rsidR="00946032" w:rsidRPr="00317783" w:rsidRDefault="00946032" w:rsidP="00DF5E7F">
      <w:pPr>
        <w:spacing w:after="0" w:line="240" w:lineRule="auto"/>
        <w:ind w:firstLine="709"/>
        <w:contextualSpacing/>
        <w:jc w:val="both"/>
        <w:rPr>
          <w:rFonts w:ascii="Century Gothic" w:hAnsi="Century Gothic" w:cs="Arial"/>
          <w:sz w:val="18"/>
          <w:szCs w:val="18"/>
        </w:rPr>
      </w:pPr>
    </w:p>
  </w:footnote>
  <w:footnote w:id="16">
    <w:p w14:paraId="019D3BAB" w14:textId="77777777" w:rsidR="00DF5E7F" w:rsidRPr="00317783" w:rsidRDefault="00DF5E7F" w:rsidP="00DF5E7F">
      <w:pPr>
        <w:pStyle w:val="Textonotapie"/>
        <w:ind w:firstLine="708"/>
        <w:contextualSpacing/>
        <w:jc w:val="both"/>
        <w:rPr>
          <w:rFonts w:ascii="Century Gothic" w:hAnsi="Century Gothic" w:cs="Arial"/>
          <w:sz w:val="18"/>
          <w:szCs w:val="18"/>
        </w:rPr>
      </w:pPr>
      <w:r w:rsidRPr="00317783">
        <w:rPr>
          <w:rStyle w:val="Refdenotaalpie"/>
          <w:rFonts w:ascii="Century Gothic" w:hAnsi="Century Gothic" w:cs="Arial"/>
          <w:sz w:val="18"/>
          <w:szCs w:val="18"/>
        </w:rPr>
        <w:footnoteRef/>
      </w:r>
      <w:r w:rsidRPr="00317783">
        <w:rPr>
          <w:rFonts w:ascii="Century Gothic" w:hAnsi="Century Gothic" w:cs="Arial"/>
          <w:sz w:val="18"/>
          <w:szCs w:val="18"/>
        </w:rPr>
        <w:t xml:space="preserve"> [Referencia propia de la cita] “CE. SCSC. Concepto de 1 de noviembre de 2016 [Rad. 11001-03-06-000-2016-00125-00(2305)]. MP. Germán Alberto Bula Escobar”.</w:t>
      </w:r>
    </w:p>
  </w:footnote>
  <w:footnote w:id="17">
    <w:p w14:paraId="0806CA9E" w14:textId="77777777" w:rsidR="00DF5E7F" w:rsidRPr="00317783" w:rsidRDefault="00DF5E7F" w:rsidP="00DF5E7F">
      <w:pPr>
        <w:pStyle w:val="Textonotapie"/>
        <w:ind w:firstLine="708"/>
        <w:contextualSpacing/>
        <w:jc w:val="both"/>
        <w:rPr>
          <w:rFonts w:ascii="Century Gothic" w:hAnsi="Century Gothic" w:cs="Arial"/>
          <w:sz w:val="18"/>
          <w:szCs w:val="18"/>
        </w:rPr>
      </w:pPr>
      <w:r w:rsidRPr="00317783">
        <w:rPr>
          <w:rStyle w:val="Refdenotaalpie"/>
          <w:rFonts w:ascii="Century Gothic" w:hAnsi="Century Gothic" w:cs="Arial"/>
          <w:sz w:val="18"/>
          <w:szCs w:val="18"/>
        </w:rPr>
        <w:footnoteRef/>
      </w:r>
      <w:r w:rsidRPr="00317783">
        <w:rPr>
          <w:rFonts w:ascii="Century Gothic" w:hAnsi="Century Gothic" w:cs="Arial"/>
          <w:sz w:val="18"/>
          <w:szCs w:val="18"/>
        </w:rPr>
        <w:t xml:space="preserve"> [Referencia propia de la cita] “CE. SCSC. Concepto de 30 de abril de 2008 [Rad. 11001-03-06-000-2008-00013-00(1881)]. MP. Enrique José Arboleda Perdomo. En esta oportunidad, la Sala indicó que el contenido </w:t>
      </w:r>
      <w:r w:rsidRPr="00317783">
        <w:rPr>
          <w:rFonts w:ascii="Century Gothic" w:hAnsi="Century Gothic" w:cs="Arial"/>
          <w:i/>
          <w:sz w:val="18"/>
          <w:szCs w:val="18"/>
        </w:rPr>
        <w:t>“obligacional”</w:t>
      </w:r>
      <w:r w:rsidRPr="00317783">
        <w:rPr>
          <w:rFonts w:ascii="Century Gothic" w:hAnsi="Century Gothic" w:cs="Arial"/>
          <w:sz w:val="18"/>
          <w:szCs w:val="18"/>
        </w:rPr>
        <w:t xml:space="preserve"> de los convenios se estructura definiendo el resultado querido por las partes y los medios que cada entidad despliega para la obtención del respectivo objeto”.</w:t>
      </w:r>
    </w:p>
  </w:footnote>
  <w:footnote w:id="18">
    <w:p w14:paraId="21D0254E" w14:textId="77777777" w:rsidR="00946032" w:rsidRDefault="00946032" w:rsidP="00DF5E7F">
      <w:pPr>
        <w:pStyle w:val="Textonotapie"/>
        <w:ind w:firstLine="708"/>
        <w:contextualSpacing/>
        <w:jc w:val="both"/>
        <w:rPr>
          <w:rFonts w:ascii="Century Gothic" w:hAnsi="Century Gothic" w:cs="Arial"/>
          <w:sz w:val="18"/>
          <w:szCs w:val="18"/>
        </w:rPr>
      </w:pPr>
    </w:p>
    <w:p w14:paraId="0797CB6C" w14:textId="59475D38" w:rsidR="00DF5E7F" w:rsidRPr="00317783" w:rsidRDefault="00DF5E7F" w:rsidP="00DF5E7F">
      <w:pPr>
        <w:pStyle w:val="Textonotapie"/>
        <w:ind w:firstLine="708"/>
        <w:contextualSpacing/>
        <w:jc w:val="both"/>
        <w:rPr>
          <w:rFonts w:ascii="Century Gothic" w:hAnsi="Century Gothic" w:cs="Arial"/>
          <w:sz w:val="18"/>
          <w:szCs w:val="18"/>
        </w:rPr>
      </w:pPr>
      <w:r w:rsidRPr="00317783">
        <w:rPr>
          <w:rStyle w:val="Refdenotaalpie"/>
          <w:rFonts w:ascii="Century Gothic" w:hAnsi="Century Gothic" w:cs="Arial"/>
          <w:sz w:val="18"/>
          <w:szCs w:val="18"/>
        </w:rPr>
        <w:footnoteRef/>
      </w:r>
      <w:r w:rsidRPr="00317783">
        <w:rPr>
          <w:rFonts w:ascii="Century Gothic" w:hAnsi="Century Gothic" w:cs="Arial"/>
          <w:sz w:val="18"/>
          <w:szCs w:val="18"/>
        </w:rPr>
        <w:t xml:space="preserve"> [Referencia propia de la cita] “La normativa vigente del EGCAP </w:t>
      </w:r>
      <w:r w:rsidRPr="00317783">
        <w:rPr>
          <w:rFonts w:ascii="Century Gothic" w:hAnsi="Century Gothic" w:cs="Arial"/>
          <w:i/>
          <w:sz w:val="18"/>
          <w:szCs w:val="18"/>
        </w:rPr>
        <w:t xml:space="preserve">[literal c) del numeral 4. </w:t>
      </w:r>
      <w:r w:rsidR="00946032" w:rsidRPr="00946032">
        <w:rPr>
          <w:rFonts w:ascii="Century Gothic" w:hAnsi="Century Gothic" w:cs="Arial"/>
          <w:i/>
          <w:sz w:val="18"/>
          <w:szCs w:val="18"/>
        </w:rPr>
        <w:t>D</w:t>
      </w:r>
      <w:r w:rsidRPr="00317783">
        <w:rPr>
          <w:rFonts w:ascii="Century Gothic" w:hAnsi="Century Gothic" w:cs="Arial"/>
          <w:i/>
          <w:sz w:val="18"/>
          <w:szCs w:val="18"/>
        </w:rPr>
        <w:t>el artículo 2 de la Ley 1150/07]</w:t>
      </w:r>
      <w:r w:rsidRPr="00317783">
        <w:rPr>
          <w:rFonts w:ascii="Century Gothic" w:hAnsi="Century Gothic" w:cs="Arial"/>
          <w:sz w:val="18"/>
          <w:szCs w:val="18"/>
        </w:rPr>
        <w:t xml:space="preserve"> se refiere a </w:t>
      </w:r>
      <w:r w:rsidRPr="00317783">
        <w:rPr>
          <w:rFonts w:ascii="Century Gothic" w:hAnsi="Century Gothic" w:cs="Arial"/>
          <w:i/>
          <w:sz w:val="18"/>
          <w:szCs w:val="18"/>
        </w:rPr>
        <w:t>“contratos interadministrativos”</w:t>
      </w:r>
      <w:r w:rsidRPr="00317783">
        <w:rPr>
          <w:rFonts w:ascii="Century Gothic" w:hAnsi="Century Gothic" w:cs="Arial"/>
          <w:sz w:val="18"/>
          <w:szCs w:val="18"/>
        </w:rPr>
        <w:t xml:space="preserve"> en los que sí existe dicha contraposición de intereses, lo cual obedece a que las relaciones obligatorias que estos plantean, a diferencia de los regulados por el artículo 95 de la Ley 489/98, carecen de la finalidad asociativa, en la medida en que persiguen preponderantemente la satisfacción de necesidades contractuales de las entidades estatales, sin perjuicio de los fines que motivan la contratación en los términos del artículo 3 de la Ley 80/93”.</w:t>
      </w:r>
    </w:p>
  </w:footnote>
  <w:footnote w:id="19">
    <w:p w14:paraId="1B5C330C" w14:textId="77777777" w:rsidR="00946032" w:rsidRDefault="00946032" w:rsidP="00DF5E7F">
      <w:pPr>
        <w:pStyle w:val="Textonotapie"/>
        <w:ind w:firstLine="708"/>
        <w:contextualSpacing/>
        <w:jc w:val="both"/>
        <w:rPr>
          <w:rFonts w:ascii="Century Gothic" w:hAnsi="Century Gothic" w:cs="Arial"/>
          <w:sz w:val="18"/>
          <w:szCs w:val="18"/>
        </w:rPr>
      </w:pPr>
    </w:p>
    <w:p w14:paraId="656399CE" w14:textId="49960575" w:rsidR="00DF5E7F" w:rsidRDefault="00DF5E7F" w:rsidP="00DF5E7F">
      <w:pPr>
        <w:pStyle w:val="Textonotapie"/>
        <w:ind w:firstLine="708"/>
        <w:contextualSpacing/>
        <w:jc w:val="both"/>
        <w:rPr>
          <w:rFonts w:ascii="Century Gothic" w:hAnsi="Century Gothic" w:cs="Arial"/>
          <w:sz w:val="18"/>
          <w:szCs w:val="18"/>
        </w:rPr>
      </w:pPr>
      <w:r w:rsidRPr="00317783">
        <w:rPr>
          <w:rStyle w:val="Refdenotaalpie"/>
          <w:rFonts w:ascii="Century Gothic" w:hAnsi="Century Gothic" w:cs="Arial"/>
          <w:sz w:val="18"/>
          <w:szCs w:val="18"/>
        </w:rPr>
        <w:footnoteRef/>
      </w:r>
      <w:r w:rsidRPr="00317783">
        <w:rPr>
          <w:rFonts w:ascii="Century Gothic" w:hAnsi="Century Gothic" w:cs="Arial"/>
          <w:sz w:val="18"/>
          <w:szCs w:val="18"/>
        </w:rPr>
        <w:t xml:space="preserve"> En línea con lo anterior, la Sala de Consulta y Servicio Civil del Consejo de Estado expresó lo siguiente: “La noción convenio interadministrativo es diferente a la de contrato interadministrativo. Los contratos interadministrativos se distinguen de los convenios interadministrativos en que en los primeros existe entre las entidades estatales partes intereses opuestos y se persigue una contraprestación o precio por la adquisición de bienes o la prestación de servicios o la realización de una obra, mientras que en los segundos las entidades partes se encuentran en pie de igualdad, tienen intereses comunes para lograr una finalidad estatal impuesta por la Constitución o la ley a las mismas, sin que tengan un interés puramente económico (es decir, destinados a obtener una ganancia)”. (Consejo de Estado. Sala de Consulta y Servicio Civil. Concepto 26 de julio de 2016. Exp. 2.257. M.P. Álvaro Namén Vargas).</w:t>
      </w:r>
    </w:p>
    <w:p w14:paraId="39388037" w14:textId="77777777" w:rsidR="00946032" w:rsidRPr="00317783" w:rsidRDefault="00946032" w:rsidP="00DF5E7F">
      <w:pPr>
        <w:pStyle w:val="Textonotapie"/>
        <w:ind w:firstLine="708"/>
        <w:contextualSpacing/>
        <w:jc w:val="both"/>
        <w:rPr>
          <w:rFonts w:ascii="Century Gothic" w:hAnsi="Century Gothic" w:cs="Arial"/>
          <w:sz w:val="18"/>
          <w:szCs w:val="18"/>
        </w:rPr>
      </w:pPr>
    </w:p>
  </w:footnote>
  <w:footnote w:id="20">
    <w:p w14:paraId="3910526F" w14:textId="77777777" w:rsidR="00DF5E7F" w:rsidRPr="00317783" w:rsidRDefault="00DF5E7F" w:rsidP="00DF5E7F">
      <w:pPr>
        <w:pStyle w:val="Textonotapie"/>
        <w:ind w:firstLine="708"/>
        <w:contextualSpacing/>
        <w:jc w:val="both"/>
        <w:rPr>
          <w:rFonts w:ascii="Century Gothic" w:hAnsi="Century Gothic" w:cs="Arial"/>
          <w:sz w:val="18"/>
          <w:szCs w:val="18"/>
        </w:rPr>
      </w:pPr>
      <w:r w:rsidRPr="00317783">
        <w:rPr>
          <w:rStyle w:val="Refdenotaalpie"/>
          <w:rFonts w:ascii="Century Gothic" w:hAnsi="Century Gothic" w:cs="Arial"/>
          <w:sz w:val="18"/>
          <w:szCs w:val="18"/>
        </w:rPr>
        <w:footnoteRef/>
      </w:r>
      <w:r w:rsidRPr="00317783">
        <w:rPr>
          <w:rFonts w:ascii="Century Gothic" w:hAnsi="Century Gothic" w:cs="Arial"/>
          <w:sz w:val="18"/>
          <w:szCs w:val="18"/>
        </w:rPr>
        <w:t xml:space="preserve"> Es lo que sucede, por ejemplo, con el Decreto 092 de 2017, que en su desarrollo hace referencia tanto a los “contratos” como a los “convenios”. </w:t>
      </w:r>
    </w:p>
  </w:footnote>
  <w:footnote w:id="21">
    <w:p w14:paraId="42373F58" w14:textId="77777777" w:rsidR="00DF5E7F" w:rsidRPr="00317783" w:rsidRDefault="00DF5E7F" w:rsidP="00DF5E7F">
      <w:pPr>
        <w:pStyle w:val="Textonotapie"/>
        <w:ind w:firstLine="708"/>
        <w:contextualSpacing/>
        <w:jc w:val="both"/>
        <w:rPr>
          <w:rFonts w:ascii="Century Gothic" w:hAnsi="Century Gothic" w:cs="Arial"/>
          <w:sz w:val="18"/>
          <w:szCs w:val="18"/>
          <w:lang w:val="es-CO"/>
        </w:rPr>
      </w:pPr>
      <w:r w:rsidRPr="00317783">
        <w:rPr>
          <w:rStyle w:val="Refdenotaalpie"/>
          <w:rFonts w:ascii="Century Gothic" w:hAnsi="Century Gothic" w:cs="Arial"/>
          <w:sz w:val="18"/>
          <w:szCs w:val="18"/>
        </w:rPr>
        <w:footnoteRef/>
      </w:r>
      <w:r w:rsidRPr="00317783">
        <w:rPr>
          <w:rFonts w:ascii="Century Gothic" w:hAnsi="Century Gothic" w:cs="Arial"/>
          <w:sz w:val="18"/>
          <w:szCs w:val="18"/>
        </w:rPr>
        <w:t xml:space="preserve"> A pesar de que la norma se refiere únicamente a los contratos interadministrativos, esto no implica que la excepción a la licitación pública sólo se aplique a éstos y no a los convenios interadministrativos, puesto que ello conduciría a una interpretación irrazonable según la cual esta modalidad contractual, cuyo objeto y finalidad sólo interesa a la administración, deba ser celebrado siguiendo el procedimiento de selección objetiva y en la cual únicamente será proponente aquélla. En tal sentido, la causal de contratación directa es aplicable a los convenios y a los contratos interadministrativos”. (Corte Constitucional. Sentencia C-671 de 2015. M.P. Alberto Rojas Ríos).</w:t>
      </w:r>
    </w:p>
  </w:footnote>
  <w:footnote w:id="22">
    <w:p w14:paraId="5C85F6B2" w14:textId="77777777" w:rsidR="00DF5E7F" w:rsidRPr="00317783" w:rsidRDefault="00DF5E7F" w:rsidP="00DF5E7F">
      <w:pPr>
        <w:pStyle w:val="Textonotapie"/>
        <w:ind w:firstLine="709"/>
        <w:contextualSpacing/>
        <w:jc w:val="both"/>
        <w:rPr>
          <w:rFonts w:ascii="Century Gothic" w:hAnsi="Century Gothic" w:cs="Arial"/>
          <w:sz w:val="18"/>
          <w:szCs w:val="18"/>
        </w:rPr>
      </w:pPr>
      <w:r w:rsidRPr="00317783">
        <w:rPr>
          <w:rStyle w:val="Refdenotaalpie"/>
          <w:rFonts w:ascii="Century Gothic" w:hAnsi="Century Gothic" w:cs="Arial"/>
          <w:sz w:val="18"/>
          <w:szCs w:val="18"/>
        </w:rPr>
        <w:footnoteRef/>
      </w:r>
      <w:r w:rsidRPr="00317783">
        <w:rPr>
          <w:rFonts w:ascii="Century Gothic" w:hAnsi="Century Gothic" w:cs="Arial"/>
          <w:sz w:val="18"/>
          <w:szCs w:val="18"/>
        </w:rPr>
        <w:t xml:space="preserve"> Consejo de Estado. Sala de Consulta y Servicio Civil. Concepto del 15 de noviembre de 2007. Expediente número 1863. Consejero Ponente: Luis Fernando Álvarez Jaramillo.</w:t>
      </w:r>
    </w:p>
  </w:footnote>
  <w:footnote w:id="23">
    <w:p w14:paraId="1A5601CD" w14:textId="77777777" w:rsidR="00DF5E7F" w:rsidRPr="00317783" w:rsidRDefault="00DF5E7F" w:rsidP="00DF5E7F">
      <w:pPr>
        <w:pStyle w:val="Textonotapie"/>
        <w:ind w:firstLine="708"/>
        <w:jc w:val="both"/>
        <w:rPr>
          <w:rFonts w:ascii="Century Gothic" w:hAnsi="Century Gothic" w:cs="Arial"/>
          <w:sz w:val="18"/>
          <w:szCs w:val="18"/>
        </w:rPr>
      </w:pPr>
      <w:r w:rsidRPr="00317783">
        <w:rPr>
          <w:rStyle w:val="Refdenotaalpie"/>
          <w:rFonts w:ascii="Century Gothic" w:hAnsi="Century Gothic" w:cs="Arial"/>
          <w:sz w:val="18"/>
          <w:szCs w:val="18"/>
        </w:rPr>
        <w:footnoteRef/>
      </w:r>
      <w:r w:rsidRPr="00317783">
        <w:rPr>
          <w:rFonts w:ascii="Century Gothic" w:hAnsi="Century Gothic" w:cs="Arial"/>
          <w:sz w:val="18"/>
          <w:szCs w:val="18"/>
        </w:rPr>
        <w:t xml:space="preserve"> DÁVILA VINUEZA, Luis Guillermo. Régimen jurídico de la contratación estatal. Tercera Edición. Bogotá: Legis, 2016. p. 78.</w:t>
      </w:r>
    </w:p>
  </w:footnote>
  <w:footnote w:id="24">
    <w:p w14:paraId="708FE7F7" w14:textId="77777777" w:rsidR="00DF5E7F" w:rsidRDefault="00DF5E7F" w:rsidP="00DF5E7F">
      <w:pPr>
        <w:pStyle w:val="Textonotapie"/>
        <w:ind w:firstLine="708"/>
        <w:jc w:val="both"/>
        <w:rPr>
          <w:rFonts w:ascii="Century Gothic" w:hAnsi="Century Gothic" w:cs="Arial"/>
          <w:sz w:val="18"/>
          <w:szCs w:val="18"/>
        </w:rPr>
      </w:pPr>
      <w:r w:rsidRPr="00317783">
        <w:rPr>
          <w:rStyle w:val="Refdenotaalpie"/>
          <w:rFonts w:ascii="Century Gothic" w:hAnsi="Century Gothic" w:cs="Arial"/>
          <w:sz w:val="18"/>
          <w:szCs w:val="18"/>
        </w:rPr>
        <w:footnoteRef/>
      </w:r>
      <w:r w:rsidRPr="00317783">
        <w:rPr>
          <w:rFonts w:ascii="Century Gothic" w:hAnsi="Century Gothic" w:cs="Arial"/>
          <w:sz w:val="18"/>
          <w:szCs w:val="18"/>
        </w:rPr>
        <w:t xml:space="preserve"> Exposición de motivos de la Ley 80 de 1993. Consultado en la página </w:t>
      </w:r>
      <w:hyperlink r:id="rId2" w:history="1">
        <w:r w:rsidRPr="00317783">
          <w:rPr>
            <w:rStyle w:val="Hipervnculo"/>
            <w:rFonts w:ascii="Century Gothic" w:hAnsi="Century Gothic" w:cs="Arial"/>
            <w:sz w:val="18"/>
            <w:szCs w:val="18"/>
          </w:rPr>
          <w:t>https://www.alcaldiabogota.gov.co/sisjur/normas/Norma1.jsp?i=7148</w:t>
        </w:r>
      </w:hyperlink>
      <w:r w:rsidRPr="00317783">
        <w:rPr>
          <w:rFonts w:ascii="Century Gothic" w:hAnsi="Century Gothic" w:cs="Arial"/>
          <w:sz w:val="18"/>
          <w:szCs w:val="18"/>
        </w:rPr>
        <w:t xml:space="preserve"> el 15 de agosto de 2023.</w:t>
      </w:r>
    </w:p>
    <w:p w14:paraId="297900A7" w14:textId="77777777" w:rsidR="00E4528F" w:rsidRPr="00317783" w:rsidRDefault="00E4528F" w:rsidP="00DF5E7F">
      <w:pPr>
        <w:pStyle w:val="Textonotapie"/>
        <w:ind w:firstLine="708"/>
        <w:jc w:val="both"/>
        <w:rPr>
          <w:rFonts w:ascii="Century Gothic" w:hAnsi="Century Gothic" w:cs="Arial"/>
          <w:sz w:val="18"/>
          <w:szCs w:val="18"/>
        </w:rPr>
      </w:pPr>
    </w:p>
  </w:footnote>
  <w:footnote w:id="25">
    <w:p w14:paraId="5BC2EE68" w14:textId="77777777" w:rsidR="00DF5E7F" w:rsidRPr="00317783" w:rsidRDefault="00DF5E7F" w:rsidP="00DF5E7F">
      <w:pPr>
        <w:pStyle w:val="Textonotapie"/>
        <w:ind w:firstLine="708"/>
        <w:jc w:val="both"/>
        <w:rPr>
          <w:rFonts w:ascii="Century Gothic" w:hAnsi="Century Gothic" w:cs="Arial"/>
          <w:sz w:val="18"/>
          <w:szCs w:val="18"/>
        </w:rPr>
      </w:pPr>
      <w:r w:rsidRPr="00317783">
        <w:rPr>
          <w:rStyle w:val="Refdenotaalpie"/>
          <w:rFonts w:ascii="Century Gothic" w:hAnsi="Century Gothic" w:cs="Arial"/>
          <w:sz w:val="18"/>
          <w:szCs w:val="18"/>
        </w:rPr>
        <w:footnoteRef/>
      </w:r>
      <w:r w:rsidRPr="00317783">
        <w:rPr>
          <w:rFonts w:ascii="Century Gothic" w:hAnsi="Century Gothic" w:cs="Arial"/>
          <w:sz w:val="18"/>
          <w:szCs w:val="18"/>
        </w:rPr>
        <w:t xml:space="preserve"> El artículo 1 superior dispone que “Colombia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general”. Por su parte, el artículo 286 constitucional prescribe lo siguiente: “Son entidades territoriales los departamentos, los distritos, los municipios y los territorios indígenas. La ley podrá darles el carácter de entidades territoriales a las regiones y provincias que se constituyan en los términos de la Constitución y de la ley”.</w:t>
      </w:r>
    </w:p>
  </w:footnote>
  <w:footnote w:id="26">
    <w:p w14:paraId="6040F966" w14:textId="77777777" w:rsidR="00DF5E7F" w:rsidRPr="00317783" w:rsidRDefault="00DF5E7F" w:rsidP="00DF5E7F">
      <w:pPr>
        <w:pStyle w:val="Textonotapie"/>
        <w:ind w:firstLine="708"/>
        <w:jc w:val="both"/>
        <w:rPr>
          <w:rFonts w:ascii="Century Gothic" w:hAnsi="Century Gothic" w:cs="Arial"/>
          <w:sz w:val="18"/>
          <w:szCs w:val="18"/>
        </w:rPr>
      </w:pPr>
      <w:r w:rsidRPr="00317783">
        <w:rPr>
          <w:rStyle w:val="Refdenotaalpie"/>
          <w:rFonts w:ascii="Century Gothic" w:hAnsi="Century Gothic" w:cs="Arial"/>
          <w:sz w:val="18"/>
          <w:szCs w:val="18"/>
        </w:rPr>
        <w:footnoteRef/>
      </w:r>
      <w:r w:rsidRPr="00317783">
        <w:rPr>
          <w:rFonts w:ascii="Century Gothic" w:hAnsi="Century Gothic" w:cs="Arial"/>
          <w:sz w:val="18"/>
          <w:szCs w:val="18"/>
        </w:rPr>
        <w:t xml:space="preserve"> Esta norma señala que “La función administrativa está al servicio de los intereses generales y se desarrolla con fundamento en los principios de igualdad, moralidad, eficacia, economía, celeridad, imparcialidad y publicidad, mediante la descentralización, la delegación y la desconcentración de funciones. </w:t>
      </w:r>
    </w:p>
    <w:p w14:paraId="37ACB44B" w14:textId="77777777" w:rsidR="00DF5E7F" w:rsidRPr="00317783" w:rsidRDefault="00DF5E7F" w:rsidP="00DF5E7F">
      <w:pPr>
        <w:pStyle w:val="Textonotapie"/>
        <w:ind w:firstLine="708"/>
        <w:jc w:val="both"/>
        <w:rPr>
          <w:rFonts w:ascii="Century Gothic" w:hAnsi="Century Gothic" w:cs="Arial"/>
          <w:sz w:val="18"/>
          <w:szCs w:val="18"/>
        </w:rPr>
      </w:pPr>
      <w:r w:rsidRPr="00317783">
        <w:rPr>
          <w:rFonts w:ascii="Century Gothic" w:hAnsi="Century Gothic" w:cs="Arial"/>
          <w:sz w:val="18"/>
          <w:szCs w:val="18"/>
        </w:rPr>
        <w:t>Las autoridades administrativas deben coordinar sus actuaciones para el adecuado cumplimiento de los fines del Estado. La administración pública, en todos sus órdenes, tendrá un control interno que se ejercerá en los términos que señale la ley”.</w:t>
      </w:r>
    </w:p>
    <w:p w14:paraId="19E2AD31" w14:textId="77777777" w:rsidR="00E4528F" w:rsidRDefault="00DF5E7F" w:rsidP="00DF5E7F">
      <w:pPr>
        <w:pStyle w:val="Textonotapie"/>
        <w:ind w:firstLine="708"/>
        <w:jc w:val="both"/>
        <w:rPr>
          <w:rFonts w:ascii="Century Gothic" w:hAnsi="Century Gothic" w:cs="Arial"/>
          <w:sz w:val="18"/>
          <w:szCs w:val="18"/>
        </w:rPr>
      </w:pPr>
      <w:r w:rsidRPr="00317783">
        <w:rPr>
          <w:rFonts w:ascii="Century Gothic" w:hAnsi="Century Gothic" w:cs="Arial"/>
          <w:sz w:val="18"/>
          <w:szCs w:val="18"/>
        </w:rPr>
        <w:t>De esta manera, tratándose del régimen municipal, el numeral 6 del artículo 313 superior asigna a los concejos la función de “Determinar la estructura de la administración municipal y las funciones de sus dependencias; las escalas de remuneración correspondientes a las distintas categorías de empleos; crear, a iniciativa del alcalde, establecimientos públicos y empresas industriales o comerciales y autorizar la constitución de sociedades de economía mixta”.</w:t>
      </w:r>
    </w:p>
    <w:p w14:paraId="778D6CD8" w14:textId="0D8A9E2C" w:rsidR="00DF5E7F" w:rsidRPr="00317783" w:rsidRDefault="00DF5E7F" w:rsidP="00DF5E7F">
      <w:pPr>
        <w:pStyle w:val="Textonotapie"/>
        <w:ind w:firstLine="708"/>
        <w:jc w:val="both"/>
        <w:rPr>
          <w:rFonts w:ascii="Century Gothic" w:hAnsi="Century Gothic" w:cs="Arial"/>
          <w:sz w:val="18"/>
          <w:szCs w:val="18"/>
        </w:rPr>
      </w:pPr>
      <w:r w:rsidRPr="00317783">
        <w:rPr>
          <w:rFonts w:ascii="Century Gothic" w:hAnsi="Century Gothic" w:cs="Arial"/>
          <w:sz w:val="18"/>
          <w:szCs w:val="18"/>
        </w:rPr>
        <w:t xml:space="preserve"> </w:t>
      </w:r>
    </w:p>
  </w:footnote>
  <w:footnote w:id="27">
    <w:p w14:paraId="0795A53D" w14:textId="77777777" w:rsidR="00DF5E7F" w:rsidRDefault="00DF5E7F" w:rsidP="00DF5E7F">
      <w:pPr>
        <w:pStyle w:val="Textonotapie"/>
        <w:ind w:firstLine="708"/>
        <w:jc w:val="both"/>
        <w:rPr>
          <w:rFonts w:ascii="Century Gothic" w:hAnsi="Century Gothic" w:cs="Arial"/>
          <w:sz w:val="18"/>
          <w:szCs w:val="18"/>
        </w:rPr>
      </w:pPr>
      <w:r w:rsidRPr="00317783">
        <w:rPr>
          <w:rStyle w:val="Refdenotaalpie"/>
          <w:rFonts w:ascii="Century Gothic" w:hAnsi="Century Gothic" w:cs="Arial"/>
          <w:sz w:val="18"/>
          <w:szCs w:val="18"/>
        </w:rPr>
        <w:footnoteRef/>
      </w:r>
      <w:r w:rsidRPr="00317783">
        <w:rPr>
          <w:rFonts w:ascii="Century Gothic" w:hAnsi="Century Gothic" w:cs="Arial"/>
          <w:sz w:val="18"/>
          <w:szCs w:val="18"/>
        </w:rPr>
        <w:t xml:space="preserve"> VEDEL, Georges. Derecho administrativo. Madrid: Aguilar, 1980. p. 539.</w:t>
      </w:r>
    </w:p>
    <w:p w14:paraId="26AD2BFB" w14:textId="77777777" w:rsidR="00E4528F" w:rsidRPr="00317783" w:rsidRDefault="00E4528F" w:rsidP="00DF5E7F">
      <w:pPr>
        <w:pStyle w:val="Textonotapie"/>
        <w:ind w:firstLine="708"/>
        <w:jc w:val="both"/>
        <w:rPr>
          <w:rFonts w:ascii="Century Gothic" w:hAnsi="Century Gothic" w:cs="Arial"/>
          <w:sz w:val="18"/>
          <w:szCs w:val="18"/>
        </w:rPr>
      </w:pPr>
    </w:p>
  </w:footnote>
  <w:footnote w:id="28">
    <w:p w14:paraId="12F0D7ED" w14:textId="77777777" w:rsidR="00DF5E7F" w:rsidRPr="00317783" w:rsidRDefault="00DF5E7F" w:rsidP="00DF5E7F">
      <w:pPr>
        <w:pStyle w:val="Textonotapie"/>
        <w:ind w:firstLine="708"/>
        <w:jc w:val="both"/>
        <w:rPr>
          <w:rFonts w:ascii="Century Gothic" w:hAnsi="Century Gothic" w:cs="Arial"/>
          <w:sz w:val="18"/>
          <w:szCs w:val="18"/>
        </w:rPr>
      </w:pPr>
      <w:r w:rsidRPr="00317783">
        <w:rPr>
          <w:rStyle w:val="Refdenotaalpie"/>
          <w:rFonts w:ascii="Century Gothic" w:hAnsi="Century Gothic" w:cs="Arial"/>
          <w:sz w:val="18"/>
          <w:szCs w:val="18"/>
        </w:rPr>
        <w:footnoteRef/>
      </w:r>
      <w:r w:rsidRPr="00317783">
        <w:rPr>
          <w:rFonts w:ascii="Century Gothic" w:hAnsi="Century Gothic" w:cs="Arial"/>
          <w:sz w:val="18"/>
          <w:szCs w:val="18"/>
        </w:rPr>
        <w:t xml:space="preserve"> TAFUR GALVIS, Álvaro. Las entidades descentralizadas. Bogotá: Temis, 1977. pp. 13 y ss. En el mismo sentido, la Corte Constitucional en la Sentencia C-295 de 1995, con ponencia del Magistrado Antonio Barrera Carbonell, estima que “La descentralización administrativa obedece a una concepción política y a una técnica y modelo de organización y funcionamiento de la rama ejecutiva del poder público, la cual implica la concreción o asunción, bajo un régimen de autonomía, por organismos que son personas jurídicas, de funciones o potestades propias del Estado o de actividades que comportan la actuación de éste en el campo de la actividad privada, o la gestión y satisfacción de necesidades regionales y locales”.</w:t>
      </w:r>
    </w:p>
  </w:footnote>
  <w:footnote w:id="29">
    <w:p w14:paraId="3C984C81" w14:textId="77777777" w:rsidR="00DF5E7F" w:rsidRPr="00317783" w:rsidRDefault="00DF5E7F" w:rsidP="00DF5E7F">
      <w:pPr>
        <w:pStyle w:val="Textonotapie"/>
        <w:ind w:firstLine="708"/>
        <w:jc w:val="both"/>
        <w:rPr>
          <w:rFonts w:ascii="Century Gothic" w:hAnsi="Century Gothic" w:cs="Arial"/>
          <w:sz w:val="18"/>
          <w:szCs w:val="18"/>
        </w:rPr>
      </w:pPr>
      <w:r w:rsidRPr="00317783">
        <w:rPr>
          <w:rStyle w:val="Refdenotaalpie"/>
          <w:rFonts w:ascii="Century Gothic" w:hAnsi="Century Gothic" w:cs="Arial"/>
          <w:sz w:val="18"/>
          <w:szCs w:val="18"/>
        </w:rPr>
        <w:footnoteRef/>
      </w:r>
      <w:r w:rsidRPr="00317783">
        <w:rPr>
          <w:rFonts w:ascii="Century Gothic" w:hAnsi="Century Gothic" w:cs="Arial"/>
          <w:sz w:val="18"/>
          <w:szCs w:val="18"/>
        </w:rPr>
        <w:t xml:space="preserve"> Conforme al parágrafo 2 de la Ley 489 de 1998, “Las reglas relativas a los principios propios de la función administrativa, sobre delegación y desconcentración, características y régimen de las entidades descentralizadas, racionalización administrativa, desarrollo administrativo, participación y control interno de la Administración Pública se aplicarán, en lo pertinente, a las entidades territoriales, sin perjuicio de la autonomía que les es propia de acuerdo con la Constitución Política”. Asimismo, de acuerdo con el parágrafo 1 del artículo 68 </w:t>
      </w:r>
      <w:r w:rsidRPr="00317783">
        <w:rPr>
          <w:rFonts w:ascii="Century Gothic" w:hAnsi="Century Gothic" w:cs="Arial"/>
          <w:i/>
          <w:iCs/>
          <w:sz w:val="18"/>
          <w:szCs w:val="18"/>
        </w:rPr>
        <w:t>ibidem</w:t>
      </w:r>
      <w:r w:rsidRPr="00317783">
        <w:rPr>
          <w:rFonts w:ascii="Century Gothic" w:hAnsi="Century Gothic" w:cs="Arial"/>
          <w:sz w:val="18"/>
          <w:szCs w:val="18"/>
        </w:rPr>
        <w:t xml:space="preserve">, “[…] el régimen jurídico aquí previsto para las entidades descentralizadas es aplicable a las de las entidades territoriales sin perjuicio de las competencias asignadas por la Constitución y la ley a las autoridades del orden territorial”.  </w:t>
      </w:r>
    </w:p>
  </w:footnote>
  <w:footnote w:id="30">
    <w:p w14:paraId="39BBCD8D" w14:textId="77777777" w:rsidR="00DF5E7F" w:rsidRPr="00317783" w:rsidRDefault="00DF5E7F" w:rsidP="00DF5E7F">
      <w:pPr>
        <w:pStyle w:val="Textonotapie"/>
        <w:ind w:firstLine="708"/>
        <w:jc w:val="both"/>
        <w:rPr>
          <w:rFonts w:ascii="Century Gothic" w:hAnsi="Century Gothic" w:cs="Arial"/>
          <w:sz w:val="18"/>
          <w:szCs w:val="18"/>
        </w:rPr>
      </w:pPr>
      <w:r w:rsidRPr="00317783">
        <w:rPr>
          <w:rStyle w:val="Refdenotaalpie"/>
          <w:rFonts w:ascii="Century Gothic" w:hAnsi="Century Gothic" w:cs="Arial"/>
          <w:sz w:val="18"/>
          <w:szCs w:val="18"/>
        </w:rPr>
        <w:footnoteRef/>
      </w:r>
      <w:r w:rsidRPr="00317783">
        <w:rPr>
          <w:rFonts w:ascii="Century Gothic" w:hAnsi="Century Gothic" w:cs="Arial"/>
          <w:sz w:val="18"/>
          <w:szCs w:val="18"/>
        </w:rPr>
        <w:t xml:space="preserve"> El artículo 69 de la Ley 489 de 1998 dispone que “Las entidades descentralizadas, en el orden nacional, se crean por la ley, en el orden departamental, distrital y municipal, por la ordenanza o el acuerdo, o con su autorización, de conformidad con las disposiciones de la presente ley. El proyecto respectivo deberá acompañarse del estudio demostrativo que justifique la iniciativa, con la observancia de los principios señalados en el artículo 209 de la Constitución Política”.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2154" w14:textId="43B6B0B6" w:rsidR="00756841" w:rsidRDefault="00961B09">
    <w:pPr>
      <w:pStyle w:val="Encabezado"/>
    </w:pPr>
    <w:r>
      <w:rPr>
        <w:noProof/>
      </w:rPr>
      <w:drawing>
        <wp:anchor distT="0" distB="0" distL="114300" distR="114300" simplePos="0" relativeHeight="251659264"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rPr>
      <w:drawing>
        <wp:anchor distT="0" distB="0" distL="114300" distR="114300" simplePos="0" relativeHeight="251667456"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rPr>
      <w:drawing>
        <wp:anchor distT="0" distB="0" distL="114300" distR="114300" simplePos="0" relativeHeight="251661312"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67DABC48"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7E5E717" w:rsidR="004A305D" w:rsidRPr="004A305D" w:rsidRDefault="004A305D" w:rsidP="004A305D">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13</w:t>
    </w:r>
  </w:p>
  <w:p w14:paraId="5E18350A" w14:textId="3833E343" w:rsidR="004A305D" w:rsidRPr="004A305D" w:rsidRDefault="004A305D" w:rsidP="004A305D">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sidR="00CB6357">
      <w:rPr>
        <w:rFonts w:ascii="Century Gothic" w:eastAsia="Geo" w:hAnsi="Century Gothic" w:cs="Geo"/>
        <w:sz w:val="16"/>
        <w:szCs w:val="16"/>
        <w:lang w:eastAsia="es-CO"/>
      </w:rPr>
      <w:t>1</w:t>
    </w:r>
    <w:r w:rsidRPr="004A305D">
      <w:rPr>
        <w:rFonts w:ascii="Century Gothic" w:eastAsia="Geo" w:hAnsi="Century Gothic" w:cs="Geo"/>
        <w:sz w:val="16"/>
        <w:szCs w:val="16"/>
        <w:lang w:eastAsia="es-CO"/>
      </w:rPr>
      <w:t xml:space="preserve"> DEL </w:t>
    </w:r>
    <w:r w:rsidR="00CB6357">
      <w:rPr>
        <w:rFonts w:ascii="Century Gothic" w:eastAsia="Geo" w:hAnsi="Century Gothic" w:cs="Geo"/>
        <w:sz w:val="16"/>
        <w:szCs w:val="16"/>
        <w:lang w:eastAsia="es-CO"/>
      </w:rPr>
      <w:t xml:space="preserve">15 </w:t>
    </w:r>
    <w:r w:rsidRPr="004A305D">
      <w:rPr>
        <w:rFonts w:ascii="Century Gothic" w:eastAsia="Geo" w:hAnsi="Century Gothic" w:cs="Geo"/>
        <w:sz w:val="16"/>
        <w:szCs w:val="16"/>
        <w:lang w:eastAsia="es-CO"/>
      </w:rPr>
      <w:t xml:space="preserve">DE </w:t>
    </w:r>
    <w:r w:rsidR="00961B09">
      <w:rPr>
        <w:rFonts w:ascii="Century Gothic" w:eastAsia="Geo" w:hAnsi="Century Gothic" w:cs="Geo"/>
        <w:sz w:val="16"/>
        <w:szCs w:val="16"/>
        <w:lang w:eastAsia="es-CO"/>
      </w:rPr>
      <w:t>JUNIO</w:t>
    </w:r>
    <w:r w:rsidRPr="004A305D">
      <w:rPr>
        <w:rFonts w:ascii="Century Gothic" w:eastAsia="Geo" w:hAnsi="Century Gothic" w:cs="Geo"/>
        <w:sz w:val="16"/>
        <w:szCs w:val="16"/>
        <w:lang w:eastAsia="es-CO"/>
      </w:rPr>
      <w:t xml:space="preserve"> DE 202</w:t>
    </w:r>
    <w:r w:rsidR="00961B09">
      <w:rPr>
        <w:rFonts w:ascii="Century Gothic" w:eastAsia="Geo" w:hAnsi="Century Gothic" w:cs="Geo"/>
        <w:sz w:val="16"/>
        <w:szCs w:val="16"/>
        <w:lang w:eastAsia="es-CO"/>
      </w:rPr>
      <w:t>3</w:t>
    </w:r>
  </w:p>
  <w:p w14:paraId="1FD1C243" w14:textId="6D74A3CF" w:rsidR="008A446D" w:rsidRDefault="008A44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948779781">
    <w:abstractNumId w:val="3"/>
  </w:num>
  <w:num w:numId="2" w16cid:durableId="19822139">
    <w:abstractNumId w:val="1"/>
  </w:num>
  <w:num w:numId="3" w16cid:durableId="876742304">
    <w:abstractNumId w:val="2"/>
  </w:num>
  <w:num w:numId="4" w16cid:durableId="2451864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1"/>
  </w:num>
  <w:num w:numId="6" w16cid:durableId="1122580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A683E"/>
    <w:rsid w:val="000B19B9"/>
    <w:rsid w:val="000D0334"/>
    <w:rsid w:val="000F6486"/>
    <w:rsid w:val="0012201F"/>
    <w:rsid w:val="00125105"/>
    <w:rsid w:val="00127233"/>
    <w:rsid w:val="001B2A0E"/>
    <w:rsid w:val="001E4177"/>
    <w:rsid w:val="002240DB"/>
    <w:rsid w:val="002951A0"/>
    <w:rsid w:val="002962BC"/>
    <w:rsid w:val="002A093D"/>
    <w:rsid w:val="002A49AC"/>
    <w:rsid w:val="002A64FD"/>
    <w:rsid w:val="002C7A84"/>
    <w:rsid w:val="002F10F8"/>
    <w:rsid w:val="00317783"/>
    <w:rsid w:val="003448F4"/>
    <w:rsid w:val="003A779E"/>
    <w:rsid w:val="003D0F4D"/>
    <w:rsid w:val="003E0499"/>
    <w:rsid w:val="003F3941"/>
    <w:rsid w:val="00400548"/>
    <w:rsid w:val="00487391"/>
    <w:rsid w:val="004A1847"/>
    <w:rsid w:val="004A305D"/>
    <w:rsid w:val="004A477F"/>
    <w:rsid w:val="004F21C4"/>
    <w:rsid w:val="004F46F9"/>
    <w:rsid w:val="004F685F"/>
    <w:rsid w:val="00531189"/>
    <w:rsid w:val="005566E8"/>
    <w:rsid w:val="00571261"/>
    <w:rsid w:val="00574867"/>
    <w:rsid w:val="00576670"/>
    <w:rsid w:val="005A630B"/>
    <w:rsid w:val="005C3ED0"/>
    <w:rsid w:val="005C5CDC"/>
    <w:rsid w:val="005D476C"/>
    <w:rsid w:val="006219F8"/>
    <w:rsid w:val="00665D70"/>
    <w:rsid w:val="00706C16"/>
    <w:rsid w:val="00756841"/>
    <w:rsid w:val="007649AB"/>
    <w:rsid w:val="007833AC"/>
    <w:rsid w:val="007B7171"/>
    <w:rsid w:val="007C3DC2"/>
    <w:rsid w:val="007E5497"/>
    <w:rsid w:val="00806F5F"/>
    <w:rsid w:val="00820278"/>
    <w:rsid w:val="008843B6"/>
    <w:rsid w:val="00885527"/>
    <w:rsid w:val="00891928"/>
    <w:rsid w:val="00894FA8"/>
    <w:rsid w:val="008A446D"/>
    <w:rsid w:val="008F0EA7"/>
    <w:rsid w:val="00923EEF"/>
    <w:rsid w:val="009419F9"/>
    <w:rsid w:val="00946032"/>
    <w:rsid w:val="00961B09"/>
    <w:rsid w:val="00965334"/>
    <w:rsid w:val="0097093E"/>
    <w:rsid w:val="009C71FA"/>
    <w:rsid w:val="009C72E7"/>
    <w:rsid w:val="00A14D67"/>
    <w:rsid w:val="00A17F13"/>
    <w:rsid w:val="00A20739"/>
    <w:rsid w:val="00A33C78"/>
    <w:rsid w:val="00AB0ADB"/>
    <w:rsid w:val="00B72CD3"/>
    <w:rsid w:val="00B72FFF"/>
    <w:rsid w:val="00BD7F72"/>
    <w:rsid w:val="00C04FB3"/>
    <w:rsid w:val="00C330EB"/>
    <w:rsid w:val="00C50D37"/>
    <w:rsid w:val="00C754BE"/>
    <w:rsid w:val="00CB6357"/>
    <w:rsid w:val="00CC1B26"/>
    <w:rsid w:val="00D423A2"/>
    <w:rsid w:val="00D63AC2"/>
    <w:rsid w:val="00D7383B"/>
    <w:rsid w:val="00DA231B"/>
    <w:rsid w:val="00DF5E7F"/>
    <w:rsid w:val="00E11589"/>
    <w:rsid w:val="00E16408"/>
    <w:rsid w:val="00E20894"/>
    <w:rsid w:val="00E245AB"/>
    <w:rsid w:val="00E4528F"/>
    <w:rsid w:val="00E50AFE"/>
    <w:rsid w:val="00E771DC"/>
    <w:rsid w:val="00E8772A"/>
    <w:rsid w:val="00E90F6B"/>
    <w:rsid w:val="00E92C27"/>
    <w:rsid w:val="00EA0E3D"/>
    <w:rsid w:val="00EE1AA8"/>
    <w:rsid w:val="00F204AB"/>
    <w:rsid w:val="00F31EDC"/>
    <w:rsid w:val="00F5664F"/>
    <w:rsid w:val="00F76AFC"/>
    <w:rsid w:val="00FB5DD1"/>
    <w:rsid w:val="00FC2B5D"/>
    <w:rsid w:val="00FF1449"/>
    <w:rsid w:val="02DF1308"/>
    <w:rsid w:val="1EA92A7D"/>
    <w:rsid w:val="2429BD31"/>
    <w:rsid w:val="5411EC76"/>
    <w:rsid w:val="7BE23EC1"/>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1"/>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Appelnotedebasde">
    <w:name w:val="Appel note de bas de..."/>
    <w:basedOn w:val="Normal"/>
    <w:link w:val="Refdenotaalpie"/>
    <w:uiPriority w:val="99"/>
    <w:rsid w:val="00DF5E7F"/>
    <w:pPr>
      <w:spacing w:line="240" w:lineRule="exact"/>
    </w:pPr>
    <w:rPr>
      <w:vertAlign w:val="superscript"/>
    </w:rPr>
  </w:style>
  <w:style w:type="paragraph" w:styleId="NormalWeb">
    <w:name w:val="Normal (Web)"/>
    <w:basedOn w:val="Normal"/>
    <w:link w:val="NormalWebCar"/>
    <w:uiPriority w:val="99"/>
    <w:unhideWhenUsed/>
    <w:rsid w:val="00DF5E7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WebCar">
    <w:name w:val="Normal (Web) Car"/>
    <w:link w:val="NormalWeb"/>
    <w:uiPriority w:val="99"/>
    <w:rsid w:val="00DF5E7F"/>
    <w:rPr>
      <w:rFonts w:ascii="Times New Roman" w:eastAsia="Times New Roman" w:hAnsi="Times New Roman" w:cs="Times New Roman"/>
      <w:sz w:val="24"/>
      <w:szCs w:val="24"/>
      <w:lang w:eastAsia="es-CO"/>
    </w:rPr>
  </w:style>
  <w:style w:type="character" w:customStyle="1" w:styleId="baj">
    <w:name w:val="b_aj"/>
    <w:basedOn w:val="Fuentedeprrafopredeter"/>
    <w:rsid w:val="00DF5E7F"/>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DF5E7F"/>
    <w:rPr>
      <w:rFonts w:ascii="Geomanist Light" w:hAnsi="Geomanist Light"/>
      <w:lang w:val="es-ES"/>
    </w:rPr>
  </w:style>
  <w:style w:type="paragraph" w:styleId="Revisin">
    <w:name w:val="Revision"/>
    <w:hidden/>
    <w:uiPriority w:val="99"/>
    <w:semiHidden/>
    <w:rsid w:val="002240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latoria.colombiacompra.gov.co/busqueda/concepto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2" Type="http://schemas.openxmlformats.org/officeDocument/2006/relationships/hyperlink" Target="https://www.alcaldiabogota.gov.co/sisjur/normas/Norma1.jsp?i=7148" TargetMode="External"/><Relationship Id="rId1" Type="http://schemas.openxmlformats.org/officeDocument/2006/relationships/hyperlink" Target="https://relatoria.colombiacompra.gov.co/busqueda/conceptos%20"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7" ma:contentTypeDescription="Crear nuevo documento." ma:contentTypeScope="" ma:versionID="a34407833354fcfc312bad70d6c3459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b353d508bfaf3d48e66d044e463fff7"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cabc2350-70b2-4dba-bb42-96a3175f4d5a"/>
  </ds:schemaRefs>
</ds:datastoreItem>
</file>

<file path=customXml/itemProps3.xml><?xml version="1.0" encoding="utf-8"?>
<ds:datastoreItem xmlns:ds="http://schemas.openxmlformats.org/officeDocument/2006/customXml" ds:itemID="{8BAD0E7D-9480-4DD0-BB52-6581D27B12A6}"/>
</file>

<file path=docProps/app.xml><?xml version="1.0" encoding="utf-8"?>
<Properties xmlns="http://schemas.openxmlformats.org/officeDocument/2006/extended-properties" xmlns:vt="http://schemas.openxmlformats.org/officeDocument/2006/docPropsVTypes">
  <Template>Normal</Template>
  <TotalTime>3</TotalTime>
  <Pages>27</Pages>
  <Words>8970</Words>
  <Characters>49339</Characters>
  <Application>Microsoft Office Word</Application>
  <DocSecurity>0</DocSecurity>
  <Lines>411</Lines>
  <Paragraphs>116</Paragraphs>
  <ScaleCrop>false</ScaleCrop>
  <Company/>
  <LinksUpToDate>false</LinksUpToDate>
  <CharactersWithSpaces>58193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ANCP - CCE</cp:lastModifiedBy>
  <cp:revision>5</cp:revision>
  <cp:lastPrinted>2023-01-10T21:18:00Z</cp:lastPrinted>
  <dcterms:created xsi:type="dcterms:W3CDTF">2023-09-12T16:21:00Z</dcterms:created>
  <dcterms:modified xsi:type="dcterms:W3CDTF">2023-09-27T20:02:00Z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