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3D5F" w14:textId="03D8B4F3" w:rsidR="00E804AA" w:rsidRDefault="00E804AA" w:rsidP="009C6EA8">
      <w:pPr>
        <w:jc w:val="right"/>
        <w:rPr>
          <w:rFonts w:ascii="Arial" w:hAnsi="Arial" w:cs="Arial"/>
          <w:b/>
          <w:sz w:val="16"/>
          <w:szCs w:val="16"/>
          <w:lang w:eastAsia="es-ES"/>
        </w:rPr>
      </w:pPr>
      <w:bookmarkStart w:id="0" w:name="_Hlk28946138"/>
      <w:bookmarkStart w:id="1" w:name="_Hlk29548183"/>
      <w:bookmarkStart w:id="2" w:name="_Hlk70520488"/>
    </w:p>
    <w:p w14:paraId="5427CBC6" w14:textId="77777777" w:rsidR="009C6EA8" w:rsidRPr="00A844B9" w:rsidRDefault="009C6EA8" w:rsidP="009C6EA8">
      <w:pPr>
        <w:contextualSpacing/>
        <w:jc w:val="both"/>
        <w:rPr>
          <w:rFonts w:ascii="Century Gothic" w:eastAsia="Calibri" w:hAnsi="Century Gothic" w:cs="Arial"/>
          <w:b/>
          <w:sz w:val="22"/>
          <w:lang w:eastAsia="es-ES_tradnl"/>
        </w:rPr>
      </w:pPr>
    </w:p>
    <w:p w14:paraId="71113984" w14:textId="13237FCB" w:rsidR="00A844B9" w:rsidRPr="00A844B9" w:rsidRDefault="00A844B9" w:rsidP="00A844B9">
      <w:pPr>
        <w:contextualSpacing/>
        <w:jc w:val="both"/>
        <w:rPr>
          <w:rFonts w:ascii="Century Gothic" w:eastAsia="Calibri" w:hAnsi="Century Gothic" w:cs="Arial"/>
          <w:b/>
          <w:bCs/>
          <w:sz w:val="22"/>
          <w:lang w:eastAsia="es-ES_tradnl"/>
        </w:rPr>
      </w:pPr>
      <w:r w:rsidRPr="00A844B9">
        <w:rPr>
          <w:rFonts w:ascii="Century Gothic" w:eastAsia="Calibri" w:hAnsi="Century Gothic" w:cs="Arial"/>
          <w:b/>
          <w:bCs/>
          <w:sz w:val="22"/>
          <w:lang w:eastAsia="es-ES_tradnl"/>
        </w:rPr>
        <w:t xml:space="preserve">ORGANIZACIONES DE BASE DE PERSONAS PERTENECIENTES A POBLACIONES AFROCLOMBIANAS, RAIZALES Y PALENQUERAS  </w:t>
      </w:r>
      <w:r w:rsidRPr="00A844B9">
        <w:rPr>
          <w:rFonts w:ascii="Century Gothic" w:eastAsia="Calibri" w:hAnsi="Century Gothic" w:cs="Arial"/>
          <w:b/>
          <w:bCs/>
          <w:sz w:val="22"/>
          <w:lang w:eastAsia="es-ES_tradnl"/>
        </w:rPr>
        <w:t>– Definición – Ley 2160 de 2021</w:t>
      </w:r>
    </w:p>
    <w:p w14:paraId="53EA4511" w14:textId="1AADE7C6" w:rsidR="00A844B9" w:rsidRPr="00A844B9" w:rsidRDefault="00A844B9" w:rsidP="00A844B9">
      <w:pPr>
        <w:spacing w:before="120"/>
        <w:jc w:val="both"/>
        <w:rPr>
          <w:rFonts w:ascii="Century Gothic" w:hAnsi="Century Gothic" w:cs="Arial"/>
          <w:sz w:val="20"/>
          <w:szCs w:val="20"/>
        </w:rPr>
      </w:pPr>
      <w:r w:rsidRPr="00A844B9">
        <w:rPr>
          <w:rStyle w:val="normaltextrun"/>
          <w:rFonts w:ascii="Century Gothic" w:hAnsi="Century Gothic" w:cs="Arial"/>
          <w:sz w:val="20"/>
          <w:szCs w:val="20"/>
        </w:rPr>
        <w:t xml:space="preserve">De acuerdo con lo explicado, el literal n) del numeral 4 del artículo 2 de la Ley 1150 de 2007 otorgó competencia para contratar, bajo la modalidad de contratación directa, a las organizaciones de base de comunidades negras, afrocolombianas, raizales y palenqueras entendiendo por esta como las asociaciones comunitarias de las poblaciones referidas, que reivindican y promueven sus derechos étnicos y humanos, que en primer lugar, tengan 10 años o más de estar inscritas en el Registro Público Único Nacional  del Ministerio de Interior,  es decir, la norma establece un tope mínimo de 10 años de antigüedad para estas organizaciones y además, señala que las organizaciones deben </w:t>
      </w:r>
      <w:bookmarkStart w:id="3" w:name="_GoBack"/>
      <w:bookmarkEnd w:id="3"/>
      <w:r w:rsidRPr="00A844B9">
        <w:rPr>
          <w:rStyle w:val="normaltextrun"/>
          <w:rFonts w:ascii="Century Gothic" w:hAnsi="Century Gothic" w:cs="Arial"/>
          <w:sz w:val="20"/>
          <w:szCs w:val="20"/>
        </w:rPr>
        <w:t xml:space="preserve">haber cumplido con el deber de actualización de información en el registro referido, cuando se trate de contratos cuyos objetos se relacionen con los tres supuestos indicados precedentemente. </w:t>
      </w:r>
    </w:p>
    <w:p w14:paraId="740945BF" w14:textId="77777777" w:rsidR="00A844B9" w:rsidRPr="00A844B9" w:rsidRDefault="00A844B9" w:rsidP="00A844B9">
      <w:pPr>
        <w:contextualSpacing/>
        <w:jc w:val="both"/>
        <w:rPr>
          <w:rFonts w:ascii="Century Gothic" w:eastAsia="Calibri" w:hAnsi="Century Gothic" w:cs="Arial"/>
          <w:b/>
          <w:bCs/>
          <w:lang w:eastAsia="es-ES_tradnl"/>
        </w:rPr>
      </w:pPr>
      <w:r w:rsidRPr="00A844B9">
        <w:rPr>
          <w:rFonts w:ascii="Century Gothic" w:eastAsia="Calibri" w:hAnsi="Century Gothic" w:cs="Arial"/>
          <w:b/>
          <w:bCs/>
          <w:lang w:eastAsia="es-ES_tradnl"/>
        </w:rPr>
        <w:t xml:space="preserve"> </w:t>
      </w:r>
    </w:p>
    <w:p w14:paraId="7314E14C" w14:textId="68EBD848" w:rsidR="00A844B9" w:rsidRPr="00A844B9" w:rsidRDefault="00A844B9" w:rsidP="00A844B9">
      <w:pPr>
        <w:contextualSpacing/>
        <w:jc w:val="both"/>
        <w:rPr>
          <w:rFonts w:ascii="Century Gothic" w:eastAsia="Calibri" w:hAnsi="Century Gothic" w:cs="Arial"/>
          <w:b/>
          <w:bCs/>
          <w:sz w:val="22"/>
          <w:lang w:eastAsia="es-ES_tradnl"/>
        </w:rPr>
      </w:pPr>
      <w:r w:rsidRPr="00A844B9">
        <w:rPr>
          <w:rFonts w:ascii="Century Gothic" w:eastAsia="Calibri" w:hAnsi="Century Gothic" w:cs="Arial"/>
          <w:b/>
          <w:bCs/>
          <w:sz w:val="22"/>
          <w:lang w:eastAsia="es-ES_tradnl"/>
        </w:rPr>
        <w:t>ORGANIZACIONES DE BASE DE PERSONAS PERTENECIENTES A POBLACIONES AFROCLOMBIANAS, RAIZALES Y PALENQUERAS – Procedencia – Contratación directa – Causal n) – Literal 4 – artículo 2 – Ley 1150 de</w:t>
      </w:r>
      <w:r w:rsidRPr="00A844B9">
        <w:rPr>
          <w:rFonts w:ascii="Century Gothic" w:eastAsia="Calibri" w:hAnsi="Century Gothic" w:cs="Arial"/>
          <w:b/>
          <w:bCs/>
          <w:sz w:val="22"/>
          <w:lang w:eastAsia="es-ES_tradnl"/>
        </w:rPr>
        <w:t xml:space="preserve"> 2007 – Requisitos concurrentes</w:t>
      </w:r>
    </w:p>
    <w:p w14:paraId="26708143" w14:textId="77777777" w:rsidR="00A844B9" w:rsidRPr="00A844B9" w:rsidRDefault="00A844B9" w:rsidP="00A844B9">
      <w:pPr>
        <w:spacing w:before="120"/>
        <w:jc w:val="both"/>
        <w:rPr>
          <w:rStyle w:val="normaltextrun"/>
          <w:rFonts w:ascii="Century Gothic" w:hAnsi="Century Gothic" w:cs="Arial"/>
          <w:sz w:val="20"/>
          <w:szCs w:val="20"/>
        </w:rPr>
      </w:pPr>
      <w:r w:rsidRPr="00A844B9">
        <w:rPr>
          <w:rStyle w:val="normaltextrun"/>
          <w:rFonts w:ascii="Century Gothic" w:hAnsi="Century Gothic" w:cs="Arial"/>
          <w:sz w:val="20"/>
          <w:szCs w:val="20"/>
        </w:rPr>
        <w:t xml:space="preserve">En respuesta a la consulta planteada en su petición, esta Agencia considera que,  como la literalidad de la causal n) establece que “que cuenten con diez (10) años o más de haber sido incorporados por el Ministerio del Interior en el correspondiente Registro Público Único Nacional y que hayan cumplido con el deber de actualización de información en el mismo registro”, como se observa el texto  utilizó la conjunción copulativa “y” para establecer las dos condiciones que deben cumplir las organizaciones de base referidas, la función que cumple esta conjunción en el texto es para unir aditivamente los dos requisitos, teniendo entonces que, estos requisitos son concurrentes y por tanto, las organizaciones deben cumplir ambos requisitos para adecuase en la causal aludida. </w:t>
      </w:r>
    </w:p>
    <w:p w14:paraId="5ECBBD55" w14:textId="77777777" w:rsidR="00A844B9" w:rsidRPr="00A844B9" w:rsidRDefault="00A844B9" w:rsidP="00A844B9">
      <w:pPr>
        <w:contextualSpacing/>
        <w:jc w:val="both"/>
        <w:rPr>
          <w:rFonts w:ascii="Century Gothic" w:eastAsia="Calibri" w:hAnsi="Century Gothic" w:cs="Arial"/>
          <w:b/>
          <w:bCs/>
          <w:sz w:val="22"/>
          <w:lang w:eastAsia="es-ES_tradnl"/>
        </w:rPr>
      </w:pPr>
    </w:p>
    <w:p w14:paraId="09B20D87" w14:textId="424F41B6" w:rsidR="00A844B9" w:rsidRPr="00A844B9" w:rsidRDefault="00A844B9" w:rsidP="00A844B9">
      <w:pPr>
        <w:contextualSpacing/>
        <w:jc w:val="both"/>
        <w:rPr>
          <w:rFonts w:ascii="Century Gothic" w:eastAsia="Calibri" w:hAnsi="Century Gothic" w:cs="Arial"/>
          <w:b/>
          <w:bCs/>
          <w:sz w:val="22"/>
          <w:lang w:eastAsia="es-ES_tradnl"/>
        </w:rPr>
      </w:pPr>
      <w:r w:rsidRPr="00A844B9">
        <w:rPr>
          <w:rFonts w:ascii="Century Gothic" w:eastAsia="Calibri" w:hAnsi="Century Gothic" w:cs="Arial"/>
          <w:b/>
          <w:bCs/>
          <w:sz w:val="22"/>
          <w:lang w:eastAsia="es-ES_tradnl"/>
        </w:rPr>
        <w:t>CONSORCIOS – Organizaciones de base de personas pertenecientes a poblaciones afrocolombianas, raizales y palenqueras – Acreditación – Requisitos concur</w:t>
      </w:r>
      <w:r w:rsidRPr="00A844B9">
        <w:rPr>
          <w:rFonts w:ascii="Century Gothic" w:eastAsia="Calibri" w:hAnsi="Century Gothic" w:cs="Arial"/>
          <w:b/>
          <w:bCs/>
          <w:sz w:val="22"/>
          <w:lang w:eastAsia="es-ES_tradnl"/>
        </w:rPr>
        <w:t>rentes</w:t>
      </w:r>
    </w:p>
    <w:p w14:paraId="7D5DFF0F" w14:textId="05B73368" w:rsidR="009C6EA8" w:rsidRDefault="009C6EA8" w:rsidP="009C6EA8">
      <w:pPr>
        <w:contextualSpacing/>
        <w:jc w:val="both"/>
        <w:rPr>
          <w:rFonts w:ascii="Century Gothic" w:eastAsia="Calibri" w:hAnsi="Century Gothic" w:cs="Arial"/>
          <w:lang w:eastAsia="es-ES_tradnl"/>
        </w:rPr>
      </w:pPr>
    </w:p>
    <w:p w14:paraId="2F49C9B5" w14:textId="77777777" w:rsidR="00A844B9" w:rsidRPr="00A844B9" w:rsidRDefault="00A844B9" w:rsidP="00A844B9">
      <w:pPr>
        <w:spacing w:before="120"/>
        <w:jc w:val="both"/>
        <w:rPr>
          <w:rStyle w:val="normaltextrun"/>
          <w:rFonts w:ascii="Century Gothic" w:hAnsi="Century Gothic" w:cs="Arial"/>
          <w:sz w:val="20"/>
          <w:szCs w:val="20"/>
        </w:rPr>
      </w:pPr>
      <w:r w:rsidRPr="00A844B9">
        <w:rPr>
          <w:rStyle w:val="normaltextrun"/>
          <w:rFonts w:ascii="Century Gothic" w:hAnsi="Century Gothic" w:cs="Arial"/>
          <w:sz w:val="20"/>
          <w:szCs w:val="20"/>
        </w:rPr>
        <w:t>Finalmente, las organizaciones de base de</w:t>
      </w:r>
      <w:r w:rsidRPr="00A844B9">
        <w:rPr>
          <w:rStyle w:val="normaltextrun"/>
          <w:rFonts w:ascii="Century Gothic" w:hAnsi="Century Gothic" w:cs="Arial"/>
          <w:color w:val="000000"/>
          <w:sz w:val="20"/>
          <w:szCs w:val="20"/>
        </w:rPr>
        <w:t xml:space="preserve"> personas pertenecientes a poblaciones afrocolombianas, raizales y palenqueras o con las demás formas y expresiones organizativas que pretendan conformar estructuras plurales como los consorcios deberán cumplir con ambos requisitos, pues el texto normativo analizado no ofrece la posibilidad de suscribir los contratos señalados en la causal n) citada sin que las organizaciones acrediten el cumplimiento concurrente de ambos requisitos. En ese sentido, para que consorcio o unión temporal pueda celebrar un contratado acudiendo a dicha causal de contratación directa, todos sus integrantes deberán cumplir con los requisitos establecidos en la causal.</w:t>
      </w:r>
    </w:p>
    <w:p w14:paraId="603BCB03" w14:textId="77777777" w:rsidR="00A844B9" w:rsidRPr="00A844B9" w:rsidRDefault="00A844B9" w:rsidP="00A844B9">
      <w:pPr>
        <w:contextualSpacing/>
        <w:jc w:val="both"/>
        <w:rPr>
          <w:rFonts w:ascii="Century Gothic" w:eastAsia="Calibri" w:hAnsi="Century Gothic" w:cs="Arial"/>
          <w:sz w:val="20"/>
          <w:szCs w:val="20"/>
          <w:lang w:eastAsia="es-ES_tradnl"/>
        </w:rPr>
      </w:pPr>
    </w:p>
    <w:p w14:paraId="091FCC17" w14:textId="77777777" w:rsidR="009C6EA8" w:rsidRDefault="009C6EA8" w:rsidP="009C6EA8">
      <w:pPr>
        <w:contextualSpacing/>
        <w:jc w:val="both"/>
        <w:rPr>
          <w:rFonts w:ascii="Century Gothic" w:eastAsia="Calibri" w:hAnsi="Century Gothic" w:cs="Arial"/>
          <w:lang w:eastAsia="es-ES_tradnl"/>
        </w:rPr>
      </w:pPr>
    </w:p>
    <w:p w14:paraId="1F3A688C" w14:textId="77777777" w:rsidR="009C6EA8" w:rsidRDefault="009C6EA8" w:rsidP="009C6EA8">
      <w:pPr>
        <w:contextualSpacing/>
        <w:jc w:val="both"/>
        <w:rPr>
          <w:rFonts w:ascii="Century Gothic" w:eastAsia="Calibri" w:hAnsi="Century Gothic" w:cs="Arial"/>
          <w:lang w:eastAsia="es-ES_tradnl"/>
        </w:rPr>
      </w:pPr>
    </w:p>
    <w:p w14:paraId="606FE5CD" w14:textId="77777777" w:rsidR="009C6EA8" w:rsidRDefault="009C6EA8" w:rsidP="009C6EA8">
      <w:pPr>
        <w:contextualSpacing/>
        <w:jc w:val="both"/>
        <w:rPr>
          <w:rFonts w:ascii="Century Gothic" w:eastAsia="Calibri" w:hAnsi="Century Gothic" w:cs="Arial"/>
          <w:lang w:eastAsia="es-ES_tradnl"/>
        </w:rPr>
      </w:pPr>
    </w:p>
    <w:p w14:paraId="18C0660F" w14:textId="77777777" w:rsidR="009C6EA8" w:rsidRDefault="009C6EA8" w:rsidP="009C6EA8">
      <w:pPr>
        <w:contextualSpacing/>
        <w:jc w:val="both"/>
        <w:rPr>
          <w:rFonts w:ascii="Century Gothic" w:eastAsia="Calibri" w:hAnsi="Century Gothic" w:cs="Arial"/>
          <w:lang w:eastAsia="es-ES_tradnl"/>
        </w:rPr>
      </w:pPr>
    </w:p>
    <w:p w14:paraId="7DF78BF0" w14:textId="77777777" w:rsidR="009C6EA8" w:rsidRDefault="009C6EA8" w:rsidP="009C6EA8">
      <w:pPr>
        <w:contextualSpacing/>
        <w:jc w:val="both"/>
        <w:rPr>
          <w:rFonts w:ascii="Century Gothic" w:eastAsia="Calibri" w:hAnsi="Century Gothic" w:cs="Arial"/>
          <w:lang w:eastAsia="es-ES_tradnl"/>
        </w:rPr>
      </w:pPr>
    </w:p>
    <w:p w14:paraId="6553DDDE" w14:textId="46F9F34C" w:rsidR="009C6EA8" w:rsidRPr="005D4648" w:rsidRDefault="009C6EA8" w:rsidP="009C6EA8">
      <w:pPr>
        <w:contextualSpacing/>
        <w:jc w:val="both"/>
        <w:rPr>
          <w:rFonts w:ascii="Century Gothic" w:eastAsia="Calibri" w:hAnsi="Century Gothic" w:cs="Arial"/>
          <w:bCs/>
          <w:lang w:eastAsia="es-ES_tradnl"/>
        </w:rPr>
      </w:pPr>
      <w:r>
        <w:rPr>
          <w:rFonts w:ascii="Century Gothic" w:eastAsia="Calibri" w:hAnsi="Century Gothic" w:cs="Arial"/>
          <w:lang w:eastAsia="es-ES_tradnl"/>
        </w:rPr>
        <w:t xml:space="preserve">Bogotá D.C., 20 de septiembre de 2023 </w:t>
      </w:r>
    </w:p>
    <w:p w14:paraId="1D15173C" w14:textId="77777777" w:rsidR="009C6EA8" w:rsidRDefault="009C6EA8" w:rsidP="009C6EA8">
      <w:pPr>
        <w:jc w:val="both"/>
        <w:rPr>
          <w:rFonts w:ascii="Arial" w:hAnsi="Arial" w:cs="Arial"/>
          <w:b/>
          <w:sz w:val="16"/>
          <w:szCs w:val="16"/>
          <w:lang w:eastAsia="es-ES"/>
        </w:rPr>
      </w:pPr>
    </w:p>
    <w:p w14:paraId="5F73D49A" w14:textId="6E29ED7B" w:rsidR="009C6EA8" w:rsidRDefault="009C6EA8" w:rsidP="009C6EA8">
      <w:pPr>
        <w:rPr>
          <w:rFonts w:ascii="Arial" w:hAnsi="Arial" w:cs="Arial"/>
          <w:b/>
          <w:sz w:val="16"/>
          <w:szCs w:val="16"/>
          <w:lang w:eastAsia="es-ES"/>
        </w:rPr>
      </w:pPr>
    </w:p>
    <w:p w14:paraId="5988832A" w14:textId="30FCCD2F" w:rsidR="009C6EA8" w:rsidRPr="0085789D" w:rsidRDefault="009C6EA8" w:rsidP="009C6EA8">
      <w:pPr>
        <w:jc w:val="right"/>
        <w:rPr>
          <w:rFonts w:ascii="Arial" w:hAnsi="Arial" w:cs="Arial"/>
          <w:b/>
          <w:sz w:val="16"/>
          <w:szCs w:val="16"/>
          <w:lang w:eastAsia="es-ES"/>
        </w:rPr>
      </w:pPr>
      <w:r w:rsidRPr="009C6EA8">
        <w:rPr>
          <w:rFonts w:ascii="Arial" w:hAnsi="Arial" w:cs="Arial"/>
          <w:b/>
          <w:sz w:val="16"/>
          <w:szCs w:val="16"/>
          <w:lang w:eastAsia="es-ES"/>
        </w:rPr>
        <w:drawing>
          <wp:inline distT="0" distB="0" distL="0" distR="0" wp14:anchorId="6D5841BD" wp14:editId="6DDEDC4E">
            <wp:extent cx="3115110" cy="876422"/>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5110" cy="876422"/>
                    </a:xfrm>
                    <a:prstGeom prst="rect">
                      <a:avLst/>
                    </a:prstGeom>
                  </pic:spPr>
                </pic:pic>
              </a:graphicData>
            </a:graphic>
          </wp:inline>
        </w:drawing>
      </w:r>
    </w:p>
    <w:bookmarkEnd w:id="0"/>
    <w:bookmarkEnd w:id="1"/>
    <w:bookmarkEnd w:id="2"/>
    <w:p w14:paraId="07E2F6E0" w14:textId="77777777" w:rsidR="00E54240" w:rsidRPr="005D4648" w:rsidRDefault="00E54240" w:rsidP="00E54240">
      <w:pPr>
        <w:contextualSpacing/>
        <w:jc w:val="both"/>
        <w:rPr>
          <w:rFonts w:ascii="Century Gothic" w:eastAsia="Calibri" w:hAnsi="Century Gothic" w:cs="Arial"/>
          <w:lang w:eastAsia="es-ES_tradnl"/>
        </w:rPr>
      </w:pPr>
      <w:r w:rsidRPr="005D4648">
        <w:rPr>
          <w:rFonts w:ascii="Century Gothic" w:eastAsia="Calibri" w:hAnsi="Century Gothic" w:cs="Arial"/>
          <w:lang w:eastAsia="es-ES_tradnl"/>
        </w:rPr>
        <w:t>Señora</w:t>
      </w:r>
    </w:p>
    <w:p w14:paraId="2925B2BD" w14:textId="77777777" w:rsidR="00E54240" w:rsidRPr="005D4648" w:rsidRDefault="00E54240" w:rsidP="00E54240">
      <w:pPr>
        <w:contextualSpacing/>
        <w:jc w:val="both"/>
        <w:rPr>
          <w:rFonts w:ascii="Century Gothic" w:eastAsia="Calibri" w:hAnsi="Century Gothic" w:cs="Arial"/>
          <w:b/>
          <w:lang w:eastAsia="es-ES_tradnl"/>
        </w:rPr>
      </w:pPr>
      <w:r w:rsidRPr="005D4648">
        <w:rPr>
          <w:rFonts w:ascii="Century Gothic" w:eastAsia="Calibri" w:hAnsi="Century Gothic" w:cs="Arial"/>
          <w:b/>
          <w:lang w:eastAsia="es-ES_tradnl"/>
        </w:rPr>
        <w:t xml:space="preserve">Hillary Johanna Rodríguez Martínez </w:t>
      </w:r>
    </w:p>
    <w:p w14:paraId="2646BB74" w14:textId="77777777" w:rsidR="00E54240" w:rsidRPr="005D4648" w:rsidRDefault="00E54240" w:rsidP="00E54240">
      <w:pPr>
        <w:contextualSpacing/>
        <w:jc w:val="both"/>
        <w:rPr>
          <w:rFonts w:ascii="Century Gothic" w:eastAsia="Calibri" w:hAnsi="Century Gothic" w:cs="Arial"/>
          <w:bCs/>
          <w:lang w:eastAsia="es-ES_tradnl"/>
        </w:rPr>
      </w:pPr>
      <w:r w:rsidRPr="005D4648">
        <w:rPr>
          <w:rFonts w:ascii="Century Gothic" w:eastAsia="Calibri" w:hAnsi="Century Gothic" w:cs="Arial"/>
          <w:lang w:eastAsia="es-ES_tradnl"/>
        </w:rPr>
        <w:t>Ciudad</w:t>
      </w:r>
    </w:p>
    <w:p w14:paraId="02920CDD" w14:textId="77777777" w:rsidR="00E54240" w:rsidRPr="005D4648" w:rsidRDefault="00E54240" w:rsidP="00E54240">
      <w:pPr>
        <w:contextualSpacing/>
        <w:jc w:val="both"/>
        <w:rPr>
          <w:rFonts w:ascii="Century Gothic" w:eastAsia="Calibri" w:hAnsi="Century Gothic" w:cs="Arial"/>
          <w:lang w:val="es-ES_tradnl" w:eastAsia="es-ES_tradnl"/>
        </w:rPr>
      </w:pPr>
    </w:p>
    <w:p w14:paraId="380424D8" w14:textId="77777777" w:rsidR="00E54240" w:rsidRPr="005D4648" w:rsidRDefault="00E54240" w:rsidP="00E54240">
      <w:pPr>
        <w:ind w:left="2124" w:firstLine="570"/>
        <w:contextualSpacing/>
        <w:rPr>
          <w:rFonts w:ascii="Century Gothic" w:eastAsia="Calibri" w:hAnsi="Century Gothic" w:cs="Arial"/>
          <w:b/>
          <w:bCs/>
          <w:lang w:val="es-ES_tradnl" w:eastAsia="es-ES_tradnl"/>
        </w:rPr>
      </w:pPr>
      <w:r w:rsidRPr="005D4648">
        <w:rPr>
          <w:rFonts w:ascii="Century Gothic" w:eastAsia="Calibri" w:hAnsi="Century Gothic" w:cs="Arial"/>
          <w:b/>
          <w:bCs/>
          <w:lang w:val="es-ES_tradnl" w:eastAsia="es-ES_tradnl"/>
        </w:rPr>
        <w:t>Concepto C–363 de 2023</w:t>
      </w:r>
    </w:p>
    <w:p w14:paraId="120652E8" w14:textId="77777777" w:rsidR="00E54240" w:rsidRPr="005D4648" w:rsidRDefault="00E54240" w:rsidP="00E54240">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54240" w:rsidRPr="002816B4" w14:paraId="355A9AEA" w14:textId="77777777" w:rsidTr="00B1427E">
        <w:tc>
          <w:tcPr>
            <w:tcW w:w="2689" w:type="dxa"/>
          </w:tcPr>
          <w:p w14:paraId="17A74FFF" w14:textId="77777777" w:rsidR="00E54240" w:rsidRPr="005D4648" w:rsidRDefault="00E54240" w:rsidP="00B1427E">
            <w:pPr>
              <w:contextualSpacing/>
              <w:jc w:val="both"/>
              <w:rPr>
                <w:rFonts w:ascii="Century Gothic" w:eastAsia="Calibri" w:hAnsi="Century Gothic" w:cs="Arial"/>
                <w:lang w:val="es-ES_tradnl" w:eastAsia="es-ES_tradnl"/>
              </w:rPr>
            </w:pPr>
            <w:r w:rsidRPr="005D4648">
              <w:rPr>
                <w:rFonts w:ascii="Century Gothic" w:eastAsia="Calibri" w:hAnsi="Century Gothic" w:cs="Arial"/>
                <w:b/>
                <w:lang w:val="es-ES_tradnl" w:eastAsia="es-ES_tradnl"/>
              </w:rPr>
              <w:t>Temas:</w:t>
            </w:r>
            <w:r w:rsidRPr="005D4648">
              <w:rPr>
                <w:rFonts w:ascii="Century Gothic" w:eastAsia="Calibri" w:hAnsi="Century Gothic" w:cs="Arial"/>
                <w:lang w:val="es-ES_tradnl" w:eastAsia="es-ES_tradnl"/>
              </w:rPr>
              <w:t xml:space="preserve">                                      </w:t>
            </w:r>
          </w:p>
        </w:tc>
        <w:tc>
          <w:tcPr>
            <w:tcW w:w="6237" w:type="dxa"/>
          </w:tcPr>
          <w:p w14:paraId="08B4A895" w14:textId="77777777" w:rsidR="00E54240" w:rsidRPr="005D4648" w:rsidRDefault="00E54240" w:rsidP="00B1427E">
            <w:pPr>
              <w:contextualSpacing/>
              <w:jc w:val="both"/>
              <w:rPr>
                <w:rFonts w:ascii="Century Gothic" w:eastAsia="Calibri" w:hAnsi="Century Gothic" w:cs="Arial"/>
                <w:bCs/>
                <w:lang w:eastAsia="es-ES_tradnl"/>
              </w:rPr>
            </w:pPr>
            <w:r w:rsidRPr="005D4648">
              <w:rPr>
                <w:rFonts w:ascii="Century Gothic" w:eastAsia="Calibri" w:hAnsi="Century Gothic" w:cs="Arial"/>
                <w:bCs/>
                <w:lang w:eastAsia="es-ES_tradnl"/>
              </w:rPr>
              <w:t xml:space="preserve">/ ORGANIZACIONES DE BASE DE PERSONAS PERTENECIENTES A POBLACIONES AFROCLOMBIANAS, RAIZALES Y PALENQUERAS  – Definición – Ley 2160 de 2021/ ORGANIZACIONES DE BASE DE PERSONAS PERTENECIENTES A POBLACIONES AFROCLOMBIANAS, RAIZALES Y PALENQUERAS – Procedencia – Contratación directa – Causal n) – Literal 4 – artículo 2 – Ley 1150 de 2007 – Requisitos concurrentes/CONSORCIOS – Organizaciones de base de personas pertenecientes a poblaciones afrocolombianas, raizales y palenqueras – Acreditación – Requisitos concurrentes/ </w:t>
            </w:r>
          </w:p>
          <w:p w14:paraId="15B3FF6C" w14:textId="77777777" w:rsidR="00E54240" w:rsidRPr="005D4648" w:rsidRDefault="00E54240" w:rsidP="00B1427E">
            <w:pPr>
              <w:contextualSpacing/>
              <w:jc w:val="both"/>
              <w:rPr>
                <w:rFonts w:ascii="Century Gothic" w:eastAsia="Calibri" w:hAnsi="Century Gothic" w:cs="Arial"/>
                <w:bCs/>
                <w:lang w:eastAsia="es-ES_tradnl"/>
              </w:rPr>
            </w:pPr>
          </w:p>
        </w:tc>
      </w:tr>
      <w:tr w:rsidR="00E54240" w:rsidRPr="002816B4" w14:paraId="7BC6B189" w14:textId="77777777" w:rsidTr="00B1427E">
        <w:trPr>
          <w:trHeight w:val="227"/>
        </w:trPr>
        <w:tc>
          <w:tcPr>
            <w:tcW w:w="2689" w:type="dxa"/>
          </w:tcPr>
          <w:p w14:paraId="6FF5E430" w14:textId="77777777" w:rsidR="00E54240" w:rsidRPr="005D4648" w:rsidRDefault="00E54240" w:rsidP="00B1427E">
            <w:pPr>
              <w:contextualSpacing/>
              <w:jc w:val="both"/>
              <w:rPr>
                <w:rFonts w:ascii="Century Gothic" w:eastAsia="Calibri" w:hAnsi="Century Gothic" w:cs="Arial"/>
                <w:b/>
                <w:lang w:val="es-ES_tradnl" w:eastAsia="es-ES_tradnl"/>
              </w:rPr>
            </w:pPr>
            <w:r w:rsidRPr="005D4648">
              <w:rPr>
                <w:rFonts w:ascii="Century Gothic" w:eastAsia="Calibri" w:hAnsi="Century Gothic" w:cs="Arial"/>
                <w:b/>
                <w:lang w:val="es-ES_tradnl" w:eastAsia="es-ES_tradnl"/>
              </w:rPr>
              <w:t>Radicación:</w:t>
            </w:r>
            <w:r w:rsidRPr="005D4648">
              <w:rPr>
                <w:rFonts w:ascii="Century Gothic" w:eastAsia="Calibri" w:hAnsi="Century Gothic" w:cs="Arial"/>
                <w:lang w:val="es-ES_tradnl" w:eastAsia="es-ES_tradnl"/>
              </w:rPr>
              <w:t xml:space="preserve">                             </w:t>
            </w:r>
          </w:p>
        </w:tc>
        <w:tc>
          <w:tcPr>
            <w:tcW w:w="6237" w:type="dxa"/>
          </w:tcPr>
          <w:p w14:paraId="473FF5D4" w14:textId="77777777" w:rsidR="00E54240" w:rsidRPr="005D4648" w:rsidRDefault="00E54240" w:rsidP="00B1427E">
            <w:pPr>
              <w:contextualSpacing/>
              <w:jc w:val="both"/>
              <w:rPr>
                <w:rFonts w:ascii="Century Gothic" w:eastAsia="Calibri" w:hAnsi="Century Gothic" w:cs="Arial"/>
                <w:lang w:val="es-ES_tradnl" w:eastAsia="es-ES_tradnl"/>
              </w:rPr>
            </w:pPr>
            <w:r w:rsidRPr="005D4648">
              <w:rPr>
                <w:rFonts w:ascii="Century Gothic" w:eastAsia="Calibri" w:hAnsi="Century Gothic" w:cs="Arial"/>
                <w:lang w:val="es-ES_tradnl" w:eastAsia="es-ES_tradnl"/>
              </w:rPr>
              <w:t>Respuesta a consulta P20230724013585</w:t>
            </w:r>
          </w:p>
        </w:tc>
      </w:tr>
    </w:tbl>
    <w:p w14:paraId="1095C7B6" w14:textId="77777777" w:rsidR="00E54240" w:rsidRPr="005D4648" w:rsidRDefault="00E54240" w:rsidP="00E54240">
      <w:pPr>
        <w:contextualSpacing/>
        <w:jc w:val="both"/>
        <w:rPr>
          <w:rFonts w:ascii="Century Gothic" w:eastAsia="Calibri" w:hAnsi="Century Gothic" w:cs="Arial"/>
          <w:lang w:val="es-ES_tradnl" w:eastAsia="es-ES_tradnl"/>
        </w:rPr>
      </w:pPr>
    </w:p>
    <w:p w14:paraId="5D1B5D2B" w14:textId="77777777" w:rsidR="00E54240" w:rsidRPr="005D4648" w:rsidRDefault="00E54240" w:rsidP="00E54240">
      <w:pPr>
        <w:contextualSpacing/>
        <w:jc w:val="both"/>
        <w:rPr>
          <w:rFonts w:ascii="Century Gothic" w:eastAsia="Times New Roman" w:hAnsi="Century Gothic" w:cs="Arial"/>
          <w:lang w:eastAsia="es-ES"/>
        </w:rPr>
      </w:pPr>
      <w:r w:rsidRPr="005D4648">
        <w:rPr>
          <w:rFonts w:ascii="Century Gothic" w:eastAsia="Calibri" w:hAnsi="Century Gothic" w:cs="Arial"/>
          <w:lang w:val="es-ES" w:eastAsia="es-ES"/>
        </w:rPr>
        <w:t>Respetada señora Rodríguez</w:t>
      </w:r>
      <w:r w:rsidRPr="005D4648">
        <w:rPr>
          <w:rFonts w:ascii="Century Gothic" w:eastAsia="Times New Roman" w:hAnsi="Century Gothic" w:cs="Arial"/>
          <w:lang w:eastAsia="es-ES"/>
        </w:rPr>
        <w:t>:</w:t>
      </w:r>
    </w:p>
    <w:p w14:paraId="7DD22278" w14:textId="77777777" w:rsidR="00E54240" w:rsidRPr="005D4648" w:rsidRDefault="00E54240" w:rsidP="00E54240">
      <w:pPr>
        <w:contextualSpacing/>
        <w:jc w:val="both"/>
        <w:rPr>
          <w:rFonts w:ascii="Century Gothic" w:eastAsia="Calibri" w:hAnsi="Century Gothic" w:cs="Arial"/>
          <w:lang w:val="es-ES_tradnl" w:eastAsia="es-ES_tradnl"/>
        </w:rPr>
      </w:pPr>
    </w:p>
    <w:p w14:paraId="01814C5C" w14:textId="77777777" w:rsidR="00E54240" w:rsidRDefault="00E54240" w:rsidP="00E54240">
      <w:pPr>
        <w:spacing w:line="276" w:lineRule="auto"/>
        <w:jc w:val="both"/>
        <w:rPr>
          <w:rFonts w:ascii="Century Gothic" w:eastAsia="Calibri" w:hAnsi="Century Gothic" w:cs="Arial"/>
          <w:color w:val="000000" w:themeColor="text1"/>
          <w:lang w:val="es-ES_tradnl"/>
        </w:rPr>
      </w:pPr>
      <w:r w:rsidRPr="005D4648">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4" w:name="_Hlk99120496"/>
      <w:r w:rsidRPr="005D4648">
        <w:rPr>
          <w:rFonts w:ascii="Century Gothic" w:eastAsia="Arial MT" w:hAnsi="Century Gothic" w:cs="Arial"/>
          <w:lang w:val="es-ES"/>
        </w:rPr>
        <w:t xml:space="preserve">, </w:t>
      </w:r>
      <w:bookmarkEnd w:id="4"/>
      <w:r w:rsidRPr="005D4648">
        <w:rPr>
          <w:rFonts w:ascii="Century Gothic" w:eastAsia="Calibri" w:hAnsi="Century Gothic" w:cs="Arial"/>
          <w:color w:val="000000" w:themeColor="text1"/>
          <w:lang w:val="es-ES_tradnl"/>
        </w:rPr>
        <w:t>la Agencia Nacional de Contratación Pública – Colombia Compra Eficiente responde la consulta radicada el 24 de julio de 2023.</w:t>
      </w:r>
    </w:p>
    <w:p w14:paraId="585B1526" w14:textId="77777777" w:rsidR="00E54240" w:rsidRPr="005D4648" w:rsidRDefault="00E54240" w:rsidP="00E54240">
      <w:pPr>
        <w:spacing w:line="276" w:lineRule="auto"/>
        <w:jc w:val="both"/>
        <w:rPr>
          <w:rFonts w:ascii="Century Gothic" w:eastAsia="Calibri" w:hAnsi="Century Gothic" w:cs="Arial"/>
          <w:color w:val="000000" w:themeColor="text1"/>
          <w:lang w:val="es-ES_tradnl"/>
        </w:rPr>
      </w:pPr>
    </w:p>
    <w:p w14:paraId="394747B2" w14:textId="77777777" w:rsidR="00E54240" w:rsidRPr="005D4648" w:rsidRDefault="00E54240" w:rsidP="00E54240">
      <w:pPr>
        <w:pStyle w:val="Prrafodelista"/>
        <w:numPr>
          <w:ilvl w:val="0"/>
          <w:numId w:val="17"/>
        </w:numPr>
        <w:tabs>
          <w:tab w:val="left" w:pos="0"/>
          <w:tab w:val="left" w:pos="142"/>
          <w:tab w:val="left" w:pos="284"/>
        </w:tabs>
        <w:spacing w:after="160" w:line="276" w:lineRule="auto"/>
        <w:ind w:left="0" w:firstLine="0"/>
        <w:jc w:val="both"/>
        <w:rPr>
          <w:rFonts w:ascii="Century Gothic" w:eastAsia="Calibri" w:hAnsi="Century Gothic" w:cs="Arial"/>
          <w:b/>
          <w:color w:val="000000" w:themeColor="text1"/>
          <w:lang w:val="es-ES_tradnl"/>
        </w:rPr>
      </w:pPr>
      <w:r w:rsidRPr="005D4648">
        <w:rPr>
          <w:rFonts w:ascii="Century Gothic" w:eastAsia="Calibri" w:hAnsi="Century Gothic" w:cs="Arial"/>
          <w:b/>
          <w:color w:val="000000" w:themeColor="text1"/>
          <w:lang w:val="es-ES_tradnl"/>
        </w:rPr>
        <w:t xml:space="preserve">Problemas planteados </w:t>
      </w:r>
    </w:p>
    <w:p w14:paraId="7E964463" w14:textId="77777777" w:rsidR="00E54240" w:rsidRDefault="00E54240" w:rsidP="00E54240">
      <w:pPr>
        <w:spacing w:line="276" w:lineRule="auto"/>
        <w:jc w:val="both"/>
        <w:rPr>
          <w:rFonts w:ascii="Century Gothic" w:hAnsi="Century Gothic" w:cs="Arial"/>
          <w:i/>
          <w:iCs/>
          <w:color w:val="000000" w:themeColor="text1"/>
        </w:rPr>
      </w:pPr>
      <w:r w:rsidRPr="005D4648">
        <w:rPr>
          <w:rFonts w:ascii="Century Gothic" w:hAnsi="Century Gothic" w:cs="Arial"/>
          <w:color w:val="000000" w:themeColor="text1"/>
          <w:lang w:val="es-ES"/>
        </w:rPr>
        <w:lastRenderedPageBreak/>
        <w:t xml:space="preserve">En su petición realiza la siguiente consulta:  </w:t>
      </w:r>
      <w:r w:rsidRPr="005D4648">
        <w:rPr>
          <w:rFonts w:ascii="Century Gothic" w:hAnsi="Century Gothic" w:cs="Arial"/>
          <w:i/>
          <w:iCs/>
          <w:color w:val="000000" w:themeColor="text1"/>
          <w:sz w:val="22"/>
          <w:lang w:val="es-CO"/>
        </w:rPr>
        <w:t xml:space="preserve">“En atención a la modalidad de contratación directa contenida en el artículo 1 de la Ley 2160 de 2021, me permito preguntar: para la constitución de consorcios, uniones temporales es requisito indispensable que cada organización de base que la integra, individualmente considerada, tenga 10 años registrada ante el Ministerio de Interior y debidamente actualizada? o es posible que tenga la antigüedad y otra la actualización?”. </w:t>
      </w:r>
    </w:p>
    <w:p w14:paraId="65CA8A2A" w14:textId="77777777" w:rsidR="00E54240" w:rsidRDefault="00E54240" w:rsidP="00E54240">
      <w:pPr>
        <w:spacing w:line="276" w:lineRule="auto"/>
        <w:jc w:val="both"/>
        <w:rPr>
          <w:rFonts w:ascii="Century Gothic" w:hAnsi="Century Gothic" w:cs="Arial"/>
          <w:i/>
          <w:iCs/>
          <w:color w:val="000000" w:themeColor="text1"/>
        </w:rPr>
      </w:pPr>
    </w:p>
    <w:p w14:paraId="2623655F" w14:textId="77777777" w:rsidR="00E54240" w:rsidRPr="005D4648" w:rsidRDefault="00E54240" w:rsidP="00E54240">
      <w:pPr>
        <w:spacing w:line="276" w:lineRule="auto"/>
        <w:jc w:val="both"/>
        <w:rPr>
          <w:rFonts w:ascii="Century Gothic" w:hAnsi="Century Gothic" w:cs="Arial"/>
          <w:i/>
          <w:iCs/>
          <w:color w:val="000000" w:themeColor="text1"/>
          <w:sz w:val="22"/>
          <w:lang w:val="es-CO"/>
        </w:rPr>
      </w:pPr>
    </w:p>
    <w:p w14:paraId="36F4A782" w14:textId="77777777" w:rsidR="00E54240" w:rsidRDefault="00E54240" w:rsidP="00E54240">
      <w:pPr>
        <w:pStyle w:val="Prrafodelista"/>
        <w:numPr>
          <w:ilvl w:val="0"/>
          <w:numId w:val="17"/>
        </w:numPr>
        <w:tabs>
          <w:tab w:val="left" w:pos="0"/>
          <w:tab w:val="left" w:pos="284"/>
        </w:tabs>
        <w:ind w:left="0" w:firstLine="0"/>
        <w:jc w:val="both"/>
        <w:rPr>
          <w:rFonts w:ascii="Century Gothic" w:eastAsia="Calibri" w:hAnsi="Century Gothic" w:cs="Arial"/>
          <w:b/>
          <w:color w:val="000000" w:themeColor="text1"/>
          <w:lang w:val="es-ES_tradnl"/>
        </w:rPr>
      </w:pPr>
      <w:r w:rsidRPr="005D4648">
        <w:rPr>
          <w:rFonts w:ascii="Century Gothic" w:eastAsia="Calibri" w:hAnsi="Century Gothic" w:cs="Arial"/>
          <w:b/>
          <w:color w:val="000000" w:themeColor="text1"/>
          <w:lang w:val="es-ES_tradnl"/>
        </w:rPr>
        <w:t>Consideraciones</w:t>
      </w:r>
    </w:p>
    <w:p w14:paraId="62CAF054" w14:textId="77777777" w:rsidR="00E54240" w:rsidRPr="005D4648" w:rsidRDefault="00E54240" w:rsidP="00E54240">
      <w:pPr>
        <w:pStyle w:val="Prrafodelista"/>
        <w:tabs>
          <w:tab w:val="left" w:pos="0"/>
          <w:tab w:val="left" w:pos="284"/>
        </w:tabs>
        <w:jc w:val="both"/>
        <w:rPr>
          <w:rFonts w:ascii="Century Gothic" w:eastAsia="Calibri" w:hAnsi="Century Gothic" w:cs="Arial"/>
          <w:b/>
          <w:color w:val="000000" w:themeColor="text1"/>
          <w:lang w:val="es-ES_tradnl"/>
        </w:rPr>
      </w:pPr>
    </w:p>
    <w:p w14:paraId="1E72B902" w14:textId="77777777" w:rsidR="00E54240" w:rsidRPr="005D4648" w:rsidRDefault="00E54240" w:rsidP="00E54240">
      <w:pPr>
        <w:spacing w:after="120" w:line="276" w:lineRule="auto"/>
        <w:jc w:val="both"/>
        <w:rPr>
          <w:rFonts w:ascii="Century Gothic" w:hAnsi="Century Gothic" w:cs="Arial"/>
          <w:lang w:val="es-ES"/>
        </w:rPr>
      </w:pPr>
      <w:r w:rsidRPr="005D4648">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Pr="005D4648">
        <w:rPr>
          <w:rFonts w:ascii="Century Gothic" w:hAnsi="Century Gothic" w:cs="Arial"/>
        </w:rPr>
        <w:t xml:space="preserve">. </w:t>
      </w:r>
      <w:r w:rsidRPr="005D4648">
        <w:rPr>
          <w:rFonts w:ascii="Century Gothic" w:hAnsi="Century Gothic" w:cs="Arial"/>
          <w:lang w:val="es-ES"/>
        </w:rPr>
        <w:t xml:space="preserve">Es necesario tener en cuenta que </w:t>
      </w:r>
      <w:bookmarkStart w:id="7" w:name="_Hlk61026958"/>
      <w:r w:rsidRPr="005D4648">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D4648">
        <w:rPr>
          <w:rFonts w:ascii="Century Gothic" w:hAnsi="Century Gothic" w:cs="Arial"/>
        </w:rPr>
        <w:t xml:space="preserve"> de todos los partícipes de la contratación estatal.</w:t>
      </w:r>
      <w:r w:rsidRPr="005D4648">
        <w:rPr>
          <w:rFonts w:ascii="Century Gothic" w:hAnsi="Century Gothic" w:cs="Arial"/>
          <w:lang w:val="es-ES"/>
        </w:rPr>
        <w:t xml:space="preserve"> </w:t>
      </w:r>
      <w:bookmarkEnd w:id="5"/>
      <w:bookmarkEnd w:id="6"/>
      <w:bookmarkEnd w:id="7"/>
    </w:p>
    <w:p w14:paraId="32304A2F" w14:textId="77777777" w:rsidR="00E54240" w:rsidRPr="005D4648" w:rsidRDefault="00E54240" w:rsidP="00E54240">
      <w:pPr>
        <w:spacing w:after="120" w:line="276" w:lineRule="auto"/>
        <w:ind w:firstLine="720"/>
        <w:jc w:val="both"/>
        <w:rPr>
          <w:rFonts w:ascii="Century Gothic" w:hAnsi="Century Gothic" w:cs="Arial"/>
        </w:rPr>
      </w:pPr>
      <w:r w:rsidRPr="005D4648">
        <w:rPr>
          <w:rFonts w:ascii="Century Gothic" w:eastAsia="Calibri" w:hAnsi="Century Gothic"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D4648">
        <w:rPr>
          <w:rFonts w:ascii="Century Gothic" w:hAnsi="Century Gothic" w:cs="Arial"/>
          <w:vertAlign w:val="superscript"/>
        </w:rPr>
        <w:footnoteReference w:id="1"/>
      </w:r>
      <w:r w:rsidRPr="005D4648">
        <w:rPr>
          <w:rFonts w:ascii="Century Gothic" w:eastAsia="Calibri" w:hAnsi="Century Gothic" w:cs="Arial"/>
        </w:rPr>
        <w:t xml:space="preserve">. Esta competencia de interpretación de normas generales, por definición, no puede extenderse a </w:t>
      </w:r>
      <w:r w:rsidRPr="005D4648">
        <w:rPr>
          <w:rFonts w:ascii="Century Gothic" w:eastAsia="Calibri" w:hAnsi="Century Gothic" w:cs="Arial"/>
        </w:rPr>
        <w:lastRenderedPageBreak/>
        <w:t xml:space="preserve">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019AB95B" w14:textId="1DAAC19D" w:rsidR="00E54240" w:rsidRDefault="00E54240" w:rsidP="00E54240">
      <w:pPr>
        <w:spacing w:before="120" w:line="276" w:lineRule="auto"/>
        <w:ind w:firstLine="708"/>
        <w:jc w:val="both"/>
        <w:rPr>
          <w:rFonts w:ascii="Century Gothic" w:eastAsia="Calibri" w:hAnsi="Century Gothic" w:cs="Arial"/>
          <w:color w:val="000000" w:themeColor="text1"/>
          <w:lang w:val="es-ES_tradnl"/>
        </w:rPr>
      </w:pPr>
      <w:r w:rsidRPr="005D4648">
        <w:rPr>
          <w:rFonts w:ascii="Century Gothic" w:eastAsia="Calibri" w:hAnsi="Century Gothic" w:cs="Arial"/>
          <w:color w:val="000000" w:themeColor="text1"/>
          <w:lang w:val="es-ES"/>
        </w:rPr>
        <w:t>La Agencia Nacional de Contratación Pública – Colombia Compra Eficiente, en los Conceptos</w:t>
      </w:r>
      <w:r w:rsidRPr="005D4648">
        <w:rPr>
          <w:rFonts w:ascii="Century Gothic" w:eastAsia="Calibri" w:hAnsi="Century Gothic" w:cs="Arial"/>
          <w:color w:val="000000" w:themeColor="text1"/>
          <w:lang w:eastAsia="en-GB"/>
        </w:rPr>
        <w:t xml:space="preserve"> C-731 de 26 de enero de 2022 y </w:t>
      </w:r>
      <w:r w:rsidRPr="005D4648">
        <w:rPr>
          <w:rFonts w:ascii="Century Gothic" w:eastAsia="Calibri" w:hAnsi="Century Gothic" w:cs="Arial"/>
          <w:color w:val="000000" w:themeColor="text1"/>
          <w:lang w:val="es-ES"/>
        </w:rPr>
        <w:t>C-052 de 21 de abril de 2023, se pronunció sobre la contratación directa con las comunidades negras en virtud de la Ley 2160 de 2021</w:t>
      </w:r>
      <w:r w:rsidRPr="005D4648">
        <w:rPr>
          <w:rStyle w:val="Refdenotaalpie"/>
          <w:rFonts w:ascii="Century Gothic" w:eastAsia="Calibri" w:hAnsi="Century Gothic" w:cs="Arial"/>
        </w:rPr>
        <w:footnoteReference w:id="2"/>
      </w:r>
      <w:r w:rsidRPr="005D4648">
        <w:rPr>
          <w:rFonts w:ascii="Century Gothic" w:eastAsia="Calibri" w:hAnsi="Century Gothic" w:cs="Arial"/>
          <w:color w:val="000000" w:themeColor="text1"/>
          <w:lang w:val="es-ES"/>
        </w:rPr>
        <w:t xml:space="preserve">. </w:t>
      </w:r>
      <w:r w:rsidRPr="005D4648">
        <w:rPr>
          <w:rFonts w:ascii="Century Gothic" w:eastAsia="Calibri" w:hAnsi="Century Gothic" w:cs="Arial"/>
          <w:color w:val="000000" w:themeColor="text1"/>
          <w:lang w:val="es-ES_tradnl"/>
        </w:rPr>
        <w:t xml:space="preserve">La tesis propuesta en estos conceptos se reitera a continuación y se complementa en lo pertinente de acuerdo con las preguntas realizadas. </w:t>
      </w:r>
    </w:p>
    <w:p w14:paraId="3AD25A5C" w14:textId="77777777" w:rsidR="00A844B9" w:rsidRPr="005D4648" w:rsidRDefault="00A844B9" w:rsidP="00A844B9">
      <w:pPr>
        <w:spacing w:before="120" w:line="276" w:lineRule="auto"/>
        <w:ind w:firstLine="708"/>
        <w:jc w:val="both"/>
        <w:rPr>
          <w:rFonts w:ascii="Century Gothic" w:eastAsia="Calibri" w:hAnsi="Century Gothic" w:cs="Arial"/>
          <w:color w:val="000000" w:themeColor="text1"/>
          <w:lang w:val="es-ES_tradnl"/>
        </w:rPr>
      </w:pPr>
    </w:p>
    <w:p w14:paraId="27C58817" w14:textId="77777777" w:rsidR="00E54240" w:rsidRPr="005D4648" w:rsidRDefault="00E54240" w:rsidP="00A844B9">
      <w:pPr>
        <w:jc w:val="both"/>
        <w:rPr>
          <w:rFonts w:ascii="Century Gothic" w:eastAsia="Calibri" w:hAnsi="Century Gothic" w:cs="Arial"/>
          <w:color w:val="000000"/>
          <w:lang w:val="es-CO" w:eastAsia="es-ES_tradnl"/>
        </w:rPr>
      </w:pPr>
      <w:r w:rsidRPr="005D4648">
        <w:rPr>
          <w:rFonts w:ascii="Century Gothic" w:eastAsia="Calibri" w:hAnsi="Century Gothic" w:cs="Arial"/>
          <w:b/>
          <w:bCs/>
          <w:color w:val="000000" w:themeColor="text1"/>
          <w:lang w:val="es-CO"/>
        </w:rPr>
        <w:t xml:space="preserve">2.1. </w:t>
      </w:r>
      <w:r w:rsidRPr="005D4648">
        <w:rPr>
          <w:rFonts w:ascii="Century Gothic" w:eastAsia="Calibri" w:hAnsi="Century Gothic" w:cs="Arial"/>
          <w:b/>
          <w:bCs/>
          <w:color w:val="000000"/>
          <w:szCs w:val="24"/>
          <w:lang w:val="es-CO" w:eastAsia="en-GB"/>
        </w:rPr>
        <w:t>Naturaleza y capacidad jurídica de los consorcios y uniones temporales</w:t>
      </w:r>
    </w:p>
    <w:p w14:paraId="60029E64" w14:textId="77777777" w:rsidR="00E54240" w:rsidRPr="005D4648" w:rsidRDefault="00E54240" w:rsidP="00E54240">
      <w:pPr>
        <w:tabs>
          <w:tab w:val="left" w:pos="0"/>
        </w:tabs>
        <w:spacing w:before="120"/>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w:t>
      </w:r>
      <w:r w:rsidRPr="005D4648">
        <w:rPr>
          <w:rFonts w:ascii="Century Gothic" w:eastAsia="Calibri" w:hAnsi="Century Gothic" w:cs="Arial"/>
          <w:bCs/>
          <w:color w:val="000000"/>
          <w:szCs w:val="24"/>
          <w:vertAlign w:val="superscript"/>
          <w:lang w:val="es-ES_tradnl" w:eastAsia="es-ES_tradnl" w:bidi="es-ES"/>
        </w:rPr>
        <w:footnoteReference w:id="3"/>
      </w:r>
      <w:r w:rsidRPr="005D4648">
        <w:rPr>
          <w:rFonts w:ascii="Century Gothic" w:eastAsia="Calibri" w:hAnsi="Century Gothic" w:cs="Arial"/>
          <w:bCs/>
          <w:color w:val="000000"/>
          <w:szCs w:val="24"/>
          <w:lang w:val="es-ES_tradnl" w:eastAsia="es-ES_tradnl" w:bidi="es-ES"/>
        </w:rPr>
        <w:t xml:space="preserve">. </w:t>
      </w:r>
    </w:p>
    <w:p w14:paraId="5F8344F8"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La capacidad jurídica permite crear, modificar o extinguir relaciones jurídicas de forma voluntaria y autónoma. De manera que, de acuerdo con lo establecido en el Código Civil, se refiere a la facultad que la ley le confiere a un sujeto para ejercer derechos y contraer obligaciones, partiendo del supuesto de que todas las personas naturales mayores de edad son capaces, con excepción de aquellas que la ley expresamente excluye de </w:t>
      </w:r>
      <w:r w:rsidRPr="005D4648">
        <w:rPr>
          <w:rFonts w:ascii="Century Gothic" w:eastAsia="Calibri" w:hAnsi="Century Gothic" w:cs="Arial"/>
          <w:bCs/>
          <w:color w:val="000000"/>
          <w:szCs w:val="24"/>
          <w:lang w:val="es-ES_tradnl" w:eastAsia="es-ES_tradnl" w:bidi="es-ES"/>
        </w:rPr>
        <w:lastRenderedPageBreak/>
        <w:t xml:space="preserve">tal presunción </w:t>
      </w:r>
      <w:r w:rsidRPr="005D4648">
        <w:rPr>
          <w:rFonts w:ascii="Century Gothic" w:eastAsia="Calibri" w:hAnsi="Century Gothic" w:cs="Arial"/>
          <w:b/>
          <w:bCs/>
          <w:color w:val="000000" w:themeColor="text1"/>
          <w:lang w:val="es-ES"/>
        </w:rPr>
        <w:t>–</w:t>
      </w:r>
      <w:r w:rsidRPr="005D4648">
        <w:rPr>
          <w:rFonts w:ascii="Century Gothic" w:eastAsia="Calibri" w:hAnsi="Century Gothic" w:cs="Arial"/>
          <w:bCs/>
          <w:color w:val="000000"/>
          <w:szCs w:val="24"/>
          <w:lang w:val="es-ES_tradnl" w:eastAsia="es-ES_tradnl" w:bidi="es-ES"/>
        </w:rPr>
        <w:t>artículos 1502, 1503 y 1504</w:t>
      </w:r>
      <w:r w:rsidRPr="005D4648">
        <w:rPr>
          <w:rFonts w:ascii="Century Gothic" w:eastAsia="Calibri" w:hAnsi="Century Gothic" w:cs="Arial"/>
          <w:b/>
          <w:bCs/>
          <w:color w:val="000000" w:themeColor="text1"/>
          <w:lang w:val="es-ES"/>
        </w:rPr>
        <w:t>–</w:t>
      </w:r>
      <w:r w:rsidRPr="005D4648">
        <w:rPr>
          <w:rFonts w:ascii="Century Gothic" w:eastAsia="Calibri" w:hAnsi="Century Gothic" w:cs="Arial"/>
          <w:bCs/>
          <w:color w:val="000000"/>
          <w:szCs w:val="24"/>
          <w:lang w:val="es-ES_tradnl" w:eastAsia="es-ES_tradnl" w:bidi="es-ES"/>
        </w:rPr>
        <w:t>, y de que la capacidad de las personas jurídicas se circunscribe a lo expresado en su objeto social y su forma de creación</w:t>
      </w:r>
      <w:r w:rsidRPr="005D4648">
        <w:rPr>
          <w:rFonts w:ascii="Century Gothic" w:eastAsia="Calibri" w:hAnsi="Century Gothic" w:cs="Arial"/>
          <w:bCs/>
          <w:color w:val="000000"/>
          <w:szCs w:val="24"/>
          <w:vertAlign w:val="superscript"/>
          <w:lang w:val="es-ES_tradnl" w:eastAsia="es-ES_tradnl" w:bidi="es-ES"/>
        </w:rPr>
        <w:footnoteReference w:id="4"/>
      </w:r>
      <w:r w:rsidRPr="005D4648">
        <w:rPr>
          <w:rFonts w:ascii="Century Gothic" w:eastAsia="Calibri" w:hAnsi="Century Gothic" w:cs="Arial"/>
          <w:bCs/>
          <w:color w:val="000000"/>
          <w:szCs w:val="24"/>
          <w:lang w:val="es-ES_tradnl" w:eastAsia="es-ES_tradnl" w:bidi="es-ES"/>
        </w:rPr>
        <w:t>.</w:t>
      </w:r>
    </w:p>
    <w:p w14:paraId="49F9D022"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El Estatuto General de Contratación de la Administración Pública </w:t>
      </w:r>
      <w:r w:rsidRPr="005D4648">
        <w:rPr>
          <w:rFonts w:ascii="Century Gothic" w:eastAsia="Calibri" w:hAnsi="Century Gothic" w:cs="Arial"/>
          <w:b/>
          <w:bCs/>
          <w:color w:val="000000" w:themeColor="text1"/>
          <w:lang w:val="es-ES"/>
        </w:rPr>
        <w:t>–</w:t>
      </w:r>
      <w:r w:rsidRPr="005D4648">
        <w:rPr>
          <w:rFonts w:ascii="Century Gothic" w:eastAsia="Calibri" w:hAnsi="Century Gothic" w:cs="Arial"/>
          <w:bCs/>
          <w:color w:val="000000"/>
          <w:szCs w:val="24"/>
          <w:lang w:val="es-ES_tradnl" w:eastAsia="es-ES_tradnl" w:bidi="es-ES"/>
        </w:rPr>
        <w:t>artículo 6 Ley 80 de 1993</w:t>
      </w:r>
      <w:r w:rsidRPr="005D4648">
        <w:rPr>
          <w:rFonts w:ascii="Century Gothic" w:eastAsia="Calibri" w:hAnsi="Century Gothic" w:cs="Arial"/>
          <w:b/>
          <w:bCs/>
          <w:color w:val="000000" w:themeColor="text1"/>
          <w:lang w:val="es-ES"/>
        </w:rPr>
        <w:t>–</w:t>
      </w:r>
      <w:r w:rsidRPr="005D4648">
        <w:rPr>
          <w:rFonts w:ascii="Century Gothic" w:eastAsia="Calibri" w:hAnsi="Century Gothic" w:cs="Arial"/>
          <w:bCs/>
          <w:color w:val="000000"/>
          <w:szCs w:val="24"/>
          <w:lang w:val="es-ES_tradnl" w:eastAsia="es-ES_tradnl" w:bidi="es-ES"/>
        </w:rPr>
        <w:t xml:space="preserve">, define lo siguiente respecto de quienes pueden celebrar contratos con las entidades estatales: </w:t>
      </w:r>
    </w:p>
    <w:p w14:paraId="0FB293BA" w14:textId="77777777" w:rsidR="00E54240" w:rsidRPr="005D4648" w:rsidRDefault="00E54240" w:rsidP="00E54240">
      <w:pPr>
        <w:tabs>
          <w:tab w:val="left" w:pos="0"/>
        </w:tabs>
        <w:ind w:firstLine="709"/>
        <w:jc w:val="both"/>
        <w:rPr>
          <w:rFonts w:ascii="Century Gothic" w:eastAsia="Calibri" w:hAnsi="Century Gothic" w:cs="Arial"/>
          <w:bCs/>
          <w:color w:val="000000"/>
          <w:szCs w:val="24"/>
          <w:lang w:val="es-ES_tradnl" w:eastAsia="es-ES_tradnl" w:bidi="es-ES"/>
        </w:rPr>
      </w:pPr>
    </w:p>
    <w:p w14:paraId="50DA0536" w14:textId="77777777" w:rsidR="00E54240" w:rsidRPr="005D4648" w:rsidRDefault="00E54240" w:rsidP="00E54240">
      <w:pPr>
        <w:tabs>
          <w:tab w:val="left" w:pos="0"/>
        </w:tabs>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5706BCC3" w14:textId="77777777" w:rsidR="00E54240" w:rsidRPr="005D4648" w:rsidRDefault="00E54240" w:rsidP="00E54240">
      <w:pPr>
        <w:tabs>
          <w:tab w:val="left" w:pos="0"/>
        </w:tabs>
        <w:spacing w:before="120"/>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5D4648">
        <w:rPr>
          <w:rFonts w:ascii="Century Gothic" w:eastAsia="Calibri" w:hAnsi="Century Gothic" w:cs="Arial"/>
          <w:bCs/>
          <w:i/>
          <w:iCs/>
          <w:color w:val="000000"/>
          <w:sz w:val="20"/>
          <w:szCs w:val="20"/>
          <w:lang w:val="es-ES_tradnl" w:eastAsia="es-ES_tradnl" w:bidi="es-ES"/>
        </w:rPr>
        <w:t>los consorcios y uniones temporales</w:t>
      </w:r>
      <w:r w:rsidRPr="005D4648">
        <w:rPr>
          <w:rFonts w:ascii="Century Gothic" w:eastAsia="Calibri" w:hAnsi="Century Gothic" w:cs="Arial"/>
          <w:bCs/>
          <w:color w:val="000000"/>
          <w:sz w:val="20"/>
          <w:szCs w:val="20"/>
          <w:lang w:val="es-ES_tradnl" w:eastAsia="es-ES_tradnl" w:bidi="es-ES"/>
        </w:rPr>
        <w:t>.</w:t>
      </w:r>
    </w:p>
    <w:p w14:paraId="38845E01" w14:textId="77777777" w:rsidR="00E54240" w:rsidRPr="005D4648" w:rsidRDefault="00E54240" w:rsidP="00E54240">
      <w:pPr>
        <w:tabs>
          <w:tab w:val="left" w:pos="0"/>
        </w:tabs>
        <w:spacing w:before="120"/>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Las personas jurídicas nacionales y extranjeras deberán acreditar que su duración no será inferior a la del plazo del contrato y un año más”. (Cursiva fuera del original)</w:t>
      </w:r>
    </w:p>
    <w:p w14:paraId="49172C0C" w14:textId="77777777" w:rsidR="00E54240" w:rsidRPr="005D4648" w:rsidRDefault="00E54240" w:rsidP="00E54240">
      <w:pPr>
        <w:tabs>
          <w:tab w:val="left" w:pos="0"/>
        </w:tabs>
        <w:spacing w:before="120"/>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 </w:t>
      </w:r>
    </w:p>
    <w:p w14:paraId="1901A07A" w14:textId="77777777" w:rsidR="00E54240" w:rsidRPr="005D4648" w:rsidRDefault="00E54240" w:rsidP="00E54240">
      <w:pPr>
        <w:tabs>
          <w:tab w:val="left" w:pos="0"/>
        </w:tabs>
        <w:ind w:firstLine="709"/>
        <w:jc w:val="both"/>
        <w:rPr>
          <w:rFonts w:ascii="Century Gothic" w:eastAsia="Calibri" w:hAnsi="Century Gothic" w:cs="Arial"/>
          <w:bCs/>
          <w:color w:val="000000"/>
          <w:lang w:val="es-ES_tradnl" w:eastAsia="es-ES_tradnl" w:bidi="es-ES"/>
        </w:rPr>
      </w:pPr>
      <w:r w:rsidRPr="005D4648">
        <w:rPr>
          <w:rFonts w:ascii="Century Gothic" w:eastAsia="Calibri" w:hAnsi="Century Gothic" w:cs="Arial"/>
          <w:bCs/>
          <w:color w:val="000000"/>
          <w:lang w:val="es-ES_tradnl" w:eastAsia="es-ES_tradnl" w:bidi="es-ES"/>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w:t>
      </w:r>
      <w:r w:rsidRPr="005D4648" w:rsidDel="00C8511F">
        <w:rPr>
          <w:rFonts w:ascii="Century Gothic" w:eastAsia="Calibri" w:hAnsi="Century Gothic" w:cs="Arial"/>
          <w:bCs/>
          <w:color w:val="000000"/>
          <w:lang w:val="es-ES_tradnl" w:eastAsia="es-ES_tradnl" w:bidi="es-ES"/>
        </w:rPr>
        <w:t xml:space="preserve"> </w:t>
      </w:r>
      <w:r w:rsidRPr="005D4648">
        <w:rPr>
          <w:rFonts w:ascii="Century Gothic" w:eastAsia="Calibri" w:hAnsi="Century Gothic" w:cs="Arial"/>
          <w:bCs/>
          <w:color w:val="000000"/>
          <w:lang w:val="es-ES_tradnl" w:eastAsia="es-ES_tradnl" w:bidi="es-ES"/>
        </w:rPr>
        <w:t>estatal:</w:t>
      </w:r>
    </w:p>
    <w:p w14:paraId="6E76332C" w14:textId="77777777" w:rsidR="00E54240"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p>
    <w:p w14:paraId="47960A6E"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“ARTICULO 7o. ENTIDADES A CONTRATAR. Para los efectos de esta ley se entiende por:</w:t>
      </w:r>
    </w:p>
    <w:p w14:paraId="621B0A15"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p>
    <w:p w14:paraId="425EA597"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w:t>
      </w:r>
    </w:p>
    <w:p w14:paraId="44036327" w14:textId="77777777" w:rsidR="00E54240" w:rsidRPr="005D4648" w:rsidRDefault="00E54240" w:rsidP="00E54240">
      <w:pPr>
        <w:tabs>
          <w:tab w:val="left" w:pos="0"/>
        </w:tabs>
        <w:spacing w:before="120"/>
        <w:ind w:left="709" w:right="709"/>
        <w:jc w:val="both"/>
        <w:rPr>
          <w:rFonts w:ascii="Century Gothic" w:eastAsia="Calibri" w:hAnsi="Century Gothic" w:cs="Arial"/>
          <w:bCs/>
          <w:color w:val="000000"/>
          <w:sz w:val="20"/>
          <w:szCs w:val="20"/>
          <w:lang w:val="es-ES_tradnl" w:eastAsia="es-ES_tradnl" w:bidi="es-ES"/>
        </w:rPr>
      </w:pPr>
    </w:p>
    <w:p w14:paraId="50FFAC14"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6. Consorcio: Cuando dos o más personas en forma conjunta presentan una misma propuesta para la adjudicación, celebración y ejecución de un </w:t>
      </w:r>
      <w:r w:rsidRPr="005D4648">
        <w:rPr>
          <w:rFonts w:ascii="Century Gothic" w:eastAsia="Calibri" w:hAnsi="Century Gothic" w:cs="Arial"/>
          <w:bCs/>
          <w:color w:val="000000"/>
          <w:sz w:val="20"/>
          <w:szCs w:val="20"/>
          <w:lang w:val="es-ES_tradnl" w:eastAsia="es-ES_tradnl" w:bidi="es-ES"/>
        </w:rPr>
        <w:lastRenderedPageBreak/>
        <w:t xml:space="preserve">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7B795E18" w14:textId="77777777" w:rsidR="00E54240" w:rsidRPr="005D4648" w:rsidRDefault="00E54240" w:rsidP="00E54240">
      <w:pPr>
        <w:tabs>
          <w:tab w:val="left" w:pos="0"/>
        </w:tabs>
        <w:spacing w:before="120"/>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7A1BAEF5" w14:textId="77777777" w:rsidR="00E54240" w:rsidRPr="005D4648" w:rsidRDefault="00E54240" w:rsidP="00E54240">
      <w:pPr>
        <w:tabs>
          <w:tab w:val="left" w:pos="0"/>
        </w:tabs>
        <w:spacing w:before="120"/>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w:t>
      </w:r>
    </w:p>
    <w:p w14:paraId="1313F11B" w14:textId="77777777" w:rsidR="00E54240" w:rsidRPr="005D4648" w:rsidRDefault="00E54240" w:rsidP="00E54240">
      <w:pPr>
        <w:tabs>
          <w:tab w:val="left" w:pos="0"/>
        </w:tabs>
        <w:spacing w:before="120"/>
        <w:ind w:left="709" w:right="709"/>
        <w:jc w:val="both"/>
        <w:rPr>
          <w:rFonts w:ascii="Century Gothic" w:eastAsia="Calibri" w:hAnsi="Century Gothic" w:cs="Arial"/>
          <w:bCs/>
          <w:color w:val="000000"/>
          <w:sz w:val="20"/>
          <w:szCs w:val="20"/>
          <w:lang w:val="es-ES_tradnl" w:eastAsia="es-ES_tradnl" w:bidi="es-ES"/>
        </w:rPr>
      </w:pPr>
    </w:p>
    <w:p w14:paraId="7F155546"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 xml:space="preserve">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70754EAB" w14:textId="77777777" w:rsidR="00E54240" w:rsidRPr="005D4648" w:rsidRDefault="00E54240" w:rsidP="00E54240">
      <w:pPr>
        <w:tabs>
          <w:tab w:val="left" w:pos="0"/>
        </w:tabs>
        <w:ind w:left="709" w:right="709"/>
        <w:jc w:val="both"/>
        <w:rPr>
          <w:rFonts w:ascii="Century Gothic" w:eastAsia="Calibri" w:hAnsi="Century Gothic" w:cs="Arial"/>
          <w:bCs/>
          <w:color w:val="000000"/>
          <w:sz w:val="20"/>
          <w:szCs w:val="20"/>
          <w:lang w:val="es-ES_tradnl" w:eastAsia="es-ES_tradnl" w:bidi="es-ES"/>
        </w:rPr>
      </w:pPr>
    </w:p>
    <w:p w14:paraId="5F57FA38" w14:textId="77777777" w:rsidR="00E54240" w:rsidRPr="005D4648" w:rsidRDefault="00E54240" w:rsidP="00E54240">
      <w:pPr>
        <w:tabs>
          <w:tab w:val="left" w:pos="0"/>
        </w:tabs>
        <w:ind w:left="709" w:right="709"/>
        <w:jc w:val="both"/>
        <w:rPr>
          <w:rFonts w:ascii="Century Gothic" w:eastAsia="Calibri" w:hAnsi="Century Gothic" w:cs="Arial"/>
          <w:b/>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Los miembros del consorcio y de la unión temporal deberán designar la persona que, para todos los efectos, representará al consorcio o unión temporal y señalarán las reglas básicas que regulen las relaciones entre ellos y su responsabilidad […]</w:t>
      </w:r>
      <w:r w:rsidRPr="005D4648">
        <w:rPr>
          <w:rFonts w:ascii="Century Gothic" w:eastAsia="Calibri" w:hAnsi="Century Gothic" w:cs="Arial"/>
          <w:b/>
          <w:bCs/>
          <w:color w:val="000000"/>
          <w:sz w:val="20"/>
          <w:szCs w:val="20"/>
          <w:lang w:val="es-ES_tradnl" w:eastAsia="es-ES_tradnl" w:bidi="es-ES"/>
        </w:rPr>
        <w:t>”.</w:t>
      </w:r>
    </w:p>
    <w:p w14:paraId="4D27192C" w14:textId="77777777" w:rsidR="00E54240" w:rsidRPr="005D4648" w:rsidRDefault="00E54240" w:rsidP="00E54240">
      <w:pPr>
        <w:tabs>
          <w:tab w:val="left" w:pos="0"/>
        </w:tabs>
        <w:ind w:left="708" w:right="709"/>
        <w:rPr>
          <w:rFonts w:ascii="Century Gothic" w:eastAsia="Calibri" w:hAnsi="Century Gothic" w:cs="Arial"/>
          <w:bCs/>
          <w:color w:val="000000"/>
          <w:szCs w:val="24"/>
          <w:lang w:val="es-ES_tradnl" w:eastAsia="es-ES_tradnl" w:bidi="es-ES"/>
        </w:rPr>
      </w:pPr>
    </w:p>
    <w:p w14:paraId="6FFD9D39" w14:textId="77777777" w:rsidR="00E54240" w:rsidRPr="005D4648" w:rsidRDefault="00E54240" w:rsidP="00E54240">
      <w:pPr>
        <w:tabs>
          <w:tab w:val="left" w:pos="0"/>
        </w:tabs>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Los consorcios</w:t>
      </w:r>
      <w:r w:rsidRPr="005D4648">
        <w:rPr>
          <w:rFonts w:ascii="Century Gothic" w:eastAsia="Calibri" w:hAnsi="Century Gothic" w:cs="Arial"/>
          <w:bCs/>
          <w:color w:val="000000"/>
          <w:szCs w:val="24"/>
          <w:vertAlign w:val="superscript"/>
          <w:lang w:val="es-ES_tradnl" w:eastAsia="es-ES_tradnl" w:bidi="es-ES"/>
        </w:rPr>
        <w:footnoteReference w:id="5"/>
      </w:r>
      <w:r w:rsidRPr="005D4648">
        <w:rPr>
          <w:rFonts w:ascii="Century Gothic" w:eastAsia="Calibri" w:hAnsi="Century Gothic" w:cs="Arial"/>
          <w:bCs/>
          <w:color w:val="000000"/>
          <w:szCs w:val="24"/>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6F8597A7"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La diferencia entre los consorcios y las uniones temporales radica en la responsabilidad frente a las eventuales sanciones que lleguen a generarse por el incumplimiento de las obligaciones del contrato, toda vez que, </w:t>
      </w:r>
      <w:r w:rsidRPr="005D4648">
        <w:rPr>
          <w:rFonts w:ascii="Century Gothic" w:eastAsia="Calibri" w:hAnsi="Century Gothic" w:cs="Arial"/>
          <w:bCs/>
          <w:color w:val="000000"/>
          <w:szCs w:val="24"/>
          <w:lang w:val="es-ES_tradnl" w:eastAsia="es-ES_tradnl" w:bidi="es-ES"/>
        </w:rPr>
        <w:lastRenderedPageBreak/>
        <w:t>tratándose de una unión temporal, éstas se individualizan según el grado de participación de sus miembros, mientras que en el consorcio dicha individualización no opera, ya que sus miembros responderán solidariamente frente a las sanciones que correspondan. Sobre el particular la Corte Constitucional en sentencia C – 949 de 2001</w:t>
      </w:r>
      <w:r w:rsidRPr="005D4648">
        <w:rPr>
          <w:rFonts w:ascii="Century Gothic" w:eastAsia="Calibri" w:hAnsi="Century Gothic" w:cs="Arial"/>
          <w:bCs/>
          <w:color w:val="000000"/>
          <w:szCs w:val="24"/>
          <w:vertAlign w:val="superscript"/>
          <w:lang w:val="es-ES_tradnl" w:eastAsia="es-ES_tradnl" w:bidi="es-ES"/>
        </w:rPr>
        <w:footnoteReference w:id="6"/>
      </w:r>
      <w:r w:rsidRPr="005D4648">
        <w:rPr>
          <w:rFonts w:ascii="Century Gothic" w:eastAsia="Calibri" w:hAnsi="Century Gothic" w:cs="Arial"/>
          <w:bCs/>
          <w:color w:val="000000"/>
          <w:szCs w:val="24"/>
          <w:lang w:val="es-ES_tradnl" w:eastAsia="es-ES_tradnl" w:bidi="es-ES"/>
        </w:rPr>
        <w:t xml:space="preserve"> consideró lo siguiente:</w:t>
      </w:r>
    </w:p>
    <w:p w14:paraId="7317DCEC" w14:textId="77777777" w:rsidR="00E54240" w:rsidRPr="005D4648" w:rsidRDefault="00E54240" w:rsidP="00E54240">
      <w:pPr>
        <w:tabs>
          <w:tab w:val="left" w:pos="0"/>
        </w:tabs>
        <w:ind w:left="708" w:right="709"/>
        <w:jc w:val="both"/>
        <w:rPr>
          <w:rFonts w:ascii="Century Gothic" w:eastAsia="Calibri" w:hAnsi="Century Gothic" w:cs="Arial"/>
          <w:bCs/>
          <w:color w:val="000000"/>
          <w:sz w:val="21"/>
          <w:lang w:val="es-ES_tradnl" w:eastAsia="es-ES_tradnl" w:bidi="es-ES"/>
        </w:rPr>
      </w:pPr>
    </w:p>
    <w:p w14:paraId="7583424B" w14:textId="77777777" w:rsidR="00E54240" w:rsidRPr="005D4648" w:rsidRDefault="00E54240" w:rsidP="00E54240">
      <w:pPr>
        <w:tabs>
          <w:tab w:val="left" w:pos="0"/>
        </w:tabs>
        <w:ind w:left="708" w:right="709"/>
        <w:jc w:val="both"/>
        <w:rPr>
          <w:rFonts w:ascii="Century Gothic" w:eastAsia="Calibri" w:hAnsi="Century Gothic" w:cs="Arial"/>
          <w:b/>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5D4648">
        <w:rPr>
          <w:rFonts w:ascii="Century Gothic" w:eastAsia="Calibri" w:hAnsi="Century Gothic" w:cs="Arial"/>
          <w:color w:val="000000"/>
          <w:sz w:val="20"/>
          <w:szCs w:val="20"/>
          <w:lang w:val="es-ES_tradnl" w:eastAsia="es-ES_tradnl" w:bidi="es-ES"/>
        </w:rPr>
        <w:t xml:space="preserve"> […]</w:t>
      </w:r>
    </w:p>
    <w:p w14:paraId="47931B20" w14:textId="77777777" w:rsidR="00E54240" w:rsidRPr="005D4648" w:rsidRDefault="00E54240" w:rsidP="00E54240">
      <w:pPr>
        <w:tabs>
          <w:tab w:val="left" w:pos="0"/>
        </w:tabs>
        <w:spacing w:before="120"/>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 […]</w:t>
      </w:r>
    </w:p>
    <w:p w14:paraId="71847968" w14:textId="77777777" w:rsidR="00E54240" w:rsidRPr="005D4648" w:rsidRDefault="00E54240" w:rsidP="00E54240">
      <w:pPr>
        <w:tabs>
          <w:tab w:val="left" w:pos="0"/>
        </w:tabs>
        <w:spacing w:before="120"/>
        <w:ind w:left="708" w:right="709"/>
        <w:jc w:val="both"/>
        <w:rPr>
          <w:rFonts w:ascii="Century Gothic" w:eastAsia="Calibri" w:hAnsi="Century Gothic" w:cs="Arial"/>
          <w:bCs/>
          <w:color w:val="000000"/>
          <w:sz w:val="20"/>
          <w:szCs w:val="20"/>
          <w:lang w:val="es-ES_tradnl" w:eastAsia="es-ES_tradnl" w:bidi="es-ES"/>
        </w:rPr>
      </w:pPr>
    </w:p>
    <w:p w14:paraId="0232825F" w14:textId="77777777" w:rsidR="00E54240" w:rsidRPr="005D4648" w:rsidRDefault="00E54240" w:rsidP="00E54240">
      <w:pPr>
        <w:tabs>
          <w:tab w:val="left" w:pos="0"/>
        </w:tabs>
        <w:ind w:left="708" w:right="709"/>
        <w:jc w:val="both"/>
        <w:rPr>
          <w:rFonts w:ascii="Century Gothic" w:eastAsia="Calibri" w:hAnsi="Century Gothic" w:cs="Arial"/>
          <w:bCs/>
          <w:color w:val="000000"/>
          <w:sz w:val="20"/>
          <w:szCs w:val="20"/>
          <w:lang w:val="es-ES_tradnl" w:eastAsia="es-ES_tradnl" w:bidi="es-ES"/>
        </w:rPr>
      </w:pPr>
      <w:r w:rsidRPr="005D4648">
        <w:rPr>
          <w:rFonts w:ascii="Century Gothic" w:eastAsia="Calibri" w:hAnsi="Century Gothic" w:cs="Arial"/>
          <w:bCs/>
          <w:color w:val="000000"/>
          <w:sz w:val="20"/>
          <w:szCs w:val="20"/>
          <w:lang w:val="es-ES_tradnl" w:eastAsia="es-ES_tradnl" w:bidi="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 Superiores)”.</w:t>
      </w:r>
    </w:p>
    <w:p w14:paraId="66C02617" w14:textId="77777777" w:rsidR="00E54240" w:rsidRPr="005D4648" w:rsidRDefault="00E54240" w:rsidP="00E54240">
      <w:pPr>
        <w:tabs>
          <w:tab w:val="left" w:pos="0"/>
        </w:tabs>
        <w:spacing w:before="120"/>
        <w:ind w:left="708" w:right="709"/>
        <w:rPr>
          <w:rFonts w:ascii="Century Gothic" w:eastAsia="Calibri" w:hAnsi="Century Gothic" w:cs="Arial"/>
          <w:bCs/>
          <w:color w:val="000000"/>
          <w:szCs w:val="24"/>
          <w:lang w:val="es-ES_tradnl" w:eastAsia="es-ES_tradnl" w:bidi="es-ES"/>
        </w:rPr>
      </w:pPr>
    </w:p>
    <w:p w14:paraId="7482274E" w14:textId="77777777" w:rsidR="00E54240" w:rsidRPr="005D4648" w:rsidRDefault="00E54240" w:rsidP="00E54240">
      <w:pPr>
        <w:tabs>
          <w:tab w:val="left" w:pos="0"/>
        </w:tabs>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w:t>
      </w:r>
      <w:r w:rsidRPr="005D4648">
        <w:rPr>
          <w:rFonts w:ascii="Century Gothic" w:eastAsia="Calibri" w:hAnsi="Century Gothic" w:cs="Arial"/>
          <w:bCs/>
          <w:color w:val="000000"/>
          <w:szCs w:val="24"/>
          <w:lang w:val="es-ES_tradnl" w:eastAsia="es-ES_tradnl" w:bidi="es-ES"/>
        </w:rPr>
        <w:lastRenderedPageBreak/>
        <w:t xml:space="preserve">mediante la designación de un representante. Así lo exige el parágrafo del artículo 7 de la Ley 80 de 1993 para que el órgano creado con la constitución del consorcio o unión temporal tenga vocación de resultar el adjudicatario del contrato estatal. </w:t>
      </w:r>
    </w:p>
    <w:p w14:paraId="402AE235"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Por lo anterior, cabe mencionar que el contrato de constitución del consorcio o unión temporal debe designar las facultades del </w:t>
      </w:r>
      <w:r w:rsidRPr="005D4648">
        <w:rPr>
          <w:rFonts w:ascii="Century Gothic" w:eastAsia="Calibri" w:hAnsi="Century Gothic" w:cs="Arial"/>
          <w:bCs/>
          <w:i/>
          <w:iCs/>
          <w:color w:val="000000"/>
          <w:szCs w:val="24"/>
          <w:lang w:val="es-ES_tradnl" w:eastAsia="es-ES_tradnl" w:bidi="es-ES"/>
        </w:rPr>
        <w:t>“representante</w:t>
      </w:r>
      <w:r w:rsidRPr="005D4648">
        <w:rPr>
          <w:rFonts w:ascii="Century Gothic" w:eastAsia="Calibri" w:hAnsi="Century Gothic" w:cs="Arial"/>
          <w:i/>
          <w:iCs/>
          <w:color w:val="000000"/>
          <w:szCs w:val="24"/>
          <w:lang w:val="es-ES_tradnl" w:eastAsia="es-ES_tradnl" w:bidi="es-ES"/>
        </w:rPr>
        <w:t>”</w:t>
      </w:r>
      <w:r w:rsidRPr="005D4648">
        <w:rPr>
          <w:rFonts w:ascii="Century Gothic" w:eastAsia="Calibri" w:hAnsi="Century Gothic" w:cs="Arial"/>
          <w:bCs/>
          <w:color w:val="000000"/>
          <w:szCs w:val="24"/>
          <w:lang w:val="es-ES_tradnl" w:eastAsia="es-ES_tradnl" w:bidi="es-ES"/>
        </w:rPr>
        <w:t xml:space="preserve"> del ente asociado, designación que tendrá los efectos de la representación previstos en el artículo 1505 del Código Civil</w:t>
      </w:r>
      <w:r w:rsidRPr="005D4648">
        <w:rPr>
          <w:rFonts w:ascii="Century Gothic" w:eastAsia="Calibri" w:hAnsi="Century Gothic" w:cs="Arial"/>
          <w:bCs/>
          <w:color w:val="000000"/>
          <w:szCs w:val="24"/>
          <w:vertAlign w:val="superscript"/>
          <w:lang w:val="es-ES_tradnl" w:eastAsia="es-ES_tradnl" w:bidi="es-ES"/>
        </w:rPr>
        <w:footnoteReference w:id="7"/>
      </w:r>
      <w:r w:rsidRPr="005D4648">
        <w:rPr>
          <w:rFonts w:ascii="Century Gothic" w:eastAsia="Calibri" w:hAnsi="Century Gothic" w:cs="Arial"/>
          <w:bCs/>
          <w:color w:val="000000"/>
          <w:szCs w:val="24"/>
          <w:lang w:val="es-ES_tradnl" w:eastAsia="es-ES_tradnl" w:bidi="es-ES"/>
        </w:rPr>
        <w:t xml:space="preserve">: </w:t>
      </w:r>
      <w:r w:rsidRPr="005D4648">
        <w:rPr>
          <w:rFonts w:ascii="Century Gothic" w:eastAsia="Calibri" w:hAnsi="Century Gothic" w:cs="Arial"/>
          <w:bCs/>
          <w:i/>
          <w:iCs/>
          <w:color w:val="000000"/>
          <w:szCs w:val="24"/>
          <w:lang w:val="es-ES_tradnl" w:eastAsia="es-ES_tradnl" w:bidi="es-ES"/>
        </w:rPr>
        <w:t>“Lo que una persona ejecuta a nombre de otra, estando facultada por ella o por la ley para representarla, produce respecto del representado iguales efectos que si hubiese contratado él mismo”.</w:t>
      </w:r>
    </w:p>
    <w:p w14:paraId="4834E34B"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El acuerdo de voluntades que constituye el consorcio o unión temporal se reconoce doctrinalmente como contrato consorcial o de “</w:t>
      </w:r>
      <w:r w:rsidRPr="005D4648">
        <w:rPr>
          <w:rFonts w:ascii="Century Gothic" w:eastAsia="Calibri" w:hAnsi="Century Gothic" w:cs="Arial"/>
          <w:bCs/>
          <w:i/>
          <w:iCs/>
          <w:color w:val="000000"/>
          <w:szCs w:val="24"/>
          <w:lang w:val="es-ES_tradnl" w:eastAsia="es-ES_tradnl" w:bidi="es-ES"/>
        </w:rPr>
        <w:t>joint venture</w:t>
      </w:r>
      <w:r w:rsidRPr="005D4648">
        <w:rPr>
          <w:rFonts w:ascii="Century Gothic" w:eastAsia="Calibri" w:hAnsi="Century Gothic" w:cs="Arial"/>
          <w:color w:val="000000"/>
          <w:szCs w:val="24"/>
          <w:lang w:val="es-ES_tradnl" w:eastAsia="es-ES_tradnl" w:bidi="es-ES"/>
        </w:rPr>
        <w:t>”</w:t>
      </w:r>
      <w:r w:rsidRPr="005D4648">
        <w:rPr>
          <w:rFonts w:ascii="Century Gothic" w:eastAsia="Calibri" w:hAnsi="Century Gothic" w:cs="Arial"/>
          <w:bCs/>
          <w:color w:val="000000"/>
          <w:szCs w:val="24"/>
          <w:lang w:val="es-ES_tradnl" w:eastAsia="es-ES_tradnl" w:bidi="es-ES"/>
        </w:rPr>
        <w:t>, que se reconoce como un contrato principal, oneroso, conmutativo, bilateral o plurilateral</w:t>
      </w:r>
      <w:r w:rsidRPr="005D4648">
        <w:rPr>
          <w:rFonts w:ascii="Century Gothic" w:eastAsia="Calibri" w:hAnsi="Century Gothic" w:cs="Arial"/>
          <w:bCs/>
          <w:color w:val="000000"/>
          <w:szCs w:val="24"/>
          <w:vertAlign w:val="superscript"/>
          <w:lang w:val="es-ES_tradnl" w:eastAsia="es-ES_tradnl" w:bidi="es-ES"/>
        </w:rPr>
        <w:footnoteReference w:id="8"/>
      </w:r>
      <w:r w:rsidRPr="005D4648">
        <w:rPr>
          <w:rFonts w:ascii="Century Gothic" w:eastAsia="Calibri" w:hAnsi="Century Gothic" w:cs="Arial"/>
          <w:bCs/>
          <w:color w:val="000000"/>
          <w:szCs w:val="24"/>
          <w:lang w:val="es-ES_tradnl" w:eastAsia="es-ES_tradnl" w:bidi="es-ES"/>
        </w:rPr>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con el fin de hacer valer sus derechos o responder por el incumplimiento de sus obligaciones, en lo relacionado con el procedimiento de selección y el contrato estatal</w:t>
      </w:r>
      <w:r w:rsidRPr="005D4648">
        <w:rPr>
          <w:rFonts w:ascii="Century Gothic" w:eastAsia="Calibri" w:hAnsi="Century Gothic" w:cs="Arial"/>
          <w:bCs/>
          <w:color w:val="000000"/>
          <w:szCs w:val="24"/>
          <w:vertAlign w:val="superscript"/>
          <w:lang w:val="es-ES_tradnl" w:eastAsia="es-ES_tradnl" w:bidi="es-ES"/>
        </w:rPr>
        <w:footnoteReference w:id="9"/>
      </w:r>
      <w:r w:rsidRPr="005D4648">
        <w:rPr>
          <w:rFonts w:ascii="Century Gothic" w:eastAsia="Calibri" w:hAnsi="Century Gothic" w:cs="Arial"/>
          <w:bCs/>
          <w:color w:val="000000"/>
          <w:szCs w:val="24"/>
          <w:lang w:val="es-ES_tradnl" w:eastAsia="es-ES_tradnl" w:bidi="es-ES"/>
        </w:rPr>
        <w:t>. Así lo ha reconocido la jurisprudencia del Consejo de Estado</w:t>
      </w:r>
      <w:r w:rsidRPr="005D4648">
        <w:rPr>
          <w:rFonts w:ascii="Century Gothic" w:eastAsia="Calibri" w:hAnsi="Century Gothic" w:cs="Arial"/>
          <w:bCs/>
          <w:color w:val="000000"/>
          <w:szCs w:val="24"/>
          <w:vertAlign w:val="superscript"/>
          <w:lang w:val="es-ES_tradnl" w:eastAsia="es-ES_tradnl" w:bidi="es-ES"/>
        </w:rPr>
        <w:footnoteReference w:id="10"/>
      </w:r>
      <w:r w:rsidRPr="005D4648">
        <w:rPr>
          <w:rFonts w:ascii="Century Gothic" w:eastAsia="Calibri" w:hAnsi="Century Gothic" w:cs="Arial"/>
          <w:bCs/>
          <w:color w:val="000000"/>
          <w:szCs w:val="24"/>
          <w:lang w:val="es-ES_tradnl" w:eastAsia="es-ES_tradnl" w:bidi="es-ES"/>
        </w:rPr>
        <w:t>:</w:t>
      </w:r>
    </w:p>
    <w:p w14:paraId="30009E7F" w14:textId="77777777" w:rsidR="00E54240" w:rsidRPr="005D4648" w:rsidRDefault="00E54240" w:rsidP="00E54240">
      <w:pPr>
        <w:tabs>
          <w:tab w:val="left" w:pos="0"/>
        </w:tabs>
        <w:ind w:left="708" w:right="709"/>
        <w:jc w:val="both"/>
        <w:rPr>
          <w:rFonts w:ascii="Century Gothic" w:eastAsia="Calibri" w:hAnsi="Century Gothic" w:cs="Arial"/>
          <w:bCs/>
          <w:i/>
          <w:iCs/>
          <w:color w:val="000000"/>
          <w:sz w:val="21"/>
          <w:szCs w:val="21"/>
          <w:lang w:val="es-ES_tradnl" w:eastAsia="es-ES_tradnl" w:bidi="es-ES"/>
        </w:rPr>
      </w:pPr>
    </w:p>
    <w:p w14:paraId="22CD3758" w14:textId="77777777" w:rsidR="00E54240" w:rsidRPr="005D4648" w:rsidRDefault="00E54240" w:rsidP="00E54240">
      <w:pPr>
        <w:tabs>
          <w:tab w:val="left" w:pos="0"/>
        </w:tabs>
        <w:ind w:left="708" w:right="709"/>
        <w:jc w:val="both"/>
        <w:rPr>
          <w:rFonts w:ascii="Century Gothic" w:eastAsia="Calibri" w:hAnsi="Century Gothic" w:cs="Arial"/>
          <w:bCs/>
          <w:i/>
          <w:iCs/>
          <w:color w:val="000000"/>
          <w:sz w:val="20"/>
          <w:szCs w:val="20"/>
          <w:lang w:val="es-ES_tradnl" w:eastAsia="es-ES_tradnl" w:bidi="es-ES"/>
        </w:rPr>
      </w:pPr>
      <w:r w:rsidRPr="005D4648">
        <w:rPr>
          <w:rFonts w:ascii="Century Gothic" w:eastAsia="Calibri" w:hAnsi="Century Gothic" w:cs="Arial"/>
          <w:bCs/>
          <w:i/>
          <w:iCs/>
          <w:color w:val="000000"/>
          <w:sz w:val="20"/>
          <w:szCs w:val="20"/>
          <w:lang w:val="es-ES_tradnl" w:eastAsia="es-ES_tradnl" w:bidi="es-ES"/>
        </w:rPr>
        <w:t xml:space="preserve">“A juicio de la Sala, en esta ocasión debe retomarse el asunto para efectos de modificar la tesis jurisprudencial que se ha venido siguiendo y, por tanto, </w:t>
      </w:r>
      <w:r w:rsidRPr="005D4648">
        <w:rPr>
          <w:rFonts w:ascii="Century Gothic" w:eastAsia="Calibri" w:hAnsi="Century Gothic" w:cs="Arial"/>
          <w:bCs/>
          <w:i/>
          <w:iCs/>
          <w:color w:val="000000"/>
          <w:sz w:val="20"/>
          <w:szCs w:val="20"/>
          <w:lang w:val="es-ES_tradnl" w:eastAsia="es-ES_tradnl" w:bidi="es-ES"/>
        </w:rPr>
        <w:lastRenderedPageBreak/>
        <w:t>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–legitimatio ad processum-, por intermedio de su representante”.</w:t>
      </w:r>
    </w:p>
    <w:p w14:paraId="35D0F034" w14:textId="77777777" w:rsidR="00E54240" w:rsidRPr="005D4648"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En esa misma línea, la Sala de Casación Laboral de la Corte Suprema de Justicia, en la Sentencia SL 676 del 10 de enero de 2021, radicado 57.957, reconoció la capacidad procesal de los consorcios y uniones temporales en el marco de procesos laborales, como se precisará en el numeral siguiente. A juicio de la Corte, el solo hecho de no contar con personalidad jurídica no es una razón suficiente para concluir que no se pueda configurar una relación jurídico procesal en una contienda litigiosa y, en esa medida, ser sujeto procesal. En atención al principio de primacía de la realidad sobre las formas, parte esencial del ordenamiento jurídico laboral, el alto tribunal concluyó que los consorcios y uniones temporales son sujetos de obligaciones laborales y, en consecuencia, pueden ser parte en procesos judiciales que cursen ante los jueces del trabajo por medio de su representante legal</w:t>
      </w:r>
      <w:r w:rsidRPr="005D4648">
        <w:rPr>
          <w:rFonts w:ascii="Century Gothic" w:eastAsia="Calibri" w:hAnsi="Century Gothic" w:cs="Arial"/>
          <w:bCs/>
          <w:color w:val="000000"/>
          <w:szCs w:val="24"/>
          <w:vertAlign w:val="superscript"/>
          <w:lang w:val="es-ES_tradnl" w:eastAsia="es-ES_tradnl" w:bidi="es-ES"/>
        </w:rPr>
        <w:footnoteReference w:id="11"/>
      </w:r>
      <w:r w:rsidRPr="005D4648">
        <w:rPr>
          <w:rFonts w:ascii="Century Gothic" w:eastAsia="Calibri" w:hAnsi="Century Gothic" w:cs="Arial"/>
          <w:bCs/>
          <w:color w:val="000000"/>
          <w:szCs w:val="24"/>
          <w:lang w:val="es-ES_tradnl" w:eastAsia="es-ES_tradnl" w:bidi="es-ES"/>
        </w:rPr>
        <w:t>.</w:t>
      </w:r>
    </w:p>
    <w:p w14:paraId="2B9BCE70" w14:textId="77777777" w:rsidR="00E54240" w:rsidRDefault="00E54240" w:rsidP="00E54240">
      <w:pPr>
        <w:tabs>
          <w:tab w:val="left" w:pos="0"/>
        </w:tabs>
        <w:spacing w:before="120"/>
        <w:ind w:firstLine="709"/>
        <w:jc w:val="both"/>
        <w:rPr>
          <w:rFonts w:ascii="Century Gothic" w:eastAsia="Calibri" w:hAnsi="Century Gothic" w:cs="Arial"/>
          <w:bCs/>
          <w:color w:val="000000"/>
          <w:szCs w:val="24"/>
          <w:lang w:val="es-ES_tradnl" w:eastAsia="es-ES_tradnl" w:bidi="es-ES"/>
        </w:rPr>
      </w:pPr>
      <w:r w:rsidRPr="005D4648">
        <w:rPr>
          <w:rFonts w:ascii="Century Gothic" w:eastAsia="Calibri" w:hAnsi="Century Gothic" w:cs="Arial"/>
          <w:bCs/>
          <w:color w:val="000000"/>
          <w:szCs w:val="24"/>
          <w:lang w:val="es-ES_tradnl" w:eastAsia="es-ES_tradnl" w:bidi="es-ES"/>
        </w:rPr>
        <w:t xml:space="preserve">Conforme a lo anterior, los consorcios y uniones temporales no son personas jurídicas, pero son entes creados por el acuerdo de voluntades de sus miembros, los cuales están facultados, en virtud de la ley y del contrato consorcial, para celebrar y ejecutar contratos con entidades estatales y para ser parte en procesos administrativos y judiciales derivados de la celebración y la ejecución de aquellos, e incluso para ser parte en procesos laborales. </w:t>
      </w:r>
    </w:p>
    <w:p w14:paraId="134B6679" w14:textId="77777777" w:rsidR="00E54240" w:rsidRDefault="00E54240" w:rsidP="00E54240">
      <w:pPr>
        <w:tabs>
          <w:tab w:val="left" w:pos="0"/>
        </w:tabs>
        <w:ind w:firstLine="709"/>
        <w:jc w:val="both"/>
        <w:rPr>
          <w:rFonts w:ascii="Century Gothic" w:eastAsia="Calibri" w:hAnsi="Century Gothic" w:cs="Arial"/>
          <w:bCs/>
          <w:color w:val="000000"/>
          <w:szCs w:val="24"/>
          <w:lang w:val="es-ES_tradnl" w:eastAsia="es-ES_tradnl" w:bidi="es-ES"/>
        </w:rPr>
      </w:pPr>
    </w:p>
    <w:p w14:paraId="4EA6E3E2" w14:textId="35626936" w:rsidR="00E54240" w:rsidRDefault="00E54240" w:rsidP="00E54240">
      <w:pPr>
        <w:spacing w:line="276" w:lineRule="auto"/>
        <w:jc w:val="both"/>
        <w:rPr>
          <w:rStyle w:val="normaltextrun"/>
          <w:rFonts w:ascii="Century Gothic" w:hAnsi="Century Gothic" w:cs="Arial"/>
          <w:b/>
          <w:bCs/>
          <w:color w:val="000000"/>
        </w:rPr>
      </w:pPr>
      <w:r w:rsidRPr="005D4648">
        <w:rPr>
          <w:rStyle w:val="normaltextrun"/>
          <w:rFonts w:ascii="Century Gothic" w:hAnsi="Century Gothic" w:cs="Arial"/>
          <w:b/>
          <w:bCs/>
          <w:color w:val="000000"/>
        </w:rPr>
        <w:t>2.2. C</w:t>
      </w:r>
      <w:r>
        <w:rPr>
          <w:rStyle w:val="normaltextrun"/>
          <w:rFonts w:ascii="Century Gothic" w:hAnsi="Century Gothic" w:cs="Arial"/>
          <w:b/>
          <w:bCs/>
          <w:color w:val="000000"/>
        </w:rPr>
        <w:t>ontratación directa</w:t>
      </w:r>
      <w:r w:rsidRPr="005D4648">
        <w:rPr>
          <w:rStyle w:val="normaltextrun"/>
          <w:rFonts w:ascii="Century Gothic" w:hAnsi="Century Gothic" w:cs="Arial"/>
          <w:b/>
          <w:bCs/>
          <w:color w:val="000000"/>
        </w:rPr>
        <w:t xml:space="preserve"> </w:t>
      </w:r>
      <w:r>
        <w:rPr>
          <w:rStyle w:val="normaltextrun"/>
          <w:rFonts w:ascii="Century Gothic" w:hAnsi="Century Gothic" w:cs="Arial"/>
          <w:b/>
          <w:bCs/>
          <w:color w:val="000000"/>
        </w:rPr>
        <w:t>con c</w:t>
      </w:r>
      <w:r w:rsidRPr="00DE56B4">
        <w:rPr>
          <w:rStyle w:val="normaltextrun"/>
          <w:rFonts w:ascii="Century Gothic" w:hAnsi="Century Gothic" w:cs="Arial"/>
          <w:b/>
          <w:bCs/>
          <w:color w:val="000000"/>
        </w:rPr>
        <w:t xml:space="preserve">onsejos </w:t>
      </w:r>
      <w:r>
        <w:rPr>
          <w:rStyle w:val="normaltextrun"/>
          <w:rFonts w:ascii="Century Gothic" w:hAnsi="Century Gothic" w:cs="Arial"/>
          <w:b/>
          <w:bCs/>
          <w:color w:val="000000"/>
        </w:rPr>
        <w:t>c</w:t>
      </w:r>
      <w:r w:rsidRPr="00DE56B4">
        <w:rPr>
          <w:rStyle w:val="normaltextrun"/>
          <w:rFonts w:ascii="Century Gothic" w:hAnsi="Century Gothic" w:cs="Arial"/>
          <w:b/>
          <w:bCs/>
          <w:color w:val="000000"/>
        </w:rPr>
        <w:t xml:space="preserve">omunitarios de las </w:t>
      </w:r>
      <w:r>
        <w:rPr>
          <w:rStyle w:val="normaltextrun"/>
          <w:rFonts w:ascii="Century Gothic" w:hAnsi="Century Gothic" w:cs="Arial"/>
          <w:b/>
          <w:bCs/>
          <w:color w:val="000000"/>
        </w:rPr>
        <w:t>c</w:t>
      </w:r>
      <w:r w:rsidRPr="00DE56B4">
        <w:rPr>
          <w:rStyle w:val="normaltextrun"/>
          <w:rFonts w:ascii="Century Gothic" w:hAnsi="Century Gothic" w:cs="Arial"/>
          <w:b/>
          <w:bCs/>
          <w:color w:val="000000"/>
        </w:rPr>
        <w:t xml:space="preserve">omunidades </w:t>
      </w:r>
      <w:r>
        <w:rPr>
          <w:rStyle w:val="normaltextrun"/>
          <w:rFonts w:ascii="Century Gothic" w:hAnsi="Century Gothic" w:cs="Arial"/>
          <w:b/>
          <w:bCs/>
          <w:color w:val="000000"/>
        </w:rPr>
        <w:t>n</w:t>
      </w:r>
      <w:r w:rsidRPr="00DE56B4">
        <w:rPr>
          <w:rStyle w:val="normaltextrun"/>
          <w:rFonts w:ascii="Century Gothic" w:hAnsi="Century Gothic" w:cs="Arial"/>
          <w:b/>
          <w:bCs/>
          <w:color w:val="000000"/>
        </w:rPr>
        <w:t xml:space="preserve">egras y </w:t>
      </w:r>
      <w:r>
        <w:rPr>
          <w:rStyle w:val="normaltextrun"/>
          <w:rFonts w:ascii="Century Gothic" w:hAnsi="Century Gothic" w:cs="Arial"/>
          <w:b/>
          <w:bCs/>
          <w:color w:val="000000"/>
        </w:rPr>
        <w:t>o</w:t>
      </w:r>
      <w:r w:rsidRPr="00DE56B4">
        <w:rPr>
          <w:rStyle w:val="normaltextrun"/>
          <w:rFonts w:ascii="Century Gothic" w:hAnsi="Century Gothic" w:cs="Arial"/>
          <w:b/>
          <w:bCs/>
          <w:color w:val="000000"/>
        </w:rPr>
        <w:t xml:space="preserve">rganizaciones de </w:t>
      </w:r>
      <w:r>
        <w:rPr>
          <w:rStyle w:val="normaltextrun"/>
          <w:rFonts w:ascii="Century Gothic" w:hAnsi="Century Gothic" w:cs="Arial"/>
          <w:b/>
          <w:bCs/>
          <w:color w:val="000000"/>
        </w:rPr>
        <w:t>b</w:t>
      </w:r>
      <w:r w:rsidRPr="00DE56B4">
        <w:rPr>
          <w:rStyle w:val="normaltextrun"/>
          <w:rFonts w:ascii="Century Gothic" w:hAnsi="Century Gothic" w:cs="Arial"/>
          <w:b/>
          <w:bCs/>
          <w:color w:val="000000"/>
        </w:rPr>
        <w:t xml:space="preserve">ase de </w:t>
      </w:r>
      <w:r>
        <w:rPr>
          <w:rStyle w:val="normaltextrun"/>
          <w:rFonts w:ascii="Century Gothic" w:hAnsi="Century Gothic" w:cs="Arial"/>
          <w:b/>
          <w:bCs/>
          <w:color w:val="000000"/>
        </w:rPr>
        <w:t>p</w:t>
      </w:r>
      <w:r w:rsidRPr="00DE56B4">
        <w:rPr>
          <w:rStyle w:val="normaltextrun"/>
          <w:rFonts w:ascii="Century Gothic" w:hAnsi="Century Gothic" w:cs="Arial"/>
          <w:b/>
          <w:bCs/>
          <w:color w:val="000000"/>
        </w:rPr>
        <w:t xml:space="preserve">ersonas pertenecientes a </w:t>
      </w:r>
      <w:r>
        <w:rPr>
          <w:rStyle w:val="normaltextrun"/>
          <w:rFonts w:ascii="Century Gothic" w:hAnsi="Century Gothic" w:cs="Arial"/>
          <w:b/>
          <w:bCs/>
          <w:color w:val="000000"/>
        </w:rPr>
        <w:t>p</w:t>
      </w:r>
      <w:r w:rsidRPr="00DE56B4">
        <w:rPr>
          <w:rStyle w:val="normaltextrun"/>
          <w:rFonts w:ascii="Century Gothic" w:hAnsi="Century Gothic" w:cs="Arial"/>
          <w:b/>
          <w:bCs/>
          <w:color w:val="000000"/>
        </w:rPr>
        <w:t xml:space="preserve">oblaciones </w:t>
      </w:r>
      <w:r>
        <w:rPr>
          <w:rStyle w:val="normaltextrun"/>
          <w:rFonts w:ascii="Century Gothic" w:hAnsi="Century Gothic" w:cs="Arial"/>
          <w:b/>
          <w:bCs/>
          <w:color w:val="000000"/>
        </w:rPr>
        <w:t>a</w:t>
      </w:r>
      <w:r w:rsidRPr="00DE56B4">
        <w:rPr>
          <w:rStyle w:val="normaltextrun"/>
          <w:rFonts w:ascii="Century Gothic" w:hAnsi="Century Gothic" w:cs="Arial"/>
          <w:b/>
          <w:bCs/>
          <w:color w:val="000000"/>
        </w:rPr>
        <w:t xml:space="preserve">frocolombianas, </w:t>
      </w:r>
      <w:r>
        <w:rPr>
          <w:rStyle w:val="normaltextrun"/>
          <w:rFonts w:ascii="Century Gothic" w:hAnsi="Century Gothic" w:cs="Arial"/>
          <w:b/>
          <w:bCs/>
          <w:color w:val="000000"/>
        </w:rPr>
        <w:t>r</w:t>
      </w:r>
      <w:r w:rsidRPr="00DE56B4">
        <w:rPr>
          <w:rStyle w:val="normaltextrun"/>
          <w:rFonts w:ascii="Century Gothic" w:hAnsi="Century Gothic" w:cs="Arial"/>
          <w:b/>
          <w:bCs/>
          <w:color w:val="000000"/>
        </w:rPr>
        <w:t xml:space="preserve">aizales y </w:t>
      </w:r>
      <w:r>
        <w:rPr>
          <w:rStyle w:val="normaltextrun"/>
          <w:rFonts w:ascii="Century Gothic" w:hAnsi="Century Gothic" w:cs="Arial"/>
          <w:b/>
          <w:bCs/>
          <w:color w:val="000000"/>
        </w:rPr>
        <w:t>p</w:t>
      </w:r>
      <w:r w:rsidRPr="00DE56B4">
        <w:rPr>
          <w:rStyle w:val="normaltextrun"/>
          <w:rFonts w:ascii="Century Gothic" w:hAnsi="Century Gothic" w:cs="Arial"/>
          <w:b/>
          <w:bCs/>
          <w:color w:val="000000"/>
        </w:rPr>
        <w:t>alenqueras</w:t>
      </w:r>
    </w:p>
    <w:p w14:paraId="1B6B1256" w14:textId="77777777" w:rsidR="00A844B9" w:rsidRPr="005D4648" w:rsidRDefault="00A844B9" w:rsidP="00E54240">
      <w:pPr>
        <w:spacing w:line="276" w:lineRule="auto"/>
        <w:jc w:val="both"/>
        <w:rPr>
          <w:rStyle w:val="normaltextrun"/>
          <w:rFonts w:ascii="Century Gothic" w:hAnsi="Century Gothic" w:cs="Arial"/>
          <w:b/>
          <w:bCs/>
          <w:color w:val="000000"/>
        </w:rPr>
      </w:pPr>
    </w:p>
    <w:p w14:paraId="73812A38" w14:textId="77777777" w:rsidR="00E54240" w:rsidRPr="005D4648" w:rsidRDefault="00E54240" w:rsidP="00E54240">
      <w:pPr>
        <w:spacing w:line="276" w:lineRule="auto"/>
        <w:jc w:val="both"/>
        <w:rPr>
          <w:rStyle w:val="normaltextrun"/>
          <w:rFonts w:ascii="Century Gothic" w:hAnsi="Century Gothic" w:cs="Arial"/>
          <w:color w:val="000000"/>
        </w:rPr>
      </w:pPr>
      <w:r w:rsidRPr="005D4648">
        <w:rPr>
          <w:rStyle w:val="normaltextrun"/>
          <w:rFonts w:ascii="Century Gothic" w:hAnsi="Century Gothic" w:cs="Arial"/>
          <w:color w:val="000000"/>
        </w:rPr>
        <w:t>La Constitución Política de 1991 reconoce distintos derechos en favor de las comunidades étnicas, tales como: i) proteger la diversidad étnica y cultural de la Nación</w:t>
      </w:r>
      <w:r w:rsidRPr="005D4648">
        <w:rPr>
          <w:rStyle w:val="Refdenotaalpie"/>
          <w:rFonts w:ascii="Century Gothic" w:hAnsi="Century Gothic" w:cs="Arial"/>
          <w:color w:val="000000"/>
        </w:rPr>
        <w:footnoteReference w:id="12"/>
      </w:r>
      <w:r w:rsidRPr="005D4648">
        <w:rPr>
          <w:rStyle w:val="normaltextrun"/>
          <w:rFonts w:ascii="Century Gothic" w:hAnsi="Century Gothic" w:cs="Arial"/>
          <w:color w:val="000000"/>
        </w:rPr>
        <w:t>, ii) las lenguas y sus dialectos son idiomas oficiales en el territorio colombiano</w:t>
      </w:r>
      <w:r w:rsidRPr="005D4648">
        <w:rPr>
          <w:rStyle w:val="Refdenotaalpie"/>
          <w:rFonts w:ascii="Century Gothic" w:hAnsi="Century Gothic" w:cs="Arial"/>
          <w:color w:val="000000"/>
        </w:rPr>
        <w:footnoteReference w:id="13"/>
      </w:r>
      <w:r w:rsidRPr="005D4648">
        <w:rPr>
          <w:rStyle w:val="normaltextrun"/>
          <w:rFonts w:ascii="Century Gothic" w:hAnsi="Century Gothic" w:cs="Arial"/>
          <w:color w:val="000000"/>
        </w:rPr>
        <w:t>, iii) las tierras comunales de grupos étnicos son inalienables, imprescriptibles e inembargables</w:t>
      </w:r>
      <w:r w:rsidRPr="005D4648">
        <w:rPr>
          <w:rStyle w:val="Refdenotaalpie"/>
          <w:rFonts w:ascii="Century Gothic" w:hAnsi="Century Gothic" w:cs="Arial"/>
          <w:color w:val="000000"/>
        </w:rPr>
        <w:footnoteReference w:id="14"/>
      </w:r>
      <w:r w:rsidRPr="005D4648">
        <w:rPr>
          <w:rStyle w:val="normaltextrun"/>
          <w:rFonts w:ascii="Century Gothic" w:hAnsi="Century Gothic" w:cs="Arial"/>
          <w:color w:val="000000"/>
        </w:rPr>
        <w:t>, iv) los integrantes de los grupos étnicos tienen derecho a una formación que respete y desarrolle su identidad cultural</w:t>
      </w:r>
      <w:r w:rsidRPr="005D4648">
        <w:rPr>
          <w:rStyle w:val="Refdenotaalpie"/>
          <w:rFonts w:ascii="Century Gothic" w:hAnsi="Century Gothic" w:cs="Arial"/>
          <w:color w:val="000000"/>
        </w:rPr>
        <w:footnoteReference w:id="15"/>
      </w:r>
      <w:r w:rsidRPr="005D4648">
        <w:rPr>
          <w:rStyle w:val="normaltextrun"/>
          <w:rFonts w:ascii="Century Gothic" w:hAnsi="Century Gothic" w:cs="Arial"/>
          <w:color w:val="000000"/>
        </w:rPr>
        <w:t>, entre otros. Sin embargo, esta norma constitucional no identifica quiénes pertenecen a estos grupos étnicos.</w:t>
      </w:r>
    </w:p>
    <w:p w14:paraId="3D3D8D5F"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t>En razón a lo anterior, distintas normas y la jurisprudencia de la Corte Constitucional ha reconocido e identificado quiénes pertenecen a estos grupos étnicos. La Ley 70 de 1993 y el Convenio 169 de la OIT determina que las comunidades negras se definen como: “</w:t>
      </w:r>
      <w:r w:rsidRPr="005D4648">
        <w:rPr>
          <w:rStyle w:val="normaltextrun"/>
          <w:rFonts w:ascii="Century Gothic" w:hAnsi="Century Gothic" w:cs="Arial"/>
          <w:i/>
          <w:iCs/>
          <w:color w:val="000000"/>
        </w:rPr>
        <w:t>el conjunto de familias de ascendencia afrocolombiana que poseen una cultura propia, comparten una historia y tienen sus propias tradiciones y costumbres dentro de la relación campo-poblado, […] revelan y conservan conciencia de identidad que las distinguen de otros grupos étnicos”</w:t>
      </w:r>
      <w:r w:rsidRPr="005D4648">
        <w:rPr>
          <w:rStyle w:val="Refdenotaalpie"/>
          <w:rFonts w:ascii="Century Gothic" w:hAnsi="Century Gothic" w:cs="Arial"/>
          <w:color w:val="000000"/>
        </w:rPr>
        <w:footnoteReference w:id="16"/>
      </w:r>
      <w:r w:rsidRPr="005D4648">
        <w:rPr>
          <w:rStyle w:val="normaltextrun"/>
          <w:rFonts w:ascii="Century Gothic" w:hAnsi="Century Gothic" w:cs="Arial"/>
          <w:color w:val="000000"/>
        </w:rPr>
        <w:t xml:space="preserve">. Esto significa que la legislación interna identifica a las comunidades afrodescendientes pertenecientes a las comunidades étnicas y, por tanto, son sujetos de protección constitucional. </w:t>
      </w:r>
    </w:p>
    <w:p w14:paraId="7D65460E"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lastRenderedPageBreak/>
        <w:t>Por otro lado, la Corte Constitucional, en la Sentencia T-704 de 2016, reconoce que la población indígena pertenece a los grupos étnicos</w:t>
      </w:r>
      <w:r w:rsidRPr="005D4648">
        <w:rPr>
          <w:rStyle w:val="Refdenotaalpie"/>
          <w:rFonts w:ascii="Century Gothic" w:hAnsi="Century Gothic" w:cs="Arial"/>
          <w:color w:val="000000"/>
        </w:rPr>
        <w:footnoteReference w:id="17"/>
      </w:r>
      <w:r w:rsidRPr="005D4648">
        <w:rPr>
          <w:rStyle w:val="normaltextrun"/>
          <w:rFonts w:ascii="Century Gothic" w:hAnsi="Century Gothic" w:cs="Arial"/>
          <w:color w:val="000000"/>
        </w:rPr>
        <w:t xml:space="preserve">. Así las cosas, por ejemplo, el Ministerio de Salud define a estas comunidades como: </w:t>
      </w:r>
      <w:r w:rsidRPr="005D4648">
        <w:rPr>
          <w:rStyle w:val="normaltextrun"/>
          <w:rFonts w:ascii="Century Gothic" w:hAnsi="Century Gothic" w:cs="Arial"/>
          <w:i/>
          <w:iCs/>
          <w:color w:val="000000"/>
        </w:rPr>
        <w:t>“conjunto de familias de ascendencia amerindia que comparten sentimientos de identificación con su pasado aborigen, manteniendo rasgos y valores propios de su cultura tradicional, así como formas de organización y control social propios que los distinguen de otros grupos étnicos”</w:t>
      </w:r>
      <w:r w:rsidRPr="005D4648">
        <w:rPr>
          <w:rStyle w:val="Refdenotaalpie"/>
          <w:rFonts w:ascii="Century Gothic" w:hAnsi="Century Gothic" w:cs="Arial"/>
          <w:color w:val="000000"/>
        </w:rPr>
        <w:footnoteReference w:id="18"/>
      </w:r>
      <w:r w:rsidRPr="005D4648">
        <w:rPr>
          <w:rStyle w:val="normaltextrun"/>
          <w:rFonts w:ascii="Century Gothic" w:hAnsi="Century Gothic" w:cs="Arial"/>
          <w:i/>
          <w:iCs/>
          <w:color w:val="000000"/>
        </w:rPr>
        <w:t xml:space="preserve">.  </w:t>
      </w:r>
      <w:r w:rsidRPr="005D4648">
        <w:rPr>
          <w:rStyle w:val="normaltextrun"/>
          <w:rFonts w:ascii="Century Gothic" w:hAnsi="Century Gothic" w:cs="Arial"/>
          <w:color w:val="000000"/>
        </w:rPr>
        <w:t>Finalmente, la Corte Constitucional, en la sentencia C–530 de 1993, reconoce que: “la cultura de las personas raizales de las Islas es diferente de la cultura del resto de los colombianos, particularmente en materia de lengua, religión y costumbres, que le confieren al raizal una cierta identidad”. En este sentido, a partir de esta sentencia se protege la identidad cultural de la comunidad raizal.</w:t>
      </w:r>
    </w:p>
    <w:p w14:paraId="313D9168"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t>Ahora bien, en cuanto a la capacidad contractual de las organizaciones de base, es importante resaltar que, el Congreso de la República expidió la Ley 2160 de 2021, por la cual se modifica la Ley 80 de 1993 y la Ley 1150 de 2007. Esta norma tuvo como propósito principal otorgar capacidad contractual a los consejos comunitarios y a las organizaciones de base de personas pertenecientes a poblaciones afrocolombianas, raizales y palenqueras para celebrar contratos con entidades estatales y, además, autorizar a las entidades del Estado la suscripción de negocios jurídicos de forma directa con las mismas</w:t>
      </w:r>
      <w:r w:rsidRPr="005D4648">
        <w:rPr>
          <w:rStyle w:val="Refdenotaalpie"/>
          <w:rFonts w:ascii="Century Gothic" w:hAnsi="Century Gothic" w:cs="Arial"/>
          <w:color w:val="000000"/>
        </w:rPr>
        <w:footnoteReference w:id="19"/>
      </w:r>
      <w:r w:rsidRPr="005D4648">
        <w:rPr>
          <w:rStyle w:val="normaltextrun"/>
          <w:rFonts w:ascii="Century Gothic" w:hAnsi="Century Gothic" w:cs="Arial"/>
          <w:color w:val="000000"/>
        </w:rPr>
        <w:t>.</w:t>
      </w:r>
    </w:p>
    <w:p w14:paraId="2200023F"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lastRenderedPageBreak/>
        <w:t>De esta manera, en el artículo 1 de la Ley 2160 de 2021, por la cual se modificó el artículo 6 de la Ley 80 de 1993, establece que tienen capacidad para celebrar contratos con las entidades estatales: i) los cabildos indígenas, ii) las asociaciones de Autoridades Tradicionales Indígenas y, iii) los consejos comunitarios de las comunidades negras regulados por la Ley 70 de 1993</w:t>
      </w:r>
      <w:r w:rsidRPr="005D4648">
        <w:rPr>
          <w:rStyle w:val="Refdenotaalpie"/>
          <w:rFonts w:ascii="Century Gothic" w:hAnsi="Century Gothic" w:cs="Arial"/>
          <w:color w:val="000000"/>
        </w:rPr>
        <w:footnoteReference w:id="20"/>
      </w:r>
      <w:r w:rsidRPr="005D4648">
        <w:rPr>
          <w:rStyle w:val="normaltextrun"/>
          <w:rFonts w:ascii="Century Gothic" w:hAnsi="Century Gothic" w:cs="Arial"/>
          <w:color w:val="000000"/>
        </w:rPr>
        <w:t>. Por su parte, esta norma también faculta a las organizaciones de base de comunidades negras, afrocolombianas, raizales y palenqueras y las demás formas y expresiones organizativos que cuenten con diez (10) años o más de haber sido incorporados por el Ministerio de Interior en el correspondiente Registro Público Único Nacional y que hayan cumplido con el deber de actualización</w:t>
      </w:r>
      <w:r w:rsidRPr="005D4648">
        <w:rPr>
          <w:rStyle w:val="Refdenotaalpie"/>
          <w:rFonts w:ascii="Century Gothic" w:hAnsi="Century Gothic" w:cs="Arial"/>
          <w:color w:val="000000"/>
        </w:rPr>
        <w:footnoteReference w:id="21"/>
      </w:r>
      <w:r w:rsidRPr="005D4648">
        <w:rPr>
          <w:rStyle w:val="normaltextrun"/>
          <w:rFonts w:ascii="Century Gothic" w:hAnsi="Century Gothic" w:cs="Arial"/>
          <w:color w:val="000000"/>
        </w:rPr>
        <w:t xml:space="preserve"> .</w:t>
      </w:r>
    </w:p>
    <w:p w14:paraId="7562FEF4"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t xml:space="preserve">En este sentido, a partir de la expedición de la Ley 2160 de 2021 se amplía la facultad de celebrar contratos con entidades estatales a determinadas comunidades indígenas y a las comunidades afrodescendientes, particularmente, a los cabildos indígenas, las asociaciones de autoridades tradicionales indígenas y los consejos comunitarios de comunidades negras. De igual forma, permite a las organizaciones de base de comunidades negras, afrocolombianas, raizales y palenqueras y las demás formas y expresiones organizativas que cuenten con diez (10) años o más de haber sido incorporadas en el Registro Público Único Nacional del Ministerio del Interior para celebrar contratos con entidades estatales.   </w:t>
      </w:r>
    </w:p>
    <w:p w14:paraId="71DBCF33"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t xml:space="preserve">Ahora bien, el artículo 3 de la Ley 2160 de 2021, mediante el cual se modificó el artículo 7 de la Ley 80 de 1993, define el alcance de cada una </w:t>
      </w:r>
      <w:r w:rsidRPr="005D4648">
        <w:rPr>
          <w:rStyle w:val="normaltextrun"/>
          <w:rFonts w:ascii="Century Gothic" w:hAnsi="Century Gothic" w:cs="Arial"/>
          <w:color w:val="000000"/>
        </w:rPr>
        <w:lastRenderedPageBreak/>
        <w:t>de las entidades que a partir de esta norma tienen capacidad para celebrar contratos con las entidades estatales: los cabildos indígenas, los consejos comunitarios de las comunidades negras, las formas o expresiones organizativas, las organizaciones de base de comunidades negras, afrocolombianas, raizales y palenqueras, organizaciones de segundo nivel, consorcio, unión temporal y las asociaciones de autoridades tradicionales indígenas</w:t>
      </w:r>
      <w:r w:rsidRPr="005D4648">
        <w:rPr>
          <w:rStyle w:val="Refdenotaalpie"/>
          <w:rFonts w:ascii="Century Gothic" w:hAnsi="Century Gothic" w:cs="Arial"/>
          <w:color w:val="000000"/>
        </w:rPr>
        <w:footnoteReference w:id="22"/>
      </w:r>
      <w:r w:rsidRPr="005D4648">
        <w:rPr>
          <w:rStyle w:val="normaltextrun"/>
          <w:rFonts w:ascii="Century Gothic" w:hAnsi="Century Gothic" w:cs="Arial"/>
          <w:color w:val="000000"/>
        </w:rPr>
        <w:t xml:space="preserve">. </w:t>
      </w:r>
    </w:p>
    <w:p w14:paraId="18A8BB69" w14:textId="77777777" w:rsidR="00E54240" w:rsidRPr="005D4648" w:rsidRDefault="00E54240" w:rsidP="00E54240">
      <w:pPr>
        <w:spacing w:before="120" w:line="276" w:lineRule="auto"/>
        <w:ind w:firstLine="720"/>
        <w:jc w:val="both"/>
        <w:rPr>
          <w:rStyle w:val="normaltextrun"/>
          <w:rFonts w:ascii="Century Gothic" w:hAnsi="Century Gothic" w:cs="Arial"/>
          <w:color w:val="000000"/>
        </w:rPr>
      </w:pPr>
      <w:r w:rsidRPr="005D4648">
        <w:rPr>
          <w:rStyle w:val="normaltextrun"/>
          <w:rFonts w:ascii="Century Gothic" w:hAnsi="Century Gothic" w:cs="Arial"/>
          <w:color w:val="000000"/>
        </w:rPr>
        <w:t xml:space="preserve">Conforme con lo anterior, se identifica que, a partir de la Ley 2160 de 2021 los cabildos indígenas, las asociaciones de Autoridades Tradicionales Indígenas, los consejos comunitarios de las comunidades negras, las organizaciones de base de comunidades negras, afrocolombianas, raizales </w:t>
      </w:r>
      <w:r w:rsidRPr="005D4648">
        <w:rPr>
          <w:rStyle w:val="normaltextrun"/>
          <w:rFonts w:ascii="Century Gothic" w:hAnsi="Century Gothic" w:cs="Arial"/>
          <w:color w:val="000000"/>
        </w:rPr>
        <w:lastRenderedPageBreak/>
        <w:t xml:space="preserve">y palenqueras y las demás formas y expresiones organizativas que cuenten con diez (10) años o más de haber sido incorporados en el Registro Público Único Nacional tienen capacidad para celebrar contratos con las entidades estatales. </w:t>
      </w:r>
    </w:p>
    <w:p w14:paraId="1C2A6391"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color w:val="000000"/>
        </w:rPr>
        <w:t xml:space="preserve">El literal n) del artículo 6 de la Ley 80 de 1993, modificado por la Ley 2160 de 2021, establece que los contratos suscritos entre las entidades públicas y las organizaciones de base de personas pertenecientes a poblaciones afrocolombianas, raizales y palenqueras o con las demás formas y expresiones organizativas, con 10 o más años de haber sido incorporados en el correspondiente Registro Público Único Nacional  y además, que hayan cumplido con el deber de actualización de información en el mismo registro podrán celebrar contratos bajo la modalidad de contratación directa, cuando el objeto del mismo se relacione con: i) el fortalecimiento de sus organizaciones, ii) la identidad étnica y cultural, y iii) la </w:t>
      </w:r>
      <w:r w:rsidRPr="005D4648">
        <w:rPr>
          <w:rStyle w:val="normaltextrun"/>
          <w:rFonts w:ascii="Century Gothic" w:hAnsi="Century Gothic" w:cs="Arial"/>
        </w:rPr>
        <w:t xml:space="preserve">garantía de los derechos de las poblaciones de las mismas organizaciones. </w:t>
      </w:r>
    </w:p>
    <w:p w14:paraId="213A82E6"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rPr>
        <w:t xml:space="preserve">Por su parte, el artículo 7 de la Ley 80 de 1993, modificado por la Ley 2160 de 2021, estableció la definición de las organizaciones de base de comunidades negras, afrocolombianas, raizales y palenqueras, en los siguientes términos: </w:t>
      </w:r>
      <w:r w:rsidRPr="005D4648">
        <w:rPr>
          <w:rStyle w:val="normaltextrun"/>
          <w:rFonts w:ascii="Century Gothic" w:hAnsi="Century Gothic" w:cs="Arial"/>
          <w:i/>
          <w:iCs/>
        </w:rPr>
        <w:t>“</w:t>
      </w:r>
      <w:r w:rsidRPr="005D4648">
        <w:rPr>
          <w:rFonts w:ascii="Century Gothic" w:hAnsi="Century Gothic" w:cs="Arial"/>
          <w:i/>
          <w:iCs/>
        </w:rPr>
        <w:t>Son asociaciones comunitarias integradas por personas de las Comunidades Negras, Afrocolombianas, Raizales o Palenqueras, que reivindican y promueven los derechos étnicos y humanos de estas comunidades”.</w:t>
      </w:r>
      <w:r w:rsidRPr="005D4648">
        <w:rPr>
          <w:rFonts w:ascii="Century Gothic" w:hAnsi="Century Gothic" w:cs="Arial"/>
        </w:rPr>
        <w:t xml:space="preserve"> </w:t>
      </w:r>
    </w:p>
    <w:p w14:paraId="5CBC877F"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rPr>
        <w:t xml:space="preserve">En este orden, el literal n) del numeral 4 del artículo 2 de la Ley 1150 de 2007 otorgó competencia para contratar, bajo la modalidad de contratación directa, a las organizaciones de base de comunidades negras, afrocolombianas, raizales y palenqueras entendiendo por esta como las asociaciones comunitarias de las poblaciones referidas, que reivindican y promueven sus derechos étnicos y humanos, que en primer lugar, tengan 10 años o más de estar inscritas en el Registro Público Único Nacional  del Ministerio de Interior,  es decir, la norma establece un tope mínimo de 10 años de antigüedad para estas organizaciones y además, señala que las </w:t>
      </w:r>
      <w:r w:rsidRPr="005D4648">
        <w:rPr>
          <w:rStyle w:val="normaltextrun"/>
          <w:rFonts w:ascii="Century Gothic" w:hAnsi="Century Gothic" w:cs="Arial"/>
        </w:rPr>
        <w:lastRenderedPageBreak/>
        <w:t xml:space="preserve">organizaciones deben haber cumplido con el deber de actualización de información en el registro referido, cuando se trate de contratos cuyos objetos se relacionen con los tres supuestos indicados precedentemente. </w:t>
      </w:r>
    </w:p>
    <w:p w14:paraId="47A6FA17"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rPr>
        <w:t xml:space="preserve">En respuesta a la consulta planteada en su petición, esta Agencia considera que,  como la literalidad de la causal n) establece que “que cuenten con diez (10) años o más de haber sido incorporados por el Ministerio del Interior en el correspondiente Registro Público Único Nacional y que hayan cumplido con el deber de actualización de información en el mismo registro”, como se observa el texto  utilizó la conjunción copulativa “y” para establecer las dos condiciones que deben cumplir las organizaciones de base referidas, la función que cumple esta conjunción en el texto es para unir aditivamente los dos requisitos, teniendo entonces que, estos requisitos son concurrentes y por tanto, las organizaciones deben cumplir ambos requisitos para adecuase en la causal aludida. </w:t>
      </w:r>
    </w:p>
    <w:p w14:paraId="6BD50DDC" w14:textId="77777777" w:rsidR="00E54240" w:rsidRPr="0085789D" w:rsidRDefault="00E54240" w:rsidP="00E54240">
      <w:pPr>
        <w:spacing w:before="120" w:line="276" w:lineRule="auto"/>
        <w:ind w:firstLine="720"/>
        <w:jc w:val="both"/>
        <w:rPr>
          <w:rStyle w:val="normaltextrun"/>
          <w:rFonts w:ascii="Arial" w:hAnsi="Arial" w:cs="Arial"/>
          <w:color w:val="000000"/>
        </w:rPr>
      </w:pPr>
      <w:r w:rsidRPr="005D4648">
        <w:rPr>
          <w:rStyle w:val="normaltextrun"/>
          <w:rFonts w:ascii="Century Gothic" w:hAnsi="Century Gothic" w:cs="Arial"/>
        </w:rPr>
        <w:t>Finalmente, las organizaciones de base de</w:t>
      </w:r>
      <w:r w:rsidRPr="005D4648">
        <w:rPr>
          <w:rStyle w:val="normaltextrun"/>
          <w:rFonts w:ascii="Century Gothic" w:hAnsi="Century Gothic" w:cs="Arial"/>
          <w:color w:val="000000"/>
        </w:rPr>
        <w:t xml:space="preserve"> personas pertenecientes a poblaciones afrocolombianas, raizales y palenqueras o con las demás formas y expresiones organizativas que pretendan conformar estructuras plurales como los consorcios deberán cumplir con ambos requisitos, pues el texto normativo analizado no ofrece la posibilidad de suscribir los contratos señalados en la causal n) citada sin que las organizaciones acrediten el cumplimiento concurrente de ambos requisitos.</w:t>
      </w:r>
    </w:p>
    <w:p w14:paraId="67819207" w14:textId="77777777" w:rsidR="00E54240" w:rsidRPr="0085789D" w:rsidRDefault="00E54240" w:rsidP="00E54240">
      <w:pPr>
        <w:tabs>
          <w:tab w:val="left" w:pos="0"/>
        </w:tabs>
        <w:jc w:val="both"/>
        <w:rPr>
          <w:rFonts w:ascii="Arial" w:eastAsia="Calibri" w:hAnsi="Arial" w:cs="Arial"/>
          <w:b/>
          <w:color w:val="000000" w:themeColor="text1"/>
          <w:lang w:val="es-ES_tradnl"/>
        </w:rPr>
      </w:pPr>
      <w:r w:rsidRPr="0085789D">
        <w:rPr>
          <w:rFonts w:ascii="Arial" w:eastAsia="Calibri" w:hAnsi="Arial" w:cs="Arial"/>
          <w:b/>
          <w:color w:val="000000" w:themeColor="text1"/>
          <w:lang w:val="es-ES_tradnl"/>
        </w:rPr>
        <w:t>3. Respuesta</w:t>
      </w:r>
    </w:p>
    <w:p w14:paraId="70CBFFF7" w14:textId="77777777" w:rsidR="00E54240" w:rsidRPr="0085789D" w:rsidRDefault="00E54240" w:rsidP="00E54240">
      <w:pPr>
        <w:pStyle w:val="Prrafodelista"/>
        <w:ind w:right="709"/>
        <w:jc w:val="both"/>
        <w:rPr>
          <w:rFonts w:ascii="Arial" w:hAnsi="Arial" w:cs="Arial"/>
          <w:color w:val="000000" w:themeColor="text1"/>
          <w:sz w:val="21"/>
          <w:szCs w:val="21"/>
          <w:lang w:val="es-ES_tradnl"/>
        </w:rPr>
      </w:pPr>
    </w:p>
    <w:p w14:paraId="5D27965F" w14:textId="77777777" w:rsidR="00E54240" w:rsidRPr="005D4648" w:rsidRDefault="00E54240" w:rsidP="00E54240">
      <w:pPr>
        <w:pStyle w:val="Prrafodelista"/>
        <w:ind w:left="709" w:right="709"/>
        <w:jc w:val="both"/>
        <w:rPr>
          <w:rFonts w:ascii="Century Gothic" w:hAnsi="Century Gothic" w:cs="Arial"/>
          <w:color w:val="000000" w:themeColor="text1"/>
          <w:sz w:val="20"/>
          <w:szCs w:val="20"/>
        </w:rPr>
      </w:pPr>
      <w:r w:rsidRPr="005D4648">
        <w:rPr>
          <w:rFonts w:ascii="Century Gothic" w:hAnsi="Century Gothic" w:cs="Arial"/>
          <w:color w:val="000000" w:themeColor="text1"/>
          <w:sz w:val="20"/>
          <w:szCs w:val="20"/>
        </w:rPr>
        <w:t xml:space="preserve">“En atención a la modalidad de contratación directa contenida en el artículo 1 de la Ley 2160 de 2021, me permito preguntar: para la constitución de consorcios, uniones temporales es requisito indispensable que cada organización de base que la integra, individualmente considerada, tenga 10 años registrada ante el Ministerio de Interior y debidamente actualizada? o es posible que tenga la antigüedad y otra la actualización?”. </w:t>
      </w:r>
    </w:p>
    <w:p w14:paraId="52C0AD3A" w14:textId="77777777" w:rsidR="00E54240" w:rsidRPr="005D4648" w:rsidRDefault="00E54240" w:rsidP="00E54240">
      <w:pPr>
        <w:spacing w:before="120" w:line="276" w:lineRule="auto"/>
        <w:jc w:val="both"/>
        <w:rPr>
          <w:rStyle w:val="normaltextrun"/>
          <w:rFonts w:ascii="Century Gothic" w:hAnsi="Century Gothic" w:cs="Arial"/>
          <w:lang w:val="es-CO"/>
        </w:rPr>
      </w:pPr>
      <w:r w:rsidRPr="005D4648">
        <w:rPr>
          <w:rStyle w:val="normaltextrun"/>
          <w:rFonts w:ascii="Century Gothic" w:hAnsi="Century Gothic" w:cs="Arial"/>
        </w:rPr>
        <w:t xml:space="preserve">De acuerdo con lo explicado, el literal n) del numeral 4 del artículo 2 de la Ley 1150 de 2007 otorgó competencia para contratar, bajo la modalidad de contratación directa, a las organizaciones de base de comunidades negras, afrocolombianas, raizales y palenqueras entendiendo por esta como las asociaciones comunitarias de las poblaciones referidas, que reivindican y promueven sus derechos étnicos y humanos, que en primer </w:t>
      </w:r>
      <w:r w:rsidRPr="005D4648">
        <w:rPr>
          <w:rStyle w:val="normaltextrun"/>
          <w:rFonts w:ascii="Century Gothic" w:hAnsi="Century Gothic" w:cs="Arial"/>
        </w:rPr>
        <w:lastRenderedPageBreak/>
        <w:t xml:space="preserve">lugar, tengan 10 años o más de estar inscritas en el Registro Público Único Nacional  del Ministerio de Interior,  es decir, la norma establece un tope mínimo de 10 años de antigüedad para estas organizaciones y además, señala que las organizaciones deben haber cumplido con el deber de actualización de información en el registro referido, cuando se trate de contratos cuyos objetos se relacionen con los tres supuestos indicados precedentemente. </w:t>
      </w:r>
    </w:p>
    <w:p w14:paraId="44C2676E"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rPr>
        <w:t xml:space="preserve">En respuesta a la consulta planteada en su petición, esta Agencia considera que,  como la literalidad de la causal n) establece que “que cuenten con diez (10) años o más de haber sido incorporados por el Ministerio del Interior en el correspondiente Registro Público Único Nacional y que hayan cumplido con el deber de actualización de información en el mismo registro”, como se observa el texto  utilizó la conjunción copulativa “y” para establecer las dos condiciones que deben cumplir las organizaciones de base referidas, la función que cumple esta conjunción en el texto es para unir aditivamente los dos requisitos, teniendo entonces que, estos requisitos son concurrentes y por tanto, las organizaciones deben cumplir ambos requisitos para adecuase en la causal aludida. </w:t>
      </w:r>
    </w:p>
    <w:p w14:paraId="7106CD3C" w14:textId="77777777" w:rsidR="00E54240" w:rsidRPr="005D4648" w:rsidRDefault="00E54240" w:rsidP="00E54240">
      <w:pPr>
        <w:spacing w:before="120" w:line="276" w:lineRule="auto"/>
        <w:ind w:firstLine="720"/>
        <w:jc w:val="both"/>
        <w:rPr>
          <w:rStyle w:val="normaltextrun"/>
          <w:rFonts w:ascii="Century Gothic" w:hAnsi="Century Gothic" w:cs="Arial"/>
        </w:rPr>
      </w:pPr>
      <w:r w:rsidRPr="005D4648">
        <w:rPr>
          <w:rStyle w:val="normaltextrun"/>
          <w:rFonts w:ascii="Century Gothic" w:hAnsi="Century Gothic" w:cs="Arial"/>
        </w:rPr>
        <w:t>Finalmente, las organizaciones de base de</w:t>
      </w:r>
      <w:r w:rsidRPr="005D4648">
        <w:rPr>
          <w:rStyle w:val="normaltextrun"/>
          <w:rFonts w:ascii="Century Gothic" w:hAnsi="Century Gothic" w:cs="Arial"/>
          <w:color w:val="000000"/>
        </w:rPr>
        <w:t xml:space="preserve"> personas pertenecientes a poblaciones afrocolombianas, raizales y palenqueras o con las demás formas y expresiones organizativas que pretendan conformar estructuras plurales como los consorcios deberán cumplir con ambos requisitos, pues el texto normativo analizado no ofrece la posibilidad de suscribir los contratos señalados en la causal n) citada sin que las organizaciones acrediten el cumplimiento concurrente de ambos requisitos. En ese sentido, para que consorcio o unión temporal pueda celebrar un contratado acudiendo a dicha causal de contratación directa, todos sus integrantes deberán cumplir con los requisitos establecidos en la causal.</w:t>
      </w:r>
    </w:p>
    <w:p w14:paraId="2CFC74AE" w14:textId="77777777" w:rsidR="00E54240" w:rsidRPr="005D4648" w:rsidRDefault="00E54240" w:rsidP="00E54240">
      <w:pPr>
        <w:spacing w:line="276" w:lineRule="auto"/>
        <w:jc w:val="both"/>
        <w:rPr>
          <w:rFonts w:ascii="Century Gothic" w:eastAsia="Arial" w:hAnsi="Century Gothic" w:cs="Arial"/>
          <w:lang w:val="es-ES" w:eastAsia="es-ES" w:bidi="es-ES"/>
        </w:rPr>
      </w:pPr>
      <w:r w:rsidRPr="005D4648">
        <w:rPr>
          <w:rFonts w:ascii="Century Gothic" w:eastAsia="Calibri" w:hAnsi="Century Gothic" w:cs="Arial"/>
        </w:rPr>
        <w:t>Este concepto tiene el alcance previsto en el artículo 28 del Código de Procedimiento Administrativo y de lo Contencioso Administrativo.</w:t>
      </w:r>
    </w:p>
    <w:p w14:paraId="6C14F0AE" w14:textId="77777777" w:rsidR="00E54240" w:rsidRPr="005D4648" w:rsidRDefault="00E54240" w:rsidP="00E54240">
      <w:pPr>
        <w:widowControl w:val="0"/>
        <w:autoSpaceDE w:val="0"/>
        <w:autoSpaceDN w:val="0"/>
        <w:spacing w:line="276" w:lineRule="auto"/>
        <w:rPr>
          <w:rFonts w:ascii="Century Gothic" w:eastAsia="Arial" w:hAnsi="Century Gothic" w:cs="Arial"/>
          <w:lang w:val="es-ES" w:eastAsia="es-ES" w:bidi="es-ES"/>
        </w:rPr>
      </w:pPr>
    </w:p>
    <w:p w14:paraId="7A622943" w14:textId="77777777" w:rsidR="00E54240" w:rsidRPr="005D4648" w:rsidRDefault="00E54240" w:rsidP="00E54240">
      <w:pPr>
        <w:widowControl w:val="0"/>
        <w:autoSpaceDE w:val="0"/>
        <w:autoSpaceDN w:val="0"/>
        <w:spacing w:line="276" w:lineRule="auto"/>
        <w:jc w:val="both"/>
        <w:rPr>
          <w:rFonts w:ascii="Century Gothic" w:eastAsia="Arial" w:hAnsi="Century Gothic" w:cs="Arial"/>
          <w:lang w:val="es-ES" w:eastAsia="es-CO" w:bidi="es-ES"/>
        </w:rPr>
      </w:pPr>
      <w:bookmarkStart w:id="9" w:name="_Hlk50370367"/>
      <w:r w:rsidRPr="005D4648">
        <w:rPr>
          <w:rFonts w:ascii="Century Gothic" w:eastAsia="Arial" w:hAnsi="Century Gothic" w:cs="Arial"/>
          <w:lang w:val="es-ES" w:eastAsia="es-CO" w:bidi="es-ES"/>
        </w:rPr>
        <w:t>Atentamente,</w:t>
      </w:r>
      <w:bookmarkEnd w:id="9"/>
    </w:p>
    <w:p w14:paraId="22D5D877" w14:textId="77777777" w:rsidR="00E54240" w:rsidRPr="005D4648" w:rsidRDefault="00E54240" w:rsidP="00E54240">
      <w:pPr>
        <w:widowControl w:val="0"/>
        <w:autoSpaceDE w:val="0"/>
        <w:autoSpaceDN w:val="0"/>
        <w:spacing w:after="18"/>
        <w:jc w:val="center"/>
        <w:rPr>
          <w:rFonts w:ascii="Century Gothic" w:eastAsia="Arial" w:hAnsi="Century Gothic" w:cs="Arial"/>
          <w:lang w:val="es-ES" w:eastAsia="es-CO" w:bidi="es-ES"/>
        </w:rPr>
      </w:pPr>
    </w:p>
    <w:p w14:paraId="00DE2114" w14:textId="4B91A471" w:rsidR="00E54240" w:rsidRPr="005D4648" w:rsidRDefault="009C6EA8" w:rsidP="00E54240">
      <w:pPr>
        <w:widowControl w:val="0"/>
        <w:autoSpaceDE w:val="0"/>
        <w:autoSpaceDN w:val="0"/>
        <w:spacing w:after="18"/>
        <w:jc w:val="center"/>
        <w:rPr>
          <w:rFonts w:ascii="Century Gothic" w:eastAsia="Arial" w:hAnsi="Century Gothic" w:cs="Arial"/>
          <w:lang w:val="es-ES" w:eastAsia="es-CO" w:bidi="es-ES"/>
        </w:rPr>
      </w:pPr>
      <w:r>
        <w:rPr>
          <w:rFonts w:ascii="Century Gothic" w:eastAsia="Arial" w:hAnsi="Century Gothic" w:cs="Arial"/>
          <w:noProof/>
          <w:lang w:val="en-US"/>
        </w:rPr>
        <w:lastRenderedPageBreak/>
        <w:drawing>
          <wp:inline distT="0" distB="0" distL="0" distR="0" wp14:anchorId="2D5E5686" wp14:editId="64B17911">
            <wp:extent cx="3153215" cy="1209844"/>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dra nohelia.png"/>
                    <pic:cNvPicPr/>
                  </pic:nvPicPr>
                  <pic:blipFill>
                    <a:blip r:embed="rId9">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64A7B98E" w14:textId="77777777" w:rsidR="00E54240" w:rsidRPr="005D4648" w:rsidRDefault="00E54240" w:rsidP="00E54240">
      <w:pPr>
        <w:widowControl w:val="0"/>
        <w:autoSpaceDE w:val="0"/>
        <w:autoSpaceDN w:val="0"/>
        <w:spacing w:after="18"/>
        <w:jc w:val="center"/>
        <w:rPr>
          <w:rFonts w:ascii="Century Gothic" w:eastAsia="Arial" w:hAnsi="Century Gothic" w:cs="Arial"/>
          <w:lang w:val="es-ES" w:eastAsia="es-CO"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E54240" w:rsidRPr="0077093D" w14:paraId="3813B96D" w14:textId="77777777" w:rsidTr="00B1427E">
        <w:trPr>
          <w:trHeight w:val="286"/>
        </w:trPr>
        <w:tc>
          <w:tcPr>
            <w:tcW w:w="817" w:type="dxa"/>
            <w:vAlign w:val="center"/>
            <w:hideMark/>
          </w:tcPr>
          <w:p w14:paraId="11866CC2" w14:textId="77777777" w:rsidR="00E54240" w:rsidRPr="005D4648" w:rsidRDefault="00E54240" w:rsidP="00B1427E">
            <w:pPr>
              <w:rPr>
                <w:rFonts w:ascii="Century Gothic" w:eastAsia="Arial" w:hAnsi="Century Gothic" w:cs="Arial"/>
                <w:sz w:val="14"/>
                <w:szCs w:val="14"/>
                <w:lang w:val="es-ES" w:eastAsia="es-ES" w:bidi="es-ES"/>
              </w:rPr>
            </w:pPr>
            <w:bookmarkStart w:id="10" w:name="_Hlk70523608"/>
            <w:r w:rsidRPr="005D4648">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themeColor="text1" w:themeTint="80"/>
              <w:right w:val="nil"/>
            </w:tcBorders>
            <w:vAlign w:val="center"/>
            <w:hideMark/>
          </w:tcPr>
          <w:p w14:paraId="6D070A31"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eastAsia="es-ES" w:bidi="es-ES"/>
              </w:rPr>
              <w:t>Nina María Padrón Ballestas</w:t>
            </w:r>
          </w:p>
          <w:p w14:paraId="421EF116"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Contratista de la Subdirección de Gestión Contractual</w:t>
            </w:r>
          </w:p>
        </w:tc>
      </w:tr>
      <w:tr w:rsidR="00E54240" w:rsidRPr="0077093D" w14:paraId="1AD79CA4" w14:textId="77777777" w:rsidTr="00B1427E">
        <w:trPr>
          <w:trHeight w:val="299"/>
        </w:trPr>
        <w:tc>
          <w:tcPr>
            <w:tcW w:w="817" w:type="dxa"/>
            <w:vAlign w:val="center"/>
            <w:hideMark/>
          </w:tcPr>
          <w:p w14:paraId="67BD5BAB"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Revisó: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66729D7D"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Alejandro Raul Sarmiento Cantillo</w:t>
            </w:r>
          </w:p>
          <w:p w14:paraId="5610B39A" w14:textId="77777777" w:rsidR="00E54240"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Gestor T1-</w:t>
            </w:r>
            <w:r w:rsidRPr="567B74B5">
              <w:rPr>
                <w:rFonts w:ascii="Century Gothic" w:eastAsia="Arial" w:hAnsi="Century Gothic" w:cs="Arial"/>
                <w:sz w:val="14"/>
                <w:szCs w:val="14"/>
                <w:lang w:val="es-ES" w:eastAsia="es-ES" w:bidi="es-ES"/>
              </w:rPr>
              <w:t>15 de</w:t>
            </w:r>
            <w:r w:rsidRPr="005D4648">
              <w:rPr>
                <w:rFonts w:ascii="Century Gothic" w:eastAsia="Arial" w:hAnsi="Century Gothic" w:cs="Arial"/>
                <w:sz w:val="14"/>
                <w:szCs w:val="14"/>
                <w:lang w:val="es-ES" w:eastAsia="es-ES" w:bidi="es-ES"/>
              </w:rPr>
              <w:t xml:space="preserve"> la Subdirección de Gestión Contractual</w:t>
            </w:r>
          </w:p>
          <w:p w14:paraId="59C70A10" w14:textId="77777777" w:rsidR="00E54240" w:rsidRDefault="00E54240" w:rsidP="00B1427E">
            <w:pPr>
              <w:rPr>
                <w:rFonts w:ascii="Century Gothic" w:eastAsia="Arial" w:hAnsi="Century Gothic" w:cs="Arial"/>
                <w:sz w:val="14"/>
                <w:szCs w:val="14"/>
                <w:lang w:val="es-ES" w:eastAsia="es-ES" w:bidi="es-ES"/>
              </w:rPr>
            </w:pPr>
            <w:r w:rsidRPr="567B74B5">
              <w:rPr>
                <w:rFonts w:ascii="Century Gothic" w:eastAsia="Arial" w:hAnsi="Century Gothic" w:cs="Arial"/>
                <w:sz w:val="14"/>
                <w:szCs w:val="14"/>
                <w:lang w:val="es-ES" w:eastAsia="es-ES" w:bidi="es-ES"/>
              </w:rPr>
              <w:t>Gabriel Mendoza</w:t>
            </w:r>
          </w:p>
          <w:p w14:paraId="43D9EFF7" w14:textId="77777777" w:rsidR="00E54240" w:rsidRPr="005D4648" w:rsidRDefault="00E54240" w:rsidP="00B1427E">
            <w:pPr>
              <w:rPr>
                <w:rFonts w:ascii="Century Gothic" w:eastAsia="Arial" w:hAnsi="Century Gothic" w:cs="Arial"/>
                <w:sz w:val="14"/>
                <w:szCs w:val="14"/>
                <w:lang w:val="es-ES" w:eastAsia="es-ES" w:bidi="es-ES"/>
              </w:rPr>
            </w:pPr>
            <w:r w:rsidRPr="567B74B5">
              <w:rPr>
                <w:rFonts w:ascii="Century Gothic" w:eastAsia="Arial" w:hAnsi="Century Gothic" w:cs="Arial"/>
                <w:sz w:val="14"/>
                <w:szCs w:val="14"/>
                <w:lang w:val="es-ES" w:eastAsia="es-ES" w:bidi="es-ES"/>
              </w:rPr>
              <w:t>Contratista de la Subdirección de Gestión Contractual</w:t>
            </w:r>
            <w:r w:rsidRPr="005D4648">
              <w:rPr>
                <w:rFonts w:ascii="Century Gothic" w:eastAsia="Arial" w:hAnsi="Century Gothic" w:cs="Arial"/>
                <w:sz w:val="14"/>
                <w:szCs w:val="14"/>
                <w:lang w:val="es-ES" w:eastAsia="es-ES" w:bidi="es-ES"/>
              </w:rPr>
              <w:t xml:space="preserve"> </w:t>
            </w:r>
          </w:p>
        </w:tc>
      </w:tr>
      <w:tr w:rsidR="00E54240" w:rsidRPr="0077093D" w14:paraId="7A966BBD" w14:textId="77777777" w:rsidTr="00B1427E">
        <w:trPr>
          <w:trHeight w:val="272"/>
        </w:trPr>
        <w:tc>
          <w:tcPr>
            <w:tcW w:w="817" w:type="dxa"/>
            <w:vAlign w:val="center"/>
            <w:hideMark/>
          </w:tcPr>
          <w:p w14:paraId="5CA1051C"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Aprobó: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284DF298"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Nohelia del Carmen Zawady Palacio</w:t>
            </w:r>
          </w:p>
          <w:p w14:paraId="51606884" w14:textId="77777777" w:rsidR="00E54240" w:rsidRPr="005D4648" w:rsidRDefault="00E54240" w:rsidP="00B1427E">
            <w:pPr>
              <w:rPr>
                <w:rFonts w:ascii="Century Gothic" w:eastAsia="Arial" w:hAnsi="Century Gothic" w:cs="Arial"/>
                <w:sz w:val="14"/>
                <w:szCs w:val="14"/>
                <w:lang w:val="es-ES" w:eastAsia="es-ES" w:bidi="es-ES"/>
              </w:rPr>
            </w:pPr>
            <w:r w:rsidRPr="005D4648">
              <w:rPr>
                <w:rFonts w:ascii="Century Gothic" w:eastAsia="Arial" w:hAnsi="Century Gothic" w:cs="Arial"/>
                <w:sz w:val="14"/>
                <w:szCs w:val="14"/>
                <w:lang w:val="es-ES" w:eastAsia="es-ES" w:bidi="es-ES"/>
              </w:rPr>
              <w:t>Subdirector de Gestión Contractual ANCP – CCE</w:t>
            </w:r>
          </w:p>
        </w:tc>
      </w:tr>
      <w:bookmarkEnd w:id="10"/>
    </w:tbl>
    <w:p w14:paraId="77B01F0D" w14:textId="77777777" w:rsidR="00E54240" w:rsidRPr="005D4648" w:rsidRDefault="00E54240" w:rsidP="00E54240">
      <w:pPr>
        <w:widowControl w:val="0"/>
        <w:autoSpaceDE w:val="0"/>
        <w:autoSpaceDN w:val="0"/>
        <w:spacing w:after="18"/>
        <w:jc w:val="center"/>
        <w:rPr>
          <w:rFonts w:ascii="Century Gothic" w:eastAsia="Arial" w:hAnsi="Century Gothic" w:cs="Arial"/>
          <w:lang w:val="es-ES" w:eastAsia="es-CO" w:bidi="es-ES"/>
        </w:rPr>
      </w:pPr>
    </w:p>
    <w:p w14:paraId="3AA43D6B" w14:textId="77777777" w:rsidR="00E54240" w:rsidRPr="005D4648" w:rsidRDefault="00E54240" w:rsidP="00E54240">
      <w:pPr>
        <w:widowControl w:val="0"/>
        <w:autoSpaceDE w:val="0"/>
        <w:autoSpaceDN w:val="0"/>
        <w:rPr>
          <w:rFonts w:ascii="Century Gothic" w:eastAsia="Arial" w:hAnsi="Century Gothic" w:cs="Arial"/>
          <w:lang w:val="es-ES" w:eastAsia="es-ES" w:bidi="es-ES"/>
        </w:rPr>
      </w:pPr>
    </w:p>
    <w:p w14:paraId="49D509E9" w14:textId="77777777" w:rsidR="00E54240" w:rsidRPr="005D4648" w:rsidRDefault="00E54240" w:rsidP="00E54240">
      <w:pPr>
        <w:widowControl w:val="0"/>
        <w:autoSpaceDE w:val="0"/>
        <w:autoSpaceDN w:val="0"/>
        <w:rPr>
          <w:rFonts w:ascii="Century Gothic" w:eastAsia="Arial" w:hAnsi="Century Gothic" w:cs="Arial"/>
          <w:lang w:val="es-ES" w:eastAsia="es-ES" w:bidi="es-ES"/>
        </w:rPr>
      </w:pPr>
    </w:p>
    <w:p w14:paraId="0CEA19E5" w14:textId="77777777" w:rsidR="00E54240" w:rsidRPr="005D4648" w:rsidRDefault="00E54240" w:rsidP="00E54240">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p w14:paraId="62E00FB1" w14:textId="77777777" w:rsidR="00E804AA" w:rsidRPr="00E54240" w:rsidRDefault="00E804AA" w:rsidP="00E54240">
      <w:pPr>
        <w:contextualSpacing/>
        <w:jc w:val="both"/>
        <w:rPr>
          <w:rFonts w:ascii="Arial" w:hAnsi="Arial" w:cs="Arial"/>
          <w:color w:val="000000"/>
          <w:sz w:val="22"/>
          <w:lang w:val="es-ES_tradnl"/>
        </w:rPr>
      </w:pPr>
    </w:p>
    <w:sectPr w:rsidR="00E804AA" w:rsidRPr="00E54240" w:rsidSect="00D44F32">
      <w:headerReference w:type="default" r:id="rId10"/>
      <w:footerReference w:type="default" r:id="rId11"/>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4926D" w14:textId="77777777" w:rsidR="002F1082" w:rsidRDefault="002F1082" w:rsidP="00DD4F22">
      <w:r>
        <w:separator/>
      </w:r>
    </w:p>
  </w:endnote>
  <w:endnote w:type="continuationSeparator" w:id="0">
    <w:p w14:paraId="1E9322C3" w14:textId="77777777" w:rsidR="002F1082" w:rsidRDefault="002F1082" w:rsidP="00DD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41C1" w14:textId="77777777" w:rsidR="000B25A6" w:rsidRDefault="000B25A6">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0B25A6" w:rsidRPr="00080DA3" w14:paraId="43CC8C72" w14:textId="77777777" w:rsidTr="00D44F32">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F78577D" w14:textId="77777777" w:rsidR="000B25A6" w:rsidRPr="003F3941" w:rsidRDefault="000B25A6" w:rsidP="00D44F3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6C1301A" w14:textId="77777777" w:rsidR="000B25A6" w:rsidRPr="003F3941" w:rsidRDefault="000B25A6" w:rsidP="00D44F3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C5F192E" w14:textId="77777777" w:rsidR="000B25A6" w:rsidRPr="003F3941" w:rsidRDefault="000B25A6" w:rsidP="00D44F3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55DB58" w14:textId="3CBE9C54" w:rsidR="000B25A6" w:rsidRPr="003F3941" w:rsidRDefault="000B25A6" w:rsidP="00D44F3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A844B9">
            <w:rPr>
              <w:rFonts w:ascii="Century Gothic" w:hAnsi="Century Gothic"/>
              <w:b/>
              <w:bCs/>
              <w:noProof/>
              <w:sz w:val="16"/>
              <w:szCs w:val="16"/>
            </w:rPr>
            <w:t>12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A844B9">
            <w:rPr>
              <w:rFonts w:ascii="Century Gothic" w:hAnsi="Century Gothic"/>
              <w:b/>
              <w:bCs/>
              <w:noProof/>
              <w:sz w:val="16"/>
              <w:szCs w:val="16"/>
            </w:rPr>
            <w:t>17</w:t>
          </w:r>
          <w:r w:rsidRPr="003F3941">
            <w:rPr>
              <w:rFonts w:ascii="Century Gothic" w:hAnsi="Century Gothic"/>
              <w:b/>
              <w:bCs/>
              <w:sz w:val="16"/>
              <w:szCs w:val="16"/>
            </w:rPr>
            <w:fldChar w:fldCharType="end"/>
          </w:r>
        </w:p>
      </w:tc>
    </w:tr>
  </w:tbl>
  <w:p w14:paraId="1934C436" w14:textId="77777777" w:rsidR="000B25A6" w:rsidRDefault="000B25A6" w:rsidP="00D44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FD30" w14:textId="77777777" w:rsidR="002F1082" w:rsidRDefault="002F1082" w:rsidP="00DD4F22">
      <w:r>
        <w:separator/>
      </w:r>
    </w:p>
  </w:footnote>
  <w:footnote w:type="continuationSeparator" w:id="0">
    <w:p w14:paraId="09445EF5" w14:textId="77777777" w:rsidR="002F1082" w:rsidRDefault="002F1082" w:rsidP="00DD4F22">
      <w:r>
        <w:continuationSeparator/>
      </w:r>
    </w:p>
  </w:footnote>
  <w:footnote w:id="1">
    <w:p w14:paraId="61A4E76D" w14:textId="77777777" w:rsidR="00E54240" w:rsidRPr="005D4648" w:rsidRDefault="00E54240" w:rsidP="00E54240">
      <w:pPr>
        <w:pStyle w:val="Textonotapie"/>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La Agencia Nacional de Contratación Pública </w:t>
      </w:r>
      <w:r w:rsidRPr="005D4648">
        <w:rPr>
          <w:rFonts w:ascii="Arial" w:hAnsi="Arial" w:cs="Arial"/>
          <w:sz w:val="16"/>
          <w:szCs w:val="16"/>
        </w:rPr>
        <w:t>‒</w:t>
      </w:r>
      <w:r w:rsidRPr="005D4648">
        <w:rPr>
          <w:rFonts w:ascii="Century Gothic" w:hAnsi="Century Gothic" w:cs="Arial"/>
          <w:sz w:val="16"/>
          <w:szCs w:val="16"/>
        </w:rPr>
        <w:t xml:space="preserve"> Colombia Compra Eficiente fue creada por el Decreto Ley 4170 de 2011. Su objetivo es servir como ente rector de la pol</w:t>
      </w:r>
      <w:r w:rsidRPr="005D4648">
        <w:rPr>
          <w:rFonts w:ascii="Century Gothic" w:hAnsi="Century Gothic" w:cs="Century Gothic"/>
          <w:sz w:val="16"/>
          <w:szCs w:val="16"/>
        </w:rPr>
        <w:t>í</w:t>
      </w:r>
      <w:r w:rsidRPr="005D4648">
        <w:rPr>
          <w:rFonts w:ascii="Century Gothic" w:hAnsi="Century Gothic" w:cs="Arial"/>
          <w:sz w:val="16"/>
          <w:szCs w:val="16"/>
        </w:rPr>
        <w:t>tica de compras y contrataci</w:t>
      </w:r>
      <w:r w:rsidRPr="005D4648">
        <w:rPr>
          <w:rFonts w:ascii="Century Gothic" w:hAnsi="Century Gothic" w:cs="Century Gothic"/>
          <w:sz w:val="16"/>
          <w:szCs w:val="16"/>
        </w:rPr>
        <w:t>ó</w:t>
      </w:r>
      <w:r w:rsidRPr="005D4648">
        <w:rPr>
          <w:rFonts w:ascii="Century Gothic" w:hAnsi="Century Gothic" w:cs="Arial"/>
          <w:sz w:val="16"/>
          <w:szCs w:val="16"/>
        </w:rPr>
        <w:t xml:space="preserve">n del Estado. Para tales fines, como </w:t>
      </w:r>
      <w:r w:rsidRPr="005D4648">
        <w:rPr>
          <w:rFonts w:ascii="Century Gothic" w:hAnsi="Century Gothic" w:cs="Century Gothic"/>
          <w:sz w:val="16"/>
          <w:szCs w:val="16"/>
        </w:rPr>
        <w:t>ó</w:t>
      </w:r>
      <w:r w:rsidRPr="005D4648">
        <w:rPr>
          <w:rFonts w:ascii="Century Gothic" w:hAnsi="Century Gothic" w:cs="Arial"/>
          <w:sz w:val="16"/>
          <w:szCs w:val="16"/>
        </w:rPr>
        <w:t>rgano t</w:t>
      </w:r>
      <w:r w:rsidRPr="005D4648">
        <w:rPr>
          <w:rFonts w:ascii="Century Gothic" w:hAnsi="Century Gothic" w:cs="Century Gothic"/>
          <w:sz w:val="16"/>
          <w:szCs w:val="16"/>
        </w:rPr>
        <w:t>é</w:t>
      </w:r>
      <w:r w:rsidRPr="005D4648">
        <w:rPr>
          <w:rFonts w:ascii="Century Gothic" w:hAnsi="Century Gothic" w:cs="Arial"/>
          <w:sz w:val="16"/>
          <w:szCs w:val="16"/>
        </w:rPr>
        <w:t>cnico especializado, le corresponde formular pol</w:t>
      </w:r>
      <w:r w:rsidRPr="005D4648">
        <w:rPr>
          <w:rFonts w:ascii="Century Gothic" w:hAnsi="Century Gothic" w:cs="Century Gothic"/>
          <w:sz w:val="16"/>
          <w:szCs w:val="16"/>
        </w:rPr>
        <w:t>í</w:t>
      </w:r>
      <w:r w:rsidRPr="005D4648">
        <w:rPr>
          <w:rFonts w:ascii="Century Gothic" w:hAnsi="Century Gothic" w:cs="Arial"/>
          <w:sz w:val="16"/>
          <w:szCs w:val="16"/>
        </w:rPr>
        <w:t>ticas p</w:t>
      </w:r>
      <w:r w:rsidRPr="005D4648">
        <w:rPr>
          <w:rFonts w:ascii="Century Gothic" w:hAnsi="Century Gothic" w:cs="Century Gothic"/>
          <w:sz w:val="16"/>
          <w:szCs w:val="16"/>
        </w:rPr>
        <w:t>ú</w:t>
      </w:r>
      <w:r w:rsidRPr="005D4648">
        <w:rPr>
          <w:rFonts w:ascii="Century Gothic" w:hAnsi="Century Gothic" w:cs="Arial"/>
          <w:sz w:val="16"/>
          <w:szCs w:val="16"/>
        </w:rPr>
        <w:t>blicas y normas y unificar los procesos de contrataci</w:t>
      </w:r>
      <w:r w:rsidRPr="005D4648">
        <w:rPr>
          <w:rFonts w:ascii="Century Gothic" w:hAnsi="Century Gothic" w:cs="Century Gothic"/>
          <w:sz w:val="16"/>
          <w:szCs w:val="16"/>
        </w:rPr>
        <w:t>ó</w:t>
      </w:r>
      <w:r w:rsidRPr="005D4648">
        <w:rPr>
          <w:rFonts w:ascii="Century Gothic" w:hAnsi="Century Gothic" w:cs="Arial"/>
          <w:sz w:val="16"/>
          <w:szCs w:val="16"/>
        </w:rPr>
        <w:t>n estatal, con el fin de lograr una mayor eficiencia, transparencia y optimizaci</w:t>
      </w:r>
      <w:r w:rsidRPr="005D4648">
        <w:rPr>
          <w:rFonts w:ascii="Century Gothic" w:hAnsi="Century Gothic" w:cs="Century Gothic"/>
          <w:sz w:val="16"/>
          <w:szCs w:val="16"/>
        </w:rPr>
        <w:t>ó</w:t>
      </w:r>
      <w:r w:rsidRPr="005D4648">
        <w:rPr>
          <w:rFonts w:ascii="Century Gothic" w:hAnsi="Century Gothic" w:cs="Arial"/>
          <w:sz w:val="16"/>
          <w:szCs w:val="16"/>
        </w:rPr>
        <w:t>n de los recursos del Estado. El art</w:t>
      </w:r>
      <w:r w:rsidRPr="005D4648">
        <w:rPr>
          <w:rFonts w:ascii="Century Gothic" w:hAnsi="Century Gothic" w:cs="Century Gothic"/>
          <w:sz w:val="16"/>
          <w:szCs w:val="16"/>
        </w:rPr>
        <w:t>í</w:t>
      </w:r>
      <w:r w:rsidRPr="005D4648">
        <w:rPr>
          <w:rFonts w:ascii="Century Gothic" w:hAnsi="Century Gothic" w:cs="Arial"/>
          <w:sz w:val="16"/>
          <w:szCs w:val="16"/>
        </w:rPr>
        <w:t xml:space="preserve">culo 3 </w:t>
      </w:r>
      <w:r w:rsidRPr="005D4648">
        <w:rPr>
          <w:rFonts w:ascii="Century Gothic" w:hAnsi="Century Gothic" w:cs="Arial"/>
          <w:i/>
          <w:iCs/>
          <w:sz w:val="16"/>
          <w:szCs w:val="16"/>
        </w:rPr>
        <w:t xml:space="preserve">ibidem </w:t>
      </w:r>
      <w:r w:rsidRPr="005D4648">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E4F2EBF" w14:textId="77777777" w:rsidR="00E54240" w:rsidRPr="005D4648" w:rsidRDefault="00E54240" w:rsidP="00E54240">
      <w:pPr>
        <w:pStyle w:val="Textonotapie"/>
        <w:ind w:firstLine="708"/>
        <w:jc w:val="both"/>
        <w:rPr>
          <w:rFonts w:ascii="Century Gothic" w:hAnsi="Century Gothic" w:cs="Arial"/>
          <w:sz w:val="16"/>
          <w:szCs w:val="16"/>
          <w:lang w:val="es-ES"/>
        </w:rPr>
      </w:pPr>
    </w:p>
  </w:footnote>
  <w:footnote w:id="2">
    <w:p w14:paraId="0EC10951" w14:textId="77777777" w:rsidR="00E54240" w:rsidRPr="005D4648" w:rsidRDefault="00E54240" w:rsidP="00E54240">
      <w:pPr>
        <w:pStyle w:val="Textonotapie"/>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D4648">
          <w:rPr>
            <w:rStyle w:val="Hipervnculo"/>
            <w:rFonts w:ascii="Century Gothic" w:hAnsi="Century Gothic" w:cs="Arial"/>
          </w:rPr>
          <w:t>https://relatoria.colombiacompra.gov.co/busqueda/conceptos</w:t>
        </w:r>
      </w:hyperlink>
      <w:r w:rsidRPr="005D4648">
        <w:rPr>
          <w:rStyle w:val="Hipervnculo"/>
          <w:rFonts w:ascii="Century Gothic" w:hAnsi="Century Gothic" w:cs="Arial"/>
        </w:rPr>
        <w:t xml:space="preserve">. </w:t>
      </w:r>
      <w:r w:rsidRPr="005D4648">
        <w:rPr>
          <w:rFonts w:ascii="Century Gothic" w:hAnsi="Century Gothic" w:cs="Arial"/>
          <w:sz w:val="16"/>
          <w:szCs w:val="16"/>
          <w:shd w:val="clear" w:color="auto" w:fill="E6E6E6"/>
        </w:rPr>
        <w:t xml:space="preserve"> </w:t>
      </w:r>
    </w:p>
  </w:footnote>
  <w:footnote w:id="3">
    <w:p w14:paraId="1E8F172F" w14:textId="77777777" w:rsidR="00E54240" w:rsidRPr="005D4648" w:rsidRDefault="00E54240" w:rsidP="00E54240">
      <w:pPr>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5D4648">
        <w:rPr>
          <w:rFonts w:ascii="Century Gothic" w:hAnsi="Century Gothic" w:cs="Arial"/>
          <w:spacing w:val="-20"/>
          <w:sz w:val="16"/>
          <w:szCs w:val="16"/>
        </w:rPr>
        <w:t xml:space="preserve"> </w:t>
      </w:r>
      <w:r w:rsidRPr="005D4648">
        <w:rPr>
          <w:rFonts w:ascii="Century Gothic" w:hAnsi="Century Gothic" w:cs="Arial"/>
          <w:sz w:val="16"/>
          <w:szCs w:val="16"/>
        </w:rPr>
        <w:t>Carbonell).</w:t>
      </w:r>
    </w:p>
    <w:p w14:paraId="727926BC" w14:textId="77777777" w:rsidR="00E54240" w:rsidRPr="005D4648" w:rsidRDefault="00E54240" w:rsidP="00E54240">
      <w:pPr>
        <w:pStyle w:val="Textonotapie"/>
        <w:jc w:val="both"/>
        <w:rPr>
          <w:rFonts w:ascii="Century Gothic" w:hAnsi="Century Gothic" w:cs="Arial"/>
          <w:sz w:val="16"/>
          <w:szCs w:val="16"/>
          <w:lang w:val="es-CO"/>
        </w:rPr>
      </w:pPr>
    </w:p>
  </w:footnote>
  <w:footnote w:id="4">
    <w:p w14:paraId="2CCFF122" w14:textId="77777777" w:rsidR="00E54240" w:rsidRPr="005D4648" w:rsidRDefault="00E54240" w:rsidP="00E54240">
      <w:pPr>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EXPOSITO VÉLEZ, Juan Carlos. Forma y contenido del contrato estatal. Universidad Externado de Colombia, Bogotá, 2013, 1ra Ed., p.112.</w:t>
      </w:r>
    </w:p>
  </w:footnote>
  <w:footnote w:id="5">
    <w:p w14:paraId="4062827D" w14:textId="77777777" w:rsidR="00E54240" w:rsidRPr="005D4648" w:rsidRDefault="00E54240" w:rsidP="00E54240">
      <w:pPr>
        <w:pStyle w:val="Textonotapie"/>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5D4648">
        <w:rPr>
          <w:rFonts w:ascii="Century Gothic" w:hAnsi="Century Gothic" w:cs="Arial"/>
          <w:spacing w:val="-2"/>
          <w:sz w:val="16"/>
          <w:szCs w:val="16"/>
        </w:rPr>
        <w:t xml:space="preserve"> </w:t>
      </w:r>
      <w:r w:rsidRPr="005D4648">
        <w:rPr>
          <w:rFonts w:ascii="Century Gothic" w:hAnsi="Century Gothic" w:cs="Arial"/>
          <w:sz w:val="16"/>
          <w:szCs w:val="16"/>
        </w:rPr>
        <w:t>Carbonell).</w:t>
      </w:r>
    </w:p>
    <w:p w14:paraId="1E34C6C9" w14:textId="77777777" w:rsidR="00E54240" w:rsidRPr="005D4648" w:rsidRDefault="00E54240" w:rsidP="00E54240">
      <w:pPr>
        <w:pStyle w:val="Textonotapie"/>
        <w:ind w:firstLine="708"/>
        <w:jc w:val="both"/>
        <w:rPr>
          <w:rFonts w:ascii="Century Gothic" w:hAnsi="Century Gothic" w:cs="Arial"/>
          <w:sz w:val="16"/>
          <w:szCs w:val="16"/>
          <w:lang w:val="es-CO"/>
        </w:rPr>
      </w:pPr>
    </w:p>
  </w:footnote>
  <w:footnote w:id="6">
    <w:p w14:paraId="69BACA89" w14:textId="77777777" w:rsidR="00E54240" w:rsidRPr="005D4648" w:rsidRDefault="00E54240" w:rsidP="00E54240">
      <w:pPr>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Sentencia del 5 de septiembre de 2001. M.P. Clara Inés Vargas Hernández. </w:t>
      </w:r>
    </w:p>
    <w:p w14:paraId="3DF8C87B" w14:textId="77777777" w:rsidR="00E54240" w:rsidRPr="005D4648" w:rsidRDefault="00E54240" w:rsidP="00E54240">
      <w:pPr>
        <w:ind w:firstLine="708"/>
        <w:jc w:val="both"/>
        <w:rPr>
          <w:rFonts w:ascii="Century Gothic" w:hAnsi="Century Gothic" w:cs="Arial"/>
          <w:sz w:val="16"/>
          <w:szCs w:val="16"/>
        </w:rPr>
      </w:pPr>
    </w:p>
  </w:footnote>
  <w:footnote w:id="7">
    <w:p w14:paraId="0C2FE0F1" w14:textId="77777777" w:rsidR="00E54240" w:rsidRPr="005D4648" w:rsidRDefault="00E54240" w:rsidP="00E54240">
      <w:pPr>
        <w:pStyle w:val="Textonotapie"/>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Sin perjuicio de lo también dispuesto en el artículo 832 y siguientes del Código de Comercio.</w:t>
      </w:r>
    </w:p>
    <w:p w14:paraId="23D53141" w14:textId="77777777" w:rsidR="00E54240" w:rsidRPr="005D4648" w:rsidRDefault="00E54240" w:rsidP="00E54240">
      <w:pPr>
        <w:pStyle w:val="Textonotapie"/>
        <w:ind w:firstLine="708"/>
        <w:jc w:val="both"/>
        <w:rPr>
          <w:rFonts w:ascii="Century Gothic" w:hAnsi="Century Gothic" w:cs="Arial"/>
          <w:sz w:val="16"/>
          <w:szCs w:val="16"/>
        </w:rPr>
      </w:pPr>
    </w:p>
  </w:footnote>
  <w:footnote w:id="8">
    <w:p w14:paraId="44CF4AD4" w14:textId="77777777" w:rsidR="00E54240" w:rsidRPr="005D4648" w:rsidRDefault="00E54240" w:rsidP="00E54240">
      <w:pPr>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LAFONT PIANETTA, Pedro. Manual de contratos, Tomo I, Ediciones Librería del Profesional, 1 Ed, 2001, p.508.</w:t>
      </w:r>
    </w:p>
    <w:p w14:paraId="5F76740A" w14:textId="77777777" w:rsidR="00E54240" w:rsidRPr="005D4648" w:rsidRDefault="00E54240" w:rsidP="00E54240">
      <w:pPr>
        <w:ind w:firstLine="708"/>
        <w:jc w:val="both"/>
        <w:rPr>
          <w:rFonts w:ascii="Century Gothic" w:hAnsi="Century Gothic" w:cs="Arial"/>
          <w:sz w:val="16"/>
          <w:szCs w:val="16"/>
        </w:rPr>
      </w:pPr>
    </w:p>
  </w:footnote>
  <w:footnote w:id="9">
    <w:p w14:paraId="5E4E9958" w14:textId="77777777" w:rsidR="00E54240" w:rsidRPr="005D4648" w:rsidRDefault="00E54240" w:rsidP="00E54240">
      <w:pPr>
        <w:pStyle w:val="Textonotapie"/>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La </w:t>
      </w:r>
      <w:r w:rsidRPr="00A43B7A">
        <w:rPr>
          <w:rFonts w:ascii="Century Gothic" w:hAnsi="Century Gothic" w:cs="Arial"/>
          <w:sz w:val="16"/>
          <w:szCs w:val="16"/>
        </w:rPr>
        <w:t xml:space="preserve">CORTE CONSTITUCIONAL </w:t>
      </w:r>
      <w:r w:rsidRPr="005D4648">
        <w:rPr>
          <w:rFonts w:ascii="Century Gothic" w:hAnsi="Century Gothic" w:cs="Arial"/>
          <w:sz w:val="16"/>
          <w:szCs w:val="16"/>
        </w:rPr>
        <w:t>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p w14:paraId="085DAC86" w14:textId="77777777" w:rsidR="00E54240" w:rsidRPr="005D4648" w:rsidRDefault="00E54240" w:rsidP="00E54240">
      <w:pPr>
        <w:pStyle w:val="Textonotapie"/>
        <w:ind w:firstLine="708"/>
        <w:jc w:val="both"/>
        <w:rPr>
          <w:rFonts w:ascii="Century Gothic" w:hAnsi="Century Gothic" w:cs="Arial"/>
          <w:sz w:val="16"/>
          <w:szCs w:val="16"/>
        </w:rPr>
      </w:pPr>
    </w:p>
  </w:footnote>
  <w:footnote w:id="10">
    <w:p w14:paraId="0CB04535" w14:textId="77777777" w:rsidR="00E54240" w:rsidRPr="005D4648" w:rsidRDefault="00E54240" w:rsidP="00E54240">
      <w:pPr>
        <w:ind w:firstLine="708"/>
        <w:jc w:val="both"/>
        <w:rPr>
          <w:rFonts w:ascii="Century Gothic" w:hAnsi="Century Gothic" w:cs="Arial"/>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A43B7A">
        <w:rPr>
          <w:rFonts w:ascii="Century Gothic" w:hAnsi="Century Gothic" w:cs="Arial"/>
          <w:sz w:val="16"/>
          <w:szCs w:val="16"/>
        </w:rPr>
        <w:t>CONSEJO DE ESTADO</w:t>
      </w:r>
      <w:r w:rsidRPr="005D4648">
        <w:rPr>
          <w:rFonts w:ascii="Century Gothic" w:hAnsi="Century Gothic" w:cs="Arial"/>
          <w:sz w:val="16"/>
          <w:szCs w:val="16"/>
        </w:rPr>
        <w:t>, Sala Plena Sección 3ª, sentencia de unificación de 25 de septiembre de 2013, M.P. Mauricio Fajardo Gómez, rad. 19.933.</w:t>
      </w:r>
    </w:p>
    <w:p w14:paraId="615BC264" w14:textId="77777777" w:rsidR="00E54240" w:rsidRPr="005D4648" w:rsidRDefault="00E54240" w:rsidP="00E54240">
      <w:pPr>
        <w:ind w:firstLine="708"/>
        <w:jc w:val="both"/>
        <w:rPr>
          <w:rFonts w:ascii="Century Gothic" w:hAnsi="Century Gothic" w:cs="Arial"/>
          <w:sz w:val="16"/>
          <w:szCs w:val="16"/>
        </w:rPr>
      </w:pPr>
    </w:p>
  </w:footnote>
  <w:footnote w:id="11">
    <w:p w14:paraId="183D62C1"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A43B7A">
        <w:rPr>
          <w:rFonts w:ascii="Century Gothic" w:hAnsi="Century Gothic" w:cs="Arial"/>
          <w:sz w:val="16"/>
          <w:szCs w:val="16"/>
          <w:lang w:val="es-ES"/>
        </w:rPr>
        <w:t xml:space="preserve">CORTE SUPREMA DE JUSTICIA. </w:t>
      </w:r>
      <w:r w:rsidRPr="005D4648">
        <w:rPr>
          <w:rFonts w:ascii="Century Gothic" w:hAnsi="Century Gothic" w:cs="Arial"/>
          <w:sz w:val="16"/>
          <w:szCs w:val="16"/>
          <w:lang w:val="es-ES"/>
        </w:rPr>
        <w:t xml:space="preserve">Sala de Casación Laboral. Sentencia del 10 de febrero de 2021. SL 676-2021, radicado: 57.957. MP: Ivan Mauricio Lenis Gómez. </w:t>
      </w:r>
    </w:p>
  </w:footnote>
  <w:footnote w:id="12">
    <w:p w14:paraId="06023339" w14:textId="77777777" w:rsidR="00E54240" w:rsidRPr="005D4648" w:rsidRDefault="00E54240" w:rsidP="00E54240">
      <w:pPr>
        <w:pStyle w:val="Textonotapie"/>
        <w:ind w:firstLine="708"/>
        <w:jc w:val="both"/>
        <w:rPr>
          <w:rFonts w:ascii="Century Gothic" w:hAnsi="Century Gothic" w:cs="Arial"/>
          <w:color w:val="000000"/>
          <w:sz w:val="16"/>
          <w:szCs w:val="16"/>
          <w:lang w:val="es-CO"/>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color w:val="000000"/>
          <w:sz w:val="16"/>
          <w:szCs w:val="16"/>
          <w:lang w:val="es-CO"/>
        </w:rPr>
        <w:t>Constitución Política de 1991. “Artículo 7. El Estado reconoce y protege la diversidad étnica y cultural de la Nación colombiana”.</w:t>
      </w:r>
    </w:p>
  </w:footnote>
  <w:footnote w:id="13">
    <w:p w14:paraId="1D73D286" w14:textId="77777777" w:rsidR="00E54240" w:rsidRPr="005D4648" w:rsidRDefault="00E54240" w:rsidP="00E54240">
      <w:pPr>
        <w:pStyle w:val="Textonotapie"/>
        <w:ind w:firstLine="708"/>
        <w:jc w:val="both"/>
        <w:rPr>
          <w:rFonts w:ascii="Century Gothic" w:hAnsi="Century Gothic" w:cs="Arial"/>
          <w:sz w:val="16"/>
          <w:szCs w:val="16"/>
        </w:rPr>
      </w:pPr>
    </w:p>
    <w:p w14:paraId="7F6016B9" w14:textId="77777777" w:rsidR="00E54240" w:rsidRPr="005D4648" w:rsidRDefault="00E54240" w:rsidP="00E54240">
      <w:pPr>
        <w:pStyle w:val="Textonotapie"/>
        <w:ind w:firstLine="708"/>
        <w:jc w:val="both"/>
        <w:rPr>
          <w:rFonts w:ascii="Century Gothic" w:hAnsi="Century Gothic" w:cs="Arial"/>
          <w:color w:val="000000"/>
          <w:sz w:val="16"/>
          <w:szCs w:val="16"/>
          <w:lang w:val="es-CO"/>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color w:val="000000"/>
          <w:sz w:val="16"/>
          <w:szCs w:val="16"/>
          <w:lang w:val="es-CO"/>
        </w:rPr>
        <w:t>Constitución Política de 1991. “Artículo 10. El castellano es el idioma oficial de Colombia. Las lenguas y dialectos de los grupos étnicos son también oficiales en sus territorios. La enseñanza que se imparta en las comunidades con tradiciones lingüísticas propias será bilingüe”.</w:t>
      </w:r>
    </w:p>
  </w:footnote>
  <w:footnote w:id="14">
    <w:p w14:paraId="2454B251" w14:textId="77777777" w:rsidR="00E54240" w:rsidRPr="005D4648" w:rsidRDefault="00E54240" w:rsidP="00E54240">
      <w:pPr>
        <w:pStyle w:val="Textonotapie"/>
        <w:ind w:firstLine="708"/>
        <w:jc w:val="both"/>
        <w:rPr>
          <w:rFonts w:ascii="Century Gothic" w:hAnsi="Century Gothic" w:cs="Arial"/>
          <w:color w:val="000000"/>
          <w:sz w:val="16"/>
          <w:szCs w:val="16"/>
          <w:lang w:val="es-CO"/>
        </w:rPr>
      </w:pPr>
    </w:p>
    <w:p w14:paraId="604991AF"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Style w:val="Refdenotaalpie"/>
          <w:rFonts w:ascii="Century Gothic" w:hAnsi="Century Gothic" w:cs="Arial"/>
          <w:sz w:val="16"/>
          <w:szCs w:val="16"/>
        </w:rPr>
        <w:footnoteRef/>
      </w:r>
      <w:r w:rsidRPr="005D4648">
        <w:rPr>
          <w:rStyle w:val="Refdenotaalpie"/>
          <w:rFonts w:ascii="Century Gothic" w:hAnsi="Century Gothic" w:cs="Arial"/>
          <w:sz w:val="16"/>
          <w:szCs w:val="16"/>
        </w:rPr>
        <w:t xml:space="preserve"> </w:t>
      </w:r>
      <w:r w:rsidRPr="005D4648">
        <w:rPr>
          <w:rFonts w:ascii="Century Gothic" w:hAnsi="Century Gothic" w:cs="Arial"/>
          <w:color w:val="000000"/>
          <w:sz w:val="16"/>
          <w:szCs w:val="16"/>
          <w:lang w:val="es-CO"/>
        </w:rPr>
        <w:t>Constitución Política de 1991. “Artículo 63. Los bienes de uso público, los parques naturales, las tierras comunales de grupos étnicos, las tierras de resguardo, el patrimonio arqueológico de la Nación y los demás bienes que determine la ley, son inalienables, imprescriptibles e inembargables”.</w:t>
      </w:r>
    </w:p>
  </w:footnote>
  <w:footnote w:id="15">
    <w:p w14:paraId="0166D2A0" w14:textId="77777777" w:rsidR="00E54240" w:rsidRPr="005D4648" w:rsidRDefault="00E54240" w:rsidP="00E54240">
      <w:pPr>
        <w:pStyle w:val="Textonotapie"/>
        <w:jc w:val="both"/>
        <w:rPr>
          <w:rFonts w:ascii="Century Gothic" w:hAnsi="Century Gothic" w:cs="Arial"/>
          <w:sz w:val="16"/>
          <w:szCs w:val="16"/>
        </w:rPr>
      </w:pPr>
    </w:p>
    <w:p w14:paraId="60AAF4C0" w14:textId="77777777" w:rsidR="00E54240" w:rsidRPr="005D4648" w:rsidRDefault="00E54240" w:rsidP="00E54240">
      <w:pPr>
        <w:pStyle w:val="Textonotapie"/>
        <w:ind w:firstLine="708"/>
        <w:jc w:val="both"/>
        <w:rPr>
          <w:rFonts w:ascii="Century Gothic" w:hAnsi="Century Gothic" w:cs="Arial"/>
          <w:color w:val="000000"/>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Style w:val="Refdenotaalpie"/>
          <w:rFonts w:ascii="Century Gothic" w:hAnsi="Century Gothic" w:cs="Arial"/>
          <w:sz w:val="16"/>
          <w:szCs w:val="16"/>
        </w:rPr>
        <w:t xml:space="preserve"> </w:t>
      </w:r>
      <w:r w:rsidRPr="005D4648">
        <w:rPr>
          <w:rFonts w:ascii="Century Gothic" w:hAnsi="Century Gothic" w:cs="Arial"/>
          <w:color w:val="000000"/>
          <w:sz w:val="16"/>
          <w:szCs w:val="16"/>
          <w:lang w:val="es-CO"/>
        </w:rPr>
        <w:t xml:space="preserve">Constitución Política de 1991. Artículo 68. […] </w:t>
      </w:r>
      <w:r w:rsidRPr="005D4648">
        <w:rPr>
          <w:rFonts w:ascii="Century Gothic" w:hAnsi="Century Gothic" w:cs="Arial"/>
          <w:color w:val="000000"/>
          <w:sz w:val="16"/>
          <w:szCs w:val="16"/>
        </w:rPr>
        <w:t>Las integrantes de los grupos étnicos tendrán derecho a una formación que respete y desarrolle su identidad cultural.</w:t>
      </w:r>
    </w:p>
    <w:p w14:paraId="197C6589"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Fonts w:ascii="Century Gothic" w:hAnsi="Century Gothic" w:cs="Arial"/>
          <w:color w:val="000000"/>
          <w:sz w:val="16"/>
          <w:szCs w:val="16"/>
        </w:rPr>
        <w:tab/>
      </w:r>
    </w:p>
  </w:footnote>
  <w:footnote w:id="16">
    <w:p w14:paraId="544FFA68" w14:textId="77777777" w:rsidR="00E54240" w:rsidRPr="005D4648" w:rsidRDefault="00E54240" w:rsidP="00E54240">
      <w:pPr>
        <w:pStyle w:val="Textonotapie"/>
        <w:ind w:firstLine="708"/>
        <w:jc w:val="both"/>
        <w:rPr>
          <w:rFonts w:ascii="Century Gothic" w:hAnsi="Century Gothic" w:cs="Arial"/>
          <w:color w:val="000000"/>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color w:val="000000"/>
          <w:sz w:val="16"/>
          <w:szCs w:val="16"/>
          <w:lang w:val="es-CO"/>
        </w:rPr>
        <w:t xml:space="preserve">Ley 70 de 1993. “Artículo 2. Para los efectos de la presente ley se entiende </w:t>
      </w:r>
      <w:r w:rsidRPr="005D4648">
        <w:rPr>
          <w:rFonts w:ascii="Century Gothic" w:hAnsi="Century Gothic" w:cs="Arial"/>
          <w:color w:val="000000"/>
          <w:sz w:val="16"/>
          <w:szCs w:val="16"/>
        </w:rPr>
        <w:t>por: </w:t>
      </w:r>
    </w:p>
    <w:p w14:paraId="1B46461E" w14:textId="77777777" w:rsidR="00E54240" w:rsidRPr="005D4648" w:rsidRDefault="00E54240" w:rsidP="00E54240">
      <w:pPr>
        <w:pStyle w:val="Textonotapie"/>
        <w:ind w:firstLine="708"/>
        <w:jc w:val="both"/>
        <w:rPr>
          <w:rFonts w:ascii="Century Gothic" w:hAnsi="Century Gothic" w:cs="Arial"/>
          <w:color w:val="000000"/>
          <w:sz w:val="16"/>
          <w:szCs w:val="16"/>
        </w:rPr>
      </w:pPr>
      <w:r w:rsidRPr="005D4648">
        <w:rPr>
          <w:rFonts w:ascii="Century Gothic" w:hAnsi="Century Gothic" w:cs="Arial"/>
          <w:color w:val="000000"/>
          <w:sz w:val="16"/>
          <w:szCs w:val="16"/>
        </w:rPr>
        <w:t>[...]</w:t>
      </w:r>
    </w:p>
    <w:p w14:paraId="71FCBAAC"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Fonts w:ascii="Century Gothic" w:hAnsi="Century Gothic" w:cs="Arial"/>
          <w:color w:val="000000"/>
          <w:sz w:val="16"/>
          <w:szCs w:val="16"/>
        </w:rPr>
        <w:t>“5. Comunidad negra. Es 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r w:rsidRPr="005D4648">
        <w:rPr>
          <w:rFonts w:ascii="Century Gothic" w:hAnsi="Century Gothic" w:cs="Arial"/>
          <w:sz w:val="16"/>
          <w:szCs w:val="16"/>
        </w:rPr>
        <w:t> </w:t>
      </w:r>
    </w:p>
  </w:footnote>
  <w:footnote w:id="17">
    <w:p w14:paraId="07924728" w14:textId="77777777" w:rsidR="00E54240" w:rsidRPr="005D4648" w:rsidRDefault="00E54240" w:rsidP="00E54240">
      <w:pPr>
        <w:pStyle w:val="Textonotapie"/>
        <w:jc w:val="both"/>
        <w:rPr>
          <w:rFonts w:ascii="Century Gothic" w:hAnsi="Century Gothic" w:cs="Arial"/>
          <w:sz w:val="16"/>
          <w:szCs w:val="16"/>
        </w:rPr>
      </w:pPr>
    </w:p>
    <w:p w14:paraId="11C087F3" w14:textId="77777777" w:rsidR="00E54240" w:rsidRPr="005D4648" w:rsidRDefault="00E54240" w:rsidP="00E54240">
      <w:pPr>
        <w:pStyle w:val="Textonotapie"/>
        <w:ind w:firstLine="708"/>
        <w:jc w:val="both"/>
        <w:rPr>
          <w:rFonts w:ascii="Century Gothic" w:hAnsi="Century Gothic" w:cs="Arial"/>
          <w:color w:val="000000"/>
          <w:sz w:val="16"/>
          <w:szCs w:val="16"/>
          <w:lang w:val="es-CO"/>
        </w:rPr>
      </w:pPr>
      <w:r w:rsidRPr="005D4648">
        <w:rPr>
          <w:rStyle w:val="Refdenotaalpie"/>
          <w:rFonts w:ascii="Century Gothic" w:hAnsi="Century Gothic" w:cs="Arial"/>
          <w:sz w:val="16"/>
          <w:szCs w:val="16"/>
        </w:rPr>
        <w:footnoteRef/>
      </w:r>
      <w:r w:rsidRPr="005D4648">
        <w:rPr>
          <w:rFonts w:ascii="Century Gothic" w:hAnsi="Century Gothic" w:cs="Arial"/>
          <w:sz w:val="16"/>
          <w:szCs w:val="16"/>
          <w:lang w:val="pt-BR"/>
        </w:rPr>
        <w:t xml:space="preserve"> </w:t>
      </w:r>
      <w:r w:rsidRPr="005D4648">
        <w:rPr>
          <w:rFonts w:ascii="Century Gothic" w:hAnsi="Century Gothic" w:cs="Arial"/>
          <w:color w:val="000000"/>
          <w:sz w:val="16"/>
          <w:szCs w:val="16"/>
          <w:lang w:val="pt-BR"/>
        </w:rPr>
        <w:t xml:space="preserve">Corte Constitucional. Sentencia T-704 de 2016. </w:t>
      </w:r>
      <w:r w:rsidRPr="005D4648">
        <w:rPr>
          <w:rFonts w:ascii="Century Gothic" w:hAnsi="Century Gothic" w:cs="Arial"/>
          <w:color w:val="000000"/>
          <w:sz w:val="16"/>
          <w:szCs w:val="16"/>
          <w:lang w:val="es-CO"/>
        </w:rPr>
        <w:t>M.P. Luis Ernesto Vargas Silva: “11 Esta Corte entiende que el término comunidades o pueblos étnicos incluye tanto a población afro como indígena”.</w:t>
      </w:r>
    </w:p>
    <w:p w14:paraId="222C3485" w14:textId="77777777" w:rsidR="00E54240" w:rsidRPr="005D4648" w:rsidRDefault="00E54240" w:rsidP="00E54240">
      <w:pPr>
        <w:pStyle w:val="Textonotapie"/>
        <w:ind w:firstLine="708"/>
        <w:jc w:val="both"/>
        <w:rPr>
          <w:rFonts w:ascii="Century Gothic" w:hAnsi="Century Gothic" w:cs="Arial"/>
          <w:color w:val="000000"/>
          <w:sz w:val="16"/>
          <w:szCs w:val="16"/>
          <w:lang w:val="es-CO"/>
        </w:rPr>
      </w:pPr>
    </w:p>
  </w:footnote>
  <w:footnote w:id="18">
    <w:p w14:paraId="14E7917C" w14:textId="77777777" w:rsidR="00E54240" w:rsidRPr="005D4648" w:rsidRDefault="00E54240" w:rsidP="00E54240">
      <w:pPr>
        <w:pStyle w:val="Textonotapie"/>
        <w:ind w:firstLine="708"/>
        <w:jc w:val="both"/>
        <w:rPr>
          <w:rFonts w:ascii="Century Gothic" w:hAnsi="Century Gothic" w:cs="Arial"/>
          <w:color w:val="000000"/>
          <w:sz w:val="16"/>
          <w:szCs w:val="16"/>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color w:val="000000"/>
          <w:sz w:val="16"/>
          <w:szCs w:val="16"/>
        </w:rPr>
        <w:t xml:space="preserve">Ministerio de Salud. Boletines Poblacionales: Población Indígena Oficina de Promoción Social. Corte a Diciembre de 2019. Disponible en el siguiente enlace: </w:t>
      </w:r>
      <w:hyperlink r:id="rId2" w:history="1">
        <w:r w:rsidRPr="005D4648">
          <w:rPr>
            <w:rFonts w:ascii="Century Gothic" w:hAnsi="Century Gothic" w:cs="Arial"/>
            <w:color w:val="000000"/>
            <w:sz w:val="16"/>
            <w:szCs w:val="16"/>
          </w:rPr>
          <w:t>https://www.minsalud.gov.co/sites/rid/Lists/BibliotecaDigital/RIDE/DE/PS/boletines-poblacionales-poblacion-indigena.pdf</w:t>
        </w:r>
      </w:hyperlink>
      <w:r w:rsidRPr="005D4648">
        <w:rPr>
          <w:rFonts w:ascii="Century Gothic" w:hAnsi="Century Gothic" w:cs="Arial"/>
          <w:color w:val="000000"/>
          <w:sz w:val="16"/>
          <w:szCs w:val="16"/>
        </w:rPr>
        <w:t xml:space="preserve"> </w:t>
      </w:r>
    </w:p>
  </w:footnote>
  <w:footnote w:id="19">
    <w:p w14:paraId="12C4FA3F"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sz w:val="16"/>
          <w:szCs w:val="16"/>
          <w:lang w:val="es-ES"/>
        </w:rPr>
        <w:t xml:space="preserve">Gaceta del Congreso N° 1526 del 18 de diciembre de 2020. Exposición de motivos: “Bajo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w:t>
      </w:r>
    </w:p>
    <w:p w14:paraId="29C0FF35"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Fonts w:ascii="Century Gothic" w:hAnsi="Century Gothic" w:cs="Arial"/>
          <w:sz w:val="16"/>
          <w:szCs w:val="16"/>
          <w:lang w:val="es-ES"/>
        </w:rPr>
        <w:t>“En virtud de lo anterior, es necesario crear una disposición que otorgue plena capacidad jurídica a los cabildos indígenas y autorice a las entidades del Estado la suscripción de negocios jurídicos directamente con esta forma de gobierno indígena”.</w:t>
      </w:r>
    </w:p>
  </w:footnote>
  <w:footnote w:id="20">
    <w:p w14:paraId="6C0B5032" w14:textId="77777777" w:rsidR="00E54240" w:rsidRPr="005D4648" w:rsidRDefault="00E54240" w:rsidP="00E54240">
      <w:pPr>
        <w:pStyle w:val="Textonotapie"/>
        <w:jc w:val="both"/>
        <w:rPr>
          <w:rFonts w:ascii="Century Gothic" w:hAnsi="Century Gothic" w:cs="Arial"/>
          <w:sz w:val="16"/>
          <w:szCs w:val="16"/>
        </w:rPr>
      </w:pPr>
    </w:p>
    <w:p w14:paraId="091073FF" w14:textId="77777777" w:rsidR="00E54240" w:rsidRPr="005D4648" w:rsidRDefault="00E54240" w:rsidP="00E54240">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ES" w:eastAsia="en-US"/>
        </w:rPr>
      </w:pPr>
      <w:r w:rsidRPr="005D4648">
        <w:rPr>
          <w:rStyle w:val="Refdenotaalpie"/>
          <w:rFonts w:ascii="Century Gothic" w:eastAsiaTheme="minorHAnsi" w:hAnsi="Century Gothic" w:cs="Arial"/>
          <w:sz w:val="16"/>
          <w:szCs w:val="16"/>
          <w:lang w:eastAsia="en-US"/>
        </w:rPr>
        <w:footnoteRef/>
      </w:r>
      <w:r w:rsidRPr="005D4648">
        <w:rPr>
          <w:rStyle w:val="Refdenotaalpie"/>
          <w:rFonts w:ascii="Century Gothic" w:eastAsiaTheme="minorHAnsi" w:hAnsi="Century Gothic" w:cs="Arial"/>
          <w:sz w:val="16"/>
          <w:szCs w:val="16"/>
          <w:lang w:eastAsia="en-US"/>
        </w:rPr>
        <w:t xml:space="preserve"> </w:t>
      </w:r>
      <w:r w:rsidRPr="005D4648">
        <w:rPr>
          <w:rFonts w:ascii="Century Gothic" w:hAnsi="Century Gothic" w:cs="Arial"/>
          <w:sz w:val="16"/>
          <w:szCs w:val="16"/>
          <w:lang w:val="es-ES"/>
        </w:rPr>
        <w:t xml:space="preserve">Ley 2160 de 2021. “Artículo 1. </w:t>
      </w:r>
      <w:r w:rsidRPr="005D4648">
        <w:rPr>
          <w:rFonts w:ascii="Century Gothic" w:eastAsiaTheme="minorHAnsi" w:hAnsi="Century Gothic" w:cs="Arial"/>
          <w:sz w:val="16"/>
          <w:szCs w:val="16"/>
          <w:lang w:val="es-ES" w:eastAsia="en-US"/>
        </w:rPr>
        <w:t>Modifíquese el Artículo </w:t>
      </w:r>
      <w:hyperlink r:id="rId3" w:anchor="6" w:tooltip="vinculo" w:history="1">
        <w:r w:rsidRPr="005D4648">
          <w:rPr>
            <w:rFonts w:ascii="Century Gothic" w:eastAsiaTheme="minorHAnsi" w:hAnsi="Century Gothic" w:cs="Arial"/>
            <w:sz w:val="16"/>
            <w:szCs w:val="16"/>
            <w:lang w:val="es-ES" w:eastAsia="en-US"/>
          </w:rPr>
          <w:t>6</w:t>
        </w:r>
      </w:hyperlink>
      <w:r w:rsidRPr="005D4648">
        <w:rPr>
          <w:rFonts w:ascii="Century Gothic" w:eastAsiaTheme="minorHAnsi" w:hAnsi="Century Gothic" w:cs="Arial"/>
          <w:sz w:val="16"/>
          <w:szCs w:val="16"/>
          <w:lang w:val="es-ES" w:eastAsia="en-US"/>
        </w:rPr>
        <w:t> de la </w:t>
      </w:r>
      <w:hyperlink r:id="rId4" w:tgtFrame="_blank" w:history="1">
        <w:r w:rsidRPr="005D4648">
          <w:rPr>
            <w:rFonts w:ascii="Century Gothic" w:eastAsiaTheme="minorHAnsi" w:hAnsi="Century Gothic" w:cs="Arial"/>
            <w:sz w:val="16"/>
            <w:szCs w:val="16"/>
            <w:lang w:val="es-ES" w:eastAsia="en-US"/>
          </w:rPr>
          <w:t>Ley 80 de 1993</w:t>
        </w:r>
      </w:hyperlink>
      <w:r w:rsidRPr="005D4648">
        <w:rPr>
          <w:rFonts w:ascii="Century Gothic" w:eastAsiaTheme="minorHAnsi" w:hAnsi="Century Gothic" w:cs="Arial"/>
          <w:sz w:val="16"/>
          <w:szCs w:val="16"/>
          <w:lang w:val="es-ES" w:eastAsia="en-US"/>
        </w:rPr>
        <w:t xml:space="preserve">, el cual quedará así: </w:t>
      </w:r>
    </w:p>
    <w:p w14:paraId="573EAB6B" w14:textId="77777777" w:rsidR="00E54240" w:rsidRDefault="00E54240" w:rsidP="00E54240">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ES" w:eastAsia="en-US"/>
        </w:rPr>
      </w:pPr>
      <w:r w:rsidRPr="005D4648">
        <w:rPr>
          <w:rFonts w:ascii="Century Gothic" w:eastAsiaTheme="minorHAnsi" w:hAnsi="Century Gothic" w:cs="Arial"/>
          <w:sz w:val="16"/>
          <w:szCs w:val="16"/>
          <w:lang w:val="es-ES" w:eastAsia="en-US"/>
        </w:rPr>
        <w:t>“Artículo 6°. De la capacidad para contratar</w:t>
      </w:r>
      <w:r w:rsidRPr="005D4648">
        <w:rPr>
          <w:rFonts w:ascii="Century Gothic" w:eastAsiaTheme="minorHAnsi" w:hAnsi="Century Gothic" w:cs="Arial"/>
          <w:b/>
          <w:bCs/>
          <w:sz w:val="16"/>
          <w:szCs w:val="16"/>
          <w:lang w:val="es-ES" w:eastAsia="en-US"/>
        </w:rPr>
        <w:t>.</w:t>
      </w:r>
      <w:r w:rsidRPr="005D4648">
        <w:rPr>
          <w:rFonts w:ascii="Century Gothic" w:eastAsiaTheme="minorHAnsi" w:hAnsi="Century Gothic" w:cs="Arial"/>
          <w:sz w:val="16"/>
          <w:szCs w:val="16"/>
          <w:lang w:val="es-ES" w:eastAsia="en-US"/>
        </w:rPr>
        <w: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5" w:anchor="70" w:tooltip="vinculo" w:history="1">
        <w:r w:rsidRPr="005D4648">
          <w:rPr>
            <w:rFonts w:ascii="Century Gothic" w:eastAsiaTheme="minorHAnsi" w:hAnsi="Century Gothic" w:cs="Arial"/>
            <w:sz w:val="16"/>
            <w:szCs w:val="16"/>
            <w:lang w:val="es-ES" w:eastAsia="en-US"/>
          </w:rPr>
          <w:t>70</w:t>
        </w:r>
      </w:hyperlink>
      <w:r w:rsidRPr="005D4648">
        <w:rPr>
          <w:rFonts w:ascii="Century Gothic" w:eastAsiaTheme="minorHAnsi" w:hAnsi="Century Gothic" w:cs="Arial"/>
          <w:sz w:val="16"/>
          <w:szCs w:val="16"/>
          <w:lang w:val="es-ES" w:eastAsia="en-US"/>
        </w:rPr>
        <w:t> de 1993”.</w:t>
      </w:r>
    </w:p>
    <w:p w14:paraId="1A43010A" w14:textId="77777777" w:rsidR="00E54240" w:rsidRPr="005D4648" w:rsidRDefault="00E54240" w:rsidP="00E54240">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ES" w:eastAsia="en-US"/>
        </w:rPr>
      </w:pPr>
    </w:p>
  </w:footnote>
  <w:footnote w:id="21">
    <w:p w14:paraId="178B95F5" w14:textId="77777777" w:rsidR="00E54240" w:rsidRPr="005D4648" w:rsidRDefault="00E54240" w:rsidP="00E54240">
      <w:pPr>
        <w:pStyle w:val="Textonotapie"/>
        <w:ind w:firstLine="708"/>
        <w:jc w:val="both"/>
        <w:rPr>
          <w:rFonts w:ascii="Century Gothic" w:hAnsi="Century Gothic" w:cs="Arial"/>
          <w:sz w:val="16"/>
          <w:szCs w:val="16"/>
          <w:lang w:val="es-ES"/>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w:t>
      </w:r>
      <w:r w:rsidRPr="005D4648">
        <w:rPr>
          <w:rFonts w:ascii="Century Gothic" w:hAnsi="Century Gothic" w:cs="Arial"/>
          <w:sz w:val="16"/>
          <w:szCs w:val="16"/>
          <w:lang w:val="es-ES"/>
        </w:rPr>
        <w:t>Ley 2160 de 2021. “Artículo 1. […] 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p>
    <w:p w14:paraId="610489C1" w14:textId="77777777" w:rsidR="00E54240" w:rsidRPr="005D4648" w:rsidRDefault="00E54240" w:rsidP="00E54240">
      <w:pPr>
        <w:pStyle w:val="Textonotapie"/>
        <w:ind w:firstLine="708"/>
        <w:jc w:val="both"/>
        <w:rPr>
          <w:rFonts w:ascii="Century Gothic" w:hAnsi="Century Gothic" w:cs="Arial"/>
          <w:sz w:val="16"/>
          <w:szCs w:val="16"/>
          <w:lang w:val="es-ES"/>
        </w:rPr>
      </w:pPr>
    </w:p>
  </w:footnote>
  <w:footnote w:id="22">
    <w:p w14:paraId="0625A255"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Style w:val="Refdenotaalpie"/>
          <w:rFonts w:ascii="Century Gothic" w:hAnsi="Century Gothic" w:cs="Arial"/>
          <w:sz w:val="16"/>
          <w:szCs w:val="16"/>
        </w:rPr>
        <w:footnoteRef/>
      </w:r>
      <w:r w:rsidRPr="005D4648">
        <w:rPr>
          <w:rFonts w:ascii="Century Gothic" w:hAnsi="Century Gothic" w:cs="Arial"/>
          <w:sz w:val="16"/>
          <w:szCs w:val="16"/>
        </w:rPr>
        <w:t xml:space="preserve"> Ley 2160 de 2021. “Artículo 3. </w:t>
      </w:r>
      <w:r w:rsidRPr="005D4648">
        <w:rPr>
          <w:rFonts w:ascii="Century Gothic" w:hAnsi="Century Gothic" w:cs="Arial"/>
          <w:sz w:val="16"/>
          <w:szCs w:val="16"/>
          <w:lang w:val="es-CO"/>
        </w:rPr>
        <w:t>Modifíquese el artículo </w:t>
      </w:r>
      <w:bookmarkStart w:id="8" w:name="7"/>
      <w:r w:rsidRPr="005D4648">
        <w:rPr>
          <w:rFonts w:ascii="Century Gothic" w:hAnsi="Century Gothic" w:cs="Arial"/>
          <w:sz w:val="16"/>
          <w:szCs w:val="16"/>
          <w:lang w:val="es-CO"/>
        </w:rPr>
        <w:fldChar w:fldCharType="begin"/>
      </w:r>
      <w:r w:rsidRPr="005D4648">
        <w:rPr>
          <w:rFonts w:ascii="Century Gothic" w:hAnsi="Century Gothic" w:cs="Arial"/>
          <w:sz w:val="16"/>
          <w:szCs w:val="16"/>
          <w:lang w:val="es-CO"/>
        </w:rPr>
        <w:instrText xml:space="preserve"> HYPERLINK "https://www.funcionpublica.gov.co/eva/gestornormativo/norma.php?i=304" \l "7" \o "vinculo" </w:instrText>
      </w:r>
      <w:r w:rsidRPr="005D4648">
        <w:rPr>
          <w:rFonts w:ascii="Century Gothic" w:hAnsi="Century Gothic" w:cs="Arial"/>
          <w:sz w:val="16"/>
          <w:szCs w:val="16"/>
          <w:lang w:val="es-CO"/>
        </w:rPr>
        <w:fldChar w:fldCharType="separate"/>
      </w:r>
      <w:r w:rsidRPr="005D4648">
        <w:rPr>
          <w:rFonts w:ascii="Century Gothic" w:hAnsi="Century Gothic" w:cs="Arial"/>
          <w:sz w:val="16"/>
          <w:szCs w:val="16"/>
          <w:lang w:val="es-CO"/>
        </w:rPr>
        <w:t>7</w:t>
      </w:r>
      <w:r w:rsidRPr="005D4648">
        <w:rPr>
          <w:rFonts w:ascii="Century Gothic" w:hAnsi="Century Gothic" w:cs="Arial"/>
          <w:sz w:val="16"/>
          <w:szCs w:val="16"/>
          <w:lang w:val="es-CO"/>
        </w:rPr>
        <w:fldChar w:fldCharType="end"/>
      </w:r>
      <w:bookmarkEnd w:id="8"/>
      <w:r w:rsidRPr="005D4648">
        <w:rPr>
          <w:rFonts w:ascii="Century Gothic" w:hAnsi="Century Gothic" w:cs="Arial"/>
          <w:sz w:val="16"/>
          <w:szCs w:val="16"/>
          <w:lang w:val="es-CO"/>
        </w:rPr>
        <w:t> de la </w:t>
      </w:r>
      <w:hyperlink r:id="rId6" w:tgtFrame="_blank" w:history="1">
        <w:r w:rsidRPr="005D4648">
          <w:rPr>
            <w:rFonts w:ascii="Century Gothic" w:hAnsi="Century Gothic" w:cs="Arial"/>
            <w:sz w:val="16"/>
            <w:szCs w:val="16"/>
            <w:lang w:val="es-CO"/>
          </w:rPr>
          <w:t>Ley 80 de 1993</w:t>
        </w:r>
      </w:hyperlink>
      <w:r w:rsidRPr="005D4648">
        <w:rPr>
          <w:rFonts w:ascii="Century Gothic" w:hAnsi="Century Gothic" w:cs="Arial"/>
          <w:sz w:val="16"/>
          <w:szCs w:val="16"/>
          <w:lang w:val="es-CO"/>
        </w:rPr>
        <w:t>, el cual quedará así:</w:t>
      </w:r>
    </w:p>
    <w:p w14:paraId="6CD15BF6" w14:textId="77777777" w:rsidR="00E54240" w:rsidRPr="005D4648" w:rsidRDefault="00E54240" w:rsidP="00E54240">
      <w:pPr>
        <w:pStyle w:val="Textonotapie"/>
        <w:ind w:firstLine="360"/>
        <w:jc w:val="both"/>
        <w:rPr>
          <w:rFonts w:ascii="Century Gothic" w:hAnsi="Century Gothic" w:cs="Arial"/>
          <w:sz w:val="16"/>
          <w:szCs w:val="16"/>
          <w:lang w:val="es-CO"/>
        </w:rPr>
      </w:pPr>
      <w:r w:rsidRPr="005D4648">
        <w:rPr>
          <w:rFonts w:ascii="Century Gothic" w:hAnsi="Century Gothic" w:cs="Arial"/>
          <w:sz w:val="16"/>
          <w:szCs w:val="16"/>
          <w:lang w:val="es-CO"/>
        </w:rPr>
        <w:t>“Artículo 7°. Entidades a contratar. Para los efectos de esta ley se entiende por:</w:t>
      </w:r>
    </w:p>
    <w:p w14:paraId="36C1D857" w14:textId="77777777" w:rsidR="00E54240" w:rsidRPr="005D4648" w:rsidRDefault="00E54240" w:rsidP="00E54240">
      <w:pPr>
        <w:pStyle w:val="Textonotapie"/>
        <w:ind w:firstLine="360"/>
        <w:jc w:val="both"/>
        <w:rPr>
          <w:rFonts w:ascii="Century Gothic" w:hAnsi="Century Gothic" w:cs="Arial"/>
          <w:sz w:val="16"/>
          <w:szCs w:val="16"/>
          <w:lang w:val="es-CO"/>
        </w:rPr>
      </w:pPr>
      <w:r w:rsidRPr="005D4648">
        <w:rPr>
          <w:rFonts w:ascii="Century Gothic" w:hAnsi="Century Gothic" w:cs="Arial"/>
          <w:sz w:val="16"/>
          <w:szCs w:val="16"/>
          <w:lang w:val="es-CO"/>
        </w:rPr>
        <w:t>“1.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459551B4" w14:textId="77777777" w:rsidR="00E54240" w:rsidRPr="005D4648" w:rsidRDefault="00E54240" w:rsidP="00E54240">
      <w:pPr>
        <w:pStyle w:val="Textonotapie"/>
        <w:ind w:firstLine="360"/>
        <w:jc w:val="both"/>
        <w:rPr>
          <w:rFonts w:ascii="Century Gothic" w:hAnsi="Century Gothic" w:cs="Arial"/>
          <w:sz w:val="16"/>
          <w:szCs w:val="16"/>
          <w:lang w:val="es-CO"/>
        </w:rPr>
      </w:pPr>
      <w:r w:rsidRPr="005D4648">
        <w:rPr>
          <w:rFonts w:ascii="Century Gothic" w:hAnsi="Century Gothic" w:cs="Arial"/>
          <w:sz w:val="16"/>
          <w:szCs w:val="16"/>
          <w:lang w:val="es-CO"/>
        </w:rPr>
        <w:t>“2. Consejo comunitario de las comunidades negras: Es Ia persona jurídica que ejerce la máxima autoridad de administración Interna dentro de las Tierras de las Comunidades Negras, de acuerdo con los mandatos constitucionales y legales que lo rigen y los demás que le asigne el sistema de derecho propio de cada comunidad.</w:t>
      </w:r>
    </w:p>
    <w:p w14:paraId="0C6C46E7"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“3. Formas o expresiones organizativas.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w:t>
      </w:r>
    </w:p>
    <w:p w14:paraId="30E8BD99"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“4. Organizaciones de Base de Comunidades Negras, Afrocolombianas, Raizales y Palenqueras. Son asociaciones comunitarias integradas por personas de las Comunidades Negras, Afrocolombianas, Raizales o Palenqueras; que reivindican y promueven los derechos étnicos y humanos de estas comunidades. </w:t>
      </w:r>
    </w:p>
    <w:p w14:paraId="6BBE5A77"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“5. Organizaciones de Segundo Nivel. Son asociaciones de Consejos Comunitarios, formas y expresiones organizativas y/o organizaciones de base que agrupan a _mas de dos (2), inscritas en el Registro Único de Ia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 </w:t>
      </w:r>
    </w:p>
    <w:p w14:paraId="00A176CE"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“6. Consorcio: Cuando dos o más personas en forma conjunta presentan una misma propuesta para Ia adjudicación, celebración y ejecución de un contrato, respondiendo solidariamente de todas y cada una de las obligaciones derivadas de Ia propuesta y del contrato. En consecuencia, las actuaciones, hechos y omisiones que se presenten en desarrollo de la propuesta y del contrato, afectaran a todos los miembros que lo conforman.</w:t>
      </w:r>
    </w:p>
    <w:p w14:paraId="4D575BC8"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as obligaciones derivadas de la propuesta y del contrato se impondrán de acuerdo con Ia participación en la ejecución de cada uno de los miembros de la unión temporal.</w:t>
      </w:r>
    </w:p>
    <w:p w14:paraId="2B68E22C"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sz w:val="16"/>
          <w:szCs w:val="16"/>
          <w:lang w:val="es-CO"/>
        </w:rPr>
        <w:t>“8. Asociaciones de autoridades tradicionales indígenas. Entidad de derecho público, encargada de fomentar y coordinar con las autoridades locales, regionales y nacionales, la ejecución de proyectos en salud, educación y vivienda. Esta entidad estará conformada por diez (10) organizaciones regionales indígenas.</w:t>
      </w:r>
    </w:p>
    <w:p w14:paraId="71B9811B" w14:textId="77777777" w:rsidR="00E54240" w:rsidRPr="005D4648" w:rsidRDefault="00E54240" w:rsidP="00E54240">
      <w:pPr>
        <w:pStyle w:val="Textonotapie"/>
        <w:ind w:firstLine="708"/>
        <w:jc w:val="both"/>
        <w:rPr>
          <w:rFonts w:ascii="Century Gothic" w:hAnsi="Century Gothic" w:cs="Arial"/>
          <w:sz w:val="16"/>
          <w:szCs w:val="16"/>
          <w:lang w:val="es-CO"/>
        </w:rPr>
      </w:pPr>
      <w:r w:rsidRPr="005D4648">
        <w:rPr>
          <w:rFonts w:ascii="Century Gothic" w:hAnsi="Century Gothic" w:cs="Arial"/>
          <w:b/>
          <w:bCs/>
          <w:sz w:val="16"/>
          <w:szCs w:val="16"/>
          <w:lang w:val="es-CO"/>
        </w:rPr>
        <w:t> </w:t>
      </w:r>
    </w:p>
    <w:p w14:paraId="749AE1D1" w14:textId="77777777" w:rsidR="00E54240" w:rsidRPr="005D4648" w:rsidRDefault="00E54240" w:rsidP="00E54240">
      <w:pPr>
        <w:pStyle w:val="Textonotapie"/>
        <w:ind w:firstLine="708"/>
        <w:jc w:val="both"/>
        <w:rPr>
          <w:rFonts w:ascii="Century Gothic" w:hAnsi="Century Gothic"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219E" w14:textId="77777777" w:rsidR="000B25A6" w:rsidRDefault="000B25A6">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7C1D7240" w14:textId="77777777" w:rsidR="000B25A6" w:rsidRDefault="000B25A6">
    <w:pPr>
      <w:pStyle w:val="Encabezado"/>
    </w:pPr>
  </w:p>
  <w:p w14:paraId="10B508E0" w14:textId="77777777" w:rsidR="000B25A6" w:rsidRDefault="000B25A6">
    <w:pPr>
      <w:pStyle w:val="Encabezado"/>
    </w:pPr>
  </w:p>
  <w:p w14:paraId="0C22242A" w14:textId="77777777" w:rsidR="000B25A6" w:rsidRPr="004A305D" w:rsidRDefault="000B25A6" w:rsidP="00D44F32">
    <w:pPr>
      <w:rPr>
        <w:rFonts w:ascii="Century Gothic" w:hAnsi="Century Gothic"/>
        <w:color w:val="002060"/>
        <w:sz w:val="16"/>
        <w:szCs w:val="16"/>
      </w:rPr>
    </w:pPr>
    <w:r w:rsidRPr="004A305D">
      <w:rPr>
        <w:rFonts w:ascii="Century Gothic" w:hAnsi="Century Gothic"/>
        <w:color w:val="002060"/>
        <w:sz w:val="16"/>
        <w:szCs w:val="16"/>
      </w:rPr>
      <w:t>FORMATO PQRSD</w:t>
    </w:r>
  </w:p>
  <w:p w14:paraId="14D207DF" w14:textId="77777777" w:rsidR="000B25A6" w:rsidRPr="004A305D" w:rsidRDefault="000B25A6" w:rsidP="00D44F32">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5884BAB8" w14:textId="77777777" w:rsidR="000B25A6" w:rsidRPr="004A305D" w:rsidRDefault="000B25A6" w:rsidP="00D44F32">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6FC1456" w14:textId="77777777" w:rsidR="000B25A6" w:rsidRDefault="000B25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5AC4196"/>
    <w:multiLevelType w:val="hybridMultilevel"/>
    <w:tmpl w:val="B3D203DE"/>
    <w:lvl w:ilvl="0" w:tplc="18CEE40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5"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6"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13"/>
  </w:num>
  <w:num w:numId="8">
    <w:abstractNumId w:val="7"/>
  </w:num>
  <w:num w:numId="9">
    <w:abstractNumId w:val="8"/>
  </w:num>
  <w:num w:numId="10">
    <w:abstractNumId w:val="5"/>
  </w:num>
  <w:num w:numId="11">
    <w:abstractNumId w:val="0"/>
  </w:num>
  <w:num w:numId="12">
    <w:abstractNumId w:val="1"/>
  </w:num>
  <w:num w:numId="13">
    <w:abstractNumId w:val="10"/>
  </w:num>
  <w:num w:numId="14">
    <w:abstractNumId w:val="9"/>
  </w:num>
  <w:num w:numId="1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67431"/>
    <w:rsid w:val="000B25A6"/>
    <w:rsid w:val="000B58CB"/>
    <w:rsid w:val="000C452A"/>
    <w:rsid w:val="000E54A8"/>
    <w:rsid w:val="00112AE8"/>
    <w:rsid w:val="00117F3D"/>
    <w:rsid w:val="00126942"/>
    <w:rsid w:val="00130E32"/>
    <w:rsid w:val="00151C7E"/>
    <w:rsid w:val="001A04B3"/>
    <w:rsid w:val="001C170E"/>
    <w:rsid w:val="001E662A"/>
    <w:rsid w:val="001F4135"/>
    <w:rsid w:val="00210AB4"/>
    <w:rsid w:val="002249D7"/>
    <w:rsid w:val="00241E98"/>
    <w:rsid w:val="002427EA"/>
    <w:rsid w:val="002440CE"/>
    <w:rsid w:val="00254798"/>
    <w:rsid w:val="002A5EE8"/>
    <w:rsid w:val="002F1082"/>
    <w:rsid w:val="002F26D6"/>
    <w:rsid w:val="00302FA7"/>
    <w:rsid w:val="0037143C"/>
    <w:rsid w:val="00381034"/>
    <w:rsid w:val="0039193E"/>
    <w:rsid w:val="003E4507"/>
    <w:rsid w:val="003F042A"/>
    <w:rsid w:val="00400C34"/>
    <w:rsid w:val="00456B75"/>
    <w:rsid w:val="0047417A"/>
    <w:rsid w:val="0048146C"/>
    <w:rsid w:val="0049730B"/>
    <w:rsid w:val="004D24C8"/>
    <w:rsid w:val="004F0626"/>
    <w:rsid w:val="00572576"/>
    <w:rsid w:val="00576BBE"/>
    <w:rsid w:val="005B7740"/>
    <w:rsid w:val="006A09C3"/>
    <w:rsid w:val="006D118F"/>
    <w:rsid w:val="006F786C"/>
    <w:rsid w:val="00743AB2"/>
    <w:rsid w:val="00745B1C"/>
    <w:rsid w:val="00747F0B"/>
    <w:rsid w:val="0075722B"/>
    <w:rsid w:val="007D66BE"/>
    <w:rsid w:val="007F4B50"/>
    <w:rsid w:val="0080087A"/>
    <w:rsid w:val="00837A76"/>
    <w:rsid w:val="0085260A"/>
    <w:rsid w:val="0085504A"/>
    <w:rsid w:val="00857080"/>
    <w:rsid w:val="0085789D"/>
    <w:rsid w:val="00862150"/>
    <w:rsid w:val="00870F64"/>
    <w:rsid w:val="00883768"/>
    <w:rsid w:val="008A79C0"/>
    <w:rsid w:val="0091422B"/>
    <w:rsid w:val="009348E3"/>
    <w:rsid w:val="00965553"/>
    <w:rsid w:val="009C5ED6"/>
    <w:rsid w:val="009C6EA8"/>
    <w:rsid w:val="00A16565"/>
    <w:rsid w:val="00A17A93"/>
    <w:rsid w:val="00A42330"/>
    <w:rsid w:val="00A5002D"/>
    <w:rsid w:val="00A81A3E"/>
    <w:rsid w:val="00A844B9"/>
    <w:rsid w:val="00A86A60"/>
    <w:rsid w:val="00AB5D9E"/>
    <w:rsid w:val="00AF3095"/>
    <w:rsid w:val="00B17B01"/>
    <w:rsid w:val="00B203A9"/>
    <w:rsid w:val="00B86172"/>
    <w:rsid w:val="00BB7D32"/>
    <w:rsid w:val="00BE299E"/>
    <w:rsid w:val="00BE5AEE"/>
    <w:rsid w:val="00BF6951"/>
    <w:rsid w:val="00C6388A"/>
    <w:rsid w:val="00C6633F"/>
    <w:rsid w:val="00C94851"/>
    <w:rsid w:val="00C958D3"/>
    <w:rsid w:val="00CC35E6"/>
    <w:rsid w:val="00CC3918"/>
    <w:rsid w:val="00D132EE"/>
    <w:rsid w:val="00D44F32"/>
    <w:rsid w:val="00D51F27"/>
    <w:rsid w:val="00D72E20"/>
    <w:rsid w:val="00D85650"/>
    <w:rsid w:val="00DC5863"/>
    <w:rsid w:val="00DD4F22"/>
    <w:rsid w:val="00DF7DA4"/>
    <w:rsid w:val="00E0145C"/>
    <w:rsid w:val="00E015A7"/>
    <w:rsid w:val="00E2686F"/>
    <w:rsid w:val="00E54240"/>
    <w:rsid w:val="00E56F63"/>
    <w:rsid w:val="00E61381"/>
    <w:rsid w:val="00E804AA"/>
    <w:rsid w:val="00EA1D40"/>
    <w:rsid w:val="00F076BA"/>
    <w:rsid w:val="00F50CEF"/>
    <w:rsid w:val="00F51644"/>
    <w:rsid w:val="00F51B32"/>
    <w:rsid w:val="00F846FC"/>
    <w:rsid w:val="00F96691"/>
    <w:rsid w:val="00FD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F22"/>
    <w:rPr>
      <w:rFonts w:ascii="Arial" w:eastAsia="Arial" w:hAnsi="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customStyle="1" w:styleId="EncabezadoCar">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customStyle="1" w:styleId="PiedepginaCar">
    <w:name w:val="Pie de página Car"/>
    <w:basedOn w:val="Fuentedeprrafopredeter"/>
    <w:link w:val="Piedepgina"/>
    <w:uiPriority w:val="99"/>
    <w:rsid w:val="00DD4F22"/>
    <w:rPr>
      <w:lang w:val="es-CO"/>
    </w:rPr>
  </w:style>
  <w:style w:type="paragraph" w:customStyle="1" w:styleId="Default">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customStyle="1" w:styleId="TextonotapieCar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customStyle="1" w:styleId="normaltextrun">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DD4F22"/>
    <w:rPr>
      <w:rFonts w:ascii="Geomanist" w:eastAsiaTheme="majorEastAsia" w:hAnsi="Geomanist"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customStyle="1" w:styleId="TextocomentarioCar">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customStyle="1" w:styleId="AsuntodelcomentarioCar">
    <w:name w:val="Asunto del comentario Car"/>
    <w:basedOn w:val="TextocomentarioCar"/>
    <w:link w:val="Asuntodelcomentario"/>
    <w:uiPriority w:val="99"/>
    <w:semiHidden/>
    <w:rsid w:val="00DD4F22"/>
    <w:rPr>
      <w:b/>
      <w:bCs/>
      <w:sz w:val="20"/>
      <w:szCs w:val="20"/>
      <w:lang w:val="es-CO"/>
    </w:rPr>
  </w:style>
  <w:style w:type="paragraph" w:customStyle="1" w:styleId="Appelnotedebasde">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customStyle="1" w:styleId="Tablaconcuadrcula1">
    <w:name w:val="Tabla con cuadrícula1"/>
    <w:basedOn w:val="Tablanormal"/>
    <w:next w:val="Tablaconcuadrcula"/>
    <w:uiPriority w:val="59"/>
    <w:qFormat/>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4F22"/>
    <w:pPr>
      <w:spacing w:before="100" w:beforeAutospacing="1" w:after="100" w:afterAutospacing="1"/>
    </w:pPr>
    <w:rPr>
      <w:rFonts w:ascii="Times New Roman" w:eastAsia="Times New Roman" w:hAnsi="Times New Roman" w:cs="Times New Roman"/>
      <w:szCs w:val="24"/>
      <w:lang w:eastAsia="es-CO"/>
    </w:rPr>
  </w:style>
  <w:style w:type="character" w:customStyle="1" w:styleId="eop">
    <w:name w:val="eop"/>
    <w:basedOn w:val="Fuentedeprrafopredeter"/>
    <w:rsid w:val="00DD4F22"/>
  </w:style>
  <w:style w:type="paragraph" w:styleId="NormalWeb">
    <w:name w:val="Normal (Web)"/>
    <w:basedOn w:val="Normal"/>
    <w:link w:val="NormalWebCar"/>
    <w:uiPriority w:val="99"/>
    <w:unhideWhenUsed/>
    <w:rsid w:val="00DD4F22"/>
    <w:pPr>
      <w:spacing w:before="100" w:beforeAutospacing="1" w:after="100" w:afterAutospacing="1"/>
    </w:pPr>
    <w:rPr>
      <w:rFonts w:ascii="Times New Roman" w:eastAsia="Times New Roman" w:hAnsi="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DD4F22"/>
    <w:rPr>
      <w:rFonts w:ascii="Arial" w:eastAsiaTheme="minorEastAsia" w:hAnsi="Arial" w:cs="Arial"/>
      <w:lang w:val="es-CO" w:eastAsia="es-CO"/>
    </w:rPr>
  </w:style>
  <w:style w:type="table" w:customStyle="1" w:styleId="Tablaconcuadrcula2">
    <w:name w:val="Tabla con cuadrícula2"/>
    <w:basedOn w:val="Tablanormal"/>
    <w:next w:val="Tablaconcuadrcula"/>
    <w:uiPriority w:val="59"/>
    <w:qFormat/>
    <w:rsid w:val="00DD4F22"/>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1"/>
    <w:qFormat/>
    <w:rsid w:val="00DD4F22"/>
    <w:pPr>
      <w:spacing w:after="0" w:line="240" w:lineRule="auto"/>
    </w:pPr>
    <w:rPr>
      <w:lang w:val="es-CO"/>
    </w:rPr>
  </w:style>
  <w:style w:type="character" w:customStyle="1" w:styleId="Hipervnculo1">
    <w:name w:val="Hipervínculo1"/>
    <w:basedOn w:val="Fuentedeprrafopredeter"/>
    <w:uiPriority w:val="99"/>
    <w:unhideWhenUsed/>
    <w:rsid w:val="00E0145C"/>
    <w:rPr>
      <w:color w:val="F2F2F2"/>
      <w:u w:val="single"/>
    </w:rPr>
  </w:style>
  <w:style w:type="character" w:customStyle="1" w:styleId="baj">
    <w:name w:val="b_aj"/>
    <w:basedOn w:val="Fuentedeprrafopredeter"/>
    <w:rsid w:val="00870F64"/>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57080"/>
    <w:rPr>
      <w:rFonts w:ascii="Geomanist Light" w:hAnsi="Geomanist Light"/>
      <w:lang w:val="es-ES"/>
    </w:rPr>
  </w:style>
  <w:style w:type="table" w:customStyle="1" w:styleId="Tablaconcuadrcula11">
    <w:name w:val="Tabla con cuadrícula11"/>
    <w:basedOn w:val="Tablanormal"/>
    <w:next w:val="Tablaconcuadrcula"/>
    <w:uiPriority w:val="59"/>
    <w:rsid w:val="00857080"/>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080"/>
    <w:rPr>
      <w:rFonts w:ascii="Segoe UI" w:hAnsi="Segoe UI" w:cs="Segoe UI"/>
      <w:sz w:val="18"/>
      <w:szCs w:val="18"/>
      <w:lang w:val="es-MX"/>
    </w:rPr>
  </w:style>
  <w:style w:type="character" w:customStyle="1" w:styleId="NormalWebCar">
    <w:name w:val="Normal (Web) Car"/>
    <w:link w:val="NormalWeb"/>
    <w:uiPriority w:val="99"/>
    <w:rsid w:val="00CC3918"/>
    <w:rPr>
      <w:rFonts w:ascii="Times New Roman" w:eastAsia="Times New Roman" w:hAnsi="Times New Roman" w:cs="Times New Roman"/>
      <w:sz w:val="24"/>
      <w:szCs w:val="24"/>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142500750">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304" TargetMode="External"/><Relationship Id="rId2" Type="http://schemas.openxmlformats.org/officeDocument/2006/relationships/hyperlink" Target="https://www.minsalud.gov.co/sites/rid/Lists/BibliotecaDigital/RIDE/DE/PS/boletines-poblacionales-poblacion-indigena.pdf"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go.vlex.com/vid/58472389?fbt=webapp_preview" TargetMode="External"/><Relationship Id="rId5" Type="http://schemas.openxmlformats.org/officeDocument/2006/relationships/hyperlink" Target="https://www.funcionpublica.gov.co/eva/gestornormativo/norma.php?i=7388" TargetMode="External"/><Relationship Id="rId4" Type="http://schemas.openxmlformats.org/officeDocument/2006/relationships/hyperlink" Target="https://go.vlex.com/vid/58472389?fbt=webapp_previe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46F2B-F31F-4515-A9DE-BADE26F7C0FE}">
  <ds:schemaRefs>
    <ds:schemaRef ds:uri="http://schemas.openxmlformats.org/officeDocument/2006/bibliography"/>
  </ds:schemaRefs>
</ds:datastoreItem>
</file>

<file path=customXml/itemProps2.xml><?xml version="1.0" encoding="utf-8"?>
<ds:datastoreItem xmlns:ds="http://schemas.openxmlformats.org/officeDocument/2006/customXml" ds:itemID="{DCA094AA-BDDC-416F-83B8-5BFD70B79726}"/>
</file>

<file path=customXml/itemProps3.xml><?xml version="1.0" encoding="utf-8"?>
<ds:datastoreItem xmlns:ds="http://schemas.openxmlformats.org/officeDocument/2006/customXml" ds:itemID="{61A1258C-714F-4D49-93EC-9B384AD44FA8}"/>
</file>

<file path=customXml/itemProps4.xml><?xml version="1.0" encoding="utf-8"?>
<ds:datastoreItem xmlns:ds="http://schemas.openxmlformats.org/officeDocument/2006/customXml" ds:itemID="{E73A224E-69C3-47DC-B7DA-958C7C74A1D9}"/>
</file>

<file path=docProps/app.xml><?xml version="1.0" encoding="utf-8"?>
<Properties xmlns="http://schemas.openxmlformats.org/officeDocument/2006/extended-properties" xmlns:vt="http://schemas.openxmlformats.org/officeDocument/2006/docPropsVTypes">
  <Template>Normal</Template>
  <TotalTime>821</TotalTime>
  <Pages>17</Pages>
  <Words>4526</Words>
  <Characters>25800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Nina Padron</cp:lastModifiedBy>
  <cp:revision>19</cp:revision>
  <dcterms:created xsi:type="dcterms:W3CDTF">2023-08-17T14:32:00Z</dcterms:created>
  <dcterms:modified xsi:type="dcterms:W3CDTF">2023-09-21T18:02:00Z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