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568D9" w:rsidR="005D0331" w:rsidP="005D0331" w:rsidRDefault="005D0331" w14:paraId="7A37CA77" w14:textId="77777777">
      <w:pPr>
        <w:spacing w:line="276" w:lineRule="auto"/>
        <w:jc w:val="both"/>
        <w:rPr>
          <w:rFonts w:ascii="Arial" w:hAnsi="Arial" w:eastAsia="Calibri" w:cs="Arial"/>
          <w:b/>
          <w:bCs/>
          <w:sz w:val="21"/>
          <w:szCs w:val="21"/>
          <w:lang w:val="es-ES"/>
        </w:rPr>
      </w:pPr>
      <w:bookmarkStart w:name="_Hlk96417464" w:id="0"/>
      <w:bookmarkStart w:name="_Hlk120036210" w:id="1"/>
      <w:bookmarkStart w:name="_Hlk98867631" w:id="2"/>
      <w:bookmarkStart w:name="_Hlk99546921" w:id="3"/>
      <w:bookmarkStart w:name="_Hlk34951122" w:id="4"/>
      <w:r w:rsidRPr="003568D9">
        <w:rPr>
          <w:rFonts w:ascii="Arial" w:hAnsi="Arial" w:eastAsia="Calibri" w:cs="Arial"/>
          <w:b/>
          <w:bCs/>
          <w:sz w:val="21"/>
          <w:szCs w:val="21"/>
          <w:lang w:val="es-ES"/>
        </w:rPr>
        <w:t>DOCUMENTOS DEL PROCESO – Noción – Deber de publicación – Proceso de contratación</w:t>
      </w:r>
    </w:p>
    <w:p w:rsidRPr="003568D9" w:rsidR="005D0331" w:rsidP="005D0331" w:rsidRDefault="005D0331" w14:paraId="495F2C58" w14:textId="77777777">
      <w:pPr>
        <w:spacing w:line="276" w:lineRule="auto"/>
        <w:jc w:val="both"/>
        <w:rPr>
          <w:rFonts w:ascii="Arial" w:hAnsi="Arial" w:eastAsia="Calibri" w:cs="Arial"/>
          <w:b/>
          <w:bCs/>
          <w:sz w:val="21"/>
          <w:szCs w:val="21"/>
          <w:lang w:val="es-ES"/>
        </w:rPr>
      </w:pPr>
    </w:p>
    <w:p w:rsidRPr="003568D9" w:rsidR="005D0331" w:rsidP="005D0331" w:rsidRDefault="005D0331" w14:paraId="63350236" w14:textId="77777777">
      <w:pPr>
        <w:widowControl w:val="0"/>
        <w:autoSpaceDE w:val="0"/>
        <w:autoSpaceDN w:val="0"/>
        <w:spacing w:after="120" w:line="276" w:lineRule="auto"/>
        <w:jc w:val="both"/>
        <w:rPr>
          <w:rFonts w:ascii="Arial" w:hAnsi="Arial" w:eastAsia="Arial" w:cs="Arial"/>
          <w:sz w:val="21"/>
          <w:szCs w:val="21"/>
          <w:lang w:val="es-ES"/>
        </w:rPr>
      </w:pPr>
      <w:r w:rsidRPr="003568D9">
        <w:rPr>
          <w:rFonts w:ascii="Arial" w:hAnsi="Arial" w:eastAsia="Arial" w:cs="Arial"/>
          <w:sz w:val="21"/>
          <w:szCs w:val="21"/>
          <w:lang w:val="es-ES"/>
        </w:rPr>
        <w:t xml:space="preserve">(…) 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3568D9">
        <w:rPr>
          <w:rFonts w:ascii="Arial" w:hAnsi="Arial" w:eastAsia="Arial" w:cs="Arial"/>
          <w:i/>
          <w:iCs/>
          <w:sz w:val="21"/>
          <w:szCs w:val="21"/>
          <w:lang w:val="es-ES"/>
        </w:rPr>
        <w:t>Proceso de Contratación</w:t>
      </w:r>
      <w:r w:rsidRPr="003568D9">
        <w:rPr>
          <w:rFonts w:ascii="Arial" w:hAnsi="Arial" w:eastAsia="Arial" w:cs="Arial"/>
          <w:sz w:val="21"/>
          <w:szCs w:val="21"/>
          <w:lang w:val="es-ES"/>
        </w:rPr>
        <w:t>,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rsidRPr="003568D9" w:rsidR="005D0331" w:rsidP="005D0331" w:rsidRDefault="005D0331" w14:paraId="03A2AE15" w14:textId="77777777">
      <w:pPr>
        <w:widowControl w:val="0"/>
        <w:autoSpaceDE w:val="0"/>
        <w:autoSpaceDN w:val="0"/>
        <w:spacing w:after="120" w:line="276" w:lineRule="auto"/>
        <w:jc w:val="both"/>
        <w:rPr>
          <w:rFonts w:ascii="Arial" w:hAnsi="Arial" w:eastAsia="Arial" w:cs="Arial"/>
          <w:sz w:val="21"/>
          <w:szCs w:val="21"/>
          <w:lang w:val="es-ES"/>
        </w:rPr>
      </w:pPr>
      <w:r w:rsidRPr="003568D9">
        <w:rPr>
          <w:rFonts w:ascii="Arial" w:hAnsi="Arial" w:eastAsia="Arial" w:cs="Arial"/>
          <w:sz w:val="21"/>
          <w:szCs w:val="21"/>
          <w:lang w:val="es-ES"/>
        </w:rPr>
        <w:t xml:space="preserv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3568D9">
        <w:rPr>
          <w:rFonts w:ascii="Arial" w:hAnsi="Arial" w:eastAsia="Arial" w:cs="Arial"/>
          <w:i/>
          <w:iCs/>
          <w:sz w:val="21"/>
          <w:szCs w:val="21"/>
          <w:lang w:val="es-ES"/>
        </w:rPr>
        <w:t>Ibídem</w:t>
      </w:r>
      <w:r w:rsidRPr="003568D9">
        <w:rPr>
          <w:rFonts w:ascii="Arial" w:hAnsi="Arial" w:eastAsia="Arial" w:cs="Arial"/>
          <w:sz w:val="21"/>
          <w:szCs w:val="21"/>
          <w:lang w:val="es-ES"/>
        </w:rPr>
        <w:t xml:space="preserve"> recoge en la noción de </w:t>
      </w:r>
      <w:r w:rsidRPr="003568D9">
        <w:rPr>
          <w:rFonts w:ascii="Arial" w:hAnsi="Arial" w:eastAsia="Arial" w:cs="Arial"/>
          <w:i/>
          <w:iCs/>
          <w:sz w:val="21"/>
          <w:szCs w:val="21"/>
          <w:lang w:val="es-ES"/>
        </w:rPr>
        <w:t>Documentos del Proceso</w:t>
      </w:r>
      <w:r w:rsidRPr="003568D9">
        <w:rPr>
          <w:rFonts w:ascii="Arial" w:hAnsi="Arial" w:eastAsia="Arial" w:cs="Arial"/>
          <w:sz w:val="21"/>
          <w:szCs w:val="21"/>
          <w:lang w:val="es-ES"/>
        </w:rPr>
        <w:t xml:space="preserve"> “cualquier otro documento expedido por la Entidad Estatal durante el </w:t>
      </w:r>
      <w:r w:rsidRPr="003568D9">
        <w:rPr>
          <w:rFonts w:ascii="Arial" w:hAnsi="Arial" w:eastAsia="Arial" w:cs="Arial"/>
          <w:i/>
          <w:iCs/>
          <w:sz w:val="21"/>
          <w:szCs w:val="21"/>
          <w:lang w:val="es-ES"/>
        </w:rPr>
        <w:t>Proceso de Contratación”</w:t>
      </w:r>
      <w:r w:rsidRPr="003568D9">
        <w:rPr>
          <w:rFonts w:ascii="Arial" w:hAnsi="Arial" w:eastAsia="Arial" w:cs="Arial"/>
          <w:sz w:val="21"/>
          <w:szCs w:val="21"/>
          <w:lang w:val="es-ES"/>
        </w:rPr>
        <w:t xml:space="preserve">. Este mismo artículo define la expresión </w:t>
      </w:r>
      <w:r w:rsidRPr="003568D9">
        <w:rPr>
          <w:rFonts w:ascii="Arial" w:hAnsi="Arial" w:eastAsia="Arial" w:cs="Arial"/>
          <w:i/>
          <w:iCs/>
          <w:sz w:val="21"/>
          <w:szCs w:val="21"/>
          <w:lang w:val="es-ES"/>
        </w:rPr>
        <w:t>Proceso de Contratación</w:t>
      </w:r>
      <w:r w:rsidRPr="003568D9">
        <w:rPr>
          <w:rFonts w:ascii="Arial" w:hAnsi="Arial" w:eastAsia="Arial" w:cs="Arial"/>
          <w:sz w:val="21"/>
          <w:szCs w:val="21"/>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rsidRPr="003568D9" w:rsidR="005D0331" w:rsidP="005D0331" w:rsidRDefault="005D0331" w14:paraId="12FD14A7" w14:textId="77777777">
      <w:pPr>
        <w:widowControl w:val="0"/>
        <w:autoSpaceDE w:val="0"/>
        <w:autoSpaceDN w:val="0"/>
        <w:spacing w:after="120" w:line="276" w:lineRule="auto"/>
        <w:jc w:val="both"/>
        <w:rPr>
          <w:rFonts w:ascii="Arial" w:hAnsi="Arial" w:eastAsia="Arial" w:cs="Arial"/>
          <w:sz w:val="21"/>
          <w:szCs w:val="21"/>
          <w:lang w:val="es-ES"/>
        </w:rPr>
      </w:pPr>
      <w:r w:rsidRPr="003568D9">
        <w:rPr>
          <w:rFonts w:ascii="Arial" w:hAnsi="Arial" w:eastAsia="Calibri" w:cs="Arial"/>
          <w:sz w:val="21"/>
          <w:szCs w:val="21"/>
          <w:lang w:val="es-ES"/>
        </w:rPr>
        <w:t xml:space="preserve">Respecto al plan Anual de Adquisiciones no forma parte de la noción de </w:t>
      </w:r>
      <w:r w:rsidRPr="003568D9">
        <w:rPr>
          <w:rFonts w:ascii="Arial" w:hAnsi="Arial" w:eastAsia="Calibri" w:cs="Arial"/>
          <w:i/>
          <w:iCs/>
          <w:sz w:val="21"/>
          <w:szCs w:val="21"/>
          <w:lang w:val="es-ES"/>
        </w:rPr>
        <w:t xml:space="preserve">Documentos del Proceso, </w:t>
      </w:r>
      <w:r w:rsidRPr="003568D9">
        <w:rPr>
          <w:rFonts w:ascii="Arial" w:hAnsi="Arial" w:eastAsia="Calibri" w:cs="Arial"/>
          <w:sz w:val="21"/>
          <w:szCs w:val="21"/>
          <w:lang w:val="es-ES"/>
        </w:rPr>
        <w:t xml:space="preserve">ni hace parte del </w:t>
      </w:r>
      <w:r w:rsidRPr="003568D9">
        <w:rPr>
          <w:rFonts w:ascii="Arial" w:hAnsi="Arial" w:eastAsia="Calibri" w:cs="Arial"/>
          <w:i/>
          <w:iCs/>
          <w:sz w:val="21"/>
          <w:szCs w:val="21"/>
          <w:lang w:val="es-ES"/>
        </w:rPr>
        <w:t>Proce</w:t>
      </w:r>
      <w:r w:rsidRPr="003568D9">
        <w:rPr>
          <w:rFonts w:ascii="Arial" w:hAnsi="Arial" w:eastAsia="Calibri" w:cs="Arial"/>
          <w:sz w:val="21"/>
          <w:szCs w:val="21"/>
          <w:lang w:val="es-ES"/>
        </w:rPr>
        <w:t xml:space="preserve">so </w:t>
      </w:r>
      <w:r w:rsidRPr="003568D9">
        <w:rPr>
          <w:rFonts w:ascii="Arial" w:hAnsi="Arial" w:eastAsia="Calibri" w:cs="Arial"/>
          <w:i/>
          <w:iCs/>
          <w:sz w:val="21"/>
          <w:szCs w:val="21"/>
          <w:lang w:val="es-ES"/>
        </w:rPr>
        <w:t>de Contratación,</w:t>
      </w:r>
      <w:r w:rsidRPr="003568D9">
        <w:rPr>
          <w:rFonts w:ascii="Arial" w:hAnsi="Arial" w:eastAsia="Calibri" w:cs="Arial"/>
          <w:sz w:val="21"/>
          <w:szCs w:val="21"/>
          <w:lang w:val="es-ES"/>
        </w:rPr>
        <w:t xml:space="preserve"> conforme al artículo 2.2.1.1.1.3.1 del Decreto 1082 de 2015, por lo que el deber de publicarlo encuentra apoyo en normas distintas del artículo 2.2.1.1.1.7.1 </w:t>
      </w:r>
      <w:r w:rsidRPr="003568D9">
        <w:rPr>
          <w:rFonts w:ascii="Arial" w:hAnsi="Arial" w:eastAsia="Calibri" w:cs="Arial"/>
          <w:i/>
          <w:iCs/>
          <w:sz w:val="21"/>
          <w:szCs w:val="21"/>
          <w:lang w:val="es-ES"/>
        </w:rPr>
        <w:t xml:space="preserve">Ibídem. </w:t>
      </w:r>
      <w:r w:rsidRPr="003568D9">
        <w:rPr>
          <w:rFonts w:ascii="Arial" w:hAnsi="Arial" w:eastAsia="Calibri" w:cs="Arial"/>
          <w:sz w:val="21"/>
          <w:szCs w:val="21"/>
          <w:lang w:val="es-ES"/>
        </w:rPr>
        <w:t>Es el artículo 74 de la Ley 1474 de 2011 el que dispone que a más tardar el 31 de enero de cada año las entidades deben publicar, en su página web, el Plan de Acción para el año siguiente; y el artículo 2.2.1.1.1.4.3 del Decreto 1082 de 2015 también exige publicarlo en la página web de la entidad y además en el SECOP; así como también lo indica el citado artículo 2.1.1.2.1.10 del Decreto 1081 de 2015.</w:t>
      </w:r>
    </w:p>
    <w:p w:rsidRPr="003568D9" w:rsidR="005D0331" w:rsidP="005D0331" w:rsidRDefault="005D0331" w14:paraId="120E06EA" w14:textId="77777777">
      <w:pPr>
        <w:tabs>
          <w:tab w:val="left" w:pos="5511"/>
        </w:tabs>
        <w:rPr>
          <w:rStyle w:val="normaltextrun"/>
          <w:rFonts w:ascii="Arial" w:hAnsi="Arial" w:cs="Arial"/>
          <w:b/>
          <w:bCs/>
          <w:color w:val="000000" w:themeColor="text1"/>
          <w:shd w:val="clear" w:color="auto" w:fill="FFFFFF"/>
          <w:lang w:val="es-ES"/>
        </w:rPr>
      </w:pPr>
    </w:p>
    <w:p w:rsidRPr="003568D9" w:rsidR="005D0331" w:rsidP="005D0331" w:rsidRDefault="005D0331" w14:paraId="3F2BF3FC" w14:textId="77777777">
      <w:pPr>
        <w:tabs>
          <w:tab w:val="left" w:pos="5511"/>
        </w:tabs>
        <w:rPr>
          <w:rStyle w:val="normaltextrun"/>
          <w:rFonts w:ascii="Arial" w:hAnsi="Arial" w:cs="Arial"/>
          <w:b/>
          <w:bCs/>
          <w:color w:val="000000" w:themeColor="text1"/>
          <w:shd w:val="clear" w:color="auto" w:fill="FFFFFF"/>
          <w:lang w:val="es-ES"/>
        </w:rPr>
      </w:pPr>
      <w:r w:rsidRPr="003568D9">
        <w:rPr>
          <w:rStyle w:val="normaltextrun"/>
          <w:rFonts w:ascii="Arial" w:hAnsi="Arial" w:cs="Arial"/>
          <w:b/>
          <w:bCs/>
          <w:color w:val="000000" w:themeColor="text1"/>
          <w:shd w:val="clear" w:color="auto" w:fill="FFFFFF"/>
          <w:lang w:val="es-ES"/>
        </w:rPr>
        <w:t>SECOP II </w:t>
      </w:r>
      <w:r w:rsidRPr="003568D9">
        <w:rPr>
          <w:rStyle w:val="normaltextrun"/>
          <w:rFonts w:ascii="Arial" w:hAnsi="Arial" w:cs="Arial"/>
          <w:b/>
          <w:bCs/>
          <w:color w:val="000000" w:themeColor="text1"/>
          <w:shd w:val="clear" w:color="auto" w:fill="FFFFFF"/>
        </w:rPr>
        <w:t>–</w:t>
      </w:r>
      <w:r w:rsidRPr="003568D9">
        <w:rPr>
          <w:rStyle w:val="normaltextrun"/>
          <w:rFonts w:ascii="Arial" w:hAnsi="Arial" w:cs="Arial"/>
          <w:b/>
          <w:bCs/>
          <w:color w:val="000000" w:themeColor="text1"/>
          <w:shd w:val="clear" w:color="auto" w:fill="FFFFFF"/>
          <w:lang w:val="es-ES"/>
        </w:rPr>
        <w:t xml:space="preserve"> Cargue </w:t>
      </w:r>
      <w:r w:rsidRPr="003568D9">
        <w:rPr>
          <w:rFonts w:ascii="Arial" w:hAnsi="Arial" w:eastAsia="Arial" w:cs="Arial"/>
          <w:b/>
          <w:bCs/>
        </w:rPr>
        <w:t>–</w:t>
      </w:r>
      <w:r w:rsidRPr="003568D9">
        <w:rPr>
          <w:rStyle w:val="normaltextrun"/>
          <w:rFonts w:ascii="Arial" w:hAnsi="Arial" w:cs="Arial"/>
          <w:b/>
          <w:bCs/>
          <w:color w:val="000000" w:themeColor="text1"/>
          <w:shd w:val="clear" w:color="auto" w:fill="FFFFFF"/>
          <w:lang w:val="es-ES"/>
        </w:rPr>
        <w:t xml:space="preserve"> Documentos adicionales </w:t>
      </w:r>
    </w:p>
    <w:p w:rsidRPr="003568D9" w:rsidR="005D0331" w:rsidP="005D0331" w:rsidRDefault="005D0331" w14:paraId="143BCE23" w14:textId="77777777">
      <w:pPr>
        <w:jc w:val="both"/>
        <w:rPr>
          <w:rStyle w:val="normaltextrun"/>
          <w:rFonts w:ascii="Arial" w:hAnsi="Arial" w:eastAsia="Times New Roman" w:cs="Arial"/>
          <w:color w:val="000000" w:themeColor="text1"/>
          <w:sz w:val="20"/>
          <w:szCs w:val="20"/>
          <w:lang w:eastAsia="es-CO"/>
        </w:rPr>
      </w:pPr>
      <w:r w:rsidRPr="003568D9">
        <w:rPr>
          <w:rStyle w:val="normaltextrun"/>
          <w:rFonts w:ascii="Arial" w:hAnsi="Arial" w:eastAsia="Times New Roman" w:cs="Arial"/>
          <w:color w:val="000000" w:themeColor="text1"/>
          <w:sz w:val="20"/>
          <w:szCs w:val="20"/>
          <w:lang w:eastAsia="es-CO"/>
        </w:rPr>
        <w:t xml:space="preserve">La plataforma SECOP II es totalmente transaccional, por lo que el trámite se realiza en línea y la publicidad de las actuaciones es concomitante, según transcurran cada una de las etapas del procedimiento, lo que descarta, en principio, la necesidad cargar documentación alguna. […] No obstante, eventualmente puede ocurrir que al SECOP II se deban cargar documentos suscritos o no por las partes. Esto ocurre, por ejemplo, con los estudios previos, el informe de evaluación, la </w:t>
      </w:r>
      <w:r w:rsidRPr="003568D9">
        <w:rPr>
          <w:rStyle w:val="normaltextrun"/>
          <w:rFonts w:ascii="Arial" w:hAnsi="Arial" w:eastAsia="Times New Roman" w:cs="Arial"/>
          <w:color w:val="000000" w:themeColor="text1"/>
          <w:sz w:val="20"/>
          <w:szCs w:val="20"/>
          <w:lang w:eastAsia="es-CO"/>
        </w:rPr>
        <w:t xml:space="preserve">resolución de adjudicación o con el clausulado del contrato, entre otras actuaciones en las que los usuarios quedan habilitados para cargar documentos en la plataforma. </w:t>
      </w:r>
    </w:p>
    <w:p w:rsidRPr="003568D9" w:rsidR="005D0331" w:rsidP="005D0331" w:rsidRDefault="005D0331" w14:paraId="555FC20C" w14:textId="77777777">
      <w:pPr>
        <w:jc w:val="both"/>
        <w:rPr>
          <w:rStyle w:val="eop"/>
          <w:rFonts w:ascii="Arial" w:hAnsi="Arial" w:cs="Arial"/>
          <w:color w:val="000000" w:themeColor="text1"/>
          <w:shd w:val="clear" w:color="auto" w:fill="FFFFFF"/>
        </w:rPr>
      </w:pPr>
      <w:r w:rsidRPr="003568D9">
        <w:rPr>
          <w:rStyle w:val="normaltextrun"/>
          <w:rFonts w:ascii="Arial" w:hAnsi="Arial" w:cs="Arial"/>
          <w:b/>
          <w:bCs/>
          <w:color w:val="000000" w:themeColor="text1"/>
          <w:shd w:val="clear" w:color="auto" w:fill="FFFFFF"/>
          <w:lang w:val="es-ES"/>
        </w:rPr>
        <w:t>SECOP II </w:t>
      </w:r>
      <w:r w:rsidRPr="003568D9">
        <w:rPr>
          <w:rStyle w:val="normaltextrun"/>
          <w:rFonts w:ascii="Arial" w:hAnsi="Arial" w:cs="Arial"/>
          <w:b/>
          <w:bCs/>
          <w:color w:val="000000" w:themeColor="text1"/>
          <w:shd w:val="clear" w:color="auto" w:fill="FFFFFF"/>
        </w:rPr>
        <w:t>–</w:t>
      </w:r>
      <w:r w:rsidRPr="003568D9">
        <w:rPr>
          <w:rStyle w:val="normaltextrun"/>
          <w:rFonts w:ascii="Arial" w:hAnsi="Arial" w:cs="Arial"/>
          <w:b/>
          <w:bCs/>
          <w:color w:val="000000" w:themeColor="text1"/>
          <w:shd w:val="clear" w:color="auto" w:fill="FFFFFF"/>
          <w:lang w:val="es-ES"/>
        </w:rPr>
        <w:t xml:space="preserve"> Cargue </w:t>
      </w:r>
      <w:r w:rsidRPr="003568D9">
        <w:rPr>
          <w:rFonts w:ascii="Arial" w:hAnsi="Arial" w:eastAsia="Arial" w:cs="Arial"/>
          <w:b/>
          <w:bCs/>
        </w:rPr>
        <w:t>–</w:t>
      </w:r>
      <w:r w:rsidRPr="003568D9">
        <w:rPr>
          <w:rStyle w:val="normaltextrun"/>
          <w:rFonts w:ascii="Arial" w:hAnsi="Arial" w:cs="Arial"/>
          <w:b/>
          <w:bCs/>
          <w:color w:val="000000" w:themeColor="text1"/>
          <w:shd w:val="clear" w:color="auto" w:fill="FFFFFF"/>
          <w:lang w:val="es-ES"/>
        </w:rPr>
        <w:t xml:space="preserve"> Documentos adicionales </w:t>
      </w:r>
      <w:r w:rsidRPr="003568D9">
        <w:rPr>
          <w:rStyle w:val="normaltextrun"/>
          <w:rFonts w:ascii="Arial" w:hAnsi="Arial" w:cs="Arial"/>
          <w:b/>
          <w:bCs/>
          <w:color w:val="000000" w:themeColor="text1"/>
          <w:shd w:val="clear" w:color="auto" w:fill="FFFFFF"/>
        </w:rPr>
        <w:t>–</w:t>
      </w:r>
      <w:r w:rsidRPr="003568D9">
        <w:rPr>
          <w:rStyle w:val="normaltextrun"/>
          <w:rFonts w:ascii="Arial" w:hAnsi="Arial" w:cs="Arial"/>
          <w:b/>
          <w:bCs/>
          <w:color w:val="000000" w:themeColor="text1"/>
          <w:shd w:val="clear" w:color="auto" w:fill="FFFFFF"/>
          <w:lang w:val="es-ES"/>
        </w:rPr>
        <w:t> Contrato electrónico</w:t>
      </w:r>
      <w:r w:rsidRPr="003568D9">
        <w:rPr>
          <w:rStyle w:val="eop"/>
          <w:rFonts w:ascii="Arial" w:hAnsi="Arial" w:cs="Arial"/>
          <w:color w:val="000000" w:themeColor="text1"/>
          <w:shd w:val="clear" w:color="auto" w:fill="FFFFFF"/>
        </w:rPr>
        <w:t> </w:t>
      </w:r>
    </w:p>
    <w:p w:rsidRPr="003568D9" w:rsidR="005D0331" w:rsidP="005D0331" w:rsidRDefault="005D0331" w14:paraId="55A41C14" w14:textId="77777777">
      <w:pPr>
        <w:jc w:val="both"/>
        <w:rPr>
          <w:rStyle w:val="normaltextrun"/>
          <w:rFonts w:ascii="Arial" w:hAnsi="Arial" w:eastAsia="Times New Roman" w:cs="Arial"/>
          <w:color w:val="000000" w:themeColor="text1"/>
          <w:sz w:val="20"/>
          <w:szCs w:val="20"/>
          <w:lang w:eastAsia="es-CO"/>
        </w:rPr>
      </w:pPr>
      <w:r w:rsidRPr="003568D9">
        <w:rPr>
          <w:rStyle w:val="normaltextrun"/>
          <w:rFonts w:ascii="Arial" w:hAnsi="Arial" w:eastAsia="Times New Roman" w:cs="Arial"/>
          <w:color w:val="000000" w:themeColor="text1"/>
          <w:sz w:val="20"/>
          <w:szCs w:val="20"/>
          <w:lang w:eastAsia="es-CO"/>
        </w:rPr>
        <w:t xml:space="preserve">La Guía para hacer la gestión contractual en el SECOP II de Colombia Compra Eficiente señala el contenido de cada sección del contrato electrónico y cómo debe ser diligenciado; no obstante, puede ocurrir que sea necesario cargar documentos que por su contenido no se reflejan en el formulario generado automáticamente por la plataforma una vez adjudicado el proceso. Lo anterior es el caso de, entre otras, el clausulado del contrato. </w:t>
      </w:r>
    </w:p>
    <w:p w:rsidRPr="003568D9" w:rsidR="005D0331" w:rsidP="005D0331" w:rsidRDefault="005D0331" w14:paraId="13D5FD51" w14:textId="77777777">
      <w:pPr>
        <w:jc w:val="both"/>
        <w:rPr>
          <w:rStyle w:val="normaltextrun"/>
          <w:rFonts w:ascii="Arial" w:hAnsi="Arial" w:eastAsia="Times New Roman" w:cs="Arial"/>
          <w:color w:val="000000" w:themeColor="text1"/>
          <w:sz w:val="20"/>
          <w:szCs w:val="20"/>
          <w:lang w:eastAsia="es-CO"/>
        </w:rPr>
      </w:pPr>
    </w:p>
    <w:p w:rsidRPr="003568D9" w:rsidR="005D0331" w:rsidP="005D0331" w:rsidRDefault="005D0331" w14:paraId="1363BBEF" w14:textId="77777777">
      <w:pPr>
        <w:jc w:val="both"/>
        <w:rPr>
          <w:rStyle w:val="normaltextrun"/>
          <w:rFonts w:ascii="Arial" w:hAnsi="Arial" w:eastAsia="Times New Roman" w:cs="Arial"/>
          <w:color w:val="000000" w:themeColor="text1"/>
          <w:sz w:val="20"/>
          <w:szCs w:val="20"/>
          <w:lang w:eastAsia="es-CO"/>
        </w:rPr>
      </w:pPr>
      <w:r w:rsidRPr="003568D9">
        <w:rPr>
          <w:rStyle w:val="normaltextrun"/>
          <w:rFonts w:ascii="Arial" w:hAnsi="Arial" w:eastAsia="Times New Roman" w:cs="Arial"/>
          <w:color w:val="000000" w:themeColor="text1"/>
          <w:sz w:val="20"/>
          <w:szCs w:val="20"/>
          <w:lang w:eastAsia="es-CO"/>
        </w:rPr>
        <w:t>Como consecuencia de lo anterior, la entidad, en los casos en que los campos generados en el contrato electrónico en edición no sean suficientes para publicar la totalidad de las cláusulas contractuales o información contractual relevante, debe cargar dicha información a través de la sección «v) documentos del contrato».</w:t>
      </w:r>
    </w:p>
    <w:p w:rsidRPr="003568D9" w:rsidR="005D0331" w:rsidP="005D0331" w:rsidRDefault="005D0331" w14:paraId="742D7971" w14:textId="77777777">
      <w:pPr>
        <w:jc w:val="both"/>
        <w:rPr>
          <w:rStyle w:val="normaltextrun"/>
          <w:rFonts w:ascii="Arial" w:hAnsi="Arial" w:eastAsia="Times New Roman" w:cs="Arial"/>
          <w:color w:val="000000" w:themeColor="text1"/>
          <w:sz w:val="20"/>
          <w:szCs w:val="20"/>
          <w:lang w:val="es-ES" w:eastAsia="es-CO"/>
        </w:rPr>
      </w:pPr>
    </w:p>
    <w:p w:rsidRPr="003568D9" w:rsidR="005D0331" w:rsidP="005D0331" w:rsidRDefault="005D0331" w14:paraId="0F98D80B" w14:textId="77777777">
      <w:pPr>
        <w:jc w:val="both"/>
        <w:rPr>
          <w:rStyle w:val="normaltextrun"/>
          <w:rFonts w:ascii="Arial" w:hAnsi="Arial" w:cs="Arial"/>
          <w:b/>
          <w:bCs/>
          <w:color w:val="000000" w:themeColor="text1"/>
          <w:shd w:val="clear" w:color="auto" w:fill="FFFFFF"/>
          <w:lang w:val="es-ES"/>
        </w:rPr>
      </w:pPr>
      <w:r w:rsidRPr="003568D9">
        <w:rPr>
          <w:rStyle w:val="normaltextrun"/>
          <w:rFonts w:ascii="Arial" w:hAnsi="Arial" w:cs="Arial"/>
          <w:b/>
          <w:bCs/>
          <w:color w:val="000000" w:themeColor="text1"/>
          <w:shd w:val="clear" w:color="auto" w:fill="FFFFFF"/>
          <w:lang w:val="es-ES"/>
        </w:rPr>
        <w:t>SECOP II </w:t>
      </w:r>
      <w:r w:rsidRPr="003568D9">
        <w:rPr>
          <w:rStyle w:val="normaltextrun"/>
          <w:rFonts w:ascii="Arial" w:hAnsi="Arial" w:cs="Arial"/>
          <w:b/>
          <w:bCs/>
          <w:color w:val="000000" w:themeColor="text1"/>
          <w:shd w:val="clear" w:color="auto" w:fill="FFFFFF"/>
        </w:rPr>
        <w:t>–</w:t>
      </w:r>
      <w:r w:rsidRPr="003568D9">
        <w:rPr>
          <w:rStyle w:val="normaltextrun"/>
          <w:rFonts w:ascii="Arial" w:hAnsi="Arial" w:cs="Arial"/>
          <w:b/>
          <w:bCs/>
          <w:color w:val="000000" w:themeColor="text1"/>
          <w:shd w:val="clear" w:color="auto" w:fill="FFFFFF"/>
          <w:lang w:val="es-ES"/>
        </w:rPr>
        <w:t> Contrato electrónico ‒ Composición</w:t>
      </w:r>
    </w:p>
    <w:p w:rsidRPr="003568D9" w:rsidR="005D0331" w:rsidP="005D0331" w:rsidRDefault="005D0331" w14:paraId="75A4D85D" w14:textId="77777777">
      <w:pPr>
        <w:jc w:val="both"/>
        <w:rPr>
          <w:rStyle w:val="normaltextrun"/>
          <w:rFonts w:ascii="Arial" w:hAnsi="Arial" w:eastAsia="Times New Roman" w:cs="Arial"/>
          <w:color w:val="000000" w:themeColor="text1"/>
          <w:sz w:val="20"/>
          <w:szCs w:val="20"/>
          <w:lang w:eastAsia="es-CO"/>
        </w:rPr>
      </w:pPr>
      <w:r w:rsidRPr="003568D9">
        <w:rPr>
          <w:rStyle w:val="normaltextrun"/>
          <w:rFonts w:ascii="Arial" w:hAnsi="Arial" w:eastAsia="Times New Roman" w:cs="Arial"/>
          <w:color w:val="000000" w:themeColor="text1"/>
          <w:sz w:val="20"/>
          <w:szCs w:val="20"/>
          <w:lang w:eastAsia="es-CO"/>
        </w:rPr>
        <w:t xml:space="preserve">De esta forma, los contratos en SECOP II están compuestos por: i) los mensajes de datos que la entidad envía al proveedor como «contrato», es decir, el formulario ‒correspondiente a las nueve secciones mencionadas‒, y los anexos ‒documentos que se cargan en la sección «v) documentos del contrato»‒ y, ii) por el mensaje de datos de aceptación por parte del proveedor, información que, sumada al sello de tiempo que provee la plataforma, configura el contrato electrónico, el cual tiene plena validez y fuerza obligatoria.  </w:t>
      </w:r>
    </w:p>
    <w:p w:rsidRPr="003568D9" w:rsidR="005D0331" w:rsidP="005D0331" w:rsidRDefault="005D0331" w14:paraId="396528D4" w14:textId="77777777">
      <w:pPr>
        <w:spacing w:after="0"/>
        <w:rPr>
          <w:rFonts w:ascii="Arial" w:hAnsi="Arial" w:eastAsia="Geomanist Light" w:cs="Arial"/>
          <w:lang w:val="es-MX"/>
        </w:rPr>
      </w:pPr>
    </w:p>
    <w:p w:rsidRPr="003568D9" w:rsidR="005D0331" w:rsidP="005D0331" w:rsidRDefault="005D0331" w14:paraId="78DC2E58" w14:textId="77777777">
      <w:pPr>
        <w:spacing w:after="0"/>
        <w:rPr>
          <w:rFonts w:ascii="Arial" w:hAnsi="Arial" w:eastAsia="Geomanist Light" w:cs="Arial"/>
          <w:lang w:val="es-MX"/>
        </w:rPr>
      </w:pPr>
    </w:p>
    <w:p w:rsidR="005D0331" w:rsidP="005D0331" w:rsidRDefault="005D0331" w14:paraId="31EAE44D" w14:textId="57808367">
      <w:pPr>
        <w:spacing w:after="0"/>
        <w:rPr>
          <w:rFonts w:ascii="Arial" w:hAnsi="Arial" w:eastAsia="Geomanist Light" w:cs="Arial"/>
          <w:lang w:val="es-MX"/>
        </w:rPr>
      </w:pPr>
      <w:r w:rsidRPr="003568D9">
        <w:rPr>
          <w:rFonts w:ascii="Arial" w:hAnsi="Arial" w:eastAsia="Geomanist Light" w:cs="Arial"/>
          <w:lang w:val="es-MX"/>
        </w:rPr>
        <w:t>Bogotá D.C., </w:t>
      </w:r>
      <w:r w:rsidR="004D1F52">
        <w:rPr>
          <w:rFonts w:ascii="Arial" w:hAnsi="Arial" w:eastAsia="Geomanist Light" w:cs="Arial"/>
          <w:lang w:val="es-MX"/>
        </w:rPr>
        <w:t xml:space="preserve"> </w:t>
      </w:r>
      <w:r w:rsidR="006930D6">
        <w:rPr>
          <w:rFonts w:ascii="Arial" w:hAnsi="Arial" w:eastAsia="Geomanist Light" w:cs="Arial"/>
          <w:lang w:val="es-MX"/>
        </w:rPr>
        <w:t xml:space="preserve">21 de septiembre de 2023 </w:t>
      </w:r>
    </w:p>
    <w:p w:rsidR="006930D6" w:rsidP="005D0331" w:rsidRDefault="006930D6" w14:paraId="783DE68C" w14:textId="4DF48B2A">
      <w:pPr>
        <w:spacing w:after="0"/>
        <w:rPr>
          <w:rFonts w:ascii="Arial" w:hAnsi="Arial" w:eastAsia="Geomanist Light" w:cs="Arial"/>
          <w:lang w:val="es-MX"/>
        </w:rPr>
      </w:pPr>
    </w:p>
    <w:p w:rsidR="006930D6" w:rsidP="006930D6" w:rsidRDefault="006930D6" w14:paraId="398BB974" w14:textId="08132364">
      <w:pPr>
        <w:spacing w:after="0"/>
        <w:jc w:val="right"/>
        <w:rPr>
          <w:rFonts w:ascii="Arial" w:hAnsi="Arial" w:eastAsia="Geomanist Light" w:cs="Arial"/>
          <w:lang w:val="es-MX"/>
        </w:rPr>
      </w:pPr>
      <w:r w:rsidRPr="006930D6">
        <w:rPr>
          <w:rFonts w:ascii="Arial" w:hAnsi="Arial" w:eastAsia="Geomanist Light" w:cs="Arial"/>
          <w:lang w:val="es-MX"/>
        </w:rPr>
        <w:drawing>
          <wp:inline distT="0" distB="0" distL="0" distR="0" wp14:anchorId="61415FFC" wp14:editId="240C2A47">
            <wp:extent cx="3086531" cy="8383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6531" cy="838317"/>
                    </a:xfrm>
                    <a:prstGeom prst="rect">
                      <a:avLst/>
                    </a:prstGeom>
                  </pic:spPr>
                </pic:pic>
              </a:graphicData>
            </a:graphic>
          </wp:inline>
        </w:drawing>
      </w:r>
    </w:p>
    <w:p w:rsidR="00B80E85" w:rsidP="005D0331" w:rsidRDefault="00B80E85" w14:paraId="721B4C9A" w14:textId="77777777">
      <w:pPr>
        <w:spacing w:after="0"/>
        <w:rPr>
          <w:rFonts w:ascii="Arial" w:hAnsi="Arial" w:eastAsia="Geomanist Light" w:cs="Arial"/>
          <w:lang w:val="es-MX"/>
        </w:rPr>
      </w:pPr>
    </w:p>
    <w:p w:rsidRPr="003568D9" w:rsidR="00B80E85" w:rsidP="00B80E85" w:rsidRDefault="00B80E85" w14:paraId="45A1E8B0" w14:textId="29E626D4">
      <w:pPr>
        <w:spacing w:after="0"/>
        <w:jc w:val="right"/>
        <w:rPr>
          <w:rFonts w:ascii="Arial" w:hAnsi="Arial" w:eastAsia="Geomanist Light" w:cs="Arial"/>
          <w:lang w:val="es-MX"/>
        </w:rPr>
      </w:pPr>
    </w:p>
    <w:p w:rsidRPr="003568D9" w:rsidR="005D0331" w:rsidP="005D0331" w:rsidRDefault="005D0331" w14:paraId="1B451B0B" w14:textId="77777777">
      <w:pPr>
        <w:spacing w:after="0" w:line="240" w:lineRule="auto"/>
        <w:contextualSpacing/>
        <w:jc w:val="both"/>
        <w:rPr>
          <w:rFonts w:ascii="Arial" w:hAnsi="Arial" w:eastAsia="Calibri" w:cs="Arial"/>
        </w:rPr>
      </w:pPr>
    </w:p>
    <w:bookmarkEnd w:id="0"/>
    <w:bookmarkEnd w:id="1"/>
    <w:bookmarkEnd w:id="2"/>
    <w:bookmarkEnd w:id="3"/>
    <w:bookmarkEnd w:id="4"/>
    <w:p w:rsidR="007D2DC3" w:rsidP="007D2DC3" w:rsidRDefault="007D2DC3" w14:paraId="4DB3F03F" w14:textId="77777777">
      <w:pPr>
        <w:spacing w:after="0" w:line="276" w:lineRule="auto"/>
        <w:contextualSpacing/>
        <w:jc w:val="both"/>
        <w:rPr>
          <w:rFonts w:ascii="Arial" w:hAnsi="Arial" w:eastAsia="Calibri" w:cs="Arial"/>
        </w:rPr>
      </w:pPr>
      <w:r>
        <w:rPr>
          <w:rFonts w:ascii="Arial" w:hAnsi="Arial" w:eastAsia="Calibri" w:cs="Arial"/>
        </w:rPr>
        <w:t>Señor</w:t>
      </w:r>
    </w:p>
    <w:p w:rsidR="007D2DC3" w:rsidP="007D2DC3" w:rsidRDefault="007D2DC3" w14:paraId="0B14800D" w14:textId="77777777">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Daniel Guillermo Villafañe Riaño</w:t>
      </w:r>
    </w:p>
    <w:p w:rsidR="007D2DC3" w:rsidP="007D2DC3" w:rsidRDefault="007D2DC3" w14:paraId="2C811A10" w14:textId="77777777">
      <w:pPr>
        <w:spacing w:after="0" w:line="276" w:lineRule="auto"/>
        <w:contextualSpacing/>
        <w:jc w:val="both"/>
        <w:rPr>
          <w:rFonts w:ascii="Arial" w:hAnsi="Arial" w:eastAsia="Calibri" w:cs="Arial"/>
        </w:rPr>
      </w:pPr>
      <w:r>
        <w:rPr>
          <w:rFonts w:ascii="ArialMT" w:hAnsi="ArialMT" w:cs="ArialMT"/>
          <w:sz w:val="24"/>
          <w:szCs w:val="24"/>
        </w:rPr>
        <w:t xml:space="preserve">Ciudad </w:t>
      </w:r>
    </w:p>
    <w:p w:rsidR="007D2DC3" w:rsidP="007D2DC3" w:rsidRDefault="007D2DC3" w14:paraId="6FD19926" w14:textId="77777777">
      <w:pPr>
        <w:spacing w:after="0" w:line="276" w:lineRule="auto"/>
        <w:contextualSpacing/>
        <w:jc w:val="both"/>
        <w:rPr>
          <w:rFonts w:ascii="Arial" w:hAnsi="Arial" w:eastAsia="Calibri" w:cs="Arial"/>
        </w:rPr>
      </w:pPr>
    </w:p>
    <w:p w:rsidR="007D2DC3" w:rsidP="007D2DC3" w:rsidRDefault="007D2DC3" w14:paraId="56ED2FA1" w14:textId="77777777">
      <w:pPr>
        <w:spacing w:after="0" w:line="240" w:lineRule="auto"/>
        <w:contextualSpacing/>
        <w:jc w:val="both"/>
        <w:rPr>
          <w:rFonts w:ascii="Arial" w:hAnsi="Arial" w:eastAsia="Calibri" w:cs="Arial"/>
        </w:rPr>
      </w:pPr>
      <w:r>
        <w:rPr>
          <w:rFonts w:ascii="Arial" w:hAnsi="Arial" w:eastAsia="Calibri" w:cs="Arial"/>
        </w:rPr>
        <w:t xml:space="preserve">                                            </w:t>
      </w:r>
      <w:r>
        <w:rPr>
          <w:rFonts w:ascii="Arial" w:hAnsi="Arial" w:eastAsia="Calibri" w:cs="Arial"/>
          <w:b/>
        </w:rPr>
        <w:t>Concepto C–381 de 2023</w:t>
      </w:r>
    </w:p>
    <w:p w:rsidR="007D2DC3" w:rsidP="007D2DC3" w:rsidRDefault="007D2DC3" w14:paraId="644911D2" w14:textId="77777777">
      <w:pPr>
        <w:spacing w:after="0" w:line="240" w:lineRule="auto"/>
        <w:contextualSpacing/>
        <w:jc w:val="both"/>
        <w:rPr>
          <w:rFonts w:ascii="Arial" w:hAnsi="Arial" w:eastAsia="Calibri" w:cs="Arial"/>
          <w:b/>
        </w:rPr>
      </w:pPr>
    </w:p>
    <w:p w:rsidR="007D2DC3" w:rsidP="007D2DC3" w:rsidRDefault="007D2DC3" w14:paraId="623D996D" w14:textId="77777777">
      <w:pPr>
        <w:spacing w:after="0" w:line="240" w:lineRule="auto"/>
        <w:contextualSpacing/>
        <w:jc w:val="both"/>
        <w:rPr>
          <w:rFonts w:ascii="Arial" w:hAnsi="Arial" w:eastAsia="Calibri" w:cs="Arial"/>
          <w:b/>
        </w:rPr>
      </w:pPr>
    </w:p>
    <w:tbl>
      <w:tblPr>
        <w:tblStyle w:val="Tablaconcuadrcula1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007D2DC3" w:rsidTr="34627554" w14:paraId="35D6AA28" w14:textId="77777777">
        <w:trPr>
          <w:trHeight w:val="485"/>
        </w:trPr>
        <w:tc>
          <w:tcPr>
            <w:tcW w:w="2689" w:type="dxa"/>
            <w:tcMar/>
            <w:hideMark/>
          </w:tcPr>
          <w:p w:rsidR="007D2DC3" w:rsidP="00943D18" w:rsidRDefault="007D2DC3" w14:paraId="7033D944" w14:textId="77777777">
            <w:pPr>
              <w:rPr>
                <w:rFonts w:ascii="Arial" w:hAnsi="Arial" w:eastAsia="Calibri" w:cs="Arial"/>
                <w:noProof/>
                <w:lang w:val="es-ES_tradnl"/>
              </w:rPr>
            </w:pPr>
            <w:r>
              <w:rPr>
                <w:rFonts w:ascii="Arial" w:hAnsi="Arial" w:eastAsia="Calibri" w:cs="Arial"/>
                <w:b/>
                <w:noProof/>
                <w:lang w:val="es-ES_tradnl"/>
              </w:rPr>
              <w:t>Temas:</w:t>
            </w:r>
            <w:r>
              <w:rPr>
                <w:rFonts w:ascii="Arial" w:hAnsi="Arial" w:eastAsia="Calibri" w:cs="Arial"/>
                <w:noProof/>
                <w:lang w:val="es-ES_tradnl"/>
              </w:rPr>
              <w:t xml:space="preserve">        </w:t>
            </w:r>
          </w:p>
        </w:tc>
        <w:tc>
          <w:tcPr>
            <w:tcW w:w="6237" w:type="dxa"/>
            <w:tcMar/>
          </w:tcPr>
          <w:p w:rsidR="007D2DC3" w:rsidP="00943D18" w:rsidRDefault="007D2DC3" w14:paraId="1022EA69" w14:textId="77777777">
            <w:pPr>
              <w:jc w:val="both"/>
              <w:rPr>
                <w:rFonts w:ascii="Arial" w:hAnsi="Arial" w:eastAsia="Calibri" w:cs="Arial"/>
                <w:lang w:val="es-ES"/>
              </w:rPr>
            </w:pPr>
            <w:r w:rsidRPr="34627554" w:rsidR="007D2DC3">
              <w:rPr>
                <w:rStyle w:val="normaltextrun"/>
                <w:rFonts w:ascii="Arial" w:hAnsi="Arial" w:cs="Arial"/>
                <w:color w:val="000000" w:themeColor="text1"/>
                <w:shd w:val="clear" w:color="auto" w:fill="FFFFFF"/>
                <w:lang w:val="es-ES"/>
              </w:rPr>
              <w:t>SECOP II </w:t>
            </w:r>
            <w:r w:rsidRPr="34627554" w:rsidR="007D2DC3">
              <w:rPr>
                <w:rStyle w:val="normaltextrun"/>
                <w:rFonts w:ascii="Arial" w:hAnsi="Arial" w:cs="Arial"/>
                <w:color w:val="000000" w:themeColor="text1"/>
                <w:shd w:val="clear" w:color="auto" w:fill="FFFFFF"/>
              </w:rPr>
              <w:t>–</w:t>
            </w:r>
            <w:r w:rsidRPr="34627554" w:rsidR="007D2DC3">
              <w:rPr>
                <w:rStyle w:val="normaltextrun"/>
                <w:rFonts w:ascii="Arial" w:hAnsi="Arial" w:cs="Arial"/>
                <w:color w:val="000000" w:themeColor="text1"/>
                <w:shd w:val="clear" w:color="auto" w:fill="FFFFFF"/>
                <w:lang w:val="es-ES"/>
              </w:rPr>
              <w:t xml:space="preserve"> Cargue de documentos adicionales </w:t>
            </w:r>
            <w:r w:rsidRPr="34627554" w:rsidR="007D2DC3">
              <w:rPr>
                <w:rStyle w:val="normaltextrun"/>
                <w:rFonts w:ascii="Arial" w:hAnsi="Arial" w:cs="Arial"/>
                <w:color w:val="000000" w:themeColor="text1"/>
                <w:shd w:val="clear" w:color="auto" w:fill="FFFFFF"/>
              </w:rPr>
              <w:t>–</w:t>
            </w:r>
            <w:r w:rsidRPr="34627554" w:rsidR="007D2DC3">
              <w:rPr>
                <w:rStyle w:val="normaltextrun"/>
                <w:rFonts w:ascii="Arial" w:hAnsi="Arial" w:cs="Arial"/>
                <w:color w:val="000000" w:themeColor="text1"/>
                <w:shd w:val="clear" w:color="auto" w:fill="FFFFFF"/>
                <w:lang w:val="es-ES"/>
              </w:rPr>
              <w:t> Contrato electrónico</w:t>
            </w:r>
            <w:r w:rsidR="007D2DC3">
              <w:rPr>
                <w:rStyle w:val="eop"/>
                <w:rFonts w:ascii="Arial" w:hAnsi="Arial" w:cs="Arial"/>
                <w:color w:val="000000" w:themeColor="text1"/>
                <w:shd w:val="clear" w:color="auto" w:fill="FFFFFF"/>
              </w:rPr>
              <w:t xml:space="preserve"> / </w:t>
            </w:r>
            <w:r w:rsidRPr="34627554" w:rsidR="007D2DC3">
              <w:rPr>
                <w:rStyle w:val="normaltextrun"/>
                <w:rFonts w:ascii="Arial" w:hAnsi="Arial" w:cs="Arial"/>
                <w:color w:val="000000" w:themeColor="text1"/>
                <w:shd w:val="clear" w:color="auto" w:fill="FFFFFF"/>
                <w:lang w:val="es-ES"/>
              </w:rPr>
              <w:t>SECOP II </w:t>
            </w:r>
            <w:r w:rsidRPr="34627554" w:rsidR="007D2DC3">
              <w:rPr>
                <w:rStyle w:val="normaltextrun"/>
                <w:rFonts w:ascii="Arial" w:hAnsi="Arial" w:cs="Arial"/>
                <w:color w:val="000000" w:themeColor="text1"/>
                <w:shd w:val="clear" w:color="auto" w:fill="FFFFFF"/>
              </w:rPr>
              <w:t>–</w:t>
            </w:r>
            <w:r w:rsidRPr="34627554" w:rsidR="007D2DC3">
              <w:rPr>
                <w:rStyle w:val="normaltextrun"/>
                <w:rFonts w:ascii="Arial" w:hAnsi="Arial" w:cs="Arial"/>
                <w:color w:val="000000" w:themeColor="text1"/>
                <w:shd w:val="clear" w:color="auto" w:fill="FFFFFF"/>
                <w:lang w:val="es-ES"/>
              </w:rPr>
              <w:t xml:space="preserve"> CONTRATO ELECTRÓNICO ‒ Composición / </w:t>
            </w:r>
            <w:r w:rsidRPr="34627554" w:rsidR="007D2DC3">
              <w:rPr>
                <w:rStyle w:val="normaltextrun"/>
                <w:rFonts w:ascii="Arial" w:hAnsi="Arial" w:cs="Arial"/>
                <w:color w:val="000000" w:themeColor="text1"/>
                <w:shd w:val="clear" w:color="auto" w:fill="FFFFFF"/>
              </w:rPr>
              <w:t>SECOP – Prohibición de duplicar información</w:t>
            </w:r>
            <w:r w:rsidR="007D2DC3">
              <w:rPr>
                <w:rStyle w:val="eop"/>
                <w:rFonts w:ascii="Arial" w:hAnsi="Arial" w:cs="Arial"/>
                <w:color w:val="000000" w:themeColor="text1"/>
                <w:shd w:val="clear" w:color="auto" w:fill="FFFFFF"/>
              </w:rPr>
              <w:t> </w:t>
            </w:r>
            <w:r w:rsidR="007D2DC3">
              <w:rPr>
                <w:rStyle w:val="normaltextrun"/>
                <w:rFonts w:ascii="Arial" w:hAnsi="Arial" w:eastAsia="Times New Roman" w:cs="Arial"/>
                <w:color w:val="000000" w:themeColor="text1"/>
                <w:sz w:val="20"/>
                <w:szCs w:val="20"/>
                <w:lang w:eastAsia="es-CO"/>
              </w:rPr>
              <w:t>/</w:t>
            </w:r>
            <w:r w:rsidR="007D2DC3">
              <w:rPr>
                <w:rFonts w:ascii="Arial" w:hAnsi="Arial" w:eastAsia="Calibri" w:cs="Arial"/>
                <w:lang w:val="es-ES"/>
              </w:rPr>
              <w:t xml:space="preserve"> DOCUMENTOS DEL PROCESO – Noción – Deber de publicación/  </w:t>
            </w:r>
          </w:p>
          <w:p w:rsidR="007D2DC3" w:rsidP="00943D18" w:rsidRDefault="007D2DC3" w14:paraId="2687766B" w14:textId="77777777">
            <w:pPr>
              <w:jc w:val="both"/>
              <w:rPr>
                <w:rFonts w:ascii="Arial" w:hAnsi="Arial" w:eastAsia="Calibri" w:cs="Arial"/>
                <w:b/>
                <w:bCs/>
                <w:lang w:val="es-MX"/>
              </w:rPr>
            </w:pPr>
          </w:p>
        </w:tc>
      </w:tr>
      <w:tr w:rsidR="007D2DC3" w:rsidTr="34627554" w14:paraId="2734E220" w14:textId="77777777">
        <w:tc>
          <w:tcPr>
            <w:tcW w:w="2689" w:type="dxa"/>
            <w:tcMar/>
            <w:hideMark/>
          </w:tcPr>
          <w:p w:rsidR="007D2DC3" w:rsidP="00943D18" w:rsidRDefault="007D2DC3" w14:paraId="074A9EB8" w14:textId="77777777">
            <w:pPr>
              <w:rPr>
                <w:rFonts w:ascii="Arial" w:hAnsi="Arial" w:eastAsia="Calibri" w:cs="Arial"/>
                <w:b/>
                <w:noProof/>
                <w:lang w:val="es-ES_tradnl"/>
              </w:rPr>
            </w:pPr>
            <w:r>
              <w:rPr>
                <w:rFonts w:ascii="Arial" w:hAnsi="Arial" w:eastAsia="Calibri" w:cs="Arial"/>
                <w:b/>
                <w:noProof/>
                <w:lang w:val="es-ES_tradnl"/>
              </w:rPr>
              <w:t xml:space="preserve"> Radicación:</w:t>
            </w:r>
            <w:r>
              <w:rPr>
                <w:rFonts w:ascii="Arial" w:hAnsi="Arial" w:eastAsia="Calibri" w:cs="Arial"/>
                <w:noProof/>
                <w:lang w:val="es-ES_tradnl"/>
              </w:rPr>
              <w:t xml:space="preserve">                              </w:t>
            </w:r>
          </w:p>
        </w:tc>
        <w:tc>
          <w:tcPr>
            <w:tcW w:w="6237" w:type="dxa"/>
            <w:tcMar/>
            <w:hideMark/>
          </w:tcPr>
          <w:p w:rsidR="007D2DC3" w:rsidP="00943D18" w:rsidRDefault="007D2DC3" w14:paraId="54B7B8AF" w14:textId="77777777">
            <w:pPr>
              <w:jc w:val="both"/>
              <w:rPr>
                <w:rFonts w:ascii="Arial" w:hAnsi="Arial" w:eastAsia="Calibri" w:cs="Arial"/>
                <w:noProof/>
                <w:lang w:val="es-ES_tradnl"/>
              </w:rPr>
            </w:pPr>
            <w:r>
              <w:rPr>
                <w:rFonts w:ascii="Arial" w:hAnsi="Arial" w:eastAsia="Calibri" w:cs="Arial"/>
                <w:noProof/>
                <w:lang w:val="es-ES_tradnl"/>
              </w:rPr>
              <w:t>Respuesta a consulta P20230809014057</w:t>
            </w:r>
            <w:r>
              <w:rPr>
                <w:rFonts w:ascii="Arial" w:hAnsi="Arial" w:eastAsia="Calibri" w:cs="Arial"/>
                <w:noProof/>
                <w:lang w:val="es-ES_tradnl"/>
              </w:rPr>
              <w:tab/>
            </w:r>
            <w:r>
              <w:rPr>
                <w:rFonts w:ascii="Arial" w:hAnsi="Arial" w:eastAsia="Calibri" w:cs="Arial"/>
                <w:noProof/>
                <w:lang w:val="es-ES_tradnl"/>
              </w:rPr>
              <w:tab/>
            </w:r>
            <w:r>
              <w:rPr>
                <w:rFonts w:ascii="Arial" w:hAnsi="Arial" w:eastAsia="Calibri" w:cs="Arial"/>
                <w:noProof/>
                <w:lang w:val="es-ES_tradnl"/>
              </w:rPr>
              <w:tab/>
            </w:r>
            <w:r>
              <w:rPr>
                <w:rFonts w:ascii="Arial" w:hAnsi="Arial" w:eastAsia="Calibri" w:cs="Arial"/>
                <w:noProof/>
                <w:lang w:val="es-ES_tradnl"/>
              </w:rPr>
              <w:tab/>
            </w:r>
            <w:r>
              <w:rPr>
                <w:rFonts w:ascii="Arial" w:hAnsi="Arial" w:eastAsia="Calibri" w:cs="Arial"/>
                <w:noProof/>
                <w:lang w:val="es-ES_tradnl"/>
              </w:rPr>
              <w:tab/>
            </w:r>
          </w:p>
        </w:tc>
      </w:tr>
    </w:tbl>
    <w:p w:rsidR="007D2DC3" w:rsidP="007D2DC3" w:rsidRDefault="007D2DC3" w14:paraId="32D3A338" w14:textId="77777777">
      <w:pPr>
        <w:spacing w:after="0" w:line="240" w:lineRule="auto"/>
        <w:contextualSpacing/>
        <w:jc w:val="both"/>
        <w:rPr>
          <w:rFonts w:ascii="Arial" w:hAnsi="Arial" w:eastAsia="Calibri" w:cs="Arial"/>
        </w:rPr>
      </w:pPr>
    </w:p>
    <w:p w:rsidR="007D2DC3" w:rsidP="007D2DC3" w:rsidRDefault="007D2DC3" w14:paraId="7C295AA8" w14:textId="77777777">
      <w:pPr>
        <w:spacing w:after="0" w:line="240" w:lineRule="auto"/>
        <w:contextualSpacing/>
        <w:jc w:val="both"/>
        <w:rPr>
          <w:rFonts w:ascii="Arial" w:hAnsi="Arial" w:eastAsia="Calibri" w:cs="Arial"/>
        </w:rPr>
      </w:pPr>
    </w:p>
    <w:p w:rsidR="007D2DC3" w:rsidP="007D2DC3" w:rsidRDefault="007D2DC3" w14:paraId="5987CB87" w14:textId="77777777">
      <w:pPr>
        <w:spacing w:after="0" w:line="276" w:lineRule="auto"/>
        <w:contextualSpacing/>
        <w:jc w:val="both"/>
        <w:rPr>
          <w:rFonts w:ascii="Arial" w:hAnsi="Arial" w:eastAsia="Calibri" w:cs="Arial"/>
        </w:rPr>
      </w:pPr>
      <w:r>
        <w:rPr>
          <w:rFonts w:ascii="Arial" w:hAnsi="Arial" w:eastAsia="Calibri" w:cs="Arial"/>
        </w:rPr>
        <w:t>Estimado señor Villafañe:</w:t>
      </w:r>
    </w:p>
    <w:p w:rsidR="007D2DC3" w:rsidP="007D2DC3" w:rsidRDefault="007D2DC3" w14:paraId="4997D47B" w14:textId="77777777">
      <w:pPr>
        <w:spacing w:after="0" w:line="276" w:lineRule="auto"/>
        <w:ind w:firstLine="709"/>
        <w:contextualSpacing/>
        <w:jc w:val="both"/>
        <w:rPr>
          <w:rFonts w:ascii="Arial" w:hAnsi="Arial" w:eastAsia="Calibri" w:cs="Arial"/>
        </w:rPr>
      </w:pPr>
    </w:p>
    <w:p w:rsidR="007D2DC3" w:rsidP="007D2DC3" w:rsidRDefault="007D2DC3" w14:paraId="60BF55BD" w14:textId="77777777">
      <w:pPr>
        <w:spacing w:after="0" w:line="276" w:lineRule="auto"/>
        <w:contextualSpacing/>
        <w:jc w:val="both"/>
        <w:rPr>
          <w:rFonts w:ascii="Arial" w:hAnsi="Arial" w:eastAsia="Calibri" w:cs="Arial"/>
        </w:rPr>
      </w:pPr>
      <w:r>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su consulta recibida el 9 de agosto de 2023. </w:t>
      </w:r>
    </w:p>
    <w:p w:rsidR="007D2DC3" w:rsidP="007D2DC3" w:rsidRDefault="007D2DC3" w14:paraId="27491272" w14:textId="77777777">
      <w:pPr>
        <w:spacing w:after="0" w:line="276" w:lineRule="auto"/>
        <w:contextualSpacing/>
        <w:jc w:val="both"/>
        <w:rPr>
          <w:rFonts w:ascii="Arial" w:hAnsi="Arial" w:eastAsia="Calibri" w:cs="Arial"/>
        </w:rPr>
      </w:pPr>
    </w:p>
    <w:p w:rsidR="007D2DC3" w:rsidP="007D2DC3" w:rsidRDefault="007D2DC3" w14:paraId="395570A3" w14:textId="77777777">
      <w:pPr>
        <w:tabs>
          <w:tab w:val="left" w:pos="284"/>
        </w:tabs>
        <w:spacing w:after="0" w:line="276" w:lineRule="auto"/>
        <w:contextualSpacing/>
        <w:jc w:val="both"/>
        <w:rPr>
          <w:rFonts w:ascii="Arial" w:hAnsi="Arial" w:eastAsia="Calibri" w:cs="Arial"/>
          <w:b/>
        </w:rPr>
      </w:pPr>
      <w:r>
        <w:rPr>
          <w:rFonts w:ascii="Arial" w:hAnsi="Arial" w:eastAsia="Calibri" w:cs="Arial"/>
          <w:b/>
        </w:rPr>
        <w:t xml:space="preserve">1. Problema planteado </w:t>
      </w:r>
    </w:p>
    <w:p w:rsidR="007D2DC3" w:rsidP="007D2DC3" w:rsidRDefault="007D2DC3" w14:paraId="1DCEF329" w14:textId="77777777">
      <w:pPr>
        <w:tabs>
          <w:tab w:val="left" w:pos="284"/>
        </w:tabs>
        <w:spacing w:after="0" w:line="276" w:lineRule="auto"/>
        <w:ind w:firstLine="709"/>
        <w:contextualSpacing/>
        <w:jc w:val="both"/>
        <w:rPr>
          <w:rFonts w:ascii="Arial" w:hAnsi="Arial" w:eastAsia="Calibri" w:cs="Arial"/>
          <w:b/>
        </w:rPr>
      </w:pPr>
    </w:p>
    <w:p w:rsidR="007D2DC3" w:rsidP="007D2DC3" w:rsidRDefault="007D2DC3" w14:paraId="27532C7C" w14:textId="77777777">
      <w:pPr>
        <w:spacing w:after="0" w:line="276" w:lineRule="auto"/>
        <w:contextualSpacing/>
        <w:jc w:val="both"/>
        <w:rPr>
          <w:rFonts w:ascii="Arial" w:hAnsi="Arial" w:eastAsia="Calibri" w:cs="Arial"/>
        </w:rPr>
      </w:pPr>
      <w:bookmarkStart w:name="_Hlk58917991" w:id="5"/>
      <w:bookmarkStart w:name="_Hlk56103000" w:id="6"/>
      <w:r>
        <w:rPr>
          <w:rFonts w:ascii="Arial" w:hAnsi="Arial" w:eastAsia="Calibri" w:cs="Arial"/>
        </w:rPr>
        <w:t xml:space="preserve">Usted realiza la siguiente consulta: </w:t>
      </w:r>
      <w:bookmarkStart w:name="_Hlk133573383" w:id="7"/>
      <w:bookmarkStart w:name="_Hlk116284008" w:id="8"/>
    </w:p>
    <w:p w:rsidR="007D2DC3" w:rsidP="007D2DC3" w:rsidRDefault="007D2DC3" w14:paraId="3CDE5A8D" w14:textId="77777777">
      <w:pPr>
        <w:spacing w:after="0" w:line="276" w:lineRule="auto"/>
        <w:contextualSpacing/>
        <w:jc w:val="both"/>
        <w:rPr>
          <w:rFonts w:ascii="Arial" w:hAnsi="Arial" w:eastAsia="Calibri" w:cs="Arial"/>
        </w:rPr>
      </w:pPr>
    </w:p>
    <w:p w:rsidR="007D2DC3" w:rsidP="007D2DC3" w:rsidRDefault="007D2DC3" w14:paraId="3944B455" w14:textId="77777777">
      <w:pPr>
        <w:spacing w:before="120" w:after="0" w:line="240" w:lineRule="auto"/>
        <w:ind w:left="709" w:right="709"/>
        <w:contextualSpacing/>
        <w:jc w:val="both"/>
        <w:rPr>
          <w:rFonts w:ascii="Arial" w:hAnsi="Arial" w:eastAsia="Calibri" w:cs="Arial"/>
          <w:sz w:val="21"/>
          <w:szCs w:val="21"/>
        </w:rPr>
      </w:pPr>
      <w:r>
        <w:rPr>
          <w:rFonts w:ascii="Arial" w:hAnsi="Arial" w:eastAsia="Calibri" w:cs="Arial"/>
          <w:sz w:val="21"/>
          <w:szCs w:val="21"/>
        </w:rPr>
        <w:t xml:space="preserve">“Los documentos que hacen parte de un proceso contractual de una entidad pública referente a una concesión realizada con un privado, que no afecta o impacta el presupuesto de la entidad y por tanto, no se encuentra estipulada en el Plan Anual de Adquisiciones, deben subirse a la plataforma de SECOP II”. </w:t>
      </w:r>
    </w:p>
    <w:p w:rsidR="007D2DC3" w:rsidP="007D2DC3" w:rsidRDefault="007D2DC3" w14:paraId="1BC6E3F1" w14:textId="77777777">
      <w:pPr>
        <w:spacing w:before="120" w:after="0" w:line="240" w:lineRule="auto"/>
        <w:ind w:left="709" w:right="709"/>
        <w:contextualSpacing/>
        <w:jc w:val="both"/>
        <w:rPr>
          <w:rFonts w:ascii="Arial" w:hAnsi="Arial" w:eastAsia="Calibri" w:cs="Arial"/>
          <w:sz w:val="21"/>
          <w:szCs w:val="21"/>
        </w:rPr>
      </w:pPr>
    </w:p>
    <w:bookmarkEnd w:id="5"/>
    <w:bookmarkEnd w:id="6"/>
    <w:bookmarkEnd w:id="7"/>
    <w:bookmarkEnd w:id="8"/>
    <w:p w:rsidR="007D2DC3" w:rsidP="007D2DC3" w:rsidRDefault="007D2DC3" w14:paraId="38235DD5" w14:textId="77777777">
      <w:pPr>
        <w:tabs>
          <w:tab w:val="left" w:pos="284"/>
        </w:tabs>
        <w:spacing w:after="0" w:line="276" w:lineRule="auto"/>
        <w:contextualSpacing/>
        <w:jc w:val="both"/>
        <w:rPr>
          <w:rFonts w:ascii="Arial" w:hAnsi="Arial" w:eastAsia="Calibri" w:cs="Arial"/>
          <w:b/>
        </w:rPr>
      </w:pPr>
      <w:r>
        <w:rPr>
          <w:rFonts w:ascii="Arial" w:hAnsi="Arial" w:eastAsia="Calibri" w:cs="Arial"/>
          <w:b/>
        </w:rPr>
        <w:t>2. Consideraciones</w:t>
      </w:r>
    </w:p>
    <w:p w:rsidR="007D2DC3" w:rsidP="007D2DC3" w:rsidRDefault="007D2DC3" w14:paraId="3FD38095" w14:textId="77777777">
      <w:pPr>
        <w:tabs>
          <w:tab w:val="left" w:pos="284"/>
        </w:tabs>
        <w:spacing w:after="0" w:line="276" w:lineRule="auto"/>
        <w:contextualSpacing/>
        <w:jc w:val="both"/>
        <w:rPr>
          <w:rFonts w:ascii="Arial" w:hAnsi="Arial" w:eastAsia="Calibri" w:cs="Arial"/>
          <w:b/>
        </w:rPr>
      </w:pPr>
    </w:p>
    <w:p w:rsidR="007D2DC3" w:rsidP="007D2DC3" w:rsidRDefault="007D2DC3" w14:paraId="2FF8A38E" w14:textId="77777777">
      <w:pPr>
        <w:spacing w:after="120" w:line="276" w:lineRule="auto"/>
        <w:jc w:val="both"/>
        <w:rPr>
          <w:rFonts w:ascii="Arial" w:hAnsi="Arial" w:eastAsia="Calibri" w:cs="Arial"/>
          <w:lang w:val="es-ES"/>
        </w:rPr>
      </w:pPr>
      <w:r>
        <w:rPr>
          <w:rFonts w:ascii="Arial" w:hAnsi="Arial" w:eastAsia="Calibri"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Pr>
          <w:rFonts w:ascii="Arial" w:hAnsi="Arial" w:eastAsia="Calibri" w:cs="Arial"/>
          <w:lang w:val="es-ES"/>
        </w:rPr>
        <w:t xml:space="preserve"> </w:t>
      </w:r>
      <w:bookmarkStart w:name="_Hlk61701014" w:id="9"/>
      <w:bookmarkStart w:name="_Hlk62136649" w:id="10"/>
      <w:r>
        <w:rPr>
          <w:rFonts w:ascii="Arial" w:hAnsi="Arial" w:eastAsia="Calibri" w:cs="Arial"/>
          <w:lang w:val="es-ES"/>
        </w:rPr>
        <w:t xml:space="preserve">Es necesario tener en cuenta que </w:t>
      </w:r>
      <w:bookmarkStart w:name="_Hlk61026958" w:id="11"/>
      <w:r>
        <w:rPr>
          <w:rFonts w:ascii="Arial" w:hAnsi="Arial" w:eastAsia="Calibri"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Pr>
          <w:rFonts w:ascii="Arial" w:hAnsi="Arial" w:eastAsia="Calibri" w:cs="Arial"/>
          <w:bCs/>
          <w:lang w:val="es-MX"/>
        </w:rPr>
        <w:t xml:space="preserve"> de todos los partícipes de la contratación estatal.</w:t>
      </w:r>
    </w:p>
    <w:p w:rsidR="007D2DC3" w:rsidP="007D2DC3" w:rsidRDefault="007D2DC3" w14:paraId="70A746BD" w14:textId="77777777">
      <w:pPr>
        <w:spacing w:after="120" w:line="276" w:lineRule="auto"/>
        <w:ind w:firstLine="708"/>
        <w:jc w:val="both"/>
        <w:rPr>
          <w:rFonts w:ascii="Arial" w:hAnsi="Arial" w:eastAsia="Calibri" w:cs="Arial"/>
          <w:lang w:val="es-ES"/>
        </w:rPr>
      </w:pPr>
      <w:r>
        <w:rPr>
          <w:rFonts w:ascii="Arial" w:hAnsi="Arial" w:eastAsia="Calibri" w:cs="Arial"/>
          <w:lang w:val="es-ES"/>
        </w:rPr>
        <w:t xml:space="preserve">La competencia de esta entidad se fija con límites claros, con el objeto de evitar que la Agencia actúe como una instancia de validación de las actuaciones de las entidades </w:t>
      </w:r>
      <w:r>
        <w:rPr>
          <w:rFonts w:ascii="Arial" w:hAnsi="Arial" w:eastAsia="Calibri" w:cs="Arial"/>
          <w:lang w:val="es-ES"/>
        </w:rPr>
        <w:t>sujetas a la Ley 80 de 1993 o de los demás participantes de la contratación pública</w:t>
      </w:r>
      <w:r>
        <w:rPr>
          <w:vertAlign w:val="superscript"/>
        </w:rPr>
        <w:footnoteReference w:id="1"/>
      </w:r>
      <w:r>
        <w:rPr>
          <w:rFonts w:ascii="Arial" w:hAnsi="Arial" w:eastAsia="Calibri" w:cs="Arial"/>
          <w:lang w:val="es-ES"/>
        </w:rPr>
        <w:t>. Esta competencia de interpretación de normas generales, por definición, no puede extenderse a la resolución de controversias, ni a brindar asesorías sobre casos puntuales.</w:t>
      </w:r>
      <w:bookmarkEnd w:id="9"/>
      <w:bookmarkEnd w:id="11"/>
    </w:p>
    <w:bookmarkEnd w:id="10"/>
    <w:p w:rsidR="007D2DC3" w:rsidP="007D2DC3" w:rsidRDefault="007D2DC3" w14:paraId="5C51BDCA" w14:textId="77777777">
      <w:pPr>
        <w:spacing w:before="120" w:after="120" w:line="276" w:lineRule="auto"/>
        <w:ind w:firstLine="709"/>
        <w:jc w:val="both"/>
        <w:rPr>
          <w:rFonts w:ascii="Arial" w:hAnsi="Arial" w:eastAsia="Calibri" w:cs="Arial"/>
          <w:lang w:val="es-ES"/>
        </w:rPr>
      </w:pPr>
      <w:r>
        <w:rPr>
          <w:rFonts w:ascii="Arial" w:hAnsi="Arial" w:eastAsia="Calibri" w:cs="Arial"/>
          <w:lang w:val="es-ES"/>
        </w:rPr>
        <w:t xml:space="preserve">Sin perjuicio de lo anterior, la Subdirección de Gestión Contractual dentro de los límites de sus atribuciones, resolverá la consulta conforme a las normas generales en materia de contratación estatal. Con este objetivo, se analizarán los siguientes temas: i) documentos del proceso, ii) El SECOP II, su despliegue y utilización como plataforma electrónica transaccional. </w:t>
      </w:r>
    </w:p>
    <w:p w:rsidR="007D2DC3" w:rsidP="007D2DC3" w:rsidRDefault="007D2DC3" w14:paraId="46EAD569" w14:textId="77777777">
      <w:pPr>
        <w:spacing w:before="120" w:after="0" w:line="276" w:lineRule="auto"/>
        <w:ind w:firstLine="709"/>
        <w:jc w:val="both"/>
        <w:rPr>
          <w:rFonts w:ascii="Arial" w:hAnsi="Arial" w:eastAsia="Cambria" w:cs="Arial"/>
          <w:b/>
          <w:lang w:val="es-ES"/>
        </w:rPr>
      </w:pPr>
      <w:r>
        <w:rPr>
          <w:rFonts w:ascii="Arial" w:hAnsi="Arial" w:cs="Arial"/>
          <w:lang w:eastAsia="es-ES_tradnl"/>
        </w:rPr>
        <w:t xml:space="preserve">La Agencia Nacional de Contratación Pública -Colombia Compra Eficiente- se ha </w:t>
      </w:r>
      <w:r>
        <w:rPr>
          <w:rFonts w:ascii="Arial" w:hAnsi="Arial" w:eastAsia="Calibri" w:cs="Arial"/>
          <w:bCs/>
          <w:lang w:val="es-ES_tradnl"/>
        </w:rPr>
        <w:t xml:space="preserve">pronunciado sobre </w:t>
      </w:r>
      <w:r>
        <w:rPr>
          <w:rFonts w:ascii="Arial" w:hAnsi="Arial" w:cs="Arial"/>
        </w:rPr>
        <w:t xml:space="preserve">el principio de publicidad y acceso a la información pública en la contratación. La postura de la Agencia al respecto, en lo relacionado con las entidades </w:t>
      </w:r>
      <w:r>
        <w:rPr>
          <w:rFonts w:ascii="Arial" w:hAnsi="Arial" w:eastAsia="Calibri" w:cs="Arial"/>
          <w:lang w:val="es-ES"/>
        </w:rPr>
        <w:t>regidas por el Estatuto General de Contratación de la Administración Pública</w:t>
      </w:r>
      <w:r>
        <w:rPr>
          <w:rFonts w:ascii="Arial" w:hAnsi="Arial" w:cs="Arial"/>
        </w:rPr>
        <w:t xml:space="preserve"> fue unificada en el concepto CU-367 del 23 de julio de 2020, reiterado en los conceptos ,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C- 358 de 7 de septiembre de 2023 , entre otros.</w:t>
      </w:r>
      <w:r>
        <w:rPr>
          <w:rFonts w:ascii="Arial" w:hAnsi="Arial" w:cs="Arial"/>
          <w:lang w:val="es-ES"/>
        </w:rPr>
        <w:t xml:space="preserve"> Algunas de las consideraciones de estos conceptos se reiteran y se complementan en lo pertinente, teniendo en cuenta lo consultado.</w:t>
      </w:r>
      <w:r>
        <w:rPr>
          <w:rFonts w:ascii="Arial" w:hAnsi="Arial" w:cs="Arial"/>
        </w:rPr>
        <w:t> </w:t>
      </w:r>
    </w:p>
    <w:p w:rsidR="007D2DC3" w:rsidP="007D2DC3" w:rsidRDefault="007D2DC3" w14:paraId="3A09ED9E" w14:textId="77777777">
      <w:pPr>
        <w:tabs>
          <w:tab w:val="left" w:pos="3372"/>
        </w:tabs>
        <w:spacing w:after="0" w:line="276" w:lineRule="auto"/>
        <w:jc w:val="both"/>
        <w:rPr>
          <w:rFonts w:ascii="Arial" w:hAnsi="Arial" w:eastAsia="Calibri" w:cs="Arial"/>
          <w:lang w:val="es-ES"/>
        </w:rPr>
      </w:pPr>
      <w:r>
        <w:rPr>
          <w:rFonts w:ascii="Arial" w:hAnsi="Arial" w:eastAsia="Calibri" w:cs="Arial"/>
          <w:lang w:val="es-ES"/>
        </w:rPr>
        <w:tab/>
      </w:r>
    </w:p>
    <w:p w:rsidR="007D2DC3" w:rsidP="007D2DC3" w:rsidRDefault="007D2DC3" w14:paraId="29EDA363" w14:textId="77777777">
      <w:pPr>
        <w:spacing w:line="276" w:lineRule="auto"/>
        <w:jc w:val="both"/>
        <w:rPr>
          <w:rFonts w:ascii="Arial" w:hAnsi="Arial" w:eastAsia="Calibri" w:cs="Arial"/>
          <w:b/>
          <w:bCs/>
          <w:lang w:val="es-ES"/>
        </w:rPr>
      </w:pPr>
      <w:r>
        <w:rPr>
          <w:rFonts w:ascii="Arial" w:hAnsi="Arial" w:eastAsia="Calibri" w:cs="Arial"/>
          <w:b/>
          <w:bCs/>
          <w:lang w:val="es-ES"/>
        </w:rPr>
        <w:t>2.1. DOCUMENTOS DEL PROCESO – Noción – Deber de publicación – Proceso de contratación</w:t>
      </w:r>
    </w:p>
    <w:p w:rsidR="007D2DC3" w:rsidP="007D2DC3" w:rsidRDefault="007D2DC3" w14:paraId="1CA1D067" w14:textId="77777777">
      <w:pPr>
        <w:spacing w:after="120" w:line="276" w:lineRule="auto"/>
        <w:jc w:val="both"/>
        <w:rPr>
          <w:rFonts w:ascii="Arial" w:hAnsi="Arial" w:eastAsia="Calibri" w:cs="Arial"/>
          <w:lang w:val="es-ES"/>
        </w:rPr>
      </w:pPr>
      <w:r>
        <w:rPr>
          <w:rFonts w:ascii="Arial" w:hAnsi="Arial" w:eastAsia="Calibri" w:cs="Arial"/>
          <w:lang w:val="es-ES"/>
        </w:rPr>
        <w:t>El procedimiento de contratación de las entidades es reglado, es decir, no es discrecional y se deben consultar las normas que lo rigen para determinar la forma que la ley prevé para adelantarlo. Por consiguiente, las principales normas son: la Ley 80 de 1993, la Ley 1150 de 2007 ̶ Estatuto General de Contratación de la Administración Pública ̶ y el Decreto 1082 de 2015, que es reglamentario y concreta cada modalidad de selección, señalando las reglas o pasos a seguir para celebrar el contrato estatal</w:t>
      </w:r>
      <w:r>
        <w:rPr>
          <w:rFonts w:ascii="Arial" w:hAnsi="Arial" w:eastAsia="Calibri" w:cs="Arial"/>
          <w:vertAlign w:val="superscript"/>
          <w:lang w:val="es-ES"/>
        </w:rPr>
        <w:footnoteReference w:id="2"/>
      </w:r>
      <w:r>
        <w:rPr>
          <w:rFonts w:ascii="Arial" w:hAnsi="Arial" w:eastAsia="Calibri" w:cs="Arial"/>
          <w:lang w:val="es-ES"/>
        </w:rPr>
        <w:t xml:space="preserve">. Por consiguiente, para que los </w:t>
      </w:r>
      <w:r>
        <w:rPr>
          <w:rFonts w:ascii="Arial" w:hAnsi="Arial" w:eastAsia="Calibri" w:cs="Arial"/>
          <w:lang w:val="es-ES"/>
        </w:rPr>
        <w:t>documentos de la actividad contractual se conozcan la entidad debe publicarlos, sin importar la modalidad de selección.</w:t>
      </w:r>
    </w:p>
    <w:p w:rsidR="007D2DC3" w:rsidP="007D2DC3" w:rsidRDefault="007D2DC3" w14:paraId="06C4C52E" w14:textId="77777777">
      <w:pPr>
        <w:widowControl w:val="0"/>
        <w:autoSpaceDE w:val="0"/>
        <w:autoSpaceDN w:val="0"/>
        <w:spacing w:line="276" w:lineRule="auto"/>
        <w:ind w:right="49" w:firstLine="708"/>
        <w:jc w:val="both"/>
        <w:rPr>
          <w:rFonts w:ascii="Arial" w:hAnsi="Arial" w:eastAsia="Arial" w:cs="Arial"/>
          <w:lang w:val="es-ES"/>
        </w:rPr>
      </w:pPr>
      <w:r>
        <w:rPr>
          <w:rFonts w:ascii="Arial" w:hAnsi="Arial" w:eastAsia="Arial" w:cs="Arial"/>
          <w:lang w:val="es-ES"/>
        </w:rPr>
        <w:t>El artículo 3 de la Ley 1150 de 2007 señala que los actos relacionados con los procedimientos de contratación de las entidades estatales pueden ser electrónicos, al igual que su publicidad, por lo que el Gobierno nacional debe definir los medios para desarrollar dicha publicidad, y tiene la obligación de desarrollar el SECOP</w:t>
      </w:r>
      <w:r>
        <w:rPr>
          <w:rFonts w:ascii="Arial" w:hAnsi="Arial" w:eastAsia="Arial" w:cs="Arial"/>
          <w:vertAlign w:val="superscript"/>
          <w:lang w:val="es-ES"/>
        </w:rPr>
        <w:footnoteReference w:id="3"/>
      </w:r>
      <w:r>
        <w:rPr>
          <w:rFonts w:ascii="Arial" w:hAnsi="Arial" w:eastAsia="Arial" w:cs="Arial"/>
          <w:lang w:val="es-ES"/>
        </w:rPr>
        <w:t>.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rsidR="007D2DC3" w:rsidP="007D2DC3" w:rsidRDefault="007D2DC3" w14:paraId="45CD2D4F" w14:textId="77777777">
      <w:pPr>
        <w:widowControl w:val="0"/>
        <w:autoSpaceDE w:val="0"/>
        <w:autoSpaceDN w:val="0"/>
        <w:spacing w:before="120" w:line="276" w:lineRule="auto"/>
        <w:ind w:right="306" w:firstLine="709"/>
        <w:jc w:val="both"/>
        <w:rPr>
          <w:rFonts w:ascii="Arial" w:hAnsi="Arial" w:eastAsia="Arial" w:cs="Arial"/>
          <w:lang w:val="es-ES"/>
        </w:rPr>
      </w:pPr>
      <w:r>
        <w:rPr>
          <w:rFonts w:ascii="Arial" w:hAnsi="Arial" w:eastAsia="Arial" w:cs="Arial"/>
          <w:lang w:val="es-ES"/>
        </w:rPr>
        <w:t>La norma citada genera un cambio en la contratación pública, ámbito en el que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rsidR="007D2DC3" w:rsidP="007D2DC3" w:rsidRDefault="007D2DC3" w14:paraId="6B5000FE" w14:textId="77777777">
      <w:pPr>
        <w:widowControl w:val="0"/>
        <w:autoSpaceDE w:val="0"/>
        <w:autoSpaceDN w:val="0"/>
        <w:spacing w:before="120" w:line="276" w:lineRule="auto"/>
        <w:ind w:right="306" w:firstLine="709"/>
        <w:jc w:val="both"/>
        <w:rPr>
          <w:rFonts w:ascii="Arial" w:hAnsi="Arial" w:eastAsia="Arial" w:cs="Arial"/>
          <w:lang w:val="es-ES"/>
        </w:rPr>
      </w:pPr>
      <w:r>
        <w:rPr>
          <w:rFonts w:ascii="Arial" w:hAnsi="Arial" w:eastAsia="Arial" w:cs="Arial"/>
          <w:lang w:val="es-ES"/>
        </w:rPr>
        <w:t xml:space="preserve">La Corte Constitucional, en la sentencia C-711 del 12 de septiembre de 2011, con ponencia del Magistrado Mauricio González Cuervo, hizo énfasis en la transición de la actividad contractual impresa que se publicaba en el Diario Único de Contratación, a </w:t>
      </w:r>
      <w:r>
        <w:rPr>
          <w:rFonts w:ascii="Arial" w:hAnsi="Arial" w:eastAsia="Arial" w:cs="Arial"/>
          <w:lang w:val="es-ES"/>
        </w:rPr>
        <w:t>una contratación pública electrónica desarrollada mediante el SECOP:</w:t>
      </w:r>
    </w:p>
    <w:p w:rsidR="007D2DC3" w:rsidP="007D2DC3" w:rsidRDefault="007D2DC3" w14:paraId="7743138B" w14:textId="77777777">
      <w:pPr>
        <w:widowControl w:val="0"/>
        <w:autoSpaceDE w:val="0"/>
        <w:autoSpaceDN w:val="0"/>
        <w:ind w:left="709" w:right="709"/>
        <w:jc w:val="both"/>
        <w:rPr>
          <w:rFonts w:ascii="Arial" w:hAnsi="Arial" w:eastAsia="Arial" w:cs="Arial"/>
          <w:sz w:val="21"/>
          <w:lang w:val="es-ES"/>
        </w:rPr>
      </w:pPr>
      <w:r>
        <w:rPr>
          <w:rFonts w:ascii="Arial" w:hAnsi="Arial" w:eastAsia="Arial" w:cs="Arial"/>
          <w:sz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Pr>
          <w:rFonts w:ascii="Arial" w:hAnsi="Arial" w:eastAsia="Arial" w:cs="Arial"/>
          <w:spacing w:val="-6"/>
          <w:sz w:val="21"/>
          <w:lang w:val="es-ES"/>
        </w:rPr>
        <w:t xml:space="preserve"> </w:t>
      </w:r>
      <w:r>
        <w:rPr>
          <w:rFonts w:ascii="Arial" w:hAnsi="Arial" w:eastAsia="Arial" w:cs="Arial"/>
          <w:sz w:val="21"/>
          <w:lang w:val="es-ES"/>
        </w:rPr>
        <w:t>estatal.</w:t>
      </w:r>
    </w:p>
    <w:p w:rsidR="007D2DC3" w:rsidP="007D2DC3" w:rsidRDefault="007D2DC3" w14:paraId="6351C4B0" w14:textId="77777777">
      <w:pPr>
        <w:widowControl w:val="0"/>
        <w:autoSpaceDE w:val="0"/>
        <w:autoSpaceDN w:val="0"/>
        <w:spacing w:before="1"/>
        <w:ind w:left="709" w:right="709"/>
        <w:jc w:val="both"/>
        <w:rPr>
          <w:rFonts w:ascii="Arial" w:hAnsi="Arial" w:eastAsia="Arial" w:cs="Arial"/>
          <w:sz w:val="21"/>
          <w:lang w:val="es-ES"/>
        </w:rPr>
      </w:pPr>
      <w:r>
        <w:rPr>
          <w:rFonts w:ascii="Arial" w:hAnsi="Arial" w:eastAsia="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Pr>
          <w:rFonts w:ascii="Arial" w:hAnsi="Arial" w:eastAsia="Arial" w:cs="Arial"/>
          <w:spacing w:val="-3"/>
          <w:sz w:val="21"/>
          <w:lang w:val="es-ES"/>
        </w:rPr>
        <w:t xml:space="preserve">Y, </w:t>
      </w:r>
      <w:r>
        <w:rPr>
          <w:rFonts w:ascii="Arial" w:hAnsi="Arial" w:eastAsia="Arial" w:cs="Arial"/>
          <w:sz w:val="21"/>
          <w:lang w:val="es-ES"/>
        </w:rPr>
        <w:t>de conteras, suple algunas de las limitaciones de las que adolecía el Diario Único de Contratación, en términos de cobertura geográfica, de cantidad de ejemplares y de posibilidad de acceso por parte de la</w:t>
      </w:r>
      <w:r>
        <w:rPr>
          <w:rFonts w:ascii="Arial" w:hAnsi="Arial" w:eastAsia="Arial" w:cs="Arial"/>
          <w:spacing w:val="-4"/>
          <w:sz w:val="21"/>
          <w:lang w:val="es-ES"/>
        </w:rPr>
        <w:t xml:space="preserve"> </w:t>
      </w:r>
      <w:r>
        <w:rPr>
          <w:rFonts w:ascii="Arial" w:hAnsi="Arial" w:eastAsia="Arial" w:cs="Arial"/>
          <w:sz w:val="21"/>
          <w:lang w:val="es-ES"/>
        </w:rPr>
        <w:t>ciudadanía”.</w:t>
      </w:r>
    </w:p>
    <w:p w:rsidR="007D2DC3" w:rsidP="007D2DC3" w:rsidRDefault="007D2DC3" w14:paraId="52F38441" w14:textId="77777777">
      <w:pPr>
        <w:widowControl w:val="0"/>
        <w:autoSpaceDE w:val="0"/>
        <w:autoSpaceDN w:val="0"/>
        <w:spacing w:after="120" w:line="276" w:lineRule="auto"/>
        <w:ind w:firstLine="709"/>
        <w:jc w:val="both"/>
        <w:rPr>
          <w:rFonts w:ascii="Arial" w:hAnsi="Arial" w:eastAsia="Arial" w:cs="Arial"/>
          <w:lang w:val="es-ES"/>
        </w:rPr>
      </w:pPr>
      <w:r>
        <w:rPr>
          <w:rFonts w:ascii="Arial" w:hAnsi="Arial" w:eastAsia="Arial" w:cs="Arial"/>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rsidR="007D2DC3" w:rsidP="007D2DC3" w:rsidRDefault="007D2DC3" w14:paraId="6325962A" w14:textId="77777777">
      <w:pPr>
        <w:widowControl w:val="0"/>
        <w:autoSpaceDE w:val="0"/>
        <w:autoSpaceDN w:val="0"/>
        <w:spacing w:after="120" w:line="276" w:lineRule="auto"/>
        <w:ind w:firstLine="709"/>
        <w:jc w:val="both"/>
        <w:rPr>
          <w:rFonts w:ascii="Arial" w:hAnsi="Arial" w:eastAsia="Arial" w:cs="Arial"/>
          <w:lang w:val="es-ES"/>
        </w:rPr>
      </w:pPr>
      <w:r>
        <w:rPr>
          <w:rFonts w:ascii="Arial" w:hAnsi="Arial" w:eastAsia="Arial" w:cs="Arial"/>
          <w:lang w:val="es-ES"/>
        </w:rPr>
        <w:t xml:space="preserve">La expresión </w:t>
      </w:r>
      <w:r>
        <w:rPr>
          <w:rFonts w:ascii="Arial" w:hAnsi="Arial" w:eastAsia="Arial" w:cs="Arial"/>
          <w:i/>
          <w:iCs/>
          <w:lang w:val="es-ES"/>
        </w:rPr>
        <w:t>Documentos del Proceso</w:t>
      </w:r>
      <w:r>
        <w:rPr>
          <w:rFonts w:ascii="Arial" w:hAnsi="Arial" w:eastAsia="Arial" w:cs="Arial"/>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w:t>
      </w:r>
      <w:r>
        <w:rPr>
          <w:rFonts w:ascii="Arial" w:hAnsi="Arial" w:eastAsia="Arial" w:cs="Arial"/>
          <w:i/>
          <w:iCs/>
          <w:lang w:val="es-ES"/>
        </w:rPr>
        <w:t xml:space="preserve"> y cualquier otro documento expedido por la Entidad Estatal durante el Proceso de Contratación</w:t>
      </w:r>
      <w:r>
        <w:rPr>
          <w:rFonts w:ascii="Arial" w:hAnsi="Arial" w:eastAsia="Arial" w:cs="Arial"/>
          <w:lang w:val="es-ES"/>
        </w:rPr>
        <w:t xml:space="preserve">” (Énfasis fuera de texto). </w:t>
      </w:r>
    </w:p>
    <w:p w:rsidR="007D2DC3" w:rsidP="007D2DC3" w:rsidRDefault="007D2DC3" w14:paraId="33FEC052" w14:textId="77777777">
      <w:pPr>
        <w:widowControl w:val="0"/>
        <w:autoSpaceDE w:val="0"/>
        <w:autoSpaceDN w:val="0"/>
        <w:spacing w:after="120" w:line="276" w:lineRule="auto"/>
        <w:ind w:firstLine="709"/>
        <w:jc w:val="both"/>
        <w:rPr>
          <w:rFonts w:ascii="Arial" w:hAnsi="Arial" w:eastAsia="Arial" w:cs="Arial"/>
          <w:lang w:val="es-ES"/>
        </w:rPr>
      </w:pPr>
      <w:r>
        <w:rPr>
          <w:rFonts w:ascii="Arial" w:hAnsi="Arial" w:eastAsia="Arial" w:cs="Arial"/>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Pr>
          <w:rFonts w:ascii="Arial" w:hAnsi="Arial" w:eastAsia="Arial" w:cs="Arial"/>
          <w:i/>
          <w:iCs/>
          <w:lang w:val="es-ES"/>
        </w:rPr>
        <w:t>Ibídem</w:t>
      </w:r>
      <w:r>
        <w:rPr>
          <w:rFonts w:ascii="Arial" w:hAnsi="Arial" w:eastAsia="Arial" w:cs="Arial"/>
          <w:lang w:val="es-ES"/>
        </w:rPr>
        <w:t xml:space="preserve"> recoge en la noción de </w:t>
      </w:r>
      <w:r>
        <w:rPr>
          <w:rFonts w:ascii="Arial" w:hAnsi="Arial" w:eastAsia="Arial" w:cs="Arial"/>
          <w:i/>
          <w:iCs/>
          <w:lang w:val="es-ES"/>
        </w:rPr>
        <w:t>Documentos del Proceso</w:t>
      </w:r>
      <w:r>
        <w:rPr>
          <w:rFonts w:ascii="Arial" w:hAnsi="Arial" w:eastAsia="Arial" w:cs="Arial"/>
          <w:lang w:val="es-ES"/>
        </w:rPr>
        <w:t xml:space="preserve"> “cualquier otro documento expedido por la Entidad Estatal durante el </w:t>
      </w:r>
      <w:r>
        <w:rPr>
          <w:rFonts w:ascii="Arial" w:hAnsi="Arial" w:eastAsia="Arial" w:cs="Arial"/>
          <w:i/>
          <w:iCs/>
          <w:lang w:val="es-ES"/>
        </w:rPr>
        <w:t>Proceso de Contratación”</w:t>
      </w:r>
      <w:r>
        <w:rPr>
          <w:rFonts w:ascii="Arial" w:hAnsi="Arial" w:eastAsia="Arial" w:cs="Arial"/>
          <w:lang w:val="es-ES"/>
        </w:rPr>
        <w:t xml:space="preserve">. Este mismo artículo define la expresión </w:t>
      </w:r>
      <w:r>
        <w:rPr>
          <w:rFonts w:ascii="Arial" w:hAnsi="Arial" w:eastAsia="Arial" w:cs="Arial"/>
          <w:i/>
          <w:iCs/>
          <w:lang w:val="es-ES"/>
        </w:rPr>
        <w:t>Proceso de Contratación</w:t>
      </w:r>
      <w:r>
        <w:rPr>
          <w:rFonts w:ascii="Arial" w:hAnsi="Arial" w:eastAsia="Arial" w:cs="Arial"/>
          <w:lang w:val="es-ES"/>
        </w:rPr>
        <w:t xml:space="preserve"> como el “Conjunto de actos y actividades, y su secuencia, adelantadas por la </w:t>
      </w:r>
      <w:r>
        <w:rPr>
          <w:rFonts w:ascii="Arial" w:hAnsi="Arial" w:eastAsia="Arial" w:cs="Arial"/>
          <w:lang w:val="es-ES"/>
        </w:rPr>
        <w:t xml:space="preserve">Entidad Estatal desde la planeación hasta el vencimiento de las garantías de calidad, estabilidad y mantenimiento, o las condiciones de disposición final o recuperación ambiental de las obras o bienes o el vencimiento del plazo, lo que ocurra más tarde”.  </w:t>
      </w:r>
    </w:p>
    <w:p w:rsidR="007D2DC3" w:rsidP="007D2DC3" w:rsidRDefault="007D2DC3" w14:paraId="4F24D551" w14:textId="77777777">
      <w:pPr>
        <w:widowControl w:val="0"/>
        <w:autoSpaceDE w:val="0"/>
        <w:autoSpaceDN w:val="0"/>
        <w:spacing w:after="120" w:line="276" w:lineRule="auto"/>
        <w:ind w:firstLine="709"/>
        <w:jc w:val="both"/>
        <w:rPr>
          <w:rFonts w:ascii="Arial" w:hAnsi="Arial" w:eastAsia="Arial" w:cs="Arial"/>
          <w:lang w:val="es-ES"/>
        </w:rPr>
      </w:pPr>
      <w:r>
        <w:rPr>
          <w:rFonts w:ascii="Arial" w:hAnsi="Arial" w:eastAsia="Arial" w:cs="Arial"/>
          <w:lang w:val="es-ES"/>
        </w:rPr>
        <w:t xml:space="preserve">Nótese que la norma hace referencia a los documentos “expedidos por la entidad estatal” durante el proceso de contratación, excluyendo de la noción de </w:t>
      </w:r>
      <w:r>
        <w:rPr>
          <w:rFonts w:ascii="Arial" w:hAnsi="Arial" w:eastAsia="Arial" w:cs="Arial"/>
          <w:i/>
          <w:iCs/>
          <w:lang w:val="es-ES"/>
        </w:rPr>
        <w:t>Documentos del Proceso</w:t>
      </w:r>
      <w:r>
        <w:rPr>
          <w:rFonts w:ascii="Arial" w:hAnsi="Arial" w:eastAsia="Arial" w:cs="Arial"/>
          <w:lang w:val="es-ES"/>
        </w:rPr>
        <w:t xml:space="preserve"> los expedidos por un sujeto distinto a la entidad, salvo la oferta, la cual se incluye expresamente en el artículo 2.2.1.1.1.3.1. </w:t>
      </w:r>
    </w:p>
    <w:p w:rsidR="007D2DC3" w:rsidP="007D2DC3" w:rsidRDefault="007D2DC3" w14:paraId="531861DC" w14:textId="77777777">
      <w:pPr>
        <w:widowControl w:val="0"/>
        <w:autoSpaceDE w:val="0"/>
        <w:autoSpaceDN w:val="0"/>
        <w:spacing w:after="120" w:line="276" w:lineRule="auto"/>
        <w:ind w:firstLine="708"/>
        <w:jc w:val="both"/>
        <w:rPr>
          <w:rFonts w:ascii="Arial" w:hAnsi="Arial" w:eastAsia="Arial" w:cs="Arial"/>
          <w:lang w:val="es-ES"/>
        </w:rPr>
      </w:pPr>
      <w:r>
        <w:rPr>
          <w:rFonts w:ascii="Arial" w:hAnsi="Arial" w:eastAsia="Arial" w:cs="Arial"/>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Pr>
          <w:rFonts w:ascii="Arial" w:hAnsi="Arial" w:eastAsia="Arial" w:cs="Arial"/>
          <w:i/>
          <w:iCs/>
          <w:lang w:val="es-ES"/>
        </w:rPr>
        <w:t>Proceso de Contratación</w:t>
      </w:r>
      <w:r>
        <w:rPr>
          <w:rFonts w:ascii="Arial" w:hAnsi="Arial" w:eastAsia="Arial" w:cs="Arial"/>
          <w:lang w:val="es-ES"/>
        </w:rPr>
        <w:t>,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rsidR="007D2DC3" w:rsidP="007D2DC3" w:rsidRDefault="007D2DC3" w14:paraId="696F222A" w14:textId="77777777">
      <w:pPr>
        <w:widowControl w:val="0"/>
        <w:autoSpaceDE w:val="0"/>
        <w:autoSpaceDN w:val="0"/>
        <w:spacing w:after="120" w:line="276" w:lineRule="auto"/>
        <w:ind w:firstLine="708"/>
        <w:jc w:val="both"/>
        <w:rPr>
          <w:rFonts w:ascii="Arial" w:hAnsi="Arial" w:eastAsia="Arial" w:cs="Arial"/>
          <w:lang w:val="es-ES"/>
        </w:rPr>
      </w:pPr>
      <w:bookmarkStart w:name="_Hlk79767574" w:id="12"/>
      <w:r>
        <w:rPr>
          <w:rFonts w:ascii="Arial" w:hAnsi="Arial" w:eastAsia="Arial" w:cs="Arial"/>
          <w:lang w:val="es-ES"/>
        </w:rPr>
        <w:t xml:space="preserve">En todo caso, de conformidad con la segunda parte del inciso primero del artículo 2.2.1.1.1.7.1 </w:t>
      </w:r>
      <w:r>
        <w:rPr>
          <w:rFonts w:ascii="Arial" w:hAnsi="Arial" w:eastAsia="Arial" w:cs="Arial"/>
          <w:i/>
          <w:iCs/>
          <w:lang w:val="es-ES"/>
        </w:rPr>
        <w:t>Ibídem</w:t>
      </w:r>
      <w:r>
        <w:rPr>
          <w:rFonts w:ascii="Arial" w:hAnsi="Arial" w:eastAsia="Arial" w:cs="Arial"/>
          <w:lang w:val="es-ES"/>
        </w:rPr>
        <w:t xml:space="preserve">, el deber de publicar las actuaciones realizadas en el marco del proceso de contratación, en lo referente a las ofertas presentadas, solo se predica de la propuesta del adjudicatario, así que no es necesario publicar las demás. Sin embargo, eso no quiere decir que las ofertas tengan algún tipo de reserva, toda vez que la audiencia de adjudicación es publica y, además, se permite al interesado consultar el expediente del </w:t>
      </w:r>
      <w:r>
        <w:rPr>
          <w:rFonts w:ascii="Arial" w:hAnsi="Arial" w:eastAsia="Arial" w:cs="Arial"/>
          <w:i/>
          <w:iCs/>
          <w:lang w:val="es-ES"/>
        </w:rPr>
        <w:t>Proceso de Contratación</w:t>
      </w:r>
      <w:r>
        <w:rPr>
          <w:rFonts w:ascii="Arial" w:hAnsi="Arial" w:eastAsia="Arial" w:cs="Arial"/>
          <w:lang w:val="es-ES"/>
        </w:rPr>
        <w:t>. En ese sentido, si bien la entidad no está obligada a publicar las ofertas de los demás participantes, lo cierto es que, sobre las mismas, no se presenta reserva legal.</w:t>
      </w:r>
      <w:r>
        <w:rPr>
          <w:rFonts w:ascii="Arial" w:hAnsi="Arial" w:eastAsia="Arial" w:cs="Arial"/>
          <w:i/>
          <w:iCs/>
          <w:lang w:val="es-ES"/>
        </w:rPr>
        <w:t xml:space="preserve"> </w:t>
      </w:r>
      <w:r>
        <w:rPr>
          <w:rFonts w:ascii="Arial" w:hAnsi="Arial" w:eastAsia="Arial" w:cs="Arial"/>
          <w:lang w:val="es-ES"/>
        </w:rPr>
        <w:t>Del deber de publicidad, de conformidad con la tercera parte del inciso primero de la referida norma, también se encuentran exentos los documentos de las operaciones que se realicen en bolsa de productos.</w:t>
      </w:r>
    </w:p>
    <w:bookmarkEnd w:id="12"/>
    <w:p w:rsidR="007D2DC3" w:rsidP="007D2DC3" w:rsidRDefault="007D2DC3" w14:paraId="677E9F04" w14:textId="77777777">
      <w:pPr>
        <w:widowControl w:val="0"/>
        <w:autoSpaceDE w:val="0"/>
        <w:autoSpaceDN w:val="0"/>
        <w:spacing w:after="120" w:line="276" w:lineRule="auto"/>
        <w:ind w:firstLine="708"/>
        <w:jc w:val="both"/>
        <w:rPr>
          <w:rFonts w:ascii="Arial" w:hAnsi="Arial" w:eastAsia="Arial" w:cs="Arial"/>
          <w:lang w:val="es-ES"/>
        </w:rPr>
      </w:pPr>
      <w:r>
        <w:rPr>
          <w:rFonts w:ascii="Arial" w:hAnsi="Arial" w:eastAsia="Arial" w:cs="Arial"/>
          <w:lang w:val="es-ES"/>
        </w:rPr>
        <w:t xml:space="preserve">El inciso segundo del artículo 2.2.1.1.1.7.1 </w:t>
      </w:r>
      <w:r>
        <w:rPr>
          <w:rFonts w:ascii="Arial" w:hAnsi="Arial" w:eastAsia="Arial" w:cs="Arial"/>
          <w:i/>
          <w:iCs/>
          <w:lang w:val="es-ES"/>
        </w:rPr>
        <w:t xml:space="preserve">ejusdem, </w:t>
      </w:r>
      <w:r>
        <w:rPr>
          <w:rFonts w:ascii="Arial" w:hAnsi="Arial" w:eastAsia="Arial" w:cs="Arial"/>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Pr>
          <w:rFonts w:ascii="Arial" w:hAnsi="Arial" w:eastAsia="Calibri" w:cs="Arial"/>
          <w:lang w:val="es-ES"/>
        </w:rPr>
        <w:t xml:space="preserve">2.2.1.1.2.1.4, deber que hace extensivo a la invitación </w:t>
      </w:r>
      <w:r>
        <w:rPr>
          <w:rFonts w:ascii="Arial" w:hAnsi="Arial" w:eastAsia="Arial" w:cs="Arial"/>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rsidR="007D2DC3" w:rsidP="007D2DC3" w:rsidRDefault="007D2DC3" w14:paraId="7FA73CA8" w14:textId="77777777">
      <w:pPr>
        <w:widowControl w:val="0"/>
        <w:autoSpaceDE w:val="0"/>
        <w:autoSpaceDN w:val="0"/>
        <w:spacing w:after="120" w:line="276" w:lineRule="auto"/>
        <w:ind w:firstLine="708"/>
        <w:jc w:val="both"/>
        <w:rPr>
          <w:rFonts w:ascii="Arial" w:hAnsi="Arial" w:eastAsia="Arial" w:cs="Arial"/>
          <w:lang w:val="es-ES"/>
        </w:rPr>
      </w:pPr>
      <w:r>
        <w:rPr>
          <w:rFonts w:ascii="Arial" w:hAnsi="Arial" w:eastAsia="Arial" w:cs="Arial"/>
          <w:lang w:val="es-ES"/>
        </w:rPr>
        <w:t xml:space="preserve">De lo anterior se puede concluir que, en virtud de lo dispuesto en el artículo 3 de la </w:t>
      </w:r>
      <w:r>
        <w:rPr>
          <w:rFonts w:ascii="Arial" w:hAnsi="Arial" w:eastAsia="Arial" w:cs="Arial"/>
          <w:lang w:val="es-ES"/>
        </w:rPr>
        <w:t xml:space="preserve">Ley 1150 de 2007, desarrollado por el artículo 2.2.1.1.1.7.1. del Decreto 1082 de 2015, las entidades están obligadas a publicar en el SECOP todos los documentos relacionados con el </w:t>
      </w:r>
      <w:r>
        <w:rPr>
          <w:rFonts w:ascii="Arial" w:hAnsi="Arial" w:eastAsia="Arial" w:cs="Arial"/>
          <w:i/>
          <w:iCs/>
          <w:lang w:val="es-ES"/>
        </w:rPr>
        <w:t>Proceso de Contratación</w:t>
      </w:r>
      <w:r>
        <w:rPr>
          <w:rFonts w:ascii="Arial" w:hAnsi="Arial" w:eastAsia="Arial" w:cs="Arial"/>
          <w:lang w:val="es-ES"/>
        </w:rPr>
        <w:t xml:space="preserve"> expedidos durante las etapas precontractual, de ejecución y postcontractual, dentro de los tres (3) días hábiles siguientes a su producción</w:t>
      </w:r>
      <w:r>
        <w:rPr>
          <w:rFonts w:ascii="Arial" w:hAnsi="Arial" w:eastAsia="Arial" w:cs="Arial"/>
          <w:vertAlign w:val="superscript"/>
          <w:lang w:val="es-ES"/>
        </w:rPr>
        <w:footnoteReference w:id="4"/>
      </w:r>
      <w:r>
        <w:rPr>
          <w:rFonts w:ascii="Arial" w:hAnsi="Arial" w:eastAsia="Arial" w:cs="Arial"/>
          <w:lang w:val="es-ES"/>
        </w:rPr>
        <w:t>, deber que 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rsidR="007D2DC3" w:rsidP="007D2DC3" w:rsidRDefault="007D2DC3" w14:paraId="4DCF01ED" w14:textId="77777777">
      <w:pPr>
        <w:spacing w:before="120" w:after="120" w:line="276" w:lineRule="auto"/>
        <w:ind w:firstLine="709"/>
        <w:jc w:val="both"/>
        <w:rPr>
          <w:rFonts w:ascii="Arial" w:hAnsi="Arial" w:eastAsia="Calibri" w:cs="Arial"/>
          <w:lang w:val="es-ES"/>
        </w:rPr>
      </w:pPr>
      <w:r>
        <w:rPr>
          <w:rFonts w:ascii="Arial" w:hAnsi="Arial" w:eastAsia="Calibri" w:cs="Arial"/>
          <w:lang w:val="es-ES"/>
        </w:rPr>
        <w:t xml:space="preserve">No obstante, conforme se estableció </w:t>
      </w:r>
      <w:r>
        <w:rPr>
          <w:rFonts w:ascii="Arial" w:hAnsi="Arial" w:eastAsia="Calibri" w:cs="Arial"/>
          <w:i/>
          <w:iCs/>
          <w:lang w:val="es-ES"/>
        </w:rPr>
        <w:t>supra</w:t>
      </w:r>
      <w:r>
        <w:rPr>
          <w:rFonts w:ascii="Arial" w:hAnsi="Arial" w:eastAsia="Calibri" w:cs="Arial"/>
          <w:lang w:val="es-ES"/>
        </w:rPr>
        <w:t>,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está reglamentada en el Decreto 1081 de 2015. Este señala, en el artículo 2.1.1.2.1.7, que las entidades deberán publicar en el SECOP la información de su gestión contractual</w:t>
      </w:r>
      <w:r>
        <w:rPr>
          <w:rFonts w:ascii="Arial" w:hAnsi="Arial" w:eastAsia="Calibri" w:cs="Arial"/>
          <w:vertAlign w:val="superscript"/>
          <w:lang w:val="es-ES"/>
        </w:rPr>
        <w:footnoteReference w:id="5"/>
      </w:r>
      <w:r>
        <w:rPr>
          <w:rFonts w:ascii="Arial" w:hAnsi="Arial" w:eastAsia="Calibri" w:cs="Arial"/>
          <w:lang w:val="es-ES"/>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Pr>
          <w:rFonts w:ascii="Arial" w:hAnsi="Arial" w:eastAsia="Calibri" w:cs="Arial"/>
          <w:vertAlign w:val="superscript"/>
          <w:lang w:val="es-ES"/>
        </w:rPr>
        <w:footnoteReference w:id="6"/>
      </w:r>
      <w:r>
        <w:rPr>
          <w:rFonts w:ascii="Arial" w:hAnsi="Arial" w:eastAsia="Calibri" w:cs="Arial"/>
          <w:lang w:val="es-ES"/>
        </w:rPr>
        <w:t xml:space="preserve">. El artículo 2.1.1.2.1.10 establece </w:t>
      </w:r>
      <w:r>
        <w:rPr>
          <w:rFonts w:ascii="Arial" w:hAnsi="Arial" w:eastAsia="Calibri" w:cs="Arial"/>
          <w:lang w:val="es-ES"/>
        </w:rPr>
        <w:t>la obligación que tienen las entidades de publicar en el SECOP el Plan Anual de Adquisiciones</w:t>
      </w:r>
      <w:r>
        <w:rPr>
          <w:rFonts w:ascii="Arial" w:hAnsi="Arial" w:eastAsia="Calibri" w:cs="Arial"/>
          <w:vertAlign w:val="superscript"/>
          <w:lang w:val="es-ES"/>
        </w:rPr>
        <w:footnoteReference w:id="7"/>
      </w:r>
      <w:r>
        <w:rPr>
          <w:rFonts w:ascii="Arial" w:hAnsi="Arial" w:eastAsia="Calibri" w:cs="Arial"/>
          <w:lang w:val="es-ES"/>
        </w:rPr>
        <w:t xml:space="preserve">. </w:t>
      </w:r>
    </w:p>
    <w:p w:rsidR="007D2DC3" w:rsidP="007D2DC3" w:rsidRDefault="007D2DC3" w14:paraId="1989B58B" w14:textId="77777777">
      <w:pPr>
        <w:spacing w:before="120" w:after="120" w:line="276" w:lineRule="auto"/>
        <w:ind w:firstLine="709"/>
        <w:jc w:val="both"/>
        <w:rPr>
          <w:rFonts w:ascii="Arial" w:hAnsi="Arial" w:eastAsia="Calibri" w:cs="Arial"/>
          <w:lang w:val="es-ES"/>
        </w:rPr>
      </w:pPr>
      <w:r>
        <w:rPr>
          <w:rFonts w:ascii="Arial" w:hAnsi="Arial" w:eastAsia="Calibri" w:cs="Arial"/>
          <w:lang w:val="es-ES"/>
        </w:rPr>
        <w:t>De otro lado, el artículo 2.1.1.2.1.8, establece los efectos de la obligación contenida en el literal g) del artículo 11 de la Ley 1712 de 2014, en relación con los documentos producidos durante la ejecución del contrato, señalando que se deben publicar las aprobaciones, autorizaciones, requerimientos o informes del supervisor o interventor, que prueben la ejecución del contrato</w:t>
      </w:r>
      <w:r>
        <w:rPr>
          <w:rFonts w:ascii="Arial" w:hAnsi="Arial" w:eastAsia="Calibri" w:cs="Arial"/>
          <w:vertAlign w:val="superscript"/>
          <w:lang w:val="es-ES"/>
        </w:rPr>
        <w:footnoteReference w:id="8"/>
      </w:r>
      <w:r>
        <w:rPr>
          <w:rFonts w:ascii="Arial" w:hAnsi="Arial" w:eastAsia="Calibri" w:cs="Arial"/>
          <w:lang w:val="es-ES"/>
        </w:rPr>
        <w:t>.</w:t>
      </w:r>
    </w:p>
    <w:p w:rsidR="007D2DC3" w:rsidP="007D2DC3" w:rsidRDefault="007D2DC3" w14:paraId="5306642C" w14:textId="77777777">
      <w:pPr>
        <w:spacing w:before="120" w:after="120" w:line="276" w:lineRule="auto"/>
        <w:ind w:firstLine="709"/>
        <w:jc w:val="both"/>
        <w:rPr>
          <w:rFonts w:ascii="Arial" w:hAnsi="Arial" w:eastAsia="Calibri" w:cs="Arial"/>
          <w:lang w:val="es-ES"/>
        </w:rPr>
      </w:pPr>
      <w:r>
        <w:rPr>
          <w:rFonts w:ascii="Arial" w:hAnsi="Arial" w:eastAsia="Calibri" w:cs="Arial"/>
          <w:lang w:val="es-ES"/>
        </w:rPr>
        <w:t xml:space="preserve">En ese orden, el deber de publicar la actividad contractual de las entidades estatales no solo está regulado en el artículo 3 de la Ley 1150 de 2007, y en el </w:t>
      </w:r>
      <w:r>
        <w:rPr>
          <w:rFonts w:ascii="Arial" w:hAnsi="Arial" w:eastAsia="Arial" w:cs="Arial"/>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Pr>
          <w:rFonts w:ascii="Arial" w:hAnsi="Arial" w:eastAsia="Arial" w:cs="Arial"/>
          <w:i/>
          <w:iCs/>
          <w:lang w:val="es-ES"/>
        </w:rPr>
        <w:t xml:space="preserve">Documentos del Proceso </w:t>
      </w:r>
      <w:r>
        <w:rPr>
          <w:rFonts w:ascii="Arial" w:hAnsi="Arial" w:eastAsia="Arial" w:cs="Arial"/>
          <w:lang w:val="es-ES"/>
        </w:rPr>
        <w:t>expedidos por la “entidad estatal”.</w:t>
      </w:r>
    </w:p>
    <w:p w:rsidR="007D2DC3" w:rsidP="007D2DC3" w:rsidRDefault="007D2DC3" w14:paraId="373DBB2F" w14:textId="77777777">
      <w:pPr>
        <w:spacing w:before="120" w:after="120" w:line="276" w:lineRule="auto"/>
        <w:ind w:firstLine="709"/>
        <w:jc w:val="both"/>
        <w:rPr>
          <w:rFonts w:ascii="Arial" w:hAnsi="Arial" w:eastAsia="Calibri" w:cs="Arial"/>
          <w:lang w:val="es-ES"/>
        </w:rPr>
      </w:pPr>
      <w:r>
        <w:rPr>
          <w:rFonts w:ascii="Arial" w:hAnsi="Arial" w:eastAsia="Calibri" w:cs="Arial"/>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Pr>
          <w:rFonts w:ascii="Arial" w:hAnsi="Arial" w:eastAsia="Calibri" w:cs="Arial"/>
          <w:i/>
          <w:iCs/>
          <w:lang w:val="es-ES"/>
        </w:rPr>
        <w:t>Documentos del Proceso.</w:t>
      </w:r>
      <w:r>
        <w:rPr>
          <w:rFonts w:ascii="Arial" w:hAnsi="Arial" w:eastAsia="Calibri" w:cs="Arial"/>
          <w:lang w:val="es-ES"/>
        </w:rPr>
        <w:t xml:space="preserve"> Esto</w:t>
      </w:r>
      <w:r>
        <w:rPr>
          <w:rFonts w:ascii="Arial" w:hAnsi="Arial" w:eastAsia="Calibri" w:cs="Arial"/>
          <w:i/>
          <w:iCs/>
          <w:lang w:val="es-ES"/>
        </w:rPr>
        <w:t xml:space="preserve"> </w:t>
      </w:r>
      <w:r>
        <w:rPr>
          <w:rFonts w:ascii="Arial" w:hAnsi="Arial" w:eastAsia="Calibri" w:cs="Arial"/>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Pr>
          <w:rFonts w:ascii="Arial" w:hAnsi="Arial" w:eastAsia="Calibri" w:cs="Arial"/>
          <w:i/>
          <w:iCs/>
          <w:lang w:val="es-ES"/>
        </w:rPr>
        <w:t>Proceso de Contratación,</w:t>
      </w:r>
      <w:r>
        <w:rPr>
          <w:rFonts w:ascii="Arial" w:hAnsi="Arial" w:eastAsia="Calibri" w:cs="Arial"/>
          <w:lang w:val="es-ES"/>
        </w:rPr>
        <w:t xml:space="preserve"> lo que implica que la publicación que corresponde a las entidades estatales, como sujetos obligados en el marco de la Ley 1712 de 2014, se extienda a todo el desarrollo del procedimiento, desde la </w:t>
      </w:r>
      <w:r>
        <w:rPr>
          <w:rFonts w:ascii="Arial" w:hAnsi="Arial" w:eastAsia="Calibri" w:cs="Arial"/>
          <w:lang w:val="es-ES"/>
        </w:rPr>
        <w:t xml:space="preserve">etapa de planeación hasta el vencimiento de las garantías, incluyendo cada actuación que se produzca en ese lapso.  </w:t>
      </w:r>
    </w:p>
    <w:p w:rsidR="007D2DC3" w:rsidP="007D2DC3" w:rsidRDefault="007D2DC3" w14:paraId="5642D3B0" w14:textId="77777777">
      <w:pPr>
        <w:spacing w:before="120" w:after="120" w:line="276" w:lineRule="auto"/>
        <w:ind w:firstLine="709"/>
        <w:jc w:val="both"/>
        <w:rPr>
          <w:rFonts w:ascii="Arial" w:hAnsi="Arial" w:eastAsia="Calibri" w:cs="Arial"/>
          <w:lang w:val="es-ES"/>
        </w:rPr>
      </w:pPr>
      <w:r>
        <w:rPr>
          <w:rFonts w:ascii="Arial" w:hAnsi="Arial" w:eastAsia="Calibri" w:cs="Arial"/>
          <w:lang w:val="es-ES"/>
        </w:rPr>
        <w:t xml:space="preserve">Esto quiere decir que las Entidades Estatales, además de los documentos y actos administrativos </w:t>
      </w:r>
      <w:r>
        <w:rPr>
          <w:rFonts w:ascii="Arial" w:hAnsi="Arial" w:eastAsia="Calibri" w:cs="Arial"/>
          <w:lang w:val="es-ES"/>
        </w:rPr>
        <w:softHyphen/>
      </w:r>
      <w:r>
        <w:rPr>
          <w:rFonts w:ascii="Arial" w:hAnsi="Arial" w:eastAsia="Calibri" w:cs="Arial"/>
          <w:lang w:val="es-ES"/>
        </w:rPr>
        <w:softHyphen/>
        <w:t>–de trámite o definitivos– que expiden durante los procedimientos de contratación</w:t>
      </w:r>
      <w:r>
        <w:rPr>
          <w:rFonts w:ascii="Arial" w:hAnsi="Arial" w:eastAsia="Calibri" w:cs="Arial"/>
          <w:i/>
          <w:iCs/>
          <w:lang w:val="es-ES"/>
        </w:rPr>
        <w:t>,</w:t>
      </w:r>
      <w:r>
        <w:rPr>
          <w:rFonts w:ascii="Arial" w:hAnsi="Arial" w:eastAsia="Calibri" w:cs="Arial"/>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Pr>
          <w:rFonts w:ascii="Arial" w:hAnsi="Arial" w:eastAsia="Calibri" w:cs="Arial"/>
          <w:i/>
          <w:iCs/>
          <w:lang w:val="es-ES"/>
        </w:rPr>
        <w:t xml:space="preserve"> Documento del Proceso, </w:t>
      </w:r>
      <w:r>
        <w:rPr>
          <w:rFonts w:ascii="Arial" w:hAnsi="Arial" w:eastAsia="Calibri" w:cs="Arial"/>
          <w:lang w:val="es-ES"/>
        </w:rPr>
        <w:t xml:space="preserve">hace parte de su desarrollo, y que por disposición de la Ley de transparencia y acceso a la información pública, debe publicar la entidad de manera proactiva.   </w:t>
      </w:r>
    </w:p>
    <w:p w:rsidR="007D2DC3" w:rsidP="007D2DC3" w:rsidRDefault="007D2DC3" w14:paraId="5CBFEA11" w14:textId="77777777">
      <w:pPr>
        <w:spacing w:before="120" w:after="120" w:line="276" w:lineRule="auto"/>
        <w:ind w:firstLine="709"/>
        <w:jc w:val="both"/>
        <w:rPr>
          <w:rFonts w:ascii="Arial" w:hAnsi="Arial" w:eastAsia="Calibri" w:cs="Arial"/>
          <w:lang w:val="es-ES"/>
        </w:rPr>
      </w:pPr>
      <w:r>
        <w:rPr>
          <w:rFonts w:ascii="Arial" w:hAnsi="Arial" w:eastAsia="Calibri" w:cs="Arial"/>
          <w:lang w:val="es-ES"/>
        </w:rPr>
        <w:t xml:space="preserve">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Pr>
          <w:rFonts w:ascii="Arial" w:hAnsi="Arial" w:eastAsia="Arial" w:cs="Arial"/>
          <w:lang w:val="es-ES"/>
        </w:rPr>
        <w:t>artículo 2.2.1.1.1.7.1. del Decreto 1082 de 2015.</w:t>
      </w:r>
    </w:p>
    <w:p w:rsidR="007D2DC3" w:rsidP="007D2DC3" w:rsidRDefault="007D2DC3" w14:paraId="498373EE" w14:textId="77777777">
      <w:pPr>
        <w:spacing w:before="120" w:after="120" w:line="276" w:lineRule="auto"/>
        <w:ind w:firstLine="709"/>
        <w:jc w:val="both"/>
        <w:rPr>
          <w:rFonts w:ascii="Arial" w:hAnsi="Arial" w:eastAsia="Calibri" w:cs="Arial"/>
          <w:lang w:val="es-ES"/>
        </w:rPr>
      </w:pPr>
      <w:r>
        <w:rPr>
          <w:rFonts w:ascii="Arial" w:hAnsi="Arial" w:eastAsia="Calibri" w:cs="Arial"/>
          <w:lang w:val="es-ES"/>
        </w:rPr>
        <w:t xml:space="preserve">Esta interpretación de las disposiciones analizadas permite incorporar al EGCAP importantes principios desarrollados por la normativa de la transparencia y acceso a la información pública, como los de </w:t>
      </w:r>
      <w:r>
        <w:rPr>
          <w:rFonts w:ascii="Arial" w:hAnsi="Arial" w:eastAsia="Calibri" w:cs="Arial"/>
          <w:i/>
          <w:iCs/>
          <w:lang w:val="es-ES"/>
        </w:rPr>
        <w:t>máxima publicidad para un titular universal</w:t>
      </w:r>
      <w:r>
        <w:rPr>
          <w:rFonts w:ascii="Arial" w:hAnsi="Arial" w:eastAsia="Calibri" w:cs="Arial"/>
          <w:i/>
          <w:iCs/>
          <w:vertAlign w:val="superscript"/>
          <w:lang w:val="es-ES"/>
        </w:rPr>
        <w:footnoteReference w:id="9"/>
      </w:r>
      <w:r>
        <w:rPr>
          <w:rFonts w:ascii="Arial" w:hAnsi="Arial" w:eastAsia="Calibri" w:cs="Arial"/>
          <w:i/>
          <w:iCs/>
          <w:lang w:val="es-ES"/>
        </w:rPr>
        <w:t>, transparencia, facilitación y divulgación proactiva de la información</w:t>
      </w:r>
      <w:r>
        <w:rPr>
          <w:rFonts w:ascii="Arial" w:hAnsi="Arial" w:eastAsia="Calibri" w:cs="Arial"/>
          <w:vertAlign w:val="superscript"/>
          <w:lang w:val="es-ES"/>
        </w:rPr>
        <w:footnoteReference w:id="10"/>
      </w:r>
      <w:r>
        <w:rPr>
          <w:rFonts w:ascii="Arial" w:hAnsi="Arial" w:eastAsia="Calibri" w:cs="Arial"/>
          <w:lang w:val="es-ES"/>
        </w:rPr>
        <w:t xml:space="preserve">,  porque al ampliarse </w:t>
      </w:r>
      <w:r>
        <w:rPr>
          <w:rFonts w:ascii="Arial" w:hAnsi="Arial" w:eastAsia="Calibri" w:cs="Arial"/>
          <w:lang w:val="es-ES"/>
        </w:rPr>
        <w:t xml:space="preserve">la actividad contractual sobre la que recae el deber de publicación, se divulga un mayor volumen de información, que de por sí es pública, mediante un mecanismo  como el SECOP, que está concebido para ello por lo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rsidR="007D2DC3" w:rsidP="007D2DC3" w:rsidRDefault="007D2DC3" w14:paraId="53033E90" w14:textId="77777777">
      <w:pPr>
        <w:spacing w:before="120" w:after="120" w:line="276" w:lineRule="auto"/>
        <w:ind w:firstLine="709"/>
        <w:jc w:val="both"/>
        <w:rPr>
          <w:rFonts w:ascii="Arial" w:hAnsi="Arial" w:eastAsia="Calibri" w:cs="Arial"/>
          <w:lang w:val="es-ES"/>
        </w:rPr>
      </w:pPr>
      <w:r>
        <w:rPr>
          <w:rFonts w:ascii="Arial" w:hAnsi="Arial" w:eastAsia="Calibri" w:cs="Arial"/>
          <w:bCs/>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w:t>
      </w:r>
      <w:r>
        <w:rPr>
          <w:rFonts w:ascii="Arial" w:hAnsi="Arial" w:eastAsia="Calibri" w:cs="Arial"/>
          <w:lang w:val="es-ES"/>
        </w:rPr>
        <w:t xml:space="preserve">radicado interno No. </w:t>
      </w:r>
      <w:r>
        <w:rPr>
          <w:rFonts w:ascii="Arial" w:hAnsi="Arial" w:eastAsia="Calibri" w:cs="Arial"/>
          <w:bCs/>
          <w:lang w:val="es-ES"/>
        </w:rPr>
        <w:t xml:space="preserve">2202013000003074–, </w:t>
      </w:r>
      <w:r>
        <w:rPr>
          <w:rFonts w:ascii="Arial" w:hAnsi="Arial" w:eastAsia="Calibri" w:cs="Arial"/>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rsidR="007D2DC3" w:rsidP="007D2DC3" w:rsidRDefault="007D2DC3" w14:paraId="3E83F0A1" w14:textId="77777777">
      <w:pPr>
        <w:spacing w:after="120" w:line="276" w:lineRule="auto"/>
        <w:ind w:firstLine="709"/>
        <w:jc w:val="both"/>
        <w:rPr>
          <w:rFonts w:ascii="Calibri" w:hAnsi="Calibri" w:eastAsia="Calibri"/>
        </w:rPr>
      </w:pPr>
      <w:r>
        <w:rPr>
          <w:rFonts w:ascii="Arial" w:hAnsi="Arial" w:eastAsia="Calibri" w:cs="Arial"/>
          <w:lang w:val="es-ES"/>
        </w:rPr>
        <w:t xml:space="preserve">En ese sentido, el Plan Anual de Adquisiciones no forma parte de la noción de </w:t>
      </w:r>
      <w:r>
        <w:rPr>
          <w:rFonts w:ascii="Arial" w:hAnsi="Arial" w:eastAsia="Calibri" w:cs="Arial"/>
          <w:i/>
          <w:iCs/>
          <w:lang w:val="es-ES"/>
        </w:rPr>
        <w:t xml:space="preserve">Documentos del Proceso, </w:t>
      </w:r>
      <w:r>
        <w:rPr>
          <w:rFonts w:ascii="Arial" w:hAnsi="Arial" w:eastAsia="Calibri" w:cs="Arial"/>
          <w:lang w:val="es-ES"/>
        </w:rPr>
        <w:t xml:space="preserve">ni hace parte del </w:t>
      </w:r>
      <w:r>
        <w:rPr>
          <w:rFonts w:ascii="Arial" w:hAnsi="Arial" w:eastAsia="Calibri" w:cs="Arial"/>
          <w:i/>
          <w:iCs/>
          <w:lang w:val="es-ES"/>
        </w:rPr>
        <w:t>Proce</w:t>
      </w:r>
      <w:r>
        <w:rPr>
          <w:rFonts w:ascii="Arial" w:hAnsi="Arial" w:eastAsia="Calibri" w:cs="Arial"/>
          <w:lang w:val="es-ES"/>
        </w:rPr>
        <w:t xml:space="preserve">so </w:t>
      </w:r>
      <w:r>
        <w:rPr>
          <w:rFonts w:ascii="Arial" w:hAnsi="Arial" w:eastAsia="Calibri" w:cs="Arial"/>
          <w:i/>
          <w:iCs/>
          <w:lang w:val="es-ES"/>
        </w:rPr>
        <w:t>de Contratación,</w:t>
      </w:r>
      <w:r>
        <w:rPr>
          <w:rFonts w:ascii="Arial" w:hAnsi="Arial" w:eastAsia="Calibri" w:cs="Arial"/>
          <w:lang w:val="es-ES"/>
        </w:rPr>
        <w:t xml:space="preserve"> conforme al artículo 2.2.1.1.1.3.1 del Decreto 1082 de 2015, por lo que el deber de publicarlo encuentra apoyo en normas distintas del artículo 2.2.1.1.1.7.1 </w:t>
      </w:r>
      <w:r>
        <w:rPr>
          <w:rFonts w:ascii="Arial" w:hAnsi="Arial" w:eastAsia="Calibri" w:cs="Arial"/>
          <w:i/>
          <w:iCs/>
          <w:lang w:val="es-ES"/>
        </w:rPr>
        <w:t xml:space="preserve">Ibídem. </w:t>
      </w:r>
      <w:r>
        <w:rPr>
          <w:rFonts w:ascii="Arial" w:hAnsi="Arial" w:eastAsia="Calibri" w:cs="Arial"/>
          <w:lang w:val="es-ES"/>
        </w:rPr>
        <w:t>Es el artículo 74 de la Ley 1474 de 2011</w:t>
      </w:r>
      <w:r>
        <w:rPr>
          <w:rFonts w:ascii="Arial" w:hAnsi="Arial" w:eastAsia="Calibri" w:cs="Arial"/>
          <w:vertAlign w:val="superscript"/>
          <w:lang w:val="es-ES"/>
        </w:rPr>
        <w:footnoteReference w:id="11"/>
      </w:r>
      <w:r>
        <w:rPr>
          <w:rFonts w:ascii="Arial" w:hAnsi="Arial" w:eastAsia="Calibri" w:cs="Arial"/>
          <w:lang w:val="es-ES"/>
        </w:rPr>
        <w:t xml:space="preserve"> el que dispone que a más tardar el 31 de enero de cada año las entidades deben publicar, en su página web, el Plan de Acción para el año siguiente; y el artículo 2.2.1.1.1.4.3</w:t>
      </w:r>
      <w:r>
        <w:rPr>
          <w:rFonts w:ascii="Arial" w:hAnsi="Arial" w:eastAsia="Calibri" w:cs="Arial"/>
          <w:vertAlign w:val="superscript"/>
          <w:lang w:val="es-ES"/>
        </w:rPr>
        <w:footnoteReference w:id="12"/>
      </w:r>
      <w:r>
        <w:rPr>
          <w:rFonts w:ascii="Arial" w:hAnsi="Arial" w:eastAsia="Calibri" w:cs="Arial"/>
          <w:lang w:val="es-ES"/>
        </w:rPr>
        <w:t xml:space="preserve"> del Decreto 1082 de 2015 también exige publicarlo en la página web de la </w:t>
      </w:r>
      <w:r>
        <w:rPr>
          <w:rFonts w:ascii="Arial" w:hAnsi="Arial" w:eastAsia="Calibri" w:cs="Arial"/>
          <w:lang w:val="es-ES"/>
        </w:rPr>
        <w:t>entidad y además en el SECOP; así como también lo indica el citado artículo 2.1.1.2.1.10 del Decreto 1081 de 2015.</w:t>
      </w:r>
    </w:p>
    <w:p w:rsidR="007D2DC3" w:rsidP="007D2DC3" w:rsidRDefault="007D2DC3" w14:paraId="66B333EB" w14:textId="77777777">
      <w:pPr>
        <w:spacing w:after="120" w:line="276" w:lineRule="auto"/>
        <w:ind w:firstLine="709"/>
        <w:jc w:val="both"/>
        <w:rPr>
          <w:rFonts w:ascii="Calibri" w:hAnsi="Calibri" w:eastAsia="Calibri"/>
        </w:rPr>
      </w:pPr>
      <w:r>
        <w:rPr>
          <w:rFonts w:ascii="Arial" w:hAnsi="Arial" w:eastAsia="Calibri" w:cs="Arial"/>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Pr>
          <w:rFonts w:ascii="Arial" w:hAnsi="Arial" w:eastAsia="Calibri" w:cs="Arial"/>
          <w:i/>
          <w:iCs/>
          <w:lang w:val="es-ES"/>
        </w:rPr>
        <w:t>proceso de contratación</w:t>
      </w:r>
      <w:r>
        <w:rPr>
          <w:rFonts w:ascii="Arial" w:hAnsi="Arial" w:eastAsia="Calibri" w:cs="Arial"/>
          <w:lang w:val="es-ES"/>
        </w:rPr>
        <w:t>: i) el estudio de oportunidad y conveniencia; ii)</w:t>
      </w:r>
      <w:r>
        <w:rPr>
          <w:rFonts w:ascii="Arial" w:hAnsi="Arial" w:eastAsia="Calibri" w:cs="Arial"/>
          <w:b/>
          <w:bCs/>
          <w:lang w:val="es-ES"/>
        </w:rPr>
        <w:t xml:space="preserve"> </w:t>
      </w:r>
      <w:r>
        <w:rPr>
          <w:rFonts w:ascii="Arial" w:hAnsi="Arial" w:eastAsia="Calibri" w:cs="Arial"/>
          <w:lang w:val="es-ES"/>
        </w:rPr>
        <w:t xml:space="preserve">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Pr>
          <w:rFonts w:ascii="Arial" w:hAnsi="Arial" w:eastAsia="Calibri" w:cs="Arial"/>
          <w:i/>
          <w:iCs/>
          <w:lang w:val="es-ES"/>
        </w:rPr>
        <w:t>Proceso de Contratación</w:t>
      </w:r>
      <w:r>
        <w:rPr>
          <w:rFonts w:ascii="Arial" w:hAnsi="Arial" w:eastAsia="Calibri" w:cs="Arial"/>
          <w:lang w:val="es-ES"/>
        </w:rPr>
        <w:t>, sin importar quién sea su autor –la Administración o el contratista–, con excepción de los que pertenecen a</w:t>
      </w:r>
      <w:r>
        <w:rPr>
          <w:rFonts w:ascii="Arial" w:hAnsi="Arial" w:eastAsia="Arial" w:cs="Arial"/>
          <w:lang w:val="es-ES"/>
        </w:rPr>
        <w:t xml:space="preserve">l marco de operaciones de bolsa de productos, expresamente excluidos de publicación por el artículo 2.2.1.1.1.7.1. del Decreto 1082 de 2015. </w:t>
      </w:r>
    </w:p>
    <w:p w:rsidR="007D2DC3" w:rsidP="007D2DC3" w:rsidRDefault="007D2DC3" w14:paraId="03DB99A3" w14:textId="77777777">
      <w:pPr>
        <w:spacing w:line="276" w:lineRule="auto"/>
        <w:ind w:firstLine="709"/>
        <w:jc w:val="both"/>
        <w:rPr>
          <w:rFonts w:ascii="Arial" w:hAnsi="Arial" w:eastAsia="Calibri" w:cs="Arial"/>
          <w:lang w:val="es-ES"/>
        </w:rPr>
      </w:pPr>
      <w:r>
        <w:rPr>
          <w:rFonts w:ascii="Arial" w:hAnsi="Arial" w:eastAsia="Calibri" w:cs="Arial"/>
          <w:lang w:val="es-ES"/>
        </w:rPr>
        <w:t xml:space="preserve">Sin perjuicio de lo anterior, </w:t>
      </w:r>
      <w:bookmarkStart w:name="_Hlk79767737" w:id="13"/>
      <w:r>
        <w:rPr>
          <w:rFonts w:ascii="Arial" w:hAnsi="Arial" w:eastAsia="Calibri" w:cs="Arial"/>
          <w:lang w:val="es-ES"/>
        </w:rPr>
        <w:t>no debe perderse de vista que en virtud del principio de transparencia, específicamente por cuenta de lo dispuesto en el numeral 4 del artículo 24 de la Ley 80 de 1993</w:t>
      </w:r>
      <w:r>
        <w:rPr>
          <w:rFonts w:ascii="Arial" w:hAnsi="Arial" w:eastAsia="Calibri" w:cs="Arial"/>
          <w:vertAlign w:val="superscript"/>
          <w:lang w:val="es-ES"/>
        </w:rPr>
        <w:footnoteReference w:id="13"/>
      </w:r>
      <w:r>
        <w:rPr>
          <w:rFonts w:ascii="Arial" w:hAnsi="Arial" w:eastAsia="Calibri" w:cs="Arial"/>
          <w:lang w:val="es-ES"/>
        </w:rPr>
        <w:t xml:space="preserve">, así como por el principio de máxima publicidad establecido en el </w:t>
      </w:r>
      <w:r>
        <w:rPr>
          <w:rFonts w:ascii="Arial" w:hAnsi="Arial" w:eastAsia="Calibri" w:cs="Arial"/>
          <w:lang w:val="es-ES"/>
        </w:rPr>
        <w:t>artículo 2 de la Ley 1712 de 2014</w:t>
      </w:r>
      <w:r>
        <w:rPr>
          <w:rFonts w:ascii="Arial" w:hAnsi="Arial" w:eastAsia="Calibri" w:cs="Arial"/>
          <w:vertAlign w:val="superscript"/>
          <w:lang w:val="es-ES"/>
        </w:rPr>
        <w:footnoteReference w:id="14"/>
      </w:r>
      <w:r>
        <w:rPr>
          <w:rFonts w:ascii="Arial" w:hAnsi="Arial" w:eastAsia="Calibri" w:cs="Arial"/>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que manifieste interés, dentro de lo que cabe la vigilancia de la contratación pública, cuestión que podría interesar a cualquier ciudadano</w:t>
      </w:r>
      <w:r>
        <w:rPr>
          <w:rFonts w:ascii="Arial" w:hAnsi="Arial" w:eastAsia="Calibri" w:cs="Arial"/>
          <w:vertAlign w:val="superscript"/>
          <w:lang w:val="es-ES"/>
        </w:rPr>
        <w:footnoteReference w:id="15"/>
      </w:r>
      <w:r>
        <w:rPr>
          <w:rFonts w:ascii="Arial" w:hAnsi="Arial" w:eastAsia="Calibri" w:cs="Arial"/>
          <w:lang w:val="es-ES"/>
        </w:rPr>
        <w:t>. Esta posibilidad solo se encuentra limitada respecto de la documentación que tenga la calidad de reservada</w:t>
      </w:r>
      <w:r>
        <w:rPr>
          <w:rFonts w:ascii="Arial" w:hAnsi="Arial" w:eastAsia="Calibri" w:cs="Arial"/>
          <w:vertAlign w:val="superscript"/>
          <w:lang w:val="es-ES"/>
        </w:rPr>
        <w:footnoteReference w:id="16"/>
      </w:r>
      <w:r>
        <w:rPr>
          <w:rFonts w:ascii="Arial" w:hAnsi="Arial" w:eastAsia="Calibri" w:cs="Arial"/>
          <w:lang w:val="es-ES"/>
        </w:rPr>
        <w:t>, que deberá someterse al tratamiento establecido en el artículo 36 del CPACA, en lo relativo a la formación de cuadernos separados</w:t>
      </w:r>
      <w:r>
        <w:rPr>
          <w:rFonts w:ascii="Arial" w:hAnsi="Arial" w:eastAsia="Calibri" w:cs="Arial"/>
          <w:vertAlign w:val="superscript"/>
          <w:lang w:val="es-ES"/>
        </w:rPr>
        <w:footnoteReference w:id="17"/>
      </w:r>
      <w:r>
        <w:rPr>
          <w:rFonts w:ascii="Arial" w:hAnsi="Arial" w:eastAsia="Calibri" w:cs="Arial"/>
          <w:lang w:val="es-ES"/>
        </w:rPr>
        <w:t>.</w:t>
      </w:r>
    </w:p>
    <w:bookmarkEnd w:id="13"/>
    <w:p w:rsidR="007D2DC3" w:rsidP="007D2DC3" w:rsidRDefault="007D2DC3" w14:paraId="1AA1BED6" w14:textId="77777777">
      <w:pPr>
        <w:spacing w:line="276" w:lineRule="auto"/>
        <w:jc w:val="both"/>
        <w:rPr>
          <w:rFonts w:ascii="Arial" w:hAnsi="Arial" w:eastAsia="Calibri" w:cs="Arial"/>
          <w:b/>
          <w:color w:val="000000" w:themeColor="text1"/>
          <w:lang w:val="es-ES"/>
        </w:rPr>
      </w:pPr>
    </w:p>
    <w:p w:rsidR="007D2DC3" w:rsidP="007D2DC3" w:rsidRDefault="007D2DC3" w14:paraId="4A22C932" w14:textId="77777777">
      <w:pPr>
        <w:spacing w:line="276" w:lineRule="auto"/>
        <w:jc w:val="both"/>
        <w:rPr>
          <w:rFonts w:ascii="Arial" w:hAnsi="Arial" w:eastAsia="Calibri" w:cs="Arial"/>
          <w:b/>
          <w:color w:val="000000" w:themeColor="text1"/>
          <w:lang w:val="es-ES"/>
        </w:rPr>
      </w:pPr>
    </w:p>
    <w:p w:rsidR="007D2DC3" w:rsidP="007D2DC3" w:rsidRDefault="007D2DC3" w14:paraId="338D5882" w14:textId="77777777">
      <w:pPr>
        <w:spacing w:line="276" w:lineRule="auto"/>
        <w:jc w:val="both"/>
        <w:rPr>
          <w:rFonts w:ascii="Arial" w:hAnsi="Arial" w:eastAsia="Calibri" w:cs="Arial"/>
          <w:b/>
          <w:color w:val="000000" w:themeColor="text1"/>
          <w:lang w:val="es-ES"/>
        </w:rPr>
      </w:pPr>
      <w:r>
        <w:rPr>
          <w:rFonts w:ascii="Arial" w:hAnsi="Arial" w:eastAsia="Calibri" w:cs="Arial"/>
          <w:b/>
          <w:color w:val="000000" w:themeColor="text1"/>
          <w:lang w:val="es-ES"/>
        </w:rPr>
        <w:t>2.2. El SECOP II, su despliegue y utilización como plataforma electrónica transaccional</w:t>
      </w:r>
    </w:p>
    <w:p w:rsidR="007D2DC3" w:rsidP="007D2DC3" w:rsidRDefault="007D2DC3" w14:paraId="508948CB" w14:textId="77777777">
      <w:pPr>
        <w:spacing w:after="120" w:line="276" w:lineRule="auto"/>
        <w:jc w:val="both"/>
        <w:rPr>
          <w:rFonts w:ascii="Arial" w:hAnsi="Arial" w:eastAsia="Calibri" w:cs="Arial"/>
          <w:color w:val="000000" w:themeColor="text1"/>
          <w:lang w:val="es-ES"/>
        </w:rPr>
      </w:pPr>
      <w:r>
        <w:rPr>
          <w:rFonts w:ascii="Arial" w:hAnsi="Arial" w:eastAsia="Calibri" w:cs="Arial"/>
          <w:color w:val="000000" w:themeColor="text1"/>
          <w:lang w:val="es-ES"/>
        </w:rPr>
        <w:t>La Agencia Nacional de Contratación Pública – Colombia Compra Eficiente tiene como función administrar el SECOP</w:t>
      </w:r>
      <w:r>
        <w:rPr>
          <w:rStyle w:val="Refdenotaalpie"/>
          <w:rFonts w:ascii="Arial" w:hAnsi="Arial" w:eastAsia="Calibri" w:cs="Arial"/>
          <w:color w:val="000000" w:themeColor="text1"/>
          <w:lang w:val="es-ES"/>
        </w:rPr>
        <w:footnoteReference w:id="18"/>
      </w:r>
      <w:r>
        <w:rPr>
          <w:rFonts w:ascii="Arial" w:hAnsi="Arial" w:eastAsia="Calibri" w:cs="Arial"/>
          <w:color w:val="000000" w:themeColor="text1"/>
          <w:lang w:val="es-ES"/>
        </w:rPr>
        <w:t>, por lo cual desarrolló la primera versión de la plataforma, denominada SECOP I, que funciona como medio de publicidad y no transaccional, lo que significa que, en la práctica, el procedimiento contractual ocurre fuera de la plataforma y que la entidad lleva un expediente físico, cuyos documentos se escanean para cargarlos en la plataforma por quien tenga la función dentro de la entidad, de acuerdo con su organización interna.</w:t>
      </w:r>
    </w:p>
    <w:p w:rsidR="007D2DC3" w:rsidP="007D2DC3" w:rsidRDefault="007D2DC3" w14:paraId="3DBA7E38" w14:textId="77777777">
      <w:pPr>
        <w:spacing w:before="120" w:after="120" w:line="276" w:lineRule="auto"/>
        <w:ind w:firstLine="708"/>
        <w:jc w:val="both"/>
        <w:rPr>
          <w:rFonts w:ascii="Arial" w:hAnsi="Arial" w:eastAsia="Calibri" w:cs="Arial"/>
          <w:color w:val="000000" w:themeColor="text1"/>
          <w:lang w:val="es-ES"/>
        </w:rPr>
      </w:pPr>
      <w:r>
        <w:rPr>
          <w:rFonts w:ascii="Arial" w:hAnsi="Arial" w:eastAsia="Calibri" w:cs="Arial"/>
          <w:color w:val="000000" w:themeColor="text1"/>
          <w:lang w:val="es-ES"/>
        </w:rPr>
        <w:t>El SECOP II es la segunda versión de la plataforma y se caracteriza por ser transaccional, esto es, permite la gestión en línea de los procedimientos de contratación, con cuentas y usuarios asociados a éstas, para las entidades y los proveedores, así como el acceso de consulta para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rsidR="007D2DC3" w:rsidP="007D2DC3" w:rsidRDefault="007D2DC3" w14:paraId="36890874" w14:textId="77777777">
      <w:pPr>
        <w:spacing w:line="276" w:lineRule="auto"/>
        <w:ind w:firstLine="708"/>
        <w:jc w:val="both"/>
        <w:rPr>
          <w:rFonts w:ascii="Arial" w:hAnsi="Arial" w:eastAsia="Calibri" w:cs="Arial"/>
          <w:color w:val="000000" w:themeColor="text1"/>
          <w:lang w:val="es-ES"/>
        </w:rPr>
      </w:pPr>
      <w:r>
        <w:rPr>
          <w:rFonts w:ascii="Arial" w:hAnsi="Arial" w:eastAsia="Calibri" w:cs="Arial"/>
          <w:color w:val="000000" w:themeColor="text1"/>
          <w:lang w:val="es-ES"/>
        </w:rPr>
        <w:t>Es necesario aclarar que, dado que el procedimiento contractual se desarrolla en línea y dentro de la plataforma, paulatinamente se va conformando un expediente electrónico, lo cual implica una diferencia con el SECOP I, donde el procedimiento es físico, esto es, con documentos escritos que se publican posteriormente. Al existir esa diferencia entre las dos versiones del SECOP, por regla general, no es posible cargar en SECOP II actuaciones por escrito realizadas por la entidad, como ocurre en el SECOP I, sino que los documentos y actuaciones son electrónicos. En efecto, en una de las orientaciones jurídicas del SECOP II</w:t>
      </w:r>
      <w:r>
        <w:rPr>
          <w:rStyle w:val="Refdenotaalpie"/>
          <w:rFonts w:ascii="Arial" w:hAnsi="Arial" w:eastAsia="Calibri" w:cs="Arial"/>
          <w:color w:val="000000" w:themeColor="text1"/>
          <w:lang w:val="es-ES"/>
        </w:rPr>
        <w:footnoteReference w:id="19"/>
      </w:r>
      <w:r>
        <w:rPr>
          <w:rFonts w:ascii="Arial" w:hAnsi="Arial" w:eastAsia="Calibri" w:cs="Arial"/>
          <w:color w:val="000000" w:themeColor="text1"/>
          <w:lang w:val="es-ES"/>
        </w:rPr>
        <w:t>, la Subdirección de Gestión Contractual explicó que:</w:t>
      </w:r>
    </w:p>
    <w:p w:rsidRPr="00F46FD9" w:rsidR="007D2DC3" w:rsidP="007D2DC3" w:rsidRDefault="007D2DC3" w14:paraId="42162960" w14:textId="77777777">
      <w:pPr>
        <w:ind w:left="709" w:right="707"/>
        <w:jc w:val="both"/>
        <w:rPr>
          <w:rFonts w:ascii="Arial" w:hAnsi="Arial" w:eastAsia="Calibri" w:cs="Arial"/>
          <w:color w:val="000000" w:themeColor="text1"/>
          <w:sz w:val="20"/>
          <w:szCs w:val="20"/>
          <w:lang w:val="es-ES"/>
        </w:rPr>
      </w:pPr>
      <w:r w:rsidRPr="00F46FD9">
        <w:rPr>
          <w:rFonts w:ascii="Arial" w:hAnsi="Arial" w:eastAsia="Calibri" w:cs="Arial"/>
          <w:color w:val="000000" w:themeColor="text1"/>
          <w:sz w:val="20"/>
          <w:szCs w:val="20"/>
          <w:lang w:val="es-ES"/>
        </w:rPr>
        <w:t xml:space="preserve">[…] los contratos en SECOP II son electrónicos, por lo cual su publicación se da de manera simultánea a la actuación al ser una plataforma en línea. Teniendo en cuenta </w:t>
      </w:r>
      <w:r w:rsidRPr="00F46FD9">
        <w:rPr>
          <w:rFonts w:ascii="Arial" w:hAnsi="Arial" w:eastAsia="Calibri" w:cs="Arial"/>
          <w:color w:val="000000" w:themeColor="text1"/>
          <w:sz w:val="20"/>
          <w:szCs w:val="20"/>
          <w:lang w:val="es-ES"/>
        </w:rPr>
        <w:t xml:space="preserve">lo anterior no hay lugar a la publicación de manera posterior porque las actuaciones se hacen en la plataforma de manera inmediata. </w:t>
      </w:r>
    </w:p>
    <w:p w:rsidR="007D2DC3" w:rsidP="007D2DC3" w:rsidRDefault="007D2DC3" w14:paraId="673E1C8B" w14:textId="77777777">
      <w:pPr>
        <w:ind w:left="709" w:right="707"/>
        <w:jc w:val="both"/>
        <w:rPr>
          <w:rFonts w:ascii="Arial" w:hAnsi="Arial" w:eastAsia="Calibri" w:cs="Arial"/>
          <w:color w:val="000000" w:themeColor="text1"/>
          <w:sz w:val="21"/>
          <w:szCs w:val="21"/>
          <w:lang w:val="es-ES"/>
        </w:rPr>
      </w:pPr>
    </w:p>
    <w:p w:rsidRPr="00F46FD9" w:rsidR="007D2DC3" w:rsidP="007D2DC3" w:rsidRDefault="007D2DC3" w14:paraId="54D9E413" w14:textId="77777777">
      <w:pPr>
        <w:ind w:left="709" w:right="707"/>
        <w:jc w:val="both"/>
        <w:rPr>
          <w:rFonts w:ascii="Arial" w:hAnsi="Arial" w:eastAsia="Calibri" w:cs="Arial"/>
          <w:color w:val="000000" w:themeColor="text1"/>
          <w:sz w:val="20"/>
          <w:szCs w:val="20"/>
          <w:lang w:val="es-ES"/>
        </w:rPr>
      </w:pPr>
      <w:r w:rsidRPr="00F46FD9">
        <w:rPr>
          <w:rFonts w:ascii="Arial" w:hAnsi="Arial" w:eastAsia="Calibri" w:cs="Arial"/>
          <w:color w:val="000000" w:themeColor="text1"/>
          <w:sz w:val="20"/>
          <w:szCs w:val="20"/>
          <w:lang w:val="es-ES"/>
        </w:rPr>
        <w:t>Los contratos en el SECOP II están compuestos por el formulario y los anexos que son, mensajes de datos que la Entidad envía al proveedor como «contrato» y el mensaje de datos de aceptación por parte del proveedor, estos mensajes acompañados de la firma electrónica y el sello de tiempo que provee la plataforma constituyen el contrato electrónico el cual tiene plena validez y fuerza obligatoria.</w:t>
      </w:r>
    </w:p>
    <w:p w:rsidR="007D2DC3" w:rsidP="007D2DC3" w:rsidRDefault="007D2DC3" w14:paraId="460F961A" w14:textId="77777777">
      <w:pPr>
        <w:spacing w:line="276" w:lineRule="auto"/>
        <w:ind w:firstLine="708"/>
        <w:jc w:val="both"/>
        <w:rPr>
          <w:rFonts w:ascii="Arial" w:hAnsi="Arial" w:eastAsia="Calibri" w:cs="Arial"/>
          <w:color w:val="000000" w:themeColor="text1"/>
          <w:lang w:val="es-ES"/>
        </w:rPr>
      </w:pPr>
      <w:r>
        <w:rPr>
          <w:rFonts w:ascii="Arial" w:hAnsi="Arial" w:eastAsia="Calibri" w:cs="Arial"/>
          <w:color w:val="000000" w:themeColor="text1"/>
          <w:lang w:val="es-ES"/>
        </w:rPr>
        <w:t xml:space="preserve">La plataforma SECOP II es totalmente transaccional, por lo que el trámite se realiza en línea y la publicidad de las actuaciones es concomitante, según transcurran cada una de las etapas del procedimiento, lo que descarta, en principio, la necesidad cargar documentación alguna. Además, de acuerdo con lo prescrito en el artículo 14 de la Ley 527 de 1999, en la formación del contrato, salvo acuerdo expreso entre las partes, la oferta y su aceptación podrán expresarse por medio de un mensaje de datos, lo que implica que «[n]o se negará validez o fuerza obligatoria a un contrato por la sola razón de haberse utilizado en su formación uno o más mensajes de datos». Igualmente, el artículo 22 </w:t>
      </w:r>
      <w:r>
        <w:rPr>
          <w:rFonts w:ascii="Arial" w:hAnsi="Arial" w:eastAsia="Calibri" w:cs="Arial"/>
          <w:i/>
          <w:iCs/>
          <w:color w:val="000000" w:themeColor="text1"/>
          <w:lang w:val="es-ES"/>
        </w:rPr>
        <w:t>ibidem</w:t>
      </w:r>
      <w:r>
        <w:rPr>
          <w:rFonts w:ascii="Arial" w:hAnsi="Arial" w:eastAsia="Calibri" w:cs="Arial"/>
          <w:color w:val="000000" w:themeColor="text1"/>
          <w:lang w:val="es-ES"/>
        </w:rPr>
        <w:t xml:space="preserve"> dispone que los contratos electrónicos compuestos por mensajes de datos tienen los efectos jurídicos según las normas aplicables al negocio jurídico contenido en dichos mensajes, esto es, las normas que regulan el sistema de contratación pública.</w:t>
      </w:r>
    </w:p>
    <w:p w:rsidR="007D2DC3" w:rsidP="007D2DC3" w:rsidRDefault="007D2DC3" w14:paraId="5EFE3E2F" w14:textId="77777777">
      <w:pPr>
        <w:spacing w:before="120" w:line="276" w:lineRule="auto"/>
        <w:ind w:firstLine="709"/>
        <w:jc w:val="both"/>
        <w:rPr>
          <w:rFonts w:ascii="Arial" w:hAnsi="Arial" w:eastAsia="Calibri" w:cs="Arial"/>
          <w:color w:val="000000" w:themeColor="text1"/>
          <w:lang w:val="es-ES"/>
        </w:rPr>
      </w:pPr>
      <w:r>
        <w:rPr>
          <w:rFonts w:ascii="Arial" w:hAnsi="Arial" w:eastAsia="Calibri" w:cs="Arial"/>
          <w:color w:val="000000" w:themeColor="text1"/>
          <w:lang w:val="es-ES"/>
        </w:rPr>
        <w:t>No obstante, eventualmente puede ocurrir que al SECOP II se deban cargar documentos suscritos o no por las partes. Esto ocurre, por ejemplo, con los estudios previos, el informe de evaluación, la resolución de adjudicación o con el clausulado del contrato, entre otras actuaciones en las que los usuarios quedan habilitados para cargar documentos en la plataforma. Se trata de algo excepcional, pues, se insiste, el SECOP II es una plataforma esencialmente transaccional, distinta de la SECOP I que es una herramienta eminentemente de publicidad.</w:t>
      </w:r>
    </w:p>
    <w:p w:rsidR="007D2DC3" w:rsidP="007D2DC3" w:rsidRDefault="007D2DC3" w14:paraId="5AA469A3" w14:textId="77777777">
      <w:pPr>
        <w:spacing w:before="120" w:line="276" w:lineRule="auto"/>
        <w:ind w:firstLine="709"/>
        <w:jc w:val="both"/>
        <w:rPr>
          <w:rFonts w:ascii="Arial" w:hAnsi="Arial" w:eastAsia="Calibri" w:cs="Arial"/>
          <w:color w:val="000000" w:themeColor="text1"/>
          <w:lang w:val="es-ES"/>
        </w:rPr>
      </w:pPr>
      <w:r>
        <w:rPr>
          <w:rFonts w:ascii="Arial" w:hAnsi="Arial" w:eastAsia="Calibri" w:cs="Arial"/>
          <w:color w:val="000000" w:themeColor="text1"/>
          <w:lang w:val="es-ES"/>
        </w:rPr>
        <w:t xml:space="preserve">Dicho carácter excepcional, además, se justifica en la necesidad de evitar los problemas que pueden surgir ante la duplicidad de información, como, por ejemplo, la discrepancia entre el texto tramitado en el SECOP II y el que la entidad carga a la plataforma. </w:t>
      </w:r>
    </w:p>
    <w:p w:rsidR="007D2DC3" w:rsidP="007D2DC3" w:rsidRDefault="007D2DC3" w14:paraId="707586E0" w14:textId="77777777">
      <w:pPr>
        <w:spacing w:before="120" w:after="120" w:line="276" w:lineRule="auto"/>
        <w:ind w:firstLine="708"/>
        <w:jc w:val="both"/>
        <w:rPr>
          <w:rFonts w:ascii="Arial" w:hAnsi="Arial" w:eastAsia="Calibri" w:cs="Arial"/>
          <w:color w:val="000000" w:themeColor="text1"/>
          <w:lang w:val="es-ES"/>
        </w:rPr>
      </w:pPr>
      <w:r>
        <w:rPr>
          <w:rFonts w:ascii="Arial" w:hAnsi="Arial" w:eastAsia="Calibri" w:cs="Arial"/>
          <w:color w:val="000000" w:themeColor="text1"/>
          <w:lang w:val="es-ES"/>
        </w:rPr>
        <w:t>Ahora bien, respecto a la obligación de utilizar la plataforma del SECOP II, Colombia Compra Eficiente realizó el despliegue de SECOP II a nivel territorial en el 2018 y 2019, por lo que expidió la Circular Externa No. 1 de 2019 sobre la obligatoriedad de su uso en el 2020, la cual dispone que: «a partir del 1 de enero de 2020, todos los procesos de contratación de las entidades relacionadas en el Anexo 1 de esta circular deberán gestionarse, exclusivamente, en el SECOP ll». Las entidades públicas relacionadas en dicho anexo están obligadas al uso de la plataforma.</w:t>
      </w:r>
    </w:p>
    <w:p w:rsidR="007D2DC3" w:rsidP="007D2DC3" w:rsidRDefault="007D2DC3" w14:paraId="67C43875" w14:textId="77777777">
      <w:pPr>
        <w:spacing w:before="120" w:after="0" w:line="276" w:lineRule="auto"/>
        <w:jc w:val="both"/>
        <w:rPr>
          <w:rFonts w:ascii="Arial" w:hAnsi="Arial" w:eastAsia="Calibri" w:cs="Arial"/>
          <w:lang w:val="es-ES_tradnl"/>
        </w:rPr>
      </w:pPr>
    </w:p>
    <w:p w:rsidR="007D2DC3" w:rsidP="007D2DC3" w:rsidRDefault="007D2DC3" w14:paraId="6DB6CEB9" w14:textId="77777777">
      <w:pPr>
        <w:spacing w:before="120" w:after="0" w:line="276" w:lineRule="auto"/>
        <w:jc w:val="both"/>
        <w:rPr>
          <w:rFonts w:ascii="Arial" w:hAnsi="Arial" w:eastAsia="Calibri" w:cs="Arial"/>
          <w:lang w:val="es-ES_tradnl"/>
        </w:rPr>
      </w:pPr>
    </w:p>
    <w:p w:rsidR="007D2DC3" w:rsidP="007D2DC3" w:rsidRDefault="007D2DC3" w14:paraId="19257077" w14:textId="77777777">
      <w:pPr>
        <w:spacing w:line="276" w:lineRule="auto"/>
        <w:jc w:val="both"/>
        <w:rPr>
          <w:rFonts w:ascii="Arial" w:hAnsi="Arial" w:eastAsia="Calibri" w:cs="Arial"/>
          <w:b/>
          <w:bCs/>
          <w:color w:val="000000" w:themeColor="text1"/>
          <w:lang w:val="es-ES"/>
        </w:rPr>
      </w:pPr>
      <w:r>
        <w:rPr>
          <w:rFonts w:ascii="Arial" w:hAnsi="Arial" w:eastAsia="Calibri" w:cs="Arial"/>
          <w:b/>
          <w:bCs/>
          <w:color w:val="000000" w:themeColor="text1"/>
          <w:lang w:val="es-ES"/>
        </w:rPr>
        <w:t>2.3. Contrato electrónico</w:t>
      </w:r>
    </w:p>
    <w:p w:rsidR="007D2DC3" w:rsidP="007D2DC3" w:rsidRDefault="007D2DC3" w14:paraId="4C585661" w14:textId="77777777">
      <w:pPr>
        <w:spacing w:after="120" w:line="276" w:lineRule="auto"/>
        <w:jc w:val="both"/>
        <w:rPr>
          <w:rFonts w:ascii="Arial" w:hAnsi="Arial" w:eastAsia="Calibri" w:cs="Arial"/>
          <w:color w:val="000000" w:themeColor="text1"/>
          <w:lang w:val="es-ES"/>
        </w:rPr>
      </w:pPr>
      <w:r>
        <w:rPr>
          <w:rFonts w:ascii="Arial" w:hAnsi="Arial" w:eastAsia="Calibri" w:cs="Arial"/>
          <w:color w:val="000000" w:themeColor="text1"/>
          <w:lang w:val="es-ES"/>
        </w:rPr>
        <w:t xml:space="preserve">Después de que se adjudica el procedimiento en la plataforma y se carga el informe de evaluación, se da clic en «publicar» para que el SECOP II automáticamente cambie el estado del procedimiento a «adjudicado», con lo cual se genera el contrato electrónico en estado «en edición». La entidad debe buscar en la sección «contratos», el contrato electrónico para su configuración, dando clic en «editar», con lo cual se visualizan nueve secciones de un formulario: i) información general, ii) condiciones, iii) bienes y servicios, iv) documentos del proveedor, v) documentos del contrato, vi) información presupuestal, vii) ejecución del contrato, viii) modificaciones del contrato y ix) incumplimientos. </w:t>
      </w:r>
    </w:p>
    <w:p w:rsidR="007D2DC3" w:rsidP="007D2DC3" w:rsidRDefault="007D2DC3" w14:paraId="73F69636" w14:textId="77777777">
      <w:pPr>
        <w:spacing w:after="120" w:line="276" w:lineRule="auto"/>
        <w:ind w:firstLine="709"/>
        <w:jc w:val="both"/>
        <w:rPr>
          <w:rFonts w:ascii="Arial" w:hAnsi="Arial" w:eastAsia="Calibri" w:cs="Arial"/>
          <w:color w:val="000000" w:themeColor="text1"/>
          <w:lang w:val="es-ES"/>
        </w:rPr>
      </w:pPr>
      <w:r>
        <w:rPr>
          <w:rFonts w:ascii="Arial" w:hAnsi="Arial" w:eastAsia="Calibri" w:cs="Arial"/>
          <w:color w:val="000000" w:themeColor="text1"/>
        </w:rPr>
        <w:t xml:space="preserve">La Guía para hacer la gestión contractual en el SECOP II de Colombia Compra Eficiente señala el contenido de cada sección del contrato electrónico y cómo debe ser diligenciado; </w:t>
      </w:r>
      <w:r>
        <w:rPr>
          <w:rFonts w:ascii="Arial" w:hAnsi="Arial" w:eastAsia="Calibri" w:cs="Arial"/>
          <w:color w:val="000000" w:themeColor="text1"/>
          <w:lang w:val="es-ES"/>
        </w:rPr>
        <w:t xml:space="preserve">no obstante, puede ocurrir que sea necesario cargar documentos que por su contenido no se reflejan en el formulario generado automáticamente por la plataforma una vez adjudicado el proceso. Lo anterior es el caso de, entre otras, el clausulado del contrato. </w:t>
      </w:r>
    </w:p>
    <w:p w:rsidR="007D2DC3" w:rsidP="007D2DC3" w:rsidRDefault="007D2DC3" w14:paraId="55ED80B0" w14:textId="77777777">
      <w:pPr>
        <w:spacing w:after="120" w:line="276" w:lineRule="auto"/>
        <w:ind w:firstLine="709"/>
        <w:jc w:val="both"/>
        <w:rPr>
          <w:rFonts w:ascii="Arial" w:hAnsi="Arial" w:eastAsia="Calibri" w:cs="Arial"/>
          <w:color w:val="000000" w:themeColor="text1"/>
          <w:lang w:val="es-ES"/>
        </w:rPr>
      </w:pPr>
      <w:r>
        <w:rPr>
          <w:rFonts w:ascii="Arial" w:hAnsi="Arial" w:eastAsia="Calibri" w:cs="Arial"/>
          <w:color w:val="000000" w:themeColor="text1"/>
        </w:rPr>
        <w:t xml:space="preserve">Como consecuencia de lo anterior, la entidad, en los casos en que los campos generados en el contrato electrónico en edición no sean suficientes para publicar la totalidad de las cláusulas contractuales o información contractual relevante, </w:t>
      </w:r>
      <w:r>
        <w:rPr>
          <w:rFonts w:ascii="Arial" w:hAnsi="Arial" w:eastAsia="Calibri" w:cs="Arial"/>
          <w:color w:val="000000" w:themeColor="text1"/>
          <w:lang w:val="es-ES"/>
        </w:rPr>
        <w:t>debe cargar dicha información a través de la sección «v) documentos del contrato».</w:t>
      </w:r>
    </w:p>
    <w:p w:rsidR="007D2DC3" w:rsidP="007D2DC3" w:rsidRDefault="007D2DC3" w14:paraId="136ECF82" w14:textId="77777777">
      <w:pPr>
        <w:spacing w:before="120" w:line="276" w:lineRule="auto"/>
        <w:ind w:firstLine="709"/>
        <w:jc w:val="both"/>
        <w:rPr>
          <w:rFonts w:ascii="Arial" w:hAnsi="Arial" w:eastAsia="Calibri" w:cs="Arial"/>
          <w:color w:val="000000" w:themeColor="text1"/>
          <w:lang w:val="es-ES"/>
        </w:rPr>
      </w:pPr>
      <w:r>
        <w:rPr>
          <w:rFonts w:ascii="Arial" w:hAnsi="Arial" w:eastAsia="Calibri" w:cs="Arial"/>
          <w:color w:val="000000" w:themeColor="text1"/>
          <w:lang w:val="es-ES"/>
        </w:rPr>
        <w:t xml:space="preserve">De esta forma, los contratos en SECOP II están compuestos por: i) los mensajes de datos que la entidad envía al proveedor como «contrato», es decir, el formulario ‒correspondiente a las nueve secciones mencionadas‒, y los anexos ‒documentos que se cargan en la sección «v) documentos del contrato»‒ y, ii) por el mensaje de datos de aceptación por parte del proveedor, información que, sumada al sello de tiempo que provee la plataforma, configura el contrato electrónico, el cual tiene plena validez y fuerza obligatoria. </w:t>
      </w:r>
    </w:p>
    <w:p w:rsidR="007D2DC3" w:rsidP="007D2DC3" w:rsidRDefault="007D2DC3" w14:paraId="1D1B7376" w14:textId="77777777">
      <w:pPr>
        <w:spacing w:before="120" w:line="276" w:lineRule="auto"/>
        <w:ind w:firstLine="709"/>
        <w:jc w:val="both"/>
        <w:rPr>
          <w:rFonts w:ascii="Arial" w:hAnsi="Arial" w:eastAsia="Calibri" w:cs="Arial"/>
          <w:color w:val="000000" w:themeColor="text1"/>
          <w:lang w:val="es-ES"/>
        </w:rPr>
      </w:pPr>
      <w:r>
        <w:rPr>
          <w:rFonts w:ascii="Arial" w:hAnsi="Arial" w:eastAsia="Calibri" w:cs="Arial"/>
          <w:color w:val="000000" w:themeColor="text1"/>
          <w:lang w:val="es-ES"/>
        </w:rPr>
        <w:t xml:space="preserve">Ahora, el hecho que la entidad publique documentos en la sección «v) documentos del contrato» no implica elaborar un contrato en físico, pues esto generaría duplicidad de la información del proceso. En ese sentido, la entidad debe tener en cuenta que los documentos que cargue en la mencionada sección deben corresponder a información adicional a la diligenciada en las nueve secciones. </w:t>
      </w:r>
    </w:p>
    <w:p w:rsidR="007D2DC3" w:rsidP="007D2DC3" w:rsidRDefault="007D2DC3" w14:paraId="4129496A" w14:textId="77777777">
      <w:pPr>
        <w:spacing w:before="120" w:line="276" w:lineRule="auto"/>
        <w:ind w:firstLine="709"/>
        <w:jc w:val="both"/>
        <w:rPr>
          <w:rStyle w:val="Hipervnculo"/>
          <w:color w:val="000000" w:themeColor="text1"/>
        </w:rPr>
      </w:pPr>
      <w:r>
        <w:rPr>
          <w:rFonts w:ascii="Arial" w:hAnsi="Arial" w:eastAsia="Calibri" w:cs="Arial"/>
          <w:color w:val="000000" w:themeColor="text1"/>
          <w:lang w:val="es-ES"/>
        </w:rPr>
        <w:t xml:space="preserve">En conclusión, al existir un contrato electrónico dentro de la plataforma este es válido y no es necesario cargar un documento escrito que se configure como el contrato, ya que esta actuación no quedaría registrada por no utilizar el procedimiento dispuesto, y por tanto, en la plataforma el estado del procedimiento sería «adjudicado» y no «firmado», ya que en </w:t>
      </w:r>
      <w:r>
        <w:rPr>
          <w:rFonts w:ascii="Arial" w:hAnsi="Arial" w:eastAsia="Calibri" w:cs="Arial"/>
          <w:color w:val="000000" w:themeColor="text1"/>
          <w:lang w:val="es-ES"/>
        </w:rPr>
        <w:t xml:space="preserve">el SECOP II las actuaciones deben ser electrónicas y no meramente escritas, mediante la publicación de documentos, lo cual es propio del SECOP I. Para más información sobre el uso de SECOP II, le recomendamos que consulte nuestra página web </w:t>
      </w:r>
      <w:hyperlink w:history="1" r:id="rId10">
        <w:r>
          <w:rPr>
            <w:rStyle w:val="Hipervnculo"/>
            <w:rFonts w:ascii="Arial" w:hAnsi="Arial" w:eastAsia="Calibri" w:cs="Arial"/>
            <w:color w:val="000000" w:themeColor="text1"/>
            <w:lang w:val="es-ES"/>
          </w:rPr>
          <w:t>http://www.colombiacompra.gov.co/secop/que-es-el-secop-ii</w:t>
        </w:r>
      </w:hyperlink>
    </w:p>
    <w:p w:rsidR="007D2DC3" w:rsidP="007D2DC3" w:rsidRDefault="007D2DC3" w14:paraId="67F22F49" w14:textId="77777777">
      <w:pPr>
        <w:spacing w:after="0" w:line="240" w:lineRule="auto"/>
        <w:ind w:right="709"/>
        <w:jc w:val="both"/>
      </w:pPr>
    </w:p>
    <w:p w:rsidR="007D2DC3" w:rsidP="007D2DC3" w:rsidRDefault="007D2DC3" w14:paraId="510D042C" w14:textId="77777777">
      <w:pPr>
        <w:spacing w:after="0" w:line="276" w:lineRule="auto"/>
        <w:contextualSpacing/>
        <w:jc w:val="both"/>
        <w:rPr>
          <w:rFonts w:ascii="Arial" w:hAnsi="Arial" w:eastAsia="Calibri" w:cs="Arial"/>
          <w:b/>
        </w:rPr>
      </w:pPr>
      <w:r>
        <w:rPr>
          <w:rFonts w:ascii="Arial" w:hAnsi="Arial" w:eastAsia="Calibri" w:cs="Arial"/>
          <w:b/>
        </w:rPr>
        <w:t>3. Respuesta</w:t>
      </w:r>
    </w:p>
    <w:p w:rsidR="007D2DC3" w:rsidP="007D2DC3" w:rsidRDefault="007D2DC3" w14:paraId="7B65E11A" w14:textId="77777777">
      <w:pPr>
        <w:spacing w:after="0" w:line="276" w:lineRule="auto"/>
        <w:contextualSpacing/>
        <w:jc w:val="both"/>
        <w:rPr>
          <w:rFonts w:ascii="Arial" w:hAnsi="Arial" w:eastAsia="Calibri" w:cs="Arial"/>
        </w:rPr>
      </w:pPr>
      <w:bookmarkStart w:name="_Hlk57650395" w:id="14"/>
    </w:p>
    <w:p w:rsidR="007D2DC3" w:rsidP="007D2DC3" w:rsidRDefault="007D2DC3" w14:paraId="0E79897A" w14:textId="77777777">
      <w:pPr>
        <w:spacing w:before="120" w:after="0" w:line="240" w:lineRule="auto"/>
        <w:ind w:left="709" w:right="709"/>
        <w:contextualSpacing/>
        <w:jc w:val="both"/>
        <w:rPr>
          <w:rFonts w:ascii="Arial" w:hAnsi="Arial" w:eastAsia="Calibri" w:cs="Arial"/>
          <w:sz w:val="21"/>
          <w:szCs w:val="21"/>
        </w:rPr>
      </w:pPr>
      <w:r>
        <w:rPr>
          <w:rFonts w:ascii="Arial" w:hAnsi="Arial" w:eastAsia="Calibri" w:cs="Arial"/>
          <w:sz w:val="21"/>
          <w:szCs w:val="21"/>
        </w:rPr>
        <w:t xml:space="preserve">“Los documentos que hacen parte de un proceso contractual de una entidad pública referente a una concesión realizada con un privado, que no afecta o impacta el presupuesto de la entidad y por tanto, no se encuentra estipulada en el Plan Anual de Adquisiciones, deben subirse a la plataforma de SECOP II”. </w:t>
      </w:r>
    </w:p>
    <w:p w:rsidR="007D2DC3" w:rsidP="007D2DC3" w:rsidRDefault="007D2DC3" w14:paraId="679BB781" w14:textId="77777777">
      <w:pPr>
        <w:shd w:val="clear" w:color="auto" w:fill="FFFFFF"/>
        <w:spacing w:after="0" w:line="276" w:lineRule="auto"/>
        <w:jc w:val="both"/>
        <w:rPr>
          <w:rFonts w:ascii="Arial" w:hAnsi="Arial" w:cs="Arial"/>
        </w:rPr>
      </w:pPr>
    </w:p>
    <w:p w:rsidR="007D2DC3" w:rsidP="007D2DC3" w:rsidRDefault="007D2DC3" w14:paraId="5BDBB3D1" w14:textId="77777777">
      <w:pPr>
        <w:spacing w:after="0" w:line="276" w:lineRule="auto"/>
        <w:jc w:val="both"/>
        <w:rPr>
          <w:rFonts w:ascii="Arial" w:hAnsi="Arial" w:eastAsia="Calibri" w:cs="Arial"/>
          <w:lang w:val="es-ES" w:eastAsia="es-MX"/>
        </w:rPr>
      </w:pPr>
      <w:r>
        <w:rPr>
          <w:rFonts w:ascii="Arial" w:hAnsi="Arial" w:eastAsia="Calibri" w:cs="Arial"/>
          <w:lang w:val="es-ES" w:eastAsia="es-MX"/>
        </w:rPr>
        <w:t>De manera preliminar es pertinente aclarar, que la Agencia Nacional de Contratación Pública – Colombia Compra Eficiente resuelve consultas sobre asuntos de su competencia, esto es, sobre las temáticas de la contratación y compras públicas relacionadas con la aplicación de normas de carácter general. Por ello, esta competencia no puede extenderse a la resolución de casos particulares, brindar asesorías o validar las actuaciones de las Entidades Estatales, toda vez que ello desborda las atribuciones asignadas a esta entidad por el legislador extraordinario.</w:t>
      </w:r>
    </w:p>
    <w:p w:rsidR="007D2DC3" w:rsidP="007D2DC3" w:rsidRDefault="007D2DC3" w14:paraId="168E3E9B" w14:textId="77777777">
      <w:pPr>
        <w:spacing w:after="0" w:line="276" w:lineRule="auto"/>
        <w:jc w:val="both"/>
        <w:rPr>
          <w:rFonts w:ascii="Arial" w:hAnsi="Arial" w:eastAsia="Calibri" w:cs="Arial"/>
          <w:lang w:val="es-ES" w:eastAsia="es-MX"/>
        </w:rPr>
      </w:pPr>
    </w:p>
    <w:p w:rsidR="007D2DC3" w:rsidP="007D2DC3" w:rsidRDefault="007D2DC3" w14:paraId="6A048670" w14:textId="77777777">
      <w:pPr>
        <w:spacing w:after="120" w:line="276" w:lineRule="auto"/>
        <w:ind w:firstLine="709"/>
        <w:jc w:val="both"/>
        <w:rPr>
          <w:rFonts w:ascii="Calibri" w:hAnsi="Calibri" w:eastAsia="Calibri"/>
        </w:rPr>
      </w:pPr>
      <w:r>
        <w:rPr>
          <w:rFonts w:ascii="Arial" w:hAnsi="Arial" w:eastAsia="Calibri" w:cs="Arial"/>
          <w:lang w:val="es-ES"/>
        </w:rPr>
        <w:t xml:space="preserve">En respuesta a su pregunta, con base en los fundamentos normativos y argumentos expuestos, además del Plan Anual de Adquisiciones, las entidades estatales regidas por el EGCAP deberán publicar en SECOP, entre otros, los siguientes documentos expedidos con ocasión del </w:t>
      </w:r>
      <w:r>
        <w:rPr>
          <w:rFonts w:ascii="Arial" w:hAnsi="Arial" w:eastAsia="Calibri" w:cs="Arial"/>
          <w:i/>
          <w:iCs/>
          <w:lang w:val="es-ES"/>
        </w:rPr>
        <w:t>proceso de contratación</w:t>
      </w:r>
      <w:r>
        <w:rPr>
          <w:rFonts w:ascii="Arial" w:hAnsi="Arial" w:eastAsia="Calibri" w:cs="Arial"/>
          <w:lang w:val="es-ES"/>
        </w:rPr>
        <w:t>: i) el estudio de oportunidad y conveniencia; ii)</w:t>
      </w:r>
      <w:r>
        <w:rPr>
          <w:rFonts w:ascii="Arial" w:hAnsi="Arial" w:eastAsia="Calibri" w:cs="Arial"/>
          <w:b/>
          <w:bCs/>
          <w:lang w:val="es-ES"/>
        </w:rPr>
        <w:t xml:space="preserve"> </w:t>
      </w:r>
      <w:r>
        <w:rPr>
          <w:rFonts w:ascii="Arial" w:hAnsi="Arial" w:eastAsia="Calibri" w:cs="Arial"/>
          <w:lang w:val="es-ES"/>
        </w:rPr>
        <w:t xml:space="preserve">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w:t>
      </w:r>
      <w:r>
        <w:rPr>
          <w:rFonts w:ascii="Arial" w:hAnsi="Arial" w:eastAsia="Calibri" w:cs="Arial"/>
          <w:lang w:val="es-ES"/>
        </w:rPr>
        <w:t xml:space="preserve">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Pr>
          <w:rFonts w:ascii="Arial" w:hAnsi="Arial" w:eastAsia="Calibri" w:cs="Arial"/>
          <w:i/>
          <w:iCs/>
          <w:lang w:val="es-ES"/>
        </w:rPr>
        <w:t>Proceso de Contratación</w:t>
      </w:r>
      <w:r>
        <w:rPr>
          <w:rFonts w:ascii="Arial" w:hAnsi="Arial" w:eastAsia="Calibri" w:cs="Arial"/>
          <w:lang w:val="es-ES"/>
        </w:rPr>
        <w:t>, sin importar quién sea su autor –la Administración o el contratista–, con excepción de los que pertenecen a</w:t>
      </w:r>
      <w:r>
        <w:rPr>
          <w:rFonts w:ascii="Arial" w:hAnsi="Arial" w:eastAsia="Arial" w:cs="Arial"/>
          <w:lang w:val="es-ES"/>
        </w:rPr>
        <w:t xml:space="preserve">l marco de operaciones de bolsa de productos, expresamente excluidos de publicación por el artículo 2.2.1.1.1.7.1. del Decreto 1082 de 2015. </w:t>
      </w:r>
    </w:p>
    <w:p w:rsidR="007D2DC3" w:rsidP="007D2DC3" w:rsidRDefault="007D2DC3" w14:paraId="4AA6777D" w14:textId="77777777">
      <w:pPr>
        <w:spacing w:line="276" w:lineRule="auto"/>
        <w:ind w:firstLine="709"/>
        <w:jc w:val="both"/>
        <w:rPr>
          <w:rFonts w:ascii="Arial" w:hAnsi="Arial" w:eastAsia="Calibri" w:cs="Arial"/>
          <w:lang w:val="es-ES"/>
        </w:rPr>
      </w:pPr>
      <w:r>
        <w:rPr>
          <w:rFonts w:ascii="Arial" w:hAnsi="Arial" w:eastAsia="Calibri" w:cs="Arial"/>
          <w:lang w:val="es-ES"/>
        </w:rPr>
        <w:t>Sin perjuicio de lo anterior, no debe perderse de vista que en virtud del principio de transparencia, específicamente por cuenta de lo dispuesto en el numeral 4 del artículo 24 de la Ley 80 de 1993, así como por el principio de máxima publicidad establecido en el artículo 2 de la Ley 1712 de 2014,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que manifieste interés, dentro de lo que cabe la vigilancia de la contratación pública, cuestión que podría interesar a cualquier ciudadano. Esta posibilidad solo se encuentra limitada respecto de la documentación que tenga la calidad de reservada, que deberá someterse al tratamiento establecido en el artículo 36 del CPACA, en lo relativo a la formación de cuadernos separados.</w:t>
      </w:r>
    </w:p>
    <w:p w:rsidRPr="00700E88" w:rsidR="007D2DC3" w:rsidP="007D2DC3" w:rsidRDefault="007D2DC3" w14:paraId="6F42D976" w14:textId="77777777">
      <w:pPr>
        <w:spacing w:after="0" w:line="276" w:lineRule="auto"/>
        <w:jc w:val="both"/>
        <w:rPr>
          <w:rFonts w:ascii="Arial" w:hAnsi="Arial" w:eastAsia="Arial" w:cs="Arial"/>
          <w:lang w:val="es-MX"/>
        </w:rPr>
      </w:pPr>
      <w:r>
        <w:rPr>
          <w:rFonts w:ascii="Arial" w:hAnsi="Arial" w:eastAsia="Arial" w:cs="Arial"/>
          <w:lang w:val="es-MX"/>
        </w:rPr>
        <w:t xml:space="preserve">Finalmente se aclara que </w:t>
      </w:r>
      <w:r w:rsidRPr="677C9FDF">
        <w:rPr>
          <w:rFonts w:ascii="Arial" w:hAnsi="Arial" w:eastAsia="Arial" w:cs="Arial"/>
          <w:lang w:val="es-MX"/>
        </w:rPr>
        <w:t>la publicidad de los contratos estatales debe realizarse a través de SECOP, independientemente del régimen aplicable al contrato o que este implique o no la erogación de recursos públicos, como quiera que las referidas normas no sujetan la obligación de publicar en dicha plataforma a tales condiciones. Esto en la medida en que, independientemente de que se realice alguna erogación o no, los contratos estatales involucran un interés público, por lo que deben publicarse en el SECOP que fue el mecanismo establecido por el legislador y el reglamento para garantizar que se cumplan los principios de publicidad y transparencia respecto de los estos. En consecuencia, los contratos que tengan como parte a una entidad estatal, deberán publicarse en el SECOP independientemente del régimen aplicable o que impliquen o no erogación de recursos públicos.</w:t>
      </w:r>
    </w:p>
    <w:p w:rsidR="007D2DC3" w:rsidP="007D2DC3" w:rsidRDefault="007D2DC3" w14:paraId="729D8903" w14:textId="77777777">
      <w:pPr>
        <w:spacing w:after="0" w:line="276" w:lineRule="auto"/>
        <w:jc w:val="both"/>
        <w:rPr>
          <w:rFonts w:ascii="Arial" w:hAnsi="Arial" w:eastAsia="Calibri" w:cs="Arial"/>
          <w:lang w:val="es-ES" w:eastAsia="es-MX"/>
        </w:rPr>
      </w:pPr>
    </w:p>
    <w:p w:rsidR="007D2DC3" w:rsidP="007D2DC3" w:rsidRDefault="007D2DC3" w14:paraId="209E2FC1" w14:textId="77777777">
      <w:pPr>
        <w:spacing w:after="0" w:line="276" w:lineRule="auto"/>
        <w:jc w:val="both"/>
        <w:rPr>
          <w:rFonts w:ascii="Arial" w:hAnsi="Arial" w:cs="Arial"/>
          <w:lang w:val="es-ES_tradnl"/>
        </w:rPr>
      </w:pPr>
      <w:r>
        <w:rPr>
          <w:rFonts w:ascii="Arial" w:hAnsi="Arial" w:cs="Arial"/>
          <w:lang w:val="es-ES_tradnl"/>
        </w:rPr>
        <w:tab/>
      </w:r>
    </w:p>
    <w:p w:rsidR="007D2DC3" w:rsidP="007D2DC3" w:rsidRDefault="007D2DC3" w14:paraId="6F9AB5BC" w14:textId="77777777">
      <w:pPr>
        <w:widowControl w:val="0"/>
        <w:autoSpaceDE w:val="0"/>
        <w:autoSpaceDN w:val="0"/>
        <w:spacing w:after="0" w:line="276" w:lineRule="auto"/>
        <w:contextualSpacing/>
        <w:jc w:val="both"/>
        <w:rPr>
          <w:rFonts w:ascii="Arial" w:hAnsi="Arial" w:eastAsia="Calibri" w:cs="Arial"/>
        </w:rPr>
      </w:pPr>
    </w:p>
    <w:p w:rsidR="007D2DC3" w:rsidP="007D2DC3" w:rsidRDefault="007D2DC3" w14:paraId="1D3AD719" w14:textId="77777777">
      <w:pPr>
        <w:widowControl w:val="0"/>
        <w:autoSpaceDE w:val="0"/>
        <w:autoSpaceDN w:val="0"/>
        <w:spacing w:after="0" w:line="276" w:lineRule="auto"/>
        <w:contextualSpacing/>
        <w:jc w:val="both"/>
        <w:rPr>
          <w:rFonts w:ascii="Arial" w:hAnsi="Arial" w:eastAsia="Times New Roman" w:cs="Arial"/>
          <w:lang w:eastAsia="es-ES_tradnl"/>
        </w:rPr>
      </w:pPr>
      <w:r>
        <w:rPr>
          <w:rFonts w:ascii="Arial" w:hAnsi="Arial" w:eastAsia="Calibri" w:cs="Arial"/>
        </w:rPr>
        <w:t>Este concepto tiene el alcance previsto en el artículo 28 del Código de Procedimiento Administrativo y de lo Contencioso Administrativo</w:t>
      </w:r>
      <w:r>
        <w:rPr>
          <w:noProof/>
          <w:lang w:val="en-US"/>
        </w:rPr>
        <mc:AlternateContent>
          <mc:Choice Requires="wps">
            <w:drawing>
              <wp:anchor distT="0" distB="0" distL="114300" distR="114300" simplePos="0" relativeHeight="251659264" behindDoc="0" locked="0" layoutInCell="1" allowOverlap="1" wp14:anchorId="2A930EEE" wp14:editId="66B08F22">
                <wp:simplePos x="0" y="0"/>
                <wp:positionH relativeFrom="page">
                  <wp:posOffset>1514475</wp:posOffset>
                </wp:positionH>
                <wp:positionV relativeFrom="paragraph">
                  <wp:posOffset>10160</wp:posOffset>
                </wp:positionV>
                <wp:extent cx="46863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3F5900D9">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6F3B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r>
        <w:rPr>
          <w:rFonts w:ascii="Arial" w:hAnsi="Arial" w:eastAsia="Calibri" w:cs="Arial"/>
        </w:rPr>
        <w:t xml:space="preserve"> y las expresiones utilizadas con mayúscula inicial deben ser entendidas con el significado que les otorga el artículo </w:t>
      </w:r>
      <w:r>
        <w:rPr>
          <w:rFonts w:ascii="Arial" w:hAnsi="Arial" w:eastAsia="Calibri" w:cs="Arial"/>
        </w:rPr>
        <w:t>2.2.1.1.1.3.1 del Decreto 1082 de 2015.</w:t>
      </w:r>
    </w:p>
    <w:p w:rsidR="007D2DC3" w:rsidP="007D2DC3" w:rsidRDefault="007D2DC3" w14:paraId="755A9FD6" w14:textId="77777777">
      <w:pPr>
        <w:spacing w:after="0" w:line="276" w:lineRule="auto"/>
        <w:jc w:val="both"/>
        <w:rPr>
          <w:rFonts w:ascii="Arial" w:hAnsi="Arial" w:cs="Arial"/>
          <w:lang w:val="es-ES_tradnl"/>
        </w:rPr>
      </w:pPr>
    </w:p>
    <w:p w:rsidR="007D2DC3" w:rsidP="007D2DC3" w:rsidRDefault="007D2DC3" w14:paraId="30B2D911" w14:textId="77777777">
      <w:pPr>
        <w:spacing w:before="120" w:after="0" w:line="276" w:lineRule="auto"/>
        <w:jc w:val="both"/>
        <w:rPr>
          <w:rFonts w:ascii="Arial" w:hAnsi="Arial" w:eastAsia="Calibri" w:cs="Arial"/>
          <w:lang w:val="es-ES" w:eastAsia="es-MX"/>
        </w:rPr>
      </w:pPr>
    </w:p>
    <w:p w:rsidR="007D2DC3" w:rsidP="007D2DC3" w:rsidRDefault="007D2DC3" w14:paraId="583E329F" w14:textId="77777777">
      <w:pPr>
        <w:spacing w:after="120" w:line="276" w:lineRule="auto"/>
        <w:jc w:val="both"/>
        <w:rPr>
          <w:rFonts w:ascii="Arial" w:hAnsi="Arial" w:eastAsia="Times New Roman" w:cs="Arial"/>
          <w:lang w:eastAsia="es-ES_tradnl"/>
        </w:rPr>
      </w:pPr>
    </w:p>
    <w:p w:rsidR="007D2DC3" w:rsidP="007D2DC3" w:rsidRDefault="007D2DC3" w14:paraId="6528E89C" w14:textId="77777777">
      <w:pPr>
        <w:spacing w:after="0" w:line="276" w:lineRule="auto"/>
        <w:jc w:val="both"/>
        <w:rPr>
          <w:rFonts w:ascii="Arial" w:hAnsi="Arial" w:eastAsia="Times New Roman" w:cs="Arial"/>
          <w:lang w:eastAsia="es-CO"/>
        </w:rPr>
      </w:pPr>
      <w:r>
        <w:rPr>
          <w:rFonts w:ascii="Arial" w:hAnsi="Arial" w:eastAsia="Times New Roman" w:cs="Arial"/>
          <w:lang w:eastAsia="es-CO"/>
        </w:rPr>
        <w:t>Atentamente,</w:t>
      </w:r>
    </w:p>
    <w:bookmarkEnd w:id="14"/>
    <w:p w:rsidR="007D2DC3" w:rsidP="007D2DC3" w:rsidRDefault="007D2DC3" w14:paraId="6D708342" w14:textId="77777777">
      <w:pPr>
        <w:widowControl w:val="0"/>
        <w:autoSpaceDE w:val="0"/>
        <w:autoSpaceDN w:val="0"/>
        <w:spacing w:after="18"/>
        <w:jc w:val="center"/>
        <w:rPr>
          <w:rFonts w:ascii="Arial" w:hAnsi="Arial" w:eastAsia="Arial" w:cs="Arial"/>
          <w:lang w:val="es-ES" w:eastAsia="es-CO" w:bidi="es-ES"/>
        </w:rPr>
      </w:pPr>
    </w:p>
    <w:p w:rsidR="007D2DC3" w:rsidP="007D2DC3" w:rsidRDefault="006930D6" w14:paraId="10686BF9" w14:textId="529C6B0A">
      <w:pPr>
        <w:widowControl w:val="0"/>
        <w:autoSpaceDE w:val="0"/>
        <w:autoSpaceDN w:val="0"/>
        <w:spacing w:after="18"/>
        <w:jc w:val="center"/>
        <w:rPr>
          <w:rFonts w:ascii="Arial" w:hAnsi="Arial" w:eastAsia="Arial" w:cs="Arial"/>
          <w:lang w:val="es-ES" w:eastAsia="es-CO" w:bidi="es-ES"/>
        </w:rPr>
      </w:pPr>
      <w:bookmarkStart w:name="_GoBack" w:id="15"/>
      <w:r>
        <w:rPr>
          <w:rFonts w:ascii="Arial" w:hAnsi="Arial" w:eastAsia="Arial" w:cs="Arial"/>
          <w:noProof/>
          <w:lang w:val="en-US"/>
          <w14:ligatures w14:val="standardContextual"/>
        </w:rPr>
        <w:drawing>
          <wp:inline distT="0" distB="0" distL="0" distR="0" wp14:anchorId="55C347E8" wp14:editId="65C95D01">
            <wp:extent cx="3153215" cy="1209844"/>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dra nohelia.png"/>
                    <pic:cNvPicPr/>
                  </pic:nvPicPr>
                  <pic:blipFill>
                    <a:blip r:embed="rId11">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bookmarkEnd w:id="15"/>
    </w:p>
    <w:p w:rsidR="007D2DC3" w:rsidP="007D2DC3" w:rsidRDefault="007D2DC3" w14:paraId="1102DFA4" w14:textId="77777777">
      <w:pPr>
        <w:widowControl w:val="0"/>
        <w:autoSpaceDE w:val="0"/>
        <w:autoSpaceDN w:val="0"/>
        <w:spacing w:after="18"/>
        <w:jc w:val="center"/>
        <w:rPr>
          <w:rFonts w:ascii="Arial" w:hAnsi="Arial" w:eastAsia="Arial" w:cs="Arial"/>
          <w:lang w:val="es-ES" w:eastAsia="es-CO" w:bidi="es-ES"/>
        </w:rPr>
      </w:pPr>
    </w:p>
    <w:tbl>
      <w:tblPr>
        <w:tblStyle w:val="Tablaconcuadrcula11"/>
        <w:tblpPr w:leftFromText="141" w:rightFromText="141" w:vertAnchor="text" w:horzAnchor="margin" w:tblpY="2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003"/>
      </w:tblGrid>
      <w:tr w:rsidR="007D2DC3" w:rsidTr="00943D18" w14:paraId="46B8B895" w14:textId="77777777">
        <w:trPr>
          <w:trHeight w:val="286"/>
        </w:trPr>
        <w:tc>
          <w:tcPr>
            <w:tcW w:w="817" w:type="dxa"/>
            <w:vAlign w:val="center"/>
            <w:hideMark/>
          </w:tcPr>
          <w:p w:rsidR="007D2DC3" w:rsidP="00943D18" w:rsidRDefault="007D2DC3" w14:paraId="364A4230" w14:textId="77777777">
            <w:pPr>
              <w:rPr>
                <w:rFonts w:ascii="Arial" w:hAnsi="Arial" w:eastAsia="Arial" w:cs="Arial"/>
                <w:sz w:val="14"/>
                <w:szCs w:val="14"/>
                <w:lang w:val="es-ES" w:eastAsia="es-ES" w:bidi="es-ES"/>
              </w:rPr>
            </w:pPr>
            <w:bookmarkStart w:name="_Hlk70523608" w:id="16"/>
            <w:r>
              <w:rPr>
                <w:rFonts w:ascii="Arial" w:hAnsi="Arial" w:eastAsia="Arial" w:cs="Arial"/>
                <w:sz w:val="14"/>
                <w:szCs w:val="14"/>
                <w:lang w:val="es-ES" w:eastAsia="es-ES" w:bidi="es-ES"/>
              </w:rPr>
              <w:t>Elaboró:</w:t>
            </w:r>
          </w:p>
        </w:tc>
        <w:tc>
          <w:tcPr>
            <w:tcW w:w="4003" w:type="dxa"/>
            <w:tcBorders>
              <w:top w:val="nil"/>
              <w:left w:val="nil"/>
              <w:bottom w:val="dotted" w:color="7F7F7F" w:themeColor="text1" w:themeTint="80" w:sz="4" w:space="0"/>
              <w:right w:val="nil"/>
            </w:tcBorders>
            <w:vAlign w:val="center"/>
            <w:hideMark/>
          </w:tcPr>
          <w:p w:rsidR="007D2DC3" w:rsidP="00943D18" w:rsidRDefault="007D2DC3" w14:paraId="59D9FA56" w14:textId="77777777">
            <w:pPr>
              <w:rPr>
                <w:rFonts w:ascii="Arial" w:hAnsi="Arial" w:eastAsia="Arial" w:cs="Arial"/>
                <w:sz w:val="14"/>
                <w:szCs w:val="14"/>
                <w:lang w:val="es-ES" w:eastAsia="es-ES" w:bidi="es-ES"/>
              </w:rPr>
            </w:pPr>
            <w:r>
              <w:rPr>
                <w:rFonts w:ascii="Arial" w:hAnsi="Arial" w:eastAsia="Arial" w:cs="Arial"/>
                <w:sz w:val="14"/>
                <w:szCs w:val="14"/>
                <w:lang w:eastAsia="es-ES" w:bidi="es-ES"/>
              </w:rPr>
              <w:t>Nina María Padrón Ballestas</w:t>
            </w:r>
          </w:p>
          <w:p w:rsidR="007D2DC3" w:rsidP="00943D18" w:rsidRDefault="007D2DC3" w14:paraId="1A659959" w14:textId="77777777">
            <w:pPr>
              <w:rPr>
                <w:rFonts w:ascii="Arial" w:hAnsi="Arial" w:eastAsia="Arial" w:cs="Arial"/>
                <w:sz w:val="14"/>
                <w:szCs w:val="14"/>
                <w:lang w:val="es-ES" w:eastAsia="es-ES" w:bidi="es-ES"/>
              </w:rPr>
            </w:pPr>
            <w:r>
              <w:rPr>
                <w:rFonts w:ascii="Arial" w:hAnsi="Arial" w:eastAsia="Arial" w:cs="Arial"/>
                <w:sz w:val="14"/>
                <w:szCs w:val="14"/>
                <w:lang w:val="es-ES" w:eastAsia="es-ES" w:bidi="es-ES"/>
              </w:rPr>
              <w:t>Contratista de la Subdirección de Gestión Contractual</w:t>
            </w:r>
          </w:p>
        </w:tc>
      </w:tr>
      <w:tr w:rsidR="007D2DC3" w:rsidTr="00943D18" w14:paraId="6E52CF76" w14:textId="77777777">
        <w:trPr>
          <w:trHeight w:val="299"/>
        </w:trPr>
        <w:tc>
          <w:tcPr>
            <w:tcW w:w="817" w:type="dxa"/>
            <w:vAlign w:val="center"/>
            <w:hideMark/>
          </w:tcPr>
          <w:p w:rsidR="007D2DC3" w:rsidP="00943D18" w:rsidRDefault="007D2DC3" w14:paraId="378E1062" w14:textId="77777777">
            <w:pPr>
              <w:rPr>
                <w:rFonts w:ascii="Arial" w:hAnsi="Arial" w:eastAsia="Arial" w:cs="Arial"/>
                <w:sz w:val="14"/>
                <w:szCs w:val="14"/>
                <w:lang w:val="es-ES" w:eastAsia="es-ES" w:bidi="es-ES"/>
              </w:rPr>
            </w:pPr>
            <w:r>
              <w:rPr>
                <w:rFonts w:ascii="Arial" w:hAnsi="Arial" w:eastAsia="Arial" w:cs="Arial"/>
                <w:sz w:val="14"/>
                <w:szCs w:val="14"/>
                <w:lang w:val="es-ES" w:eastAsia="es-ES" w:bidi="es-ES"/>
              </w:rPr>
              <w:t>Revisó:</w:t>
            </w:r>
          </w:p>
        </w:tc>
        <w:tc>
          <w:tcPr>
            <w:tcW w:w="4003" w:type="dxa"/>
            <w:tcBorders>
              <w:top w:val="dotted" w:color="7F7F7F" w:themeColor="text1" w:themeTint="80" w:sz="4" w:space="0"/>
              <w:left w:val="nil"/>
              <w:bottom w:val="dotted" w:color="7F7F7F" w:themeColor="text1" w:themeTint="80" w:sz="4" w:space="0"/>
              <w:right w:val="nil"/>
            </w:tcBorders>
            <w:vAlign w:val="center"/>
            <w:hideMark/>
          </w:tcPr>
          <w:p w:rsidR="007D2DC3" w:rsidP="00943D18" w:rsidRDefault="007D2DC3" w14:paraId="60175ACA" w14:textId="77777777">
            <w:pPr>
              <w:rPr>
                <w:rFonts w:ascii="Arial" w:hAnsi="Arial" w:eastAsia="Arial" w:cs="Arial"/>
                <w:sz w:val="14"/>
                <w:szCs w:val="14"/>
                <w:lang w:val="es-ES" w:eastAsia="es-ES" w:bidi="es-ES"/>
              </w:rPr>
            </w:pPr>
            <w:r>
              <w:rPr>
                <w:rFonts w:ascii="Arial" w:hAnsi="Arial" w:eastAsia="Arial" w:cs="Arial"/>
                <w:sz w:val="14"/>
                <w:szCs w:val="14"/>
                <w:lang w:val="es-ES" w:eastAsia="es-ES" w:bidi="es-ES"/>
              </w:rPr>
              <w:t>Diana Carolina Armenta Celis</w:t>
            </w:r>
          </w:p>
          <w:p w:rsidR="007D2DC3" w:rsidP="00943D18" w:rsidRDefault="007D2DC3" w14:paraId="7B02D364" w14:textId="77777777">
            <w:pPr>
              <w:rPr>
                <w:rFonts w:ascii="Arial" w:hAnsi="Arial" w:eastAsia="Arial" w:cs="Arial"/>
                <w:sz w:val="14"/>
                <w:szCs w:val="14"/>
                <w:lang w:val="es-ES" w:eastAsia="es-ES" w:bidi="es-ES"/>
              </w:rPr>
            </w:pPr>
            <w:r w:rsidRPr="20E240A2">
              <w:rPr>
                <w:rFonts w:ascii="Arial" w:hAnsi="Arial" w:eastAsia="Arial" w:cs="Arial"/>
                <w:sz w:val="14"/>
                <w:szCs w:val="14"/>
                <w:lang w:val="es-ES" w:eastAsia="es-ES" w:bidi="es-ES"/>
              </w:rPr>
              <w:t>Contratista de la Subdirección de Gestión Contractual</w:t>
            </w:r>
          </w:p>
          <w:p w:rsidR="007D2DC3" w:rsidP="00943D18" w:rsidRDefault="007D2DC3" w14:paraId="3674A5A1" w14:textId="77777777">
            <w:pPr>
              <w:rPr>
                <w:rFonts w:ascii="Arial" w:hAnsi="Arial" w:eastAsia="Arial" w:cs="Arial"/>
                <w:sz w:val="14"/>
                <w:szCs w:val="14"/>
                <w:lang w:val="es-ES" w:eastAsia="es-ES" w:bidi="es-ES"/>
              </w:rPr>
            </w:pPr>
            <w:r w:rsidRPr="20E240A2">
              <w:rPr>
                <w:rFonts w:ascii="Arial" w:hAnsi="Arial" w:eastAsia="Arial" w:cs="Arial"/>
                <w:sz w:val="14"/>
                <w:szCs w:val="14"/>
                <w:lang w:val="es-ES" w:eastAsia="es-ES" w:bidi="es-ES"/>
              </w:rPr>
              <w:t>Gabriel Mendoza</w:t>
            </w:r>
          </w:p>
          <w:p w:rsidR="007D2DC3" w:rsidP="00943D18" w:rsidRDefault="007D2DC3" w14:paraId="3402E688" w14:textId="77777777">
            <w:pPr>
              <w:rPr>
                <w:rFonts w:ascii="Arial" w:hAnsi="Arial" w:eastAsia="Arial" w:cs="Arial"/>
                <w:sz w:val="14"/>
                <w:szCs w:val="14"/>
                <w:lang w:val="es-ES" w:eastAsia="es-ES" w:bidi="es-ES"/>
              </w:rPr>
            </w:pPr>
            <w:r w:rsidRPr="20E240A2">
              <w:rPr>
                <w:rFonts w:ascii="Arial" w:hAnsi="Arial" w:eastAsia="Arial" w:cs="Arial"/>
                <w:sz w:val="14"/>
                <w:szCs w:val="14"/>
                <w:lang w:val="es-ES" w:eastAsia="es-ES" w:bidi="es-ES"/>
              </w:rPr>
              <w:t xml:space="preserve">Contratista de la Subdirección de Gestión Contractual  </w:t>
            </w:r>
          </w:p>
        </w:tc>
      </w:tr>
      <w:tr w:rsidR="007D2DC3" w:rsidTr="00943D18" w14:paraId="44B21185" w14:textId="77777777">
        <w:trPr>
          <w:trHeight w:val="272"/>
        </w:trPr>
        <w:tc>
          <w:tcPr>
            <w:tcW w:w="817" w:type="dxa"/>
            <w:vAlign w:val="center"/>
            <w:hideMark/>
          </w:tcPr>
          <w:p w:rsidR="007D2DC3" w:rsidP="00943D18" w:rsidRDefault="007D2DC3" w14:paraId="79EDDCD2" w14:textId="77777777">
            <w:pPr>
              <w:rPr>
                <w:rFonts w:ascii="Arial" w:hAnsi="Arial" w:eastAsia="Arial" w:cs="Arial"/>
                <w:sz w:val="14"/>
                <w:szCs w:val="14"/>
                <w:lang w:val="es-ES" w:eastAsia="es-ES" w:bidi="es-ES"/>
              </w:rPr>
            </w:pPr>
            <w:r>
              <w:rPr>
                <w:rFonts w:ascii="Arial" w:hAnsi="Arial" w:eastAsia="Arial" w:cs="Arial"/>
                <w:sz w:val="14"/>
                <w:szCs w:val="14"/>
                <w:lang w:val="es-ES" w:eastAsia="es-ES" w:bidi="es-ES"/>
              </w:rPr>
              <w:t>Aprobó:</w:t>
            </w:r>
          </w:p>
        </w:tc>
        <w:tc>
          <w:tcPr>
            <w:tcW w:w="4003" w:type="dxa"/>
            <w:tcBorders>
              <w:top w:val="dotted" w:color="7F7F7F" w:themeColor="text1" w:themeTint="80" w:sz="4" w:space="0"/>
              <w:left w:val="nil"/>
              <w:bottom w:val="dotted" w:color="7F7F7F" w:themeColor="text1" w:themeTint="80" w:sz="4" w:space="0"/>
              <w:right w:val="nil"/>
            </w:tcBorders>
            <w:vAlign w:val="center"/>
            <w:hideMark/>
          </w:tcPr>
          <w:p w:rsidR="007D2DC3" w:rsidP="00943D18" w:rsidRDefault="007D2DC3" w14:paraId="353D6757" w14:textId="77777777">
            <w:pPr>
              <w:rPr>
                <w:rFonts w:ascii="Arial" w:hAnsi="Arial" w:eastAsia="Arial" w:cs="Arial"/>
                <w:sz w:val="14"/>
                <w:szCs w:val="14"/>
                <w:lang w:val="es-ES" w:eastAsia="es-ES" w:bidi="es-ES"/>
              </w:rPr>
            </w:pPr>
            <w:r>
              <w:rPr>
                <w:rFonts w:ascii="Arial" w:hAnsi="Arial" w:eastAsia="Arial" w:cs="Arial"/>
                <w:sz w:val="14"/>
                <w:szCs w:val="14"/>
                <w:lang w:val="es-ES" w:eastAsia="es-ES" w:bidi="es-ES"/>
              </w:rPr>
              <w:t>Nohelia del Carmen Zawady Palacio</w:t>
            </w:r>
          </w:p>
          <w:p w:rsidR="007D2DC3" w:rsidP="00943D18" w:rsidRDefault="007D2DC3" w14:paraId="0FB2429C" w14:textId="77777777">
            <w:pPr>
              <w:rPr>
                <w:rFonts w:ascii="Arial" w:hAnsi="Arial" w:eastAsia="Arial" w:cs="Arial"/>
                <w:sz w:val="14"/>
                <w:szCs w:val="14"/>
                <w:lang w:val="es-ES" w:eastAsia="es-ES" w:bidi="es-ES"/>
              </w:rPr>
            </w:pPr>
            <w:r>
              <w:rPr>
                <w:rFonts w:ascii="Arial" w:hAnsi="Arial" w:eastAsia="Arial" w:cs="Arial"/>
                <w:sz w:val="14"/>
                <w:szCs w:val="14"/>
                <w:lang w:val="es-ES" w:eastAsia="es-ES" w:bidi="es-ES"/>
              </w:rPr>
              <w:t>Subdirector de Gestión Contractual ANCP – CCE</w:t>
            </w:r>
          </w:p>
        </w:tc>
      </w:tr>
      <w:bookmarkEnd w:id="16"/>
    </w:tbl>
    <w:p w:rsidR="007D2DC3" w:rsidP="007D2DC3" w:rsidRDefault="007D2DC3" w14:paraId="7E56F3A7" w14:textId="77777777">
      <w:pPr>
        <w:widowControl w:val="0"/>
        <w:autoSpaceDE w:val="0"/>
        <w:autoSpaceDN w:val="0"/>
        <w:spacing w:after="18"/>
        <w:jc w:val="center"/>
        <w:rPr>
          <w:rFonts w:ascii="Arial" w:hAnsi="Arial" w:eastAsia="Arial" w:cs="Arial"/>
          <w:lang w:val="es-ES" w:eastAsia="es-CO" w:bidi="es-ES"/>
        </w:rPr>
      </w:pPr>
    </w:p>
    <w:p w:rsidR="007D2DC3" w:rsidP="007D2DC3" w:rsidRDefault="007D2DC3" w14:paraId="68CE53CA" w14:textId="77777777">
      <w:pPr>
        <w:widowControl w:val="0"/>
        <w:autoSpaceDE w:val="0"/>
        <w:autoSpaceDN w:val="0"/>
        <w:rPr>
          <w:rFonts w:ascii="Arial" w:hAnsi="Arial" w:eastAsia="Arial" w:cs="Arial"/>
          <w:lang w:val="es-ES" w:eastAsia="es-ES" w:bidi="es-ES"/>
        </w:rPr>
      </w:pPr>
    </w:p>
    <w:p w:rsidR="007D2DC3" w:rsidP="007D2DC3" w:rsidRDefault="007D2DC3" w14:paraId="4E714B9E" w14:textId="77777777">
      <w:pPr>
        <w:widowControl w:val="0"/>
        <w:autoSpaceDE w:val="0"/>
        <w:autoSpaceDN w:val="0"/>
        <w:rPr>
          <w:rFonts w:ascii="Arial" w:hAnsi="Arial" w:eastAsia="Arial" w:cs="Arial"/>
          <w:lang w:val="es-ES" w:eastAsia="es-ES" w:bidi="es-ES"/>
        </w:rPr>
      </w:pPr>
    </w:p>
    <w:p w:rsidR="007D2DC3" w:rsidP="007D2DC3" w:rsidRDefault="007D2DC3" w14:paraId="6B6EC111" w14:textId="77777777">
      <w:pPr>
        <w:rPr>
          <w:lang w:val="es-ES"/>
        </w:rPr>
      </w:pPr>
    </w:p>
    <w:p w:rsidR="007D2DC3" w:rsidP="007D2DC3" w:rsidRDefault="007D2DC3" w14:paraId="12F18CC2" w14:textId="77777777"/>
    <w:p w:rsidR="007D2DC3" w:rsidP="007D2DC3" w:rsidRDefault="007D2DC3" w14:paraId="57B1B163" w14:textId="77777777">
      <w:r>
        <w:t xml:space="preserve"> </w:t>
      </w:r>
    </w:p>
    <w:p w:rsidRPr="00322A85" w:rsidR="007D2DC3" w:rsidP="007D2DC3" w:rsidRDefault="007D2DC3" w14:paraId="56EF04AC" w14:textId="77777777">
      <w:pPr>
        <w:spacing w:after="0"/>
        <w:rPr>
          <w:rFonts w:ascii="Century Gothic" w:hAnsi="Century Gothic"/>
        </w:rPr>
      </w:pPr>
    </w:p>
    <w:p w:rsidRPr="005D0331" w:rsidR="00EA591E" w:rsidP="007D2DC3" w:rsidRDefault="00EA591E" w14:paraId="5EE3B4A5" w14:textId="77777777">
      <w:pPr>
        <w:spacing w:after="0" w:line="276" w:lineRule="auto"/>
        <w:contextualSpacing/>
        <w:jc w:val="both"/>
      </w:pPr>
    </w:p>
    <w:sectPr w:rsidRPr="005D0331" w:rsidR="00EA591E"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54" w:rsidP="00EA591E" w:rsidRDefault="00C57154" w14:paraId="6B59D206" w14:textId="77777777">
      <w:pPr>
        <w:spacing w:after="0" w:line="240" w:lineRule="auto"/>
      </w:pPr>
      <w:r>
        <w:separator/>
      </w:r>
    </w:p>
  </w:endnote>
  <w:endnote w:type="continuationSeparator" w:id="0">
    <w:p w:rsidR="00C57154" w:rsidP="00EA591E" w:rsidRDefault="00C57154" w14:paraId="421C07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F3A32" w:rsidRDefault="00EA591E" w14:paraId="44C97C30" w14:textId="77777777">
    <w:pPr>
      <w:pStyle w:val="Piedepgina"/>
    </w:pPr>
    <w:r>
      <w:rPr>
        <w:noProof/>
        <w:lang w:val="en-US"/>
      </w:rPr>
      <w:drawing>
        <wp:inline distT="0" distB="0" distL="0" distR="0" wp14:anchorId="5C9EED36" wp14:editId="57FF0669">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n-US"/>
      </w:rPr>
      <w:drawing>
        <wp:anchor distT="0" distB="0" distL="114300" distR="114300" simplePos="0" relativeHeight="251662336" behindDoc="0" locked="0" layoutInCell="1" allowOverlap="1" wp14:anchorId="6DA5C328" wp14:editId="0B3CCDA5">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718B5582"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AF3A32" w:rsidP="006219F8" w:rsidRDefault="00EA591E" w14:paraId="00AE1183"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AF3A32" w:rsidP="006219F8" w:rsidRDefault="00EA591E" w14:paraId="30E27A6D"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AF3A32" w:rsidP="00FC2B5D" w:rsidRDefault="00EA591E" w14:paraId="7B7F6509"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AF3A32" w:rsidP="00820278" w:rsidRDefault="00EA591E" w14:paraId="615413E0" w14:textId="2703E664">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6930D6">
            <w:rPr>
              <w:rFonts w:ascii="Century Gothic" w:hAnsi="Century Gothic"/>
              <w:b/>
              <w:bCs/>
              <w:noProof/>
              <w:sz w:val="16"/>
              <w:szCs w:val="16"/>
            </w:rPr>
            <w:t>19</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6930D6">
            <w:rPr>
              <w:rFonts w:ascii="Century Gothic" w:hAnsi="Century Gothic"/>
              <w:b/>
              <w:bCs/>
              <w:noProof/>
              <w:sz w:val="16"/>
              <w:szCs w:val="16"/>
            </w:rPr>
            <w:t>19</w:t>
          </w:r>
          <w:r w:rsidRPr="003F3941">
            <w:rPr>
              <w:rFonts w:ascii="Century Gothic" w:hAnsi="Century Gothic"/>
              <w:b/>
              <w:bCs/>
              <w:sz w:val="16"/>
              <w:szCs w:val="16"/>
            </w:rPr>
            <w:fldChar w:fldCharType="end"/>
          </w:r>
        </w:p>
      </w:tc>
    </w:tr>
  </w:tbl>
  <w:p w:rsidR="00AF3A32" w:rsidP="003E0499" w:rsidRDefault="00AF3A32" w14:paraId="095C53F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54" w:rsidP="00EA591E" w:rsidRDefault="00C57154" w14:paraId="75F53B66" w14:textId="77777777">
      <w:pPr>
        <w:spacing w:after="0" w:line="240" w:lineRule="auto"/>
      </w:pPr>
      <w:r>
        <w:separator/>
      </w:r>
    </w:p>
  </w:footnote>
  <w:footnote w:type="continuationSeparator" w:id="0">
    <w:p w:rsidR="00C57154" w:rsidP="00EA591E" w:rsidRDefault="00C57154" w14:paraId="567B8BA7" w14:textId="77777777">
      <w:pPr>
        <w:spacing w:after="0" w:line="240" w:lineRule="auto"/>
      </w:pPr>
      <w:r>
        <w:continuationSeparator/>
      </w:r>
    </w:p>
  </w:footnote>
  <w:footnote w:id="1">
    <w:p w:rsidR="007D2DC3" w:rsidP="007D2DC3" w:rsidRDefault="007D2DC3" w14:paraId="2E38B8E5" w14:textId="77777777">
      <w:pPr>
        <w:pStyle w:val="Textonotapie"/>
        <w:ind w:firstLine="708"/>
        <w:contextualSpacing/>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8"/>
          <w:szCs w:val="18"/>
        </w:rPr>
        <w:t xml:space="preserve">ibidem </w:t>
      </w:r>
      <w:r>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007D2DC3" w:rsidP="007D2DC3" w:rsidRDefault="007D2DC3" w14:paraId="5119E894" w14:textId="77777777">
      <w:pPr>
        <w:pStyle w:val="Textonotapie"/>
        <w:ind w:firstLine="708"/>
        <w:contextualSpacing/>
        <w:jc w:val="both"/>
        <w:rPr>
          <w:rFonts w:ascii="Arial" w:hAnsi="Arial" w:cs="Arial"/>
          <w:sz w:val="19"/>
          <w:szCs w:val="19"/>
          <w:lang w:val="es-ES"/>
        </w:rPr>
      </w:pPr>
    </w:p>
  </w:footnote>
  <w:footnote w:id="2">
    <w:p w:rsidR="007D2DC3" w:rsidP="007D2DC3" w:rsidRDefault="007D2DC3" w14:paraId="69FC693A" w14:textId="77777777">
      <w:pPr>
        <w:pStyle w:val="Textonotapie"/>
        <w:ind w:right="49" w:firstLine="708"/>
        <w:contextualSpacing/>
        <w:jc w:val="both"/>
        <w:rPr>
          <w:rFonts w:ascii="Arial" w:hAnsi="Arial" w:cs="Arial"/>
          <w:color w:val="000000"/>
          <w:sz w:val="16"/>
          <w:szCs w:val="16"/>
        </w:rPr>
      </w:pPr>
      <w:r>
        <w:rPr>
          <w:rStyle w:val="Refdenotaalpie"/>
          <w:rFonts w:ascii="Arial" w:hAnsi="Arial" w:cs="Arial"/>
          <w:color w:val="000000"/>
        </w:rPr>
        <w:footnoteRef/>
      </w:r>
      <w:r>
        <w:rPr>
          <w:rFonts w:ascii="Arial" w:hAnsi="Arial" w:cs="Arial"/>
          <w:color w:val="000000"/>
          <w:sz w:val="16"/>
          <w:szCs w:val="16"/>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007D2DC3" w:rsidP="007D2DC3" w:rsidRDefault="007D2DC3" w14:paraId="135DD2C1" w14:textId="77777777">
      <w:pPr>
        <w:pStyle w:val="Textonotapie"/>
        <w:ind w:right="49" w:firstLine="708"/>
        <w:contextualSpacing/>
        <w:jc w:val="both"/>
        <w:rPr>
          <w:rFonts w:ascii="Arial" w:hAnsi="Arial" w:cs="Arial"/>
          <w:color w:val="000000"/>
          <w:sz w:val="16"/>
          <w:szCs w:val="16"/>
        </w:rPr>
      </w:pPr>
      <w:r>
        <w:rPr>
          <w:rFonts w:ascii="Arial" w:hAnsi="Arial" w:cs="Arial"/>
          <w:color w:val="000000"/>
          <w:sz w:val="16"/>
          <w:szCs w:val="16"/>
        </w:rPr>
        <w:t>[...]</w:t>
      </w:r>
    </w:p>
    <w:p w:rsidR="007D2DC3" w:rsidP="007D2DC3" w:rsidRDefault="007D2DC3" w14:paraId="116AF32F" w14:textId="77777777">
      <w:pPr>
        <w:pStyle w:val="Textonotapie"/>
        <w:ind w:right="49" w:firstLine="708"/>
        <w:contextualSpacing/>
        <w:jc w:val="both"/>
        <w:rPr>
          <w:rFonts w:ascii="Arial" w:hAnsi="Arial" w:cs="Arial"/>
          <w:color w:val="000000"/>
          <w:sz w:val="16"/>
          <w:szCs w:val="16"/>
        </w:rPr>
      </w:pPr>
      <w:r>
        <w:rPr>
          <w:rFonts w:ascii="Arial" w:hAnsi="Arial" w:cs="Arial"/>
          <w:color w:val="000000"/>
          <w:sz w:val="16"/>
          <w:szCs w:val="16"/>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rsidR="007D2DC3" w:rsidP="007D2DC3" w:rsidRDefault="007D2DC3" w14:paraId="4F0006F9" w14:textId="77777777">
      <w:pPr>
        <w:pStyle w:val="Textonotapie"/>
        <w:ind w:right="49"/>
        <w:contextualSpacing/>
        <w:jc w:val="both"/>
        <w:rPr>
          <w:rFonts w:ascii="Arial" w:hAnsi="Arial" w:cs="Arial"/>
          <w:color w:val="000000"/>
          <w:sz w:val="16"/>
          <w:szCs w:val="16"/>
          <w:lang w:val="es-ES"/>
        </w:rPr>
      </w:pPr>
    </w:p>
  </w:footnote>
  <w:footnote w:id="3">
    <w:p w:rsidR="007D2DC3" w:rsidP="007D2DC3" w:rsidRDefault="007D2DC3" w14:paraId="4F186170" w14:textId="77777777">
      <w:pPr>
        <w:spacing w:after="0" w:line="240" w:lineRule="auto"/>
        <w:ind w:right="49" w:firstLine="708"/>
        <w:contextualSpacing/>
        <w:jc w:val="both"/>
        <w:rPr>
          <w:rFonts w:ascii="Arial" w:hAnsi="Arial" w:cs="Arial"/>
          <w:color w:val="000000"/>
          <w:sz w:val="16"/>
          <w:szCs w:val="16"/>
        </w:rPr>
      </w:pPr>
      <w:r>
        <w:rPr>
          <w:rStyle w:val="Refdenotaalpie"/>
          <w:rFonts w:ascii="Arial" w:hAnsi="Arial" w:cs="Arial"/>
          <w:color w:val="000000"/>
        </w:rPr>
        <w:footnoteRef/>
      </w:r>
      <w:r>
        <w:rPr>
          <w:rFonts w:ascii="Arial" w:hAnsi="Arial" w:cs="Arial"/>
          <w:color w:val="000000"/>
          <w:sz w:val="16"/>
          <w:szCs w:val="16"/>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Pr>
          <w:rFonts w:ascii="Arial" w:hAnsi="Arial" w:cs="Arial"/>
          <w:color w:val="000000"/>
          <w:spacing w:val="-3"/>
          <w:sz w:val="16"/>
          <w:szCs w:val="16"/>
        </w:rPr>
        <w:t xml:space="preserve"> </w:t>
      </w:r>
      <w:r>
        <w:rPr>
          <w:rFonts w:ascii="Arial" w:hAnsi="Arial" w:cs="Arial"/>
          <w:color w:val="000000"/>
          <w:sz w:val="16"/>
          <w:szCs w:val="16"/>
        </w:rPr>
        <w:t>Nacional.</w:t>
      </w:r>
    </w:p>
    <w:p w:rsidR="007D2DC3" w:rsidP="007D2DC3" w:rsidRDefault="007D2DC3" w14:paraId="755EDD80" w14:textId="77777777">
      <w:pPr>
        <w:spacing w:after="0" w:line="240" w:lineRule="auto"/>
        <w:ind w:right="49" w:firstLine="708"/>
        <w:contextualSpacing/>
        <w:jc w:val="both"/>
        <w:rPr>
          <w:rFonts w:ascii="Arial" w:hAnsi="Arial" w:cs="Arial"/>
          <w:color w:val="000000"/>
          <w:sz w:val="16"/>
          <w:szCs w:val="16"/>
        </w:rPr>
      </w:pPr>
      <w:r>
        <w:rPr>
          <w:rFonts w:ascii="Arial" w:hAnsi="Arial" w:cs="Arial"/>
          <w:color w:val="000000"/>
          <w:sz w:val="16"/>
          <w:szCs w:val="16"/>
        </w:rPr>
        <w:t>“Lo anterior, sin perjuicio de las publicaciones previstas en el numeral 3 del artículo 30 de la Ley 80 de 1993.</w:t>
      </w:r>
    </w:p>
    <w:p w:rsidR="007D2DC3" w:rsidP="007D2DC3" w:rsidRDefault="007D2DC3" w14:paraId="53647335" w14:textId="77777777">
      <w:pPr>
        <w:spacing w:after="0" w:line="240" w:lineRule="auto"/>
        <w:ind w:right="49" w:firstLine="708"/>
        <w:contextualSpacing/>
        <w:jc w:val="both"/>
        <w:rPr>
          <w:rFonts w:ascii="Arial" w:hAnsi="Arial" w:cs="Arial"/>
          <w:color w:val="000000"/>
          <w:sz w:val="16"/>
          <w:szCs w:val="16"/>
        </w:rPr>
      </w:pPr>
      <w:r>
        <w:rPr>
          <w:rFonts w:ascii="Arial" w:hAnsi="Arial" w:cs="Arial"/>
          <w:color w:val="000000"/>
          <w:sz w:val="16"/>
          <w:szCs w:val="16"/>
        </w:rPr>
        <w:t>“Con el fin de materializar los objetivos a que se refiere el inciso anterior, el Gobierno Nacional desarrollará el Sistema Electrónico para la Contratación Pública, Secop, el cual:</w:t>
      </w:r>
    </w:p>
    <w:p w:rsidR="007D2DC3" w:rsidP="007D2DC3" w:rsidRDefault="007D2DC3" w14:paraId="4FA48DE5" w14:textId="77777777">
      <w:pPr>
        <w:spacing w:after="0" w:line="240" w:lineRule="auto"/>
        <w:ind w:right="49" w:firstLine="708"/>
        <w:contextualSpacing/>
        <w:jc w:val="both"/>
        <w:rPr>
          <w:rFonts w:ascii="Arial" w:hAnsi="Arial" w:cs="Arial"/>
          <w:color w:val="000000"/>
          <w:sz w:val="16"/>
          <w:szCs w:val="16"/>
        </w:rPr>
      </w:pPr>
      <w:r>
        <w:rPr>
          <w:rFonts w:ascii="Arial" w:hAnsi="Arial" w:cs="Arial"/>
          <w:color w:val="000000"/>
          <w:sz w:val="16"/>
          <w:szCs w:val="16"/>
        </w:rPr>
        <w:t>“a) Dispondrá de las funcionalidades tecnológicas para realizar procesos de contratación electrónicos bajo los métodos de selección señalados en el artículo 2o de la presente ley según lo defina el reglamento;</w:t>
      </w:r>
    </w:p>
    <w:p w:rsidR="007D2DC3" w:rsidP="007D2DC3" w:rsidRDefault="007D2DC3" w14:paraId="76E47BA1" w14:textId="77777777">
      <w:pPr>
        <w:spacing w:after="0" w:line="240" w:lineRule="auto"/>
        <w:ind w:right="49" w:firstLine="708"/>
        <w:contextualSpacing/>
        <w:jc w:val="both"/>
        <w:rPr>
          <w:rFonts w:ascii="Arial" w:hAnsi="Arial" w:cs="Arial"/>
          <w:color w:val="000000"/>
          <w:sz w:val="16"/>
          <w:szCs w:val="16"/>
        </w:rPr>
      </w:pPr>
      <w:r>
        <w:rPr>
          <w:rFonts w:ascii="Arial" w:hAnsi="Arial" w:cs="Arial"/>
          <w:color w:val="000000"/>
          <w:sz w:val="16"/>
          <w:szCs w:val="16"/>
        </w:rPr>
        <w:t>“b) Servirá de punto único de ingreso de información y de generación de reportes para las entidades estatales y la ciudadanía;</w:t>
      </w:r>
    </w:p>
    <w:p w:rsidR="007D2DC3" w:rsidP="007D2DC3" w:rsidRDefault="007D2DC3" w14:paraId="3667CFD7" w14:textId="77777777">
      <w:pPr>
        <w:spacing w:after="0" w:line="240" w:lineRule="auto"/>
        <w:ind w:right="49" w:firstLine="708"/>
        <w:contextualSpacing/>
        <w:jc w:val="both"/>
        <w:rPr>
          <w:rFonts w:ascii="Arial" w:hAnsi="Arial" w:cs="Arial"/>
          <w:color w:val="000000"/>
          <w:sz w:val="16"/>
          <w:szCs w:val="16"/>
        </w:rPr>
      </w:pPr>
      <w:r>
        <w:rPr>
          <w:rFonts w:ascii="Arial" w:hAnsi="Arial" w:cs="Arial"/>
          <w:color w:val="000000"/>
          <w:sz w:val="16"/>
          <w:szCs w:val="16"/>
        </w:rPr>
        <w:t>“c) Contará con la información oficial de la contratación realizada con dineros públicos, para lo cual establecerá los patrones a que haya lugar y se encargará de su difusión a través de canales electrónicos y;</w:t>
      </w:r>
    </w:p>
    <w:p w:rsidR="007D2DC3" w:rsidP="007D2DC3" w:rsidRDefault="007D2DC3" w14:paraId="479D4ACA" w14:textId="77777777">
      <w:pPr>
        <w:spacing w:after="0" w:line="240" w:lineRule="auto"/>
        <w:ind w:right="49" w:firstLine="708"/>
        <w:contextualSpacing/>
        <w:jc w:val="both"/>
        <w:rPr>
          <w:rFonts w:ascii="Arial" w:hAnsi="Arial" w:cs="Arial"/>
          <w:color w:val="000000"/>
          <w:sz w:val="16"/>
          <w:szCs w:val="16"/>
        </w:rPr>
      </w:pPr>
      <w:r>
        <w:rPr>
          <w:rFonts w:ascii="Arial" w:hAnsi="Arial" w:cs="Arial"/>
          <w:color w:val="000000"/>
          <w:sz w:val="16"/>
          <w:szCs w:val="16"/>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footnote>
  <w:footnote w:id="4">
    <w:p w:rsidR="007D2DC3" w:rsidP="007D2DC3" w:rsidRDefault="007D2DC3" w14:paraId="784AFF7F" w14:textId="77777777">
      <w:pPr>
        <w:pStyle w:val="Textonotapie"/>
        <w:ind w:firstLine="708"/>
        <w:contextualSpacing/>
        <w:jc w:val="both"/>
        <w:rPr>
          <w:rFonts w:ascii="Arial" w:hAnsi="Arial" w:cs="Arial"/>
          <w:sz w:val="16"/>
          <w:szCs w:val="16"/>
        </w:rPr>
      </w:pPr>
      <w:r>
        <w:rPr>
          <w:rStyle w:val="Refdenotaalpie"/>
          <w:rFonts w:ascii="Arial" w:hAnsi="Arial" w:cs="Arial"/>
        </w:rPr>
        <w:footnoteRef/>
      </w:r>
      <w:r>
        <w:rPr>
          <w:rFonts w:ascii="Arial" w:hAnsi="Arial" w:cs="Arial"/>
          <w:sz w:val="16"/>
          <w:szCs w:val="16"/>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rsidR="007D2DC3" w:rsidP="007D2DC3" w:rsidRDefault="007D2DC3" w14:paraId="70389C5A" w14:textId="77777777">
      <w:pPr>
        <w:pStyle w:val="Textonotapie"/>
        <w:ind w:firstLine="708"/>
        <w:contextualSpacing/>
        <w:jc w:val="both"/>
        <w:rPr>
          <w:rFonts w:ascii="Arial" w:hAnsi="Arial" w:cs="Arial"/>
          <w:sz w:val="16"/>
          <w:szCs w:val="16"/>
        </w:rPr>
      </w:pPr>
    </w:p>
  </w:footnote>
  <w:footnote w:id="5">
    <w:p w:rsidR="007D2DC3" w:rsidP="007D2DC3" w:rsidRDefault="007D2DC3" w14:paraId="46D31438" w14:textId="77777777">
      <w:pPr>
        <w:pStyle w:val="NormalWeb"/>
        <w:spacing w:after="0"/>
        <w:ind w:firstLine="708"/>
        <w:contextualSpacing/>
        <w:jc w:val="both"/>
        <w:rPr>
          <w:rFonts w:ascii="Arial" w:hAnsi="Arial" w:cs="Arial"/>
          <w:color w:val="000000"/>
          <w:sz w:val="16"/>
          <w:szCs w:val="16"/>
        </w:rPr>
      </w:pPr>
      <w:r>
        <w:rPr>
          <w:rStyle w:val="Refdenotaalpie"/>
          <w:rFonts w:ascii="Arial" w:hAnsi="Arial" w:cs="Arial"/>
        </w:rPr>
        <w:footnoteRef/>
      </w:r>
      <w:r>
        <w:rPr>
          <w:rFonts w:ascii="Arial" w:hAnsi="Arial" w:cs="Arial"/>
          <w:sz w:val="16"/>
          <w:szCs w:val="16"/>
        </w:rPr>
        <w:t xml:space="preserve"> Decreto 1081 de 2015 “</w:t>
      </w:r>
      <w:r>
        <w:rPr>
          <w:rFonts w:ascii="Arial" w:hAnsi="Arial" w:cs="Arial"/>
          <w:color w:val="000000"/>
          <w:sz w:val="16"/>
          <w:szCs w:val="16"/>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007D2DC3" w:rsidP="007D2DC3" w:rsidRDefault="007D2DC3" w14:paraId="2ABB74FF" w14:textId="77777777">
      <w:pPr>
        <w:spacing w:after="0" w:line="240" w:lineRule="auto"/>
        <w:contextualSpacing/>
        <w:jc w:val="both"/>
        <w:rPr>
          <w:rFonts w:ascii="Arial" w:hAnsi="Arial" w:cs="Arial"/>
          <w:color w:val="000000"/>
          <w:sz w:val="16"/>
          <w:szCs w:val="16"/>
          <w:lang w:eastAsia="es-CO"/>
        </w:rPr>
      </w:pPr>
      <w:r>
        <w:rPr>
          <w:rFonts w:ascii="Arial" w:hAnsi="Arial" w:cs="Arial"/>
          <w:color w:val="000000"/>
          <w:sz w:val="16"/>
          <w:szCs w:val="16"/>
          <w:lang w:eastAsia="es-CO"/>
        </w:rPr>
        <w:t>  </w:t>
      </w:r>
      <w:r>
        <w:rPr>
          <w:rFonts w:ascii="Arial" w:hAnsi="Arial" w:cs="Arial"/>
          <w:color w:val="000000"/>
          <w:sz w:val="16"/>
          <w:szCs w:val="16"/>
          <w:lang w:eastAsia="es-CO"/>
        </w:rPr>
        <w:tab/>
      </w:r>
      <w:r>
        <w:rPr>
          <w:rFonts w:ascii="Arial" w:hAnsi="Arial" w:cs="Arial"/>
          <w:color w:val="000000"/>
          <w:sz w:val="16"/>
          <w:szCs w:val="16"/>
          <w:lang w:eastAsia="es-CO"/>
        </w:rPr>
        <w:t>“Los sujetos obligados que contratan con cargo a recursos públicos deben publicar la información de su gestión contractual en el plazo previsto en el artículo 19 del Decreto 1510 de 2013, o el que lo modifique, sustituya o adicione. </w:t>
      </w:r>
    </w:p>
    <w:p w:rsidR="007D2DC3" w:rsidP="007D2DC3" w:rsidRDefault="007D2DC3" w14:paraId="74842D81" w14:textId="77777777">
      <w:pPr>
        <w:spacing w:after="0" w:line="240" w:lineRule="auto"/>
        <w:contextualSpacing/>
        <w:jc w:val="both"/>
        <w:rPr>
          <w:rFonts w:ascii="Arial" w:hAnsi="Arial" w:cs="Arial"/>
          <w:color w:val="000000"/>
          <w:sz w:val="16"/>
          <w:szCs w:val="16"/>
          <w:lang w:eastAsia="es-CO"/>
        </w:rPr>
      </w:pPr>
      <w:r>
        <w:rPr>
          <w:rFonts w:ascii="Arial" w:hAnsi="Arial" w:cs="Arial"/>
          <w:color w:val="000000"/>
          <w:sz w:val="16"/>
          <w:szCs w:val="16"/>
          <w:lang w:eastAsia="es-CO"/>
        </w:rPr>
        <w:t>  </w:t>
      </w:r>
      <w:r>
        <w:rPr>
          <w:rFonts w:ascii="Arial" w:hAnsi="Arial" w:cs="Arial"/>
          <w:color w:val="000000"/>
          <w:sz w:val="16"/>
          <w:szCs w:val="16"/>
          <w:lang w:eastAsia="es-CO"/>
        </w:rPr>
        <w:tab/>
      </w:r>
      <w:r>
        <w:rPr>
          <w:rFonts w:ascii="Arial" w:hAnsi="Arial" w:cs="Arial"/>
          <w:color w:val="000000"/>
          <w:sz w:val="16"/>
          <w:szCs w:val="16"/>
          <w:lang w:eastAsia="es-CO"/>
        </w:rPr>
        <w:t>“Los sujetos obligados que contratan con recursos públicos y recursos privados, deben publicar la información de su gestión contractual con cargo a recursos públicos en el Sistema Electrónico para la Contratación Pública (SECOP)</w:t>
      </w:r>
      <w:r>
        <w:rPr>
          <w:rFonts w:ascii="Arial" w:hAnsi="Arial" w:cs="Arial"/>
          <w:sz w:val="16"/>
          <w:szCs w:val="16"/>
        </w:rPr>
        <w:t>”.</w:t>
      </w:r>
    </w:p>
  </w:footnote>
  <w:footnote w:id="6">
    <w:p w:rsidR="007D2DC3" w:rsidP="007D2DC3" w:rsidRDefault="007D2DC3" w14:paraId="0DD2AA06" w14:textId="77777777">
      <w:pPr>
        <w:pStyle w:val="Textonotapie"/>
        <w:ind w:right="49" w:firstLine="709"/>
        <w:contextualSpacing/>
        <w:jc w:val="both"/>
        <w:rPr>
          <w:rFonts w:ascii="Arial" w:hAnsi="Arial" w:eastAsia="Calibri" w:cs="Arial"/>
          <w:color w:val="000000"/>
          <w:sz w:val="16"/>
          <w:szCs w:val="16"/>
        </w:rPr>
      </w:pPr>
      <w:r>
        <w:rPr>
          <w:rStyle w:val="Refdenotaalpie"/>
          <w:rFonts w:ascii="Arial" w:hAnsi="Arial" w:cs="Arial"/>
          <w:color w:val="000000"/>
        </w:rPr>
        <w:footnoteRef/>
      </w:r>
      <w:r>
        <w:rPr>
          <w:rFonts w:ascii="Arial" w:hAnsi="Arial" w:cs="Arial"/>
          <w:color w:val="000000"/>
          <w:sz w:val="16"/>
          <w:szCs w:val="16"/>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rsidR="007D2DC3" w:rsidP="007D2DC3" w:rsidRDefault="007D2DC3" w14:paraId="65D15AE7" w14:textId="77777777">
      <w:pPr>
        <w:pStyle w:val="Textonotapie"/>
        <w:ind w:right="49" w:firstLine="709"/>
        <w:contextualSpacing/>
        <w:jc w:val="both"/>
        <w:rPr>
          <w:rFonts w:ascii="Arial" w:hAnsi="Arial" w:cs="Arial"/>
          <w:color w:val="000000"/>
          <w:sz w:val="16"/>
          <w:szCs w:val="16"/>
        </w:rPr>
      </w:pPr>
    </w:p>
  </w:footnote>
  <w:footnote w:id="7">
    <w:p w:rsidR="007D2DC3" w:rsidP="007D2DC3" w:rsidRDefault="007D2DC3" w14:paraId="2B994EFF" w14:textId="77777777">
      <w:pPr>
        <w:pStyle w:val="Textonotapie"/>
        <w:ind w:right="49" w:firstLine="709"/>
        <w:contextualSpacing/>
        <w:jc w:val="both"/>
        <w:rPr>
          <w:rFonts w:ascii="Arial" w:hAnsi="Arial" w:cs="Arial"/>
          <w:color w:val="000000"/>
          <w:sz w:val="16"/>
          <w:szCs w:val="16"/>
        </w:rPr>
      </w:pPr>
      <w:r>
        <w:rPr>
          <w:rStyle w:val="Refdenotaalpie"/>
          <w:rFonts w:ascii="Arial" w:hAnsi="Arial" w:cs="Arial"/>
          <w:color w:val="000000"/>
        </w:rPr>
        <w:footnoteRef/>
      </w:r>
      <w:r>
        <w:rPr>
          <w:rFonts w:ascii="Arial" w:hAnsi="Arial" w:cs="Arial"/>
          <w:color w:val="000000"/>
          <w:sz w:val="16"/>
          <w:szCs w:val="16"/>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rsidR="007D2DC3" w:rsidP="007D2DC3" w:rsidRDefault="007D2DC3" w14:paraId="337868E0" w14:textId="77777777">
      <w:pPr>
        <w:pStyle w:val="Textonotapie"/>
        <w:ind w:right="49" w:firstLine="709"/>
        <w:contextualSpacing/>
        <w:jc w:val="both"/>
        <w:rPr>
          <w:rFonts w:ascii="Arial" w:hAnsi="Arial" w:cs="Arial"/>
          <w:color w:val="000000"/>
          <w:sz w:val="16"/>
          <w:szCs w:val="16"/>
        </w:rPr>
      </w:pPr>
      <w:r>
        <w:rPr>
          <w:rFonts w:ascii="Arial" w:hAnsi="Arial" w:cs="Arial"/>
          <w:color w:val="000000"/>
          <w:sz w:val="16"/>
          <w:szCs w:val="16"/>
        </w:rPr>
        <w:t xml:space="preserve">“Los sujetos obligados que no contratan con cargo a recursos públicos no están obligados a publicar su Plan Anual de Adquisiciones. </w:t>
      </w:r>
    </w:p>
    <w:p w:rsidR="007D2DC3" w:rsidP="007D2DC3" w:rsidRDefault="007D2DC3" w14:paraId="2D5C23DB" w14:textId="77777777">
      <w:pPr>
        <w:pStyle w:val="Textonotapie"/>
        <w:ind w:right="49" w:firstLine="709"/>
        <w:contextualSpacing/>
        <w:jc w:val="both"/>
        <w:rPr>
          <w:rFonts w:ascii="Arial" w:hAnsi="Arial" w:cs="Arial"/>
          <w:color w:val="000000"/>
          <w:sz w:val="16"/>
          <w:szCs w:val="16"/>
        </w:rPr>
      </w:pPr>
      <w:r>
        <w:rPr>
          <w:rFonts w:ascii="Arial" w:hAnsi="Arial" w:cs="Arial"/>
          <w:color w:val="000000"/>
          <w:sz w:val="16"/>
          <w:szCs w:val="16"/>
        </w:rPr>
        <w:t xml:space="preserve">“Los sujetos obligados que contratan con cargo a recursos públicos y recursos privados, deben publicar en su página web y en el SECOP el Plan Anual de Adquisiciones para los recursos de carácter público que ejecutarán en el año. </w:t>
      </w:r>
    </w:p>
    <w:p w:rsidR="007D2DC3" w:rsidP="007D2DC3" w:rsidRDefault="007D2DC3" w14:paraId="42D8512A" w14:textId="77777777">
      <w:pPr>
        <w:pStyle w:val="Textonotapie"/>
        <w:ind w:right="49" w:firstLine="709"/>
        <w:contextualSpacing/>
        <w:jc w:val="both"/>
        <w:rPr>
          <w:rFonts w:ascii="Arial" w:hAnsi="Arial" w:cs="Arial"/>
          <w:color w:val="000000"/>
          <w:sz w:val="16"/>
          <w:szCs w:val="16"/>
        </w:rPr>
      </w:pPr>
      <w:r>
        <w:rPr>
          <w:rFonts w:ascii="Arial" w:hAnsi="Arial" w:cs="Arial"/>
          <w:color w:val="000000"/>
          <w:sz w:val="16"/>
          <w:szCs w:val="16"/>
        </w:rPr>
        <w:t>“Se entenderá como definición de Plan Anual de Adquisiciones respecto a todos los sujetos obligados que contratan con recursos públicos, la prevista en el artículo 3° del Decreto 1510 de 2013, o el que lo modifique, sustituya o adicione”.</w:t>
      </w:r>
    </w:p>
  </w:footnote>
  <w:footnote w:id="8">
    <w:p w:rsidR="007D2DC3" w:rsidP="007D2DC3" w:rsidRDefault="007D2DC3" w14:paraId="7FAE9278" w14:textId="77777777">
      <w:pPr>
        <w:pStyle w:val="Textonotapie"/>
        <w:ind w:right="49" w:firstLine="709"/>
        <w:contextualSpacing/>
        <w:jc w:val="both"/>
        <w:rPr>
          <w:rFonts w:ascii="Arial" w:hAnsi="Arial" w:cs="Arial"/>
          <w:color w:val="000000"/>
          <w:sz w:val="16"/>
          <w:szCs w:val="16"/>
        </w:rPr>
      </w:pPr>
      <w:r>
        <w:rPr>
          <w:rStyle w:val="Refdenotaalpie"/>
          <w:rFonts w:ascii="Arial" w:hAnsi="Arial" w:cs="Arial"/>
          <w:color w:val="000000"/>
        </w:rPr>
        <w:footnoteRef/>
      </w:r>
      <w:r>
        <w:rPr>
          <w:rFonts w:ascii="Arial" w:hAnsi="Arial" w:cs="Arial"/>
          <w:color w:val="000000"/>
          <w:sz w:val="16"/>
          <w:szCs w:val="16"/>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9">
    <w:p w:rsidR="007D2DC3" w:rsidP="007D2DC3" w:rsidRDefault="007D2DC3" w14:paraId="6735FA1B" w14:textId="77777777">
      <w:pPr>
        <w:pStyle w:val="Textonotapie"/>
        <w:ind w:firstLine="708"/>
        <w:contextualSpacing/>
        <w:jc w:val="both"/>
        <w:rPr>
          <w:rFonts w:ascii="Arial" w:hAnsi="Arial" w:cs="Arial"/>
          <w:sz w:val="16"/>
          <w:szCs w:val="16"/>
          <w:lang w:val="es-CO"/>
        </w:rPr>
      </w:pPr>
      <w:r>
        <w:rPr>
          <w:rStyle w:val="Refdenotaalpie"/>
          <w:rFonts w:ascii="Arial" w:hAnsi="Arial" w:cs="Arial"/>
        </w:rPr>
        <w:footnoteRef/>
      </w:r>
      <w:r>
        <w:rPr>
          <w:rFonts w:ascii="Arial" w:hAnsi="Arial" w:cs="Arial"/>
          <w:sz w:val="16"/>
          <w:szCs w:val="16"/>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10">
    <w:p w:rsidR="007D2DC3" w:rsidP="007D2DC3" w:rsidRDefault="007D2DC3" w14:paraId="1CC8C909" w14:textId="77777777">
      <w:pPr>
        <w:pStyle w:val="Textonotapie"/>
        <w:contextualSpacing/>
        <w:rPr>
          <w:rFonts w:ascii="Arial" w:hAnsi="Arial" w:cs="Arial"/>
          <w:sz w:val="16"/>
          <w:szCs w:val="16"/>
        </w:rPr>
      </w:pPr>
    </w:p>
    <w:p w:rsidR="007D2DC3" w:rsidP="007D2DC3" w:rsidRDefault="007D2DC3" w14:paraId="5DD50EF9" w14:textId="77777777">
      <w:pPr>
        <w:pStyle w:val="NormalWeb"/>
        <w:spacing w:after="0"/>
        <w:ind w:firstLine="708"/>
        <w:contextualSpacing/>
        <w:jc w:val="both"/>
        <w:rPr>
          <w:rFonts w:ascii="Arial" w:hAnsi="Arial" w:cs="Arial"/>
          <w:color w:val="000000"/>
          <w:sz w:val="16"/>
          <w:szCs w:val="16"/>
        </w:rPr>
      </w:pPr>
      <w:r>
        <w:rPr>
          <w:rStyle w:val="Refdenotaalpie"/>
          <w:rFonts w:ascii="Arial" w:hAnsi="Arial" w:cs="Arial"/>
        </w:rPr>
        <w:footnoteRef/>
      </w:r>
      <w:r>
        <w:rPr>
          <w:rFonts w:ascii="Arial" w:hAnsi="Arial" w:cs="Arial"/>
          <w:sz w:val="16"/>
          <w:szCs w:val="16"/>
        </w:rPr>
        <w:t xml:space="preserve">  Ley 1712 de 2014 “</w:t>
      </w:r>
      <w:r>
        <w:rPr>
          <w:rStyle w:val="PiedepginaCar"/>
          <w:rFonts w:ascii="Arial" w:hAnsi="Arial" w:cs="Arial"/>
          <w:color w:val="000000"/>
        </w:rPr>
        <w:t xml:space="preserve"> </w:t>
      </w:r>
      <w:r>
        <w:rPr>
          <w:rFonts w:ascii="Arial" w:hAnsi="Arial" w:cs="Arial"/>
          <w:color w:val="000000"/>
          <w:sz w:val="16"/>
          <w:szCs w:val="16"/>
        </w:rPr>
        <w:t>Artículo 3°.Otros principios de la transparencia y acceso a la información pública. En la interpretación del derecho de acceso a la información se deberá adoptar un criterio de razonabilidad y proporcionalidad, así como aplicar los siguientes principios: </w:t>
      </w:r>
    </w:p>
    <w:p w:rsidR="007D2DC3" w:rsidP="007D2DC3" w:rsidRDefault="007D2DC3" w14:paraId="51AC42D8" w14:textId="77777777">
      <w:pPr>
        <w:spacing w:after="0" w:line="240" w:lineRule="auto"/>
        <w:contextualSpacing/>
        <w:jc w:val="both"/>
        <w:rPr>
          <w:rFonts w:ascii="Arial" w:hAnsi="Arial" w:cs="Arial"/>
          <w:color w:val="000000"/>
          <w:sz w:val="16"/>
          <w:szCs w:val="16"/>
          <w:lang w:eastAsia="es-CO"/>
        </w:rPr>
      </w:pPr>
      <w:r>
        <w:rPr>
          <w:rFonts w:ascii="Arial" w:hAnsi="Arial" w:cs="Arial"/>
          <w:color w:val="000000"/>
          <w:sz w:val="16"/>
          <w:szCs w:val="16"/>
          <w:lang w:eastAsia="es-CO"/>
        </w:rPr>
        <w:t> </w:t>
      </w:r>
      <w:r>
        <w:rPr>
          <w:rFonts w:ascii="Arial" w:hAnsi="Arial" w:cs="Arial"/>
          <w:color w:val="000000"/>
          <w:sz w:val="16"/>
          <w:szCs w:val="16"/>
          <w:lang w:eastAsia="es-CO"/>
        </w:rPr>
        <w:tab/>
      </w:r>
      <w:r>
        <w:rPr>
          <w:rFonts w:ascii="Arial" w:hAnsi="Arial" w:cs="Arial"/>
          <w:color w:val="000000"/>
          <w:sz w:val="16"/>
          <w:szCs w:val="16"/>
          <w:lang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rsidR="007D2DC3" w:rsidP="007D2DC3" w:rsidRDefault="007D2DC3" w14:paraId="588D30E2" w14:textId="77777777">
      <w:pPr>
        <w:spacing w:after="0" w:line="240" w:lineRule="auto"/>
        <w:contextualSpacing/>
        <w:jc w:val="both"/>
        <w:rPr>
          <w:rFonts w:ascii="Arial" w:hAnsi="Arial" w:cs="Arial"/>
          <w:color w:val="000000"/>
          <w:sz w:val="16"/>
          <w:szCs w:val="16"/>
          <w:lang w:eastAsia="es-CO"/>
        </w:rPr>
      </w:pPr>
      <w:r>
        <w:rPr>
          <w:rFonts w:ascii="Arial" w:hAnsi="Arial" w:cs="Arial"/>
          <w:color w:val="000000"/>
          <w:sz w:val="16"/>
          <w:szCs w:val="16"/>
          <w:lang w:eastAsia="es-CO"/>
        </w:rPr>
        <w:t>  </w:t>
      </w:r>
      <w:r>
        <w:rPr>
          <w:rFonts w:ascii="Arial" w:hAnsi="Arial" w:cs="Arial"/>
          <w:color w:val="000000"/>
          <w:sz w:val="16"/>
          <w:szCs w:val="16"/>
          <w:lang w:eastAsia="es-CO"/>
        </w:rPr>
        <w:tab/>
      </w:r>
      <w:r>
        <w:rPr>
          <w:rFonts w:ascii="Arial" w:hAnsi="Arial" w:cs="Arial"/>
          <w:color w:val="000000"/>
          <w:sz w:val="16"/>
          <w:szCs w:val="16"/>
          <w:lang w:eastAsia="es-CO"/>
        </w:rPr>
        <w:t>[…] </w:t>
      </w:r>
    </w:p>
    <w:p w:rsidR="007D2DC3" w:rsidP="007D2DC3" w:rsidRDefault="007D2DC3" w14:paraId="3B9934D4" w14:textId="77777777">
      <w:pPr>
        <w:spacing w:after="0" w:line="240" w:lineRule="auto"/>
        <w:contextualSpacing/>
        <w:jc w:val="both"/>
        <w:rPr>
          <w:rFonts w:ascii="Arial" w:hAnsi="Arial" w:cs="Arial"/>
          <w:color w:val="000000"/>
          <w:sz w:val="16"/>
          <w:szCs w:val="16"/>
          <w:lang w:eastAsia="es-CO"/>
        </w:rPr>
      </w:pPr>
      <w:r>
        <w:rPr>
          <w:rFonts w:ascii="Arial" w:hAnsi="Arial" w:cs="Arial"/>
          <w:color w:val="000000"/>
          <w:sz w:val="16"/>
          <w:szCs w:val="16"/>
          <w:lang w:eastAsia="es-CO"/>
        </w:rPr>
        <w:t>  </w:t>
      </w:r>
      <w:r>
        <w:rPr>
          <w:rFonts w:ascii="Arial" w:hAnsi="Arial" w:cs="Arial"/>
          <w:color w:val="000000"/>
          <w:sz w:val="16"/>
          <w:szCs w:val="16"/>
          <w:lang w:eastAsia="es-CO"/>
        </w:rPr>
        <w:tab/>
      </w:r>
      <w:r>
        <w:rPr>
          <w:rFonts w:ascii="Arial" w:hAnsi="Arial" w:cs="Arial"/>
          <w:color w:val="000000"/>
          <w:sz w:val="16"/>
          <w:szCs w:val="16"/>
          <w:lang w:eastAsia="es-CO"/>
        </w:rPr>
        <w:t>“Principio de facilitación. En virtud de este principio los sujetos obligados deberán facilitar el ejercicio del derecho de acceso a la información pública, excluyendo exigencias o requisitos que puedan obstruirlo o impedirlo. </w:t>
      </w:r>
    </w:p>
    <w:p w:rsidR="007D2DC3" w:rsidP="007D2DC3" w:rsidRDefault="007D2DC3" w14:paraId="7F8C83FA" w14:textId="77777777">
      <w:pPr>
        <w:spacing w:after="0" w:line="240" w:lineRule="auto"/>
        <w:contextualSpacing/>
        <w:jc w:val="both"/>
        <w:rPr>
          <w:rFonts w:ascii="Arial" w:hAnsi="Arial" w:cs="Arial"/>
          <w:color w:val="000000"/>
          <w:sz w:val="16"/>
          <w:szCs w:val="16"/>
          <w:lang w:eastAsia="es-CO"/>
        </w:rPr>
      </w:pPr>
      <w:r>
        <w:rPr>
          <w:rFonts w:ascii="Arial" w:hAnsi="Arial" w:cs="Arial"/>
          <w:color w:val="000000"/>
          <w:sz w:val="16"/>
          <w:szCs w:val="16"/>
          <w:lang w:eastAsia="es-CO"/>
        </w:rPr>
        <w:t>  </w:t>
      </w:r>
      <w:r>
        <w:rPr>
          <w:rFonts w:ascii="Arial" w:hAnsi="Arial" w:cs="Arial"/>
          <w:color w:val="000000"/>
          <w:sz w:val="16"/>
          <w:szCs w:val="16"/>
          <w:lang w:eastAsia="es-CO"/>
        </w:rPr>
        <w:tab/>
      </w:r>
      <w:r>
        <w:rPr>
          <w:rFonts w:ascii="Arial" w:hAnsi="Arial" w:cs="Arial"/>
          <w:color w:val="000000"/>
          <w:sz w:val="16"/>
          <w:szCs w:val="16"/>
          <w:lang w:eastAsia="es-CO"/>
        </w:rPr>
        <w:t>[…]</w:t>
      </w:r>
    </w:p>
    <w:p w:rsidR="007D2DC3" w:rsidP="007D2DC3" w:rsidRDefault="007D2DC3" w14:paraId="4CAFFB4A" w14:textId="77777777">
      <w:pPr>
        <w:spacing w:after="0" w:line="240" w:lineRule="auto"/>
        <w:contextualSpacing/>
        <w:jc w:val="both"/>
        <w:rPr>
          <w:rFonts w:ascii="Arial" w:hAnsi="Arial" w:cs="Arial"/>
          <w:color w:val="000000"/>
          <w:sz w:val="16"/>
          <w:szCs w:val="16"/>
          <w:lang w:eastAsia="es-CO"/>
        </w:rPr>
      </w:pPr>
      <w:r>
        <w:rPr>
          <w:rFonts w:ascii="Arial" w:hAnsi="Arial" w:cs="Arial"/>
          <w:color w:val="000000"/>
          <w:sz w:val="16"/>
          <w:szCs w:val="16"/>
          <w:lang w:eastAsia="es-CO"/>
        </w:rPr>
        <w:t>  </w:t>
      </w:r>
      <w:r>
        <w:rPr>
          <w:rFonts w:ascii="Arial" w:hAnsi="Arial" w:cs="Arial"/>
          <w:color w:val="000000"/>
          <w:sz w:val="16"/>
          <w:szCs w:val="16"/>
          <w:lang w:eastAsia="es-CO"/>
        </w:rPr>
        <w:tab/>
      </w:r>
      <w:r>
        <w:rPr>
          <w:rFonts w:ascii="Arial" w:hAnsi="Arial" w:cs="Arial"/>
          <w:color w:val="000000"/>
          <w:sz w:val="16"/>
          <w:szCs w:val="16"/>
          <w:lang w:eastAsia="es-CO"/>
        </w:rPr>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p w:rsidR="007D2DC3" w:rsidP="007D2DC3" w:rsidRDefault="007D2DC3" w14:paraId="16482E43" w14:textId="77777777">
      <w:pPr>
        <w:pStyle w:val="Textonotapie"/>
        <w:contextualSpacing/>
        <w:rPr>
          <w:rFonts w:ascii="Arial" w:hAnsi="Arial" w:eastAsia="Calibri" w:cs="Arial"/>
          <w:sz w:val="16"/>
          <w:szCs w:val="16"/>
          <w:lang w:val="es-CO"/>
        </w:rPr>
      </w:pPr>
    </w:p>
  </w:footnote>
  <w:footnote w:id="11">
    <w:p w:rsidR="007D2DC3" w:rsidP="007D2DC3" w:rsidRDefault="007D2DC3" w14:paraId="6A2374CA" w14:textId="77777777">
      <w:pPr>
        <w:pStyle w:val="Textonotapie"/>
        <w:ind w:firstLine="708"/>
        <w:contextualSpacing/>
        <w:jc w:val="both"/>
        <w:rPr>
          <w:rFonts w:ascii="Arial" w:hAnsi="Arial" w:cs="Arial"/>
          <w:color w:val="000000"/>
          <w:sz w:val="16"/>
          <w:szCs w:val="16"/>
          <w:lang w:val="es-CO"/>
        </w:rPr>
      </w:pPr>
      <w:r>
        <w:rPr>
          <w:rStyle w:val="Refdenotaalpie"/>
          <w:rFonts w:ascii="Arial" w:hAnsi="Arial" w:cs="Arial"/>
          <w:color w:val="000000"/>
        </w:rPr>
        <w:footnoteRef/>
      </w:r>
      <w:r>
        <w:rPr>
          <w:rFonts w:ascii="Arial" w:hAnsi="Arial" w:cs="Arial"/>
          <w:color w:val="000000"/>
          <w:sz w:val="16"/>
          <w:szCs w:val="16"/>
        </w:rPr>
        <w:t xml:space="preserve"> Ley 1474 de 2011 “</w:t>
      </w:r>
      <w:r>
        <w:rPr>
          <w:rFonts w:ascii="Arial" w:hAnsi="Arial" w:cs="Arial"/>
          <w:color w:val="000000"/>
          <w:sz w:val="16"/>
          <w:szCs w:val="16"/>
          <w:lang w:val="es-CO"/>
        </w:rPr>
        <w:t>Artículo 74. </w:t>
      </w:r>
      <w:r>
        <w:rPr>
          <w:rFonts w:ascii="Arial" w:hAnsi="Arial" w:cs="Arial"/>
          <w:i/>
          <w:iCs/>
          <w:color w:val="000000"/>
          <w:sz w:val="16"/>
          <w:szCs w:val="16"/>
          <w:lang w:val="es-CO"/>
        </w:rPr>
        <w:t>Plan de acción de las entidades públicas</w:t>
      </w:r>
      <w:r>
        <w:rPr>
          <w:rFonts w:ascii="Arial" w:hAnsi="Arial" w:cs="Arial"/>
          <w:color w:val="000000"/>
          <w:sz w:val="16"/>
          <w:szCs w:val="16"/>
          <w:lang w:val="es-CO"/>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rsidR="007D2DC3" w:rsidP="007D2DC3" w:rsidRDefault="007D2DC3" w14:paraId="6D4448EA" w14:textId="77777777">
      <w:pPr>
        <w:pStyle w:val="Textonotapie"/>
        <w:contextualSpacing/>
        <w:jc w:val="both"/>
        <w:rPr>
          <w:rFonts w:ascii="Arial" w:hAnsi="Arial" w:cs="Arial"/>
          <w:color w:val="000000"/>
          <w:sz w:val="16"/>
          <w:szCs w:val="16"/>
          <w:lang w:val="es-CO"/>
        </w:rPr>
      </w:pPr>
      <w:r>
        <w:rPr>
          <w:rFonts w:ascii="Arial" w:hAnsi="Arial" w:cs="Arial"/>
          <w:color w:val="000000"/>
          <w:sz w:val="16"/>
          <w:szCs w:val="16"/>
          <w:lang w:val="es-CO"/>
        </w:rPr>
        <w:t>  </w:t>
      </w:r>
      <w:r>
        <w:rPr>
          <w:rFonts w:ascii="Arial" w:hAnsi="Arial" w:cs="Arial"/>
          <w:color w:val="000000"/>
          <w:sz w:val="16"/>
          <w:szCs w:val="16"/>
          <w:lang w:val="es-CO"/>
        </w:rPr>
        <w:tab/>
      </w:r>
      <w:r>
        <w:rPr>
          <w:rFonts w:ascii="Arial" w:hAnsi="Arial" w:cs="Arial"/>
          <w:color w:val="000000"/>
          <w:sz w:val="16"/>
          <w:szCs w:val="16"/>
          <w:lang w:val="es-CO"/>
        </w:rPr>
        <w:t>“A partir del año siguiente, el Plan de Acción deberá estar acompañado del informe de gestión del año inmediatamente anterior. </w:t>
      </w:r>
    </w:p>
    <w:p w:rsidR="007D2DC3" w:rsidP="007D2DC3" w:rsidRDefault="007D2DC3" w14:paraId="6FAE298C" w14:textId="77777777">
      <w:pPr>
        <w:pStyle w:val="Textonotapie"/>
        <w:contextualSpacing/>
        <w:jc w:val="both"/>
        <w:rPr>
          <w:rFonts w:ascii="Arial" w:hAnsi="Arial" w:cs="Arial"/>
          <w:color w:val="000000"/>
          <w:sz w:val="16"/>
          <w:szCs w:val="16"/>
          <w:lang w:val="es-CO"/>
        </w:rPr>
      </w:pPr>
      <w:r>
        <w:rPr>
          <w:rFonts w:ascii="Arial" w:hAnsi="Arial" w:cs="Arial"/>
          <w:color w:val="000000"/>
          <w:sz w:val="16"/>
          <w:szCs w:val="16"/>
          <w:lang w:val="es-CO"/>
        </w:rPr>
        <w:t>  </w:t>
      </w:r>
      <w:r>
        <w:rPr>
          <w:rFonts w:ascii="Arial" w:hAnsi="Arial" w:cs="Arial"/>
          <w:color w:val="000000"/>
          <w:sz w:val="16"/>
          <w:szCs w:val="16"/>
          <w:lang w:val="es-CO"/>
        </w:rPr>
        <w:tab/>
      </w:r>
      <w:r>
        <w:rPr>
          <w:rFonts w:ascii="Arial" w:hAnsi="Arial" w:cs="Arial"/>
          <w:color w:val="000000"/>
          <w:sz w:val="16"/>
          <w:szCs w:val="16"/>
          <w:lang w:val="es-CO"/>
        </w:rPr>
        <w:t>“Igualmente publicarán por dicho medio su presupuesto debidamente desagregado, así como las modificaciones a este o a su desagregación. </w:t>
      </w:r>
    </w:p>
    <w:p w:rsidR="007D2DC3" w:rsidP="007D2DC3" w:rsidRDefault="007D2DC3" w14:paraId="077CD979" w14:textId="77777777">
      <w:pPr>
        <w:pStyle w:val="Textonotapie"/>
        <w:contextualSpacing/>
        <w:jc w:val="both"/>
        <w:rPr>
          <w:rFonts w:ascii="Arial" w:hAnsi="Arial" w:cs="Arial"/>
          <w:color w:val="000000"/>
          <w:sz w:val="16"/>
          <w:szCs w:val="16"/>
          <w:lang w:val="es-CO"/>
        </w:rPr>
      </w:pPr>
      <w:r>
        <w:rPr>
          <w:rFonts w:ascii="Arial" w:hAnsi="Arial" w:cs="Arial"/>
          <w:color w:val="000000"/>
          <w:sz w:val="16"/>
          <w:szCs w:val="16"/>
          <w:lang w:val="es-CO"/>
        </w:rPr>
        <w:t>  </w:t>
      </w:r>
      <w:r>
        <w:rPr>
          <w:rFonts w:ascii="Arial" w:hAnsi="Arial" w:cs="Arial"/>
          <w:color w:val="000000"/>
          <w:sz w:val="16"/>
          <w:szCs w:val="16"/>
          <w:lang w:val="es-CO"/>
        </w:rPr>
        <w:tab/>
      </w:r>
      <w:r>
        <w:rPr>
          <w:rFonts w:ascii="Arial" w:hAnsi="Arial" w:cs="Arial"/>
          <w:color w:val="000000"/>
          <w:sz w:val="16"/>
          <w:szCs w:val="16"/>
          <w:lang w:val="es-CO"/>
        </w:rPr>
        <w:t>“Parágrafo. Las empresas industriales y comerciales del Estado y las Sociedades de Economía Mixta estarán exentas de publicar la información relacionada con sus proyectos de inversión”. </w:t>
      </w:r>
    </w:p>
    <w:p w:rsidR="007D2DC3" w:rsidP="007D2DC3" w:rsidRDefault="007D2DC3" w14:paraId="5BAFA2F0" w14:textId="77777777">
      <w:pPr>
        <w:pStyle w:val="Textonotapie"/>
        <w:contextualSpacing/>
        <w:jc w:val="both"/>
        <w:rPr>
          <w:rFonts w:ascii="Arial" w:hAnsi="Arial" w:cs="Arial"/>
          <w:color w:val="000000"/>
          <w:sz w:val="16"/>
          <w:szCs w:val="16"/>
          <w:lang w:val="es-CO"/>
        </w:rPr>
      </w:pPr>
    </w:p>
  </w:footnote>
  <w:footnote w:id="12">
    <w:p w:rsidR="007D2DC3" w:rsidP="007D2DC3" w:rsidRDefault="007D2DC3" w14:paraId="7C0AC2ED" w14:textId="77777777">
      <w:pPr>
        <w:pStyle w:val="Textonotapie"/>
        <w:ind w:firstLine="708"/>
        <w:contextualSpacing/>
        <w:jc w:val="both"/>
        <w:rPr>
          <w:rFonts w:ascii="Arial" w:hAnsi="Arial" w:cs="Arial"/>
          <w:color w:val="000000"/>
          <w:sz w:val="16"/>
          <w:szCs w:val="16"/>
          <w:lang w:val="es-CO"/>
        </w:rPr>
      </w:pPr>
      <w:r>
        <w:rPr>
          <w:rStyle w:val="Refdenotaalpie"/>
          <w:rFonts w:ascii="Arial" w:hAnsi="Arial" w:cs="Arial"/>
          <w:color w:val="000000"/>
        </w:rPr>
        <w:footnoteRef/>
      </w:r>
      <w:r>
        <w:rPr>
          <w:rFonts w:ascii="Arial" w:hAnsi="Arial" w:cs="Arial"/>
          <w:color w:val="000000"/>
          <w:sz w:val="16"/>
          <w:szCs w:val="16"/>
        </w:rPr>
        <w:t xml:space="preserve"> Decreto 1082 de 2015”Artículo 2.2.1.1.1.4.3. Publicación del Plan Anual de Adquisiciones. La Entidad Estatal debe publicar su Plan Anual de Adquisiciones y las actualizaciones del mismo en su página web y en el SECOP, en la forma que para el efecto disponga Colombia Compra Eficiente”.</w:t>
      </w:r>
    </w:p>
  </w:footnote>
  <w:footnote w:id="13">
    <w:p w:rsidR="007D2DC3" w:rsidP="007D2DC3" w:rsidRDefault="007D2DC3" w14:paraId="43E4F3F6" w14:textId="77777777">
      <w:pPr>
        <w:pStyle w:val="Textonotapie"/>
        <w:ind w:firstLine="708"/>
        <w:contextualSpacing/>
        <w:jc w:val="both"/>
        <w:rPr>
          <w:rFonts w:ascii="Arial" w:hAnsi="Arial" w:cs="Arial"/>
          <w:sz w:val="16"/>
          <w:szCs w:val="16"/>
        </w:rPr>
      </w:pPr>
    </w:p>
    <w:p w:rsidR="007D2DC3" w:rsidP="007D2DC3" w:rsidRDefault="007D2DC3" w14:paraId="416FF391" w14:textId="77777777">
      <w:pPr>
        <w:pStyle w:val="Textonotapie"/>
        <w:ind w:firstLine="708"/>
        <w:contextualSpacing/>
        <w:jc w:val="both"/>
        <w:rPr>
          <w:rFonts w:ascii="Arial" w:hAnsi="Arial" w:cs="Arial"/>
          <w:sz w:val="16"/>
          <w:szCs w:val="16"/>
        </w:rPr>
      </w:pPr>
      <w:r>
        <w:rPr>
          <w:rStyle w:val="Refdenotaalpie"/>
          <w:rFonts w:ascii="Arial" w:hAnsi="Arial" w:cs="Arial"/>
        </w:rPr>
        <w:footnoteRef/>
      </w:r>
      <w:r>
        <w:rPr>
          <w:rFonts w:ascii="Arial" w:hAnsi="Arial" w:cs="Arial"/>
          <w:sz w:val="16"/>
          <w:szCs w:val="16"/>
        </w:rPr>
        <w:t xml:space="preserve"> Ley 80 de 1993 “Artículo 24. Del principio de transparencia. En virtud de este principio: </w:t>
      </w:r>
    </w:p>
    <w:p w:rsidR="007D2DC3" w:rsidP="007D2DC3" w:rsidRDefault="007D2DC3" w14:paraId="7EDFDB49" w14:textId="77777777">
      <w:pPr>
        <w:pStyle w:val="Textonotapie"/>
        <w:ind w:firstLine="708"/>
        <w:contextualSpacing/>
        <w:jc w:val="both"/>
        <w:rPr>
          <w:rFonts w:ascii="Arial" w:hAnsi="Arial" w:cs="Arial"/>
          <w:sz w:val="16"/>
          <w:szCs w:val="16"/>
        </w:rPr>
      </w:pPr>
      <w:r>
        <w:rPr>
          <w:rFonts w:ascii="Arial" w:hAnsi="Arial" w:cs="Arial"/>
          <w:sz w:val="16"/>
          <w:szCs w:val="16"/>
        </w:rPr>
        <w:t>[…]</w:t>
      </w:r>
    </w:p>
    <w:p w:rsidR="007D2DC3" w:rsidP="007D2DC3" w:rsidRDefault="007D2DC3" w14:paraId="6CEC8903" w14:textId="77777777">
      <w:pPr>
        <w:pStyle w:val="Textonotapie"/>
        <w:ind w:firstLine="708"/>
        <w:contextualSpacing/>
        <w:jc w:val="both"/>
        <w:rPr>
          <w:rFonts w:ascii="Arial" w:hAnsi="Arial" w:cs="Arial"/>
          <w:sz w:val="16"/>
          <w:szCs w:val="16"/>
          <w:lang w:val="es-CO"/>
        </w:rPr>
      </w:pPr>
      <w:r>
        <w:rPr>
          <w:rFonts w:ascii="Arial" w:hAnsi="Arial" w:cs="Arial"/>
          <w:sz w:val="16"/>
          <w:szCs w:val="16"/>
        </w:rPr>
        <w:t>“4o. Las autoridades expedirán a costa de aquellas personas que demuestren interés legítimo, copias de las actuaciones y propuestas recibidas, respetando la reserva de que gocen legalmente las patentes, procedimientos y privilegios”.</w:t>
      </w:r>
    </w:p>
    <w:p w:rsidR="007D2DC3" w:rsidP="007D2DC3" w:rsidRDefault="007D2DC3" w14:paraId="49511DEB" w14:textId="77777777">
      <w:pPr>
        <w:pStyle w:val="Textonotapie"/>
        <w:ind w:firstLine="708"/>
        <w:contextualSpacing/>
        <w:jc w:val="both"/>
        <w:rPr>
          <w:rFonts w:ascii="Arial" w:hAnsi="Arial" w:cs="Arial"/>
          <w:sz w:val="16"/>
          <w:szCs w:val="16"/>
          <w:lang w:val="es-CO"/>
        </w:rPr>
      </w:pPr>
      <w:r>
        <w:rPr>
          <w:rFonts w:ascii="Arial" w:hAnsi="Arial" w:cs="Arial"/>
          <w:sz w:val="16"/>
          <w:szCs w:val="16"/>
          <w:lang w:val="es-CO"/>
        </w:rPr>
        <w:t xml:space="preserve"> </w:t>
      </w:r>
    </w:p>
  </w:footnote>
  <w:footnote w:id="14">
    <w:p w:rsidR="007D2DC3" w:rsidP="007D2DC3" w:rsidRDefault="007D2DC3" w14:paraId="47F59484" w14:textId="77777777">
      <w:pPr>
        <w:pStyle w:val="Textonotapie"/>
        <w:ind w:firstLine="708"/>
        <w:contextualSpacing/>
        <w:jc w:val="both"/>
        <w:rPr>
          <w:rFonts w:ascii="Arial" w:hAnsi="Arial" w:cs="Arial"/>
          <w:sz w:val="16"/>
          <w:szCs w:val="16"/>
        </w:rPr>
      </w:pPr>
      <w:r>
        <w:rPr>
          <w:rStyle w:val="Refdenotaalpie"/>
          <w:rFonts w:ascii="Arial" w:hAnsi="Arial" w:cs="Arial"/>
        </w:rPr>
        <w:footnoteRef/>
      </w:r>
      <w:r>
        <w:rPr>
          <w:rFonts w:ascii="Arial" w:hAnsi="Arial" w:cs="Arial"/>
          <w:sz w:val="16"/>
          <w:szCs w:val="16"/>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rsidR="007D2DC3" w:rsidP="007D2DC3" w:rsidRDefault="007D2DC3" w14:paraId="334F651E" w14:textId="77777777">
      <w:pPr>
        <w:pStyle w:val="Textonotapie"/>
        <w:contextualSpacing/>
        <w:rPr>
          <w:rFonts w:ascii="Arial" w:hAnsi="Arial" w:cs="Arial"/>
          <w:sz w:val="16"/>
          <w:szCs w:val="16"/>
          <w:lang w:val="es-CO"/>
        </w:rPr>
      </w:pPr>
    </w:p>
  </w:footnote>
  <w:footnote w:id="15">
    <w:p w:rsidR="007D2DC3" w:rsidP="007D2DC3" w:rsidRDefault="007D2DC3" w14:paraId="07E70F96" w14:textId="77777777">
      <w:pPr>
        <w:pStyle w:val="Textonotapie"/>
        <w:ind w:firstLine="708"/>
        <w:contextualSpacing/>
        <w:jc w:val="both"/>
        <w:rPr>
          <w:rFonts w:ascii="Arial" w:hAnsi="Arial" w:cs="Arial"/>
          <w:sz w:val="16"/>
          <w:szCs w:val="16"/>
        </w:rPr>
      </w:pPr>
      <w:r>
        <w:rPr>
          <w:rStyle w:val="Refdenotaalpie"/>
          <w:rFonts w:ascii="Arial" w:hAnsi="Arial" w:cs="Arial"/>
        </w:rPr>
        <w:footnoteRef/>
      </w:r>
      <w:r>
        <w:rPr>
          <w:rFonts w:ascii="Arial" w:hAnsi="Arial" w:cs="Arial"/>
          <w:sz w:val="16"/>
          <w:szCs w:val="16"/>
        </w:rPr>
        <w:t xml:space="preserve"> MATALLANA CAMACHO Ernesto. Manual de Contratación de la Administración Pública. Reforma a la Ley 80 de 1993. Universidad Externado de Colombia, Cuarta edición, 2015, pp 139.</w:t>
      </w:r>
    </w:p>
    <w:p w:rsidR="007D2DC3" w:rsidP="007D2DC3" w:rsidRDefault="007D2DC3" w14:paraId="464D9F3F" w14:textId="77777777">
      <w:pPr>
        <w:pStyle w:val="Textonotapie"/>
        <w:ind w:firstLine="708"/>
        <w:contextualSpacing/>
        <w:jc w:val="both"/>
        <w:rPr>
          <w:rFonts w:ascii="Arial" w:hAnsi="Arial" w:cs="Arial"/>
          <w:sz w:val="16"/>
          <w:szCs w:val="16"/>
          <w:lang w:val="es-CO"/>
        </w:rPr>
      </w:pPr>
      <w:r>
        <w:rPr>
          <w:rFonts w:ascii="Arial" w:hAnsi="Arial" w:cs="Arial"/>
          <w:sz w:val="16"/>
          <w:szCs w:val="16"/>
        </w:rPr>
        <w:t xml:space="preserve">  </w:t>
      </w:r>
    </w:p>
  </w:footnote>
  <w:footnote w:id="16">
    <w:p w:rsidR="007D2DC3" w:rsidP="007D2DC3" w:rsidRDefault="007D2DC3" w14:paraId="2AE2FEBE" w14:textId="77777777">
      <w:pPr>
        <w:pStyle w:val="Textonotapie"/>
        <w:ind w:firstLine="708"/>
        <w:contextualSpacing/>
        <w:jc w:val="both"/>
        <w:rPr>
          <w:rFonts w:ascii="Arial" w:hAnsi="Arial" w:cs="Arial"/>
          <w:sz w:val="16"/>
          <w:szCs w:val="16"/>
        </w:rPr>
      </w:pPr>
      <w:r>
        <w:rPr>
          <w:rStyle w:val="Refdenotaalpie"/>
          <w:rFonts w:ascii="Arial" w:hAnsi="Arial" w:cs="Arial"/>
        </w:rPr>
        <w:footnoteRef/>
      </w:r>
      <w:r>
        <w:rPr>
          <w:rFonts w:ascii="Arial" w:hAnsi="Arial" w:cs="Arial"/>
          <w:sz w:val="16"/>
          <w:szCs w:val="16"/>
        </w:rPr>
        <w:t xml:space="preserve"> Ley 1437 de 2011 “Artículo 24.Informaciones y documentos reservados.Solo tendrán carácter reservado las informaciones y documentos expresamente sometidos a reserva por la Constitución Política o la ley, y en especial:  </w:t>
      </w:r>
    </w:p>
    <w:p w:rsidR="007D2DC3" w:rsidP="007D2DC3" w:rsidRDefault="007D2DC3" w14:paraId="6153841B" w14:textId="77777777">
      <w:pPr>
        <w:pStyle w:val="Textonotapie"/>
        <w:ind w:firstLine="708"/>
        <w:contextualSpacing/>
        <w:rPr>
          <w:rFonts w:ascii="Arial" w:hAnsi="Arial" w:cs="Arial"/>
          <w:sz w:val="16"/>
          <w:szCs w:val="16"/>
        </w:rPr>
      </w:pPr>
      <w:r>
        <w:rPr>
          <w:rFonts w:ascii="Arial" w:hAnsi="Arial" w:cs="Arial"/>
          <w:sz w:val="16"/>
          <w:szCs w:val="16"/>
        </w:rPr>
        <w:t xml:space="preserve">“1. Los relacionados con la defensa o seguridad nacionales.  </w:t>
      </w:r>
    </w:p>
    <w:p w:rsidR="007D2DC3" w:rsidP="007D2DC3" w:rsidRDefault="007D2DC3" w14:paraId="5BFFEBC7" w14:textId="77777777">
      <w:pPr>
        <w:pStyle w:val="Textonotapie"/>
        <w:ind w:firstLine="708"/>
        <w:contextualSpacing/>
        <w:rPr>
          <w:rFonts w:ascii="Arial" w:hAnsi="Arial" w:cs="Arial"/>
          <w:sz w:val="16"/>
          <w:szCs w:val="16"/>
        </w:rPr>
      </w:pPr>
      <w:r>
        <w:rPr>
          <w:rFonts w:ascii="Arial" w:hAnsi="Arial" w:cs="Arial"/>
          <w:sz w:val="16"/>
          <w:szCs w:val="16"/>
        </w:rPr>
        <w:t xml:space="preserve">“2. Las instrucciones en materia diplomática o sobre negociaciones reservadas.  </w:t>
      </w:r>
    </w:p>
    <w:p w:rsidR="007D2DC3" w:rsidP="007D2DC3" w:rsidRDefault="007D2DC3" w14:paraId="040527AF" w14:textId="77777777">
      <w:pPr>
        <w:pStyle w:val="Textonotapie"/>
        <w:ind w:firstLine="708"/>
        <w:contextualSpacing/>
        <w:rPr>
          <w:rFonts w:ascii="Arial" w:hAnsi="Arial" w:cs="Arial"/>
          <w:sz w:val="16"/>
          <w:szCs w:val="16"/>
        </w:rPr>
      </w:pPr>
      <w:r>
        <w:rPr>
          <w:rFonts w:ascii="Arial" w:hAnsi="Arial" w:cs="Arial"/>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rsidR="007D2DC3" w:rsidP="007D2DC3" w:rsidRDefault="007D2DC3" w14:paraId="54D017C0" w14:textId="77777777">
      <w:pPr>
        <w:pStyle w:val="Textonotapie"/>
        <w:ind w:firstLine="708"/>
        <w:contextualSpacing/>
        <w:rPr>
          <w:rFonts w:ascii="Arial" w:hAnsi="Arial" w:cs="Arial"/>
          <w:sz w:val="16"/>
          <w:szCs w:val="16"/>
        </w:rPr>
      </w:pPr>
      <w:r>
        <w:rPr>
          <w:rFonts w:ascii="Arial" w:hAnsi="Arial" w:cs="Arial"/>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rsidR="007D2DC3" w:rsidP="007D2DC3" w:rsidRDefault="007D2DC3" w14:paraId="4E2BFCE9" w14:textId="77777777">
      <w:pPr>
        <w:pStyle w:val="Textonotapie"/>
        <w:ind w:firstLine="708"/>
        <w:contextualSpacing/>
        <w:rPr>
          <w:rFonts w:ascii="Arial" w:hAnsi="Arial" w:cs="Arial"/>
          <w:sz w:val="16"/>
          <w:szCs w:val="16"/>
        </w:rPr>
      </w:pPr>
      <w:r>
        <w:rPr>
          <w:rFonts w:ascii="Arial" w:hAnsi="Arial" w:cs="Arial"/>
          <w:sz w:val="16"/>
          <w:szCs w:val="16"/>
        </w:rPr>
        <w:t xml:space="preserve">“5. Los datos referentes a la información financiera y comercial, en los términos de la Ley Estatutaria 1266 de 2008.  </w:t>
      </w:r>
    </w:p>
    <w:p w:rsidR="007D2DC3" w:rsidP="007D2DC3" w:rsidRDefault="007D2DC3" w14:paraId="08926086" w14:textId="77777777">
      <w:pPr>
        <w:pStyle w:val="Textonotapie"/>
        <w:ind w:firstLine="708"/>
        <w:contextualSpacing/>
        <w:rPr>
          <w:rFonts w:ascii="Arial" w:hAnsi="Arial" w:cs="Arial"/>
          <w:sz w:val="16"/>
          <w:szCs w:val="16"/>
        </w:rPr>
      </w:pPr>
      <w:r>
        <w:rPr>
          <w:rFonts w:ascii="Arial" w:hAnsi="Arial" w:cs="Arial"/>
          <w:sz w:val="16"/>
          <w:szCs w:val="16"/>
        </w:rPr>
        <w:t xml:space="preserve">“6. Los protegidos por el secreto comercial o industrial, así como los planes estratégicos de las empresas públicas de servicios públicos.  </w:t>
      </w:r>
    </w:p>
    <w:p w:rsidR="007D2DC3" w:rsidP="007D2DC3" w:rsidRDefault="007D2DC3" w14:paraId="728D9B0A" w14:textId="77777777">
      <w:pPr>
        <w:pStyle w:val="Textonotapie"/>
        <w:ind w:firstLine="708"/>
        <w:contextualSpacing/>
        <w:rPr>
          <w:rFonts w:ascii="Arial" w:hAnsi="Arial" w:cs="Arial"/>
          <w:sz w:val="16"/>
          <w:szCs w:val="16"/>
        </w:rPr>
      </w:pPr>
      <w:r>
        <w:rPr>
          <w:rFonts w:ascii="Arial" w:hAnsi="Arial" w:cs="Arial"/>
          <w:sz w:val="16"/>
          <w:szCs w:val="16"/>
        </w:rPr>
        <w:t xml:space="preserve">“7. Los amparados por el secreto profesional.  </w:t>
      </w:r>
    </w:p>
    <w:p w:rsidR="007D2DC3" w:rsidP="007D2DC3" w:rsidRDefault="007D2DC3" w14:paraId="3D81CED6" w14:textId="77777777">
      <w:pPr>
        <w:pStyle w:val="Textonotapie"/>
        <w:ind w:firstLine="708"/>
        <w:contextualSpacing/>
        <w:rPr>
          <w:rFonts w:ascii="Arial" w:hAnsi="Arial" w:cs="Arial"/>
          <w:sz w:val="16"/>
          <w:szCs w:val="16"/>
        </w:rPr>
      </w:pPr>
      <w:r>
        <w:rPr>
          <w:rFonts w:ascii="Arial" w:hAnsi="Arial" w:cs="Arial"/>
          <w:sz w:val="16"/>
          <w:szCs w:val="16"/>
        </w:rPr>
        <w:t xml:space="preserve">“8. Los datos genéticos humanos.  </w:t>
      </w:r>
    </w:p>
    <w:p w:rsidR="007D2DC3" w:rsidP="007D2DC3" w:rsidRDefault="007D2DC3" w14:paraId="37E8B97D" w14:textId="77777777">
      <w:pPr>
        <w:pStyle w:val="Textonotapie"/>
        <w:ind w:firstLine="708"/>
        <w:contextualSpacing/>
        <w:rPr>
          <w:rFonts w:ascii="Arial" w:hAnsi="Arial" w:cs="Arial"/>
          <w:sz w:val="16"/>
          <w:szCs w:val="16"/>
        </w:rPr>
      </w:pPr>
      <w:r>
        <w:rPr>
          <w:rFonts w:ascii="Arial" w:hAnsi="Arial" w:cs="Arial"/>
          <w:sz w:val="16"/>
          <w:szCs w:val="16"/>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rsidR="007D2DC3" w:rsidP="007D2DC3" w:rsidRDefault="007D2DC3" w14:paraId="7620D0C4" w14:textId="77777777">
      <w:pPr>
        <w:pStyle w:val="Textonotapie"/>
        <w:ind w:firstLine="708"/>
        <w:contextualSpacing/>
        <w:rPr>
          <w:rFonts w:ascii="Arial" w:hAnsi="Arial" w:cs="Arial"/>
          <w:sz w:val="16"/>
          <w:szCs w:val="16"/>
        </w:rPr>
      </w:pPr>
    </w:p>
  </w:footnote>
  <w:footnote w:id="17">
    <w:p w:rsidR="007D2DC3" w:rsidP="007D2DC3" w:rsidRDefault="007D2DC3" w14:paraId="63F5DFAB" w14:textId="77777777">
      <w:pPr>
        <w:pStyle w:val="Textonotapie"/>
        <w:ind w:firstLine="708"/>
        <w:contextualSpacing/>
        <w:jc w:val="both"/>
        <w:rPr>
          <w:rFonts w:ascii="Arial" w:hAnsi="Arial" w:cs="Arial"/>
          <w:sz w:val="16"/>
          <w:szCs w:val="16"/>
        </w:rPr>
      </w:pPr>
      <w:r>
        <w:rPr>
          <w:rStyle w:val="Refdenotaalpie"/>
          <w:rFonts w:ascii="Arial" w:hAnsi="Arial" w:cs="Arial"/>
        </w:rPr>
        <w:footnoteRef/>
      </w:r>
      <w:r>
        <w:rPr>
          <w:rFonts w:ascii="Arial" w:hAnsi="Arial" w:cs="Arial"/>
          <w:sz w:val="16"/>
          <w:szCs w:val="16"/>
        </w:rPr>
        <w:t xml:space="preserve"> Resultan relevantes las consideraciones expuestas en el concepto C- 322 del 16 de junio de 2020 –radicado No. 2202013000005088–, sobre la aplicación del artículo 36 del CPACA en torno al manejo de información reservada en cuadernos separados: “tratándose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rsidR="007D2DC3" w:rsidP="007D2DC3" w:rsidRDefault="007D2DC3" w14:paraId="6A9295AF" w14:textId="77777777">
      <w:pPr>
        <w:pStyle w:val="Textonotapie"/>
        <w:ind w:firstLine="708"/>
        <w:contextualSpacing/>
        <w:rPr>
          <w:rFonts w:ascii="Arial" w:hAnsi="Arial" w:cs="Arial"/>
          <w:sz w:val="16"/>
          <w:szCs w:val="16"/>
        </w:rPr>
      </w:pPr>
    </w:p>
  </w:footnote>
  <w:footnote w:id="18">
    <w:p w:rsidR="007D2DC3" w:rsidP="007D2DC3" w:rsidRDefault="007D2DC3" w14:paraId="1485505D" w14:textId="77777777">
      <w:pPr>
        <w:pStyle w:val="Textonotapie"/>
        <w:ind w:firstLine="708"/>
        <w:contextualSpacing/>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4170 de 2011: «Artículo 3. Funciones: La Agencia Nacional de Contratación Pública –Colombia Compra Eficiente– ejercerá las siguientes funciones:</w:t>
      </w:r>
    </w:p>
    <w:p w:rsidR="007D2DC3" w:rsidP="007D2DC3" w:rsidRDefault="007D2DC3" w14:paraId="5968C7F1" w14:textId="77777777">
      <w:pPr>
        <w:pStyle w:val="Textonotapie"/>
        <w:ind w:firstLine="708"/>
        <w:contextualSpacing/>
        <w:jc w:val="both"/>
        <w:rPr>
          <w:rFonts w:ascii="Arial" w:hAnsi="Arial" w:cs="Arial"/>
          <w:sz w:val="19"/>
          <w:szCs w:val="19"/>
        </w:rPr>
      </w:pPr>
      <w:r>
        <w:rPr>
          <w:rFonts w:ascii="Arial" w:hAnsi="Arial" w:cs="Arial"/>
          <w:sz w:val="19"/>
          <w:szCs w:val="19"/>
        </w:rPr>
        <w:t>[...]</w:t>
      </w:r>
    </w:p>
    <w:p w:rsidR="007D2DC3" w:rsidP="007D2DC3" w:rsidRDefault="007D2DC3" w14:paraId="23CB3F52" w14:textId="77777777">
      <w:pPr>
        <w:pStyle w:val="Textonotapie"/>
        <w:ind w:firstLine="708"/>
        <w:contextualSpacing/>
        <w:jc w:val="both"/>
        <w:rPr>
          <w:rFonts w:ascii="Arial" w:hAnsi="Arial" w:cs="Arial"/>
          <w:sz w:val="19"/>
          <w:szCs w:val="19"/>
        </w:rPr>
      </w:pPr>
    </w:p>
    <w:p w:rsidR="007D2DC3" w:rsidP="007D2DC3" w:rsidRDefault="007D2DC3" w14:paraId="4748ED4D" w14:textId="77777777">
      <w:pPr>
        <w:pStyle w:val="Textonotapie"/>
        <w:ind w:firstLine="708"/>
        <w:contextualSpacing/>
        <w:jc w:val="both"/>
        <w:rPr>
          <w:rFonts w:ascii="Arial" w:hAnsi="Arial" w:cs="Arial"/>
          <w:sz w:val="19"/>
          <w:szCs w:val="19"/>
        </w:rPr>
      </w:pPr>
      <w:r>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rsidR="007D2DC3" w:rsidP="007D2DC3" w:rsidRDefault="007D2DC3" w14:paraId="53C48BDF" w14:textId="77777777">
      <w:pPr>
        <w:pStyle w:val="Textonotapie"/>
        <w:ind w:firstLine="708"/>
        <w:contextualSpacing/>
        <w:jc w:val="both"/>
        <w:rPr>
          <w:rFonts w:ascii="Arial" w:hAnsi="Arial" w:cs="Arial"/>
          <w:sz w:val="19"/>
          <w:szCs w:val="19"/>
        </w:rPr>
      </w:pPr>
      <w:r>
        <w:rPr>
          <w:rFonts w:ascii="Arial" w:hAnsi="Arial" w:cs="Arial"/>
          <w:sz w:val="19"/>
          <w:szCs w:val="19"/>
        </w:rPr>
        <w:t>[...]».</w:t>
      </w:r>
    </w:p>
  </w:footnote>
  <w:footnote w:id="19">
    <w:p w:rsidR="007D2DC3" w:rsidP="007D2DC3" w:rsidRDefault="007D2DC3" w14:paraId="3636CF3E" w14:textId="77777777">
      <w:pPr>
        <w:pStyle w:val="Textonotapie"/>
        <w:ind w:firstLine="708"/>
        <w:contextualSpacing/>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documento se puede consultar en el siguiente link: </w:t>
      </w:r>
      <w:hyperlink w:history="1" r:id="rId1">
        <w:r>
          <w:rPr>
            <w:rStyle w:val="Hipervnculo"/>
            <w:rFonts w:ascii="Arial" w:hAnsi="Arial" w:cs="Arial"/>
            <w:sz w:val="19"/>
            <w:szCs w:val="19"/>
          </w:rPr>
          <w:t>https://www.colombiacompra.gov.co/sites/cce_public/files/cce_documentos/concepto_firma_y_contrato_electronico_0.pdf</w:t>
        </w:r>
      </w:hyperlink>
      <w:r>
        <w:rPr>
          <w:rFonts w:ascii="Arial" w:hAnsi="Arial" w:cs="Arial"/>
          <w:sz w:val="19"/>
          <w:szCs w:val="19"/>
        </w:rPr>
        <w:t>. Consultado el 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F3A32" w:rsidRDefault="00EA591E" w14:paraId="2A88EC8E" w14:textId="77777777">
    <w:pPr>
      <w:pStyle w:val="Encabezado"/>
    </w:pPr>
    <w:r>
      <w:rPr>
        <w:noProof/>
        <w:lang w:val="en-US"/>
      </w:rPr>
      <w:drawing>
        <wp:anchor distT="0" distB="0" distL="114300" distR="114300" simplePos="0" relativeHeight="251659264" behindDoc="1" locked="0" layoutInCell="1" allowOverlap="1" wp14:anchorId="4E995756" wp14:editId="6BB8669D">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val="en-US"/>
      </w:rPr>
      <w:drawing>
        <wp:anchor distT="0" distB="0" distL="114300" distR="114300" simplePos="0" relativeHeight="251663360" behindDoc="0" locked="0" layoutInCell="1" allowOverlap="1" wp14:anchorId="1C459637" wp14:editId="34A07527">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val="en-US"/>
      </w:rPr>
      <w:drawing>
        <wp:anchor distT="0" distB="0" distL="114300" distR="114300" simplePos="0" relativeHeight="251661312" behindDoc="0" locked="0" layoutInCell="1" allowOverlap="1" wp14:anchorId="0ABB235A" wp14:editId="4847E06D">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0879A04D" wp14:editId="3D075043">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AF3A32" w:rsidRDefault="00AF3A32" w14:paraId="61E7CB11" w14:textId="77777777">
    <w:pPr>
      <w:pStyle w:val="Encabezado"/>
    </w:pPr>
  </w:p>
  <w:p w:rsidR="00AF3A32" w:rsidRDefault="00AF3A32" w14:paraId="14662FF5" w14:textId="77777777">
    <w:pPr>
      <w:pStyle w:val="Encabezado"/>
    </w:pPr>
  </w:p>
  <w:p w:rsidRPr="004A305D" w:rsidR="00AF3A32" w:rsidP="004A305D" w:rsidRDefault="00EA591E" w14:paraId="2F4A893F"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AF3A32" w:rsidP="004A305D" w:rsidRDefault="00EA591E" w14:paraId="597FF50D" w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AF3A32" w:rsidP="004A305D" w:rsidRDefault="00EA591E" w14:paraId="1CE8D249" w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AF3A32" w:rsidRDefault="00AF3A32" w14:paraId="2AD7F6D7" w14:textId="77777777">
    <w:pPr>
      <w:pStyle w:val="Encabezad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1E"/>
    <w:rsid w:val="00002322"/>
    <w:rsid w:val="000355BA"/>
    <w:rsid w:val="000474DE"/>
    <w:rsid w:val="000742B7"/>
    <w:rsid w:val="00076DF2"/>
    <w:rsid w:val="00085420"/>
    <w:rsid w:val="000B5847"/>
    <w:rsid w:val="00101877"/>
    <w:rsid w:val="001623C4"/>
    <w:rsid w:val="00175E14"/>
    <w:rsid w:val="00192AF1"/>
    <w:rsid w:val="001F3000"/>
    <w:rsid w:val="00207181"/>
    <w:rsid w:val="00235739"/>
    <w:rsid w:val="00246691"/>
    <w:rsid w:val="002E0147"/>
    <w:rsid w:val="00352A22"/>
    <w:rsid w:val="003568D9"/>
    <w:rsid w:val="003645FE"/>
    <w:rsid w:val="003A5F9F"/>
    <w:rsid w:val="003B5B68"/>
    <w:rsid w:val="003B6AC5"/>
    <w:rsid w:val="003D3FBF"/>
    <w:rsid w:val="003E44D2"/>
    <w:rsid w:val="00435CFF"/>
    <w:rsid w:val="0045768F"/>
    <w:rsid w:val="004A4417"/>
    <w:rsid w:val="004D1B95"/>
    <w:rsid w:val="004D1F52"/>
    <w:rsid w:val="00530446"/>
    <w:rsid w:val="005B336D"/>
    <w:rsid w:val="005B4E62"/>
    <w:rsid w:val="005D0331"/>
    <w:rsid w:val="005D2060"/>
    <w:rsid w:val="00616FC9"/>
    <w:rsid w:val="006263BA"/>
    <w:rsid w:val="00652835"/>
    <w:rsid w:val="0065599B"/>
    <w:rsid w:val="006930D6"/>
    <w:rsid w:val="006A5639"/>
    <w:rsid w:val="006C28CA"/>
    <w:rsid w:val="006D2EC0"/>
    <w:rsid w:val="00752DD3"/>
    <w:rsid w:val="007553C3"/>
    <w:rsid w:val="00767B5C"/>
    <w:rsid w:val="007A086A"/>
    <w:rsid w:val="007D2DC3"/>
    <w:rsid w:val="008306A0"/>
    <w:rsid w:val="0085391D"/>
    <w:rsid w:val="008600EE"/>
    <w:rsid w:val="00872204"/>
    <w:rsid w:val="00886752"/>
    <w:rsid w:val="008D4FAC"/>
    <w:rsid w:val="008D6507"/>
    <w:rsid w:val="008E7F28"/>
    <w:rsid w:val="00914724"/>
    <w:rsid w:val="009349A0"/>
    <w:rsid w:val="00941CFA"/>
    <w:rsid w:val="00982272"/>
    <w:rsid w:val="009D327A"/>
    <w:rsid w:val="009E1E4D"/>
    <w:rsid w:val="00A33CD2"/>
    <w:rsid w:val="00A62886"/>
    <w:rsid w:val="00A97DCD"/>
    <w:rsid w:val="00AC4031"/>
    <w:rsid w:val="00AF3A32"/>
    <w:rsid w:val="00B13378"/>
    <w:rsid w:val="00B20C65"/>
    <w:rsid w:val="00B80E85"/>
    <w:rsid w:val="00B82761"/>
    <w:rsid w:val="00BD4CFA"/>
    <w:rsid w:val="00BD6BCD"/>
    <w:rsid w:val="00BF6C21"/>
    <w:rsid w:val="00C57154"/>
    <w:rsid w:val="00C71219"/>
    <w:rsid w:val="00C729B6"/>
    <w:rsid w:val="00CB2A17"/>
    <w:rsid w:val="00CF19F2"/>
    <w:rsid w:val="00CF3ADB"/>
    <w:rsid w:val="00D12E7A"/>
    <w:rsid w:val="00D26879"/>
    <w:rsid w:val="00D42756"/>
    <w:rsid w:val="00DD46D4"/>
    <w:rsid w:val="00DD5C22"/>
    <w:rsid w:val="00DD5D4F"/>
    <w:rsid w:val="00E166A7"/>
    <w:rsid w:val="00E318B3"/>
    <w:rsid w:val="00EA591E"/>
    <w:rsid w:val="00EB1CC5"/>
    <w:rsid w:val="00EE1C8B"/>
    <w:rsid w:val="00EF22D8"/>
    <w:rsid w:val="00F57151"/>
    <w:rsid w:val="00FB0210"/>
    <w:rsid w:val="00FC528B"/>
    <w:rsid w:val="00FF4243"/>
    <w:rsid w:val="346275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E08A"/>
  <w15:chartTrackingRefBased/>
  <w15:docId w15:val="{0C5B1151-E074-4783-9535-63684B872D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591E"/>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A591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A591E"/>
    <w:rPr>
      <w:kern w:val="0"/>
      <w14:ligatures w14:val="none"/>
    </w:rPr>
  </w:style>
  <w:style w:type="paragraph" w:styleId="Piedepgina">
    <w:name w:val="footer"/>
    <w:basedOn w:val="Normal"/>
    <w:link w:val="PiedepginaCar"/>
    <w:uiPriority w:val="99"/>
    <w:unhideWhenUsed/>
    <w:rsid w:val="00EA591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A591E"/>
    <w:rPr>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A591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EA591E"/>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EA591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EA591E"/>
    <w:rPr>
      <w:vertAlign w:val="superscript"/>
    </w:rPr>
  </w:style>
  <w:style w:type="table" w:styleId="Tablaconcuadrcula">
    <w:name w:val="Table Grid"/>
    <w:basedOn w:val="Tablanormal"/>
    <w:uiPriority w:val="39"/>
    <w:rsid w:val="00EA591E"/>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EA591E"/>
    <w:rPr>
      <w:color w:val="0000FF"/>
      <w:u w:val="single"/>
    </w:rPr>
  </w:style>
  <w:style w:type="paragraph" w:styleId="Appelnotedebasde" w:customStyle="1">
    <w:name w:val="Appel note de bas de..."/>
    <w:basedOn w:val="Normal"/>
    <w:link w:val="Refdenotaalpie"/>
    <w:uiPriority w:val="99"/>
    <w:rsid w:val="00EA591E"/>
    <w:pPr>
      <w:spacing w:line="240" w:lineRule="exact"/>
    </w:pPr>
    <w:rPr>
      <w:kern w:val="2"/>
      <w:vertAlign w:val="superscript"/>
      <w14:ligatures w14:val="standardContextual"/>
    </w:rPr>
  </w:style>
  <w:style w:type="table" w:styleId="Tablaconcuadrcula1" w:customStyle="1">
    <w:name w:val="Tabla con cuadrícula1"/>
    <w:basedOn w:val="Tablanormal"/>
    <w:next w:val="Tablaconcuadrcula"/>
    <w:uiPriority w:val="39"/>
    <w:rsid w:val="00EA591E"/>
    <w:pPr>
      <w:spacing w:after="0" w:line="240" w:lineRule="auto"/>
      <w:jc w:val="both"/>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59"/>
    <w:rsid w:val="00EA591E"/>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link w:val="NormalWebCar"/>
    <w:uiPriority w:val="99"/>
    <w:unhideWhenUsed/>
    <w:rsid w:val="00EA591E"/>
    <w:rPr>
      <w:rFonts w:ascii="Times New Roman" w:hAnsi="Times New Roman" w:cs="Times New Roman"/>
      <w:sz w:val="24"/>
      <w:szCs w:val="24"/>
    </w:rPr>
  </w:style>
  <w:style w:type="character" w:styleId="NormalWebCar" w:customStyle="1">
    <w:name w:val="Normal (Web) Car"/>
    <w:link w:val="NormalWeb"/>
    <w:uiPriority w:val="99"/>
    <w:rsid w:val="00EA591E"/>
    <w:rPr>
      <w:rFonts w:ascii="Times New Roman" w:hAnsi="Times New Roman" w:cs="Times New Roman"/>
      <w:kern w:val="0"/>
      <w:sz w:val="24"/>
      <w:szCs w:val="24"/>
      <w14:ligatures w14:val="none"/>
    </w:rPr>
  </w:style>
  <w:style w:type="character" w:styleId="UnresolvedMention" w:customStyle="1">
    <w:name w:val="Unresolved Mention"/>
    <w:basedOn w:val="Fuentedeprrafopredeter"/>
    <w:uiPriority w:val="99"/>
    <w:semiHidden/>
    <w:unhideWhenUsed/>
    <w:rsid w:val="00AC4031"/>
    <w:rPr>
      <w:color w:val="605E5C"/>
      <w:shd w:val="clear" w:color="auto" w:fill="E1DFDD"/>
    </w:rPr>
  </w:style>
  <w:style w:type="character" w:styleId="normaltextrun" w:customStyle="1">
    <w:name w:val="normaltextrun"/>
    <w:basedOn w:val="Fuentedeprrafopredeter"/>
    <w:rsid w:val="005B4E62"/>
  </w:style>
  <w:style w:type="character" w:styleId="eop" w:customStyle="1">
    <w:name w:val="eop"/>
    <w:basedOn w:val="Fuentedeprrafopredeter"/>
    <w:rsid w:val="00D42756"/>
  </w:style>
  <w:style w:type="character" w:styleId="Textoennegrita">
    <w:name w:val="Strong"/>
    <w:basedOn w:val="Fuentedeprrafopredeter"/>
    <w:uiPriority w:val="22"/>
    <w:qFormat/>
    <w:rsid w:val="00EF22D8"/>
    <w:rPr>
      <w:b/>
      <w:bCs/>
    </w:rPr>
  </w:style>
  <w:style w:type="character" w:styleId="Hipervnculovisitado">
    <w:name w:val="FollowedHyperlink"/>
    <w:basedOn w:val="Fuentedeprrafopredeter"/>
    <w:uiPriority w:val="99"/>
    <w:semiHidden/>
    <w:unhideWhenUsed/>
    <w:rsid w:val="00192A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colombiacompra.gov.co/secop/que-es-el-secop-ii"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os/concepto_firma_y_contrato_electronico_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0D69D-0ED5-43C2-8B65-A3682F609F8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729AF96-1C01-48EB-8B78-3878991F5D18}">
  <ds:schemaRefs>
    <ds:schemaRef ds:uri="http://schemas.microsoft.com/sharepoint/v3/contenttype/forms"/>
  </ds:schemaRefs>
</ds:datastoreItem>
</file>

<file path=customXml/itemProps3.xml><?xml version="1.0" encoding="utf-8"?>
<ds:datastoreItem xmlns:ds="http://schemas.openxmlformats.org/officeDocument/2006/customXml" ds:itemID="{8CBB828D-885C-40AF-844B-FAFB134BA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Nina María Padrón</cp:lastModifiedBy>
  <cp:revision>6</cp:revision>
  <dcterms:created xsi:type="dcterms:W3CDTF">2023-09-20T18:08:00Z</dcterms:created>
  <dcterms:modified xsi:type="dcterms:W3CDTF">2023-09-21T17:13:45Z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