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DF94" w14:textId="77777777" w:rsidR="00946A86" w:rsidRDefault="00946A86" w:rsidP="00E245AB">
      <w:pPr>
        <w:spacing w:after="0"/>
        <w:rPr>
          <w:rFonts w:ascii="Century Gothic" w:hAnsi="Century Gothic"/>
        </w:rPr>
      </w:pPr>
      <w:bookmarkStart w:id="0" w:name="_Hlk143780582"/>
    </w:p>
    <w:p w14:paraId="2CE728B0" w14:textId="77777777" w:rsidR="00946A86" w:rsidRDefault="00946A86" w:rsidP="00E245AB">
      <w:pPr>
        <w:spacing w:after="0"/>
        <w:rPr>
          <w:rFonts w:ascii="Century Gothic" w:hAnsi="Century Gothic"/>
        </w:rPr>
      </w:pPr>
    </w:p>
    <w:p w14:paraId="272690B5" w14:textId="77777777" w:rsidR="00946A86" w:rsidRPr="004D5FAE" w:rsidRDefault="00946A86" w:rsidP="00946A86">
      <w:pPr>
        <w:spacing w:after="0" w:line="240" w:lineRule="auto"/>
        <w:rPr>
          <w:rFonts w:ascii="Century Gothic" w:eastAsia="Calibri" w:hAnsi="Century Gothic" w:cs="Arial"/>
          <w:b/>
          <w:lang w:val="es-ES_tradnl" w:eastAsia="es-ES_tradnl"/>
        </w:rPr>
      </w:pPr>
      <w:r w:rsidRPr="004D5FAE">
        <w:rPr>
          <w:rFonts w:ascii="Century Gothic" w:eastAsia="Calibri" w:hAnsi="Century Gothic" w:cs="Arial"/>
          <w:b/>
          <w:lang w:val="es-ES_tradnl" w:eastAsia="es-ES_tradnl"/>
        </w:rPr>
        <w:t>DECRETO 092 DE 2017 – Finalidad – Clases de contratos</w:t>
      </w:r>
    </w:p>
    <w:p w14:paraId="0D8A3212" w14:textId="77777777" w:rsidR="00946A86" w:rsidRPr="004D5FAE" w:rsidRDefault="00946A86" w:rsidP="00946A86">
      <w:pPr>
        <w:spacing w:after="0" w:line="240" w:lineRule="auto"/>
        <w:rPr>
          <w:rFonts w:ascii="Century Gothic" w:eastAsia="Geomanist Light" w:hAnsi="Century Gothic" w:cs="Arial"/>
          <w:color w:val="000000" w:themeColor="text1"/>
          <w:sz w:val="20"/>
          <w:szCs w:val="20"/>
          <w:lang w:val="es-MX"/>
        </w:rPr>
      </w:pPr>
    </w:p>
    <w:p w14:paraId="09AF8681"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r w:rsidRPr="004D5FAE">
        <w:rPr>
          <w:rFonts w:ascii="Century Gothic" w:eastAsia="Calibri" w:hAnsi="Century Gothic" w:cs="Arial"/>
          <w:bCs/>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2DC7AB8D" w14:textId="77777777" w:rsidR="00946A86" w:rsidRPr="004D5FAE" w:rsidRDefault="00946A86" w:rsidP="00946A86">
      <w:pPr>
        <w:spacing w:after="0" w:line="240" w:lineRule="auto"/>
        <w:jc w:val="both"/>
        <w:rPr>
          <w:rFonts w:ascii="Century Gothic" w:eastAsia="Calibri" w:hAnsi="Century Gothic" w:cs="Arial"/>
          <w:sz w:val="20"/>
          <w:szCs w:val="20"/>
          <w:lang w:val="es-ES"/>
        </w:rPr>
      </w:pPr>
      <w:r w:rsidRPr="5B755EA3">
        <w:rPr>
          <w:rFonts w:ascii="Century Gothic" w:eastAsia="Calibri" w:hAnsi="Century Gothic" w:cs="Arial"/>
          <w:sz w:val="20"/>
          <w:szCs w:val="20"/>
          <w:lang w:val="es-ES"/>
        </w:rPr>
        <w:t xml:space="preserve"> </w:t>
      </w:r>
    </w:p>
    <w:p w14:paraId="600D0BE6" w14:textId="77777777" w:rsidR="00946A86" w:rsidRPr="004D5FAE" w:rsidRDefault="00946A86" w:rsidP="00946A86">
      <w:pPr>
        <w:spacing w:after="0" w:line="240" w:lineRule="auto"/>
        <w:jc w:val="both"/>
        <w:rPr>
          <w:rFonts w:ascii="Century Gothic" w:eastAsia="Calibri" w:hAnsi="Century Gothic" w:cs="Arial"/>
          <w:b/>
          <w:lang w:val="es-ES_tradnl" w:eastAsia="es-ES_tradnl"/>
        </w:rPr>
      </w:pPr>
      <w:r w:rsidRPr="004D5FAE">
        <w:rPr>
          <w:rFonts w:ascii="Century Gothic" w:eastAsia="Calibri" w:hAnsi="Century Gothic" w:cs="Arial"/>
          <w:b/>
          <w:lang w:val="es-ES_tradnl" w:eastAsia="es-ES_tradnl"/>
        </w:rPr>
        <w:t>CONTRATACIÓN CON ESAL – Contrato de colaboración – Objeto – Alcance</w:t>
      </w:r>
    </w:p>
    <w:p w14:paraId="6F8E61ED"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p>
    <w:p w14:paraId="444FA61A"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r w:rsidRPr="004D5FAE">
        <w:rPr>
          <w:rFonts w:ascii="Century Gothic" w:eastAsia="Calibri" w:hAnsi="Century Gothic" w:cs="Arial"/>
          <w:bCs/>
          <w:sz w:val="20"/>
          <w:szCs w:val="20"/>
          <w:lang w:val="es-ES_tradnl"/>
        </w:rPr>
        <w:t xml:space="preserve">Los </w:t>
      </w:r>
      <w:r w:rsidRPr="004D5FAE">
        <w:rPr>
          <w:rFonts w:ascii="Century Gothic" w:eastAsia="Calibri" w:hAnsi="Century Gothic" w:cs="Arial"/>
          <w:bCs/>
          <w:i/>
          <w:sz w:val="20"/>
          <w:szCs w:val="20"/>
          <w:lang w:val="es-ES_tradnl"/>
        </w:rPr>
        <w:t>contratos del artículo 355 de la Constitución Política</w:t>
      </w:r>
      <w:r w:rsidRPr="004D5FAE">
        <w:rPr>
          <w:rFonts w:ascii="Century Gothic" w:eastAsia="Calibri" w:hAnsi="Century Gothic" w:cs="Arial"/>
          <w:bCs/>
          <w:sz w:val="20"/>
          <w:szCs w:val="20"/>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3EA40797"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p>
    <w:p w14:paraId="35C40505" w14:textId="77777777" w:rsidR="00946A86" w:rsidRPr="004D5FAE" w:rsidRDefault="00946A86" w:rsidP="00946A86">
      <w:pPr>
        <w:spacing w:after="0" w:line="240" w:lineRule="auto"/>
        <w:jc w:val="both"/>
        <w:rPr>
          <w:rFonts w:ascii="Century Gothic" w:eastAsia="Calibri" w:hAnsi="Century Gothic" w:cs="Arial"/>
          <w:b/>
          <w:lang w:val="es-ES_tradnl" w:eastAsia="es-ES_tradnl"/>
        </w:rPr>
      </w:pPr>
      <w:r w:rsidRPr="004D5FAE">
        <w:rPr>
          <w:rFonts w:ascii="Century Gothic" w:eastAsia="Calibri" w:hAnsi="Century Gothic" w:cs="Arial"/>
          <w:b/>
          <w:lang w:val="es-ES_tradnl" w:eastAsia="es-ES_tradnl"/>
        </w:rPr>
        <w:t>CONTRATACIÓN CON ESAL – Contrato de asociación – Objeto – Alcance</w:t>
      </w:r>
    </w:p>
    <w:p w14:paraId="3C017080"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p>
    <w:p w14:paraId="1E45B69E"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r w:rsidRPr="004D5FAE">
        <w:rPr>
          <w:rFonts w:ascii="Century Gothic" w:eastAsia="Calibri" w:hAnsi="Century Gothic" w:cs="Arial"/>
          <w:bCs/>
          <w:sz w:val="20"/>
          <w:szCs w:val="20"/>
          <w:lang w:val="es-ES_tradnl"/>
        </w:rPr>
        <w:t xml:space="preserve">De otro lado, los </w:t>
      </w:r>
      <w:r w:rsidRPr="004D5FAE">
        <w:rPr>
          <w:rFonts w:ascii="Century Gothic" w:eastAsia="Calibri" w:hAnsi="Century Gothic" w:cs="Arial"/>
          <w:bCs/>
          <w:i/>
          <w:sz w:val="20"/>
          <w:szCs w:val="20"/>
          <w:lang w:val="es-ES_tradnl"/>
        </w:rPr>
        <w:t>convenios de asociación</w:t>
      </w:r>
      <w:r w:rsidRPr="004D5FAE">
        <w:rPr>
          <w:rFonts w:ascii="Century Gothic" w:eastAsia="Calibri" w:hAnsi="Century Gothic" w:cs="Arial"/>
          <w:bCs/>
          <w:sz w:val="20"/>
          <w:szCs w:val="20"/>
          <w:lang w:val="es-ES_tradnl"/>
        </w:rPr>
        <w:t xml:space="preserve"> “[t]</w:t>
      </w:r>
      <w:proofErr w:type="spellStart"/>
      <w:r w:rsidRPr="004D5FAE">
        <w:rPr>
          <w:rFonts w:ascii="Century Gothic" w:eastAsia="Calibri" w:hAnsi="Century Gothic" w:cs="Arial"/>
          <w:bCs/>
          <w:sz w:val="20"/>
          <w:szCs w:val="20"/>
          <w:lang w:val="es-ES_tradnl"/>
        </w:rPr>
        <w:t>ienen</w:t>
      </w:r>
      <w:proofErr w:type="spellEnd"/>
      <w:r w:rsidRPr="004D5FAE">
        <w:rPr>
          <w:rFonts w:ascii="Century Gothic" w:eastAsia="Calibri" w:hAnsi="Century Gothic" w:cs="Arial"/>
          <w:bCs/>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4D5FAE">
        <w:rPr>
          <w:rFonts w:ascii="Century Gothic" w:eastAsia="Calibri" w:hAnsi="Century Gothic" w:cs="Arial"/>
          <w:bCs/>
          <w:sz w:val="20"/>
          <w:szCs w:val="20"/>
          <w:lang w:val="es-ES_tradnl"/>
        </w:rPr>
        <w:t>y</w:t>
      </w:r>
      <w:proofErr w:type="gramEnd"/>
      <w:r w:rsidRPr="004D5FAE">
        <w:rPr>
          <w:rFonts w:ascii="Century Gothic" w:eastAsia="Calibri" w:hAnsi="Century Gothic" w:cs="Arial"/>
          <w:bCs/>
          <w:sz w:val="20"/>
          <w:szCs w:val="20"/>
          <w:lang w:val="es-ES_tradnl"/>
        </w:rPr>
        <w:t xml:space="preserve"> por tanto, la entidad no instruye al contratista para desarrollar los programas o actividades previstas, sino que se asocia con él para el cumplimiento de objetivos comunes.</w:t>
      </w:r>
    </w:p>
    <w:p w14:paraId="737B9640" w14:textId="77777777" w:rsidR="00946A86" w:rsidRPr="004D5FAE" w:rsidRDefault="00946A86" w:rsidP="00946A86">
      <w:pPr>
        <w:spacing w:after="0" w:line="240" w:lineRule="auto"/>
        <w:jc w:val="both"/>
        <w:rPr>
          <w:rFonts w:ascii="Century Gothic" w:eastAsia="Calibri" w:hAnsi="Century Gothic" w:cs="Arial"/>
          <w:bCs/>
          <w:sz w:val="20"/>
          <w:szCs w:val="20"/>
          <w:lang w:val="es-ES_tradnl"/>
        </w:rPr>
      </w:pPr>
    </w:p>
    <w:p w14:paraId="674000B2" w14:textId="77777777" w:rsidR="00946A86" w:rsidRPr="004D5FAE" w:rsidRDefault="00946A86" w:rsidP="00946A86">
      <w:pPr>
        <w:spacing w:after="0" w:line="240" w:lineRule="auto"/>
        <w:jc w:val="both"/>
        <w:rPr>
          <w:rFonts w:ascii="Century Gothic" w:eastAsia="Calibri" w:hAnsi="Century Gothic" w:cs="Arial"/>
          <w:b/>
          <w:lang w:val="es-ES_tradnl" w:eastAsia="es-ES_tradnl"/>
        </w:rPr>
      </w:pPr>
      <w:r w:rsidRPr="004D5FAE">
        <w:rPr>
          <w:rFonts w:ascii="Century Gothic" w:eastAsia="Calibri" w:hAnsi="Century Gothic" w:cs="Arial"/>
          <w:b/>
          <w:lang w:val="es-ES_tradnl" w:eastAsia="es-ES_tradnl"/>
        </w:rPr>
        <w:t>ARTÍCULO 96 DE LA LEY 489 DE 1998 – ESAL</w:t>
      </w:r>
    </w:p>
    <w:p w14:paraId="1D6798CA" w14:textId="77777777" w:rsidR="00946A86" w:rsidRPr="004D5FAE" w:rsidRDefault="00946A86" w:rsidP="00946A86">
      <w:pPr>
        <w:spacing w:after="0" w:line="240" w:lineRule="auto"/>
        <w:jc w:val="both"/>
        <w:rPr>
          <w:rFonts w:ascii="Century Gothic" w:eastAsia="Calibri" w:hAnsi="Century Gothic" w:cs="Arial"/>
          <w:bCs/>
          <w:sz w:val="20"/>
          <w:szCs w:val="20"/>
          <w:lang w:val="es-ES_tradnl" w:eastAsia="es-ES_tradnl"/>
        </w:rPr>
      </w:pPr>
    </w:p>
    <w:p w14:paraId="2A5D34FB" w14:textId="77777777" w:rsidR="00946A86" w:rsidRPr="004D5FAE" w:rsidRDefault="00946A86" w:rsidP="00946A86">
      <w:pPr>
        <w:spacing w:after="0" w:line="240" w:lineRule="auto"/>
        <w:jc w:val="both"/>
        <w:rPr>
          <w:rFonts w:ascii="Century Gothic" w:hAnsi="Century Gothic" w:cs="Arial"/>
          <w:color w:val="000000" w:themeColor="text1"/>
          <w:sz w:val="20"/>
          <w:szCs w:val="20"/>
        </w:rPr>
      </w:pPr>
      <w:r w:rsidRPr="004D5FAE">
        <w:rPr>
          <w:rFonts w:ascii="Century Gothic" w:hAnsi="Century Gothic" w:cs="Arial"/>
          <w:color w:val="000000" w:themeColor="text1"/>
          <w:sz w:val="20"/>
          <w:szCs w:val="20"/>
        </w:rPr>
        <w:lastRenderedPageBreak/>
        <w:t xml:space="preserve">Aunque el artículo 96 de la Ley 489 de 1998 se refiere genéricamente a la noción “personas jurídicas particulares”, lo cierto es que los </w:t>
      </w:r>
      <w:r w:rsidRPr="004D5FAE">
        <w:rPr>
          <w:rFonts w:ascii="Century Gothic" w:hAnsi="Century Gothic" w:cs="Arial"/>
          <w:i/>
          <w:iCs/>
          <w:color w:val="000000" w:themeColor="text1"/>
          <w:sz w:val="20"/>
          <w:szCs w:val="20"/>
        </w:rPr>
        <w:t xml:space="preserve">convenios de asociación </w:t>
      </w:r>
      <w:r w:rsidRPr="004D5FAE">
        <w:rPr>
          <w:rFonts w:ascii="Century Gothic" w:hAnsi="Century Gothic" w:cs="Arial"/>
          <w:color w:val="000000" w:themeColor="text1"/>
          <w:sz w:val="20"/>
          <w:szCs w:val="20"/>
        </w:rPr>
        <w:t xml:space="preserve">que regula esa norma únicamente pueden celebrarse con ESAL. Esto es así porque el inciso segundo de la misma disposición establece que tales convenios “se celebrarán de conformidad con lo dispuesto en el artículo 355 de la Constitución Política”, norma que le permite al “Gobierno, en los niveles nacional, departamental, distrital y municipal podrá, con recursos de los respectivos presupuestos, celebrar contratos </w:t>
      </w:r>
      <w:r w:rsidRPr="004D5FAE">
        <w:rPr>
          <w:rFonts w:ascii="Century Gothic" w:hAnsi="Century Gothic" w:cs="Arial"/>
          <w:i/>
          <w:iCs/>
          <w:color w:val="000000" w:themeColor="text1"/>
          <w:sz w:val="20"/>
          <w:szCs w:val="20"/>
        </w:rPr>
        <w:t>con entidades privadas sin ánimo de lucro y de reconocida idoneidad</w:t>
      </w:r>
      <w:r w:rsidRPr="004D5FAE">
        <w:rPr>
          <w:rFonts w:ascii="Century Gothic" w:hAnsi="Century Gothic" w:cs="Arial"/>
          <w:color w:val="000000" w:themeColor="text1"/>
          <w:sz w:val="20"/>
          <w:szCs w:val="20"/>
        </w:rPr>
        <w:t xml:space="preserve"> con el fin de impulsar programas y actividades de interés público acordes con el Plan Nacional y los planes seccionales de Desarrollo” (Énfasis fuera de texto). Es de resaltar que el artículo 355 de la Constitución fue desarrollado por el Decreto 92 de 2017, cuyo artículo 5 señala concretamente que los negocios jurídicos se deben celebrar únicamente con las ESAL.</w:t>
      </w:r>
    </w:p>
    <w:p w14:paraId="54C6527B" w14:textId="77777777" w:rsidR="00946A86" w:rsidRPr="004D5FAE" w:rsidRDefault="00946A86" w:rsidP="00946A86">
      <w:pPr>
        <w:spacing w:after="0" w:line="240" w:lineRule="auto"/>
        <w:jc w:val="both"/>
        <w:rPr>
          <w:rFonts w:ascii="Century Gothic" w:hAnsi="Century Gothic" w:cs="Arial"/>
          <w:color w:val="000000" w:themeColor="text1"/>
          <w:sz w:val="20"/>
          <w:szCs w:val="20"/>
        </w:rPr>
      </w:pPr>
    </w:p>
    <w:p w14:paraId="57571598" w14:textId="77777777" w:rsidR="00946A86" w:rsidRPr="004D5FAE" w:rsidRDefault="00946A86" w:rsidP="00946A86">
      <w:pPr>
        <w:spacing w:after="0" w:line="240" w:lineRule="auto"/>
        <w:jc w:val="both"/>
        <w:rPr>
          <w:rFonts w:ascii="Century Gothic" w:eastAsia="Calibri" w:hAnsi="Century Gothic" w:cs="Arial"/>
          <w:b/>
          <w:lang w:val="es-ES_tradnl" w:eastAsia="es-ES_tradnl"/>
        </w:rPr>
      </w:pPr>
      <w:r w:rsidRPr="004D5FAE">
        <w:rPr>
          <w:rFonts w:ascii="Century Gothic" w:eastAsia="Calibri" w:hAnsi="Century Gothic" w:cs="Arial"/>
          <w:b/>
          <w:lang w:val="es-ES_tradnl" w:eastAsia="es-ES_tradnl"/>
        </w:rPr>
        <w:t>EMPRESAS DE SERVICIOS PÚBLICOS DOMICILIARIOS – Naturaleza jurídica</w:t>
      </w:r>
    </w:p>
    <w:p w14:paraId="42E44B0D" w14:textId="77777777" w:rsidR="00946A86" w:rsidRPr="004D5FAE" w:rsidRDefault="00946A86" w:rsidP="00946A86">
      <w:pPr>
        <w:spacing w:after="0" w:line="240" w:lineRule="auto"/>
        <w:jc w:val="both"/>
        <w:rPr>
          <w:rFonts w:ascii="Century Gothic" w:eastAsia="Calibri" w:hAnsi="Century Gothic" w:cs="Arial"/>
          <w:bCs/>
          <w:sz w:val="20"/>
          <w:szCs w:val="20"/>
          <w:lang w:val="es-ES_tradnl" w:eastAsia="es-ES_tradnl"/>
        </w:rPr>
      </w:pPr>
    </w:p>
    <w:p w14:paraId="4B1FFB9A" w14:textId="77777777" w:rsidR="00946A86" w:rsidRDefault="00946A86" w:rsidP="00946A86">
      <w:pPr>
        <w:spacing w:after="0" w:line="240" w:lineRule="auto"/>
        <w:jc w:val="both"/>
        <w:rPr>
          <w:rFonts w:ascii="Century Gothic" w:eastAsia="Calibri" w:hAnsi="Century Gothic" w:cs="Arial"/>
          <w:bCs/>
          <w:color w:val="000000" w:themeColor="text1"/>
          <w:sz w:val="20"/>
          <w:szCs w:val="20"/>
          <w:lang w:val="es-ES_tradnl"/>
        </w:rPr>
      </w:pPr>
      <w:r w:rsidRPr="004D5FAE">
        <w:rPr>
          <w:rFonts w:ascii="Century Gothic" w:eastAsia="Calibri" w:hAnsi="Century Gothic" w:cs="Arial"/>
          <w:bCs/>
          <w:color w:val="000000" w:themeColor="text1"/>
          <w:sz w:val="20"/>
          <w:szCs w:val="20"/>
          <w:lang w:val="es-ES_tradnl"/>
        </w:rPr>
        <w:t xml:space="preserve">En relación con las empresas prestadoras de servicios públicos domiciliarios, conviene señalar, acorde con lo expresado por la Corte Constitucional en la Sentencia C-736 de 2007, que aquellas son entidades descentralizadas por servicios, independientemente de la naturaleza y porcentaje de su capital. En otras palabras, aunque el artículo 14 de la Ley 142 de 1994 establece que las empresas prestadoras de servicios públicos domiciliarios pueden ser </w:t>
      </w:r>
      <w:r w:rsidRPr="004D5FAE">
        <w:rPr>
          <w:rFonts w:ascii="Century Gothic" w:eastAsia="Calibri" w:hAnsi="Century Gothic" w:cs="Arial"/>
          <w:bCs/>
          <w:i/>
          <w:iCs/>
          <w:color w:val="000000" w:themeColor="text1"/>
          <w:sz w:val="20"/>
          <w:szCs w:val="20"/>
          <w:lang w:val="es-ES_tradnl"/>
        </w:rPr>
        <w:t>oficiales</w:t>
      </w:r>
      <w:r w:rsidRPr="004D5FAE">
        <w:rPr>
          <w:rFonts w:ascii="Century Gothic" w:eastAsia="Calibri" w:hAnsi="Century Gothic" w:cs="Arial"/>
          <w:bCs/>
          <w:color w:val="000000" w:themeColor="text1"/>
          <w:sz w:val="20"/>
          <w:szCs w:val="20"/>
          <w:lang w:val="es-ES_tradnl"/>
        </w:rPr>
        <w:t xml:space="preserve">, </w:t>
      </w:r>
      <w:r w:rsidRPr="004D5FAE">
        <w:rPr>
          <w:rFonts w:ascii="Century Gothic" w:eastAsia="Calibri" w:hAnsi="Century Gothic" w:cs="Arial"/>
          <w:bCs/>
          <w:i/>
          <w:iCs/>
          <w:color w:val="000000" w:themeColor="text1"/>
          <w:sz w:val="20"/>
          <w:szCs w:val="20"/>
          <w:lang w:val="es-ES_tradnl"/>
        </w:rPr>
        <w:t>mixtas</w:t>
      </w:r>
      <w:r w:rsidRPr="004D5FAE">
        <w:rPr>
          <w:rFonts w:ascii="Century Gothic" w:eastAsia="Calibri" w:hAnsi="Century Gothic" w:cs="Arial"/>
          <w:bCs/>
          <w:color w:val="000000" w:themeColor="text1"/>
          <w:sz w:val="20"/>
          <w:szCs w:val="20"/>
          <w:lang w:val="es-ES_tradnl"/>
        </w:rPr>
        <w:t xml:space="preserve"> o </w:t>
      </w:r>
      <w:r w:rsidRPr="004D5FAE">
        <w:rPr>
          <w:rFonts w:ascii="Century Gothic" w:eastAsia="Calibri" w:hAnsi="Century Gothic" w:cs="Arial"/>
          <w:bCs/>
          <w:i/>
          <w:iCs/>
          <w:color w:val="000000" w:themeColor="text1"/>
          <w:sz w:val="20"/>
          <w:szCs w:val="20"/>
          <w:lang w:val="es-ES_tradnl"/>
        </w:rPr>
        <w:t>privadas</w:t>
      </w:r>
      <w:r w:rsidRPr="004D5FAE">
        <w:rPr>
          <w:rFonts w:ascii="Century Gothic" w:eastAsia="Calibri" w:hAnsi="Century Gothic" w:cs="Arial"/>
          <w:bCs/>
          <w:color w:val="000000" w:themeColor="text1"/>
          <w:sz w:val="20"/>
          <w:szCs w:val="20"/>
          <w:lang w:val="es-ES_tradnl"/>
        </w:rPr>
        <w:t xml:space="preserve">, estas tres especies ingresan en la categoría de las </w:t>
      </w:r>
      <w:r w:rsidRPr="004D5FAE">
        <w:rPr>
          <w:rFonts w:ascii="Century Gothic" w:eastAsia="Calibri" w:hAnsi="Century Gothic" w:cs="Arial"/>
          <w:bCs/>
          <w:i/>
          <w:iCs/>
          <w:color w:val="000000" w:themeColor="text1"/>
          <w:sz w:val="20"/>
          <w:szCs w:val="20"/>
          <w:lang w:val="es-ES_tradnl"/>
        </w:rPr>
        <w:t>entidades descentralizadas por servicios</w:t>
      </w:r>
      <w:r w:rsidRPr="004D5FAE">
        <w:rPr>
          <w:rFonts w:ascii="Century Gothic" w:eastAsia="Calibri" w:hAnsi="Century Gothic" w:cs="Arial"/>
          <w:bCs/>
          <w:color w:val="000000" w:themeColor="text1"/>
          <w:sz w:val="20"/>
          <w:szCs w:val="20"/>
          <w:lang w:val="es-ES_tradnl"/>
        </w:rPr>
        <w:t xml:space="preserve">. Adicionalmente, debe recordarse que en dicha Sentencia el alto tribunal afirmó que las empresas prestadoras de servicios públicos domiciliarios </w:t>
      </w:r>
      <w:r w:rsidRPr="004D5FAE">
        <w:rPr>
          <w:rFonts w:ascii="Century Gothic" w:eastAsia="Calibri" w:hAnsi="Century Gothic" w:cs="Arial"/>
          <w:bCs/>
          <w:i/>
          <w:iCs/>
          <w:color w:val="000000" w:themeColor="text1"/>
          <w:sz w:val="20"/>
          <w:szCs w:val="20"/>
          <w:lang w:val="es-ES_tradnl"/>
        </w:rPr>
        <w:t>mixtas y privadas</w:t>
      </w:r>
      <w:r w:rsidRPr="004D5FAE">
        <w:rPr>
          <w:rFonts w:ascii="Century Gothic" w:eastAsia="Calibri" w:hAnsi="Century Gothic" w:cs="Arial"/>
          <w:bCs/>
          <w:color w:val="000000" w:themeColor="text1"/>
          <w:sz w:val="20"/>
          <w:szCs w:val="20"/>
          <w:lang w:val="es-ES_tradnl"/>
        </w:rPr>
        <w:t xml:space="preserve"> son tipos </w:t>
      </w:r>
      <w:r w:rsidRPr="004D5FAE">
        <w:rPr>
          <w:rFonts w:ascii="Century Gothic" w:eastAsia="Calibri" w:hAnsi="Century Gothic" w:cs="Arial"/>
          <w:bCs/>
          <w:i/>
          <w:iCs/>
          <w:color w:val="000000" w:themeColor="text1"/>
          <w:sz w:val="20"/>
          <w:szCs w:val="20"/>
          <w:lang w:val="es-ES_tradnl"/>
        </w:rPr>
        <w:t>especiales</w:t>
      </w:r>
      <w:r w:rsidRPr="004D5FAE">
        <w:rPr>
          <w:rFonts w:ascii="Century Gothic" w:eastAsia="Calibri" w:hAnsi="Century Gothic" w:cs="Arial"/>
          <w:bCs/>
          <w:color w:val="000000" w:themeColor="text1"/>
          <w:sz w:val="20"/>
          <w:szCs w:val="20"/>
          <w:lang w:val="es-ES_tradnl"/>
        </w:rPr>
        <w:t xml:space="preserve"> de entidades descentralizadas por servicios. Por lo demás, ni la Ley 489 de 1998 ni la Ley 142 de 1994 tipifican la existencia de empresas de servicios públicos solidarias, cooperativas o comunitarias que tenga la categoría de entidades privadas sin ánimo de lucro. En esta medida, las empresas de servicios públicos no son destinatarias del artículo 96 de la Ley 489 de 1998, razón por la que no pueden celebrar convenios de asociación conforme al artículo 5 del Decreto 092 de 2017.</w:t>
      </w:r>
    </w:p>
    <w:p w14:paraId="25042088" w14:textId="77777777" w:rsidR="00946A86" w:rsidRDefault="00946A86" w:rsidP="00946A86">
      <w:pPr>
        <w:spacing w:after="0" w:line="240" w:lineRule="auto"/>
        <w:jc w:val="both"/>
        <w:rPr>
          <w:rFonts w:ascii="Century Gothic" w:eastAsia="Calibri" w:hAnsi="Century Gothic" w:cs="Arial"/>
          <w:bCs/>
          <w:color w:val="000000" w:themeColor="text1"/>
          <w:sz w:val="20"/>
          <w:szCs w:val="20"/>
          <w:lang w:val="es-ES_tradnl"/>
        </w:rPr>
      </w:pPr>
    </w:p>
    <w:p w14:paraId="2A60D63A" w14:textId="77777777" w:rsidR="00946A86" w:rsidRPr="0089515D" w:rsidRDefault="00946A86" w:rsidP="00946A86">
      <w:pPr>
        <w:spacing w:after="0" w:line="240" w:lineRule="auto"/>
        <w:jc w:val="both"/>
        <w:rPr>
          <w:rFonts w:ascii="Century Gothic" w:eastAsia="Calibri" w:hAnsi="Century Gothic" w:cs="Arial"/>
          <w:b/>
          <w:lang w:val="es-ES_tradnl" w:eastAsia="es-ES_tradnl"/>
        </w:rPr>
      </w:pPr>
      <w:r w:rsidRPr="0089515D">
        <w:rPr>
          <w:rFonts w:ascii="Century Gothic" w:eastAsia="Calibri" w:hAnsi="Century Gothic" w:cs="Arial"/>
          <w:b/>
          <w:lang w:val="es-ES_tradnl" w:eastAsia="es-ES_tradnl"/>
        </w:rPr>
        <w:t>ESQUEMAS ASOCIATIVOS TERRITORIALES – Definición – Entidades territoriales – Personas jurídicas – Capacidad contractual</w:t>
      </w:r>
    </w:p>
    <w:p w14:paraId="60073A39" w14:textId="77777777" w:rsidR="00946A86" w:rsidRPr="0089515D" w:rsidRDefault="00946A86" w:rsidP="00946A86">
      <w:pPr>
        <w:spacing w:after="0" w:line="240" w:lineRule="auto"/>
        <w:jc w:val="both"/>
        <w:rPr>
          <w:rFonts w:ascii="Century Gothic" w:eastAsia="Calibri" w:hAnsi="Century Gothic" w:cs="Arial"/>
          <w:bCs/>
          <w:color w:val="000000" w:themeColor="text1"/>
          <w:sz w:val="20"/>
          <w:szCs w:val="20"/>
          <w:lang w:val="es-ES_tradnl"/>
        </w:rPr>
      </w:pPr>
    </w:p>
    <w:p w14:paraId="10517DAB" w14:textId="77777777" w:rsidR="00946A86" w:rsidRPr="0089515D" w:rsidRDefault="00946A86" w:rsidP="00946A86">
      <w:pPr>
        <w:spacing w:after="0" w:line="240" w:lineRule="auto"/>
        <w:jc w:val="both"/>
        <w:rPr>
          <w:rFonts w:ascii="Century Gothic" w:eastAsia="Calibri" w:hAnsi="Century Gothic" w:cs="Arial"/>
          <w:bCs/>
          <w:color w:val="000000" w:themeColor="text1"/>
          <w:sz w:val="20"/>
          <w:szCs w:val="20"/>
          <w:lang w:val="es-ES_tradnl"/>
        </w:rPr>
      </w:pPr>
      <w:r w:rsidRPr="0089515D">
        <w:rPr>
          <w:rFonts w:ascii="Century Gothic" w:eastAsia="Calibri" w:hAnsi="Century Gothic" w:cs="Arial"/>
          <w:bCs/>
          <w:color w:val="000000" w:themeColor="text1"/>
          <w:sz w:val="20"/>
          <w:szCs w:val="20"/>
          <w:lang w:val="es-ES_tradnl"/>
        </w:rPr>
        <w:t>El artículo 286 de la Constitución Política establece que “Son entidades territoriales los departamentos, los distritos, los municipios y los territorios indígenas”. Además, dispone que “La ley podrá darles el carácter de entidades territoriales a las regiones y provincias que se constituyan en los términos de la Constitución y de la ley”. En desarrollo de este precepto normativo, la Ley 1454 de 2011, “por la cual se dictan normas orgánicas sobre ordenamiento territorial y se modifican otras disposiciones”, regula los denominados esquemas asociativos territoriales, como mecanismos de cooperación entre aquellas entidades.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214EBE3F" w14:textId="77777777" w:rsidR="00946A86" w:rsidRPr="0089515D" w:rsidRDefault="00946A86" w:rsidP="00946A86">
      <w:pPr>
        <w:spacing w:after="0" w:line="240" w:lineRule="auto"/>
        <w:jc w:val="both"/>
        <w:rPr>
          <w:rFonts w:ascii="Century Gothic" w:eastAsia="Calibri" w:hAnsi="Century Gothic" w:cs="Arial"/>
          <w:bCs/>
          <w:color w:val="000000" w:themeColor="text1"/>
          <w:sz w:val="20"/>
          <w:szCs w:val="20"/>
          <w:lang w:val="es-ES_tradnl"/>
        </w:rPr>
      </w:pPr>
    </w:p>
    <w:p w14:paraId="64E54868" w14:textId="77777777" w:rsidR="00946A86" w:rsidRPr="0089515D" w:rsidRDefault="00946A86" w:rsidP="00946A86">
      <w:pPr>
        <w:spacing w:after="0" w:line="240" w:lineRule="auto"/>
        <w:jc w:val="both"/>
        <w:rPr>
          <w:rFonts w:ascii="Century Gothic" w:eastAsia="Calibri" w:hAnsi="Century Gothic" w:cs="Arial"/>
          <w:b/>
          <w:lang w:val="es-ES_tradnl" w:eastAsia="es-ES_tradnl"/>
        </w:rPr>
      </w:pPr>
      <w:r w:rsidRPr="0089515D">
        <w:rPr>
          <w:rFonts w:ascii="Century Gothic" w:eastAsia="Calibri" w:hAnsi="Century Gothic" w:cs="Arial"/>
          <w:b/>
          <w:lang w:val="es-ES_tradnl" w:eastAsia="es-ES_tradnl"/>
        </w:rPr>
        <w:lastRenderedPageBreak/>
        <w:t>PROCEDIMIENTOS CONTRACTUALES – EGCAP – Esquemas asociativos territoriales – Fundamento</w:t>
      </w:r>
    </w:p>
    <w:p w14:paraId="4B17AF99" w14:textId="77777777" w:rsidR="00946A86" w:rsidRPr="0089515D" w:rsidRDefault="00946A86" w:rsidP="00946A86">
      <w:pPr>
        <w:spacing w:after="0" w:line="240" w:lineRule="auto"/>
        <w:jc w:val="both"/>
        <w:rPr>
          <w:rFonts w:ascii="Century Gothic" w:eastAsia="Calibri" w:hAnsi="Century Gothic" w:cs="Arial"/>
          <w:bCs/>
          <w:color w:val="000000" w:themeColor="text1"/>
          <w:sz w:val="20"/>
          <w:szCs w:val="20"/>
          <w:lang w:val="es-ES_tradnl"/>
        </w:rPr>
      </w:pPr>
    </w:p>
    <w:p w14:paraId="66B8570C" w14:textId="77777777" w:rsidR="00946A86" w:rsidRPr="004D5FAE" w:rsidRDefault="00946A86" w:rsidP="00946A86">
      <w:pPr>
        <w:spacing w:after="0" w:line="240" w:lineRule="auto"/>
        <w:jc w:val="both"/>
        <w:rPr>
          <w:rFonts w:ascii="Century Gothic" w:eastAsia="Calibri" w:hAnsi="Century Gothic" w:cs="Arial"/>
          <w:bCs/>
          <w:color w:val="000000" w:themeColor="text1"/>
          <w:sz w:val="20"/>
          <w:szCs w:val="20"/>
          <w:lang w:val="es-ES_tradnl"/>
        </w:rPr>
      </w:pPr>
      <w:r w:rsidRPr="0089515D">
        <w:rPr>
          <w:rFonts w:ascii="Century Gothic" w:eastAsia="Calibri" w:hAnsi="Century Gothic" w:cs="Arial"/>
          <w:bCs/>
          <w:color w:val="000000" w:themeColor="text1"/>
          <w:sz w:val="20"/>
          <w:szCs w:val="20"/>
          <w:lang w:val="es-ES_tradnl"/>
        </w:rPr>
        <w:t xml:space="preserve">[…] el régimen contractual de los esquemas asociativos territoriales es el Estatuto General de Contratación de la Administración Pública –en adelante EGCAP–. Lo anterior se fundamenta en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Así las cosas, el EGCAP establece que las personas jurídicas en las que el Estado tenga participación mayoritaria –como sucede, precisamente, en los esquemas asociativos territoriales– son entidades estatales, para efectos contractuales, razón por la cual se someten a dicho Estatuto.  </w:t>
      </w:r>
    </w:p>
    <w:p w14:paraId="48F058BA" w14:textId="77777777" w:rsidR="00946A86" w:rsidRDefault="00946A86" w:rsidP="00946A86">
      <w:pPr>
        <w:spacing w:after="0"/>
        <w:rPr>
          <w:rFonts w:ascii="Century Gothic" w:eastAsia="Geomanist Light" w:hAnsi="Century Gothic" w:cs="Arial"/>
          <w:color w:val="000000" w:themeColor="text1"/>
          <w:lang w:val="es-MX"/>
        </w:rPr>
      </w:pPr>
    </w:p>
    <w:p w14:paraId="4788AA97" w14:textId="77777777" w:rsidR="00946A86" w:rsidRDefault="00946A86" w:rsidP="00946A86">
      <w:pPr>
        <w:spacing w:after="0"/>
        <w:rPr>
          <w:rFonts w:ascii="Century Gothic" w:eastAsia="Geomanist Light" w:hAnsi="Century Gothic" w:cs="Arial"/>
          <w:color w:val="000000" w:themeColor="text1"/>
          <w:lang w:val="es-MX"/>
        </w:rPr>
      </w:pPr>
    </w:p>
    <w:p w14:paraId="1F23E0A6" w14:textId="77777777" w:rsidR="00946A86" w:rsidRDefault="00946A86" w:rsidP="00E245AB">
      <w:pPr>
        <w:spacing w:after="0"/>
        <w:rPr>
          <w:rFonts w:ascii="Century Gothic" w:hAnsi="Century Gothic"/>
        </w:rPr>
      </w:pPr>
    </w:p>
    <w:p w14:paraId="030D8B3B" w14:textId="77777777" w:rsidR="00946A86" w:rsidRDefault="00946A86" w:rsidP="00E245AB">
      <w:pPr>
        <w:spacing w:after="0"/>
        <w:rPr>
          <w:rFonts w:ascii="Century Gothic" w:hAnsi="Century Gothic"/>
        </w:rPr>
      </w:pPr>
    </w:p>
    <w:p w14:paraId="664DBDCA" w14:textId="77777777" w:rsidR="00946A86" w:rsidRDefault="00946A86" w:rsidP="00E245AB">
      <w:pPr>
        <w:spacing w:after="0"/>
        <w:rPr>
          <w:rFonts w:ascii="Century Gothic" w:hAnsi="Century Gothic"/>
        </w:rPr>
      </w:pPr>
    </w:p>
    <w:p w14:paraId="1B679ED2" w14:textId="77777777" w:rsidR="00946A86" w:rsidRDefault="00946A86" w:rsidP="00E245AB">
      <w:pPr>
        <w:spacing w:after="0"/>
        <w:rPr>
          <w:rFonts w:ascii="Century Gothic" w:hAnsi="Century Gothic"/>
        </w:rPr>
      </w:pPr>
    </w:p>
    <w:p w14:paraId="7FE5CDA5" w14:textId="77777777" w:rsidR="00946A86" w:rsidRDefault="00946A86" w:rsidP="00E245AB">
      <w:pPr>
        <w:spacing w:after="0"/>
        <w:rPr>
          <w:rFonts w:ascii="Century Gothic" w:hAnsi="Century Gothic"/>
        </w:rPr>
      </w:pPr>
    </w:p>
    <w:p w14:paraId="17B1299F" w14:textId="77777777" w:rsidR="00946A86" w:rsidRDefault="00946A86" w:rsidP="00E245AB">
      <w:pPr>
        <w:spacing w:after="0"/>
        <w:rPr>
          <w:rFonts w:ascii="Century Gothic" w:hAnsi="Century Gothic"/>
        </w:rPr>
      </w:pPr>
    </w:p>
    <w:p w14:paraId="63AE64B2" w14:textId="77777777" w:rsidR="00946A86" w:rsidRDefault="00946A86" w:rsidP="00E245AB">
      <w:pPr>
        <w:spacing w:after="0"/>
        <w:rPr>
          <w:rFonts w:ascii="Century Gothic" w:hAnsi="Century Gothic"/>
        </w:rPr>
      </w:pPr>
    </w:p>
    <w:p w14:paraId="78FD6E8F" w14:textId="77777777" w:rsidR="00946A86" w:rsidRDefault="00946A86" w:rsidP="00E245AB">
      <w:pPr>
        <w:spacing w:after="0"/>
        <w:rPr>
          <w:rFonts w:ascii="Century Gothic" w:hAnsi="Century Gothic"/>
        </w:rPr>
      </w:pPr>
    </w:p>
    <w:p w14:paraId="3A6B2856" w14:textId="77777777" w:rsidR="00946A86" w:rsidRDefault="00946A86" w:rsidP="00E245AB">
      <w:pPr>
        <w:spacing w:after="0"/>
        <w:rPr>
          <w:rFonts w:ascii="Century Gothic" w:hAnsi="Century Gothic"/>
        </w:rPr>
      </w:pPr>
    </w:p>
    <w:p w14:paraId="14B54FC0" w14:textId="77777777" w:rsidR="00946A86" w:rsidRDefault="00946A86" w:rsidP="00E245AB">
      <w:pPr>
        <w:spacing w:after="0"/>
        <w:rPr>
          <w:rFonts w:ascii="Century Gothic" w:hAnsi="Century Gothic"/>
        </w:rPr>
      </w:pPr>
    </w:p>
    <w:p w14:paraId="2E5D6F2B" w14:textId="77777777" w:rsidR="00946A86" w:rsidRDefault="00946A86" w:rsidP="00E245AB">
      <w:pPr>
        <w:spacing w:after="0"/>
        <w:rPr>
          <w:rFonts w:ascii="Century Gothic" w:hAnsi="Century Gothic"/>
        </w:rPr>
      </w:pPr>
    </w:p>
    <w:p w14:paraId="7F729EFA" w14:textId="77777777" w:rsidR="00946A86" w:rsidRDefault="00946A86" w:rsidP="00E245AB">
      <w:pPr>
        <w:spacing w:after="0"/>
        <w:rPr>
          <w:rFonts w:ascii="Century Gothic" w:hAnsi="Century Gothic"/>
        </w:rPr>
      </w:pPr>
    </w:p>
    <w:p w14:paraId="167BC332" w14:textId="77777777" w:rsidR="00946A86" w:rsidRDefault="00946A86" w:rsidP="00E245AB">
      <w:pPr>
        <w:spacing w:after="0"/>
        <w:rPr>
          <w:rFonts w:ascii="Century Gothic" w:hAnsi="Century Gothic"/>
        </w:rPr>
      </w:pPr>
    </w:p>
    <w:p w14:paraId="7EA8EE3C" w14:textId="77777777" w:rsidR="00946A86" w:rsidRDefault="00946A86" w:rsidP="00E245AB">
      <w:pPr>
        <w:spacing w:after="0"/>
        <w:rPr>
          <w:rFonts w:ascii="Century Gothic" w:hAnsi="Century Gothic"/>
        </w:rPr>
      </w:pPr>
    </w:p>
    <w:p w14:paraId="5AC352F3" w14:textId="77777777" w:rsidR="00946A86" w:rsidRDefault="00946A86" w:rsidP="00E245AB">
      <w:pPr>
        <w:spacing w:after="0"/>
        <w:rPr>
          <w:rFonts w:ascii="Century Gothic" w:hAnsi="Century Gothic"/>
        </w:rPr>
      </w:pPr>
    </w:p>
    <w:p w14:paraId="4BCAFCF5" w14:textId="77777777" w:rsidR="00946A86" w:rsidRDefault="00946A86" w:rsidP="00E245AB">
      <w:pPr>
        <w:spacing w:after="0"/>
        <w:rPr>
          <w:rFonts w:ascii="Century Gothic" w:hAnsi="Century Gothic"/>
        </w:rPr>
      </w:pPr>
    </w:p>
    <w:p w14:paraId="7B25D9F7" w14:textId="77777777" w:rsidR="00946A86" w:rsidRDefault="00946A86" w:rsidP="00E245AB">
      <w:pPr>
        <w:spacing w:after="0"/>
        <w:rPr>
          <w:rFonts w:ascii="Century Gothic" w:hAnsi="Century Gothic"/>
        </w:rPr>
      </w:pPr>
    </w:p>
    <w:p w14:paraId="4E73DB60" w14:textId="77777777" w:rsidR="00946A86" w:rsidRDefault="00946A86" w:rsidP="00E245AB">
      <w:pPr>
        <w:spacing w:after="0"/>
        <w:rPr>
          <w:rFonts w:ascii="Century Gothic" w:hAnsi="Century Gothic"/>
        </w:rPr>
      </w:pPr>
    </w:p>
    <w:p w14:paraId="25143062" w14:textId="77777777" w:rsidR="00946A86" w:rsidRDefault="00946A86" w:rsidP="00E245AB">
      <w:pPr>
        <w:spacing w:after="0"/>
        <w:rPr>
          <w:rFonts w:ascii="Century Gothic" w:hAnsi="Century Gothic"/>
        </w:rPr>
      </w:pPr>
    </w:p>
    <w:p w14:paraId="4A190EAE" w14:textId="77777777" w:rsidR="00946A86" w:rsidRDefault="00946A86" w:rsidP="00E245AB">
      <w:pPr>
        <w:spacing w:after="0"/>
        <w:rPr>
          <w:rFonts w:ascii="Century Gothic" w:hAnsi="Century Gothic"/>
        </w:rPr>
      </w:pPr>
    </w:p>
    <w:p w14:paraId="3B5E6B19" w14:textId="77777777" w:rsidR="00946A86" w:rsidRDefault="00946A86" w:rsidP="00E245AB">
      <w:pPr>
        <w:spacing w:after="0"/>
        <w:rPr>
          <w:rFonts w:ascii="Century Gothic" w:hAnsi="Century Gothic"/>
        </w:rPr>
      </w:pPr>
    </w:p>
    <w:p w14:paraId="3A5B039E" w14:textId="77777777" w:rsidR="00946A86" w:rsidRDefault="00946A86" w:rsidP="00E245AB">
      <w:pPr>
        <w:spacing w:after="0"/>
        <w:rPr>
          <w:rFonts w:ascii="Century Gothic" w:hAnsi="Century Gothic"/>
        </w:rPr>
      </w:pPr>
    </w:p>
    <w:p w14:paraId="5FFDC8FF" w14:textId="77777777" w:rsidR="000322F8" w:rsidRDefault="000322F8" w:rsidP="00E245AB">
      <w:pPr>
        <w:spacing w:after="0"/>
        <w:rPr>
          <w:rFonts w:ascii="Century Gothic" w:hAnsi="Century Gothic"/>
        </w:rPr>
      </w:pPr>
    </w:p>
    <w:p w14:paraId="02894EE0" w14:textId="6A1DFB7B" w:rsidR="01B604C9" w:rsidRDefault="01B604C9" w:rsidP="01B604C9">
      <w:pPr>
        <w:spacing w:after="0"/>
        <w:rPr>
          <w:rFonts w:ascii="Century Gothic" w:hAnsi="Century Gothic"/>
        </w:rPr>
      </w:pPr>
    </w:p>
    <w:p w14:paraId="4CC279FF" w14:textId="150F4D82" w:rsidR="01B604C9" w:rsidRDefault="01B604C9" w:rsidP="01B604C9">
      <w:pPr>
        <w:spacing w:after="0"/>
        <w:rPr>
          <w:rFonts w:ascii="Century Gothic" w:hAnsi="Century Gothic"/>
        </w:rPr>
      </w:pPr>
    </w:p>
    <w:p w14:paraId="175FB204" w14:textId="56D01732" w:rsidR="01B604C9" w:rsidRDefault="01B604C9" w:rsidP="01B604C9">
      <w:pPr>
        <w:spacing w:after="0"/>
        <w:rPr>
          <w:rFonts w:ascii="Century Gothic" w:hAnsi="Century Gothic"/>
        </w:rPr>
      </w:pPr>
    </w:p>
    <w:p w14:paraId="66399DB1" w14:textId="7DA45510" w:rsidR="01B604C9" w:rsidRDefault="01B604C9" w:rsidP="01B604C9">
      <w:pPr>
        <w:spacing w:after="0"/>
        <w:rPr>
          <w:rFonts w:ascii="Century Gothic" w:hAnsi="Century Gothic"/>
        </w:rPr>
      </w:pPr>
    </w:p>
    <w:p w14:paraId="38D82591" w14:textId="76223DDD" w:rsidR="01B604C9" w:rsidRDefault="01B604C9" w:rsidP="01B604C9">
      <w:pPr>
        <w:spacing w:after="0"/>
        <w:rPr>
          <w:rFonts w:ascii="Century Gothic" w:hAnsi="Century Gothic"/>
        </w:rPr>
      </w:pPr>
    </w:p>
    <w:p w14:paraId="3C366830" w14:textId="77777777" w:rsidR="000322F8" w:rsidRDefault="000322F8" w:rsidP="00E245AB">
      <w:pPr>
        <w:spacing w:after="0"/>
        <w:rPr>
          <w:rFonts w:ascii="Century Gothic" w:hAnsi="Century Gothic"/>
        </w:rPr>
      </w:pPr>
    </w:p>
    <w:p w14:paraId="30983DF2" w14:textId="0F5EFEA3" w:rsidR="000322F8" w:rsidRDefault="000322F8" w:rsidP="000322F8">
      <w:pPr>
        <w:spacing w:after="0"/>
        <w:jc w:val="right"/>
        <w:rPr>
          <w:rFonts w:ascii="Century Gothic" w:hAnsi="Century Gothic"/>
        </w:rPr>
      </w:pPr>
      <w:r w:rsidRPr="000322F8">
        <w:rPr>
          <w:rFonts w:ascii="Century Gothic" w:hAnsi="Century Gothic"/>
          <w:noProof/>
        </w:rPr>
        <w:drawing>
          <wp:inline distT="0" distB="0" distL="0" distR="0" wp14:anchorId="67A9F1B4" wp14:editId="79FC2CAF">
            <wp:extent cx="3159369" cy="796925"/>
            <wp:effectExtent l="0" t="0" r="3175" b="3175"/>
            <wp:docPr id="368940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3129" cy="800396"/>
                    </a:xfrm>
                    <a:prstGeom prst="rect">
                      <a:avLst/>
                    </a:prstGeom>
                    <a:noFill/>
                    <a:ln>
                      <a:noFill/>
                    </a:ln>
                  </pic:spPr>
                </pic:pic>
              </a:graphicData>
            </a:graphic>
          </wp:inline>
        </w:drawing>
      </w:r>
    </w:p>
    <w:p w14:paraId="3F7C586B" w14:textId="77777777" w:rsidR="000322F8" w:rsidRPr="00322A85" w:rsidRDefault="000322F8" w:rsidP="00E245AB">
      <w:pPr>
        <w:spacing w:after="0"/>
        <w:rPr>
          <w:rFonts w:ascii="Century Gothic" w:hAnsi="Century Gothic"/>
        </w:rPr>
      </w:pPr>
    </w:p>
    <w:p w14:paraId="5FCADBF9" w14:textId="77777777" w:rsidR="00E245AB" w:rsidRPr="00322A85" w:rsidRDefault="00E245AB" w:rsidP="00E245AB">
      <w:pPr>
        <w:spacing w:after="0"/>
        <w:rPr>
          <w:rFonts w:ascii="Century Gothic" w:hAnsi="Century Gothic"/>
        </w:rPr>
      </w:pPr>
    </w:p>
    <w:p w14:paraId="793E1F07" w14:textId="77777777" w:rsidR="00B66F22" w:rsidRPr="00B66F22" w:rsidRDefault="00B66F22" w:rsidP="00B66F22">
      <w:pPr>
        <w:contextualSpacing/>
        <w:jc w:val="both"/>
        <w:rPr>
          <w:rFonts w:ascii="Century Gothic" w:eastAsia="Calibri" w:hAnsi="Century Gothic" w:cs="Arial"/>
          <w:lang w:eastAsia="es-ES_tradnl"/>
        </w:rPr>
      </w:pPr>
      <w:r w:rsidRPr="00B66F22">
        <w:rPr>
          <w:rFonts w:ascii="Century Gothic" w:eastAsia="Calibri" w:hAnsi="Century Gothic" w:cs="Arial"/>
          <w:lang w:eastAsia="es-ES_tradnl"/>
        </w:rPr>
        <w:t>Señor</w:t>
      </w:r>
    </w:p>
    <w:p w14:paraId="5F394F4B" w14:textId="77777777" w:rsidR="00B66F22" w:rsidRPr="00B66F22" w:rsidRDefault="00B66F22" w:rsidP="00B66F22">
      <w:pPr>
        <w:contextualSpacing/>
        <w:jc w:val="both"/>
        <w:rPr>
          <w:rFonts w:ascii="Century Gothic" w:eastAsia="Calibri" w:hAnsi="Century Gothic" w:cs="Arial"/>
          <w:b/>
          <w:lang w:eastAsia="es-ES_tradnl"/>
        </w:rPr>
      </w:pPr>
      <w:r w:rsidRPr="00B66F22">
        <w:rPr>
          <w:rFonts w:ascii="Century Gothic" w:eastAsia="Calibri" w:hAnsi="Century Gothic" w:cs="Arial"/>
          <w:b/>
          <w:lang w:eastAsia="es-ES_tradnl"/>
        </w:rPr>
        <w:t>Daniel Alejandro Ramírez Cubillos</w:t>
      </w:r>
    </w:p>
    <w:p w14:paraId="34A3E4E9" w14:textId="77777777" w:rsidR="00B66F22" w:rsidRPr="00B66F22" w:rsidRDefault="00B66D8D" w:rsidP="00B66F22">
      <w:pPr>
        <w:contextualSpacing/>
        <w:jc w:val="both"/>
        <w:rPr>
          <w:rFonts w:ascii="Century Gothic" w:eastAsia="Calibri" w:hAnsi="Century Gothic" w:cs="Arial"/>
          <w:bCs/>
          <w:lang w:eastAsia="es-ES_tradnl"/>
        </w:rPr>
      </w:pPr>
      <w:hyperlink r:id="rId12" w:history="1">
        <w:r w:rsidR="00B66F22" w:rsidRPr="00B66F22">
          <w:rPr>
            <w:rFonts w:ascii="Century Gothic" w:eastAsia="Calibri" w:hAnsi="Century Gothic" w:cs="Arial"/>
            <w:bCs/>
            <w:color w:val="0563C1" w:themeColor="hyperlink"/>
            <w:u w:val="single"/>
            <w:lang w:eastAsia="es-ES_tradnl"/>
          </w:rPr>
          <w:t>danielramire09@gmail.com</w:t>
        </w:r>
      </w:hyperlink>
      <w:r w:rsidR="00B66F22" w:rsidRPr="00B66F22">
        <w:rPr>
          <w:rFonts w:ascii="Century Gothic" w:eastAsia="Calibri" w:hAnsi="Century Gothic" w:cs="Arial"/>
          <w:bCs/>
          <w:lang w:eastAsia="es-ES_tradnl"/>
        </w:rPr>
        <w:t xml:space="preserve"> </w:t>
      </w:r>
    </w:p>
    <w:p w14:paraId="0E91915E" w14:textId="77777777" w:rsidR="00B66F22" w:rsidRPr="00B66F22" w:rsidRDefault="00B66F22" w:rsidP="00B66F22">
      <w:pPr>
        <w:contextualSpacing/>
        <w:jc w:val="both"/>
        <w:rPr>
          <w:rFonts w:ascii="Century Gothic" w:eastAsia="Calibri" w:hAnsi="Century Gothic" w:cs="Arial"/>
          <w:bCs/>
          <w:lang w:eastAsia="es-ES_tradnl"/>
        </w:rPr>
      </w:pPr>
      <w:r w:rsidRPr="00B66F22">
        <w:rPr>
          <w:rFonts w:ascii="Century Gothic" w:eastAsia="Geomanist Light" w:hAnsi="Century Gothic" w:cs="Arial"/>
          <w:color w:val="000000" w:themeColor="text1"/>
          <w:lang w:val="es-MX"/>
        </w:rPr>
        <w:t xml:space="preserve">La Plata, Huila </w:t>
      </w:r>
    </w:p>
    <w:p w14:paraId="01828B02" w14:textId="77777777" w:rsidR="00B66F22" w:rsidRPr="00B66F22" w:rsidRDefault="00B66F22" w:rsidP="00B66F22">
      <w:pPr>
        <w:contextualSpacing/>
        <w:rPr>
          <w:rFonts w:ascii="Century Gothic" w:eastAsia="Calibri" w:hAnsi="Century Gothic" w:cs="Arial"/>
          <w:b/>
          <w:bCs/>
          <w:lang w:val="es-ES_tradnl" w:eastAsia="es-ES_tradnl"/>
        </w:rPr>
      </w:pPr>
    </w:p>
    <w:p w14:paraId="081B86A0" w14:textId="77777777" w:rsidR="00B66F22" w:rsidRPr="00B66F22" w:rsidRDefault="00B66F22" w:rsidP="00B66F22">
      <w:pPr>
        <w:contextualSpacing/>
        <w:jc w:val="both"/>
        <w:rPr>
          <w:rFonts w:ascii="Century Gothic" w:eastAsia="Calibri" w:hAnsi="Century Gothic" w:cs="Arial"/>
          <w:lang w:val="es-ES_tradnl" w:eastAsia="es-ES_tradnl"/>
        </w:rPr>
      </w:pPr>
    </w:p>
    <w:p w14:paraId="230852C3" w14:textId="77777777" w:rsidR="00B66F22" w:rsidRPr="00B66F22" w:rsidRDefault="00B66F22" w:rsidP="00B66F22">
      <w:pPr>
        <w:contextualSpacing/>
        <w:jc w:val="both"/>
        <w:rPr>
          <w:rFonts w:ascii="Century Gothic" w:eastAsia="Calibri" w:hAnsi="Century Gothic" w:cs="Arial"/>
          <w:b/>
          <w:bCs/>
          <w:lang w:val="es-ES_tradnl" w:eastAsia="es-ES_tradnl"/>
        </w:rPr>
      </w:pPr>
      <w:r w:rsidRPr="00B66F22">
        <w:rPr>
          <w:rFonts w:ascii="Century Gothic" w:eastAsia="Calibri" w:hAnsi="Century Gothic" w:cs="Arial"/>
          <w:b/>
          <w:bCs/>
          <w:lang w:val="es-ES_tradnl" w:eastAsia="es-ES_tradnl"/>
        </w:rPr>
        <w:tab/>
      </w:r>
      <w:r w:rsidRPr="00B66F22">
        <w:rPr>
          <w:rFonts w:ascii="Century Gothic" w:eastAsia="Calibri" w:hAnsi="Century Gothic" w:cs="Arial"/>
          <w:b/>
          <w:bCs/>
          <w:lang w:val="es-ES_tradnl" w:eastAsia="es-ES_tradnl"/>
        </w:rPr>
        <w:tab/>
      </w:r>
      <w:r w:rsidRPr="00B66F22">
        <w:rPr>
          <w:rFonts w:ascii="Century Gothic" w:eastAsia="Calibri" w:hAnsi="Century Gothic" w:cs="Arial"/>
          <w:b/>
          <w:bCs/>
          <w:lang w:val="es-ES_tradnl" w:eastAsia="es-ES_tradnl"/>
        </w:rPr>
        <w:tab/>
        <w:t xml:space="preserve">         Concepto C – 418 de 2023</w:t>
      </w:r>
    </w:p>
    <w:p w14:paraId="115BCF62" w14:textId="77777777" w:rsidR="00B66F22" w:rsidRPr="00B66F22" w:rsidRDefault="00B66F22" w:rsidP="00B66F22">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6F22" w:rsidRPr="00B66F22" w14:paraId="4B0114D4" w14:textId="77777777" w:rsidTr="001C41F4">
        <w:tc>
          <w:tcPr>
            <w:tcW w:w="2689" w:type="dxa"/>
          </w:tcPr>
          <w:p w14:paraId="0A2F97D7" w14:textId="77777777" w:rsidR="00B66F22" w:rsidRPr="00B66F22" w:rsidRDefault="00B66F22" w:rsidP="00B66F22">
            <w:pPr>
              <w:contextualSpacing/>
              <w:jc w:val="both"/>
              <w:rPr>
                <w:rFonts w:ascii="Century Gothic" w:eastAsia="Calibri" w:hAnsi="Century Gothic" w:cs="Arial"/>
                <w:lang w:val="es-ES_tradnl" w:eastAsia="es-ES_tradnl"/>
              </w:rPr>
            </w:pPr>
            <w:r w:rsidRPr="00B66F22">
              <w:rPr>
                <w:rFonts w:ascii="Century Gothic" w:eastAsia="Calibri" w:hAnsi="Century Gothic" w:cs="Arial"/>
                <w:b/>
                <w:lang w:val="es-ES_tradnl" w:eastAsia="es-ES_tradnl"/>
              </w:rPr>
              <w:t>Temas:</w:t>
            </w:r>
            <w:r w:rsidRPr="00B66F22">
              <w:rPr>
                <w:rFonts w:ascii="Century Gothic" w:eastAsia="Calibri" w:hAnsi="Century Gothic" w:cs="Arial"/>
                <w:lang w:val="es-ES_tradnl" w:eastAsia="es-ES_tradnl"/>
              </w:rPr>
              <w:t xml:space="preserve">                                      </w:t>
            </w:r>
          </w:p>
        </w:tc>
        <w:tc>
          <w:tcPr>
            <w:tcW w:w="6237" w:type="dxa"/>
          </w:tcPr>
          <w:p w14:paraId="5EE0DBE6" w14:textId="77777777" w:rsidR="00B66F22" w:rsidRPr="00B66F22" w:rsidRDefault="00B66F22" w:rsidP="00B66F22">
            <w:pPr>
              <w:spacing w:after="120"/>
              <w:contextualSpacing/>
              <w:jc w:val="both"/>
              <w:rPr>
                <w:rFonts w:ascii="Century Gothic" w:eastAsia="Calibri" w:hAnsi="Century Gothic" w:cs="Arial"/>
                <w:bCs/>
                <w:lang w:val="es-MX" w:eastAsia="es-ES_tradnl"/>
              </w:rPr>
            </w:pPr>
            <w:r w:rsidRPr="00B66F22">
              <w:rPr>
                <w:rFonts w:ascii="Century Gothic" w:eastAsia="Calibri" w:hAnsi="Century Gothic" w:cs="Arial"/>
                <w:bCs/>
                <w:lang w:val="es-ES_tradnl" w:eastAsia="es-ES_tradnl"/>
              </w:rPr>
              <w:t xml:space="preserve">DECRETO 092 DE 2017 – Finalidad – Clases de contratos / CONTRATACIÓN CON ESAL – Contrato de colaboración – Objeto – Alcance / CONTRATACIÓN CON ESAL – Contrato de asociación – Objeto – Alcance / ARTÍCULO 96 DE LA LEY 489 DE 1998 – ESAL / EMPRESAS DE SERVICIOS PÚBLICOS DOMICILIARIOS – Naturaleza jurídica / ESQUEMAS ASOCIATIVOS TERRITORIALES – Definición – Entidades territoriales – Personas jurídicas – Capacidad contractual  / PROCEDIMIENTOS CONTRACTUALES – EGCAP – Esquemas asociativos territoriales – Fundamento </w:t>
            </w:r>
          </w:p>
          <w:p w14:paraId="7360DF01" w14:textId="77777777" w:rsidR="00B66F22" w:rsidRPr="00B66F22" w:rsidRDefault="00B66F22" w:rsidP="00B66F22">
            <w:pPr>
              <w:spacing w:after="120"/>
              <w:contextualSpacing/>
              <w:jc w:val="both"/>
              <w:rPr>
                <w:rFonts w:ascii="Century Gothic" w:eastAsia="Calibri" w:hAnsi="Century Gothic" w:cs="Arial"/>
                <w:bCs/>
                <w:sz w:val="12"/>
                <w:szCs w:val="12"/>
                <w:lang w:val="es-ES_tradnl" w:eastAsia="es-ES_tradnl"/>
              </w:rPr>
            </w:pPr>
          </w:p>
          <w:p w14:paraId="665826CB" w14:textId="77777777" w:rsidR="00B66F22" w:rsidRPr="00B66F22" w:rsidRDefault="00B66F22" w:rsidP="00B66F22">
            <w:pPr>
              <w:spacing w:after="120"/>
              <w:contextualSpacing/>
              <w:jc w:val="both"/>
              <w:rPr>
                <w:rFonts w:ascii="Century Gothic" w:eastAsia="Calibri" w:hAnsi="Century Gothic" w:cs="Arial"/>
                <w:bCs/>
                <w:sz w:val="12"/>
                <w:szCs w:val="12"/>
                <w:lang w:val="es-ES_tradnl" w:eastAsia="es-ES_tradnl"/>
              </w:rPr>
            </w:pPr>
          </w:p>
          <w:p w14:paraId="5ED51648" w14:textId="77777777" w:rsidR="00B66F22" w:rsidRPr="00B66F22" w:rsidRDefault="00B66F22" w:rsidP="00B66F22">
            <w:pPr>
              <w:spacing w:after="120"/>
              <w:contextualSpacing/>
              <w:jc w:val="both"/>
              <w:rPr>
                <w:rFonts w:ascii="Century Gothic" w:eastAsia="Calibri" w:hAnsi="Century Gothic" w:cs="Arial"/>
                <w:bCs/>
                <w:sz w:val="12"/>
                <w:szCs w:val="12"/>
                <w:lang w:val="es-ES_tradnl" w:eastAsia="es-ES_tradnl"/>
              </w:rPr>
            </w:pPr>
          </w:p>
          <w:p w14:paraId="2FC4AE82" w14:textId="77777777" w:rsidR="00B66F22" w:rsidRPr="00B66F22" w:rsidRDefault="00B66F22" w:rsidP="00B66F22">
            <w:pPr>
              <w:spacing w:after="120"/>
              <w:contextualSpacing/>
              <w:jc w:val="both"/>
              <w:rPr>
                <w:rFonts w:ascii="Century Gothic" w:eastAsia="Calibri" w:hAnsi="Century Gothic" w:cs="Arial"/>
                <w:bCs/>
                <w:sz w:val="12"/>
                <w:szCs w:val="12"/>
                <w:lang w:val="es-ES_tradnl" w:eastAsia="es-ES_tradnl"/>
              </w:rPr>
            </w:pPr>
          </w:p>
          <w:p w14:paraId="27678FB7" w14:textId="77777777" w:rsidR="00B66F22" w:rsidRPr="00B66F22" w:rsidRDefault="00B66F22" w:rsidP="00B66F22">
            <w:pPr>
              <w:spacing w:after="120"/>
              <w:contextualSpacing/>
              <w:jc w:val="both"/>
              <w:rPr>
                <w:rFonts w:ascii="Century Gothic" w:eastAsia="Calibri" w:hAnsi="Century Gothic" w:cs="Arial"/>
                <w:bCs/>
                <w:sz w:val="12"/>
                <w:szCs w:val="12"/>
                <w:lang w:val="es-ES_tradnl" w:eastAsia="es-ES_tradnl"/>
              </w:rPr>
            </w:pPr>
          </w:p>
        </w:tc>
      </w:tr>
      <w:tr w:rsidR="00B66F22" w:rsidRPr="00B66F22" w14:paraId="1264D775" w14:textId="77777777" w:rsidTr="001C41F4">
        <w:trPr>
          <w:trHeight w:val="227"/>
        </w:trPr>
        <w:tc>
          <w:tcPr>
            <w:tcW w:w="2689" w:type="dxa"/>
          </w:tcPr>
          <w:p w14:paraId="0388EF72" w14:textId="77777777" w:rsidR="00B66F22" w:rsidRPr="00B66F22" w:rsidRDefault="00B66F22" w:rsidP="00B66F22">
            <w:pPr>
              <w:contextualSpacing/>
              <w:jc w:val="both"/>
              <w:rPr>
                <w:rFonts w:ascii="Century Gothic" w:eastAsia="Calibri" w:hAnsi="Century Gothic" w:cs="Arial"/>
                <w:b/>
                <w:lang w:val="es-ES_tradnl" w:eastAsia="es-ES_tradnl"/>
              </w:rPr>
            </w:pPr>
            <w:r w:rsidRPr="00B66F22">
              <w:rPr>
                <w:rFonts w:ascii="Century Gothic" w:eastAsia="Calibri" w:hAnsi="Century Gothic" w:cs="Arial"/>
                <w:b/>
                <w:lang w:val="es-ES_tradnl" w:eastAsia="es-ES_tradnl"/>
              </w:rPr>
              <w:t>Radicación:</w:t>
            </w:r>
            <w:r w:rsidRPr="00B66F22">
              <w:rPr>
                <w:rFonts w:ascii="Century Gothic" w:eastAsia="Calibri" w:hAnsi="Century Gothic" w:cs="Arial"/>
                <w:lang w:val="es-ES_tradnl" w:eastAsia="es-ES_tradnl"/>
              </w:rPr>
              <w:t xml:space="preserve">                             </w:t>
            </w:r>
          </w:p>
        </w:tc>
        <w:tc>
          <w:tcPr>
            <w:tcW w:w="6237" w:type="dxa"/>
          </w:tcPr>
          <w:p w14:paraId="3756A781" w14:textId="77777777" w:rsidR="00B66F22" w:rsidRPr="00B66F22" w:rsidRDefault="00B66F22" w:rsidP="00B66F22">
            <w:pPr>
              <w:contextualSpacing/>
              <w:jc w:val="both"/>
              <w:rPr>
                <w:rFonts w:ascii="Century Gothic" w:eastAsia="Calibri" w:hAnsi="Century Gothic" w:cs="Arial"/>
                <w:lang w:val="es-ES_tradnl" w:eastAsia="es-ES_tradnl"/>
              </w:rPr>
            </w:pPr>
            <w:r w:rsidRPr="00B66F22">
              <w:rPr>
                <w:rFonts w:ascii="Century Gothic" w:eastAsia="Calibri" w:hAnsi="Century Gothic" w:cs="Arial"/>
                <w:lang w:val="es-ES_tradnl" w:eastAsia="es-ES_tradnl"/>
              </w:rPr>
              <w:t>Respuesta a consulta P20230831014686</w:t>
            </w:r>
          </w:p>
        </w:tc>
      </w:tr>
    </w:tbl>
    <w:p w14:paraId="41AA63F1" w14:textId="77777777" w:rsidR="00B66F22" w:rsidRPr="00B66F22" w:rsidRDefault="00B66F22" w:rsidP="00B66F22">
      <w:pPr>
        <w:contextualSpacing/>
        <w:jc w:val="both"/>
        <w:rPr>
          <w:rFonts w:ascii="Century Gothic" w:eastAsia="Calibri" w:hAnsi="Century Gothic" w:cs="Arial"/>
          <w:lang w:val="es-ES_tradnl" w:eastAsia="es-ES_tradnl"/>
        </w:rPr>
      </w:pPr>
    </w:p>
    <w:p w14:paraId="40C8F67B" w14:textId="77777777" w:rsidR="00B66F22" w:rsidRPr="00B66F22" w:rsidRDefault="00B66F22" w:rsidP="00B66F22">
      <w:pPr>
        <w:contextualSpacing/>
        <w:jc w:val="both"/>
        <w:rPr>
          <w:rFonts w:ascii="Century Gothic" w:eastAsia="Calibri" w:hAnsi="Century Gothic" w:cs="Arial"/>
          <w:lang w:val="es-ES_tradnl" w:eastAsia="es-ES_tradnl"/>
        </w:rPr>
      </w:pPr>
    </w:p>
    <w:p w14:paraId="78A4B608" w14:textId="77777777" w:rsidR="00B66F22" w:rsidRPr="00B66F22" w:rsidRDefault="00B66F22" w:rsidP="00B66F22">
      <w:pPr>
        <w:contextualSpacing/>
        <w:jc w:val="both"/>
        <w:rPr>
          <w:rFonts w:ascii="Century Gothic" w:eastAsia="Calibri" w:hAnsi="Century Gothic" w:cs="Arial"/>
          <w:lang w:val="es-ES" w:eastAsia="es-ES"/>
        </w:rPr>
      </w:pPr>
      <w:r w:rsidRPr="00B66F22">
        <w:rPr>
          <w:rFonts w:ascii="Century Gothic" w:eastAsia="Calibri" w:hAnsi="Century Gothic" w:cs="Arial"/>
          <w:lang w:val="es-ES" w:eastAsia="es-ES"/>
        </w:rPr>
        <w:t xml:space="preserve">Respetado señor </w:t>
      </w:r>
      <w:r w:rsidRPr="00B66F22">
        <w:rPr>
          <w:rFonts w:ascii="Century Gothic" w:eastAsia="Times New Roman" w:hAnsi="Century Gothic" w:cs="Arial"/>
          <w:lang w:eastAsia="es-ES"/>
        </w:rPr>
        <w:t>Ramírez</w:t>
      </w:r>
      <w:r w:rsidRPr="00B66F22">
        <w:rPr>
          <w:rFonts w:ascii="Century Gothic" w:eastAsia="Calibri" w:hAnsi="Century Gothic" w:cs="Arial"/>
          <w:lang w:val="es-ES" w:eastAsia="es-ES"/>
        </w:rPr>
        <w:t xml:space="preserve">: </w:t>
      </w:r>
    </w:p>
    <w:p w14:paraId="61E83994" w14:textId="77777777" w:rsidR="00B66F22" w:rsidRPr="00B66F22" w:rsidRDefault="00B66F22" w:rsidP="00B66F22">
      <w:pPr>
        <w:spacing w:line="276" w:lineRule="auto"/>
        <w:contextualSpacing/>
        <w:jc w:val="both"/>
        <w:rPr>
          <w:rFonts w:ascii="Century Gothic" w:eastAsia="Calibri" w:hAnsi="Century Gothic" w:cs="Arial"/>
          <w:szCs w:val="24"/>
          <w:lang w:val="es-ES_tradnl" w:eastAsia="es-ES_tradnl"/>
        </w:rPr>
      </w:pPr>
    </w:p>
    <w:p w14:paraId="24F5D987" w14:textId="77777777" w:rsidR="00B66F22" w:rsidRPr="00B66F22" w:rsidRDefault="00B66F22" w:rsidP="00B66F22">
      <w:pPr>
        <w:spacing w:after="0" w:line="276" w:lineRule="auto"/>
        <w:jc w:val="both"/>
        <w:rPr>
          <w:rFonts w:ascii="Century Gothic" w:eastAsia="Calibri" w:hAnsi="Century Gothic" w:cs="Arial"/>
          <w:color w:val="000000" w:themeColor="text1"/>
          <w:lang w:val="es-ES_tradnl"/>
        </w:rPr>
      </w:pPr>
      <w:r w:rsidRPr="00B66F22">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1" w:name="_Hlk99120496"/>
      <w:r w:rsidRPr="00B66F22">
        <w:rPr>
          <w:rFonts w:ascii="Century Gothic" w:eastAsia="Arial MT" w:hAnsi="Century Gothic" w:cs="Arial MT"/>
          <w:lang w:val="es-ES"/>
        </w:rPr>
        <w:t xml:space="preserve">, </w:t>
      </w:r>
      <w:bookmarkEnd w:id="1"/>
      <w:r w:rsidRPr="00B66F22">
        <w:rPr>
          <w:rFonts w:ascii="Century Gothic" w:eastAsia="Calibri" w:hAnsi="Century Gothic" w:cs="Arial"/>
          <w:color w:val="000000" w:themeColor="text1"/>
          <w:lang w:val="es-ES_tradnl"/>
        </w:rPr>
        <w:t xml:space="preserve">la Agencia Nacional de </w:t>
      </w:r>
      <w:r w:rsidRPr="00B66F22">
        <w:rPr>
          <w:rFonts w:ascii="Century Gothic" w:eastAsia="Calibri" w:hAnsi="Century Gothic" w:cs="Arial"/>
          <w:color w:val="000000" w:themeColor="text1"/>
          <w:lang w:val="es-ES_tradnl"/>
        </w:rPr>
        <w:lastRenderedPageBreak/>
        <w:t>Contratación Pública – Colombia Compra Eficiente responde la consulta realizada el 30 de agosto de 2023.</w:t>
      </w:r>
    </w:p>
    <w:p w14:paraId="06A6E611" w14:textId="77777777" w:rsidR="00B66F22" w:rsidRPr="00B66F22" w:rsidRDefault="00B66F22" w:rsidP="00B66F22">
      <w:pPr>
        <w:spacing w:after="0" w:line="276" w:lineRule="auto"/>
        <w:jc w:val="both"/>
        <w:rPr>
          <w:rFonts w:ascii="Century Gothic" w:eastAsia="Calibri" w:hAnsi="Century Gothic" w:cs="Arial"/>
          <w:color w:val="000000" w:themeColor="text1"/>
          <w:lang w:val="es-ES_tradnl"/>
        </w:rPr>
      </w:pPr>
    </w:p>
    <w:p w14:paraId="4BD4BB5E" w14:textId="77777777" w:rsidR="00B66F22" w:rsidRPr="00B66F22" w:rsidRDefault="00B66F22" w:rsidP="00B66F22">
      <w:pPr>
        <w:tabs>
          <w:tab w:val="left" w:pos="0"/>
          <w:tab w:val="left" w:pos="142"/>
          <w:tab w:val="left" w:pos="284"/>
        </w:tabs>
        <w:spacing w:after="0" w:line="240" w:lineRule="auto"/>
        <w:contextualSpacing/>
        <w:jc w:val="both"/>
        <w:rPr>
          <w:rFonts w:ascii="Century Gothic" w:eastAsia="Calibri" w:hAnsi="Century Gothic" w:cs="Arial"/>
          <w:b/>
          <w:lang w:val="es-ES_tradnl"/>
        </w:rPr>
      </w:pPr>
      <w:r w:rsidRPr="00B66F22">
        <w:rPr>
          <w:rFonts w:ascii="Century Gothic" w:eastAsia="Calibri" w:hAnsi="Century Gothic" w:cs="Arial"/>
          <w:b/>
          <w:lang w:val="es-ES_tradnl"/>
        </w:rPr>
        <w:t xml:space="preserve">1. Problemas planteados </w:t>
      </w:r>
    </w:p>
    <w:p w14:paraId="3B24F0E5" w14:textId="77777777" w:rsidR="00B66F22" w:rsidRPr="00B66F22" w:rsidRDefault="00B66F22" w:rsidP="00B66F22">
      <w:pPr>
        <w:tabs>
          <w:tab w:val="left" w:pos="426"/>
        </w:tabs>
        <w:spacing w:after="0"/>
        <w:contextualSpacing/>
        <w:jc w:val="both"/>
        <w:rPr>
          <w:rFonts w:ascii="Century Gothic" w:eastAsia="Calibri" w:hAnsi="Century Gothic" w:cs="Arial"/>
          <w:b/>
          <w:szCs w:val="24"/>
          <w:lang w:val="es-ES_tradnl" w:eastAsia="es-ES_tradnl"/>
        </w:rPr>
      </w:pPr>
    </w:p>
    <w:p w14:paraId="133A62AD" w14:textId="77777777" w:rsidR="00B66F22" w:rsidRPr="00B66F22" w:rsidRDefault="00B66F22" w:rsidP="00B66F22">
      <w:pPr>
        <w:spacing w:after="0" w:line="276" w:lineRule="auto"/>
        <w:jc w:val="both"/>
        <w:rPr>
          <w:rFonts w:ascii="Century Gothic" w:eastAsia="Calibri" w:hAnsi="Century Gothic" w:cs="Arial"/>
          <w:bCs/>
          <w:szCs w:val="24"/>
          <w:lang w:val="es-ES_tradnl" w:eastAsia="es-ES_tradnl"/>
        </w:rPr>
      </w:pPr>
      <w:r w:rsidRPr="00B66F22">
        <w:rPr>
          <w:rFonts w:ascii="Century Gothic" w:eastAsia="Calibri" w:hAnsi="Century Gothic" w:cs="Arial"/>
          <w:bCs/>
          <w:szCs w:val="24"/>
          <w:lang w:val="es-ES_tradnl" w:eastAsia="es-ES_tradnl"/>
        </w:rPr>
        <w:t>Usted realiza la siguiente pregunta: “</w:t>
      </w:r>
      <w:proofErr w:type="gramStart"/>
      <w:r w:rsidRPr="00B66F22">
        <w:rPr>
          <w:rFonts w:ascii="Century Gothic" w:eastAsia="Calibri" w:hAnsi="Century Gothic" w:cs="Arial"/>
          <w:bCs/>
          <w:szCs w:val="24"/>
          <w:lang w:val="es-ES_tradnl" w:eastAsia="es-ES_tradnl"/>
        </w:rPr>
        <w:t xml:space="preserve">Los Centros Provinciales de </w:t>
      </w:r>
      <w:proofErr w:type="spellStart"/>
      <w:r w:rsidRPr="00B66F22">
        <w:rPr>
          <w:rFonts w:ascii="Century Gothic" w:eastAsia="Calibri" w:hAnsi="Century Gothic" w:cs="Arial"/>
          <w:bCs/>
          <w:szCs w:val="24"/>
          <w:lang w:val="es-ES_tradnl" w:eastAsia="es-ES_tradnl"/>
        </w:rPr>
        <w:t>Gestion</w:t>
      </w:r>
      <w:proofErr w:type="spellEnd"/>
      <w:r w:rsidRPr="00B66F22">
        <w:rPr>
          <w:rFonts w:ascii="Century Gothic" w:eastAsia="Calibri" w:hAnsi="Century Gothic" w:cs="Arial"/>
          <w:bCs/>
          <w:szCs w:val="24"/>
          <w:lang w:val="es-ES_tradnl" w:eastAsia="es-ES_tradnl"/>
        </w:rPr>
        <w:t xml:space="preserve"> Agroempresarial, dada su naturaleza pública, pueden participar en procesos de selección bajo el régimen del Decreto 092 de 2017?</w:t>
      </w:r>
      <w:proofErr w:type="gramEnd"/>
      <w:r w:rsidRPr="00B66F22">
        <w:rPr>
          <w:rFonts w:ascii="Century Gothic" w:eastAsia="Calibri" w:hAnsi="Century Gothic" w:cs="Arial"/>
          <w:bCs/>
          <w:szCs w:val="24"/>
          <w:lang w:val="es-ES_tradnl" w:eastAsia="es-ES_tradnl"/>
        </w:rPr>
        <w:t>” (SIC)</w:t>
      </w:r>
    </w:p>
    <w:p w14:paraId="41E84663" w14:textId="77777777" w:rsidR="00B66F22" w:rsidRPr="00B66F22" w:rsidRDefault="00B66F22" w:rsidP="00B66F22">
      <w:pPr>
        <w:spacing w:after="0" w:line="276" w:lineRule="auto"/>
        <w:jc w:val="both"/>
        <w:rPr>
          <w:rFonts w:ascii="Century Gothic" w:eastAsia="Calibri" w:hAnsi="Century Gothic" w:cs="Arial"/>
          <w:bCs/>
          <w:szCs w:val="24"/>
          <w:lang w:val="es-ES_tradnl" w:eastAsia="es-ES_tradnl"/>
        </w:rPr>
      </w:pPr>
    </w:p>
    <w:p w14:paraId="06E11F02" w14:textId="77777777" w:rsidR="00B66F22" w:rsidRPr="00B66F22" w:rsidRDefault="00B66F22" w:rsidP="00B66F22">
      <w:pPr>
        <w:spacing w:after="0" w:line="276" w:lineRule="auto"/>
        <w:jc w:val="both"/>
        <w:rPr>
          <w:rFonts w:ascii="Century Gothic" w:eastAsia="Calibri" w:hAnsi="Century Gothic" w:cs="Arial"/>
          <w:b/>
          <w:szCs w:val="24"/>
          <w:lang w:val="es-ES_tradnl" w:eastAsia="es-ES_tradnl"/>
        </w:rPr>
      </w:pPr>
      <w:r w:rsidRPr="00B66F22">
        <w:rPr>
          <w:rFonts w:ascii="Century Gothic" w:eastAsia="Calibri" w:hAnsi="Century Gothic" w:cs="Arial"/>
          <w:b/>
          <w:szCs w:val="24"/>
          <w:lang w:val="es-ES_tradnl" w:eastAsia="es-ES_tradnl"/>
        </w:rPr>
        <w:t xml:space="preserve">2. Consideraciones </w:t>
      </w:r>
    </w:p>
    <w:p w14:paraId="056F3771" w14:textId="77777777" w:rsidR="00B66F22" w:rsidRPr="00B66F22" w:rsidRDefault="00B66F22" w:rsidP="00B66F22">
      <w:pPr>
        <w:spacing w:after="0" w:line="276" w:lineRule="auto"/>
        <w:jc w:val="both"/>
        <w:rPr>
          <w:rFonts w:ascii="Century Gothic" w:eastAsia="Calibri" w:hAnsi="Century Gothic" w:cs="Arial"/>
          <w:b/>
          <w:color w:val="000000" w:themeColor="text1"/>
          <w:lang w:val="es-ES_tradnl"/>
        </w:rPr>
      </w:pPr>
    </w:p>
    <w:p w14:paraId="16AEA7DF" w14:textId="77777777" w:rsidR="00B66F22" w:rsidRPr="00B66F22" w:rsidRDefault="00B66F22" w:rsidP="00B66F22">
      <w:pPr>
        <w:spacing w:after="120" w:line="276" w:lineRule="auto"/>
        <w:jc w:val="both"/>
        <w:rPr>
          <w:rFonts w:ascii="Century Gothic" w:hAnsi="Century Gothic" w:cs="Arial"/>
          <w:bCs/>
          <w:color w:val="000000" w:themeColor="text1"/>
          <w:lang w:val="es-ES_tradnl"/>
        </w:rPr>
      </w:pPr>
      <w:r w:rsidRPr="00B66F22">
        <w:rPr>
          <w:rFonts w:ascii="Century Gothic" w:eastAsia="Calibri" w:hAnsi="Century Gothic" w:cs="Arial"/>
        </w:rPr>
        <w:t>De acuerdo con las facultades otorgadas por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B66F22">
        <w:rPr>
          <w:rFonts w:ascii="Century Gothic" w:eastAsia="Calibri" w:hAnsi="Century Gothic" w:cs="Arial"/>
          <w:vertAlign w:val="superscript"/>
        </w:rPr>
        <w:footnoteReference w:id="1"/>
      </w:r>
      <w:r w:rsidRPr="00B66F22">
        <w:rPr>
          <w:rFonts w:ascii="Century Gothic" w:eastAsia="Calibri" w:hAnsi="Century Gothic" w:cs="Arial"/>
        </w:rPr>
        <w:t xml:space="preserve">. Esto significa que no podemos pronunciarnos sobre casos particulares o sobre preguntas que no contengan dudas sobre la aplicación de una norma general en materia de contratación pública, así las cosas, en esta respuesta nos centraremos en la explicación normativa alrededor de su consulta. </w:t>
      </w:r>
      <w:r w:rsidRPr="00B66F22">
        <w:rPr>
          <w:rFonts w:ascii="Century Gothic" w:eastAsia="Calibri" w:hAnsi="Century Gothic" w:cs="Arial"/>
          <w:lang w:val="es-ES"/>
        </w:rPr>
        <w:t xml:space="preserve">Con este objetivo se analizarán las </w:t>
      </w:r>
      <w:r w:rsidRPr="00B66F22">
        <w:rPr>
          <w:rFonts w:ascii="Century Gothic" w:hAnsi="Century Gothic" w:cs="Arial"/>
          <w:bCs/>
          <w:color w:val="000000" w:themeColor="text1"/>
          <w:lang w:val="es-ES_tradnl"/>
        </w:rPr>
        <w:t xml:space="preserve">diferencias entre los contratos del artículo 355 de la Constitución Política y los convenios de asociación del artículo 96 de la Ley 489 de 1998, así como la posibilidad de suscribirlos únicamente con entidades privadas sin ánimo de lucro. </w:t>
      </w:r>
    </w:p>
    <w:p w14:paraId="456AC3DE" w14:textId="77777777" w:rsidR="00B66F22" w:rsidRPr="00B66F22" w:rsidRDefault="00B66F22" w:rsidP="00B66F22">
      <w:pPr>
        <w:spacing w:after="120" w:line="276" w:lineRule="auto"/>
        <w:ind w:firstLine="709"/>
        <w:jc w:val="both"/>
        <w:rPr>
          <w:rFonts w:ascii="Century Gothic" w:hAnsi="Century Gothic" w:cs="Arial"/>
        </w:rPr>
      </w:pPr>
      <w:r w:rsidRPr="00B66F22">
        <w:rPr>
          <w:rFonts w:ascii="Century Gothic" w:hAnsi="Century Gothic" w:cs="Arial"/>
        </w:rPr>
        <w:t xml:space="preserve">La Agencia Nacional de Contratación Pública – Colombia Compra Eficiente se ha pronunciado en diferentes conceptos sobre la contratación con entidades privadas sin ánimo de lucro y de reconocida idoneidad –desde ahora ESAL–, con fundamento en el Decreto autónomo 092 de 2017, en particular en los Conceptos 4201912000008310 del 26 de diciembre de 2019, 4201912000007899 del 27 de diciembre de 2019, 4201912000007901 del 27 de diciembre de 2019, C-057 del 18 de marzo de 2020, C-070 04 de marzo de 2020, C-094 del 04 de marzo de 2020, C-086 del 16 de marzo de 2020, C-101 del 16 de marzo de 2020, C-228 del 17 de marzo de 2020, C-014 del 24 de marzo de 2020, C-215 de 31 de marzo de 2020, C-223 del </w:t>
      </w:r>
      <w:r w:rsidRPr="00B66F22">
        <w:rPr>
          <w:rFonts w:ascii="Century Gothic" w:hAnsi="Century Gothic" w:cs="Arial"/>
        </w:rPr>
        <w:lastRenderedPageBreak/>
        <w:t>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y C-259 del 4 de julio de 2023</w:t>
      </w:r>
      <w:r w:rsidRPr="00B66F22">
        <w:rPr>
          <w:rFonts w:ascii="Century Gothic" w:eastAsia="Calibri" w:hAnsi="Century Gothic" w:cs="Arial"/>
          <w:vertAlign w:val="superscript"/>
        </w:rPr>
        <w:footnoteReference w:id="2"/>
      </w:r>
      <w:r w:rsidRPr="00B66F22">
        <w:rPr>
          <w:rFonts w:ascii="Century Gothic" w:hAnsi="Century Gothic" w:cs="Arial"/>
        </w:rPr>
        <w:t>. Las tesis propuestas en tales conceptos se reiteran a continuación y se complementan en lo pertinente.</w:t>
      </w:r>
    </w:p>
    <w:p w14:paraId="2BE8FBC8" w14:textId="77777777" w:rsidR="00B66F22" w:rsidRPr="00B66F22" w:rsidRDefault="00B66F22" w:rsidP="00B66F22">
      <w:pPr>
        <w:spacing w:line="276" w:lineRule="auto"/>
        <w:ind w:firstLine="708"/>
        <w:jc w:val="both"/>
        <w:rPr>
          <w:rFonts w:ascii="Century Gothic" w:eastAsia="Calibri" w:hAnsi="Century Gothic" w:cs="Arial"/>
          <w:bCs/>
          <w:lang w:val="es-ES_tradnl"/>
        </w:rPr>
      </w:pPr>
      <w:r w:rsidRPr="00B66F22">
        <w:rPr>
          <w:rFonts w:ascii="Century Gothic" w:eastAsia="Calibri" w:hAnsi="Century Gothic"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B66F22">
        <w:rPr>
          <w:rFonts w:ascii="Century Gothic" w:hAnsi="Century Gothic" w:cs="Arial"/>
          <w:vertAlign w:val="superscript"/>
        </w:rPr>
        <w:footnoteReference w:id="3"/>
      </w:r>
      <w:r w:rsidRPr="00B66F22">
        <w:rPr>
          <w:rFonts w:ascii="Century Gothic" w:eastAsia="Calibri" w:hAnsi="Century Gothic" w:cs="Arial"/>
          <w:bCs/>
          <w:lang w:val="es-ES_tradnl"/>
        </w:rPr>
        <w:t xml:space="preserve">. Por otra parte, </w:t>
      </w:r>
      <w:r w:rsidRPr="00B66F22">
        <w:rPr>
          <w:rFonts w:ascii="Century Gothic" w:eastAsia="Calibri" w:hAnsi="Century Gothic" w:cs="Arial"/>
          <w:bCs/>
          <w:u w:val="single"/>
          <w:lang w:val="es-ES_tradnl"/>
        </w:rPr>
        <w:t>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w:t>
      </w:r>
      <w:r w:rsidRPr="00B66F22">
        <w:rPr>
          <w:rFonts w:ascii="Century Gothic" w:eastAsia="Calibri" w:hAnsi="Century Gothic" w:cs="Arial"/>
          <w:bCs/>
          <w:lang w:val="es-ES_tradnl"/>
        </w:rPr>
        <w:t>. Ambas figuras tienen como fin desarrollar conjuntamente actividades relacionadas con los cometidos y funciones legales asignadas a la entidad</w:t>
      </w:r>
      <w:r w:rsidRPr="00B66F22">
        <w:rPr>
          <w:rFonts w:ascii="Century Gothic" w:eastAsia="Calibri" w:hAnsi="Century Gothic" w:cs="Arial"/>
          <w:bCs/>
          <w:vertAlign w:val="superscript"/>
          <w:lang w:val="es-ES_tradnl"/>
        </w:rPr>
        <w:footnoteReference w:id="4"/>
      </w:r>
      <w:r w:rsidRPr="00B66F22">
        <w:rPr>
          <w:rFonts w:ascii="Century Gothic" w:eastAsia="Calibri" w:hAnsi="Century Gothic" w:cs="Arial"/>
          <w:bCs/>
          <w:lang w:val="es-ES_tradnl"/>
        </w:rPr>
        <w:t>.</w:t>
      </w:r>
    </w:p>
    <w:p w14:paraId="24100338" w14:textId="77777777" w:rsidR="00B66F22" w:rsidRPr="00B66F22" w:rsidRDefault="00B66F22" w:rsidP="00B66F22">
      <w:pPr>
        <w:spacing w:before="120" w:after="120" w:line="276" w:lineRule="auto"/>
        <w:ind w:firstLine="709"/>
        <w:jc w:val="both"/>
        <w:rPr>
          <w:rFonts w:ascii="Century Gothic" w:eastAsia="Calibri" w:hAnsi="Century Gothic" w:cs="Arial"/>
          <w:bCs/>
          <w:lang w:val="es-ES_tradnl"/>
        </w:rPr>
      </w:pPr>
      <w:bookmarkStart w:id="3" w:name="_Hlk38819155"/>
      <w:r w:rsidRPr="00B66F22">
        <w:rPr>
          <w:rFonts w:ascii="Century Gothic" w:eastAsia="Calibri" w:hAnsi="Century Gothic" w:cs="Arial"/>
          <w:bCs/>
          <w:lang w:val="es-ES_tradnl"/>
        </w:rPr>
        <w:t xml:space="preserve">El </w:t>
      </w:r>
      <w:r w:rsidRPr="00B66F22">
        <w:rPr>
          <w:rFonts w:ascii="Century Gothic" w:eastAsia="Calibri" w:hAnsi="Century Gothic" w:cs="Arial"/>
          <w:bCs/>
          <w:u w:val="single"/>
          <w:lang w:val="es-ES_tradnl"/>
        </w:rPr>
        <w:t>Decreto 092 de 2017</w:t>
      </w:r>
      <w:r w:rsidRPr="00B66F22">
        <w:rPr>
          <w:rFonts w:ascii="Century Gothic" w:eastAsia="Calibri" w:hAnsi="Century Gothic" w:cs="Arial"/>
          <w:bCs/>
          <w:lang w:val="es-ES_tradnl"/>
        </w:rPr>
        <w:t xml:space="preserve"> dispone reglas para las contrataciones que realicen las entidades estatales con las ESAL. El Decreto regula dos (2) eventos: </w:t>
      </w:r>
      <w:r w:rsidRPr="00B66F22">
        <w:rPr>
          <w:rFonts w:ascii="Century Gothic" w:eastAsia="Calibri" w:hAnsi="Century Gothic" w:cs="Arial"/>
          <w:b/>
          <w:lang w:val="es-ES_tradnl"/>
        </w:rPr>
        <w:t>i)</w:t>
      </w:r>
      <w:r w:rsidRPr="00B66F22">
        <w:rPr>
          <w:rFonts w:ascii="Century Gothic" w:eastAsia="Calibri" w:hAnsi="Century Gothic" w:cs="Arial"/>
          <w:bCs/>
          <w:lang w:val="es-ES_tradnl"/>
        </w:rPr>
        <w:t xml:space="preserve"> los </w:t>
      </w:r>
      <w:r w:rsidRPr="00B66F22">
        <w:rPr>
          <w:rFonts w:ascii="Century Gothic" w:eastAsia="Calibri" w:hAnsi="Century Gothic" w:cs="Arial"/>
          <w:bCs/>
          <w:lang w:val="es-ES_tradnl"/>
        </w:rPr>
        <w:lastRenderedPageBreak/>
        <w:t xml:space="preserve">contratos del artículo 355 de la Constitución Política con el fin impulsar programas y actividades de interés público de acuerdo con el Plan Nacional o los planes seccionales de desarrollo; y </w:t>
      </w:r>
      <w:r w:rsidRPr="00B66F22">
        <w:rPr>
          <w:rFonts w:ascii="Century Gothic" w:eastAsia="Calibri" w:hAnsi="Century Gothic" w:cs="Arial"/>
          <w:b/>
          <w:lang w:val="es-ES_tradnl"/>
        </w:rPr>
        <w:t>ii)</w:t>
      </w:r>
      <w:r w:rsidRPr="00B66F22">
        <w:rPr>
          <w:rFonts w:ascii="Century Gothic" w:eastAsia="Calibri" w:hAnsi="Century Gothic" w:cs="Arial"/>
          <w:bCs/>
          <w:lang w:val="es-ES_tradnl"/>
        </w:rPr>
        <w:t xml:space="preserve"> los convenios de asociación, para el desarrollo conjunto de actividades relacionadas con las funciones de las entidades estatales, en desarrollo del artículo 96 de la Ley 489 de 1998. </w:t>
      </w:r>
      <w:bookmarkEnd w:id="3"/>
    </w:p>
    <w:p w14:paraId="155853D6" w14:textId="77777777" w:rsidR="00B66F22" w:rsidRPr="00F20AC4" w:rsidRDefault="00B66F22" w:rsidP="00B66F22">
      <w:pPr>
        <w:spacing w:before="120" w:after="120" w:line="276" w:lineRule="auto"/>
        <w:ind w:firstLine="709"/>
        <w:jc w:val="both"/>
        <w:rPr>
          <w:rFonts w:ascii="Century Gothic" w:eastAsia="Calibri" w:hAnsi="Century Gothic" w:cs="Arial"/>
          <w:bCs/>
          <w:lang w:val="es-ES_tradnl"/>
        </w:rPr>
      </w:pPr>
      <w:bookmarkStart w:id="4" w:name="_Hlk95756032"/>
      <w:r w:rsidRPr="00B66F22">
        <w:rPr>
          <w:rFonts w:ascii="Century Gothic" w:eastAsia="Calibri" w:hAnsi="Century Gothic" w:cs="Arial"/>
          <w:bCs/>
          <w:lang w:val="es-ES_tradnl"/>
        </w:rPr>
        <w:t xml:space="preserve">Los </w:t>
      </w:r>
      <w:r w:rsidRPr="00B66F22">
        <w:rPr>
          <w:rFonts w:ascii="Century Gothic" w:eastAsia="Calibri" w:hAnsi="Century Gothic" w:cs="Arial"/>
          <w:bCs/>
          <w:i/>
          <w:lang w:val="es-ES_tradnl"/>
        </w:rPr>
        <w:t>contratos del artículo 355 de la Constitución Política</w:t>
      </w:r>
      <w:r w:rsidRPr="00B66F22">
        <w:rPr>
          <w:rFonts w:ascii="Century Gothic" w:eastAsia="Calibri" w:hAnsi="Century Gothic"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w:t>
      </w:r>
      <w:r w:rsidRPr="00B66F22">
        <w:rPr>
          <w:rFonts w:ascii="Century Gothic" w:eastAsia="Calibri" w:hAnsi="Century Gothic" w:cs="Arial"/>
          <w:bCs/>
          <w:u w:val="single"/>
          <w:lang w:val="es-ES_tradnl"/>
        </w:rPr>
        <w:t>las normas aplicables son las del Estatuto General de Contratación</w:t>
      </w:r>
      <w:r w:rsidRPr="00B66F22">
        <w:rPr>
          <w:rFonts w:ascii="Century Gothic" w:eastAsia="Calibri" w:hAnsi="Century Gothic" w:cs="Arial"/>
          <w:bCs/>
          <w:lang w:val="es-ES_tradnl"/>
        </w:rPr>
        <w:t xml:space="preserve">. Solo cuando se reúnan estas condiciones es procedente celebrar contratos del artículo 355 de la Constitución Política; de lo contrario, se aplicarán las normas del </w:t>
      </w:r>
      <w:r w:rsidRPr="00F20AC4">
        <w:rPr>
          <w:rFonts w:ascii="Century Gothic" w:eastAsia="Calibri" w:hAnsi="Century Gothic" w:cs="Arial"/>
          <w:bCs/>
          <w:lang w:val="es-ES_tradnl"/>
        </w:rPr>
        <w:t>Estatuto General de Contratación de la Administración Pública.</w:t>
      </w:r>
    </w:p>
    <w:bookmarkEnd w:id="4"/>
    <w:p w14:paraId="78950012" w14:textId="77777777" w:rsidR="00B66F22" w:rsidRPr="00B66F22" w:rsidRDefault="00B66F22" w:rsidP="00B66F22">
      <w:pPr>
        <w:spacing w:before="120" w:after="120" w:line="276" w:lineRule="auto"/>
        <w:ind w:firstLine="709"/>
        <w:jc w:val="both"/>
        <w:rPr>
          <w:rFonts w:ascii="Century Gothic" w:eastAsia="Calibri" w:hAnsi="Century Gothic" w:cs="Arial"/>
          <w:bCs/>
          <w:lang w:val="es-ES_tradnl"/>
        </w:rPr>
      </w:pPr>
      <w:r w:rsidRPr="004454CC">
        <w:rPr>
          <w:rFonts w:ascii="Century Gothic" w:eastAsia="Calibri" w:hAnsi="Century Gothic" w:cs="Arial"/>
          <w:bCs/>
          <w:lang w:val="es-ES_tradnl"/>
        </w:rPr>
        <w:t xml:space="preserve">De otro lado, los </w:t>
      </w:r>
      <w:r w:rsidRPr="004454CC">
        <w:rPr>
          <w:rFonts w:ascii="Century Gothic" w:eastAsia="Calibri" w:hAnsi="Century Gothic" w:cs="Arial"/>
          <w:b/>
          <w:i/>
          <w:u w:val="single"/>
          <w:lang w:val="es-ES_tradnl"/>
        </w:rPr>
        <w:t>convenios de asociación</w:t>
      </w:r>
      <w:r w:rsidRPr="004454CC">
        <w:rPr>
          <w:rFonts w:ascii="Century Gothic" w:eastAsia="Calibri" w:hAnsi="Century Gothic" w:cs="Arial"/>
          <w:bCs/>
          <w:lang w:val="es-ES_tradnl"/>
        </w:rPr>
        <w:t xml:space="preserve"> “[t]</w:t>
      </w:r>
      <w:proofErr w:type="spellStart"/>
      <w:r w:rsidRPr="004454CC">
        <w:rPr>
          <w:rFonts w:ascii="Century Gothic" w:eastAsia="Calibri" w:hAnsi="Century Gothic" w:cs="Arial"/>
          <w:bCs/>
          <w:lang w:val="es-ES_tradnl"/>
        </w:rPr>
        <w:t>ienen</w:t>
      </w:r>
      <w:proofErr w:type="spellEnd"/>
      <w:r w:rsidRPr="004454CC">
        <w:rPr>
          <w:rFonts w:ascii="Century Gothic" w:eastAsia="Calibri" w:hAnsi="Century Gothic" w:cs="Arial"/>
          <w:bCs/>
          <w:lang w:val="es-ES_tradnl"/>
        </w:rPr>
        <w:t xml:space="preserve"> como finalidad que la entidad estatal, </w:t>
      </w:r>
      <w:r w:rsidRPr="004454CC">
        <w:rPr>
          <w:rFonts w:ascii="Century Gothic" w:eastAsia="Calibri" w:hAnsi="Century Gothic" w:cs="Arial"/>
          <w:b/>
          <w:u w:val="single"/>
          <w:lang w:val="es-ES_tradnl"/>
        </w:rPr>
        <w:t>cualquiera que sea su naturaleza y orden administrativo</w:t>
      </w:r>
      <w:r w:rsidRPr="004454CC">
        <w:rPr>
          <w:rFonts w:ascii="Century Gothic" w:eastAsia="Calibri" w:hAnsi="Century Gothic" w:cs="Arial"/>
          <w:bCs/>
          <w:lang w:val="es-ES_tradnl"/>
        </w:rPr>
        <w:t>, se asocien con personas jurídicas particulares para el desarrollo conjunto de actividades relacionadas con los cometidos y funciones asignadas a aquellas conforme a la Constitución y a la Ley”</w:t>
      </w:r>
      <w:r w:rsidRPr="004454CC">
        <w:rPr>
          <w:rFonts w:ascii="Century Gothic" w:hAnsi="Century Gothic" w:cs="Arial"/>
          <w:vertAlign w:val="superscript"/>
        </w:rPr>
        <w:footnoteReference w:id="5"/>
      </w:r>
      <w:r w:rsidRPr="004454CC">
        <w:rPr>
          <w:rFonts w:ascii="Century Gothic" w:eastAsia="Calibri" w:hAnsi="Century Gothic" w:cs="Arial"/>
          <w:bCs/>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w:t>
      </w:r>
      <w:r w:rsidRPr="004454CC">
        <w:rPr>
          <w:rFonts w:ascii="Century Gothic" w:eastAsia="Calibri" w:hAnsi="Century Gothic" w:cs="Arial"/>
          <w:b/>
          <w:u w:val="single"/>
          <w:lang w:val="es-ES_tradnl"/>
        </w:rPr>
        <w:t>El convenio de asociación no es conmutativo</w:t>
      </w:r>
      <w:r w:rsidRPr="004454CC">
        <w:rPr>
          <w:rFonts w:ascii="Century Gothic" w:eastAsia="Calibri" w:hAnsi="Century Gothic" w:cs="Arial"/>
          <w:bCs/>
          <w:lang w:val="es-ES_tradnl"/>
        </w:rPr>
        <w:t xml:space="preserve">, </w:t>
      </w:r>
      <w:proofErr w:type="gramStart"/>
      <w:r w:rsidRPr="004454CC">
        <w:rPr>
          <w:rFonts w:ascii="Century Gothic" w:eastAsia="Calibri" w:hAnsi="Century Gothic" w:cs="Arial"/>
          <w:bCs/>
          <w:lang w:val="es-ES_tradnl"/>
        </w:rPr>
        <w:t>y</w:t>
      </w:r>
      <w:proofErr w:type="gramEnd"/>
      <w:r w:rsidRPr="004454CC">
        <w:rPr>
          <w:rFonts w:ascii="Century Gothic" w:eastAsia="Calibri" w:hAnsi="Century Gothic" w:cs="Arial"/>
          <w:bCs/>
          <w:lang w:val="es-ES_tradnl"/>
        </w:rPr>
        <w:t xml:space="preserve"> por tanto, la entidad no instruye al contratista para desarrollar los </w:t>
      </w:r>
      <w:r w:rsidRPr="004454CC">
        <w:rPr>
          <w:rFonts w:ascii="Century Gothic" w:eastAsia="Calibri" w:hAnsi="Century Gothic" w:cs="Arial"/>
          <w:bCs/>
          <w:lang w:val="es-ES_tradnl"/>
        </w:rPr>
        <w:lastRenderedPageBreak/>
        <w:t>programas o actividades previstas, sino que se asocia con él para el cumplimiento de objetivos comunes</w:t>
      </w:r>
      <w:r w:rsidRPr="004454CC">
        <w:rPr>
          <w:rFonts w:ascii="Century Gothic" w:hAnsi="Century Gothic" w:cs="Arial"/>
          <w:vertAlign w:val="superscript"/>
        </w:rPr>
        <w:footnoteReference w:id="6"/>
      </w:r>
      <w:r w:rsidRPr="004454CC">
        <w:rPr>
          <w:rFonts w:ascii="Century Gothic" w:eastAsia="Calibri" w:hAnsi="Century Gothic" w:cs="Arial"/>
          <w:bCs/>
          <w:lang w:val="es-ES_tradnl"/>
        </w:rPr>
        <w:t>.</w:t>
      </w:r>
    </w:p>
    <w:p w14:paraId="0730AFBF" w14:textId="77777777" w:rsidR="00B66F22" w:rsidRPr="00B66F22" w:rsidRDefault="00B66F22" w:rsidP="00B66F22">
      <w:pPr>
        <w:spacing w:before="120" w:after="120" w:line="276" w:lineRule="auto"/>
        <w:ind w:firstLine="709"/>
        <w:jc w:val="both"/>
        <w:rPr>
          <w:rFonts w:ascii="Century Gothic" w:eastAsia="Calibri" w:hAnsi="Century Gothic" w:cs="Arial"/>
          <w:bCs/>
        </w:rPr>
      </w:pPr>
      <w:r w:rsidRPr="00B66F22">
        <w:rPr>
          <w:rFonts w:ascii="Century Gothic" w:eastAsia="Calibri" w:hAnsi="Century Gothic" w:cs="Arial"/>
          <w:bCs/>
          <w:lang w:val="es-ES_tradnl"/>
        </w:rPr>
        <w:t xml:space="preserve">La normativa vigente no impide que varias entidades suscriban conjuntamente el convenio de asociación y tampoco que dos o más ESAL pueden hacerlo, a través de las </w:t>
      </w:r>
      <w:r w:rsidRPr="00B66F22">
        <w:rPr>
          <w:rFonts w:ascii="Century Gothic" w:eastAsia="Calibri" w:hAnsi="Century Gothic" w:cs="Arial"/>
          <w:b/>
          <w:u w:val="single"/>
          <w:lang w:val="es-ES_tradnl"/>
        </w:rPr>
        <w:t>figuras asociativas autorizadas por la ley</w:t>
      </w:r>
      <w:r w:rsidRPr="00B66F22">
        <w:rPr>
          <w:rFonts w:ascii="Century Gothic" w:eastAsia="Calibri" w:hAnsi="Century Gothic" w:cs="Arial"/>
          <w:bCs/>
          <w:lang w:val="es-ES_tradnl"/>
        </w:rPr>
        <w:t>, por ejemplo, como unión temporal o como consorcio</w:t>
      </w:r>
      <w:r w:rsidRPr="00B66F22">
        <w:rPr>
          <w:rFonts w:ascii="Century Gothic" w:eastAsia="Calibri" w:hAnsi="Century Gothic"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w:t>
      </w:r>
      <w:r w:rsidRPr="00B66F22">
        <w:rPr>
          <w:rFonts w:ascii="Century Gothic" w:eastAsia="Calibri" w:hAnsi="Century Gothic" w:cs="Arial"/>
          <w:bCs/>
          <w:u w:val="single"/>
        </w:rPr>
        <w:t>las entidades deben asegurarse de que su contratista, es decir, las ESAL, aporte al menos el treinta por ciento del valor del convenio para celebrarlo directamente</w:t>
      </w:r>
      <w:r w:rsidRPr="00B66F22">
        <w:rPr>
          <w:rFonts w:ascii="Century Gothic" w:eastAsia="Calibri" w:hAnsi="Century Gothic" w:cs="Arial"/>
          <w:bCs/>
        </w:rPr>
        <w:t xml:space="preserve">. Además, en atención al inciso 2 del artículo 5 del Decreto 092 de 2017, deben asegurarse </w:t>
      </w:r>
      <w:proofErr w:type="gramStart"/>
      <w:r w:rsidRPr="00B66F22">
        <w:rPr>
          <w:rFonts w:ascii="Century Gothic" w:eastAsia="Calibri" w:hAnsi="Century Gothic" w:cs="Arial"/>
          <w:bCs/>
        </w:rPr>
        <w:t>que</w:t>
      </w:r>
      <w:proofErr w:type="gramEnd"/>
      <w:r w:rsidRPr="00B66F22">
        <w:rPr>
          <w:rFonts w:ascii="Century Gothic" w:eastAsia="Calibri" w:hAnsi="Century Gothic" w:cs="Arial"/>
          <w:bCs/>
        </w:rPr>
        <w:t xml:space="preserv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71D2F9F1" w14:textId="77777777" w:rsidR="00B66F22" w:rsidRPr="00F20AC4" w:rsidRDefault="00B66F22" w:rsidP="00B66F22">
      <w:pPr>
        <w:spacing w:before="120" w:after="120" w:line="276" w:lineRule="auto"/>
        <w:ind w:firstLine="709"/>
        <w:jc w:val="both"/>
        <w:rPr>
          <w:rFonts w:ascii="Century Gothic" w:hAnsi="Century Gothic"/>
        </w:rPr>
      </w:pPr>
      <w:r w:rsidRPr="00B66F22">
        <w:rPr>
          <w:rFonts w:ascii="Century Gothic" w:hAnsi="Century Gothic" w:cs="Arial"/>
          <w:color w:val="000000" w:themeColor="text1"/>
        </w:rPr>
        <w:t xml:space="preserve">La noción “seleccionar de forma objetiva”, contenida en la disposición </w:t>
      </w:r>
      <w:r w:rsidRPr="00B66F22">
        <w:rPr>
          <w:rFonts w:ascii="Century Gothic" w:hAnsi="Century Gothic" w:cs="Arial"/>
          <w:i/>
          <w:iCs/>
          <w:color w:val="000000" w:themeColor="text1"/>
        </w:rPr>
        <w:t xml:space="preserve">sub examine </w:t>
      </w:r>
      <w:r w:rsidRPr="00B66F22">
        <w:rPr>
          <w:rFonts w:ascii="Century Gothic" w:hAnsi="Century Gothic" w:cs="Arial"/>
          <w:color w:val="000000" w:themeColor="text1"/>
        </w:rPr>
        <w:t xml:space="preserve">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w:t>
      </w:r>
      <w:r w:rsidRPr="00F20AC4">
        <w:rPr>
          <w:rFonts w:ascii="Century Gothic" w:hAnsi="Century Gothic" w:cs="Arial"/>
          <w:color w:val="000000" w:themeColor="text1"/>
        </w:rPr>
        <w:t>Decreto 092 de 2017.</w:t>
      </w:r>
    </w:p>
    <w:p w14:paraId="45CB7E4C" w14:textId="77777777" w:rsidR="00B66F22" w:rsidRPr="00B66F22" w:rsidRDefault="00B66F22" w:rsidP="00B66F22">
      <w:pPr>
        <w:spacing w:after="0" w:line="276" w:lineRule="auto"/>
        <w:ind w:firstLine="708"/>
        <w:jc w:val="both"/>
        <w:rPr>
          <w:rFonts w:ascii="Century Gothic" w:hAnsi="Century Gothic" w:cs="Arial"/>
          <w:color w:val="000000" w:themeColor="text1"/>
          <w:lang w:val="es-MX"/>
        </w:rPr>
      </w:pPr>
      <w:r w:rsidRPr="004454CC">
        <w:rPr>
          <w:rFonts w:ascii="Century Gothic" w:hAnsi="Century Gothic" w:cs="Arial"/>
          <w:color w:val="000000" w:themeColor="text1"/>
          <w:lang w:val="es-MX"/>
        </w:rPr>
        <w:t xml:space="preserve">Es importante aclarar que los negocios jurídicos que regula el Decreto 092 de 2017 “[…] </w:t>
      </w:r>
      <w:r w:rsidRPr="004454CC">
        <w:rPr>
          <w:rFonts w:ascii="Century Gothic" w:hAnsi="Century Gothic" w:cs="Arial"/>
          <w:b/>
          <w:bCs/>
          <w:color w:val="000000" w:themeColor="text1"/>
          <w:u w:val="single"/>
          <w:lang w:val="es-MX"/>
        </w:rPr>
        <w:t xml:space="preserve">son esencialmente distintos a los contratos para la adquisición y aprovisionamiento de bienes, obras o servicios regulados por el estatuto de </w:t>
      </w:r>
      <w:r w:rsidRPr="004454CC">
        <w:rPr>
          <w:rFonts w:ascii="Century Gothic" w:hAnsi="Century Gothic" w:cs="Arial"/>
          <w:b/>
          <w:bCs/>
          <w:color w:val="000000" w:themeColor="text1"/>
          <w:u w:val="single"/>
          <w:lang w:val="es-MX"/>
        </w:rPr>
        <w:lastRenderedPageBreak/>
        <w:t xml:space="preserve">contratación </w:t>
      </w:r>
      <w:proofErr w:type="gramStart"/>
      <w:r w:rsidRPr="004454CC">
        <w:rPr>
          <w:rFonts w:ascii="Century Gothic" w:hAnsi="Century Gothic" w:cs="Arial"/>
          <w:b/>
          <w:bCs/>
          <w:color w:val="000000" w:themeColor="text1"/>
          <w:u w:val="single"/>
          <w:lang w:val="es-MX"/>
        </w:rPr>
        <w:t>y[</w:t>
      </w:r>
      <w:proofErr w:type="gramEnd"/>
      <w:r w:rsidRPr="004454CC">
        <w:rPr>
          <w:rFonts w:ascii="Century Gothic" w:hAnsi="Century Gothic" w:cs="Arial"/>
          <w:b/>
          <w:bCs/>
          <w:color w:val="000000" w:themeColor="text1"/>
          <w:u w:val="single"/>
          <w:lang w:val="es-MX"/>
        </w:rPr>
        <w:t>, como tal,] no hacen parte del sistema de compra pública.</w:t>
      </w:r>
      <w:r w:rsidRPr="004454CC">
        <w:rPr>
          <w:rFonts w:ascii="Century Gothic" w:hAnsi="Century Gothic" w:cs="Arial"/>
          <w:color w:val="000000" w:themeColor="text1"/>
          <w:lang w:val="es-MX"/>
        </w:rPr>
        <w:t xml:space="preserve">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4454CC">
        <w:rPr>
          <w:rFonts w:ascii="Century Gothic" w:hAnsi="Century Gothic" w:cs="Arial"/>
          <w:color w:val="000000" w:themeColor="text1"/>
          <w:vertAlign w:val="superscript"/>
          <w:lang w:val="es-MX"/>
        </w:rPr>
        <w:footnoteReference w:id="7"/>
      </w:r>
      <w:r w:rsidRPr="004454CC">
        <w:rPr>
          <w:rFonts w:ascii="Century Gothic" w:hAnsi="Century Gothic" w:cs="Arial"/>
          <w:color w:val="000000" w:themeColor="text1"/>
          <w:lang w:val="es-MX"/>
        </w:rPr>
        <w:t>.</w:t>
      </w:r>
      <w:r w:rsidRPr="00F20AC4">
        <w:rPr>
          <w:rFonts w:ascii="Century Gothic" w:hAnsi="Century Gothic" w:cs="Arial"/>
          <w:color w:val="000000" w:themeColor="text1"/>
          <w:lang w:val="es-MX"/>
        </w:rPr>
        <w:t xml:space="preserve"> Así lo consideró la Sala de Consulta y Servicio Civil del Consejo de Estado:</w:t>
      </w:r>
    </w:p>
    <w:p w14:paraId="2AB90B3E" w14:textId="77777777" w:rsidR="00B66F22" w:rsidRPr="00B66F22" w:rsidRDefault="00B66F22" w:rsidP="00B66F22">
      <w:pPr>
        <w:spacing w:after="0" w:line="276" w:lineRule="auto"/>
        <w:jc w:val="both"/>
        <w:rPr>
          <w:rFonts w:ascii="Century Gothic" w:hAnsi="Century Gothic" w:cs="Arial"/>
          <w:color w:val="000000" w:themeColor="text1"/>
          <w:lang w:val="es-MX"/>
        </w:rPr>
      </w:pPr>
    </w:p>
    <w:p w14:paraId="17F11701" w14:textId="77777777" w:rsidR="00B66F22" w:rsidRPr="00B66F22" w:rsidRDefault="00B66F22" w:rsidP="00B66F22">
      <w:pPr>
        <w:spacing w:line="240" w:lineRule="auto"/>
        <w:ind w:left="709" w:right="709"/>
        <w:jc w:val="both"/>
        <w:rPr>
          <w:rFonts w:ascii="Century Gothic" w:eastAsia="Calibri" w:hAnsi="Century Gothic" w:cs="Arial"/>
          <w:color w:val="000000" w:themeColor="text1"/>
          <w:sz w:val="21"/>
          <w:szCs w:val="21"/>
        </w:rPr>
      </w:pPr>
      <w:r w:rsidRPr="00B66F22">
        <w:rPr>
          <w:rFonts w:ascii="Century Gothic" w:eastAsia="Calibri" w:hAnsi="Century Gothic"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B66F22">
        <w:rPr>
          <w:rFonts w:ascii="Century Gothic" w:eastAsia="Calibri" w:hAnsi="Century Gothic" w:cs="Arial"/>
          <w:color w:val="000000" w:themeColor="text1"/>
          <w:sz w:val="21"/>
          <w:szCs w:val="21"/>
        </w:rPr>
        <w:t>y</w:t>
      </w:r>
      <w:proofErr w:type="gramEnd"/>
      <w:r w:rsidRPr="00B66F22">
        <w:rPr>
          <w:rFonts w:ascii="Century Gothic" w:eastAsia="Calibri" w:hAnsi="Century Gothic" w:cs="Arial"/>
          <w:color w:val="000000" w:themeColor="text1"/>
          <w:sz w:val="21"/>
          <w:szCs w:val="21"/>
        </w:rPr>
        <w:t xml:space="preserve"> por lo tanto, se tipifican dentro de cualquiera de las modalidades de contratación de la ley 80 de 1.993, debiendo sujetarse a los procedimientos allí previstos, en especial los de escogencia del contratista.</w:t>
      </w:r>
    </w:p>
    <w:p w14:paraId="170C2DCC" w14:textId="77777777" w:rsidR="00B66F22" w:rsidRPr="00B66F22" w:rsidRDefault="00B66F22" w:rsidP="00B66F22">
      <w:pPr>
        <w:spacing w:after="0" w:line="240" w:lineRule="auto"/>
        <w:ind w:left="708" w:right="709"/>
        <w:jc w:val="both"/>
        <w:rPr>
          <w:rFonts w:ascii="Century Gothic" w:eastAsia="Calibri" w:hAnsi="Century Gothic" w:cs="Arial"/>
          <w:color w:val="000000" w:themeColor="text1"/>
          <w:sz w:val="21"/>
          <w:szCs w:val="21"/>
        </w:rPr>
      </w:pPr>
      <w:r w:rsidRPr="00B66F22">
        <w:rPr>
          <w:rFonts w:ascii="Century Gothic" w:eastAsia="Calibri" w:hAnsi="Century Gothic"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B66F22">
        <w:rPr>
          <w:rFonts w:ascii="Century Gothic" w:eastAsia="Calibri" w:hAnsi="Century Gothic" w:cs="Arial"/>
          <w:color w:val="000000" w:themeColor="text1"/>
          <w:sz w:val="21"/>
          <w:szCs w:val="21"/>
        </w:rPr>
        <w:t>sería</w:t>
      </w:r>
      <w:proofErr w:type="gramEnd"/>
      <w:r w:rsidRPr="00B66F22">
        <w:rPr>
          <w:rFonts w:ascii="Century Gothic" w:eastAsia="Calibri" w:hAnsi="Century Gothic" w:cs="Arial"/>
          <w:color w:val="000000" w:themeColor="text1"/>
          <w:sz w:val="21"/>
          <w:szCs w:val="21"/>
        </w:rPr>
        <w:t xml:space="preserve"> por ejemplo, contratos de prestación de servicios o de obra pública</w:t>
      </w:r>
      <w:r w:rsidRPr="00B66F22">
        <w:rPr>
          <w:rFonts w:ascii="Century Gothic" w:hAnsi="Century Gothic" w:cs="Arial"/>
          <w:color w:val="000000" w:themeColor="text1"/>
          <w:vertAlign w:val="superscript"/>
        </w:rPr>
        <w:footnoteReference w:id="8"/>
      </w:r>
      <w:r w:rsidRPr="00B66F22">
        <w:rPr>
          <w:rFonts w:ascii="Century Gothic" w:eastAsia="Calibri" w:hAnsi="Century Gothic" w:cs="Arial"/>
          <w:color w:val="000000" w:themeColor="text1"/>
          <w:sz w:val="21"/>
          <w:szCs w:val="21"/>
        </w:rPr>
        <w:t>.</w:t>
      </w:r>
    </w:p>
    <w:p w14:paraId="4945B9EF" w14:textId="77777777" w:rsidR="00B66F22" w:rsidRPr="00B66F22" w:rsidRDefault="00B66F22" w:rsidP="00B66F22">
      <w:pPr>
        <w:spacing w:after="0" w:line="276" w:lineRule="auto"/>
        <w:ind w:firstLine="708"/>
        <w:jc w:val="both"/>
        <w:rPr>
          <w:rFonts w:ascii="Century Gothic" w:eastAsia="Calibri" w:hAnsi="Century Gothic" w:cs="Arial"/>
          <w:color w:val="000000" w:themeColor="text1"/>
        </w:rPr>
      </w:pPr>
      <w:bookmarkStart w:id="5" w:name="_Hlk95756200"/>
    </w:p>
    <w:p w14:paraId="12FAE2F7" w14:textId="77777777" w:rsidR="00B66F22" w:rsidRPr="00B66F22" w:rsidRDefault="00B66F22" w:rsidP="00B66F22">
      <w:pPr>
        <w:spacing w:after="0" w:line="276" w:lineRule="auto"/>
        <w:ind w:firstLine="708"/>
        <w:jc w:val="both"/>
        <w:rPr>
          <w:rFonts w:ascii="Century Gothic" w:eastAsia="Calibri" w:hAnsi="Century Gothic" w:cs="Arial"/>
          <w:color w:val="000000" w:themeColor="text1"/>
        </w:rPr>
      </w:pPr>
      <w:r w:rsidRPr="004454CC">
        <w:rPr>
          <w:rFonts w:ascii="Century Gothic" w:eastAsia="Calibri" w:hAnsi="Century Gothic"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w:t>
      </w:r>
      <w:r w:rsidRPr="004454CC">
        <w:rPr>
          <w:rFonts w:ascii="Century Gothic" w:eastAsia="Calibri" w:hAnsi="Century Gothic" w:cs="Arial"/>
          <w:b/>
          <w:bCs/>
          <w:color w:val="000000" w:themeColor="text1"/>
          <w:u w:val="single"/>
        </w:rPr>
        <w:t>lo que determina la aplicación del Decreto 092 de 2017 no es únicamente el carácter de las ESAL sino el objeto del contrato o convenio que la entidad pretende adelantar</w:t>
      </w:r>
      <w:r w:rsidRPr="004454CC">
        <w:rPr>
          <w:rFonts w:ascii="Century Gothic" w:eastAsia="Calibri" w:hAnsi="Century Gothic" w:cs="Arial"/>
          <w:color w:val="000000" w:themeColor="text1"/>
        </w:rPr>
        <w:t xml:space="preserve">. Por tanto, el hecho de que se trate de una entidad sin ánimo de lucro no implica que necesariamente deba celebrarse un contrato de colaboración o un convenio de asociación. </w:t>
      </w:r>
      <w:bookmarkEnd w:id="5"/>
      <w:r w:rsidRPr="004454CC">
        <w:rPr>
          <w:rFonts w:ascii="Century Gothic" w:eastAsia="Calibri" w:hAnsi="Century Gothic" w:cs="Arial"/>
          <w:color w:val="000000" w:themeColor="text1"/>
        </w:rPr>
        <w:t>Así lo reconoció la Corte Constitucional en la sentencia C-287 del 18 de abril de 2012, en la que sostuvo lo siguiente</w:t>
      </w:r>
      <w:r w:rsidRPr="00F20AC4">
        <w:rPr>
          <w:rFonts w:ascii="Century Gothic" w:eastAsia="Calibri" w:hAnsi="Century Gothic" w:cs="Arial"/>
          <w:color w:val="000000" w:themeColor="text1"/>
        </w:rPr>
        <w:t>:</w:t>
      </w:r>
    </w:p>
    <w:p w14:paraId="3DE1C8BD" w14:textId="77777777" w:rsidR="00B66F22" w:rsidRPr="00B66F22" w:rsidRDefault="00B66F22" w:rsidP="00B66F22">
      <w:pPr>
        <w:spacing w:after="0" w:line="276" w:lineRule="auto"/>
        <w:ind w:firstLine="708"/>
        <w:jc w:val="both"/>
        <w:rPr>
          <w:rFonts w:ascii="Century Gothic" w:eastAsia="Calibri" w:hAnsi="Century Gothic" w:cs="Arial"/>
          <w:color w:val="000000" w:themeColor="text1"/>
        </w:rPr>
      </w:pPr>
    </w:p>
    <w:p w14:paraId="19DEDE8B" w14:textId="77777777" w:rsidR="00B66F22" w:rsidRPr="00B66F22" w:rsidRDefault="00B66F22" w:rsidP="00B66F22">
      <w:pPr>
        <w:spacing w:line="240" w:lineRule="auto"/>
        <w:ind w:left="709" w:right="709"/>
        <w:jc w:val="both"/>
        <w:rPr>
          <w:rFonts w:ascii="Century Gothic" w:eastAsia="Calibri" w:hAnsi="Century Gothic" w:cs="Arial"/>
          <w:color w:val="000000" w:themeColor="text1"/>
          <w:sz w:val="21"/>
          <w:szCs w:val="21"/>
        </w:rPr>
      </w:pPr>
      <w:r w:rsidRPr="00B66F22">
        <w:rPr>
          <w:rFonts w:ascii="Century Gothic" w:eastAsia="Calibri" w:hAnsi="Century Gothic" w:cs="Arial"/>
          <w:color w:val="000000" w:themeColor="text1"/>
          <w:sz w:val="21"/>
          <w:szCs w:val="21"/>
        </w:rPr>
        <w:t xml:space="preserve">Las corporaciones o asociaciones sin ánimo de lucro han sido definas por la doctrina como personas jurídicas que surgen de la voluntad de un </w:t>
      </w:r>
      <w:r w:rsidRPr="00B66F22">
        <w:rPr>
          <w:rFonts w:ascii="Century Gothic" w:eastAsia="Calibri" w:hAnsi="Century Gothic" w:cs="Arial"/>
          <w:color w:val="000000" w:themeColor="text1"/>
          <w:sz w:val="21"/>
          <w:szCs w:val="21"/>
        </w:rPr>
        <w:lastRenderedPageBreak/>
        <w:t>grupo de individuos que vinculan un capital a la obtención de un fin de interés general o de bienestar común no lucrativo, de manera que tienen como finalidad propia la satisfacción de intereses públicos y sociales.</w:t>
      </w:r>
    </w:p>
    <w:p w14:paraId="160C32D8" w14:textId="77777777" w:rsidR="00B66F22" w:rsidRPr="00B66F22" w:rsidRDefault="00B66F22" w:rsidP="00B66F22">
      <w:pPr>
        <w:spacing w:after="0" w:line="240" w:lineRule="auto"/>
        <w:ind w:left="709" w:right="709"/>
        <w:jc w:val="both"/>
        <w:rPr>
          <w:rFonts w:ascii="Century Gothic" w:eastAsia="Calibri" w:hAnsi="Century Gothic" w:cs="Arial"/>
          <w:color w:val="000000" w:themeColor="text1"/>
          <w:sz w:val="21"/>
          <w:szCs w:val="21"/>
        </w:rPr>
      </w:pPr>
      <w:r w:rsidRPr="00B66F22">
        <w:rPr>
          <w:rFonts w:ascii="Century Gothic" w:eastAsia="Calibri" w:hAnsi="Century Gothic" w:cs="Arial"/>
          <w:i/>
          <w:iCs/>
          <w:color w:val="000000" w:themeColor="text1"/>
          <w:sz w:val="21"/>
          <w:szCs w:val="21"/>
        </w:rPr>
        <w:t xml:space="preserve">Sin embargo, el hecho que no persigan una finalidad </w:t>
      </w:r>
      <w:proofErr w:type="gramStart"/>
      <w:r w:rsidRPr="00B66F22">
        <w:rPr>
          <w:rFonts w:ascii="Century Gothic" w:eastAsia="Calibri" w:hAnsi="Century Gothic" w:cs="Arial"/>
          <w:i/>
          <w:iCs/>
          <w:color w:val="000000" w:themeColor="text1"/>
          <w:sz w:val="21"/>
          <w:szCs w:val="21"/>
        </w:rPr>
        <w:t>lucrativa,</w:t>
      </w:r>
      <w:proofErr w:type="gramEnd"/>
      <w:r w:rsidRPr="00B66F22">
        <w:rPr>
          <w:rFonts w:ascii="Century Gothic" w:eastAsia="Calibri" w:hAnsi="Century Gothic"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B66F22">
        <w:rPr>
          <w:rFonts w:ascii="Century Gothic" w:eastAsia="Calibri" w:hAnsi="Century Gothic"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B66F22">
        <w:rPr>
          <w:rFonts w:ascii="Century Gothic" w:eastAsia="Calibri" w:hAnsi="Century Gothic" w:cs="Arial"/>
          <w:color w:val="000000" w:themeColor="text1"/>
          <w:sz w:val="21"/>
          <w:szCs w:val="21"/>
        </w:rPr>
        <w:t>del mismo</w:t>
      </w:r>
      <w:proofErr w:type="gramEnd"/>
      <w:r w:rsidRPr="00B66F22">
        <w:rPr>
          <w:rFonts w:ascii="Century Gothic" w:eastAsia="Calibri" w:hAnsi="Century Gothic" w:cs="Arial"/>
          <w:color w:val="000000" w:themeColor="text1"/>
          <w:sz w:val="21"/>
          <w:szCs w:val="21"/>
        </w:rPr>
        <w:t xml:space="preserve"> en el momento de su disolución o liquidación. (Cursivas propias)</w:t>
      </w:r>
    </w:p>
    <w:p w14:paraId="6D0752B8" w14:textId="77777777" w:rsidR="00B66F22" w:rsidRPr="00B66F22" w:rsidRDefault="00B66F22" w:rsidP="00B66F22">
      <w:pPr>
        <w:spacing w:after="0" w:line="276" w:lineRule="auto"/>
        <w:ind w:firstLine="709"/>
        <w:jc w:val="both"/>
        <w:rPr>
          <w:rFonts w:ascii="Century Gothic" w:eastAsia="Calibri" w:hAnsi="Century Gothic" w:cs="Arial"/>
          <w:color w:val="000000" w:themeColor="text1"/>
        </w:rPr>
      </w:pPr>
    </w:p>
    <w:p w14:paraId="4CFD5D45" w14:textId="77777777" w:rsidR="00B66F22" w:rsidRPr="00B66F22" w:rsidRDefault="00B66F22" w:rsidP="00B66F22">
      <w:pPr>
        <w:spacing w:line="276" w:lineRule="auto"/>
        <w:ind w:firstLine="709"/>
        <w:jc w:val="both"/>
        <w:rPr>
          <w:rFonts w:ascii="Century Gothic" w:eastAsia="Calibri" w:hAnsi="Century Gothic" w:cs="Arial"/>
          <w:color w:val="000000" w:themeColor="text1"/>
        </w:rPr>
      </w:pPr>
      <w:r w:rsidRPr="00B66F22">
        <w:rPr>
          <w:rFonts w:ascii="Century Gothic" w:eastAsia="Calibri" w:hAnsi="Century Gothic" w:cs="Arial"/>
          <w:color w:val="000000" w:themeColor="text1"/>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w:t>
      </w:r>
      <w:r w:rsidRPr="004454CC">
        <w:rPr>
          <w:rFonts w:ascii="Century Gothic" w:eastAsia="Calibri" w:hAnsi="Century Gothic" w:cs="Arial"/>
          <w:b/>
          <w:bCs/>
          <w:color w:val="000000" w:themeColor="text1"/>
          <w:u w:val="single"/>
        </w:rPr>
        <w:t>De</w:t>
      </w:r>
      <w:r w:rsidRPr="00B66F22">
        <w:rPr>
          <w:rFonts w:ascii="Century Gothic" w:eastAsia="Calibri" w:hAnsi="Century Gothic" w:cs="Arial"/>
          <w:b/>
          <w:bCs/>
          <w:color w:val="000000" w:themeColor="text1"/>
          <w:highlight w:val="yellow"/>
          <w:u w:val="single"/>
        </w:rPr>
        <w:t xml:space="preserve"> </w:t>
      </w:r>
      <w:r w:rsidRPr="004454CC">
        <w:rPr>
          <w:rFonts w:ascii="Century Gothic" w:eastAsia="Calibri" w:hAnsi="Century Gothic" w:cs="Arial"/>
          <w:b/>
          <w:bCs/>
          <w:color w:val="000000" w:themeColor="text1"/>
          <w:u w:val="single"/>
        </w:rPr>
        <w:t>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2EF006CB" w14:textId="77777777" w:rsidR="00B66F22" w:rsidRPr="00B66F22" w:rsidRDefault="00B66F22" w:rsidP="00B66F22">
      <w:pPr>
        <w:spacing w:before="120" w:line="276" w:lineRule="auto"/>
        <w:ind w:firstLine="708"/>
        <w:jc w:val="both"/>
        <w:rPr>
          <w:rFonts w:ascii="Century Gothic" w:hAnsi="Century Gothic" w:cs="Arial"/>
          <w:color w:val="000000" w:themeColor="text1"/>
        </w:rPr>
      </w:pPr>
      <w:r w:rsidRPr="00B66F22">
        <w:rPr>
          <w:rFonts w:ascii="Century Gothic" w:hAnsi="Century Gothic" w:cs="Arial"/>
          <w:color w:val="000000" w:themeColor="text1"/>
        </w:rPr>
        <w:t xml:space="preserve">Aunque el artículo 96 de la Ley 489 de 1998 se refiere genéricamente a la noción “personas jurídicas particulares”, lo cierto es que los </w:t>
      </w:r>
      <w:r w:rsidRPr="00B66F22">
        <w:rPr>
          <w:rFonts w:ascii="Century Gothic" w:hAnsi="Century Gothic" w:cs="Arial"/>
          <w:i/>
          <w:iCs/>
          <w:color w:val="000000" w:themeColor="text1"/>
        </w:rPr>
        <w:t xml:space="preserve">convenios de asociación </w:t>
      </w:r>
      <w:r w:rsidRPr="00B66F22">
        <w:rPr>
          <w:rFonts w:ascii="Century Gothic" w:hAnsi="Century Gothic" w:cs="Arial"/>
          <w:color w:val="000000" w:themeColor="text1"/>
        </w:rPr>
        <w:t xml:space="preserve">que regula esa norma únicamente pueden celebrarse con ESAL. Esto es así porque el inciso segundo de la misma disposición establece que tales convenios “se celebrarán de conformidad con lo dispuesto en el artículo 355 de la Constitución Política”, norma que le permite al “Gobierno, en los niveles nacional, departamental, distrital y municipal podrá, con recursos de los respectivos presupuestos, celebrar contratos </w:t>
      </w:r>
      <w:r w:rsidRPr="00B66F22">
        <w:rPr>
          <w:rFonts w:ascii="Century Gothic" w:hAnsi="Century Gothic" w:cs="Arial"/>
          <w:i/>
          <w:iCs/>
          <w:color w:val="000000" w:themeColor="text1"/>
        </w:rPr>
        <w:t>con entidades privadas sin ánimo de lucro y de reconocida idoneidad</w:t>
      </w:r>
      <w:r w:rsidRPr="00B66F22">
        <w:rPr>
          <w:rFonts w:ascii="Century Gothic" w:hAnsi="Century Gothic" w:cs="Arial"/>
          <w:color w:val="000000" w:themeColor="text1"/>
        </w:rPr>
        <w:t xml:space="preserve"> con el fin de impulsar programas y actividades de interés público acordes con el Plan Nacional y los planes seccionales de Desarrollo” (Énfasis fuera de texto). Es de resaltar que el artículo 355 de la Constitución fue </w:t>
      </w:r>
      <w:r w:rsidRPr="00B66F22">
        <w:rPr>
          <w:rFonts w:ascii="Century Gothic" w:hAnsi="Century Gothic" w:cs="Arial"/>
          <w:color w:val="000000" w:themeColor="text1"/>
        </w:rPr>
        <w:lastRenderedPageBreak/>
        <w:t>desarrollado por el Decreto 92 de 2017, cuyo artículo 5 señala concretamente que los negocios jurídicos se deben celebrar únicamente con las ESAL.</w:t>
      </w:r>
    </w:p>
    <w:p w14:paraId="494174B5" w14:textId="77777777" w:rsidR="00B66F22" w:rsidRPr="00B66F22" w:rsidRDefault="00B66F22" w:rsidP="00B66F22">
      <w:pPr>
        <w:tabs>
          <w:tab w:val="left" w:pos="0"/>
        </w:tabs>
        <w:spacing w:before="120" w:after="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En relación con las empresas prestadoras de servicios públicos domiciliarios, conviene señalar, acorde con lo expresado por la Corte Constitucional en la Sentencia C-736 de 2007</w:t>
      </w:r>
      <w:r w:rsidRPr="00B66F22">
        <w:rPr>
          <w:rFonts w:ascii="Century Gothic" w:eastAsia="Calibri" w:hAnsi="Century Gothic" w:cs="Arial"/>
          <w:bCs/>
          <w:color w:val="000000" w:themeColor="text1"/>
          <w:vertAlign w:val="superscript"/>
          <w:lang w:val="es-ES_tradnl"/>
        </w:rPr>
        <w:footnoteReference w:id="9"/>
      </w:r>
      <w:r w:rsidRPr="00B66F22">
        <w:rPr>
          <w:rFonts w:ascii="Century Gothic" w:eastAsia="Calibri" w:hAnsi="Century Gothic" w:cs="Arial"/>
          <w:bCs/>
          <w:color w:val="000000" w:themeColor="text1"/>
          <w:lang w:val="es-ES_tradnl"/>
        </w:rPr>
        <w:t xml:space="preserve">, que aquellas son entidades descentralizadas por servicios, independientemente de la naturaleza y porcentaje de su capital. En otras palabras, aunque el artículo 14 de la Ley 142 de 1994 establece que las empresas prestadoras de servicios públicos domiciliarios pueden ser </w:t>
      </w:r>
      <w:r w:rsidRPr="00B66F22">
        <w:rPr>
          <w:rFonts w:ascii="Century Gothic" w:eastAsia="Calibri" w:hAnsi="Century Gothic" w:cs="Arial"/>
          <w:bCs/>
          <w:i/>
          <w:iCs/>
          <w:color w:val="000000" w:themeColor="text1"/>
          <w:lang w:val="es-ES_tradnl"/>
        </w:rPr>
        <w:t>oficiales</w:t>
      </w:r>
      <w:r w:rsidRPr="00B66F22">
        <w:rPr>
          <w:rFonts w:ascii="Century Gothic" w:eastAsia="Calibri" w:hAnsi="Century Gothic" w:cs="Arial"/>
          <w:bCs/>
          <w:color w:val="000000" w:themeColor="text1"/>
          <w:lang w:val="es-ES_tradnl"/>
        </w:rPr>
        <w:t xml:space="preserve">, </w:t>
      </w:r>
      <w:r w:rsidRPr="00B66F22">
        <w:rPr>
          <w:rFonts w:ascii="Century Gothic" w:eastAsia="Calibri" w:hAnsi="Century Gothic" w:cs="Arial"/>
          <w:bCs/>
          <w:i/>
          <w:iCs/>
          <w:color w:val="000000" w:themeColor="text1"/>
          <w:lang w:val="es-ES_tradnl"/>
        </w:rPr>
        <w:t>mixtas</w:t>
      </w:r>
      <w:r w:rsidRPr="00B66F22">
        <w:rPr>
          <w:rFonts w:ascii="Century Gothic" w:eastAsia="Calibri" w:hAnsi="Century Gothic" w:cs="Arial"/>
          <w:bCs/>
          <w:color w:val="000000" w:themeColor="text1"/>
          <w:lang w:val="es-ES_tradnl"/>
        </w:rPr>
        <w:t xml:space="preserve"> o </w:t>
      </w:r>
      <w:r w:rsidRPr="00B66F22">
        <w:rPr>
          <w:rFonts w:ascii="Century Gothic" w:eastAsia="Calibri" w:hAnsi="Century Gothic" w:cs="Arial"/>
          <w:bCs/>
          <w:i/>
          <w:iCs/>
          <w:color w:val="000000" w:themeColor="text1"/>
          <w:lang w:val="es-ES_tradnl"/>
        </w:rPr>
        <w:t>privadas</w:t>
      </w:r>
      <w:r w:rsidRPr="00B66F22">
        <w:rPr>
          <w:rFonts w:ascii="Century Gothic" w:eastAsia="Calibri" w:hAnsi="Century Gothic" w:cs="Arial"/>
          <w:bCs/>
          <w:color w:val="000000" w:themeColor="text1"/>
          <w:vertAlign w:val="superscript"/>
          <w:lang w:val="es-ES_tradnl"/>
        </w:rPr>
        <w:footnoteReference w:id="10"/>
      </w:r>
      <w:r w:rsidRPr="00B66F22">
        <w:rPr>
          <w:rFonts w:ascii="Century Gothic" w:eastAsia="Calibri" w:hAnsi="Century Gothic" w:cs="Arial"/>
          <w:bCs/>
          <w:color w:val="000000" w:themeColor="text1"/>
          <w:lang w:val="es-ES_tradnl"/>
        </w:rPr>
        <w:t xml:space="preserve">, estas tres especies ingresan en la categoría de las </w:t>
      </w:r>
      <w:r w:rsidRPr="00B66F22">
        <w:rPr>
          <w:rFonts w:ascii="Century Gothic" w:eastAsia="Calibri" w:hAnsi="Century Gothic" w:cs="Arial"/>
          <w:bCs/>
          <w:i/>
          <w:iCs/>
          <w:color w:val="000000" w:themeColor="text1"/>
          <w:lang w:val="es-ES_tradnl"/>
        </w:rPr>
        <w:t>entidades descentralizadas por servicios</w:t>
      </w:r>
      <w:r w:rsidRPr="00B66F22">
        <w:rPr>
          <w:rFonts w:ascii="Century Gothic" w:eastAsia="Calibri" w:hAnsi="Century Gothic" w:cs="Arial"/>
          <w:bCs/>
          <w:color w:val="000000" w:themeColor="text1"/>
          <w:lang w:val="es-ES_tradnl"/>
        </w:rPr>
        <w:t xml:space="preserve">. Adicionalmente, debe recordarse que en dicha Sentencia el alto tribunal afirmó que las empresas prestadoras de servicios públicos domiciliarios </w:t>
      </w:r>
      <w:r w:rsidRPr="00B66F22">
        <w:rPr>
          <w:rFonts w:ascii="Century Gothic" w:eastAsia="Calibri" w:hAnsi="Century Gothic" w:cs="Arial"/>
          <w:bCs/>
          <w:i/>
          <w:iCs/>
          <w:color w:val="000000" w:themeColor="text1"/>
          <w:lang w:val="es-ES_tradnl"/>
        </w:rPr>
        <w:t>mixtas y privadas</w:t>
      </w:r>
      <w:r w:rsidRPr="00B66F22">
        <w:rPr>
          <w:rFonts w:ascii="Century Gothic" w:eastAsia="Calibri" w:hAnsi="Century Gothic" w:cs="Arial"/>
          <w:bCs/>
          <w:color w:val="000000" w:themeColor="text1"/>
          <w:lang w:val="es-ES_tradnl"/>
        </w:rPr>
        <w:t xml:space="preserve"> son tipos </w:t>
      </w:r>
      <w:r w:rsidRPr="00B66F22">
        <w:rPr>
          <w:rFonts w:ascii="Century Gothic" w:eastAsia="Calibri" w:hAnsi="Century Gothic" w:cs="Arial"/>
          <w:bCs/>
          <w:i/>
          <w:iCs/>
          <w:color w:val="000000" w:themeColor="text1"/>
          <w:lang w:val="es-ES_tradnl"/>
        </w:rPr>
        <w:t>especiales</w:t>
      </w:r>
      <w:r w:rsidRPr="00B66F22">
        <w:rPr>
          <w:rFonts w:ascii="Century Gothic" w:eastAsia="Calibri" w:hAnsi="Century Gothic" w:cs="Arial"/>
          <w:bCs/>
          <w:color w:val="000000" w:themeColor="text1"/>
          <w:lang w:val="es-ES_tradnl"/>
        </w:rPr>
        <w:t xml:space="preserve"> de entidades descentralizadas por servicios que, por tanto, no pueden encasillarse en las otras especies de entidades descentralizadas por servicios enlistadas en el artículo 38 de la Ley 489 de 1998, es decir, que no cabe considerarlas, verbigracia, dentro de las sociedades públicas ni en las sociedades de economía mixta. En efecto:</w:t>
      </w:r>
    </w:p>
    <w:p w14:paraId="6F273139" w14:textId="77777777" w:rsidR="00B66F22" w:rsidRPr="00B66F22" w:rsidRDefault="00B66F22" w:rsidP="00B66F22">
      <w:pPr>
        <w:tabs>
          <w:tab w:val="left" w:pos="0"/>
        </w:tabs>
        <w:spacing w:after="0" w:line="276" w:lineRule="auto"/>
        <w:ind w:left="709" w:right="709"/>
        <w:jc w:val="both"/>
        <w:rPr>
          <w:rFonts w:ascii="Century Gothic" w:eastAsia="Calibri" w:hAnsi="Century Gothic" w:cs="Arial"/>
          <w:bCs/>
          <w:color w:val="000000" w:themeColor="text1"/>
          <w:sz w:val="21"/>
          <w:szCs w:val="21"/>
          <w:lang w:val="es-ES_tradnl"/>
        </w:rPr>
      </w:pPr>
    </w:p>
    <w:p w14:paraId="4D984002" w14:textId="77777777" w:rsidR="00B66F22" w:rsidRPr="00B66F22" w:rsidRDefault="00B66F22" w:rsidP="00B66F22">
      <w:pPr>
        <w:tabs>
          <w:tab w:val="left" w:pos="0"/>
        </w:tabs>
        <w:spacing w:after="0" w:line="240" w:lineRule="auto"/>
        <w:ind w:left="709" w:right="709"/>
        <w:jc w:val="both"/>
        <w:rPr>
          <w:rFonts w:ascii="Century Gothic" w:eastAsia="Calibri" w:hAnsi="Century Gothic" w:cs="Arial"/>
          <w:bCs/>
          <w:i/>
          <w:i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 xml:space="preserve">[…] la Corte entiende que el constituyente quiso definir que las personas o entidades que asuman la prestación de los servicios públicos tendrán no sólo un régimen jurídico especial, </w:t>
      </w:r>
      <w:r w:rsidRPr="00B66F22">
        <w:rPr>
          <w:rFonts w:ascii="Century Gothic" w:eastAsia="Calibri" w:hAnsi="Century Gothic" w:cs="Arial"/>
          <w:bCs/>
          <w:i/>
          <w:iCs/>
          <w:color w:val="000000" w:themeColor="text1"/>
          <w:sz w:val="21"/>
          <w:szCs w:val="21"/>
          <w:lang w:val="es-ES_tradnl"/>
        </w:rPr>
        <w:t>sino también una naturaleza jurídica especial</w:t>
      </w:r>
      <w:r w:rsidRPr="00B66F22">
        <w:rPr>
          <w:rFonts w:ascii="Century Gothic" w:eastAsia="Calibri" w:hAnsi="Century Gothic" w:cs="Arial"/>
          <w:bCs/>
          <w:color w:val="000000" w:themeColor="text1"/>
          <w:sz w:val="21"/>
          <w:szCs w:val="21"/>
          <w:lang w:val="es-ES_tradnl"/>
        </w:rPr>
        <w:t xml:space="preserve">; esta particular naturaleza y reglamentación jurídica encuentra su fundamento en la necesidad de hacer realidad la finalidad social que es definida por la misma Carta como objetivo de la adecuada prestación de los servicios públicos. De lo anterior se desprende que cuando el Estado asume directamente o participa con los particulares en dicho cometido, las entidades que surgen para esos efectos también se revisten de ese carácter especial y quedan sujetas a la reglamentación jurídica particularmente diseñada para la prestación adecuada de los servicios públicos. Otro tanto sucede cuando los particulares asumen la prestación de servicios públicos. </w:t>
      </w:r>
      <w:r w:rsidRPr="00B66F22">
        <w:rPr>
          <w:rFonts w:ascii="Century Gothic" w:eastAsia="Calibri" w:hAnsi="Century Gothic" w:cs="Arial"/>
          <w:bCs/>
          <w:i/>
          <w:iCs/>
          <w:color w:val="000000" w:themeColor="text1"/>
          <w:sz w:val="21"/>
          <w:szCs w:val="21"/>
          <w:lang w:val="es-ES_tradnl"/>
        </w:rPr>
        <w:t xml:space="preserve">Así las cosas, las sociedades públicas, privadas o mixtas cuyo objeto social sea la prestación de los servicios en comento, antes que sociedades de </w:t>
      </w:r>
      <w:r w:rsidRPr="00B66F22">
        <w:rPr>
          <w:rFonts w:ascii="Century Gothic" w:eastAsia="Calibri" w:hAnsi="Century Gothic" w:cs="Arial"/>
          <w:bCs/>
          <w:i/>
          <w:iCs/>
          <w:color w:val="000000" w:themeColor="text1"/>
          <w:sz w:val="21"/>
          <w:szCs w:val="21"/>
          <w:lang w:val="es-ES_tradnl"/>
        </w:rPr>
        <w:lastRenderedPageBreak/>
        <w:t>economía mixta, sociedades entre entidades públicas o sociedades de carácter privado, vienen a ser entidades de naturaleza especial, para responder así a este interés constitucional de someter esta actividad de interés social a un régimen jurídico también especial.</w:t>
      </w:r>
    </w:p>
    <w:p w14:paraId="64DC6092" w14:textId="77777777" w:rsidR="00B66F22" w:rsidRPr="00B66F22" w:rsidRDefault="00B66F22" w:rsidP="00B66F22">
      <w:pPr>
        <w:tabs>
          <w:tab w:val="left" w:pos="0"/>
        </w:tabs>
        <w:spacing w:after="120" w:line="240" w:lineRule="auto"/>
        <w:ind w:left="709" w:right="709"/>
        <w:jc w:val="both"/>
        <w:rPr>
          <w:rFonts w:ascii="Century Gothic" w:eastAsia="Calibri" w:hAnsi="Century Gothic" w:cs="Arial"/>
          <w:b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w:t>
      </w:r>
    </w:p>
    <w:p w14:paraId="7571A4B1" w14:textId="77777777" w:rsidR="00B66F22" w:rsidRPr="00B66F22" w:rsidRDefault="00B66F22" w:rsidP="00B66F22">
      <w:pPr>
        <w:tabs>
          <w:tab w:val="left" w:pos="0"/>
        </w:tabs>
        <w:spacing w:after="0" w:line="240" w:lineRule="auto"/>
        <w:ind w:left="709" w:right="709"/>
        <w:jc w:val="both"/>
        <w:rPr>
          <w:rFonts w:ascii="Century Gothic" w:eastAsia="Calibri" w:hAnsi="Century Gothic" w:cs="Arial"/>
          <w:b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Pr="00B66F22">
        <w:rPr>
          <w:rFonts w:ascii="Century Gothic" w:eastAsia="Calibri" w:hAnsi="Century Gothic" w:cs="Arial"/>
          <w:bCs/>
          <w:color w:val="000000" w:themeColor="text1"/>
          <w:sz w:val="21"/>
          <w:szCs w:val="21"/>
          <w:vertAlign w:val="superscript"/>
          <w:lang w:val="es-ES_tradnl"/>
        </w:rPr>
        <w:footnoteReference w:id="11"/>
      </w:r>
      <w:r w:rsidRPr="00B66F22">
        <w:rPr>
          <w:rFonts w:ascii="Century Gothic" w:eastAsia="Calibri" w:hAnsi="Century Gothic" w:cs="Arial"/>
          <w:bCs/>
          <w:color w:val="000000" w:themeColor="text1"/>
          <w:sz w:val="21"/>
          <w:szCs w:val="21"/>
          <w:lang w:val="es-ES_tradnl"/>
        </w:rPr>
        <w:t>. (Énfasis fuera de texto).</w:t>
      </w:r>
    </w:p>
    <w:p w14:paraId="23C80A78" w14:textId="77777777" w:rsidR="00B66F22" w:rsidRPr="00B66F22" w:rsidRDefault="00B66F22" w:rsidP="00B66F22">
      <w:pPr>
        <w:tabs>
          <w:tab w:val="left" w:pos="0"/>
        </w:tabs>
        <w:spacing w:after="0" w:line="276" w:lineRule="auto"/>
        <w:ind w:firstLine="709"/>
        <w:jc w:val="both"/>
        <w:rPr>
          <w:rFonts w:ascii="Century Gothic" w:eastAsia="Calibri" w:hAnsi="Century Gothic" w:cs="Arial"/>
          <w:bCs/>
          <w:color w:val="000000" w:themeColor="text1"/>
          <w:lang w:val="es-ES_tradnl"/>
        </w:rPr>
      </w:pPr>
    </w:p>
    <w:p w14:paraId="4C467449"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 xml:space="preserve">Sin perjuicio de lo anterior, el artículo 17 de la Ley 142 de 1994 establece que “Las entidades descentralizadas de cualquier orden territorial o nacional, cuyos propietarios no deseen que su capital esté representado en acciones, </w:t>
      </w:r>
      <w:r w:rsidRPr="00B66F22">
        <w:rPr>
          <w:rFonts w:ascii="Century Gothic" w:eastAsia="Calibri" w:hAnsi="Century Gothic" w:cs="Arial"/>
          <w:bCs/>
          <w:i/>
          <w:iCs/>
          <w:color w:val="000000" w:themeColor="text1"/>
          <w:lang w:val="es-ES_tradnl"/>
        </w:rPr>
        <w:t>deberán adoptar la forma de empresa industrial y comercial del estado</w:t>
      </w:r>
      <w:r w:rsidRPr="00B66F22">
        <w:rPr>
          <w:rFonts w:ascii="Century Gothic" w:eastAsia="Calibri" w:hAnsi="Century Gothic" w:cs="Arial"/>
          <w:bCs/>
          <w:color w:val="000000" w:themeColor="text1"/>
          <w:lang w:val="es-ES_tradnl"/>
        </w:rPr>
        <w:t xml:space="preserve">” (Énfasis fuera de texto). Es decir que en tal evento esa es la </w:t>
      </w:r>
      <w:r w:rsidRPr="00B66F22">
        <w:rPr>
          <w:rFonts w:ascii="Century Gothic" w:eastAsia="Calibri" w:hAnsi="Century Gothic" w:cs="Arial"/>
          <w:bCs/>
          <w:i/>
          <w:iCs/>
          <w:color w:val="000000" w:themeColor="text1"/>
          <w:lang w:val="es-ES_tradnl"/>
        </w:rPr>
        <w:t>naturaleza</w:t>
      </w:r>
      <w:r w:rsidRPr="00B66F22">
        <w:rPr>
          <w:rFonts w:ascii="Century Gothic" w:eastAsia="Calibri" w:hAnsi="Century Gothic" w:cs="Arial"/>
          <w:bCs/>
          <w:color w:val="000000" w:themeColor="text1"/>
          <w:lang w:val="es-ES_tradnl"/>
        </w:rPr>
        <w:t xml:space="preserve"> de la empresa de servicios públicos domiciliarios. Así lo reconoció la Corte Constitucional en un apartado del fallo que se viene comentando, pues “[…] el artículo 17 de la Ley en cita define así </w:t>
      </w:r>
      <w:r w:rsidRPr="00B66F22">
        <w:rPr>
          <w:rFonts w:ascii="Century Gothic" w:eastAsia="Calibri" w:hAnsi="Century Gothic" w:cs="Arial"/>
          <w:bCs/>
          <w:i/>
          <w:iCs/>
          <w:color w:val="000000" w:themeColor="text1"/>
          <w:lang w:val="es-ES_tradnl"/>
        </w:rPr>
        <w:t>la naturaleza jurídica</w:t>
      </w:r>
      <w:r w:rsidRPr="00B66F22">
        <w:rPr>
          <w:rFonts w:ascii="Century Gothic" w:eastAsia="Calibri" w:hAnsi="Century Gothic" w:cs="Arial"/>
          <w:bCs/>
          <w:color w:val="000000" w:themeColor="text1"/>
          <w:lang w:val="es-ES_tradnl"/>
        </w:rPr>
        <w:t xml:space="preserve"> de las empresas de servicios públicos” (Énfasis fuera de texto). El Consejo de Estado también ha considerado, interpretando el mismo artículo, que las empresas de servicios públicos domiciliarios pueden tener la </w:t>
      </w:r>
      <w:r w:rsidRPr="00B66F22">
        <w:rPr>
          <w:rFonts w:ascii="Century Gothic" w:eastAsia="Calibri" w:hAnsi="Century Gothic" w:cs="Arial"/>
          <w:bCs/>
          <w:i/>
          <w:iCs/>
          <w:color w:val="000000" w:themeColor="text1"/>
          <w:lang w:val="es-ES_tradnl"/>
        </w:rPr>
        <w:t>forma</w:t>
      </w:r>
      <w:r w:rsidRPr="00B66F22">
        <w:rPr>
          <w:rFonts w:ascii="Century Gothic" w:eastAsia="Calibri" w:hAnsi="Century Gothic" w:cs="Arial"/>
          <w:bCs/>
          <w:color w:val="000000" w:themeColor="text1"/>
          <w:lang w:val="es-ES_tradnl"/>
        </w:rPr>
        <w:t xml:space="preserve"> de empresas industriales y comerciales del Estado o de sociedades por acciones. Lo dijo, por ejemplo, para otorgarles a las empresas industriales y comerciales del Estado que prestaran servicios públicos domiciliarios el carácter de entidades públicas e indicar que, por tanto, eran sujetos pasivos de la contribución especial prevista en el artículo 6 de la Ley 1106 de 2006. En tal sentido, dicha corporación judicial indicó: </w:t>
      </w:r>
    </w:p>
    <w:p w14:paraId="45E7F46D"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p>
    <w:p w14:paraId="6E98E69E" w14:textId="77777777" w:rsidR="00B66F22" w:rsidRPr="00B66F22" w:rsidRDefault="00B66F22" w:rsidP="00B66F22">
      <w:pPr>
        <w:tabs>
          <w:tab w:val="left" w:pos="0"/>
        </w:tabs>
        <w:spacing w:after="120" w:line="240" w:lineRule="auto"/>
        <w:ind w:left="709" w:right="709"/>
        <w:jc w:val="both"/>
        <w:rPr>
          <w:rFonts w:ascii="Century Gothic" w:eastAsia="Calibri" w:hAnsi="Century Gothic" w:cs="Arial"/>
          <w:b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 xml:space="preserve">La Sala precisa que el acto acusado resolvió la consulta referida a una empresa de servicios públicos domiciliarios de naturaleza pública, toda vez que como se puso de presente se constituyó como empresa Industrial y Comercial del Estado, organismo que al tenor del artículo 38 de la Ley </w:t>
      </w:r>
      <w:r w:rsidRPr="00B66F22">
        <w:rPr>
          <w:rFonts w:ascii="Century Gothic" w:eastAsia="Calibri" w:hAnsi="Century Gothic" w:cs="Arial"/>
          <w:bCs/>
          <w:color w:val="000000" w:themeColor="text1"/>
          <w:sz w:val="21"/>
          <w:szCs w:val="21"/>
          <w:lang w:val="es-ES_tradnl"/>
        </w:rPr>
        <w:lastRenderedPageBreak/>
        <w:t>489 de 1998, hace parte del sector descentralizado por servicios de la rama ejecutiva del poder público.</w:t>
      </w:r>
    </w:p>
    <w:p w14:paraId="7AD42040" w14:textId="77777777" w:rsidR="00B66F22" w:rsidRPr="00B66F22" w:rsidRDefault="00B66F22" w:rsidP="00B66F22">
      <w:pPr>
        <w:tabs>
          <w:tab w:val="left" w:pos="0"/>
        </w:tabs>
        <w:spacing w:after="0" w:line="240" w:lineRule="auto"/>
        <w:ind w:left="709" w:right="709"/>
        <w:jc w:val="both"/>
        <w:rPr>
          <w:rFonts w:ascii="Century Gothic" w:eastAsia="Calibri" w:hAnsi="Century Gothic" w:cs="Arial"/>
          <w:b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 xml:space="preserve">Ahora, el artículo 19 </w:t>
      </w:r>
      <w:proofErr w:type="spellStart"/>
      <w:r w:rsidRPr="00B66F22">
        <w:rPr>
          <w:rFonts w:ascii="Century Gothic" w:eastAsia="Calibri" w:hAnsi="Century Gothic" w:cs="Arial"/>
          <w:bCs/>
          <w:color w:val="000000" w:themeColor="text1"/>
          <w:sz w:val="21"/>
          <w:szCs w:val="21"/>
          <w:lang w:val="es-ES_tradnl"/>
        </w:rPr>
        <w:t>ibídem</w:t>
      </w:r>
      <w:proofErr w:type="spellEnd"/>
      <w:r w:rsidRPr="00B66F22">
        <w:rPr>
          <w:rFonts w:ascii="Century Gothic" w:eastAsia="Calibri" w:hAnsi="Century Gothic" w:cs="Arial"/>
          <w:bCs/>
          <w:color w:val="000000" w:themeColor="text1"/>
          <w:sz w:val="21"/>
          <w:szCs w:val="21"/>
          <w:lang w:val="es-ES_tradnl"/>
        </w:rPr>
        <w:t xml:space="preserve"> enuncia como régimen jurídico de las empresas en mención, las reglas, entre otras, sobre la denominación, duración, aportes, mecanismos de constitución, registro, emisión, colocación de acciones, causales de disolución. </w:t>
      </w:r>
    </w:p>
    <w:p w14:paraId="36E623F9" w14:textId="77777777" w:rsidR="00B66F22" w:rsidRPr="00B66F22" w:rsidRDefault="00B66F22" w:rsidP="00B66F22">
      <w:pPr>
        <w:tabs>
          <w:tab w:val="left" w:pos="0"/>
        </w:tabs>
        <w:spacing w:after="120" w:line="240" w:lineRule="auto"/>
        <w:ind w:left="709" w:right="709"/>
        <w:jc w:val="both"/>
        <w:rPr>
          <w:rFonts w:ascii="Century Gothic" w:eastAsia="Calibri" w:hAnsi="Century Gothic" w:cs="Arial"/>
          <w:b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w:t>
      </w:r>
    </w:p>
    <w:p w14:paraId="35FED083" w14:textId="77777777" w:rsidR="00B66F22" w:rsidRPr="00B66F22" w:rsidRDefault="00B66F22" w:rsidP="00B66F22">
      <w:pPr>
        <w:tabs>
          <w:tab w:val="left" w:pos="0"/>
        </w:tabs>
        <w:spacing w:after="0" w:line="240" w:lineRule="auto"/>
        <w:ind w:left="709" w:right="709"/>
        <w:jc w:val="both"/>
        <w:rPr>
          <w:rFonts w:ascii="Century Gothic" w:eastAsia="Calibri" w:hAnsi="Century Gothic" w:cs="Arial"/>
          <w:bCs/>
          <w:color w:val="000000" w:themeColor="text1"/>
          <w:sz w:val="21"/>
          <w:szCs w:val="21"/>
          <w:lang w:val="es-ES_tradnl"/>
        </w:rPr>
      </w:pPr>
      <w:r w:rsidRPr="00B66F22">
        <w:rPr>
          <w:rFonts w:ascii="Century Gothic" w:eastAsia="Calibri" w:hAnsi="Century Gothic" w:cs="Arial"/>
          <w:bCs/>
          <w:color w:val="000000" w:themeColor="text1"/>
          <w:sz w:val="21"/>
          <w:szCs w:val="21"/>
          <w:lang w:val="es-ES_tradnl"/>
        </w:rPr>
        <w:t>La Corte Constitucional en la sentencia C-318 de 1998 aludió al elemento subjetivo para determinar el contrato de obra pública a que se refiere la contribución en cuestión. Así pues, adquiere relevancia en este punto la naturaleza de cada entidad, por lo cual si se considera que determinado ente es estatal (empresa industrial y comercial del Estado), y celebra un contrato de obra está en el supuesto de la descripción del hecho gravado que contempla el artículo 6º de la Ley 1106 de 2006</w:t>
      </w:r>
      <w:r w:rsidRPr="00B66F22">
        <w:rPr>
          <w:rFonts w:ascii="Century Gothic" w:eastAsia="Calibri" w:hAnsi="Century Gothic" w:cs="Arial"/>
          <w:bCs/>
          <w:color w:val="000000" w:themeColor="text1"/>
          <w:sz w:val="21"/>
          <w:szCs w:val="21"/>
          <w:vertAlign w:val="superscript"/>
          <w:lang w:val="es-ES_tradnl"/>
        </w:rPr>
        <w:footnoteReference w:id="12"/>
      </w:r>
      <w:r w:rsidRPr="00B66F22">
        <w:rPr>
          <w:rFonts w:ascii="Century Gothic" w:eastAsia="Calibri" w:hAnsi="Century Gothic" w:cs="Arial"/>
          <w:bCs/>
          <w:color w:val="000000" w:themeColor="text1"/>
          <w:sz w:val="21"/>
          <w:szCs w:val="21"/>
          <w:lang w:val="es-ES_tradnl"/>
        </w:rPr>
        <w:t>.</w:t>
      </w:r>
    </w:p>
    <w:p w14:paraId="0B920F41" w14:textId="77777777" w:rsidR="00B66F22" w:rsidRPr="00B66F22" w:rsidRDefault="00B66F22" w:rsidP="00B66F22">
      <w:pPr>
        <w:tabs>
          <w:tab w:val="left" w:pos="0"/>
        </w:tabs>
        <w:spacing w:after="0" w:line="276" w:lineRule="auto"/>
        <w:ind w:right="709"/>
        <w:jc w:val="both"/>
        <w:rPr>
          <w:rFonts w:ascii="Century Gothic" w:eastAsia="Calibri" w:hAnsi="Century Gothic" w:cs="Arial"/>
          <w:bCs/>
          <w:color w:val="000000" w:themeColor="text1"/>
          <w:lang w:val="es-ES_tradnl"/>
        </w:rPr>
      </w:pPr>
    </w:p>
    <w:p w14:paraId="7D5FE609" w14:textId="77777777" w:rsidR="00B66F22" w:rsidRPr="00B66F22" w:rsidRDefault="00B66F22" w:rsidP="00B66F22">
      <w:pPr>
        <w:spacing w:after="12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 xml:space="preserve">En otras palabras, con fundamento en la jurisprudencia se concluyó </w:t>
      </w:r>
      <w:proofErr w:type="gramStart"/>
      <w:r w:rsidRPr="00B66F22">
        <w:rPr>
          <w:rFonts w:ascii="Century Gothic" w:eastAsia="Calibri" w:hAnsi="Century Gothic" w:cs="Arial"/>
          <w:bCs/>
          <w:color w:val="000000" w:themeColor="text1"/>
          <w:lang w:val="es-ES_tradnl"/>
        </w:rPr>
        <w:t>que</w:t>
      </w:r>
      <w:proofErr w:type="gramEnd"/>
      <w:r w:rsidRPr="00B66F22">
        <w:rPr>
          <w:rFonts w:ascii="Century Gothic" w:eastAsia="Calibri" w:hAnsi="Century Gothic" w:cs="Arial"/>
          <w:bCs/>
          <w:color w:val="000000" w:themeColor="text1"/>
          <w:lang w:val="es-ES_tradnl"/>
        </w:rPr>
        <w:t xml:space="preserve"> a las empresas prestadoras de servicios públicos domiciliarios, que, según el artículo 17 de la Ley 142 de 1994, se conformaran como empresas industriales y comerciales del Estado se les tenía en cuenta esta naturaleza jurídica –la de empresas industriales y comerciales del Estado–, para hacerlas destinatarias de la contribución especial. También en un reciente concepto la Superintendencia de Servicios Públicos Domiciliarios recordó que el legislador permitió que las empresas de servicios públicos domiciliarios adoptaran la forma de empresas industriales y comerciales del Estado, pero que el plazo para que esto se diera ya venció. En palabras de este organismo, “Los plazos legales para efectuar la transformación a que alude el parágrafo del artículo 17 de la Ley 142 de 1994, de las entidades descentralizadas en Empresas Industriales y Comerciales del Estado, venció el 3 de enero de 1998, por lo que, a partir de tal fecha, aquéllas que no lo hicieron, debieron constituirse como sociedades por acciones; mientras que el término de transformación para la Nación y a las entidades territoriales (departamentos, municipios, distritos), que prestaban directamente los servicios públicos domiciliarios, de acuerdo con el artículo 182 referido, venció el 11 de enero de 1996”</w:t>
      </w:r>
      <w:r w:rsidRPr="00B66F22">
        <w:rPr>
          <w:rFonts w:ascii="Century Gothic" w:eastAsia="Calibri" w:hAnsi="Century Gothic" w:cs="Arial"/>
          <w:bCs/>
          <w:color w:val="000000" w:themeColor="text1"/>
          <w:vertAlign w:val="superscript"/>
          <w:lang w:val="es-ES_tradnl"/>
        </w:rPr>
        <w:footnoteReference w:id="13"/>
      </w:r>
      <w:r w:rsidRPr="00B66F22">
        <w:rPr>
          <w:rFonts w:ascii="Century Gothic" w:eastAsia="Calibri" w:hAnsi="Century Gothic" w:cs="Arial"/>
          <w:bCs/>
          <w:color w:val="000000" w:themeColor="text1"/>
          <w:lang w:val="es-ES_tradnl"/>
        </w:rPr>
        <w:t>.</w:t>
      </w:r>
    </w:p>
    <w:p w14:paraId="6308D4AA" w14:textId="77777777" w:rsidR="00B66F22" w:rsidRPr="00B66F22" w:rsidRDefault="00B66F22" w:rsidP="00B66F22">
      <w:pPr>
        <w:spacing w:after="0" w:line="276" w:lineRule="auto"/>
        <w:ind w:firstLine="709"/>
        <w:jc w:val="both"/>
        <w:rPr>
          <w:rFonts w:ascii="Century Gothic" w:eastAsia="Calibri" w:hAnsi="Century Gothic" w:cs="Arial"/>
          <w:b/>
          <w:color w:val="000000" w:themeColor="text1"/>
          <w:lang w:val="es-ES_tradnl"/>
        </w:rPr>
      </w:pPr>
      <w:r w:rsidRPr="00B66F22">
        <w:rPr>
          <w:rFonts w:ascii="Century Gothic" w:eastAsia="Calibri" w:hAnsi="Century Gothic" w:cs="Arial"/>
          <w:b/>
          <w:color w:val="000000" w:themeColor="text1"/>
          <w:u w:val="single"/>
          <w:lang w:val="es-ES_tradnl"/>
        </w:rPr>
        <w:t>Por lo demás, ni la Ley 489 de 1998 ni la Ley 142 de 1994 tipifican la existencia de empresas de servicios públicos solidarias, cooperativas o comunitarias que tenga la categoría de entidades privadas sin ánimo de lucro</w:t>
      </w:r>
      <w:r w:rsidRPr="00B66F22">
        <w:rPr>
          <w:rFonts w:ascii="Century Gothic" w:eastAsia="Calibri" w:hAnsi="Century Gothic" w:cs="Arial"/>
          <w:bCs/>
          <w:color w:val="000000" w:themeColor="text1"/>
          <w:lang w:val="es-ES_tradnl"/>
        </w:rPr>
        <w:t xml:space="preserve">. En esta medida, </w:t>
      </w:r>
      <w:r w:rsidRPr="00B66F22">
        <w:rPr>
          <w:rFonts w:ascii="Century Gothic" w:eastAsia="Calibri" w:hAnsi="Century Gothic" w:cs="Arial"/>
          <w:b/>
          <w:color w:val="000000" w:themeColor="text1"/>
          <w:lang w:val="es-ES_tradnl"/>
        </w:rPr>
        <w:t xml:space="preserve">las </w:t>
      </w:r>
      <w:r w:rsidRPr="00B66F22">
        <w:rPr>
          <w:rFonts w:ascii="Century Gothic" w:eastAsia="Calibri" w:hAnsi="Century Gothic" w:cs="Arial"/>
          <w:b/>
          <w:color w:val="000000" w:themeColor="text1"/>
          <w:lang w:val="es-ES_tradnl"/>
        </w:rPr>
        <w:lastRenderedPageBreak/>
        <w:t>empresas de servicios públicos no son destinatarias del artículo 96 de la Ley 489 de 1998, razón por la que no pueden celebrar convenios de asociación conforme al artículo 5 del Decreto 092 de 2017.</w:t>
      </w:r>
    </w:p>
    <w:p w14:paraId="64D35F16" w14:textId="77777777" w:rsidR="00B66F22" w:rsidRPr="00B66F22" w:rsidRDefault="00B66F22" w:rsidP="00B66F22">
      <w:pPr>
        <w:spacing w:after="0" w:line="276" w:lineRule="auto"/>
        <w:ind w:firstLine="709"/>
        <w:jc w:val="both"/>
        <w:rPr>
          <w:rFonts w:ascii="Century Gothic" w:eastAsia="Calibri" w:hAnsi="Century Gothic" w:cs="Arial"/>
          <w:b/>
          <w:color w:val="000000" w:themeColor="text1"/>
          <w:lang w:val="es-ES_tradnl"/>
        </w:rPr>
      </w:pPr>
    </w:p>
    <w:p w14:paraId="1BF3CD53"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 xml:space="preserve">Ahora bien, en lo que respecta a la naturaleza jurídica de </w:t>
      </w:r>
      <w:r w:rsidRPr="00B66F22">
        <w:rPr>
          <w:rFonts w:ascii="Century Gothic" w:eastAsia="Calibri" w:hAnsi="Century Gothic" w:cs="Arial"/>
          <w:bCs/>
          <w:color w:val="000000" w:themeColor="text1"/>
          <w:u w:val="single"/>
          <w:lang w:val="es-ES_tradnl"/>
        </w:rPr>
        <w:t>“Los Centros Provinciales de Gestión Agroempresarial”</w:t>
      </w:r>
      <w:r w:rsidRPr="00B66F22">
        <w:rPr>
          <w:rFonts w:ascii="Century Gothic" w:eastAsia="Calibri" w:hAnsi="Century Gothic" w:cs="Arial"/>
          <w:bCs/>
          <w:color w:val="000000" w:themeColor="text1"/>
          <w:lang w:val="es-ES_tradnl"/>
        </w:rPr>
        <w:t xml:space="preserve"> es menester referirnos a </w:t>
      </w:r>
      <w:r w:rsidRPr="00B66F22">
        <w:rPr>
          <w:rFonts w:ascii="Century Gothic" w:eastAsia="Calibri" w:hAnsi="Century Gothic" w:cs="Arial"/>
          <w:b/>
          <w:color w:val="000000" w:themeColor="text1"/>
          <w:u w:val="single"/>
          <w:lang w:val="es-ES_tradnl"/>
        </w:rPr>
        <w:t>los esquemas asociativos territoriales</w:t>
      </w:r>
      <w:r w:rsidRPr="00B66F22">
        <w:rPr>
          <w:rFonts w:ascii="Century Gothic" w:eastAsia="Calibri" w:hAnsi="Century Gothic" w:cs="Arial"/>
          <w:bCs/>
          <w:color w:val="000000" w:themeColor="text1"/>
          <w:lang w:val="es-ES_tradnl"/>
        </w:rPr>
        <w:t xml:space="preserve">, como entidades territoriales que son, dentro de los cuales se subsumen las entidades objeto de consulta. Así pues, el artículo 286 de la Constitución Política establece que “Son entidades territoriales los departamentos, los distritos, los municipios y los territorios indígenas”. Además, dispone que “La ley podrá darles el carácter de entidades territoriales a las regiones y </w:t>
      </w:r>
      <w:r w:rsidRPr="00B66F22">
        <w:rPr>
          <w:rFonts w:ascii="Century Gothic" w:eastAsia="Calibri" w:hAnsi="Century Gothic" w:cs="Arial"/>
          <w:b/>
          <w:color w:val="000000" w:themeColor="text1"/>
          <w:u w:val="single"/>
          <w:lang w:val="es-ES_tradnl"/>
        </w:rPr>
        <w:t>provincias</w:t>
      </w:r>
      <w:r w:rsidRPr="00B66F22">
        <w:rPr>
          <w:rFonts w:ascii="Century Gothic" w:eastAsia="Calibri" w:hAnsi="Century Gothic" w:cs="Arial"/>
          <w:bCs/>
          <w:color w:val="000000" w:themeColor="text1"/>
          <w:lang w:val="es-ES_tradnl"/>
        </w:rPr>
        <w:t xml:space="preserve"> que se constituyan en los términos de la Constitución y de la ley”. En desarrollo de este precepto normativo, la Ley 1454 de 2011, “por la cual se dictan normas orgánicas sobre ordenamiento territorial y se modifican otras disposiciones”, regula los denominados </w:t>
      </w:r>
      <w:r w:rsidRPr="00B66F22">
        <w:rPr>
          <w:rFonts w:ascii="Century Gothic" w:eastAsia="Calibri" w:hAnsi="Century Gothic" w:cs="Arial"/>
          <w:b/>
          <w:color w:val="000000" w:themeColor="text1"/>
          <w:u w:val="single"/>
          <w:lang w:val="es-ES_tradnl"/>
        </w:rPr>
        <w:t>esquemas asociativos territoriales, como mecanismos de cooperación entre aquellas entidades</w:t>
      </w:r>
      <w:r w:rsidRPr="00B66F22">
        <w:rPr>
          <w:rFonts w:ascii="Century Gothic" w:eastAsia="Calibri" w:hAnsi="Century Gothic" w:cs="Arial"/>
          <w:bCs/>
          <w:color w:val="000000" w:themeColor="text1"/>
          <w:lang w:val="es-ES_tradnl"/>
        </w:rPr>
        <w:t xml:space="preserve">.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w:t>
      </w:r>
      <w:r w:rsidRPr="00B66F22">
        <w:rPr>
          <w:rFonts w:ascii="Century Gothic" w:eastAsia="Calibri" w:hAnsi="Century Gothic" w:cs="Arial"/>
          <w:b/>
          <w:color w:val="000000" w:themeColor="text1"/>
          <w:u w:val="single"/>
          <w:lang w:val="es-ES_tradnl"/>
        </w:rPr>
        <w:t>las provincias administrativas y de planificación</w:t>
      </w:r>
      <w:r w:rsidRPr="00B66F22">
        <w:rPr>
          <w:rFonts w:ascii="Century Gothic" w:eastAsia="Calibri" w:hAnsi="Century Gothic" w:cs="Arial"/>
          <w:bCs/>
          <w:color w:val="000000" w:themeColor="text1"/>
          <w:lang w:val="es-ES_tradnl"/>
        </w:rPr>
        <w:t xml:space="preserve">, y </w:t>
      </w:r>
      <w:r w:rsidRPr="00B66F22">
        <w:rPr>
          <w:rFonts w:ascii="Century Gothic" w:eastAsia="Calibri" w:hAnsi="Century Gothic" w:cs="Arial"/>
          <w:b/>
          <w:color w:val="000000" w:themeColor="text1"/>
          <w:u w:val="single"/>
          <w:lang w:val="es-ES_tradnl"/>
        </w:rPr>
        <w:t>las asociaciones de municipios</w:t>
      </w:r>
      <w:r w:rsidRPr="00B66F22">
        <w:rPr>
          <w:rFonts w:ascii="Century Gothic" w:eastAsia="Calibri" w:hAnsi="Century Gothic" w:cs="Arial"/>
          <w:bCs/>
          <w:color w:val="000000" w:themeColor="text1"/>
          <w:lang w:val="es-ES_tradnl"/>
        </w:rPr>
        <w:t>”.</w:t>
      </w:r>
    </w:p>
    <w:p w14:paraId="7318A611" w14:textId="77777777" w:rsidR="00B66F22" w:rsidRDefault="00B66F22" w:rsidP="00B66F22">
      <w:pPr>
        <w:spacing w:after="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En cuanto a la constitución de los esquemas asociativos territoriales, el artículo 11 de la Ley en comento establece que “Las asociaciones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 En armonía con lo anterior, el artículo 17 del mismo cuerpo normativo señala, frente a la naturaleza de estos esquemas, que “Las asociaciones de departamentos, las provincias y las asociaciones de distritos y de municipios son entidades administrativas de derecho público, con personería jurídica y patrimonio propio e independiente de los entes que la conforman”. Por tal razón, el artículo 18 les reconoce capacidad contractual.</w:t>
      </w:r>
    </w:p>
    <w:p w14:paraId="094B8364" w14:textId="77777777" w:rsidR="00D46AD1" w:rsidRPr="00B66F22" w:rsidRDefault="00D46AD1" w:rsidP="00B66F22">
      <w:pPr>
        <w:spacing w:after="0" w:line="276" w:lineRule="auto"/>
        <w:ind w:firstLine="709"/>
        <w:jc w:val="both"/>
        <w:rPr>
          <w:rFonts w:ascii="Century Gothic" w:eastAsia="Calibri" w:hAnsi="Century Gothic" w:cs="Arial"/>
          <w:bCs/>
          <w:color w:val="000000" w:themeColor="text1"/>
          <w:lang w:val="es-ES_tradnl"/>
        </w:rPr>
      </w:pPr>
    </w:p>
    <w:p w14:paraId="13A7CDDE" w14:textId="77777777" w:rsidR="00B66F22" w:rsidRPr="004454CC" w:rsidRDefault="00B66F22" w:rsidP="004454CC">
      <w:pPr>
        <w:spacing w:after="0" w:line="276" w:lineRule="auto"/>
        <w:jc w:val="both"/>
        <w:rPr>
          <w:rFonts w:ascii="Century Gothic" w:eastAsia="Calibri" w:hAnsi="Century Gothic" w:cs="Arial"/>
          <w:bCs/>
          <w:color w:val="000000" w:themeColor="text1"/>
          <w:lang w:val="es-ES"/>
        </w:rPr>
      </w:pPr>
    </w:p>
    <w:p w14:paraId="27918282"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
          <w:color w:val="000000" w:themeColor="text1"/>
          <w:u w:val="single"/>
          <w:lang w:val="es-ES_tradnl"/>
        </w:rPr>
        <w:t xml:space="preserve">Dicho lo anterior, cabe señalar que el régimen contractual de los esquemas asociativos territoriales es el Estatuto General de Contratación de la Administración </w:t>
      </w:r>
      <w:r w:rsidRPr="00B66F22">
        <w:rPr>
          <w:rFonts w:ascii="Century Gothic" w:eastAsia="Calibri" w:hAnsi="Century Gothic" w:cs="Arial"/>
          <w:b/>
          <w:color w:val="000000" w:themeColor="text1"/>
          <w:u w:val="single"/>
          <w:lang w:val="es-ES_tradnl"/>
        </w:rPr>
        <w:lastRenderedPageBreak/>
        <w:t>Pública –en adelante EGCAP–</w:t>
      </w:r>
      <w:r w:rsidRPr="00B66F22">
        <w:rPr>
          <w:rFonts w:ascii="Century Gothic" w:eastAsia="Calibri" w:hAnsi="Century Gothic" w:cs="Arial"/>
          <w:bCs/>
          <w:color w:val="000000" w:themeColor="text1"/>
          <w:lang w:val="es-ES_tradnl"/>
        </w:rPr>
        <w:t xml:space="preserve">. Lo anterior se fundamenta en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Así las cosas, el EGCAP establece que las personas jurídicas en las que el Estado tenga participación mayoritaria –como sucede, precisamente, en los esquemas asociativos territoriales– son entidades estatales, para efectos contractuales, razón por la cual se someten a dicho Estatuto.  </w:t>
      </w:r>
    </w:p>
    <w:p w14:paraId="14488C4C"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p>
    <w:p w14:paraId="3E3AF5A2"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 xml:space="preserve">De otro lado, incluso de forma más precisa, el fundamento normativo respecto del régimen contractual de los esquemas asociativos territoriales se encuentra en el artículo 10 de la Ley 1150 de 2007, que, de forma clara, señala que se regirán por el EGCAP. En efecto, dicha disposición prescribe: “Las cooperativas, las asociaciones conformadas por entidades territoriales y en general los entes solidarios de carácter público estarán sometidos a las disposiciones del Estatuto General de Contratación de la Administración Pública”. Por tanto, se concluye que el régimen contractual de estas entidades no es especial, puesto que, por mandato legal, se someten al EGCAP.   </w:t>
      </w:r>
    </w:p>
    <w:p w14:paraId="76EE2044"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p>
    <w:p w14:paraId="6E81D1FF" w14:textId="77777777" w:rsidR="00B66F22" w:rsidRPr="00B66F22" w:rsidRDefault="00B66F22" w:rsidP="00B66F22">
      <w:pPr>
        <w:spacing w:after="0" w:line="276" w:lineRule="auto"/>
        <w:ind w:firstLine="709"/>
        <w:jc w:val="both"/>
        <w:rPr>
          <w:rFonts w:ascii="Century Gothic" w:eastAsia="Calibri" w:hAnsi="Century Gothic" w:cs="Arial"/>
          <w:bCs/>
          <w:color w:val="000000" w:themeColor="text1"/>
          <w:lang w:val="es-ES_tradnl"/>
        </w:rPr>
      </w:pPr>
    </w:p>
    <w:p w14:paraId="53983A97" w14:textId="77777777" w:rsidR="00B66F22" w:rsidRPr="00B66F22" w:rsidRDefault="00B66F22" w:rsidP="00B66F22">
      <w:pPr>
        <w:spacing w:after="0" w:line="276" w:lineRule="auto"/>
        <w:jc w:val="both"/>
        <w:rPr>
          <w:rFonts w:ascii="Century Gothic" w:hAnsi="Century Gothic" w:cs="Arial"/>
          <w:b/>
          <w:bCs/>
          <w:color w:val="000000" w:themeColor="text1"/>
          <w:lang w:eastAsia="es-MX"/>
        </w:rPr>
      </w:pPr>
      <w:r w:rsidRPr="00B66F22">
        <w:rPr>
          <w:rFonts w:ascii="Century Gothic" w:hAnsi="Century Gothic" w:cs="Arial"/>
          <w:b/>
          <w:bCs/>
          <w:color w:val="000000" w:themeColor="text1"/>
          <w:lang w:eastAsia="es-MX"/>
        </w:rPr>
        <w:t>3. Respuesta</w:t>
      </w:r>
    </w:p>
    <w:p w14:paraId="120C8AC0" w14:textId="77777777" w:rsidR="00B66F22" w:rsidRPr="00B66F22" w:rsidRDefault="00B66F22" w:rsidP="00B66F22">
      <w:pPr>
        <w:spacing w:after="0" w:line="276" w:lineRule="auto"/>
        <w:jc w:val="both"/>
        <w:rPr>
          <w:rFonts w:ascii="Century Gothic" w:hAnsi="Century Gothic" w:cs="Arial"/>
          <w:color w:val="000000" w:themeColor="text1"/>
          <w:lang w:eastAsia="es-MX"/>
        </w:rPr>
      </w:pPr>
    </w:p>
    <w:p w14:paraId="06339DB4" w14:textId="77777777" w:rsidR="00B66F22" w:rsidRPr="00B66F22" w:rsidRDefault="00B66F22" w:rsidP="00B66F22">
      <w:pPr>
        <w:spacing w:after="120" w:line="240" w:lineRule="auto"/>
        <w:ind w:left="709" w:right="709"/>
        <w:jc w:val="both"/>
        <w:rPr>
          <w:rFonts w:ascii="Century Gothic" w:eastAsia="Calibri" w:hAnsi="Century Gothic" w:cs="Arial"/>
          <w:bCs/>
          <w:sz w:val="21"/>
          <w:szCs w:val="21"/>
          <w:lang w:val="es-ES_tradnl" w:eastAsia="es-ES_tradnl"/>
        </w:rPr>
      </w:pPr>
      <w:r w:rsidRPr="00B66F22">
        <w:rPr>
          <w:rFonts w:ascii="Century Gothic" w:eastAsia="Calibri" w:hAnsi="Century Gothic" w:cs="Arial"/>
          <w:bCs/>
          <w:sz w:val="21"/>
          <w:szCs w:val="21"/>
          <w:lang w:val="es-ES_tradnl" w:eastAsia="es-ES_tradnl"/>
        </w:rPr>
        <w:t>“</w:t>
      </w:r>
      <w:proofErr w:type="gramStart"/>
      <w:r w:rsidRPr="00B66F22">
        <w:rPr>
          <w:rFonts w:ascii="Century Gothic" w:eastAsia="Calibri" w:hAnsi="Century Gothic" w:cs="Arial"/>
          <w:bCs/>
          <w:sz w:val="21"/>
          <w:szCs w:val="21"/>
          <w:lang w:val="es-ES_tradnl" w:eastAsia="es-ES_tradnl"/>
        </w:rPr>
        <w:t xml:space="preserve">Los Centros Provinciales de </w:t>
      </w:r>
      <w:proofErr w:type="spellStart"/>
      <w:r w:rsidRPr="00B66F22">
        <w:rPr>
          <w:rFonts w:ascii="Century Gothic" w:eastAsia="Calibri" w:hAnsi="Century Gothic" w:cs="Arial"/>
          <w:bCs/>
          <w:sz w:val="21"/>
          <w:szCs w:val="21"/>
          <w:lang w:val="es-ES_tradnl" w:eastAsia="es-ES_tradnl"/>
        </w:rPr>
        <w:t>Gestion</w:t>
      </w:r>
      <w:proofErr w:type="spellEnd"/>
      <w:r w:rsidRPr="00B66F22">
        <w:rPr>
          <w:rFonts w:ascii="Century Gothic" w:eastAsia="Calibri" w:hAnsi="Century Gothic" w:cs="Arial"/>
          <w:bCs/>
          <w:sz w:val="21"/>
          <w:szCs w:val="21"/>
          <w:lang w:val="es-ES_tradnl" w:eastAsia="es-ES_tradnl"/>
        </w:rPr>
        <w:t xml:space="preserve"> Agroempresarial, dada su naturaleza pública, pueden participar en procesos de selección bajo el régimen del Decreto 092 de 2017?</w:t>
      </w:r>
      <w:proofErr w:type="gramEnd"/>
      <w:r w:rsidRPr="00B66F22">
        <w:rPr>
          <w:rFonts w:ascii="Century Gothic" w:eastAsia="Calibri" w:hAnsi="Century Gothic" w:cs="Arial"/>
          <w:bCs/>
          <w:sz w:val="21"/>
          <w:szCs w:val="21"/>
          <w:lang w:val="es-ES_tradnl" w:eastAsia="es-ES_tradnl"/>
        </w:rPr>
        <w:t>” (SIC)</w:t>
      </w:r>
    </w:p>
    <w:p w14:paraId="0535AD7A" w14:textId="77777777" w:rsidR="00B66F22" w:rsidRPr="00B66F22" w:rsidRDefault="00B66F22" w:rsidP="00B66F22">
      <w:pPr>
        <w:spacing w:after="0" w:line="276" w:lineRule="auto"/>
        <w:jc w:val="both"/>
        <w:rPr>
          <w:rFonts w:ascii="Century Gothic" w:eastAsia="Calibri" w:hAnsi="Century Gothic" w:cs="Arial"/>
          <w:bCs/>
          <w:szCs w:val="24"/>
          <w:lang w:val="es-ES_tradnl" w:eastAsia="es-ES_tradnl"/>
        </w:rPr>
      </w:pPr>
    </w:p>
    <w:p w14:paraId="42E6224D" w14:textId="7FBBFF56" w:rsidR="00B66F22" w:rsidRPr="00B66F22" w:rsidRDefault="00B66F22" w:rsidP="00B66F22">
      <w:pPr>
        <w:spacing w:after="0" w:line="276" w:lineRule="auto"/>
        <w:jc w:val="both"/>
        <w:rPr>
          <w:rFonts w:ascii="Century Gothic" w:eastAsia="Calibri" w:hAnsi="Century Gothic" w:cs="Arial"/>
          <w:bCs/>
          <w:szCs w:val="24"/>
          <w:lang w:val="es-ES_tradnl" w:eastAsia="es-ES_tradnl"/>
        </w:rPr>
      </w:pPr>
      <w:r w:rsidRPr="00B66F22">
        <w:rPr>
          <w:rFonts w:ascii="Century Gothic" w:eastAsia="Calibri" w:hAnsi="Century Gothic" w:cs="Arial"/>
          <w:bCs/>
          <w:szCs w:val="24"/>
          <w:lang w:val="es-ES_tradnl" w:eastAsia="es-ES_tradnl"/>
        </w:rPr>
        <w:t xml:space="preserve">Como se expuso en las consideraciones, los convenios de asociación tienen como finalidad que la entidad estatal, </w:t>
      </w:r>
      <w:r w:rsidRPr="00B66F22">
        <w:rPr>
          <w:rFonts w:ascii="Century Gothic" w:eastAsia="Calibri" w:hAnsi="Century Gothic" w:cs="Arial"/>
          <w:b/>
          <w:szCs w:val="24"/>
          <w:u w:val="single"/>
          <w:lang w:val="es-ES_tradnl" w:eastAsia="es-ES_tradnl"/>
        </w:rPr>
        <w:t>cualquiera que sea su naturaleza y orden administrativo</w:t>
      </w:r>
      <w:r w:rsidRPr="00B66F22">
        <w:rPr>
          <w:rFonts w:ascii="Century Gothic" w:eastAsia="Calibri" w:hAnsi="Century Gothic" w:cs="Arial"/>
          <w:bCs/>
          <w:szCs w:val="24"/>
          <w:lang w:val="es-ES_tradnl" w:eastAsia="es-ES_tradnl"/>
        </w:rPr>
        <w:t xml:space="preserve">,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w:t>
      </w:r>
      <w:r w:rsidRPr="00B66F22">
        <w:rPr>
          <w:rFonts w:ascii="Century Gothic" w:eastAsia="Calibri" w:hAnsi="Century Gothic" w:cs="Arial"/>
          <w:bCs/>
          <w:szCs w:val="24"/>
          <w:lang w:val="es-ES_tradnl" w:eastAsia="es-ES_tradnl"/>
        </w:rPr>
        <w:lastRenderedPageBreak/>
        <w:t xml:space="preserve">entidad deberá adelantar un proceso competitivo, salvo cuando la ESAL comprometa recursos en dinero para la ejecución de estas actividades, en una proporción no inferior al 30% del valor total del convenio. </w:t>
      </w:r>
      <w:r w:rsidRPr="00B66F22">
        <w:rPr>
          <w:rFonts w:ascii="Century Gothic" w:eastAsia="Calibri" w:hAnsi="Century Gothic" w:cs="Arial"/>
          <w:b/>
          <w:szCs w:val="24"/>
          <w:u w:val="single"/>
          <w:lang w:val="es-ES_tradnl" w:eastAsia="es-ES_tradnl"/>
        </w:rPr>
        <w:t xml:space="preserve">El convenio de asociación no es conmutativo, </w:t>
      </w:r>
      <w:proofErr w:type="gramStart"/>
      <w:r w:rsidRPr="00B66F22">
        <w:rPr>
          <w:rFonts w:ascii="Century Gothic" w:eastAsia="Calibri" w:hAnsi="Century Gothic" w:cs="Arial"/>
          <w:b/>
          <w:szCs w:val="24"/>
          <w:u w:val="single"/>
          <w:lang w:val="es-ES_tradnl" w:eastAsia="es-ES_tradnl"/>
        </w:rPr>
        <w:t>y</w:t>
      </w:r>
      <w:proofErr w:type="gramEnd"/>
      <w:r w:rsidRPr="00B66F22">
        <w:rPr>
          <w:rFonts w:ascii="Century Gothic" w:eastAsia="Calibri" w:hAnsi="Century Gothic" w:cs="Arial"/>
          <w:b/>
          <w:szCs w:val="24"/>
          <w:u w:val="single"/>
          <w:lang w:val="es-ES_tradnl" w:eastAsia="es-ES_tradnl"/>
        </w:rPr>
        <w:t xml:space="preserve"> por tanto, la entidad no instruye al contratista para desarrollar los programas o actividades previstas, sino que se asocia con él para el cumplimiento de objetivos comunes.</w:t>
      </w:r>
    </w:p>
    <w:p w14:paraId="11BEC17C" w14:textId="77777777" w:rsidR="00B66F22" w:rsidRPr="00B66F22" w:rsidRDefault="00B66F22" w:rsidP="00B66F22">
      <w:pPr>
        <w:spacing w:after="120" w:line="276" w:lineRule="auto"/>
        <w:jc w:val="both"/>
        <w:rPr>
          <w:rFonts w:ascii="Century Gothic" w:hAnsi="Century Gothic" w:cs="Arial"/>
          <w:b/>
          <w:bCs/>
          <w:u w:val="single"/>
          <w:lang w:val="es-ES"/>
        </w:rPr>
      </w:pPr>
      <w:r w:rsidRPr="00B66F22">
        <w:rPr>
          <w:rFonts w:ascii="Century Gothic" w:hAnsi="Century Gothic" w:cs="Arial"/>
          <w:lang w:val="es-ES"/>
        </w:rPr>
        <w:t xml:space="preserve">De conformidad con lo anterior, es importante aclarar que los negocios jurídicos que regula el Decreto 092 de 2017 son esencialmente distintos a los contratos para la adquisición y aprovisionamiento de bienes, obras o servicios regulados por el estatuto de contratación y, como tal, no hacen parte del sistema de compra pública. De acuerdo con lo anterior, </w:t>
      </w:r>
      <w:r w:rsidRPr="00B66F22">
        <w:rPr>
          <w:rFonts w:ascii="Century Gothic" w:hAnsi="Century Gothic" w:cs="Arial"/>
          <w:b/>
          <w:bCs/>
          <w:u w:val="single"/>
          <w:lang w:val="es-ES"/>
        </w:rPr>
        <w:t>si la entidad estatal adquiere o se abastece de un bien, obra o servicio en un contrato conmutativo en el cual el proveedor es una ESAL, debe aplicar el régimen contenido en las Leyes 80 de 1993 y 1150 de 2007, y no el Decreto 092 de 2017.</w:t>
      </w:r>
    </w:p>
    <w:p w14:paraId="5E117FE5" w14:textId="77777777" w:rsidR="00B66F22" w:rsidRPr="00B66F22" w:rsidRDefault="00B66F22" w:rsidP="00B66F22">
      <w:pPr>
        <w:spacing w:after="120" w:line="276" w:lineRule="auto"/>
        <w:jc w:val="both"/>
        <w:rPr>
          <w:rFonts w:ascii="Century Gothic" w:eastAsia="Calibri" w:hAnsi="Century Gothic" w:cs="Arial"/>
          <w:color w:val="000000" w:themeColor="text1"/>
        </w:rPr>
      </w:pPr>
      <w:r w:rsidRPr="00B66F22">
        <w:rPr>
          <w:rFonts w:ascii="Century Gothic" w:eastAsia="Calibri" w:hAnsi="Century Gothic"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w:t>
      </w:r>
      <w:r w:rsidRPr="00B66F22">
        <w:rPr>
          <w:rFonts w:ascii="Century Gothic" w:eastAsia="Calibri" w:hAnsi="Century Gothic" w:cs="Arial"/>
          <w:b/>
          <w:bCs/>
          <w:color w:val="000000" w:themeColor="text1"/>
          <w:u w:val="single"/>
        </w:rPr>
        <w:t>lo que determina la aplicación del Decreto 092 de 2017 no es únicamente el carácter de las ESAL sino el objeto del contrato o convenio que la entidad pretende adelantar</w:t>
      </w:r>
      <w:r w:rsidRPr="00B66F22">
        <w:rPr>
          <w:rFonts w:ascii="Century Gothic" w:eastAsia="Calibri" w:hAnsi="Century Gothic" w:cs="Arial"/>
          <w:color w:val="000000" w:themeColor="text1"/>
        </w:rPr>
        <w:t>. Por tanto, el hecho de que se trate de una entidad sin ánimo de lucro no implica que necesariamente deba celebrarse un contrato de colaboración o un convenio de asociación.</w:t>
      </w:r>
    </w:p>
    <w:p w14:paraId="606469D4" w14:textId="77777777" w:rsidR="00B66F22" w:rsidRPr="00B66F22" w:rsidRDefault="00B66F22" w:rsidP="00B66F22">
      <w:pPr>
        <w:spacing w:after="120" w:line="276" w:lineRule="auto"/>
        <w:jc w:val="both"/>
        <w:rPr>
          <w:rFonts w:ascii="Century Gothic" w:eastAsia="Calibri" w:hAnsi="Century Gothic" w:cs="Arial"/>
          <w:color w:val="000000" w:themeColor="text1"/>
        </w:rPr>
      </w:pPr>
    </w:p>
    <w:p w14:paraId="073CCA9A" w14:textId="77777777" w:rsidR="00B66F22" w:rsidRPr="00B66F22" w:rsidRDefault="00B66F22" w:rsidP="00B66F22">
      <w:pPr>
        <w:spacing w:line="276" w:lineRule="auto"/>
        <w:jc w:val="both"/>
        <w:rPr>
          <w:rFonts w:ascii="Century Gothic" w:eastAsia="Calibri" w:hAnsi="Century Gothic" w:cs="Arial"/>
          <w:color w:val="000000" w:themeColor="text1"/>
        </w:rPr>
      </w:pPr>
      <w:r w:rsidRPr="00B66F22">
        <w:rPr>
          <w:rFonts w:ascii="Century Gothic" w:eastAsia="Calibri" w:hAnsi="Century Gothic" w:cs="Arial"/>
          <w:color w:val="000000" w:themeColor="text1"/>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w:t>
      </w:r>
      <w:r w:rsidRPr="00B66F22">
        <w:rPr>
          <w:rFonts w:ascii="Century Gothic" w:eastAsia="Calibri" w:hAnsi="Century Gothic" w:cs="Arial"/>
          <w:b/>
          <w:bCs/>
          <w:color w:val="000000" w:themeColor="text1"/>
          <w:u w:val="single"/>
        </w:rPr>
        <w:t>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7F00BE86" w14:textId="4E886C11" w:rsidR="00800BDD" w:rsidRDefault="00B66F22" w:rsidP="005A53A7">
      <w:pPr>
        <w:spacing w:after="120" w:line="276" w:lineRule="auto"/>
        <w:jc w:val="both"/>
        <w:rPr>
          <w:rFonts w:ascii="Century Gothic" w:eastAsia="Calibri" w:hAnsi="Century Gothic" w:cs="Arial"/>
          <w:b/>
          <w:color w:val="000000" w:themeColor="text1"/>
          <w:u w:val="single"/>
          <w:lang w:val="es-ES_tradnl"/>
        </w:rPr>
      </w:pPr>
      <w:r w:rsidRPr="00B66F22">
        <w:rPr>
          <w:rFonts w:ascii="Century Gothic" w:hAnsi="Century Gothic" w:cs="Arial"/>
          <w:lang w:val="es-ES"/>
        </w:rPr>
        <w:t xml:space="preserve">Ahora bien, en cuento a la naturaleza jurídica de “Los Centros Provinciales de Gestión Agroempresarial” es menester referirnos a los </w:t>
      </w:r>
      <w:r w:rsidRPr="00B66F22">
        <w:rPr>
          <w:rFonts w:ascii="Century Gothic" w:hAnsi="Century Gothic" w:cs="Arial"/>
          <w:b/>
          <w:bCs/>
          <w:u w:val="single"/>
          <w:lang w:val="es-ES"/>
        </w:rPr>
        <w:t xml:space="preserve">esquemas asociativos </w:t>
      </w:r>
      <w:r w:rsidRPr="00B66F22">
        <w:rPr>
          <w:rFonts w:ascii="Century Gothic" w:hAnsi="Century Gothic" w:cs="Arial"/>
          <w:b/>
          <w:bCs/>
          <w:u w:val="single"/>
          <w:lang w:val="es-ES"/>
        </w:rPr>
        <w:lastRenderedPageBreak/>
        <w:t>territoriales</w:t>
      </w:r>
      <w:r w:rsidRPr="00B66F22">
        <w:rPr>
          <w:rFonts w:ascii="Century Gothic" w:hAnsi="Century Gothic" w:cs="Arial"/>
          <w:lang w:val="es-ES"/>
        </w:rPr>
        <w:t xml:space="preserve">, como entidades territoriales que son, </w:t>
      </w:r>
      <w:r w:rsidRPr="00B66F22">
        <w:rPr>
          <w:rFonts w:ascii="Century Gothic" w:hAnsi="Century Gothic" w:cs="Arial"/>
          <w:b/>
          <w:bCs/>
          <w:u w:val="single"/>
          <w:lang w:val="es-ES"/>
        </w:rPr>
        <w:t>dentro de los cuales se subsumen las entidades objeto de consulta</w:t>
      </w:r>
      <w:r w:rsidRPr="00B66F22">
        <w:rPr>
          <w:rFonts w:ascii="Century Gothic" w:hAnsi="Century Gothic" w:cs="Arial"/>
          <w:lang w:val="es-ES"/>
        </w:rPr>
        <w:t xml:space="preserve">. Así pues, el artículo 286 de la Constitución Política establece que “Son entidades territoriales los departamentos, los distritos, los municipios y los territorios indígenas”. Además, dispone que “La ley podrá darles el carácter de entidades territoriales a las regiones y </w:t>
      </w:r>
      <w:r w:rsidRPr="00B66F22">
        <w:rPr>
          <w:rFonts w:ascii="Century Gothic" w:hAnsi="Century Gothic" w:cs="Arial"/>
          <w:b/>
          <w:bCs/>
          <w:u w:val="single"/>
          <w:lang w:val="es-ES"/>
        </w:rPr>
        <w:t>provincias</w:t>
      </w:r>
      <w:r w:rsidRPr="00B66F22">
        <w:rPr>
          <w:rFonts w:ascii="Century Gothic" w:hAnsi="Century Gothic" w:cs="Arial"/>
          <w:lang w:val="es-ES"/>
        </w:rPr>
        <w:t xml:space="preserve"> que se constituyan en los términos de la Constitución y de la ley”. En desarrollo de este precepto normativo, la Ley 1454 de 2011, “por la cual se dictan normas orgánicas sobre ordenamiento territorial y se modifican otras disposiciones”, regula los denominados </w:t>
      </w:r>
      <w:r w:rsidRPr="00B66F22">
        <w:rPr>
          <w:rFonts w:ascii="Century Gothic" w:hAnsi="Century Gothic" w:cs="Arial"/>
          <w:b/>
          <w:bCs/>
          <w:u w:val="single"/>
          <w:lang w:val="es-ES"/>
        </w:rPr>
        <w:t>esquemas asociativos territoriales, como mecanismos de cooperación entre aquellas entidades</w:t>
      </w:r>
      <w:r w:rsidRPr="00B66F22">
        <w:rPr>
          <w:rFonts w:ascii="Century Gothic" w:hAnsi="Century Gothic" w:cs="Arial"/>
          <w:lang w:val="es-ES"/>
        </w:rPr>
        <w:t xml:space="preserve">.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w:t>
      </w:r>
      <w:r w:rsidRPr="00B66F22">
        <w:rPr>
          <w:rFonts w:ascii="Century Gothic" w:hAnsi="Century Gothic" w:cs="Arial"/>
          <w:b/>
          <w:bCs/>
          <w:u w:val="single"/>
          <w:lang w:val="es-ES"/>
        </w:rPr>
        <w:t>las provincias administrativas y de planificación</w:t>
      </w:r>
      <w:r w:rsidRPr="00B66F22">
        <w:rPr>
          <w:rFonts w:ascii="Century Gothic" w:hAnsi="Century Gothic" w:cs="Arial"/>
          <w:lang w:val="es-ES"/>
        </w:rPr>
        <w:t>, y las asociaciones de municipios”.</w:t>
      </w:r>
    </w:p>
    <w:p w14:paraId="48F2C5D7" w14:textId="69034B2D" w:rsidR="005A53A7" w:rsidRPr="00B66F22" w:rsidRDefault="00800BDD" w:rsidP="004454CC">
      <w:pPr>
        <w:spacing w:after="120" w:line="276" w:lineRule="auto"/>
        <w:jc w:val="both"/>
        <w:rPr>
          <w:rFonts w:ascii="Century Gothic" w:eastAsia="Calibri" w:hAnsi="Century Gothic" w:cs="Arial"/>
          <w:bCs/>
          <w:color w:val="000000" w:themeColor="text1"/>
          <w:lang w:val="es-ES_tradnl"/>
        </w:rPr>
      </w:pPr>
      <w:r w:rsidRPr="00B66F22">
        <w:rPr>
          <w:rFonts w:ascii="Century Gothic" w:eastAsia="Calibri" w:hAnsi="Century Gothic" w:cs="Arial"/>
          <w:bCs/>
          <w:color w:val="000000" w:themeColor="text1"/>
          <w:lang w:val="es-ES_tradnl"/>
        </w:rPr>
        <w:t xml:space="preserve">En otras palabras, </w:t>
      </w:r>
      <w:r w:rsidRPr="004454CC">
        <w:rPr>
          <w:rFonts w:ascii="Century Gothic" w:eastAsia="Calibri" w:hAnsi="Century Gothic" w:cs="Arial"/>
          <w:b/>
          <w:color w:val="000000" w:themeColor="text1"/>
          <w:lang w:val="es-ES_tradnl"/>
        </w:rPr>
        <w:t>teniendo en cuenta cada necesidad</w:t>
      </w:r>
      <w:r w:rsidRPr="00B66F22">
        <w:rPr>
          <w:rFonts w:ascii="Century Gothic" w:eastAsia="Calibri" w:hAnsi="Century Gothic" w:cs="Arial"/>
          <w:bCs/>
          <w:color w:val="000000" w:themeColor="text1"/>
          <w:lang w:val="es-ES_tradnl"/>
        </w:rPr>
        <w:t xml:space="preserve">, y de acuerdo con el objeto a contratar, los esquemas asociativos territoriales, como contratantes y destinatarios del EGCAP, deberán adelantar los diferentes procesos de </w:t>
      </w:r>
      <w:proofErr w:type="spellStart"/>
      <w:proofErr w:type="gramStart"/>
      <w:r w:rsidRPr="00B66F22">
        <w:rPr>
          <w:rFonts w:ascii="Century Gothic" w:eastAsia="Calibri" w:hAnsi="Century Gothic" w:cs="Arial"/>
          <w:bCs/>
          <w:color w:val="000000" w:themeColor="text1"/>
          <w:lang w:val="es-ES_tradnl"/>
        </w:rPr>
        <w:t>selección,</w:t>
      </w:r>
      <w:r w:rsidR="004A70C8">
        <w:rPr>
          <w:rFonts w:ascii="Century Gothic" w:eastAsia="Calibri" w:hAnsi="Century Gothic" w:cs="Arial"/>
          <w:bCs/>
          <w:color w:val="000000" w:themeColor="text1"/>
          <w:lang w:val="es-ES_tradnl"/>
        </w:rPr>
        <w:t>de</w:t>
      </w:r>
      <w:proofErr w:type="spellEnd"/>
      <w:proofErr w:type="gramEnd"/>
      <w:r w:rsidR="004A70C8">
        <w:rPr>
          <w:rFonts w:ascii="Century Gothic" w:eastAsia="Calibri" w:hAnsi="Century Gothic" w:cs="Arial"/>
          <w:bCs/>
          <w:color w:val="000000" w:themeColor="text1"/>
          <w:lang w:val="es-ES_tradnl"/>
        </w:rPr>
        <w:t xml:space="preserve"> acuerdo con el Estatuto General de Contratación, </w:t>
      </w:r>
      <w:r w:rsidRPr="00B66F22">
        <w:rPr>
          <w:rFonts w:ascii="Century Gothic" w:eastAsia="Calibri" w:hAnsi="Century Gothic" w:cs="Arial"/>
          <w:bCs/>
          <w:color w:val="000000" w:themeColor="text1"/>
          <w:lang w:val="es-ES_tradnl"/>
        </w:rPr>
        <w:t xml:space="preserve">. Esto simplemente reitera la idea orientadora, en el sentido de que, al tratarse de entidades estatales sometidas al EGCAP, cuando fungen como contratantes, para seleccionar a sus contratistas deberán aplicar los procedimientos de selección establecidos para las entidades sometidas a dicho estatuto </w:t>
      </w:r>
      <w:proofErr w:type="spellStart"/>
      <w:r w:rsidRPr="00B66F22">
        <w:rPr>
          <w:rFonts w:ascii="Century Gothic" w:eastAsia="Calibri" w:hAnsi="Century Gothic" w:cs="Arial"/>
          <w:bCs/>
          <w:color w:val="000000" w:themeColor="text1"/>
          <w:lang w:val="es-ES_tradnl"/>
        </w:rPr>
        <w:t>contractual.</w:t>
      </w:r>
      <w:r w:rsidR="005A53A7" w:rsidRPr="00B66F22">
        <w:rPr>
          <w:rFonts w:ascii="Century Gothic" w:eastAsia="Calibri" w:hAnsi="Century Gothic" w:cs="Arial"/>
          <w:bCs/>
          <w:color w:val="000000" w:themeColor="text1"/>
          <w:lang w:val="es-ES_tradnl"/>
        </w:rPr>
        <w:t>Así</w:t>
      </w:r>
      <w:proofErr w:type="spellEnd"/>
      <w:r w:rsidR="005A53A7" w:rsidRPr="00B66F22">
        <w:rPr>
          <w:rFonts w:ascii="Century Gothic" w:eastAsia="Calibri" w:hAnsi="Century Gothic" w:cs="Arial"/>
          <w:bCs/>
          <w:color w:val="000000" w:themeColor="text1"/>
          <w:lang w:val="es-ES_tradnl"/>
        </w:rPr>
        <w:t xml:space="preserve"> las cosas, para cumplir la finalidad atribuida a los esquemas asociativos territoriales, estos pueden emplear cualquiera de los procedimientos de selección de contratistas establecidos en</w:t>
      </w:r>
      <w:r w:rsidR="003013D5">
        <w:rPr>
          <w:rFonts w:ascii="Century Gothic" w:eastAsia="Calibri" w:hAnsi="Century Gothic" w:cs="Arial"/>
          <w:bCs/>
          <w:color w:val="000000" w:themeColor="text1"/>
          <w:lang w:val="es-ES_tradnl"/>
        </w:rPr>
        <w:t xml:space="preserve"> el artículo 2 de la ley 80 de 1993</w:t>
      </w:r>
      <w:r w:rsidR="005A53A7" w:rsidRPr="00B66F22">
        <w:rPr>
          <w:rFonts w:ascii="Century Gothic" w:eastAsia="Calibri" w:hAnsi="Century Gothic" w:cs="Arial"/>
          <w:bCs/>
          <w:color w:val="000000" w:themeColor="text1"/>
          <w:lang w:val="es-ES_tradnl"/>
        </w:rPr>
        <w:t>, de acuerdo con las causales y criterios de procedencia de cada una de dichas modalidades de selección.</w:t>
      </w:r>
    </w:p>
    <w:p w14:paraId="0A61AACF" w14:textId="74DA58FA" w:rsidR="00011B35" w:rsidRPr="00B66F22" w:rsidRDefault="00011B35" w:rsidP="00B66F22">
      <w:pPr>
        <w:spacing w:after="120" w:line="276" w:lineRule="auto"/>
        <w:jc w:val="both"/>
        <w:rPr>
          <w:rFonts w:ascii="Century Gothic" w:hAnsi="Century Gothic" w:cs="Arial"/>
          <w:lang w:val="es-ES"/>
        </w:rPr>
      </w:pPr>
    </w:p>
    <w:p w14:paraId="4DB55920" w14:textId="03E228F2" w:rsidR="00B66F22" w:rsidRPr="00B66F22" w:rsidRDefault="00B66F22" w:rsidP="00B66F22">
      <w:pPr>
        <w:spacing w:after="0" w:line="276" w:lineRule="auto"/>
        <w:jc w:val="both"/>
        <w:rPr>
          <w:rFonts w:ascii="Century Gothic" w:hAnsi="Century Gothic" w:cs="Arial"/>
          <w:color w:val="000000" w:themeColor="text1"/>
          <w:lang w:eastAsia="es-MX"/>
        </w:rPr>
      </w:pPr>
      <w:r w:rsidRPr="00B66F22">
        <w:rPr>
          <w:rFonts w:ascii="Century Gothic" w:hAnsi="Century Gothic" w:cs="Arial"/>
          <w:color w:val="000000" w:themeColor="text1"/>
          <w:lang w:eastAsia="es-MX"/>
        </w:rPr>
        <w:t xml:space="preserve">En todo caso, corresponde a cada entidad estatal realizar el correspondiente análisis para determinar si procede o no la celebración de un determinado contrato de asociación de acuerdo con la situación fáctica y jurídica particular del caso concreto, para lo cual las consideraciones expuestas en el presente concepto constituyen un instrumento orientador.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w:t>
      </w:r>
      <w:r w:rsidRPr="00B66F22">
        <w:rPr>
          <w:rFonts w:ascii="Century Gothic" w:hAnsi="Century Gothic" w:cs="Arial"/>
          <w:color w:val="000000" w:themeColor="text1"/>
          <w:lang w:eastAsia="es-MX"/>
        </w:rPr>
        <w:lastRenderedPageBreak/>
        <w:t xml:space="preserve">y contratación pública adopten la decisión que corresponda, lo cual es acorde con el principio de juridicidad. </w:t>
      </w:r>
    </w:p>
    <w:p w14:paraId="412908B3" w14:textId="77777777" w:rsidR="00B66F22" w:rsidRPr="00B66F22" w:rsidRDefault="00B66F22" w:rsidP="00B66F22">
      <w:pPr>
        <w:spacing w:after="0" w:line="276" w:lineRule="auto"/>
        <w:jc w:val="both"/>
        <w:rPr>
          <w:rFonts w:ascii="Century Gothic" w:hAnsi="Century Gothic" w:cs="Arial"/>
          <w:color w:val="000000" w:themeColor="text1"/>
          <w:lang w:eastAsia="es-MX"/>
        </w:rPr>
      </w:pPr>
    </w:p>
    <w:p w14:paraId="5E3FA054" w14:textId="77777777" w:rsidR="00B66F22" w:rsidRPr="00B66F22" w:rsidRDefault="00B66F22" w:rsidP="00B66F22">
      <w:pPr>
        <w:spacing w:after="0" w:line="276" w:lineRule="auto"/>
        <w:jc w:val="both"/>
        <w:rPr>
          <w:rFonts w:ascii="Century Gothic" w:hAnsi="Century Gothic" w:cs="Arial"/>
          <w:color w:val="000000" w:themeColor="text1"/>
          <w:lang w:eastAsia="es-MX"/>
        </w:rPr>
      </w:pPr>
      <w:r w:rsidRPr="00B66F22">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9F6A688" w14:textId="77777777" w:rsidR="00B66F22" w:rsidRPr="00B66F22" w:rsidRDefault="00B66F22" w:rsidP="00B66F22">
      <w:pPr>
        <w:widowControl w:val="0"/>
        <w:autoSpaceDE w:val="0"/>
        <w:autoSpaceDN w:val="0"/>
        <w:spacing w:after="0" w:line="276" w:lineRule="auto"/>
        <w:jc w:val="both"/>
        <w:rPr>
          <w:rFonts w:ascii="Century Gothic" w:hAnsi="Century Gothic" w:cs="Arial"/>
          <w:color w:val="000000" w:themeColor="text1"/>
          <w:lang w:val="es-ES_tradnl" w:bidi="es-ES"/>
        </w:rPr>
      </w:pPr>
    </w:p>
    <w:p w14:paraId="165F9E74" w14:textId="77777777" w:rsidR="00B66F22" w:rsidRPr="00B66F22" w:rsidRDefault="00B66F22" w:rsidP="00B66F22">
      <w:pPr>
        <w:tabs>
          <w:tab w:val="left" w:pos="426"/>
        </w:tabs>
        <w:spacing w:line="276" w:lineRule="auto"/>
        <w:jc w:val="both"/>
        <w:rPr>
          <w:rFonts w:ascii="Century Gothic" w:eastAsia="Times New Roman" w:hAnsi="Century Gothic" w:cs="Arial"/>
          <w:color w:val="000000" w:themeColor="text1"/>
        </w:rPr>
      </w:pPr>
      <w:r w:rsidRPr="00B66F22">
        <w:rPr>
          <w:rFonts w:ascii="Century Gothic" w:eastAsia="Times New Roman" w:hAnsi="Century Gothic" w:cs="Arial"/>
          <w:color w:val="000000" w:themeColor="text1"/>
        </w:rPr>
        <w:t>Atentamente,</w:t>
      </w:r>
    </w:p>
    <w:p w14:paraId="6D4E82F5" w14:textId="6A2B3FAC" w:rsidR="00B66F22" w:rsidRPr="00B66F22" w:rsidRDefault="0004434E" w:rsidP="00B66F22">
      <w:pPr>
        <w:jc w:val="center"/>
        <w:rPr>
          <w:rFonts w:ascii="Century Gothic" w:eastAsia="Times New Roman" w:hAnsi="Century Gothic" w:cs="Arial"/>
          <w:lang w:eastAsia="es-CO"/>
        </w:rPr>
      </w:pPr>
      <w:r w:rsidRPr="0004434E">
        <w:rPr>
          <w:rFonts w:ascii="Calibri" w:eastAsia="Calibri" w:hAnsi="Calibri" w:cs="Times New Roman"/>
          <w:noProof/>
          <w:lang w:val="es-ES"/>
        </w:rPr>
        <w:drawing>
          <wp:inline distT="0" distB="0" distL="0" distR="0" wp14:anchorId="4E46AB48" wp14:editId="0825CA6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B66F22" w:rsidRPr="00B66F22" w14:paraId="0D791EBA" w14:textId="77777777" w:rsidTr="001C41F4">
        <w:trPr>
          <w:trHeight w:val="409"/>
        </w:trPr>
        <w:tc>
          <w:tcPr>
            <w:tcW w:w="817" w:type="dxa"/>
            <w:tcBorders>
              <w:top w:val="nil"/>
              <w:left w:val="nil"/>
              <w:bottom w:val="nil"/>
              <w:right w:val="nil"/>
            </w:tcBorders>
            <w:vAlign w:val="center"/>
            <w:hideMark/>
          </w:tcPr>
          <w:p w14:paraId="7802E165"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18DCB37"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Gabriel Alejandro Murcia Taboada</w:t>
            </w:r>
          </w:p>
          <w:p w14:paraId="57B9C9A2"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Contratista de la Subdirección de Gestión Contractual</w:t>
            </w:r>
          </w:p>
        </w:tc>
      </w:tr>
      <w:tr w:rsidR="00B66F22" w:rsidRPr="00B66F22" w14:paraId="1C980DE3" w14:textId="77777777" w:rsidTr="001C41F4">
        <w:trPr>
          <w:trHeight w:val="409"/>
        </w:trPr>
        <w:tc>
          <w:tcPr>
            <w:tcW w:w="817" w:type="dxa"/>
            <w:tcBorders>
              <w:top w:val="nil"/>
              <w:left w:val="nil"/>
              <w:right w:val="nil"/>
            </w:tcBorders>
            <w:vAlign w:val="center"/>
          </w:tcPr>
          <w:p w14:paraId="7A9C74FF" w14:textId="77777777" w:rsidR="00B66F22" w:rsidRPr="00B66F22" w:rsidRDefault="00B66F22" w:rsidP="00B66F22">
            <w:pPr>
              <w:jc w:val="both"/>
              <w:rPr>
                <w:rFonts w:ascii="Century Gothic" w:hAnsi="Century Gothic" w:cs="Arial"/>
                <w:sz w:val="16"/>
                <w:szCs w:val="16"/>
              </w:rPr>
            </w:pPr>
            <w:r w:rsidRPr="00B66F22">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F415A03" w14:textId="501E9D98"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Adriana Katerine López Rodrigue</w:t>
            </w:r>
            <w:r w:rsidR="00F20AC4">
              <w:rPr>
                <w:rFonts w:ascii="Century Gothic" w:hAnsi="Century Gothic" w:cs="Arial"/>
                <w:sz w:val="16"/>
                <w:szCs w:val="16"/>
              </w:rPr>
              <w:t>z</w:t>
            </w:r>
          </w:p>
          <w:p w14:paraId="69271D33"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Contratista de la Subdirección de Gestión Contractual</w:t>
            </w:r>
          </w:p>
        </w:tc>
      </w:tr>
      <w:tr w:rsidR="00B66F22" w:rsidRPr="00B66F22" w14:paraId="4ED2558B" w14:textId="77777777" w:rsidTr="001C41F4">
        <w:trPr>
          <w:trHeight w:val="389"/>
        </w:trPr>
        <w:tc>
          <w:tcPr>
            <w:tcW w:w="817" w:type="dxa"/>
            <w:tcBorders>
              <w:top w:val="nil"/>
              <w:left w:val="nil"/>
              <w:bottom w:val="nil"/>
              <w:right w:val="nil"/>
            </w:tcBorders>
            <w:vAlign w:val="center"/>
            <w:hideMark/>
          </w:tcPr>
          <w:p w14:paraId="10598792"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5B2B82A"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Nohelia del Carmen Zawady Palacio</w:t>
            </w:r>
          </w:p>
          <w:p w14:paraId="44501214" w14:textId="77777777" w:rsidR="00B66F22" w:rsidRPr="00B66F22" w:rsidRDefault="00B66F22" w:rsidP="00B66F22">
            <w:pPr>
              <w:spacing w:after="0" w:line="240" w:lineRule="auto"/>
              <w:jc w:val="both"/>
              <w:rPr>
                <w:rFonts w:ascii="Century Gothic" w:hAnsi="Century Gothic" w:cs="Arial"/>
                <w:sz w:val="16"/>
                <w:szCs w:val="16"/>
              </w:rPr>
            </w:pPr>
            <w:r w:rsidRPr="00B66F22">
              <w:rPr>
                <w:rFonts w:ascii="Century Gothic" w:hAnsi="Century Gothic" w:cs="Arial"/>
                <w:sz w:val="16"/>
                <w:szCs w:val="16"/>
              </w:rPr>
              <w:t>Subdirectora de Gestión Contractual ANCP - CCE</w:t>
            </w:r>
          </w:p>
        </w:tc>
      </w:tr>
      <w:bookmarkEnd w:id="0"/>
    </w:tbl>
    <w:p w14:paraId="0465BA6D" w14:textId="77777777" w:rsidR="00E245AB" w:rsidRPr="00322A85" w:rsidRDefault="00E245AB" w:rsidP="00E245AB">
      <w:pPr>
        <w:spacing w:after="0"/>
        <w:rPr>
          <w:rFonts w:ascii="Century Gothic" w:hAnsi="Century Gothic"/>
        </w:rPr>
      </w:pPr>
    </w:p>
    <w:sectPr w:rsidR="00E245AB" w:rsidRPr="00322A85"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C6A8" w14:textId="77777777" w:rsidR="00C9305F" w:rsidRDefault="00C9305F" w:rsidP="004A1847">
      <w:pPr>
        <w:spacing w:after="0" w:line="240" w:lineRule="auto"/>
      </w:pPr>
      <w:r>
        <w:separator/>
      </w:r>
    </w:p>
  </w:endnote>
  <w:endnote w:type="continuationSeparator" w:id="0">
    <w:p w14:paraId="665CC08D" w14:textId="77777777" w:rsidR="00C9305F" w:rsidRDefault="00C9305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CD85" w14:textId="77777777" w:rsidR="00C9305F" w:rsidRDefault="00C9305F" w:rsidP="004A1847">
      <w:pPr>
        <w:spacing w:after="0" w:line="240" w:lineRule="auto"/>
      </w:pPr>
      <w:r>
        <w:separator/>
      </w:r>
    </w:p>
  </w:footnote>
  <w:footnote w:type="continuationSeparator" w:id="0">
    <w:p w14:paraId="5273E394" w14:textId="77777777" w:rsidR="00C9305F" w:rsidRDefault="00C9305F" w:rsidP="004A1847">
      <w:pPr>
        <w:spacing w:after="0" w:line="240" w:lineRule="auto"/>
      </w:pPr>
      <w:r>
        <w:continuationSeparator/>
      </w:r>
    </w:p>
  </w:footnote>
  <w:footnote w:id="1">
    <w:p w14:paraId="5C028E6D" w14:textId="77777777" w:rsidR="00B66F22" w:rsidRPr="00414B16" w:rsidRDefault="00B66F22" w:rsidP="00B66F22">
      <w:pPr>
        <w:pStyle w:val="Textonotapie"/>
        <w:ind w:firstLine="708"/>
        <w:jc w:val="both"/>
        <w:rPr>
          <w:rFonts w:ascii="Century Gothic" w:hAnsi="Century Gothic" w:cs="Arial"/>
          <w:sz w:val="16"/>
          <w:szCs w:val="16"/>
        </w:rPr>
      </w:pPr>
      <w:r>
        <w:rPr>
          <w:rStyle w:val="Refdenotaalpie"/>
        </w:rPr>
        <w:footnoteRef/>
      </w:r>
      <w:r>
        <w:t xml:space="preserve"> </w:t>
      </w:r>
      <w:r w:rsidRPr="00414B16">
        <w:rPr>
          <w:rFonts w:ascii="Century Gothic" w:hAnsi="Century Gothic" w:cs="Arial"/>
          <w:sz w:val="16"/>
          <w:szCs w:val="16"/>
        </w:rPr>
        <w:t xml:space="preserve">“Artículo 3°. Funciones. La Agencia Nacional de Contratación Pública –Colombia Compra Eficiente– ejercerá las siguientes funciones: </w:t>
      </w:r>
    </w:p>
    <w:p w14:paraId="691ECEF3" w14:textId="77777777" w:rsidR="00B66F22" w:rsidRPr="00414B16" w:rsidRDefault="00B66F22" w:rsidP="00B66F22">
      <w:pPr>
        <w:pStyle w:val="Textonotapie"/>
        <w:ind w:firstLine="708"/>
        <w:jc w:val="both"/>
        <w:rPr>
          <w:rFonts w:ascii="Century Gothic" w:hAnsi="Century Gothic" w:cs="Arial"/>
          <w:sz w:val="16"/>
          <w:szCs w:val="16"/>
        </w:rPr>
      </w:pPr>
      <w:r w:rsidRPr="00414B16">
        <w:rPr>
          <w:rFonts w:ascii="Century Gothic" w:hAnsi="Century Gothic" w:cs="Arial"/>
          <w:sz w:val="16"/>
          <w:szCs w:val="16"/>
        </w:rPr>
        <w:t>[...] 5. Absolver consultas sobre la aplicación de normas de carácter general y expedir circulares externas en materia de compras y contratación pública.</w:t>
      </w:r>
    </w:p>
    <w:p w14:paraId="5DF63AEF" w14:textId="77777777" w:rsidR="00B66F22" w:rsidRPr="00414B16" w:rsidRDefault="00B66F22" w:rsidP="00B66F22">
      <w:pPr>
        <w:pStyle w:val="Textonotapie"/>
        <w:ind w:firstLine="708"/>
        <w:jc w:val="both"/>
        <w:rPr>
          <w:lang w:val="es-CO"/>
        </w:rPr>
      </w:pPr>
      <w:r w:rsidRPr="00414B16">
        <w:rPr>
          <w:rFonts w:ascii="Century Gothic" w:hAnsi="Century Gothic" w:cs="Arial"/>
          <w:sz w:val="16"/>
          <w:szCs w:val="16"/>
        </w:rPr>
        <w:t>“Artículo 11. Subdirección de Gestión Contractual. Son funciones de la Subdirección de Gestión Contractual las siguientes: [...] 8. Absolver consultas sobre la aplicación de normas de carácter general”.</w:t>
      </w:r>
    </w:p>
  </w:footnote>
  <w:footnote w:id="2">
    <w:p w14:paraId="4A3FC9ED" w14:textId="77777777" w:rsidR="00B66F22" w:rsidRPr="002757AC" w:rsidRDefault="00B66F22" w:rsidP="00B66F22">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757AC">
          <w:rPr>
            <w:rStyle w:val="Hipervnculo"/>
            <w:rFonts w:ascii="Century Gothic" w:hAnsi="Century Gothic" w:cs="Arial"/>
            <w:sz w:val="16"/>
            <w:szCs w:val="16"/>
          </w:rPr>
          <w:t>https://relatoria.colombiacompra.gov.co/busqueda/conceptos</w:t>
        </w:r>
      </w:hyperlink>
      <w:r w:rsidRPr="002757AC">
        <w:rPr>
          <w:rStyle w:val="Hipervnculo"/>
          <w:rFonts w:ascii="Century Gothic" w:hAnsi="Century Gothic" w:cs="Arial"/>
          <w:sz w:val="16"/>
          <w:szCs w:val="16"/>
        </w:rPr>
        <w:t xml:space="preserve">. </w:t>
      </w:r>
      <w:r w:rsidRPr="002757AC">
        <w:rPr>
          <w:rFonts w:ascii="Century Gothic" w:hAnsi="Century Gothic" w:cs="Arial"/>
          <w:sz w:val="16"/>
          <w:szCs w:val="16"/>
          <w:shd w:val="clear" w:color="auto" w:fill="E6E6E6"/>
        </w:rPr>
        <w:t xml:space="preserve"> </w:t>
      </w:r>
    </w:p>
  </w:footnote>
  <w:footnote w:id="3">
    <w:p w14:paraId="0C32608B" w14:textId="77777777" w:rsidR="00B66F22" w:rsidRPr="002757AC" w:rsidRDefault="00B66F22" w:rsidP="00B66F22">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Sobre esta norma, consultar los conceptos del 8 de octubre de 2019, con radicado No. 2201913000007532, y del 20 de diciembre de 2019, con radicado No. 4201913000008240.</w:t>
      </w:r>
    </w:p>
  </w:footnote>
  <w:footnote w:id="4">
    <w:p w14:paraId="03AE6700" w14:textId="77777777" w:rsidR="00B66F22" w:rsidRPr="002757AC" w:rsidRDefault="00B66F22" w:rsidP="00B66F22">
      <w:pPr>
        <w:pStyle w:val="Textonotapie"/>
        <w:ind w:firstLine="708"/>
        <w:jc w:val="both"/>
        <w:rPr>
          <w:rFonts w:ascii="Century Gothic" w:hAnsi="Century Gothic" w:cs="Arial"/>
          <w:sz w:val="16"/>
          <w:szCs w:val="16"/>
        </w:rPr>
      </w:pPr>
      <w:r w:rsidRPr="002757AC">
        <w:rPr>
          <w:rStyle w:val="Refdenotaalpie"/>
          <w:rFonts w:ascii="Century Gothic" w:hAnsi="Century Gothic"/>
          <w:sz w:val="16"/>
          <w:szCs w:val="16"/>
        </w:rPr>
        <w:footnoteRef/>
      </w:r>
      <w:r w:rsidRPr="002757AC">
        <w:rPr>
          <w:rFonts w:ascii="Century Gothic" w:hAnsi="Century Gothic"/>
          <w:sz w:val="16"/>
          <w:szCs w:val="16"/>
        </w:rPr>
        <w:t xml:space="preserve"> </w:t>
      </w:r>
      <w:r w:rsidRPr="002757AC">
        <w:rPr>
          <w:rFonts w:ascii="Century Gothic" w:hAnsi="Century Gothic"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4B22ECF" w14:textId="77777777" w:rsidR="00B66F22" w:rsidRPr="002757AC" w:rsidRDefault="00B66F22" w:rsidP="00B66F22">
      <w:pPr>
        <w:pStyle w:val="Textonotapie"/>
        <w:ind w:firstLine="708"/>
        <w:jc w:val="both"/>
        <w:rPr>
          <w:rFonts w:ascii="Century Gothic" w:hAnsi="Century Gothic" w:cs="Arial"/>
          <w:sz w:val="16"/>
          <w:szCs w:val="16"/>
        </w:rPr>
      </w:pPr>
      <w:r w:rsidRPr="002757AC">
        <w:rPr>
          <w:rFonts w:ascii="Century Gothic" w:hAnsi="Century Gothic" w:cs="Arial"/>
          <w:sz w:val="16"/>
          <w:szCs w:val="16"/>
        </w:rPr>
        <w:t xml:space="preserve">Los convenios de asociación a que se refiere el presente artículo </w:t>
      </w:r>
      <w:bookmarkStart w:id="2" w:name="_Hlk36023315"/>
      <w:r w:rsidRPr="002757AC">
        <w:rPr>
          <w:rFonts w:ascii="Century Gothic" w:hAnsi="Century Gothic" w:cs="Arial"/>
          <w:sz w:val="16"/>
          <w:szCs w:val="16"/>
        </w:rPr>
        <w:t>se celebrarán de conformidad con lo dispuesto en el artículo 355 de la Constitución Política</w:t>
      </w:r>
      <w:bookmarkEnd w:id="2"/>
      <w:r w:rsidRPr="002757AC">
        <w:rPr>
          <w:rFonts w:ascii="Century Gothic" w:hAnsi="Century Gothic" w:cs="Arial"/>
          <w:sz w:val="16"/>
          <w:szCs w:val="16"/>
        </w:rPr>
        <w:t>, en ellos se determinará con precisión su objeto, término, obligaciones de las partes, aportes, coordinación y todos aquellos aspectos que se consideren pertinentes”.</w:t>
      </w:r>
    </w:p>
    <w:p w14:paraId="52BAA3CC" w14:textId="77777777" w:rsidR="00B66F22" w:rsidRPr="002757AC" w:rsidRDefault="00B66F22" w:rsidP="00B66F22">
      <w:pPr>
        <w:pStyle w:val="Textonotapie"/>
        <w:ind w:firstLine="708"/>
        <w:jc w:val="both"/>
        <w:rPr>
          <w:rFonts w:ascii="Century Gothic" w:hAnsi="Century Gothic"/>
          <w:sz w:val="16"/>
          <w:szCs w:val="16"/>
          <w:lang w:val="es-ES"/>
        </w:rPr>
      </w:pPr>
      <w:r w:rsidRPr="002757AC">
        <w:rPr>
          <w:rFonts w:ascii="Century Gothic" w:hAnsi="Century Gothic"/>
          <w:sz w:val="16"/>
          <w:szCs w:val="16"/>
        </w:rPr>
        <w:t xml:space="preserve"> </w:t>
      </w:r>
    </w:p>
  </w:footnote>
  <w:footnote w:id="5">
    <w:p w14:paraId="5D2AB8D3" w14:textId="77777777" w:rsidR="00B66F22" w:rsidRPr="002757AC" w:rsidRDefault="00B66F22" w:rsidP="00B66F22">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Concepto del 3 de septiembre de 2019, con radicado No. 2201913000006512.</w:t>
      </w:r>
    </w:p>
  </w:footnote>
  <w:footnote w:id="6">
    <w:p w14:paraId="4B017030" w14:textId="77777777" w:rsidR="00B66F22" w:rsidRPr="002757AC" w:rsidRDefault="00B66F22" w:rsidP="00B66F22">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Sobre la naturaleza de los convenios de asociación, se reitera lo expuesto en el concepto del 19 de noviembre de 2019, con radicado No. 2201913000008611.</w:t>
      </w:r>
    </w:p>
  </w:footnote>
  <w:footnote w:id="7">
    <w:p w14:paraId="1139ACBE" w14:textId="77777777" w:rsidR="00B66F22" w:rsidRPr="002757AC" w:rsidRDefault="00B66F22" w:rsidP="00B66F22">
      <w:pPr>
        <w:pStyle w:val="Textonotapie"/>
        <w:ind w:firstLine="708"/>
        <w:jc w:val="both"/>
        <w:rPr>
          <w:rFonts w:ascii="Century Gothic" w:hAnsi="Century Gothic" w:cs="Arial"/>
          <w:color w:val="000000" w:themeColor="text1"/>
          <w:sz w:val="16"/>
          <w:szCs w:val="16"/>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Cfr. Concepto del 21 de agosto de 2019, dictado dentro del radicado No. 2201913000006047.</w:t>
      </w:r>
    </w:p>
  </w:footnote>
  <w:footnote w:id="8">
    <w:p w14:paraId="6CA4BD8D" w14:textId="77777777" w:rsidR="00B66F22" w:rsidRPr="002757AC" w:rsidRDefault="00B66F22" w:rsidP="00B66F22">
      <w:pPr>
        <w:pStyle w:val="Textonotapie"/>
        <w:ind w:firstLine="708"/>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Concepto del 24 de febrero de 2005, con radicado No. 1626, C.P. Dra. Gloria Duque Hernández</w:t>
      </w:r>
    </w:p>
  </w:footnote>
  <w:footnote w:id="9">
    <w:p w14:paraId="0708C3D6"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w:t>
      </w:r>
      <w:r w:rsidRPr="002757AC">
        <w:rPr>
          <w:rFonts w:ascii="Century Gothic" w:hAnsi="Century Gothic" w:cs="Arial"/>
          <w:color w:val="000000" w:themeColor="text1"/>
          <w:sz w:val="16"/>
          <w:szCs w:val="16"/>
          <w:lang w:val="es-ES"/>
        </w:rPr>
        <w:t>Magistrado Ponente: Marco Gerardo Monroy Cabra.</w:t>
      </w:r>
    </w:p>
  </w:footnote>
  <w:footnote w:id="10">
    <w:p w14:paraId="764D94B9" w14:textId="77777777" w:rsidR="00B66F22" w:rsidRPr="002757AC" w:rsidRDefault="00B66F22" w:rsidP="00B66F22">
      <w:pPr>
        <w:pStyle w:val="Textonotapie"/>
        <w:ind w:firstLine="709"/>
        <w:jc w:val="both"/>
        <w:rPr>
          <w:rFonts w:ascii="Century Gothic" w:hAnsi="Century Gothic" w:cs="Arial"/>
          <w:color w:val="000000" w:themeColor="text1"/>
          <w:sz w:val="16"/>
          <w:szCs w:val="16"/>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En lo pertinente, dicho artículo señala: </w:t>
      </w:r>
    </w:p>
    <w:p w14:paraId="194F6EF3"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w:t>
      </w:r>
    </w:p>
    <w:p w14:paraId="17602FEE"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14.5. EMPRESA DE SERVICIOS PÚBLICOS OFICIAL. Es aquella en cuyo capital la Nación, las entidades territoriales, o las entidades descentralizadas de aquella o estas tienen el 100% de los aportes.</w:t>
      </w:r>
    </w:p>
    <w:p w14:paraId="601B7428"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14.6. EMPRESA DE SERVICIOS PÚBLICOS MIXTA. Es aquella en cuyo capital la Nación, las entidades territoriales, o las entidades descentralizadas de aquella o éstas tienen aportes iguales o superiores al 50%.</w:t>
      </w:r>
    </w:p>
    <w:p w14:paraId="1844134D"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p>
  </w:footnote>
  <w:footnote w:id="11">
    <w:p w14:paraId="06A5329D"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Sentencia C-736 de 2007.</w:t>
      </w:r>
    </w:p>
  </w:footnote>
  <w:footnote w:id="12">
    <w:p w14:paraId="0A936903" w14:textId="77777777" w:rsidR="00B66F22" w:rsidRPr="002757AC" w:rsidRDefault="00B66F22" w:rsidP="00B66F22">
      <w:pPr>
        <w:pStyle w:val="Textonotapie"/>
        <w:ind w:firstLine="709"/>
        <w:jc w:val="both"/>
        <w:rPr>
          <w:rFonts w:ascii="Century Gothic" w:hAnsi="Century Gothic" w:cs="Arial"/>
          <w:color w:val="000000" w:themeColor="text1"/>
          <w:sz w:val="16"/>
          <w:szCs w:val="16"/>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Consejo de Estado. </w:t>
      </w:r>
      <w:proofErr w:type="spellStart"/>
      <w:r w:rsidRPr="002757AC">
        <w:rPr>
          <w:rFonts w:ascii="Century Gothic" w:hAnsi="Century Gothic" w:cs="Arial"/>
          <w:color w:val="000000" w:themeColor="text1"/>
          <w:sz w:val="16"/>
          <w:szCs w:val="16"/>
        </w:rPr>
        <w:t>Seccion</w:t>
      </w:r>
      <w:proofErr w:type="spellEnd"/>
      <w:r w:rsidRPr="002757AC">
        <w:rPr>
          <w:rFonts w:ascii="Century Gothic" w:hAnsi="Century Gothic" w:cs="Arial"/>
          <w:color w:val="000000" w:themeColor="text1"/>
          <w:sz w:val="16"/>
          <w:szCs w:val="16"/>
        </w:rPr>
        <w:t xml:space="preserve"> Cuarta. Sentencia del 1 de 2012. Consejero ponente: William Giraldo </w:t>
      </w:r>
      <w:proofErr w:type="spellStart"/>
      <w:r w:rsidRPr="002757AC">
        <w:rPr>
          <w:rFonts w:ascii="Century Gothic" w:hAnsi="Century Gothic" w:cs="Arial"/>
          <w:color w:val="000000" w:themeColor="text1"/>
          <w:sz w:val="16"/>
          <w:szCs w:val="16"/>
        </w:rPr>
        <w:t>Giraldo</w:t>
      </w:r>
      <w:proofErr w:type="spellEnd"/>
      <w:r w:rsidRPr="002757AC">
        <w:rPr>
          <w:rFonts w:ascii="Century Gothic" w:hAnsi="Century Gothic" w:cs="Arial"/>
          <w:color w:val="000000" w:themeColor="text1"/>
          <w:sz w:val="16"/>
          <w:szCs w:val="16"/>
        </w:rPr>
        <w:t xml:space="preserve">. Expediente 17907. </w:t>
      </w:r>
    </w:p>
  </w:footnote>
  <w:footnote w:id="13">
    <w:p w14:paraId="54303F80" w14:textId="77777777" w:rsidR="00B66F22" w:rsidRPr="002757AC" w:rsidRDefault="00B66F22" w:rsidP="00B66F22">
      <w:pPr>
        <w:pStyle w:val="Textonotapie"/>
        <w:ind w:firstLine="709"/>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Superintendencia de Servicios Públicos Domiciliarios. </w:t>
      </w:r>
      <w:r w:rsidRPr="002757AC">
        <w:rPr>
          <w:rFonts w:ascii="Century Gothic" w:hAnsi="Century Gothic" w:cs="Arial"/>
          <w:color w:val="000000" w:themeColor="text1"/>
          <w:sz w:val="16"/>
          <w:szCs w:val="16"/>
          <w:lang w:val="es-ES"/>
        </w:rPr>
        <w:t>Concepto C-766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984288">
    <w:abstractNumId w:val="6"/>
  </w:num>
  <w:num w:numId="2" w16cid:durableId="1501235183">
    <w:abstractNumId w:val="2"/>
  </w:num>
  <w:num w:numId="3" w16cid:durableId="1740901757">
    <w:abstractNumId w:val="4"/>
  </w:num>
  <w:num w:numId="4" w16cid:durableId="448208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736516">
    <w:abstractNumId w:val="2"/>
  </w:num>
  <w:num w:numId="6" w16cid:durableId="1801611069">
    <w:abstractNumId w:val="12"/>
  </w:num>
  <w:num w:numId="7" w16cid:durableId="1162161715">
    <w:abstractNumId w:val="5"/>
  </w:num>
  <w:num w:numId="8" w16cid:durableId="1539850209">
    <w:abstractNumId w:val="11"/>
  </w:num>
  <w:num w:numId="9" w16cid:durableId="656229204">
    <w:abstractNumId w:val="7"/>
  </w:num>
  <w:num w:numId="10" w16cid:durableId="1121532323">
    <w:abstractNumId w:val="10"/>
  </w:num>
  <w:num w:numId="11" w16cid:durableId="1120101960">
    <w:abstractNumId w:val="8"/>
  </w:num>
  <w:num w:numId="12" w16cid:durableId="1752048438">
    <w:abstractNumId w:val="1"/>
  </w:num>
  <w:num w:numId="13" w16cid:durableId="1855880910">
    <w:abstractNumId w:val="3"/>
  </w:num>
  <w:num w:numId="14" w16cid:durableId="1113329881">
    <w:abstractNumId w:val="13"/>
  </w:num>
  <w:num w:numId="15" w16cid:durableId="1719428991">
    <w:abstractNumId w:val="9"/>
  </w:num>
  <w:num w:numId="16" w16cid:durableId="36163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1B35"/>
    <w:rsid w:val="000322F8"/>
    <w:rsid w:val="0004434E"/>
    <w:rsid w:val="00061B2A"/>
    <w:rsid w:val="00082362"/>
    <w:rsid w:val="000A683E"/>
    <w:rsid w:val="000B19B9"/>
    <w:rsid w:val="000D0334"/>
    <w:rsid w:val="000F6486"/>
    <w:rsid w:val="00112927"/>
    <w:rsid w:val="00125105"/>
    <w:rsid w:val="00127233"/>
    <w:rsid w:val="00151575"/>
    <w:rsid w:val="001C2F27"/>
    <w:rsid w:val="001E1F35"/>
    <w:rsid w:val="001E4177"/>
    <w:rsid w:val="001F7DC6"/>
    <w:rsid w:val="002421BB"/>
    <w:rsid w:val="002527A0"/>
    <w:rsid w:val="002707A2"/>
    <w:rsid w:val="00292C16"/>
    <w:rsid w:val="002951A0"/>
    <w:rsid w:val="002962BC"/>
    <w:rsid w:val="002A093D"/>
    <w:rsid w:val="002A0DD0"/>
    <w:rsid w:val="002A49AC"/>
    <w:rsid w:val="002A64FD"/>
    <w:rsid w:val="002C7A84"/>
    <w:rsid w:val="002E4FD9"/>
    <w:rsid w:val="003013D5"/>
    <w:rsid w:val="00322A85"/>
    <w:rsid w:val="003432CE"/>
    <w:rsid w:val="003448F4"/>
    <w:rsid w:val="00374F5E"/>
    <w:rsid w:val="00377E3E"/>
    <w:rsid w:val="00395720"/>
    <w:rsid w:val="003A779E"/>
    <w:rsid w:val="003D0F4D"/>
    <w:rsid w:val="003D5B0D"/>
    <w:rsid w:val="003E0499"/>
    <w:rsid w:val="003E1F8D"/>
    <w:rsid w:val="003F3941"/>
    <w:rsid w:val="004061AF"/>
    <w:rsid w:val="00406575"/>
    <w:rsid w:val="0042722E"/>
    <w:rsid w:val="004316D2"/>
    <w:rsid w:val="004454CC"/>
    <w:rsid w:val="00492715"/>
    <w:rsid w:val="004A1847"/>
    <w:rsid w:val="004A305D"/>
    <w:rsid w:val="004A70C8"/>
    <w:rsid w:val="004F21C4"/>
    <w:rsid w:val="004F685F"/>
    <w:rsid w:val="005566E8"/>
    <w:rsid w:val="00574867"/>
    <w:rsid w:val="00591460"/>
    <w:rsid w:val="005A2340"/>
    <w:rsid w:val="005A53A7"/>
    <w:rsid w:val="005C3777"/>
    <w:rsid w:val="005C5CDC"/>
    <w:rsid w:val="005D476C"/>
    <w:rsid w:val="006219F8"/>
    <w:rsid w:val="006357AA"/>
    <w:rsid w:val="00665D70"/>
    <w:rsid w:val="006900D9"/>
    <w:rsid w:val="00694845"/>
    <w:rsid w:val="00706C16"/>
    <w:rsid w:val="00726ACA"/>
    <w:rsid w:val="00756841"/>
    <w:rsid w:val="007649AB"/>
    <w:rsid w:val="00771D0C"/>
    <w:rsid w:val="007833AC"/>
    <w:rsid w:val="007845D3"/>
    <w:rsid w:val="007B268C"/>
    <w:rsid w:val="007B7171"/>
    <w:rsid w:val="007C3DC2"/>
    <w:rsid w:val="007E5497"/>
    <w:rsid w:val="00800BDD"/>
    <w:rsid w:val="00806F5F"/>
    <w:rsid w:val="00820278"/>
    <w:rsid w:val="008843B6"/>
    <w:rsid w:val="00891928"/>
    <w:rsid w:val="008A446D"/>
    <w:rsid w:val="008B6890"/>
    <w:rsid w:val="008D180B"/>
    <w:rsid w:val="008F0EA7"/>
    <w:rsid w:val="00921619"/>
    <w:rsid w:val="00923EEF"/>
    <w:rsid w:val="009419F9"/>
    <w:rsid w:val="00946A86"/>
    <w:rsid w:val="00961B09"/>
    <w:rsid w:val="00965334"/>
    <w:rsid w:val="0097093E"/>
    <w:rsid w:val="009A6976"/>
    <w:rsid w:val="009C71FA"/>
    <w:rsid w:val="009C72E7"/>
    <w:rsid w:val="009F3A13"/>
    <w:rsid w:val="00A122D3"/>
    <w:rsid w:val="00A17F13"/>
    <w:rsid w:val="00A20739"/>
    <w:rsid w:val="00A33C78"/>
    <w:rsid w:val="00A46322"/>
    <w:rsid w:val="00A73ED6"/>
    <w:rsid w:val="00AB02C6"/>
    <w:rsid w:val="00AB0ADB"/>
    <w:rsid w:val="00B66D8D"/>
    <w:rsid w:val="00B66F22"/>
    <w:rsid w:val="00B72CD3"/>
    <w:rsid w:val="00B72FFF"/>
    <w:rsid w:val="00BA2153"/>
    <w:rsid w:val="00BC3D36"/>
    <w:rsid w:val="00BD7F72"/>
    <w:rsid w:val="00C04FB3"/>
    <w:rsid w:val="00C330EB"/>
    <w:rsid w:val="00C633A0"/>
    <w:rsid w:val="00C754BE"/>
    <w:rsid w:val="00C76B1C"/>
    <w:rsid w:val="00C9305F"/>
    <w:rsid w:val="00CA1D28"/>
    <w:rsid w:val="00CB6357"/>
    <w:rsid w:val="00CC1B26"/>
    <w:rsid w:val="00D3016B"/>
    <w:rsid w:val="00D423A2"/>
    <w:rsid w:val="00D46AD1"/>
    <w:rsid w:val="00D63AC2"/>
    <w:rsid w:val="00D7383B"/>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14CED"/>
    <w:rsid w:val="00F20AC4"/>
    <w:rsid w:val="00F31EDC"/>
    <w:rsid w:val="00F462B3"/>
    <w:rsid w:val="00F5664F"/>
    <w:rsid w:val="00F666C4"/>
    <w:rsid w:val="00F76AFC"/>
    <w:rsid w:val="00F87392"/>
    <w:rsid w:val="00FB5DD1"/>
    <w:rsid w:val="00FB64DC"/>
    <w:rsid w:val="00FC2B5D"/>
    <w:rsid w:val="00FE42E3"/>
    <w:rsid w:val="00FF1449"/>
    <w:rsid w:val="01B604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66F22"/>
    <w:pPr>
      <w:spacing w:line="240" w:lineRule="exact"/>
    </w:pPr>
    <w:rPr>
      <w:vertAlign w:val="superscript"/>
    </w:rPr>
  </w:style>
  <w:style w:type="character" w:styleId="Refdecomentario">
    <w:name w:val="annotation reference"/>
    <w:basedOn w:val="Fuentedeprrafopredeter"/>
    <w:uiPriority w:val="99"/>
    <w:semiHidden/>
    <w:unhideWhenUsed/>
    <w:rsid w:val="006357AA"/>
    <w:rPr>
      <w:sz w:val="16"/>
      <w:szCs w:val="16"/>
    </w:rPr>
  </w:style>
  <w:style w:type="paragraph" w:styleId="Textocomentario">
    <w:name w:val="annotation text"/>
    <w:basedOn w:val="Normal"/>
    <w:link w:val="TextocomentarioCar"/>
    <w:uiPriority w:val="99"/>
    <w:unhideWhenUsed/>
    <w:rsid w:val="006357AA"/>
    <w:pPr>
      <w:spacing w:line="240" w:lineRule="auto"/>
    </w:pPr>
    <w:rPr>
      <w:sz w:val="20"/>
      <w:szCs w:val="20"/>
    </w:rPr>
  </w:style>
  <w:style w:type="character" w:customStyle="1" w:styleId="TextocomentarioCar">
    <w:name w:val="Texto comentario Car"/>
    <w:basedOn w:val="Fuentedeprrafopredeter"/>
    <w:link w:val="Textocomentario"/>
    <w:uiPriority w:val="99"/>
    <w:rsid w:val="006357AA"/>
    <w:rPr>
      <w:sz w:val="20"/>
      <w:szCs w:val="20"/>
    </w:rPr>
  </w:style>
  <w:style w:type="paragraph" w:styleId="Asuntodelcomentario">
    <w:name w:val="annotation subject"/>
    <w:basedOn w:val="Textocomentario"/>
    <w:next w:val="Textocomentario"/>
    <w:link w:val="AsuntodelcomentarioCar"/>
    <w:uiPriority w:val="99"/>
    <w:semiHidden/>
    <w:unhideWhenUsed/>
    <w:rsid w:val="006357AA"/>
    <w:rPr>
      <w:b/>
      <w:bCs/>
    </w:rPr>
  </w:style>
  <w:style w:type="character" w:customStyle="1" w:styleId="AsuntodelcomentarioCar">
    <w:name w:val="Asunto del comentario Car"/>
    <w:basedOn w:val="TextocomentarioCar"/>
    <w:link w:val="Asuntodelcomentario"/>
    <w:uiPriority w:val="99"/>
    <w:semiHidden/>
    <w:rsid w:val="006357AA"/>
    <w:rPr>
      <w:b/>
      <w:bCs/>
      <w:sz w:val="20"/>
      <w:szCs w:val="20"/>
    </w:rPr>
  </w:style>
  <w:style w:type="paragraph" w:styleId="Textoindependiente">
    <w:name w:val="Body Text"/>
    <w:basedOn w:val="Normal"/>
    <w:link w:val="TextoindependienteCar"/>
    <w:uiPriority w:val="1"/>
    <w:qFormat/>
    <w:rsid w:val="00D46AD1"/>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D46AD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ramire09@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purl.org/dc/elements/1.1/"/>
    <ds:schemaRef ds:uri="9d85dbaf-23eb-4e57-a637-93dcacc8b1a1"/>
    <ds:schemaRef ds:uri="http://www.w3.org/XML/1998/namespace"/>
    <ds:schemaRef ds:uri="http://schemas.microsoft.com/office/2006/documentManagement/types"/>
    <ds:schemaRef ds:uri="http://schemas.microsoft.com/office/2006/metadata/properties"/>
    <ds:schemaRef ds:uri="a6cb9e4b-f1d1-4245-83ec-6cad768d538a"/>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92D41A4-D5B9-40AC-A858-5CF4469D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4AF6CCFF-F566-48B9-A9B1-044393EA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6427</Words>
  <Characters>35349</Characters>
  <Application>Microsoft Office Word</Application>
  <DocSecurity>0</DocSecurity>
  <Lines>294</Lines>
  <Paragraphs>83</Paragraphs>
  <ScaleCrop>false</ScaleCrop>
  <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2</cp:revision>
  <cp:lastPrinted>2023-01-10T21:18:00Z</cp:lastPrinted>
  <dcterms:created xsi:type="dcterms:W3CDTF">2023-10-17T15:06:00Z</dcterms:created>
  <dcterms:modified xsi:type="dcterms:W3CDTF">2023-10-17T15:06:00Z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