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2C95" w14:textId="77777777" w:rsidR="00405250" w:rsidRDefault="00405250" w:rsidP="00E245AB">
      <w:pPr>
        <w:spacing w:after="0"/>
        <w:rPr>
          <w:rFonts w:ascii="Arial" w:hAnsi="Arial" w:cs="Arial"/>
        </w:rPr>
      </w:pPr>
    </w:p>
    <w:p w14:paraId="2CFD6FD7" w14:textId="77777777" w:rsidR="007F56EC" w:rsidRDefault="007F56EC" w:rsidP="00E245AB">
      <w:pPr>
        <w:spacing w:after="0"/>
        <w:rPr>
          <w:rFonts w:ascii="Arial" w:hAnsi="Arial" w:cs="Arial"/>
        </w:rPr>
      </w:pPr>
    </w:p>
    <w:p w14:paraId="3EA6A88B" w14:textId="6FD2645A" w:rsidR="007F56EC" w:rsidRPr="00851779" w:rsidRDefault="00644C65" w:rsidP="00E245AB">
      <w:pPr>
        <w:spacing w:after="0"/>
        <w:rPr>
          <w:rFonts w:ascii="Arial" w:hAnsi="Arial" w:cs="Arial"/>
          <w:b/>
          <w:bCs/>
        </w:rPr>
      </w:pPr>
      <w:r w:rsidRPr="00851779">
        <w:rPr>
          <w:rFonts w:ascii="Arial" w:hAnsi="Arial" w:cs="Arial"/>
          <w:b/>
          <w:bCs/>
        </w:rPr>
        <w:t>LEY DE EMPRENDIMIENTO – Ley 2069 de 2020– Finalidad</w:t>
      </w:r>
    </w:p>
    <w:p w14:paraId="05FDF618" w14:textId="77777777" w:rsidR="007F56EC" w:rsidRDefault="007F56EC" w:rsidP="00E245AB">
      <w:pPr>
        <w:spacing w:after="0"/>
        <w:rPr>
          <w:rFonts w:ascii="Arial" w:hAnsi="Arial" w:cs="Arial"/>
        </w:rPr>
      </w:pPr>
    </w:p>
    <w:p w14:paraId="197CC421" w14:textId="68C4F647" w:rsidR="007F56EC" w:rsidRPr="00851779" w:rsidRDefault="00AC5BEB" w:rsidP="00851779">
      <w:pPr>
        <w:spacing w:after="0"/>
        <w:jc w:val="both"/>
        <w:rPr>
          <w:rFonts w:ascii="Arial" w:hAnsi="Arial" w:cs="Arial"/>
          <w:sz w:val="20"/>
          <w:szCs w:val="20"/>
        </w:rPr>
      </w:pPr>
      <w:r>
        <w:rPr>
          <w:rFonts w:ascii="Arial" w:hAnsi="Arial" w:cs="Arial"/>
          <w:sz w:val="20"/>
          <w:szCs w:val="20"/>
        </w:rPr>
        <w:t xml:space="preserve">[…] </w:t>
      </w:r>
      <w:r w:rsidR="00162064" w:rsidRPr="00851779">
        <w:rPr>
          <w:rFonts w:ascii="Arial" w:hAnsi="Arial" w:cs="Arial"/>
          <w:sz w:val="20"/>
          <w:szCs w:val="20"/>
        </w:rPr>
        <w:t xml:space="preserve">con sustento en el análisis antes expuesto es posible afirmar que, el artículo 2.2.1.2.4.2.14 del Decreto 1082 de 2015, adicionado por el Decreto 1860 de 2021, establece diferentes definiciones de emprendimientos y empresas de mujeres, a efectos de la aplicación de los criterios diferenciales a los que se refiere el artículo 32 de la Ley 2069 de 2020. De acuerdo con lo establecido por consulta es necesario precisar que, con sujeción a lo dispuesto en el numeral 2 del artículo indicado, una persona jurídica tiene la posibilidad de ser considerado como un emprendimiento o empresa de mujeres, acreditando que más del cincuenta por ciento (50%) de los empleos del nivel directivo son ejercidos por mujeres. Según se desprende de este numeral, tales empleos son aquellos relacionados con la dirección de áreas misionales y las decisiones de nivel estratégico de la respectiva empresa.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w:t>
      </w:r>
      <w:proofErr w:type="gramStart"/>
      <w:r w:rsidR="00162064" w:rsidRPr="00851779">
        <w:rPr>
          <w:rFonts w:ascii="Arial" w:hAnsi="Arial" w:cs="Arial"/>
          <w:sz w:val="20"/>
          <w:szCs w:val="20"/>
        </w:rPr>
        <w:t>de acuerdo a</w:t>
      </w:r>
      <w:proofErr w:type="gramEnd"/>
      <w:r w:rsidR="00162064" w:rsidRPr="00851779">
        <w:rPr>
          <w:rFonts w:ascii="Arial" w:hAnsi="Arial" w:cs="Arial"/>
          <w:sz w:val="20"/>
          <w:szCs w:val="20"/>
        </w:rPr>
        <w:t xml:space="preserve"> su jerarquía, representan al empleador en los términos del artículo 32 del Código Sustantivo del Trabajo.</w:t>
      </w:r>
    </w:p>
    <w:p w14:paraId="6E24D411" w14:textId="77777777" w:rsidR="007F56EC" w:rsidRDefault="007F56EC" w:rsidP="00E245AB">
      <w:pPr>
        <w:spacing w:after="0"/>
        <w:rPr>
          <w:rFonts w:ascii="Arial" w:hAnsi="Arial" w:cs="Arial"/>
        </w:rPr>
      </w:pPr>
    </w:p>
    <w:p w14:paraId="0C7F5F47" w14:textId="4C8F2695" w:rsidR="00644C65" w:rsidRDefault="00644C65" w:rsidP="00E245AB">
      <w:pPr>
        <w:spacing w:after="0"/>
        <w:rPr>
          <w:rFonts w:ascii="Arial" w:hAnsi="Arial" w:cs="Arial"/>
          <w:b/>
          <w:bCs/>
        </w:rPr>
      </w:pPr>
      <w:r w:rsidRPr="00851779">
        <w:rPr>
          <w:rFonts w:ascii="Arial" w:hAnsi="Arial" w:cs="Arial"/>
          <w:b/>
          <w:bCs/>
        </w:rPr>
        <w:t>DECRETO 1860 DE 2021 – Emprendimientos y empresas de mujeres – Definición – Artículo 2.2.1.2.4.2.14 – Numeral 2 – Persona jurídica– Cargos Directivos Antigüedad</w:t>
      </w:r>
    </w:p>
    <w:p w14:paraId="69D649F8" w14:textId="77777777" w:rsidR="00644C65" w:rsidRPr="00851779" w:rsidRDefault="00644C65" w:rsidP="00E245AB">
      <w:pPr>
        <w:spacing w:after="0"/>
        <w:rPr>
          <w:rFonts w:ascii="Arial" w:hAnsi="Arial" w:cs="Arial"/>
          <w:b/>
          <w:bCs/>
        </w:rPr>
      </w:pPr>
    </w:p>
    <w:p w14:paraId="49D5953F" w14:textId="1C7CDFC1" w:rsidR="007F56EC" w:rsidRPr="00851779" w:rsidRDefault="003442A1" w:rsidP="00851779">
      <w:pPr>
        <w:spacing w:after="0"/>
        <w:jc w:val="both"/>
        <w:rPr>
          <w:rFonts w:ascii="Arial" w:hAnsi="Arial" w:cs="Arial"/>
          <w:sz w:val="20"/>
          <w:szCs w:val="20"/>
        </w:rPr>
      </w:pPr>
      <w:r w:rsidRPr="00851779">
        <w:rPr>
          <w:rFonts w:ascii="Arial" w:hAnsi="Arial" w:cs="Arial"/>
          <w:sz w:val="20"/>
          <w:szCs w:val="20"/>
        </w:rPr>
        <w:t>Conforme lo expuesto, el artículo citado, para efectos de la aplicación de los criterios diferenciales en el sistema de compras públicas en los términos del artículo 32 de la Ley 2069 de 2020, se considerarán emprendimientos o empresas de mujeres las personas jurídicas o naturales que cumplan alguno de los cuatro supuestos de hecho previstos en la norma citada y acrediten estos supuestos de hecho con los documentos previstos para ello en la misma. Nótese que la disposición estudiada señala de forma taxativa los requisitos que se exigen cuando se trata de persona natural y cuando se trata de persona jurídica, pero no se dice que uno de los numerales sea extensivo frente a otros supuestos. Por lo tanto, la presente interpretación además se impone en virtud de aquella regla según la cual “cuando el sentido de la ley sea claro, no se desatenderá su tenor literal a pretexto de consultar su espíritu</w:t>
      </w:r>
    </w:p>
    <w:p w14:paraId="1546A0DB" w14:textId="77777777" w:rsidR="007F56EC" w:rsidRPr="00851779" w:rsidRDefault="007F56EC" w:rsidP="00851779">
      <w:pPr>
        <w:spacing w:after="0"/>
        <w:jc w:val="both"/>
        <w:rPr>
          <w:rFonts w:ascii="Arial" w:hAnsi="Arial" w:cs="Arial"/>
          <w:sz w:val="20"/>
          <w:szCs w:val="20"/>
        </w:rPr>
      </w:pPr>
    </w:p>
    <w:p w14:paraId="7616EE5C" w14:textId="4437E948" w:rsidR="007F56EC" w:rsidRPr="00851779" w:rsidRDefault="00644C65" w:rsidP="00E245AB">
      <w:pPr>
        <w:spacing w:after="0"/>
        <w:rPr>
          <w:rFonts w:ascii="Arial" w:hAnsi="Arial" w:cs="Arial"/>
          <w:b/>
          <w:bCs/>
        </w:rPr>
      </w:pPr>
      <w:r w:rsidRPr="00851779">
        <w:rPr>
          <w:rFonts w:ascii="Arial" w:hAnsi="Arial" w:cs="Arial"/>
          <w:b/>
          <w:bCs/>
        </w:rPr>
        <w:t>DECRETO 1860 DE 2021 – Emprendimientos y empresas de mujeres – Definición – Artículo 2.2.1.2.4.2.14 – Interpretación restrictiva</w:t>
      </w:r>
    </w:p>
    <w:p w14:paraId="23C06238" w14:textId="77777777" w:rsidR="007F56EC" w:rsidRDefault="007F56EC" w:rsidP="00E245AB">
      <w:pPr>
        <w:spacing w:after="0"/>
        <w:rPr>
          <w:rFonts w:ascii="Arial" w:hAnsi="Arial" w:cs="Arial"/>
        </w:rPr>
      </w:pPr>
    </w:p>
    <w:p w14:paraId="0E88FD37" w14:textId="6F9ECA77" w:rsidR="007F56EC" w:rsidRPr="00851779" w:rsidRDefault="00AC5BEB" w:rsidP="00851779">
      <w:pPr>
        <w:spacing w:after="0"/>
        <w:jc w:val="both"/>
        <w:rPr>
          <w:rFonts w:ascii="Arial" w:hAnsi="Arial" w:cs="Arial"/>
          <w:sz w:val="20"/>
          <w:szCs w:val="20"/>
        </w:rPr>
      </w:pPr>
      <w:r w:rsidRPr="00851779">
        <w:rPr>
          <w:rFonts w:ascii="Arial" w:hAnsi="Arial" w:cs="Arial"/>
          <w:sz w:val="20"/>
          <w:szCs w:val="20"/>
        </w:rPr>
        <w:t>Por  otro lado, el numeral 3 del artículo 2.2.1.2.4.2.14. establece un criterio en atención al cual una persona natural puede ser considerada un emprendimiento o empresa de mujeres, bajo el entendido en que “sea una mujer y haya ejercido actividades comerciales a través de un establecimiento de comercio durante al menos el último año anterior a la fecha de cierre del proceso de selección” y acreditando esta circunstancia “mediante la copia de cédula de ciudadanía, la cédula de extranjería o el pasaporte, así como la copia del registro mercantil”. Los demás numerales del mencionado artículo corresponden a la acreditación de circunstancias, que, por sus particularidades jurídicas, deben acreditar exclusivamente las personas jurídicas, sociedades o asociaciones y cooperativas.</w:t>
      </w:r>
    </w:p>
    <w:p w14:paraId="5E24FD2C" w14:textId="77777777" w:rsidR="007F56EC" w:rsidRDefault="007F56EC" w:rsidP="00E245AB">
      <w:pPr>
        <w:spacing w:after="0"/>
        <w:rPr>
          <w:rFonts w:ascii="Arial" w:hAnsi="Arial" w:cs="Arial"/>
        </w:rPr>
      </w:pPr>
    </w:p>
    <w:p w14:paraId="49D18A7A" w14:textId="77777777" w:rsidR="007F56EC" w:rsidRDefault="007F56EC" w:rsidP="00E245AB">
      <w:pPr>
        <w:spacing w:after="0"/>
        <w:rPr>
          <w:rFonts w:ascii="Arial" w:hAnsi="Arial" w:cs="Arial"/>
        </w:rPr>
      </w:pPr>
    </w:p>
    <w:p w14:paraId="2F49880C" w14:textId="620EFB61" w:rsidR="00405250" w:rsidRDefault="00405250" w:rsidP="00851779">
      <w:pPr>
        <w:spacing w:after="0"/>
        <w:jc w:val="right"/>
        <w:rPr>
          <w:rFonts w:ascii="Arial" w:hAnsi="Arial" w:cs="Arial"/>
        </w:rPr>
      </w:pPr>
      <w:r w:rsidRPr="00405250">
        <w:rPr>
          <w:rFonts w:ascii="Arial" w:hAnsi="Arial" w:cs="Arial"/>
          <w:noProof/>
        </w:rPr>
        <w:drawing>
          <wp:inline distT="0" distB="0" distL="0" distR="0" wp14:anchorId="251D34D9" wp14:editId="764E4BDC">
            <wp:extent cx="3675380" cy="895350"/>
            <wp:effectExtent l="0" t="0" r="1270" b="0"/>
            <wp:docPr id="1070132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5380" cy="895350"/>
                    </a:xfrm>
                    <a:prstGeom prst="rect">
                      <a:avLst/>
                    </a:prstGeom>
                    <a:noFill/>
                    <a:ln>
                      <a:noFill/>
                    </a:ln>
                  </pic:spPr>
                </pic:pic>
              </a:graphicData>
            </a:graphic>
          </wp:inline>
        </w:drawing>
      </w:r>
    </w:p>
    <w:p w14:paraId="5FCADBF9" w14:textId="77777777" w:rsidR="00E245AB" w:rsidRPr="00C330EB" w:rsidRDefault="00E245AB" w:rsidP="00E245AB">
      <w:pPr>
        <w:spacing w:after="0"/>
        <w:rPr>
          <w:rFonts w:ascii="Century Gothic" w:hAnsi="Century Gothic"/>
        </w:rPr>
      </w:pPr>
    </w:p>
    <w:p w14:paraId="1BBEC7BB" w14:textId="77777777" w:rsidR="00A84F7C" w:rsidRPr="00A84F7C" w:rsidRDefault="00A84F7C" w:rsidP="00A84F7C">
      <w:pPr>
        <w:spacing w:after="0" w:line="240" w:lineRule="auto"/>
        <w:contextualSpacing/>
        <w:jc w:val="both"/>
        <w:rPr>
          <w:rFonts w:ascii="Arial" w:eastAsia="Calibri" w:hAnsi="Arial" w:cs="Arial"/>
          <w:lang w:val="es-ES_tradnl" w:eastAsia="es-ES_tradnl"/>
        </w:rPr>
      </w:pPr>
      <w:bookmarkStart w:id="0" w:name="_Hlk34951122"/>
      <w:r w:rsidRPr="00A84F7C">
        <w:rPr>
          <w:rFonts w:ascii="Arial" w:eastAsia="Calibri" w:hAnsi="Arial" w:cs="Arial"/>
          <w:lang w:val="es-ES_tradnl" w:eastAsia="es-ES_tradnl"/>
        </w:rPr>
        <w:t>Señor</w:t>
      </w:r>
    </w:p>
    <w:p w14:paraId="01011D4A" w14:textId="77777777" w:rsidR="00A84F7C" w:rsidRPr="00A84F7C" w:rsidRDefault="00A84F7C" w:rsidP="00A84F7C">
      <w:pPr>
        <w:spacing w:after="0" w:line="240" w:lineRule="auto"/>
        <w:contextualSpacing/>
        <w:jc w:val="both"/>
        <w:rPr>
          <w:rFonts w:ascii="Arial" w:eastAsia="Calibri" w:hAnsi="Arial" w:cs="Arial"/>
          <w:b/>
          <w:lang w:val="es-ES_tradnl" w:eastAsia="es-ES_tradnl"/>
        </w:rPr>
      </w:pPr>
      <w:r w:rsidRPr="00A84F7C">
        <w:rPr>
          <w:rFonts w:ascii="Arial" w:eastAsia="Calibri" w:hAnsi="Arial" w:cs="Arial"/>
          <w:b/>
          <w:lang w:val="es-ES_tradnl" w:eastAsia="es-ES_tradnl"/>
        </w:rPr>
        <w:t>Álvaro Orlando Gonzales Sanabria</w:t>
      </w:r>
    </w:p>
    <w:p w14:paraId="22CD56E2" w14:textId="77777777" w:rsidR="00A84F7C" w:rsidRPr="00A84F7C" w:rsidRDefault="00851779" w:rsidP="00A84F7C">
      <w:pPr>
        <w:spacing w:after="0" w:line="240" w:lineRule="auto"/>
        <w:contextualSpacing/>
        <w:jc w:val="both"/>
        <w:rPr>
          <w:rFonts w:ascii="Arial" w:eastAsia="Calibri" w:hAnsi="Arial" w:cs="Arial"/>
          <w:bCs/>
          <w:lang w:val="es-ES_tradnl" w:eastAsia="es-ES_tradnl"/>
        </w:rPr>
      </w:pPr>
      <w:hyperlink r:id="rId12" w:history="1">
        <w:r w:rsidR="00A84F7C" w:rsidRPr="00A84F7C">
          <w:rPr>
            <w:rFonts w:ascii="Arial" w:eastAsia="Calibri" w:hAnsi="Arial" w:cs="Arial"/>
            <w:bCs/>
            <w:color w:val="0563C1" w:themeColor="hyperlink"/>
            <w:u w:val="single"/>
            <w:lang w:val="es-ES_tradnl" w:eastAsia="es-ES_tradnl"/>
          </w:rPr>
          <w:t>aogonzalezs@gmail.com</w:t>
        </w:r>
      </w:hyperlink>
      <w:r w:rsidR="00A84F7C" w:rsidRPr="00A84F7C">
        <w:rPr>
          <w:rFonts w:ascii="Arial" w:eastAsia="Calibri" w:hAnsi="Arial" w:cs="Arial"/>
          <w:bCs/>
          <w:lang w:val="es-ES_tradnl" w:eastAsia="es-ES_tradnl"/>
        </w:rPr>
        <w:t xml:space="preserve">  </w:t>
      </w:r>
    </w:p>
    <w:p w14:paraId="3A8ADC04" w14:textId="77777777" w:rsidR="00A84F7C" w:rsidRPr="00A84F7C" w:rsidRDefault="00A84F7C" w:rsidP="00A84F7C">
      <w:pPr>
        <w:spacing w:after="0" w:line="240" w:lineRule="auto"/>
        <w:contextualSpacing/>
        <w:jc w:val="both"/>
        <w:rPr>
          <w:rFonts w:ascii="Arial" w:eastAsia="Calibri" w:hAnsi="Arial" w:cs="Arial"/>
          <w:lang w:val="es-ES_tradnl" w:eastAsia="es-ES_tradnl"/>
        </w:rPr>
      </w:pPr>
      <w:r w:rsidRPr="00A84F7C">
        <w:rPr>
          <w:rFonts w:ascii="Arial" w:eastAsia="Calibri" w:hAnsi="Arial" w:cs="Arial"/>
          <w:lang w:val="es-ES_tradnl" w:eastAsia="es-ES_tradnl"/>
        </w:rPr>
        <w:t>Bogotá D.C.</w:t>
      </w:r>
    </w:p>
    <w:p w14:paraId="7C276878" w14:textId="77777777" w:rsidR="00A84F7C" w:rsidRPr="00A84F7C" w:rsidRDefault="00A84F7C" w:rsidP="00A84F7C">
      <w:pPr>
        <w:spacing w:after="0" w:line="240" w:lineRule="auto"/>
        <w:contextualSpacing/>
        <w:jc w:val="both"/>
        <w:rPr>
          <w:rFonts w:ascii="Arial" w:eastAsia="Calibri" w:hAnsi="Arial" w:cs="Arial"/>
          <w:lang w:val="es-ES_tradnl" w:eastAsia="es-ES_tradnl"/>
        </w:rPr>
      </w:pPr>
    </w:p>
    <w:p w14:paraId="0EDFB20B" w14:textId="77777777" w:rsidR="00A84F7C" w:rsidRPr="00A84F7C" w:rsidRDefault="00A84F7C" w:rsidP="00A84F7C">
      <w:pPr>
        <w:spacing w:after="0" w:line="240" w:lineRule="auto"/>
        <w:contextualSpacing/>
        <w:jc w:val="both"/>
        <w:rPr>
          <w:rFonts w:ascii="Arial" w:eastAsia="Calibri" w:hAnsi="Arial" w:cs="Arial"/>
          <w:lang w:val="es-ES_tradnl" w:eastAsia="es-ES_tradnl"/>
        </w:rPr>
      </w:pPr>
    </w:p>
    <w:p w14:paraId="36BDF995" w14:textId="77777777" w:rsidR="00A84F7C" w:rsidRPr="00A84F7C" w:rsidRDefault="00A84F7C" w:rsidP="00A84F7C">
      <w:pPr>
        <w:spacing w:after="0" w:line="240" w:lineRule="auto"/>
        <w:contextualSpacing/>
        <w:rPr>
          <w:rFonts w:ascii="Arial" w:eastAsia="Calibri" w:hAnsi="Arial" w:cs="Arial"/>
          <w:b/>
          <w:bCs/>
          <w:lang w:val="es-ES_tradnl" w:eastAsia="es-ES_tradnl"/>
        </w:rPr>
      </w:pPr>
      <w:r w:rsidRPr="00A84F7C">
        <w:rPr>
          <w:rFonts w:ascii="Arial" w:eastAsia="Calibri" w:hAnsi="Arial" w:cs="Arial"/>
          <w:b/>
          <w:bCs/>
          <w:lang w:val="es-ES_tradnl" w:eastAsia="es-ES_tradnl"/>
        </w:rPr>
        <w:t xml:space="preserve">                                            Concepto C ‒ 222 de 2023</w:t>
      </w:r>
    </w:p>
    <w:p w14:paraId="311C9BB3" w14:textId="77777777" w:rsidR="00A84F7C" w:rsidRPr="00A84F7C" w:rsidRDefault="00A84F7C" w:rsidP="00A84F7C">
      <w:pPr>
        <w:spacing w:after="0" w:line="240" w:lineRule="auto"/>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84F7C" w:rsidRPr="00A84F7C" w14:paraId="5655885F" w14:textId="77777777" w:rsidTr="000B35F5">
        <w:trPr>
          <w:trHeight w:val="1099"/>
        </w:trPr>
        <w:tc>
          <w:tcPr>
            <w:tcW w:w="2689" w:type="dxa"/>
          </w:tcPr>
          <w:p w14:paraId="318E0250" w14:textId="77777777" w:rsidR="00A84F7C" w:rsidRPr="00A84F7C" w:rsidRDefault="00A84F7C" w:rsidP="00A84F7C">
            <w:pPr>
              <w:contextualSpacing/>
              <w:jc w:val="both"/>
              <w:rPr>
                <w:rFonts w:ascii="Arial" w:eastAsia="Calibri" w:hAnsi="Arial" w:cs="Arial"/>
                <w:lang w:val="es-ES_tradnl" w:eastAsia="es-ES_tradnl"/>
              </w:rPr>
            </w:pPr>
            <w:r w:rsidRPr="00A84F7C">
              <w:rPr>
                <w:rFonts w:ascii="Arial" w:eastAsia="Calibri" w:hAnsi="Arial" w:cs="Arial"/>
                <w:b/>
                <w:lang w:val="es-ES_tradnl" w:eastAsia="es-ES_tradnl"/>
              </w:rPr>
              <w:t>Temas:</w:t>
            </w:r>
            <w:r w:rsidRPr="00A84F7C">
              <w:rPr>
                <w:rFonts w:ascii="Arial" w:eastAsia="Calibri" w:hAnsi="Arial" w:cs="Arial"/>
                <w:lang w:val="es-ES_tradnl" w:eastAsia="es-ES_tradnl"/>
              </w:rPr>
              <w:t xml:space="preserve">                                      </w:t>
            </w:r>
          </w:p>
        </w:tc>
        <w:tc>
          <w:tcPr>
            <w:tcW w:w="6237" w:type="dxa"/>
          </w:tcPr>
          <w:p w14:paraId="2FFB7A33" w14:textId="77777777" w:rsidR="00A84F7C" w:rsidRPr="00A84F7C" w:rsidRDefault="00A84F7C" w:rsidP="00A84F7C">
            <w:pPr>
              <w:contextualSpacing/>
              <w:jc w:val="both"/>
              <w:rPr>
                <w:rFonts w:ascii="Arial" w:eastAsia="Calibri" w:hAnsi="Arial" w:cs="Arial"/>
                <w:bCs/>
                <w:lang w:val="es-ES_tradnl" w:eastAsia="es-ES_tradnl"/>
              </w:rPr>
            </w:pPr>
            <w:r w:rsidRPr="00A84F7C">
              <w:rPr>
                <w:rFonts w:ascii="Arial" w:eastAsia="Calibri" w:hAnsi="Arial" w:cs="Arial"/>
                <w:bCs/>
                <w:lang w:val="es-ES_tradnl" w:eastAsia="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2 – Persona jurídica– Cargos Directivos Antigüedad / DECRETO 1860 DE 2021 – Emprendimientos y empresas de mujeres – Definición – Artículo 2.2.1.2.4.2.14 – Numeral 3 –Persona natural / DECRETO 1860 DE 2021 – Emprendimientos y empresas de mujeres – Definición – Artículo 2.2.1.2.4.2.14 – Interpretación restrictiva</w:t>
            </w:r>
          </w:p>
          <w:p w14:paraId="5D8BC6C6" w14:textId="77777777" w:rsidR="00A84F7C" w:rsidRPr="00A84F7C" w:rsidRDefault="00A84F7C" w:rsidP="00A84F7C">
            <w:pPr>
              <w:contextualSpacing/>
              <w:jc w:val="both"/>
              <w:rPr>
                <w:rFonts w:ascii="Arial" w:eastAsia="Times New Roman" w:hAnsi="Arial" w:cs="Arial"/>
                <w:b/>
                <w:bCs/>
                <w:noProof/>
                <w:lang w:val="es-ES_tradnl" w:eastAsia="es-ES_tradnl"/>
              </w:rPr>
            </w:pPr>
          </w:p>
        </w:tc>
      </w:tr>
      <w:tr w:rsidR="00A84F7C" w:rsidRPr="00A84F7C" w14:paraId="7AA38E35" w14:textId="77777777" w:rsidTr="000B35F5">
        <w:tc>
          <w:tcPr>
            <w:tcW w:w="2689" w:type="dxa"/>
          </w:tcPr>
          <w:p w14:paraId="2A5D9AAD" w14:textId="77777777" w:rsidR="00A84F7C" w:rsidRPr="00A84F7C" w:rsidRDefault="00A84F7C" w:rsidP="00A84F7C">
            <w:pPr>
              <w:contextualSpacing/>
              <w:jc w:val="both"/>
              <w:rPr>
                <w:rFonts w:ascii="Arial" w:eastAsia="Calibri" w:hAnsi="Arial" w:cs="Arial"/>
                <w:b/>
                <w:lang w:val="es-ES_tradnl" w:eastAsia="es-ES_tradnl"/>
              </w:rPr>
            </w:pPr>
            <w:r w:rsidRPr="00A84F7C">
              <w:rPr>
                <w:rFonts w:ascii="Arial" w:eastAsia="Calibri" w:hAnsi="Arial" w:cs="Arial"/>
                <w:b/>
                <w:lang w:val="es-ES_tradnl" w:eastAsia="es-ES_tradnl"/>
              </w:rPr>
              <w:t>Radicación:</w:t>
            </w:r>
            <w:r w:rsidRPr="00A84F7C">
              <w:rPr>
                <w:rFonts w:ascii="Arial" w:eastAsia="Calibri" w:hAnsi="Arial" w:cs="Arial"/>
                <w:lang w:val="es-ES_tradnl" w:eastAsia="es-ES_tradnl"/>
              </w:rPr>
              <w:t xml:space="preserve">                              </w:t>
            </w:r>
          </w:p>
        </w:tc>
        <w:tc>
          <w:tcPr>
            <w:tcW w:w="6237" w:type="dxa"/>
          </w:tcPr>
          <w:p w14:paraId="6403A37B" w14:textId="77777777" w:rsidR="00A84F7C" w:rsidRPr="00A84F7C" w:rsidRDefault="00A84F7C" w:rsidP="00A84F7C">
            <w:pPr>
              <w:contextualSpacing/>
              <w:jc w:val="both"/>
              <w:rPr>
                <w:rFonts w:ascii="Arial" w:eastAsia="Calibri" w:hAnsi="Arial" w:cs="Arial"/>
                <w:lang w:val="es-ES_tradnl" w:eastAsia="es-ES_tradnl"/>
              </w:rPr>
            </w:pPr>
            <w:r w:rsidRPr="00A84F7C">
              <w:rPr>
                <w:rFonts w:ascii="Arial" w:eastAsia="Calibri" w:hAnsi="Arial" w:cs="Arial"/>
                <w:lang w:val="es-ES_tradnl" w:eastAsia="es-ES_tradnl"/>
              </w:rPr>
              <w:t>Respuesta a consulta P20230628012788</w:t>
            </w:r>
          </w:p>
        </w:tc>
      </w:tr>
    </w:tbl>
    <w:p w14:paraId="6F937000" w14:textId="77777777" w:rsidR="00A84F7C" w:rsidRPr="00A84F7C" w:rsidRDefault="00A84F7C" w:rsidP="00A84F7C">
      <w:pPr>
        <w:spacing w:after="0" w:line="276" w:lineRule="auto"/>
        <w:contextualSpacing/>
        <w:jc w:val="both"/>
        <w:rPr>
          <w:rFonts w:ascii="Arial" w:eastAsia="Calibri" w:hAnsi="Arial" w:cs="Arial"/>
          <w:lang w:val="es-ES_tradnl" w:eastAsia="es-ES_tradnl"/>
        </w:rPr>
      </w:pPr>
    </w:p>
    <w:p w14:paraId="063CADCF" w14:textId="77777777" w:rsidR="00A84F7C" w:rsidRPr="00A84F7C" w:rsidRDefault="00A84F7C" w:rsidP="00A84F7C">
      <w:pPr>
        <w:spacing w:after="0" w:line="276" w:lineRule="auto"/>
        <w:contextualSpacing/>
        <w:jc w:val="both"/>
        <w:rPr>
          <w:rFonts w:ascii="Arial" w:eastAsia="Calibri" w:hAnsi="Arial" w:cs="Arial"/>
          <w:lang w:val="es-ES_tradnl" w:eastAsia="es-ES_tradnl"/>
        </w:rPr>
      </w:pPr>
    </w:p>
    <w:p w14:paraId="60E490C6" w14:textId="77777777" w:rsidR="00A84F7C" w:rsidRPr="00A84F7C" w:rsidRDefault="00A84F7C" w:rsidP="00A84F7C">
      <w:pPr>
        <w:spacing w:after="0" w:line="276" w:lineRule="auto"/>
        <w:contextualSpacing/>
        <w:jc w:val="both"/>
        <w:rPr>
          <w:rFonts w:ascii="Arial" w:eastAsia="Calibri" w:hAnsi="Arial" w:cs="Arial"/>
          <w:szCs w:val="24"/>
          <w:lang w:val="es-ES_tradnl" w:eastAsia="es-ES_tradnl"/>
        </w:rPr>
      </w:pPr>
      <w:r w:rsidRPr="00A84F7C">
        <w:rPr>
          <w:rFonts w:ascii="Arial" w:eastAsia="Calibri" w:hAnsi="Arial" w:cs="Arial"/>
          <w:szCs w:val="24"/>
          <w:lang w:val="es-ES_tradnl" w:eastAsia="es-ES_tradnl"/>
        </w:rPr>
        <w:t xml:space="preserve">Estimado señor Gonzales: </w:t>
      </w:r>
    </w:p>
    <w:p w14:paraId="3B92ED12" w14:textId="77777777" w:rsidR="00A84F7C" w:rsidRPr="00A84F7C" w:rsidRDefault="00A84F7C" w:rsidP="00A84F7C">
      <w:pPr>
        <w:spacing w:after="0" w:line="276" w:lineRule="auto"/>
        <w:contextualSpacing/>
        <w:jc w:val="both"/>
        <w:rPr>
          <w:rFonts w:ascii="Arial" w:eastAsia="Calibri" w:hAnsi="Arial" w:cs="Arial"/>
          <w:szCs w:val="24"/>
          <w:lang w:val="es-ES_tradnl" w:eastAsia="es-ES_tradnl"/>
        </w:rPr>
      </w:pPr>
    </w:p>
    <w:p w14:paraId="0E9DB005" w14:textId="77777777" w:rsidR="00A84F7C" w:rsidRPr="00A84F7C" w:rsidRDefault="00A84F7C" w:rsidP="00A84F7C">
      <w:pPr>
        <w:spacing w:after="0" w:line="276" w:lineRule="auto"/>
        <w:contextualSpacing/>
        <w:jc w:val="both"/>
        <w:rPr>
          <w:rFonts w:ascii="Arial" w:eastAsia="Calibri" w:hAnsi="Arial" w:cs="Arial"/>
          <w:szCs w:val="24"/>
          <w:lang w:val="es-ES_tradnl" w:eastAsia="es-ES_tradnl"/>
        </w:rPr>
      </w:pPr>
      <w:r w:rsidRPr="00A84F7C">
        <w:rPr>
          <w:rFonts w:ascii="Arial" w:eastAsia="Calibri" w:hAnsi="Arial" w:cs="Arial"/>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28 de junio de 2023.</w:t>
      </w:r>
    </w:p>
    <w:p w14:paraId="5276798C" w14:textId="77777777" w:rsidR="00A84F7C" w:rsidRPr="00A84F7C" w:rsidRDefault="00A84F7C" w:rsidP="00A84F7C">
      <w:pPr>
        <w:spacing w:after="0" w:line="276" w:lineRule="auto"/>
        <w:contextualSpacing/>
        <w:jc w:val="both"/>
        <w:rPr>
          <w:rFonts w:ascii="Arial" w:eastAsia="Calibri" w:hAnsi="Arial" w:cs="Arial"/>
          <w:b/>
          <w:szCs w:val="24"/>
          <w:lang w:val="es-ES_tradnl" w:eastAsia="es-ES_tradnl"/>
        </w:rPr>
      </w:pPr>
    </w:p>
    <w:p w14:paraId="2621BF83" w14:textId="77777777" w:rsidR="00A84F7C" w:rsidRPr="00A84F7C" w:rsidRDefault="00A84F7C" w:rsidP="00A84F7C">
      <w:pPr>
        <w:numPr>
          <w:ilvl w:val="0"/>
          <w:numId w:val="6"/>
        </w:numPr>
        <w:tabs>
          <w:tab w:val="left" w:pos="0"/>
          <w:tab w:val="left" w:pos="142"/>
          <w:tab w:val="left" w:pos="284"/>
        </w:tabs>
        <w:spacing w:after="0" w:line="276" w:lineRule="auto"/>
        <w:ind w:hanging="720"/>
        <w:contextualSpacing/>
        <w:jc w:val="both"/>
        <w:rPr>
          <w:rFonts w:ascii="Arial" w:eastAsia="Calibri" w:hAnsi="Arial" w:cs="Arial"/>
          <w:b/>
          <w:lang w:val="es-ES_tradnl"/>
        </w:rPr>
      </w:pPr>
      <w:r w:rsidRPr="00A84F7C">
        <w:rPr>
          <w:rFonts w:ascii="Arial" w:eastAsia="Calibri" w:hAnsi="Arial" w:cs="Arial"/>
          <w:b/>
          <w:lang w:val="es-ES_tradnl"/>
        </w:rPr>
        <w:t xml:space="preserve">Problema planteado  </w:t>
      </w:r>
    </w:p>
    <w:p w14:paraId="77BCBB49" w14:textId="77777777" w:rsidR="00A84F7C" w:rsidRPr="00A84F7C" w:rsidRDefault="00A84F7C" w:rsidP="00A84F7C">
      <w:pPr>
        <w:tabs>
          <w:tab w:val="left" w:pos="426"/>
        </w:tabs>
        <w:spacing w:after="0" w:line="276" w:lineRule="auto"/>
        <w:contextualSpacing/>
        <w:jc w:val="both"/>
        <w:rPr>
          <w:rFonts w:ascii="Arial" w:eastAsia="Calibri" w:hAnsi="Arial" w:cs="Arial"/>
          <w:b/>
          <w:szCs w:val="24"/>
          <w:lang w:val="es-ES_tradnl" w:eastAsia="es-ES_tradnl"/>
        </w:rPr>
      </w:pPr>
    </w:p>
    <w:p w14:paraId="1E69D04A" w14:textId="03381FA1" w:rsidR="00A84F7C" w:rsidRPr="00A84F7C" w:rsidRDefault="00CF3BEC" w:rsidP="00A84F7C">
      <w:pPr>
        <w:autoSpaceDE w:val="0"/>
        <w:autoSpaceDN w:val="0"/>
        <w:adjustRightInd w:val="0"/>
        <w:spacing w:after="0" w:line="276" w:lineRule="auto"/>
        <w:contextualSpacing/>
        <w:jc w:val="both"/>
        <w:rPr>
          <w:rFonts w:ascii="Arial" w:eastAsia="Times New Roman" w:hAnsi="Arial" w:cs="Arial"/>
          <w:lang w:val="es-ES_tradnl" w:eastAsia="es-ES_tradnl"/>
        </w:rPr>
      </w:pPr>
      <w:r>
        <w:rPr>
          <w:rFonts w:ascii="Arial" w:eastAsia="Times New Roman" w:hAnsi="Arial" w:cs="Arial"/>
          <w:lang w:val="es-ES_tradnl" w:eastAsia="es-ES_tradnl"/>
        </w:rPr>
        <w:t xml:space="preserve">Usted realiza la </w:t>
      </w:r>
      <w:r w:rsidR="004B0098">
        <w:rPr>
          <w:rFonts w:ascii="Arial" w:eastAsia="Times New Roman" w:hAnsi="Arial" w:cs="Arial"/>
          <w:lang w:val="es-ES_tradnl" w:eastAsia="es-ES_tradnl"/>
        </w:rPr>
        <w:t xml:space="preserve">consulta </w:t>
      </w:r>
      <w:r>
        <w:rPr>
          <w:rFonts w:ascii="Arial" w:eastAsia="Times New Roman" w:hAnsi="Arial" w:cs="Arial"/>
          <w:lang w:val="es-ES_tradnl" w:eastAsia="es-ES_tradnl"/>
        </w:rPr>
        <w:t xml:space="preserve">sobre la aplicación de lo dispuesto en </w:t>
      </w:r>
      <w:r w:rsidR="00A84F7C" w:rsidRPr="00A84F7C">
        <w:rPr>
          <w:rFonts w:ascii="Arial" w:eastAsia="Times New Roman" w:hAnsi="Arial" w:cs="Arial"/>
          <w:lang w:val="es-ES_tradnl" w:eastAsia="es-ES_tradnl"/>
        </w:rPr>
        <w:t xml:space="preserve">el artículo 2.2.1.2.4.2.14 del Decreto 1082 de 2015, </w:t>
      </w:r>
      <w:r>
        <w:rPr>
          <w:rFonts w:ascii="Arial" w:eastAsia="Times New Roman" w:hAnsi="Arial" w:cs="Arial"/>
          <w:lang w:val="es-ES_tradnl" w:eastAsia="es-ES_tradnl"/>
        </w:rPr>
        <w:t>en relaci</w:t>
      </w:r>
      <w:r w:rsidR="00DF3EDF">
        <w:rPr>
          <w:rFonts w:ascii="Arial" w:eastAsia="Times New Roman" w:hAnsi="Arial" w:cs="Arial"/>
          <w:lang w:val="es-ES_tradnl" w:eastAsia="es-ES_tradnl"/>
        </w:rPr>
        <w:t xml:space="preserve">ón con la acreditación de la condición de </w:t>
      </w:r>
      <w:r w:rsidR="00A84F7C" w:rsidRPr="00A84F7C">
        <w:rPr>
          <w:rFonts w:ascii="Arial" w:eastAsia="Times New Roman" w:hAnsi="Arial" w:cs="Arial"/>
          <w:lang w:val="es-ES_tradnl" w:eastAsia="es-ES_tradnl"/>
        </w:rPr>
        <w:t xml:space="preserve">emprendimiento </w:t>
      </w:r>
      <w:r w:rsidR="00DF3EDF">
        <w:rPr>
          <w:rFonts w:ascii="Arial" w:eastAsia="Times New Roman" w:hAnsi="Arial" w:cs="Arial"/>
          <w:lang w:val="es-ES_tradnl" w:eastAsia="es-ES_tradnl"/>
        </w:rPr>
        <w:lastRenderedPageBreak/>
        <w:t>o</w:t>
      </w:r>
      <w:r w:rsidR="00A84F7C" w:rsidRPr="00A84F7C">
        <w:rPr>
          <w:rFonts w:ascii="Arial" w:eastAsia="Times New Roman" w:hAnsi="Arial" w:cs="Arial"/>
          <w:lang w:val="es-ES_tradnl" w:eastAsia="es-ES_tradnl"/>
        </w:rPr>
        <w:t xml:space="preserve"> empresa de mujeres</w:t>
      </w:r>
      <w:r w:rsidR="004B0098">
        <w:rPr>
          <w:rFonts w:ascii="Arial" w:eastAsia="Times New Roman" w:hAnsi="Arial" w:cs="Arial"/>
          <w:lang w:val="es-ES_tradnl" w:eastAsia="es-ES_tradnl"/>
        </w:rPr>
        <w:t>, a efectos de aplicar los</w:t>
      </w:r>
      <w:r w:rsidR="00A84F7C" w:rsidRPr="00A84F7C">
        <w:rPr>
          <w:rFonts w:ascii="Arial" w:eastAsia="Times New Roman" w:hAnsi="Arial" w:cs="Arial"/>
          <w:lang w:val="es-ES_tradnl" w:eastAsia="es-ES_tradnl"/>
        </w:rPr>
        <w:t xml:space="preserve"> criterios diferenciales </w:t>
      </w:r>
      <w:r w:rsidR="004B0098">
        <w:rPr>
          <w:rFonts w:ascii="Arial" w:eastAsia="Times New Roman" w:hAnsi="Arial" w:cs="Arial"/>
          <w:lang w:val="es-ES_tradnl" w:eastAsia="es-ES_tradnl"/>
        </w:rPr>
        <w:t xml:space="preserve">regulados por el </w:t>
      </w:r>
      <w:r w:rsidR="00A84F7C" w:rsidRPr="00A84F7C">
        <w:rPr>
          <w:rFonts w:ascii="Arial" w:eastAsia="Times New Roman" w:hAnsi="Arial" w:cs="Arial"/>
          <w:lang w:val="es-ES_tradnl" w:eastAsia="es-ES_tradnl"/>
        </w:rPr>
        <w:t>artículo 32 de la Ley 2069 de 2020</w:t>
      </w:r>
      <w:r w:rsidR="004B0098">
        <w:rPr>
          <w:rFonts w:ascii="Arial" w:eastAsia="Times New Roman" w:hAnsi="Arial" w:cs="Arial"/>
          <w:lang w:val="es-ES_tradnl" w:eastAsia="es-ES_tradnl"/>
        </w:rPr>
        <w:t xml:space="preserve">. Al respecto </w:t>
      </w:r>
      <w:r w:rsidR="00D67584">
        <w:rPr>
          <w:rFonts w:ascii="Arial" w:eastAsia="Times New Roman" w:hAnsi="Arial" w:cs="Arial"/>
          <w:lang w:val="es-ES_tradnl" w:eastAsia="es-ES_tradnl"/>
        </w:rPr>
        <w:t xml:space="preserve">usted </w:t>
      </w:r>
      <w:r w:rsidR="004B0098">
        <w:rPr>
          <w:rFonts w:ascii="Arial" w:eastAsia="Times New Roman" w:hAnsi="Arial" w:cs="Arial"/>
          <w:lang w:val="es-ES_tradnl" w:eastAsia="es-ES_tradnl"/>
        </w:rPr>
        <w:t>pregunta</w:t>
      </w:r>
      <w:r w:rsidR="00A84F7C" w:rsidRPr="00A84F7C">
        <w:rPr>
          <w:rFonts w:ascii="Arial" w:eastAsia="Times New Roman" w:hAnsi="Arial" w:cs="Arial"/>
          <w:lang w:val="es-ES_tradnl" w:eastAsia="es-ES_tradnl"/>
        </w:rPr>
        <w:t xml:space="preserve">: </w:t>
      </w:r>
      <w:bookmarkStart w:id="1" w:name="_Hlk79503570"/>
      <w:bookmarkStart w:id="2" w:name="_Hlk79651438"/>
    </w:p>
    <w:p w14:paraId="5C686898" w14:textId="77777777" w:rsidR="00A84F7C" w:rsidRPr="00A84F7C" w:rsidRDefault="00A84F7C" w:rsidP="00A84F7C">
      <w:pPr>
        <w:autoSpaceDE w:val="0"/>
        <w:autoSpaceDN w:val="0"/>
        <w:adjustRightInd w:val="0"/>
        <w:spacing w:after="0" w:line="276" w:lineRule="auto"/>
        <w:contextualSpacing/>
        <w:jc w:val="both"/>
        <w:rPr>
          <w:rFonts w:ascii="Arial" w:eastAsia="Times New Roman" w:hAnsi="Arial" w:cs="Arial"/>
          <w:lang w:val="es-ES_tradnl" w:eastAsia="es-ES_tradnl"/>
        </w:rPr>
      </w:pPr>
    </w:p>
    <w:p w14:paraId="674665EC" w14:textId="259B0232" w:rsidR="00A84F7C" w:rsidRPr="00A84F7C" w:rsidRDefault="00A84F7C" w:rsidP="00A84F7C">
      <w:pPr>
        <w:autoSpaceDE w:val="0"/>
        <w:autoSpaceDN w:val="0"/>
        <w:adjustRightInd w:val="0"/>
        <w:spacing w:after="0" w:line="240" w:lineRule="auto"/>
        <w:ind w:left="709" w:right="709"/>
        <w:contextualSpacing/>
        <w:jc w:val="both"/>
        <w:rPr>
          <w:rFonts w:ascii="Arial" w:eastAsia="Calibri" w:hAnsi="Arial" w:cs="Arial"/>
          <w:sz w:val="21"/>
          <w:szCs w:val="21"/>
        </w:rPr>
      </w:pPr>
      <w:r w:rsidRPr="00A84F7C">
        <w:rPr>
          <w:rFonts w:ascii="Arial" w:eastAsia="Calibri" w:hAnsi="Arial" w:cs="Arial"/>
          <w:sz w:val="21"/>
          <w:szCs w:val="21"/>
        </w:rPr>
        <w:t xml:space="preserve">“¿Para el caso de una persona natural hombre, como es mi caso, no aplica la asignación de puntaje adicional por emprendimiento de mujeres? </w:t>
      </w:r>
      <w:r w:rsidR="00015867" w:rsidRPr="00A84F7C">
        <w:rPr>
          <w:rFonts w:ascii="Arial" w:eastAsia="Calibri" w:hAnsi="Arial" w:cs="Arial"/>
          <w:sz w:val="21"/>
          <w:szCs w:val="21"/>
        </w:rPr>
        <w:t>O</w:t>
      </w:r>
      <w:r w:rsidRPr="00A84F7C">
        <w:rPr>
          <w:rFonts w:ascii="Arial" w:eastAsia="Calibri" w:hAnsi="Arial" w:cs="Arial"/>
          <w:sz w:val="21"/>
          <w:szCs w:val="21"/>
        </w:rPr>
        <w:t xml:space="preserve"> ¿En qué caso podría acceder a ese puntaje, es decir puedo vincular a una mujer en un cargo directivo</w:t>
      </w:r>
      <w:r w:rsidR="00240BA2">
        <w:rPr>
          <w:rFonts w:ascii="Arial" w:eastAsia="Calibri" w:hAnsi="Arial" w:cs="Arial"/>
          <w:sz w:val="21"/>
          <w:szCs w:val="21"/>
        </w:rPr>
        <w:t xml:space="preserve"> </w:t>
      </w:r>
      <w:r w:rsidRPr="00A84F7C">
        <w:rPr>
          <w:rFonts w:ascii="Arial" w:eastAsia="Calibri" w:hAnsi="Arial" w:cs="Arial"/>
          <w:sz w:val="21"/>
          <w:szCs w:val="21"/>
        </w:rPr>
        <w:t xml:space="preserve">de la persona natural para acceder a este </w:t>
      </w:r>
      <w:proofErr w:type="gramStart"/>
      <w:r w:rsidRPr="00A84F7C">
        <w:rPr>
          <w:rFonts w:ascii="Arial" w:eastAsia="Calibri" w:hAnsi="Arial" w:cs="Arial"/>
          <w:sz w:val="21"/>
          <w:szCs w:val="21"/>
        </w:rPr>
        <w:t>puntaje?.</w:t>
      </w:r>
      <w:proofErr w:type="gramEnd"/>
      <w:r w:rsidRPr="00A84F7C">
        <w:rPr>
          <w:rFonts w:ascii="Arial" w:eastAsia="Calibri" w:hAnsi="Arial" w:cs="Arial"/>
          <w:sz w:val="21"/>
          <w:szCs w:val="21"/>
        </w:rPr>
        <w:t xml:space="preserve"> […]</w:t>
      </w:r>
      <w:r w:rsidR="00015867">
        <w:rPr>
          <w:rFonts w:ascii="Arial" w:eastAsia="Calibri" w:hAnsi="Arial" w:cs="Arial"/>
          <w:sz w:val="21"/>
          <w:szCs w:val="21"/>
        </w:rPr>
        <w:t>”</w:t>
      </w:r>
      <w:r w:rsidRPr="00A84F7C">
        <w:rPr>
          <w:rFonts w:ascii="Arial" w:eastAsia="Calibri" w:hAnsi="Arial" w:cs="Arial"/>
          <w:sz w:val="21"/>
          <w:szCs w:val="21"/>
        </w:rPr>
        <w:t xml:space="preserve"> </w:t>
      </w:r>
      <w:r w:rsidRPr="00A84F7C">
        <w:rPr>
          <w:rFonts w:ascii="Arial" w:eastAsia="Times New Roman" w:hAnsi="Arial" w:cs="Arial"/>
          <w:sz w:val="21"/>
          <w:szCs w:val="21"/>
          <w:lang w:eastAsia="es-ES_tradnl"/>
        </w:rPr>
        <w:t>[SIC]</w:t>
      </w:r>
    </w:p>
    <w:bookmarkEnd w:id="1"/>
    <w:bookmarkEnd w:id="2"/>
    <w:p w14:paraId="12C0F012" w14:textId="77777777" w:rsidR="00A84F7C" w:rsidRPr="00A84F7C" w:rsidRDefault="00A84F7C" w:rsidP="00A84F7C">
      <w:pPr>
        <w:spacing w:after="0" w:line="276" w:lineRule="auto"/>
        <w:ind w:right="709"/>
        <w:contextualSpacing/>
        <w:jc w:val="both"/>
        <w:rPr>
          <w:rFonts w:ascii="Arial" w:eastAsia="Times New Roman" w:hAnsi="Arial" w:cs="Arial"/>
          <w:sz w:val="21"/>
          <w:szCs w:val="21"/>
          <w:lang w:val="es-ES_tradnl" w:eastAsia="es-ES_tradnl"/>
        </w:rPr>
      </w:pPr>
    </w:p>
    <w:p w14:paraId="0EC69425" w14:textId="77777777" w:rsidR="00A84F7C" w:rsidRPr="00A84F7C" w:rsidRDefault="00A84F7C" w:rsidP="00A84F7C">
      <w:pPr>
        <w:numPr>
          <w:ilvl w:val="0"/>
          <w:numId w:val="6"/>
        </w:numPr>
        <w:tabs>
          <w:tab w:val="left" w:pos="0"/>
          <w:tab w:val="left" w:pos="142"/>
          <w:tab w:val="left" w:pos="284"/>
        </w:tabs>
        <w:spacing w:after="0" w:line="276" w:lineRule="auto"/>
        <w:ind w:hanging="720"/>
        <w:contextualSpacing/>
        <w:jc w:val="both"/>
        <w:rPr>
          <w:rFonts w:ascii="Arial" w:eastAsia="Calibri" w:hAnsi="Arial" w:cs="Arial"/>
          <w:b/>
          <w:lang w:val="es-ES_tradnl"/>
        </w:rPr>
      </w:pPr>
      <w:r w:rsidRPr="00A84F7C">
        <w:rPr>
          <w:rFonts w:ascii="Arial" w:eastAsia="Calibri" w:hAnsi="Arial" w:cs="Arial"/>
          <w:b/>
          <w:lang w:val="es-ES_tradnl"/>
        </w:rPr>
        <w:t>Consideraciones</w:t>
      </w:r>
    </w:p>
    <w:p w14:paraId="732E0C5B" w14:textId="77777777" w:rsidR="00A84F7C" w:rsidRPr="00A84F7C" w:rsidRDefault="00A84F7C" w:rsidP="00A84F7C">
      <w:pPr>
        <w:spacing w:after="0" w:line="276" w:lineRule="auto"/>
        <w:contextualSpacing/>
        <w:jc w:val="both"/>
        <w:rPr>
          <w:rFonts w:ascii="Arial" w:eastAsia="Calibri" w:hAnsi="Arial" w:cs="Arial"/>
          <w:lang w:val="es-ES_tradnl" w:eastAsia="es-ES_tradnl"/>
        </w:rPr>
      </w:pPr>
    </w:p>
    <w:p w14:paraId="489CF2BF" w14:textId="5F43BF8B" w:rsidR="00A84F7C" w:rsidRPr="00A84F7C" w:rsidRDefault="00A84F7C" w:rsidP="00A84F7C">
      <w:pPr>
        <w:spacing w:after="0" w:line="276" w:lineRule="auto"/>
        <w:jc w:val="both"/>
        <w:rPr>
          <w:rFonts w:ascii="Arial" w:eastAsia="Calibri" w:hAnsi="Arial" w:cs="Arial"/>
          <w:color w:val="000000"/>
          <w:szCs w:val="24"/>
          <w:lang w:eastAsia="es-ES_tradnl"/>
        </w:rPr>
      </w:pPr>
      <w:r w:rsidRPr="00A84F7C">
        <w:rPr>
          <w:rFonts w:ascii="Arial" w:eastAsia="Calibri" w:hAnsi="Arial" w:cs="Arial"/>
          <w:color w:val="000000"/>
          <w:szCs w:val="24"/>
          <w:lang w:eastAsia="es-ES_tradnl"/>
        </w:rPr>
        <w:t>En ejercicio de las competencias establecidas en el numeral 5</w:t>
      </w:r>
      <w:r w:rsidR="00015867">
        <w:rPr>
          <w:rFonts w:ascii="Arial" w:eastAsia="Calibri" w:hAnsi="Arial" w:cs="Arial"/>
          <w:color w:val="000000"/>
          <w:szCs w:val="24"/>
          <w:lang w:eastAsia="es-ES_tradnl"/>
        </w:rPr>
        <w:t>°</w:t>
      </w:r>
      <w:r w:rsidRPr="00A84F7C">
        <w:rPr>
          <w:rFonts w:ascii="Arial" w:eastAsia="Calibri" w:hAnsi="Arial" w:cs="Arial"/>
          <w:color w:val="000000"/>
          <w:szCs w:val="24"/>
          <w:lang w:eastAsia="es-ES_tradnl"/>
        </w:rPr>
        <w:t xml:space="preserve"> del artículo 3 y el numeral 8</w:t>
      </w:r>
      <w:r w:rsidR="00015867">
        <w:rPr>
          <w:rFonts w:ascii="Arial" w:eastAsia="Calibri" w:hAnsi="Arial" w:cs="Arial"/>
          <w:color w:val="000000"/>
          <w:szCs w:val="24"/>
          <w:lang w:eastAsia="es-ES_tradnl"/>
        </w:rPr>
        <w:t>°</w:t>
      </w:r>
      <w:r w:rsidRPr="00A84F7C">
        <w:rPr>
          <w:rFonts w:ascii="Arial" w:eastAsia="Calibri" w:hAnsi="Arial" w:cs="Arial"/>
          <w:color w:val="000000"/>
          <w:szCs w:val="24"/>
          <w:lang w:eastAsia="es-ES_tradnl"/>
        </w:rPr>
        <w:t xml:space="preserve">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A84F7C">
        <w:rPr>
          <w:rFonts w:ascii="Arial" w:eastAsia="Calibri" w:hAnsi="Arial" w:cs="Arial"/>
          <w:color w:val="000000"/>
          <w:szCs w:val="24"/>
          <w:vertAlign w:val="superscript"/>
          <w:lang w:eastAsia="es-ES_tradnl"/>
        </w:rPr>
        <w:footnoteReference w:id="2"/>
      </w:r>
      <w:r w:rsidRPr="00A84F7C">
        <w:rPr>
          <w:rFonts w:ascii="Arial" w:eastAsia="Calibri" w:hAnsi="Arial" w:cs="Arial"/>
          <w:color w:val="000000"/>
          <w:szCs w:val="24"/>
          <w:lang w:eastAsia="es-ES_tradnl"/>
        </w:rPr>
        <w:t xml:space="preserve">. Es necesario tener en cuenta que esta entidad solo tiene competencia para responder solicitudes sobre la aplicación de normas de carácter general en materia de compras y contratación pública. En ese sentido, </w:t>
      </w:r>
      <w:r w:rsidRPr="000F0371">
        <w:rPr>
          <w:rFonts w:ascii="Arial" w:eastAsia="Calibri" w:hAnsi="Arial" w:cs="Arial"/>
          <w:color w:val="000000"/>
          <w:szCs w:val="24"/>
          <w:lang w:eastAsia="es-ES_tradnl"/>
        </w:rPr>
        <w:t>resolver casos concretos desborda las atribuciones asignadas</w:t>
      </w:r>
      <w:r w:rsidRPr="00A84F7C">
        <w:rPr>
          <w:rFonts w:ascii="Arial" w:eastAsia="Calibri" w:hAnsi="Arial" w:cs="Arial"/>
          <w:color w:val="000000"/>
          <w:szCs w:val="24"/>
          <w:lang w:eastAsia="es-ES_tradnl"/>
        </w:rPr>
        <w:t xml:space="preserve"> por el legislador extraordinario, que no concibió a Colombia Compra Eficiente como una autoridad para solucionar problemas jurídicos particulares de todos los partícipes de la contratación estatal.</w:t>
      </w:r>
    </w:p>
    <w:p w14:paraId="4819749C" w14:textId="77777777" w:rsidR="00A84F7C" w:rsidRPr="00A84F7C" w:rsidRDefault="00A84F7C" w:rsidP="00A84F7C">
      <w:pPr>
        <w:spacing w:before="120" w:after="120" w:line="276" w:lineRule="auto"/>
        <w:ind w:firstLine="709"/>
        <w:jc w:val="both"/>
        <w:rPr>
          <w:rFonts w:ascii="Arial" w:eastAsia="Calibri" w:hAnsi="Arial" w:cs="Arial"/>
          <w:color w:val="000000"/>
          <w:szCs w:val="24"/>
          <w:lang w:eastAsia="es-ES_tradnl"/>
        </w:rPr>
      </w:pPr>
      <w:r w:rsidRPr="00A84F7C">
        <w:rPr>
          <w:rFonts w:ascii="Arial" w:eastAsia="Calibri" w:hAnsi="Arial" w:cs="Arial"/>
          <w:color w:val="000000"/>
          <w:szCs w:val="24"/>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139B5BBE" w14:textId="77777777" w:rsidR="00A84F7C" w:rsidRPr="00A84F7C" w:rsidRDefault="00A84F7C" w:rsidP="00A84F7C">
      <w:pPr>
        <w:spacing w:after="120" w:line="276" w:lineRule="auto"/>
        <w:ind w:firstLine="709"/>
        <w:jc w:val="both"/>
        <w:rPr>
          <w:rFonts w:ascii="Arial" w:eastAsia="Calibri" w:hAnsi="Arial" w:cs="Arial"/>
          <w:lang w:val="es-ES_tradnl" w:eastAsia="es-ES_tradnl"/>
        </w:rPr>
      </w:pPr>
      <w:r w:rsidRPr="00A84F7C">
        <w:rPr>
          <w:rFonts w:ascii="Arial" w:eastAsia="Calibri" w:hAnsi="Arial" w:cs="Arial"/>
          <w:color w:val="000000"/>
        </w:rPr>
        <w:t xml:space="preserve">Teniendo en cuenta lo anterior, dentro de los límites de la competencia consultiva atribuida a esta entidad, se resolverán sus preguntas, previo análisis de los siguientes </w:t>
      </w:r>
      <w:r w:rsidRPr="00A84F7C">
        <w:rPr>
          <w:rFonts w:ascii="Arial" w:eastAsia="Calibri" w:hAnsi="Arial" w:cs="Arial"/>
          <w:color w:val="000000"/>
        </w:rPr>
        <w:lastRenderedPageBreak/>
        <w:t>temas:</w:t>
      </w:r>
      <w:r w:rsidRPr="00A84F7C">
        <w:rPr>
          <w:rFonts w:ascii="Arial" w:eastAsia="Calibri" w:hAnsi="Arial" w:cs="Arial"/>
          <w:lang w:val="es-ES_tradnl" w:eastAsia="es-ES_tradnl"/>
        </w:rPr>
        <w:t xml:space="preserve"> i) vigencia y reglamentación de los criterios diferenciales de la Ley 2069 de 2020 y; ii) definición de emprendimientos y empresas de mujeres en el Decreto 1860 de 2021. </w:t>
      </w:r>
    </w:p>
    <w:p w14:paraId="4A1B3E0C" w14:textId="77777777" w:rsidR="00A84F7C" w:rsidRPr="00A84F7C" w:rsidRDefault="00A84F7C" w:rsidP="00A84F7C">
      <w:pPr>
        <w:spacing w:after="0" w:line="276" w:lineRule="auto"/>
        <w:ind w:firstLine="708"/>
        <w:jc w:val="both"/>
        <w:rPr>
          <w:rFonts w:ascii="Arial" w:eastAsia="Calibri" w:hAnsi="Arial" w:cs="Arial"/>
          <w:lang w:val="es-ES_tradnl" w:eastAsia="es-ES_tradnl"/>
        </w:rPr>
      </w:pPr>
      <w:r w:rsidRPr="00A84F7C">
        <w:rPr>
          <w:rFonts w:ascii="Arial" w:eastAsia="Calibri" w:hAnsi="Arial" w:cs="Arial"/>
          <w:lang w:val="es-ES_tradnl" w:eastAsia="es-ES_tradnl"/>
        </w:rPr>
        <w:t>La Agencia Nacional de Contratación Pública – Colombia Compra Eficiente se ha pronunciado, en términos generales, sobre el contenido de la Ley de Emprendimiento en diferentes conceptos</w:t>
      </w:r>
      <w:r w:rsidRPr="00A84F7C">
        <w:rPr>
          <w:rFonts w:ascii="Arial" w:eastAsia="Calibri" w:hAnsi="Arial" w:cs="Arial"/>
          <w:vertAlign w:val="superscript"/>
          <w:lang w:val="es-ES_tradnl" w:eastAsia="es-ES_tradnl"/>
        </w:rPr>
        <w:footnoteReference w:id="3"/>
      </w:r>
      <w:r w:rsidRPr="00A84F7C">
        <w:rPr>
          <w:rFonts w:ascii="Arial" w:eastAsia="Calibri" w:hAnsi="Arial" w:cs="Arial"/>
          <w:lang w:val="es-ES_tradnl" w:eastAsia="es-ES_tradnl"/>
        </w:rPr>
        <w:t xml:space="preserve">, refiriéndose, especialmente, a lo dispuesto en el artículo 32 de dicha ley, alusivo a los criterios diferenciales para emprendimientos y empresas de mujeres, en los conceptos </w:t>
      </w:r>
      <w:r w:rsidRPr="00A84F7C">
        <w:rPr>
          <w:rFonts w:ascii="Arial" w:eastAsia="Times New Roman" w:hAnsi="Arial" w:cs="Arial"/>
          <w:shd w:val="clear" w:color="auto" w:fill="FFFFFF"/>
          <w:lang w:eastAsia="es-ES_tradnl"/>
        </w:rPr>
        <w:t xml:space="preserve">C-029 de 21 de febrero de 2021, C-037 del 26 de febrero de 2021, C-141 del 8 de abril de 2021, C-114 del 13 de abril de 2015, C-031 del 1 de marzo de 2022, C-476 del 21 de junio de 2022, C-429 del 18 de julio de 2022, </w:t>
      </w:r>
      <w:r w:rsidRPr="00A84F7C">
        <w:rPr>
          <w:rFonts w:ascii="Arial" w:hAnsi="Arial" w:cs="Arial"/>
          <w:shd w:val="clear" w:color="auto" w:fill="FFFFFF"/>
        </w:rPr>
        <w:t>C-438 del 11 de julio de 2022, C-454 del 13 de julio de 2022, C-476 del 21 de junio de 2022, C-479 del 26 de julio de 2022, C-504 del 8 de agosto de 2022, C-522 del 16 de agosto de 2022, C-533 de 25 de agosto de 2022, C-587 del 21 de septiembre de 2022, C-715 del 4 de noviembre de 2022, C-861 del 15 de diciembre de 2022</w:t>
      </w:r>
      <w:r w:rsidRPr="00A84F7C">
        <w:rPr>
          <w:rFonts w:ascii="Arial" w:eastAsia="Times New Roman" w:hAnsi="Arial" w:cs="Arial"/>
          <w:shd w:val="clear" w:color="auto" w:fill="FFFFFF"/>
          <w:lang w:eastAsia="es-ES_tradnl"/>
        </w:rPr>
        <w:t xml:space="preserve"> entre otros</w:t>
      </w:r>
      <w:r w:rsidRPr="00A84F7C">
        <w:rPr>
          <w:rFonts w:ascii="Arial" w:eastAsia="Arial" w:hAnsi="Arial" w:cs="Arial"/>
          <w:vertAlign w:val="superscript"/>
          <w:lang w:val="es-ES_tradnl" w:eastAsia="es-ES_tradnl"/>
        </w:rPr>
        <w:footnoteReference w:id="4"/>
      </w:r>
      <w:r w:rsidRPr="00A84F7C">
        <w:rPr>
          <w:rFonts w:ascii="Arial" w:eastAsia="Times New Roman" w:hAnsi="Arial" w:cs="Arial"/>
          <w:shd w:val="clear" w:color="auto" w:fill="FFFFFF"/>
          <w:lang w:eastAsia="es-ES_tradnl"/>
        </w:rPr>
        <w:t>.</w:t>
      </w:r>
      <w:r w:rsidRPr="00A84F7C">
        <w:rPr>
          <w:rFonts w:ascii="Arial" w:eastAsia="Calibri" w:hAnsi="Arial" w:cs="Arial"/>
          <w:lang w:val="es-ES_tradnl" w:eastAsia="es-ES_tradnl"/>
        </w:rPr>
        <w:t xml:space="preserve"> Algunas de las consideraciones de estos conceptos se reiteran y complementan a continuación.</w:t>
      </w:r>
    </w:p>
    <w:p w14:paraId="12282AC7" w14:textId="77777777" w:rsidR="00A84F7C" w:rsidRPr="00A84F7C" w:rsidRDefault="00A84F7C" w:rsidP="00A84F7C">
      <w:pPr>
        <w:spacing w:after="0" w:line="276" w:lineRule="auto"/>
        <w:contextualSpacing/>
        <w:textAlignment w:val="baseline"/>
        <w:rPr>
          <w:rFonts w:ascii="Arial" w:eastAsia="Calibri" w:hAnsi="Arial" w:cs="Arial"/>
          <w:lang w:val="es-ES_tradnl" w:eastAsia="es-ES_tradnl"/>
        </w:rPr>
      </w:pPr>
    </w:p>
    <w:p w14:paraId="29FDD4A8" w14:textId="77777777" w:rsidR="00A84F7C" w:rsidRPr="00A84F7C" w:rsidRDefault="00A84F7C" w:rsidP="00A84F7C">
      <w:pPr>
        <w:spacing w:after="0" w:line="276" w:lineRule="auto"/>
        <w:contextualSpacing/>
        <w:jc w:val="both"/>
        <w:rPr>
          <w:rFonts w:ascii="Arial" w:eastAsia="Calibri" w:hAnsi="Arial" w:cs="Arial"/>
          <w:b/>
          <w:bCs/>
          <w:lang w:val="es-ES_tradnl" w:eastAsia="es-ES_tradnl"/>
        </w:rPr>
      </w:pPr>
      <w:r w:rsidRPr="00A84F7C">
        <w:rPr>
          <w:rFonts w:ascii="Arial" w:eastAsia="Calibri" w:hAnsi="Arial" w:cs="Arial"/>
          <w:b/>
          <w:bCs/>
          <w:lang w:val="es-ES_tradnl" w:eastAsia="es-ES_tradnl"/>
        </w:rPr>
        <w:t xml:space="preserve">2.1. </w:t>
      </w:r>
      <w:bookmarkStart w:id="3" w:name="_Hlk94018153"/>
      <w:r w:rsidRPr="00A84F7C">
        <w:rPr>
          <w:rFonts w:ascii="Arial" w:eastAsia="Calibri" w:hAnsi="Arial" w:cs="Arial"/>
          <w:b/>
          <w:bCs/>
          <w:lang w:val="es-ES_tradnl" w:eastAsia="es-ES_tradnl"/>
        </w:rPr>
        <w:t xml:space="preserve">Vigencia y reglamentación de los criterios diferenciales de la Ley 2069 de 2020 </w:t>
      </w:r>
      <w:bookmarkEnd w:id="3"/>
    </w:p>
    <w:p w14:paraId="09D40BFF" w14:textId="77777777" w:rsidR="00A84F7C" w:rsidRPr="00A84F7C" w:rsidRDefault="00A84F7C" w:rsidP="00A84F7C">
      <w:pPr>
        <w:spacing w:after="0" w:line="276" w:lineRule="auto"/>
        <w:contextualSpacing/>
        <w:jc w:val="both"/>
        <w:rPr>
          <w:rFonts w:ascii="Arial" w:eastAsia="Calibri" w:hAnsi="Arial" w:cs="Arial"/>
          <w:lang w:val="es-ES_tradnl" w:eastAsia="es-ES_tradnl"/>
        </w:rPr>
      </w:pPr>
    </w:p>
    <w:p w14:paraId="26DCFCBF" w14:textId="77777777" w:rsidR="00A84F7C" w:rsidRPr="00A84F7C" w:rsidRDefault="00A84F7C" w:rsidP="00A84F7C">
      <w:pPr>
        <w:spacing w:after="0" w:line="276" w:lineRule="auto"/>
        <w:jc w:val="both"/>
        <w:rPr>
          <w:rFonts w:ascii="Arial" w:eastAsia="Calibri" w:hAnsi="Arial" w:cs="Arial"/>
          <w:lang w:val="es-ES_tradnl" w:eastAsia="es-ES_tradnl"/>
        </w:rPr>
      </w:pPr>
      <w:r w:rsidRPr="00A84F7C">
        <w:rPr>
          <w:rFonts w:ascii="Arial" w:eastAsia="Calibri" w:hAnsi="Arial" w:cs="Arial"/>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Pr="00A84F7C">
        <w:rPr>
          <w:rFonts w:ascii="Arial" w:eastAsia="Calibri" w:hAnsi="Arial" w:cs="Arial"/>
          <w:color w:val="000000" w:themeColor="text1"/>
          <w:lang w:val="es-ES_tradnl"/>
        </w:rPr>
        <w:t>, potestad que fue ejercida mediante la expedición del Decreto 1860 de 2021, al cual se hará referencia más adelante</w:t>
      </w:r>
      <w:r w:rsidRPr="00A84F7C">
        <w:rPr>
          <w:rFonts w:ascii="Arial" w:eastAsia="Calibri" w:hAnsi="Arial" w:cs="Arial"/>
          <w:lang w:val="es-ES_tradnl" w:eastAsia="es-ES_tradnl"/>
        </w:rPr>
        <w:t>.</w:t>
      </w:r>
    </w:p>
    <w:p w14:paraId="06D8ED54" w14:textId="77777777" w:rsidR="00A84F7C" w:rsidRPr="00A84F7C" w:rsidRDefault="00A84F7C" w:rsidP="00A84F7C">
      <w:pPr>
        <w:spacing w:before="120" w:after="0" w:line="276" w:lineRule="auto"/>
        <w:ind w:firstLine="709"/>
        <w:jc w:val="both"/>
        <w:rPr>
          <w:rFonts w:ascii="Arial" w:eastAsia="Calibri" w:hAnsi="Arial" w:cs="Arial"/>
          <w:lang w:val="es-ES_tradnl" w:eastAsia="es-ES_tradnl"/>
        </w:rPr>
      </w:pPr>
      <w:r w:rsidRPr="00A84F7C">
        <w:rPr>
          <w:rFonts w:ascii="Arial" w:eastAsia="Calibri" w:hAnsi="Arial" w:cs="Arial"/>
          <w:lang w:val="es-ES_tradnl" w:eastAsia="es-ES_tradnl"/>
        </w:rPr>
        <w:lastRenderedPageBreak/>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A84F7C">
        <w:rPr>
          <w:rFonts w:ascii="Arial" w:eastAsia="Calibri" w:hAnsi="Arial" w:cs="Arial"/>
          <w:sz w:val="24"/>
          <w:szCs w:val="24"/>
          <w:vertAlign w:val="superscript"/>
          <w:lang w:val="es-ES_tradnl" w:eastAsia="es-ES_tradnl"/>
        </w:rPr>
        <w:footnoteReference w:id="5"/>
      </w:r>
      <w:r w:rsidRPr="00A84F7C">
        <w:rPr>
          <w:rFonts w:ascii="Arial" w:eastAsia="Calibri" w:hAnsi="Arial" w:cs="Arial"/>
          <w:lang w:val="es-ES_tradnl" w:eastAsia="es-ES_tradnl"/>
        </w:rPr>
        <w:t xml:space="preserve">. Esto, a partir de “[…] un enfoque regionalizado </w:t>
      </w:r>
      <w:proofErr w:type="gramStart"/>
      <w:r w:rsidRPr="00A84F7C">
        <w:rPr>
          <w:rFonts w:ascii="Arial" w:eastAsia="Calibri" w:hAnsi="Arial" w:cs="Arial"/>
          <w:lang w:val="es-ES_tradnl" w:eastAsia="es-ES_tradnl"/>
        </w:rPr>
        <w:t>de acuerdo a</w:t>
      </w:r>
      <w:proofErr w:type="gramEnd"/>
      <w:r w:rsidRPr="00A84F7C">
        <w:rPr>
          <w:rFonts w:ascii="Arial" w:eastAsia="Calibri" w:hAnsi="Arial" w:cs="Arial"/>
          <w:lang w:val="es-ES_tradnl" w:eastAsia="es-ES_tradnl"/>
        </w:rPr>
        <w:t xml:space="preserve"> las realidades socioeconómicas de cada región”. En desarrollo de esta finalidad, se establecen medidas de apoyo para las micro, pequeñas y medianas empresas –</w:t>
      </w:r>
      <w:proofErr w:type="spellStart"/>
      <w:r w:rsidRPr="00A84F7C">
        <w:rPr>
          <w:rFonts w:ascii="Arial" w:eastAsia="Calibri" w:hAnsi="Arial" w:cs="Arial"/>
          <w:lang w:val="es-ES_tradnl" w:eastAsia="es-ES_tradnl"/>
        </w:rPr>
        <w:t>Mipymes</w:t>
      </w:r>
      <w:proofErr w:type="spellEnd"/>
      <w:r w:rsidRPr="00A84F7C">
        <w:rPr>
          <w:rFonts w:ascii="Arial" w:eastAsia="Calibri" w:hAnsi="Arial" w:cs="Arial"/>
          <w:lang w:val="es-ES_tradnl" w:eastAsia="es-ES_tradnl"/>
        </w:rPr>
        <w:t>–, mediante la racionalización y simplificación de los trámites y tarifas</w:t>
      </w:r>
      <w:r w:rsidRPr="00A84F7C">
        <w:rPr>
          <w:rFonts w:ascii="Arial" w:eastAsia="Calibri" w:hAnsi="Arial" w:cs="Arial"/>
          <w:vertAlign w:val="superscript"/>
          <w:lang w:val="es-ES_tradnl" w:eastAsia="es-ES_tradnl"/>
        </w:rPr>
        <w:footnoteReference w:id="6"/>
      </w:r>
      <w:r w:rsidRPr="00A84F7C">
        <w:rPr>
          <w:rFonts w:ascii="Arial" w:eastAsia="Calibri" w:hAnsi="Arial" w:cs="Arial"/>
          <w:lang w:val="es-ES_tradnl" w:eastAsia="es-ES_tradnl"/>
        </w:rPr>
        <w:t>, así como incentivos a favor de aquellas dentro del sistema de compras y contratación pública</w:t>
      </w:r>
      <w:r w:rsidRPr="00A84F7C">
        <w:rPr>
          <w:rFonts w:ascii="Arial" w:eastAsia="Calibri" w:hAnsi="Arial" w:cs="Arial"/>
          <w:vertAlign w:val="superscript"/>
          <w:lang w:val="es-ES_tradnl" w:eastAsia="es-ES_tradnl"/>
        </w:rPr>
        <w:footnoteReference w:id="7"/>
      </w:r>
      <w:r w:rsidRPr="00A84F7C">
        <w:rPr>
          <w:rFonts w:ascii="Arial" w:eastAsia="Calibri" w:hAnsi="Arial" w:cs="Arial"/>
          <w:lang w:val="es-ES_tradnl" w:eastAsia="es-ES_tradnl"/>
        </w:rPr>
        <w:t>. También se consagran mecanismos de acceso al financiamiento</w:t>
      </w:r>
      <w:r w:rsidRPr="00A84F7C">
        <w:rPr>
          <w:rFonts w:ascii="Arial" w:eastAsia="Calibri" w:hAnsi="Arial" w:cs="Arial"/>
          <w:vertAlign w:val="superscript"/>
          <w:lang w:val="es-ES_tradnl" w:eastAsia="es-ES_tradnl"/>
        </w:rPr>
        <w:footnoteReference w:id="8"/>
      </w:r>
      <w:r w:rsidRPr="00A84F7C">
        <w:rPr>
          <w:rFonts w:ascii="Arial" w:eastAsia="Calibri" w:hAnsi="Arial" w:cs="Arial"/>
          <w:lang w:val="es-ES_tradnl" w:eastAsia="es-ES_tradnl"/>
        </w:rPr>
        <w:t>, se unifican las fuentes de emprendimiento y de desarrollo empresarial, para fortalecer y promover los distintos sectores de la economía</w:t>
      </w:r>
      <w:r w:rsidRPr="00A84F7C">
        <w:rPr>
          <w:rFonts w:ascii="Arial" w:eastAsia="Calibri" w:hAnsi="Arial" w:cs="Arial"/>
          <w:vertAlign w:val="superscript"/>
          <w:lang w:val="es-ES_tradnl" w:eastAsia="es-ES_tradnl"/>
        </w:rPr>
        <w:footnoteReference w:id="9"/>
      </w:r>
      <w:r w:rsidRPr="00A84F7C">
        <w:rPr>
          <w:rFonts w:ascii="Arial" w:eastAsia="Calibri" w:hAnsi="Arial" w:cs="Arial"/>
          <w:lang w:val="es-ES_tradnl" w:eastAsia="es-ES_tradnl"/>
        </w:rPr>
        <w:t xml:space="preserve"> y se prevén medidas de educación para el emprendimiento y la innovación</w:t>
      </w:r>
      <w:r w:rsidRPr="00A84F7C">
        <w:rPr>
          <w:rFonts w:ascii="Arial" w:eastAsia="Calibri" w:hAnsi="Arial" w:cs="Arial"/>
          <w:vertAlign w:val="superscript"/>
          <w:lang w:val="es-ES_tradnl" w:eastAsia="es-ES_tradnl"/>
        </w:rPr>
        <w:footnoteReference w:id="10"/>
      </w:r>
      <w:r w:rsidRPr="00A84F7C">
        <w:rPr>
          <w:rFonts w:ascii="Arial" w:eastAsia="Calibri" w:hAnsi="Arial" w:cs="Arial"/>
          <w:lang w:val="es-ES_tradnl" w:eastAsia="es-ES_tradnl"/>
        </w:rPr>
        <w:t>.</w:t>
      </w:r>
    </w:p>
    <w:p w14:paraId="4B155CFF" w14:textId="77777777" w:rsidR="00A84F7C" w:rsidRPr="00A84F7C" w:rsidRDefault="00A84F7C" w:rsidP="00A84F7C">
      <w:pPr>
        <w:spacing w:before="120" w:after="120" w:line="276" w:lineRule="auto"/>
        <w:ind w:firstLine="709"/>
        <w:jc w:val="both"/>
        <w:rPr>
          <w:rFonts w:ascii="Arial" w:eastAsia="Calibri" w:hAnsi="Arial" w:cs="Arial"/>
          <w:lang w:val="es-ES_tradnl" w:eastAsia="es-ES_tradnl"/>
        </w:rPr>
      </w:pPr>
      <w:r w:rsidRPr="00A84F7C">
        <w:rPr>
          <w:rFonts w:ascii="Arial" w:eastAsia="Calibri" w:hAnsi="Arial"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84F7C">
        <w:rPr>
          <w:rFonts w:ascii="Arial" w:eastAsia="Calibri" w:hAnsi="Arial" w:cs="Arial"/>
          <w:lang w:val="es-ES_tradnl" w:eastAsia="es-ES_tradnl"/>
        </w:rPr>
        <w:t>Mipyme</w:t>
      </w:r>
      <w:proofErr w:type="spellEnd"/>
      <w:r w:rsidRPr="00A84F7C">
        <w:rPr>
          <w:rFonts w:ascii="Arial" w:eastAsia="Calibri" w:hAnsi="Arial" w:cs="Arial"/>
          <w:lang w:val="es-ES_tradnl" w:eastAsia="es-ES_tradnl"/>
        </w:rPr>
        <w:t xml:space="preserve"> en el procedimiento de mínima cuantía, ii) criterios diferenciales para </w:t>
      </w:r>
      <w:proofErr w:type="spellStart"/>
      <w:r w:rsidRPr="00A84F7C">
        <w:rPr>
          <w:rFonts w:ascii="Arial" w:eastAsia="Calibri" w:hAnsi="Arial" w:cs="Arial"/>
          <w:lang w:val="es-ES_tradnl" w:eastAsia="es-ES_tradnl"/>
        </w:rPr>
        <w:t>Mipyme</w:t>
      </w:r>
      <w:proofErr w:type="spellEnd"/>
      <w:r w:rsidRPr="00A84F7C">
        <w:rPr>
          <w:rFonts w:ascii="Arial" w:eastAsia="Calibri" w:hAnsi="Arial" w:cs="Arial"/>
          <w:lang w:val="es-ES_tradnl" w:eastAsia="es-ES_tradnl"/>
        </w:rPr>
        <w:t xml:space="preserve"> en el sistema de compras públicas, </w:t>
      </w:r>
      <w:proofErr w:type="spellStart"/>
      <w:r w:rsidRPr="00A84F7C">
        <w:rPr>
          <w:rFonts w:ascii="Arial" w:eastAsia="Calibri" w:hAnsi="Arial" w:cs="Arial"/>
          <w:lang w:val="es-ES_tradnl" w:eastAsia="es-ES_tradnl"/>
        </w:rPr>
        <w:t>iii</w:t>
      </w:r>
      <w:proofErr w:type="spellEnd"/>
      <w:r w:rsidRPr="00A84F7C">
        <w:rPr>
          <w:rFonts w:ascii="Arial" w:eastAsia="Calibri" w:hAnsi="Arial" w:cs="Arial"/>
          <w:lang w:val="es-ES_tradnl" w:eastAsia="es-ES_tradnl"/>
        </w:rPr>
        <w:t xml:space="preserve">) </w:t>
      </w:r>
      <w:r w:rsidRPr="000F0371">
        <w:rPr>
          <w:rFonts w:ascii="Arial" w:eastAsia="Calibri" w:hAnsi="Arial" w:cs="Arial"/>
          <w:lang w:val="es-ES_tradnl" w:eastAsia="es-ES_tradnl"/>
        </w:rPr>
        <w:t>criterios diferenciales para emprendimientos y empresas de mujeres en el sistema de compras públicas</w:t>
      </w:r>
      <w:r w:rsidRPr="00A84F7C">
        <w:rPr>
          <w:rFonts w:ascii="Arial" w:eastAsia="Calibri" w:hAnsi="Arial" w:cs="Arial"/>
          <w:lang w:val="es-ES_tradnl" w:eastAsia="es-ES_tradnl"/>
        </w:rPr>
        <w:t xml:space="preserve">, iv) promoción del acceso de las </w:t>
      </w:r>
      <w:proofErr w:type="spellStart"/>
      <w:r w:rsidRPr="00A84F7C">
        <w:rPr>
          <w:rFonts w:ascii="Arial" w:eastAsia="Calibri" w:hAnsi="Arial" w:cs="Arial"/>
          <w:lang w:val="es-ES_tradnl" w:eastAsia="es-ES_tradnl"/>
        </w:rPr>
        <w:t>Mipyme</w:t>
      </w:r>
      <w:proofErr w:type="spellEnd"/>
      <w:r w:rsidRPr="00A84F7C">
        <w:rPr>
          <w:rFonts w:ascii="Arial" w:eastAsia="Calibri" w:hAnsi="Arial"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32 y el numeral 2 del artículo 35 de la referida ley, a continuación, se estudiará el contenido y alcance de dicha norma</w:t>
      </w:r>
      <w:r w:rsidRPr="00A84F7C">
        <w:rPr>
          <w:rFonts w:ascii="Arial" w:eastAsia="Calibri" w:hAnsi="Arial" w:cs="Arial"/>
          <w:bCs/>
          <w:sz w:val="24"/>
          <w:szCs w:val="24"/>
          <w:vertAlign w:val="superscript"/>
          <w:lang w:val="es-MX" w:eastAsia="es-ES_tradnl"/>
        </w:rPr>
        <w:footnoteReference w:id="11"/>
      </w:r>
      <w:r w:rsidRPr="00A84F7C">
        <w:rPr>
          <w:rFonts w:ascii="Arial" w:eastAsia="Calibri" w:hAnsi="Arial" w:cs="Arial"/>
          <w:lang w:val="es-ES_tradnl" w:eastAsia="es-ES_tradnl"/>
        </w:rPr>
        <w:t xml:space="preserve">.  </w:t>
      </w:r>
    </w:p>
    <w:p w14:paraId="0D9D864B" w14:textId="77777777" w:rsidR="00A84F7C" w:rsidRPr="00A84F7C" w:rsidRDefault="00A84F7C" w:rsidP="00A84F7C">
      <w:pPr>
        <w:tabs>
          <w:tab w:val="left" w:pos="709"/>
        </w:tabs>
        <w:spacing w:after="120" w:line="276" w:lineRule="auto"/>
        <w:jc w:val="both"/>
        <w:rPr>
          <w:rFonts w:ascii="Arial" w:eastAsia="Calibri" w:hAnsi="Arial" w:cs="Arial"/>
          <w:bCs/>
          <w:szCs w:val="24"/>
          <w:lang w:eastAsia="es-ES_tradnl"/>
        </w:rPr>
      </w:pPr>
      <w:r w:rsidRPr="00A84F7C">
        <w:rPr>
          <w:rFonts w:ascii="Arial" w:eastAsia="Calibri" w:hAnsi="Arial" w:cs="Arial"/>
          <w:bCs/>
          <w:szCs w:val="24"/>
          <w:lang w:eastAsia="es-ES_tradnl"/>
        </w:rPr>
        <w:tab/>
        <w:t xml:space="preserve">Dentro del referido capítulo se encuentran </w:t>
      </w:r>
      <w:bookmarkStart w:id="5" w:name="_Hlk63848566"/>
      <w:r w:rsidRPr="00A84F7C">
        <w:rPr>
          <w:rFonts w:ascii="Arial" w:eastAsia="Calibri" w:hAnsi="Arial" w:cs="Arial"/>
          <w:bCs/>
          <w:szCs w:val="24"/>
          <w:lang w:eastAsia="es-ES_tradnl"/>
        </w:rPr>
        <w:t>los artículos 31 y 32 de la Ley 2069 de 2020</w:t>
      </w:r>
      <w:bookmarkEnd w:id="5"/>
      <w:r w:rsidRPr="00A84F7C">
        <w:rPr>
          <w:rFonts w:ascii="Arial" w:eastAsia="Calibri" w:hAnsi="Arial" w:cs="Arial"/>
          <w:bCs/>
          <w:szCs w:val="24"/>
          <w:lang w:eastAsia="es-ES_tradnl"/>
        </w:rPr>
        <w:t xml:space="preserve">, a través de los cuales se crean una serie de incentivos para las personas interesadas en celebrar contratos con el Estado. </w:t>
      </w:r>
      <w:r w:rsidRPr="00A84F7C">
        <w:rPr>
          <w:rFonts w:ascii="Arial" w:eastAsia="Calibri" w:hAnsi="Arial" w:cs="Arial"/>
          <w:bCs/>
          <w:szCs w:val="24"/>
          <w:lang w:val="es-ES_tradnl" w:eastAsia="es-ES_tradnl"/>
        </w:rPr>
        <w:t xml:space="preserve">Por un lado, el artículo 31 </w:t>
      </w:r>
      <w:r w:rsidRPr="00A84F7C">
        <w:rPr>
          <w:rFonts w:ascii="Arial" w:eastAsia="Calibri" w:hAnsi="Arial" w:cs="Arial"/>
          <w:bCs/>
          <w:szCs w:val="24"/>
          <w:lang w:eastAsia="es-ES_tradnl"/>
        </w:rPr>
        <w:t xml:space="preserve">introduce criterios </w:t>
      </w:r>
      <w:r w:rsidRPr="00A84F7C">
        <w:rPr>
          <w:rFonts w:ascii="Arial" w:eastAsia="Calibri" w:hAnsi="Arial" w:cs="Arial"/>
          <w:bCs/>
          <w:szCs w:val="24"/>
          <w:lang w:eastAsia="es-ES_tradnl"/>
        </w:rPr>
        <w:lastRenderedPageBreak/>
        <w:t xml:space="preserve">diferenciales para el acceso de las </w:t>
      </w:r>
      <w:proofErr w:type="spellStart"/>
      <w:r w:rsidRPr="00A84F7C">
        <w:rPr>
          <w:rFonts w:ascii="Arial" w:eastAsia="Calibri" w:hAnsi="Arial" w:cs="Arial"/>
          <w:bCs/>
          <w:szCs w:val="24"/>
          <w:lang w:eastAsia="es-ES_tradnl"/>
        </w:rPr>
        <w:t>Mipyme</w:t>
      </w:r>
      <w:proofErr w:type="spellEnd"/>
      <w:r w:rsidRPr="00A84F7C">
        <w:rPr>
          <w:rFonts w:ascii="Arial" w:eastAsia="Calibri" w:hAnsi="Arial" w:cs="Arial"/>
          <w:bCs/>
          <w:szCs w:val="24"/>
          <w:lang w:eastAsia="es-ES_tradnl"/>
        </w:rPr>
        <w:t xml:space="preserve"> al sistema de compras y contratación pública, estableciendo que “Las Entidades Estatales de acuerdo con el análisis de Sector </w:t>
      </w:r>
      <w:bookmarkStart w:id="6" w:name="_Hlk63767562"/>
      <w:r w:rsidRPr="00A84F7C">
        <w:rPr>
          <w:rFonts w:ascii="Arial" w:eastAsia="Calibri" w:hAnsi="Arial" w:cs="Arial"/>
          <w:bCs/>
          <w:szCs w:val="24"/>
          <w:lang w:eastAsia="es-ES_tradnl"/>
        </w:rPr>
        <w:t>podrán incluir, en los Documentos del Proceso, requisitos diferenciales y puntajes adicionales</w:t>
      </w:r>
      <w:bookmarkEnd w:id="6"/>
      <w:r w:rsidRPr="00A84F7C">
        <w:rPr>
          <w:rFonts w:ascii="Arial" w:eastAsia="Calibri" w:hAnsi="Arial" w:cs="Arial"/>
          <w:bCs/>
          <w:szCs w:val="24"/>
          <w:lang w:eastAsia="es-ES_tradnl"/>
        </w:rPr>
        <w:t xml:space="preserve">, en función del tamaño empresarial para la promoción del acceso de las MIPYMES al mercado de Compras Públicas”.  </w:t>
      </w:r>
    </w:p>
    <w:p w14:paraId="6F35B50C" w14:textId="77777777" w:rsidR="00A84F7C" w:rsidRPr="00A84F7C" w:rsidRDefault="00A84F7C" w:rsidP="00A84F7C">
      <w:pPr>
        <w:tabs>
          <w:tab w:val="left" w:pos="709"/>
        </w:tabs>
        <w:spacing w:after="120" w:line="276" w:lineRule="auto"/>
        <w:jc w:val="both"/>
        <w:rPr>
          <w:rFonts w:ascii="Arial" w:eastAsia="Calibri" w:hAnsi="Arial" w:cs="Arial"/>
          <w:bCs/>
          <w:szCs w:val="24"/>
          <w:lang w:eastAsia="es-ES_tradnl"/>
        </w:rPr>
      </w:pPr>
      <w:r w:rsidRPr="00A84F7C">
        <w:rPr>
          <w:rFonts w:ascii="Arial" w:eastAsia="Calibri" w:hAnsi="Arial" w:cs="Arial"/>
          <w:bCs/>
          <w:szCs w:val="24"/>
          <w:lang w:eastAsia="es-ES_tradnl"/>
        </w:rPr>
        <w:tab/>
        <w:t xml:space="preserve">Además, el inciso segundo y el parágrafo del </w:t>
      </w:r>
      <w:r w:rsidRPr="00A84F7C">
        <w:rPr>
          <w:rFonts w:ascii="Arial" w:eastAsia="Calibri" w:hAnsi="Arial" w:cs="Arial"/>
          <w:bCs/>
          <w:szCs w:val="24"/>
          <w:lang w:val="es-ES_tradnl" w:eastAsia="es-ES_tradnl"/>
        </w:rPr>
        <w:t xml:space="preserve">artículo 31 </w:t>
      </w:r>
      <w:r w:rsidRPr="00A84F7C">
        <w:rPr>
          <w:rFonts w:ascii="Arial" w:eastAsia="Calibri" w:hAnsi="Arial" w:cs="Arial"/>
          <w:bCs/>
          <w:szCs w:val="24"/>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3B8A39B7" w14:textId="4BD54B4F" w:rsidR="00A84F7C" w:rsidRPr="00A84F7C" w:rsidRDefault="00A84F7C" w:rsidP="000F0371">
      <w:pPr>
        <w:tabs>
          <w:tab w:val="left" w:pos="709"/>
        </w:tabs>
        <w:spacing w:after="120" w:line="276" w:lineRule="auto"/>
        <w:jc w:val="both"/>
        <w:rPr>
          <w:rFonts w:ascii="Arial" w:eastAsia="Calibri" w:hAnsi="Arial" w:cs="Arial"/>
          <w:bCs/>
          <w:sz w:val="21"/>
          <w:szCs w:val="21"/>
          <w:lang w:eastAsia="es-ES_tradnl"/>
        </w:rPr>
      </w:pPr>
      <w:r w:rsidRPr="00A84F7C">
        <w:rPr>
          <w:rFonts w:ascii="Arial" w:eastAsia="Calibri" w:hAnsi="Arial" w:cs="Arial"/>
          <w:bCs/>
          <w:szCs w:val="24"/>
          <w:lang w:eastAsia="es-ES_tradnl"/>
        </w:rPr>
        <w:tab/>
        <w:t>Por otra parte, el artículo 32 de la Ley 2069 de 2020</w:t>
      </w:r>
      <w:r w:rsidRPr="00A84F7C">
        <w:rPr>
          <w:rFonts w:ascii="Arial" w:eastAsia="Calibri" w:hAnsi="Arial" w:cs="Arial"/>
          <w:bCs/>
          <w:szCs w:val="24"/>
          <w:vertAlign w:val="superscript"/>
          <w:lang w:eastAsia="es-ES_tradnl"/>
        </w:rPr>
        <w:footnoteReference w:id="12"/>
      </w:r>
      <w:r w:rsidRPr="00A84F7C">
        <w:rPr>
          <w:rFonts w:ascii="Arial" w:eastAsia="Calibri" w:hAnsi="Arial" w:cs="Arial"/>
          <w:bCs/>
          <w:szCs w:val="24"/>
          <w:lang w:eastAsia="es-ES_tradnl"/>
        </w:rPr>
        <w:t xml:space="preserve"> regula criterios diferenciales para los “emprendimientos y empresas de mujeres” en el sistema de compras y contratación pública. En relación con este aspecto, el inciso primero de la norma citada prescribe lo siguiente: </w:t>
      </w:r>
      <w:r w:rsidRPr="00A84F7C">
        <w:rPr>
          <w:rFonts w:ascii="Arial" w:hAnsi="Arial" w:cs="Arial"/>
          <w:sz w:val="21"/>
          <w:szCs w:val="21"/>
        </w:rPr>
        <w:t>“</w:t>
      </w:r>
      <w:r w:rsidRPr="00A84F7C">
        <w:rPr>
          <w:rFonts w:ascii="Arial" w:eastAsia="Calibri" w:hAnsi="Arial" w:cs="Arial"/>
          <w:bCs/>
          <w:sz w:val="21"/>
          <w:szCs w:val="21"/>
          <w:lang w:eastAsia="es-ES_tradnl"/>
        </w:rPr>
        <w:t xml:space="preserve">De acuerdo con el resultado del análisis del sector, las entidades estatales incluirán requisitos diferenciales y puntajes adicionales en los procesos de </w:t>
      </w:r>
      <w:bookmarkStart w:id="7" w:name="_Hlk63770487"/>
      <w:r w:rsidRPr="00A84F7C">
        <w:rPr>
          <w:rFonts w:ascii="Arial" w:eastAsia="Calibri" w:hAnsi="Arial" w:cs="Arial"/>
          <w:bCs/>
          <w:sz w:val="21"/>
          <w:szCs w:val="21"/>
          <w:lang w:eastAsia="es-ES_tradnl"/>
        </w:rPr>
        <w:t>licitación pública, selección abreviada de menor cuantía y concurso de méritos</w:t>
      </w:r>
      <w:bookmarkEnd w:id="7"/>
      <w:r w:rsidRPr="00A84F7C">
        <w:rPr>
          <w:rFonts w:ascii="Arial" w:eastAsia="Calibri" w:hAnsi="Arial"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A84F7C">
        <w:rPr>
          <w:rFonts w:ascii="Arial" w:hAnsi="Arial" w:cs="Arial"/>
          <w:sz w:val="21"/>
          <w:szCs w:val="21"/>
        </w:rPr>
        <w:t>”</w:t>
      </w:r>
      <w:r w:rsidRPr="00A84F7C">
        <w:rPr>
          <w:rFonts w:ascii="Arial" w:eastAsia="Calibri" w:hAnsi="Arial" w:cs="Arial"/>
          <w:bCs/>
          <w:sz w:val="21"/>
          <w:szCs w:val="21"/>
          <w:lang w:eastAsia="es-ES_tradnl"/>
        </w:rPr>
        <w:t>.</w:t>
      </w:r>
    </w:p>
    <w:p w14:paraId="429E0E49" w14:textId="77777777" w:rsidR="00A84F7C" w:rsidRPr="00A84F7C" w:rsidRDefault="00A84F7C" w:rsidP="00A84F7C">
      <w:pPr>
        <w:tabs>
          <w:tab w:val="left" w:pos="709"/>
        </w:tabs>
        <w:spacing w:after="120" w:line="276" w:lineRule="auto"/>
        <w:jc w:val="both"/>
        <w:rPr>
          <w:rFonts w:ascii="Arial" w:eastAsia="Calibri" w:hAnsi="Arial" w:cs="Arial"/>
          <w:bCs/>
          <w:szCs w:val="24"/>
          <w:lang w:eastAsia="es-ES_tradnl"/>
        </w:rPr>
      </w:pPr>
      <w:r w:rsidRPr="00A84F7C">
        <w:rPr>
          <w:rFonts w:ascii="Arial" w:eastAsia="Calibri" w:hAnsi="Arial" w:cs="Arial"/>
          <w:bCs/>
          <w:szCs w:val="24"/>
          <w:lang w:eastAsia="es-ES_tradnl"/>
        </w:rPr>
        <w:tab/>
        <w:t xml:space="preserve">De esta manera, los “criterios diferenciales” del artículo 32 </w:t>
      </w:r>
      <w:r w:rsidRPr="00A84F7C">
        <w:rPr>
          <w:rFonts w:ascii="Arial" w:eastAsia="Calibri" w:hAnsi="Arial" w:cs="Arial"/>
          <w:bCs/>
          <w:i/>
          <w:iCs/>
          <w:szCs w:val="24"/>
          <w:lang w:eastAsia="es-ES_tradnl"/>
        </w:rPr>
        <w:t>ibidem</w:t>
      </w:r>
      <w:r w:rsidRPr="00A84F7C">
        <w:rPr>
          <w:rFonts w:ascii="Arial" w:eastAsia="Calibri" w:hAnsi="Arial"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4496D68B" w14:textId="77777777" w:rsidR="00A84F7C" w:rsidRPr="00A84F7C" w:rsidRDefault="00A84F7C" w:rsidP="00A84F7C">
      <w:pPr>
        <w:spacing w:before="120" w:after="120" w:line="276" w:lineRule="auto"/>
        <w:ind w:firstLine="709"/>
        <w:jc w:val="both"/>
        <w:rPr>
          <w:rFonts w:ascii="Arial" w:eastAsia="Calibri" w:hAnsi="Arial" w:cs="Arial"/>
          <w:lang w:val="es-ES_tradnl" w:eastAsia="es-ES_tradnl"/>
        </w:rPr>
      </w:pPr>
      <w:r w:rsidRPr="00A84F7C">
        <w:rPr>
          <w:rFonts w:ascii="Arial" w:eastAsia="Calibri" w:hAnsi="Arial" w:cs="Arial"/>
          <w:bCs/>
          <w:szCs w:val="24"/>
          <w:lang w:eastAsia="es-ES_tradnl"/>
        </w:rPr>
        <w:t xml:space="preserve">No obstante, el artículo 32 de la Ley 2069 de 2020 –al igual que el artículo 31– también alude a la necesidad del desarrollo normativo posterior. Al respecto, el parágrafo </w:t>
      </w:r>
      <w:r w:rsidRPr="00A84F7C">
        <w:rPr>
          <w:rFonts w:ascii="Arial" w:eastAsia="Calibri" w:hAnsi="Arial" w:cs="Arial"/>
          <w:bCs/>
          <w:szCs w:val="24"/>
          <w:lang w:eastAsia="es-ES_tradnl"/>
        </w:rPr>
        <w:lastRenderedPageBreak/>
        <w:t xml:space="preserve">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69B16C08" w14:textId="77777777" w:rsidR="00A84F7C" w:rsidRPr="00A84F7C" w:rsidRDefault="00A84F7C" w:rsidP="00A84F7C">
      <w:pPr>
        <w:spacing w:after="120" w:line="276" w:lineRule="auto"/>
        <w:jc w:val="both"/>
        <w:rPr>
          <w:rFonts w:ascii="Arial" w:eastAsia="Calibri" w:hAnsi="Arial" w:cs="Arial"/>
          <w:lang w:val="es-ES_tradnl" w:eastAsia="es-ES_tradnl"/>
        </w:rPr>
      </w:pPr>
      <w:r w:rsidRPr="00A84F7C">
        <w:rPr>
          <w:rFonts w:ascii="Arial" w:eastAsia="Calibri" w:hAnsi="Arial" w:cs="Arial"/>
          <w:b/>
          <w:bCs/>
          <w:lang w:val="es-ES_tradnl" w:eastAsia="es-ES_tradnl"/>
        </w:rPr>
        <w:tab/>
      </w:r>
      <w:r w:rsidRPr="00A84F7C">
        <w:rPr>
          <w:rFonts w:ascii="Arial" w:eastAsia="Calibri" w:hAnsi="Arial" w:cs="Arial"/>
          <w:lang w:val="es-ES_tradnl" w:eastAsia="es-ES_tradnl"/>
        </w:rPr>
        <w:t>En este contexto, el Gobierno Nacional expidió el Decreto 1860 de 2021,</w:t>
      </w:r>
      <w:r w:rsidRPr="00A84F7C">
        <w:rPr>
          <w:rFonts w:ascii="Times New Roman" w:eastAsia="Times New Roman" w:hAnsi="Times New Roman" w:cs="Times New Roman"/>
          <w:sz w:val="24"/>
          <w:szCs w:val="24"/>
          <w:lang w:eastAsia="es-ES_tradnl"/>
        </w:rPr>
        <w:t xml:space="preserve"> </w:t>
      </w:r>
      <w:r w:rsidRPr="00A84F7C">
        <w:rPr>
          <w:rFonts w:ascii="Arial" w:eastAsia="Calibri" w:hAnsi="Arial"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A84F7C">
        <w:rPr>
          <w:rFonts w:ascii="Arial" w:eastAsia="Calibri" w:hAnsi="Arial" w:cs="Arial"/>
          <w:vertAlign w:val="superscript"/>
          <w:lang w:val="es-ES_tradnl" w:eastAsia="es-ES_tradnl"/>
        </w:rPr>
        <w:footnoteReference w:id="13"/>
      </w:r>
      <w:r w:rsidRPr="00A84F7C">
        <w:rPr>
          <w:rFonts w:ascii="Arial" w:eastAsia="Calibri" w:hAnsi="Arial" w:cs="Arial"/>
          <w:lang w:val="es-ES_tradnl" w:eastAsia="es-ES_tradnl"/>
        </w:rPr>
        <w:t xml:space="preserve">.  </w:t>
      </w:r>
    </w:p>
    <w:p w14:paraId="568A716E" w14:textId="77777777" w:rsidR="00A84F7C" w:rsidRPr="00A84F7C" w:rsidRDefault="00A84F7C" w:rsidP="00A84F7C">
      <w:pPr>
        <w:spacing w:after="120" w:line="276" w:lineRule="auto"/>
        <w:jc w:val="both"/>
        <w:rPr>
          <w:rFonts w:ascii="Arial" w:eastAsia="Times New Roman" w:hAnsi="Arial" w:cs="Arial"/>
          <w:lang w:eastAsia="es-CO"/>
        </w:rPr>
      </w:pPr>
      <w:r w:rsidRPr="00A84F7C">
        <w:rPr>
          <w:rFonts w:ascii="Arial" w:eastAsia="Calibri" w:hAnsi="Arial" w:cs="Arial"/>
          <w:lang w:val="es-ES_tradnl" w:eastAsia="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182E72D6" w14:textId="77777777" w:rsidR="00A84F7C" w:rsidRPr="00A84F7C" w:rsidRDefault="00A84F7C" w:rsidP="00A84F7C">
      <w:pPr>
        <w:widowControl w:val="0"/>
        <w:autoSpaceDE w:val="0"/>
        <w:autoSpaceDN w:val="0"/>
        <w:spacing w:before="120" w:after="120" w:line="276" w:lineRule="auto"/>
        <w:ind w:firstLine="709"/>
        <w:jc w:val="both"/>
        <w:rPr>
          <w:rFonts w:ascii="Arial" w:eastAsia="Arial MT" w:hAnsi="Arial" w:cs="Arial"/>
          <w:lang w:val="es-ES"/>
        </w:rPr>
      </w:pPr>
      <w:r w:rsidRPr="00A84F7C">
        <w:rPr>
          <w:rFonts w:ascii="Arial" w:eastAsia="Times New Roman" w:hAnsi="Arial" w:cs="Arial"/>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w:t>
      </w:r>
      <w:r w:rsidRPr="00A84F7C">
        <w:rPr>
          <w:rFonts w:ascii="Arial" w:eastAsia="Arial MT" w:hAnsi="Arial" w:cs="Arial"/>
          <w:lang w:val="es-ES"/>
        </w:rPr>
        <w:t>es decir, a</w:t>
      </w:r>
      <w:r w:rsidRPr="00A84F7C">
        <w:rPr>
          <w:rFonts w:ascii="Arial" w:eastAsia="Arial MT" w:hAnsi="Arial" w:cs="Arial"/>
          <w:spacing w:val="1"/>
          <w:lang w:val="es-ES"/>
        </w:rPr>
        <w:t xml:space="preserve"> </w:t>
      </w:r>
      <w:r w:rsidRPr="00A84F7C">
        <w:rPr>
          <w:rFonts w:ascii="Arial" w:eastAsia="Arial MT" w:hAnsi="Arial" w:cs="Arial"/>
          <w:spacing w:val="-1"/>
          <w:lang w:val="es-ES"/>
        </w:rPr>
        <w:t>partir</w:t>
      </w:r>
      <w:r w:rsidRPr="00A84F7C">
        <w:rPr>
          <w:rFonts w:ascii="Arial" w:eastAsia="Arial MT" w:hAnsi="Arial" w:cs="Arial"/>
          <w:spacing w:val="-15"/>
          <w:lang w:val="es-ES"/>
        </w:rPr>
        <w:t xml:space="preserve"> </w:t>
      </w:r>
      <w:r w:rsidRPr="00A84F7C">
        <w:rPr>
          <w:rFonts w:ascii="Arial" w:eastAsia="Arial MT" w:hAnsi="Arial" w:cs="Arial"/>
          <w:spacing w:val="-1"/>
          <w:lang w:val="es-ES"/>
        </w:rPr>
        <w:t>del</w:t>
      </w:r>
      <w:r w:rsidRPr="00A84F7C">
        <w:rPr>
          <w:rFonts w:ascii="Arial" w:eastAsia="Arial MT" w:hAnsi="Arial" w:cs="Arial"/>
          <w:spacing w:val="-14"/>
          <w:lang w:val="es-ES"/>
        </w:rPr>
        <w:t xml:space="preserve"> </w:t>
      </w:r>
      <w:r w:rsidRPr="00A84F7C">
        <w:rPr>
          <w:rFonts w:ascii="Arial" w:eastAsia="Arial MT" w:hAnsi="Arial" w:cs="Arial"/>
          <w:spacing w:val="-1"/>
          <w:lang w:val="es-ES"/>
        </w:rPr>
        <w:t>24</w:t>
      </w:r>
      <w:r w:rsidRPr="00A84F7C">
        <w:rPr>
          <w:rFonts w:ascii="Arial" w:eastAsia="Arial MT" w:hAnsi="Arial" w:cs="Arial"/>
          <w:spacing w:val="-14"/>
          <w:lang w:val="es-ES"/>
        </w:rPr>
        <w:t xml:space="preserve"> </w:t>
      </w:r>
      <w:r w:rsidRPr="00A84F7C">
        <w:rPr>
          <w:rFonts w:ascii="Arial" w:eastAsia="Arial MT" w:hAnsi="Arial" w:cs="Arial"/>
          <w:spacing w:val="-1"/>
          <w:lang w:val="es-ES"/>
        </w:rPr>
        <w:t>de</w:t>
      </w:r>
      <w:r w:rsidRPr="00A84F7C">
        <w:rPr>
          <w:rFonts w:ascii="Arial" w:eastAsia="Arial MT" w:hAnsi="Arial" w:cs="Arial"/>
          <w:spacing w:val="-14"/>
          <w:lang w:val="es-ES"/>
        </w:rPr>
        <w:t xml:space="preserve"> </w:t>
      </w:r>
      <w:r w:rsidRPr="00A84F7C">
        <w:rPr>
          <w:rFonts w:ascii="Arial" w:eastAsia="Arial MT" w:hAnsi="Arial" w:cs="Arial"/>
          <w:spacing w:val="-1"/>
          <w:lang w:val="es-ES"/>
        </w:rPr>
        <w:t>marzo</w:t>
      </w:r>
      <w:r w:rsidRPr="00A84F7C">
        <w:rPr>
          <w:rFonts w:ascii="Arial" w:eastAsia="Arial MT" w:hAnsi="Arial" w:cs="Arial"/>
          <w:spacing w:val="-14"/>
          <w:lang w:val="es-ES"/>
        </w:rPr>
        <w:t xml:space="preserve"> </w:t>
      </w:r>
      <w:r w:rsidRPr="00A84F7C">
        <w:rPr>
          <w:rFonts w:ascii="Arial" w:eastAsia="Arial MT" w:hAnsi="Arial" w:cs="Arial"/>
          <w:spacing w:val="-1"/>
          <w:lang w:val="es-ES"/>
        </w:rPr>
        <w:t>de</w:t>
      </w:r>
      <w:r w:rsidRPr="00A84F7C">
        <w:rPr>
          <w:rFonts w:ascii="Arial" w:eastAsia="Arial MT" w:hAnsi="Arial" w:cs="Arial"/>
          <w:spacing w:val="-14"/>
          <w:lang w:val="es-ES"/>
        </w:rPr>
        <w:t xml:space="preserve"> </w:t>
      </w:r>
      <w:r w:rsidRPr="00A84F7C">
        <w:rPr>
          <w:rFonts w:ascii="Arial" w:eastAsia="Arial MT" w:hAnsi="Arial" w:cs="Arial"/>
          <w:spacing w:val="-1"/>
          <w:lang w:val="es-ES"/>
        </w:rPr>
        <w:t xml:space="preserve">2022, </w:t>
      </w:r>
      <w:r w:rsidRPr="00A84F7C">
        <w:rPr>
          <w:rFonts w:ascii="Arial MT" w:eastAsia="Arial MT" w:hAnsi="Arial MT" w:cs="Arial MT"/>
          <w:lang w:val="es-ES"/>
        </w:rPr>
        <w:t>por lo que actualmente esta es la regulación vigente</w:t>
      </w:r>
      <w:r w:rsidRPr="00A84F7C">
        <w:rPr>
          <w:rFonts w:ascii="Arial" w:eastAsia="Times New Roman" w:hAnsi="Arial" w:cs="Arial"/>
          <w:vertAlign w:val="superscript"/>
          <w:lang w:eastAsia="es-CO"/>
        </w:rPr>
        <w:footnoteReference w:id="14"/>
      </w:r>
      <w:r w:rsidRPr="00A84F7C">
        <w:rPr>
          <w:rFonts w:ascii="Arial" w:eastAsia="Times New Roman" w:hAnsi="Arial" w:cs="Arial"/>
          <w:lang w:eastAsia="es-CO"/>
        </w:rPr>
        <w:t xml:space="preserve">. </w:t>
      </w:r>
    </w:p>
    <w:p w14:paraId="48F84878" w14:textId="77777777" w:rsidR="00A84F7C" w:rsidRPr="00A84F7C" w:rsidRDefault="00A84F7C" w:rsidP="00A84F7C">
      <w:pPr>
        <w:spacing w:after="0" w:line="276" w:lineRule="auto"/>
        <w:jc w:val="both"/>
        <w:rPr>
          <w:rFonts w:ascii="Arial" w:eastAsia="Times New Roman" w:hAnsi="Arial" w:cs="Arial"/>
          <w:lang w:eastAsia="es-CO"/>
        </w:rPr>
      </w:pPr>
    </w:p>
    <w:p w14:paraId="7800FD6E" w14:textId="77777777" w:rsidR="00A84F7C" w:rsidRPr="00A84F7C" w:rsidRDefault="00A84F7C" w:rsidP="00A84F7C">
      <w:pPr>
        <w:spacing w:after="0" w:line="276" w:lineRule="auto"/>
        <w:jc w:val="both"/>
        <w:rPr>
          <w:rFonts w:ascii="Arial" w:eastAsia="Calibri" w:hAnsi="Arial" w:cs="Arial"/>
          <w:b/>
          <w:bCs/>
          <w:lang w:val="es-ES_tradnl" w:eastAsia="es-ES_tradnl"/>
        </w:rPr>
      </w:pPr>
      <w:r w:rsidRPr="00A84F7C">
        <w:rPr>
          <w:rFonts w:ascii="Arial" w:eastAsia="Calibri" w:hAnsi="Arial" w:cs="Arial"/>
          <w:b/>
          <w:bCs/>
          <w:lang w:val="es-ES_tradnl" w:eastAsia="es-ES_tradnl"/>
        </w:rPr>
        <w:t xml:space="preserve">2.2. Definición de emprendimientos y empresas de mujeres en el Decreto 1860 de 2021 </w:t>
      </w:r>
    </w:p>
    <w:p w14:paraId="59075CFF" w14:textId="77777777" w:rsidR="00A84F7C" w:rsidRPr="00A84F7C" w:rsidRDefault="00A84F7C" w:rsidP="00A84F7C">
      <w:pPr>
        <w:spacing w:after="0" w:line="276" w:lineRule="auto"/>
        <w:jc w:val="both"/>
        <w:rPr>
          <w:rFonts w:ascii="Arial" w:eastAsia="Calibri" w:hAnsi="Arial" w:cs="Arial"/>
          <w:b/>
          <w:bCs/>
          <w:lang w:val="es-ES_tradnl" w:eastAsia="es-ES_tradnl"/>
        </w:rPr>
      </w:pPr>
    </w:p>
    <w:p w14:paraId="0A877C2E" w14:textId="77777777" w:rsidR="00A84F7C" w:rsidRPr="00A84F7C" w:rsidRDefault="00A84F7C" w:rsidP="00A84F7C">
      <w:pPr>
        <w:spacing w:after="120" w:line="276" w:lineRule="auto"/>
        <w:jc w:val="both"/>
        <w:rPr>
          <w:rFonts w:ascii="Arial" w:eastAsia="Calibri" w:hAnsi="Arial" w:cs="Arial"/>
          <w:lang w:val="es-ES_tradnl" w:eastAsia="es-ES_tradnl"/>
        </w:rPr>
      </w:pPr>
      <w:r w:rsidRPr="00A84F7C">
        <w:rPr>
          <w:rFonts w:ascii="Arial" w:eastAsia="Calibri" w:hAnsi="Arial" w:cs="Arial"/>
          <w:lang w:val="es-ES_tradnl" w:eastAsia="es-ES_tradnl"/>
        </w:rPr>
        <w:t xml:space="preserve">Conforme se viene explicando, el artículo 32 de la Ley 2069 de 2021 introduce el deber de las Entidades Estatales de incluir </w:t>
      </w:r>
      <w:r w:rsidRPr="00A84F7C">
        <w:rPr>
          <w:rFonts w:ascii="Arial" w:eastAsia="Times New Roman" w:hAnsi="Arial" w:cs="Arial"/>
          <w:shd w:val="clear" w:color="auto" w:fill="FFFFFF"/>
          <w:lang w:val="es-ES" w:eastAsia="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Pr="00A84F7C">
        <w:rPr>
          <w:rFonts w:ascii="Arial" w:eastAsia="Times New Roman" w:hAnsi="Arial" w:cs="Arial"/>
          <w:shd w:val="clear" w:color="auto" w:fill="FFFFFF"/>
          <w:lang w:eastAsia="es-ES_tradnl"/>
        </w:rPr>
        <w:t> </w:t>
      </w:r>
    </w:p>
    <w:p w14:paraId="0AB3A683" w14:textId="77777777" w:rsidR="00A84F7C" w:rsidRPr="00A84F7C" w:rsidRDefault="00A84F7C" w:rsidP="00A84F7C">
      <w:pPr>
        <w:spacing w:after="0" w:line="276" w:lineRule="auto"/>
        <w:jc w:val="both"/>
        <w:rPr>
          <w:rFonts w:ascii="Arial" w:eastAsia="Calibri" w:hAnsi="Arial" w:cs="Arial"/>
          <w:lang w:val="es-ES_tradnl" w:eastAsia="es-ES_tradnl"/>
        </w:rPr>
      </w:pPr>
      <w:r w:rsidRPr="00A84F7C">
        <w:rPr>
          <w:rFonts w:ascii="Arial" w:eastAsia="Calibri" w:hAnsi="Arial" w:cs="Arial"/>
          <w:lang w:val="es-ES_tradnl" w:eastAsia="es-ES_tradnl"/>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 siendo relevante para la consulta el segundo y el tercero de dicho numerales, cuyo tenor literal indica:   </w:t>
      </w:r>
    </w:p>
    <w:p w14:paraId="2907B31A" w14:textId="77777777" w:rsidR="00A84F7C" w:rsidRPr="00A84F7C" w:rsidRDefault="00A84F7C" w:rsidP="00A84F7C">
      <w:pPr>
        <w:spacing w:after="0" w:line="276" w:lineRule="auto"/>
        <w:jc w:val="both"/>
        <w:rPr>
          <w:rFonts w:ascii="Arial" w:eastAsia="Calibri" w:hAnsi="Arial" w:cs="Arial"/>
          <w:lang w:val="es-ES_tradnl" w:eastAsia="es-ES_tradnl"/>
        </w:rPr>
      </w:pPr>
    </w:p>
    <w:p w14:paraId="276EB92C" w14:textId="37E3FA52" w:rsidR="00A84F7C" w:rsidRPr="00A84F7C" w:rsidRDefault="004D1563" w:rsidP="00A84F7C">
      <w:pPr>
        <w:shd w:val="clear" w:color="auto" w:fill="FFFFFF"/>
        <w:spacing w:after="0" w:line="240" w:lineRule="auto"/>
        <w:ind w:left="709" w:right="709"/>
        <w:jc w:val="both"/>
        <w:textAlignment w:val="baseline"/>
        <w:rPr>
          <w:rFonts w:ascii="Arial" w:eastAsia="Times New Roman" w:hAnsi="Arial" w:cs="Arial"/>
          <w:sz w:val="21"/>
          <w:szCs w:val="21"/>
          <w:lang w:eastAsia="es-CO"/>
        </w:rPr>
      </w:pPr>
      <w:r>
        <w:rPr>
          <w:rFonts w:ascii="Arial" w:eastAsia="Times New Roman" w:hAnsi="Arial" w:cs="Arial"/>
          <w:sz w:val="21"/>
          <w:szCs w:val="21"/>
          <w:lang w:eastAsia="es-CO"/>
        </w:rPr>
        <w:t>“</w:t>
      </w:r>
      <w:r w:rsidR="00A84F7C" w:rsidRPr="00A84F7C">
        <w:rPr>
          <w:rFonts w:ascii="Arial" w:eastAsia="Times New Roman" w:hAnsi="Arial" w:cs="Arial"/>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5DC2A6D2" w14:textId="77777777" w:rsidR="00A84F7C" w:rsidRPr="00A84F7C" w:rsidRDefault="00A84F7C" w:rsidP="00A84F7C">
      <w:pPr>
        <w:shd w:val="clear" w:color="auto" w:fill="FFFFFF"/>
        <w:spacing w:after="0" w:line="240" w:lineRule="auto"/>
        <w:ind w:left="709" w:right="709"/>
        <w:jc w:val="both"/>
        <w:textAlignment w:val="baseline"/>
        <w:rPr>
          <w:rFonts w:ascii="Arial" w:eastAsia="Times New Roman" w:hAnsi="Arial" w:cs="Arial"/>
          <w:sz w:val="21"/>
          <w:szCs w:val="21"/>
          <w:lang w:eastAsia="es-CO"/>
        </w:rPr>
      </w:pPr>
    </w:p>
    <w:p w14:paraId="0F86BE54" w14:textId="77777777" w:rsidR="00A84F7C" w:rsidRPr="00A84F7C" w:rsidRDefault="00A84F7C" w:rsidP="00A84F7C">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A84F7C">
        <w:rPr>
          <w:rFonts w:ascii="Arial" w:eastAsia="Times New Roman" w:hAnsi="Arial" w:cs="Arial"/>
          <w:sz w:val="21"/>
          <w:szCs w:val="21"/>
          <w:lang w:eastAsia="es-CO"/>
        </w:rPr>
        <w:t>[…]</w:t>
      </w:r>
    </w:p>
    <w:p w14:paraId="3F404F8B"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A84F7C">
        <w:rPr>
          <w:rFonts w:ascii="Arial" w:hAnsi="Arial" w:cs="Arial"/>
          <w:color w:val="000000" w:themeColor="text1"/>
          <w:sz w:val="21"/>
          <w:szCs w:val="21"/>
          <w:lang w:eastAsia="es-CO"/>
        </w:rPr>
        <w:t xml:space="preserve">2. </w:t>
      </w:r>
      <w:r w:rsidRPr="000F0371">
        <w:rPr>
          <w:rFonts w:ascii="Arial" w:hAnsi="Arial" w:cs="Arial"/>
          <w:i/>
          <w:color w:val="000000" w:themeColor="text1"/>
          <w:sz w:val="21"/>
          <w:szCs w:val="21"/>
          <w:u w:val="single"/>
          <w:lang w:eastAsia="es-CO"/>
        </w:rPr>
        <w:t xml:space="preserve">Cuando por lo menos el cincuenta por ciento (50%) de los empleos del nivel directivo de la </w:t>
      </w:r>
      <w:r w:rsidRPr="000F0371">
        <w:rPr>
          <w:rFonts w:ascii="Arial" w:hAnsi="Arial" w:cs="Arial"/>
          <w:b/>
          <w:i/>
          <w:color w:val="000000" w:themeColor="text1"/>
          <w:sz w:val="21"/>
          <w:szCs w:val="21"/>
          <w:u w:val="single"/>
          <w:lang w:eastAsia="es-CO"/>
        </w:rPr>
        <w:t>persona jurídica</w:t>
      </w:r>
      <w:r w:rsidRPr="000F0371">
        <w:rPr>
          <w:rFonts w:ascii="Arial" w:hAnsi="Arial" w:cs="Arial"/>
          <w:i/>
          <w:color w:val="000000" w:themeColor="text1"/>
          <w:sz w:val="21"/>
          <w:szCs w:val="21"/>
          <w:u w:val="single"/>
          <w:lang w:eastAsia="es-CO"/>
        </w:rPr>
        <w:t xml:space="preserve"> sean ejercidos por mujeres</w:t>
      </w:r>
      <w:r w:rsidRPr="00A84F7C">
        <w:rPr>
          <w:rFonts w:ascii="Arial" w:hAnsi="Arial" w:cs="Arial"/>
          <w:color w:val="000000" w:themeColor="text1"/>
          <w:sz w:val="21"/>
          <w:szCs w:val="21"/>
          <w:lang w:eastAsia="es-CO"/>
        </w:rPr>
        <w:t xml:space="preserve"> y éstas hayan estado vinculadas laboralmente a la empresa durante al menos el último año anterior a la fecha de cierre del Proceso de Selección en el mismo cargo u otro del mismo nivel.</w:t>
      </w:r>
    </w:p>
    <w:p w14:paraId="213855B9"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p>
    <w:p w14:paraId="093D65F7"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A84F7C">
        <w:rPr>
          <w:rFonts w:ascii="Arial" w:hAnsi="Arial" w:cs="Arial"/>
          <w:color w:val="000000" w:themeColor="text1"/>
          <w:sz w:val="21"/>
          <w:szCs w:val="21"/>
          <w:lang w:eastAsia="es-CO"/>
        </w:rPr>
        <w:lastRenderedPageBreak/>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37D5A59"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p>
    <w:p w14:paraId="4AFFC2DA"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A84F7C">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50E2F9B7"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p>
    <w:p w14:paraId="2E92B720" w14:textId="77777777" w:rsidR="00A84F7C" w:rsidRPr="00A84F7C" w:rsidRDefault="00A84F7C" w:rsidP="000F0371">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A84F7C">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D8811B4" w14:textId="77777777" w:rsidR="00A84F7C" w:rsidRPr="00A84F7C" w:rsidRDefault="00A84F7C" w:rsidP="00A84F7C">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A84F7C">
        <w:rPr>
          <w:rFonts w:ascii="Arial" w:eastAsia="Times New Roman" w:hAnsi="Arial" w:cs="Arial"/>
          <w:sz w:val="21"/>
          <w:szCs w:val="21"/>
          <w:lang w:eastAsia="es-CO"/>
        </w:rPr>
        <w:t>[…]</w:t>
      </w:r>
    </w:p>
    <w:p w14:paraId="781C0060" w14:textId="77777777" w:rsidR="00A84F7C" w:rsidRPr="00A84F7C" w:rsidRDefault="00A84F7C" w:rsidP="00A84F7C">
      <w:pPr>
        <w:shd w:val="clear" w:color="auto" w:fill="FFFFFF"/>
        <w:spacing w:after="0" w:line="240" w:lineRule="auto"/>
        <w:ind w:left="709" w:right="709"/>
        <w:jc w:val="both"/>
        <w:textAlignment w:val="baseline"/>
        <w:rPr>
          <w:rFonts w:ascii="Arial" w:eastAsia="Times New Roman" w:hAnsi="Arial" w:cs="Arial"/>
          <w:sz w:val="21"/>
          <w:szCs w:val="21"/>
          <w:lang w:eastAsia="es-CO"/>
        </w:rPr>
      </w:pPr>
    </w:p>
    <w:p w14:paraId="20052CCB" w14:textId="715E1288" w:rsidR="009B6306" w:rsidRPr="000F0371" w:rsidRDefault="009B6306" w:rsidP="000F0371">
      <w:pPr>
        <w:shd w:val="clear" w:color="auto" w:fill="FFFFFF"/>
        <w:spacing w:after="0" w:line="240" w:lineRule="auto"/>
        <w:ind w:left="709" w:right="709"/>
        <w:jc w:val="both"/>
        <w:textAlignment w:val="baseline"/>
        <w:rPr>
          <w:rFonts w:ascii="Arial" w:eastAsia="Times New Roman" w:hAnsi="Arial" w:cs="Arial"/>
          <w:i/>
          <w:iCs/>
          <w:sz w:val="21"/>
          <w:szCs w:val="21"/>
          <w:u w:val="single"/>
          <w:lang w:eastAsia="es-CO"/>
        </w:rPr>
      </w:pPr>
      <w:r w:rsidRPr="009B6306">
        <w:rPr>
          <w:rFonts w:ascii="Arial" w:eastAsia="Times New Roman" w:hAnsi="Arial" w:cs="Arial"/>
          <w:i/>
          <w:iCs/>
          <w:sz w:val="21"/>
          <w:szCs w:val="21"/>
          <w:u w:val="single"/>
          <w:lang w:eastAsia="es-CO"/>
        </w:rPr>
        <w:t>3.</w:t>
      </w:r>
      <w:r>
        <w:rPr>
          <w:rFonts w:ascii="Arial" w:eastAsia="Times New Roman" w:hAnsi="Arial" w:cs="Arial"/>
          <w:i/>
          <w:iCs/>
          <w:sz w:val="21"/>
          <w:szCs w:val="21"/>
          <w:u w:val="single"/>
          <w:lang w:eastAsia="es-CO"/>
        </w:rPr>
        <w:t xml:space="preserve"> </w:t>
      </w:r>
      <w:r w:rsidR="00A84F7C" w:rsidRPr="000F0371">
        <w:rPr>
          <w:rFonts w:ascii="Arial" w:eastAsia="Times New Roman" w:hAnsi="Arial" w:cs="Arial"/>
          <w:i/>
          <w:sz w:val="21"/>
          <w:szCs w:val="21"/>
          <w:u w:val="single"/>
          <w:lang w:eastAsia="es-CO"/>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r w:rsidR="004D1563" w:rsidRPr="000F0371">
        <w:rPr>
          <w:rFonts w:ascii="Arial" w:eastAsia="Times New Roman" w:hAnsi="Arial" w:cs="Arial"/>
          <w:i/>
          <w:iCs/>
          <w:sz w:val="21"/>
          <w:szCs w:val="21"/>
          <w:u w:val="single"/>
          <w:lang w:eastAsia="es-CO"/>
        </w:rPr>
        <w:t xml:space="preserve"> </w:t>
      </w:r>
    </w:p>
    <w:p w14:paraId="09154200" w14:textId="77777777" w:rsidR="009B6306" w:rsidRDefault="009B6306" w:rsidP="009B6306">
      <w:pPr>
        <w:pStyle w:val="Prrafodelista"/>
        <w:shd w:val="clear" w:color="auto" w:fill="FFFFFF"/>
        <w:spacing w:after="0" w:line="240" w:lineRule="auto"/>
        <w:ind w:right="709"/>
        <w:jc w:val="both"/>
        <w:textAlignment w:val="baseline"/>
        <w:rPr>
          <w:rFonts w:ascii="Arial" w:eastAsia="Times New Roman" w:hAnsi="Arial" w:cs="Arial"/>
          <w:sz w:val="21"/>
          <w:szCs w:val="21"/>
          <w:lang w:eastAsia="es-CO"/>
        </w:rPr>
      </w:pPr>
    </w:p>
    <w:p w14:paraId="03AF4B12" w14:textId="57FFBD7D" w:rsidR="009B6306" w:rsidRPr="000F0371" w:rsidRDefault="004D1563" w:rsidP="000F0371">
      <w:pPr>
        <w:pStyle w:val="Prrafodelista"/>
        <w:shd w:val="clear" w:color="auto" w:fill="FFFFFF"/>
        <w:spacing w:after="0" w:line="240" w:lineRule="auto"/>
        <w:ind w:right="709"/>
        <w:jc w:val="both"/>
        <w:textAlignment w:val="baseline"/>
        <w:rPr>
          <w:rFonts w:ascii="Arial" w:eastAsia="Times New Roman" w:hAnsi="Arial" w:cs="Arial"/>
          <w:sz w:val="21"/>
          <w:szCs w:val="21"/>
          <w:lang w:eastAsia="es-CO"/>
        </w:rPr>
      </w:pPr>
      <w:r w:rsidRPr="000F0371">
        <w:rPr>
          <w:rFonts w:ascii="Arial" w:eastAsia="Times New Roman" w:hAnsi="Arial" w:cs="Arial"/>
          <w:sz w:val="21"/>
          <w:szCs w:val="21"/>
          <w:lang w:eastAsia="es-CO"/>
        </w:rPr>
        <w:t>[…]</w:t>
      </w:r>
    </w:p>
    <w:p w14:paraId="044FB4E9" w14:textId="77777777" w:rsidR="009B6306" w:rsidRDefault="009B6306" w:rsidP="009B6306">
      <w:pPr>
        <w:pStyle w:val="Prrafodelista"/>
        <w:shd w:val="clear" w:color="auto" w:fill="FFFFFF"/>
        <w:spacing w:after="0" w:line="240" w:lineRule="auto"/>
        <w:ind w:right="709"/>
        <w:jc w:val="both"/>
        <w:textAlignment w:val="baseline"/>
        <w:rPr>
          <w:rFonts w:ascii="Arial" w:eastAsia="Times New Roman" w:hAnsi="Arial" w:cs="Arial"/>
          <w:sz w:val="21"/>
          <w:szCs w:val="21"/>
          <w:lang w:eastAsia="es-CO"/>
        </w:rPr>
      </w:pPr>
    </w:p>
    <w:p w14:paraId="654768D8" w14:textId="74CB253F" w:rsidR="00A84F7C" w:rsidRPr="00B1392C" w:rsidRDefault="009B6306" w:rsidP="000F0371">
      <w:pPr>
        <w:pStyle w:val="Prrafodelista"/>
        <w:shd w:val="clear" w:color="auto" w:fill="FFFFFF"/>
        <w:spacing w:after="0" w:line="240" w:lineRule="auto"/>
        <w:ind w:right="709"/>
        <w:jc w:val="both"/>
        <w:textAlignment w:val="baseline"/>
        <w:rPr>
          <w:rFonts w:ascii="Arial" w:eastAsia="Times New Roman" w:hAnsi="Arial" w:cs="Arial"/>
          <w:sz w:val="21"/>
          <w:szCs w:val="21"/>
          <w:lang w:eastAsia="es-CO"/>
        </w:rPr>
      </w:pPr>
      <w:r w:rsidRPr="000F0371">
        <w:rPr>
          <w:rFonts w:ascii="Arial" w:eastAsia="Times New Roman" w:hAnsi="Arial" w:cs="Arial"/>
          <w:b/>
          <w:bCs/>
          <w:sz w:val="21"/>
          <w:szCs w:val="21"/>
          <w:lang w:eastAsia="es-CO"/>
        </w:rPr>
        <w:t>Parágrafo.</w:t>
      </w:r>
      <w:r w:rsidRPr="009B6306">
        <w:rPr>
          <w:rFonts w:ascii="Arial" w:eastAsia="Times New Roman" w:hAnsi="Arial" w:cs="Arial"/>
          <w:sz w:val="21"/>
          <w:szCs w:val="21"/>
          <w:lang w:eastAsia="es-CO"/>
        </w:rPr>
        <w:t xml:space="preserve">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roofErr w:type="gramStart"/>
      <w:r w:rsidR="004D1563" w:rsidRPr="000F0371">
        <w:rPr>
          <w:rFonts w:ascii="Arial" w:eastAsia="Times New Roman" w:hAnsi="Arial" w:cs="Arial"/>
          <w:sz w:val="21"/>
          <w:szCs w:val="21"/>
          <w:lang w:eastAsia="es-CO"/>
        </w:rPr>
        <w:t xml:space="preserve">” </w:t>
      </w:r>
      <w:r w:rsidR="00A84F7C" w:rsidRPr="000F0371">
        <w:rPr>
          <w:rFonts w:ascii="Arial" w:eastAsia="Times New Roman" w:hAnsi="Arial" w:cs="Arial"/>
          <w:sz w:val="21"/>
          <w:szCs w:val="21"/>
          <w:lang w:eastAsia="es-CO"/>
        </w:rPr>
        <w:t>.</w:t>
      </w:r>
      <w:proofErr w:type="gramEnd"/>
    </w:p>
    <w:p w14:paraId="7F8E1DFA" w14:textId="77777777" w:rsidR="00A84F7C" w:rsidRPr="00A84F7C" w:rsidRDefault="00A84F7C" w:rsidP="00A84F7C">
      <w:pPr>
        <w:spacing w:after="0" w:line="276" w:lineRule="auto"/>
        <w:jc w:val="both"/>
        <w:rPr>
          <w:rFonts w:ascii="Arial" w:eastAsia="Calibri" w:hAnsi="Arial" w:cs="Arial"/>
          <w:lang w:val="es-ES_tradnl" w:eastAsia="es-ES_tradnl"/>
        </w:rPr>
      </w:pPr>
    </w:p>
    <w:p w14:paraId="0A20F529" w14:textId="7AFB8CBC" w:rsidR="00A84F7C" w:rsidRPr="00A84F7C" w:rsidRDefault="00A84F7C" w:rsidP="00A84F7C">
      <w:pPr>
        <w:spacing w:after="120" w:line="276" w:lineRule="auto"/>
        <w:ind w:firstLine="709"/>
        <w:jc w:val="both"/>
        <w:rPr>
          <w:rFonts w:ascii="Arial" w:eastAsia="Calibri" w:hAnsi="Arial" w:cs="Arial"/>
          <w:bCs/>
          <w:color w:val="000000"/>
          <w:szCs w:val="24"/>
          <w:lang w:val="es-ES" w:eastAsia="es-ES_tradnl" w:bidi="es-ES"/>
        </w:rPr>
      </w:pPr>
      <w:r w:rsidRPr="00A84F7C">
        <w:rPr>
          <w:rFonts w:ascii="Arial" w:eastAsia="Calibri" w:hAnsi="Arial" w:cs="Arial"/>
          <w:bCs/>
          <w:color w:val="000000"/>
          <w:szCs w:val="24"/>
          <w:lang w:eastAsia="es-ES_tradnl" w:bidi="es-ES"/>
        </w:rPr>
        <w:t xml:space="preserve">Conforme a lo anterior, el artículo </w:t>
      </w:r>
      <w:r w:rsidRPr="00A84F7C">
        <w:rPr>
          <w:rFonts w:ascii="Arial" w:eastAsia="Calibri" w:hAnsi="Arial" w:cs="Arial"/>
          <w:bCs/>
          <w:color w:val="000000"/>
          <w:szCs w:val="24"/>
          <w:lang w:val="es-ES" w:eastAsia="es-ES_tradnl" w:bidi="es-ES"/>
        </w:rPr>
        <w:t>2.2.1.2.4.2.14 del Decreto 1082 de 2015 define cuatro alternativas distintas que definen los requisitos de las empresas y emprendimientos de mujeres, a las que les aplican los criterios diferenciales</w:t>
      </w:r>
      <w:r w:rsidR="00300067">
        <w:rPr>
          <w:rFonts w:ascii="Arial" w:eastAsia="Calibri" w:hAnsi="Arial" w:cs="Arial"/>
          <w:bCs/>
          <w:color w:val="000000"/>
          <w:szCs w:val="24"/>
          <w:lang w:val="es-ES" w:eastAsia="es-ES_tradnl" w:bidi="es-ES"/>
        </w:rPr>
        <w:t>, así como los medios de acreditación</w:t>
      </w:r>
      <w:r w:rsidRPr="00A84F7C">
        <w:rPr>
          <w:rFonts w:ascii="Arial" w:eastAsia="Calibri" w:hAnsi="Arial" w:cs="Arial"/>
          <w:bCs/>
          <w:color w:val="000000"/>
          <w:szCs w:val="24"/>
          <w:lang w:val="es-ES" w:eastAsia="es-ES_tradnl" w:bidi="es-ES"/>
        </w:rPr>
        <w:t>.</w:t>
      </w:r>
      <w:r w:rsidR="003E6FFB">
        <w:rPr>
          <w:rFonts w:ascii="Arial" w:eastAsia="Calibri" w:hAnsi="Arial" w:cs="Arial"/>
          <w:bCs/>
          <w:color w:val="000000"/>
          <w:szCs w:val="24"/>
          <w:lang w:val="es-ES" w:eastAsia="es-ES_tradnl" w:bidi="es-ES"/>
        </w:rPr>
        <w:t xml:space="preserve"> </w:t>
      </w:r>
      <w:r w:rsidR="00200398">
        <w:rPr>
          <w:rFonts w:ascii="Arial" w:eastAsia="Calibri" w:hAnsi="Arial" w:cs="Arial"/>
          <w:bCs/>
          <w:color w:val="000000"/>
          <w:szCs w:val="24"/>
          <w:lang w:val="es-ES" w:eastAsia="es-ES_tradnl" w:bidi="es-ES"/>
        </w:rPr>
        <w:t>En principio, b</w:t>
      </w:r>
      <w:r w:rsidR="00300067">
        <w:rPr>
          <w:rFonts w:ascii="Arial" w:eastAsia="Calibri" w:hAnsi="Arial" w:cs="Arial"/>
          <w:bCs/>
          <w:color w:val="000000"/>
          <w:szCs w:val="24"/>
          <w:lang w:val="es-ES" w:eastAsia="es-ES_tradnl" w:bidi="es-ES"/>
        </w:rPr>
        <w:t>asta con que un proponente acredite alguna de las condiciones señaladas en los cuatros numera</w:t>
      </w:r>
      <w:r w:rsidR="00200398">
        <w:rPr>
          <w:rFonts w:ascii="Arial" w:eastAsia="Calibri" w:hAnsi="Arial" w:cs="Arial"/>
          <w:bCs/>
          <w:color w:val="000000"/>
          <w:szCs w:val="24"/>
          <w:lang w:val="es-ES" w:eastAsia="es-ES_tradnl" w:bidi="es-ES"/>
        </w:rPr>
        <w:t>les para que se considerado un emprendimiento o empresa de mujeres, de suerte que podría acceder a los criterios diferenciales que aplican para est</w:t>
      </w:r>
      <w:r w:rsidR="00B803F8">
        <w:rPr>
          <w:rFonts w:ascii="Arial" w:eastAsia="Calibri" w:hAnsi="Arial" w:cs="Arial"/>
          <w:bCs/>
          <w:color w:val="000000"/>
          <w:szCs w:val="24"/>
          <w:lang w:val="es-ES" w:eastAsia="es-ES_tradnl" w:bidi="es-ES"/>
        </w:rPr>
        <w:t>e tipo de proponentes. No obstante</w:t>
      </w:r>
      <w:r w:rsidR="009B6306">
        <w:rPr>
          <w:rFonts w:ascii="Arial" w:eastAsia="Calibri" w:hAnsi="Arial" w:cs="Arial"/>
          <w:bCs/>
          <w:color w:val="000000"/>
          <w:szCs w:val="24"/>
          <w:lang w:val="es-ES" w:eastAsia="es-ES_tradnl" w:bidi="es-ES"/>
        </w:rPr>
        <w:t>, según dispone el parágrafo</w:t>
      </w:r>
      <w:r w:rsidR="002D42D4">
        <w:rPr>
          <w:rFonts w:ascii="Arial" w:eastAsia="Calibri" w:hAnsi="Arial" w:cs="Arial"/>
          <w:bCs/>
          <w:color w:val="000000"/>
          <w:szCs w:val="24"/>
          <w:lang w:val="es-ES" w:eastAsia="es-ES_tradnl" w:bidi="es-ES"/>
        </w:rPr>
        <w:t>, además será necesario que los documentos que acreditación que se presente</w:t>
      </w:r>
      <w:r w:rsidR="00031E36">
        <w:rPr>
          <w:rFonts w:ascii="Arial" w:eastAsia="Calibri" w:hAnsi="Arial" w:cs="Arial"/>
          <w:bCs/>
          <w:color w:val="000000"/>
          <w:szCs w:val="24"/>
          <w:lang w:val="es-ES" w:eastAsia="es-ES_tradnl" w:bidi="es-ES"/>
        </w:rPr>
        <w:t xml:space="preserve">n hayan sido </w:t>
      </w:r>
      <w:r w:rsidR="00C41F56">
        <w:rPr>
          <w:rFonts w:ascii="Arial" w:eastAsia="Calibri" w:hAnsi="Arial" w:cs="Arial"/>
          <w:bCs/>
          <w:color w:val="000000"/>
          <w:szCs w:val="24"/>
          <w:lang w:val="es-ES" w:eastAsia="es-ES_tradnl" w:bidi="es-ES"/>
        </w:rPr>
        <w:t>expedidos bajo</w:t>
      </w:r>
      <w:r w:rsidR="00031E36" w:rsidRPr="00031E36">
        <w:rPr>
          <w:rFonts w:ascii="Arial" w:eastAsia="Calibri" w:hAnsi="Arial" w:cs="Arial"/>
          <w:bCs/>
          <w:color w:val="000000"/>
          <w:szCs w:val="24"/>
          <w:lang w:val="es-ES" w:eastAsia="es-ES_tradnl" w:bidi="es-ES"/>
        </w:rPr>
        <w:t xml:space="preserve"> la gravedad de juramento</w:t>
      </w:r>
      <w:r w:rsidR="00C41F56">
        <w:rPr>
          <w:rFonts w:ascii="Arial" w:eastAsia="Calibri" w:hAnsi="Arial" w:cs="Arial"/>
          <w:bCs/>
          <w:color w:val="000000"/>
          <w:szCs w:val="24"/>
          <w:lang w:val="es-ES" w:eastAsia="es-ES_tradnl" w:bidi="es-ES"/>
        </w:rPr>
        <w:t>,</w:t>
      </w:r>
      <w:r w:rsidR="00031E36" w:rsidRPr="00031E36">
        <w:rPr>
          <w:rFonts w:ascii="Arial" w:eastAsia="Calibri" w:hAnsi="Arial" w:cs="Arial"/>
          <w:bCs/>
          <w:color w:val="000000"/>
          <w:szCs w:val="24"/>
          <w:lang w:val="es-ES" w:eastAsia="es-ES_tradnl" w:bidi="es-ES"/>
        </w:rPr>
        <w:t xml:space="preserve"> con una fecha de máximo treinta (30) días calendario anteriores a la prevista para el cierre del procedimiento de selección.</w:t>
      </w:r>
      <w:r w:rsidR="002D42D4">
        <w:rPr>
          <w:rFonts w:ascii="Arial" w:eastAsia="Calibri" w:hAnsi="Arial" w:cs="Arial"/>
          <w:bCs/>
          <w:color w:val="000000"/>
          <w:szCs w:val="24"/>
          <w:lang w:val="es-ES" w:eastAsia="es-ES_tradnl" w:bidi="es-ES"/>
        </w:rPr>
        <w:t xml:space="preserve"> </w:t>
      </w:r>
    </w:p>
    <w:p w14:paraId="535FC52E" w14:textId="65432517" w:rsidR="00A84F7C" w:rsidRPr="00A84F7C" w:rsidRDefault="00FF74C1" w:rsidP="000F0371">
      <w:pPr>
        <w:spacing w:before="120" w:after="120" w:line="276" w:lineRule="auto"/>
        <w:ind w:firstLine="709"/>
        <w:jc w:val="both"/>
        <w:rPr>
          <w:rFonts w:ascii="Arial" w:hAnsi="Arial" w:cs="Arial"/>
          <w:lang w:eastAsia="es-CO"/>
        </w:rPr>
      </w:pPr>
      <w:r>
        <w:rPr>
          <w:rFonts w:ascii="Arial" w:eastAsia="Calibri" w:hAnsi="Arial" w:cs="Arial"/>
          <w:bCs/>
          <w:color w:val="000000"/>
          <w:szCs w:val="24"/>
          <w:lang w:eastAsia="es-ES_tradnl" w:bidi="es-ES"/>
        </w:rPr>
        <w:lastRenderedPageBreak/>
        <w:t>Ahora bien, en relación con el objeto de su consulta es necesario precisar que,</w:t>
      </w:r>
      <w:r w:rsidR="007A3EB1">
        <w:rPr>
          <w:rFonts w:ascii="Arial" w:eastAsia="Calibri" w:hAnsi="Arial" w:cs="Arial"/>
          <w:bCs/>
          <w:color w:val="000000"/>
          <w:szCs w:val="24"/>
          <w:lang w:eastAsia="es-ES_tradnl" w:bidi="es-ES"/>
        </w:rPr>
        <w:t xml:space="preserve"> </w:t>
      </w:r>
      <w:r w:rsidR="00F5640F">
        <w:rPr>
          <w:rFonts w:ascii="Arial" w:eastAsia="Calibri" w:hAnsi="Arial" w:cs="Arial"/>
          <w:lang w:val="es-ES_tradnl"/>
        </w:rPr>
        <w:t>con sujeción a lo dispuesto en</w:t>
      </w:r>
      <w:r w:rsidR="00A84F7C" w:rsidRPr="00A84F7C">
        <w:rPr>
          <w:rFonts w:ascii="Arial" w:eastAsia="Calibri" w:hAnsi="Arial" w:cs="Arial"/>
          <w:lang w:val="es-ES_tradnl"/>
        </w:rPr>
        <w:t xml:space="preserve"> el numeral 2 del artículo precitado, un</w:t>
      </w:r>
      <w:r w:rsidR="002F0161">
        <w:rPr>
          <w:rFonts w:ascii="Arial" w:eastAsia="Calibri" w:hAnsi="Arial" w:cs="Arial"/>
          <w:lang w:val="es-ES_tradnl"/>
        </w:rPr>
        <w:t xml:space="preserve"> proponente</w:t>
      </w:r>
      <w:r w:rsidR="00A84F7C" w:rsidRPr="00A84F7C">
        <w:rPr>
          <w:rFonts w:ascii="Arial" w:eastAsia="Calibri" w:hAnsi="Arial" w:cs="Arial"/>
          <w:lang w:val="es-ES_tradnl"/>
        </w:rPr>
        <w:t xml:space="preserve"> </w:t>
      </w:r>
      <w:r w:rsidR="00420690">
        <w:rPr>
          <w:rFonts w:ascii="Arial" w:eastAsia="Calibri" w:hAnsi="Arial" w:cs="Arial"/>
          <w:lang w:val="es-ES_tradnl"/>
        </w:rPr>
        <w:t>tiene la posibilidad de</w:t>
      </w:r>
      <w:r w:rsidR="00420690" w:rsidRPr="00A84F7C">
        <w:rPr>
          <w:rFonts w:ascii="Arial" w:eastAsia="Calibri" w:hAnsi="Arial" w:cs="Arial"/>
          <w:lang w:val="es-ES_tradnl"/>
        </w:rPr>
        <w:t xml:space="preserve"> </w:t>
      </w:r>
      <w:r w:rsidR="00A84F7C" w:rsidRPr="00A84F7C">
        <w:rPr>
          <w:rFonts w:ascii="Arial" w:eastAsia="Calibri" w:hAnsi="Arial" w:cs="Arial"/>
          <w:lang w:val="es-ES_tradnl"/>
        </w:rPr>
        <w:t>ser considerad</w:t>
      </w:r>
      <w:r w:rsidR="002F0161">
        <w:rPr>
          <w:rFonts w:ascii="Arial" w:eastAsia="Calibri" w:hAnsi="Arial" w:cs="Arial"/>
          <w:lang w:val="es-ES_tradnl"/>
        </w:rPr>
        <w:t>o</w:t>
      </w:r>
      <w:r w:rsidR="00A84F7C" w:rsidRPr="00A84F7C">
        <w:rPr>
          <w:rFonts w:ascii="Arial" w:eastAsia="Calibri" w:hAnsi="Arial" w:cs="Arial"/>
          <w:lang w:val="es-ES_tradnl"/>
        </w:rPr>
        <w:t xml:space="preserve"> como un emprendimiento o empresa de mujeres</w:t>
      </w:r>
      <w:r w:rsidR="002F0161">
        <w:rPr>
          <w:rFonts w:ascii="Arial" w:eastAsia="Calibri" w:hAnsi="Arial" w:cs="Arial"/>
          <w:lang w:val="es-ES_tradnl"/>
        </w:rPr>
        <w:t>, acreditando que</w:t>
      </w:r>
      <w:r w:rsidR="00A84F7C" w:rsidRPr="00A84F7C">
        <w:rPr>
          <w:rFonts w:ascii="Arial" w:eastAsia="Calibri" w:hAnsi="Arial" w:cs="Arial"/>
          <w:lang w:val="es-ES_tradnl"/>
        </w:rPr>
        <w:t xml:space="preserve"> más del cincuenta por ciento (50%) de los empleos del nivel directivo s</w:t>
      </w:r>
      <w:r w:rsidR="002F0161">
        <w:rPr>
          <w:rFonts w:ascii="Arial" w:eastAsia="Calibri" w:hAnsi="Arial" w:cs="Arial"/>
          <w:lang w:val="es-ES_tradnl"/>
        </w:rPr>
        <w:t>on</w:t>
      </w:r>
      <w:r w:rsidR="00A84F7C" w:rsidRPr="00A84F7C">
        <w:rPr>
          <w:rFonts w:ascii="Arial" w:eastAsia="Calibri" w:hAnsi="Arial" w:cs="Arial"/>
          <w:lang w:val="es-ES_tradnl"/>
        </w:rPr>
        <w:t xml:space="preserve"> ejercidos por mujeres. </w:t>
      </w:r>
      <w:r w:rsidR="002F0161">
        <w:rPr>
          <w:rFonts w:ascii="Arial" w:eastAsia="Calibri" w:hAnsi="Arial" w:cs="Arial"/>
          <w:lang w:val="es-ES_tradnl"/>
        </w:rPr>
        <w:t>Según se desprende de este numeral,</w:t>
      </w:r>
      <w:r w:rsidR="00A84F7C" w:rsidRPr="00A84F7C">
        <w:rPr>
          <w:rFonts w:ascii="Arial" w:eastAsia="Calibri" w:hAnsi="Arial" w:cs="Arial"/>
          <w:lang w:val="es-ES_tradnl"/>
        </w:rPr>
        <w:t xml:space="preserve"> </w:t>
      </w:r>
      <w:r w:rsidR="002F0161">
        <w:rPr>
          <w:rFonts w:ascii="Arial" w:hAnsi="Arial" w:cs="Arial"/>
          <w:lang w:eastAsia="es-CO"/>
        </w:rPr>
        <w:t>t</w:t>
      </w:r>
      <w:r w:rsidR="00A84F7C" w:rsidRPr="00A84F7C">
        <w:rPr>
          <w:rFonts w:ascii="Arial" w:hAnsi="Arial" w:cs="Arial"/>
          <w:lang w:eastAsia="es-CO"/>
        </w:rPr>
        <w:t>ales empleos son aquellos relacionados con la dirección de áreas misionales y las decisiones de nivel estratégico de la respectiva empresa</w:t>
      </w:r>
      <w:r w:rsidR="002F0161">
        <w:rPr>
          <w:rFonts w:ascii="Arial" w:hAnsi="Arial" w:cs="Arial"/>
          <w:lang w:eastAsia="es-CO"/>
        </w:rPr>
        <w:t>.</w:t>
      </w:r>
      <w:r w:rsidR="00A84F7C" w:rsidRPr="00A84F7C">
        <w:rPr>
          <w:rFonts w:ascii="Arial" w:hAnsi="Arial" w:cs="Arial"/>
          <w:lang w:eastAsia="es-CO"/>
        </w:rPr>
        <w:t xml:space="preserve">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w:t>
      </w:r>
      <w:proofErr w:type="gramStart"/>
      <w:r w:rsidR="00A84F7C" w:rsidRPr="00A84F7C">
        <w:rPr>
          <w:rFonts w:ascii="Arial" w:hAnsi="Arial" w:cs="Arial"/>
          <w:lang w:eastAsia="es-CO"/>
        </w:rPr>
        <w:t>de acuerdo a</w:t>
      </w:r>
      <w:proofErr w:type="gramEnd"/>
      <w:r w:rsidR="00A84F7C" w:rsidRPr="00A84F7C">
        <w:rPr>
          <w:rFonts w:ascii="Arial" w:hAnsi="Arial" w:cs="Arial"/>
          <w:lang w:eastAsia="es-CO"/>
        </w:rPr>
        <w:t xml:space="preserve"> su jerarquía, representan al empleador en los términos del artículo 32 del Código Sustantivo del Trabajo</w:t>
      </w:r>
      <w:r w:rsidR="00A84F7C" w:rsidRPr="00A84F7C">
        <w:rPr>
          <w:rFonts w:ascii="Arial" w:hAnsi="Arial" w:cs="Arial"/>
          <w:vertAlign w:val="superscript"/>
          <w:lang w:eastAsia="es-CO"/>
        </w:rPr>
        <w:footnoteReference w:id="15"/>
      </w:r>
      <w:r w:rsidR="00A84F7C" w:rsidRPr="00A84F7C">
        <w:rPr>
          <w:rFonts w:ascii="Arial" w:hAnsi="Arial" w:cs="Arial"/>
          <w:lang w:eastAsia="es-CO"/>
        </w:rPr>
        <w:t xml:space="preserve">. </w:t>
      </w:r>
    </w:p>
    <w:p w14:paraId="1C1C521A" w14:textId="77777777" w:rsidR="00A84F7C" w:rsidRPr="00A84F7C" w:rsidRDefault="00A84F7C" w:rsidP="00A84F7C">
      <w:pPr>
        <w:spacing w:after="120" w:line="276" w:lineRule="auto"/>
        <w:ind w:firstLine="708"/>
        <w:jc w:val="both"/>
        <w:rPr>
          <w:rFonts w:ascii="Arial" w:eastAsia="Calibri" w:hAnsi="Arial" w:cs="Arial"/>
          <w:lang w:val="es-ES_tradnl"/>
        </w:rPr>
      </w:pPr>
      <w:bookmarkStart w:id="8" w:name="_Hlk110603413"/>
      <w:r w:rsidRPr="00A84F7C">
        <w:rPr>
          <w:rFonts w:ascii="Arial" w:eastAsia="Calibri" w:hAnsi="Arial" w:cs="Arial"/>
          <w:lang w:val="es-ES_tradnl"/>
        </w:rPr>
        <w:t>Para la aplicación de la definición en comento debe tenerse en cuenta únicamente a los empleos del nivel directivo, lo que excluye a los demás empleos de la planta de personal, como por ejemplo los operativos. En segundo lugar, no basta con que los cargos directivos en una sociedad sean mayoritariamente de mujeres para que sea considerada como un empresa o emprendimiento a los que se refiere la norma, sino que además es necesario que dicha vinculación mayoritaria de mujeres en los empleos del nivel directivo de la empresa se haya mantenido como mínimo durante el periodo de un año, contado a partir de la fecha de cierre del proceso de selección</w:t>
      </w:r>
      <w:bookmarkEnd w:id="8"/>
      <w:r w:rsidRPr="00A84F7C">
        <w:rPr>
          <w:rFonts w:ascii="Arial" w:eastAsia="Calibri" w:hAnsi="Arial" w:cs="Arial"/>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año.</w:t>
      </w:r>
    </w:p>
    <w:p w14:paraId="05866180" w14:textId="77777777" w:rsidR="00A84F7C" w:rsidRPr="00A84F7C" w:rsidRDefault="00A84F7C" w:rsidP="00A84F7C">
      <w:pPr>
        <w:spacing w:after="120" w:line="276" w:lineRule="auto"/>
        <w:ind w:firstLine="708"/>
        <w:jc w:val="both"/>
        <w:rPr>
          <w:rFonts w:ascii="Arial" w:eastAsia="Calibri" w:hAnsi="Arial" w:cs="Arial"/>
          <w:lang w:val="es-ES_tradnl"/>
        </w:rPr>
      </w:pPr>
      <w:r w:rsidRPr="00A84F7C">
        <w:rPr>
          <w:rFonts w:ascii="Arial" w:eastAsia="Calibri" w:hAnsi="Arial" w:cs="Arial"/>
          <w:lang w:val="es-ES_tradnl"/>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w:t>
      </w:r>
      <w:r w:rsidRPr="00A84F7C">
        <w:rPr>
          <w:rFonts w:ascii="Arial" w:eastAsia="Calibri" w:hAnsi="Arial" w:cs="Arial"/>
          <w:lang w:val="es-ES_tradnl"/>
        </w:rPr>
        <w:lastRenderedPageBreak/>
        <w:t xml:space="preserve">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14:paraId="0F572BDE" w14:textId="77777777" w:rsidR="00A84F7C" w:rsidRPr="00A84F7C" w:rsidRDefault="00A84F7C" w:rsidP="00A84F7C">
      <w:pPr>
        <w:spacing w:after="120" w:line="276" w:lineRule="auto"/>
        <w:ind w:firstLine="708"/>
        <w:jc w:val="both"/>
        <w:rPr>
          <w:rFonts w:ascii="Arial" w:eastAsia="Calibri" w:hAnsi="Arial" w:cs="Arial"/>
          <w:lang w:val="es-ES_tradnl"/>
        </w:rPr>
      </w:pPr>
      <w:r w:rsidRPr="00A84F7C">
        <w:rPr>
          <w:rFonts w:ascii="Arial" w:eastAsia="Calibri" w:hAnsi="Arial" w:cs="Arial"/>
          <w:lang w:val="es-ES_tradnl"/>
        </w:rPr>
        <w:t xml:space="preserve">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w:t>
      </w:r>
      <w:r w:rsidRPr="000F0371">
        <w:rPr>
          <w:rFonts w:ascii="Arial" w:eastAsia="Calibri" w:hAnsi="Arial" w:cs="Arial"/>
          <w:lang w:val="es-ES_tradnl"/>
        </w:rPr>
        <w:t>Esto significa que a quienes pretendan acceder a tales beneficios en consideración a la definición establecida en el numeral 2 del artículo 2.2.1.2.4.2.14, les corresponde presentar la mencionada certificación con sus respectivos soportes</w:t>
      </w:r>
      <w:r w:rsidRPr="00A84F7C">
        <w:rPr>
          <w:rFonts w:ascii="Arial" w:eastAsia="Calibri" w:hAnsi="Arial" w:cs="Arial"/>
          <w:lang w:val="es-ES_tradnl"/>
        </w:rPr>
        <w:t>.</w:t>
      </w:r>
    </w:p>
    <w:p w14:paraId="1E3A9840" w14:textId="77777777" w:rsidR="00A84F7C" w:rsidRPr="00A84F7C" w:rsidRDefault="00A84F7C" w:rsidP="00A84F7C">
      <w:pPr>
        <w:spacing w:after="120" w:line="276" w:lineRule="auto"/>
        <w:ind w:firstLine="708"/>
        <w:jc w:val="both"/>
        <w:rPr>
          <w:rFonts w:ascii="Arial" w:eastAsia="Calibri" w:hAnsi="Arial" w:cs="Arial"/>
          <w:lang w:val="es-ES_tradnl"/>
        </w:rPr>
      </w:pPr>
      <w:r w:rsidRPr="00A84F7C">
        <w:rPr>
          <w:rFonts w:ascii="Arial" w:eastAsia="Calibri" w:hAnsi="Arial" w:cs="Arial"/>
          <w:lang w:val="es-ES_tradnl"/>
        </w:rPr>
        <w:t xml:space="preserve">Sin perjuicio de lo anterior, la sola presentación de la certificación con las copias de los documentos de identidad, de los contratos laborales y los certificados de aportes a seguridad social no confiere automáticamente el acceso a los criterios diferenciales. Esto por cuanto es deber de la entidad verificar que los documentos presentados acrediten las condiciones descritas en el primer y segundo inciso del numeral 2 del artículo 2.2.1.2.4.2.14 del Decreto 1082 de 2015, </w:t>
      </w:r>
    </w:p>
    <w:p w14:paraId="48EF965B" w14:textId="77777777" w:rsidR="00A84F7C" w:rsidRPr="00A84F7C" w:rsidRDefault="00A84F7C" w:rsidP="00A84F7C">
      <w:pPr>
        <w:spacing w:after="120" w:line="276" w:lineRule="auto"/>
        <w:ind w:firstLine="708"/>
        <w:jc w:val="both"/>
        <w:rPr>
          <w:rFonts w:ascii="Arial" w:eastAsia="Calibri" w:hAnsi="Arial" w:cs="Arial"/>
          <w:lang w:val="es-ES_tradnl"/>
        </w:rPr>
      </w:pPr>
      <w:r w:rsidRPr="00A84F7C">
        <w:rPr>
          <w:rFonts w:ascii="Arial" w:eastAsia="Calibri" w:hAnsi="Arial" w:cs="Arial"/>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14:paraId="2A68095C" w14:textId="77777777" w:rsidR="00A84F7C" w:rsidRPr="00A84F7C" w:rsidRDefault="00A84F7C" w:rsidP="00A84F7C">
      <w:pPr>
        <w:spacing w:after="120" w:line="276" w:lineRule="auto"/>
        <w:ind w:firstLine="708"/>
        <w:jc w:val="both"/>
        <w:rPr>
          <w:rFonts w:ascii="Arial" w:eastAsia="Calibri" w:hAnsi="Arial" w:cs="Arial"/>
          <w:lang w:val="es-ES_tradnl"/>
        </w:rPr>
      </w:pPr>
      <w:r w:rsidRPr="00A84F7C">
        <w:rPr>
          <w:rFonts w:ascii="Arial" w:eastAsia="Calibri" w:hAnsi="Arial" w:cs="Arial"/>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w:t>
      </w:r>
      <w:r w:rsidRPr="00A84F7C">
        <w:rPr>
          <w:rFonts w:ascii="Arial" w:eastAsia="Calibri" w:hAnsi="Arial" w:cs="Arial"/>
          <w:lang w:val="es-ES_tradnl"/>
        </w:rPr>
        <w:lastRenderedPageBreak/>
        <w:t xml:space="preserve">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743BE244" w14:textId="77777777" w:rsidR="00A84F7C" w:rsidRPr="00A84F7C" w:rsidRDefault="00A84F7C" w:rsidP="00A84F7C">
      <w:pPr>
        <w:spacing w:after="120" w:line="276" w:lineRule="auto"/>
        <w:jc w:val="both"/>
        <w:rPr>
          <w:rFonts w:ascii="Arial" w:eastAsia="Calibri" w:hAnsi="Arial" w:cs="Arial"/>
          <w:lang w:val="es-ES_tradnl"/>
        </w:rPr>
      </w:pPr>
      <w:r w:rsidRPr="00A84F7C">
        <w:rPr>
          <w:rFonts w:ascii="Arial" w:eastAsia="Calibri" w:hAnsi="Arial" w:cs="Arial"/>
          <w:lang w:val="es-ES_tradnl"/>
        </w:rPr>
        <w:tab/>
        <w:t>Debe destacarse que, la noción de empleo del nivel directivo establecida en el inciso segundo del numeral 2 del artículo 2.2.1.2.4.2.14 se refiere exclusivamente a aquellos empleos “[…</w:t>
      </w:r>
      <w:r w:rsidRPr="00A84F7C">
        <w:rPr>
          <w:rFonts w:ascii="Arial" w:hAnsi="Arial" w:cs="Arial"/>
        </w:rPr>
        <w:t xml:space="preserve">] </w:t>
      </w:r>
      <w:r w:rsidRPr="00A84F7C">
        <w:rPr>
          <w:rFonts w:ascii="Arial" w:eastAsia="Calibri" w:hAnsi="Arial" w:cs="Arial"/>
          <w:lang w:val="es-ES_tradnl"/>
        </w:rPr>
        <w:t xml:space="preserve">cuyas funciones están relacionadas con la dirección de áreas misionales de la empresa y la toma de decisiones a nivel estratégico”. En ese orden, resulta claro que la norma no establece el monto de la remuneración como un criterio para determinar si un empleo es o no del nivel directivo, por cuanto solo se refiere a la de manera cualitativa a un tipo de funciones asociadas a estos empleos.  </w:t>
      </w:r>
    </w:p>
    <w:p w14:paraId="38642E5C" w14:textId="77777777" w:rsidR="00A84F7C" w:rsidRPr="00A84F7C" w:rsidRDefault="00A84F7C" w:rsidP="00A84F7C">
      <w:pPr>
        <w:spacing w:after="120" w:line="276" w:lineRule="auto"/>
        <w:ind w:firstLine="708"/>
        <w:jc w:val="both"/>
        <w:rPr>
          <w:rFonts w:ascii="Arial" w:eastAsia="Calibri" w:hAnsi="Arial" w:cs="Arial"/>
          <w:lang w:val="es-ES_tradnl"/>
        </w:rPr>
      </w:pPr>
      <w:r w:rsidRPr="00A84F7C">
        <w:rPr>
          <w:rFonts w:ascii="Arial" w:eastAsia="Calibri" w:hAnsi="Arial" w:cs="Arial"/>
          <w:lang w:val="es-ES_tradnl"/>
        </w:rPr>
        <w:t xml:space="preserve">Esto implica que el hecho de que los empleos tengan una remuneración que pueda considerarse baja, </w:t>
      </w:r>
      <w:r w:rsidRPr="00A84F7C">
        <w:rPr>
          <w:rFonts w:ascii="Arial" w:eastAsia="Calibri" w:hAnsi="Arial" w:cs="Arial"/>
          <w:i/>
          <w:iCs/>
          <w:lang w:val="es-ES_tradnl"/>
        </w:rPr>
        <w:t>per se</w:t>
      </w:r>
      <w:r w:rsidRPr="00A84F7C">
        <w:rPr>
          <w:rFonts w:ascii="Arial" w:eastAsia="Calibri" w:hAnsi="Arial" w:cs="Arial"/>
          <w:lang w:val="es-ES_tradnl"/>
        </w:rPr>
        <w:t>, no es una razón suficiente para no aplicar la definición del numeral 2 del artículo 2.2.1.2.4.2.14, siempre que se encuentren acreditadas las demás condiciones a las que se refiere la norma. No obstante, si además de la baja remuneración si se advierte que las funciones asignadas a las trabajadoras certificadas no tienen que ver con la dirección de áreas misionales, ni con la toma de decisiones a nivel estratégico, ni supongan representación del empleador, tales empleos no serán susceptibles de ser tenidos en cuenta para la aplicación de la definición bajo estudio.</w:t>
      </w:r>
    </w:p>
    <w:p w14:paraId="2B2891C3" w14:textId="20252D99" w:rsidR="00970A76" w:rsidRPr="00A84F7C" w:rsidRDefault="00970A76" w:rsidP="00A84F7C">
      <w:pPr>
        <w:spacing w:after="120" w:line="276" w:lineRule="auto"/>
        <w:ind w:firstLine="708"/>
        <w:jc w:val="both"/>
        <w:rPr>
          <w:rFonts w:ascii="Arial" w:eastAsia="Calibri" w:hAnsi="Arial" w:cs="Arial"/>
          <w:lang w:val="es-ES_tradnl"/>
        </w:rPr>
      </w:pPr>
      <w:r>
        <w:rPr>
          <w:rFonts w:ascii="Arial" w:eastAsia="Calibri" w:hAnsi="Arial" w:cs="Arial"/>
          <w:lang w:val="es-ES_tradnl"/>
        </w:rPr>
        <w:t xml:space="preserve">Con todo, </w:t>
      </w:r>
      <w:r w:rsidR="001115FB">
        <w:rPr>
          <w:rFonts w:ascii="Arial" w:eastAsia="Calibri" w:hAnsi="Arial" w:cs="Arial"/>
          <w:lang w:val="es-ES_tradnl"/>
        </w:rPr>
        <w:t xml:space="preserve">es preciso advertir que, la definición contemplada en el </w:t>
      </w:r>
      <w:r w:rsidR="001115FB" w:rsidRPr="00A84F7C">
        <w:rPr>
          <w:rFonts w:ascii="Arial" w:eastAsia="Calibri" w:hAnsi="Arial" w:cs="Arial"/>
          <w:lang w:val="es-ES_tradnl"/>
        </w:rPr>
        <w:t>numeral 2 del artículo 2.2.1.2.4.2.14</w:t>
      </w:r>
      <w:r w:rsidR="001115FB">
        <w:rPr>
          <w:rFonts w:ascii="Arial" w:eastAsia="Calibri" w:hAnsi="Arial" w:cs="Arial"/>
          <w:lang w:val="es-ES_tradnl"/>
        </w:rPr>
        <w:t xml:space="preserve"> del Decreto 1082 de 2015, </w:t>
      </w:r>
      <w:r w:rsidR="00426FD2">
        <w:rPr>
          <w:rFonts w:ascii="Arial" w:eastAsia="Calibri" w:hAnsi="Arial" w:cs="Arial"/>
          <w:lang w:val="es-ES_tradnl"/>
        </w:rPr>
        <w:t xml:space="preserve">solo resulta aplicable a personas </w:t>
      </w:r>
      <w:r w:rsidR="00EC718A">
        <w:rPr>
          <w:rFonts w:ascii="Arial" w:eastAsia="Calibri" w:hAnsi="Arial" w:cs="Arial"/>
          <w:lang w:val="es-ES_tradnl"/>
        </w:rPr>
        <w:t xml:space="preserve">jurídicas, según expresamente lo indica dicha disposición. Esto significa que las personas naturales que participen en un proceso de contratación no tienen la posibilidad de </w:t>
      </w:r>
      <w:r w:rsidR="00DB0D4C">
        <w:rPr>
          <w:rFonts w:ascii="Arial" w:eastAsia="Calibri" w:hAnsi="Arial" w:cs="Arial"/>
          <w:lang w:val="es-ES_tradnl"/>
        </w:rPr>
        <w:t>ser considerados emprendimientos o empresas de mujeres según dicha norma, independientemente de la cantidad de mujeres con las que tengan suscritos contratos de trabajo</w:t>
      </w:r>
      <w:r w:rsidR="00BF7C3E">
        <w:rPr>
          <w:rFonts w:ascii="Arial" w:eastAsia="Calibri" w:hAnsi="Arial" w:cs="Arial"/>
          <w:lang w:val="es-ES_tradnl"/>
        </w:rPr>
        <w:t>.</w:t>
      </w:r>
      <w:r w:rsidR="00DB0D4C">
        <w:rPr>
          <w:rFonts w:ascii="Arial" w:eastAsia="Calibri" w:hAnsi="Arial" w:cs="Arial"/>
          <w:lang w:val="es-ES_tradnl"/>
        </w:rPr>
        <w:t xml:space="preserve"> </w:t>
      </w:r>
    </w:p>
    <w:p w14:paraId="76534960" w14:textId="626BB6DB" w:rsidR="00A84F7C" w:rsidRPr="00A84F7C" w:rsidRDefault="00AC7459" w:rsidP="00A84F7C">
      <w:pPr>
        <w:spacing w:after="120" w:line="276" w:lineRule="auto"/>
        <w:ind w:firstLine="708"/>
        <w:jc w:val="both"/>
        <w:rPr>
          <w:rFonts w:ascii="Arial" w:eastAsia="Calibri" w:hAnsi="Arial" w:cs="Arial"/>
          <w:lang w:val="es-ES_tradnl"/>
        </w:rPr>
      </w:pPr>
      <w:r>
        <w:rPr>
          <w:rFonts w:ascii="Arial" w:eastAsia="Calibri" w:hAnsi="Arial" w:cs="Arial"/>
          <w:lang w:val="es-ES_tradnl"/>
        </w:rPr>
        <w:t>Por otro lado,</w:t>
      </w:r>
      <w:r w:rsidR="00007C6D">
        <w:rPr>
          <w:rFonts w:ascii="Arial" w:eastAsia="Calibri" w:hAnsi="Arial" w:cs="Arial"/>
          <w:lang w:val="es-ES_tradnl"/>
        </w:rPr>
        <w:t xml:space="preserve"> </w:t>
      </w:r>
      <w:r w:rsidR="00A84F7C" w:rsidRPr="000F0371">
        <w:rPr>
          <w:rFonts w:ascii="Arial" w:eastAsia="Calibri" w:hAnsi="Arial" w:cs="Arial"/>
          <w:lang w:val="es-ES_tradnl"/>
        </w:rPr>
        <w:t xml:space="preserve">el numeral tercero del artículo antes citado, </w:t>
      </w:r>
      <w:r>
        <w:rPr>
          <w:rFonts w:ascii="Arial" w:eastAsia="Calibri" w:hAnsi="Arial" w:cs="Arial"/>
          <w:lang w:val="es-ES_tradnl"/>
        </w:rPr>
        <w:t xml:space="preserve">establece que las </w:t>
      </w:r>
      <w:r w:rsidR="00A84F7C" w:rsidRPr="000F0371">
        <w:rPr>
          <w:rFonts w:ascii="Arial" w:eastAsia="Calibri" w:hAnsi="Arial" w:cs="Arial"/>
          <w:lang w:val="es-ES_tradnl"/>
        </w:rPr>
        <w:t xml:space="preserve">personas naturales </w:t>
      </w:r>
      <w:r>
        <w:rPr>
          <w:rFonts w:ascii="Arial" w:eastAsia="Calibri" w:hAnsi="Arial" w:cs="Arial"/>
          <w:lang w:val="es-ES_tradnl"/>
        </w:rPr>
        <w:t>podrán ser considerados emprendimientos o empresas de mujeres</w:t>
      </w:r>
      <w:r w:rsidR="006D6C89">
        <w:rPr>
          <w:rFonts w:ascii="Arial" w:eastAsia="Calibri" w:hAnsi="Arial" w:cs="Arial"/>
          <w:lang w:val="es-ES_tradnl"/>
        </w:rPr>
        <w:t xml:space="preserve">, </w:t>
      </w:r>
      <w:r w:rsidR="00A84F7C">
        <w:rPr>
          <w:rFonts w:ascii="Arial" w:eastAsia="Calibri" w:hAnsi="Arial" w:cs="Arial"/>
          <w:lang w:val="es-ES_tradnl"/>
        </w:rPr>
        <w:t xml:space="preserve"> </w:t>
      </w:r>
      <w:r w:rsidR="00A84F7C" w:rsidRPr="000F0371">
        <w:rPr>
          <w:rFonts w:ascii="Arial" w:eastAsia="Calibri" w:hAnsi="Arial" w:cs="Arial"/>
          <w:lang w:val="es-ES_tradnl"/>
        </w:rPr>
        <w:t>y, en consecuencia, ser destinatarias de los criterios diferenciales de que trata el artículo 32 de la Ley de Emprendimiento</w:t>
      </w:r>
      <w:r w:rsidR="002028D0">
        <w:rPr>
          <w:rFonts w:ascii="Arial" w:eastAsia="Calibri" w:hAnsi="Arial" w:cs="Arial"/>
          <w:lang w:val="es-ES_tradnl"/>
        </w:rPr>
        <w:t>, siempre que</w:t>
      </w:r>
      <w:r w:rsidR="00A84F7C" w:rsidRPr="000F0371">
        <w:rPr>
          <w:rFonts w:ascii="Arial" w:eastAsia="Calibri" w:hAnsi="Arial" w:cs="Arial"/>
          <w:lang w:val="es-ES_tradnl"/>
        </w:rPr>
        <w:t xml:space="preserve">: </w:t>
      </w:r>
      <w:r w:rsidR="002028D0">
        <w:rPr>
          <w:rFonts w:ascii="Arial" w:eastAsia="Calibri" w:hAnsi="Arial" w:cs="Arial"/>
          <w:lang w:val="es-ES_tradnl"/>
        </w:rPr>
        <w:t>i</w:t>
      </w:r>
      <w:r w:rsidR="00A84F7C" w:rsidRPr="000F0371">
        <w:rPr>
          <w:rFonts w:ascii="Arial" w:eastAsia="Calibri" w:hAnsi="Arial" w:cs="Arial"/>
          <w:lang w:val="es-ES_tradnl"/>
        </w:rPr>
        <w:t xml:space="preserve">) la persona natural sea una mujer; </w:t>
      </w:r>
      <w:r w:rsidR="002028D0">
        <w:rPr>
          <w:rFonts w:ascii="Arial" w:eastAsia="Calibri" w:hAnsi="Arial" w:cs="Arial"/>
          <w:lang w:val="es-ES_tradnl"/>
        </w:rPr>
        <w:t>ii</w:t>
      </w:r>
      <w:r w:rsidR="00A84F7C" w:rsidRPr="000F0371">
        <w:rPr>
          <w:rFonts w:ascii="Arial" w:eastAsia="Calibri" w:hAnsi="Arial" w:cs="Arial"/>
          <w:lang w:val="es-ES_tradnl"/>
        </w:rPr>
        <w:t>) que haya ejercido actividades comerciales a través de un establecimiento de comercio</w:t>
      </w:r>
      <w:r w:rsidR="002028D0">
        <w:rPr>
          <w:rFonts w:ascii="Arial" w:eastAsia="Calibri" w:hAnsi="Arial" w:cs="Arial"/>
          <w:lang w:val="es-ES_tradnl"/>
        </w:rPr>
        <w:t>;</w:t>
      </w:r>
      <w:r w:rsidR="00A84F7C" w:rsidRPr="000F0371">
        <w:rPr>
          <w:rFonts w:ascii="Arial" w:eastAsia="Calibri" w:hAnsi="Arial" w:cs="Arial"/>
          <w:lang w:val="es-ES_tradnl"/>
        </w:rPr>
        <w:t xml:space="preserve"> </w:t>
      </w:r>
      <w:proofErr w:type="spellStart"/>
      <w:r w:rsidR="002028D0">
        <w:rPr>
          <w:rFonts w:ascii="Arial" w:eastAsia="Calibri" w:hAnsi="Arial" w:cs="Arial"/>
          <w:lang w:val="es-ES_tradnl"/>
        </w:rPr>
        <w:t>iii</w:t>
      </w:r>
      <w:proofErr w:type="spellEnd"/>
      <w:r w:rsidR="00A84F7C" w:rsidRPr="000F0371">
        <w:rPr>
          <w:rFonts w:ascii="Arial" w:eastAsia="Calibri" w:hAnsi="Arial" w:cs="Arial"/>
          <w:lang w:val="es-ES_tradnl"/>
        </w:rPr>
        <w:t>)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w:t>
      </w:r>
      <w:r w:rsidR="00A84F7C" w:rsidRPr="00A84F7C">
        <w:rPr>
          <w:rFonts w:ascii="Arial" w:eastAsia="Calibri" w:hAnsi="Arial" w:cs="Arial"/>
          <w:lang w:val="es-ES_tradnl"/>
        </w:rPr>
        <w:t xml:space="preserve"> </w:t>
      </w:r>
    </w:p>
    <w:p w14:paraId="7432CC6D" w14:textId="77777777" w:rsidR="00A84F7C" w:rsidRPr="00A84F7C" w:rsidRDefault="00A84F7C" w:rsidP="00A84F7C">
      <w:pPr>
        <w:spacing w:after="120" w:line="276" w:lineRule="auto"/>
        <w:jc w:val="both"/>
        <w:rPr>
          <w:rFonts w:ascii="Arial" w:eastAsia="Calibri" w:hAnsi="Arial" w:cs="Arial"/>
          <w:lang w:val="es-ES_tradnl"/>
        </w:rPr>
      </w:pPr>
      <w:r w:rsidRPr="00A84F7C">
        <w:rPr>
          <w:rFonts w:ascii="Arial" w:eastAsia="Calibri" w:hAnsi="Arial" w:cs="Arial"/>
          <w:lang w:val="es-ES_tradnl"/>
        </w:rPr>
        <w:tab/>
        <w:t xml:space="preserve">Lo anterior quiere decir que, no basta con que la persona natural sea mujer para ser considerada como un emprendimiento o empresa de mujeres, sino que además es necesario que haya ejercido actividades comerciales a través de un establecimiento de </w:t>
      </w:r>
      <w:r w:rsidRPr="00A84F7C">
        <w:rPr>
          <w:rFonts w:ascii="Arial" w:eastAsia="Calibri" w:hAnsi="Arial" w:cs="Arial"/>
          <w:lang w:val="es-ES_tradnl"/>
        </w:rPr>
        <w:lastRenderedPageBreak/>
        <w:t>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A84F7C">
        <w:rPr>
          <w:rFonts w:ascii="Arial" w:eastAsia="Calibri" w:hAnsi="Arial" w:cs="Arial"/>
          <w:b/>
          <w:bCs/>
          <w:lang w:val="es-ES_tradnl"/>
        </w:rPr>
        <w:t xml:space="preserve"> </w:t>
      </w:r>
      <w:r w:rsidRPr="00A84F7C">
        <w:rPr>
          <w:rFonts w:ascii="Arial" w:hAnsi="Arial" w:cs="Arial"/>
          <w:shd w:val="clear" w:color="auto" w:fill="FFFFFF"/>
        </w:rPr>
        <w:t xml:space="preserve">2.2.1.2.4.2.14. del Decreto 1082 de 2015 </w:t>
      </w:r>
      <w:r w:rsidRPr="00A84F7C">
        <w:rPr>
          <w:rFonts w:ascii="Arial" w:eastAsia="Calibri" w:hAnsi="Arial" w:cs="Arial"/>
          <w:lang w:val="es-ES_tradnl"/>
        </w:rPr>
        <w:t xml:space="preserve">– </w:t>
      </w:r>
      <w:r w:rsidRPr="000F0371">
        <w:rPr>
          <w:rFonts w:ascii="Arial" w:eastAsia="Calibri" w:hAnsi="Arial" w:cs="Arial"/>
          <w:lang w:val="es-ES_tradnl"/>
        </w:rPr>
        <w:t>deja por fuera a aquellas mujeres que no hayan ejercido actividades comerciales a través de un establecimiento de comercio y/o que no cumplan con el requerimiento del tiempo mínimo de un año de ejercicio de las actividades</w:t>
      </w:r>
      <w:r w:rsidRPr="00A84F7C">
        <w:rPr>
          <w:rFonts w:ascii="Arial" w:eastAsia="Calibri" w:hAnsi="Arial" w:cs="Arial"/>
          <w:lang w:val="es-ES_tradnl"/>
        </w:rPr>
        <w:t xml:space="preserve">.  </w:t>
      </w:r>
    </w:p>
    <w:p w14:paraId="34877CD3" w14:textId="74796D8C" w:rsidR="00A84F7C" w:rsidRPr="00A84F7C" w:rsidRDefault="00D957D7" w:rsidP="00A84F7C">
      <w:pPr>
        <w:spacing w:after="120" w:line="276" w:lineRule="auto"/>
        <w:ind w:firstLine="708"/>
        <w:jc w:val="both"/>
        <w:rPr>
          <w:rFonts w:ascii="Arial" w:eastAsia="Calibri" w:hAnsi="Arial" w:cs="Arial"/>
          <w:bCs/>
          <w:lang w:val="es-ES_tradnl"/>
        </w:rPr>
      </w:pPr>
      <w:r>
        <w:rPr>
          <w:rFonts w:ascii="Arial" w:eastAsia="Calibri" w:hAnsi="Arial" w:cs="Arial"/>
          <w:bCs/>
          <w:lang w:val="es-ES_tradnl"/>
        </w:rPr>
        <w:t xml:space="preserve"> </w:t>
      </w:r>
      <w:r w:rsidR="00A84F7C" w:rsidRPr="00A84F7C">
        <w:rPr>
          <w:rFonts w:ascii="Arial" w:eastAsia="Calibri" w:hAnsi="Arial"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una gran variedad de actividades bajo la categoría de “acto de comercio”, sin que dicha enumeración sea taxativa en </w:t>
      </w:r>
      <w:r w:rsidR="00A84F7C" w:rsidRPr="00A84F7C">
        <w:rPr>
          <w:rFonts w:ascii="Arial" w:hAnsi="Arial" w:cs="Arial"/>
        </w:rPr>
        <w:t>nuestro sistema jurídico. Así las cosas, no se define estáticamente el acto de comercio, permitiendo mediante la analogía realizar la ampliación dinámica del derecho mercantil facilitando su adaptación a un cambiante mundo de negocios</w:t>
      </w:r>
      <w:r w:rsidR="00A84F7C" w:rsidRPr="00A84F7C">
        <w:rPr>
          <w:rFonts w:ascii="Arial" w:hAnsi="Arial" w:cs="Arial"/>
          <w:vertAlign w:val="superscript"/>
        </w:rPr>
        <w:footnoteReference w:id="16"/>
      </w:r>
      <w:r w:rsidR="00A84F7C" w:rsidRPr="00A84F7C">
        <w:rPr>
          <w:rFonts w:ascii="Arial" w:hAnsi="Arial" w:cs="Arial"/>
        </w:rPr>
        <w:t>.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00A84F7C" w:rsidRPr="00A84F7C">
        <w:rPr>
          <w:rFonts w:ascii="Arial" w:hAnsi="Arial" w:cs="Arial"/>
          <w:vertAlign w:val="superscript"/>
        </w:rPr>
        <w:footnoteReference w:id="17"/>
      </w:r>
      <w:r w:rsidR="00A84F7C" w:rsidRPr="00A84F7C">
        <w:rPr>
          <w:rFonts w:ascii="Arial" w:hAnsi="Arial" w:cs="Arial"/>
        </w:rPr>
        <w:t xml:space="preserve">. </w:t>
      </w:r>
    </w:p>
    <w:p w14:paraId="4CCC6E2A" w14:textId="77777777" w:rsidR="00A84F7C" w:rsidRPr="00A84F7C" w:rsidRDefault="00A84F7C" w:rsidP="00A84F7C">
      <w:pPr>
        <w:spacing w:after="120" w:line="276" w:lineRule="auto"/>
        <w:ind w:firstLine="708"/>
        <w:jc w:val="both"/>
        <w:rPr>
          <w:rFonts w:ascii="Arial" w:eastAsia="Calibri" w:hAnsi="Arial" w:cs="Arial"/>
          <w:bCs/>
          <w:lang w:val="es-ES_tradnl"/>
        </w:rPr>
      </w:pPr>
      <w:r w:rsidRPr="00A84F7C">
        <w:rPr>
          <w:rFonts w:ascii="Arial" w:eastAsia="Calibri" w:hAnsi="Arial" w:cs="Arial"/>
          <w:bCs/>
          <w:lang w:val="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“Se entenderá por empresa toda actividad económica organizada para la producción, transformación, circulación, administración o custodia de bienes, o para la prestación de servicios. </w:t>
      </w:r>
      <w:r w:rsidRPr="00A84F7C">
        <w:rPr>
          <w:rFonts w:ascii="Arial" w:eastAsia="Calibri" w:hAnsi="Arial" w:cs="Arial"/>
          <w:bCs/>
          <w:i/>
          <w:iCs/>
          <w:lang w:val="es-ES_tradnl"/>
        </w:rPr>
        <w:t>Dicha actividad se realizará a través de uno o más establecimientos de comercio</w:t>
      </w:r>
      <w:r w:rsidRPr="00A84F7C">
        <w:rPr>
          <w:rFonts w:ascii="Arial" w:eastAsia="Calibri" w:hAnsi="Arial" w:cs="Arial"/>
          <w:bCs/>
          <w:lang w:val="es-ES_tradnl"/>
        </w:rPr>
        <w:t xml:space="preserve">” </w:t>
      </w:r>
      <w:r w:rsidRPr="00A84F7C">
        <w:rPr>
          <w:rFonts w:ascii="Arial" w:hAnsi="Arial" w:cs="Arial"/>
          <w:lang w:eastAsia="es-CO"/>
        </w:rPr>
        <w:t>(Énfasis fuera de texto)</w:t>
      </w:r>
      <w:r w:rsidRPr="00A84F7C">
        <w:rPr>
          <w:rFonts w:ascii="Arial" w:eastAsia="Calibri" w:hAnsi="Arial" w:cs="Arial"/>
          <w:bCs/>
          <w:lang w:val="es-ES_tradnl"/>
        </w:rPr>
        <w:t xml:space="preserve">. </w:t>
      </w:r>
      <w:r w:rsidRPr="00A84F7C">
        <w:rPr>
          <w:rFonts w:ascii="Arial" w:hAnsi="Arial" w:cs="Arial"/>
        </w:rPr>
        <w:t xml:space="preserve">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w:t>
      </w:r>
      <w:r w:rsidRPr="00A84F7C">
        <w:rPr>
          <w:rFonts w:ascii="Arial" w:hAnsi="Arial" w:cs="Arial"/>
        </w:rPr>
        <w:lastRenderedPageBreak/>
        <w:t>hacienda, teniendo en cuenta la función económica a la que están destinados todos: la producción o distribución de bienes y servicios en el mercado</w:t>
      </w:r>
      <w:r w:rsidRPr="00A84F7C">
        <w:rPr>
          <w:rFonts w:ascii="Arial" w:eastAsia="Calibri" w:hAnsi="Arial" w:cs="Arial"/>
          <w:bCs/>
          <w:vertAlign w:val="superscript"/>
          <w:lang w:val="es-ES_tradnl"/>
        </w:rPr>
        <w:footnoteReference w:id="18"/>
      </w:r>
      <w:r w:rsidRPr="00A84F7C">
        <w:rPr>
          <w:rFonts w:ascii="Arial" w:eastAsia="Calibri" w:hAnsi="Arial" w:cs="Arial"/>
          <w:bCs/>
          <w:lang w:val="es-ES_tradnl"/>
        </w:rPr>
        <w:t xml:space="preserve">. </w:t>
      </w:r>
    </w:p>
    <w:p w14:paraId="59AB0DFC" w14:textId="77777777" w:rsidR="00A84F7C" w:rsidRPr="00A84F7C" w:rsidRDefault="00A84F7C" w:rsidP="00A84F7C">
      <w:pPr>
        <w:spacing w:after="120" w:line="276" w:lineRule="auto"/>
        <w:ind w:firstLine="708"/>
        <w:jc w:val="both"/>
        <w:rPr>
          <w:rFonts w:ascii="Arial" w:eastAsia="Calibri" w:hAnsi="Arial" w:cs="Arial"/>
          <w:bCs/>
          <w:lang w:val="es-ES_tradnl"/>
        </w:rPr>
      </w:pPr>
      <w:r w:rsidRPr="00A84F7C">
        <w:rPr>
          <w:rFonts w:ascii="Arial" w:eastAsia="Calibri" w:hAnsi="Arial" w:cs="Arial"/>
          <w:bCs/>
          <w:lang w:val="es-ES_tradnl"/>
        </w:rPr>
        <w:t xml:space="preserve">Ahora bien, frente al requisito del registro mercantil, el artículo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A84F7C">
        <w:rPr>
          <w:rFonts w:ascii="Arial" w:eastAsia="Calibri" w:hAnsi="Arial" w:cs="Arial"/>
          <w:bCs/>
          <w:i/>
          <w:iCs/>
          <w:lang w:val="es-ES_tradnl"/>
        </w:rPr>
        <w:t>ibidem</w:t>
      </w:r>
      <w:r w:rsidRPr="00A84F7C">
        <w:rPr>
          <w:rFonts w:ascii="Arial" w:eastAsia="Calibri" w:hAnsi="Arial" w:cs="Arial"/>
          <w:bCs/>
          <w:lang w:val="es-ES_tradnl"/>
        </w:rPr>
        <w:t xml:space="preserve"> señalan que cuando </w:t>
      </w:r>
      <w:r w:rsidRPr="00A84F7C">
        <w:rPr>
          <w:rFonts w:ascii="Arial" w:hAnsi="Arial" w:cs="Arial"/>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12445664" w14:textId="77777777" w:rsidR="00A84F7C" w:rsidRPr="00A84F7C" w:rsidRDefault="00A84F7C" w:rsidP="00A84F7C">
      <w:pPr>
        <w:spacing w:after="120" w:line="276" w:lineRule="auto"/>
        <w:ind w:firstLine="709"/>
        <w:jc w:val="both"/>
        <w:rPr>
          <w:rFonts w:ascii="Arial" w:hAnsi="Arial" w:cs="Arial"/>
        </w:rPr>
      </w:pPr>
      <w:bookmarkStart w:id="9" w:name="_Hlk112034643"/>
      <w:bookmarkStart w:id="10" w:name="_Hlk112310294"/>
      <w:r w:rsidRPr="00A84F7C">
        <w:rPr>
          <w:rFonts w:ascii="Arial" w:hAnsi="Arial" w:cs="Arial"/>
        </w:rPr>
        <w:t xml:space="preserve">De esta manera, se concluye que el numeral tercero del </w:t>
      </w:r>
      <w:r w:rsidRPr="00A84F7C">
        <w:rPr>
          <w:rFonts w:ascii="Arial" w:eastAsia="Calibri" w:hAnsi="Arial" w:cs="Arial"/>
          <w:lang w:val="es-ES_tradnl"/>
        </w:rPr>
        <w:t>artículo</w:t>
      </w:r>
      <w:r w:rsidRPr="00A84F7C">
        <w:rPr>
          <w:rFonts w:ascii="Arial" w:eastAsia="Calibri" w:hAnsi="Arial" w:cs="Arial"/>
          <w:b/>
          <w:bCs/>
          <w:lang w:val="es-ES_tradnl"/>
        </w:rPr>
        <w:t xml:space="preserve"> </w:t>
      </w:r>
      <w:r w:rsidRPr="00A84F7C">
        <w:rPr>
          <w:rFonts w:ascii="Arial" w:hAnsi="Arial" w:cs="Arial"/>
          <w:color w:val="333333"/>
          <w:shd w:val="clear" w:color="auto" w:fill="FFFFFF"/>
        </w:rPr>
        <w:t>2.2.1.2.4.2.14</w:t>
      </w:r>
      <w:r w:rsidRPr="00A84F7C">
        <w:rPr>
          <w:rFonts w:ascii="Arial" w:hAnsi="Arial" w:cs="Arial"/>
          <w:b/>
          <w:bCs/>
          <w:color w:val="333333"/>
          <w:shd w:val="clear" w:color="auto" w:fill="FFFFFF"/>
        </w:rPr>
        <w:t xml:space="preserve"> </w:t>
      </w:r>
      <w:r w:rsidRPr="00A84F7C">
        <w:rPr>
          <w:rFonts w:ascii="Arial" w:hAnsi="Arial" w:cs="Arial"/>
          <w:color w:val="333333"/>
          <w:shd w:val="clear" w:color="auto" w:fill="FFFFFF"/>
        </w:rPr>
        <w:t xml:space="preserve">del Decreto 1082 de 2015 </w:t>
      </w:r>
      <w:r w:rsidRPr="00A84F7C">
        <w:rPr>
          <w:rFonts w:ascii="Arial" w:eastAsia="Calibri" w:hAnsi="Arial" w:cs="Arial"/>
          <w:lang w:val="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A84F7C">
        <w:rPr>
          <w:rFonts w:ascii="Arial" w:hAnsi="Arial" w:cs="Arial"/>
        </w:rPr>
        <w:t xml:space="preserve">Así las cosas, </w:t>
      </w:r>
      <w:r w:rsidRPr="00A84F7C">
        <w:rPr>
          <w:rFonts w:ascii="Arial" w:eastAsia="Calibri" w:hAnsi="Arial" w:cs="Arial"/>
          <w:bCs/>
          <w:lang w:val="es-ES_tradnl"/>
        </w:rPr>
        <w:t>es necesario que la persona natural que realiza actividades de comercio a través de un establecimiento acredite dicho registro de acuerdo con lo dispuesto por la ley comercial.</w:t>
      </w:r>
    </w:p>
    <w:p w14:paraId="62B2E5A3" w14:textId="77777777" w:rsidR="00A84F7C" w:rsidRPr="00A84F7C" w:rsidRDefault="00A84F7C" w:rsidP="00A84F7C">
      <w:pPr>
        <w:spacing w:before="120" w:after="120" w:line="276" w:lineRule="auto"/>
        <w:ind w:firstLine="709"/>
        <w:jc w:val="both"/>
        <w:rPr>
          <w:rFonts w:ascii="Arial" w:eastAsia="Calibri" w:hAnsi="Arial" w:cs="Arial"/>
          <w:bCs/>
        </w:rPr>
      </w:pPr>
      <w:bookmarkStart w:id="11" w:name="_Hlk106013026"/>
      <w:bookmarkEnd w:id="9"/>
      <w:r w:rsidRPr="00A84F7C">
        <w:rPr>
          <w:rFonts w:ascii="Arial" w:eastAsia="Calibri" w:hAnsi="Arial" w:cs="Arial"/>
          <w:bCs/>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A84F7C">
        <w:rPr>
          <w:rFonts w:ascii="Arial" w:eastAsia="Calibri" w:hAnsi="Arial" w:cs="Arial"/>
          <w:bCs/>
          <w:lang w:val="es-ES_tradnl"/>
        </w:rPr>
        <w:t xml:space="preserve">artículo </w:t>
      </w:r>
      <w:r w:rsidRPr="00A84F7C">
        <w:rPr>
          <w:rFonts w:ascii="Arial" w:hAnsi="Arial" w:cs="Arial"/>
          <w:lang w:val="es-ES" w:eastAsia="es-CO"/>
        </w:rPr>
        <w:t xml:space="preserve">2.2.1.2.4.2.14 </w:t>
      </w:r>
      <w:r w:rsidRPr="00A84F7C">
        <w:rPr>
          <w:rFonts w:ascii="Arial" w:eastAsia="Calibri" w:hAnsi="Arial" w:cs="Arial"/>
          <w:bCs/>
        </w:rPr>
        <w:t xml:space="preserve">del Decreto 1082 de 2015, la acreditación de la condición de mujer y del ejercicio de actividades comerciales a través de establecimiento de comercio de la persona natural, solo será válida mediante la presentación de los documentos establecidos </w:t>
      </w:r>
      <w:r w:rsidRPr="00A84F7C">
        <w:rPr>
          <w:rFonts w:ascii="Arial" w:eastAsia="Calibri" w:hAnsi="Arial" w:cs="Arial"/>
          <w:bCs/>
        </w:rPr>
        <w:lastRenderedPageBreak/>
        <w:t xml:space="preserve">en el numeral 3 de la norma señalada, esto es, </w:t>
      </w:r>
      <w:r w:rsidRPr="00A84F7C">
        <w:rPr>
          <w:rFonts w:ascii="Arial" w:eastAsia="Calibri" w:hAnsi="Arial" w:cs="Arial"/>
          <w:lang w:val="es-ES_tradnl"/>
        </w:rPr>
        <w:t>adjuntando copia de la cédula de ciudadanía, cédula de extranjería o pasaporte y copia del registro mercantil</w:t>
      </w:r>
      <w:r w:rsidRPr="00A84F7C">
        <w:rPr>
          <w:rFonts w:ascii="Arial" w:hAnsi="Arial" w:cs="Arial"/>
        </w:rPr>
        <w:t xml:space="preserve">. </w:t>
      </w:r>
    </w:p>
    <w:p w14:paraId="6C994388" w14:textId="67EFDFDD" w:rsidR="00A84F7C" w:rsidRPr="00A84F7C" w:rsidRDefault="00A84F7C" w:rsidP="00A84F7C">
      <w:pPr>
        <w:spacing w:before="120" w:after="120" w:line="276" w:lineRule="auto"/>
        <w:ind w:firstLine="709"/>
        <w:jc w:val="both"/>
        <w:rPr>
          <w:rFonts w:ascii="Arial" w:eastAsia="Calibri" w:hAnsi="Arial" w:cs="Arial"/>
          <w:bCs/>
          <w:color w:val="000000"/>
          <w:lang w:val="es-ES_tradnl"/>
        </w:rPr>
      </w:pPr>
      <w:bookmarkStart w:id="12" w:name="_Hlk108537388"/>
      <w:bookmarkEnd w:id="10"/>
      <w:bookmarkEnd w:id="11"/>
      <w:r w:rsidRPr="00A84F7C">
        <w:rPr>
          <w:rFonts w:ascii="Arial" w:eastAsia="Calibri" w:hAnsi="Arial" w:cs="Arial"/>
          <w:bCs/>
          <w:color w:val="000000"/>
          <w:lang w:val="es-ES_tradnl"/>
        </w:rPr>
        <w:t xml:space="preserve">Debe agregarse a las consideraciones sobre la regulación de los criterios diferenciales </w:t>
      </w:r>
      <w:r w:rsidR="00C211C8">
        <w:rPr>
          <w:rFonts w:ascii="Arial" w:eastAsia="Calibri" w:hAnsi="Arial" w:cs="Arial"/>
          <w:bCs/>
          <w:color w:val="000000"/>
          <w:lang w:val="es-ES_tradnl"/>
        </w:rPr>
        <w:t>para</w:t>
      </w:r>
      <w:r w:rsidRPr="00A84F7C">
        <w:rPr>
          <w:rFonts w:ascii="Arial" w:eastAsia="Calibri" w:hAnsi="Arial" w:cs="Arial"/>
          <w:bCs/>
          <w:color w:val="000000"/>
          <w:lang w:val="es-ES_tradnl"/>
        </w:rPr>
        <w:t xml:space="preserve"> las empresas y los emprendimientos de mujeres que</w:t>
      </w:r>
      <w:r w:rsidR="00C211C8">
        <w:rPr>
          <w:rFonts w:ascii="Arial" w:eastAsia="Calibri" w:hAnsi="Arial" w:cs="Arial"/>
          <w:bCs/>
          <w:color w:val="000000"/>
          <w:lang w:val="es-ES_tradnl"/>
        </w:rPr>
        <w:t>,</w:t>
      </w:r>
      <w:r w:rsidRPr="00A84F7C">
        <w:rPr>
          <w:rFonts w:ascii="Arial" w:eastAsia="Calibri" w:hAnsi="Arial" w:cs="Arial"/>
          <w:bCs/>
          <w:color w:val="000000"/>
          <w:lang w:val="es-ES_tradnl"/>
        </w:rPr>
        <w:t xml:space="preserve"> 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 </w:t>
      </w:r>
    </w:p>
    <w:bookmarkEnd w:id="12"/>
    <w:p w14:paraId="4EC0AA85" w14:textId="77777777" w:rsidR="00A84F7C" w:rsidRPr="00A84F7C" w:rsidRDefault="00A84F7C" w:rsidP="00A84F7C">
      <w:pPr>
        <w:spacing w:after="120" w:line="276" w:lineRule="auto"/>
        <w:ind w:firstLine="708"/>
        <w:jc w:val="both"/>
        <w:rPr>
          <w:rFonts w:ascii="Arial" w:eastAsia="Times New Roman" w:hAnsi="Arial" w:cs="Arial"/>
          <w:lang w:eastAsia="es-CO"/>
        </w:rPr>
      </w:pPr>
      <w:r w:rsidRPr="00A84F7C">
        <w:rPr>
          <w:rFonts w:ascii="Arial" w:eastAsia="Times New Roman" w:hAnsi="Arial" w:cs="Arial"/>
          <w:lang w:eastAsia="es-CO"/>
        </w:rPr>
        <w:t>Finalmente, debe agregarse que el artículo 2.2.1.2.4.2.15 del Decreto 1082 de 2015</w:t>
      </w:r>
      <w:r w:rsidRPr="00A84F7C">
        <w:rPr>
          <w:rFonts w:ascii="Arial" w:eastAsia="Times New Roman" w:hAnsi="Arial" w:cs="Arial"/>
          <w:vertAlign w:val="superscript"/>
          <w:lang w:eastAsia="es-CO"/>
        </w:rPr>
        <w:footnoteReference w:id="19"/>
      </w:r>
      <w:r w:rsidRPr="00A84F7C">
        <w:rPr>
          <w:rFonts w:ascii="Arial" w:eastAsia="Times New Roman" w:hAnsi="Arial" w:cs="Arial"/>
          <w:lang w:eastAsia="es-CO"/>
        </w:rPr>
        <w:t xml:space="preserve">, adicionado por el Decreto 1860 de 2021, complementa la regulación de criterios diferenciales estableciendo unos requisitos habilitantes diferenciales para incentivar </w:t>
      </w:r>
      <w:r w:rsidRPr="00A84F7C">
        <w:rPr>
          <w:rFonts w:ascii="Arial" w:eastAsia="Times New Roman" w:hAnsi="Arial" w:cs="Arial"/>
          <w:lang w:eastAsia="es-CO"/>
        </w:rPr>
        <w:lastRenderedPageBreak/>
        <w:t>emprendimientos y empresas de mujeres, que deben ser menos rigurosos respecto a los contemplados para los proponentes que no cumplan con alguna de los criterios del artículo 2.2.1.2.4.2.14. Del mismo modo, el artículo 2.2.1.2.4.2.15 también regula un puntaje adicional</w:t>
      </w:r>
      <w:r w:rsidRPr="00A84F7C">
        <w:rPr>
          <w:rFonts w:ascii="Times New Roman" w:eastAsia="Times New Roman" w:hAnsi="Times New Roman" w:cs="Times New Roman"/>
          <w:lang w:eastAsia="es-ES_tradnl"/>
        </w:rPr>
        <w:t xml:space="preserve"> </w:t>
      </w:r>
      <w:r w:rsidRPr="00A84F7C">
        <w:rPr>
          <w:rFonts w:ascii="Arial" w:eastAsia="Times New Roman" w:hAnsi="Arial" w:cs="Arial"/>
          <w:lang w:eastAsia="es-CO"/>
        </w:rPr>
        <w:t>de hasta el 0,25% del valor total de los puntos establecidos en los pliegos de condiciones o documentos equivalentes, para los proponentes que acrediten alguno de los supuestos del artículo 2.2.1.2.4.2.14. En ultimas, frente a las personas naturales es claro que la norma dispuso, en el numeral 3 del artículo 2.2.1.2.4.2.14. las condiciones para que esta sea catalogada como acreedora de un emprendimiento o empresa de mujeres, bajo el entendido en que “sea una mujer y haya ejercido actividades comerciales a través de un establecimiento de comercio durante al menos el último año anterior a la fecha de cierre del proceso de selección</w:t>
      </w:r>
      <w:r w:rsidRPr="00A84F7C">
        <w:rPr>
          <w:rFonts w:ascii="Arial" w:eastAsia="Calibri" w:hAnsi="Arial" w:cs="Arial"/>
        </w:rPr>
        <w:t xml:space="preserve">” y acreditando esta circunstancia </w:t>
      </w:r>
      <w:r w:rsidRPr="00A84F7C">
        <w:rPr>
          <w:rFonts w:ascii="Arial" w:eastAsia="Times New Roman" w:hAnsi="Arial" w:cs="Arial"/>
          <w:lang w:eastAsia="es-CO"/>
        </w:rPr>
        <w:t xml:space="preserve">“mediante la copia de cédula de ciudadanía, la cédula de extranjería o el pasaporte, así como la copia del registro mercantil.”. Los demás numerales del mencionado artículo corresponden a la acreditación de circunstancias, </w:t>
      </w:r>
      <w:proofErr w:type="gramStart"/>
      <w:r w:rsidRPr="00A84F7C">
        <w:rPr>
          <w:rFonts w:ascii="Arial" w:eastAsia="Times New Roman" w:hAnsi="Arial" w:cs="Arial"/>
          <w:lang w:eastAsia="es-CO"/>
        </w:rPr>
        <w:t>que</w:t>
      </w:r>
      <w:proofErr w:type="gramEnd"/>
      <w:r w:rsidRPr="00A84F7C">
        <w:rPr>
          <w:rFonts w:ascii="Arial" w:eastAsia="Times New Roman" w:hAnsi="Arial" w:cs="Arial"/>
          <w:lang w:eastAsia="es-CO"/>
        </w:rPr>
        <w:t xml:space="preserve"> por sus particularidades jurídicas, deben acreditar exclusivamente las personas jurídicas, sociedades o asociaciones y cooperativas. </w:t>
      </w:r>
    </w:p>
    <w:p w14:paraId="505AA2BB" w14:textId="77777777" w:rsidR="00A84F7C" w:rsidRPr="00A84F7C" w:rsidRDefault="00A84F7C" w:rsidP="000F0371">
      <w:pPr>
        <w:spacing w:after="0" w:line="276" w:lineRule="auto"/>
        <w:ind w:firstLine="708"/>
        <w:jc w:val="both"/>
        <w:rPr>
          <w:rFonts w:ascii="Arial" w:eastAsia="Times New Roman" w:hAnsi="Arial" w:cs="Arial"/>
          <w:lang w:eastAsia="es-CO"/>
        </w:rPr>
      </w:pPr>
      <w:r w:rsidRPr="00A84F7C">
        <w:rPr>
          <w:rFonts w:ascii="Arial" w:eastAsia="Times New Roman" w:hAnsi="Arial" w:cs="Arial"/>
          <w:lang w:eastAsia="es-CO"/>
        </w:rPr>
        <w:t>Conforme lo expuesto, el artículo citado</w:t>
      </w:r>
      <w:r w:rsidRPr="00A84F7C">
        <w:rPr>
          <w:rFonts w:ascii="Arial" w:eastAsia="Calibri" w:hAnsi="Arial" w:cs="Arial"/>
          <w:lang w:val="es-ES_tradnl"/>
        </w:rPr>
        <w:t xml:space="preserve">, para efectos de la aplicación de los criterios diferenciales en el sistema de compras públicas en los términos del artículo 32 de la Ley 2069 de 2020, </w:t>
      </w:r>
      <w:r w:rsidRPr="000F0371">
        <w:rPr>
          <w:rFonts w:ascii="Arial" w:eastAsia="Calibri" w:hAnsi="Arial" w:cs="Arial"/>
          <w:lang w:val="es-ES_tradnl"/>
        </w:rPr>
        <w:t>se considerarán emprendimientos o empresas de mujeres las personas jurídicas o naturales que cumplan alguno de los cuatro supuestos de hecho previstos en la norma citada y acrediten estos supuestos de hecho con los documentos previstos para ello en la misma</w:t>
      </w:r>
      <w:r w:rsidRPr="00A84F7C">
        <w:rPr>
          <w:rFonts w:ascii="Arial" w:eastAsia="Calibri" w:hAnsi="Arial" w:cs="Arial"/>
          <w:lang w:val="es-ES_tradnl"/>
        </w:rPr>
        <w:t xml:space="preserve">. Nótese que la disposición estudiada señala de forma taxativa los requisitos que se exigen cuando se trata de persona natural y cuando se trata de persona jurídica, pero no se dice que uno de los numerales sea extensivo frente a otros supuestos. </w:t>
      </w:r>
      <w:r w:rsidRPr="00A84F7C">
        <w:rPr>
          <w:rFonts w:ascii="Arial" w:eastAsia="Times New Roman" w:hAnsi="Arial" w:cs="Arial"/>
          <w:lang w:eastAsia="es-CO"/>
        </w:rPr>
        <w:t>Por lo tanto, la presente interpretación además se impone en virtud de aquella regla según la cual “cuando el sentido de la ley sea claro, no se desatenderá su tenor literal a pretexto de consultar su espíritu”</w:t>
      </w:r>
      <w:r w:rsidRPr="00A84F7C">
        <w:rPr>
          <w:rFonts w:ascii="Arial" w:eastAsia="Times New Roman" w:hAnsi="Arial" w:cs="Arial"/>
          <w:vertAlign w:val="superscript"/>
          <w:lang w:eastAsia="es-CO"/>
        </w:rPr>
        <w:footnoteReference w:id="20"/>
      </w:r>
      <w:r w:rsidRPr="00A84F7C">
        <w:rPr>
          <w:rFonts w:ascii="Arial" w:eastAsia="Times New Roman" w:hAnsi="Arial" w:cs="Arial"/>
          <w:lang w:eastAsia="es-CO"/>
        </w:rPr>
        <w:t xml:space="preserve">. </w:t>
      </w:r>
    </w:p>
    <w:p w14:paraId="4021C7C9" w14:textId="77777777" w:rsidR="00A84F7C" w:rsidRPr="00A84F7C" w:rsidRDefault="00A84F7C" w:rsidP="00A84F7C">
      <w:pPr>
        <w:spacing w:after="0" w:line="276" w:lineRule="auto"/>
        <w:jc w:val="both"/>
        <w:rPr>
          <w:rFonts w:ascii="Arial" w:eastAsia="Times New Roman" w:hAnsi="Arial" w:cs="Arial"/>
          <w:color w:val="FF0000"/>
          <w:lang w:eastAsia="es-CO"/>
        </w:rPr>
      </w:pPr>
      <w:r w:rsidRPr="00A84F7C">
        <w:rPr>
          <w:rFonts w:ascii="Arial" w:eastAsia="Times New Roman" w:hAnsi="Arial" w:cs="Arial"/>
          <w:lang w:eastAsia="es-CO"/>
        </w:rPr>
        <w:tab/>
      </w:r>
    </w:p>
    <w:p w14:paraId="6AFA3A6A" w14:textId="77777777" w:rsidR="00A84F7C" w:rsidRPr="00A84F7C" w:rsidRDefault="00A84F7C" w:rsidP="00A84F7C">
      <w:pPr>
        <w:tabs>
          <w:tab w:val="left" w:pos="0"/>
        </w:tabs>
        <w:spacing w:after="0" w:line="240" w:lineRule="auto"/>
        <w:jc w:val="both"/>
        <w:rPr>
          <w:rFonts w:ascii="Arial" w:eastAsia="Calibri" w:hAnsi="Arial" w:cs="Arial"/>
          <w:b/>
          <w:szCs w:val="24"/>
          <w:lang w:val="es-ES_tradnl" w:eastAsia="es-ES_tradnl"/>
        </w:rPr>
      </w:pPr>
      <w:r w:rsidRPr="00A84F7C">
        <w:rPr>
          <w:rFonts w:ascii="Arial" w:eastAsia="Calibri" w:hAnsi="Arial" w:cs="Arial"/>
          <w:b/>
          <w:szCs w:val="24"/>
          <w:lang w:val="es-ES_tradnl" w:eastAsia="es-ES_tradnl"/>
        </w:rPr>
        <w:t>3. Respuestas</w:t>
      </w:r>
    </w:p>
    <w:p w14:paraId="1C9FF0E4" w14:textId="77777777" w:rsidR="00A84F7C" w:rsidRPr="00A84F7C" w:rsidRDefault="00A84F7C" w:rsidP="00A84F7C">
      <w:pPr>
        <w:tabs>
          <w:tab w:val="left" w:pos="0"/>
        </w:tabs>
        <w:spacing w:after="0" w:line="240" w:lineRule="auto"/>
        <w:jc w:val="both"/>
        <w:rPr>
          <w:rFonts w:ascii="Arial" w:eastAsia="Calibri" w:hAnsi="Arial" w:cs="Arial"/>
          <w:szCs w:val="24"/>
          <w:lang w:val="es-ES_tradnl" w:eastAsia="es-ES_tradnl"/>
        </w:rPr>
      </w:pPr>
    </w:p>
    <w:p w14:paraId="6E4938D0" w14:textId="7AD53ED3" w:rsidR="00A84F7C" w:rsidRPr="00A84F7C" w:rsidRDefault="00A84F7C" w:rsidP="00A84F7C">
      <w:pPr>
        <w:autoSpaceDE w:val="0"/>
        <w:autoSpaceDN w:val="0"/>
        <w:adjustRightInd w:val="0"/>
        <w:spacing w:after="0" w:line="240" w:lineRule="auto"/>
        <w:ind w:left="709" w:right="709"/>
        <w:contextualSpacing/>
        <w:jc w:val="both"/>
        <w:rPr>
          <w:rFonts w:ascii="Arial" w:eastAsia="Calibri" w:hAnsi="Arial" w:cs="Arial"/>
          <w:sz w:val="21"/>
          <w:szCs w:val="21"/>
        </w:rPr>
      </w:pPr>
      <w:r w:rsidRPr="00A84F7C">
        <w:rPr>
          <w:rFonts w:ascii="Arial" w:eastAsia="Calibri" w:hAnsi="Arial" w:cs="Arial"/>
          <w:sz w:val="21"/>
          <w:szCs w:val="21"/>
        </w:rPr>
        <w:t>“¿Para el caso de una persona natural hombre, como es mi caso, no aplica la asignación de puntaje adicional por emprendimiento de mujeres? o ¿En qué caso podría acceder a ese puntaje, es decir puedo vincular a una mujer en un cargo directivo</w:t>
      </w:r>
      <w:r w:rsidR="006F376A">
        <w:rPr>
          <w:rFonts w:ascii="Arial" w:eastAsia="Calibri" w:hAnsi="Arial" w:cs="Arial"/>
          <w:sz w:val="21"/>
          <w:szCs w:val="21"/>
        </w:rPr>
        <w:t xml:space="preserve"> </w:t>
      </w:r>
      <w:proofErr w:type="spellStart"/>
      <w:r w:rsidR="006F376A">
        <w:rPr>
          <w:rFonts w:ascii="Arial" w:eastAsia="Calibri" w:hAnsi="Arial" w:cs="Arial"/>
          <w:sz w:val="21"/>
          <w:szCs w:val="21"/>
        </w:rPr>
        <w:t>argo</w:t>
      </w:r>
      <w:r w:rsidRPr="00A84F7C">
        <w:rPr>
          <w:rFonts w:ascii="Arial" w:eastAsia="Calibri" w:hAnsi="Arial" w:cs="Arial"/>
          <w:sz w:val="21"/>
          <w:szCs w:val="21"/>
        </w:rPr>
        <w:t>de</w:t>
      </w:r>
      <w:proofErr w:type="spellEnd"/>
      <w:r w:rsidRPr="00A84F7C">
        <w:rPr>
          <w:rFonts w:ascii="Arial" w:eastAsia="Calibri" w:hAnsi="Arial" w:cs="Arial"/>
          <w:sz w:val="21"/>
          <w:szCs w:val="21"/>
        </w:rPr>
        <w:t xml:space="preserve"> la persona natural para acceder a este puntaje?</w:t>
      </w:r>
      <w:r w:rsidR="00A82E60">
        <w:rPr>
          <w:rFonts w:ascii="Arial" w:eastAsia="Calibri" w:hAnsi="Arial" w:cs="Arial"/>
          <w:sz w:val="21"/>
          <w:szCs w:val="21"/>
        </w:rPr>
        <w:t>”</w:t>
      </w:r>
      <w:r w:rsidRPr="00A84F7C">
        <w:rPr>
          <w:rFonts w:ascii="Arial" w:eastAsia="Calibri" w:hAnsi="Arial" w:cs="Arial"/>
          <w:sz w:val="21"/>
          <w:szCs w:val="21"/>
        </w:rPr>
        <w:t xml:space="preserve"> </w:t>
      </w:r>
      <w:r w:rsidRPr="00A84F7C">
        <w:rPr>
          <w:rFonts w:ascii="Arial" w:eastAsia="Times New Roman" w:hAnsi="Arial" w:cs="Arial"/>
          <w:sz w:val="21"/>
          <w:szCs w:val="21"/>
          <w:lang w:eastAsia="es-ES_tradnl"/>
        </w:rPr>
        <w:t>[SIC]</w:t>
      </w:r>
    </w:p>
    <w:p w14:paraId="727BD544" w14:textId="77777777" w:rsidR="00A84F7C" w:rsidRPr="00A84F7C" w:rsidRDefault="00A84F7C" w:rsidP="00A84F7C">
      <w:pPr>
        <w:autoSpaceDE w:val="0"/>
        <w:autoSpaceDN w:val="0"/>
        <w:adjustRightInd w:val="0"/>
        <w:spacing w:after="0" w:line="240" w:lineRule="auto"/>
        <w:ind w:left="709" w:right="709"/>
        <w:jc w:val="both"/>
        <w:rPr>
          <w:rFonts w:ascii="Arial" w:eastAsia="Calibri" w:hAnsi="Arial" w:cs="Arial"/>
          <w:sz w:val="21"/>
          <w:szCs w:val="21"/>
        </w:rPr>
      </w:pPr>
    </w:p>
    <w:p w14:paraId="2ECBFE59" w14:textId="26C7E4EB" w:rsidR="00167A73" w:rsidRPr="00A84F7C" w:rsidRDefault="00A84F7C" w:rsidP="000F0371">
      <w:pPr>
        <w:spacing w:after="120" w:line="276" w:lineRule="auto"/>
        <w:jc w:val="both"/>
        <w:rPr>
          <w:rFonts w:ascii="Arial" w:eastAsia="Calibri" w:hAnsi="Arial" w:cs="Arial"/>
          <w:color w:val="000000"/>
          <w:szCs w:val="24"/>
          <w:lang w:eastAsia="es-ES_tradnl"/>
        </w:rPr>
      </w:pPr>
      <w:r>
        <w:rPr>
          <w:rFonts w:ascii="Arial" w:eastAsia="Calibri" w:hAnsi="Arial" w:cs="Arial"/>
          <w:color w:val="000000"/>
          <w:szCs w:val="24"/>
          <w:lang w:eastAsia="es-ES_tradnl"/>
        </w:rPr>
        <w:lastRenderedPageBreak/>
        <w:t>Conforme a lo expuesto</w:t>
      </w:r>
      <w:r w:rsidR="00167A73">
        <w:rPr>
          <w:rFonts w:ascii="Arial" w:eastAsia="Calibri" w:hAnsi="Arial" w:cs="Arial"/>
          <w:color w:val="000000"/>
          <w:szCs w:val="24"/>
          <w:lang w:eastAsia="es-ES_tradnl"/>
        </w:rPr>
        <w:t xml:space="preserve"> </w:t>
      </w:r>
      <w:r w:rsidR="00167A73" w:rsidRPr="000F0371">
        <w:rPr>
          <w:rFonts w:ascii="Arial" w:eastAsia="Calibri" w:hAnsi="Arial" w:cs="Arial"/>
          <w:i/>
          <w:iCs/>
          <w:color w:val="000000"/>
          <w:szCs w:val="24"/>
          <w:lang w:eastAsia="es-ES_tradnl"/>
        </w:rPr>
        <w:t>ut supra</w:t>
      </w:r>
      <w:r w:rsidR="00BC0707">
        <w:rPr>
          <w:rFonts w:ascii="Arial" w:eastAsia="Calibri" w:hAnsi="Arial" w:cs="Arial"/>
          <w:color w:val="000000"/>
          <w:szCs w:val="24"/>
          <w:lang w:eastAsia="es-ES_tradnl"/>
        </w:rPr>
        <w:t>,</w:t>
      </w:r>
      <w:r w:rsidR="00C83E6F">
        <w:rPr>
          <w:rFonts w:ascii="Arial" w:eastAsia="Calibri" w:hAnsi="Arial" w:cs="Arial"/>
          <w:color w:val="000000"/>
          <w:szCs w:val="24"/>
          <w:lang w:eastAsia="es-ES_tradnl"/>
        </w:rPr>
        <w:t xml:space="preserve"> emitir juicios de valor respecto de </w:t>
      </w:r>
      <w:r w:rsidR="00CA215E">
        <w:rPr>
          <w:rFonts w:ascii="Arial" w:eastAsia="Calibri" w:hAnsi="Arial" w:cs="Arial"/>
          <w:color w:val="000000"/>
          <w:szCs w:val="24"/>
          <w:lang w:eastAsia="es-ES_tradnl"/>
        </w:rPr>
        <w:t xml:space="preserve">actuaciones administrativas adelantadas por otras entidades es un asunto que desborda </w:t>
      </w:r>
      <w:r w:rsidR="00167A73" w:rsidRPr="00A84F7C">
        <w:rPr>
          <w:rFonts w:ascii="Arial" w:eastAsia="Calibri" w:hAnsi="Arial" w:cs="Arial"/>
          <w:color w:val="000000"/>
          <w:szCs w:val="24"/>
          <w:lang w:eastAsia="es-ES_tradnl"/>
        </w:rPr>
        <w:t xml:space="preserve">la competencia </w:t>
      </w:r>
      <w:r w:rsidR="00BC0707">
        <w:rPr>
          <w:rFonts w:ascii="Arial" w:eastAsia="Calibri" w:hAnsi="Arial" w:cs="Arial"/>
          <w:color w:val="000000"/>
          <w:szCs w:val="24"/>
          <w:lang w:eastAsia="es-ES_tradnl"/>
        </w:rPr>
        <w:t>consultiva</w:t>
      </w:r>
      <w:r w:rsidR="00C83E6F">
        <w:rPr>
          <w:rFonts w:ascii="Arial" w:eastAsia="Calibri" w:hAnsi="Arial" w:cs="Arial"/>
          <w:color w:val="000000"/>
          <w:szCs w:val="24"/>
          <w:lang w:eastAsia="es-ES_tradnl"/>
        </w:rPr>
        <w:t xml:space="preserve"> atribu</w:t>
      </w:r>
      <w:r w:rsidR="00CA215E">
        <w:rPr>
          <w:rFonts w:ascii="Arial" w:eastAsia="Calibri" w:hAnsi="Arial" w:cs="Arial"/>
          <w:color w:val="000000"/>
          <w:szCs w:val="24"/>
          <w:lang w:eastAsia="es-ES_tradnl"/>
        </w:rPr>
        <w:t>i</w:t>
      </w:r>
      <w:r w:rsidR="00C83E6F">
        <w:rPr>
          <w:rFonts w:ascii="Arial" w:eastAsia="Calibri" w:hAnsi="Arial" w:cs="Arial"/>
          <w:color w:val="000000"/>
          <w:szCs w:val="24"/>
          <w:lang w:eastAsia="es-ES_tradnl"/>
        </w:rPr>
        <w:t>da</w:t>
      </w:r>
      <w:r w:rsidR="00167A73" w:rsidRPr="00A84F7C">
        <w:rPr>
          <w:rFonts w:ascii="Arial" w:eastAsia="Calibri" w:hAnsi="Arial" w:cs="Arial"/>
          <w:color w:val="000000"/>
          <w:szCs w:val="24"/>
          <w:lang w:eastAsia="es-ES_tradnl"/>
        </w:rPr>
        <w:t xml:space="preserve"> </w:t>
      </w:r>
      <w:r w:rsidR="00CA215E">
        <w:rPr>
          <w:rFonts w:ascii="Arial" w:eastAsia="Calibri" w:hAnsi="Arial" w:cs="Arial"/>
          <w:color w:val="000000"/>
          <w:szCs w:val="24"/>
          <w:lang w:eastAsia="es-ES_tradnl"/>
        </w:rPr>
        <w:t xml:space="preserve">a </w:t>
      </w:r>
      <w:r w:rsidR="00167A73" w:rsidRPr="00A84F7C">
        <w:rPr>
          <w:rFonts w:ascii="Arial" w:eastAsia="Calibri" w:hAnsi="Arial" w:cs="Arial"/>
          <w:color w:val="000000"/>
          <w:szCs w:val="24"/>
          <w:lang w:eastAsia="es-ES_tradnl"/>
        </w:rPr>
        <w:t>la Agencia Nacional de Contratación Pública – Colombia Compra Eficiente</w:t>
      </w:r>
      <w:r w:rsidR="00CA215E">
        <w:rPr>
          <w:rFonts w:ascii="Arial" w:eastAsia="Calibri" w:hAnsi="Arial" w:cs="Arial"/>
          <w:color w:val="000000"/>
          <w:szCs w:val="24"/>
          <w:lang w:eastAsia="es-ES_tradnl"/>
        </w:rPr>
        <w:t xml:space="preserve">–por el </w:t>
      </w:r>
      <w:r w:rsidR="00CA215E" w:rsidRPr="00A84F7C">
        <w:rPr>
          <w:rFonts w:ascii="Arial" w:eastAsia="Calibri" w:hAnsi="Arial" w:cs="Arial"/>
          <w:color w:val="000000"/>
          <w:szCs w:val="24"/>
          <w:lang w:eastAsia="es-ES_tradnl"/>
        </w:rPr>
        <w:t>numeral 5</w:t>
      </w:r>
      <w:r w:rsidR="00CA215E">
        <w:rPr>
          <w:rFonts w:ascii="Arial" w:eastAsia="Calibri" w:hAnsi="Arial" w:cs="Arial"/>
          <w:color w:val="000000"/>
          <w:szCs w:val="24"/>
          <w:lang w:eastAsia="es-ES_tradnl"/>
        </w:rPr>
        <w:t>°</w:t>
      </w:r>
      <w:r w:rsidR="00CA215E" w:rsidRPr="00A84F7C">
        <w:rPr>
          <w:rFonts w:ascii="Arial" w:eastAsia="Calibri" w:hAnsi="Arial" w:cs="Arial"/>
          <w:color w:val="000000"/>
          <w:szCs w:val="24"/>
          <w:lang w:eastAsia="es-ES_tradnl"/>
        </w:rPr>
        <w:t xml:space="preserve"> del artículo 3 y el numeral 8</w:t>
      </w:r>
      <w:r w:rsidR="00CA215E">
        <w:rPr>
          <w:rFonts w:ascii="Arial" w:eastAsia="Calibri" w:hAnsi="Arial" w:cs="Arial"/>
          <w:color w:val="000000"/>
          <w:szCs w:val="24"/>
          <w:lang w:eastAsia="es-ES_tradnl"/>
        </w:rPr>
        <w:t>°</w:t>
      </w:r>
      <w:r w:rsidR="00CA215E" w:rsidRPr="00A84F7C">
        <w:rPr>
          <w:rFonts w:ascii="Arial" w:eastAsia="Calibri" w:hAnsi="Arial" w:cs="Arial"/>
          <w:color w:val="000000"/>
          <w:szCs w:val="24"/>
          <w:lang w:eastAsia="es-ES_tradnl"/>
        </w:rPr>
        <w:t xml:space="preserve"> del artículo 11 del Decreto 4170 de 2011</w:t>
      </w:r>
      <w:r w:rsidR="00CA215E">
        <w:rPr>
          <w:rFonts w:ascii="Arial" w:eastAsia="Calibri" w:hAnsi="Arial" w:cs="Arial"/>
          <w:color w:val="000000"/>
          <w:szCs w:val="24"/>
          <w:lang w:eastAsia="es-ES_tradnl"/>
        </w:rPr>
        <w:t xml:space="preserve">. Dicha </w:t>
      </w:r>
      <w:r w:rsidR="00700F6F">
        <w:rPr>
          <w:rFonts w:ascii="Arial" w:eastAsia="Calibri" w:hAnsi="Arial" w:cs="Arial"/>
          <w:color w:val="000000"/>
          <w:szCs w:val="24"/>
          <w:lang w:eastAsia="es-ES_tradnl"/>
        </w:rPr>
        <w:t>función se limita a la resolución</w:t>
      </w:r>
      <w:r w:rsidR="00CA215E" w:rsidRPr="00A84F7C">
        <w:rPr>
          <w:rFonts w:ascii="Arial" w:eastAsia="Calibri" w:hAnsi="Arial" w:cs="Arial"/>
          <w:color w:val="000000"/>
          <w:szCs w:val="24"/>
          <w:lang w:eastAsia="es-ES_tradnl"/>
        </w:rPr>
        <w:t xml:space="preserve"> </w:t>
      </w:r>
      <w:r w:rsidR="00700F6F">
        <w:rPr>
          <w:rFonts w:ascii="Arial" w:eastAsia="Calibri" w:hAnsi="Arial" w:cs="Arial"/>
          <w:color w:val="000000"/>
          <w:szCs w:val="24"/>
          <w:lang w:eastAsia="es-ES_tradnl"/>
        </w:rPr>
        <w:t xml:space="preserve">de </w:t>
      </w:r>
      <w:r w:rsidR="00167A73" w:rsidRPr="00A84F7C">
        <w:rPr>
          <w:rFonts w:ascii="Arial" w:eastAsia="Calibri" w:hAnsi="Arial" w:cs="Arial"/>
          <w:color w:val="000000"/>
          <w:szCs w:val="24"/>
          <w:lang w:eastAsia="es-ES_tradnl"/>
        </w:rPr>
        <w:t>consultas sobre la</w:t>
      </w:r>
      <w:r w:rsidR="00700F6F">
        <w:rPr>
          <w:rFonts w:ascii="Arial" w:eastAsia="Calibri" w:hAnsi="Arial" w:cs="Arial"/>
          <w:color w:val="000000"/>
          <w:szCs w:val="24"/>
          <w:lang w:eastAsia="es-ES_tradnl"/>
        </w:rPr>
        <w:t xml:space="preserve"> aplicación de normas de </w:t>
      </w:r>
      <w:r w:rsidR="006F3382">
        <w:rPr>
          <w:rFonts w:ascii="Arial" w:eastAsia="Calibri" w:hAnsi="Arial" w:cs="Arial"/>
          <w:color w:val="000000"/>
          <w:szCs w:val="24"/>
          <w:lang w:eastAsia="es-ES_tradnl"/>
        </w:rPr>
        <w:t>alcance general</w:t>
      </w:r>
      <w:r w:rsidR="00167A73" w:rsidRPr="00A84F7C">
        <w:rPr>
          <w:rFonts w:ascii="Arial" w:eastAsia="Calibri" w:hAnsi="Arial" w:cs="Arial"/>
          <w:color w:val="000000"/>
          <w:szCs w:val="24"/>
          <w:lang w:eastAsia="es-ES_tradnl"/>
        </w:rPr>
        <w:t xml:space="preserve"> </w:t>
      </w:r>
      <w:r w:rsidR="006F3382">
        <w:rPr>
          <w:rFonts w:ascii="Arial" w:eastAsia="Calibri" w:hAnsi="Arial" w:cs="Arial"/>
          <w:color w:val="000000"/>
          <w:szCs w:val="24"/>
          <w:lang w:eastAsia="es-ES_tradnl"/>
        </w:rPr>
        <w:t xml:space="preserve">en materia de </w:t>
      </w:r>
      <w:r w:rsidR="00167A73" w:rsidRPr="00A84F7C">
        <w:rPr>
          <w:rFonts w:ascii="Arial" w:eastAsia="Calibri" w:hAnsi="Arial" w:cs="Arial"/>
          <w:color w:val="000000"/>
          <w:szCs w:val="24"/>
          <w:lang w:eastAsia="es-ES_tradnl"/>
        </w:rPr>
        <w:t>contratación estatal y compras públicas</w:t>
      </w:r>
      <w:r w:rsidR="006F3382">
        <w:rPr>
          <w:rFonts w:ascii="Arial" w:eastAsia="Calibri" w:hAnsi="Arial" w:cs="Arial"/>
          <w:color w:val="000000"/>
          <w:szCs w:val="24"/>
          <w:lang w:eastAsia="es-ES_tradnl"/>
        </w:rPr>
        <w:t>,</w:t>
      </w:r>
      <w:r w:rsidR="00802307">
        <w:rPr>
          <w:rFonts w:ascii="Arial" w:eastAsia="Calibri" w:hAnsi="Arial" w:cs="Arial"/>
          <w:color w:val="000000"/>
          <w:szCs w:val="24"/>
          <w:lang w:eastAsia="es-ES_tradnl"/>
        </w:rPr>
        <w:t xml:space="preserve"> mas no </w:t>
      </w:r>
      <w:r w:rsidR="00167A73" w:rsidRPr="00A84F7C">
        <w:rPr>
          <w:rFonts w:ascii="Arial" w:eastAsia="Calibri" w:hAnsi="Arial" w:cs="Arial"/>
          <w:color w:val="000000"/>
          <w:szCs w:val="24"/>
          <w:lang w:eastAsia="es-ES_tradnl"/>
        </w:rPr>
        <w:t>puede extenderse a la resolución de</w:t>
      </w:r>
      <w:r w:rsidR="00802307">
        <w:rPr>
          <w:rFonts w:ascii="Arial" w:eastAsia="Calibri" w:hAnsi="Arial" w:cs="Arial"/>
          <w:color w:val="000000"/>
          <w:szCs w:val="24"/>
          <w:lang w:eastAsia="es-ES_tradnl"/>
        </w:rPr>
        <w:t xml:space="preserve"> problemas jurídicos particulares,</w:t>
      </w:r>
      <w:r w:rsidR="00167A73" w:rsidRPr="00A84F7C">
        <w:rPr>
          <w:rFonts w:ascii="Arial" w:eastAsia="Calibri" w:hAnsi="Arial" w:cs="Arial"/>
          <w:color w:val="000000"/>
          <w:szCs w:val="24"/>
          <w:lang w:eastAsia="es-ES_tradnl"/>
        </w:rPr>
        <w:t xml:space="preserve"> ni a brindar asesorías sobre casos puntuales.</w:t>
      </w:r>
      <w:r w:rsidR="0060353D">
        <w:rPr>
          <w:rFonts w:ascii="Arial" w:eastAsia="Calibri" w:hAnsi="Arial" w:cs="Arial"/>
          <w:color w:val="000000"/>
          <w:szCs w:val="24"/>
          <w:lang w:eastAsia="es-ES_tradnl"/>
        </w:rPr>
        <w:t xml:space="preserve"> Esto sobre todo considerando que</w:t>
      </w:r>
      <w:r w:rsidR="00CB0DD3">
        <w:rPr>
          <w:rFonts w:ascii="Arial" w:eastAsia="Calibri" w:hAnsi="Arial" w:cs="Arial"/>
          <w:color w:val="000000"/>
          <w:szCs w:val="24"/>
          <w:lang w:eastAsia="es-ES_tradnl"/>
        </w:rPr>
        <w:t>,</w:t>
      </w:r>
      <w:r w:rsidR="0060353D">
        <w:rPr>
          <w:rFonts w:ascii="Arial" w:eastAsia="Calibri" w:hAnsi="Arial" w:cs="Arial"/>
          <w:color w:val="000000"/>
          <w:szCs w:val="24"/>
          <w:lang w:eastAsia="es-ES_tradnl"/>
        </w:rPr>
        <w:t xml:space="preserve"> tales asuntos son del resorte de </w:t>
      </w:r>
      <w:r w:rsidR="00167A73" w:rsidRPr="00A84F7C">
        <w:rPr>
          <w:rFonts w:ascii="Arial" w:eastAsia="Calibri" w:hAnsi="Arial" w:cs="Arial"/>
          <w:color w:val="000000"/>
          <w:szCs w:val="24"/>
          <w:lang w:eastAsia="es-ES_tradnl"/>
        </w:rPr>
        <w:t>la entidad que adelanta el procedimiento de selección y, en caso de conflicto, a las autoridades judiciales, fiscales y</w:t>
      </w:r>
      <w:r w:rsidR="00CB0DD3">
        <w:rPr>
          <w:rFonts w:ascii="Arial" w:eastAsia="Calibri" w:hAnsi="Arial" w:cs="Arial"/>
          <w:color w:val="000000"/>
          <w:szCs w:val="24"/>
          <w:lang w:eastAsia="es-ES_tradnl"/>
        </w:rPr>
        <w:t>/o</w:t>
      </w:r>
      <w:r w:rsidR="00167A73" w:rsidRPr="00A84F7C">
        <w:rPr>
          <w:rFonts w:ascii="Arial" w:eastAsia="Calibri" w:hAnsi="Arial" w:cs="Arial"/>
          <w:color w:val="000000"/>
          <w:szCs w:val="24"/>
          <w:lang w:eastAsia="es-ES_tradnl"/>
        </w:rPr>
        <w:t xml:space="preserve"> disciplinarias.</w:t>
      </w:r>
    </w:p>
    <w:p w14:paraId="5B1D67CD" w14:textId="1C9A3D08" w:rsidR="00E877AC" w:rsidRPr="00A84F7C" w:rsidRDefault="00CB0DD3" w:rsidP="00E877AC">
      <w:pPr>
        <w:spacing w:before="120" w:after="120" w:line="276" w:lineRule="auto"/>
        <w:ind w:firstLine="709"/>
        <w:jc w:val="both"/>
        <w:rPr>
          <w:rFonts w:ascii="Arial" w:hAnsi="Arial" w:cs="Arial"/>
          <w:lang w:eastAsia="es-CO"/>
        </w:rPr>
      </w:pPr>
      <w:r>
        <w:rPr>
          <w:rFonts w:ascii="Arial" w:eastAsia="Times New Roman" w:hAnsi="Arial" w:cs="Arial"/>
          <w:bCs/>
          <w:lang w:eastAsia="es-ES_tradnl"/>
        </w:rPr>
        <w:t>Sin perjuicio de lo anterior</w:t>
      </w:r>
      <w:r w:rsidR="00A84F7C" w:rsidRPr="00A84F7C">
        <w:rPr>
          <w:rFonts w:ascii="Arial" w:eastAsia="Times New Roman" w:hAnsi="Arial" w:cs="Arial"/>
          <w:bCs/>
          <w:lang w:eastAsia="es-ES_tradnl"/>
        </w:rPr>
        <w:t>,</w:t>
      </w:r>
      <w:r>
        <w:rPr>
          <w:rFonts w:ascii="Arial" w:eastAsia="Times New Roman" w:hAnsi="Arial" w:cs="Arial"/>
          <w:bCs/>
          <w:lang w:eastAsia="es-ES_tradnl"/>
        </w:rPr>
        <w:t xml:space="preserve"> haciendo abstracción del caso particular y concreto </w:t>
      </w:r>
      <w:r w:rsidR="00532D63">
        <w:rPr>
          <w:rFonts w:ascii="Arial" w:eastAsia="Times New Roman" w:hAnsi="Arial" w:cs="Arial"/>
          <w:bCs/>
          <w:lang w:eastAsia="es-ES_tradnl"/>
        </w:rPr>
        <w:t xml:space="preserve">señalado en la consulta, con sustento en el análisis antes expuesto es posible afirmar </w:t>
      </w:r>
      <w:r w:rsidR="008F735E">
        <w:rPr>
          <w:rFonts w:ascii="Arial" w:eastAsia="Times New Roman" w:hAnsi="Arial" w:cs="Arial"/>
          <w:bCs/>
          <w:lang w:eastAsia="es-ES_tradnl"/>
        </w:rPr>
        <w:t>que</w:t>
      </w:r>
      <w:r w:rsidR="00A84F7C" w:rsidRPr="00A84F7C">
        <w:rPr>
          <w:rFonts w:ascii="Arial" w:eastAsia="Times New Roman" w:hAnsi="Arial" w:cs="Arial"/>
          <w:bCs/>
          <w:lang w:eastAsia="es-ES_tradnl"/>
        </w:rPr>
        <w:t xml:space="preserve">, el artículo </w:t>
      </w:r>
      <w:bookmarkStart w:id="13" w:name="_Hlk111037928"/>
      <w:r w:rsidR="00A84F7C" w:rsidRPr="00A84F7C">
        <w:rPr>
          <w:rFonts w:ascii="Arial" w:eastAsia="Calibri" w:hAnsi="Arial" w:cs="Arial"/>
        </w:rPr>
        <w:t>2.2.1.2.4.2.14</w:t>
      </w:r>
      <w:bookmarkEnd w:id="13"/>
      <w:r w:rsidR="00A84F7C" w:rsidRPr="00A84F7C">
        <w:rPr>
          <w:rFonts w:ascii="Arial" w:eastAsia="Calibri" w:hAnsi="Arial" w:cs="Arial"/>
        </w:rPr>
        <w:t xml:space="preserve"> del Decreto 1082 de 2015, adicionado por el Decreto 1860 de 2021, establece diferentes definiciones de emprendimientos y empresas de mujeres, a efectos de la aplicación de los criterios diferenciales a los que se refiere el artículo 32 de la Ley 2069 de 2020. De acuerdo con lo establecido por</w:t>
      </w:r>
      <w:r w:rsidR="00E877AC" w:rsidRPr="00E877AC">
        <w:rPr>
          <w:rFonts w:ascii="Arial" w:eastAsia="Calibri" w:hAnsi="Arial" w:cs="Arial"/>
          <w:bCs/>
          <w:color w:val="000000"/>
          <w:szCs w:val="24"/>
          <w:lang w:eastAsia="es-ES_tradnl" w:bidi="es-ES"/>
        </w:rPr>
        <w:t xml:space="preserve"> </w:t>
      </w:r>
      <w:r w:rsidR="00E877AC">
        <w:rPr>
          <w:rFonts w:ascii="Arial" w:eastAsia="Calibri" w:hAnsi="Arial" w:cs="Arial"/>
          <w:bCs/>
          <w:color w:val="000000"/>
          <w:szCs w:val="24"/>
          <w:lang w:eastAsia="es-ES_tradnl" w:bidi="es-ES"/>
        </w:rPr>
        <w:t xml:space="preserve">consulta es necesario precisar que, </w:t>
      </w:r>
      <w:r w:rsidR="00E877AC">
        <w:rPr>
          <w:rFonts w:ascii="Arial" w:eastAsia="Calibri" w:hAnsi="Arial" w:cs="Arial"/>
          <w:lang w:val="es-ES_tradnl"/>
        </w:rPr>
        <w:t>con sujeción a lo dispuesto en</w:t>
      </w:r>
      <w:r w:rsidR="00E877AC" w:rsidRPr="00A84F7C">
        <w:rPr>
          <w:rFonts w:ascii="Arial" w:eastAsia="Calibri" w:hAnsi="Arial" w:cs="Arial"/>
          <w:lang w:val="es-ES_tradnl"/>
        </w:rPr>
        <w:t xml:space="preserve"> el numeral 2 del artículo </w:t>
      </w:r>
      <w:r w:rsidR="00E877AC">
        <w:rPr>
          <w:rFonts w:ascii="Arial" w:eastAsia="Calibri" w:hAnsi="Arial" w:cs="Arial"/>
          <w:lang w:val="es-ES_tradnl"/>
        </w:rPr>
        <w:t>indicado</w:t>
      </w:r>
      <w:r w:rsidR="00E877AC" w:rsidRPr="00A84F7C">
        <w:rPr>
          <w:rFonts w:ascii="Arial" w:eastAsia="Calibri" w:hAnsi="Arial" w:cs="Arial"/>
          <w:lang w:val="es-ES_tradnl"/>
        </w:rPr>
        <w:t>, un</w:t>
      </w:r>
      <w:r w:rsidR="00E877AC">
        <w:rPr>
          <w:rFonts w:ascii="Arial" w:eastAsia="Calibri" w:hAnsi="Arial" w:cs="Arial"/>
          <w:lang w:val="es-ES_tradnl"/>
        </w:rPr>
        <w:t>a persona jurídica</w:t>
      </w:r>
      <w:r w:rsidR="00E877AC" w:rsidRPr="00A84F7C">
        <w:rPr>
          <w:rFonts w:ascii="Arial" w:eastAsia="Calibri" w:hAnsi="Arial" w:cs="Arial"/>
          <w:lang w:val="es-ES_tradnl"/>
        </w:rPr>
        <w:t xml:space="preserve"> </w:t>
      </w:r>
      <w:r w:rsidR="00E877AC">
        <w:rPr>
          <w:rFonts w:ascii="Arial" w:eastAsia="Calibri" w:hAnsi="Arial" w:cs="Arial"/>
          <w:lang w:val="es-ES_tradnl"/>
        </w:rPr>
        <w:t>tiene la posibilidad de</w:t>
      </w:r>
      <w:r w:rsidR="00E877AC" w:rsidRPr="00A84F7C">
        <w:rPr>
          <w:rFonts w:ascii="Arial" w:eastAsia="Calibri" w:hAnsi="Arial" w:cs="Arial"/>
          <w:lang w:val="es-ES_tradnl"/>
        </w:rPr>
        <w:t xml:space="preserve"> ser considerad</w:t>
      </w:r>
      <w:r w:rsidR="00E877AC">
        <w:rPr>
          <w:rFonts w:ascii="Arial" w:eastAsia="Calibri" w:hAnsi="Arial" w:cs="Arial"/>
          <w:lang w:val="es-ES_tradnl"/>
        </w:rPr>
        <w:t>o</w:t>
      </w:r>
      <w:r w:rsidR="00E877AC" w:rsidRPr="00A84F7C">
        <w:rPr>
          <w:rFonts w:ascii="Arial" w:eastAsia="Calibri" w:hAnsi="Arial" w:cs="Arial"/>
          <w:lang w:val="es-ES_tradnl"/>
        </w:rPr>
        <w:t xml:space="preserve"> como un emprendimiento o empresa de mujeres</w:t>
      </w:r>
      <w:r w:rsidR="00E877AC">
        <w:rPr>
          <w:rFonts w:ascii="Arial" w:eastAsia="Calibri" w:hAnsi="Arial" w:cs="Arial"/>
          <w:lang w:val="es-ES_tradnl"/>
        </w:rPr>
        <w:t>, acreditando que</w:t>
      </w:r>
      <w:r w:rsidR="00E877AC" w:rsidRPr="00A84F7C">
        <w:rPr>
          <w:rFonts w:ascii="Arial" w:eastAsia="Calibri" w:hAnsi="Arial" w:cs="Arial"/>
          <w:lang w:val="es-ES_tradnl"/>
        </w:rPr>
        <w:t xml:space="preserve"> más del cincuenta por ciento (50%) de los empleos del nivel directivo s</w:t>
      </w:r>
      <w:r w:rsidR="00E877AC">
        <w:rPr>
          <w:rFonts w:ascii="Arial" w:eastAsia="Calibri" w:hAnsi="Arial" w:cs="Arial"/>
          <w:lang w:val="es-ES_tradnl"/>
        </w:rPr>
        <w:t>on</w:t>
      </w:r>
      <w:r w:rsidR="00E877AC" w:rsidRPr="00A84F7C">
        <w:rPr>
          <w:rFonts w:ascii="Arial" w:eastAsia="Calibri" w:hAnsi="Arial" w:cs="Arial"/>
          <w:lang w:val="es-ES_tradnl"/>
        </w:rPr>
        <w:t xml:space="preserve"> ejercidos por mujeres.</w:t>
      </w:r>
      <w:r w:rsidR="00E877AC">
        <w:rPr>
          <w:rFonts w:ascii="Arial" w:eastAsia="Calibri" w:hAnsi="Arial" w:cs="Arial"/>
          <w:lang w:val="es-ES_tradnl"/>
        </w:rPr>
        <w:t xml:space="preserve"> Según se desprende de este numeral,</w:t>
      </w:r>
      <w:r w:rsidR="00E877AC" w:rsidRPr="00A84F7C">
        <w:rPr>
          <w:rFonts w:ascii="Arial" w:eastAsia="Calibri" w:hAnsi="Arial" w:cs="Arial"/>
          <w:lang w:val="es-ES_tradnl"/>
        </w:rPr>
        <w:t xml:space="preserve"> </w:t>
      </w:r>
      <w:r w:rsidR="00E877AC">
        <w:rPr>
          <w:rFonts w:ascii="Arial" w:hAnsi="Arial" w:cs="Arial"/>
          <w:lang w:eastAsia="es-CO"/>
        </w:rPr>
        <w:t>t</w:t>
      </w:r>
      <w:r w:rsidR="00E877AC" w:rsidRPr="00A84F7C">
        <w:rPr>
          <w:rFonts w:ascii="Arial" w:hAnsi="Arial" w:cs="Arial"/>
          <w:lang w:eastAsia="es-CO"/>
        </w:rPr>
        <w:t>ales empleos son aquellos relacionados con la dirección de áreas misionales y las decisiones de nivel estratégico de la respectiva empresa</w:t>
      </w:r>
      <w:r w:rsidR="00E877AC">
        <w:rPr>
          <w:rFonts w:ascii="Arial" w:hAnsi="Arial" w:cs="Arial"/>
          <w:lang w:eastAsia="es-CO"/>
        </w:rPr>
        <w:t>.</w:t>
      </w:r>
      <w:r w:rsidR="00E877AC" w:rsidRPr="00A84F7C">
        <w:rPr>
          <w:rFonts w:ascii="Arial" w:hAnsi="Arial" w:cs="Arial"/>
          <w:lang w:eastAsia="es-CO"/>
        </w:rPr>
        <w:t xml:space="preserve">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w:t>
      </w:r>
      <w:proofErr w:type="gramStart"/>
      <w:r w:rsidR="00E877AC" w:rsidRPr="00A84F7C">
        <w:rPr>
          <w:rFonts w:ascii="Arial" w:hAnsi="Arial" w:cs="Arial"/>
          <w:lang w:eastAsia="es-CO"/>
        </w:rPr>
        <w:t>de acuerdo a</w:t>
      </w:r>
      <w:proofErr w:type="gramEnd"/>
      <w:r w:rsidR="00E877AC" w:rsidRPr="00A84F7C">
        <w:rPr>
          <w:rFonts w:ascii="Arial" w:hAnsi="Arial" w:cs="Arial"/>
          <w:lang w:eastAsia="es-CO"/>
        </w:rPr>
        <w:t xml:space="preserve"> su jerarquía, representan al empleador en los términos del artículo 32 del Código Sustantivo del Trabajo. </w:t>
      </w:r>
    </w:p>
    <w:p w14:paraId="27E732F0" w14:textId="15BCA75A" w:rsidR="00A84F7C" w:rsidRPr="00A84F7C" w:rsidRDefault="00E877AC" w:rsidP="000F0371">
      <w:pPr>
        <w:spacing w:after="0" w:line="276" w:lineRule="auto"/>
        <w:ind w:firstLine="708"/>
        <w:jc w:val="both"/>
        <w:rPr>
          <w:rFonts w:ascii="Arial" w:eastAsia="Calibri" w:hAnsi="Arial" w:cs="Arial"/>
          <w:bCs/>
          <w:color w:val="000000"/>
          <w:lang w:val="es-ES_tradnl"/>
        </w:rPr>
      </w:pPr>
      <w:r>
        <w:rPr>
          <w:rFonts w:ascii="Arial" w:eastAsia="Calibri" w:hAnsi="Arial" w:cs="Arial"/>
        </w:rPr>
        <w:t xml:space="preserve">Por </w:t>
      </w:r>
      <w:r w:rsidR="009C3496">
        <w:rPr>
          <w:rFonts w:ascii="Arial" w:eastAsia="Calibri" w:hAnsi="Arial" w:cs="Arial"/>
        </w:rPr>
        <w:t xml:space="preserve"> otro lado, </w:t>
      </w:r>
      <w:r w:rsidR="00A84F7C" w:rsidRPr="000F0371">
        <w:rPr>
          <w:rFonts w:ascii="Arial" w:eastAsia="Calibri" w:hAnsi="Arial" w:cs="Arial"/>
          <w:color w:val="000000"/>
          <w:lang w:val="es-ES_tradnl"/>
        </w:rPr>
        <w:t>el numeral 3 del artículo 2.2.1.2.4.2.14.</w:t>
      </w:r>
      <w:r w:rsidR="00A84F7C">
        <w:rPr>
          <w:rFonts w:ascii="Arial" w:eastAsia="Calibri" w:hAnsi="Arial" w:cs="Arial"/>
          <w:color w:val="000000"/>
          <w:lang w:val="es-ES_tradnl"/>
        </w:rPr>
        <w:t xml:space="preserve"> </w:t>
      </w:r>
      <w:r w:rsidR="009C3496">
        <w:rPr>
          <w:rFonts w:ascii="Arial" w:eastAsia="Calibri" w:hAnsi="Arial" w:cs="Arial"/>
          <w:bCs/>
          <w:color w:val="000000"/>
          <w:lang w:val="es-ES_tradnl"/>
        </w:rPr>
        <w:t>establece un criterio</w:t>
      </w:r>
      <w:r w:rsidR="00A84F7C" w:rsidRPr="000F0371">
        <w:rPr>
          <w:rFonts w:ascii="Arial" w:eastAsia="Calibri" w:hAnsi="Arial" w:cs="Arial"/>
          <w:bCs/>
          <w:color w:val="000000"/>
          <w:lang w:val="es-ES_tradnl"/>
        </w:rPr>
        <w:t xml:space="preserve"> </w:t>
      </w:r>
      <w:r w:rsidR="009C3496">
        <w:rPr>
          <w:rFonts w:ascii="Arial" w:eastAsia="Calibri" w:hAnsi="Arial" w:cs="Arial"/>
          <w:bCs/>
          <w:color w:val="000000"/>
          <w:lang w:val="es-ES_tradnl"/>
        </w:rPr>
        <w:t xml:space="preserve">en atención al cual una persona natural </w:t>
      </w:r>
      <w:r w:rsidR="0019616E">
        <w:rPr>
          <w:rFonts w:ascii="Arial" w:eastAsia="Calibri" w:hAnsi="Arial" w:cs="Arial"/>
          <w:bCs/>
          <w:color w:val="000000"/>
          <w:lang w:val="es-ES_tradnl"/>
        </w:rPr>
        <w:t>puede ser considerada</w:t>
      </w:r>
      <w:r w:rsidR="00A84F7C" w:rsidRPr="000F0371">
        <w:rPr>
          <w:rFonts w:ascii="Arial" w:eastAsia="Calibri" w:hAnsi="Arial" w:cs="Arial"/>
          <w:color w:val="000000"/>
          <w:lang w:val="es-ES_tradnl"/>
        </w:rPr>
        <w:t xml:space="preserve"> un emprendimiento o empresa de mujeres, bajo el entendido en que “sea una mujer y haya ejercido actividades comerciales a través de un establecimiento de comercio durante al menos el último año anterior a la fecha de cierre del proceso de selección” y acreditando esta circunstancia </w:t>
      </w:r>
      <w:r w:rsidR="00A84F7C" w:rsidRPr="000F0371">
        <w:rPr>
          <w:rFonts w:ascii="Arial" w:eastAsia="Calibri" w:hAnsi="Arial" w:cs="Arial"/>
          <w:i/>
          <w:color w:val="000000"/>
          <w:lang w:val="es-ES_tradnl"/>
        </w:rPr>
        <w:t>“mediante la copia de cédula de ciudadanía, la cédula de extranjería o el pasaporte, así como la copia del registro mercantil”</w:t>
      </w:r>
      <w:r w:rsidR="00A84F7C" w:rsidRPr="000F0371">
        <w:rPr>
          <w:rFonts w:ascii="Arial" w:eastAsia="Calibri" w:hAnsi="Arial" w:cs="Arial"/>
          <w:color w:val="000000"/>
          <w:lang w:val="es-ES_tradnl"/>
        </w:rPr>
        <w:t xml:space="preserve">. Los demás numerales del mencionado artículo corresponden a la acreditación de circunstancias, </w:t>
      </w:r>
      <w:r w:rsidR="00500BD8" w:rsidRPr="00500BD8">
        <w:rPr>
          <w:rFonts w:ascii="Arial" w:eastAsia="Calibri" w:hAnsi="Arial" w:cs="Arial"/>
          <w:bCs/>
          <w:color w:val="000000"/>
          <w:lang w:val="es-ES_tradnl"/>
        </w:rPr>
        <w:t>que,</w:t>
      </w:r>
      <w:r w:rsidR="00A84F7C" w:rsidRPr="000F0371">
        <w:rPr>
          <w:rFonts w:ascii="Arial" w:eastAsia="Calibri" w:hAnsi="Arial" w:cs="Arial"/>
          <w:color w:val="000000"/>
          <w:lang w:val="es-ES_tradnl"/>
        </w:rPr>
        <w:t xml:space="preserve"> por sus particularidades jurídicas, deben acreditar exclusivamente las personas jurídicas, sociedades o asociaciones y cooperativas.</w:t>
      </w:r>
      <w:r w:rsidR="00A84F7C" w:rsidRPr="00A84F7C">
        <w:rPr>
          <w:rFonts w:ascii="Arial" w:eastAsia="Calibri" w:hAnsi="Arial" w:cs="Arial"/>
          <w:bCs/>
          <w:color w:val="000000"/>
          <w:lang w:val="es-ES_tradnl"/>
        </w:rPr>
        <w:t xml:space="preserve"> </w:t>
      </w:r>
    </w:p>
    <w:p w14:paraId="6B99F913" w14:textId="77777777" w:rsidR="00A84F7C" w:rsidRPr="00A84F7C" w:rsidRDefault="00A84F7C" w:rsidP="00A84F7C">
      <w:pPr>
        <w:spacing w:after="0" w:line="276" w:lineRule="auto"/>
        <w:ind w:firstLine="709"/>
        <w:jc w:val="both"/>
        <w:rPr>
          <w:rFonts w:ascii="Arial" w:eastAsia="Calibri" w:hAnsi="Arial" w:cs="Arial"/>
          <w:bCs/>
          <w:color w:val="000000"/>
          <w:lang w:val="es-ES_tradnl"/>
        </w:rPr>
      </w:pPr>
    </w:p>
    <w:p w14:paraId="0CF55095" w14:textId="77777777" w:rsidR="00A84F7C" w:rsidRPr="00A84F7C" w:rsidRDefault="00A84F7C" w:rsidP="000F0371">
      <w:pPr>
        <w:widowControl w:val="0"/>
        <w:autoSpaceDE w:val="0"/>
        <w:autoSpaceDN w:val="0"/>
        <w:spacing w:after="0" w:line="276" w:lineRule="auto"/>
        <w:jc w:val="both"/>
        <w:rPr>
          <w:rFonts w:ascii="Arial" w:eastAsia="Times New Roman" w:hAnsi="Arial" w:cs="Arial"/>
          <w:lang w:val="es-ES_tradnl" w:eastAsia="es-ES_tradnl" w:bidi="es-ES"/>
        </w:rPr>
      </w:pPr>
      <w:r w:rsidRPr="00A84F7C">
        <w:rPr>
          <w:rFonts w:ascii="Arial" w:eastAsia="Times New Roman" w:hAnsi="Arial" w:cs="Arial"/>
          <w:color w:val="000000"/>
          <w:lang w:val="es-ES_tradnl" w:eastAsia="es-ES_tradnl"/>
        </w:rPr>
        <w:lastRenderedPageBreak/>
        <w:t xml:space="preserve">Este concepto tiene el alcance previsto en el artículo 28 del Código de Procedimiento Administrativo y de lo Contencioso Administrativo </w:t>
      </w:r>
      <w:r w:rsidRPr="00A84F7C">
        <w:rPr>
          <w:rFonts w:ascii="Arial" w:eastAsia="Times New Roman" w:hAnsi="Arial" w:cs="Arial"/>
          <w:bCs/>
          <w:color w:val="000000"/>
          <w:lang w:eastAsia="es-ES_tradnl"/>
        </w:rPr>
        <w:t xml:space="preserve">y </w:t>
      </w:r>
      <w:r w:rsidRPr="00A84F7C">
        <w:rPr>
          <w:rFonts w:ascii="Arial" w:eastAsia="Times New Roman" w:hAnsi="Arial" w:cs="Arial"/>
          <w:lang w:eastAsia="es-ES_tradnl"/>
        </w:rPr>
        <w:t>las expresiones aquí utilizadas con mayúscula inicial deben ser entendidas con el significado que les otorga el artículo 2.2.1.1.1.3.1. del Decreto 1082 de 2015</w:t>
      </w:r>
      <w:r w:rsidRPr="00A84F7C">
        <w:rPr>
          <w:rFonts w:ascii="Arial" w:eastAsia="Times New Roman" w:hAnsi="Arial" w:cs="Arial"/>
          <w:color w:val="000000"/>
          <w:lang w:val="es-ES_tradnl" w:eastAsia="es-ES_tradnl"/>
        </w:rPr>
        <w:t>.</w:t>
      </w:r>
    </w:p>
    <w:p w14:paraId="21517578" w14:textId="77777777" w:rsidR="00A84F7C" w:rsidRPr="00A84F7C" w:rsidRDefault="00A84F7C" w:rsidP="00A84F7C">
      <w:pPr>
        <w:spacing w:after="0" w:line="276" w:lineRule="auto"/>
        <w:jc w:val="both"/>
        <w:rPr>
          <w:rFonts w:ascii="Arial" w:eastAsia="Times New Roman" w:hAnsi="Arial" w:cs="Arial"/>
          <w:lang w:val="es-ES_tradnl" w:eastAsia="es-CO"/>
        </w:rPr>
      </w:pPr>
    </w:p>
    <w:p w14:paraId="4D1430D1" w14:textId="77777777" w:rsidR="00A84F7C" w:rsidRPr="00A84F7C" w:rsidRDefault="00A84F7C" w:rsidP="00A84F7C">
      <w:pPr>
        <w:spacing w:after="0" w:line="276" w:lineRule="auto"/>
        <w:jc w:val="both"/>
        <w:rPr>
          <w:rFonts w:ascii="Arial" w:eastAsia="Times New Roman" w:hAnsi="Arial" w:cs="Arial"/>
          <w:lang w:val="es-ES_tradnl" w:eastAsia="es-CO"/>
        </w:rPr>
      </w:pPr>
      <w:r w:rsidRPr="00A84F7C">
        <w:rPr>
          <w:rFonts w:ascii="Arial" w:eastAsia="Times New Roman" w:hAnsi="Arial" w:cs="Arial"/>
          <w:lang w:val="es-ES_tradnl" w:eastAsia="es-CO"/>
        </w:rPr>
        <w:t>Atentamente,</w:t>
      </w:r>
    </w:p>
    <w:p w14:paraId="1AA1B2EC" w14:textId="4AD0FCFE" w:rsidR="00A84F7C" w:rsidRPr="00A84F7C" w:rsidRDefault="00A84F7C" w:rsidP="00A84F7C">
      <w:pPr>
        <w:spacing w:after="0" w:line="276" w:lineRule="auto"/>
        <w:jc w:val="center"/>
        <w:rPr>
          <w:rFonts w:ascii="Arial" w:eastAsia="Times New Roman" w:hAnsi="Arial" w:cs="Arial"/>
          <w:lang w:val="es-ES_tradnl" w:eastAsia="es-CO"/>
        </w:rPr>
      </w:pPr>
      <w:r w:rsidRPr="00A84F7C">
        <w:rPr>
          <w:rFonts w:ascii="Times New Roman" w:eastAsia="Times New Roman" w:hAnsi="Times New Roman" w:cs="Times New Roman"/>
          <w:noProof/>
          <w:sz w:val="24"/>
          <w:szCs w:val="24"/>
          <w:lang w:eastAsia="es-CO"/>
        </w:rPr>
        <w:t xml:space="preserve"> </w:t>
      </w:r>
    </w:p>
    <w:p w14:paraId="4859B7EA" w14:textId="0DFB5AF9" w:rsidR="00A84F7C" w:rsidRPr="00A84F7C" w:rsidRDefault="004578DB" w:rsidP="00A84F7C">
      <w:pPr>
        <w:spacing w:after="0" w:line="276" w:lineRule="auto"/>
        <w:jc w:val="center"/>
        <w:rPr>
          <w:rFonts w:ascii="Arial" w:eastAsia="Times New Roman" w:hAnsi="Arial" w:cs="Arial"/>
          <w:lang w:val="es-ES_tradnl" w:eastAsia="es-CO"/>
        </w:rPr>
      </w:pPr>
      <w:r w:rsidRPr="004578DB">
        <w:rPr>
          <w:rFonts w:ascii="Calibri" w:eastAsia="Calibri" w:hAnsi="Calibri" w:cs="Times New Roman"/>
          <w:noProof/>
          <w:lang w:val="es-ES"/>
        </w:rPr>
        <w:drawing>
          <wp:inline distT="0" distB="0" distL="0" distR="0" wp14:anchorId="7EDDC78A" wp14:editId="1D3CE51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A84F7C" w:rsidRPr="00A84F7C" w14:paraId="3A03DB8C" w14:textId="77777777" w:rsidTr="71EC98F0">
        <w:trPr>
          <w:trHeight w:val="305"/>
        </w:trPr>
        <w:tc>
          <w:tcPr>
            <w:tcW w:w="1025" w:type="dxa"/>
            <w:vAlign w:val="center"/>
            <w:hideMark/>
          </w:tcPr>
          <w:p w14:paraId="34F15DFB"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Elaboró:</w:t>
            </w:r>
          </w:p>
        </w:tc>
        <w:tc>
          <w:tcPr>
            <w:tcW w:w="5102" w:type="dxa"/>
            <w:tcBorders>
              <w:top w:val="nil"/>
              <w:left w:val="nil"/>
              <w:bottom w:val="dotted" w:sz="4" w:space="0" w:color="7F7F7F" w:themeColor="text1" w:themeTint="80"/>
              <w:right w:val="nil"/>
            </w:tcBorders>
            <w:vAlign w:val="center"/>
            <w:hideMark/>
          </w:tcPr>
          <w:p w14:paraId="2AAF3516"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Gabriel Alejandro Murcia Taboada</w:t>
            </w:r>
          </w:p>
          <w:p w14:paraId="1E944ABC"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Contratista de la Subdirección de Gestión Contractual</w:t>
            </w:r>
          </w:p>
        </w:tc>
      </w:tr>
      <w:tr w:rsidR="00A84F7C" w:rsidRPr="00A84F7C" w14:paraId="143D9249" w14:textId="77777777" w:rsidTr="71EC98F0">
        <w:trPr>
          <w:trHeight w:val="319"/>
        </w:trPr>
        <w:tc>
          <w:tcPr>
            <w:tcW w:w="1025" w:type="dxa"/>
            <w:vAlign w:val="center"/>
            <w:hideMark/>
          </w:tcPr>
          <w:p w14:paraId="410A6E1D"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Revisó:</w:t>
            </w:r>
          </w:p>
        </w:tc>
        <w:tc>
          <w:tcPr>
            <w:tcW w:w="5102" w:type="dxa"/>
            <w:tcBorders>
              <w:top w:val="dotted" w:sz="4" w:space="0" w:color="7F7F7F" w:themeColor="text1" w:themeTint="80"/>
              <w:left w:val="nil"/>
              <w:bottom w:val="dotted" w:sz="4" w:space="0" w:color="7F7F7F" w:themeColor="text1" w:themeTint="80"/>
              <w:right w:val="nil"/>
            </w:tcBorders>
            <w:vAlign w:val="center"/>
            <w:hideMark/>
          </w:tcPr>
          <w:p w14:paraId="482F29B9" w14:textId="77777777" w:rsidR="00A84F7C" w:rsidRPr="00A84F7C" w:rsidRDefault="00A84F7C" w:rsidP="00A84F7C">
            <w:pPr>
              <w:rPr>
                <w:rFonts w:ascii="Arial" w:eastAsia="Times New Roman" w:hAnsi="Arial" w:cs="Arial"/>
                <w:color w:val="000000"/>
                <w:sz w:val="16"/>
                <w:szCs w:val="16"/>
                <w:lang w:val="es-ES" w:eastAsia="es-ES"/>
              </w:rPr>
            </w:pPr>
            <w:r w:rsidRPr="00A84F7C">
              <w:rPr>
                <w:rFonts w:ascii="Arial" w:eastAsia="Times New Roman" w:hAnsi="Arial" w:cs="Arial"/>
                <w:color w:val="000000"/>
                <w:sz w:val="16"/>
                <w:szCs w:val="16"/>
                <w:lang w:val="es-ES" w:eastAsia="es-ES"/>
              </w:rPr>
              <w:t>Alejandro Sarmiento Cantillo</w:t>
            </w:r>
          </w:p>
          <w:p w14:paraId="0D147393" w14:textId="2CF6F619" w:rsidR="00A84F7C" w:rsidRPr="00A84F7C" w:rsidRDefault="00A84F7C" w:rsidP="71EC98F0">
            <w:pPr>
              <w:spacing w:line="276" w:lineRule="auto"/>
              <w:jc w:val="both"/>
              <w:rPr>
                <w:rFonts w:ascii="Arial" w:eastAsia="Calibri" w:hAnsi="Arial" w:cs="Arial"/>
                <w:sz w:val="16"/>
                <w:szCs w:val="16"/>
                <w:lang w:val="es-ES" w:eastAsia="es-ES"/>
              </w:rPr>
            </w:pPr>
            <w:r w:rsidRPr="71EC98F0">
              <w:rPr>
                <w:rFonts w:ascii="Arial" w:eastAsia="Times New Roman" w:hAnsi="Arial" w:cs="Arial"/>
                <w:color w:val="000000" w:themeColor="text1"/>
                <w:sz w:val="16"/>
                <w:szCs w:val="16"/>
                <w:lang w:val="es-ES" w:eastAsia="es-ES"/>
              </w:rPr>
              <w:t>Gestor T1-15 de la Subdirección de Gestión Contractual</w:t>
            </w:r>
          </w:p>
          <w:p w14:paraId="5F6FD566" w14:textId="4F37DC9E" w:rsidR="00A84F7C" w:rsidRPr="00A84F7C" w:rsidRDefault="46BC03BA" w:rsidP="71EC98F0">
            <w:pPr>
              <w:spacing w:line="276" w:lineRule="auto"/>
              <w:jc w:val="both"/>
              <w:rPr>
                <w:rFonts w:ascii="Arial" w:eastAsia="Times New Roman" w:hAnsi="Arial" w:cs="Arial"/>
                <w:color w:val="000000" w:themeColor="text1"/>
                <w:sz w:val="16"/>
                <w:szCs w:val="16"/>
                <w:lang w:val="es-ES" w:eastAsia="es-ES"/>
              </w:rPr>
            </w:pPr>
            <w:r w:rsidRPr="71EC98F0">
              <w:rPr>
                <w:rFonts w:ascii="Arial" w:eastAsia="Times New Roman" w:hAnsi="Arial" w:cs="Arial"/>
                <w:color w:val="000000" w:themeColor="text1"/>
                <w:sz w:val="16"/>
                <w:szCs w:val="16"/>
                <w:lang w:val="es-ES" w:eastAsia="es-ES"/>
              </w:rPr>
              <w:t>Gabriel Mendoza</w:t>
            </w:r>
          </w:p>
          <w:p w14:paraId="54607A38" w14:textId="3F8F7F7F" w:rsidR="00A84F7C" w:rsidRPr="00A84F7C" w:rsidRDefault="46BC03BA" w:rsidP="00A84F7C">
            <w:pPr>
              <w:spacing w:line="276" w:lineRule="auto"/>
              <w:jc w:val="both"/>
              <w:rPr>
                <w:rFonts w:ascii="Arial" w:eastAsia="Times New Roman" w:hAnsi="Arial" w:cs="Arial"/>
                <w:color w:val="000000" w:themeColor="text1"/>
                <w:sz w:val="16"/>
                <w:szCs w:val="16"/>
                <w:lang w:val="es-ES" w:eastAsia="es-ES"/>
              </w:rPr>
            </w:pPr>
            <w:r w:rsidRPr="71EC98F0">
              <w:rPr>
                <w:rFonts w:ascii="Arial" w:eastAsia="Times New Roman" w:hAnsi="Arial" w:cs="Arial"/>
                <w:color w:val="000000" w:themeColor="text1"/>
                <w:sz w:val="16"/>
                <w:szCs w:val="16"/>
                <w:lang w:val="es-ES" w:eastAsia="es-ES"/>
              </w:rPr>
              <w:t>Contratista de la Subdirección de Gestión Contractual</w:t>
            </w:r>
          </w:p>
        </w:tc>
      </w:tr>
      <w:tr w:rsidR="00A84F7C" w:rsidRPr="00A84F7C" w14:paraId="2A917C67" w14:textId="77777777" w:rsidTr="71EC98F0">
        <w:trPr>
          <w:trHeight w:val="290"/>
        </w:trPr>
        <w:tc>
          <w:tcPr>
            <w:tcW w:w="1025" w:type="dxa"/>
            <w:vAlign w:val="center"/>
            <w:hideMark/>
          </w:tcPr>
          <w:p w14:paraId="1921A921"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Aprobó:</w:t>
            </w:r>
          </w:p>
        </w:tc>
        <w:tc>
          <w:tcPr>
            <w:tcW w:w="5102" w:type="dxa"/>
            <w:tcBorders>
              <w:top w:val="dotted" w:sz="4" w:space="0" w:color="7F7F7F" w:themeColor="text1" w:themeTint="80"/>
              <w:left w:val="nil"/>
              <w:bottom w:val="dotted" w:sz="4" w:space="0" w:color="7F7F7F" w:themeColor="text1" w:themeTint="80"/>
              <w:right w:val="nil"/>
            </w:tcBorders>
            <w:vAlign w:val="center"/>
            <w:hideMark/>
          </w:tcPr>
          <w:p w14:paraId="3B6209B7"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Nohelia del Carmen Zawady Palacio</w:t>
            </w:r>
          </w:p>
          <w:p w14:paraId="3B1B8A32" w14:textId="77777777" w:rsidR="00A84F7C" w:rsidRPr="00A84F7C" w:rsidRDefault="00A84F7C" w:rsidP="00A84F7C">
            <w:pPr>
              <w:spacing w:line="276" w:lineRule="auto"/>
              <w:jc w:val="both"/>
              <w:rPr>
                <w:rFonts w:ascii="Arial" w:eastAsia="Calibri" w:hAnsi="Arial" w:cs="Arial"/>
                <w:sz w:val="16"/>
                <w:szCs w:val="16"/>
                <w:lang w:val="es-ES_tradnl" w:eastAsia="es-ES"/>
              </w:rPr>
            </w:pPr>
            <w:r w:rsidRPr="00A84F7C">
              <w:rPr>
                <w:rFonts w:ascii="Arial" w:eastAsia="Calibri" w:hAnsi="Arial" w:cs="Arial"/>
                <w:sz w:val="16"/>
                <w:szCs w:val="16"/>
                <w:lang w:val="es-ES_tradnl" w:eastAsia="es-ES"/>
              </w:rPr>
              <w:t xml:space="preserve">Subdirectora de Gestión Contractual </w:t>
            </w:r>
          </w:p>
        </w:tc>
      </w:tr>
      <w:bookmarkEnd w:id="0"/>
    </w:tbl>
    <w:p w14:paraId="0465BA6D" w14:textId="77777777" w:rsidR="00E245AB" w:rsidRPr="00C330EB" w:rsidRDefault="00E245AB" w:rsidP="00E245AB">
      <w:pPr>
        <w:spacing w:after="0"/>
        <w:rPr>
          <w:rFonts w:ascii="Century Gothic" w:hAnsi="Century Gothic"/>
        </w:rPr>
      </w:pPr>
    </w:p>
    <w:sectPr w:rsidR="00E245AB" w:rsidRPr="00C330EB"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D31E" w14:textId="77777777" w:rsidR="00F204AB" w:rsidRDefault="00F204AB" w:rsidP="004A1847">
      <w:pPr>
        <w:spacing w:after="0" w:line="240" w:lineRule="auto"/>
      </w:pPr>
      <w:r>
        <w:separator/>
      </w:r>
    </w:p>
  </w:endnote>
  <w:endnote w:type="continuationSeparator" w:id="0">
    <w:p w14:paraId="095F0155" w14:textId="77777777" w:rsidR="00F204AB" w:rsidRDefault="00F204AB" w:rsidP="004A1847">
      <w:pPr>
        <w:spacing w:after="0" w:line="240" w:lineRule="auto"/>
      </w:pPr>
      <w:r>
        <w:continuationSeparator/>
      </w:r>
    </w:p>
  </w:endnote>
  <w:endnote w:type="continuationNotice" w:id="1">
    <w:p w14:paraId="051F28BA" w14:textId="77777777" w:rsidR="00B1392C" w:rsidRDefault="00B13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18F2" w14:textId="77777777" w:rsidR="00F204AB" w:rsidRDefault="00F204AB" w:rsidP="004A1847">
      <w:pPr>
        <w:spacing w:after="0" w:line="240" w:lineRule="auto"/>
      </w:pPr>
      <w:r>
        <w:separator/>
      </w:r>
    </w:p>
  </w:footnote>
  <w:footnote w:type="continuationSeparator" w:id="0">
    <w:p w14:paraId="7F64F00E" w14:textId="77777777" w:rsidR="00F204AB" w:rsidRDefault="00F204AB" w:rsidP="004A1847">
      <w:pPr>
        <w:spacing w:after="0" w:line="240" w:lineRule="auto"/>
      </w:pPr>
      <w:r>
        <w:continuationSeparator/>
      </w:r>
    </w:p>
  </w:footnote>
  <w:footnote w:type="continuationNotice" w:id="1">
    <w:p w14:paraId="3779A109" w14:textId="77777777" w:rsidR="00B1392C" w:rsidRDefault="00B1392C">
      <w:pPr>
        <w:spacing w:after="0" w:line="240" w:lineRule="auto"/>
      </w:pPr>
    </w:p>
  </w:footnote>
  <w:footnote w:id="2">
    <w:p w14:paraId="47FB1C07" w14:textId="77777777" w:rsidR="00A84F7C" w:rsidRPr="00362B16" w:rsidRDefault="00A84F7C" w:rsidP="00A84F7C">
      <w:pPr>
        <w:pStyle w:val="Textonotapie"/>
        <w:ind w:firstLine="708"/>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w:t>
      </w:r>
      <w:r>
        <w:rPr>
          <w:rFonts w:ascii="Arial" w:hAnsi="Arial" w:cs="Arial"/>
          <w:sz w:val="16"/>
          <w:szCs w:val="16"/>
        </w:rPr>
        <w:t>“</w:t>
      </w:r>
      <w:r w:rsidRPr="00362B16">
        <w:rPr>
          <w:rFonts w:ascii="Arial" w:hAnsi="Arial" w:cs="Arial"/>
          <w:sz w:val="16"/>
          <w:szCs w:val="16"/>
        </w:rPr>
        <w:t xml:space="preserve">Artículo 3°. Funciones. La Agencia Nacional de Contratación Pública –Colombia Compra Eficiente– ejercerá las siguientes funciones: </w:t>
      </w:r>
    </w:p>
    <w:p w14:paraId="076F1096" w14:textId="77777777" w:rsidR="00A84F7C" w:rsidRPr="00362B16" w:rsidRDefault="00A84F7C" w:rsidP="00A84F7C">
      <w:pPr>
        <w:pStyle w:val="Textonotapie"/>
        <w:ind w:firstLine="709"/>
        <w:jc w:val="both"/>
        <w:rPr>
          <w:rFonts w:ascii="Arial" w:hAnsi="Arial" w:cs="Arial"/>
          <w:sz w:val="16"/>
          <w:szCs w:val="16"/>
          <w:lang w:val="es-ES"/>
        </w:rPr>
      </w:pPr>
      <w:r>
        <w:rPr>
          <w:rFonts w:ascii="Arial" w:hAnsi="Arial" w:cs="Arial"/>
          <w:sz w:val="16"/>
          <w:szCs w:val="16"/>
          <w:lang w:val="es-ES"/>
        </w:rPr>
        <w:t>“</w:t>
      </w:r>
      <w:r w:rsidRPr="00362B16">
        <w:rPr>
          <w:rFonts w:ascii="Arial" w:hAnsi="Arial" w:cs="Arial"/>
          <w:sz w:val="16"/>
          <w:szCs w:val="16"/>
          <w:lang w:val="es-ES"/>
        </w:rPr>
        <w:t xml:space="preserve">[...] </w:t>
      </w:r>
    </w:p>
    <w:p w14:paraId="4ADC0E60" w14:textId="77777777" w:rsidR="00A84F7C" w:rsidRPr="00362B16" w:rsidRDefault="00A84F7C" w:rsidP="00A84F7C">
      <w:pPr>
        <w:pStyle w:val="Textonotapie"/>
        <w:ind w:firstLine="709"/>
        <w:jc w:val="both"/>
        <w:rPr>
          <w:rFonts w:ascii="Arial" w:hAnsi="Arial" w:cs="Arial"/>
          <w:sz w:val="16"/>
          <w:szCs w:val="16"/>
          <w:lang w:val="es-ES"/>
        </w:rPr>
      </w:pPr>
      <w:r>
        <w:rPr>
          <w:rFonts w:ascii="Arial" w:hAnsi="Arial" w:cs="Arial"/>
          <w:sz w:val="16"/>
          <w:szCs w:val="16"/>
          <w:lang w:val="es-ES"/>
        </w:rPr>
        <w:t>“</w:t>
      </w:r>
      <w:r w:rsidRPr="00362B16">
        <w:rPr>
          <w:rFonts w:ascii="Arial" w:hAnsi="Arial" w:cs="Arial"/>
          <w:sz w:val="16"/>
          <w:szCs w:val="16"/>
          <w:lang w:val="es-ES"/>
        </w:rPr>
        <w:t>5. Absolver consultas sobre la aplicación de normas de carácter general y expedir circulares externas en materia de compras y contratación pública</w:t>
      </w:r>
      <w:r>
        <w:rPr>
          <w:rFonts w:ascii="Arial" w:hAnsi="Arial" w:cs="Arial"/>
          <w:sz w:val="16"/>
          <w:szCs w:val="16"/>
          <w:lang w:val="es-ES"/>
        </w:rPr>
        <w:t>”</w:t>
      </w:r>
      <w:r w:rsidRPr="00362B16">
        <w:rPr>
          <w:rFonts w:ascii="Arial" w:hAnsi="Arial" w:cs="Arial"/>
          <w:sz w:val="16"/>
          <w:szCs w:val="16"/>
          <w:lang w:val="es-ES"/>
        </w:rPr>
        <w:t>.</w:t>
      </w:r>
    </w:p>
    <w:p w14:paraId="77206871" w14:textId="77777777" w:rsidR="00A84F7C" w:rsidRPr="00362B16" w:rsidRDefault="00A84F7C" w:rsidP="00A84F7C">
      <w:pPr>
        <w:pStyle w:val="Textonotapie"/>
        <w:ind w:firstLine="709"/>
        <w:jc w:val="both"/>
        <w:rPr>
          <w:rFonts w:ascii="Arial" w:hAnsi="Arial" w:cs="Arial"/>
          <w:sz w:val="16"/>
          <w:szCs w:val="16"/>
          <w:lang w:val="es-ES"/>
        </w:rPr>
      </w:pPr>
      <w:r>
        <w:rPr>
          <w:rFonts w:ascii="Arial" w:eastAsia="Times New Roman" w:hAnsi="Arial" w:cs="Arial"/>
          <w:sz w:val="16"/>
          <w:szCs w:val="16"/>
          <w:lang w:val="es-CO" w:eastAsia="es-ES_tradnl"/>
        </w:rPr>
        <w:t>“</w:t>
      </w:r>
      <w:r w:rsidRPr="00362B16">
        <w:rPr>
          <w:rFonts w:ascii="Arial" w:hAnsi="Arial" w:cs="Arial"/>
          <w:sz w:val="16"/>
          <w:szCs w:val="16"/>
          <w:lang w:val="es-ES"/>
        </w:rPr>
        <w:t xml:space="preserve">Artículo 11. Subdirección de Gestión Contractual. Son funciones de la Subdirección de Gestión Contractual las siguientes: </w:t>
      </w:r>
    </w:p>
    <w:p w14:paraId="3153A2A6" w14:textId="77777777" w:rsidR="00A84F7C" w:rsidRPr="00362B16" w:rsidRDefault="00A84F7C" w:rsidP="00A84F7C">
      <w:pPr>
        <w:pStyle w:val="Textonotapie"/>
        <w:ind w:firstLine="709"/>
        <w:jc w:val="both"/>
        <w:rPr>
          <w:rFonts w:ascii="Arial" w:hAnsi="Arial" w:cs="Arial"/>
          <w:sz w:val="16"/>
          <w:szCs w:val="16"/>
          <w:lang w:val="es-ES"/>
        </w:rPr>
      </w:pPr>
      <w:r>
        <w:rPr>
          <w:rFonts w:ascii="Arial" w:hAnsi="Arial" w:cs="Arial"/>
          <w:sz w:val="16"/>
          <w:szCs w:val="16"/>
          <w:lang w:val="es-ES"/>
        </w:rPr>
        <w:t>“</w:t>
      </w:r>
      <w:r w:rsidRPr="00362B16">
        <w:rPr>
          <w:rFonts w:ascii="Arial" w:hAnsi="Arial" w:cs="Arial"/>
          <w:sz w:val="16"/>
          <w:szCs w:val="16"/>
          <w:lang w:val="es-ES"/>
        </w:rPr>
        <w:t xml:space="preserve">[...] </w:t>
      </w:r>
    </w:p>
    <w:p w14:paraId="70938DD9" w14:textId="77777777" w:rsidR="00A84F7C" w:rsidRPr="00362B16" w:rsidRDefault="00A84F7C" w:rsidP="00A84F7C">
      <w:pPr>
        <w:pStyle w:val="Textonotapie"/>
        <w:ind w:firstLine="708"/>
        <w:jc w:val="both"/>
        <w:rPr>
          <w:rFonts w:ascii="Arial" w:hAnsi="Arial" w:cs="Arial"/>
          <w:sz w:val="16"/>
          <w:szCs w:val="16"/>
          <w:lang w:val="es-ES"/>
        </w:rPr>
      </w:pPr>
      <w:r>
        <w:rPr>
          <w:rFonts w:ascii="Arial" w:eastAsia="Times New Roman" w:hAnsi="Arial" w:cs="Arial"/>
          <w:sz w:val="16"/>
          <w:szCs w:val="16"/>
          <w:lang w:val="es-CO" w:eastAsia="es-ES_tradnl"/>
        </w:rPr>
        <w:t>“</w:t>
      </w:r>
      <w:r w:rsidRPr="00362B16">
        <w:rPr>
          <w:rFonts w:ascii="Arial" w:hAnsi="Arial" w:cs="Arial"/>
          <w:sz w:val="16"/>
          <w:szCs w:val="16"/>
          <w:lang w:val="es-ES"/>
        </w:rPr>
        <w:t>8. Absolver consultas sobre la aplicación de normas de carácter general</w:t>
      </w:r>
      <w:r>
        <w:rPr>
          <w:rFonts w:ascii="Arial" w:hAnsi="Arial" w:cs="Arial"/>
          <w:sz w:val="16"/>
          <w:szCs w:val="16"/>
          <w:lang w:val="es-ES"/>
        </w:rPr>
        <w:t>”</w:t>
      </w:r>
      <w:r w:rsidRPr="00362B16">
        <w:rPr>
          <w:rFonts w:ascii="Arial" w:hAnsi="Arial" w:cs="Arial"/>
          <w:sz w:val="16"/>
          <w:szCs w:val="16"/>
          <w:lang w:val="es-ES"/>
        </w:rPr>
        <w:t>.</w:t>
      </w:r>
    </w:p>
    <w:p w14:paraId="67B5ABF9" w14:textId="77777777" w:rsidR="00A84F7C" w:rsidRPr="00362B16" w:rsidRDefault="00A84F7C" w:rsidP="00A84F7C">
      <w:pPr>
        <w:pStyle w:val="Textonotapie"/>
        <w:ind w:firstLine="708"/>
        <w:jc w:val="both"/>
        <w:rPr>
          <w:rFonts w:ascii="Arial" w:hAnsi="Arial" w:cs="Arial"/>
          <w:sz w:val="16"/>
          <w:szCs w:val="16"/>
        </w:rPr>
      </w:pPr>
    </w:p>
  </w:footnote>
  <w:footnote w:id="3">
    <w:p w14:paraId="3F937042" w14:textId="77777777" w:rsidR="00A84F7C" w:rsidRPr="00362B16" w:rsidRDefault="00A84F7C" w:rsidP="00A84F7C">
      <w:pPr>
        <w:pStyle w:val="Textonotapie"/>
        <w:ind w:firstLine="708"/>
        <w:jc w:val="both"/>
        <w:rPr>
          <w:rFonts w:ascii="Arial" w:hAnsi="Arial" w:cs="Arial"/>
          <w:sz w:val="16"/>
          <w:szCs w:val="16"/>
          <w:lang w:val="es-CO"/>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16467709" w14:textId="77777777" w:rsidR="00A84F7C" w:rsidRPr="00362B16" w:rsidRDefault="00A84F7C" w:rsidP="00A84F7C">
      <w:pPr>
        <w:pStyle w:val="Textonotapie"/>
        <w:ind w:firstLine="708"/>
        <w:jc w:val="both"/>
        <w:rPr>
          <w:rFonts w:ascii="Arial" w:hAnsi="Arial" w:cs="Arial"/>
          <w:sz w:val="16"/>
          <w:szCs w:val="16"/>
        </w:rPr>
      </w:pPr>
    </w:p>
  </w:footnote>
  <w:footnote w:id="4">
    <w:p w14:paraId="28514CB1" w14:textId="77777777" w:rsidR="00A84F7C" w:rsidRPr="00725BCA" w:rsidRDefault="00A84F7C" w:rsidP="00A84F7C">
      <w:pPr>
        <w:pStyle w:val="Textonotapie"/>
        <w:ind w:firstLine="708"/>
        <w:contextualSpacing/>
        <w:jc w:val="both"/>
        <w:rPr>
          <w:rFonts w:ascii="Arial" w:hAnsi="Arial" w:cs="Arial"/>
          <w:sz w:val="19"/>
          <w:szCs w:val="19"/>
        </w:rPr>
      </w:pPr>
      <w:r w:rsidRPr="00725BCA">
        <w:rPr>
          <w:rStyle w:val="Refdenotaalpie"/>
          <w:rFonts w:ascii="Arial" w:hAnsi="Arial" w:cs="Arial"/>
          <w:sz w:val="19"/>
          <w:szCs w:val="19"/>
        </w:rPr>
        <w:footnoteRef/>
      </w:r>
      <w:r w:rsidRPr="00725BCA">
        <w:rPr>
          <w:rFonts w:ascii="Arial" w:hAnsi="Arial" w:cs="Arial"/>
          <w:sz w:val="19"/>
          <w:szCs w:val="19"/>
        </w:rPr>
        <w:t xml:space="preserve"> Los conceptos indicados pueden consultarse en el siguiente enlace: </w:t>
      </w:r>
      <w:hyperlink r:id="rId1" w:history="1">
        <w:r w:rsidRPr="00725BCA">
          <w:rPr>
            <w:rStyle w:val="Hipervnculo"/>
            <w:rFonts w:ascii="Arial" w:hAnsi="Arial" w:cs="Arial"/>
            <w:sz w:val="19"/>
            <w:szCs w:val="19"/>
          </w:rPr>
          <w:t>https://relatoria.colombiacompra.gov.co/busqueda/conceptos</w:t>
        </w:r>
      </w:hyperlink>
      <w:r w:rsidRPr="00725BCA">
        <w:rPr>
          <w:rFonts w:ascii="Arial" w:hAnsi="Arial" w:cs="Arial"/>
          <w:sz w:val="19"/>
          <w:szCs w:val="19"/>
        </w:rPr>
        <w:t>.</w:t>
      </w:r>
    </w:p>
    <w:p w14:paraId="51F7F386" w14:textId="77777777" w:rsidR="00A84F7C" w:rsidRPr="00725BCA" w:rsidRDefault="00A84F7C" w:rsidP="00A84F7C">
      <w:pPr>
        <w:pStyle w:val="Textonotapie"/>
        <w:ind w:firstLine="708"/>
        <w:contextualSpacing/>
        <w:jc w:val="both"/>
        <w:rPr>
          <w:rFonts w:ascii="Arial" w:hAnsi="Arial" w:cs="Arial"/>
          <w:sz w:val="19"/>
          <w:szCs w:val="19"/>
        </w:rPr>
      </w:pPr>
    </w:p>
  </w:footnote>
  <w:footnote w:id="5">
    <w:p w14:paraId="304631A0" w14:textId="77777777" w:rsidR="00A84F7C" w:rsidRPr="00362B16" w:rsidRDefault="00A84F7C" w:rsidP="00A84F7C">
      <w:pPr>
        <w:pStyle w:val="Textonotapie"/>
        <w:ind w:firstLine="708"/>
        <w:jc w:val="both"/>
        <w:rPr>
          <w:rStyle w:val="Hipervnculo1"/>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Texto del Proyecto de Ley 122 de 2020 Cámara. Exposición de motivos. Consultado el 29 de diciembre de 2021 en la página web: </w:t>
      </w:r>
      <w:hyperlink r:id="rId2" w:history="1">
        <w:r w:rsidRPr="00362B16">
          <w:rPr>
            <w:rStyle w:val="Hipervnculo1"/>
            <w:rFonts w:ascii="Arial" w:hAnsi="Arial" w:cs="Arial"/>
            <w:sz w:val="16"/>
            <w:szCs w:val="16"/>
          </w:rPr>
          <w:t>http://leyes.senado.gov.co/proyectos/index.php/textos-radicados-senado/p-ley-2020-2021/1957-proyecto-de-ley-161-de-2020</w:t>
        </w:r>
      </w:hyperlink>
    </w:p>
    <w:p w14:paraId="0FEA87B7" w14:textId="77777777" w:rsidR="00A84F7C" w:rsidRPr="00362B16" w:rsidRDefault="00A84F7C" w:rsidP="00A84F7C">
      <w:pPr>
        <w:pStyle w:val="Textonotapie"/>
        <w:ind w:firstLine="708"/>
        <w:jc w:val="both"/>
        <w:rPr>
          <w:rFonts w:ascii="Arial" w:hAnsi="Arial" w:cs="Arial"/>
          <w:sz w:val="16"/>
          <w:szCs w:val="16"/>
        </w:rPr>
      </w:pPr>
    </w:p>
  </w:footnote>
  <w:footnote w:id="6">
    <w:p w14:paraId="336540FC" w14:textId="77777777" w:rsidR="00A84F7C" w:rsidRPr="00362B16" w:rsidRDefault="00A84F7C" w:rsidP="00A84F7C">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2 al 29.</w:t>
      </w:r>
    </w:p>
    <w:p w14:paraId="4E7AE4A7" w14:textId="77777777" w:rsidR="00A84F7C" w:rsidRPr="00362B16" w:rsidRDefault="00A84F7C" w:rsidP="00A84F7C">
      <w:pPr>
        <w:pStyle w:val="Textonotapie"/>
        <w:ind w:firstLine="709"/>
        <w:jc w:val="both"/>
        <w:rPr>
          <w:rFonts w:ascii="Arial" w:hAnsi="Arial" w:cs="Arial"/>
          <w:sz w:val="16"/>
          <w:szCs w:val="16"/>
          <w:lang w:val="es-ES"/>
        </w:rPr>
      </w:pPr>
    </w:p>
  </w:footnote>
  <w:footnote w:id="7">
    <w:p w14:paraId="5BA2C417" w14:textId="77777777" w:rsidR="00A84F7C" w:rsidRPr="00362B16" w:rsidRDefault="00A84F7C" w:rsidP="00A84F7C">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30 al 36.</w:t>
      </w:r>
    </w:p>
    <w:p w14:paraId="0E499601" w14:textId="77777777" w:rsidR="00A84F7C" w:rsidRPr="00362B16" w:rsidRDefault="00A84F7C" w:rsidP="00A84F7C">
      <w:pPr>
        <w:pStyle w:val="Textonotapie"/>
        <w:ind w:firstLine="709"/>
        <w:jc w:val="both"/>
        <w:rPr>
          <w:rFonts w:ascii="Arial" w:hAnsi="Arial" w:cs="Arial"/>
          <w:sz w:val="16"/>
          <w:szCs w:val="16"/>
          <w:lang w:val="es-ES"/>
        </w:rPr>
      </w:pPr>
    </w:p>
  </w:footnote>
  <w:footnote w:id="8">
    <w:p w14:paraId="380C4A34" w14:textId="77777777" w:rsidR="00A84F7C" w:rsidRPr="00362B16" w:rsidRDefault="00A84F7C" w:rsidP="00A84F7C">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37 al 45.</w:t>
      </w:r>
    </w:p>
    <w:p w14:paraId="4A877C50" w14:textId="77777777" w:rsidR="00A84F7C" w:rsidRPr="00362B16" w:rsidRDefault="00A84F7C" w:rsidP="00A84F7C">
      <w:pPr>
        <w:pStyle w:val="Textonotapie"/>
        <w:ind w:firstLine="709"/>
        <w:jc w:val="both"/>
        <w:rPr>
          <w:rFonts w:ascii="Arial" w:hAnsi="Arial" w:cs="Arial"/>
          <w:sz w:val="16"/>
          <w:szCs w:val="16"/>
          <w:lang w:val="es-ES"/>
        </w:rPr>
      </w:pPr>
    </w:p>
  </w:footnote>
  <w:footnote w:id="9">
    <w:p w14:paraId="4AB8F795" w14:textId="77777777" w:rsidR="00A84F7C" w:rsidRPr="00362B16" w:rsidRDefault="00A84F7C" w:rsidP="00A84F7C">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46 al 73.</w:t>
      </w:r>
    </w:p>
    <w:p w14:paraId="34FEE5E6" w14:textId="77777777" w:rsidR="00A84F7C" w:rsidRPr="00362B16" w:rsidRDefault="00A84F7C" w:rsidP="00A84F7C">
      <w:pPr>
        <w:pStyle w:val="Textonotapie"/>
        <w:ind w:firstLine="709"/>
        <w:jc w:val="both"/>
        <w:rPr>
          <w:rFonts w:ascii="Arial" w:hAnsi="Arial" w:cs="Arial"/>
          <w:sz w:val="16"/>
          <w:szCs w:val="16"/>
          <w:lang w:val="es-ES"/>
        </w:rPr>
      </w:pPr>
    </w:p>
  </w:footnote>
  <w:footnote w:id="10">
    <w:p w14:paraId="31C66912" w14:textId="77777777" w:rsidR="00A84F7C" w:rsidRPr="00362B16" w:rsidRDefault="00A84F7C" w:rsidP="00A84F7C">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74 al 83.</w:t>
      </w:r>
    </w:p>
    <w:p w14:paraId="23B99A14" w14:textId="77777777" w:rsidR="00A84F7C" w:rsidRPr="00362B16" w:rsidRDefault="00A84F7C" w:rsidP="00A84F7C">
      <w:pPr>
        <w:pStyle w:val="Textonotapie"/>
        <w:ind w:firstLine="709"/>
        <w:jc w:val="both"/>
        <w:rPr>
          <w:rFonts w:ascii="Arial" w:hAnsi="Arial" w:cs="Arial"/>
          <w:sz w:val="16"/>
          <w:szCs w:val="16"/>
          <w:lang w:val="es-ES"/>
        </w:rPr>
      </w:pPr>
    </w:p>
  </w:footnote>
  <w:footnote w:id="11">
    <w:p w14:paraId="2258B022" w14:textId="77777777" w:rsidR="00A84F7C" w:rsidRPr="00362B16" w:rsidRDefault="00A84F7C" w:rsidP="00A84F7C">
      <w:pPr>
        <w:pStyle w:val="Textonotapie"/>
        <w:ind w:firstLine="708"/>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bookmarkStart w:id="4" w:name="_Hlk63862868"/>
      <w:r w:rsidRPr="00362B16">
        <w:rPr>
          <w:rFonts w:ascii="Arial" w:hAnsi="Arial" w:cs="Arial"/>
          <w:sz w:val="16"/>
          <w:szCs w:val="16"/>
        </w:rPr>
        <w:t xml:space="preserve">CONGRESO DE LA REPÚBLICA. Gaceta No. 670 del 11 de agosto de 2020. Exposición de motivos del Proyecto de Ley No. 122 de 2020 Cámara. p. 13. </w:t>
      </w:r>
      <w:bookmarkEnd w:id="4"/>
    </w:p>
  </w:footnote>
  <w:footnote w:id="12">
    <w:p w14:paraId="3F69CB0A" w14:textId="77777777" w:rsidR="00A84F7C" w:rsidRPr="00362B16" w:rsidRDefault="00A84F7C" w:rsidP="00A84F7C">
      <w:pPr>
        <w:pStyle w:val="Textonotapie"/>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Ley 2069 de 2020 </w:t>
      </w:r>
      <w:r>
        <w:rPr>
          <w:rFonts w:ascii="Arial" w:hAnsi="Arial" w:cs="Arial"/>
          <w:sz w:val="16"/>
          <w:szCs w:val="16"/>
        </w:rPr>
        <w:t>“</w:t>
      </w:r>
      <w:r w:rsidRPr="00362B16">
        <w:rPr>
          <w:rFonts w:ascii="Arial" w:hAnsi="Arial" w:cs="Arial"/>
          <w:sz w:val="16"/>
          <w:szCs w:val="16"/>
        </w:rPr>
        <w:t xml:space="preserve">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589F0B6F" w14:textId="77777777" w:rsidR="00A84F7C" w:rsidRPr="00362B16" w:rsidRDefault="00A84F7C" w:rsidP="00A84F7C">
      <w:pPr>
        <w:pStyle w:val="Textonotapie"/>
        <w:ind w:firstLine="708"/>
        <w:jc w:val="both"/>
        <w:rPr>
          <w:rFonts w:ascii="Arial" w:hAnsi="Arial" w:cs="Arial"/>
          <w:sz w:val="16"/>
          <w:szCs w:val="16"/>
        </w:rPr>
      </w:pPr>
      <w:r>
        <w:rPr>
          <w:rFonts w:ascii="Arial" w:hAnsi="Arial" w:cs="Arial"/>
          <w:sz w:val="16"/>
          <w:szCs w:val="16"/>
        </w:rPr>
        <w:t>“</w:t>
      </w:r>
      <w:r w:rsidRPr="00362B16">
        <w:rPr>
          <w:rFonts w:ascii="Arial" w:hAnsi="Arial" w:cs="Arial"/>
          <w:sz w:val="16"/>
          <w:szCs w:val="16"/>
        </w:rPr>
        <w:t>Parágrafo primero. La definición de emprendimientos y empresas de mujeres se reglamentará por el gobierno nacional</w:t>
      </w:r>
      <w:r>
        <w:rPr>
          <w:rFonts w:ascii="Arial" w:hAnsi="Arial" w:cs="Arial"/>
          <w:sz w:val="16"/>
          <w:szCs w:val="16"/>
        </w:rPr>
        <w:t>”</w:t>
      </w:r>
      <w:r w:rsidRPr="00362B16">
        <w:rPr>
          <w:rFonts w:ascii="Arial" w:hAnsi="Arial" w:cs="Arial"/>
          <w:sz w:val="16"/>
          <w:szCs w:val="16"/>
        </w:rPr>
        <w:t xml:space="preserve">.  </w:t>
      </w:r>
    </w:p>
  </w:footnote>
  <w:footnote w:id="13">
    <w:p w14:paraId="68868221" w14:textId="77777777" w:rsidR="00A84F7C" w:rsidRPr="00362B16" w:rsidRDefault="00A84F7C" w:rsidP="00A84F7C">
      <w:pPr>
        <w:pStyle w:val="Textonotapie"/>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Decreto 1860 de 2021. </w:t>
      </w:r>
      <w:r>
        <w:rPr>
          <w:rFonts w:ascii="Arial" w:hAnsi="Arial" w:cs="Arial"/>
          <w:sz w:val="16"/>
          <w:szCs w:val="16"/>
        </w:rPr>
        <w:t>“</w:t>
      </w:r>
      <w:r w:rsidRPr="00362B16">
        <w:rPr>
          <w:rFonts w:ascii="Arial" w:hAnsi="Arial" w:cs="Arial"/>
          <w:sz w:val="16"/>
          <w:szCs w:val="16"/>
        </w:rPr>
        <w:t xml:space="preserve">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362B16">
        <w:rPr>
          <w:rFonts w:ascii="Arial" w:hAnsi="Arial" w:cs="Arial"/>
          <w:sz w:val="16"/>
          <w:szCs w:val="16"/>
        </w:rPr>
        <w:t>Mipyme</w:t>
      </w:r>
      <w:proofErr w:type="spellEnd"/>
      <w:r w:rsidRPr="00362B16">
        <w:rPr>
          <w:rFonts w:ascii="Arial" w:hAnsi="Arial" w:cs="Arial"/>
          <w:sz w:val="16"/>
          <w:szCs w:val="16"/>
        </w:rPr>
        <w:t xml:space="preserve"> y grandes almacenes; los criterios diferenciales para </w:t>
      </w:r>
      <w:proofErr w:type="spellStart"/>
      <w:r w:rsidRPr="00362B16">
        <w:rPr>
          <w:rFonts w:ascii="Arial" w:hAnsi="Arial" w:cs="Arial"/>
          <w:sz w:val="16"/>
          <w:szCs w:val="16"/>
        </w:rPr>
        <w:t>Mipyme</w:t>
      </w:r>
      <w:proofErr w:type="spellEnd"/>
      <w:r w:rsidRPr="00362B16">
        <w:rPr>
          <w:rFonts w:ascii="Arial" w:hAnsi="Arial" w:cs="Arial"/>
          <w:sz w:val="16"/>
          <w:szCs w:val="16"/>
        </w:rPr>
        <w:t xml:space="preserve">, y la definición y los criterios diferenciales para los emprendimientos y empresas de mujeres; las convocatorias limitadas a </w:t>
      </w:r>
      <w:proofErr w:type="spellStart"/>
      <w:r w:rsidRPr="00362B16">
        <w:rPr>
          <w:rFonts w:ascii="Arial" w:hAnsi="Arial" w:cs="Arial"/>
          <w:sz w:val="16"/>
          <w:szCs w:val="16"/>
        </w:rPr>
        <w:t>Mipyme</w:t>
      </w:r>
      <w:proofErr w:type="spellEnd"/>
      <w:r w:rsidRPr="00362B16">
        <w:rPr>
          <w:rFonts w:ascii="Arial" w:hAnsi="Arial" w:cs="Arial"/>
          <w:sz w:val="16"/>
          <w:szCs w:val="16"/>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r>
        <w:rPr>
          <w:rFonts w:ascii="Arial" w:hAnsi="Arial" w:cs="Arial"/>
          <w:sz w:val="16"/>
          <w:szCs w:val="16"/>
        </w:rPr>
        <w:t>”</w:t>
      </w:r>
      <w:r w:rsidRPr="00362B16">
        <w:rPr>
          <w:rFonts w:ascii="Arial" w:hAnsi="Arial" w:cs="Arial"/>
          <w:sz w:val="16"/>
          <w:szCs w:val="16"/>
        </w:rPr>
        <w:t>.</w:t>
      </w:r>
    </w:p>
    <w:p w14:paraId="0B3B1FE8" w14:textId="77777777" w:rsidR="00A84F7C" w:rsidRPr="00362B16" w:rsidRDefault="00A84F7C" w:rsidP="00A84F7C">
      <w:pPr>
        <w:pStyle w:val="Textonotapie"/>
        <w:ind w:firstLine="709"/>
        <w:jc w:val="both"/>
        <w:rPr>
          <w:rFonts w:ascii="Arial" w:hAnsi="Arial" w:cs="Arial"/>
          <w:sz w:val="16"/>
          <w:szCs w:val="16"/>
        </w:rPr>
      </w:pPr>
    </w:p>
  </w:footnote>
  <w:footnote w:id="14">
    <w:p w14:paraId="7643BAAE" w14:textId="77777777" w:rsidR="00A84F7C" w:rsidRPr="00362B16" w:rsidRDefault="00A84F7C" w:rsidP="00A84F7C">
      <w:pPr>
        <w:pStyle w:val="NormalWeb"/>
        <w:shd w:val="clear" w:color="auto" w:fill="FFFFFF"/>
        <w:spacing w:after="0"/>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Decreto 1860 de 2021. </w:t>
      </w:r>
      <w:r>
        <w:rPr>
          <w:rFonts w:ascii="Arial" w:hAnsi="Arial" w:cs="Arial"/>
          <w:sz w:val="16"/>
          <w:szCs w:val="16"/>
        </w:rPr>
        <w:t>“</w:t>
      </w:r>
      <w:r w:rsidRPr="00362B16">
        <w:rPr>
          <w:rFonts w:ascii="Arial" w:hAnsi="Arial" w:cs="Arial"/>
          <w:sz w:val="16"/>
          <w:szCs w:val="16"/>
        </w:rPr>
        <w:t>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3" w:anchor="2.2.1.2.1.5.1" w:history="1">
        <w:r w:rsidRPr="00362B16">
          <w:rPr>
            <w:rStyle w:val="Hipervnculo1"/>
            <w:rFonts w:ascii="Arial" w:hAnsi="Arial" w:cs="Arial"/>
            <w:sz w:val="16"/>
            <w:szCs w:val="16"/>
          </w:rPr>
          <w:t>5 </w:t>
        </w:r>
      </w:hyperlink>
      <w:r w:rsidRPr="00362B16">
        <w:rPr>
          <w:rFonts w:ascii="Arial" w:hAnsi="Arial" w:cs="Arial"/>
          <w:sz w:val="16"/>
          <w:szCs w:val="16"/>
        </w:rPr>
        <w:t>de la Sección 1 del Capítulo 2 del Título 1 de la Parte 2 del Libro 2, así como los artículos </w:t>
      </w:r>
      <w:hyperlink r:id="rId4" w:anchor="2.2.1.2.4.2.2" w:history="1">
        <w:r w:rsidRPr="00362B16">
          <w:rPr>
            <w:rStyle w:val="Hipervnculo1"/>
            <w:rFonts w:ascii="Arial" w:hAnsi="Arial" w:cs="Arial"/>
            <w:sz w:val="16"/>
            <w:szCs w:val="16"/>
          </w:rPr>
          <w:t>2.2.1.2.4.2.2</w:t>
        </w:r>
      </w:hyperlink>
      <w:r w:rsidRPr="00362B16">
        <w:rPr>
          <w:rFonts w:ascii="Arial" w:hAnsi="Arial" w:cs="Arial"/>
          <w:sz w:val="16"/>
          <w:szCs w:val="16"/>
        </w:rPr>
        <w:t>., </w:t>
      </w:r>
      <w:hyperlink r:id="rId5" w:anchor="2.2.1.2.4.2.3" w:history="1">
        <w:r w:rsidRPr="00362B16">
          <w:rPr>
            <w:rStyle w:val="Hipervnculo1"/>
            <w:rFonts w:ascii="Arial" w:hAnsi="Arial" w:cs="Arial"/>
            <w:sz w:val="16"/>
            <w:szCs w:val="16"/>
          </w:rPr>
          <w:t>2.2.1.2.4.2.3</w:t>
        </w:r>
      </w:hyperlink>
      <w:r w:rsidRPr="00362B16">
        <w:rPr>
          <w:rFonts w:ascii="Arial" w:hAnsi="Arial" w:cs="Arial"/>
          <w:sz w:val="16"/>
          <w:szCs w:val="16"/>
        </w:rPr>
        <w:t>., </w:t>
      </w:r>
      <w:hyperlink r:id="rId6" w:anchor="2.2.1.2.4.2.4" w:history="1">
        <w:r w:rsidRPr="00362B16">
          <w:rPr>
            <w:rStyle w:val="Hipervnculo1"/>
            <w:rFonts w:ascii="Arial" w:hAnsi="Arial" w:cs="Arial"/>
            <w:sz w:val="16"/>
            <w:szCs w:val="16"/>
          </w:rPr>
          <w:t>2.2.1.2.4.2.4</w:t>
        </w:r>
      </w:hyperlink>
      <w:r w:rsidRPr="00362B16">
        <w:rPr>
          <w:rFonts w:ascii="Arial" w:hAnsi="Arial" w:cs="Arial"/>
          <w:sz w:val="16"/>
          <w:szCs w:val="16"/>
        </w:rPr>
        <w:t>., </w:t>
      </w:r>
      <w:hyperlink r:id="rId7" w:anchor="2.2.1.2.1.2.2" w:history="1">
        <w:r w:rsidRPr="00362B16">
          <w:rPr>
            <w:rStyle w:val="Hipervnculo1"/>
            <w:rFonts w:ascii="Arial" w:hAnsi="Arial" w:cs="Arial"/>
            <w:sz w:val="16"/>
            <w:szCs w:val="16"/>
          </w:rPr>
          <w:t>2.2.1.2.1.2.2</w:t>
        </w:r>
      </w:hyperlink>
      <w:r w:rsidRPr="00362B16">
        <w:rPr>
          <w:rFonts w:ascii="Arial" w:hAnsi="Arial" w:cs="Arial"/>
          <w:sz w:val="16"/>
          <w:szCs w:val="16"/>
        </w:rPr>
        <w:t xml:space="preserve"> y </w:t>
      </w:r>
      <w:hyperlink r:id="rId8" w:anchor="2.2.1.2.4.2.8" w:history="1">
        <w:r w:rsidRPr="00362B16">
          <w:rPr>
            <w:rStyle w:val="Hipervnculo1"/>
            <w:rFonts w:ascii="Arial" w:hAnsi="Arial" w:cs="Arial"/>
            <w:sz w:val="16"/>
            <w:szCs w:val="16"/>
          </w:rPr>
          <w:t>2.2.1.2.4.2.8</w:t>
        </w:r>
      </w:hyperlink>
      <w:r w:rsidRPr="00362B16">
        <w:rPr>
          <w:rFonts w:ascii="Arial" w:hAnsi="Arial" w:cs="Arial"/>
          <w:sz w:val="16"/>
          <w:szCs w:val="16"/>
        </w:rPr>
        <w:t>.; adiciona los artículos </w:t>
      </w:r>
      <w:hyperlink r:id="rId9" w:anchor="2.2.1.2.4.2.14" w:history="1">
        <w:r w:rsidRPr="00362B16">
          <w:rPr>
            <w:rStyle w:val="Hipervnculo1"/>
            <w:rFonts w:ascii="Arial" w:hAnsi="Arial" w:cs="Arial"/>
            <w:sz w:val="16"/>
            <w:szCs w:val="16"/>
          </w:rPr>
          <w:t>2.2.1.2.4.2.14</w:t>
        </w:r>
      </w:hyperlink>
      <w:r w:rsidRPr="00362B16">
        <w:rPr>
          <w:rFonts w:ascii="Arial" w:hAnsi="Arial" w:cs="Arial"/>
          <w:sz w:val="16"/>
          <w:szCs w:val="16"/>
        </w:rPr>
        <w:t>., </w:t>
      </w:r>
      <w:hyperlink r:id="rId10" w:anchor="2.2.1.2.4.2.15" w:history="1">
        <w:r w:rsidRPr="00362B16">
          <w:rPr>
            <w:rStyle w:val="Hipervnculo1"/>
            <w:rFonts w:ascii="Arial" w:hAnsi="Arial" w:cs="Arial"/>
            <w:sz w:val="16"/>
            <w:szCs w:val="16"/>
          </w:rPr>
          <w:t>2.2.1.2.4.2.15</w:t>
        </w:r>
      </w:hyperlink>
      <w:r w:rsidRPr="00362B16">
        <w:rPr>
          <w:rFonts w:ascii="Arial" w:hAnsi="Arial" w:cs="Arial"/>
          <w:sz w:val="16"/>
          <w:szCs w:val="16"/>
        </w:rPr>
        <w:t>., </w:t>
      </w:r>
      <w:hyperlink r:id="rId11" w:anchor="2.2.1.2.4.2.16" w:history="1">
        <w:r w:rsidRPr="00362B16">
          <w:rPr>
            <w:rStyle w:val="Hipervnculo1"/>
            <w:rFonts w:ascii="Arial" w:hAnsi="Arial" w:cs="Arial"/>
            <w:sz w:val="16"/>
            <w:szCs w:val="16"/>
          </w:rPr>
          <w:t>2.2.1.2.4.2.16</w:t>
        </w:r>
      </w:hyperlink>
      <w:r w:rsidRPr="00362B16">
        <w:rPr>
          <w:rFonts w:ascii="Arial" w:hAnsi="Arial" w:cs="Arial"/>
          <w:sz w:val="16"/>
          <w:szCs w:val="16"/>
        </w:rPr>
        <w:t>., </w:t>
      </w:r>
      <w:hyperlink r:id="rId12" w:anchor="2.2.1.2.4.2.17" w:history="1">
        <w:r w:rsidRPr="00362B16">
          <w:rPr>
            <w:rStyle w:val="Hipervnculo1"/>
            <w:rFonts w:ascii="Arial" w:hAnsi="Arial" w:cs="Arial"/>
            <w:sz w:val="16"/>
            <w:szCs w:val="16"/>
          </w:rPr>
          <w:t>2.2.1.2.4.2.17</w:t>
        </w:r>
      </w:hyperlink>
      <w:r w:rsidRPr="00362B16">
        <w:rPr>
          <w:rFonts w:ascii="Arial" w:hAnsi="Arial" w:cs="Arial"/>
          <w:sz w:val="16"/>
          <w:szCs w:val="16"/>
        </w:rPr>
        <w:t>. y </w:t>
      </w:r>
      <w:hyperlink r:id="rId13" w:anchor="2.2.1.2.4.2.18" w:history="1">
        <w:r w:rsidRPr="00362B16">
          <w:rPr>
            <w:rStyle w:val="Hipervnculo1"/>
            <w:rFonts w:ascii="Arial" w:hAnsi="Arial" w:cs="Arial"/>
            <w:sz w:val="16"/>
            <w:szCs w:val="16"/>
          </w:rPr>
          <w:t>2.2.1.2.4.2.18</w:t>
        </w:r>
      </w:hyperlink>
      <w:r w:rsidRPr="00362B16">
        <w:rPr>
          <w:rFonts w:ascii="Arial" w:hAnsi="Arial" w:cs="Arial"/>
          <w:sz w:val="16"/>
          <w:szCs w:val="16"/>
        </w:rPr>
        <w:t>.; adiciona un </w:t>
      </w:r>
      <w:hyperlink r:id="rId14" w:anchor="2.2.1.2.3.1.9.p" w:history="1">
        <w:r w:rsidRPr="00362B16">
          <w:rPr>
            <w:rStyle w:val="Hipervnculo1"/>
            <w:rFonts w:ascii="Arial" w:hAnsi="Arial" w:cs="Arial"/>
            <w:sz w:val="16"/>
            <w:szCs w:val="16"/>
          </w:rPr>
          <w:t>parágrafo </w:t>
        </w:r>
      </w:hyperlink>
      <w:r w:rsidRPr="00362B16">
        <w:rPr>
          <w:rFonts w:ascii="Arial" w:hAnsi="Arial" w:cs="Arial"/>
          <w:sz w:val="16"/>
          <w:szCs w:val="16"/>
        </w:rPr>
        <w:t>al artículo </w:t>
      </w:r>
      <w:hyperlink r:id="rId15" w:anchor="2.2.1.2.3.1.9" w:history="1">
        <w:r w:rsidRPr="00362B16">
          <w:rPr>
            <w:rStyle w:val="Hipervnculo1"/>
            <w:rFonts w:ascii="Arial" w:hAnsi="Arial" w:cs="Arial"/>
            <w:sz w:val="16"/>
            <w:szCs w:val="16"/>
          </w:rPr>
          <w:t>2.2.1.2.3.1.9</w:t>
        </w:r>
      </w:hyperlink>
      <w:r w:rsidRPr="00362B16">
        <w:rPr>
          <w:rFonts w:ascii="Arial" w:hAnsi="Arial" w:cs="Arial"/>
          <w:sz w:val="16"/>
          <w:szCs w:val="16"/>
        </w:rPr>
        <w:t>; y deroga el artículo </w:t>
      </w:r>
      <w:hyperlink r:id="rId16" w:anchor="2.2.1.1.2.2.9" w:history="1">
        <w:r w:rsidRPr="00362B16">
          <w:rPr>
            <w:rStyle w:val="Hipervnculo1"/>
            <w:rFonts w:ascii="Arial" w:hAnsi="Arial" w:cs="Arial"/>
            <w:sz w:val="16"/>
            <w:szCs w:val="16"/>
          </w:rPr>
          <w:t>2.2.1.1.2.2.9</w:t>
        </w:r>
      </w:hyperlink>
      <w:r w:rsidRPr="00362B16">
        <w:rPr>
          <w:rFonts w:ascii="Arial" w:hAnsi="Arial" w:cs="Arial"/>
          <w:sz w:val="16"/>
          <w:szCs w:val="16"/>
        </w:rPr>
        <w:t>. del Decreto 1082 de 2015, Único Reglamentario del Sector Administrativo de Planeación Nacional.</w:t>
      </w:r>
    </w:p>
    <w:p w14:paraId="1F5D9648" w14:textId="77777777" w:rsidR="00A84F7C" w:rsidRPr="00362B16" w:rsidRDefault="00A84F7C" w:rsidP="00A84F7C">
      <w:pPr>
        <w:pStyle w:val="NormalWeb"/>
        <w:shd w:val="clear" w:color="auto" w:fill="FFFFFF"/>
        <w:spacing w:after="0"/>
        <w:jc w:val="both"/>
        <w:rPr>
          <w:rFonts w:ascii="Arial" w:hAnsi="Arial" w:cs="Arial"/>
          <w:sz w:val="16"/>
          <w:szCs w:val="16"/>
        </w:rPr>
      </w:pPr>
      <w:r w:rsidRPr="00362B16">
        <w:rPr>
          <w:rFonts w:ascii="Arial" w:hAnsi="Arial" w:cs="Arial"/>
          <w:b/>
          <w:bCs/>
          <w:sz w:val="16"/>
          <w:szCs w:val="16"/>
        </w:rPr>
        <w:t> </w:t>
      </w:r>
      <w:r w:rsidRPr="00362B16">
        <w:rPr>
          <w:rFonts w:ascii="Arial" w:hAnsi="Arial" w:cs="Arial"/>
          <w:b/>
          <w:bCs/>
          <w:sz w:val="16"/>
          <w:szCs w:val="16"/>
        </w:rPr>
        <w:tab/>
      </w:r>
      <w:r>
        <w:rPr>
          <w:rFonts w:ascii="Arial" w:hAnsi="Arial" w:cs="Arial"/>
          <w:b/>
          <w:bCs/>
          <w:sz w:val="16"/>
          <w:szCs w:val="16"/>
        </w:rPr>
        <w:t>“</w:t>
      </w:r>
      <w:r w:rsidRPr="00362B16">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45AFF60" w14:textId="77777777" w:rsidR="00A84F7C" w:rsidRPr="00362B16" w:rsidRDefault="00A84F7C" w:rsidP="00A84F7C">
      <w:pPr>
        <w:pStyle w:val="NormalWeb"/>
        <w:shd w:val="clear" w:color="auto" w:fill="FFFFFF"/>
        <w:spacing w:after="0"/>
        <w:jc w:val="both"/>
        <w:rPr>
          <w:rFonts w:ascii="Arial" w:hAnsi="Arial" w:cs="Arial"/>
          <w:sz w:val="16"/>
          <w:szCs w:val="16"/>
        </w:rPr>
      </w:pPr>
      <w:r w:rsidRPr="00362B16">
        <w:rPr>
          <w:rFonts w:ascii="Arial" w:hAnsi="Arial" w:cs="Arial"/>
          <w:sz w:val="16"/>
          <w:szCs w:val="16"/>
        </w:rPr>
        <w:t> </w:t>
      </w:r>
      <w:r w:rsidRPr="00362B16">
        <w:rPr>
          <w:rFonts w:ascii="Arial" w:hAnsi="Arial" w:cs="Arial"/>
          <w:sz w:val="16"/>
          <w:szCs w:val="16"/>
        </w:rPr>
        <w:tab/>
      </w:r>
      <w:r>
        <w:rPr>
          <w:rFonts w:ascii="Arial" w:hAnsi="Arial" w:cs="Arial"/>
          <w:sz w:val="16"/>
          <w:szCs w:val="16"/>
        </w:rPr>
        <w:t>“</w:t>
      </w:r>
      <w:r w:rsidRPr="00362B16">
        <w:rPr>
          <w:rFonts w:ascii="Arial" w:hAnsi="Arial" w:cs="Arial"/>
          <w:sz w:val="16"/>
          <w:szCs w:val="16"/>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Pr>
          <w:rFonts w:ascii="Arial" w:hAnsi="Arial" w:cs="Arial"/>
          <w:sz w:val="16"/>
          <w:szCs w:val="16"/>
        </w:rPr>
        <w:t>”</w:t>
      </w:r>
      <w:r w:rsidRPr="00362B16">
        <w:rPr>
          <w:rFonts w:ascii="Arial" w:hAnsi="Arial" w:cs="Arial"/>
          <w:sz w:val="16"/>
          <w:szCs w:val="16"/>
        </w:rPr>
        <w:t>.</w:t>
      </w:r>
    </w:p>
  </w:footnote>
  <w:footnote w:id="15">
    <w:p w14:paraId="1204010F" w14:textId="77777777" w:rsidR="00A84F7C" w:rsidRPr="004F34AA" w:rsidRDefault="00A84F7C" w:rsidP="00A84F7C">
      <w:pPr>
        <w:pStyle w:val="NormalWeb"/>
        <w:spacing w:after="0"/>
        <w:ind w:firstLine="708"/>
        <w:jc w:val="both"/>
        <w:rPr>
          <w:rFonts w:ascii="Arial" w:hAnsi="Arial" w:cs="Arial"/>
          <w:sz w:val="19"/>
          <w:szCs w:val="19"/>
          <w:lang w:val="es-MX"/>
        </w:rPr>
      </w:pPr>
      <w:r w:rsidRPr="004F34AA">
        <w:rPr>
          <w:rStyle w:val="Refdenotaalpie"/>
          <w:rFonts w:ascii="Arial" w:hAnsi="Arial" w:cs="Arial"/>
          <w:sz w:val="19"/>
          <w:szCs w:val="19"/>
          <w:lang w:val="es-MX"/>
        </w:rPr>
        <w:footnoteRef/>
      </w:r>
      <w:r w:rsidRPr="004F34AA">
        <w:rPr>
          <w:rStyle w:val="Refdenotaalpie"/>
          <w:rFonts w:ascii="Arial" w:hAnsi="Arial" w:cs="Arial"/>
          <w:sz w:val="19"/>
          <w:szCs w:val="19"/>
          <w:lang w:val="es-MX"/>
        </w:rPr>
        <w:t xml:space="preserve"> </w:t>
      </w:r>
      <w:r w:rsidRPr="004F34AA">
        <w:rPr>
          <w:rFonts w:ascii="Arial" w:hAnsi="Arial" w:cs="Arial"/>
          <w:sz w:val="19"/>
          <w:szCs w:val="19"/>
          <w:lang w:val="es-MX"/>
        </w:rPr>
        <w:t xml:space="preserve">Decreto Ley 2663 del 5 de agosto de 1950, Código Sustantivo del Trabajo: </w:t>
      </w:r>
      <w:r>
        <w:rPr>
          <w:rFonts w:ascii="Arial" w:hAnsi="Arial" w:cs="Arial"/>
          <w:sz w:val="19"/>
          <w:szCs w:val="19"/>
          <w:lang w:val="es-MX"/>
        </w:rPr>
        <w:t>“</w:t>
      </w:r>
      <w:r w:rsidRPr="004F34AA">
        <w:rPr>
          <w:rFonts w:ascii="Arial" w:hAnsi="Arial" w:cs="Arial"/>
          <w:sz w:val="19"/>
          <w:szCs w:val="19"/>
          <w:lang w:val="es-MX"/>
        </w:rPr>
        <w:t>Son representantes del {empleador} y como tales lo obligan frente a sus trabajadores además de quienes tienen ese carácter según la ley, la convención o el reglamento de trabajo, las siguientes personas:</w:t>
      </w:r>
    </w:p>
    <w:p w14:paraId="3EA9679A" w14:textId="77777777" w:rsidR="00A84F7C" w:rsidRPr="004F34AA" w:rsidRDefault="00A84F7C" w:rsidP="000F0371">
      <w:pPr>
        <w:spacing w:after="0"/>
        <w:ind w:left="709"/>
        <w:jc w:val="both"/>
        <w:rPr>
          <w:rFonts w:ascii="Arial" w:hAnsi="Arial" w:cs="Arial"/>
          <w:sz w:val="19"/>
          <w:szCs w:val="19"/>
          <w:lang w:val="es-MX"/>
        </w:rPr>
      </w:pPr>
      <w:r>
        <w:rPr>
          <w:rFonts w:ascii="Arial" w:hAnsi="Arial" w:cs="Arial"/>
          <w:sz w:val="19"/>
          <w:szCs w:val="19"/>
          <w:lang w:val="es-MX"/>
        </w:rPr>
        <w:t>“</w:t>
      </w:r>
      <w:r w:rsidRPr="004F34AA">
        <w:rPr>
          <w:rFonts w:ascii="Arial" w:hAnsi="Arial" w:cs="Arial"/>
          <w:sz w:val="19"/>
          <w:szCs w:val="19"/>
          <w:lang w:val="es-MX"/>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03F85FE8" w14:textId="77777777" w:rsidR="00A84F7C" w:rsidRPr="004F34AA" w:rsidRDefault="00A84F7C" w:rsidP="00A84F7C">
      <w:pPr>
        <w:ind w:left="709"/>
        <w:jc w:val="both"/>
        <w:rPr>
          <w:rFonts w:ascii="Arial" w:hAnsi="Arial" w:cs="Arial"/>
          <w:sz w:val="19"/>
          <w:szCs w:val="19"/>
          <w:lang w:val="es-MX"/>
        </w:rPr>
      </w:pPr>
      <w:r>
        <w:rPr>
          <w:rFonts w:ascii="Arial" w:hAnsi="Arial" w:cs="Arial"/>
          <w:sz w:val="19"/>
          <w:szCs w:val="19"/>
          <w:lang w:val="es-MX"/>
        </w:rPr>
        <w:t>“</w:t>
      </w:r>
      <w:r w:rsidRPr="004F34AA">
        <w:rPr>
          <w:rFonts w:ascii="Arial" w:hAnsi="Arial" w:cs="Arial"/>
          <w:sz w:val="19"/>
          <w:szCs w:val="19"/>
          <w:lang w:val="es-MX"/>
        </w:rPr>
        <w:t>b) Los intermediarios</w:t>
      </w:r>
      <w:r>
        <w:rPr>
          <w:rFonts w:ascii="Arial" w:hAnsi="Arial" w:cs="Arial"/>
          <w:sz w:val="19"/>
          <w:szCs w:val="19"/>
          <w:lang w:val="es-MX"/>
        </w:rPr>
        <w:t>”</w:t>
      </w:r>
      <w:r w:rsidRPr="004F34AA">
        <w:rPr>
          <w:rFonts w:ascii="Arial" w:hAnsi="Arial" w:cs="Arial"/>
          <w:sz w:val="19"/>
          <w:szCs w:val="19"/>
          <w:lang w:val="es-MX"/>
        </w:rPr>
        <w:t>.</w:t>
      </w:r>
    </w:p>
    <w:p w14:paraId="6A83FC67" w14:textId="77777777" w:rsidR="00A84F7C" w:rsidRPr="004F34AA" w:rsidRDefault="00A84F7C" w:rsidP="00A84F7C">
      <w:pPr>
        <w:pStyle w:val="Textonotapie"/>
        <w:rPr>
          <w:rFonts w:ascii="Arial" w:hAnsi="Arial" w:cs="Arial"/>
          <w:lang w:val="es-ES"/>
        </w:rPr>
      </w:pPr>
    </w:p>
  </w:footnote>
  <w:footnote w:id="16">
    <w:p w14:paraId="6476F34D" w14:textId="77777777" w:rsidR="00A84F7C" w:rsidRPr="00DC7F39" w:rsidRDefault="00A84F7C" w:rsidP="00A84F7C">
      <w:pPr>
        <w:pStyle w:val="Textonotapie"/>
        <w:ind w:firstLine="708"/>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bCs/>
          <w:sz w:val="19"/>
          <w:szCs w:val="19"/>
          <w:lang w:val="es-ES_tradnl"/>
        </w:rPr>
        <w:t xml:space="preserve">CASTRO DE CIFUENTES, Marcela. Derecho Comercial. Actos de comercio, empresas comerciantes y empresarios. Universidad de los Andes. 2016. </w:t>
      </w:r>
      <w:r w:rsidRPr="00DC7F39">
        <w:rPr>
          <w:rFonts w:ascii="Arial" w:hAnsi="Arial" w:cs="Arial"/>
          <w:sz w:val="19"/>
          <w:szCs w:val="19"/>
          <w:lang w:val="es-ES"/>
        </w:rPr>
        <w:t>Página 18.</w:t>
      </w:r>
    </w:p>
    <w:p w14:paraId="4260C2CA" w14:textId="77777777" w:rsidR="00A84F7C" w:rsidRPr="00DC7F39" w:rsidRDefault="00A84F7C" w:rsidP="00A84F7C">
      <w:pPr>
        <w:pStyle w:val="Textonotapie"/>
        <w:ind w:firstLine="708"/>
        <w:contextualSpacing/>
        <w:jc w:val="both"/>
        <w:rPr>
          <w:rFonts w:ascii="Arial" w:hAnsi="Arial" w:cs="Arial"/>
          <w:sz w:val="19"/>
          <w:szCs w:val="19"/>
          <w:lang w:val="es-ES"/>
        </w:rPr>
      </w:pPr>
    </w:p>
  </w:footnote>
  <w:footnote w:id="17">
    <w:p w14:paraId="151D95DA" w14:textId="77777777" w:rsidR="00A84F7C" w:rsidRPr="00DC7F39" w:rsidRDefault="00A84F7C" w:rsidP="00A84F7C">
      <w:pPr>
        <w:pStyle w:val="Textonotapie"/>
        <w:ind w:firstLine="708"/>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Ibidem. Página 45.</w:t>
      </w:r>
    </w:p>
  </w:footnote>
  <w:footnote w:id="18">
    <w:p w14:paraId="2B0A9733" w14:textId="77777777" w:rsidR="00A84F7C" w:rsidRPr="00DC7F39" w:rsidRDefault="00A84F7C" w:rsidP="00A84F7C">
      <w:pPr>
        <w:pStyle w:val="Car1"/>
        <w:ind w:firstLine="709"/>
        <w:contextualSpacing/>
        <w:jc w:val="both"/>
        <w:rPr>
          <w:rFonts w:ascii="Arial" w:hAnsi="Arial" w:cs="Arial"/>
          <w:sz w:val="19"/>
          <w:szCs w:val="19"/>
        </w:rPr>
      </w:pPr>
    </w:p>
    <w:p w14:paraId="5057528C" w14:textId="77777777" w:rsidR="00A84F7C" w:rsidRPr="00DC7F39" w:rsidRDefault="00A84F7C" w:rsidP="00A84F7C">
      <w:pPr>
        <w:pStyle w:val="Car1"/>
        <w:ind w:firstLine="709"/>
        <w:contextualSpacing/>
        <w:jc w:val="both"/>
        <w:rPr>
          <w:rFonts w:ascii="Arial" w:hAnsi="Arial" w:cs="Arial"/>
          <w:bCs/>
          <w:sz w:val="19"/>
          <w:szCs w:val="19"/>
          <w:lang w:val="es-ES_tradnl"/>
        </w:rPr>
      </w:pPr>
      <w:r w:rsidRPr="00DC7F39">
        <w:rPr>
          <w:rStyle w:val="Refdenotaalpie"/>
          <w:rFonts w:ascii="Arial"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CO"/>
        </w:rPr>
        <w:t xml:space="preserve">Al respecto, la doctrina ha señalado que </w:t>
      </w:r>
      <w:r>
        <w:rPr>
          <w:rFonts w:ascii="Arial" w:eastAsia="Calibri" w:hAnsi="Arial" w:cs="Arial"/>
          <w:bCs/>
          <w:sz w:val="19"/>
          <w:szCs w:val="19"/>
          <w:lang w:val="es-ES_tradnl"/>
        </w:rPr>
        <w:t>“</w:t>
      </w:r>
      <w:r w:rsidRPr="00DC7F39">
        <w:rPr>
          <w:rFonts w:ascii="Arial" w:eastAsia="Calibri" w:hAnsi="Arial" w:cs="Arial"/>
          <w:bCs/>
          <w:sz w:val="19"/>
          <w:szCs w:val="19"/>
          <w:lang w:val="es-ES_tradnl"/>
        </w:rPr>
        <w:t xml:space="preserve">inseparable del elemento objetivo – actividad económica organizada- y del subjetivo – empresario mercantil - </w:t>
      </w:r>
      <w:r w:rsidRPr="00DC7F39">
        <w:rPr>
          <w:rFonts w:ascii="Arial" w:hAnsi="Arial" w:cs="Arial"/>
          <w:sz w:val="19"/>
          <w:szCs w:val="19"/>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DC7F39">
        <w:rPr>
          <w:rFonts w:ascii="Arial" w:hAnsi="Arial" w:cs="Arial"/>
          <w:bCs/>
          <w:sz w:val="19"/>
          <w:szCs w:val="19"/>
          <w:lang w:val="es-ES_tradnl"/>
        </w:rPr>
        <w:t xml:space="preserve">actividad se realizará a través de uno o más establecimientos de </w:t>
      </w:r>
      <w:proofErr w:type="gramStart"/>
      <w:r w:rsidRPr="00DC7F39">
        <w:rPr>
          <w:rFonts w:ascii="Arial" w:hAnsi="Arial" w:cs="Arial"/>
          <w:bCs/>
          <w:sz w:val="19"/>
          <w:szCs w:val="19"/>
          <w:lang w:val="es-ES_tradnl"/>
        </w:rPr>
        <w:t>comercio”</w:t>
      </w:r>
      <w:r>
        <w:rPr>
          <w:rFonts w:ascii="Arial" w:eastAsia="Calibri" w:hAnsi="Arial" w:cs="Arial"/>
          <w:bCs/>
          <w:sz w:val="19"/>
          <w:szCs w:val="19"/>
          <w:lang w:val="es-ES_tradnl"/>
        </w:rPr>
        <w:t>“</w:t>
      </w:r>
      <w:proofErr w:type="gramEnd"/>
      <w:r w:rsidRPr="00DC7F39">
        <w:rPr>
          <w:rFonts w:ascii="Arial" w:hAnsi="Arial" w:cs="Arial"/>
          <w:bCs/>
          <w:sz w:val="19"/>
          <w:szCs w:val="19"/>
          <w:lang w:val="es-ES_tradnl"/>
        </w:rPr>
        <w:t>. (CASTRO DE CIFUENTES, Marcela. Derecho Comercial. Actos de comercio, empresas comerciantes y empresarios. Universidad de los Andes. 2016. Pág. 109).</w:t>
      </w:r>
    </w:p>
    <w:p w14:paraId="4106A897" w14:textId="77777777" w:rsidR="00A84F7C" w:rsidRPr="00DC7F39" w:rsidRDefault="00A84F7C" w:rsidP="00A84F7C">
      <w:pPr>
        <w:pStyle w:val="Textonotapie"/>
        <w:contextualSpacing/>
        <w:jc w:val="both"/>
        <w:rPr>
          <w:rFonts w:ascii="Arial" w:hAnsi="Arial" w:cs="Arial"/>
          <w:sz w:val="19"/>
          <w:szCs w:val="19"/>
          <w:lang w:val="es-ES_tradnl"/>
        </w:rPr>
      </w:pPr>
    </w:p>
  </w:footnote>
  <w:footnote w:id="19">
    <w:p w14:paraId="377E79A1" w14:textId="77777777" w:rsidR="00A84F7C" w:rsidRPr="00362B16" w:rsidRDefault="00A84F7C" w:rsidP="00A84F7C">
      <w:pPr>
        <w:pStyle w:val="Textonotapie"/>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Decreto 1082 de 2015, adicionado por el Decreto 1860 de 2021: </w:t>
      </w:r>
      <w:r>
        <w:rPr>
          <w:rFonts w:ascii="Arial" w:hAnsi="Arial" w:cs="Arial"/>
          <w:sz w:val="16"/>
          <w:szCs w:val="16"/>
        </w:rPr>
        <w:t>“</w:t>
      </w:r>
      <w:r w:rsidRPr="00362B16">
        <w:rPr>
          <w:rFonts w:ascii="Arial" w:hAnsi="Arial" w:cs="Arial"/>
          <w:sz w:val="16"/>
          <w:szCs w:val="16"/>
        </w:rPr>
        <w:t xml:space="preserve">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0A0CE7FD"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1. Tiempo de experiencia. </w:t>
      </w:r>
    </w:p>
    <w:p w14:paraId="2C2C87DD"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2. Número de contratos para la acreditación de la experiencia. </w:t>
      </w:r>
    </w:p>
    <w:p w14:paraId="4364F08B"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3. Índices de capacidad financiera. </w:t>
      </w:r>
    </w:p>
    <w:p w14:paraId="126CD45F"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4. Índices de capacidad organizacional. </w:t>
      </w:r>
    </w:p>
    <w:p w14:paraId="741C0C1D"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5. Valor de la garantía de seriedad de la oferta. </w:t>
      </w:r>
    </w:p>
    <w:p w14:paraId="730998F0" w14:textId="77777777" w:rsidR="00A84F7C" w:rsidRPr="00362B16" w:rsidRDefault="00A84F7C" w:rsidP="00A84F7C">
      <w:pPr>
        <w:pStyle w:val="Textonotapie"/>
        <w:ind w:firstLine="709"/>
        <w:jc w:val="both"/>
        <w:rPr>
          <w:rFonts w:ascii="Arial" w:hAnsi="Arial" w:cs="Arial"/>
          <w:sz w:val="16"/>
          <w:szCs w:val="16"/>
        </w:rPr>
      </w:pPr>
      <w:r w:rsidRPr="00362B16">
        <w:rPr>
          <w:rFonts w:ascii="Arial" w:hAnsi="Arial" w:cs="Arial"/>
          <w:sz w:val="16"/>
          <w:szCs w:val="16"/>
        </w:rPr>
        <w:t> </w:t>
      </w:r>
      <w:r>
        <w:rPr>
          <w:rFonts w:ascii="Arial" w:hAnsi="Arial" w:cs="Arial"/>
          <w:sz w:val="16"/>
          <w:szCs w:val="16"/>
        </w:rPr>
        <w:t>”</w:t>
      </w:r>
      <w:r w:rsidRPr="00362B16">
        <w:rPr>
          <w:rFonts w:ascii="Arial" w:hAnsi="Arial" w:cs="Arial"/>
          <w:sz w:val="16"/>
          <w:szCs w:val="16"/>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523D1850"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0CDA88E9"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6C30FF0"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744733FD" w14:textId="77777777" w:rsidR="00A84F7C" w:rsidRPr="00362B16" w:rsidRDefault="00A84F7C" w:rsidP="00A84F7C">
      <w:pPr>
        <w:pStyle w:val="Textonotapie"/>
        <w:ind w:firstLine="709"/>
        <w:jc w:val="both"/>
        <w:rPr>
          <w:rFonts w:ascii="Arial" w:hAnsi="Arial" w:cs="Arial"/>
          <w:sz w:val="16"/>
          <w:szCs w:val="16"/>
        </w:rPr>
      </w:pPr>
      <w:r>
        <w:rPr>
          <w:rFonts w:ascii="Arial" w:hAnsi="Arial" w:cs="Arial"/>
          <w:sz w:val="16"/>
          <w:szCs w:val="16"/>
        </w:rPr>
        <w:t>“</w:t>
      </w:r>
      <w:r w:rsidRPr="00362B16">
        <w:rPr>
          <w:rFonts w:ascii="Arial" w:hAnsi="Arial" w:cs="Arial"/>
          <w:sz w:val="16"/>
          <w:szCs w:val="16"/>
        </w:rPr>
        <w:t xml:space="preserve">Parágrafo 2. Los incentivos contractuales para las empresas y emprendimientos de mujeres no excluyen la aplicación de los criterios diferenciales para </w:t>
      </w:r>
      <w:proofErr w:type="spellStart"/>
      <w:r w:rsidRPr="00362B16">
        <w:rPr>
          <w:rFonts w:ascii="Arial" w:hAnsi="Arial" w:cs="Arial"/>
          <w:sz w:val="16"/>
          <w:szCs w:val="16"/>
        </w:rPr>
        <w:t>Mipyme</w:t>
      </w:r>
      <w:proofErr w:type="spellEnd"/>
      <w:r w:rsidRPr="00362B16">
        <w:rPr>
          <w:rFonts w:ascii="Arial" w:hAnsi="Arial" w:cs="Arial"/>
          <w:sz w:val="16"/>
          <w:szCs w:val="16"/>
        </w:rPr>
        <w:t xml:space="preserve"> en el sistema de compras públicas</w:t>
      </w:r>
      <w:r>
        <w:rPr>
          <w:rFonts w:ascii="Arial" w:hAnsi="Arial" w:cs="Arial"/>
          <w:sz w:val="16"/>
          <w:szCs w:val="16"/>
        </w:rPr>
        <w:t>”</w:t>
      </w:r>
      <w:r w:rsidRPr="00362B16">
        <w:rPr>
          <w:rFonts w:ascii="Arial" w:hAnsi="Arial" w:cs="Arial"/>
          <w:sz w:val="16"/>
          <w:szCs w:val="16"/>
        </w:rPr>
        <w:t xml:space="preserve">.  </w:t>
      </w:r>
    </w:p>
  </w:footnote>
  <w:footnote w:id="20">
    <w:p w14:paraId="6AA26DE3" w14:textId="77777777" w:rsidR="00A84F7C" w:rsidRPr="00362B16" w:rsidRDefault="00A84F7C" w:rsidP="00A84F7C">
      <w:pPr>
        <w:pStyle w:val="NormalWeb"/>
        <w:spacing w:after="0"/>
        <w:ind w:firstLine="709"/>
        <w:jc w:val="both"/>
        <w:rPr>
          <w:rFonts w:ascii="Arial" w:hAnsi="Arial" w:cs="Arial"/>
          <w:color w:val="000000"/>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Código Civil Colombiano </w:t>
      </w:r>
      <w:r>
        <w:rPr>
          <w:rFonts w:ascii="Arial" w:hAnsi="Arial" w:cs="Arial"/>
          <w:sz w:val="16"/>
          <w:szCs w:val="16"/>
        </w:rPr>
        <w:t>“</w:t>
      </w:r>
      <w:r w:rsidRPr="00362B16">
        <w:rPr>
          <w:rFonts w:ascii="Arial" w:hAnsi="Arial" w:cs="Arial"/>
          <w:color w:val="000000"/>
          <w:sz w:val="16"/>
          <w:szCs w:val="16"/>
        </w:rPr>
        <w:t>Artículo 27. Cuando el sentido de la ley sea claro, no se desatenderá su tenor literal a pretexto de consultar su espíritu. </w:t>
      </w:r>
    </w:p>
    <w:p w14:paraId="745E9CC4" w14:textId="77777777" w:rsidR="00A84F7C" w:rsidRPr="00362B16" w:rsidRDefault="00A84F7C" w:rsidP="00A84F7C">
      <w:pPr>
        <w:jc w:val="both"/>
        <w:rPr>
          <w:rFonts w:ascii="Arial" w:hAnsi="Arial" w:cs="Arial"/>
          <w:color w:val="000000"/>
          <w:sz w:val="16"/>
          <w:szCs w:val="16"/>
          <w:lang w:eastAsia="es-CO"/>
        </w:rPr>
      </w:pPr>
      <w:r w:rsidRPr="00362B16">
        <w:rPr>
          <w:rFonts w:ascii="Arial" w:hAnsi="Arial" w:cs="Arial"/>
          <w:color w:val="000000"/>
          <w:sz w:val="16"/>
          <w:szCs w:val="16"/>
          <w:lang w:eastAsia="es-CO"/>
        </w:rPr>
        <w:t>  </w:t>
      </w:r>
      <w:r w:rsidRPr="00362B16">
        <w:rPr>
          <w:rFonts w:ascii="Arial" w:hAnsi="Arial" w:cs="Arial"/>
          <w:color w:val="000000"/>
          <w:sz w:val="16"/>
          <w:szCs w:val="16"/>
          <w:lang w:eastAsia="es-CO"/>
        </w:rPr>
        <w:tab/>
      </w:r>
      <w:r>
        <w:rPr>
          <w:rFonts w:ascii="Arial" w:hAnsi="Arial" w:cs="Arial"/>
          <w:color w:val="000000"/>
          <w:sz w:val="16"/>
          <w:szCs w:val="16"/>
          <w:lang w:eastAsia="es-CO"/>
        </w:rPr>
        <w:t>“</w:t>
      </w:r>
      <w:r w:rsidRPr="00362B16">
        <w:rPr>
          <w:rFonts w:ascii="Arial" w:hAnsi="Arial" w:cs="Arial"/>
          <w:color w:val="000000"/>
          <w:sz w:val="16"/>
          <w:szCs w:val="16"/>
          <w:lang w:eastAsia="es-CO"/>
        </w:rPr>
        <w:t>Pero bien se puede, para interpretar una expresión </w:t>
      </w:r>
      <w:r w:rsidRPr="00362B16">
        <w:rPr>
          <w:rFonts w:ascii="Arial" w:hAnsi="Arial" w:cs="Arial"/>
          <w:i/>
          <w:iCs/>
          <w:color w:val="000000"/>
          <w:sz w:val="16"/>
          <w:szCs w:val="16"/>
          <w:lang w:eastAsia="es-CO"/>
        </w:rPr>
        <w:t>oscura</w:t>
      </w:r>
      <w:r w:rsidRPr="00362B16">
        <w:rPr>
          <w:rFonts w:ascii="Arial" w:hAnsi="Arial" w:cs="Arial"/>
          <w:color w:val="000000"/>
          <w:sz w:val="16"/>
          <w:szCs w:val="16"/>
          <w:lang w:eastAsia="es-CO"/>
        </w:rPr>
        <w:t> de la ley, recurrir a su intención o espíritu, claramente manifestados en ella misma o en la historia fidedigna de su establecimiento</w:t>
      </w:r>
      <w:r>
        <w:rPr>
          <w:rFonts w:ascii="Arial" w:hAnsi="Arial" w:cs="Arial"/>
          <w:color w:val="000000"/>
          <w:sz w:val="16"/>
          <w:szCs w:val="16"/>
          <w:lang w:eastAsia="es-CO"/>
        </w:rPr>
        <w:t>”</w:t>
      </w:r>
      <w:r w:rsidRPr="00362B16">
        <w:rPr>
          <w:rFonts w:ascii="Arial" w:hAnsi="Arial" w:cs="Arial"/>
          <w:color w:val="000000"/>
          <w:sz w:val="16"/>
          <w:szCs w:val="16"/>
          <w:lang w:eastAsia="es-CO"/>
        </w:rPr>
        <w:t>. </w:t>
      </w:r>
    </w:p>
    <w:p w14:paraId="6CB0FC58" w14:textId="77777777" w:rsidR="00A84F7C" w:rsidRPr="00362B16" w:rsidRDefault="00A84F7C" w:rsidP="00A84F7C">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DE7A46"/>
    <w:multiLevelType w:val="hybridMultilevel"/>
    <w:tmpl w:val="6C3A8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529298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C6D"/>
    <w:rsid w:val="00015867"/>
    <w:rsid w:val="00031E36"/>
    <w:rsid w:val="000A683E"/>
    <w:rsid w:val="000B19B9"/>
    <w:rsid w:val="000D0334"/>
    <w:rsid w:val="000F0371"/>
    <w:rsid w:val="000F6486"/>
    <w:rsid w:val="000F69A3"/>
    <w:rsid w:val="001115FB"/>
    <w:rsid w:val="00125105"/>
    <w:rsid w:val="00127233"/>
    <w:rsid w:val="00162064"/>
    <w:rsid w:val="00167A73"/>
    <w:rsid w:val="0019616E"/>
    <w:rsid w:val="001E4177"/>
    <w:rsid w:val="00200398"/>
    <w:rsid w:val="002028D0"/>
    <w:rsid w:val="00240BA2"/>
    <w:rsid w:val="002469E5"/>
    <w:rsid w:val="002951A0"/>
    <w:rsid w:val="002962BC"/>
    <w:rsid w:val="002A093D"/>
    <w:rsid w:val="002A49AC"/>
    <w:rsid w:val="002A64FD"/>
    <w:rsid w:val="002C7A84"/>
    <w:rsid w:val="002D42D4"/>
    <w:rsid w:val="002F0161"/>
    <w:rsid w:val="00300067"/>
    <w:rsid w:val="003442A1"/>
    <w:rsid w:val="003448F4"/>
    <w:rsid w:val="00357348"/>
    <w:rsid w:val="003A779E"/>
    <w:rsid w:val="003D0F4D"/>
    <w:rsid w:val="003E0499"/>
    <w:rsid w:val="003E6FFB"/>
    <w:rsid w:val="003F3941"/>
    <w:rsid w:val="00400548"/>
    <w:rsid w:val="00405250"/>
    <w:rsid w:val="00420690"/>
    <w:rsid w:val="00426FD2"/>
    <w:rsid w:val="00444BB5"/>
    <w:rsid w:val="004578DB"/>
    <w:rsid w:val="004A1847"/>
    <w:rsid w:val="004A305D"/>
    <w:rsid w:val="004B0098"/>
    <w:rsid w:val="004D1563"/>
    <w:rsid w:val="004D1584"/>
    <w:rsid w:val="004F21C4"/>
    <w:rsid w:val="004F685F"/>
    <w:rsid w:val="00500BD8"/>
    <w:rsid w:val="00532D63"/>
    <w:rsid w:val="005566E8"/>
    <w:rsid w:val="00574867"/>
    <w:rsid w:val="005C5CDC"/>
    <w:rsid w:val="005D476C"/>
    <w:rsid w:val="0060353D"/>
    <w:rsid w:val="006219F8"/>
    <w:rsid w:val="00644C65"/>
    <w:rsid w:val="00665D70"/>
    <w:rsid w:val="006D6C89"/>
    <w:rsid w:val="006F3382"/>
    <w:rsid w:val="006F376A"/>
    <w:rsid w:val="00700F6F"/>
    <w:rsid w:val="00706C16"/>
    <w:rsid w:val="00756841"/>
    <w:rsid w:val="007649AB"/>
    <w:rsid w:val="007833AC"/>
    <w:rsid w:val="007A3EB1"/>
    <w:rsid w:val="007B7171"/>
    <w:rsid w:val="007C3DC2"/>
    <w:rsid w:val="007E4435"/>
    <w:rsid w:val="007E5497"/>
    <w:rsid w:val="007F31E1"/>
    <w:rsid w:val="007F56EC"/>
    <w:rsid w:val="00802307"/>
    <w:rsid w:val="00806F5F"/>
    <w:rsid w:val="00814545"/>
    <w:rsid w:val="00820278"/>
    <w:rsid w:val="00835B43"/>
    <w:rsid w:val="00840911"/>
    <w:rsid w:val="00851779"/>
    <w:rsid w:val="008843B6"/>
    <w:rsid w:val="00891928"/>
    <w:rsid w:val="008A446D"/>
    <w:rsid w:val="008F0EA7"/>
    <w:rsid w:val="008F735E"/>
    <w:rsid w:val="00923EEF"/>
    <w:rsid w:val="009419F9"/>
    <w:rsid w:val="00961B09"/>
    <w:rsid w:val="00965334"/>
    <w:rsid w:val="0097093E"/>
    <w:rsid w:val="00970A76"/>
    <w:rsid w:val="0098595A"/>
    <w:rsid w:val="009B6306"/>
    <w:rsid w:val="009C3496"/>
    <w:rsid w:val="009C71FA"/>
    <w:rsid w:val="009C72E7"/>
    <w:rsid w:val="00A17F13"/>
    <w:rsid w:val="00A20739"/>
    <w:rsid w:val="00A33C78"/>
    <w:rsid w:val="00A82E60"/>
    <w:rsid w:val="00A84F7C"/>
    <w:rsid w:val="00AB0ADB"/>
    <w:rsid w:val="00AC5BEB"/>
    <w:rsid w:val="00AC7459"/>
    <w:rsid w:val="00B1392C"/>
    <w:rsid w:val="00B57340"/>
    <w:rsid w:val="00B72CD3"/>
    <w:rsid w:val="00B72FFF"/>
    <w:rsid w:val="00B803F8"/>
    <w:rsid w:val="00BA6863"/>
    <w:rsid w:val="00BC0707"/>
    <w:rsid w:val="00BD0C0A"/>
    <w:rsid w:val="00BD7F72"/>
    <w:rsid w:val="00BF7C3E"/>
    <w:rsid w:val="00C04FB3"/>
    <w:rsid w:val="00C12B3F"/>
    <w:rsid w:val="00C211C8"/>
    <w:rsid w:val="00C330EB"/>
    <w:rsid w:val="00C41F56"/>
    <w:rsid w:val="00C754BE"/>
    <w:rsid w:val="00C83E6F"/>
    <w:rsid w:val="00CA215E"/>
    <w:rsid w:val="00CB0DD3"/>
    <w:rsid w:val="00CB6357"/>
    <w:rsid w:val="00CC1B26"/>
    <w:rsid w:val="00CC2EB6"/>
    <w:rsid w:val="00CF3BEC"/>
    <w:rsid w:val="00D423A2"/>
    <w:rsid w:val="00D57774"/>
    <w:rsid w:val="00D63AC2"/>
    <w:rsid w:val="00D67584"/>
    <w:rsid w:val="00D7383B"/>
    <w:rsid w:val="00D957D7"/>
    <w:rsid w:val="00DA231B"/>
    <w:rsid w:val="00DB0D4C"/>
    <w:rsid w:val="00DF3EDF"/>
    <w:rsid w:val="00E16408"/>
    <w:rsid w:val="00E20894"/>
    <w:rsid w:val="00E245AB"/>
    <w:rsid w:val="00E50AFE"/>
    <w:rsid w:val="00E513E9"/>
    <w:rsid w:val="00E771DC"/>
    <w:rsid w:val="00E8772A"/>
    <w:rsid w:val="00E877AC"/>
    <w:rsid w:val="00E90F6B"/>
    <w:rsid w:val="00E92C27"/>
    <w:rsid w:val="00EA0E3D"/>
    <w:rsid w:val="00EA3C5D"/>
    <w:rsid w:val="00EC718A"/>
    <w:rsid w:val="00EE1AA8"/>
    <w:rsid w:val="00F204AB"/>
    <w:rsid w:val="00F31EDC"/>
    <w:rsid w:val="00F5640F"/>
    <w:rsid w:val="00F5664F"/>
    <w:rsid w:val="00F76AFC"/>
    <w:rsid w:val="00FB5DD1"/>
    <w:rsid w:val="00FC2B5D"/>
    <w:rsid w:val="00FF1449"/>
    <w:rsid w:val="00FF74C1"/>
    <w:rsid w:val="46BC03BA"/>
    <w:rsid w:val="5411EC76"/>
    <w:rsid w:val="71EC98F0"/>
    <w:rsid w:val="7BE23EC1"/>
    <w:rsid w:val="7BE685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link w:val="NormalWebCar"/>
    <w:uiPriority w:val="99"/>
    <w:unhideWhenUsed/>
    <w:rsid w:val="00A84F7C"/>
    <w:rPr>
      <w:rFonts w:ascii="Times New Roman" w:hAnsi="Times New Roman" w:cs="Times New Roman"/>
      <w:sz w:val="24"/>
      <w:szCs w:val="24"/>
    </w:rPr>
  </w:style>
  <w:style w:type="character" w:customStyle="1" w:styleId="Hipervnculo1">
    <w:name w:val="Hipervínculo1"/>
    <w:basedOn w:val="Fuentedeprrafopredeter"/>
    <w:uiPriority w:val="99"/>
    <w:unhideWhenUsed/>
    <w:rsid w:val="00A84F7C"/>
    <w:rPr>
      <w:color w:val="F2F2F2"/>
      <w:u w:val="single"/>
    </w:rPr>
  </w:style>
  <w:style w:type="paragraph" w:customStyle="1" w:styleId="Appelnotedebasde">
    <w:name w:val="Appel note de bas de..."/>
    <w:basedOn w:val="Normal"/>
    <w:link w:val="Refdenotaalpie"/>
    <w:uiPriority w:val="99"/>
    <w:rsid w:val="00A84F7C"/>
    <w:pPr>
      <w:spacing w:line="240" w:lineRule="exact"/>
    </w:pPr>
    <w:rPr>
      <w:vertAlign w:val="superscript"/>
    </w:rPr>
  </w:style>
  <w:style w:type="table" w:customStyle="1" w:styleId="Tablaconcuadrcula3">
    <w:name w:val="Tabla con cuadrícula3"/>
    <w:basedOn w:val="Tablanormal"/>
    <w:next w:val="Tablaconcuadrcula"/>
    <w:uiPriority w:val="59"/>
    <w:qFormat/>
    <w:rsid w:val="00A8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A84F7C"/>
    <w:rPr>
      <w:rFonts w:ascii="Times New Roman" w:hAnsi="Times New Roman" w:cs="Times New Roman"/>
      <w:sz w:val="24"/>
      <w:szCs w:val="24"/>
    </w:rPr>
  </w:style>
  <w:style w:type="paragraph" w:customStyle="1" w:styleId="Car1">
    <w:name w:val="Car1"/>
    <w:basedOn w:val="Normal"/>
    <w:next w:val="Textonotapie"/>
    <w:uiPriority w:val="99"/>
    <w:unhideWhenUsed/>
    <w:qFormat/>
    <w:rsid w:val="00A84F7C"/>
    <w:pPr>
      <w:spacing w:after="0" w:line="240" w:lineRule="auto"/>
    </w:pPr>
    <w:rPr>
      <w:sz w:val="20"/>
      <w:szCs w:val="20"/>
      <w:lang w:val="es-MX"/>
    </w:rPr>
  </w:style>
  <w:style w:type="paragraph" w:styleId="Revisin">
    <w:name w:val="Revision"/>
    <w:hidden/>
    <w:uiPriority w:val="99"/>
    <w:semiHidden/>
    <w:rsid w:val="00B13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ogonzalez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leyes.senado.gov.co/proyectos/index.php/textos-radicados-senado/p-ley-2020-2021/1957-proyecto-de-ley-161-de-2020"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5DD46732-5BDC-40AE-85F4-24632895D258}"/>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B2949A5-ACEA-49A7-91E4-C3430BDC0171}">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terms/"/>
    <ds:schemaRef ds:uri="http://purl.org/dc/elements/1.1/"/>
    <ds:schemaRef ds:uri="http://purl.org/dc/dcmitype/"/>
    <ds:schemaRef ds:uri="8ae15d26-076e-464e-81a7-6f76a0fb3917"/>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cabc2350-70b2-4dba-bb42-96a3175f4d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6564</Words>
  <Characters>36103</Characters>
  <Application>Microsoft Office Word</Application>
  <DocSecurity>0</DocSecurity>
  <Lines>300</Lines>
  <Paragraphs>85</Paragraphs>
  <ScaleCrop>false</ScaleCrop>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Gabriel Alejandro Murcia Taboada</cp:lastModifiedBy>
  <cp:revision>10</cp:revision>
  <cp:lastPrinted>2023-01-10T21:18:00Z</cp:lastPrinted>
  <dcterms:created xsi:type="dcterms:W3CDTF">2023-08-11T20:30:00Z</dcterms:created>
  <dcterms:modified xsi:type="dcterms:W3CDTF">2023-09-01T01:01:00Z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