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A82F" w14:textId="77777777" w:rsidR="00A2064E" w:rsidRDefault="00A2064E" w:rsidP="00A2064E">
      <w:pPr>
        <w:spacing w:line="240" w:lineRule="auto"/>
        <w:jc w:val="both"/>
        <w:rPr>
          <w:rFonts w:ascii="Arial" w:eastAsia="Calibri" w:hAnsi="Arial" w:cs="Arial"/>
          <w:b/>
          <w:bCs/>
          <w:lang w:val="es-ES_tradnl"/>
        </w:rPr>
      </w:pPr>
      <w:r>
        <w:rPr>
          <w:rFonts w:ascii="Arial" w:eastAsia="Calibri" w:hAnsi="Arial" w:cs="Arial"/>
          <w:b/>
          <w:bCs/>
          <w:lang w:val="es-ES_tradnl"/>
        </w:rPr>
        <w:t xml:space="preserve">RÉGIMEN DE INHABILIDADS E INCOMPATIBILIDADES </w:t>
      </w:r>
      <w:r w:rsidRPr="006765BF">
        <w:rPr>
          <w:rFonts w:ascii="Arial" w:eastAsia="Calibri" w:hAnsi="Arial" w:cs="Arial"/>
          <w:b/>
          <w:bCs/>
          <w:lang w:val="es-ES_tradnl"/>
        </w:rPr>
        <w:t>–</w:t>
      </w:r>
      <w:r>
        <w:rPr>
          <w:rFonts w:ascii="Arial" w:eastAsia="Calibri" w:hAnsi="Arial" w:cs="Arial"/>
          <w:b/>
          <w:bCs/>
          <w:lang w:val="es-ES_tradnl"/>
        </w:rPr>
        <w:t xml:space="preserve"> Interpretación Restrictiva </w:t>
      </w:r>
    </w:p>
    <w:p w14:paraId="1BC3CA68" w14:textId="1A616429" w:rsidR="00A2064E" w:rsidRDefault="00A2064E" w:rsidP="00A82F72">
      <w:pPr>
        <w:spacing w:line="240" w:lineRule="auto"/>
        <w:jc w:val="both"/>
        <w:rPr>
          <w:rFonts w:ascii="Arial" w:eastAsia="Geomanist Light" w:hAnsi="Arial" w:cs="Arial"/>
          <w:color w:val="000000" w:themeColor="text1"/>
          <w:lang w:val="es-MX"/>
        </w:rPr>
      </w:pPr>
      <w:r w:rsidRPr="003D4A6A">
        <w:rPr>
          <w:rFonts w:ascii="Arial" w:eastAsia="Geomanist Light" w:hAnsi="Arial" w:cs="Arial"/>
          <w:color w:val="000000" w:themeColor="text1"/>
          <w:lang w:val="es-MX"/>
        </w:rPr>
        <w:t xml:space="preserve">En efecto, si el contrato se celebra con personas incursas previamente en una situación de inhabilidad o incompatibilidad, este surge a la vida jurídica viciado de nulidad absoluta.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7B00941F" w14:textId="77777777" w:rsidR="00A2064E" w:rsidRPr="00A2064E" w:rsidRDefault="00A2064E" w:rsidP="00A82F72">
      <w:pPr>
        <w:spacing w:line="240" w:lineRule="auto"/>
        <w:jc w:val="both"/>
        <w:rPr>
          <w:rFonts w:ascii="Arial" w:eastAsia="Geomanist Light" w:hAnsi="Arial" w:cs="Arial"/>
          <w:color w:val="000000" w:themeColor="text1"/>
          <w:lang w:val="es-MX"/>
        </w:rPr>
      </w:pPr>
    </w:p>
    <w:p w14:paraId="14604107" w14:textId="1274894B" w:rsidR="00D92C2C" w:rsidRPr="00A82F72" w:rsidRDefault="00D92C2C" w:rsidP="00A82F72">
      <w:pPr>
        <w:spacing w:line="240" w:lineRule="auto"/>
        <w:jc w:val="both"/>
        <w:rPr>
          <w:rFonts w:ascii="Arial" w:eastAsia="Calibri" w:hAnsi="Arial" w:cs="Arial"/>
          <w:b/>
          <w:bCs/>
          <w:lang w:val="es-ES_tradnl" w:eastAsia="es-ES_tradnl"/>
        </w:rPr>
      </w:pPr>
      <w:r w:rsidRPr="00A82F72">
        <w:rPr>
          <w:rFonts w:ascii="Arial" w:eastAsia="Calibri" w:hAnsi="Arial" w:cs="Arial"/>
          <w:b/>
          <w:bCs/>
          <w:lang w:val="es-ES_tradnl" w:eastAsia="es-ES_tradnl"/>
        </w:rPr>
        <w:t>OBRAS CIVILES INCONCLUSAS – Concepto – Ley 2020 de 2020</w:t>
      </w:r>
    </w:p>
    <w:p w14:paraId="1EC02179" w14:textId="49B0D6D0" w:rsidR="00D92C2C" w:rsidRPr="00A82F72" w:rsidRDefault="00D92C2C" w:rsidP="00A82F72">
      <w:pPr>
        <w:spacing w:line="240" w:lineRule="auto"/>
        <w:jc w:val="both"/>
        <w:rPr>
          <w:rFonts w:ascii="Arial" w:eastAsia="Calibri" w:hAnsi="Arial" w:cs="Arial"/>
          <w:b/>
          <w:bCs/>
          <w:lang w:val="es-ES_tradnl" w:eastAsia="es-ES_tradnl"/>
        </w:rPr>
      </w:pPr>
      <w:r w:rsidRPr="00A82F72">
        <w:rPr>
          <w:rFonts w:ascii="Arial" w:hAnsi="Arial" w:cs="Arial"/>
        </w:rPr>
        <w:t>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p>
    <w:p w14:paraId="6F2FE6BD" w14:textId="77777777" w:rsidR="00D92C2C" w:rsidRPr="00A82F72" w:rsidRDefault="00D92C2C" w:rsidP="00A82F72">
      <w:pPr>
        <w:spacing w:line="240" w:lineRule="auto"/>
        <w:jc w:val="both"/>
        <w:rPr>
          <w:rFonts w:ascii="Arial" w:eastAsia="Calibri" w:hAnsi="Arial" w:cs="Arial"/>
          <w:b/>
          <w:bCs/>
          <w:lang w:val="es-ES_tradnl" w:eastAsia="es-ES_tradnl"/>
        </w:rPr>
      </w:pPr>
      <w:r w:rsidRPr="00114264">
        <w:rPr>
          <w:rFonts w:ascii="Arial" w:eastAsia="Calibri" w:hAnsi="Arial" w:cs="Arial"/>
          <w:b/>
          <w:bCs/>
          <w:lang w:val="es-ES_tradnl" w:eastAsia="es-ES_tradnl"/>
        </w:rPr>
        <w:t>REGISTRO NACIONAL DE OBRAS CIVILES INCONCLUSAS – Deber de verificación – Discrecionalidad</w:t>
      </w:r>
    </w:p>
    <w:p w14:paraId="0DF93E0A" w14:textId="2BCDEEC6" w:rsidR="00764244" w:rsidRPr="00A82F72" w:rsidRDefault="00D92C2C" w:rsidP="00A82F72">
      <w:pPr>
        <w:spacing w:line="240" w:lineRule="auto"/>
        <w:jc w:val="both"/>
        <w:rPr>
          <w:rFonts w:ascii="Arial" w:hAnsi="Arial" w:cs="Arial"/>
        </w:rPr>
      </w:pPr>
      <w:r w:rsidRPr="00A82F72">
        <w:rPr>
          <w:rFonts w:ascii="Arial" w:hAnsi="Arial" w:cs="Arial"/>
        </w:rPr>
        <w:t>(…)</w:t>
      </w:r>
      <w:r w:rsidR="00A82F72">
        <w:rPr>
          <w:rFonts w:ascii="Arial" w:hAnsi="Arial" w:cs="Arial"/>
        </w:rPr>
        <w:t xml:space="preserve"> </w:t>
      </w:r>
      <w:r w:rsidRPr="00A82F72">
        <w:rPr>
          <w:rFonts w:ascii="Arial" w:hAnsi="Arial" w:cs="Arial"/>
        </w:rPr>
        <w:t>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 o de la Ley 1150 de 2007 o la norma que la modifique”. De lo prescrito en la disposición precitada, se deriva que el deber de consultar y analizar solamente aplica a las tipologías contractuales de obra pública y de interventoría, y no a los demás contratos de consultoría. Esto por cuanto, si bien el contrato de interventoría es de consultoría, no todo contrato de consultoría tiene por objeto una interventoría. Así se desprende del artículo 32, numeral 2, de la Ley 80 de 1993</w:t>
      </w:r>
      <w:r w:rsidR="00764244" w:rsidRPr="00A82F72">
        <w:rPr>
          <w:rFonts w:ascii="Arial" w:hAnsi="Arial" w:cs="Arial"/>
        </w:rPr>
        <w:t>.</w:t>
      </w:r>
    </w:p>
    <w:p w14:paraId="3DDEBC06" w14:textId="77777777" w:rsidR="00764244" w:rsidRPr="00A82F72" w:rsidRDefault="00D92C2C" w:rsidP="00A82F72">
      <w:pPr>
        <w:spacing w:line="240" w:lineRule="auto"/>
        <w:jc w:val="both"/>
        <w:rPr>
          <w:rFonts w:ascii="Arial" w:hAnsi="Arial" w:cs="Arial"/>
        </w:rPr>
      </w:pPr>
      <w:r w:rsidRPr="00A82F72">
        <w:rPr>
          <w:rFonts w:ascii="Arial" w:hAnsi="Arial" w:cs="Arial"/>
        </w:rPr>
        <w:t xml:space="preserve">Para los contratos de obra pública y de interventoría, lo anterior significa que, al aplicar dichos criterios de calificación con puntajes o formulas dentro del procedimiento contractual para seleccionar la mejor oferta,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En este contexto, las entidades deberán examinar la particularidad de la anotación y determinar si esta afectará la ponderación al momento de realizar la respectiva evaluación de conformidad a lo que configurado en el pliego de condiciones. </w:t>
      </w:r>
    </w:p>
    <w:p w14:paraId="5C8B1497" w14:textId="24E0055A" w:rsidR="00D92C2C" w:rsidRPr="00A82F72" w:rsidRDefault="00D92C2C" w:rsidP="00A82F72">
      <w:pPr>
        <w:spacing w:line="240" w:lineRule="auto"/>
        <w:jc w:val="both"/>
        <w:rPr>
          <w:rFonts w:ascii="Arial" w:hAnsi="Arial" w:cs="Arial"/>
        </w:rPr>
      </w:pPr>
      <w:r w:rsidRPr="00A82F72">
        <w:rPr>
          <w:rFonts w:ascii="Arial" w:hAnsi="Arial" w:cs="Arial"/>
        </w:rPr>
        <w:t xml:space="preserve">De esta manera, como las entidades estatales cuentan con discrecionalidad para determinar los criterios de calificación, corresponde a estas definir, en los pliegos de condiciones, los factores de asignación de puntaje y la forma en que se realizará la valoración de las anotaciones vigentes </w:t>
      </w:r>
      <w:r w:rsidRPr="00A82F72">
        <w:rPr>
          <w:rFonts w:ascii="Arial" w:hAnsi="Arial" w:cs="Arial"/>
        </w:rPr>
        <w:lastRenderedPageBreak/>
        <w:t>en el Registro Nacional de Obras Civiles Inconclusas al momento de evaluar las ofertas, conforme a los parámetros del artículo 6 de la Ley 2020 de 2020. Lo anterior, teniendo en cuenta que la norma no restringió a una metodología específica el análisis y la valoración de estas anotaciones</w:t>
      </w:r>
      <w:r w:rsidR="00764244" w:rsidRPr="00A82F72">
        <w:rPr>
          <w:rFonts w:ascii="Arial" w:hAnsi="Arial" w:cs="Arial"/>
        </w:rPr>
        <w:t>.</w:t>
      </w:r>
    </w:p>
    <w:p w14:paraId="752C0940" w14:textId="191967A1" w:rsidR="00D92C2C" w:rsidRPr="00A82F72" w:rsidRDefault="00D92C2C" w:rsidP="00A82F72">
      <w:pPr>
        <w:spacing w:line="240" w:lineRule="auto"/>
        <w:jc w:val="both"/>
        <w:rPr>
          <w:rFonts w:ascii="Arial" w:eastAsia="Calibri" w:hAnsi="Arial" w:cs="Arial"/>
          <w:b/>
          <w:bCs/>
          <w:lang w:val="es-ES_tradnl" w:eastAsia="es-ES_tradnl"/>
        </w:rPr>
      </w:pPr>
      <w:r w:rsidRPr="00A82F72">
        <w:rPr>
          <w:rFonts w:ascii="Arial" w:eastAsia="Calibri" w:hAnsi="Arial" w:cs="Arial"/>
          <w:b/>
          <w:bCs/>
          <w:lang w:val="es-ES_tradnl" w:eastAsia="es-ES_tradnl"/>
        </w:rPr>
        <w:t>DOCUMENTOS TIPO – Descuento puntaje – Consultar y analizar – Incumplimiento del contratista</w:t>
      </w:r>
    </w:p>
    <w:p w14:paraId="17E5A6C0" w14:textId="77777777" w:rsidR="00764244" w:rsidRPr="00A82F72" w:rsidRDefault="00764244" w:rsidP="00A82F72">
      <w:pPr>
        <w:spacing w:line="240" w:lineRule="auto"/>
        <w:jc w:val="both"/>
        <w:rPr>
          <w:rFonts w:ascii="Arial" w:hAnsi="Arial" w:cs="Arial"/>
        </w:rPr>
      </w:pPr>
      <w:r w:rsidRPr="00A82F72">
        <w:rPr>
          <w:rFonts w:ascii="Arial" w:hAnsi="Arial" w:cs="Arial"/>
        </w:rPr>
        <w:t>De acuerdo con el “Documento Base” de dichos procesos, con excepción de la mínima cuantía, en el numeral 4.2 “Factor de Calidad” se contempló: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En todo caso, no se descontará el puntaje en los términos previstos en el inciso anterior cuando el Proponente no oferte el factor de calidad, por lo que éste obtendrá cero (0) puntos en este criterio de evaluación. En esta circunstancia, la Entidad no podrá reducir el puntaje de la sumatoria obtenida en los demás factores de ponderación.”</w:t>
      </w:r>
    </w:p>
    <w:p w14:paraId="0D4A2017" w14:textId="42ECF7A7" w:rsidR="00764244" w:rsidRPr="00A82F72" w:rsidRDefault="00764244" w:rsidP="00A82F72">
      <w:pPr>
        <w:spacing w:line="240" w:lineRule="auto"/>
        <w:jc w:val="both"/>
        <w:rPr>
          <w:rFonts w:ascii="Arial" w:hAnsi="Arial" w:cs="Arial"/>
        </w:rPr>
      </w:pPr>
      <w:r w:rsidRPr="00A82F72">
        <w:rPr>
          <w:rFonts w:ascii="Arial" w:hAnsi="Arial" w:cs="Arial"/>
        </w:rPr>
        <w:t>(…)</w:t>
      </w:r>
    </w:p>
    <w:p w14:paraId="5A77D9D7" w14:textId="38F25F89" w:rsidR="00764244" w:rsidRPr="00A82F72" w:rsidRDefault="00764244" w:rsidP="00A82F72">
      <w:pPr>
        <w:spacing w:line="240" w:lineRule="auto"/>
        <w:jc w:val="both"/>
        <w:rPr>
          <w:rFonts w:ascii="Arial" w:eastAsia="Calibri" w:hAnsi="Arial" w:cs="Arial"/>
          <w:b/>
          <w:bCs/>
          <w:lang w:val="es-ES_tradnl" w:eastAsia="es-ES_tradnl"/>
        </w:rPr>
      </w:pPr>
      <w:r w:rsidRPr="00A82F72">
        <w:rPr>
          <w:rFonts w:ascii="Arial" w:hAnsi="Arial" w:cs="Arial"/>
        </w:rPr>
        <w:t>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w:t>
      </w:r>
    </w:p>
    <w:p w14:paraId="3E42DBD4" w14:textId="05F7FFB0" w:rsidR="00D92C2C" w:rsidRPr="00A82F72" w:rsidRDefault="00D92C2C" w:rsidP="00A82F72">
      <w:pPr>
        <w:spacing w:line="240" w:lineRule="auto"/>
        <w:jc w:val="both"/>
        <w:rPr>
          <w:rFonts w:ascii="Arial" w:eastAsia="Calibri" w:hAnsi="Arial" w:cs="Arial"/>
          <w:b/>
          <w:bCs/>
          <w:lang w:val="es-ES_tradnl" w:eastAsia="es-ES_tradnl"/>
        </w:rPr>
      </w:pPr>
      <w:r w:rsidRPr="00A82F72">
        <w:rPr>
          <w:rFonts w:ascii="Arial" w:eastAsia="Calibri" w:hAnsi="Arial" w:cs="Arial"/>
          <w:b/>
          <w:bCs/>
          <w:lang w:val="es-ES_tradnl"/>
        </w:rPr>
        <w:t>DOCUMENTOS TIPO – Registro Nacional de Obras Civiles Inconclusas – Aplicación</w:t>
      </w:r>
    </w:p>
    <w:p w14:paraId="0AF6D3AD" w14:textId="3FAA29F7" w:rsidR="00D92C2C" w:rsidRPr="00A82F72" w:rsidRDefault="00764244" w:rsidP="00A82F72">
      <w:pPr>
        <w:spacing w:line="240" w:lineRule="auto"/>
        <w:jc w:val="both"/>
        <w:rPr>
          <w:rFonts w:ascii="Arial" w:hAnsi="Arial" w:cs="Arial"/>
        </w:rPr>
      </w:pPr>
      <w:r w:rsidRPr="00A82F72">
        <w:rPr>
          <w:rFonts w:ascii="Arial" w:hAnsi="Arial" w:cs="Arial"/>
        </w:rPr>
        <w:t>Por ello, 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si esa anotación se dio por un incumplimiento del contratista, por lo que, dependiendo del supuesto, la entidad descontará el punto.</w:t>
      </w:r>
    </w:p>
    <w:p w14:paraId="18520095" w14:textId="1891640A" w:rsidR="00764244" w:rsidRPr="00A82F72" w:rsidRDefault="00764244" w:rsidP="00A82F72">
      <w:pPr>
        <w:spacing w:line="240" w:lineRule="auto"/>
        <w:jc w:val="both"/>
        <w:rPr>
          <w:rFonts w:ascii="Arial" w:hAnsi="Arial" w:cs="Arial"/>
        </w:rPr>
      </w:pPr>
      <w:r w:rsidRPr="00A82F72">
        <w:rPr>
          <w:rFonts w:ascii="Arial" w:hAnsi="Arial" w:cs="Arial"/>
        </w:rPr>
        <w:t>(…)</w:t>
      </w:r>
    </w:p>
    <w:p w14:paraId="49569CDE" w14:textId="1ABAA53B" w:rsidR="00764244" w:rsidRPr="00A82F72" w:rsidRDefault="00764244" w:rsidP="00A82F72">
      <w:pPr>
        <w:spacing w:line="240" w:lineRule="auto"/>
        <w:jc w:val="both"/>
        <w:rPr>
          <w:rFonts w:ascii="Arial" w:eastAsia="Geomanist Light" w:hAnsi="Arial" w:cs="Arial"/>
          <w:color w:val="000000" w:themeColor="text1"/>
          <w:lang w:val="es-MX"/>
        </w:rPr>
      </w:pPr>
      <w:r w:rsidRPr="00A82F72">
        <w:rPr>
          <w:rFonts w:ascii="Arial" w:hAnsi="Arial" w:cs="Arial"/>
        </w:rPr>
        <w:t>Por su parte, y en lo que respecta a la posibilidad de que una Entidad Estatal rechace la oferta de un proponente por tener anotaciones vigentes en el Registro Nacional de Obras Civiles Inconclusas, debe indicarse que en los documentos pliego tipo no se contempló dicha causal de rechazo, no obstante, en los Procesos de Contratación en donde los documentos tipo adoptados por la Agencia no sea aplicable, las Entidades Estatales, como directoras de sus procesos de</w:t>
      </w:r>
      <w:r w:rsidR="00A82F72" w:rsidRPr="00A82F72">
        <w:rPr>
          <w:rFonts w:ascii="Arial" w:hAnsi="Arial" w:cs="Arial"/>
        </w:rPr>
        <w:t xml:space="preserve"> contratación son autónomas en estipular en sus Pliegos de Condiciones o documentos </w:t>
      </w:r>
      <w:r w:rsidR="00A82F72" w:rsidRPr="00A82F72">
        <w:rPr>
          <w:rFonts w:ascii="Arial" w:hAnsi="Arial" w:cs="Arial"/>
        </w:rPr>
        <w:lastRenderedPageBreak/>
        <w:t>equivalentes, las causales de rechazo que considere pertinente, siempre que no contradigan la Ley ni los principios que rigen en materia de contratación.</w:t>
      </w:r>
    </w:p>
    <w:p w14:paraId="5C3A4DD1" w14:textId="77777777" w:rsidR="00FE2352" w:rsidRDefault="00FE2352" w:rsidP="00A82F72">
      <w:pPr>
        <w:spacing w:line="240" w:lineRule="auto"/>
        <w:jc w:val="both"/>
        <w:rPr>
          <w:rFonts w:ascii="Arial" w:eastAsia="Geomanist Light" w:hAnsi="Arial" w:cs="Arial"/>
          <w:color w:val="000000" w:themeColor="text1"/>
          <w:lang w:val="es-MX"/>
        </w:rPr>
      </w:pPr>
    </w:p>
    <w:p w14:paraId="41A213BE" w14:textId="77777777" w:rsidR="00BE347C" w:rsidRPr="00504597" w:rsidRDefault="00BE347C" w:rsidP="00BE347C">
      <w:pPr>
        <w:spacing w:after="0" w:line="240" w:lineRule="auto"/>
        <w:jc w:val="both"/>
        <w:rPr>
          <w:rFonts w:ascii="Arial" w:eastAsia="Calibri" w:hAnsi="Arial" w:cs="Arial"/>
          <w:b/>
          <w:bCs/>
          <w:color w:val="000000" w:themeColor="text1"/>
          <w:sz w:val="20"/>
          <w:szCs w:val="20"/>
        </w:rPr>
      </w:pPr>
      <w:bookmarkStart w:id="0" w:name="_Hlk143803675"/>
      <w:r w:rsidRPr="00BE347C">
        <w:rPr>
          <w:rFonts w:ascii="Arial" w:eastAsia="Calibri" w:hAnsi="Arial" w:cs="Arial"/>
          <w:b/>
          <w:bCs/>
          <w:color w:val="000000" w:themeColor="text1"/>
          <w:lang w:val="es-ES_tradnl"/>
        </w:rPr>
        <w:t>RUP – Reporte – Multas, sanciones e inhabilidades</w:t>
      </w:r>
    </w:p>
    <w:bookmarkEnd w:id="0"/>
    <w:p w14:paraId="01DC2D6E" w14:textId="77777777" w:rsidR="00BE347C" w:rsidRDefault="00BE347C" w:rsidP="00BE347C">
      <w:pPr>
        <w:spacing w:after="0" w:line="240" w:lineRule="auto"/>
        <w:jc w:val="both"/>
        <w:rPr>
          <w:rFonts w:ascii="Arial" w:eastAsia="Calibri" w:hAnsi="Arial" w:cs="Arial"/>
          <w:color w:val="000000" w:themeColor="text1"/>
          <w:sz w:val="20"/>
          <w:szCs w:val="20"/>
          <w:lang w:val="es-ES"/>
        </w:rPr>
      </w:pPr>
    </w:p>
    <w:p w14:paraId="76C77A6C" w14:textId="77777777" w:rsidR="00BE347C" w:rsidRDefault="00BE347C" w:rsidP="00BE347C">
      <w:pPr>
        <w:spacing w:after="0" w:line="240" w:lineRule="auto"/>
        <w:jc w:val="both"/>
        <w:rPr>
          <w:rFonts w:ascii="Arial" w:eastAsia="Calibri" w:hAnsi="Arial" w:cs="Arial"/>
          <w:bCs/>
          <w:color w:val="000000" w:themeColor="text1"/>
          <w:sz w:val="20"/>
          <w:szCs w:val="20"/>
        </w:rPr>
      </w:pPr>
      <w:r>
        <w:rPr>
          <w:rFonts w:ascii="Arial" w:eastAsia="Calibri" w:hAnsi="Arial" w:cs="Arial"/>
          <w:color w:val="000000" w:themeColor="text1"/>
          <w:sz w:val="20"/>
          <w:szCs w:val="20"/>
        </w:rPr>
        <w:t>E</w:t>
      </w:r>
      <w:r w:rsidRPr="00DF4305">
        <w:rPr>
          <w:rFonts w:ascii="Arial" w:eastAsia="Calibri" w:hAnsi="Arial" w:cs="Arial"/>
          <w:color w:val="000000" w:themeColor="text1"/>
          <w:sz w:val="20"/>
          <w:szCs w:val="20"/>
        </w:rPr>
        <w:t xml:space="preserve">s preciso advertir que en los artículos 6.2 de la Ley 1150 y </w:t>
      </w:r>
      <w:r w:rsidRPr="00DF4305">
        <w:rPr>
          <w:rFonts w:ascii="Arial" w:eastAsia="Calibri" w:hAnsi="Arial" w:cs="Arial"/>
          <w:iCs/>
          <w:color w:val="000000" w:themeColor="text1"/>
          <w:sz w:val="20"/>
          <w:szCs w:val="20"/>
        </w:rPr>
        <w:t>2.2.1.1.1.5.7 del Decreto 1082 de 2015</w:t>
      </w:r>
      <w:r w:rsidRPr="00DF4305">
        <w:rPr>
          <w:rFonts w:ascii="Arial" w:eastAsia="Calibri" w:hAnsi="Arial" w:cs="Arial"/>
          <w:color w:val="000000" w:themeColor="text1"/>
          <w:sz w:val="20"/>
          <w:szCs w:val="20"/>
        </w:rPr>
        <w:t xml:space="preserve"> no se hace alusión expresa al reporte de la información relativa a proponentes que no están obligados a estar en el RUP para participar en Procesos de Contratación o suscribir contratos, como sucede en el caso de las personas naturales extranjeras sin domicilio en el país o de las personas jurídicas extranjeras que no tengan sucursal en Colombia, y que por tanto –como se indica en la consulta– carecen de inscripción y calificación. No obstante,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DF4305">
        <w:rPr>
          <w:rFonts w:ascii="Arial" w:eastAsia="Calibri" w:hAnsi="Arial" w:cs="Arial"/>
          <w:bCs/>
          <w:color w:val="000000" w:themeColor="text1"/>
          <w:sz w:val="20"/>
          <w:szCs w:val="20"/>
        </w:rPr>
        <w:t xml:space="preserve">2.2.1.1.1.5.7 hace referencia al mecanismo de interoperabilidad para el registro de información entre RUP y SECOP. </w:t>
      </w:r>
    </w:p>
    <w:p w14:paraId="5DB07A8B" w14:textId="77777777" w:rsidR="00BE347C" w:rsidRPr="00DF4305" w:rsidRDefault="00BE347C" w:rsidP="00BE347C">
      <w:pPr>
        <w:spacing w:after="0" w:line="240" w:lineRule="auto"/>
        <w:jc w:val="both"/>
        <w:rPr>
          <w:rFonts w:ascii="Arial" w:eastAsia="Calibri" w:hAnsi="Arial" w:cs="Arial"/>
          <w:color w:val="000000" w:themeColor="text1"/>
          <w:sz w:val="20"/>
          <w:szCs w:val="20"/>
        </w:rPr>
      </w:pPr>
    </w:p>
    <w:p w14:paraId="7014C66D" w14:textId="77777777" w:rsidR="00FE2352" w:rsidRDefault="00FE2352" w:rsidP="00A82F72">
      <w:pPr>
        <w:spacing w:line="240" w:lineRule="auto"/>
        <w:jc w:val="both"/>
        <w:rPr>
          <w:rFonts w:ascii="Arial" w:eastAsia="Geomanist Light" w:hAnsi="Arial" w:cs="Arial"/>
          <w:color w:val="000000" w:themeColor="text1"/>
          <w:lang w:val="es-MX"/>
        </w:rPr>
      </w:pPr>
    </w:p>
    <w:p w14:paraId="5FF6FCCA" w14:textId="77777777" w:rsidR="00476F7F" w:rsidRPr="00DF4305" w:rsidRDefault="00476F7F" w:rsidP="00476F7F">
      <w:pPr>
        <w:spacing w:after="0" w:line="240" w:lineRule="auto"/>
        <w:jc w:val="both"/>
        <w:rPr>
          <w:rFonts w:ascii="Arial" w:eastAsia="Calibri" w:hAnsi="Arial" w:cs="Arial"/>
          <w:b/>
          <w:bCs/>
          <w:color w:val="000000" w:themeColor="text1"/>
          <w:lang w:val="es-ES_tradnl"/>
        </w:rPr>
      </w:pPr>
      <w:r w:rsidRPr="00BE347C">
        <w:rPr>
          <w:rFonts w:ascii="Arial" w:eastAsia="Calibri" w:hAnsi="Arial" w:cs="Arial"/>
          <w:b/>
          <w:bCs/>
          <w:color w:val="000000" w:themeColor="text1"/>
          <w:lang w:val="es-ES_tradnl"/>
        </w:rPr>
        <w:t>INCUMPLIMIENTO REITERADO – Inhabilidad – Ley 1474 – Artículo 90 – Redacción original – Ley 1955 – Modificación</w:t>
      </w:r>
    </w:p>
    <w:p w14:paraId="214CC825" w14:textId="77777777" w:rsidR="00476F7F" w:rsidRPr="00504597" w:rsidRDefault="00476F7F" w:rsidP="00476F7F">
      <w:pPr>
        <w:spacing w:after="0" w:line="240" w:lineRule="auto"/>
        <w:jc w:val="both"/>
        <w:rPr>
          <w:rFonts w:ascii="Arial" w:eastAsia="Calibri" w:hAnsi="Arial" w:cs="Arial"/>
          <w:bCs/>
          <w:color w:val="000000" w:themeColor="text1"/>
          <w:sz w:val="20"/>
          <w:szCs w:val="20"/>
          <w:lang w:val="es-ES"/>
        </w:rPr>
      </w:pPr>
    </w:p>
    <w:p w14:paraId="19A70976" w14:textId="77777777" w:rsidR="00476F7F" w:rsidRDefault="00476F7F" w:rsidP="00476F7F">
      <w:pPr>
        <w:spacing w:after="0" w:line="240" w:lineRule="auto"/>
        <w:jc w:val="both"/>
        <w:rPr>
          <w:rFonts w:ascii="Arial" w:eastAsia="Calibri" w:hAnsi="Arial" w:cs="Arial"/>
          <w:bCs/>
          <w:color w:val="000000" w:themeColor="text1"/>
          <w:sz w:val="20"/>
          <w:szCs w:val="20"/>
          <w:lang w:val="es-ES"/>
        </w:rPr>
      </w:pPr>
      <w:r w:rsidRPr="00D04C80">
        <w:rPr>
          <w:rFonts w:ascii="Arial" w:eastAsia="Calibri" w:hAnsi="Arial" w:cs="Arial"/>
          <w:bCs/>
          <w:color w:val="000000" w:themeColor="text1"/>
          <w:sz w:val="20"/>
          <w:szCs w:val="20"/>
          <w:lang w:val="es-ES"/>
        </w:rPr>
        <w:t>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D04C80">
        <w:rPr>
          <w:rFonts w:ascii="Arial" w:eastAsia="Calibri" w:hAnsi="Arial" w:cs="Arial"/>
          <w:bCs/>
          <w:color w:val="000000" w:themeColor="text1"/>
          <w:sz w:val="20"/>
          <w:szCs w:val="20"/>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 Ante la configuración de cualquiera de tales supuestos, la persona incursa en los mismos quedaba inhabilitada por un periodo de tres (3) años contados a partir de la fecha de inscripción en el RUP de la última multa o declaratoria de incumplimiento.</w:t>
      </w:r>
    </w:p>
    <w:p w14:paraId="3822BB6D" w14:textId="77777777" w:rsidR="00476F7F" w:rsidRPr="00D04C80" w:rsidRDefault="00476F7F" w:rsidP="00476F7F">
      <w:pPr>
        <w:spacing w:after="0" w:line="240" w:lineRule="auto"/>
        <w:jc w:val="both"/>
        <w:rPr>
          <w:rFonts w:ascii="Arial" w:eastAsia="Calibri" w:hAnsi="Arial" w:cs="Arial"/>
          <w:bCs/>
          <w:color w:val="000000" w:themeColor="text1"/>
          <w:sz w:val="20"/>
          <w:szCs w:val="20"/>
          <w:lang w:val="es-ES"/>
        </w:rPr>
      </w:pPr>
    </w:p>
    <w:p w14:paraId="277D09FC" w14:textId="77777777" w:rsidR="00476F7F" w:rsidRDefault="00476F7F" w:rsidP="00476F7F">
      <w:pPr>
        <w:spacing w:after="0" w:line="240" w:lineRule="auto"/>
        <w:jc w:val="both"/>
        <w:rPr>
          <w:rFonts w:ascii="Arial" w:eastAsia="Calibri" w:hAnsi="Arial" w:cs="Arial"/>
          <w:bCs/>
          <w:color w:val="000000" w:themeColor="text1"/>
          <w:sz w:val="20"/>
          <w:szCs w:val="20"/>
          <w:lang w:val="es-ES"/>
        </w:rPr>
      </w:pPr>
      <w:r w:rsidRPr="00D04C80">
        <w:rPr>
          <w:rFonts w:ascii="Arial" w:eastAsia="Calibri" w:hAnsi="Arial" w:cs="Arial"/>
          <w:bCs/>
          <w:color w:val="000000" w:themeColor="text1"/>
          <w:sz w:val="20"/>
          <w:szCs w:val="20"/>
          <w:lang w:val="es-ES"/>
        </w:rPr>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w:t>
      </w:r>
    </w:p>
    <w:p w14:paraId="18DBCF8D" w14:textId="77777777" w:rsidR="00FE2352" w:rsidRDefault="00FE2352" w:rsidP="00476F7F">
      <w:pPr>
        <w:spacing w:after="0" w:line="240" w:lineRule="auto"/>
        <w:jc w:val="both"/>
        <w:rPr>
          <w:rFonts w:ascii="Arial" w:eastAsia="Calibri" w:hAnsi="Arial" w:cs="Arial"/>
          <w:bCs/>
          <w:color w:val="000000" w:themeColor="text1"/>
          <w:sz w:val="20"/>
          <w:szCs w:val="20"/>
          <w:lang w:val="es-ES"/>
        </w:rPr>
      </w:pPr>
    </w:p>
    <w:p w14:paraId="3A82E1FE" w14:textId="77777777" w:rsidR="00FE2352" w:rsidRDefault="00FE2352" w:rsidP="00476F7F">
      <w:pPr>
        <w:spacing w:after="0" w:line="240" w:lineRule="auto"/>
        <w:jc w:val="both"/>
        <w:rPr>
          <w:rFonts w:ascii="Arial" w:eastAsia="Calibri" w:hAnsi="Arial" w:cs="Arial"/>
          <w:bCs/>
          <w:color w:val="000000" w:themeColor="text1"/>
          <w:sz w:val="20"/>
          <w:szCs w:val="20"/>
        </w:rPr>
      </w:pPr>
    </w:p>
    <w:p w14:paraId="36DC4CD8" w14:textId="50C6FFE9" w:rsidR="00FE2352" w:rsidRPr="00A82F72" w:rsidRDefault="00D92C2C" w:rsidP="00A82F72">
      <w:pPr>
        <w:spacing w:line="240" w:lineRule="auto"/>
        <w:jc w:val="both"/>
        <w:rPr>
          <w:rFonts w:ascii="Arial" w:eastAsia="Geomanist Light" w:hAnsi="Arial" w:cs="Arial"/>
          <w:color w:val="000000" w:themeColor="text1"/>
          <w:lang w:val="es-MX"/>
        </w:rPr>
      </w:pPr>
      <w:r w:rsidRPr="00A82F72">
        <w:rPr>
          <w:rFonts w:ascii="Arial" w:eastAsia="Geomanist Light" w:hAnsi="Arial" w:cs="Arial"/>
          <w:color w:val="000000" w:themeColor="text1"/>
          <w:lang w:val="es-MX"/>
        </w:rPr>
        <w:br w:type="page"/>
      </w:r>
    </w:p>
    <w:p w14:paraId="2082E4F5" w14:textId="75C6BC2F" w:rsidR="0080229E" w:rsidRDefault="0080229E" w:rsidP="00A33061">
      <w:pPr>
        <w:spacing w:after="0" w:line="240" w:lineRule="auto"/>
        <w:jc w:val="both"/>
        <w:rPr>
          <w:rFonts w:ascii="Arial" w:eastAsia="Calibri" w:hAnsi="Arial" w:cs="Arial"/>
          <w:color w:val="000000"/>
          <w:lang w:eastAsia="es-ES_tradnl"/>
        </w:rPr>
      </w:pPr>
    </w:p>
    <w:p w14:paraId="0A3A948D" w14:textId="1C960019" w:rsidR="00604247" w:rsidRDefault="00604247" w:rsidP="00604247">
      <w:pPr>
        <w:spacing w:after="0" w:line="240" w:lineRule="auto"/>
        <w:jc w:val="right"/>
        <w:rPr>
          <w:rFonts w:ascii="Arial" w:eastAsia="Calibri" w:hAnsi="Arial" w:cs="Arial"/>
          <w:color w:val="000000"/>
          <w:lang w:eastAsia="es-ES_tradnl"/>
        </w:rPr>
      </w:pPr>
      <w:r w:rsidRPr="00604247">
        <w:rPr>
          <w:rFonts w:ascii="Arial" w:eastAsia="Calibri" w:hAnsi="Arial" w:cs="Arial"/>
          <w:noProof/>
          <w:color w:val="000000"/>
          <w:lang w:eastAsia="es-ES_tradnl"/>
        </w:rPr>
        <w:drawing>
          <wp:inline distT="0" distB="0" distL="0" distR="0" wp14:anchorId="05FF4866" wp14:editId="3F373675">
            <wp:extent cx="3530600" cy="1028700"/>
            <wp:effectExtent l="0" t="0" r="0" b="0"/>
            <wp:docPr id="1492685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1028700"/>
                    </a:xfrm>
                    <a:prstGeom prst="rect">
                      <a:avLst/>
                    </a:prstGeom>
                    <a:noFill/>
                    <a:ln>
                      <a:noFill/>
                    </a:ln>
                  </pic:spPr>
                </pic:pic>
              </a:graphicData>
            </a:graphic>
          </wp:inline>
        </w:drawing>
      </w:r>
    </w:p>
    <w:p w14:paraId="2FAA5703" w14:textId="77777777" w:rsidR="00604247" w:rsidRDefault="00604247" w:rsidP="00A33061">
      <w:pPr>
        <w:spacing w:after="0" w:line="240" w:lineRule="auto"/>
        <w:jc w:val="both"/>
        <w:rPr>
          <w:rFonts w:ascii="Arial" w:eastAsia="Calibri" w:hAnsi="Arial" w:cs="Arial"/>
          <w:color w:val="000000"/>
          <w:lang w:eastAsia="es-ES_tradnl"/>
        </w:rPr>
      </w:pPr>
    </w:p>
    <w:p w14:paraId="7C07D804" w14:textId="77777777" w:rsidR="00604247" w:rsidRDefault="00604247" w:rsidP="00A33061">
      <w:pPr>
        <w:spacing w:after="0" w:line="240" w:lineRule="auto"/>
        <w:jc w:val="both"/>
        <w:rPr>
          <w:rFonts w:ascii="Arial" w:eastAsia="Calibri" w:hAnsi="Arial" w:cs="Arial"/>
          <w:color w:val="000000"/>
          <w:lang w:eastAsia="es-ES_tradnl"/>
        </w:rPr>
      </w:pPr>
    </w:p>
    <w:p w14:paraId="2B157138" w14:textId="70B84008" w:rsidR="00A33061" w:rsidRPr="00D505B1" w:rsidRDefault="00A33061" w:rsidP="00A33061">
      <w:pPr>
        <w:spacing w:after="0" w:line="240" w:lineRule="auto"/>
        <w:jc w:val="both"/>
        <w:rPr>
          <w:rFonts w:ascii="Arial" w:eastAsia="Calibri" w:hAnsi="Arial" w:cs="Arial"/>
          <w:color w:val="000000"/>
          <w:lang w:eastAsia="es-ES_tradnl"/>
        </w:rPr>
      </w:pPr>
      <w:r w:rsidRPr="00D505B1">
        <w:rPr>
          <w:rFonts w:ascii="Arial" w:eastAsia="Calibri" w:hAnsi="Arial" w:cs="Arial"/>
          <w:color w:val="000000"/>
          <w:lang w:eastAsia="es-ES_tradnl"/>
        </w:rPr>
        <w:t>Señor</w:t>
      </w:r>
    </w:p>
    <w:p w14:paraId="70A53860" w14:textId="295E6A6E" w:rsidR="00A33061" w:rsidRDefault="002F18C0" w:rsidP="00A33061">
      <w:pPr>
        <w:spacing w:after="0" w:line="240" w:lineRule="auto"/>
        <w:jc w:val="both"/>
        <w:rPr>
          <w:rFonts w:ascii="Arial" w:eastAsia="Calibri" w:hAnsi="Arial" w:cs="Arial"/>
          <w:b/>
          <w:color w:val="000000"/>
          <w:lang w:eastAsia="es-ES_tradnl"/>
        </w:rPr>
      </w:pPr>
      <w:r>
        <w:rPr>
          <w:rFonts w:ascii="Arial" w:eastAsia="Calibri" w:hAnsi="Arial" w:cs="Arial"/>
          <w:b/>
          <w:color w:val="000000"/>
          <w:lang w:eastAsia="es-ES_tradnl"/>
        </w:rPr>
        <w:t xml:space="preserve">Andrés Felipe Hernández González </w:t>
      </w:r>
    </w:p>
    <w:p w14:paraId="2910BE8D" w14:textId="1A080C2E" w:rsidR="002F18C0" w:rsidRPr="002F18C0" w:rsidRDefault="007A3AD8" w:rsidP="00A33061">
      <w:pPr>
        <w:spacing w:after="0" w:line="240" w:lineRule="auto"/>
        <w:jc w:val="both"/>
        <w:rPr>
          <w:rFonts w:ascii="Arial" w:eastAsia="Calibri" w:hAnsi="Arial" w:cs="Arial"/>
          <w:bCs/>
          <w:color w:val="000000"/>
          <w:lang w:eastAsia="es-ES_tradnl"/>
        </w:rPr>
      </w:pPr>
      <w:hyperlink r:id="rId12" w:history="1">
        <w:r w:rsidR="002F18C0" w:rsidRPr="002F18C0">
          <w:rPr>
            <w:rStyle w:val="Hipervnculo"/>
            <w:rFonts w:ascii="Arial" w:eastAsia="Calibri" w:hAnsi="Arial" w:cs="Arial"/>
            <w:bCs/>
            <w:lang w:eastAsia="es-ES_tradnl"/>
          </w:rPr>
          <w:t>andreshg93@hotmail.com</w:t>
        </w:r>
      </w:hyperlink>
      <w:r w:rsidR="002F18C0" w:rsidRPr="002F18C0">
        <w:rPr>
          <w:rFonts w:ascii="Arial" w:eastAsia="Calibri" w:hAnsi="Arial" w:cs="Arial"/>
          <w:bCs/>
          <w:color w:val="000000"/>
          <w:lang w:eastAsia="es-ES_tradnl"/>
        </w:rPr>
        <w:t xml:space="preserve"> </w:t>
      </w:r>
    </w:p>
    <w:p w14:paraId="0F276323" w14:textId="6D8D60B1" w:rsidR="000E22CF" w:rsidRPr="00D505B1" w:rsidRDefault="002F18C0" w:rsidP="00A33061">
      <w:pPr>
        <w:spacing w:after="0" w:line="240" w:lineRule="auto"/>
        <w:rPr>
          <w:rFonts w:ascii="Arial" w:eastAsia="Calibri" w:hAnsi="Arial" w:cs="Arial"/>
          <w:b/>
          <w:bCs/>
          <w:color w:val="000000"/>
          <w:lang w:eastAsia="es-ES_tradnl"/>
        </w:rPr>
      </w:pPr>
      <w:r>
        <w:rPr>
          <w:rFonts w:ascii="Arial" w:eastAsia="Calibri" w:hAnsi="Arial" w:cs="Arial"/>
          <w:bCs/>
          <w:color w:val="000000"/>
          <w:lang w:eastAsia="es-ES_tradnl"/>
        </w:rPr>
        <w:t>Ciudad</w:t>
      </w:r>
    </w:p>
    <w:p w14:paraId="6C79D957" w14:textId="6CD5DD4B" w:rsidR="00A33061" w:rsidRPr="00D505B1" w:rsidRDefault="00A33061" w:rsidP="00A33061">
      <w:pPr>
        <w:spacing w:after="0" w:line="240" w:lineRule="auto"/>
        <w:rPr>
          <w:rFonts w:ascii="Arial" w:eastAsia="Calibri" w:hAnsi="Arial" w:cs="Arial"/>
          <w:b/>
          <w:bCs/>
          <w:color w:val="000000"/>
          <w:lang w:val="pt-BR" w:eastAsia="es-ES_tradnl"/>
        </w:rPr>
      </w:pPr>
      <w:r w:rsidRPr="00D505B1">
        <w:rPr>
          <w:rFonts w:ascii="Arial" w:eastAsia="Calibri" w:hAnsi="Arial" w:cs="Arial"/>
          <w:b/>
          <w:bCs/>
          <w:color w:val="000000"/>
          <w:lang w:eastAsia="es-ES_tradnl"/>
        </w:rPr>
        <w:t xml:space="preserve">                                            </w:t>
      </w:r>
      <w:r w:rsidRPr="00D505B1">
        <w:rPr>
          <w:rFonts w:ascii="Arial" w:eastAsia="Calibri" w:hAnsi="Arial" w:cs="Arial"/>
          <w:b/>
          <w:bCs/>
          <w:color w:val="000000"/>
          <w:lang w:val="pt-BR" w:eastAsia="es-ES_tradnl"/>
        </w:rPr>
        <w:t xml:space="preserve">Concepto C ‒ </w:t>
      </w:r>
      <w:r w:rsidR="002F18C0">
        <w:rPr>
          <w:rFonts w:ascii="Arial" w:eastAsia="Calibri" w:hAnsi="Arial" w:cs="Arial"/>
          <w:b/>
          <w:bCs/>
          <w:color w:val="000000"/>
          <w:lang w:val="pt-BR" w:eastAsia="es-ES_tradnl"/>
        </w:rPr>
        <w:t>348</w:t>
      </w:r>
      <w:r>
        <w:rPr>
          <w:rFonts w:ascii="Arial" w:eastAsia="Calibri" w:hAnsi="Arial" w:cs="Arial"/>
          <w:b/>
          <w:bCs/>
          <w:color w:val="000000"/>
          <w:lang w:val="pt-BR" w:eastAsia="es-ES_tradnl"/>
        </w:rPr>
        <w:t xml:space="preserve"> </w:t>
      </w:r>
      <w:r w:rsidRPr="00D505B1">
        <w:rPr>
          <w:rFonts w:ascii="Arial" w:eastAsia="Calibri" w:hAnsi="Arial" w:cs="Arial"/>
          <w:b/>
          <w:bCs/>
          <w:color w:val="000000"/>
          <w:lang w:val="pt-BR" w:eastAsia="es-ES_tradnl"/>
        </w:rPr>
        <w:t>de 202</w:t>
      </w:r>
      <w:r w:rsidR="00293C48">
        <w:rPr>
          <w:rFonts w:ascii="Arial" w:eastAsia="Calibri" w:hAnsi="Arial" w:cs="Arial"/>
          <w:b/>
          <w:bCs/>
          <w:color w:val="000000"/>
          <w:lang w:val="pt-BR" w:eastAsia="es-ES_tradnl"/>
        </w:rPr>
        <w:t>3</w:t>
      </w:r>
    </w:p>
    <w:p w14:paraId="1993CA35" w14:textId="77777777" w:rsidR="00A33061" w:rsidRPr="00D505B1" w:rsidRDefault="00A33061" w:rsidP="00A33061">
      <w:pPr>
        <w:spacing w:after="0" w:line="240" w:lineRule="auto"/>
        <w:rPr>
          <w:rFonts w:ascii="Arial" w:eastAsia="Calibri" w:hAnsi="Arial" w:cs="Arial"/>
          <w:b/>
          <w:bCs/>
          <w:color w:val="000000"/>
          <w:lang w:val="pt-BR"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33061" w:rsidRPr="00D505B1" w14:paraId="5CB95F5E" w14:textId="77777777" w:rsidTr="007B413E">
        <w:tc>
          <w:tcPr>
            <w:tcW w:w="2689" w:type="dxa"/>
          </w:tcPr>
          <w:p w14:paraId="55C1006F" w14:textId="77777777" w:rsidR="00A33061" w:rsidRPr="00D505B1" w:rsidRDefault="00A33061" w:rsidP="007B413E">
            <w:pPr>
              <w:jc w:val="both"/>
              <w:rPr>
                <w:rFonts w:ascii="Arial" w:eastAsia="Calibri" w:hAnsi="Arial" w:cs="Arial"/>
                <w:color w:val="000000"/>
                <w:lang w:val="es-ES_tradnl" w:eastAsia="es-ES_tradnl"/>
              </w:rPr>
            </w:pPr>
            <w:r w:rsidRPr="00D505B1">
              <w:rPr>
                <w:rFonts w:ascii="Arial" w:eastAsia="Calibri" w:hAnsi="Arial" w:cs="Arial"/>
                <w:b/>
                <w:color w:val="000000"/>
                <w:lang w:val="es-ES_tradnl" w:eastAsia="es-ES_tradnl"/>
              </w:rPr>
              <w:t>Temas:</w:t>
            </w:r>
            <w:r w:rsidRPr="00D505B1">
              <w:rPr>
                <w:rFonts w:ascii="Arial" w:eastAsia="Calibri" w:hAnsi="Arial" w:cs="Arial"/>
                <w:color w:val="000000"/>
                <w:lang w:val="es-ES_tradnl" w:eastAsia="es-ES_tradnl"/>
              </w:rPr>
              <w:t xml:space="preserve">                   </w:t>
            </w:r>
          </w:p>
        </w:tc>
        <w:tc>
          <w:tcPr>
            <w:tcW w:w="6237" w:type="dxa"/>
          </w:tcPr>
          <w:p w14:paraId="0B4B2439" w14:textId="093BDCD5" w:rsidR="00A33061" w:rsidRPr="00D505B1" w:rsidRDefault="004B1A9E" w:rsidP="003F7574">
            <w:pPr>
              <w:jc w:val="both"/>
              <w:rPr>
                <w:rFonts w:ascii="Arial" w:eastAsia="Calibri" w:hAnsi="Arial" w:cs="Arial"/>
                <w:b/>
                <w:lang w:val="es-ES_tradnl" w:eastAsia="es-ES_tradnl"/>
              </w:rPr>
            </w:pPr>
            <w:r w:rsidRPr="004B1A9E">
              <w:rPr>
                <w:rFonts w:ascii="Arial" w:eastAsia="Calibri" w:hAnsi="Arial" w:cs="Arial"/>
                <w:lang w:val="es-ES_tradnl" w:eastAsia="es-ES_tradnl"/>
              </w:rPr>
              <w:t xml:space="preserve">RÉGIMEN DE INHABILIDADS E INCOMPATIBILIDADES – Interpretación Restrictiva </w:t>
            </w:r>
            <w:r w:rsidR="00572C99">
              <w:rPr>
                <w:rFonts w:ascii="Arial" w:eastAsia="Calibri" w:hAnsi="Arial" w:cs="Arial"/>
                <w:lang w:val="es-ES_tradnl" w:eastAsia="es-ES_tradnl"/>
              </w:rPr>
              <w:t>/</w:t>
            </w:r>
            <w:r w:rsidR="009321E3">
              <w:t xml:space="preserve"> </w:t>
            </w:r>
            <w:r w:rsidR="009321E3" w:rsidRPr="009321E3">
              <w:rPr>
                <w:rFonts w:ascii="Arial" w:eastAsia="Calibri" w:hAnsi="Arial" w:cs="Arial"/>
                <w:lang w:val="es-ES_tradnl" w:eastAsia="es-ES_tradnl"/>
              </w:rPr>
              <w:t>RUP – Reporte – Multas, sanciones e inhabilidades</w:t>
            </w:r>
            <w:r w:rsidR="009321E3">
              <w:rPr>
                <w:rFonts w:ascii="Arial" w:eastAsia="Calibri" w:hAnsi="Arial" w:cs="Arial"/>
                <w:lang w:val="es-ES_tradnl" w:eastAsia="es-ES_tradnl"/>
              </w:rPr>
              <w:t xml:space="preserve"> /</w:t>
            </w:r>
            <w:r w:rsidR="00A14890">
              <w:rPr>
                <w:rFonts w:ascii="Arial" w:eastAsia="Calibri" w:hAnsi="Arial" w:cs="Arial"/>
                <w:lang w:val="es-ES_tradnl" w:eastAsia="es-ES_tradnl"/>
              </w:rPr>
              <w:t xml:space="preserve"> </w:t>
            </w:r>
            <w:r w:rsidR="00A14890" w:rsidRPr="00A14890">
              <w:rPr>
                <w:rFonts w:ascii="Arial" w:eastAsia="Calibri" w:hAnsi="Arial" w:cs="Arial"/>
                <w:lang w:val="es-ES_tradnl" w:eastAsia="es-ES_tradnl"/>
              </w:rPr>
              <w:t>INCUMPLIMIENTO REITERADO – Inhabilidad – Ley 1474 – Artículo 90 – Redacción original – Ley 1955 – Modificación</w:t>
            </w:r>
            <w:r w:rsidR="00A14890">
              <w:rPr>
                <w:rFonts w:ascii="Arial" w:eastAsia="Calibri" w:hAnsi="Arial" w:cs="Arial"/>
                <w:lang w:val="es-ES_tradnl" w:eastAsia="es-ES_tradnl"/>
              </w:rPr>
              <w:t xml:space="preserve"> /</w:t>
            </w:r>
            <w:r w:rsidR="009321E3">
              <w:rPr>
                <w:rFonts w:ascii="Arial" w:eastAsia="Calibri" w:hAnsi="Arial" w:cs="Arial"/>
                <w:lang w:val="es-ES_tradnl" w:eastAsia="es-ES_tradnl"/>
              </w:rPr>
              <w:t xml:space="preserve"> </w:t>
            </w:r>
            <w:r w:rsidR="00572C99">
              <w:rPr>
                <w:rFonts w:ascii="Arial" w:eastAsia="Calibri" w:hAnsi="Arial" w:cs="Arial"/>
                <w:lang w:val="es-ES_tradnl" w:eastAsia="es-ES_tradnl"/>
              </w:rPr>
              <w:t xml:space="preserve"> </w:t>
            </w:r>
            <w:r w:rsidR="00A33061" w:rsidRPr="00D505B1">
              <w:rPr>
                <w:rFonts w:ascii="Arial" w:eastAsia="Calibri" w:hAnsi="Arial" w:cs="Arial"/>
                <w:lang w:val="es-ES_tradnl" w:eastAsia="es-ES_tradnl"/>
              </w:rPr>
              <w:t xml:space="preserve">OBRAS CIVILES INCONCLUSAS – Concepto – Ley 2020 de 2020 / REGISTRO NACIONAL DE OBRAS CIVILES INCONCLUSAS – </w:t>
            </w:r>
            <w:r w:rsidR="00C813FC">
              <w:rPr>
                <w:rFonts w:ascii="Arial" w:eastAsia="Calibri" w:hAnsi="Arial" w:cs="Arial"/>
                <w:lang w:val="es-ES_tradnl" w:eastAsia="es-ES_tradnl"/>
              </w:rPr>
              <w:t>D</w:t>
            </w:r>
            <w:r w:rsidR="00A33061" w:rsidRPr="00D505B1">
              <w:rPr>
                <w:rFonts w:ascii="Arial" w:eastAsia="Calibri" w:hAnsi="Arial" w:cs="Arial"/>
                <w:lang w:val="es-ES_tradnl" w:eastAsia="es-ES_tradnl"/>
              </w:rPr>
              <w:t>eber de verificación – Discrecionalidad / DOCUMENTOS TIPO – Descuento puntaje – Consultar y analizar – Incumplimiento del contratista /</w:t>
            </w:r>
            <w:r w:rsidR="00A33061" w:rsidRPr="00D505B1">
              <w:rPr>
                <w:rFonts w:ascii="Arial" w:eastAsia="Calibri" w:hAnsi="Arial" w:cs="Arial"/>
                <w:lang w:val="es-ES_tradnl"/>
              </w:rPr>
              <w:t>DOCUMENTOS TIPO – Registro Nacional de Obras Civiles Inconclusas – Aplicación</w:t>
            </w:r>
            <w:r w:rsidR="0041202C">
              <w:rPr>
                <w:rFonts w:ascii="Arial" w:eastAsia="Calibri" w:hAnsi="Arial" w:cs="Arial"/>
                <w:lang w:val="es-ES_tradnl"/>
              </w:rPr>
              <w:t xml:space="preserve">/ </w:t>
            </w:r>
          </w:p>
        </w:tc>
      </w:tr>
      <w:tr w:rsidR="00A33061" w:rsidRPr="00D505B1" w14:paraId="37A56104" w14:textId="77777777" w:rsidTr="007B413E">
        <w:tc>
          <w:tcPr>
            <w:tcW w:w="2689" w:type="dxa"/>
          </w:tcPr>
          <w:p w14:paraId="4E8C8FFC" w14:textId="77777777" w:rsidR="00A33061" w:rsidRPr="00D505B1" w:rsidRDefault="00A33061" w:rsidP="007B413E">
            <w:pPr>
              <w:spacing w:before="120"/>
              <w:jc w:val="both"/>
              <w:rPr>
                <w:rFonts w:ascii="Arial" w:eastAsia="Calibri" w:hAnsi="Arial" w:cs="Arial"/>
                <w:b/>
                <w:color w:val="000000"/>
                <w:lang w:val="es-ES_tradnl" w:eastAsia="es-ES_tradnl"/>
              </w:rPr>
            </w:pPr>
            <w:r w:rsidRPr="00D505B1">
              <w:rPr>
                <w:rFonts w:ascii="Arial" w:eastAsia="Calibri" w:hAnsi="Arial" w:cs="Arial"/>
                <w:b/>
                <w:color w:val="000000"/>
                <w:lang w:val="es-ES_tradnl" w:eastAsia="es-ES_tradnl"/>
              </w:rPr>
              <w:t>Radicación:</w:t>
            </w:r>
            <w:r w:rsidRPr="00D505B1">
              <w:rPr>
                <w:rFonts w:ascii="Arial" w:eastAsia="Calibri" w:hAnsi="Arial" w:cs="Arial"/>
                <w:color w:val="000000"/>
                <w:lang w:val="es-ES_tradnl" w:eastAsia="es-ES_tradnl"/>
              </w:rPr>
              <w:t xml:space="preserve">               </w:t>
            </w:r>
          </w:p>
        </w:tc>
        <w:tc>
          <w:tcPr>
            <w:tcW w:w="6237" w:type="dxa"/>
          </w:tcPr>
          <w:p w14:paraId="017C9389" w14:textId="0B39497A" w:rsidR="00A33061" w:rsidRPr="00D505B1" w:rsidRDefault="00A33061" w:rsidP="007B413E">
            <w:pPr>
              <w:spacing w:before="120"/>
              <w:jc w:val="both"/>
              <w:rPr>
                <w:rFonts w:ascii="Arial" w:eastAsia="Calibri" w:hAnsi="Arial" w:cs="Arial"/>
                <w:lang w:val="es-ES_tradnl" w:eastAsia="es-ES_tradnl"/>
              </w:rPr>
            </w:pPr>
            <w:r w:rsidRPr="00D505B1">
              <w:rPr>
                <w:rFonts w:ascii="Arial" w:eastAsia="Calibri" w:hAnsi="Arial" w:cs="Arial"/>
                <w:lang w:val="es-ES_tradnl" w:eastAsia="es-ES_tradnl"/>
              </w:rPr>
              <w:t xml:space="preserve">Respuesta a consulta </w:t>
            </w:r>
            <w:r w:rsidRPr="00D505B1">
              <w:rPr>
                <w:rFonts w:ascii="Arial" w:eastAsia="Times New Roman" w:hAnsi="Arial" w:cs="Arial"/>
                <w:lang w:eastAsia="es-ES_tradnl"/>
              </w:rPr>
              <w:t>P2</w:t>
            </w:r>
            <w:r>
              <w:rPr>
                <w:rFonts w:ascii="Arial" w:eastAsia="Times New Roman" w:hAnsi="Arial" w:cs="Arial"/>
                <w:lang w:eastAsia="es-ES_tradnl"/>
              </w:rPr>
              <w:t>02</w:t>
            </w:r>
            <w:r w:rsidR="00A15436">
              <w:rPr>
                <w:rFonts w:ascii="Arial" w:eastAsia="Times New Roman" w:hAnsi="Arial" w:cs="Arial"/>
                <w:lang w:eastAsia="es-ES_tradnl"/>
              </w:rPr>
              <w:t>3</w:t>
            </w:r>
            <w:r w:rsidR="002F18C0">
              <w:rPr>
                <w:rFonts w:ascii="Arial" w:eastAsia="Times New Roman" w:hAnsi="Arial" w:cs="Arial"/>
                <w:lang w:eastAsia="es-ES_tradnl"/>
              </w:rPr>
              <w:t>0713013242</w:t>
            </w:r>
          </w:p>
          <w:p w14:paraId="2334B235" w14:textId="77777777" w:rsidR="00A33061" w:rsidRPr="00D505B1" w:rsidRDefault="00A33061" w:rsidP="007B413E">
            <w:pPr>
              <w:spacing w:before="120"/>
              <w:jc w:val="both"/>
              <w:rPr>
                <w:rFonts w:ascii="Arial" w:eastAsia="Calibri" w:hAnsi="Arial" w:cs="Arial"/>
                <w:color w:val="000000"/>
                <w:lang w:val="es-ES_tradnl" w:eastAsia="es-ES_tradnl"/>
              </w:rPr>
            </w:pPr>
          </w:p>
        </w:tc>
      </w:tr>
    </w:tbl>
    <w:p w14:paraId="5E87998D" w14:textId="77777777" w:rsidR="00A33061" w:rsidRDefault="00A33061" w:rsidP="00A33061">
      <w:pPr>
        <w:spacing w:after="0" w:line="240" w:lineRule="auto"/>
        <w:jc w:val="both"/>
        <w:rPr>
          <w:rFonts w:ascii="Arial" w:eastAsia="Calibri" w:hAnsi="Arial" w:cs="Arial"/>
          <w:color w:val="000000"/>
          <w:szCs w:val="24"/>
          <w:lang w:val="es-ES_tradnl" w:eastAsia="es-ES_tradnl"/>
        </w:rPr>
      </w:pPr>
    </w:p>
    <w:p w14:paraId="7DFE5D01" w14:textId="5EE652B9" w:rsidR="00A33061" w:rsidRDefault="00A33061" w:rsidP="00A33061">
      <w:pPr>
        <w:spacing w:after="0" w:line="240" w:lineRule="auto"/>
        <w:jc w:val="both"/>
        <w:rPr>
          <w:rFonts w:ascii="Arial" w:eastAsia="Calibri" w:hAnsi="Arial" w:cs="Arial"/>
          <w:color w:val="000000"/>
          <w:szCs w:val="24"/>
          <w:lang w:val="es-ES_tradnl" w:eastAsia="es-ES_tradnl"/>
        </w:rPr>
      </w:pPr>
      <w:r>
        <w:rPr>
          <w:rFonts w:ascii="Arial" w:eastAsia="Calibri" w:hAnsi="Arial" w:cs="Arial"/>
          <w:color w:val="000000"/>
          <w:szCs w:val="24"/>
          <w:lang w:val="es-ES_tradnl" w:eastAsia="es-ES_tradnl"/>
        </w:rPr>
        <w:t>Estimad</w:t>
      </w:r>
      <w:r w:rsidR="005D1E27">
        <w:rPr>
          <w:rFonts w:ascii="Arial" w:eastAsia="Calibri" w:hAnsi="Arial" w:cs="Arial"/>
          <w:color w:val="000000"/>
          <w:szCs w:val="24"/>
          <w:lang w:val="es-ES_tradnl" w:eastAsia="es-ES_tradnl"/>
        </w:rPr>
        <w:t>o</w:t>
      </w:r>
      <w:r>
        <w:rPr>
          <w:rFonts w:ascii="Arial" w:eastAsia="Calibri" w:hAnsi="Arial" w:cs="Arial"/>
          <w:color w:val="000000"/>
          <w:szCs w:val="24"/>
          <w:lang w:val="es-ES_tradnl" w:eastAsia="es-ES_tradnl"/>
        </w:rPr>
        <w:t xml:space="preserve"> </w:t>
      </w:r>
      <w:r w:rsidR="0085704D">
        <w:rPr>
          <w:rFonts w:ascii="Arial" w:eastAsia="Calibri" w:hAnsi="Arial" w:cs="Arial"/>
          <w:color w:val="000000"/>
          <w:szCs w:val="24"/>
          <w:lang w:val="es-ES_tradnl" w:eastAsia="es-ES_tradnl"/>
        </w:rPr>
        <w:t>s</w:t>
      </w:r>
      <w:r>
        <w:rPr>
          <w:rFonts w:ascii="Arial" w:eastAsia="Calibri" w:hAnsi="Arial" w:cs="Arial"/>
          <w:color w:val="000000"/>
          <w:szCs w:val="24"/>
          <w:lang w:val="es-ES_tradnl" w:eastAsia="es-ES_tradnl"/>
        </w:rPr>
        <w:t xml:space="preserve">eñor </w:t>
      </w:r>
      <w:r w:rsidR="002F18C0">
        <w:rPr>
          <w:rFonts w:ascii="Arial" w:eastAsia="Calibri" w:hAnsi="Arial" w:cs="Arial"/>
          <w:color w:val="000000"/>
          <w:szCs w:val="24"/>
          <w:lang w:val="es-ES_tradnl" w:eastAsia="es-ES_tradnl"/>
        </w:rPr>
        <w:t>Hernández</w:t>
      </w:r>
      <w:r>
        <w:rPr>
          <w:rFonts w:ascii="Arial" w:eastAsia="Calibri" w:hAnsi="Arial" w:cs="Arial"/>
          <w:color w:val="000000"/>
          <w:szCs w:val="24"/>
          <w:lang w:val="es-ES_tradnl" w:eastAsia="es-ES_tradnl"/>
        </w:rPr>
        <w:t xml:space="preserve">: </w:t>
      </w:r>
    </w:p>
    <w:p w14:paraId="7E93EC7C" w14:textId="77777777" w:rsidR="00A33061" w:rsidRPr="00D505B1" w:rsidRDefault="00A33061" w:rsidP="00A33061">
      <w:pPr>
        <w:spacing w:after="0" w:line="240" w:lineRule="auto"/>
        <w:jc w:val="both"/>
        <w:rPr>
          <w:rFonts w:ascii="Arial" w:eastAsia="Calibri" w:hAnsi="Arial" w:cs="Arial"/>
          <w:color w:val="000000"/>
          <w:szCs w:val="24"/>
          <w:lang w:val="es-ES_tradnl" w:eastAsia="es-ES_tradnl"/>
        </w:rPr>
      </w:pPr>
    </w:p>
    <w:p w14:paraId="0BE44065" w14:textId="0F368503" w:rsidR="00A33061" w:rsidRPr="00D505B1" w:rsidRDefault="00A33061" w:rsidP="00A33061">
      <w:pPr>
        <w:spacing w:after="0" w:line="276" w:lineRule="auto"/>
        <w:jc w:val="both"/>
        <w:rPr>
          <w:rFonts w:ascii="Arial" w:eastAsia="Calibri" w:hAnsi="Arial" w:cs="Arial"/>
          <w:color w:val="000000"/>
          <w:szCs w:val="24"/>
          <w:lang w:val="es-ES_tradnl" w:eastAsia="es-ES_tradnl"/>
        </w:rPr>
      </w:pPr>
      <w:r w:rsidRPr="00D505B1">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F18C0">
        <w:rPr>
          <w:rFonts w:ascii="Arial" w:eastAsia="Calibri" w:hAnsi="Arial" w:cs="Arial"/>
          <w:color w:val="000000"/>
          <w:szCs w:val="24"/>
          <w:lang w:val="es-ES_tradnl" w:eastAsia="es-ES_tradnl"/>
        </w:rPr>
        <w:t>12</w:t>
      </w:r>
      <w:r>
        <w:rPr>
          <w:rFonts w:ascii="Arial" w:eastAsia="Calibri" w:hAnsi="Arial" w:cs="Arial"/>
          <w:color w:val="000000"/>
          <w:szCs w:val="24"/>
          <w:lang w:val="es-ES_tradnl" w:eastAsia="es-ES_tradnl"/>
        </w:rPr>
        <w:t xml:space="preserve"> de </w:t>
      </w:r>
      <w:r w:rsidR="002F18C0">
        <w:rPr>
          <w:rFonts w:ascii="Arial" w:eastAsia="Calibri" w:hAnsi="Arial" w:cs="Arial"/>
          <w:color w:val="000000"/>
          <w:szCs w:val="24"/>
          <w:lang w:val="es-ES_tradnl" w:eastAsia="es-ES_tradnl"/>
        </w:rPr>
        <w:t>julio</w:t>
      </w:r>
      <w:r>
        <w:rPr>
          <w:rFonts w:ascii="Arial" w:eastAsia="Calibri" w:hAnsi="Arial" w:cs="Arial"/>
          <w:color w:val="000000"/>
          <w:szCs w:val="24"/>
          <w:lang w:val="es-ES_tradnl" w:eastAsia="es-ES_tradnl"/>
        </w:rPr>
        <w:t xml:space="preserve"> de 202</w:t>
      </w:r>
      <w:r w:rsidR="00311CB0">
        <w:rPr>
          <w:rFonts w:ascii="Arial" w:eastAsia="Calibri" w:hAnsi="Arial" w:cs="Arial"/>
          <w:color w:val="000000"/>
          <w:szCs w:val="24"/>
          <w:lang w:val="es-ES_tradnl" w:eastAsia="es-ES_tradnl"/>
        </w:rPr>
        <w:t>3</w:t>
      </w:r>
      <w:r>
        <w:rPr>
          <w:rFonts w:ascii="Arial" w:eastAsia="Calibri" w:hAnsi="Arial" w:cs="Arial"/>
          <w:color w:val="000000"/>
          <w:szCs w:val="24"/>
          <w:lang w:val="es-ES_tradnl" w:eastAsia="es-ES_tradnl"/>
        </w:rPr>
        <w:t>.</w:t>
      </w:r>
    </w:p>
    <w:p w14:paraId="4E87132B" w14:textId="77777777" w:rsidR="00A33061" w:rsidRPr="00D505B1" w:rsidRDefault="00A33061" w:rsidP="00A33061">
      <w:pPr>
        <w:spacing w:after="0" w:line="276" w:lineRule="auto"/>
        <w:jc w:val="both"/>
        <w:rPr>
          <w:rFonts w:ascii="Arial" w:eastAsia="Calibri" w:hAnsi="Arial" w:cs="Arial"/>
          <w:b/>
          <w:color w:val="000000"/>
          <w:szCs w:val="24"/>
          <w:lang w:val="es-ES_tradnl" w:eastAsia="es-ES_tradnl"/>
        </w:rPr>
      </w:pPr>
    </w:p>
    <w:p w14:paraId="2EF74678" w14:textId="6A93B284" w:rsidR="00A33061" w:rsidRPr="00311CB0" w:rsidRDefault="00A33061" w:rsidP="00311CB0">
      <w:pPr>
        <w:pStyle w:val="Prrafodelista"/>
        <w:numPr>
          <w:ilvl w:val="0"/>
          <w:numId w:val="5"/>
        </w:numPr>
        <w:tabs>
          <w:tab w:val="left" w:pos="0"/>
          <w:tab w:val="left" w:pos="142"/>
          <w:tab w:val="left" w:pos="284"/>
        </w:tabs>
        <w:spacing w:after="0" w:line="276" w:lineRule="auto"/>
        <w:jc w:val="both"/>
        <w:rPr>
          <w:rFonts w:ascii="Arial" w:eastAsia="Calibri" w:hAnsi="Arial" w:cs="Arial"/>
          <w:b/>
          <w:color w:val="000000"/>
          <w:lang w:val="es-ES_tradnl"/>
        </w:rPr>
      </w:pPr>
      <w:r w:rsidRPr="00311CB0">
        <w:rPr>
          <w:rFonts w:ascii="Arial" w:eastAsia="Calibri" w:hAnsi="Arial" w:cs="Arial"/>
          <w:b/>
          <w:color w:val="000000"/>
          <w:lang w:val="es-ES_tradnl"/>
        </w:rPr>
        <w:t xml:space="preserve"> Problema planteado </w:t>
      </w:r>
    </w:p>
    <w:p w14:paraId="5F572802" w14:textId="77777777" w:rsidR="00A33061" w:rsidRPr="00D505B1" w:rsidRDefault="00A33061" w:rsidP="00A33061">
      <w:pPr>
        <w:tabs>
          <w:tab w:val="left" w:pos="426"/>
        </w:tabs>
        <w:spacing w:after="0" w:line="276" w:lineRule="auto"/>
        <w:jc w:val="both"/>
        <w:rPr>
          <w:rFonts w:ascii="Arial" w:eastAsia="Calibri" w:hAnsi="Arial" w:cs="Arial"/>
          <w:b/>
          <w:color w:val="000000"/>
          <w:szCs w:val="24"/>
          <w:lang w:val="es-ES_tradnl" w:eastAsia="es-ES_tradnl"/>
        </w:rPr>
      </w:pPr>
    </w:p>
    <w:p w14:paraId="2DA6BA55" w14:textId="3F59EDE2" w:rsidR="00A33061" w:rsidRPr="00D505B1" w:rsidRDefault="00C814A1" w:rsidP="00A33061">
      <w:pPr>
        <w:spacing w:after="0" w:line="276" w:lineRule="auto"/>
        <w:jc w:val="both"/>
        <w:rPr>
          <w:rFonts w:ascii="Times New Roman" w:eastAsia="Times New Roman" w:hAnsi="Times New Roman" w:cs="Times New Roman"/>
          <w:b/>
          <w:bCs/>
          <w:i/>
          <w:iCs/>
          <w:sz w:val="23"/>
          <w:szCs w:val="23"/>
          <w:lang w:eastAsia="es-ES_tradnl"/>
        </w:rPr>
      </w:pPr>
      <w:r>
        <w:rPr>
          <w:rFonts w:ascii="Arial" w:eastAsia="Times New Roman" w:hAnsi="Arial" w:cs="Arial"/>
          <w:color w:val="000000"/>
          <w:lang w:val="es-ES_tradnl" w:eastAsia="es-ES_tradnl"/>
        </w:rPr>
        <w:t xml:space="preserve">Usted </w:t>
      </w:r>
      <w:r w:rsidR="00A33061" w:rsidRPr="00D505B1">
        <w:rPr>
          <w:rFonts w:ascii="Arial" w:eastAsia="Times New Roman" w:hAnsi="Arial" w:cs="Arial"/>
          <w:bCs/>
          <w:iCs/>
          <w:lang w:eastAsia="es-ES_tradnl"/>
        </w:rPr>
        <w:t>formula la siguiente consulta</w:t>
      </w:r>
      <w:r w:rsidR="00A33061" w:rsidRPr="00D505B1">
        <w:rPr>
          <w:rFonts w:ascii="Arial" w:eastAsia="Times New Roman" w:hAnsi="Arial" w:cs="Arial"/>
          <w:color w:val="000000"/>
          <w:lang w:val="es-ES_tradnl" w:eastAsia="es-ES_tradnl"/>
        </w:rPr>
        <w:t>:</w:t>
      </w:r>
      <w:r w:rsidR="00A33061" w:rsidRPr="00D505B1">
        <w:rPr>
          <w:rFonts w:ascii="Times New Roman" w:eastAsia="Times New Roman" w:hAnsi="Times New Roman" w:cs="Times New Roman"/>
          <w:sz w:val="24"/>
          <w:szCs w:val="24"/>
          <w:lang w:eastAsia="es-ES_tradnl"/>
        </w:rPr>
        <w:t xml:space="preserve"> </w:t>
      </w:r>
    </w:p>
    <w:p w14:paraId="70470E0A" w14:textId="77777777" w:rsidR="00A33061" w:rsidRPr="00C814A1" w:rsidRDefault="00A33061" w:rsidP="00C814A1">
      <w:pPr>
        <w:spacing w:after="0" w:line="240" w:lineRule="auto"/>
        <w:jc w:val="both"/>
        <w:rPr>
          <w:rFonts w:ascii="Times New Roman" w:eastAsia="Times New Roman" w:hAnsi="Times New Roman" w:cs="Times New Roman"/>
          <w:sz w:val="21"/>
          <w:szCs w:val="21"/>
          <w:lang w:eastAsia="es-ES_tradnl"/>
        </w:rPr>
      </w:pPr>
    </w:p>
    <w:p w14:paraId="627ED354" w14:textId="1CE45797" w:rsidR="00A33061" w:rsidRPr="00C814A1" w:rsidRDefault="00C814A1" w:rsidP="00C814A1">
      <w:pPr>
        <w:spacing w:after="0" w:line="240" w:lineRule="auto"/>
        <w:ind w:left="709" w:right="709"/>
        <w:jc w:val="both"/>
        <w:rPr>
          <w:rFonts w:ascii="Arial" w:eastAsia="Calibri" w:hAnsi="Arial" w:cs="Arial"/>
          <w:sz w:val="21"/>
          <w:szCs w:val="21"/>
          <w:lang w:eastAsia="es-ES_tradnl"/>
        </w:rPr>
      </w:pPr>
      <w:r w:rsidRPr="00C814A1">
        <w:rPr>
          <w:rFonts w:ascii="Arial" w:eastAsia="Calibri" w:hAnsi="Arial" w:cs="Arial"/>
          <w:sz w:val="21"/>
          <w:szCs w:val="21"/>
          <w:lang w:val="es-ES" w:eastAsia="es-ES_tradnl"/>
        </w:rPr>
        <w:t>“</w:t>
      </w:r>
      <w:r w:rsidR="002F18C0" w:rsidRPr="002F18C0">
        <w:rPr>
          <w:rFonts w:ascii="Arial" w:eastAsia="Calibri" w:hAnsi="Arial" w:cs="Arial"/>
          <w:sz w:val="21"/>
          <w:szCs w:val="21"/>
          <w:lang w:val="es-ES" w:eastAsia="es-ES_tradnl"/>
        </w:rPr>
        <w:t>Puede una persona jurídica contratar con el estado si uno de sus accionistas, sea persona jurídica o natural se encuentra inhabilitado para hacerlo? Lo mismo aplicaría para multas u obras inconclusas que pueda tener el socio o accionista, se le aplicaría el descuento de puntos al proponente del cual hace parte?</w:t>
      </w:r>
      <w:r w:rsidRPr="00C814A1">
        <w:rPr>
          <w:rFonts w:ascii="Arial" w:eastAsia="Calibri" w:hAnsi="Arial" w:cs="Arial"/>
          <w:sz w:val="21"/>
          <w:szCs w:val="21"/>
          <w:lang w:eastAsia="es-ES_tradnl"/>
        </w:rPr>
        <w:t>”</w:t>
      </w:r>
      <w:r>
        <w:rPr>
          <w:rFonts w:ascii="Arial" w:eastAsia="Calibri" w:hAnsi="Arial" w:cs="Arial"/>
          <w:sz w:val="21"/>
          <w:szCs w:val="21"/>
          <w:lang w:eastAsia="es-ES_tradnl"/>
        </w:rPr>
        <w:t xml:space="preserve"> (Sic)</w:t>
      </w:r>
      <w:r w:rsidR="00A33061" w:rsidRPr="00C814A1">
        <w:rPr>
          <w:rFonts w:ascii="Times New Roman" w:eastAsia="Times New Roman" w:hAnsi="Times New Roman" w:cs="Times New Roman"/>
          <w:sz w:val="21"/>
          <w:szCs w:val="21"/>
          <w:lang w:eastAsia="es-ES_tradnl"/>
        </w:rPr>
        <w:t>.</w:t>
      </w:r>
    </w:p>
    <w:p w14:paraId="367E3746" w14:textId="77777777" w:rsidR="00A33061" w:rsidRPr="00D505B1" w:rsidRDefault="00A33061" w:rsidP="00A33061">
      <w:pPr>
        <w:spacing w:after="0" w:line="276" w:lineRule="auto"/>
        <w:ind w:right="709"/>
        <w:jc w:val="both"/>
        <w:rPr>
          <w:rFonts w:ascii="Arial" w:eastAsia="Times New Roman" w:hAnsi="Arial" w:cs="Arial"/>
          <w:color w:val="000000"/>
          <w:sz w:val="21"/>
          <w:szCs w:val="21"/>
          <w:lang w:val="es-ES" w:eastAsia="es-ES_tradnl"/>
        </w:rPr>
      </w:pPr>
    </w:p>
    <w:p w14:paraId="231B58A4" w14:textId="77777777" w:rsidR="00A33061" w:rsidRPr="00D505B1" w:rsidRDefault="00A33061" w:rsidP="00A33061">
      <w:pPr>
        <w:tabs>
          <w:tab w:val="left" w:pos="0"/>
          <w:tab w:val="left" w:pos="284"/>
        </w:tabs>
        <w:spacing w:after="0" w:line="240"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2. </w:t>
      </w:r>
      <w:r w:rsidRPr="00D505B1">
        <w:rPr>
          <w:rFonts w:ascii="Arial" w:eastAsia="Calibri" w:hAnsi="Arial" w:cs="Arial"/>
          <w:b/>
          <w:color w:val="000000"/>
          <w:lang w:val="es-ES_tradnl"/>
        </w:rPr>
        <w:t>Consideraciones</w:t>
      </w:r>
    </w:p>
    <w:p w14:paraId="6B2447BE" w14:textId="77777777" w:rsidR="00A33061" w:rsidRPr="00D505B1" w:rsidRDefault="00A33061" w:rsidP="00A33061">
      <w:pPr>
        <w:spacing w:after="0" w:line="276" w:lineRule="auto"/>
        <w:jc w:val="both"/>
        <w:rPr>
          <w:rFonts w:ascii="Arial" w:eastAsia="Times New Roman" w:hAnsi="Arial" w:cs="Arial"/>
          <w:color w:val="000000"/>
          <w:szCs w:val="24"/>
          <w:lang w:val="es-ES_tradnl" w:eastAsia="es-ES_tradnl"/>
        </w:rPr>
      </w:pPr>
    </w:p>
    <w:p w14:paraId="5E497E22" w14:textId="1B79ED08" w:rsidR="00A33061" w:rsidRPr="008E5E8B" w:rsidRDefault="0071177C" w:rsidP="008E5E8B">
      <w:pPr>
        <w:jc w:val="both"/>
        <w:rPr>
          <w:rFonts w:ascii="Arial" w:eastAsia="Times New Roman" w:hAnsi="Arial" w:cs="Arial"/>
          <w:szCs w:val="24"/>
          <w:lang w:val="es-ES_tradnl" w:eastAsia="es-ES_tradnl"/>
        </w:rPr>
      </w:pPr>
      <w:r w:rsidRPr="0071177C">
        <w:rPr>
          <w:rFonts w:ascii="Arial" w:eastAsia="Calibri" w:hAnsi="Arial" w:cs="Arial"/>
          <w:bCs/>
          <w:color w:val="000000"/>
          <w:szCs w:val="24"/>
          <w:lang w:eastAsia="es-ES_tradnl"/>
        </w:rPr>
        <w:t>Para resolver el problema planteado, se abordarán los siguientes temas:</w:t>
      </w:r>
      <w:r w:rsidR="00F3635D">
        <w:rPr>
          <w:rFonts w:ascii="Arial" w:eastAsia="Calibri" w:hAnsi="Arial" w:cs="Arial"/>
          <w:bCs/>
          <w:color w:val="000000"/>
          <w:szCs w:val="24"/>
          <w:lang w:eastAsia="es-ES_tradnl"/>
        </w:rPr>
        <w:t xml:space="preserve"> i)</w:t>
      </w:r>
      <w:r w:rsidR="00F3635D" w:rsidRPr="00F3635D">
        <w:t xml:space="preserve"> </w:t>
      </w:r>
      <w:r w:rsidR="00F3635D" w:rsidRPr="00F3635D">
        <w:rPr>
          <w:rFonts w:ascii="Arial" w:eastAsia="Calibri" w:hAnsi="Arial" w:cs="Arial"/>
          <w:bCs/>
          <w:color w:val="000000"/>
          <w:szCs w:val="24"/>
          <w:lang w:eastAsia="es-ES_tradnl"/>
        </w:rPr>
        <w:t>el régimen de inhabilidades e incompatibilidades en la contratación estatal</w:t>
      </w:r>
      <w:r w:rsidR="00DA40C4">
        <w:rPr>
          <w:rFonts w:ascii="Arial" w:eastAsia="Calibri" w:hAnsi="Arial" w:cs="Arial"/>
          <w:bCs/>
          <w:color w:val="000000"/>
          <w:szCs w:val="24"/>
          <w:lang w:eastAsia="es-ES_tradnl"/>
        </w:rPr>
        <w:t xml:space="preserve">, </w:t>
      </w:r>
      <w:r w:rsidR="00C2174C">
        <w:rPr>
          <w:rFonts w:ascii="Arial" w:eastAsia="Calibri" w:hAnsi="Arial" w:cs="Arial"/>
          <w:bCs/>
          <w:color w:val="000000"/>
          <w:szCs w:val="24"/>
          <w:lang w:eastAsia="es-ES_tradnl"/>
        </w:rPr>
        <w:t>ii</w:t>
      </w:r>
      <w:r w:rsidR="000B15B6">
        <w:rPr>
          <w:rFonts w:ascii="Arial" w:eastAsia="Calibri" w:hAnsi="Arial" w:cs="Arial"/>
          <w:bCs/>
          <w:color w:val="000000"/>
          <w:szCs w:val="24"/>
          <w:lang w:eastAsia="es-ES_tradnl"/>
        </w:rPr>
        <w:t>) r</w:t>
      </w:r>
      <w:r w:rsidR="000B15B6" w:rsidRPr="000B15B6">
        <w:rPr>
          <w:rFonts w:ascii="Arial" w:eastAsia="Calibri" w:hAnsi="Arial" w:cs="Arial"/>
          <w:bCs/>
          <w:color w:val="000000"/>
          <w:szCs w:val="24"/>
          <w:lang w:eastAsia="es-ES_tradnl"/>
        </w:rPr>
        <w:t>eporte, registro y publicación de multas, sanciones e inhabilidades en el RUP</w:t>
      </w:r>
      <w:r w:rsidR="000B15B6">
        <w:rPr>
          <w:rFonts w:ascii="Arial" w:eastAsia="Calibri" w:hAnsi="Arial" w:cs="Arial"/>
          <w:bCs/>
          <w:color w:val="000000"/>
          <w:szCs w:val="24"/>
          <w:lang w:eastAsia="es-ES_tradnl"/>
        </w:rPr>
        <w:t>,</w:t>
      </w:r>
      <w:r w:rsidR="00A33061" w:rsidRPr="00D505B1">
        <w:rPr>
          <w:rFonts w:ascii="Arial" w:eastAsia="Calibri" w:hAnsi="Arial" w:cs="Arial"/>
          <w:bCs/>
          <w:color w:val="000000"/>
          <w:szCs w:val="24"/>
          <w:lang w:eastAsia="es-ES_tradnl"/>
        </w:rPr>
        <w:t xml:space="preserve"> </w:t>
      </w:r>
      <w:r>
        <w:rPr>
          <w:rFonts w:ascii="Arial" w:eastAsia="Calibri" w:hAnsi="Arial" w:cs="Arial"/>
          <w:bCs/>
          <w:color w:val="000000"/>
          <w:szCs w:val="24"/>
          <w:lang w:eastAsia="es-ES_tradnl"/>
        </w:rPr>
        <w:t>ii</w:t>
      </w:r>
      <w:r w:rsidR="00A33061" w:rsidRPr="00D505B1">
        <w:rPr>
          <w:rFonts w:ascii="Arial" w:eastAsia="Times New Roman" w:hAnsi="Arial" w:cs="Arial"/>
          <w:szCs w:val="24"/>
          <w:lang w:val="es-ES_tradnl" w:eastAsia="es-ES_tradnl"/>
        </w:rPr>
        <w:t>i</w:t>
      </w:r>
      <w:r w:rsidR="000B15B6">
        <w:rPr>
          <w:rFonts w:ascii="Arial" w:eastAsia="Times New Roman" w:hAnsi="Arial" w:cs="Arial"/>
          <w:szCs w:val="24"/>
          <w:lang w:val="es-ES_tradnl" w:eastAsia="es-ES_tradnl"/>
        </w:rPr>
        <w:t>)</w:t>
      </w:r>
      <w:r w:rsidR="00140064" w:rsidRPr="00140064">
        <w:t xml:space="preserve"> </w:t>
      </w:r>
      <w:r w:rsidR="00140064">
        <w:rPr>
          <w:rFonts w:ascii="Arial" w:eastAsia="Times New Roman" w:hAnsi="Arial" w:cs="Arial"/>
          <w:szCs w:val="24"/>
          <w:lang w:val="es-ES_tradnl" w:eastAsia="es-ES_tradnl"/>
        </w:rPr>
        <w:t>i</w:t>
      </w:r>
      <w:r w:rsidR="00140064" w:rsidRPr="00140064">
        <w:rPr>
          <w:rFonts w:ascii="Arial" w:eastAsia="Times New Roman" w:hAnsi="Arial" w:cs="Arial"/>
          <w:szCs w:val="24"/>
          <w:lang w:val="es-ES_tradnl" w:eastAsia="es-ES_tradnl"/>
        </w:rPr>
        <w:t>nterpretación de la causal de inhabilidad por incumplimiento reiterado del artículo 90 de la Ley 1474 de 2011, modificado por las Leyes 1955 de 2019 y 2195 de 2022</w:t>
      </w:r>
      <w:r w:rsidR="008E5E8B">
        <w:rPr>
          <w:rFonts w:ascii="Arial" w:eastAsia="Times New Roman" w:hAnsi="Arial" w:cs="Arial"/>
          <w:szCs w:val="24"/>
          <w:lang w:val="es-ES_tradnl" w:eastAsia="es-ES_tradnl"/>
        </w:rPr>
        <w:t xml:space="preserve">, </w:t>
      </w:r>
      <w:r w:rsidR="000B15B6">
        <w:rPr>
          <w:rFonts w:ascii="Arial" w:eastAsia="Times New Roman" w:hAnsi="Arial" w:cs="Arial"/>
          <w:szCs w:val="24"/>
          <w:lang w:val="es-ES_tradnl" w:eastAsia="es-ES_tradnl"/>
        </w:rPr>
        <w:t xml:space="preserve"> </w:t>
      </w:r>
      <w:r w:rsidR="00C2174C">
        <w:rPr>
          <w:rFonts w:ascii="Arial" w:eastAsia="Times New Roman" w:hAnsi="Arial" w:cs="Arial"/>
          <w:szCs w:val="24"/>
          <w:lang w:val="es-ES_tradnl" w:eastAsia="es-ES_tradnl"/>
        </w:rPr>
        <w:t>iv)</w:t>
      </w:r>
      <w:r w:rsidR="00A33061" w:rsidRPr="00D505B1">
        <w:rPr>
          <w:rFonts w:ascii="Arial" w:eastAsia="Times New Roman" w:hAnsi="Arial" w:cs="Arial"/>
          <w:color w:val="000000"/>
          <w:szCs w:val="24"/>
          <w:lang w:val="es-ES_tradnl" w:eastAsia="es-ES_tradnl"/>
        </w:rPr>
        <w:t xml:space="preserve"> el Registro Nacional de Obras Civiles Inconclusas</w:t>
      </w:r>
      <w:r w:rsidR="00E74A4C">
        <w:rPr>
          <w:rFonts w:ascii="Arial" w:eastAsia="Times New Roman" w:hAnsi="Arial" w:cs="Arial"/>
          <w:color w:val="000000"/>
          <w:szCs w:val="24"/>
          <w:lang w:val="es-ES_tradnl" w:eastAsia="es-ES_tradnl"/>
        </w:rPr>
        <w:t xml:space="preserve">, </w:t>
      </w:r>
      <w:r>
        <w:rPr>
          <w:rFonts w:ascii="Arial" w:eastAsia="Times New Roman" w:hAnsi="Arial" w:cs="Arial"/>
          <w:color w:val="000000"/>
          <w:szCs w:val="24"/>
          <w:lang w:val="es-ES_tradnl" w:eastAsia="es-ES_tradnl"/>
        </w:rPr>
        <w:t>v</w:t>
      </w:r>
      <w:r w:rsidR="00A33061" w:rsidRPr="00D505B1">
        <w:rPr>
          <w:rFonts w:ascii="Arial" w:eastAsia="Times New Roman" w:hAnsi="Arial" w:cs="Arial"/>
          <w:color w:val="000000"/>
          <w:szCs w:val="24"/>
          <w:lang w:val="es-ES_tradnl" w:eastAsia="es-ES_tradnl"/>
        </w:rPr>
        <w:t xml:space="preserve">) el </w:t>
      </w:r>
      <w:r w:rsidR="00A33061" w:rsidRPr="00D505B1">
        <w:rPr>
          <w:rFonts w:ascii="Arial" w:eastAsia="Calibri" w:hAnsi="Arial" w:cs="Arial"/>
          <w:color w:val="000000"/>
          <w:szCs w:val="24"/>
          <w:lang w:val="es-ES_tradnl" w:eastAsia="en-GB"/>
        </w:rPr>
        <w:t>deber de verificación del Registro Nacional de Obras Civiles Inconclusas en la evaluación de factores de calidad para la selección de contratistas de obra o interventores</w:t>
      </w:r>
      <w:r w:rsidR="00A33061" w:rsidRPr="00D505B1">
        <w:rPr>
          <w:rFonts w:ascii="Arial" w:eastAsia="Times New Roman" w:hAnsi="Arial" w:cs="Arial"/>
          <w:bCs/>
          <w:iCs/>
          <w:color w:val="000000"/>
          <w:szCs w:val="24"/>
          <w:lang w:val="es-ES_tradnl" w:eastAsia="es-ES_tradnl"/>
        </w:rPr>
        <w:t>; y</w:t>
      </w:r>
      <w:r w:rsidR="00A33061" w:rsidRPr="0071177C">
        <w:rPr>
          <w:rFonts w:ascii="Arial" w:eastAsia="Times New Roman" w:hAnsi="Arial" w:cs="Arial"/>
          <w:bCs/>
          <w:iCs/>
          <w:color w:val="FF0000"/>
          <w:szCs w:val="24"/>
          <w:lang w:val="es-ES_tradnl" w:eastAsia="es-ES_tradnl"/>
        </w:rPr>
        <w:t xml:space="preserve"> </w:t>
      </w:r>
      <w:r w:rsidR="00DA40C4">
        <w:rPr>
          <w:rFonts w:ascii="Arial" w:eastAsia="Times New Roman" w:hAnsi="Arial" w:cs="Arial"/>
          <w:bCs/>
          <w:iCs/>
          <w:szCs w:val="24"/>
          <w:lang w:val="es-ES_tradnl" w:eastAsia="es-ES_tradnl"/>
        </w:rPr>
        <w:t>v</w:t>
      </w:r>
      <w:r w:rsidR="00C2174C">
        <w:rPr>
          <w:rFonts w:ascii="Arial" w:eastAsia="Times New Roman" w:hAnsi="Arial" w:cs="Arial"/>
          <w:bCs/>
          <w:iCs/>
          <w:szCs w:val="24"/>
          <w:lang w:val="es-ES_tradnl" w:eastAsia="es-ES_tradnl"/>
        </w:rPr>
        <w:t>i</w:t>
      </w:r>
      <w:r w:rsidR="00A33061" w:rsidRPr="00DA40C4">
        <w:rPr>
          <w:rFonts w:ascii="Arial" w:eastAsia="Times New Roman" w:hAnsi="Arial" w:cs="Arial"/>
          <w:bCs/>
          <w:iCs/>
          <w:szCs w:val="24"/>
          <w:lang w:val="es-ES_tradnl" w:eastAsia="es-ES_tradnl"/>
        </w:rPr>
        <w:t xml:space="preserve">) </w:t>
      </w:r>
      <w:r w:rsidR="00A33061" w:rsidRPr="00DA40C4">
        <w:rPr>
          <w:rFonts w:ascii="Arial" w:eastAsia="Times New Roman" w:hAnsi="Arial" w:cs="Arial"/>
          <w:szCs w:val="24"/>
          <w:lang w:eastAsia="es-ES_tradnl"/>
        </w:rPr>
        <w:t xml:space="preserve">análisis de las anotaciones del Registro Nacional de Obras Civiles Inconclusas, tomando como ejemplo hermenéutica lo que ha expresado la Agencia en los documentos </w:t>
      </w:r>
      <w:r w:rsidR="00B95B14" w:rsidRPr="00DA40C4">
        <w:rPr>
          <w:rFonts w:ascii="Arial" w:eastAsia="Times New Roman" w:hAnsi="Arial" w:cs="Arial"/>
          <w:szCs w:val="24"/>
          <w:lang w:eastAsia="es-ES_tradnl"/>
        </w:rPr>
        <w:t xml:space="preserve">pliego </w:t>
      </w:r>
      <w:r w:rsidR="00A33061" w:rsidRPr="00DA40C4">
        <w:rPr>
          <w:rFonts w:ascii="Arial" w:eastAsia="Times New Roman" w:hAnsi="Arial" w:cs="Arial"/>
          <w:szCs w:val="24"/>
          <w:lang w:eastAsia="es-ES_tradnl"/>
        </w:rPr>
        <w:t>tipo.</w:t>
      </w:r>
    </w:p>
    <w:p w14:paraId="4478D5B7" w14:textId="2CF8EA45" w:rsidR="00A33061" w:rsidRPr="00D505B1" w:rsidRDefault="00A33061" w:rsidP="00A33061">
      <w:pPr>
        <w:spacing w:before="120" w:after="0" w:line="276" w:lineRule="auto"/>
        <w:ind w:firstLine="709"/>
        <w:jc w:val="both"/>
        <w:rPr>
          <w:rFonts w:ascii="Arial" w:eastAsia="Times New Roman" w:hAnsi="Arial" w:cs="Arial"/>
          <w:szCs w:val="24"/>
          <w:lang w:val="es-ES_tradnl" w:eastAsia="es-ES_tradnl"/>
        </w:rPr>
      </w:pPr>
      <w:r w:rsidRPr="00D505B1">
        <w:rPr>
          <w:rFonts w:ascii="Arial" w:eastAsia="Times New Roman" w:hAnsi="Arial" w:cs="Arial"/>
          <w:szCs w:val="24"/>
          <w:lang w:val="es-ES_tradnl" w:eastAsia="es-ES_tradnl"/>
        </w:rPr>
        <w:t xml:space="preserve">La Agencia Nacional de Contratación Pública – Colombia Compra Eficiente, en los conceptos </w:t>
      </w:r>
      <w:r w:rsidRPr="00D505B1">
        <w:rPr>
          <w:rFonts w:ascii="Arial" w:eastAsia="Times New Roman" w:hAnsi="Arial" w:cs="Arial"/>
          <w:color w:val="000000"/>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w:t>
      </w:r>
      <w:r>
        <w:rPr>
          <w:rFonts w:ascii="Arial" w:eastAsia="Times New Roman" w:hAnsi="Arial" w:cs="Arial"/>
          <w:color w:val="000000"/>
          <w:szCs w:val="24"/>
          <w:lang w:val="es-ES_tradnl" w:eastAsia="es-ES_tradnl"/>
        </w:rPr>
        <w:t>, C</w:t>
      </w:r>
      <w:r w:rsidR="00757CE0">
        <w:rPr>
          <w:rFonts w:ascii="Arial" w:eastAsia="Times New Roman" w:hAnsi="Arial" w:cs="Arial"/>
          <w:color w:val="000000"/>
          <w:szCs w:val="24"/>
          <w:lang w:val="es-ES_tradnl" w:eastAsia="es-ES_tradnl"/>
        </w:rPr>
        <w:t>-</w:t>
      </w:r>
      <w:r>
        <w:rPr>
          <w:rFonts w:ascii="Arial" w:eastAsia="Times New Roman" w:hAnsi="Arial" w:cs="Arial"/>
          <w:color w:val="000000"/>
          <w:szCs w:val="24"/>
          <w:lang w:val="es-ES_tradnl" w:eastAsia="es-ES_tradnl"/>
        </w:rPr>
        <w:t>391 de 9 de agosto de 2022</w:t>
      </w:r>
      <w:r w:rsidR="005B6D67">
        <w:rPr>
          <w:rFonts w:ascii="Arial" w:eastAsia="Times New Roman" w:hAnsi="Arial" w:cs="Arial"/>
          <w:color w:val="000000"/>
          <w:szCs w:val="24"/>
          <w:lang w:val="es-ES_tradnl" w:eastAsia="es-ES_tradnl"/>
        </w:rPr>
        <w:t xml:space="preserve">, </w:t>
      </w:r>
      <w:r>
        <w:rPr>
          <w:rFonts w:ascii="Arial" w:eastAsia="Times New Roman" w:hAnsi="Arial" w:cs="Arial"/>
          <w:color w:val="000000"/>
          <w:szCs w:val="24"/>
          <w:lang w:val="es-ES_tradnl" w:eastAsia="es-ES_tradnl"/>
        </w:rPr>
        <w:t>C-525 de 16 de agosto de 2022</w:t>
      </w:r>
      <w:r w:rsidRPr="00D505B1">
        <w:rPr>
          <w:rFonts w:ascii="Arial" w:eastAsia="Times New Roman" w:hAnsi="Arial" w:cs="Arial"/>
          <w:color w:val="000000"/>
          <w:szCs w:val="24"/>
          <w:lang w:val="es-ES_tradnl" w:eastAsia="es-ES_tradnl"/>
        </w:rPr>
        <w:t>,</w:t>
      </w:r>
      <w:r w:rsidR="005B6D67">
        <w:rPr>
          <w:rFonts w:ascii="Arial" w:eastAsia="Times New Roman" w:hAnsi="Arial" w:cs="Arial"/>
          <w:color w:val="000000"/>
          <w:szCs w:val="24"/>
          <w:lang w:val="es-ES_tradnl" w:eastAsia="es-ES_tradnl"/>
        </w:rPr>
        <w:t xml:space="preserve"> C-632 del 39 de septiembre de 2022</w:t>
      </w:r>
      <w:r w:rsidR="0071177C">
        <w:rPr>
          <w:rFonts w:ascii="Arial" w:eastAsia="Times New Roman" w:hAnsi="Arial" w:cs="Arial"/>
          <w:color w:val="000000"/>
          <w:szCs w:val="24"/>
          <w:lang w:val="es-ES_tradnl" w:eastAsia="es-ES_tradnl"/>
        </w:rPr>
        <w:t xml:space="preserve">, </w:t>
      </w:r>
      <w:r w:rsidR="004642FE">
        <w:rPr>
          <w:rFonts w:ascii="Arial" w:eastAsia="Times New Roman" w:hAnsi="Arial" w:cs="Arial"/>
          <w:color w:val="000000"/>
          <w:szCs w:val="24"/>
          <w:lang w:val="es-ES_tradnl" w:eastAsia="es-ES_tradnl"/>
        </w:rPr>
        <w:t>C-924 del 28 de diciembre de 2022</w:t>
      </w:r>
      <w:r w:rsidR="0071177C">
        <w:rPr>
          <w:rFonts w:ascii="Arial" w:eastAsia="Times New Roman" w:hAnsi="Arial" w:cs="Arial"/>
          <w:color w:val="000000"/>
          <w:szCs w:val="24"/>
          <w:lang w:val="es-ES_tradnl" w:eastAsia="es-ES_tradnl"/>
        </w:rPr>
        <w:t xml:space="preserve"> y C-</w:t>
      </w:r>
      <w:r w:rsidR="0071177C" w:rsidRPr="0071177C">
        <w:rPr>
          <w:rFonts w:ascii="Arial" w:eastAsia="Times New Roman" w:hAnsi="Arial" w:cs="Arial"/>
          <w:color w:val="000000"/>
          <w:szCs w:val="24"/>
          <w:lang w:val="es-ES_tradnl" w:eastAsia="es-ES_tradnl"/>
        </w:rPr>
        <w:t>096</w:t>
      </w:r>
      <w:r w:rsidR="0071177C">
        <w:rPr>
          <w:rFonts w:ascii="Arial" w:eastAsia="Times New Roman" w:hAnsi="Arial" w:cs="Arial"/>
          <w:color w:val="000000"/>
          <w:szCs w:val="24"/>
          <w:lang w:val="es-ES_tradnl" w:eastAsia="es-ES_tradnl"/>
        </w:rPr>
        <w:t xml:space="preserve"> del 13 de junio de 2023, </w:t>
      </w:r>
      <w:r w:rsidR="0071177C" w:rsidRPr="0071177C">
        <w:rPr>
          <w:rFonts w:ascii="Arial" w:eastAsia="Times New Roman" w:hAnsi="Arial" w:cs="Arial"/>
          <w:color w:val="000000"/>
          <w:szCs w:val="24"/>
          <w:lang w:val="es-ES_tradnl" w:eastAsia="es-ES_tradnl"/>
        </w:rPr>
        <w:t>se pronunció sobre el Registro Nacional de Obras Civiles Inconclusas</w:t>
      </w:r>
      <w:r w:rsidR="0071177C">
        <w:rPr>
          <w:rFonts w:ascii="Arial" w:eastAsia="Times New Roman" w:hAnsi="Arial" w:cs="Arial"/>
          <w:color w:val="000000"/>
          <w:szCs w:val="24"/>
          <w:lang w:val="es-ES_tradnl" w:eastAsia="es-ES_tradnl"/>
        </w:rPr>
        <w:t xml:space="preserve">. </w:t>
      </w:r>
      <w:r w:rsidR="0071177C" w:rsidRPr="0071177C">
        <w:rPr>
          <w:rFonts w:ascii="Arial" w:eastAsia="Times New Roman" w:hAnsi="Arial" w:cs="Arial"/>
          <w:color w:val="000000"/>
          <w:szCs w:val="24"/>
          <w:lang w:val="es-ES_tradnl" w:eastAsia="es-ES_tradnl"/>
        </w:rPr>
        <w:t>De igual forma, en los Conceptos C-136 del 29 de marzo de 2022 y C-324 del 20 de mayo de 2022, esta Agencia se pronunció sobre el reporte, registro y publicación de multas, sanciones e inhabilidades en el RUP, ahondado también la inhabilidad por incumplimiento reiterado en los Conceptos 4201913000005694 del 3 de octubre de 2019, 4201912000006259 del 13 de noviembre de 2019, 4201912000007281 del 5 de diciembre de 2019, 4201912000007060 del 11 de diciembre de 2019, C-128 del 28 de marzo de 2022, C-934 del 7 de junio de 2022, C-709 del 7 de diciembre de 2020 y C-973 del 27 de diciembre de 2022</w:t>
      </w:r>
      <w:r w:rsidR="0071177C">
        <w:rPr>
          <w:rFonts w:ascii="Arial" w:eastAsia="Times New Roman" w:hAnsi="Arial" w:cs="Arial"/>
          <w:color w:val="000000"/>
          <w:szCs w:val="24"/>
          <w:lang w:val="es-ES_tradnl" w:eastAsia="es-ES_tradnl"/>
        </w:rPr>
        <w:t>,</w:t>
      </w:r>
      <w:r w:rsidRPr="00D505B1">
        <w:rPr>
          <w:rFonts w:ascii="Arial" w:eastAsia="Times New Roman" w:hAnsi="Arial" w:cs="Arial"/>
          <w:color w:val="000000"/>
          <w:szCs w:val="24"/>
          <w:lang w:val="es-ES_tradnl" w:eastAsia="es-ES_tradnl"/>
        </w:rPr>
        <w:t xml:space="preserve"> entre otros</w:t>
      </w:r>
      <w:r w:rsidR="005A59ED">
        <w:rPr>
          <w:rStyle w:val="Refdenotaalpie"/>
          <w:rFonts w:ascii="Arial" w:eastAsia="Times New Roman" w:hAnsi="Arial" w:cs="Arial"/>
          <w:color w:val="000000"/>
          <w:szCs w:val="24"/>
          <w:lang w:val="es-ES_tradnl" w:eastAsia="es-ES_tradnl"/>
        </w:rPr>
        <w:footnoteReference w:id="2"/>
      </w:r>
      <w:r w:rsidR="0071177C">
        <w:rPr>
          <w:rFonts w:ascii="Arial" w:eastAsia="Times New Roman" w:hAnsi="Arial" w:cs="Arial"/>
          <w:color w:val="000000"/>
          <w:szCs w:val="24"/>
          <w:lang w:val="es-ES_tradnl" w:eastAsia="es-ES_tradnl"/>
        </w:rPr>
        <w:t xml:space="preserve">. </w:t>
      </w:r>
      <w:r w:rsidRPr="00D505B1">
        <w:rPr>
          <w:rFonts w:ascii="Arial" w:eastAsia="Times New Roman" w:hAnsi="Arial" w:cs="Arial"/>
          <w:szCs w:val="24"/>
          <w:lang w:val="es-ES_tradnl" w:eastAsia="es-ES_tradnl"/>
        </w:rPr>
        <w:t xml:space="preserve">Las ideas expuestas en dichas oportunidades se reiteran a continuación, y se complementan en lo pertinente para resolver las inquietudes de la consulta. </w:t>
      </w:r>
    </w:p>
    <w:p w14:paraId="6AAB99FB" w14:textId="77777777" w:rsidR="00A33061" w:rsidRDefault="00A33061" w:rsidP="00A33061">
      <w:pPr>
        <w:spacing w:after="0" w:line="276" w:lineRule="auto"/>
        <w:jc w:val="both"/>
        <w:rPr>
          <w:rFonts w:ascii="Arial" w:eastAsia="Times New Roman" w:hAnsi="Arial" w:cs="Arial"/>
          <w:noProof/>
          <w:szCs w:val="24"/>
          <w:lang w:val="es-ES_tradnl" w:eastAsia="es-ES_tradnl"/>
        </w:rPr>
      </w:pPr>
    </w:p>
    <w:p w14:paraId="44329B4D" w14:textId="77777777" w:rsidR="00AF786E" w:rsidRDefault="00AF786E" w:rsidP="00A33061">
      <w:pPr>
        <w:spacing w:after="0" w:line="276" w:lineRule="auto"/>
        <w:jc w:val="both"/>
        <w:rPr>
          <w:rFonts w:ascii="Arial" w:eastAsia="Times New Roman" w:hAnsi="Arial" w:cs="Arial"/>
          <w:noProof/>
          <w:szCs w:val="24"/>
          <w:lang w:val="es-ES_tradnl" w:eastAsia="es-ES_tradnl"/>
        </w:rPr>
      </w:pPr>
    </w:p>
    <w:p w14:paraId="1D29FB27" w14:textId="2D60FE5C" w:rsidR="00AF786E" w:rsidRDefault="00D379B9" w:rsidP="00A33061">
      <w:pPr>
        <w:spacing w:after="0" w:line="276" w:lineRule="auto"/>
        <w:jc w:val="both"/>
        <w:rPr>
          <w:rFonts w:ascii="Arial" w:eastAsia="Calibri" w:hAnsi="Arial" w:cs="Arial"/>
          <w:b/>
          <w:bCs/>
          <w:color w:val="000000"/>
          <w:szCs w:val="24"/>
          <w:lang w:val="es-ES_tradnl" w:eastAsia="es-ES_tradnl"/>
        </w:rPr>
      </w:pPr>
      <w:r>
        <w:rPr>
          <w:rFonts w:ascii="Arial" w:eastAsia="Calibri" w:hAnsi="Arial" w:cs="Arial"/>
          <w:b/>
          <w:bCs/>
          <w:color w:val="000000"/>
          <w:szCs w:val="24"/>
          <w:lang w:val="es-ES_tradnl" w:eastAsia="es-ES_tradnl"/>
        </w:rPr>
        <w:t>2.1 R</w:t>
      </w:r>
      <w:r w:rsidR="00AF786E" w:rsidRPr="00D379B9">
        <w:rPr>
          <w:rFonts w:ascii="Arial" w:eastAsia="Calibri" w:hAnsi="Arial" w:cs="Arial"/>
          <w:b/>
          <w:bCs/>
          <w:color w:val="000000"/>
          <w:szCs w:val="24"/>
          <w:lang w:val="es-ES_tradnl" w:eastAsia="es-ES_tradnl"/>
        </w:rPr>
        <w:t>égimen de inhabilidades e incompatibilidades en la contratación estatal</w:t>
      </w:r>
    </w:p>
    <w:p w14:paraId="5E810287" w14:textId="77777777" w:rsidR="006765BF" w:rsidRPr="006765BF" w:rsidRDefault="006765BF" w:rsidP="006765BF">
      <w:pPr>
        <w:spacing w:before="240" w:after="0" w:line="276" w:lineRule="auto"/>
        <w:jc w:val="both"/>
        <w:rPr>
          <w:rFonts w:ascii="Arial" w:eastAsia="Arial" w:hAnsi="Arial" w:cs="Arial"/>
          <w:color w:val="000000"/>
          <w:lang w:val="es-ES_tradnl"/>
        </w:rPr>
      </w:pPr>
      <w:r w:rsidRPr="006765BF">
        <w:rPr>
          <w:rFonts w:ascii="Arial" w:eastAsia="Arial" w:hAnsi="Arial" w:cs="Arial"/>
          <w:color w:val="000000"/>
          <w:lang w:val="es-ES_tradnl"/>
        </w:rPr>
        <w:t xml:space="preserve">En la contratación estatal, la </w:t>
      </w:r>
      <w:r w:rsidRPr="006765BF">
        <w:rPr>
          <w:rFonts w:ascii="Arial" w:eastAsia="Arial" w:hAnsi="Arial" w:cs="Arial"/>
          <w:i/>
          <w:iCs/>
          <w:color w:val="000000"/>
          <w:lang w:val="es-ES_tradnl"/>
        </w:rPr>
        <w:t>capacidad</w:t>
      </w:r>
      <w:r w:rsidRPr="006765BF">
        <w:rPr>
          <w:rFonts w:ascii="Arial" w:eastAsia="Arial" w:hAnsi="Arial" w:cs="Arial"/>
          <w:color w:val="000000"/>
          <w:lang w:val="es-ES_tradnl"/>
        </w:rPr>
        <w:t xml:space="preserve"> </w:t>
      </w:r>
      <w:r w:rsidRPr="006765BF">
        <w:rPr>
          <w:rFonts w:ascii="Arial" w:eastAsia="Arial" w:hAnsi="Arial" w:cs="Arial"/>
          <w:i/>
          <w:iCs/>
          <w:color w:val="000000"/>
          <w:lang w:val="es-ES_tradnl"/>
        </w:rPr>
        <w:t>jurídica</w:t>
      </w:r>
      <w:r w:rsidRPr="006765BF">
        <w:rPr>
          <w:rFonts w:ascii="Arial" w:eastAsia="Arial" w:hAnsi="Arial" w:cs="Arial"/>
          <w:color w:val="000000"/>
          <w:lang w:val="es-ES_tradnl"/>
        </w:rPr>
        <w:t xml:space="preserve"> también es un requisito de validez de los contratos, tanto en el régimen de las entidades sujetas al Estatuto General de Contratación de la </w:t>
      </w:r>
      <w:r w:rsidRPr="006765BF">
        <w:rPr>
          <w:rFonts w:ascii="Arial" w:eastAsia="Arial" w:hAnsi="Arial" w:cs="Arial"/>
          <w:color w:val="000000"/>
          <w:lang w:val="es-ES_tradnl"/>
        </w:rPr>
        <w:lastRenderedPageBreak/>
        <w:t>Administración Pública</w:t>
      </w:r>
      <w:r w:rsidRPr="006765BF">
        <w:rPr>
          <w:rFonts w:ascii="Arial" w:eastAsia="Arial" w:hAnsi="Arial" w:cs="Arial"/>
          <w:color w:val="000000"/>
          <w:vertAlign w:val="superscript"/>
          <w:lang w:val="es-ES_tradnl"/>
        </w:rPr>
        <w:footnoteReference w:id="3"/>
      </w:r>
      <w:r w:rsidRPr="006765BF">
        <w:rPr>
          <w:rFonts w:ascii="Arial" w:eastAsia="Arial" w:hAnsi="Arial" w:cs="Arial"/>
          <w:color w:val="000000"/>
          <w:lang w:val="es-ES_tradnl"/>
        </w:rPr>
        <w:t xml:space="preserve"> como en el de las entidades exceptuadas de aquel</w:t>
      </w:r>
      <w:r w:rsidRPr="006765BF">
        <w:rPr>
          <w:rFonts w:ascii="Arial" w:eastAsia="Arial" w:hAnsi="Arial" w:cs="Arial"/>
          <w:color w:val="000000"/>
          <w:vertAlign w:val="superscript"/>
          <w:lang w:val="es-ES_tradnl"/>
        </w:rPr>
        <w:footnoteReference w:id="4"/>
      </w:r>
      <w:r w:rsidRPr="006765BF">
        <w:rPr>
          <w:rFonts w:ascii="Arial" w:eastAsia="Arial" w:hAnsi="Arial" w:cs="Arial"/>
          <w:color w:val="000000"/>
          <w:lang w:val="es-ES_tradnl"/>
        </w:rPr>
        <w:t xml:space="preserve">. Si bien la regulación de la capacidad se integra por varias disposiciones y exigencias especiales –como el requisito de inscribirse, por regla general, en el Registro Único de Proponentes (RUP)–, se destaca </w:t>
      </w:r>
      <w:r w:rsidRPr="006765BF">
        <w:rPr>
          <w:rFonts w:ascii="Arial" w:eastAsia="Arial" w:hAnsi="Arial" w:cs="Arial"/>
          <w:color w:val="000000"/>
          <w:u w:val="single"/>
          <w:lang w:val="es-ES_tradnl"/>
        </w:rPr>
        <w:t>el régimen de inhabilidades e incompatibilidades</w:t>
      </w:r>
      <w:r w:rsidRPr="006765BF">
        <w:rPr>
          <w:rFonts w:ascii="Arial" w:eastAsia="Arial" w:hAnsi="Arial" w:cs="Arial"/>
          <w:color w:val="000000"/>
          <w:lang w:val="es-ES_tradnl"/>
        </w:rPr>
        <w:t xml:space="preserve"> como un conjunto de enunciados normativos que imponen restricciones para los sujetos que, eventualmente, pretendan participar en los procedimientos de selección o celebrar contratos con las entidades estatales</w:t>
      </w:r>
      <w:r w:rsidRPr="006765BF">
        <w:rPr>
          <w:rFonts w:ascii="Arial" w:eastAsia="Arial" w:hAnsi="Arial" w:cs="Arial"/>
          <w:color w:val="000000"/>
          <w:vertAlign w:val="superscript"/>
          <w:lang w:val="es-ES_tradnl"/>
        </w:rPr>
        <w:footnoteReference w:id="5"/>
      </w:r>
      <w:r w:rsidRPr="006765BF">
        <w:rPr>
          <w:rFonts w:ascii="Arial" w:eastAsia="Arial" w:hAnsi="Arial" w:cs="Arial"/>
          <w:color w:val="000000"/>
          <w:lang w:val="es-ES_tradnl"/>
        </w:rPr>
        <w:t>.</w:t>
      </w:r>
    </w:p>
    <w:p w14:paraId="164AD986" w14:textId="77777777" w:rsidR="006765BF" w:rsidRPr="006765BF" w:rsidRDefault="006765BF" w:rsidP="006765BF">
      <w:pPr>
        <w:spacing w:before="240" w:after="120" w:line="276" w:lineRule="auto"/>
        <w:ind w:firstLine="709"/>
        <w:jc w:val="both"/>
        <w:rPr>
          <w:rFonts w:ascii="Arial" w:eastAsia="Calibri" w:hAnsi="Arial" w:cs="Arial"/>
          <w:color w:val="000000"/>
          <w:lang w:val="es-ES_tradnl"/>
        </w:rPr>
      </w:pPr>
      <w:r w:rsidRPr="006765BF">
        <w:rPr>
          <w:rFonts w:ascii="Arial" w:eastAsia="Calibri" w:hAnsi="Arial" w:cs="Arial"/>
          <w:color w:val="000000"/>
          <w:highlight w:val="yellow"/>
          <w:lang w:val="es-ES_tradnl"/>
        </w:rPr>
        <w:t>Las inhabilidades son prohibiciones para concurrir a los procedimientos de selección y para contratar con el Estado, que se derivan i) de la existencia de comportamientos reprochables o de sanciones anteriormente impuestas</w:t>
      </w:r>
      <w:r w:rsidRPr="006765BF">
        <w:rPr>
          <w:rFonts w:ascii="Arial" w:eastAsia="Calibri" w:hAnsi="Arial" w:cs="Arial"/>
          <w:color w:val="000000"/>
          <w:highlight w:val="yellow"/>
          <w:vertAlign w:val="superscript"/>
          <w:lang w:val="es-ES_tradnl"/>
        </w:rPr>
        <w:footnoteReference w:id="6"/>
      </w:r>
      <w:r w:rsidRPr="006765BF">
        <w:rPr>
          <w:rFonts w:ascii="Arial" w:eastAsia="Calibri" w:hAnsi="Arial" w:cs="Arial"/>
          <w:color w:val="000000"/>
          <w:highlight w:val="yellow"/>
          <w:lang w:val="es-ES_tradnl"/>
        </w:rPr>
        <w:t xml:space="preserve">, ii) de vínculos personales relativos al parentesco o al </w:t>
      </w:r>
      <w:r w:rsidRPr="006765BF">
        <w:rPr>
          <w:rFonts w:ascii="Arial" w:eastAsia="Calibri" w:hAnsi="Arial" w:cs="Arial"/>
          <w:color w:val="000000"/>
          <w:highlight w:val="yellow"/>
          <w:lang w:val="es-ES_tradnl"/>
        </w:rPr>
        <w:lastRenderedPageBreak/>
        <w:t>estado civil</w:t>
      </w:r>
      <w:r w:rsidRPr="006765BF">
        <w:rPr>
          <w:rFonts w:ascii="Arial" w:eastAsia="Calibri" w:hAnsi="Arial" w:cs="Arial"/>
          <w:color w:val="000000"/>
          <w:highlight w:val="yellow"/>
          <w:vertAlign w:val="superscript"/>
          <w:lang w:val="es-ES_tradnl"/>
        </w:rPr>
        <w:footnoteReference w:id="7"/>
      </w:r>
      <w:r w:rsidRPr="006765BF">
        <w:rPr>
          <w:rFonts w:ascii="Arial" w:eastAsia="Calibri" w:hAnsi="Arial" w:cs="Arial"/>
          <w:color w:val="000000"/>
          <w:highlight w:val="yellow"/>
          <w:lang w:val="es-ES_tradnl"/>
        </w:rPr>
        <w:t xml:space="preserve"> o iii) de una actividad u oficio que se desempeñó en el pasado</w:t>
      </w:r>
      <w:r w:rsidRPr="006765BF">
        <w:rPr>
          <w:rFonts w:ascii="Arial" w:eastAsia="Calibri" w:hAnsi="Arial" w:cs="Arial"/>
          <w:color w:val="000000"/>
          <w:highlight w:val="yellow"/>
          <w:vertAlign w:val="superscript"/>
          <w:lang w:val="es-ES_tradnl"/>
        </w:rPr>
        <w:footnoteReference w:id="8"/>
      </w:r>
      <w:r w:rsidRPr="006765BF">
        <w:rPr>
          <w:rFonts w:ascii="Arial" w:eastAsia="Calibri" w:hAnsi="Arial" w:cs="Arial"/>
          <w:color w:val="000000"/>
          <w:highlight w:val="yellow"/>
          <w:lang w:val="es-ES_tradnl"/>
        </w:rPr>
        <w:t xml:space="preserve">. De otro lado, las incompatibilidades son prohibiciones para participar en los procedimientos de selección y para celebrar contratos estatales, fundadas en la </w:t>
      </w:r>
      <w:r w:rsidRPr="006765BF">
        <w:rPr>
          <w:rFonts w:ascii="Arial" w:eastAsia="Calibri" w:hAnsi="Arial" w:cs="Arial"/>
          <w:color w:val="000000"/>
          <w:highlight w:val="yellow"/>
          <w:u w:val="single"/>
          <w:lang w:val="es-ES_tradnl"/>
        </w:rPr>
        <w:t>presencia de una calidad que ostenta el sujeto interesado en realizar alguna de dichas actividades, que no puede coexistir con su calidad de proponente o contratista del Estado</w:t>
      </w:r>
      <w:r w:rsidRPr="006765BF">
        <w:rPr>
          <w:rFonts w:ascii="Arial" w:eastAsia="Calibri" w:hAnsi="Arial" w:cs="Arial"/>
          <w:color w:val="000000"/>
          <w:vertAlign w:val="superscript"/>
          <w:lang w:val="es-ES_tradnl"/>
        </w:rPr>
        <w:footnoteReference w:id="9"/>
      </w:r>
      <w:r w:rsidRPr="006765BF">
        <w:rPr>
          <w:rFonts w:ascii="Arial" w:eastAsia="Calibri" w:hAnsi="Arial" w:cs="Arial"/>
          <w:color w:val="000000"/>
          <w:lang w:val="es-ES_tradnl"/>
        </w:rPr>
        <w:t xml:space="preserve">. </w:t>
      </w:r>
    </w:p>
    <w:p w14:paraId="5087B369" w14:textId="77777777" w:rsidR="006765BF" w:rsidRPr="006765BF" w:rsidRDefault="006765BF" w:rsidP="006765BF">
      <w:pPr>
        <w:spacing w:before="240" w:after="120" w:line="276" w:lineRule="auto"/>
        <w:ind w:firstLine="709"/>
        <w:jc w:val="both"/>
        <w:rPr>
          <w:rFonts w:ascii="Arial" w:eastAsia="Calibri" w:hAnsi="Arial" w:cs="Arial"/>
          <w:color w:val="000000"/>
          <w:lang w:val="es-ES_tradnl"/>
        </w:rPr>
      </w:pPr>
      <w:r w:rsidRPr="006765BF">
        <w:rPr>
          <w:rFonts w:ascii="Arial" w:eastAsia="Calibri" w:hAnsi="Arial" w:cs="Arial"/>
          <w:color w:val="000000"/>
          <w:lang w:val="es-ES_tradnl"/>
        </w:rPr>
        <w:t xml:space="preserve">Ahora bien, las inhabilidades e incompatibilidades –como ya se dijo– al ser restricciones o límites especiales a la capacidad para presentar ofertas y celebrar contratos estatales, </w:t>
      </w:r>
      <w:r w:rsidRPr="006765BF">
        <w:rPr>
          <w:rFonts w:ascii="Arial" w:eastAsia="Calibri" w:hAnsi="Arial" w:cs="Arial"/>
          <w:color w:val="000000"/>
          <w:u w:val="single"/>
          <w:lang w:val="es-ES_tradnl"/>
        </w:rPr>
        <w:t>solo pueden tipificarse en la ley</w:t>
      </w:r>
      <w:r w:rsidRPr="006765BF">
        <w:rPr>
          <w:rFonts w:ascii="Arial" w:eastAsia="Calibri" w:hAnsi="Arial" w:cs="Arial"/>
          <w:color w:val="000000"/>
          <w:lang w:val="es-ES_tradnl"/>
        </w:rPr>
        <w:t xml:space="preserve"> –o sea, deben satisfacer el principio de legalidad– y </w:t>
      </w:r>
      <w:r w:rsidRPr="006765BF">
        <w:rPr>
          <w:rFonts w:ascii="Arial" w:eastAsia="Calibri" w:hAnsi="Arial" w:cs="Arial"/>
          <w:color w:val="000000"/>
          <w:u w:val="single"/>
          <w:lang w:val="es-ES_tradnl"/>
        </w:rPr>
        <w:t>su interpretación debe ser restrictiva</w:t>
      </w:r>
      <w:r w:rsidRPr="006765BF">
        <w:rPr>
          <w:rFonts w:ascii="Arial" w:eastAsia="Calibri" w:hAnsi="Arial" w:cs="Arial"/>
          <w:color w:val="000000"/>
          <w:lang w:val="es-ES_tradnl"/>
        </w:rPr>
        <w:t xml:space="preserve">.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w:t>
      </w:r>
      <w:r w:rsidRPr="006765BF">
        <w:rPr>
          <w:rFonts w:ascii="Arial" w:eastAsia="Calibri" w:hAnsi="Arial" w:cs="Arial"/>
          <w:color w:val="000000"/>
          <w:lang w:val="es-ES_tradnl"/>
        </w:rPr>
        <w:lastRenderedPageBreak/>
        <w:t xml:space="preserve">profesión u oficio. Tal ha sido la postura al interior de la jurisprudencia, tanto de la Corte Constitucional como de la Sección Tercera del Consejo de Estado. </w:t>
      </w:r>
    </w:p>
    <w:p w14:paraId="00FA92CC" w14:textId="77777777" w:rsidR="006765BF" w:rsidRPr="006765BF" w:rsidRDefault="006765BF" w:rsidP="006765BF">
      <w:pPr>
        <w:tabs>
          <w:tab w:val="left" w:pos="426"/>
        </w:tabs>
        <w:spacing w:after="120" w:line="276" w:lineRule="auto"/>
        <w:ind w:firstLine="425"/>
        <w:jc w:val="both"/>
        <w:rPr>
          <w:rFonts w:ascii="Arial" w:eastAsia="Calibri" w:hAnsi="Arial" w:cs="Arial"/>
          <w:color w:val="000000"/>
          <w:lang w:val="es-ES_tradnl"/>
        </w:rPr>
      </w:pPr>
      <w:r w:rsidRPr="006765BF">
        <w:rPr>
          <w:rFonts w:ascii="Arial" w:eastAsia="Calibri" w:hAnsi="Arial" w:cs="Arial"/>
          <w:color w:val="000000"/>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765BF">
        <w:rPr>
          <w:rFonts w:ascii="Arial" w:eastAsia="Calibri" w:hAnsi="Arial" w:cs="Arial"/>
          <w:color w:val="000000"/>
          <w:vertAlign w:val="superscript"/>
          <w:lang w:val="es-ES_tradnl"/>
        </w:rPr>
        <w:footnoteReference w:id="10"/>
      </w:r>
      <w:r w:rsidRPr="006765BF">
        <w:rPr>
          <w:rFonts w:ascii="Arial" w:eastAsia="Calibri" w:hAnsi="Arial" w:cs="Arial"/>
          <w:color w:val="000000"/>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765BF">
        <w:rPr>
          <w:rFonts w:ascii="Arial" w:eastAsia="Calibri" w:hAnsi="Arial" w:cs="Arial"/>
          <w:color w:val="000000"/>
          <w:vertAlign w:val="superscript"/>
          <w:lang w:val="es-ES_tradnl"/>
        </w:rPr>
        <w:footnoteReference w:id="11"/>
      </w:r>
      <w:r w:rsidRPr="006765BF">
        <w:rPr>
          <w:rFonts w:ascii="Arial" w:eastAsia="Calibri" w:hAnsi="Arial" w:cs="Arial"/>
          <w:color w:val="000000"/>
          <w:lang w:val="es-ES_tradnl"/>
        </w:rPr>
        <w:t>.</w:t>
      </w:r>
    </w:p>
    <w:p w14:paraId="27DE52CF" w14:textId="77777777" w:rsidR="006765BF" w:rsidRPr="006765BF" w:rsidRDefault="006765BF" w:rsidP="006765BF">
      <w:pPr>
        <w:tabs>
          <w:tab w:val="left" w:pos="426"/>
        </w:tabs>
        <w:spacing w:after="120" w:line="276" w:lineRule="auto"/>
        <w:ind w:firstLine="425"/>
        <w:jc w:val="both"/>
        <w:rPr>
          <w:rFonts w:ascii="Arial" w:eastAsia="Calibri" w:hAnsi="Arial" w:cs="Arial"/>
          <w:color w:val="000000"/>
          <w:lang w:val="es-ES_tradnl"/>
        </w:rPr>
      </w:pPr>
      <w:r w:rsidRPr="006765BF">
        <w:rPr>
          <w:rFonts w:ascii="Arial" w:eastAsia="Calibri" w:hAnsi="Arial" w:cs="Arial"/>
          <w:color w:val="000000"/>
          <w:lang w:val="es-ES_tradnl"/>
        </w:rPr>
        <w:t>De igual forma, conviene acudir a la distinción que se ha trazado en torno a la fuente de las inhabilidades, las cuales han sido clasificadas en dos grupos: i) inhabilidades-sanción y ii)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p>
    <w:p w14:paraId="171B999B" w14:textId="77777777" w:rsidR="006765BF" w:rsidRPr="006765BF" w:rsidRDefault="006765BF" w:rsidP="006765BF">
      <w:pPr>
        <w:tabs>
          <w:tab w:val="left" w:pos="426"/>
        </w:tabs>
        <w:spacing w:after="120" w:line="276" w:lineRule="auto"/>
        <w:ind w:firstLine="425"/>
        <w:jc w:val="both"/>
        <w:rPr>
          <w:rFonts w:ascii="Arial" w:eastAsia="Calibri" w:hAnsi="Arial" w:cs="Arial"/>
          <w:color w:val="000000"/>
          <w:lang w:val="es-ES_tradnl"/>
        </w:rPr>
      </w:pPr>
      <w:r w:rsidRPr="006765BF">
        <w:rPr>
          <w:rFonts w:ascii="Arial" w:eastAsia="Calibri" w:hAnsi="Arial" w:cs="Arial"/>
          <w:color w:val="000000"/>
          <w:lang w:val="es-ES_tradnl"/>
        </w:rPr>
        <w:t xml:space="preserve">En razón de lo anterior,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En este sentido, la aplicación de las inhabilidades debe apegarse estrictamente a lo consagrado en la norma que la contempla, de manera que no resulta procedente su extensión a otras situaciones o condiciones diferente a las establecidas, en perjuicio de quienes aspiran a contratar con el Estado. Además, en relación con la determinación de las causales de inhabilidad e incompatibilidad, la Corte Constitucional ha resaltado que </w:t>
      </w:r>
      <w:r w:rsidRPr="006765BF">
        <w:rPr>
          <w:rFonts w:ascii="Arial" w:eastAsia="Calibri" w:hAnsi="Arial" w:cs="Arial"/>
          <w:color w:val="000000"/>
          <w:u w:val="single"/>
          <w:lang w:val="es-ES_tradnl"/>
        </w:rPr>
        <w:t>la competencia para determinar qué hechos o situaciones generan inhabilidades o incompatibilidades para contratar con el Estado la tiene el legislador</w:t>
      </w:r>
      <w:r w:rsidRPr="006765BF">
        <w:rPr>
          <w:rFonts w:ascii="Arial" w:eastAsia="Calibri" w:hAnsi="Arial" w:cs="Arial"/>
          <w:color w:val="000000"/>
          <w:lang w:val="es-ES_tradnl"/>
        </w:rPr>
        <w:t xml:space="preserve">, pues este régimen es un aspecto propio del Estatuto General de la Contratación de la Administración Pública, cuya expedición compete al Congreso de la República, </w:t>
      </w:r>
      <w:r w:rsidRPr="006765BF">
        <w:rPr>
          <w:rFonts w:ascii="Arial" w:eastAsia="Calibri" w:hAnsi="Arial" w:cs="Arial"/>
          <w:color w:val="000000"/>
          <w:lang w:val="es-ES_tradnl"/>
        </w:rPr>
        <w:lastRenderedPageBreak/>
        <w:t>conforme al artículo 150</w:t>
      </w:r>
      <w:r w:rsidRPr="006765BF">
        <w:rPr>
          <w:rFonts w:ascii="Arial" w:eastAsia="Calibri" w:hAnsi="Arial" w:cs="Arial"/>
          <w:color w:val="000000"/>
          <w:vertAlign w:val="superscript"/>
          <w:lang w:val="es-ES_tradnl"/>
        </w:rPr>
        <w:footnoteReference w:id="12"/>
      </w:r>
      <w:r w:rsidRPr="006765BF">
        <w:rPr>
          <w:rFonts w:ascii="Arial" w:eastAsia="Calibri" w:hAnsi="Arial" w:cs="Arial"/>
          <w:color w:val="000000"/>
          <w:lang w:val="es-ES_tradnl"/>
        </w:rPr>
        <w:t xml:space="preserve"> de la Constitución Política, y que en esta materia rige el principio de legalidad. </w:t>
      </w:r>
    </w:p>
    <w:p w14:paraId="18E09C73" w14:textId="77777777" w:rsidR="006765BF" w:rsidRPr="006765BF" w:rsidRDefault="006765BF" w:rsidP="006765BF">
      <w:pPr>
        <w:spacing w:after="0" w:line="276" w:lineRule="auto"/>
        <w:ind w:right="49" w:firstLine="709"/>
        <w:jc w:val="both"/>
        <w:rPr>
          <w:rFonts w:ascii="Arial" w:eastAsia="Calibri" w:hAnsi="Arial" w:cs="Arial"/>
          <w:color w:val="000000" w:themeColor="text1"/>
          <w:lang w:val="es-MX"/>
        </w:rPr>
      </w:pPr>
      <w:r w:rsidRPr="006765BF">
        <w:rPr>
          <w:rFonts w:ascii="Arial" w:eastAsia="Calibri" w:hAnsi="Arial" w:cs="Arial"/>
          <w:color w:val="000000"/>
          <w:lang w:val="es-ES_tradnl"/>
        </w:rPr>
        <w:t xml:space="preserve">Por otro lado, </w:t>
      </w:r>
      <w:r w:rsidRPr="006765BF">
        <w:rPr>
          <w:rFonts w:ascii="Arial" w:hAnsi="Arial" w:cs="Arial"/>
          <w:lang w:val="es-MX"/>
        </w:rPr>
        <w:t xml:space="preserve">también es posible que la </w:t>
      </w:r>
      <w:r w:rsidRPr="006765BF">
        <w:rPr>
          <w:rFonts w:ascii="Arial" w:hAnsi="Arial" w:cs="Arial"/>
          <w:u w:val="single"/>
          <w:lang w:val="es-MX"/>
        </w:rPr>
        <w:t>inhabilidad sobrevenga</w:t>
      </w:r>
      <w:r w:rsidRPr="006765BF">
        <w:rPr>
          <w:rFonts w:ascii="Arial" w:hAnsi="Arial" w:cs="Arial"/>
          <w:lang w:val="es-MX"/>
        </w:rPr>
        <w:t xml:space="preserve"> cuando ya está perfeccionado el contrato o incluso durante su ejecución. Para casos como este, en el que la inhabilidad se presenta de manera sobreviniente, existe una </w:t>
      </w:r>
      <w:bookmarkStart w:id="1" w:name="_Hlk80369925"/>
      <w:r w:rsidRPr="006765BF">
        <w:rPr>
          <w:rFonts w:ascii="Arial" w:eastAsia="Calibri" w:hAnsi="Arial" w:cs="Arial"/>
          <w:color w:val="000000" w:themeColor="text1"/>
          <w:lang w:val="es-MX"/>
        </w:rPr>
        <w:t>la regulación especial del Estatuto General de la Contratación Pública</w:t>
      </w:r>
      <w:bookmarkEnd w:id="1"/>
      <w:r w:rsidRPr="006765BF">
        <w:rPr>
          <w:rFonts w:ascii="Arial" w:eastAsia="Calibri" w:hAnsi="Arial" w:cs="Arial"/>
          <w:color w:val="000000" w:themeColor="text1"/>
          <w:lang w:val="es-MX"/>
        </w:rPr>
        <w:t>, establecida en el artículo 9 de la Ley 80 de 1993 en los siguientes términos:</w:t>
      </w:r>
    </w:p>
    <w:p w14:paraId="7BDEAE65" w14:textId="77777777" w:rsidR="006765BF" w:rsidRPr="006765BF" w:rsidRDefault="006765BF" w:rsidP="006765BF">
      <w:pPr>
        <w:spacing w:after="0" w:line="276" w:lineRule="auto"/>
        <w:ind w:right="709" w:firstLine="709"/>
        <w:jc w:val="both"/>
        <w:rPr>
          <w:rFonts w:ascii="Arial" w:eastAsia="Calibri" w:hAnsi="Arial" w:cs="Arial"/>
          <w:color w:val="000000" w:themeColor="text1"/>
          <w:sz w:val="16"/>
          <w:szCs w:val="16"/>
          <w:lang w:val="es-MX"/>
        </w:rPr>
      </w:pPr>
    </w:p>
    <w:p w14:paraId="28D54D3E" w14:textId="77777777" w:rsidR="006765BF" w:rsidRPr="006765BF" w:rsidRDefault="006765BF" w:rsidP="006765BF">
      <w:pPr>
        <w:tabs>
          <w:tab w:val="left" w:pos="709"/>
        </w:tabs>
        <w:spacing w:after="120" w:line="240" w:lineRule="auto"/>
        <w:ind w:left="709" w:right="879"/>
        <w:jc w:val="both"/>
        <w:rPr>
          <w:rFonts w:ascii="Arial" w:eastAsia="Calibri" w:hAnsi="Arial" w:cs="Arial"/>
          <w:i/>
          <w:iCs/>
          <w:color w:val="000000" w:themeColor="text1"/>
          <w:sz w:val="20"/>
          <w:szCs w:val="20"/>
          <w:lang w:val="es-MX"/>
        </w:rPr>
      </w:pPr>
      <w:r w:rsidRPr="006765BF">
        <w:rPr>
          <w:rFonts w:ascii="Arial" w:eastAsia="Calibri" w:hAnsi="Arial" w:cs="Arial"/>
          <w:i/>
          <w:iCs/>
          <w:color w:val="000000" w:themeColor="text1"/>
          <w:sz w:val="20"/>
          <w:szCs w:val="20"/>
          <w:lang w:val="es-MX"/>
        </w:rPr>
        <w:t>Si llegare a sobrevenir inhabilidad o incompatibilidad en el contratista, este cederá el contrato previa autorización escrita de la entidad contratante o, si ello no fuere posible, renunciará a su ejecución.</w:t>
      </w:r>
    </w:p>
    <w:p w14:paraId="1A011F03" w14:textId="77777777" w:rsidR="006765BF" w:rsidRPr="006765BF" w:rsidRDefault="006765BF" w:rsidP="006765BF">
      <w:pPr>
        <w:tabs>
          <w:tab w:val="left" w:pos="709"/>
        </w:tabs>
        <w:spacing w:after="120" w:line="240" w:lineRule="auto"/>
        <w:ind w:left="709" w:right="879"/>
        <w:jc w:val="both"/>
        <w:rPr>
          <w:rFonts w:ascii="Arial" w:eastAsia="Calibri" w:hAnsi="Arial" w:cs="Arial"/>
          <w:i/>
          <w:iCs/>
          <w:color w:val="000000" w:themeColor="text1"/>
          <w:sz w:val="20"/>
          <w:szCs w:val="20"/>
          <w:lang w:val="es-MX"/>
        </w:rPr>
      </w:pPr>
      <w:r w:rsidRPr="006765BF">
        <w:rPr>
          <w:rFonts w:ascii="Arial" w:eastAsia="Calibri" w:hAnsi="Arial" w:cs="Arial"/>
          <w:i/>
          <w:iCs/>
          <w:color w:val="000000" w:themeColor="text1"/>
          <w:sz w:val="20"/>
          <w:szCs w:val="20"/>
          <w:lang w:val="es-MX"/>
        </w:rPr>
        <w:t>Cuando la inhabilidad o incompatibilidad sobrevenga en un proponente dentro de un proceso de selección, se entenderá que renuncia a la participación en el proceso de selección y a los derechos surgidos del mismo.</w:t>
      </w:r>
    </w:p>
    <w:p w14:paraId="380F879D" w14:textId="77777777" w:rsidR="006765BF" w:rsidRPr="006765BF" w:rsidRDefault="006765BF" w:rsidP="006765BF">
      <w:pPr>
        <w:tabs>
          <w:tab w:val="left" w:pos="709"/>
        </w:tabs>
        <w:spacing w:after="120" w:line="240" w:lineRule="auto"/>
        <w:ind w:left="709" w:right="879"/>
        <w:jc w:val="both"/>
        <w:rPr>
          <w:rFonts w:ascii="Arial" w:eastAsia="Calibri" w:hAnsi="Arial" w:cs="Arial"/>
          <w:i/>
          <w:iCs/>
          <w:color w:val="000000" w:themeColor="text1"/>
          <w:sz w:val="20"/>
          <w:szCs w:val="20"/>
          <w:lang w:val="es-MX"/>
        </w:rPr>
      </w:pPr>
      <w:r w:rsidRPr="006765BF">
        <w:rPr>
          <w:rFonts w:ascii="Arial" w:eastAsia="Calibri" w:hAnsi="Arial" w:cs="Arial"/>
          <w:i/>
          <w:iCs/>
          <w:color w:val="000000" w:themeColor="text1"/>
          <w:sz w:val="20"/>
          <w:szCs w:val="20"/>
          <w:lang w:val="es-MX"/>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46D25D7D" w14:textId="77777777" w:rsidR="006765BF" w:rsidRPr="006765BF" w:rsidRDefault="006765BF" w:rsidP="006765BF">
      <w:pPr>
        <w:tabs>
          <w:tab w:val="left" w:pos="709"/>
        </w:tabs>
        <w:spacing w:after="120" w:line="240" w:lineRule="auto"/>
        <w:ind w:left="709" w:right="879"/>
        <w:jc w:val="both"/>
        <w:rPr>
          <w:rFonts w:ascii="Arial" w:eastAsia="Calibri" w:hAnsi="Arial" w:cs="Arial"/>
          <w:i/>
          <w:iCs/>
          <w:color w:val="000000" w:themeColor="text1"/>
          <w:sz w:val="20"/>
          <w:szCs w:val="20"/>
          <w:lang w:val="es-MX"/>
        </w:rPr>
      </w:pPr>
      <w:r w:rsidRPr="006765BF">
        <w:rPr>
          <w:rFonts w:ascii="Arial" w:eastAsia="Calibri" w:hAnsi="Arial" w:cs="Arial"/>
          <w:i/>
          <w:iCs/>
          <w:color w:val="000000" w:themeColor="text1"/>
          <w:sz w:val="20"/>
          <w:szCs w:val="20"/>
          <w:lang w:val="es-MX"/>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0F595AE1" w14:textId="77777777" w:rsidR="006765BF" w:rsidRPr="006765BF" w:rsidRDefault="006765BF" w:rsidP="006765BF">
      <w:pPr>
        <w:tabs>
          <w:tab w:val="left" w:pos="709"/>
        </w:tabs>
        <w:spacing w:after="0" w:line="240" w:lineRule="auto"/>
        <w:ind w:left="709" w:right="879"/>
        <w:jc w:val="both"/>
        <w:rPr>
          <w:rFonts w:ascii="Arial" w:eastAsia="Calibri" w:hAnsi="Arial" w:cs="Arial"/>
          <w:i/>
          <w:iCs/>
          <w:color w:val="000000" w:themeColor="text1"/>
          <w:sz w:val="20"/>
          <w:szCs w:val="20"/>
          <w:lang w:val="es-MX"/>
        </w:rPr>
      </w:pPr>
      <w:r w:rsidRPr="006765BF">
        <w:rPr>
          <w:rFonts w:ascii="Arial" w:eastAsia="Calibri" w:hAnsi="Arial" w:cs="Arial"/>
          <w:i/>
          <w:iCs/>
          <w:color w:val="000000" w:themeColor="text1"/>
          <w:sz w:val="20"/>
          <w:szCs w:val="20"/>
          <w:lang w:val="es-MX"/>
        </w:rPr>
        <w:t>Para el caso de cesión, será la entidad contratante la encargada de determinar el cesionario del contrato. […]</w:t>
      </w:r>
      <w:bookmarkStart w:id="2" w:name="_Hlk79777330"/>
      <w:r w:rsidRPr="006765BF">
        <w:rPr>
          <w:rFonts w:ascii="Arial" w:eastAsia="Calibri" w:hAnsi="Arial" w:cs="Arial"/>
          <w:i/>
          <w:iCs/>
          <w:color w:val="000000" w:themeColor="text1"/>
          <w:sz w:val="20"/>
          <w:szCs w:val="20"/>
          <w:vertAlign w:val="superscript"/>
          <w:lang w:val="es-MX"/>
        </w:rPr>
        <w:footnoteReference w:id="13"/>
      </w:r>
      <w:r w:rsidRPr="006765BF">
        <w:rPr>
          <w:rFonts w:ascii="Arial" w:eastAsia="Calibri" w:hAnsi="Arial" w:cs="Arial"/>
          <w:i/>
          <w:iCs/>
          <w:color w:val="000000" w:themeColor="text1"/>
          <w:sz w:val="20"/>
          <w:szCs w:val="20"/>
          <w:lang w:val="es-MX"/>
        </w:rPr>
        <w:t xml:space="preserve"> </w:t>
      </w:r>
      <w:bookmarkEnd w:id="2"/>
      <w:r w:rsidRPr="006765BF">
        <w:rPr>
          <w:rFonts w:ascii="Arial" w:eastAsia="Calibri" w:hAnsi="Arial" w:cs="Arial"/>
          <w:i/>
          <w:iCs/>
          <w:color w:val="000000" w:themeColor="text1"/>
          <w:sz w:val="20"/>
          <w:szCs w:val="20"/>
          <w:lang w:val="es-MX"/>
        </w:rPr>
        <w:t>(Cursivas añadidas).</w:t>
      </w:r>
    </w:p>
    <w:p w14:paraId="720034BD" w14:textId="77777777" w:rsidR="006765BF" w:rsidRPr="006765BF" w:rsidRDefault="006765BF" w:rsidP="006765BF">
      <w:pPr>
        <w:tabs>
          <w:tab w:val="left" w:pos="709"/>
        </w:tabs>
        <w:spacing w:after="0" w:line="240" w:lineRule="auto"/>
        <w:ind w:left="709" w:right="879"/>
        <w:jc w:val="both"/>
        <w:rPr>
          <w:rFonts w:ascii="Arial" w:eastAsia="Calibri" w:hAnsi="Arial" w:cs="Arial"/>
          <w:color w:val="000000" w:themeColor="text1"/>
          <w:sz w:val="20"/>
          <w:szCs w:val="20"/>
          <w:lang w:val="es-MX"/>
        </w:rPr>
      </w:pPr>
    </w:p>
    <w:p w14:paraId="0CF4300C" w14:textId="77777777" w:rsidR="006765BF" w:rsidRPr="006765BF" w:rsidRDefault="006765BF" w:rsidP="006765BF">
      <w:pPr>
        <w:tabs>
          <w:tab w:val="left" w:pos="709"/>
        </w:tabs>
        <w:spacing w:after="0" w:line="276" w:lineRule="auto"/>
        <w:jc w:val="both"/>
        <w:rPr>
          <w:rFonts w:ascii="Arial" w:eastAsia="Calibri" w:hAnsi="Arial" w:cs="Arial"/>
          <w:color w:val="000000" w:themeColor="text1"/>
          <w:lang w:val="es-MX"/>
        </w:rPr>
      </w:pPr>
      <w:r w:rsidRPr="006765BF">
        <w:rPr>
          <w:rFonts w:ascii="Arial" w:eastAsia="Calibri" w:hAnsi="Arial" w:cs="Arial"/>
          <w:color w:val="000000" w:themeColor="text1"/>
          <w:sz w:val="21"/>
          <w:szCs w:val="21"/>
          <w:lang w:val="es-MX"/>
        </w:rPr>
        <w:tab/>
      </w:r>
      <w:r w:rsidRPr="006765BF">
        <w:rPr>
          <w:rFonts w:ascii="Arial" w:eastAsia="Calibri" w:hAnsi="Arial" w:cs="Arial"/>
          <w:color w:val="000000" w:themeColor="text1"/>
          <w:lang w:val="es-MX"/>
        </w:rPr>
        <w:t>Esta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0EE3F9BB" w14:textId="77777777" w:rsidR="006765BF" w:rsidRPr="006765BF" w:rsidRDefault="006765BF" w:rsidP="006765BF">
      <w:pPr>
        <w:tabs>
          <w:tab w:val="left" w:pos="709"/>
        </w:tabs>
        <w:spacing w:after="0" w:line="276" w:lineRule="auto"/>
        <w:jc w:val="both"/>
        <w:rPr>
          <w:rFonts w:ascii="Arial" w:eastAsia="Calibri" w:hAnsi="Arial" w:cs="Arial"/>
          <w:color w:val="000000" w:themeColor="text1"/>
          <w:sz w:val="20"/>
          <w:szCs w:val="20"/>
          <w:lang w:val="es-MX"/>
        </w:rPr>
      </w:pPr>
    </w:p>
    <w:p w14:paraId="5AF02557" w14:textId="77777777" w:rsidR="006765BF" w:rsidRPr="006765BF" w:rsidRDefault="006765BF" w:rsidP="006765BF">
      <w:pPr>
        <w:spacing w:after="0" w:line="240" w:lineRule="auto"/>
        <w:ind w:left="709" w:right="709"/>
        <w:jc w:val="both"/>
        <w:rPr>
          <w:rFonts w:ascii="Arial" w:hAnsi="Arial" w:cs="Arial"/>
          <w:color w:val="000000" w:themeColor="text1"/>
          <w:sz w:val="20"/>
          <w:szCs w:val="20"/>
          <w:lang w:val="es-MX"/>
        </w:rPr>
      </w:pPr>
      <w:r w:rsidRPr="006765BF">
        <w:rPr>
          <w:rFonts w:ascii="Arial" w:hAnsi="Arial" w:cs="Arial"/>
          <w:color w:val="000000" w:themeColor="text1"/>
          <w:sz w:val="20"/>
          <w:szCs w:val="20"/>
          <w:lang w:val="es-MX"/>
        </w:rPr>
        <w:t xml:space="preserve">[…]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w:t>
      </w:r>
      <w:r w:rsidRPr="006765BF">
        <w:rPr>
          <w:rFonts w:ascii="Arial" w:hAnsi="Arial" w:cs="Arial"/>
          <w:color w:val="000000" w:themeColor="text1"/>
          <w:sz w:val="20"/>
          <w:szCs w:val="20"/>
          <w:lang w:val="es-MX"/>
        </w:rPr>
        <w:lastRenderedPageBreak/>
        <w:t>de manera sobreviniente, esto es, cuando la relación contractual ya se había establecido o dentro del tiempo de una licitación o concurso ya iniciados.</w:t>
      </w:r>
    </w:p>
    <w:p w14:paraId="49D57377" w14:textId="77777777" w:rsidR="006765BF" w:rsidRPr="006765BF" w:rsidRDefault="006765BF" w:rsidP="006765BF">
      <w:pPr>
        <w:spacing w:after="0" w:line="240" w:lineRule="auto"/>
        <w:ind w:left="709" w:right="709"/>
        <w:jc w:val="both"/>
        <w:rPr>
          <w:rFonts w:ascii="Arial" w:hAnsi="Arial" w:cs="Arial"/>
          <w:color w:val="000000" w:themeColor="text1"/>
          <w:sz w:val="20"/>
          <w:szCs w:val="20"/>
          <w:lang w:val="es-MX"/>
        </w:rPr>
      </w:pPr>
    </w:p>
    <w:p w14:paraId="1CBB758C" w14:textId="77777777" w:rsidR="006765BF" w:rsidRPr="006765BF" w:rsidRDefault="006765BF" w:rsidP="006765BF">
      <w:pPr>
        <w:spacing w:after="0" w:line="240" w:lineRule="auto"/>
        <w:ind w:left="709" w:right="709"/>
        <w:jc w:val="both"/>
        <w:rPr>
          <w:rFonts w:ascii="Arial" w:hAnsi="Arial" w:cs="Arial"/>
          <w:color w:val="000000" w:themeColor="text1"/>
          <w:sz w:val="20"/>
          <w:szCs w:val="20"/>
          <w:lang w:val="es-MX"/>
        </w:rPr>
      </w:pPr>
      <w:r w:rsidRPr="006765BF">
        <w:rPr>
          <w:rFonts w:ascii="Arial" w:hAnsi="Arial" w:cs="Arial"/>
          <w:color w:val="000000" w:themeColor="text1"/>
          <w:sz w:val="20"/>
          <w:szCs w:val="20"/>
          <w:lang w:val="es-MX"/>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6765BF">
        <w:rPr>
          <w:rFonts w:ascii="Arial" w:hAnsi="Arial" w:cs="Arial"/>
          <w:color w:val="000000" w:themeColor="text1"/>
          <w:sz w:val="20"/>
          <w:szCs w:val="20"/>
          <w:vertAlign w:val="superscript"/>
          <w:lang w:val="es-MX"/>
        </w:rPr>
        <w:footnoteReference w:id="14"/>
      </w:r>
    </w:p>
    <w:p w14:paraId="5E99431D" w14:textId="77777777" w:rsidR="006765BF" w:rsidRPr="006765BF" w:rsidRDefault="006765BF" w:rsidP="006765BF">
      <w:pPr>
        <w:tabs>
          <w:tab w:val="left" w:pos="709"/>
        </w:tabs>
        <w:spacing w:after="0" w:line="276" w:lineRule="auto"/>
        <w:jc w:val="both"/>
        <w:rPr>
          <w:rFonts w:ascii="Arial" w:eastAsia="Calibri" w:hAnsi="Arial" w:cs="Arial"/>
          <w:color w:val="000000" w:themeColor="text1"/>
          <w:lang w:val="es-MX"/>
        </w:rPr>
      </w:pPr>
    </w:p>
    <w:p w14:paraId="38B0A5C6" w14:textId="77777777" w:rsidR="006765BF" w:rsidRPr="006765BF" w:rsidRDefault="006765BF" w:rsidP="006765BF">
      <w:pPr>
        <w:tabs>
          <w:tab w:val="left" w:pos="709"/>
        </w:tabs>
        <w:spacing w:after="120" w:line="276" w:lineRule="auto"/>
        <w:jc w:val="both"/>
        <w:rPr>
          <w:rFonts w:ascii="Arial" w:eastAsia="Calibri" w:hAnsi="Arial" w:cs="Arial"/>
          <w:color w:val="000000" w:themeColor="text1"/>
          <w:lang w:val="es-MX"/>
        </w:rPr>
      </w:pPr>
      <w:r w:rsidRPr="006765BF">
        <w:rPr>
          <w:rFonts w:ascii="Arial" w:eastAsia="Calibri" w:hAnsi="Arial" w:cs="Arial"/>
          <w:color w:val="000000" w:themeColor="text1"/>
          <w:lang w:val="es-MX"/>
        </w:rPr>
        <w:tab/>
      </w:r>
      <w:r w:rsidRPr="006A05AE">
        <w:rPr>
          <w:rFonts w:ascii="Arial" w:eastAsia="Calibri" w:hAnsi="Arial" w:cs="Arial"/>
          <w:color w:val="000000" w:themeColor="text1"/>
          <w:lang w:val="es-MX"/>
        </w:rPr>
        <w:t>En efecto, si el contrato se celebra con personas incursas previamente en una situación de inhabilidad o incompatibilidad, este surge a la vida jurídica viciado de nulidad absoluta.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w:t>
      </w:r>
      <w:r w:rsidRPr="006765BF">
        <w:rPr>
          <w:rFonts w:ascii="Arial" w:eastAsia="Calibri" w:hAnsi="Arial" w:cs="Arial"/>
          <w:color w:val="000000" w:themeColor="text1"/>
          <w:lang w:val="es-MX"/>
        </w:rPr>
        <w:t xml:space="preserve"> </w:t>
      </w:r>
    </w:p>
    <w:p w14:paraId="6BD46888" w14:textId="77777777" w:rsidR="006765BF" w:rsidRPr="006765BF" w:rsidRDefault="006765BF" w:rsidP="006765BF">
      <w:pPr>
        <w:tabs>
          <w:tab w:val="left" w:pos="709"/>
        </w:tabs>
        <w:spacing w:after="120" w:line="276" w:lineRule="auto"/>
        <w:jc w:val="both"/>
        <w:rPr>
          <w:rFonts w:ascii="Arial" w:eastAsia="Calibri" w:hAnsi="Arial" w:cs="Arial"/>
          <w:color w:val="000000"/>
          <w:lang w:val="es-ES_tradnl"/>
        </w:rPr>
      </w:pPr>
      <w:r w:rsidRPr="006765BF">
        <w:rPr>
          <w:rFonts w:ascii="Arial" w:eastAsia="Calibri" w:hAnsi="Arial" w:cs="Arial"/>
          <w:color w:val="000000" w:themeColor="text1"/>
          <w:lang w:val="es-MX"/>
        </w:rPr>
        <w:tab/>
        <w:t>Según se desprende del texto del artículo 9, y sin perjuicio de la regla especial establecida en el parágrafo 1 de dicho artículo</w:t>
      </w:r>
      <w:r w:rsidRPr="006765BF">
        <w:rPr>
          <w:rFonts w:ascii="Arial" w:eastAsia="Calibri" w:hAnsi="Arial" w:cs="Arial"/>
          <w:color w:val="000000" w:themeColor="text1"/>
          <w:vertAlign w:val="superscript"/>
          <w:lang w:val="es-MX"/>
        </w:rPr>
        <w:footnoteReference w:id="15"/>
      </w:r>
      <w:r w:rsidRPr="006765BF">
        <w:rPr>
          <w:rFonts w:ascii="Arial" w:eastAsia="Calibri" w:hAnsi="Arial" w:cs="Arial"/>
          <w:color w:val="000000" w:themeColor="text1"/>
          <w:lang w:val="es-MX"/>
        </w:rPr>
        <w:t xml:space="preserve">,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4EBB0DCF" w14:textId="77777777" w:rsidR="006765BF" w:rsidRPr="006765BF" w:rsidRDefault="006765BF" w:rsidP="006765BF">
      <w:pPr>
        <w:tabs>
          <w:tab w:val="left" w:pos="426"/>
        </w:tabs>
        <w:spacing w:after="0" w:line="276" w:lineRule="auto"/>
        <w:ind w:right="709" w:firstLine="425"/>
        <w:jc w:val="both"/>
        <w:rPr>
          <w:rFonts w:ascii="Arial" w:eastAsia="Times New Roman" w:hAnsi="Arial" w:cs="Arial"/>
          <w:bCs/>
          <w:lang w:val="es-MX" w:eastAsia="es-CO"/>
        </w:rPr>
      </w:pPr>
      <w:r w:rsidRPr="006A05AE">
        <w:rPr>
          <w:rFonts w:ascii="Arial" w:eastAsia="Times New Roman" w:hAnsi="Arial" w:cs="Arial"/>
          <w:bCs/>
          <w:lang w:val="es-MX" w:eastAsia="es-CO"/>
        </w:rPr>
        <w:t>Finalmente, en lo que al régimen de inhabilidades e incompatibilidades respecta, se reitera que este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524E3FF0" w14:textId="77777777" w:rsidR="00CC4978" w:rsidRPr="00D379B9" w:rsidRDefault="00CC4978" w:rsidP="00A33061">
      <w:pPr>
        <w:spacing w:after="0" w:line="276" w:lineRule="auto"/>
        <w:jc w:val="both"/>
        <w:rPr>
          <w:rFonts w:ascii="Arial" w:eastAsia="Calibri" w:hAnsi="Arial" w:cs="Arial"/>
          <w:b/>
          <w:bCs/>
          <w:color w:val="000000"/>
          <w:szCs w:val="24"/>
          <w:lang w:val="es-ES_tradnl" w:eastAsia="es-ES_tradnl"/>
        </w:rPr>
      </w:pPr>
    </w:p>
    <w:p w14:paraId="112894BE" w14:textId="77777777" w:rsidR="00CB683F" w:rsidRPr="00D56F57" w:rsidRDefault="00CB683F" w:rsidP="00CB683F">
      <w:pPr>
        <w:widowControl w:val="0"/>
        <w:autoSpaceDE w:val="0"/>
        <w:autoSpaceDN w:val="0"/>
        <w:spacing w:after="0" w:line="278" w:lineRule="auto"/>
        <w:ind w:right="49"/>
        <w:jc w:val="both"/>
        <w:rPr>
          <w:rFonts w:ascii="Arial" w:eastAsia="Arial" w:hAnsi="Arial" w:cs="Arial"/>
          <w:b/>
          <w:bCs/>
          <w:lang w:val="es-ES" w:eastAsia="es-ES" w:bidi="es-ES"/>
        </w:rPr>
      </w:pPr>
      <w:r w:rsidRPr="009A715C">
        <w:rPr>
          <w:rFonts w:ascii="Arial" w:eastAsia="Arial" w:hAnsi="Arial" w:cs="Arial"/>
          <w:b/>
          <w:bCs/>
          <w:lang w:val="es-ES" w:eastAsia="es-ES" w:bidi="es-ES"/>
        </w:rPr>
        <w:lastRenderedPageBreak/>
        <w:t>2.2. Reporte, registro y publicación de multas, sanciones e inhabilidades en el RUP</w:t>
      </w:r>
      <w:r>
        <w:rPr>
          <w:rFonts w:ascii="Arial" w:eastAsia="Arial" w:hAnsi="Arial" w:cs="Arial"/>
          <w:b/>
          <w:bCs/>
          <w:lang w:val="es-ES" w:eastAsia="es-ES" w:bidi="es-ES"/>
        </w:rPr>
        <w:t xml:space="preserve"> </w:t>
      </w:r>
    </w:p>
    <w:p w14:paraId="5CDEEFC0" w14:textId="77777777" w:rsidR="00CB683F" w:rsidRPr="00D56F57" w:rsidRDefault="00CB683F" w:rsidP="00CB683F">
      <w:pPr>
        <w:widowControl w:val="0"/>
        <w:autoSpaceDE w:val="0"/>
        <w:autoSpaceDN w:val="0"/>
        <w:spacing w:after="0" w:line="278" w:lineRule="auto"/>
        <w:ind w:right="49"/>
        <w:jc w:val="both"/>
        <w:rPr>
          <w:rFonts w:ascii="Arial" w:eastAsia="Arial" w:hAnsi="Arial" w:cs="Arial"/>
          <w:b/>
          <w:bCs/>
          <w:lang w:val="es-ES" w:eastAsia="es-ES" w:bidi="es-ES"/>
        </w:rPr>
      </w:pPr>
    </w:p>
    <w:p w14:paraId="6FA07176" w14:textId="77777777" w:rsidR="00CB683F" w:rsidRPr="00D56F57" w:rsidRDefault="00CB683F" w:rsidP="00CB683F">
      <w:pPr>
        <w:spacing w:after="120" w:line="276" w:lineRule="auto"/>
        <w:jc w:val="both"/>
        <w:rPr>
          <w:rFonts w:ascii="Arial" w:eastAsia="Calibri" w:hAnsi="Arial" w:cs="Arial"/>
          <w:lang w:val="es-MX"/>
        </w:rPr>
      </w:pPr>
      <w:r w:rsidRPr="00D56F57">
        <w:rPr>
          <w:rFonts w:ascii="Arial" w:eastAsia="Calibri" w:hAnsi="Arial" w:cs="Arial"/>
          <w:lang w:val="es-MX"/>
        </w:rPr>
        <w:t xml:space="preserve">El artículo 6.2 de la Ley 1150 de 2007 obliga a las entidades públicas a reportar a la Cámara de Comercio correspondiente la información sobre contratos, </w:t>
      </w:r>
      <w:r w:rsidRPr="00C978A7">
        <w:rPr>
          <w:rFonts w:ascii="Arial" w:eastAsia="Calibri" w:hAnsi="Arial" w:cs="Arial"/>
          <w:u w:val="single"/>
          <w:lang w:val="es-MX"/>
        </w:rPr>
        <w:t>multas y sanciones</w:t>
      </w:r>
      <w:r w:rsidRPr="00D56F57">
        <w:rPr>
          <w:rFonts w:ascii="Arial" w:eastAsia="Calibri" w:hAnsi="Arial" w:cs="Arial"/>
          <w:vertAlign w:val="superscript"/>
          <w:lang w:val="es-MX"/>
        </w:rPr>
        <w:footnoteReference w:id="16"/>
      </w:r>
      <w:r w:rsidRPr="00D56F57">
        <w:rPr>
          <w:rFonts w:ascii="Arial" w:eastAsia="Calibri" w:hAnsi="Arial" w:cs="Arial"/>
          <w:lang w:val="es-MX"/>
        </w:rPr>
        <w:t>.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Pr="00D56F57">
        <w:rPr>
          <w:rFonts w:ascii="Arial" w:eastAsia="Calibri" w:hAnsi="Arial" w:cs="Arial"/>
          <w:vertAlign w:val="superscript"/>
          <w:lang w:val="es-MX"/>
        </w:rPr>
        <w:footnoteReference w:id="17"/>
      </w:r>
      <w:r w:rsidRPr="00D56F57">
        <w:rPr>
          <w:rFonts w:ascii="Arial" w:eastAsia="Calibri" w:hAnsi="Arial" w:cs="Arial"/>
          <w:lang w:val="es-MX"/>
        </w:rPr>
        <w:t xml:space="preserve">. </w:t>
      </w:r>
    </w:p>
    <w:p w14:paraId="792DBE77" w14:textId="77777777" w:rsidR="00CB683F" w:rsidRPr="00D56F57" w:rsidRDefault="00CB683F" w:rsidP="00CB683F">
      <w:pPr>
        <w:spacing w:after="120" w:line="276" w:lineRule="auto"/>
        <w:ind w:firstLine="708"/>
        <w:jc w:val="both"/>
        <w:rPr>
          <w:rFonts w:ascii="Arial" w:eastAsia="Calibri" w:hAnsi="Arial" w:cs="Arial"/>
          <w:lang w:val="es-MX"/>
        </w:rPr>
      </w:pPr>
      <w:r w:rsidRPr="00D56F57">
        <w:rPr>
          <w:rFonts w:ascii="Arial" w:eastAsia="Calibri" w:hAnsi="Arial" w:cs="Arial"/>
          <w:lang w:val="es-MX"/>
        </w:rPr>
        <w:t>En la Ley 80 de 1993 se observa la voluntad del legislador de divulgar el comportamiento contractual de los participantes en el sistema de compras públicas. En este contexto, el artículo 6.2 de la Ley 1150 de 2007 constituye un desarrollo material de los principios aplicables a las actuaciones contractuales en los términos del artículo 23 del Estatuto General de Contratación de la Administración Pública</w:t>
      </w:r>
      <w:r w:rsidRPr="00D56F57">
        <w:rPr>
          <w:rFonts w:ascii="Arial" w:eastAsia="Calibri" w:hAnsi="Arial" w:cs="Arial"/>
          <w:vertAlign w:val="superscript"/>
          <w:lang w:val="es-MX"/>
        </w:rPr>
        <w:footnoteReference w:id="18"/>
      </w:r>
      <w:r w:rsidRPr="00D56F57">
        <w:rPr>
          <w:rFonts w:ascii="Arial" w:eastAsia="Calibri" w:hAnsi="Arial" w:cs="Arial"/>
          <w:lang w:val="es-MX"/>
        </w:rPr>
        <w:t xml:space="preserve">. Entre otros, la Ley 80 de 1993 concreta el </w:t>
      </w:r>
      <w:r w:rsidRPr="00C978A7">
        <w:rPr>
          <w:rFonts w:ascii="Arial" w:eastAsia="Calibri" w:hAnsi="Arial" w:cs="Arial"/>
          <w:u w:val="single"/>
          <w:lang w:val="es-MX"/>
        </w:rPr>
        <w:t>principio de transparencia de la actividad contractual</w:t>
      </w:r>
      <w:r w:rsidRPr="00D56F57">
        <w:rPr>
          <w:rFonts w:ascii="Arial" w:eastAsia="Calibri" w:hAnsi="Arial" w:cs="Arial"/>
          <w:lang w:val="es-MX"/>
        </w:rPr>
        <w:t xml:space="preserve">, objeto de regulación expresa en el artículo 24 </w:t>
      </w:r>
      <w:r w:rsidRPr="00D56F57">
        <w:rPr>
          <w:rFonts w:ascii="Arial" w:eastAsia="Calibri" w:hAnsi="Arial" w:cs="Arial"/>
          <w:i/>
          <w:iCs/>
          <w:lang w:val="es-MX"/>
        </w:rPr>
        <w:t>ibidem</w:t>
      </w:r>
      <w:r w:rsidRPr="00D56F57">
        <w:rPr>
          <w:rFonts w:ascii="Arial" w:eastAsia="Calibri" w:hAnsi="Arial" w:cs="Arial"/>
          <w:lang w:val="es-MX"/>
        </w:rPr>
        <w:t xml:space="preserve">, que guarda estrecha relación con el de </w:t>
      </w:r>
      <w:r w:rsidRPr="00C978A7">
        <w:rPr>
          <w:rFonts w:ascii="Arial" w:eastAsia="Calibri" w:hAnsi="Arial" w:cs="Arial"/>
          <w:u w:val="single"/>
          <w:lang w:val="es-MX"/>
        </w:rPr>
        <w:t>publicidad</w:t>
      </w:r>
      <w:r w:rsidRPr="00D56F57">
        <w:rPr>
          <w:rFonts w:ascii="Arial" w:eastAsia="Calibri" w:hAnsi="Arial" w:cs="Arial"/>
          <w:lang w:val="es-MX"/>
        </w:rPr>
        <w:t xml:space="preserve">, el cual rige el ejercicio de la función administrativa, según el artículo 209 de la Constitución Política.  </w:t>
      </w:r>
    </w:p>
    <w:p w14:paraId="6AF0CC25" w14:textId="77777777" w:rsidR="00CB683F" w:rsidRDefault="00CB683F" w:rsidP="00CB683F">
      <w:pPr>
        <w:spacing w:after="120" w:line="276" w:lineRule="auto"/>
        <w:ind w:firstLine="708"/>
        <w:jc w:val="both"/>
        <w:rPr>
          <w:rFonts w:ascii="Arial" w:eastAsia="Calibri" w:hAnsi="Arial" w:cs="Arial"/>
          <w:lang w:val="es-MX"/>
        </w:rPr>
      </w:pPr>
      <w:r w:rsidRPr="00D56F57">
        <w:rPr>
          <w:rFonts w:ascii="Arial" w:eastAsia="Calibri" w:hAnsi="Arial" w:cs="Arial"/>
          <w:lang w:val="es-MX"/>
        </w:rPr>
        <w:t>Ahora bie</w:t>
      </w:r>
      <w:r>
        <w:rPr>
          <w:rFonts w:ascii="Arial" w:eastAsia="Calibri" w:hAnsi="Arial" w:cs="Arial"/>
          <w:lang w:val="es-MX"/>
        </w:rPr>
        <w:t>n</w:t>
      </w:r>
      <w:r w:rsidRPr="00D56F57">
        <w:rPr>
          <w:rFonts w:ascii="Arial" w:eastAsia="Calibri" w:hAnsi="Arial" w:cs="Arial"/>
          <w:lang w:val="es-MX"/>
        </w:rPr>
        <w:t xml:space="preserve">, el numeral 6.2. de la Ley 1150 de 2007 estableció la información que deberá registrarse en el Registro Único de Proponentes, precisando que </w:t>
      </w:r>
      <w:r>
        <w:rPr>
          <w:rFonts w:ascii="Arial" w:eastAsia="Calibri" w:hAnsi="Arial" w:cs="Arial"/>
          <w:lang w:val="es-MX"/>
        </w:rPr>
        <w:t>“</w:t>
      </w:r>
      <w:r w:rsidRPr="00D56F57">
        <w:rPr>
          <w:rFonts w:ascii="Arial" w:eastAsia="Calibri" w:hAnsi="Arial" w:cs="Arial"/>
        </w:rPr>
        <w:t xml:space="preserve">Las entidades estatales enviarán mensualmente a la Cámara de Comercio de su domicilio, la información concerniente a los contratos, su cuantía, cumplimiento, </w:t>
      </w:r>
      <w:r w:rsidRPr="00D56F57">
        <w:rPr>
          <w:rFonts w:ascii="Arial" w:eastAsia="Calibri" w:hAnsi="Arial" w:cs="Arial"/>
          <w:i/>
          <w:iCs/>
        </w:rPr>
        <w:t>multas y sanciones</w:t>
      </w:r>
      <w:r w:rsidRPr="00D56F57">
        <w:rPr>
          <w:rFonts w:ascii="Arial" w:eastAsia="Calibri" w:hAnsi="Arial" w:cs="Arial"/>
        </w:rPr>
        <w:t xml:space="preserve"> relacionadas con los contratos que hayan sido adjudicados, los que se encuentren en ejecución y los ejecutados</w:t>
      </w:r>
      <w:r>
        <w:rPr>
          <w:rFonts w:ascii="Arial" w:eastAsia="Calibri" w:hAnsi="Arial" w:cs="Arial"/>
        </w:rPr>
        <w:t>”</w:t>
      </w:r>
      <w:r w:rsidRPr="00D56F57">
        <w:rPr>
          <w:rFonts w:ascii="Arial" w:eastAsia="Calibri" w:hAnsi="Arial" w:cs="Arial"/>
        </w:rPr>
        <w:t xml:space="preserve"> (Énfasis fuera de texto)</w:t>
      </w:r>
      <w:r w:rsidRPr="00D56F57">
        <w:rPr>
          <w:rFonts w:ascii="Arial" w:eastAsia="Calibri" w:hAnsi="Arial" w:cs="Arial"/>
          <w:lang w:val="es-MX"/>
        </w:rPr>
        <w:t xml:space="preserve">. </w:t>
      </w:r>
    </w:p>
    <w:p w14:paraId="32D49D74" w14:textId="77777777" w:rsidR="00CB683F" w:rsidRPr="00D56F57" w:rsidRDefault="00CB683F" w:rsidP="00CB683F">
      <w:pPr>
        <w:spacing w:after="0" w:line="276" w:lineRule="auto"/>
        <w:ind w:firstLine="708"/>
        <w:jc w:val="both"/>
        <w:rPr>
          <w:rFonts w:ascii="Arial" w:eastAsia="Calibri" w:hAnsi="Arial" w:cs="Arial"/>
          <w:iCs/>
          <w:lang w:val="es-MX"/>
        </w:rPr>
      </w:pPr>
      <w:r>
        <w:rPr>
          <w:rFonts w:ascii="Arial" w:eastAsia="Calibri" w:hAnsi="Arial" w:cs="Arial"/>
          <w:iCs/>
          <w:lang w:val="es-MX"/>
        </w:rPr>
        <w:t xml:space="preserve">Asimismo, </w:t>
      </w:r>
      <w:r w:rsidRPr="00D56F57">
        <w:rPr>
          <w:rFonts w:ascii="Arial" w:eastAsia="Calibri" w:hAnsi="Arial" w:cs="Arial"/>
          <w:iCs/>
          <w:lang w:val="es-MX"/>
        </w:rPr>
        <w:t xml:space="preserve">consagró una atribución reglamentaria sobre el tema. Para estos efectos dispuso que </w:t>
      </w:r>
      <w:r>
        <w:rPr>
          <w:rFonts w:ascii="Arial" w:eastAsia="Calibri" w:hAnsi="Arial" w:cs="Arial"/>
          <w:iCs/>
          <w:lang w:val="es-MX"/>
        </w:rPr>
        <w:t>“</w:t>
      </w:r>
      <w:r w:rsidRPr="00D56F57">
        <w:rPr>
          <w:rFonts w:ascii="Arial" w:eastAsia="Calibri" w:hAnsi="Arial" w:cs="Arial"/>
          <w:iCs/>
          <w:lang w:val="es-MX"/>
        </w:rPr>
        <w:t xml:space="preserve">Las condiciones de remisión de la información y los plazos de permanencia de la </w:t>
      </w:r>
      <w:r w:rsidRPr="00D56F57">
        <w:rPr>
          <w:rFonts w:ascii="Arial" w:eastAsia="Calibri" w:hAnsi="Arial" w:cs="Arial"/>
          <w:iCs/>
          <w:lang w:val="es-MX"/>
        </w:rPr>
        <w:lastRenderedPageBreak/>
        <w:t>misma en el registro serán señalados por el Gobierno Nacional</w:t>
      </w:r>
      <w:r>
        <w:rPr>
          <w:rFonts w:ascii="Arial" w:eastAsia="Calibri" w:hAnsi="Arial" w:cs="Arial"/>
          <w:iCs/>
          <w:lang w:val="es-MX"/>
        </w:rPr>
        <w:t>”</w:t>
      </w:r>
      <w:r w:rsidRPr="00D56F57">
        <w:rPr>
          <w:rFonts w:ascii="Arial" w:eastAsia="Calibri" w:hAnsi="Arial" w:cs="Arial"/>
          <w:iCs/>
          <w:lang w:val="es-MX"/>
        </w:rPr>
        <w:t>. Actualmente, este mandato se desarrolla en el artículo 14 del Decreto 1510 de 17 de julio de 2013, compilado posteriormente en el artículo 2.2.1.1.1.5.7 del Decreto 1082 de 2015</w:t>
      </w:r>
      <w:r>
        <w:rPr>
          <w:rFonts w:ascii="Arial" w:eastAsia="Calibri" w:hAnsi="Arial" w:cs="Arial"/>
          <w:iCs/>
          <w:lang w:val="es-MX"/>
        </w:rPr>
        <w:t>, que</w:t>
      </w:r>
      <w:r w:rsidRPr="00D56F57">
        <w:rPr>
          <w:rFonts w:ascii="Arial" w:eastAsia="Calibri" w:hAnsi="Arial" w:cs="Arial"/>
          <w:iCs/>
          <w:lang w:val="es-MX"/>
        </w:rPr>
        <w:t xml:space="preserve"> dispone lo siguiente: </w:t>
      </w:r>
    </w:p>
    <w:p w14:paraId="21A94847" w14:textId="77777777" w:rsidR="00CB683F" w:rsidRPr="00D56F57" w:rsidRDefault="00CB683F" w:rsidP="00CB683F">
      <w:pPr>
        <w:spacing w:after="0" w:line="276" w:lineRule="auto"/>
        <w:ind w:firstLine="708"/>
        <w:jc w:val="both"/>
        <w:rPr>
          <w:rFonts w:ascii="Arial" w:eastAsia="Calibri" w:hAnsi="Arial" w:cs="Arial"/>
          <w:iCs/>
          <w:lang w:val="es-MX"/>
        </w:rPr>
      </w:pPr>
    </w:p>
    <w:p w14:paraId="76469D29" w14:textId="77777777" w:rsidR="00CB683F" w:rsidRDefault="00CB683F" w:rsidP="00CB683F">
      <w:pPr>
        <w:spacing w:after="120" w:line="240" w:lineRule="auto"/>
        <w:ind w:left="709" w:right="709"/>
        <w:contextualSpacing/>
        <w:jc w:val="both"/>
        <w:rPr>
          <w:rFonts w:ascii="Arial" w:eastAsia="Calibri" w:hAnsi="Arial" w:cs="Arial"/>
          <w:sz w:val="21"/>
          <w:szCs w:val="21"/>
          <w:lang w:val="es-MX"/>
        </w:rPr>
      </w:pPr>
      <w:r>
        <w:rPr>
          <w:rFonts w:ascii="Arial" w:eastAsia="Calibri" w:hAnsi="Arial" w:cs="Arial"/>
          <w:sz w:val="21"/>
          <w:szCs w:val="21"/>
          <w:lang w:val="es-MX"/>
        </w:rPr>
        <w:t>“</w:t>
      </w:r>
      <w:r w:rsidRPr="00D56F57">
        <w:rPr>
          <w:rFonts w:ascii="Arial" w:eastAsia="Calibri" w:hAnsi="Arial" w:cs="Arial"/>
          <w:sz w:val="21"/>
          <w:szCs w:val="21"/>
          <w:lang w:val="es-MX"/>
        </w:rPr>
        <w:t>Las Entidades Estatales deben enviar mensualmente a las cámaras de comercio de su domicilio, copia de los actos administrativos en firme,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certificado del RUP por el término de la sanción o de la inhabilidad. La información relativa a multas debe permanecer en el certificado del RUP por un año, contado a partir de la publicación de la misma.</w:t>
      </w:r>
    </w:p>
    <w:p w14:paraId="0E083824" w14:textId="77777777" w:rsidR="00CB683F" w:rsidRPr="00947E64" w:rsidRDefault="00CB683F" w:rsidP="00CB683F">
      <w:pPr>
        <w:spacing w:after="120" w:line="240" w:lineRule="auto"/>
        <w:ind w:left="709" w:right="709"/>
        <w:contextualSpacing/>
        <w:jc w:val="both"/>
        <w:rPr>
          <w:rFonts w:ascii="Arial" w:eastAsia="Calibri" w:hAnsi="Arial" w:cs="Arial"/>
          <w:sz w:val="12"/>
          <w:szCs w:val="12"/>
          <w:lang w:val="es-MX"/>
        </w:rPr>
      </w:pPr>
    </w:p>
    <w:p w14:paraId="6C5E757F" w14:textId="77777777" w:rsidR="00CB683F" w:rsidRPr="00D56F57" w:rsidRDefault="00CB683F" w:rsidP="00CB683F">
      <w:pPr>
        <w:spacing w:after="0" w:line="240" w:lineRule="auto"/>
        <w:ind w:left="709" w:right="709"/>
        <w:contextualSpacing/>
        <w:jc w:val="both"/>
        <w:rPr>
          <w:rFonts w:ascii="Arial" w:eastAsia="Calibri" w:hAnsi="Arial" w:cs="Arial"/>
          <w:sz w:val="21"/>
          <w:szCs w:val="21"/>
          <w:lang w:val="es-MX"/>
        </w:rPr>
      </w:pPr>
      <w:r w:rsidRPr="00D56F57">
        <w:rPr>
          <w:rFonts w:ascii="Arial" w:eastAsia="Calibri" w:hAnsi="Arial" w:cs="Arial"/>
          <w:sz w:val="21"/>
          <w:szCs w:val="21"/>
          <w:lang w:val="es-MX"/>
        </w:rPr>
        <w:t>Las cámaras de comercio deben tener un mecanismo de interoperabilidad con el SECOP para el registro de la información de que trata el presente artículo</w:t>
      </w:r>
      <w:r>
        <w:rPr>
          <w:rFonts w:ascii="Arial" w:eastAsia="Calibri" w:hAnsi="Arial" w:cs="Arial"/>
          <w:sz w:val="21"/>
          <w:szCs w:val="21"/>
          <w:lang w:val="es-MX"/>
        </w:rPr>
        <w:t>”</w:t>
      </w:r>
      <w:r w:rsidRPr="00D56F57">
        <w:rPr>
          <w:rFonts w:ascii="Arial" w:eastAsia="Calibri" w:hAnsi="Arial" w:cs="Arial"/>
          <w:sz w:val="21"/>
          <w:szCs w:val="21"/>
          <w:lang w:val="es-MX"/>
        </w:rPr>
        <w:t>.</w:t>
      </w:r>
    </w:p>
    <w:p w14:paraId="7ECE80B8" w14:textId="77777777" w:rsidR="00CB683F" w:rsidRPr="00D56F57" w:rsidRDefault="00CB683F" w:rsidP="00CB683F">
      <w:pPr>
        <w:spacing w:after="0" w:line="276" w:lineRule="auto"/>
        <w:ind w:firstLine="708"/>
        <w:jc w:val="both"/>
        <w:rPr>
          <w:rFonts w:ascii="Arial" w:eastAsia="Calibri" w:hAnsi="Arial" w:cs="Arial"/>
          <w:iCs/>
          <w:lang w:val="es-MX"/>
        </w:rPr>
      </w:pPr>
    </w:p>
    <w:p w14:paraId="532D0F26" w14:textId="77777777" w:rsidR="00CB683F" w:rsidRPr="003503FE" w:rsidRDefault="00CB683F" w:rsidP="00CB683F">
      <w:pPr>
        <w:spacing w:after="120" w:line="276" w:lineRule="auto"/>
        <w:ind w:firstLine="708"/>
        <w:jc w:val="both"/>
        <w:rPr>
          <w:rFonts w:ascii="Arial" w:eastAsia="Calibri" w:hAnsi="Arial" w:cs="Arial"/>
          <w:iCs/>
          <w:lang w:val="es-MX"/>
        </w:rPr>
      </w:pPr>
      <w:bookmarkStart w:id="5" w:name="_Hlk143806731"/>
      <w:r w:rsidRPr="003503FE">
        <w:rPr>
          <w:rFonts w:ascii="Arial" w:eastAsia="Calibri" w:hAnsi="Arial" w:cs="Arial"/>
          <w:iCs/>
          <w:lang w:val="es-MX"/>
        </w:rPr>
        <w:t xml:space="preserve">La norma precisa los elementos para cumplir con el artículo 6.2. de la Ley 1150 de 2007, los cuales se concretan en los siguientes tres (3) puntos: i) </w:t>
      </w:r>
      <w:r w:rsidRPr="003503FE">
        <w:rPr>
          <w:rFonts w:ascii="Arial" w:eastAsia="Calibri" w:hAnsi="Arial" w:cs="Arial"/>
          <w:i/>
          <w:lang w:val="es-MX"/>
        </w:rPr>
        <w:t>reporte</w:t>
      </w:r>
      <w:r w:rsidRPr="003503FE">
        <w:rPr>
          <w:rFonts w:ascii="Arial" w:eastAsia="Calibri" w:hAnsi="Arial" w:cs="Arial"/>
          <w:iCs/>
          <w:lang w:val="es-MX"/>
        </w:rPr>
        <w:t xml:space="preserve"> de las multas y sanciones por parte de las entidades estatales, ii) </w:t>
      </w:r>
      <w:r w:rsidRPr="003503FE">
        <w:rPr>
          <w:rFonts w:ascii="Arial" w:eastAsia="Calibri" w:hAnsi="Arial" w:cs="Arial"/>
          <w:i/>
          <w:lang w:val="es-MX"/>
        </w:rPr>
        <w:t>registro</w:t>
      </w:r>
      <w:r w:rsidRPr="003503FE">
        <w:rPr>
          <w:rFonts w:ascii="Arial" w:eastAsia="Calibri" w:hAnsi="Arial" w:cs="Arial"/>
          <w:iCs/>
          <w:lang w:val="es-MX"/>
        </w:rPr>
        <w:t xml:space="preserve"> de las multas y sanciones en el RUP por parte de las Cámaras de Comercio y iii) </w:t>
      </w:r>
      <w:r w:rsidRPr="003503FE">
        <w:rPr>
          <w:rFonts w:ascii="Arial" w:eastAsia="Calibri" w:hAnsi="Arial" w:cs="Arial"/>
          <w:i/>
          <w:lang w:val="es-MX"/>
        </w:rPr>
        <w:t xml:space="preserve">término de permanencia </w:t>
      </w:r>
      <w:r w:rsidRPr="003503FE">
        <w:rPr>
          <w:rFonts w:ascii="Arial" w:eastAsia="Calibri" w:hAnsi="Arial" w:cs="Arial"/>
          <w:iCs/>
          <w:lang w:val="es-MX"/>
        </w:rPr>
        <w:t xml:space="preserve">de las anotaciones en el registro. En relación con el </w:t>
      </w:r>
      <w:r w:rsidRPr="003503FE">
        <w:rPr>
          <w:rFonts w:ascii="Arial" w:eastAsia="Calibri" w:hAnsi="Arial" w:cs="Arial"/>
          <w:i/>
          <w:lang w:val="es-MX"/>
        </w:rPr>
        <w:t>reporte</w:t>
      </w:r>
      <w:r w:rsidRPr="003503FE">
        <w:rPr>
          <w:rFonts w:ascii="Arial" w:eastAsia="Calibri" w:hAnsi="Arial" w:cs="Arial"/>
          <w:iCs/>
          <w:lang w:val="es-MX"/>
        </w:rPr>
        <w:t xml:space="preserv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w:t>
      </w:r>
      <w:r w:rsidRPr="003503FE">
        <w:rPr>
          <w:rFonts w:ascii="Arial" w:eastAsia="Calibri" w:hAnsi="Arial" w:cs="Arial"/>
          <w:i/>
          <w:lang w:val="es-MX"/>
        </w:rPr>
        <w:t>registro</w:t>
      </w:r>
      <w:r w:rsidRPr="003503FE">
        <w:rPr>
          <w:rFonts w:ascii="Arial" w:eastAsia="Calibri" w:hAnsi="Arial" w:cs="Arial"/>
          <w:iCs/>
          <w:lang w:val="es-MX"/>
        </w:rPr>
        <w:t xml:space="preserve">¸ la disposición estableció la obligación a las cámaras de comercio de </w:t>
      </w:r>
      <w:r w:rsidRPr="00C978A7">
        <w:rPr>
          <w:rFonts w:ascii="Arial" w:eastAsia="Calibri" w:hAnsi="Arial" w:cs="Arial"/>
          <w:iCs/>
          <w:u w:val="single"/>
          <w:lang w:val="es-MX"/>
        </w:rPr>
        <w:t>registrar las sanciones e inhabilidades</w:t>
      </w:r>
      <w:r w:rsidRPr="003503FE">
        <w:rPr>
          <w:rFonts w:ascii="Arial" w:eastAsia="Calibri" w:hAnsi="Arial" w:cs="Arial"/>
          <w:iCs/>
          <w:lang w:val="es-MX"/>
        </w:rPr>
        <w:t xml:space="preserve"> remitidas por las entidades estatales en el RUP, con el propósito de concretar aspectos de publicidad y transparencia en la actividad contractual. Finalmente, en relación con el </w:t>
      </w:r>
      <w:r w:rsidRPr="003503FE">
        <w:rPr>
          <w:rFonts w:ascii="Arial" w:eastAsia="Calibri" w:hAnsi="Arial" w:cs="Arial"/>
          <w:i/>
          <w:lang w:val="es-MX"/>
        </w:rPr>
        <w:t xml:space="preserve">término, </w:t>
      </w:r>
      <w:r w:rsidRPr="003503FE">
        <w:rPr>
          <w:rFonts w:ascii="Arial" w:eastAsia="Calibri" w:hAnsi="Arial" w:cs="Arial"/>
          <w:iCs/>
          <w:lang w:val="es-MX"/>
        </w:rPr>
        <w:t xml:space="preserve">es decir, el periodo en que debe constar la anotación correspondiente, la norma estableció que </w:t>
      </w:r>
      <w:r w:rsidRPr="00D459BD">
        <w:rPr>
          <w:rFonts w:ascii="Arial" w:eastAsia="Calibri" w:hAnsi="Arial" w:cs="Arial"/>
          <w:iCs/>
          <w:u w:val="single"/>
          <w:lang w:val="es-MX"/>
        </w:rPr>
        <w:t>las sanciones e inhabilidades permanecerán en el registro por el término de la sanción o inhabilidad</w:t>
      </w:r>
      <w:r w:rsidRPr="003503FE">
        <w:rPr>
          <w:rFonts w:ascii="Arial" w:eastAsia="Calibri" w:hAnsi="Arial" w:cs="Arial"/>
          <w:iCs/>
          <w:lang w:val="es-MX"/>
        </w:rPr>
        <w:t xml:space="preserve">, según el caso. Igualmente, estableció que, </w:t>
      </w:r>
      <w:r w:rsidRPr="00D459BD">
        <w:rPr>
          <w:rFonts w:ascii="Arial" w:eastAsia="Calibri" w:hAnsi="Arial" w:cs="Arial"/>
          <w:iCs/>
          <w:u w:val="single"/>
          <w:lang w:val="es-MX"/>
        </w:rPr>
        <w:t>en el caso de las multas, deberán permanecer por el término de un año, contado a partir de la publicación de la misma</w:t>
      </w:r>
      <w:r w:rsidRPr="003503FE">
        <w:rPr>
          <w:rFonts w:ascii="Arial" w:eastAsia="Calibri" w:hAnsi="Arial" w:cs="Arial"/>
          <w:iCs/>
          <w:lang w:val="es-MX"/>
        </w:rPr>
        <w:t>.</w:t>
      </w:r>
    </w:p>
    <w:bookmarkEnd w:id="5"/>
    <w:p w14:paraId="02AB0BD6" w14:textId="77777777" w:rsidR="00CB683F" w:rsidRPr="005C5841" w:rsidRDefault="00CB683F" w:rsidP="00CB683F">
      <w:pPr>
        <w:tabs>
          <w:tab w:val="left" w:pos="8789"/>
        </w:tabs>
        <w:spacing w:after="120" w:line="276" w:lineRule="auto"/>
        <w:ind w:firstLine="709"/>
        <w:jc w:val="both"/>
        <w:rPr>
          <w:rFonts w:ascii="Arial" w:hAnsi="Arial" w:cs="Arial"/>
        </w:rPr>
      </w:pPr>
      <w:r>
        <w:rPr>
          <w:rFonts w:ascii="Arial" w:hAnsi="Arial" w:cs="Arial"/>
        </w:rPr>
        <w:t>Ahora bien</w:t>
      </w:r>
      <w:r w:rsidRPr="005C5841">
        <w:rPr>
          <w:rFonts w:ascii="Arial" w:hAnsi="Arial" w:cs="Arial"/>
        </w:rPr>
        <w:t xml:space="preserve">, debe recordarse que el deber de reportar la información relativa a incumplimientos, sanciones e inhabilidades no solo se sustenta en dichas normas, sino también en lo establecido en el artículo 31 de la Ley 80 de 1993, modificado por el artículo 218 del Decreto ley 19 de 2012, que imponen no solo el deber de reportar la información a la cámara de comercio, sino también de publicar la información en el SECOP. De hecho, el artículo </w:t>
      </w:r>
      <w:r w:rsidRPr="005C5841">
        <w:rPr>
          <w:rFonts w:ascii="Arial" w:hAnsi="Arial" w:cs="Arial"/>
          <w:bCs/>
          <w:color w:val="000000" w:themeColor="text1"/>
        </w:rPr>
        <w:t xml:space="preserve">2.2.1.1.1.5.7 hace referencia al mecanismo de interoperabilidad para el registro de información entre RUP y SECOP. </w:t>
      </w:r>
    </w:p>
    <w:p w14:paraId="76F1BAD9" w14:textId="77777777" w:rsidR="00CB683F" w:rsidRPr="0008449E" w:rsidRDefault="00CB683F" w:rsidP="00CB683F">
      <w:pPr>
        <w:spacing w:before="120" w:line="276" w:lineRule="auto"/>
        <w:ind w:firstLine="708"/>
        <w:jc w:val="both"/>
        <w:rPr>
          <w:rFonts w:ascii="Arial" w:hAnsi="Arial" w:cs="Arial"/>
          <w:bCs/>
          <w:color w:val="000000" w:themeColor="text1"/>
        </w:rPr>
      </w:pPr>
      <w:r w:rsidRPr="005C5841">
        <w:rPr>
          <w:rFonts w:ascii="Arial" w:hAnsi="Arial" w:cs="Arial"/>
          <w:bCs/>
          <w:color w:val="000000" w:themeColor="text1"/>
        </w:rPr>
        <w:t xml:space="preserve">Conforme a lo anterior, el RUP no es el único mecanismo establecido en el Estatuto General de Contratación de la Administración Pública para dar publicidad a los incumplimientos, </w:t>
      </w:r>
      <w:r w:rsidRPr="005C5841">
        <w:rPr>
          <w:rFonts w:ascii="Arial" w:hAnsi="Arial" w:cs="Arial"/>
          <w:bCs/>
          <w:color w:val="000000" w:themeColor="text1"/>
        </w:rPr>
        <w:lastRenderedPageBreak/>
        <w:t xml:space="preserve">ni el único ante el que se debe reportar tal información por parte de las entidades estatales. </w:t>
      </w:r>
      <w:r w:rsidRPr="005C5841">
        <w:rPr>
          <w:rFonts w:ascii="Arial" w:hAnsi="Arial" w:cs="Arial"/>
        </w:rPr>
        <w:t xml:space="preserve">Esto </w:t>
      </w:r>
      <w:r>
        <w:rPr>
          <w:rFonts w:ascii="Arial" w:hAnsi="Arial" w:cs="Arial"/>
        </w:rPr>
        <w:t>dado</w:t>
      </w:r>
      <w:r w:rsidRPr="005C5841">
        <w:rPr>
          <w:rFonts w:ascii="Arial" w:hAnsi="Arial" w:cs="Arial"/>
        </w:rPr>
        <w:t xml:space="preserve"> que el SECOP también es un mecanismo que permite dar publicidad a los incumplimientos que se presenten en los Procesos de Contratación. De acuerdo con esto, </w:t>
      </w:r>
      <w:r w:rsidRPr="00FD11EE">
        <w:rPr>
          <w:rFonts w:ascii="Arial" w:hAnsi="Arial" w:cs="Arial"/>
          <w:u w:val="single"/>
        </w:rPr>
        <w:t>el SECOP brinda a las entidades estatales la posibilidad de publicar los actos administrativos que declaren la caducidad, impongan multas, sanciones o declaren el incumplimiento, una vez ejecutoriados</w:t>
      </w:r>
      <w:r w:rsidRPr="005C5841">
        <w:rPr>
          <w:rFonts w:ascii="Arial" w:hAnsi="Arial" w:cs="Arial"/>
        </w:rPr>
        <w:t xml:space="preserve">. Del mismo modo, </w:t>
      </w:r>
      <w:r w:rsidRPr="00FD11EE">
        <w:rPr>
          <w:rFonts w:ascii="Arial" w:hAnsi="Arial" w:cs="Arial"/>
          <w:bCs/>
          <w:color w:val="000000" w:themeColor="text1"/>
          <w:u w:val="single"/>
        </w:rPr>
        <w:t>en el SECOP II el expediente electrónico tiene una sección denominada “Incumplimientos”</w:t>
      </w:r>
      <w:r w:rsidRPr="0008449E">
        <w:rPr>
          <w:rFonts w:ascii="Arial" w:hAnsi="Arial" w:cs="Arial"/>
          <w:bCs/>
          <w:color w:val="000000" w:themeColor="text1"/>
        </w:rPr>
        <w:t xml:space="preserve"> dispuesta para que la entidad estatal registre las inhabilidades o sanciones impuestas al contratista con ocasión del respectivo contrato. De otra parte, la Procuraduría General de la Nación cuenta con el Sistema de Información de Registro de Sanciones y Causas de Inhabilidad SIRI</w:t>
      </w:r>
      <w:r w:rsidRPr="0008449E">
        <w:rPr>
          <w:rStyle w:val="Refdenotaalpie"/>
          <w:rFonts w:ascii="Arial" w:hAnsi="Arial" w:cs="Arial"/>
          <w:bCs/>
          <w:color w:val="000000" w:themeColor="text1"/>
        </w:rPr>
        <w:footnoteReference w:id="19"/>
      </w:r>
      <w:r w:rsidRPr="0008449E">
        <w:rPr>
          <w:rFonts w:ascii="Arial" w:hAnsi="Arial" w:cs="Arial"/>
          <w:bCs/>
          <w:color w:val="000000" w:themeColor="text1"/>
        </w:rPr>
        <w:t>, en el cual, registra las decisiones ejecutoriadas y notificadas remitidas por las autoridades competentes sobre inhabilidades provenientes de relaciones contractuales con el Estado, entre otras.</w:t>
      </w:r>
    </w:p>
    <w:p w14:paraId="329A1A2F" w14:textId="77777777" w:rsidR="00CB683F" w:rsidRDefault="00CB683F" w:rsidP="00CB683F">
      <w:pPr>
        <w:spacing w:before="120" w:after="0" w:line="276" w:lineRule="auto"/>
        <w:ind w:firstLine="708"/>
        <w:jc w:val="both"/>
        <w:rPr>
          <w:rFonts w:ascii="Arial" w:hAnsi="Arial" w:cs="Arial"/>
          <w:bCs/>
          <w:color w:val="000000" w:themeColor="text1"/>
        </w:rPr>
      </w:pPr>
      <w:r w:rsidRPr="0008449E">
        <w:rPr>
          <w:rFonts w:ascii="Arial" w:hAnsi="Arial" w:cs="Arial"/>
          <w:bCs/>
          <w:color w:val="000000" w:themeColor="text1"/>
        </w:rPr>
        <w:t xml:space="preserve">De acuerdo con lo expuesto, </w:t>
      </w:r>
      <w:r>
        <w:rPr>
          <w:rFonts w:ascii="Arial" w:hAnsi="Arial" w:cs="Arial"/>
          <w:bCs/>
          <w:color w:val="000000" w:themeColor="text1"/>
        </w:rPr>
        <w:t>el inciso primero del artículo</w:t>
      </w:r>
      <w:r w:rsidRPr="0008449E">
        <w:rPr>
          <w:rFonts w:ascii="Arial" w:hAnsi="Arial" w:cs="Arial"/>
          <w:bCs/>
          <w:color w:val="000000" w:themeColor="text1"/>
        </w:rPr>
        <w:t xml:space="preserve"> 6.2 de la Ley 1150 de 2007, </w:t>
      </w:r>
      <w:r>
        <w:rPr>
          <w:rFonts w:ascii="Arial" w:hAnsi="Arial" w:cs="Arial"/>
          <w:bCs/>
          <w:color w:val="000000" w:themeColor="text1"/>
        </w:rPr>
        <w:t xml:space="preserve">en congruencia con el aparte correspondiente al artículo </w:t>
      </w:r>
      <w:r w:rsidRPr="005C5841">
        <w:rPr>
          <w:rFonts w:ascii="Arial" w:hAnsi="Arial" w:cs="Arial"/>
          <w:bCs/>
          <w:color w:val="000000" w:themeColor="text1"/>
        </w:rPr>
        <w:t>2.2.1.1.1.5.7</w:t>
      </w:r>
      <w:r>
        <w:rPr>
          <w:rFonts w:ascii="Arial" w:hAnsi="Arial" w:cs="Arial"/>
          <w:bCs/>
          <w:color w:val="000000" w:themeColor="text1"/>
        </w:rPr>
        <w:t xml:space="preserve"> del Decreto 1082 de 2015, </w:t>
      </w:r>
      <w:r w:rsidRPr="0008449E">
        <w:rPr>
          <w:rFonts w:ascii="Arial" w:hAnsi="Arial" w:cs="Arial"/>
          <w:bCs/>
          <w:color w:val="000000" w:themeColor="text1"/>
        </w:rPr>
        <w:t xml:space="preserve">imponen a las entidades estatales el deber de </w:t>
      </w:r>
      <w:r w:rsidRPr="00F55779">
        <w:rPr>
          <w:rFonts w:ascii="Arial" w:hAnsi="Arial" w:cs="Arial"/>
          <w:bCs/>
          <w:i/>
          <w:iCs/>
          <w:color w:val="000000" w:themeColor="text1"/>
        </w:rPr>
        <w:t>reportar</w:t>
      </w:r>
      <w:r w:rsidRPr="0008449E">
        <w:rPr>
          <w:rFonts w:ascii="Arial" w:hAnsi="Arial" w:cs="Arial"/>
          <w:bCs/>
          <w:color w:val="000000" w:themeColor="text1"/>
        </w:rPr>
        <w:t xml:space="preserve"> a las cámaras de comercio la información relativa a los actos administrativos ejecutoriados expedidos con ocasión de incumplimientos presentados en el marco de los contratos estatales que celebran. De este deber no se encuentra excluida la información relativa </w:t>
      </w:r>
      <w:r w:rsidRPr="005C5841">
        <w:rPr>
          <w:rFonts w:ascii="Arial" w:hAnsi="Arial" w:cs="Arial"/>
          <w:bCs/>
          <w:color w:val="000000" w:themeColor="text1"/>
        </w:rPr>
        <w:t xml:space="preserve">a </w:t>
      </w:r>
      <w:r w:rsidRPr="0008449E">
        <w:rPr>
          <w:rFonts w:ascii="Arial" w:hAnsi="Arial" w:cs="Arial"/>
          <w:bCs/>
          <w:color w:val="000000" w:themeColor="text1"/>
        </w:rPr>
        <w:t xml:space="preserve">incumplimientos de contratistas </w:t>
      </w:r>
      <w:r>
        <w:rPr>
          <w:rFonts w:ascii="Arial" w:hAnsi="Arial" w:cs="Arial"/>
          <w:bCs/>
          <w:color w:val="000000" w:themeColor="text1"/>
        </w:rPr>
        <w:t>que carecen de calificación en el</w:t>
      </w:r>
      <w:r w:rsidRPr="0008449E">
        <w:rPr>
          <w:rFonts w:ascii="Arial" w:hAnsi="Arial" w:cs="Arial"/>
          <w:bCs/>
          <w:color w:val="000000" w:themeColor="text1"/>
        </w:rPr>
        <w:t xml:space="preserve"> RUP, como, por ejemplo, </w:t>
      </w:r>
      <w:r>
        <w:rPr>
          <w:rFonts w:ascii="Arial" w:hAnsi="Arial" w:cs="Arial"/>
        </w:rPr>
        <w:t xml:space="preserve">las </w:t>
      </w:r>
      <w:r w:rsidRPr="00AB316F">
        <w:rPr>
          <w:rFonts w:ascii="Arial" w:eastAsia="Calibri" w:hAnsi="Arial" w:cs="Arial"/>
        </w:rPr>
        <w:t xml:space="preserve">personas naturales extranjeras sin domicilio en el país o </w:t>
      </w:r>
      <w:r>
        <w:rPr>
          <w:rFonts w:ascii="Arial" w:eastAsia="Calibri" w:hAnsi="Arial" w:cs="Arial"/>
        </w:rPr>
        <w:t>las</w:t>
      </w:r>
      <w:r w:rsidRPr="00AB316F">
        <w:rPr>
          <w:rFonts w:ascii="Arial" w:eastAsia="Calibri" w:hAnsi="Arial" w:cs="Arial"/>
        </w:rPr>
        <w:t xml:space="preserve"> personas jurídicas extranjeras que no tengan sucursal en Colombia</w:t>
      </w:r>
      <w:r w:rsidRPr="0008449E">
        <w:rPr>
          <w:rFonts w:ascii="Arial" w:hAnsi="Arial" w:cs="Arial"/>
          <w:bCs/>
          <w:color w:val="000000" w:themeColor="text1"/>
        </w:rPr>
        <w:t xml:space="preserve">, </w:t>
      </w:r>
      <w:r>
        <w:rPr>
          <w:rFonts w:ascii="Arial" w:hAnsi="Arial" w:cs="Arial"/>
          <w:bCs/>
          <w:color w:val="000000" w:themeColor="text1"/>
        </w:rPr>
        <w:t xml:space="preserve">pues el solo </w:t>
      </w:r>
      <w:r w:rsidRPr="00F55779">
        <w:rPr>
          <w:rFonts w:ascii="Arial" w:hAnsi="Arial" w:cs="Arial"/>
          <w:bCs/>
          <w:i/>
          <w:iCs/>
          <w:color w:val="000000" w:themeColor="text1"/>
        </w:rPr>
        <w:t>reporte</w:t>
      </w:r>
      <w:r>
        <w:rPr>
          <w:rFonts w:ascii="Arial" w:hAnsi="Arial" w:cs="Arial"/>
          <w:bCs/>
          <w:color w:val="000000" w:themeColor="text1"/>
        </w:rPr>
        <w:t xml:space="preserve"> se realiza con independencia de que se encuentren o no en el registro, puesto que –sin perjuicio de del artículo 31 de la Ley 80 de 1993– las normas citadas no distinguen al respecto. No obstante, la posibilidad o no del </w:t>
      </w:r>
      <w:r w:rsidRPr="005968C0">
        <w:rPr>
          <w:rFonts w:ascii="Arial" w:hAnsi="Arial" w:cs="Arial"/>
          <w:bCs/>
          <w:i/>
          <w:iCs/>
          <w:color w:val="000000" w:themeColor="text1"/>
        </w:rPr>
        <w:t>registro</w:t>
      </w:r>
      <w:r>
        <w:rPr>
          <w:rFonts w:ascii="Arial" w:hAnsi="Arial" w:cs="Arial"/>
          <w:bCs/>
          <w:color w:val="000000" w:themeColor="text1"/>
        </w:rPr>
        <w:t xml:space="preserve"> en función de la inscripción previa guarda relación con la inhabilidad del artículo 90 de la Ley 1474 de 2011. Este aspecto se analizará en el siguiente acápite. </w:t>
      </w:r>
    </w:p>
    <w:p w14:paraId="5DD6FA6F" w14:textId="77777777" w:rsidR="00AF786E" w:rsidRDefault="00AF786E" w:rsidP="00A33061">
      <w:pPr>
        <w:spacing w:after="0" w:line="276" w:lineRule="auto"/>
        <w:jc w:val="both"/>
        <w:rPr>
          <w:rFonts w:ascii="Arial" w:eastAsia="Times New Roman" w:hAnsi="Arial" w:cs="Arial"/>
          <w:noProof/>
          <w:szCs w:val="24"/>
          <w:lang w:val="es-ES_tradnl" w:eastAsia="es-ES_tradnl"/>
        </w:rPr>
      </w:pPr>
    </w:p>
    <w:p w14:paraId="5702CFD8" w14:textId="77777777" w:rsidR="00DF028A" w:rsidRPr="00DF028A" w:rsidRDefault="00DF028A" w:rsidP="00DF028A">
      <w:pPr>
        <w:spacing w:after="0" w:line="276" w:lineRule="auto"/>
        <w:jc w:val="both"/>
        <w:rPr>
          <w:rFonts w:ascii="Arial" w:hAnsi="Arial" w:cs="Arial"/>
          <w:b/>
          <w:bCs/>
          <w:color w:val="000000" w:themeColor="text1"/>
          <w:lang w:val="es-ES_tradnl"/>
        </w:rPr>
      </w:pPr>
      <w:r w:rsidRPr="00DF028A">
        <w:rPr>
          <w:rFonts w:ascii="Arial" w:hAnsi="Arial" w:cs="Arial"/>
          <w:b/>
          <w:bCs/>
          <w:color w:val="000000" w:themeColor="text1"/>
          <w:lang w:val="es-ES_tradnl"/>
        </w:rPr>
        <w:t>2.3. Interpretación de la causal de inhabilidad por incumplimiento reiterado del artículo 90 de la Ley 1474 de 2011, modificado por las Leyes 1955 de 2019 y 2195 de 2022</w:t>
      </w:r>
    </w:p>
    <w:p w14:paraId="21EC877C" w14:textId="77777777" w:rsidR="00DF028A" w:rsidRPr="00DF028A" w:rsidRDefault="00DF028A" w:rsidP="00DF028A">
      <w:pPr>
        <w:spacing w:after="0" w:line="276" w:lineRule="auto"/>
        <w:jc w:val="both"/>
        <w:rPr>
          <w:rFonts w:ascii="Arial" w:eastAsia="Calibri" w:hAnsi="Arial" w:cs="Arial"/>
          <w:color w:val="000000" w:themeColor="text1"/>
          <w:lang w:val="es-ES_tradnl"/>
        </w:rPr>
      </w:pPr>
    </w:p>
    <w:p w14:paraId="0A1656C0" w14:textId="77777777" w:rsidR="00DF028A" w:rsidRPr="00DF028A" w:rsidRDefault="00DF028A" w:rsidP="00DF028A">
      <w:pPr>
        <w:widowControl w:val="0"/>
        <w:autoSpaceDE w:val="0"/>
        <w:autoSpaceDN w:val="0"/>
        <w:spacing w:after="120" w:line="276" w:lineRule="auto"/>
        <w:ind w:right="49"/>
        <w:jc w:val="both"/>
        <w:rPr>
          <w:rFonts w:ascii="Arial" w:eastAsia="Arial" w:hAnsi="Arial" w:cs="Arial"/>
          <w:color w:val="000000" w:themeColor="text1"/>
          <w:lang w:val="es-ES"/>
        </w:rPr>
      </w:pPr>
      <w:r w:rsidRPr="00DF028A">
        <w:rPr>
          <w:rFonts w:ascii="Arial" w:eastAsia="Arial" w:hAnsi="Arial" w:cs="Arial"/>
          <w:color w:val="000000" w:themeColor="text1"/>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Pr="00DF028A">
        <w:rPr>
          <w:rFonts w:ascii="Arial" w:eastAsia="Arial" w:hAnsi="Arial" w:cs="Arial"/>
          <w:color w:val="000000" w:themeColor="text1"/>
          <w:spacing w:val="34"/>
          <w:lang w:val="es-ES"/>
        </w:rPr>
        <w:t xml:space="preserve"> </w:t>
      </w:r>
      <w:r w:rsidRPr="00DF028A">
        <w:rPr>
          <w:rFonts w:ascii="Arial" w:eastAsia="Arial" w:hAnsi="Arial" w:cs="Arial"/>
          <w:color w:val="000000" w:themeColor="text1"/>
          <w:lang w:val="es-ES"/>
        </w:rPr>
        <w:t>más</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allá</w:t>
      </w:r>
      <w:r w:rsidRPr="00DF028A">
        <w:rPr>
          <w:rFonts w:ascii="Arial" w:eastAsia="Arial" w:hAnsi="Arial" w:cs="Arial"/>
          <w:color w:val="000000" w:themeColor="text1"/>
          <w:spacing w:val="33"/>
          <w:lang w:val="es-ES"/>
        </w:rPr>
        <w:t xml:space="preserve"> </w:t>
      </w:r>
      <w:r w:rsidRPr="00DF028A">
        <w:rPr>
          <w:rFonts w:ascii="Arial" w:eastAsia="Arial" w:hAnsi="Arial" w:cs="Arial"/>
          <w:color w:val="000000" w:themeColor="text1"/>
          <w:lang w:val="es-ES"/>
        </w:rPr>
        <w:t>del</w:t>
      </w:r>
      <w:r w:rsidRPr="00DF028A">
        <w:rPr>
          <w:rFonts w:ascii="Arial" w:eastAsia="Arial" w:hAnsi="Arial" w:cs="Arial"/>
          <w:color w:val="000000" w:themeColor="text1"/>
          <w:spacing w:val="32"/>
          <w:lang w:val="es-ES"/>
        </w:rPr>
        <w:t xml:space="preserve"> </w:t>
      </w:r>
      <w:r w:rsidRPr="00DF028A">
        <w:rPr>
          <w:rFonts w:ascii="Arial" w:eastAsia="Arial" w:hAnsi="Arial" w:cs="Arial"/>
          <w:color w:val="000000" w:themeColor="text1"/>
          <w:lang w:val="es-ES"/>
        </w:rPr>
        <w:t>marco</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del</w:t>
      </w:r>
      <w:r w:rsidRPr="00DF028A">
        <w:rPr>
          <w:rFonts w:ascii="Arial" w:eastAsia="Arial" w:hAnsi="Arial" w:cs="Arial"/>
          <w:color w:val="000000" w:themeColor="text1"/>
          <w:spacing w:val="34"/>
          <w:lang w:val="es-ES"/>
        </w:rPr>
        <w:t xml:space="preserve"> </w:t>
      </w:r>
      <w:r w:rsidRPr="00DF028A">
        <w:rPr>
          <w:rFonts w:ascii="Arial" w:eastAsia="Arial" w:hAnsi="Arial" w:cs="Arial"/>
          <w:color w:val="000000" w:themeColor="text1"/>
          <w:lang w:val="es-ES"/>
        </w:rPr>
        <w:t>contrato</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en</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el</w:t>
      </w:r>
      <w:r w:rsidRPr="00DF028A">
        <w:rPr>
          <w:rFonts w:ascii="Arial" w:eastAsia="Arial" w:hAnsi="Arial" w:cs="Arial"/>
          <w:color w:val="000000" w:themeColor="text1"/>
          <w:spacing w:val="34"/>
          <w:lang w:val="es-ES"/>
        </w:rPr>
        <w:t xml:space="preserve"> </w:t>
      </w:r>
      <w:r w:rsidRPr="00DF028A">
        <w:rPr>
          <w:rFonts w:ascii="Arial" w:eastAsia="Arial" w:hAnsi="Arial" w:cs="Arial"/>
          <w:color w:val="000000" w:themeColor="text1"/>
          <w:lang w:val="es-ES"/>
        </w:rPr>
        <w:t>que</w:t>
      </w:r>
      <w:r w:rsidRPr="00DF028A">
        <w:rPr>
          <w:rFonts w:ascii="Arial" w:eastAsia="Arial" w:hAnsi="Arial" w:cs="Arial"/>
          <w:color w:val="000000" w:themeColor="text1"/>
          <w:spacing w:val="33"/>
          <w:lang w:val="es-ES"/>
        </w:rPr>
        <w:t xml:space="preserve"> </w:t>
      </w:r>
      <w:r w:rsidRPr="00DF028A">
        <w:rPr>
          <w:rFonts w:ascii="Arial" w:eastAsia="Arial" w:hAnsi="Arial" w:cs="Arial"/>
          <w:color w:val="000000" w:themeColor="text1"/>
          <w:lang w:val="es-ES"/>
        </w:rPr>
        <w:t>fueron</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impuestas.</w:t>
      </w:r>
      <w:r w:rsidRPr="00DF028A">
        <w:rPr>
          <w:rFonts w:ascii="Arial" w:eastAsia="Arial" w:hAnsi="Arial" w:cs="Arial"/>
          <w:color w:val="000000" w:themeColor="text1"/>
          <w:spacing w:val="31"/>
          <w:lang w:val="es-ES"/>
        </w:rPr>
        <w:t xml:space="preserve"> </w:t>
      </w:r>
      <w:r w:rsidRPr="00DF028A">
        <w:rPr>
          <w:rFonts w:ascii="Arial" w:eastAsia="Arial" w:hAnsi="Arial" w:cs="Arial"/>
          <w:color w:val="000000" w:themeColor="text1"/>
          <w:lang w:val="es-ES"/>
        </w:rPr>
        <w:t>No</w:t>
      </w:r>
      <w:r w:rsidRPr="00DF028A">
        <w:rPr>
          <w:rFonts w:ascii="Arial" w:eastAsia="Arial" w:hAnsi="Arial" w:cs="Arial"/>
          <w:color w:val="000000" w:themeColor="text1"/>
          <w:spacing w:val="35"/>
          <w:lang w:val="es-ES"/>
        </w:rPr>
        <w:t xml:space="preserve"> </w:t>
      </w:r>
      <w:r w:rsidRPr="00DF028A">
        <w:rPr>
          <w:rFonts w:ascii="Arial" w:eastAsia="Arial" w:hAnsi="Arial" w:cs="Arial"/>
          <w:color w:val="000000" w:themeColor="text1"/>
          <w:lang w:val="es-ES"/>
        </w:rPr>
        <w:t xml:space="preserve">obstante, en aras de hacer prevalecer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160AA7CB" w14:textId="77777777" w:rsidR="00DF028A" w:rsidRPr="00DF028A" w:rsidRDefault="00DF028A" w:rsidP="00DF028A">
      <w:pPr>
        <w:widowControl w:val="0"/>
        <w:autoSpaceDE w:val="0"/>
        <w:autoSpaceDN w:val="0"/>
        <w:spacing w:after="0" w:line="276" w:lineRule="auto"/>
        <w:ind w:right="49" w:firstLine="708"/>
        <w:jc w:val="both"/>
        <w:rPr>
          <w:rFonts w:ascii="Arial" w:eastAsia="Arial" w:hAnsi="Arial" w:cs="Arial"/>
          <w:color w:val="000000" w:themeColor="text1"/>
          <w:lang w:val="es-ES"/>
        </w:rPr>
      </w:pPr>
      <w:r w:rsidRPr="00DF028A">
        <w:rPr>
          <w:rFonts w:ascii="Arial" w:eastAsia="Arial" w:hAnsi="Arial" w:cs="Arial"/>
          <w:color w:val="000000" w:themeColor="text1"/>
          <w:lang w:val="es-ES"/>
        </w:rPr>
        <w:lastRenderedPageBreak/>
        <w:t>En ese sentido, dentro del conjunto de medidas administrativas, fiscales y penales adoptadas por la Ley 1474 de 2011, conocida como Estatuto Anticorrupción, se incluyó la creación de una inhabilidad para contratar por el incumplimiento reiterado en la ejecución de otros contratos estatales. Conforme a esto, el artículo 90 de la Ley 1474 de 2011 estableció, originalmente, la inhabilidad de 3 años, que se configuraba bajo las siguientes tres (3) causales:</w:t>
      </w:r>
    </w:p>
    <w:p w14:paraId="31D3D862" w14:textId="77777777" w:rsidR="00DF028A" w:rsidRPr="00DF028A" w:rsidRDefault="00DF028A" w:rsidP="00DF028A">
      <w:pPr>
        <w:widowControl w:val="0"/>
        <w:autoSpaceDE w:val="0"/>
        <w:autoSpaceDN w:val="0"/>
        <w:spacing w:after="0" w:line="276" w:lineRule="auto"/>
        <w:ind w:right="105" w:firstLine="708"/>
        <w:jc w:val="both"/>
        <w:rPr>
          <w:rFonts w:ascii="Arial" w:eastAsia="Arial" w:hAnsi="Arial" w:cs="Arial"/>
          <w:color w:val="000000" w:themeColor="text1"/>
          <w:lang w:val="es-ES"/>
        </w:rPr>
      </w:pPr>
    </w:p>
    <w:p w14:paraId="272105F0"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 xml:space="preserve">“Artículo 90. Inhabilidad por incumplimiento reiterado. Quedará inhabilitado el contratista que incurra en alguna de las siguientes conductas:  </w:t>
      </w:r>
    </w:p>
    <w:p w14:paraId="38ED95F7" w14:textId="77777777" w:rsidR="00DF028A" w:rsidRPr="00DF028A" w:rsidRDefault="00DF028A" w:rsidP="00DF028A">
      <w:pPr>
        <w:widowControl w:val="0"/>
        <w:numPr>
          <w:ilvl w:val="2"/>
          <w:numId w:val="7"/>
        </w:numPr>
        <w:tabs>
          <w:tab w:val="left" w:pos="1078"/>
        </w:tabs>
        <w:autoSpaceDE w:val="0"/>
        <w:autoSpaceDN w:val="0"/>
        <w:spacing w:after="120" w:line="240" w:lineRule="auto"/>
        <w:ind w:left="709" w:right="709" w:firstLine="0"/>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Haber sido objeto de imposición de cinco (5) o más multas durante la ejecución de uno o varios contratos, durante una misma vigencia fiscal con una o varias entidades</w:t>
      </w:r>
      <w:r w:rsidRPr="00DF028A">
        <w:rPr>
          <w:rFonts w:ascii="Arial" w:eastAsia="Arial" w:hAnsi="Arial" w:cs="Arial"/>
          <w:color w:val="000000" w:themeColor="text1"/>
          <w:spacing w:val="-3"/>
          <w:sz w:val="21"/>
          <w:szCs w:val="21"/>
          <w:lang w:val="es-ES"/>
        </w:rPr>
        <w:t xml:space="preserve"> </w:t>
      </w:r>
      <w:r w:rsidRPr="00DF028A">
        <w:rPr>
          <w:rFonts w:ascii="Arial" w:eastAsia="Arial" w:hAnsi="Arial" w:cs="Arial"/>
          <w:color w:val="000000" w:themeColor="text1"/>
          <w:sz w:val="21"/>
          <w:szCs w:val="21"/>
          <w:lang w:val="es-ES"/>
        </w:rPr>
        <w:t>estatales;</w:t>
      </w:r>
    </w:p>
    <w:p w14:paraId="0D9EED0A" w14:textId="77777777" w:rsidR="00DF028A" w:rsidRPr="00DF028A" w:rsidRDefault="00DF028A" w:rsidP="00DF028A">
      <w:pPr>
        <w:widowControl w:val="0"/>
        <w:numPr>
          <w:ilvl w:val="2"/>
          <w:numId w:val="7"/>
        </w:numPr>
        <w:tabs>
          <w:tab w:val="left" w:pos="1118"/>
        </w:tabs>
        <w:autoSpaceDE w:val="0"/>
        <w:autoSpaceDN w:val="0"/>
        <w:spacing w:after="120" w:line="240" w:lineRule="auto"/>
        <w:ind w:left="709" w:right="709" w:firstLine="0"/>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Haber sido objeto de declaratorias de incumplimiento contractual en por los menos dos (2) contratos durante una misma vigencia fiscal, con una o varias entidades</w:t>
      </w:r>
      <w:r w:rsidRPr="00DF028A">
        <w:rPr>
          <w:rFonts w:ascii="Arial" w:eastAsia="Arial" w:hAnsi="Arial" w:cs="Arial"/>
          <w:color w:val="000000" w:themeColor="text1"/>
          <w:spacing w:val="-3"/>
          <w:sz w:val="21"/>
          <w:szCs w:val="21"/>
          <w:lang w:val="es-ES"/>
        </w:rPr>
        <w:t xml:space="preserve"> </w:t>
      </w:r>
      <w:r w:rsidRPr="00DF028A">
        <w:rPr>
          <w:rFonts w:ascii="Arial" w:eastAsia="Arial" w:hAnsi="Arial" w:cs="Arial"/>
          <w:color w:val="000000" w:themeColor="text1"/>
          <w:sz w:val="21"/>
          <w:szCs w:val="21"/>
          <w:lang w:val="es-ES"/>
        </w:rPr>
        <w:t>estatales;</w:t>
      </w:r>
    </w:p>
    <w:p w14:paraId="24F856FA" w14:textId="77777777" w:rsidR="00DF028A" w:rsidRPr="00DF028A" w:rsidRDefault="00DF028A" w:rsidP="00DF028A">
      <w:pPr>
        <w:widowControl w:val="0"/>
        <w:numPr>
          <w:ilvl w:val="2"/>
          <w:numId w:val="7"/>
        </w:numPr>
        <w:tabs>
          <w:tab w:val="left" w:pos="1108"/>
        </w:tabs>
        <w:autoSpaceDE w:val="0"/>
        <w:autoSpaceDN w:val="0"/>
        <w:spacing w:before="1" w:after="120" w:line="240" w:lineRule="auto"/>
        <w:ind w:left="709" w:right="709" w:firstLine="0"/>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Haber sido objeto de imposición de dos (2) multas y un (1) incumplimiento durante una misma vigencia fiscal, con una o varias entidades</w:t>
      </w:r>
      <w:r w:rsidRPr="00DF028A">
        <w:rPr>
          <w:rFonts w:ascii="Arial" w:eastAsia="Arial" w:hAnsi="Arial" w:cs="Arial"/>
          <w:color w:val="000000" w:themeColor="text1"/>
          <w:spacing w:val="-24"/>
          <w:sz w:val="21"/>
          <w:szCs w:val="21"/>
          <w:lang w:val="es-ES"/>
        </w:rPr>
        <w:t xml:space="preserve"> </w:t>
      </w:r>
      <w:r w:rsidRPr="00DF028A">
        <w:rPr>
          <w:rFonts w:ascii="Arial" w:eastAsia="Arial" w:hAnsi="Arial" w:cs="Arial"/>
          <w:color w:val="000000" w:themeColor="text1"/>
          <w:sz w:val="21"/>
          <w:szCs w:val="21"/>
          <w:lang w:val="es-ES"/>
        </w:rPr>
        <w:t>estatales.</w:t>
      </w:r>
    </w:p>
    <w:p w14:paraId="662D6D17"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w:t>
      </w:r>
      <w:r w:rsidRPr="00DF028A">
        <w:rPr>
          <w:rFonts w:ascii="Arial" w:eastAsia="Arial" w:hAnsi="Arial" w:cs="Arial"/>
          <w:color w:val="000000" w:themeColor="text1"/>
          <w:spacing w:val="-25"/>
          <w:sz w:val="21"/>
          <w:szCs w:val="21"/>
          <w:lang w:val="es-ES"/>
        </w:rPr>
        <w:t xml:space="preserve"> </w:t>
      </w:r>
      <w:r w:rsidRPr="00DF028A">
        <w:rPr>
          <w:rFonts w:ascii="Arial" w:eastAsia="Arial" w:hAnsi="Arial" w:cs="Arial"/>
          <w:color w:val="000000" w:themeColor="text1"/>
          <w:sz w:val="21"/>
          <w:szCs w:val="21"/>
          <w:lang w:val="es-ES"/>
        </w:rPr>
        <w:t>certificado.</w:t>
      </w:r>
    </w:p>
    <w:p w14:paraId="77BEF500" w14:textId="77777777" w:rsidR="00DF028A" w:rsidRPr="00DF028A" w:rsidRDefault="00DF028A" w:rsidP="00DF028A">
      <w:pPr>
        <w:widowControl w:val="0"/>
        <w:autoSpaceDE w:val="0"/>
        <w:autoSpaceDN w:val="0"/>
        <w:spacing w:after="0"/>
        <w:ind w:left="709" w:right="709"/>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73CA058C" w14:textId="77777777" w:rsidR="00DF028A" w:rsidRPr="00DF028A" w:rsidRDefault="00DF028A" w:rsidP="00DF028A">
      <w:pPr>
        <w:widowControl w:val="0"/>
        <w:autoSpaceDE w:val="0"/>
        <w:autoSpaceDN w:val="0"/>
        <w:spacing w:after="0" w:line="276" w:lineRule="auto"/>
        <w:ind w:left="100" w:right="108" w:firstLine="608"/>
        <w:jc w:val="both"/>
        <w:rPr>
          <w:rFonts w:ascii="Arial" w:eastAsia="Arial" w:hAnsi="Arial" w:cs="Arial"/>
          <w:color w:val="000000" w:themeColor="text1"/>
          <w:lang w:val="es-ES"/>
        </w:rPr>
      </w:pPr>
    </w:p>
    <w:p w14:paraId="2843B223" w14:textId="77777777" w:rsidR="00DF028A" w:rsidRPr="00DF028A" w:rsidRDefault="00DF028A" w:rsidP="00DF028A">
      <w:pPr>
        <w:widowControl w:val="0"/>
        <w:autoSpaceDE w:val="0"/>
        <w:autoSpaceDN w:val="0"/>
        <w:spacing w:after="120" w:line="276" w:lineRule="auto"/>
        <w:ind w:right="108" w:firstLine="709"/>
        <w:jc w:val="both"/>
        <w:rPr>
          <w:rFonts w:ascii="Arial" w:eastAsia="Arial" w:hAnsi="Arial" w:cs="Arial"/>
          <w:color w:val="000000" w:themeColor="text1"/>
          <w:lang w:val="es-ES"/>
        </w:rPr>
      </w:pPr>
      <w:r w:rsidRPr="00DF028A">
        <w:rPr>
          <w:rFonts w:ascii="Arial" w:eastAsia="Arial" w:hAnsi="Arial" w:cs="Arial"/>
          <w:color w:val="000000" w:themeColor="text1"/>
          <w:lang w:val="es-ES"/>
        </w:rPr>
        <w:t>Como se aprecia, el texto original de la Ley 1474 de 2011, contemplaba tres supuestos de hecho que daban lugar a la configuración de la inhabilidad: a) el primero relativo a la imposición de cinco (5) multas por incumplimiento –parcial– durante una misma vigencia fiscal, con una o varias entidades estatales; b) un segundo supuesto que consistía en la concurrencia de dos (2) declaratorias de incumplimiento –definitivo</w:t>
      </w:r>
      <w:r w:rsidRPr="00DF028A">
        <w:rPr>
          <w:rFonts w:ascii="Arial" w:eastAsia="Arial" w:hAnsi="Arial" w:cs="Arial"/>
          <w:color w:val="000000" w:themeColor="text1"/>
          <w:lang w:val="es-ES"/>
        </w:rPr>
        <w:softHyphen/>
        <w:t>– de contratos durante una misma vigencia fiscal, con una o varias entidades estatales; y c) un tercer supuesto alusivo a la imposición de dos (2) multas y una (1) declaratoria de incumplimiento –definitivo–, durante una misma vigencia fiscal con una o varias entidades estatales</w:t>
      </w:r>
      <w:r w:rsidRPr="00DF028A">
        <w:rPr>
          <w:rFonts w:ascii="Arial" w:eastAsia="Arial" w:hAnsi="Arial" w:cs="Arial"/>
          <w:vertAlign w:val="superscript"/>
        </w:rPr>
        <w:footnoteReference w:id="20"/>
      </w:r>
      <w:r w:rsidRPr="00DF028A">
        <w:rPr>
          <w:rFonts w:ascii="Arial" w:eastAsia="Arial" w:hAnsi="Arial" w:cs="Arial"/>
          <w:color w:val="000000" w:themeColor="text1"/>
          <w:lang w:val="es-ES"/>
        </w:rPr>
        <w:t>. Ante la configuración de cualquiera de tales supuestos, la persona incursa en los mismos quedaba inhabilitada por un periodo de tres (3) años contados a partir de la fecha de inscripción en el RUP de la última multa o declaratoria de incumplimiento.</w:t>
      </w:r>
    </w:p>
    <w:p w14:paraId="4815C04E" w14:textId="77777777" w:rsidR="00DF028A" w:rsidRPr="00DF028A" w:rsidRDefault="00DF028A" w:rsidP="00DF028A">
      <w:pPr>
        <w:widowControl w:val="0"/>
        <w:autoSpaceDE w:val="0"/>
        <w:autoSpaceDN w:val="0"/>
        <w:spacing w:after="0" w:line="276" w:lineRule="auto"/>
        <w:ind w:right="108" w:firstLine="709"/>
        <w:jc w:val="both"/>
        <w:rPr>
          <w:rFonts w:ascii="Arial" w:eastAsia="Arial" w:hAnsi="Arial" w:cs="Arial"/>
          <w:color w:val="000000" w:themeColor="text1"/>
          <w:lang w:val="es-ES"/>
        </w:rPr>
      </w:pPr>
      <w:r w:rsidRPr="00DF028A">
        <w:rPr>
          <w:rFonts w:ascii="Arial" w:eastAsia="Arial" w:hAnsi="Arial" w:cs="Arial"/>
          <w:color w:val="000000" w:themeColor="text1"/>
          <w:lang w:val="es-ES"/>
        </w:rPr>
        <w:lastRenderedPageBreak/>
        <w:t>Posteriormente, los literales a) y b) transcritos fueron modificados por el artículo 43 de la Ley 1955 de 2019, en lo atinente al intervalo de tiempo dentro del que se deben presentar las multas y declaratorias de incumplimiento para que se den los dos primeros supuestos que dan lugar a la configuración de la inhabilidad por incumplimiento reiterado. Los literales a) y b) quedaron así:</w:t>
      </w:r>
    </w:p>
    <w:p w14:paraId="057F5724" w14:textId="77777777" w:rsidR="00DF028A" w:rsidRPr="00DF028A" w:rsidRDefault="00DF028A" w:rsidP="00DF028A">
      <w:pPr>
        <w:widowControl w:val="0"/>
        <w:autoSpaceDE w:val="0"/>
        <w:autoSpaceDN w:val="0"/>
        <w:spacing w:before="3" w:after="0"/>
        <w:rPr>
          <w:rFonts w:ascii="Arial" w:eastAsia="Arial" w:hAnsi="Arial" w:cs="Arial"/>
          <w:color w:val="000000" w:themeColor="text1"/>
          <w:lang w:val="es-ES"/>
        </w:rPr>
      </w:pPr>
    </w:p>
    <w:p w14:paraId="013EBBA6" w14:textId="77777777" w:rsidR="00DF028A" w:rsidRPr="00DF028A" w:rsidRDefault="00DF028A" w:rsidP="00DF028A">
      <w:pPr>
        <w:widowControl w:val="0"/>
        <w:tabs>
          <w:tab w:val="left" w:pos="1078"/>
        </w:tabs>
        <w:autoSpaceDE w:val="0"/>
        <w:autoSpaceDN w:val="0"/>
        <w:spacing w:after="120" w:line="240" w:lineRule="auto"/>
        <w:ind w:left="709" w:right="709"/>
        <w:jc w:val="both"/>
        <w:rPr>
          <w:rFonts w:ascii="Arial" w:eastAsia="Arial" w:hAnsi="Arial" w:cs="Arial"/>
          <w:color w:val="000000" w:themeColor="text1"/>
          <w:sz w:val="21"/>
          <w:szCs w:val="21"/>
          <w:lang w:val="es-ES"/>
        </w:rPr>
      </w:pPr>
      <w:r w:rsidRPr="00DF028A">
        <w:rPr>
          <w:rFonts w:ascii="Arial" w:eastAsia="Arial" w:hAnsi="Arial" w:cs="Arial"/>
          <w:color w:val="000000" w:themeColor="text1"/>
          <w:sz w:val="21"/>
          <w:szCs w:val="21"/>
          <w:lang w:val="es-ES"/>
        </w:rPr>
        <w:t xml:space="preserve">“a) Haber sido objeto de imposición de cinco (5) o más multas durante la ejecución de uno o varios contratos, con una o varias entidades estatales, </w:t>
      </w:r>
      <w:r w:rsidRPr="00DF028A">
        <w:rPr>
          <w:rFonts w:ascii="Arial" w:eastAsia="Arial" w:hAnsi="Arial" w:cs="Arial"/>
          <w:i/>
          <w:color w:val="000000" w:themeColor="text1"/>
          <w:sz w:val="21"/>
          <w:szCs w:val="21"/>
          <w:lang w:val="es-ES"/>
        </w:rPr>
        <w:t>durante los últimos tres (3)</w:t>
      </w:r>
      <w:r w:rsidRPr="00DF028A">
        <w:rPr>
          <w:rFonts w:ascii="Arial" w:eastAsia="Arial" w:hAnsi="Arial" w:cs="Arial"/>
          <w:i/>
          <w:color w:val="000000" w:themeColor="text1"/>
          <w:spacing w:val="-4"/>
          <w:sz w:val="21"/>
          <w:szCs w:val="21"/>
          <w:lang w:val="es-ES"/>
        </w:rPr>
        <w:t xml:space="preserve"> </w:t>
      </w:r>
      <w:r w:rsidRPr="00DF028A">
        <w:rPr>
          <w:rFonts w:ascii="Arial" w:eastAsia="Arial" w:hAnsi="Arial" w:cs="Arial"/>
          <w:i/>
          <w:color w:val="000000" w:themeColor="text1"/>
          <w:sz w:val="21"/>
          <w:szCs w:val="21"/>
          <w:lang w:val="es-ES"/>
        </w:rPr>
        <w:t>años</w:t>
      </w:r>
      <w:r w:rsidRPr="00DF028A">
        <w:rPr>
          <w:rFonts w:ascii="Arial" w:eastAsia="Arial" w:hAnsi="Arial" w:cs="Arial"/>
          <w:color w:val="000000" w:themeColor="text1"/>
          <w:sz w:val="21"/>
          <w:szCs w:val="21"/>
          <w:lang w:val="es-ES"/>
        </w:rPr>
        <w:t>;</w:t>
      </w:r>
    </w:p>
    <w:p w14:paraId="5EB1924A" w14:textId="77777777" w:rsidR="00DF028A" w:rsidRPr="00DF028A" w:rsidRDefault="00DF028A" w:rsidP="00DF028A">
      <w:pPr>
        <w:widowControl w:val="0"/>
        <w:tabs>
          <w:tab w:val="left" w:pos="851"/>
        </w:tabs>
        <w:autoSpaceDE w:val="0"/>
        <w:autoSpaceDN w:val="0"/>
        <w:spacing w:before="1" w:after="0" w:line="240" w:lineRule="auto"/>
        <w:ind w:left="709" w:right="709"/>
        <w:jc w:val="both"/>
        <w:rPr>
          <w:rFonts w:ascii="Arial" w:eastAsia="Arial" w:hAnsi="Arial" w:cs="Arial"/>
          <w:color w:val="000000" w:themeColor="text1"/>
          <w:sz w:val="21"/>
          <w:szCs w:val="21"/>
        </w:rPr>
      </w:pPr>
      <w:r w:rsidRPr="00DF028A">
        <w:rPr>
          <w:rFonts w:ascii="Arial" w:eastAsia="Arial" w:hAnsi="Arial" w:cs="Arial"/>
          <w:color w:val="000000" w:themeColor="text1"/>
          <w:sz w:val="21"/>
          <w:szCs w:val="21"/>
        </w:rPr>
        <w:t xml:space="preserve">b) Haber sido objeto de declaratorias de incumplimiento contractual en por lo menos dos (2) contratos, con una o varias entidades estatales, </w:t>
      </w:r>
      <w:r w:rsidRPr="00DF028A">
        <w:rPr>
          <w:rFonts w:ascii="Arial" w:eastAsia="Arial" w:hAnsi="Arial" w:cs="Arial"/>
          <w:i/>
          <w:color w:val="000000" w:themeColor="text1"/>
          <w:sz w:val="21"/>
          <w:szCs w:val="21"/>
        </w:rPr>
        <w:t xml:space="preserve">durante los últimos tres (3) años </w:t>
      </w:r>
      <w:r w:rsidRPr="00DF028A">
        <w:rPr>
          <w:rFonts w:ascii="Arial" w:eastAsia="Arial" w:hAnsi="Arial" w:cs="Arial"/>
          <w:color w:val="000000" w:themeColor="text1"/>
          <w:sz w:val="21"/>
          <w:szCs w:val="21"/>
        </w:rPr>
        <w:t>[…]”. (Cursivas fuera de</w:t>
      </w:r>
      <w:r w:rsidRPr="00DF028A">
        <w:rPr>
          <w:rFonts w:ascii="Arial" w:eastAsia="Arial" w:hAnsi="Arial" w:cs="Arial"/>
          <w:color w:val="000000" w:themeColor="text1"/>
          <w:spacing w:val="-6"/>
          <w:sz w:val="21"/>
          <w:szCs w:val="21"/>
        </w:rPr>
        <w:t xml:space="preserve"> </w:t>
      </w:r>
      <w:r w:rsidRPr="00DF028A">
        <w:rPr>
          <w:rFonts w:ascii="Arial" w:eastAsia="Arial" w:hAnsi="Arial" w:cs="Arial"/>
          <w:color w:val="000000" w:themeColor="text1"/>
          <w:sz w:val="21"/>
          <w:szCs w:val="21"/>
        </w:rPr>
        <w:t>texto).</w:t>
      </w:r>
    </w:p>
    <w:p w14:paraId="5D46098F" w14:textId="77777777" w:rsidR="00DF028A" w:rsidRPr="00DF028A" w:rsidRDefault="00DF028A" w:rsidP="00DF028A">
      <w:pPr>
        <w:widowControl w:val="0"/>
        <w:autoSpaceDE w:val="0"/>
        <w:autoSpaceDN w:val="0"/>
        <w:spacing w:after="0"/>
        <w:rPr>
          <w:rFonts w:ascii="Arial" w:eastAsia="Arial" w:hAnsi="Arial" w:cs="Arial"/>
          <w:color w:val="000000" w:themeColor="text1"/>
          <w:lang w:val="es-ES"/>
        </w:rPr>
      </w:pPr>
    </w:p>
    <w:p w14:paraId="62E98EBC" w14:textId="77777777" w:rsidR="00DF028A" w:rsidRPr="00DF028A" w:rsidRDefault="00DF028A" w:rsidP="00DF028A">
      <w:pPr>
        <w:widowControl w:val="0"/>
        <w:autoSpaceDE w:val="0"/>
        <w:autoSpaceDN w:val="0"/>
        <w:spacing w:line="276" w:lineRule="auto"/>
        <w:ind w:right="114" w:firstLine="708"/>
        <w:jc w:val="both"/>
        <w:rPr>
          <w:rFonts w:ascii="Arial" w:eastAsia="Arial" w:hAnsi="Arial" w:cs="Arial"/>
          <w:color w:val="000000" w:themeColor="text1"/>
          <w:lang w:val="es-ES"/>
        </w:rPr>
      </w:pPr>
      <w:r w:rsidRPr="00DF028A">
        <w:rPr>
          <w:rFonts w:ascii="Arial" w:eastAsia="Arial" w:hAnsi="Arial" w:cs="Arial"/>
          <w:color w:val="000000" w:themeColor="text1"/>
          <w:lang w:val="es-ES"/>
        </w:rPr>
        <w:t xml:space="preserve">En ese orden, a la luz del texto original de la Ley 1474 de 2011, para que se configurara la inhabilidad era necesario que las cinco multas –literal a)– o los dos incumplimientos –literal b)– fueran declarados en la misma vigencia fiscal, esto es, en el mismo año. Después de la modificación introducida por la Ley 1955 de 2019, </w:t>
      </w:r>
      <w:r w:rsidRPr="00DF028A">
        <w:rPr>
          <w:rFonts w:ascii="Arial" w:eastAsia="Arial" w:hAnsi="Arial" w:cs="Arial"/>
          <w:color w:val="000000" w:themeColor="text1"/>
          <w:u w:val="single"/>
          <w:lang w:val="es-ES"/>
        </w:rPr>
        <w:t>basta que las dos declaratorias de incumplimiento o las cinco multas se hayan impuesto dentro de los últimos tres años</w:t>
      </w:r>
      <w:r w:rsidRPr="00DF028A">
        <w:rPr>
          <w:rFonts w:ascii="Arial" w:eastAsia="Arial" w:hAnsi="Arial" w:cs="Arial"/>
          <w:color w:val="000000" w:themeColor="text1"/>
          <w:lang w:val="es-ES"/>
        </w:rPr>
        <w:t>.</w:t>
      </w:r>
    </w:p>
    <w:p w14:paraId="3515AFB1" w14:textId="77777777" w:rsidR="00DF028A" w:rsidRPr="00DF028A" w:rsidRDefault="00DF028A" w:rsidP="00DF028A">
      <w:pPr>
        <w:spacing w:before="120" w:line="276" w:lineRule="auto"/>
        <w:jc w:val="both"/>
        <w:rPr>
          <w:rFonts w:ascii="Arial" w:hAnsi="Arial" w:cs="Arial"/>
          <w:color w:val="000000" w:themeColor="text1"/>
          <w:lang w:val="es-MX"/>
        </w:rPr>
      </w:pPr>
      <w:r w:rsidRPr="00DF028A">
        <w:rPr>
          <w:rFonts w:ascii="Arial" w:eastAsia="Calibri" w:hAnsi="Arial" w:cs="Arial"/>
          <w:color w:val="000000" w:themeColor="text1"/>
          <w:lang w:val="es-ES_tradnl"/>
        </w:rPr>
        <w:tab/>
        <w:t xml:space="preserve">Ahora bien, tal modificación, conlleva, en principio, un problema hermenéutico relativo a la aplicación de la ley en el tiempo. Al respecto conviene recordar que </w:t>
      </w:r>
      <w:r w:rsidRPr="00DF028A">
        <w:rPr>
          <w:rFonts w:ascii="Arial" w:hAnsi="Arial" w:cs="Arial"/>
          <w:color w:val="000000" w:themeColor="text1"/>
          <w:lang w:val="es-MX"/>
        </w:rPr>
        <w:t>los efectos de una ley se producen a partir de su vigencia, lo que quiere decir que, por regla general, en las leyes colombianas opera la irretroactividad. Así se desprende de la Ley 153 de 1887, que dispuso que la ley posterior prevalece sobre la ley anterior y en el evento en que existan discrepancias entre las mismas se debe aplicar la ley posterior</w:t>
      </w:r>
      <w:r w:rsidRPr="00DF028A">
        <w:rPr>
          <w:rFonts w:ascii="Arial" w:hAnsi="Arial" w:cs="Arial"/>
          <w:vertAlign w:val="superscript"/>
        </w:rPr>
        <w:footnoteReference w:id="21"/>
      </w:r>
      <w:r w:rsidRPr="00DF028A">
        <w:rPr>
          <w:rFonts w:ascii="Arial" w:hAnsi="Arial" w:cs="Arial"/>
          <w:color w:val="000000" w:themeColor="text1"/>
          <w:lang w:val="es-MX"/>
        </w:rPr>
        <w:t>. No obstante, si en vigencia de la anterior ley se consolidó una situación jurídica no deberá aplicarse la ley posterior, pues de acuerdo con la Constitución Política los derechos adquiridos no pueden ser desconocidos ni vulnerados por leyes posteriores, a menos que se trate de leyes penales que beneficien al reo –principio de favorabilidad– o que comprometan el interés público o social</w:t>
      </w:r>
      <w:r w:rsidRPr="00DF028A">
        <w:rPr>
          <w:rFonts w:ascii="Arial" w:hAnsi="Arial" w:cs="Arial"/>
          <w:vertAlign w:val="superscript"/>
        </w:rPr>
        <w:footnoteReference w:id="22"/>
      </w:r>
      <w:r w:rsidRPr="00DF028A">
        <w:rPr>
          <w:rFonts w:ascii="Arial" w:hAnsi="Arial" w:cs="Arial"/>
          <w:color w:val="000000" w:themeColor="text1"/>
          <w:lang w:val="es-MX"/>
        </w:rPr>
        <w:t>.</w:t>
      </w:r>
    </w:p>
    <w:p w14:paraId="1C01FAA3" w14:textId="77777777" w:rsidR="00DF028A" w:rsidRPr="00DF028A" w:rsidRDefault="00DF028A" w:rsidP="00DF028A">
      <w:pPr>
        <w:widowControl w:val="0"/>
        <w:autoSpaceDE w:val="0"/>
        <w:autoSpaceDN w:val="0"/>
        <w:spacing w:after="120" w:line="274" w:lineRule="auto"/>
        <w:ind w:right="51" w:firstLine="709"/>
        <w:jc w:val="both"/>
        <w:rPr>
          <w:rFonts w:ascii="Arial" w:eastAsia="Arial" w:hAnsi="Arial" w:cs="Arial"/>
          <w:color w:val="000000" w:themeColor="text1"/>
          <w:lang w:val="es-ES" w:eastAsia="es-ES" w:bidi="es-ES"/>
        </w:rPr>
      </w:pPr>
      <w:r w:rsidRPr="00DF028A">
        <w:rPr>
          <w:rFonts w:ascii="Arial" w:eastAsia="Arial" w:hAnsi="Arial" w:cs="Arial"/>
          <w:color w:val="000000" w:themeColor="text1"/>
          <w:lang w:val="es-ES" w:eastAsia="es-ES" w:bidi="es-ES"/>
        </w:rPr>
        <w:t xml:space="preserve">Conforme a lo anterior, el conflicto sobre la aplicación de una ley se presenta cuando en </w:t>
      </w:r>
      <w:r w:rsidRPr="00DF028A">
        <w:rPr>
          <w:rFonts w:ascii="Arial" w:eastAsia="Arial" w:hAnsi="Arial" w:cs="Arial"/>
          <w:color w:val="000000" w:themeColor="text1"/>
          <w:lang w:val="es-ES" w:eastAsia="es-ES" w:bidi="es-ES"/>
        </w:rPr>
        <w:lastRenderedPageBreak/>
        <w:t>vigencia de la ley anterior nace un hecho allí previsto, sin que se consolide situación jurídica alguna, pero los efectos se producen bajo la vigencia de la ley posterior. De igual forma, cuando se realiza un hecho jurídico bajo la ley anterior pero la ley posterior contempla nuevas condiciones para el reconocimiento de sus efectos, es decir, en vigencia de la ley anterior solo se presentaron situaciones que generaron una simple expectativa</w:t>
      </w:r>
      <w:r w:rsidRPr="00DF028A">
        <w:rPr>
          <w:rFonts w:ascii="Arial" w:eastAsia="Arial" w:hAnsi="Arial" w:cs="Arial"/>
          <w:vertAlign w:val="superscript"/>
        </w:rPr>
        <w:footnoteReference w:id="23"/>
      </w:r>
      <w:r w:rsidRPr="00DF028A">
        <w:rPr>
          <w:rFonts w:ascii="Arial" w:eastAsia="Arial" w:hAnsi="Arial" w:cs="Arial"/>
          <w:color w:val="000000" w:themeColor="text1"/>
          <w:lang w:val="es-ES" w:eastAsia="es-ES" w:bidi="es-ES"/>
        </w:rPr>
        <w:t>.</w:t>
      </w:r>
    </w:p>
    <w:p w14:paraId="12F8F0D2" w14:textId="77777777" w:rsidR="00DF028A" w:rsidRPr="00DF028A" w:rsidRDefault="00DF028A" w:rsidP="00DF028A">
      <w:pPr>
        <w:widowControl w:val="0"/>
        <w:autoSpaceDE w:val="0"/>
        <w:autoSpaceDN w:val="0"/>
        <w:spacing w:after="0" w:line="276" w:lineRule="auto"/>
        <w:ind w:right="49" w:firstLine="708"/>
        <w:jc w:val="both"/>
        <w:rPr>
          <w:rFonts w:ascii="Arial" w:eastAsia="Arial" w:hAnsi="Arial" w:cs="Arial"/>
          <w:color w:val="000000" w:themeColor="text1"/>
          <w:lang w:val="es-ES" w:eastAsia="es-ES" w:bidi="es-ES"/>
        </w:rPr>
      </w:pPr>
      <w:r w:rsidRPr="00DF028A">
        <w:rPr>
          <w:rFonts w:ascii="Arial" w:eastAsia="Arial" w:hAnsi="Arial" w:cs="Arial"/>
          <w:color w:val="000000" w:themeColor="text1"/>
          <w:lang w:val="es-ES" w:eastAsia="es-ES" w:bidi="es-ES"/>
        </w:rPr>
        <w:t>En ese sentido, ¿cómo debe resolverse el conflicto de la aplicación de la ley en el tiempo en lo relativo al supuesto de hecho del literal b) del artículo 90 de la Ley 1474 de 2011, tras su modificación por cuenta del artículo 43 de la Ley 1955 de 2019? Lo anterior obliga a determinar a partir de cuándo debe contarse el término de tres (3) años, o si para la configuración de la inhabilidad resulta válido tener en cuenta declaratorias de incumplimiento consolidadas antes de la vigencia de la Ley 1955 de 2019. Sobre este particular esta Agencia, en Concepto 4201913000005694 del 3 de octubre de 2019, explicó lo siguiente:</w:t>
      </w:r>
    </w:p>
    <w:p w14:paraId="733B6534" w14:textId="77777777" w:rsidR="00DF028A" w:rsidRPr="00DF028A" w:rsidRDefault="00DF028A" w:rsidP="00DF028A">
      <w:pPr>
        <w:widowControl w:val="0"/>
        <w:autoSpaceDE w:val="0"/>
        <w:autoSpaceDN w:val="0"/>
        <w:spacing w:after="0" w:line="276" w:lineRule="auto"/>
        <w:ind w:right="49" w:firstLine="708"/>
        <w:jc w:val="both"/>
        <w:rPr>
          <w:rFonts w:ascii="Arial" w:eastAsia="Arial" w:hAnsi="Arial" w:cs="Arial"/>
          <w:color w:val="000000" w:themeColor="text1"/>
          <w:lang w:val="es-ES" w:eastAsia="es-ES" w:bidi="es-ES"/>
        </w:rPr>
      </w:pPr>
    </w:p>
    <w:p w14:paraId="48A66F94"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DF028A">
        <w:rPr>
          <w:rFonts w:ascii="Arial" w:eastAsia="Arial" w:hAnsi="Arial" w:cs="Arial"/>
          <w:color w:val="000000" w:themeColor="text1"/>
          <w:sz w:val="21"/>
          <w:szCs w:val="21"/>
          <w:lang w:val="es-ES" w:eastAsia="es-ES" w:bidi="es-ES"/>
        </w:rPr>
        <w:t>“El 25 de mayo del presente año entró a regir la Ley 1955 de 2019, la cual modificó lo dispuesto en el artículo 90 de la Ley 1474 de 2011, ampliando el plazo durante el cual se deben declarar las sanciones a un contratista para que se configure la inhabilidad por incumplimiento reiterado.</w:t>
      </w:r>
    </w:p>
    <w:p w14:paraId="34136BFD"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DF028A">
        <w:rPr>
          <w:rFonts w:ascii="Arial" w:eastAsia="Arial" w:hAnsi="Arial" w:cs="Arial"/>
          <w:color w:val="000000" w:themeColor="text1"/>
          <w:sz w:val="21"/>
          <w:szCs w:val="21"/>
          <w:lang w:val="es-ES" w:eastAsia="es-ES" w:bidi="es-ES"/>
        </w:rPr>
        <w:t>El legislador no contemplo excepción frente a la aplicación retroactiva de la Ley 1955 de 2019, y si bien la inhabilidad del artículo 43 es de carácter sancionatorio, por tratarse de la potestad punitiva del Estado, el principio de favorabilidad es aplicable al proceso sancionatorio administrativo en virtud de lo establecido en el artículo 29 de la Constitución Política y en la Ley 1437 de 2011.</w:t>
      </w:r>
    </w:p>
    <w:p w14:paraId="68229FFA"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DF028A">
        <w:rPr>
          <w:rFonts w:ascii="Arial" w:eastAsia="Arial" w:hAnsi="Arial" w:cs="Arial"/>
          <w:color w:val="000000" w:themeColor="text1"/>
          <w:sz w:val="21"/>
          <w:szCs w:val="21"/>
          <w:lang w:val="es-ES" w:eastAsia="es-ES" w:bidi="es-ES"/>
        </w:rPr>
        <w:t>Ahora, la Ley en mención tampoco contempló su aplicación retrospectiva a las situaciones de hecho que tuvieron lugar antes de su entrada en vigencia, porque sencillamente si dichas situaciones se hubiesen presentado en vigencia del artículo 90 de la Ley 1474 de 2011 se hubiera configurado la inhabilidad; en este sentido sus efectos tampoco serían ultraactivos.</w:t>
      </w:r>
    </w:p>
    <w:p w14:paraId="13601636" w14:textId="77777777" w:rsidR="00DF028A" w:rsidRPr="00DF028A" w:rsidRDefault="00DF028A" w:rsidP="00DF028A">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DF028A">
        <w:rPr>
          <w:rFonts w:ascii="Arial" w:eastAsia="Arial" w:hAnsi="Arial" w:cs="Arial"/>
          <w:color w:val="000000" w:themeColor="text1"/>
          <w:sz w:val="21"/>
          <w:szCs w:val="21"/>
          <w:lang w:val="es-ES" w:eastAsia="es-ES" w:bidi="es-ES"/>
        </w:rPr>
        <w:t xml:space="preserve">Así las cosas, los efectos del artículo 43 de la Ley 1955 de 2019 se producen hacia el futuro, y en este sentido no se podrán tener en cuenta las sanciones impuestas antes del 25 de mayo de 2019, ya que la Ley 1955 de 2019 derogó todas las disposiciones contrarias. Entonces, como quiera que desde el 25 de mayo de 2019 entró a regir una nueva disposición normativa para la inhabilidad por incumplimiento reiterado, a partir </w:t>
      </w:r>
      <w:r w:rsidRPr="00DF028A">
        <w:rPr>
          <w:rFonts w:ascii="Arial" w:eastAsia="Arial" w:hAnsi="Arial" w:cs="Arial"/>
          <w:color w:val="000000" w:themeColor="text1"/>
          <w:sz w:val="21"/>
          <w:szCs w:val="21"/>
          <w:lang w:val="es-ES" w:eastAsia="es-ES" w:bidi="es-ES"/>
        </w:rPr>
        <w:lastRenderedPageBreak/>
        <w:t>de esta fecha se deberá contabilizar los tres (3) años durante los cuales al contratista le han sido impuestas cinco (5) o más multas, o declaratorias de incumplimiento contractual en por lo menos dos (2) contratos. Esto quiere decir que no es posible acumular las sanciones anteriores ni tampoco los años durante los cuales aquellas fueron impuestas.</w:t>
      </w:r>
    </w:p>
    <w:p w14:paraId="6840C7AB" w14:textId="77777777" w:rsidR="00DF028A" w:rsidRPr="00DF028A" w:rsidRDefault="00DF028A" w:rsidP="00DF028A">
      <w:pPr>
        <w:widowControl w:val="0"/>
        <w:autoSpaceDE w:val="0"/>
        <w:autoSpaceDN w:val="0"/>
        <w:spacing w:after="0"/>
        <w:ind w:left="709" w:right="709"/>
        <w:jc w:val="both"/>
        <w:rPr>
          <w:rFonts w:ascii="Arial" w:eastAsia="Arial" w:hAnsi="Arial" w:cs="Arial"/>
          <w:color w:val="000000" w:themeColor="text1"/>
          <w:sz w:val="21"/>
          <w:szCs w:val="21"/>
          <w:lang w:val="es-ES" w:eastAsia="es-ES" w:bidi="es-ES"/>
        </w:rPr>
      </w:pPr>
      <w:r w:rsidRPr="00DF028A">
        <w:rPr>
          <w:rFonts w:ascii="Arial" w:eastAsia="Arial" w:hAnsi="Arial" w:cs="Arial"/>
          <w:color w:val="000000" w:themeColor="text1"/>
          <w:sz w:val="21"/>
          <w:szCs w:val="21"/>
          <w:lang w:val="es-ES" w:eastAsia="es-ES" w:bidi="es-ES"/>
        </w:rPr>
        <w:t>[…] la Constitución Política dispone en materia del derecho al debido proceso, que nadie podrá ser juzgado sino conforme a leyes preexistentes al acto que se le imputa, lo cual aplica para el caso de las inhabilidades de naturaleza sancionatoria, pues como se anotó en precedencia, estas limitan derechos subjetivos. Por lo anterior, la inhabilidad por incumplimiento reiterado después del 25 de mayo de 2019 se debe configurar según lo indicado en el artículo 43 de la Ley 1955 de 2019, a menos que antes de su entrada en vigencia se hubiese consolidado la situación jurídica prevista en el artículo 90 de la Ley 1474 de 2011”</w:t>
      </w:r>
      <w:r w:rsidRPr="00DF028A">
        <w:rPr>
          <w:rFonts w:ascii="Arial" w:eastAsia="Arial" w:hAnsi="Arial" w:cs="Arial"/>
          <w:sz w:val="21"/>
          <w:szCs w:val="21"/>
          <w:vertAlign w:val="superscript"/>
        </w:rPr>
        <w:footnoteReference w:id="24"/>
      </w:r>
      <w:r w:rsidRPr="00DF028A">
        <w:rPr>
          <w:rFonts w:ascii="Arial" w:eastAsia="Arial" w:hAnsi="Arial" w:cs="Arial"/>
          <w:color w:val="000000" w:themeColor="text1"/>
          <w:sz w:val="21"/>
          <w:szCs w:val="21"/>
          <w:lang w:val="es-ES" w:eastAsia="es-ES" w:bidi="es-ES"/>
        </w:rPr>
        <w:t>.</w:t>
      </w:r>
    </w:p>
    <w:p w14:paraId="1838D1DA" w14:textId="77777777" w:rsidR="00DF028A" w:rsidRPr="00DF028A" w:rsidRDefault="00DF028A" w:rsidP="00DF028A">
      <w:pPr>
        <w:widowControl w:val="0"/>
        <w:autoSpaceDE w:val="0"/>
        <w:autoSpaceDN w:val="0"/>
        <w:spacing w:after="0" w:line="273" w:lineRule="auto"/>
        <w:ind w:right="49" w:firstLine="708"/>
        <w:jc w:val="both"/>
        <w:rPr>
          <w:rFonts w:ascii="Arial" w:eastAsia="Arial" w:hAnsi="Arial" w:cs="Arial"/>
          <w:color w:val="000000" w:themeColor="text1"/>
          <w:lang w:val="es-ES" w:eastAsia="es-ES" w:bidi="es-ES"/>
        </w:rPr>
      </w:pPr>
    </w:p>
    <w:p w14:paraId="56D74CCB" w14:textId="77777777" w:rsidR="00DF028A" w:rsidRPr="00DF028A" w:rsidRDefault="00DF028A" w:rsidP="00DF028A">
      <w:pPr>
        <w:spacing w:after="120" w:line="276" w:lineRule="auto"/>
        <w:jc w:val="both"/>
        <w:rPr>
          <w:rFonts w:ascii="Arial" w:hAnsi="Arial" w:cs="Arial"/>
          <w:color w:val="000000" w:themeColor="text1"/>
          <w:lang w:val="es-MX"/>
        </w:rPr>
      </w:pPr>
      <w:r w:rsidRPr="00DF028A">
        <w:rPr>
          <w:rFonts w:ascii="Arial" w:hAnsi="Arial" w:cs="Arial"/>
          <w:color w:val="000000" w:themeColor="text1"/>
          <w:lang w:val="es-MX"/>
        </w:rPr>
        <w:tab/>
        <w:t>De acuerdo con tales consideraciones, dado que los efectos del artículo 43 de la Ley 1955 de 2019 se producen hacia al futuro, y al haberse derogado el texto original de los literales a y b del artículo 90 de la Ley 1474 de 2011 –y no haberse dispuesto efectos ultractivos–, para que se configure la causal de inhabilidad aludida es necesario que las declaratorias de incumplimiento se hayan consolidado con posterioridad a la entrada en vigencia de la Ley 1955 de 2019, esto es, del 25 de mayo de 2019 en adelante.</w:t>
      </w:r>
    </w:p>
    <w:p w14:paraId="1CA9F538" w14:textId="77777777" w:rsidR="00DF028A" w:rsidRPr="00DF028A" w:rsidRDefault="00DF028A" w:rsidP="00DF028A">
      <w:pPr>
        <w:spacing w:after="120" w:line="276" w:lineRule="auto"/>
        <w:jc w:val="both"/>
        <w:rPr>
          <w:rFonts w:ascii="Arial" w:hAnsi="Arial" w:cs="Arial"/>
          <w:color w:val="000000" w:themeColor="text1"/>
          <w:lang w:val="es-MX"/>
        </w:rPr>
      </w:pPr>
      <w:r w:rsidRPr="00DF028A">
        <w:rPr>
          <w:rFonts w:ascii="Arial" w:hAnsi="Arial" w:cs="Arial"/>
          <w:color w:val="000000" w:themeColor="text1"/>
          <w:lang w:val="es-MX"/>
        </w:rPr>
        <w:tab/>
        <w:t xml:space="preserve">Tal interpretación además se impone con ocasión del carácter sancionador o </w:t>
      </w:r>
      <w:r w:rsidRPr="00DF028A">
        <w:rPr>
          <w:rFonts w:ascii="Arial" w:hAnsi="Arial" w:cs="Arial"/>
          <w:i/>
          <w:iCs/>
          <w:color w:val="000000" w:themeColor="text1"/>
          <w:lang w:val="es-MX"/>
        </w:rPr>
        <w:t>punitivo</w:t>
      </w:r>
      <w:r w:rsidRPr="00DF028A">
        <w:rPr>
          <w:rFonts w:ascii="Arial" w:hAnsi="Arial" w:cs="Arial"/>
          <w:vertAlign w:val="superscript"/>
        </w:rPr>
        <w:footnoteReference w:id="25"/>
      </w:r>
      <w:r w:rsidRPr="00DF028A">
        <w:rPr>
          <w:rFonts w:ascii="Arial" w:hAnsi="Arial" w:cs="Arial"/>
          <w:color w:val="000000" w:themeColor="text1"/>
          <w:lang w:val="es-MX"/>
        </w:rPr>
        <w:t xml:space="preserve"> de la inhabilidad por incumplimiento reiterado, que implica que su aplicación deba ser respetuosa del debido proceso</w:t>
      </w:r>
      <w:r w:rsidRPr="00DF028A">
        <w:rPr>
          <w:rFonts w:ascii="Arial" w:hAnsi="Arial" w:cs="Arial"/>
          <w:vertAlign w:val="superscript"/>
        </w:rPr>
        <w:footnoteReference w:id="26"/>
      </w:r>
      <w:r w:rsidRPr="00DF028A">
        <w:rPr>
          <w:rFonts w:ascii="Arial" w:hAnsi="Arial" w:cs="Arial"/>
          <w:color w:val="000000" w:themeColor="text1"/>
          <w:lang w:val="es-MX"/>
        </w:rPr>
        <w:t xml:space="preserve"> y el principio de legalidad de las faltas y de las sanciones</w:t>
      </w:r>
      <w:r w:rsidRPr="00DF028A">
        <w:rPr>
          <w:rFonts w:ascii="Arial" w:hAnsi="Arial" w:cs="Arial"/>
          <w:vertAlign w:val="superscript"/>
        </w:rPr>
        <w:footnoteReference w:id="27"/>
      </w:r>
      <w:r w:rsidRPr="00DF028A">
        <w:rPr>
          <w:rFonts w:ascii="Arial" w:hAnsi="Arial" w:cs="Arial"/>
          <w:color w:val="000000" w:themeColor="text1"/>
          <w:lang w:val="es-MX"/>
        </w:rPr>
        <w:t xml:space="preserve">, por lo que </w:t>
      </w:r>
      <w:r w:rsidRPr="00DF028A">
        <w:rPr>
          <w:rFonts w:ascii="Arial" w:hAnsi="Arial" w:cs="Arial"/>
          <w:color w:val="000000" w:themeColor="text1"/>
          <w:lang w:val="es-MX"/>
        </w:rPr>
        <w:lastRenderedPageBreak/>
        <w:t xml:space="preserve">circunstancias consolidadas con anterioridad a la entrada en vigencia de la Ley 1955 de 2019 no pueden ser tenidas en cuenta a efectos de configurar la referida inhabilidad, en la medida que el contenido del supuesto de hecho de la falta sancionada con la inhabilidad cambió con la entrada en vigencia de la Ley 1955 de 2019. En tal sentido, admitir la configuración de la inhabilidad conforme al supuesto de hecho vigente respecto de circunstancias anteriores a su entrada en vigor no solo constituiría una aplicación retroactiva de la ley, sino también una vulneración al principio de legalidad y los postulados del derecho al debido proceso. </w:t>
      </w:r>
    </w:p>
    <w:p w14:paraId="3F312748" w14:textId="77777777" w:rsidR="00DF028A" w:rsidRPr="00DF028A" w:rsidRDefault="00DF028A" w:rsidP="00DF028A">
      <w:pPr>
        <w:spacing w:after="120" w:line="276" w:lineRule="auto"/>
        <w:ind w:firstLine="709"/>
        <w:jc w:val="both"/>
        <w:rPr>
          <w:rFonts w:ascii="Arial" w:eastAsia="Calibri" w:hAnsi="Arial" w:cs="Arial"/>
          <w:color w:val="000000" w:themeColor="text1"/>
          <w:lang w:val="es-ES_tradnl"/>
        </w:rPr>
      </w:pPr>
      <w:r w:rsidRPr="00DF028A">
        <w:rPr>
          <w:rFonts w:ascii="Arial" w:eastAsia="Calibri" w:hAnsi="Arial" w:cs="Arial"/>
          <w:color w:val="000000" w:themeColor="text1"/>
          <w:lang w:val="es-ES_tradnl"/>
        </w:rPr>
        <w:t xml:space="preserve">La postura anterior además se encuentra de acuerdo con el principio </w:t>
      </w:r>
      <w:r w:rsidRPr="00DF028A">
        <w:rPr>
          <w:rFonts w:ascii="Arial" w:eastAsia="Calibri" w:hAnsi="Arial" w:cs="Arial"/>
          <w:i/>
          <w:iCs/>
          <w:color w:val="000000" w:themeColor="text1"/>
          <w:lang w:val="es-ES_tradnl"/>
        </w:rPr>
        <w:t>pro libertate</w:t>
      </w:r>
      <w:r w:rsidRPr="00DF028A">
        <w:rPr>
          <w:rFonts w:ascii="Arial" w:eastAsia="Calibri" w:hAnsi="Arial" w:cs="Arial"/>
          <w:color w:val="000000" w:themeColor="text1"/>
          <w:lang w:val="es-ES_tradnl"/>
        </w:rPr>
        <w:t xml:space="preserve"> que debe dirigir la interpretación de las disposiciones normativas que consagran restricciones de derechos, como son las inhabilidades. Esto en la medida en que asumir una interpretación contraria a la esbozada, esto es, la que indicaría que configurar la causal de inhabilidad en comento resultaría válido considerar hechos ocurridos –en un intervalo de 3 años–, antes de la entrada en vigencia de la Ley 1955 de 2019, implicaría una mayor restricción de derechos, ya que se extenderían los efectos de la norma a un mayor número de casos particulares, lo cual resultaría contrario a la interpretación restrictiva que amerita la norma bajo estudio. </w:t>
      </w:r>
    </w:p>
    <w:p w14:paraId="5BBCC900" w14:textId="77777777" w:rsidR="00DF028A" w:rsidRPr="00DF028A" w:rsidRDefault="00DF028A" w:rsidP="00DF028A">
      <w:pPr>
        <w:spacing w:after="120" w:line="276" w:lineRule="auto"/>
        <w:ind w:firstLine="709"/>
        <w:jc w:val="both"/>
        <w:rPr>
          <w:rFonts w:ascii="Arial" w:hAnsi="Arial" w:cs="Arial"/>
          <w:color w:val="000000" w:themeColor="text1"/>
          <w:lang w:val="es-MX"/>
        </w:rPr>
      </w:pPr>
      <w:r w:rsidRPr="00DF028A">
        <w:rPr>
          <w:rFonts w:ascii="Arial" w:eastAsia="Calibri" w:hAnsi="Arial" w:cs="Arial"/>
          <w:color w:val="000000" w:themeColor="text1"/>
          <w:lang w:val="es-ES_tradnl"/>
        </w:rPr>
        <w:t xml:space="preserve">De otra parte, conviene recordar </w:t>
      </w:r>
      <w:r w:rsidRPr="00DF028A">
        <w:rPr>
          <w:rFonts w:ascii="Arial" w:hAnsi="Arial" w:cs="Arial"/>
          <w:color w:val="000000" w:themeColor="text1"/>
          <w:lang w:val="es-MX"/>
        </w:rPr>
        <w:t>que, de conformidad con el inciso anterior al parágrafo del artículo 90 de la Ley 1474 de 2011, la inhabilidad por incumplimiento reiterado se configura a partir de la inscripción en el Registro Único de Proponentes de la última multa o declaratoria de incumplimiento requerida para su configuración. Por lo tanto, no se podrá extender la inhabilidad desde que se declaró la sanción por parte de la entidad, pues esto implicaría afectar la interpretación restrictiva que rige en el régimen de inhabilidades e incompatibilidades.</w:t>
      </w:r>
    </w:p>
    <w:p w14:paraId="7477E8A7" w14:textId="77777777" w:rsidR="00DF028A" w:rsidRPr="00DF028A" w:rsidRDefault="00DF028A" w:rsidP="00DF028A">
      <w:pPr>
        <w:widowControl w:val="0"/>
        <w:autoSpaceDE w:val="0"/>
        <w:autoSpaceDN w:val="0"/>
        <w:spacing w:after="120" w:line="274" w:lineRule="auto"/>
        <w:ind w:right="51" w:firstLine="709"/>
        <w:jc w:val="both"/>
        <w:rPr>
          <w:rFonts w:ascii="Arial" w:eastAsia="Arial" w:hAnsi="Arial" w:cs="Arial"/>
          <w:color w:val="000000" w:themeColor="text1"/>
          <w:lang w:val="es-ES" w:eastAsia="es-ES" w:bidi="es-ES"/>
        </w:rPr>
      </w:pPr>
      <w:r w:rsidRPr="00DF028A">
        <w:rPr>
          <w:rFonts w:ascii="Arial" w:eastAsia="Arial" w:hAnsi="Arial" w:cs="Arial"/>
          <w:color w:val="000000" w:themeColor="text1"/>
          <w:lang w:val="es-ES" w:eastAsia="es-ES" w:bidi="es-ES"/>
        </w:rPr>
        <w:t xml:space="preserve"> Resulta relevante poner esto de presente, pues frente a otras causales de inhabilidad e incompatibilidad el legislador sí previó que la inhabilidad se cuenta desde el momento en que se materializa en un acto administrativo en firme el hecho sancionado con la inhabilidad, como en los casos de la declaratoria de la caducidad del contrato o cuando se declara el incumplimiento del interventor. Es así como el literal c) del numeral 1, del artículo 8 de la Ley 80 de 1993, referido a la declaratoria de caducidad, señala que la inhabilidad de cinco (5) años empezará a contar a partir de la ejecutoria del acto administrativo que declara la caducidad del contrato</w:t>
      </w:r>
      <w:r w:rsidRPr="00DF028A">
        <w:rPr>
          <w:rFonts w:ascii="Arial" w:eastAsia="Arial" w:hAnsi="Arial" w:cs="Arial"/>
          <w:vertAlign w:val="superscript"/>
        </w:rPr>
        <w:footnoteReference w:id="28"/>
      </w:r>
      <w:r w:rsidRPr="00DF028A">
        <w:rPr>
          <w:rFonts w:ascii="Arial" w:eastAsia="Arial" w:hAnsi="Arial" w:cs="Arial"/>
          <w:color w:val="000000" w:themeColor="text1"/>
          <w:lang w:val="es-ES" w:eastAsia="es-ES" w:bidi="es-ES"/>
        </w:rPr>
        <w:t xml:space="preserve">; y el literal k) establece que la inhabilidad se extenderá por cinco (5) años, contados a partir de la ejecutoria </w:t>
      </w:r>
      <w:r w:rsidRPr="00DF028A">
        <w:rPr>
          <w:rFonts w:ascii="Arial" w:eastAsia="Arial" w:hAnsi="Arial" w:cs="Arial"/>
          <w:color w:val="000000" w:themeColor="text1"/>
          <w:lang w:val="es-ES" w:eastAsia="es-ES" w:bidi="es-ES"/>
        </w:rPr>
        <w:lastRenderedPageBreak/>
        <w:t>del acto administrativo que declare el incumplimiento por parte del interventor al deber de entregar información a la entidad contratante</w:t>
      </w:r>
      <w:r w:rsidRPr="00DF028A">
        <w:rPr>
          <w:rFonts w:ascii="Arial" w:eastAsia="Arial" w:hAnsi="Arial" w:cs="Arial"/>
          <w:vertAlign w:val="superscript"/>
        </w:rPr>
        <w:footnoteReference w:id="29"/>
      </w:r>
      <w:r w:rsidRPr="00DF028A">
        <w:rPr>
          <w:rFonts w:ascii="Arial" w:eastAsia="Arial" w:hAnsi="Arial" w:cs="Arial"/>
          <w:color w:val="000000" w:themeColor="text1"/>
          <w:lang w:val="es-ES" w:eastAsia="es-ES" w:bidi="es-ES"/>
        </w:rPr>
        <w:t xml:space="preserve">. Conforme a esto, no fue accidental que el legislador, en el artículo 90 de la Ley 1474 de 2011, dispusiera que </w:t>
      </w:r>
      <w:r w:rsidRPr="00DF028A">
        <w:rPr>
          <w:rFonts w:ascii="Arial" w:eastAsia="Arial" w:hAnsi="Arial" w:cs="Arial"/>
          <w:color w:val="000000" w:themeColor="text1"/>
          <w:u w:val="single"/>
          <w:lang w:val="es-ES" w:eastAsia="es-ES" w:bidi="es-ES"/>
        </w:rPr>
        <w:t xml:space="preserve">la inhabilidad se configura con la </w:t>
      </w:r>
      <w:r w:rsidRPr="00DF028A">
        <w:rPr>
          <w:rFonts w:ascii="Arial" w:eastAsia="Arial" w:hAnsi="Arial" w:cs="Arial"/>
          <w:i/>
          <w:iCs/>
          <w:color w:val="000000" w:themeColor="text1"/>
          <w:u w:val="single"/>
          <w:lang w:val="es-ES" w:eastAsia="es-ES" w:bidi="es-ES"/>
        </w:rPr>
        <w:t>publicación</w:t>
      </w:r>
      <w:r w:rsidRPr="00DF028A">
        <w:rPr>
          <w:rFonts w:ascii="Arial" w:eastAsia="Arial" w:hAnsi="Arial" w:cs="Arial"/>
          <w:color w:val="000000" w:themeColor="text1"/>
          <w:u w:val="single"/>
          <w:lang w:val="es-ES" w:eastAsia="es-ES" w:bidi="es-ES"/>
        </w:rPr>
        <w:t xml:space="preserve"> del acto administrativo que impone la inscripción de la última multa o incumplimiento en el Registro Único de Proponentes</w:t>
      </w:r>
      <w:r w:rsidRPr="00DF028A">
        <w:rPr>
          <w:rFonts w:ascii="Arial" w:eastAsia="Arial" w:hAnsi="Arial" w:cs="Arial"/>
          <w:color w:val="000000" w:themeColor="text1"/>
          <w:lang w:val="es-ES" w:eastAsia="es-ES" w:bidi="es-ES"/>
        </w:rPr>
        <w:t xml:space="preserve"> y no cuando la entidad lo declara en el acto administrativo. En este contexto, cuando dispone que “[…] </w:t>
      </w:r>
      <w:r w:rsidRPr="00DF028A">
        <w:rPr>
          <w:rFonts w:ascii="Arial" w:eastAsia="Arial" w:hAnsi="Arial" w:cs="Arial"/>
          <w:color w:val="000000" w:themeColor="text1"/>
          <w:lang w:eastAsia="es-ES" w:bidi="es-ES"/>
        </w:rPr>
        <w:t xml:space="preserve">La inhabilidad pertinente se hará explícita en el Registro Único de Proponentes cuando a ello haya lugar” significa que afecta principalmente a los contratistas obligados a estar inscritos, razón por la que existe una imposibilidad fáctica de verificarla cuando quien incurrió en los incumplimientos no está obligado a registrarse en el RUP, pues la cámara de comercio –conforme a los artículos </w:t>
      </w:r>
      <w:r w:rsidRPr="00DF028A">
        <w:rPr>
          <w:rFonts w:ascii="Arial" w:hAnsi="Arial" w:cs="Arial"/>
          <w:color w:val="000000" w:themeColor="text1"/>
          <w:lang w:val="es-ES_tradnl"/>
        </w:rPr>
        <w:t xml:space="preserve">6.2 de la Ley 1150 de 2007 y 2.2.1.1.1.5.7 del Decreto 1082 de 2015, en concordancia con el artículo 31 de la Ley 80 de 1993– únicamente podría </w:t>
      </w:r>
      <w:r w:rsidRPr="00DF028A">
        <w:rPr>
          <w:rFonts w:ascii="Arial" w:hAnsi="Arial" w:cs="Arial"/>
          <w:i/>
          <w:iCs/>
          <w:color w:val="000000" w:themeColor="text1"/>
          <w:lang w:val="es-ES_tradnl"/>
        </w:rPr>
        <w:t>registrarla</w:t>
      </w:r>
      <w:r w:rsidRPr="00DF028A">
        <w:rPr>
          <w:rFonts w:ascii="Arial" w:hAnsi="Arial" w:cs="Arial"/>
          <w:color w:val="000000" w:themeColor="text1"/>
          <w:lang w:val="es-ES_tradnl"/>
        </w:rPr>
        <w:t xml:space="preserve"> cuando surja el deber de inscripción.</w:t>
      </w:r>
      <w:r w:rsidRPr="00DF028A">
        <w:rPr>
          <w:rFonts w:ascii="Arial" w:eastAsia="Arial" w:hAnsi="Arial" w:cs="Arial"/>
          <w:color w:val="000000" w:themeColor="text1"/>
          <w:lang w:eastAsia="es-ES" w:bidi="es-ES"/>
        </w:rPr>
        <w:t xml:space="preserve"> </w:t>
      </w:r>
    </w:p>
    <w:p w14:paraId="37253ED6" w14:textId="77777777" w:rsidR="00DF028A" w:rsidRPr="00DF028A" w:rsidRDefault="00DF028A" w:rsidP="00DF028A">
      <w:pPr>
        <w:spacing w:after="120" w:line="276" w:lineRule="auto"/>
        <w:ind w:firstLine="709"/>
        <w:jc w:val="both"/>
        <w:rPr>
          <w:rFonts w:ascii="Arial" w:hAnsi="Arial" w:cs="Arial"/>
          <w:color w:val="000000" w:themeColor="text1"/>
          <w:lang w:val="es-ES_tradnl"/>
        </w:rPr>
      </w:pPr>
      <w:r w:rsidRPr="00DF028A">
        <w:rPr>
          <w:rFonts w:ascii="Arial" w:hAnsi="Arial" w:cs="Arial"/>
          <w:color w:val="000000" w:themeColor="text1"/>
          <w:lang w:val="es-ES_tradnl"/>
        </w:rPr>
        <w:t xml:space="preserve">Por tanto, se concluye que el término de diez (10) años de la causal de inhabilidad prevista en el artículo 51 de la Ley 2195 de 2022 se comienza a contar a partir de la publicación del último incumplimiento o multa en el Registro Único de Proponentes. En consecuencia, el término de la inhabilidad no se activa con la sola expedición del acto administrativo que declara el incumplimiento o la multa y ni siquiera con su </w:t>
      </w:r>
      <w:r w:rsidRPr="00DF028A">
        <w:rPr>
          <w:rFonts w:ascii="Arial" w:hAnsi="Arial" w:cs="Arial"/>
          <w:i/>
          <w:iCs/>
          <w:color w:val="000000" w:themeColor="text1"/>
          <w:lang w:val="es-ES_tradnl"/>
        </w:rPr>
        <w:t>firmeza</w:t>
      </w:r>
      <w:r w:rsidRPr="00DF028A">
        <w:rPr>
          <w:rFonts w:ascii="Arial" w:hAnsi="Arial" w:cs="Arial"/>
          <w:vertAlign w:val="superscript"/>
        </w:rPr>
        <w:footnoteReference w:id="30"/>
      </w:r>
      <w:r w:rsidRPr="00DF028A">
        <w:rPr>
          <w:rFonts w:ascii="Arial" w:hAnsi="Arial" w:cs="Arial"/>
          <w:color w:val="000000" w:themeColor="text1"/>
          <w:lang w:val="es-ES_tradnl"/>
        </w:rPr>
        <w:t xml:space="preserve"> o desde la publicación </w:t>
      </w:r>
      <w:r w:rsidRPr="00DF028A">
        <w:rPr>
          <w:rFonts w:ascii="Arial" w:hAnsi="Arial" w:cs="Arial"/>
          <w:i/>
          <w:iCs/>
          <w:color w:val="000000" w:themeColor="text1"/>
          <w:lang w:val="es-ES_tradnl"/>
        </w:rPr>
        <w:t>del primer</w:t>
      </w:r>
      <w:r w:rsidRPr="00DF028A">
        <w:rPr>
          <w:rFonts w:ascii="Arial" w:hAnsi="Arial" w:cs="Arial"/>
          <w:color w:val="000000" w:themeColor="text1"/>
          <w:lang w:val="es-ES_tradnl"/>
        </w:rPr>
        <w:t xml:space="preserve"> incumplimiento o multa, sino desde la publicación en el Registro Único de Proponentes del acto administrativo que impone </w:t>
      </w:r>
      <w:r w:rsidRPr="00DF028A">
        <w:rPr>
          <w:rFonts w:ascii="Arial" w:hAnsi="Arial" w:cs="Arial"/>
          <w:i/>
          <w:iCs/>
          <w:color w:val="000000" w:themeColor="text1"/>
          <w:lang w:val="es-ES_tradnl"/>
        </w:rPr>
        <w:t>la última</w:t>
      </w:r>
      <w:r w:rsidRPr="00DF028A">
        <w:rPr>
          <w:rFonts w:ascii="Arial" w:hAnsi="Arial" w:cs="Arial"/>
          <w:color w:val="000000" w:themeColor="text1"/>
          <w:lang w:val="es-ES_tradnl"/>
        </w:rPr>
        <w:t xml:space="preserve"> multa o incumplimiento, luego del trámite del procedimiento administrativo sancionatorio correspondiente. Así las cosas, las entidades estatales están obligadas a enviar a las cámaras de comercio la copia de los actos administrativos en firme que han declarado los incumplimientos o multas, para que estas hagan la anotación en el RUP, pues el artículo 51 de la Ley 2195 de 2022, en el último inciso, establece que “La inhabilidad pertinente se hará explicita en el Registro Único de Proponentes cuando a ello haya lugar”, </w:t>
      </w:r>
      <w:r w:rsidRPr="00DF028A">
        <w:rPr>
          <w:rFonts w:ascii="Arial" w:eastAsia="Arial" w:hAnsi="Arial" w:cs="Arial"/>
          <w:color w:val="000000" w:themeColor="text1"/>
          <w:lang w:eastAsia="es-ES" w:bidi="es-ES"/>
        </w:rPr>
        <w:t xml:space="preserve">afectando principalmente a los contratistas obligados a estar inscritos por las razones indicadas </w:t>
      </w:r>
      <w:r w:rsidRPr="00DF028A">
        <w:rPr>
          <w:rFonts w:ascii="Arial" w:eastAsia="Arial" w:hAnsi="Arial" w:cs="Arial"/>
          <w:i/>
          <w:iCs/>
          <w:color w:val="000000" w:themeColor="text1"/>
          <w:lang w:eastAsia="es-ES" w:bidi="es-ES"/>
        </w:rPr>
        <w:t>ut supra</w:t>
      </w:r>
      <w:r w:rsidRPr="00DF028A">
        <w:rPr>
          <w:rFonts w:ascii="Arial" w:hAnsi="Arial" w:cs="Arial"/>
          <w:color w:val="000000" w:themeColor="text1"/>
          <w:lang w:val="es-ES_tradnl"/>
        </w:rPr>
        <w:t>.</w:t>
      </w:r>
      <w:r w:rsidRPr="00DF028A">
        <w:rPr>
          <w:rFonts w:ascii="Arial" w:eastAsia="Arial" w:hAnsi="Arial" w:cs="Arial"/>
          <w:color w:val="000000" w:themeColor="text1"/>
          <w:lang w:eastAsia="es-ES" w:bidi="es-ES"/>
        </w:rPr>
        <w:t xml:space="preserve"> </w:t>
      </w:r>
      <w:r w:rsidRPr="00DF028A">
        <w:rPr>
          <w:rFonts w:ascii="Arial" w:hAnsi="Arial" w:cs="Arial"/>
          <w:color w:val="000000" w:themeColor="text1"/>
          <w:lang w:val="es-ES_tradnl"/>
        </w:rPr>
        <w:t xml:space="preserve"> </w:t>
      </w:r>
    </w:p>
    <w:p w14:paraId="2AE86E70" w14:textId="77777777" w:rsidR="00DF028A" w:rsidRPr="00DF028A" w:rsidRDefault="00DF028A" w:rsidP="00DF028A">
      <w:pPr>
        <w:spacing w:after="0" w:line="276" w:lineRule="auto"/>
        <w:ind w:firstLine="709"/>
        <w:jc w:val="both"/>
        <w:rPr>
          <w:rFonts w:ascii="Arial" w:hAnsi="Arial" w:cs="Arial"/>
          <w:color w:val="000000" w:themeColor="text1"/>
          <w:lang w:val="es-ES_tradnl"/>
        </w:rPr>
      </w:pPr>
      <w:r w:rsidRPr="00DF028A">
        <w:rPr>
          <w:rFonts w:ascii="Arial" w:hAnsi="Arial" w:cs="Arial"/>
          <w:color w:val="000000" w:themeColor="text1"/>
          <w:lang w:val="es-ES_tradnl"/>
        </w:rPr>
        <w:t xml:space="preserve">En tal sentido, las cámaras de comercio deben revisar las anotaciones vigentes en el RUP cuando a ello haya lugar, contrastándolas con cada incumplimiento o multa que hayan reportado las entidades estatales en los contratos, para dejar explícita la anotación de la inhabilidad a partir </w:t>
      </w:r>
      <w:r w:rsidRPr="00DF028A">
        <w:rPr>
          <w:rFonts w:ascii="Arial" w:hAnsi="Arial" w:cs="Arial"/>
          <w:color w:val="000000" w:themeColor="text1"/>
          <w:lang w:val="es-ES_tradnl"/>
        </w:rPr>
        <w:lastRenderedPageBreak/>
        <w:t xml:space="preserve">del último incumplimiento o multa. Si, por ejemplo, solo se ha impuesto una multa –y no hay otros incumplimientos o multas en contratos frente a un proponente–, debe quedar la anotación de esta en el RUP, pero aún no la de la inhabilidad, dado que todavía no existiría incumplimiento </w:t>
      </w:r>
      <w:r w:rsidRPr="00DF028A">
        <w:rPr>
          <w:rFonts w:ascii="Arial" w:hAnsi="Arial" w:cs="Arial"/>
          <w:i/>
          <w:iCs/>
          <w:color w:val="000000" w:themeColor="text1"/>
          <w:lang w:val="es-ES_tradnl"/>
        </w:rPr>
        <w:t>reiterado</w:t>
      </w:r>
      <w:r w:rsidRPr="00DF028A">
        <w:rPr>
          <w:rFonts w:ascii="Arial" w:hAnsi="Arial" w:cs="Arial"/>
          <w:color w:val="000000" w:themeColor="text1"/>
          <w:lang w:val="es-ES_tradnl"/>
        </w:rPr>
        <w:t>. Sin embargo, esta anotación ha de ser tenida en cuenta por la cámara de comercio respectiva para cuando le envíen copia de otro incumplimiento o multa en contra del mismo proponente, para hacer explícita, a partir de allí, la inhabilidad regulada en el artículo 51 de la Ley 2195 de 2022, por el período que esta norma establece.</w:t>
      </w:r>
    </w:p>
    <w:p w14:paraId="12805CBC" w14:textId="77777777" w:rsidR="001A5B0F" w:rsidRPr="00D505B1" w:rsidRDefault="001A5B0F" w:rsidP="00A33061">
      <w:pPr>
        <w:spacing w:after="0" w:line="276" w:lineRule="auto"/>
        <w:jc w:val="both"/>
        <w:rPr>
          <w:rFonts w:ascii="Arial" w:eastAsia="Times New Roman" w:hAnsi="Arial" w:cs="Arial"/>
          <w:noProof/>
          <w:szCs w:val="24"/>
          <w:lang w:val="es-ES_tradnl" w:eastAsia="es-ES_tradnl"/>
        </w:rPr>
      </w:pPr>
    </w:p>
    <w:p w14:paraId="543F1D7B" w14:textId="2594CEBC" w:rsidR="00A33061" w:rsidRPr="00D505B1" w:rsidRDefault="00A33061" w:rsidP="00A33061">
      <w:pPr>
        <w:spacing w:after="0" w:line="276" w:lineRule="auto"/>
        <w:jc w:val="both"/>
        <w:rPr>
          <w:rFonts w:ascii="Arial" w:eastAsia="Calibri" w:hAnsi="Arial" w:cs="Arial"/>
          <w:color w:val="000000"/>
          <w:lang w:val="es-ES_tradnl" w:eastAsia="es-ES_tradnl"/>
        </w:rPr>
      </w:pPr>
      <w:r w:rsidRPr="00D505B1">
        <w:rPr>
          <w:rFonts w:ascii="Arial" w:eastAsia="Calibri" w:hAnsi="Arial" w:cs="Arial"/>
          <w:b/>
          <w:bCs/>
          <w:color w:val="000000"/>
          <w:szCs w:val="24"/>
          <w:lang w:val="es-ES_tradnl" w:eastAsia="es-ES_tradnl"/>
        </w:rPr>
        <w:t>2.</w:t>
      </w:r>
      <w:r w:rsidR="00DF028A">
        <w:rPr>
          <w:rFonts w:ascii="Arial" w:eastAsia="Calibri" w:hAnsi="Arial" w:cs="Arial"/>
          <w:b/>
          <w:bCs/>
          <w:color w:val="000000"/>
          <w:szCs w:val="24"/>
          <w:lang w:val="es-ES_tradnl" w:eastAsia="es-ES_tradnl"/>
        </w:rPr>
        <w:t>4</w:t>
      </w:r>
      <w:r w:rsidRPr="00D505B1">
        <w:rPr>
          <w:rFonts w:ascii="Arial" w:eastAsia="Calibri" w:hAnsi="Arial" w:cs="Arial"/>
          <w:b/>
          <w:bCs/>
          <w:color w:val="000000"/>
          <w:szCs w:val="24"/>
          <w:lang w:val="es-ES_tradnl" w:eastAsia="es-ES_tradnl"/>
        </w:rPr>
        <w:t>.</w:t>
      </w:r>
      <w:r w:rsidRPr="00D505B1">
        <w:rPr>
          <w:rFonts w:ascii="Arial" w:eastAsia="Calibri" w:hAnsi="Arial" w:cs="Arial"/>
          <w:b/>
          <w:bCs/>
          <w:color w:val="000000"/>
          <w:szCs w:val="24"/>
          <w:lang w:val="pt-BR" w:eastAsia="en-GB"/>
        </w:rPr>
        <w:t xml:space="preserve"> Registro Nacional de Obras Civiles Inconclusas</w:t>
      </w:r>
    </w:p>
    <w:p w14:paraId="145AD5B9" w14:textId="77777777" w:rsidR="00A33061" w:rsidRPr="00D505B1" w:rsidRDefault="00A33061" w:rsidP="00A33061">
      <w:pPr>
        <w:tabs>
          <w:tab w:val="left" w:pos="0"/>
        </w:tabs>
        <w:spacing w:after="0" w:line="276" w:lineRule="auto"/>
        <w:jc w:val="both"/>
        <w:rPr>
          <w:rFonts w:ascii="Arial" w:eastAsia="Calibri" w:hAnsi="Arial" w:cs="Arial"/>
          <w:b/>
          <w:color w:val="000000"/>
          <w:szCs w:val="24"/>
          <w:lang w:val="pt-BR" w:eastAsia="es-ES_tradnl"/>
        </w:rPr>
      </w:pPr>
    </w:p>
    <w:p w14:paraId="7BC5CC1B" w14:textId="702284F1" w:rsidR="00A33061" w:rsidRPr="00D505B1" w:rsidRDefault="00A33061" w:rsidP="00A3306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bCs/>
          <w:color w:val="000000"/>
          <w:szCs w:val="24"/>
          <w:lang w:val="es-ES_tradnl" w:eastAsia="es-ES_tradnl"/>
        </w:rPr>
        <w:t xml:space="preserve">La Ley 2020 de 2020 creó el </w:t>
      </w:r>
      <w:r w:rsidRPr="00D505B1">
        <w:rPr>
          <w:rFonts w:ascii="Arial" w:eastAsia="Calibri" w:hAnsi="Arial" w:cs="Arial"/>
          <w:color w:val="000000"/>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7" w:name="_Hlk71184857"/>
      <w:r w:rsidRPr="00D505B1">
        <w:rPr>
          <w:rFonts w:ascii="Arial" w:eastAsia="Calibri" w:hAnsi="Arial" w:cs="Arial"/>
          <w:color w:val="000000"/>
          <w:szCs w:val="24"/>
          <w:lang w:val="es-ES_tradnl" w:eastAsia="en-GB"/>
        </w:rPr>
        <w:t xml:space="preserve">Según el inciso primero del literal a) del artículo 2 de esta ley, </w:t>
      </w:r>
      <w:r w:rsidRPr="007D4857">
        <w:rPr>
          <w:rFonts w:ascii="Arial" w:eastAsia="Calibri" w:hAnsi="Arial" w:cs="Arial"/>
          <w:color w:val="000000"/>
          <w:szCs w:val="24"/>
          <w:u w:val="single"/>
          <w:lang w:val="es-ES_tradnl" w:eastAsia="en-GB"/>
        </w:rPr>
        <w:t xml:space="preserve">se entiende por </w:t>
      </w:r>
      <w:r w:rsidRPr="007D4857">
        <w:rPr>
          <w:rFonts w:ascii="Arial" w:eastAsia="Calibri" w:hAnsi="Arial" w:cs="Arial"/>
          <w:i/>
          <w:iCs/>
          <w:color w:val="000000"/>
          <w:szCs w:val="24"/>
          <w:u w:val="single"/>
          <w:lang w:val="es-ES_tradnl" w:eastAsia="en-GB"/>
        </w:rPr>
        <w:t>obra civil inconclusa</w:t>
      </w:r>
      <w:r w:rsidRPr="007D4857">
        <w:rPr>
          <w:rFonts w:ascii="Arial" w:eastAsia="Calibri" w:hAnsi="Arial" w:cs="Arial"/>
          <w:color w:val="000000"/>
          <w:szCs w:val="24"/>
          <w:u w:val="single"/>
          <w:lang w:val="es-ES_tradnl" w:eastAsia="en-GB"/>
        </w:rPr>
        <w:t xml:space="preserve"> la </w:t>
      </w:r>
      <w:r w:rsidR="00C814A1" w:rsidRPr="007D4857">
        <w:rPr>
          <w:rFonts w:ascii="Arial" w:eastAsia="Calibri" w:hAnsi="Arial" w:cs="Arial"/>
          <w:color w:val="000000"/>
          <w:szCs w:val="24"/>
          <w:u w:val="single"/>
          <w:lang w:val="es-ES_tradnl" w:eastAsia="en-GB"/>
        </w:rPr>
        <w:t>“</w:t>
      </w:r>
      <w:r w:rsidRPr="007D4857">
        <w:rPr>
          <w:rFonts w:ascii="Arial" w:eastAsia="Calibri" w:hAnsi="Arial" w:cs="Arial"/>
          <w:color w:val="000000"/>
          <w:szCs w:val="24"/>
          <w:u w:val="single"/>
          <w:lang w:val="es-ES_tradnl" w:eastAsia="en-GB"/>
        </w:rPr>
        <w:t xml:space="preserve">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w:t>
      </w:r>
      <w:r w:rsidR="00021C90" w:rsidRPr="007D4857">
        <w:rPr>
          <w:rFonts w:ascii="Arial" w:eastAsia="Calibri" w:hAnsi="Arial" w:cs="Arial"/>
          <w:color w:val="000000"/>
          <w:szCs w:val="24"/>
          <w:u w:val="single"/>
          <w:lang w:val="es-ES_tradnl" w:eastAsia="en-GB"/>
        </w:rPr>
        <w:t>Entidad Estatal</w:t>
      </w:r>
      <w:r w:rsidRPr="007D4857">
        <w:rPr>
          <w:rFonts w:ascii="Arial" w:eastAsia="Calibri" w:hAnsi="Arial" w:cs="Arial"/>
          <w:color w:val="000000"/>
          <w:szCs w:val="24"/>
          <w:u w:val="single"/>
          <w:lang w:val="es-ES_tradnl" w:eastAsia="en-GB"/>
        </w:rPr>
        <w:t xml:space="preserve"> contratante, o no esté prestando el servicio para el cual fue contratada</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w:t>
      </w:r>
      <w:bookmarkEnd w:id="7"/>
    </w:p>
    <w:p w14:paraId="6E3426F6" w14:textId="19D99202"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otras palabras, el concepto de obra civil inconclusa es armónico con la definición del contrato de obra, prevista en el artículo 32 de la Ley 80 de 1993, según el cual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Son contratos de obra los que celebren las entidades estatales para la construcción, mantenimiento, instalación y, en general, para la realización de cualquier otro trabajo material sobre bienes inmuebles, cualquiera que sea la modalidad de ejecución y pago</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Por tanto, cuando el trabajo material sobre el bien inmueble no ha finalizado satisfactoriamente o no se adecua a la función para la cual fue contratada la obra, esto se puede constatar en el registro creado por el artículo 3 de la Ley 2020 de 2020.</w:t>
      </w:r>
    </w:p>
    <w:p w14:paraId="61C78EA5" w14:textId="3AD23761"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Por su parte, el inciso segundo del literal a) del artículo 2 de dicha Ley establece la hipótesis en la que no se haya concluido satisfactoriamente la obra civil por causas no imputables al contratista. A este respecto, señala que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Cuando la obra civil no haya concluido de manera satisfactoria por causas que no sean imputables al contratista, un comité técnico, designado por el representante legal de la entidad contratante, definirá si efectivamente corresponde a una obra civil inconclusa</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w:t>
      </w:r>
    </w:p>
    <w:p w14:paraId="3FB843B5"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w:t>
      </w:r>
      <w:r w:rsidRPr="00D505B1">
        <w:rPr>
          <w:rFonts w:ascii="Arial" w:eastAsia="Calibri" w:hAnsi="Arial" w:cs="Arial"/>
          <w:color w:val="000000"/>
          <w:szCs w:val="24"/>
          <w:lang w:val="es-ES_tradnl" w:eastAsia="en-GB"/>
        </w:rPr>
        <w:lastRenderedPageBreak/>
        <w:t xml:space="preserve">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1B0A4295"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D505B1">
        <w:rPr>
          <w:rFonts w:ascii="Arial" w:eastAsia="Calibri" w:hAnsi="Arial" w:cs="Arial"/>
          <w:color w:val="000000"/>
          <w:szCs w:val="24"/>
          <w:vertAlign w:val="superscript"/>
          <w:lang w:val="es-ES_tradnl" w:eastAsia="en-GB"/>
        </w:rPr>
        <w:footnoteReference w:id="31"/>
      </w:r>
      <w:r w:rsidRPr="00D505B1">
        <w:rPr>
          <w:rFonts w:ascii="Arial" w:eastAsia="Calibri" w:hAnsi="Arial" w:cs="Arial"/>
          <w:color w:val="000000"/>
          <w:szCs w:val="24"/>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597C4C1B" w14:textId="22B054AD" w:rsidR="00E3623A"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Sobre el espíritu de la ley, la exposición de motivos explica que el proyecto</w:t>
      </w:r>
      <w:r w:rsidR="00E3623A">
        <w:rPr>
          <w:rFonts w:ascii="Arial" w:eastAsia="Calibri" w:hAnsi="Arial" w:cs="Arial"/>
          <w:color w:val="000000"/>
          <w:szCs w:val="24"/>
          <w:lang w:val="es-ES_tradnl" w:eastAsia="en-GB"/>
        </w:rPr>
        <w:t>:</w:t>
      </w:r>
    </w:p>
    <w:p w14:paraId="30A0C4F2" w14:textId="47811A95" w:rsidR="00E3623A" w:rsidRPr="00E3623A" w:rsidRDefault="00C814A1" w:rsidP="00EB6B39">
      <w:pPr>
        <w:tabs>
          <w:tab w:val="left" w:pos="0"/>
        </w:tabs>
        <w:spacing w:before="120" w:after="0" w:line="240" w:lineRule="auto"/>
        <w:ind w:left="709" w:right="709"/>
        <w:jc w:val="both"/>
        <w:rPr>
          <w:rFonts w:ascii="Arial" w:eastAsia="Calibri" w:hAnsi="Arial" w:cs="Arial"/>
          <w:color w:val="000000"/>
          <w:sz w:val="21"/>
          <w:szCs w:val="21"/>
          <w:lang w:val="es-ES_tradnl" w:eastAsia="en-GB"/>
        </w:rPr>
      </w:pPr>
      <w:r w:rsidRPr="00E3623A">
        <w:rPr>
          <w:rFonts w:ascii="Arial" w:eastAsia="Calibri" w:hAnsi="Arial" w:cs="Arial"/>
          <w:color w:val="000000"/>
          <w:sz w:val="21"/>
          <w:szCs w:val="21"/>
          <w:lang w:val="es-ES_tradnl" w:eastAsia="en-GB"/>
        </w:rPr>
        <w:t>“</w:t>
      </w:r>
      <w:r w:rsidR="00A33061" w:rsidRPr="00E3623A">
        <w:rPr>
          <w:rFonts w:ascii="Arial" w:eastAsia="Calibri" w:hAnsi="Arial" w:cs="Arial"/>
          <w:color w:val="000000"/>
          <w:sz w:val="21"/>
          <w:szCs w:val="21"/>
          <w:lang w:val="es-ES_tradnl" w:eastAsia="en-GB"/>
        </w:rPr>
        <w:t xml:space="preserve">[…] pretende establecer medidas para la detección y valoración de las obras públicas que no se hayan concluido de acuerdo con lo planeado por la </w:t>
      </w:r>
      <w:r w:rsidR="00021C90">
        <w:rPr>
          <w:rFonts w:ascii="Arial" w:eastAsia="Calibri" w:hAnsi="Arial" w:cs="Arial"/>
          <w:color w:val="000000"/>
          <w:sz w:val="21"/>
          <w:szCs w:val="21"/>
          <w:lang w:val="es-ES_tradnl" w:eastAsia="en-GB"/>
        </w:rPr>
        <w:t>Entidad Estatal</w:t>
      </w:r>
      <w:r w:rsidR="00A33061" w:rsidRPr="00E3623A">
        <w:rPr>
          <w:rFonts w:ascii="Arial" w:eastAsia="Calibri" w:hAnsi="Arial" w:cs="Arial"/>
          <w:color w:val="000000"/>
          <w:sz w:val="21"/>
          <w:szCs w:val="21"/>
          <w:lang w:val="es-ES_tradnl" w:eastAsia="en-GB"/>
        </w:rPr>
        <w:t xml:space="preserve">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E3623A">
        <w:rPr>
          <w:rFonts w:ascii="Arial" w:eastAsia="Calibri" w:hAnsi="Arial" w:cs="Arial"/>
          <w:color w:val="000000"/>
          <w:sz w:val="21"/>
          <w:szCs w:val="21"/>
          <w:lang w:val="es-ES_tradnl" w:eastAsia="en-GB"/>
        </w:rPr>
        <w:t>”</w:t>
      </w:r>
      <w:r w:rsidR="00A33061" w:rsidRPr="00E3623A">
        <w:rPr>
          <w:rFonts w:ascii="Arial" w:eastAsia="Calibri" w:hAnsi="Arial" w:cs="Arial"/>
          <w:color w:val="000000"/>
          <w:sz w:val="21"/>
          <w:szCs w:val="21"/>
          <w:vertAlign w:val="superscript"/>
          <w:lang w:val="es-ES_tradnl" w:eastAsia="en-GB"/>
        </w:rPr>
        <w:footnoteReference w:id="32"/>
      </w:r>
      <w:r w:rsidR="00A33061" w:rsidRPr="00E3623A">
        <w:rPr>
          <w:rFonts w:ascii="Arial" w:eastAsia="Calibri" w:hAnsi="Arial" w:cs="Arial"/>
          <w:color w:val="000000"/>
          <w:sz w:val="21"/>
          <w:szCs w:val="21"/>
          <w:lang w:val="es-ES_tradnl" w:eastAsia="en-GB"/>
        </w:rPr>
        <w:t xml:space="preserve">. </w:t>
      </w:r>
    </w:p>
    <w:p w14:paraId="73A92112" w14:textId="10809A01"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esta medida, el propósito de la norma </w:t>
      </w:r>
      <w:r>
        <w:rPr>
          <w:rFonts w:ascii="Arial" w:eastAsia="Calibri" w:hAnsi="Arial" w:cs="Arial"/>
          <w:color w:val="000000"/>
          <w:szCs w:val="24"/>
          <w:lang w:val="es-ES_tradnl" w:eastAsia="en-GB"/>
        </w:rPr>
        <w:t>es</w:t>
      </w:r>
      <w:r w:rsidRPr="00D505B1">
        <w:rPr>
          <w:rFonts w:ascii="Arial" w:eastAsia="Calibri" w:hAnsi="Arial" w:cs="Arial"/>
          <w:color w:val="000000"/>
          <w:szCs w:val="24"/>
          <w:lang w:val="es-ES_tradnl" w:eastAsia="en-GB"/>
        </w:rPr>
        <w:t xml:space="preserve"> no solo </w:t>
      </w:r>
      <w:bookmarkStart w:id="8" w:name="_Hlk84667055"/>
      <w:r w:rsidRPr="00D505B1">
        <w:rPr>
          <w:rFonts w:ascii="Arial" w:eastAsia="Calibri" w:hAnsi="Arial" w:cs="Arial"/>
          <w:color w:val="000000"/>
          <w:szCs w:val="24"/>
          <w:lang w:val="es-ES_tradnl" w:eastAsia="en-GB"/>
        </w:rPr>
        <w:t xml:space="preserve">estructurar un sistema de registro, sino también identificar el estado real de la infraestructura de obra en cada </w:t>
      </w:r>
      <w:r>
        <w:rPr>
          <w:rFonts w:ascii="Arial" w:eastAsia="Calibri" w:hAnsi="Arial" w:cs="Arial"/>
          <w:color w:val="000000"/>
          <w:szCs w:val="24"/>
          <w:lang w:val="es-ES_tradnl" w:eastAsia="en-GB"/>
        </w:rPr>
        <w:t>entidad</w:t>
      </w:r>
      <w:r w:rsidRPr="00D505B1">
        <w:rPr>
          <w:rFonts w:ascii="Arial" w:eastAsia="Calibri" w:hAnsi="Arial" w:cs="Arial"/>
          <w:color w:val="000000"/>
          <w:szCs w:val="24"/>
          <w:lang w:val="es-ES_tradnl" w:eastAsia="en-GB"/>
        </w:rPr>
        <w:t xml:space="preserve"> pública, con miras a elaborar un diagnóstico sobre la viabilidad técnica, financiera y jurídica de terminar o demoler la obra, asegurando que pueda realizar una inversión de sus recursos para la intervención de esta.</w:t>
      </w:r>
    </w:p>
    <w:bookmarkEnd w:id="8"/>
    <w:p w14:paraId="3A66B2AA" w14:textId="0C3C277E"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Por ello los artículos 5 y 13 </w:t>
      </w:r>
      <w:r w:rsidRPr="00D505B1">
        <w:rPr>
          <w:rFonts w:ascii="Arial" w:eastAsia="Calibri" w:hAnsi="Arial" w:cs="Arial"/>
          <w:i/>
          <w:color w:val="000000"/>
          <w:szCs w:val="24"/>
          <w:lang w:val="es-ES_tradnl" w:eastAsia="en-GB"/>
        </w:rPr>
        <w:t>ibídem</w:t>
      </w:r>
      <w:r w:rsidRPr="00D505B1">
        <w:rPr>
          <w:rFonts w:ascii="Arial" w:eastAsia="Calibri" w:hAnsi="Arial" w:cs="Arial"/>
          <w:color w:val="000000"/>
          <w:szCs w:val="24"/>
          <w:lang w:val="es-ES_tradnl" w:eastAsia="en-GB"/>
        </w:rPr>
        <w:t xml:space="preserve"> disponen que la </w:t>
      </w:r>
      <w:r w:rsidR="00021C90">
        <w:rPr>
          <w:rFonts w:ascii="Arial" w:eastAsia="Calibri" w:hAnsi="Arial" w:cs="Arial"/>
          <w:color w:val="000000"/>
          <w:szCs w:val="24"/>
          <w:lang w:val="es-ES_tradnl" w:eastAsia="en-GB"/>
        </w:rPr>
        <w:t>Entidad Estatal</w:t>
      </w:r>
      <w:r w:rsidRPr="00D505B1">
        <w:rPr>
          <w:rFonts w:ascii="Arial" w:eastAsia="Calibri" w:hAnsi="Arial" w:cs="Arial"/>
          <w:color w:val="000000"/>
          <w:szCs w:val="24"/>
          <w:lang w:val="es-ES_tradnl" w:eastAsia="en-GB"/>
        </w:rPr>
        <w:t xml:space="preserve">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w:t>
      </w:r>
      <w:r>
        <w:rPr>
          <w:rFonts w:ascii="Arial" w:eastAsia="Calibri" w:hAnsi="Arial" w:cs="Arial"/>
          <w:color w:val="000000"/>
          <w:szCs w:val="24"/>
          <w:lang w:val="es-ES_tradnl" w:eastAsia="en-GB"/>
        </w:rPr>
        <w:t xml:space="preserve"> </w:t>
      </w:r>
      <w:r w:rsidRPr="00D505B1">
        <w:rPr>
          <w:rFonts w:ascii="Arial" w:eastAsia="Calibri" w:hAnsi="Arial" w:cs="Arial"/>
          <w:color w:val="000000"/>
          <w:szCs w:val="24"/>
          <w:lang w:val="es-ES_tradnl" w:eastAsia="en-GB"/>
        </w:rPr>
        <w:t xml:space="preserve">una estrategia de atención para determinar la intervención de las obras que se encuentren en el Registro Nacional de Obras Civiles Inconclusas, con énfasis </w:t>
      </w:r>
      <w:r w:rsidRPr="00D505B1">
        <w:rPr>
          <w:rFonts w:ascii="Arial" w:eastAsia="Calibri" w:hAnsi="Arial" w:cs="Arial"/>
          <w:color w:val="000000"/>
          <w:szCs w:val="24"/>
          <w:lang w:val="es-ES_tradnl" w:eastAsia="en-GB"/>
        </w:rPr>
        <w:lastRenderedPageBreak/>
        <w:t>en aquellas que lleven más tiempo sin intervención, siempre atendiendo a la disponibilidad de recursos</w:t>
      </w:r>
      <w:r w:rsidRPr="00D505B1">
        <w:rPr>
          <w:rFonts w:ascii="Arial" w:eastAsia="Calibri" w:hAnsi="Arial" w:cs="Arial"/>
          <w:color w:val="000000"/>
          <w:szCs w:val="24"/>
          <w:vertAlign w:val="superscript"/>
          <w:lang w:val="es-ES_tradnl" w:eastAsia="en-GB"/>
        </w:rPr>
        <w:footnoteReference w:id="33"/>
      </w:r>
      <w:r w:rsidRPr="00D505B1">
        <w:rPr>
          <w:rFonts w:ascii="Arial" w:eastAsia="Calibri" w:hAnsi="Arial" w:cs="Arial"/>
          <w:color w:val="000000"/>
          <w:szCs w:val="24"/>
          <w:lang w:val="es-ES_tradnl" w:eastAsia="en-GB"/>
        </w:rPr>
        <w:t xml:space="preserve">. </w:t>
      </w:r>
    </w:p>
    <w:p w14:paraId="10E0F8CE" w14:textId="40B37FF1"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tal sentido, esta ley busca que la </w:t>
      </w:r>
      <w:r w:rsidR="00021C90">
        <w:rPr>
          <w:rFonts w:ascii="Arial" w:eastAsia="Calibri" w:hAnsi="Arial" w:cs="Arial"/>
          <w:color w:val="000000"/>
          <w:szCs w:val="24"/>
          <w:lang w:val="es-ES_tradnl" w:eastAsia="en-GB"/>
        </w:rPr>
        <w:t>Entidad Estatal</w:t>
      </w:r>
      <w:r w:rsidRPr="00D505B1">
        <w:rPr>
          <w:rFonts w:ascii="Arial" w:eastAsia="Calibri" w:hAnsi="Arial" w:cs="Arial"/>
          <w:color w:val="000000"/>
          <w:szCs w:val="24"/>
          <w:lang w:val="es-ES_tradnl" w:eastAsia="en-GB"/>
        </w:rPr>
        <w:t xml:space="preserve">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por el representante legal de la entidad a cargo de la obra, y solo podrá ordenarse en casos de ruina o grave amenaza a los derechos fundamentales o colectivos, debidamente evaluada. </w:t>
      </w:r>
    </w:p>
    <w:p w14:paraId="21B5B088" w14:textId="23CBC7F3"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1F1B87">
        <w:rPr>
          <w:rFonts w:ascii="Arial" w:eastAsia="Calibri" w:hAnsi="Arial" w:cs="Arial"/>
          <w:color w:val="000000"/>
          <w:szCs w:val="24"/>
          <w:u w:val="single"/>
          <w:lang w:val="es-ES_tradnl" w:eastAsia="en-GB"/>
        </w:rPr>
        <w:t>De conformidad con el artículo 3 de la Ley 2020 de 2020</w:t>
      </w:r>
      <w:r w:rsidRPr="001F1B87">
        <w:rPr>
          <w:rFonts w:ascii="Arial" w:eastAsia="Calibri" w:hAnsi="Arial" w:cs="Arial"/>
          <w:color w:val="000000"/>
          <w:szCs w:val="24"/>
          <w:u w:val="single"/>
          <w:vertAlign w:val="superscript"/>
          <w:lang w:val="es-ES_tradnl" w:eastAsia="en-GB"/>
        </w:rPr>
        <w:footnoteReference w:id="34"/>
      </w:r>
      <w:r w:rsidRPr="001F1B87">
        <w:rPr>
          <w:rFonts w:ascii="Arial" w:eastAsia="Calibri" w:hAnsi="Arial" w:cs="Arial"/>
          <w:color w:val="000000"/>
          <w:szCs w:val="24"/>
          <w:u w:val="single"/>
          <w:lang w:val="es-ES_tradnl" w:eastAsia="en-GB"/>
        </w:rPr>
        <w:t>, el Registro Nacional de Obras Civiles Inconclusas es un sistema administrado por la Contraloría General de la República</w:t>
      </w:r>
      <w:r w:rsidRPr="001F1B87">
        <w:rPr>
          <w:rFonts w:ascii="Arial" w:eastAsia="Calibri" w:hAnsi="Arial" w:cs="Arial"/>
          <w:color w:val="000000"/>
          <w:szCs w:val="24"/>
          <w:u w:val="single"/>
          <w:vertAlign w:val="superscript"/>
          <w:lang w:val="es-ES_tradnl" w:eastAsia="en-GB"/>
        </w:rPr>
        <w:footnoteReference w:id="35"/>
      </w:r>
      <w:r w:rsidRPr="001F1B87">
        <w:rPr>
          <w:rFonts w:ascii="Arial" w:eastAsia="Calibri" w:hAnsi="Arial" w:cs="Arial"/>
          <w:color w:val="000000"/>
          <w:szCs w:val="24"/>
          <w:u w:val="single"/>
          <w:lang w:val="es-ES_tradnl" w:eastAsia="en-GB"/>
        </w:rPr>
        <w:t>, construido a partir de la información remitida por las entidades estatales en los distintos niveles o los datos obtenidos por dicho órgano de control fiscal, sobre las obras inconclusas del país</w:t>
      </w:r>
      <w:r w:rsidRPr="00D505B1">
        <w:rPr>
          <w:rFonts w:ascii="Arial" w:eastAsia="Calibri" w:hAnsi="Arial" w:cs="Arial"/>
          <w:color w:val="000000"/>
          <w:szCs w:val="24"/>
          <w:lang w:val="es-ES_tradnl" w:eastAsia="en-GB"/>
        </w:rPr>
        <w:t xml:space="preserve">. El artículo 2, literal b) de la Ley 2020 de 2020 complementa esta noción, indicando que el Registro Nacional de Obras Civiles Inconclusas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Es un sistema que contiene los datos sobre obras inconclusas en todo el territorio nacional. El inventario de obras civiles inconclusas reportado por las entidades estatales hará parte integral del banco de proyectos de la respectiva entidad</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w:t>
      </w:r>
    </w:p>
    <w:p w14:paraId="52422600" w14:textId="77777777" w:rsidR="00A33061" w:rsidRPr="00D505B1" w:rsidRDefault="00A33061" w:rsidP="00A3306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Asimismo, la información de este</w:t>
      </w:r>
      <w:r w:rsidRPr="00D505B1">
        <w:rPr>
          <w:rFonts w:ascii="Arial" w:eastAsia="Times New Roman" w:hAnsi="Arial" w:cs="Arial"/>
          <w:color w:val="000000"/>
          <w:szCs w:val="24"/>
          <w:lang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w:t>
      </w:r>
      <w:r w:rsidRPr="00D505B1">
        <w:rPr>
          <w:rFonts w:ascii="Arial" w:eastAsia="Times New Roman" w:hAnsi="Arial" w:cs="Arial"/>
          <w:color w:val="000000"/>
          <w:szCs w:val="24"/>
          <w:lang w:eastAsia="es-ES_tradnl"/>
        </w:rPr>
        <w:lastRenderedPageBreak/>
        <w:t>estatales deberán garantizar la actualización permanente del Registro Nacional de Obras Civiles Inconclusas en los términos y condiciones que disponga la Contraloría General de la República</w:t>
      </w:r>
      <w:r w:rsidRPr="00D505B1">
        <w:rPr>
          <w:rFonts w:ascii="Arial" w:eastAsia="Calibri" w:hAnsi="Arial" w:cs="Arial"/>
          <w:color w:val="000000"/>
          <w:szCs w:val="24"/>
          <w:vertAlign w:val="superscript"/>
          <w:lang w:val="es-ES_tradnl" w:eastAsia="en-GB"/>
        </w:rPr>
        <w:footnoteReference w:id="36"/>
      </w:r>
      <w:r w:rsidRPr="00D505B1">
        <w:rPr>
          <w:rFonts w:ascii="Arial" w:eastAsia="Times New Roman" w:hAnsi="Arial" w:cs="Arial"/>
          <w:color w:val="000000"/>
          <w:szCs w:val="24"/>
          <w:lang w:eastAsia="es-ES_tradnl"/>
        </w:rPr>
        <w:t>.</w:t>
      </w:r>
    </w:p>
    <w:p w14:paraId="4EB8AA9C" w14:textId="270DE2DB"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eastAsia="en-GB"/>
        </w:rPr>
      </w:pPr>
      <w:r w:rsidRPr="00D505B1">
        <w:rPr>
          <w:rFonts w:ascii="Arial" w:eastAsia="Calibri" w:hAnsi="Arial" w:cs="Arial"/>
          <w:color w:val="000000"/>
          <w:szCs w:val="24"/>
          <w:lang w:val="es-ES_tradnl" w:eastAsia="en-GB"/>
        </w:rPr>
        <w:t xml:space="preserve">De esta manera, la </w:t>
      </w:r>
      <w:r w:rsidRPr="00D505B1">
        <w:rPr>
          <w:rFonts w:ascii="Arial" w:eastAsia="Times New Roman" w:hAnsi="Arial" w:cs="Arial"/>
          <w:color w:val="000000"/>
          <w:szCs w:val="24"/>
          <w:lang w:eastAsia="es-ES_tradnl"/>
        </w:rPr>
        <w:t xml:space="preserve">Contraloría General de la República, a través de la Dirección de Información, Análisis y Reacción Inmediata, es la encargada de dirigir y coordinar </w:t>
      </w:r>
      <w:r w:rsidRPr="00D505B1">
        <w:rPr>
          <w:rFonts w:ascii="Arial" w:eastAsia="Calibri" w:hAnsi="Arial" w:cs="Arial"/>
          <w:color w:val="000000"/>
          <w:szCs w:val="24"/>
          <w:lang w:val="es-ES_tradnl" w:eastAsia="en-GB"/>
        </w:rPr>
        <w:t xml:space="preserve">el Registro Nacional de Obras Civiles Inconclusas y realizar el seguimiento y actualización de este. Por ello, </w:t>
      </w:r>
      <w:r w:rsidRPr="00D505B1">
        <w:rPr>
          <w:rFonts w:ascii="Arial" w:eastAsia="Calibri" w:hAnsi="Arial" w:cs="Arial"/>
          <w:color w:val="000000"/>
          <w:szCs w:val="24"/>
          <w:lang w:eastAsia="en-GB"/>
        </w:rPr>
        <w:t>mediante la Resolución No. REG-ORD-0042-2020 del 25 de agosto de 2020</w:t>
      </w:r>
      <w:r w:rsidRPr="00D505B1">
        <w:rPr>
          <w:rFonts w:ascii="Arial" w:eastAsia="Calibri" w:hAnsi="Arial" w:cs="Arial"/>
          <w:color w:val="000000"/>
          <w:szCs w:val="24"/>
          <w:vertAlign w:val="superscript"/>
          <w:lang w:eastAsia="en-GB"/>
        </w:rPr>
        <w:footnoteReference w:id="37"/>
      </w:r>
      <w:r w:rsidRPr="00D505B1">
        <w:rPr>
          <w:rFonts w:ascii="Arial" w:eastAsia="Calibri" w:hAnsi="Arial" w:cs="Arial"/>
          <w:color w:val="000000"/>
          <w:szCs w:val="24"/>
          <w:lang w:eastAsia="en-GB"/>
        </w:rPr>
        <w:t xml:space="preserve">, expedida por </w:t>
      </w:r>
      <w:r w:rsidRPr="00D505B1">
        <w:rPr>
          <w:rFonts w:ascii="Arial" w:eastAsia="Calibri" w:hAnsi="Arial" w:cs="Arial"/>
          <w:color w:val="000000"/>
          <w:szCs w:val="24"/>
          <w:lang w:val="es-ES_tradnl" w:eastAsia="en-GB"/>
        </w:rPr>
        <w:t xml:space="preserve">la </w:t>
      </w:r>
      <w:r w:rsidRPr="00D505B1">
        <w:rPr>
          <w:rFonts w:ascii="Arial" w:eastAsia="Times New Roman" w:hAnsi="Arial" w:cs="Arial"/>
          <w:color w:val="000000"/>
          <w:szCs w:val="24"/>
          <w:lang w:eastAsia="es-ES_tradnl"/>
        </w:rPr>
        <w:t>Contraloría General de la República,</w:t>
      </w:r>
      <w:r w:rsidRPr="00D505B1">
        <w:rPr>
          <w:rFonts w:ascii="Arial" w:eastAsia="Calibri" w:hAnsi="Arial" w:cs="Arial"/>
          <w:color w:val="000000"/>
          <w:szCs w:val="24"/>
          <w:lang w:eastAsia="en-GB"/>
        </w:rPr>
        <w:t xml:space="preserve"> se estableció que la información concerniente al Registro Nacional de Obras Civiles Inconclusas se rendiría a través del SIRECI, conforme al Capítulo II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Información de Obras Inconclusas</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del Título III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Rendición de Otra Información</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14:paraId="1D760FFF"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Respecto al contenido del Registro Nacional de Obras Civiles Inconclusas, </w:t>
      </w:r>
      <w:bookmarkStart w:id="9" w:name="_Hlk71184896"/>
      <w:r w:rsidRPr="00D505B1">
        <w:rPr>
          <w:rFonts w:ascii="Arial" w:eastAsia="Calibri" w:hAnsi="Arial" w:cs="Arial"/>
          <w:color w:val="000000"/>
          <w:szCs w:val="24"/>
          <w:lang w:val="es-ES_tradnl" w:eastAsia="en-GB"/>
        </w:rPr>
        <w:t xml:space="preserve">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D505B1">
        <w:rPr>
          <w:rFonts w:ascii="Arial" w:eastAsia="Calibri" w:hAnsi="Arial" w:cs="Arial"/>
        </w:rPr>
        <w:t>informe final presentado por el interventor del proyecto y la demás información que establezca la Contraloría General de la República.</w:t>
      </w:r>
      <w:r w:rsidRPr="00D505B1">
        <w:rPr>
          <w:rFonts w:ascii="Arial" w:eastAsia="Calibri" w:hAnsi="Arial" w:cs="Arial"/>
          <w:color w:val="000000"/>
          <w:szCs w:val="24"/>
          <w:lang w:val="es-ES_tradnl" w:eastAsia="en-GB"/>
        </w:rPr>
        <w:t xml:space="preserve"> </w:t>
      </w:r>
    </w:p>
    <w:p w14:paraId="55505DA3"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Igualmente, conforme al artículo 15 </w:t>
      </w:r>
      <w:r w:rsidRPr="00D505B1">
        <w:rPr>
          <w:rFonts w:ascii="Arial" w:eastAsia="Calibri" w:hAnsi="Arial" w:cs="Arial"/>
          <w:i/>
          <w:iCs/>
          <w:color w:val="000000"/>
          <w:szCs w:val="24"/>
          <w:lang w:val="es-ES_tradnl" w:eastAsia="en-GB"/>
        </w:rPr>
        <w:t>ibídem</w:t>
      </w:r>
      <w:r>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se incluirán en </w:t>
      </w:r>
      <w:r w:rsidRPr="00D505B1">
        <w:rPr>
          <w:rFonts w:ascii="Arial" w:eastAsia="Calibri" w:hAnsi="Arial" w:cs="Arial"/>
          <w:color w:val="000000"/>
          <w:szCs w:val="24"/>
          <w:lang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0725124E" w14:textId="53E238C2" w:rsidR="00A33061" w:rsidRPr="00D505B1" w:rsidRDefault="00A33061" w:rsidP="00A33061">
      <w:pPr>
        <w:spacing w:before="120" w:after="0" w:line="276" w:lineRule="auto"/>
        <w:ind w:firstLine="567"/>
        <w:jc w:val="both"/>
        <w:rPr>
          <w:rFonts w:ascii="Arial" w:eastAsia="Times New Roman" w:hAnsi="Arial" w:cs="Arial"/>
          <w:bCs/>
          <w:color w:val="000000"/>
          <w:lang w:eastAsia="es-ES_tradnl"/>
        </w:rPr>
      </w:pPr>
      <w:r w:rsidRPr="00D505B1">
        <w:rPr>
          <w:rFonts w:ascii="Arial" w:eastAsia="Calibri" w:hAnsi="Arial" w:cs="Arial"/>
          <w:lang w:val="es-ES_tradnl"/>
        </w:rPr>
        <w:t xml:space="preserve">En este contexto, las obras civiles inconclusas que deben incluirse en el Registro </w:t>
      </w:r>
      <w:r w:rsidRPr="00D505B1">
        <w:rPr>
          <w:rFonts w:ascii="Arial" w:eastAsia="Calibri" w:hAnsi="Arial" w:cs="Arial"/>
          <w:color w:val="000000"/>
          <w:lang w:val="es-ES_tradnl" w:eastAsia="en-GB"/>
        </w:rPr>
        <w:t>Nacional de Obras Civiles Inconclusas están determinadas por la Ley 2020 de 2020, cuya administración es competencia de la Contraloría General de la República</w:t>
      </w:r>
      <w:r w:rsidRPr="00D505B1">
        <w:rPr>
          <w:rFonts w:ascii="Arial" w:eastAsia="Calibri" w:hAnsi="Arial" w:cs="Arial"/>
          <w:lang w:val="es-ES_tradnl"/>
        </w:rPr>
        <w:t xml:space="preserve">. Por tanto, la </w:t>
      </w:r>
      <w:r w:rsidR="00021C90">
        <w:rPr>
          <w:rFonts w:ascii="Arial" w:eastAsia="Calibri" w:hAnsi="Arial" w:cs="Arial"/>
          <w:lang w:val="es-ES_tradnl"/>
        </w:rPr>
        <w:t>Entidad Estatal</w:t>
      </w:r>
      <w:r w:rsidRPr="00D505B1">
        <w:rPr>
          <w:rFonts w:ascii="Arial" w:eastAsia="Calibri" w:hAnsi="Arial" w:cs="Arial"/>
          <w:lang w:val="es-ES_tradnl"/>
        </w:rPr>
        <w:t xml:space="preserve"> responsable tiene la obligación de reportar la información que exige </w:t>
      </w:r>
      <w:r w:rsidRPr="00D505B1">
        <w:rPr>
          <w:rFonts w:ascii="Arial" w:eastAsia="Times New Roman" w:hAnsi="Arial" w:cs="Arial"/>
          <w:bCs/>
          <w:color w:val="000000"/>
          <w:lang w:eastAsia="es-ES_tradnl"/>
        </w:rPr>
        <w:t xml:space="preserve">el artículo 2 de dicha Ley, de </w:t>
      </w:r>
      <w:r w:rsidRPr="00D505B1">
        <w:rPr>
          <w:rFonts w:ascii="Arial" w:eastAsia="Times New Roman" w:hAnsi="Arial" w:cs="Arial"/>
          <w:bCs/>
          <w:color w:val="000000"/>
          <w:lang w:eastAsia="es-ES_tradnl"/>
        </w:rPr>
        <w:lastRenderedPageBreak/>
        <w:t xml:space="preserve">acuerdo con los presupuestos allí descritos, en concordancia con lo dispuesto en el artículo 4 sobre la información mínima que debe incorporar en el Registro, </w:t>
      </w:r>
      <w:r w:rsidRPr="00D505B1">
        <w:rPr>
          <w:rFonts w:ascii="Arial" w:eastAsia="Calibri" w:hAnsi="Arial" w:cs="Arial"/>
          <w:lang w:val="es-ES_tradnl"/>
        </w:rPr>
        <w:t xml:space="preserve">así como toda aquella información que establezca </w:t>
      </w:r>
      <w:r w:rsidRPr="00D505B1">
        <w:rPr>
          <w:rFonts w:ascii="Arial" w:eastAsia="Calibri" w:hAnsi="Arial" w:cs="Arial"/>
          <w:color w:val="000000"/>
          <w:szCs w:val="24"/>
          <w:lang w:val="es-ES_tradnl" w:eastAsia="en-GB"/>
        </w:rPr>
        <w:t xml:space="preserve">la Contraloría General de la </w:t>
      </w:r>
      <w:r w:rsidRPr="00D505B1">
        <w:rPr>
          <w:rFonts w:ascii="Arial" w:eastAsia="Calibri" w:hAnsi="Arial" w:cs="Arial"/>
          <w:color w:val="000000"/>
          <w:lang w:val="es-ES_tradnl" w:eastAsia="en-GB"/>
        </w:rPr>
        <w:t>República en el marco de sus competencias</w:t>
      </w:r>
      <w:r w:rsidRPr="00D505B1">
        <w:rPr>
          <w:rFonts w:ascii="Arial" w:eastAsia="Times New Roman" w:hAnsi="Arial" w:cs="Arial"/>
          <w:bCs/>
          <w:color w:val="000000"/>
          <w:lang w:eastAsia="es-ES_tradnl"/>
        </w:rPr>
        <w:t xml:space="preserve">. </w:t>
      </w:r>
    </w:p>
    <w:p w14:paraId="343BF6E1" w14:textId="77777777" w:rsidR="00A33061" w:rsidRPr="00D505B1" w:rsidRDefault="00A33061" w:rsidP="00A33061">
      <w:pPr>
        <w:spacing w:before="120" w:after="0" w:line="276" w:lineRule="auto"/>
        <w:ind w:firstLine="567"/>
        <w:jc w:val="both"/>
        <w:rPr>
          <w:rFonts w:ascii="Arial" w:eastAsia="Calibri" w:hAnsi="Arial" w:cs="Arial"/>
          <w:lang w:val="es-ES_tradnl"/>
        </w:rPr>
      </w:pPr>
      <w:r w:rsidRPr="00D505B1">
        <w:rPr>
          <w:rFonts w:ascii="Arial" w:eastAsia="Times New Roman" w:hAnsi="Arial" w:cs="Arial"/>
          <w:bCs/>
          <w:color w:val="000000"/>
          <w:lang w:eastAsia="es-ES_tradnl"/>
        </w:rPr>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D505B1">
        <w:rPr>
          <w:rFonts w:ascii="Arial" w:eastAsia="Calibri" w:hAnsi="Arial" w:cs="Arial"/>
          <w:color w:val="000000"/>
          <w:szCs w:val="24"/>
          <w:lang w:eastAsia="en-GB"/>
        </w:rPr>
        <w:t>las obras civiles ya terminadas que no se encuentren en funcionamiento</w:t>
      </w:r>
      <w:r w:rsidRPr="00D505B1">
        <w:rPr>
          <w:rFonts w:ascii="Arial" w:eastAsia="Times New Roman" w:hAnsi="Arial" w:cs="Arial"/>
          <w:bCs/>
          <w:color w:val="000000"/>
          <w:lang w:eastAsia="es-ES_tradnl"/>
        </w:rPr>
        <w:t xml:space="preserve"> de acuerdo con los criterios y el término para su incorporación que establezca la Contraloría General de la República. </w:t>
      </w:r>
    </w:p>
    <w:bookmarkEnd w:id="9"/>
    <w:p w14:paraId="7B7AE695"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Según artículo 9 de la Ley 2020 de 2020, la obligación de reportar esta información recae en </w:t>
      </w:r>
      <w:r w:rsidRPr="00D505B1">
        <w:rPr>
          <w:rFonts w:ascii="Arial" w:eastAsia="Calibri" w:hAnsi="Arial" w:cs="Arial"/>
          <w:color w:val="000000"/>
          <w:szCs w:val="24"/>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D505B1">
        <w:rPr>
          <w:rFonts w:ascii="Arial" w:eastAsia="Calibri" w:hAnsi="Arial" w:cs="Arial"/>
          <w:color w:val="000000"/>
          <w:szCs w:val="24"/>
          <w:lang w:val="es-ES_tradnl" w:eastAsia="en-GB"/>
        </w:rPr>
        <w:t xml:space="preserve"> y su incumplimiento genera las sanciones respectivas conforme a la normativa vigente</w:t>
      </w:r>
      <w:r w:rsidRPr="00D505B1">
        <w:rPr>
          <w:rFonts w:ascii="Arial" w:eastAsia="Calibri" w:hAnsi="Arial" w:cs="Arial"/>
          <w:color w:val="000000"/>
          <w:szCs w:val="24"/>
          <w:vertAlign w:val="superscript"/>
          <w:lang w:val="es-ES_tradnl" w:eastAsia="en-GB"/>
        </w:rPr>
        <w:footnoteReference w:id="38"/>
      </w:r>
      <w:r w:rsidRPr="00D505B1">
        <w:rPr>
          <w:rFonts w:ascii="Arial" w:eastAsia="Calibri" w:hAnsi="Arial" w:cs="Arial"/>
          <w:color w:val="000000"/>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34ECE1F5" w14:textId="036C7659"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esta manera, debido al carácter público de la información del registro, podrá </w:t>
      </w:r>
      <w:bookmarkStart w:id="10" w:name="_Hlk85120931"/>
      <w:r w:rsidRPr="00D505B1">
        <w:rPr>
          <w:rFonts w:ascii="Arial" w:eastAsia="Calibri" w:hAnsi="Arial" w:cs="Arial"/>
          <w:color w:val="000000"/>
          <w:szCs w:val="24"/>
          <w:lang w:val="es-ES_tradnl" w:eastAsia="en-GB"/>
        </w:rPr>
        <w:t>verificarse en el sistema dispuesto por la Contraloría General de la Nación el motivo por el cual la obra civil qued</w:t>
      </w:r>
      <w:r>
        <w:rPr>
          <w:rFonts w:ascii="Arial" w:eastAsia="Calibri" w:hAnsi="Arial" w:cs="Arial"/>
          <w:color w:val="000000"/>
          <w:szCs w:val="24"/>
          <w:lang w:val="es-ES_tradnl" w:eastAsia="en-GB"/>
        </w:rPr>
        <w:t>ó</w:t>
      </w:r>
      <w:r w:rsidRPr="00D505B1">
        <w:rPr>
          <w:rFonts w:ascii="Arial" w:eastAsia="Calibri" w:hAnsi="Arial" w:cs="Arial"/>
          <w:color w:val="000000"/>
          <w:szCs w:val="24"/>
          <w:lang w:val="es-ES_tradnl" w:eastAsia="en-GB"/>
        </w:rPr>
        <w:t xml:space="preserve"> inconclusa, así como las situaciones de incumplimiento del contratista y en general el estado jurídico, técnico y financiero de la obra</w:t>
      </w:r>
      <w:bookmarkEnd w:id="10"/>
      <w:r w:rsidRPr="00D505B1">
        <w:rPr>
          <w:rFonts w:ascii="Arial" w:eastAsia="Calibri" w:hAnsi="Arial" w:cs="Arial"/>
          <w:color w:val="000000"/>
          <w:szCs w:val="24"/>
          <w:lang w:val="es-ES_tradnl" w:eastAsia="en-GB"/>
        </w:rPr>
        <w:t xml:space="preserve">. Si se presenta alguna controversia respecto de la información suministrada por la </w:t>
      </w:r>
      <w:r w:rsidR="00021C90">
        <w:rPr>
          <w:rFonts w:ascii="Arial" w:eastAsia="Calibri" w:hAnsi="Arial" w:cs="Arial"/>
          <w:color w:val="000000"/>
          <w:szCs w:val="24"/>
          <w:lang w:val="es-ES_tradnl" w:eastAsia="en-GB"/>
        </w:rPr>
        <w:t>Entidad Estatal</w:t>
      </w:r>
      <w:r w:rsidRPr="00D505B1">
        <w:rPr>
          <w:rFonts w:ascii="Arial" w:eastAsia="Calibri" w:hAnsi="Arial" w:cs="Arial"/>
          <w:color w:val="000000"/>
          <w:szCs w:val="24"/>
          <w:lang w:val="es-ES_tradnl" w:eastAsia="en-GB"/>
        </w:rPr>
        <w:t xml:space="preserve">, esta será la encargada de resolverla atendiendo los principios y disposiciones establecidos en la normativa vigente. Conforme al artículo 12, es preciso señalar que la cancelación de la anotación de la obra en el Registro Nacional de Obras Civiles Inconclusas solo operará a solicitud de la </w:t>
      </w:r>
      <w:r w:rsidR="00021C90">
        <w:rPr>
          <w:rFonts w:ascii="Arial" w:eastAsia="Calibri" w:hAnsi="Arial" w:cs="Arial"/>
          <w:color w:val="000000"/>
          <w:szCs w:val="24"/>
          <w:lang w:val="es-ES_tradnl" w:eastAsia="en-GB"/>
        </w:rPr>
        <w:t>Entidad Estatal</w:t>
      </w:r>
      <w:r w:rsidRPr="00D505B1">
        <w:rPr>
          <w:rFonts w:ascii="Arial" w:eastAsia="Calibri" w:hAnsi="Arial" w:cs="Arial"/>
          <w:color w:val="000000"/>
          <w:szCs w:val="24"/>
          <w:lang w:val="es-ES_tradnl" w:eastAsia="en-GB"/>
        </w:rPr>
        <w:t xml:space="preserve"> una vez haya sido demolida o finalizada exitosamente.</w:t>
      </w:r>
    </w:p>
    <w:p w14:paraId="7EA54958" w14:textId="77777777" w:rsidR="00A33061" w:rsidRPr="00D505B1" w:rsidRDefault="00A33061" w:rsidP="00A33061">
      <w:pPr>
        <w:tabs>
          <w:tab w:val="left" w:pos="0"/>
        </w:tabs>
        <w:spacing w:after="0" w:line="276" w:lineRule="auto"/>
        <w:ind w:firstLine="709"/>
        <w:jc w:val="both"/>
        <w:rPr>
          <w:rFonts w:ascii="Arial" w:eastAsia="Calibri" w:hAnsi="Arial" w:cs="Arial"/>
          <w:color w:val="000000"/>
          <w:szCs w:val="24"/>
          <w:lang w:val="es-ES_tradnl" w:eastAsia="en-GB"/>
        </w:rPr>
      </w:pPr>
    </w:p>
    <w:p w14:paraId="25FBB0E7" w14:textId="429AD8A2" w:rsidR="00A33061" w:rsidRPr="00D505B1" w:rsidRDefault="004A11D8" w:rsidP="00A33061">
      <w:pPr>
        <w:tabs>
          <w:tab w:val="left" w:pos="0"/>
        </w:tabs>
        <w:spacing w:after="0" w:line="276" w:lineRule="auto"/>
        <w:jc w:val="both"/>
        <w:rPr>
          <w:rFonts w:ascii="Arial" w:eastAsia="Calibri" w:hAnsi="Arial" w:cs="Arial"/>
          <w:b/>
          <w:bCs/>
          <w:color w:val="000000"/>
          <w:szCs w:val="24"/>
          <w:lang w:val="es-ES_tradnl" w:eastAsia="en-GB"/>
        </w:rPr>
      </w:pPr>
      <w:r>
        <w:rPr>
          <w:rFonts w:ascii="Arial" w:eastAsia="Calibri" w:hAnsi="Arial" w:cs="Arial"/>
          <w:b/>
          <w:bCs/>
          <w:color w:val="000000"/>
          <w:szCs w:val="24"/>
          <w:lang w:val="es-ES_tradnl" w:eastAsia="en-GB"/>
        </w:rPr>
        <w:t>2.</w:t>
      </w:r>
      <w:r w:rsidR="00086FAF">
        <w:rPr>
          <w:rFonts w:ascii="Arial" w:eastAsia="Calibri" w:hAnsi="Arial" w:cs="Arial"/>
          <w:b/>
          <w:bCs/>
          <w:color w:val="000000"/>
          <w:szCs w:val="24"/>
          <w:lang w:val="es-ES_tradnl" w:eastAsia="en-GB"/>
        </w:rPr>
        <w:t>5</w:t>
      </w:r>
      <w:r>
        <w:rPr>
          <w:rFonts w:ascii="Arial" w:eastAsia="Calibri" w:hAnsi="Arial" w:cs="Arial"/>
          <w:b/>
          <w:bCs/>
          <w:color w:val="000000"/>
          <w:szCs w:val="24"/>
          <w:lang w:val="es-ES_tradnl" w:eastAsia="en-GB"/>
        </w:rPr>
        <w:t xml:space="preserve">. </w:t>
      </w:r>
      <w:r w:rsidR="00A33061" w:rsidRPr="00D505B1">
        <w:rPr>
          <w:rFonts w:ascii="Arial" w:eastAsia="Calibri" w:hAnsi="Arial" w:cs="Arial"/>
          <w:b/>
          <w:bCs/>
          <w:color w:val="000000"/>
          <w:szCs w:val="24"/>
          <w:lang w:val="es-ES_tradnl" w:eastAsia="en-GB"/>
        </w:rPr>
        <w:t>Deber de verificación del Registro Nacional de Obras Civiles Inconclusas en la evaluación de las ofertas para la selección de contratistas de obra o interventores</w:t>
      </w:r>
    </w:p>
    <w:p w14:paraId="43BE522E" w14:textId="77777777" w:rsidR="00A33061" w:rsidRPr="00D505B1" w:rsidRDefault="00A33061" w:rsidP="00A33061">
      <w:pPr>
        <w:tabs>
          <w:tab w:val="left" w:pos="0"/>
        </w:tabs>
        <w:spacing w:after="0" w:line="276" w:lineRule="auto"/>
        <w:jc w:val="both"/>
        <w:rPr>
          <w:rFonts w:ascii="Arial" w:eastAsia="Calibri" w:hAnsi="Arial" w:cs="Arial"/>
          <w:color w:val="000000"/>
          <w:szCs w:val="24"/>
          <w:lang w:val="es-ES_tradnl" w:eastAsia="en-GB"/>
        </w:rPr>
      </w:pPr>
    </w:p>
    <w:p w14:paraId="77637464" w14:textId="127E3674" w:rsidR="00A33061" w:rsidRPr="00D505B1" w:rsidRDefault="00A33061" w:rsidP="00A3306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El artículo 6 de la Ley 2020 de 2020 establece un deber a cargo de las entidades estatales dentro de los procedimientos que adelanten para la contratación de obras públicas</w:t>
      </w:r>
      <w:r w:rsidR="00221164">
        <w:rPr>
          <w:rFonts w:ascii="Arial" w:eastAsia="Calibri" w:hAnsi="Arial" w:cs="Arial"/>
          <w:color w:val="000000"/>
          <w:szCs w:val="24"/>
          <w:lang w:val="es-ES_tradnl" w:eastAsia="en-GB"/>
        </w:rPr>
        <w:t>, c</w:t>
      </w:r>
      <w:r w:rsidRPr="00D505B1">
        <w:rPr>
          <w:rFonts w:ascii="Arial" w:eastAsia="Calibri" w:hAnsi="Arial" w:cs="Arial"/>
          <w:color w:val="000000"/>
          <w:szCs w:val="24"/>
          <w:lang w:val="es-ES_tradnl" w:eastAsia="en-GB"/>
        </w:rPr>
        <w:t xml:space="preserve">onsiste en la obligación de </w:t>
      </w:r>
      <w:r w:rsidRPr="00D505B1">
        <w:rPr>
          <w:rFonts w:ascii="Arial" w:eastAsia="Calibri" w:hAnsi="Arial" w:cs="Arial"/>
          <w:i/>
          <w:iCs/>
          <w:color w:val="000000"/>
          <w:szCs w:val="24"/>
          <w:lang w:val="es-ES_tradnl" w:eastAsia="en-GB"/>
        </w:rPr>
        <w:t>consultar</w:t>
      </w:r>
      <w:r w:rsidRPr="00D505B1">
        <w:rPr>
          <w:rFonts w:ascii="Arial" w:eastAsia="Calibri" w:hAnsi="Arial" w:cs="Arial"/>
          <w:color w:val="000000"/>
          <w:szCs w:val="24"/>
          <w:lang w:val="es-ES_tradnl" w:eastAsia="en-GB"/>
        </w:rPr>
        <w:t xml:space="preserve"> y </w:t>
      </w:r>
      <w:r w:rsidRPr="00D505B1">
        <w:rPr>
          <w:rFonts w:ascii="Arial" w:eastAsia="Calibri" w:hAnsi="Arial" w:cs="Arial"/>
          <w:i/>
          <w:iCs/>
          <w:color w:val="000000"/>
          <w:szCs w:val="24"/>
          <w:lang w:val="es-ES_tradnl" w:eastAsia="en-GB"/>
        </w:rPr>
        <w:t>analizar</w:t>
      </w:r>
      <w:r w:rsidRPr="00D505B1">
        <w:rPr>
          <w:rFonts w:ascii="Arial" w:eastAsia="Calibri" w:hAnsi="Arial" w:cs="Arial"/>
          <w:color w:val="000000"/>
          <w:szCs w:val="24"/>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 La norma prescribe lo siguiente:</w:t>
      </w:r>
    </w:p>
    <w:p w14:paraId="3D751DAF" w14:textId="77777777" w:rsidR="00A33061" w:rsidRPr="00D505B1" w:rsidRDefault="00A33061" w:rsidP="00A33061">
      <w:pPr>
        <w:tabs>
          <w:tab w:val="left" w:pos="0"/>
        </w:tabs>
        <w:spacing w:after="0" w:line="240" w:lineRule="auto"/>
        <w:ind w:left="709" w:right="709"/>
        <w:jc w:val="both"/>
        <w:rPr>
          <w:rFonts w:ascii="Arial" w:eastAsia="Calibri" w:hAnsi="Arial" w:cs="Arial"/>
          <w:color w:val="000000"/>
          <w:sz w:val="21"/>
          <w:szCs w:val="21"/>
          <w:lang w:val="es-ES_tradnl" w:eastAsia="en-GB"/>
        </w:rPr>
      </w:pPr>
    </w:p>
    <w:p w14:paraId="51009811" w14:textId="79CE32E7" w:rsidR="00A33061" w:rsidRPr="00D505B1" w:rsidRDefault="00221164" w:rsidP="00A33061">
      <w:pPr>
        <w:tabs>
          <w:tab w:val="left" w:pos="0"/>
        </w:tabs>
        <w:spacing w:after="120" w:line="240" w:lineRule="auto"/>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00A33061" w:rsidRPr="00D505B1">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1ED6A7AF" w14:textId="77777777" w:rsidR="00A33061" w:rsidRPr="00D505B1" w:rsidRDefault="00A33061" w:rsidP="00A3306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color w:val="000000"/>
          <w:sz w:val="21"/>
          <w:szCs w:val="21"/>
          <w:lang w:val="es-ES_tradnl" w:eastAsia="en-GB"/>
        </w:rPr>
        <w:t>Durante los procesos de selección objetiva para contratistas de obra o interventores</w:t>
      </w:r>
      <w:r w:rsidRPr="00D505B1">
        <w:rPr>
          <w:rFonts w:ascii="Arial" w:eastAsia="Calibri" w:hAnsi="Arial" w:cs="Arial"/>
          <w:color w:val="000000"/>
          <w:sz w:val="21"/>
          <w:szCs w:val="21"/>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BEBA072" w14:textId="771E2783" w:rsidR="00A33061" w:rsidRPr="00D505B1" w:rsidRDefault="00A33061" w:rsidP="00A3306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w:t>
      </w:r>
      <w:r w:rsidR="00221164">
        <w:rPr>
          <w:rFonts w:ascii="Arial" w:eastAsia="Calibri" w:hAnsi="Arial" w:cs="Arial"/>
          <w:color w:val="000000"/>
          <w:sz w:val="21"/>
          <w:szCs w:val="21"/>
          <w:lang w:val="es-ES_tradnl" w:eastAsia="en-GB"/>
        </w:rPr>
        <w:t>.”</w:t>
      </w:r>
      <w:r w:rsidRPr="00D505B1">
        <w:rPr>
          <w:rFonts w:ascii="Arial" w:eastAsia="Calibri" w:hAnsi="Arial" w:cs="Arial"/>
          <w:color w:val="000000"/>
          <w:sz w:val="21"/>
          <w:szCs w:val="21"/>
          <w:lang w:val="es-ES_tradnl" w:eastAsia="en-GB"/>
        </w:rPr>
        <w:t xml:space="preserve"> [énfasis fuera de texto]</w:t>
      </w:r>
    </w:p>
    <w:p w14:paraId="0976EDEA" w14:textId="77777777" w:rsidR="00A33061" w:rsidRPr="00D505B1" w:rsidRDefault="00A33061" w:rsidP="00A33061">
      <w:pPr>
        <w:tabs>
          <w:tab w:val="left" w:pos="0"/>
        </w:tabs>
        <w:spacing w:after="0" w:line="276" w:lineRule="auto"/>
        <w:jc w:val="both"/>
        <w:rPr>
          <w:rFonts w:ascii="Arial" w:eastAsia="Calibri" w:hAnsi="Arial" w:cs="Arial"/>
          <w:color w:val="000000"/>
          <w:szCs w:val="24"/>
          <w:lang w:val="es-ES_tradnl" w:eastAsia="en-GB"/>
        </w:rPr>
      </w:pPr>
    </w:p>
    <w:p w14:paraId="3291DBD6" w14:textId="475A684F" w:rsidR="00A33061" w:rsidRPr="00D505B1" w:rsidRDefault="00A33061" w:rsidP="00A3306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Como se observa, el artículo citado prescribe que </w:t>
      </w:r>
      <w:r w:rsidRPr="00116172">
        <w:rPr>
          <w:rFonts w:ascii="Arial" w:eastAsia="Calibri" w:hAnsi="Arial" w:cs="Arial"/>
          <w:color w:val="000000"/>
          <w:szCs w:val="24"/>
          <w:u w:val="single"/>
          <w:lang w:val="es-ES_tradnl" w:eastAsia="en-GB"/>
        </w:rPr>
        <w:t xml:space="preserve">las entidades estatales deben revisar </w:t>
      </w:r>
      <w:r w:rsidR="00C814A1" w:rsidRPr="00116172">
        <w:rPr>
          <w:rFonts w:ascii="Arial" w:eastAsia="Calibri" w:hAnsi="Arial" w:cs="Arial"/>
          <w:color w:val="000000"/>
          <w:szCs w:val="24"/>
          <w:u w:val="single"/>
          <w:lang w:val="es-ES_tradnl" w:eastAsia="en-GB"/>
        </w:rPr>
        <w:t>“</w:t>
      </w:r>
      <w:r w:rsidRPr="00116172">
        <w:rPr>
          <w:rFonts w:ascii="Arial" w:eastAsia="Calibri" w:hAnsi="Arial" w:cs="Arial"/>
          <w:color w:val="000000"/>
          <w:szCs w:val="24"/>
          <w:u w:val="single"/>
          <w:lang w:val="es-ES_tradnl" w:eastAsia="en-GB"/>
        </w:rPr>
        <w:t>[…] las anotaciones vigentes en el Registro Nacional de Obras Civiles Inconclusas al momento de evaluar los factores de ponderación de calidad, establecidos en el literal a) del artículo 5o de la Ley 1150 de 2007 o la norma que la modifique</w:t>
      </w:r>
      <w:r w:rsidR="00C814A1" w:rsidRPr="00116172">
        <w:rPr>
          <w:rFonts w:ascii="Arial" w:eastAsia="Calibri" w:hAnsi="Arial" w:cs="Arial"/>
          <w:color w:val="000000"/>
          <w:szCs w:val="24"/>
          <w:u w:val="single"/>
          <w:lang w:val="es-ES_tradnl" w:eastAsia="en-GB"/>
        </w:rPr>
        <w:t>”</w:t>
      </w:r>
      <w:r w:rsidRPr="00D505B1">
        <w:rPr>
          <w:rFonts w:ascii="Arial" w:eastAsia="Calibri" w:hAnsi="Arial" w:cs="Arial"/>
          <w:color w:val="000000"/>
          <w:szCs w:val="24"/>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D505B1">
        <w:rPr>
          <w:rFonts w:ascii="Arial" w:eastAsia="Calibri" w:hAnsi="Arial" w:cs="Arial"/>
          <w:i/>
          <w:iCs/>
          <w:color w:val="000000"/>
          <w:szCs w:val="24"/>
          <w:lang w:val="es-ES_tradnl" w:eastAsia="en-GB"/>
        </w:rPr>
        <w:t>selección objetiva</w:t>
      </w:r>
      <w:r w:rsidRPr="00D505B1">
        <w:rPr>
          <w:rFonts w:ascii="Arial" w:eastAsia="Calibri" w:hAnsi="Arial" w:cs="Arial"/>
          <w:color w:val="000000"/>
          <w:szCs w:val="24"/>
          <w:lang w:val="es-ES_tradnl" w:eastAsia="en-GB"/>
        </w:rPr>
        <w:t xml:space="preserve"> en los procedimientos contractuales, precisando la metodología con la cual pueden establecerse tanto los requisitos habilitantes como los criterios de evaluación. En lo pertinente, la norma dispone:</w:t>
      </w:r>
    </w:p>
    <w:p w14:paraId="20AB7291" w14:textId="77777777" w:rsidR="00A33061" w:rsidRPr="00D505B1" w:rsidRDefault="00A33061" w:rsidP="00A33061">
      <w:pPr>
        <w:tabs>
          <w:tab w:val="left" w:pos="0"/>
        </w:tabs>
        <w:spacing w:after="0" w:line="276" w:lineRule="auto"/>
        <w:ind w:right="709"/>
        <w:jc w:val="both"/>
        <w:rPr>
          <w:rFonts w:ascii="Arial" w:eastAsia="Calibri" w:hAnsi="Arial" w:cs="Arial"/>
          <w:color w:val="000000"/>
          <w:lang w:val="es-ES_tradnl" w:eastAsia="en-GB"/>
        </w:rPr>
      </w:pPr>
    </w:p>
    <w:p w14:paraId="6C56E5A3" w14:textId="2BE5F48C" w:rsidR="00A33061" w:rsidRPr="00D505B1" w:rsidRDefault="004956BE" w:rsidP="00A33061">
      <w:pPr>
        <w:tabs>
          <w:tab w:val="left" w:pos="0"/>
        </w:tabs>
        <w:spacing w:after="120" w:line="240" w:lineRule="auto"/>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00A33061" w:rsidRPr="00D505B1">
        <w:rPr>
          <w:rFonts w:ascii="Arial" w:eastAsia="Calibri" w:hAnsi="Arial"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CB48A8F" w14:textId="77777777" w:rsidR="00A33061" w:rsidRPr="00D505B1" w:rsidRDefault="00A33061" w:rsidP="00A3306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lastRenderedPageBreak/>
        <w:t>En los procesos de selección en los que se tenga en cuenta los factores técnicos y económicos, la oferta más ventajosa será la que resulte de aplicar alguna de las siguientes alternativas:</w:t>
      </w:r>
    </w:p>
    <w:p w14:paraId="153482F8" w14:textId="77777777" w:rsidR="00A33061" w:rsidRPr="00D505B1" w:rsidRDefault="00A33061" w:rsidP="00A3306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1A91109B" w14:textId="1DEDB0EA" w:rsidR="00A33061" w:rsidRPr="00D505B1" w:rsidRDefault="00A33061" w:rsidP="00A3306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sidR="004956BE">
        <w:rPr>
          <w:rFonts w:ascii="Arial" w:eastAsia="Calibri" w:hAnsi="Arial" w:cs="Arial"/>
          <w:color w:val="000000"/>
          <w:sz w:val="21"/>
          <w:szCs w:val="21"/>
          <w:lang w:val="es-ES_tradnl" w:eastAsia="en-GB"/>
        </w:rPr>
        <w:t>”</w:t>
      </w:r>
      <w:r w:rsidRPr="00D505B1">
        <w:rPr>
          <w:rFonts w:ascii="Arial" w:eastAsia="Calibri" w:hAnsi="Arial" w:cs="Arial"/>
          <w:color w:val="000000"/>
          <w:sz w:val="21"/>
          <w:szCs w:val="21"/>
          <w:lang w:val="es-ES_tradnl" w:eastAsia="en-GB"/>
        </w:rPr>
        <w:t xml:space="preserve"> (Énfasis fuera de texto)</w:t>
      </w:r>
    </w:p>
    <w:p w14:paraId="4A36B9BD" w14:textId="77777777" w:rsidR="00A33061" w:rsidRPr="00D505B1" w:rsidRDefault="00A33061" w:rsidP="00A33061">
      <w:pPr>
        <w:tabs>
          <w:tab w:val="left" w:pos="0"/>
        </w:tabs>
        <w:spacing w:after="0" w:line="276" w:lineRule="auto"/>
        <w:ind w:left="709" w:right="709"/>
        <w:jc w:val="both"/>
        <w:rPr>
          <w:rFonts w:ascii="Arial" w:eastAsia="Calibri" w:hAnsi="Arial" w:cs="Arial"/>
          <w:color w:val="000000"/>
          <w:lang w:val="es-ES_tradnl" w:eastAsia="en-GB"/>
        </w:rPr>
      </w:pPr>
    </w:p>
    <w:p w14:paraId="308060AD" w14:textId="33094B03" w:rsidR="00A33061" w:rsidRPr="00D505B1" w:rsidRDefault="00A33061" w:rsidP="00A3306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D505B1">
        <w:rPr>
          <w:rFonts w:ascii="Arial" w:eastAsia="Calibri" w:hAnsi="Arial" w:cs="Arial"/>
          <w:iCs/>
          <w:color w:val="000000"/>
          <w:szCs w:val="24"/>
          <w:lang w:val="es-ES_tradnl" w:eastAsia="en-GB"/>
        </w:rPr>
        <w:t>no</w:t>
      </w:r>
      <w:r w:rsidRPr="00D505B1">
        <w:rPr>
          <w:rFonts w:ascii="Arial" w:eastAsia="Calibri" w:hAnsi="Arial" w:cs="Arial"/>
          <w:color w:val="000000"/>
          <w:szCs w:val="24"/>
          <w:lang w:val="es-ES_tradnl" w:eastAsia="en-GB"/>
        </w:rPr>
        <w:t xml:space="preserve"> los define, sino que se limita a mencionarlos de manera genérica. En efecto, el literal a) de dicho artículo está precedido por un inciso que establece: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En los procesos de selección en los que se tenga en cuenta los factores técnicos y económicos, la oferta más ventajosa será la que resulte de aplicar alguna de las siguientes alternativas</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y, a renglón seguido, dentro de las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alternativas</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 xml:space="preserve">, el legislador incorpora la siguiente: </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a) La ponderación de los elementos de calidad y precio soportados en puntajes o fórmulas señaladas en el pliego de condiciones</w:t>
      </w:r>
      <w:r w:rsidR="00C814A1">
        <w:rPr>
          <w:rFonts w:ascii="Arial" w:eastAsia="Calibri" w:hAnsi="Arial" w:cs="Arial"/>
          <w:color w:val="000000"/>
          <w:szCs w:val="24"/>
          <w:lang w:val="es-ES_tradnl" w:eastAsia="en-GB"/>
        </w:rPr>
        <w:t>”</w:t>
      </w:r>
      <w:r w:rsidRPr="00D505B1">
        <w:rPr>
          <w:rFonts w:ascii="Arial" w:eastAsia="Calibri" w:hAnsi="Arial" w:cs="Arial"/>
          <w:color w:val="000000"/>
          <w:szCs w:val="24"/>
          <w:lang w:val="es-ES_tradnl" w:eastAsia="en-GB"/>
        </w:rPr>
        <w:t>.</w:t>
      </w:r>
    </w:p>
    <w:p w14:paraId="48099E98" w14:textId="77777777" w:rsidR="00A33061" w:rsidRPr="00D505B1" w:rsidRDefault="00A33061" w:rsidP="00A3306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w:t>
      </w:r>
      <w:r w:rsidRPr="006E4B29">
        <w:rPr>
          <w:rFonts w:ascii="Arial" w:eastAsia="Calibri" w:hAnsi="Arial" w:cs="Arial"/>
          <w:color w:val="000000" w:themeColor="text1"/>
          <w:szCs w:val="24"/>
          <w:lang w:val="es-ES_tradnl" w:eastAsia="en-GB"/>
        </w:rPr>
        <w:t xml:space="preserve">n. </w:t>
      </w:r>
      <w:r w:rsidRPr="00D505B1">
        <w:rPr>
          <w:rFonts w:ascii="Arial" w:eastAsia="Calibri" w:hAnsi="Arial" w:cs="Arial"/>
          <w:color w:val="000000"/>
          <w:szCs w:val="24"/>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34160D94" w14:textId="77777777" w:rsidR="00A33061" w:rsidRPr="00D505B1" w:rsidRDefault="00A33061" w:rsidP="00A3306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w:t>
      </w:r>
      <w:r>
        <w:rPr>
          <w:rFonts w:ascii="Arial" w:eastAsia="Calibri" w:hAnsi="Arial" w:cs="Arial"/>
          <w:color w:val="000000"/>
          <w:szCs w:val="24"/>
          <w:lang w:val="es-ES_tradnl" w:eastAsia="en-GB"/>
        </w:rPr>
        <w:t>margen</w:t>
      </w:r>
      <w:r w:rsidRPr="00D505B1">
        <w:rPr>
          <w:rFonts w:ascii="Arial" w:eastAsia="Calibri" w:hAnsi="Arial" w:cs="Arial"/>
          <w:color w:val="000000"/>
          <w:szCs w:val="24"/>
          <w:lang w:val="es-ES_tradnl" w:eastAsia="en-GB"/>
        </w:rPr>
        <w:t xml:space="preserve"> de libertad para las entidades estales, en todo caso, al hacer uso de ella, deben observar el artículo 44 de la Ley 1437 de 2011, según el cual </w:t>
      </w:r>
      <w:r w:rsidRPr="00D505B1">
        <w:rPr>
          <w:rFonts w:ascii="Arial" w:eastAsia="Times New Roman" w:hAnsi="Arial" w:cs="Arial"/>
          <w:color w:val="000000"/>
          <w:szCs w:val="24"/>
          <w:lang w:eastAsia="es-ES_tradnl"/>
        </w:rPr>
        <w:t>la decisión debe ser adecuada y proporcional al trámite y a los hechos que lo motivaron</w:t>
      </w:r>
      <w:r w:rsidRPr="00D505B1">
        <w:rPr>
          <w:rFonts w:ascii="Arial" w:eastAsia="Times New Roman" w:hAnsi="Arial" w:cs="Arial"/>
          <w:color w:val="000000"/>
          <w:szCs w:val="24"/>
          <w:vertAlign w:val="superscript"/>
          <w:lang w:eastAsia="es-ES_tradnl"/>
        </w:rPr>
        <w:footnoteReference w:id="39"/>
      </w:r>
      <w:r w:rsidRPr="00D505B1">
        <w:rPr>
          <w:rFonts w:ascii="Arial" w:eastAsia="Times New Roman" w:hAnsi="Arial" w:cs="Arial"/>
          <w:color w:val="000000"/>
          <w:szCs w:val="24"/>
          <w:lang w:eastAsia="es-ES_tradnl"/>
        </w:rPr>
        <w:t>. Este también ha sido el entendimiento de la doctrina, que ha considerado que el ejercicio de la discrecionalidad administrativa debe respetar el principio de proporcionalidad</w:t>
      </w:r>
      <w:r w:rsidRPr="00D505B1">
        <w:rPr>
          <w:rFonts w:ascii="Arial" w:eastAsia="Times New Roman" w:hAnsi="Arial" w:cs="Arial"/>
          <w:color w:val="000000"/>
          <w:szCs w:val="24"/>
          <w:vertAlign w:val="superscript"/>
          <w:lang w:eastAsia="es-ES_tradnl"/>
        </w:rPr>
        <w:footnoteReference w:id="40"/>
      </w:r>
      <w:r w:rsidRPr="00D505B1">
        <w:rPr>
          <w:rFonts w:ascii="Arial" w:eastAsia="Times New Roman" w:hAnsi="Arial" w:cs="Arial"/>
          <w:color w:val="000000"/>
          <w:szCs w:val="24"/>
          <w:lang w:eastAsia="es-ES_tradnl"/>
        </w:rPr>
        <w:t>.</w:t>
      </w:r>
    </w:p>
    <w:p w14:paraId="4D13B0DF" w14:textId="77777777" w:rsidR="00A33061" w:rsidRPr="00D505B1" w:rsidRDefault="00A33061" w:rsidP="00A3306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lastRenderedPageBreak/>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w:t>
      </w:r>
    </w:p>
    <w:p w14:paraId="07752725" w14:textId="77777777" w:rsidR="00A33061" w:rsidRPr="00D505B1" w:rsidRDefault="00A33061" w:rsidP="00A33061">
      <w:pPr>
        <w:tabs>
          <w:tab w:val="left" w:pos="0"/>
        </w:tabs>
        <w:spacing w:after="0" w:line="276" w:lineRule="auto"/>
        <w:ind w:left="709" w:right="709"/>
        <w:jc w:val="both"/>
        <w:rPr>
          <w:rFonts w:ascii="Arial" w:eastAsia="Calibri" w:hAnsi="Arial" w:cs="Arial"/>
          <w:color w:val="000000"/>
          <w:lang w:eastAsia="en-GB"/>
        </w:rPr>
      </w:pPr>
    </w:p>
    <w:p w14:paraId="346B5889" w14:textId="35D1D19B" w:rsidR="00A33061" w:rsidRPr="00D505B1" w:rsidRDefault="00034443" w:rsidP="00A33061">
      <w:pPr>
        <w:tabs>
          <w:tab w:val="left" w:pos="0"/>
        </w:tabs>
        <w:spacing w:after="0" w:line="240" w:lineRule="auto"/>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00A33061" w:rsidRPr="00D505B1">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00A11316">
        <w:rPr>
          <w:rFonts w:ascii="Arial" w:eastAsia="Calibri" w:hAnsi="Arial" w:cs="Arial"/>
          <w:color w:val="000000"/>
          <w:sz w:val="21"/>
          <w:szCs w:val="21"/>
          <w:lang w:val="es-ES_tradnl" w:eastAsia="en-GB"/>
        </w:rPr>
        <w:t>.”</w:t>
      </w:r>
      <w:r w:rsidR="00A33061" w:rsidRPr="00D505B1">
        <w:rPr>
          <w:rFonts w:ascii="Arial" w:eastAsia="Calibri" w:hAnsi="Arial" w:cs="Arial"/>
          <w:color w:val="000000"/>
          <w:sz w:val="21"/>
          <w:szCs w:val="21"/>
          <w:vertAlign w:val="superscript"/>
          <w:lang w:val="es-ES_tradnl" w:eastAsia="en-GB"/>
        </w:rPr>
        <w:footnoteReference w:id="41"/>
      </w:r>
    </w:p>
    <w:p w14:paraId="15304C0D" w14:textId="2C8173CB" w:rsidR="00A33061" w:rsidRPr="00A11316" w:rsidRDefault="00A33061" w:rsidP="00A33061">
      <w:pPr>
        <w:tabs>
          <w:tab w:val="left" w:pos="0"/>
        </w:tabs>
        <w:spacing w:after="0" w:line="276" w:lineRule="auto"/>
        <w:ind w:firstLine="709"/>
        <w:jc w:val="both"/>
        <w:rPr>
          <w:rFonts w:ascii="Arial" w:eastAsia="Times New Roman" w:hAnsi="Arial" w:cs="Arial"/>
          <w:color w:val="000000"/>
          <w:szCs w:val="24"/>
          <w:lang w:val="es-ES_tradnl" w:eastAsia="es-ES_tradnl"/>
        </w:rPr>
      </w:pPr>
    </w:p>
    <w:p w14:paraId="78E23EC0" w14:textId="4A209058" w:rsidR="00A33061" w:rsidRPr="00D505B1" w:rsidRDefault="00A33061" w:rsidP="00A33061">
      <w:pPr>
        <w:spacing w:after="12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 xml:space="preserve">Por lo tanto, </w:t>
      </w:r>
      <w:r>
        <w:rPr>
          <w:rFonts w:ascii="Arial" w:eastAsia="Times New Roman" w:hAnsi="Arial" w:cs="Arial"/>
          <w:color w:val="000000"/>
          <w:szCs w:val="24"/>
          <w:lang w:eastAsia="es-ES_tradnl"/>
        </w:rPr>
        <w:t>como se indicó,</w:t>
      </w:r>
      <w:r w:rsidRPr="00D505B1">
        <w:rPr>
          <w:rFonts w:ascii="Arial" w:eastAsia="Times New Roman" w:hAnsi="Arial" w:cs="Arial"/>
          <w:color w:val="000000"/>
          <w:szCs w:val="24"/>
          <w:lang w:eastAsia="es-ES_tradnl"/>
        </w:rPr>
        <w:t xml:space="preserve"> el artículo 6 de la Ley 2020 de 2020 establece que </w:t>
      </w:r>
      <w:r w:rsidR="00C814A1">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D505B1">
        <w:rPr>
          <w:rFonts w:ascii="Arial" w:eastAsia="Times New Roman" w:hAnsi="Arial" w:cs="Arial"/>
          <w:color w:val="000000"/>
          <w:szCs w:val="24"/>
          <w:vertAlign w:val="superscript"/>
          <w:lang w:eastAsia="es-ES_tradnl"/>
        </w:rPr>
        <w:t>o</w:t>
      </w:r>
      <w:r w:rsidRPr="00D505B1">
        <w:rPr>
          <w:rFonts w:ascii="Arial" w:eastAsia="Times New Roman" w:hAnsi="Arial" w:cs="Arial"/>
          <w:color w:val="000000"/>
          <w:szCs w:val="24"/>
          <w:lang w:eastAsia="es-ES_tradnl"/>
        </w:rPr>
        <w:t xml:space="preserve"> de la Ley 1150 de 2007 o la norma que la modifique</w:t>
      </w:r>
      <w:r w:rsidR="00C814A1">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 xml:space="preserve">. De lo prescrito en la disposición precitada, se deriva que </w:t>
      </w:r>
      <w:r w:rsidRPr="009F745E">
        <w:rPr>
          <w:rFonts w:ascii="Arial" w:eastAsia="Times New Roman" w:hAnsi="Arial" w:cs="Arial"/>
          <w:color w:val="000000"/>
          <w:szCs w:val="24"/>
          <w:u w:val="single"/>
          <w:lang w:eastAsia="es-ES_tradnl"/>
        </w:rPr>
        <w:t>el deber de consultar y analizar solamente aplica a las tipologías contractuales de obra pública y de interventoría, y no a los demás contratos de consultoría. Esto por cuanto, si bien el contrato de interventoría es de consultoría, no todo contrato de consultoría tiene por objeto una interventoría. Así se desprende del artículo 32, numeral 2, de la Ley 80 de 1993</w:t>
      </w:r>
      <w:r>
        <w:rPr>
          <w:rStyle w:val="Refdenotaalpie"/>
          <w:rFonts w:ascii="Arial" w:eastAsia="Times New Roman" w:hAnsi="Arial" w:cs="Arial"/>
          <w:color w:val="000000"/>
          <w:szCs w:val="24"/>
          <w:lang w:eastAsia="es-ES_tradnl"/>
        </w:rPr>
        <w:footnoteReference w:id="42"/>
      </w:r>
      <w:r>
        <w:rPr>
          <w:rFonts w:ascii="Arial" w:eastAsia="Times New Roman" w:hAnsi="Arial" w:cs="Arial"/>
          <w:color w:val="000000"/>
          <w:szCs w:val="24"/>
          <w:lang w:eastAsia="es-ES_tradnl"/>
        </w:rPr>
        <w:t>.</w:t>
      </w:r>
    </w:p>
    <w:p w14:paraId="1A8E3627" w14:textId="0F98A2E0" w:rsidR="00A33061" w:rsidRPr="00D505B1" w:rsidRDefault="00A33061" w:rsidP="00A33061">
      <w:pPr>
        <w:spacing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Para los contratos de obra pública y de interventoría, lo anterior significa que</w:t>
      </w:r>
      <w:r>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 xml:space="preserve"> al aplicar dichos criterios de calificación con punt</w:t>
      </w:r>
      <w:r w:rsidR="00785E55">
        <w:rPr>
          <w:rFonts w:ascii="Arial" w:eastAsia="Times New Roman" w:hAnsi="Arial" w:cs="Arial"/>
          <w:color w:val="000000"/>
          <w:szCs w:val="24"/>
          <w:lang w:eastAsia="es-ES_tradnl"/>
        </w:rPr>
        <w:t>ajes o formulas</w:t>
      </w:r>
      <w:r w:rsidRPr="00D505B1">
        <w:rPr>
          <w:rFonts w:ascii="Arial" w:eastAsia="Times New Roman" w:hAnsi="Arial" w:cs="Arial"/>
          <w:color w:val="000000"/>
          <w:szCs w:val="24"/>
          <w:lang w:eastAsia="es-ES_tradnl"/>
        </w:rPr>
        <w:t xml:space="preserve"> dentro del procedimiento contractual</w:t>
      </w:r>
      <w:r w:rsidR="000F419E">
        <w:rPr>
          <w:rFonts w:ascii="Arial" w:eastAsia="Times New Roman" w:hAnsi="Arial" w:cs="Arial"/>
          <w:color w:val="000000"/>
          <w:szCs w:val="24"/>
          <w:lang w:eastAsia="es-ES_tradnl"/>
        </w:rPr>
        <w:t xml:space="preserve"> para seleccionar la mejor oferta</w:t>
      </w:r>
      <w:r w:rsidRPr="00D505B1">
        <w:rPr>
          <w:rFonts w:ascii="Arial" w:eastAsia="Times New Roman" w:hAnsi="Arial" w:cs="Arial"/>
          <w:color w:val="000000"/>
          <w:szCs w:val="24"/>
          <w:lang w:eastAsia="es-ES_tradnl"/>
        </w:rPr>
        <w:t xml:space="preserve">,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D505B1">
        <w:rPr>
          <w:rFonts w:ascii="Arial" w:eastAsia="Calibri" w:hAnsi="Arial" w:cs="Arial"/>
          <w:lang w:val="es-MX"/>
        </w:rPr>
        <w:t xml:space="preserve">En este contexto, las entidades deberán examinar la particularidad de </w:t>
      </w:r>
      <w:r w:rsidRPr="00D505B1">
        <w:rPr>
          <w:rFonts w:ascii="Arial" w:eastAsia="Calibri" w:hAnsi="Arial" w:cs="Arial"/>
          <w:lang w:val="es-MX"/>
        </w:rPr>
        <w:lastRenderedPageBreak/>
        <w:t xml:space="preserve">la anotación y determinar si </w:t>
      </w:r>
      <w:r>
        <w:rPr>
          <w:rFonts w:ascii="Arial" w:eastAsia="Calibri" w:hAnsi="Arial" w:cs="Arial"/>
          <w:lang w:val="es-MX"/>
        </w:rPr>
        <w:t>e</w:t>
      </w:r>
      <w:r w:rsidRPr="00D505B1">
        <w:rPr>
          <w:rFonts w:ascii="Arial" w:eastAsia="Calibri" w:hAnsi="Arial" w:cs="Arial"/>
          <w:lang w:val="es-MX"/>
        </w:rPr>
        <w:t>sta afectará la ponderación al momento de realizar la respectiva evaluación</w:t>
      </w:r>
      <w:r w:rsidR="000F419E">
        <w:rPr>
          <w:rFonts w:ascii="Arial" w:eastAsia="Calibri" w:hAnsi="Arial" w:cs="Arial"/>
          <w:lang w:val="es-MX"/>
        </w:rPr>
        <w:t xml:space="preserve"> de conformidad a lo que configurado en el pliego de condiciones</w:t>
      </w:r>
      <w:r w:rsidRPr="00D505B1">
        <w:rPr>
          <w:rFonts w:ascii="Arial" w:eastAsia="Calibri" w:hAnsi="Arial" w:cs="Arial"/>
          <w:lang w:val="es-MX"/>
        </w:rPr>
        <w:t>.</w:t>
      </w:r>
    </w:p>
    <w:p w14:paraId="5CC026F2" w14:textId="77777777" w:rsidR="00A33061" w:rsidRPr="00D505B1" w:rsidRDefault="00A33061" w:rsidP="00A33061">
      <w:pPr>
        <w:spacing w:before="120" w:after="0" w:line="276" w:lineRule="auto"/>
        <w:ind w:firstLine="709"/>
        <w:jc w:val="both"/>
        <w:rPr>
          <w:rFonts w:ascii="Arial" w:eastAsia="Times New Roman" w:hAnsi="Arial" w:cs="Arial"/>
          <w:color w:val="000000"/>
          <w:szCs w:val="24"/>
          <w:lang w:val="es-MX" w:eastAsia="es-ES_tradnl"/>
        </w:rPr>
      </w:pPr>
      <w:r w:rsidRPr="00D505B1">
        <w:rPr>
          <w:rFonts w:ascii="Arial" w:eastAsia="Times New Roman" w:hAnsi="Arial" w:cs="Arial"/>
          <w:color w:val="000000"/>
          <w:szCs w:val="24"/>
          <w:lang w:eastAsia="es-ES_tradnl"/>
        </w:rPr>
        <w:t>De esta manera, como las entidades estatales cuentan con discrecionalidad para determinar los criterios de calificación, corresponde a estas definir, en los pliegos de condiciones, los factores de asignación de puntaje y</w:t>
      </w:r>
      <w:r w:rsidRPr="00D505B1">
        <w:rPr>
          <w:rFonts w:ascii="Arial" w:eastAsia="Times New Roman" w:hAnsi="Arial" w:cs="Arial"/>
          <w:color w:val="000000"/>
          <w:szCs w:val="24"/>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eastAsia="Times New Roman" w:hAnsi="Arial" w:cs="Arial"/>
          <w:color w:val="000000"/>
          <w:szCs w:val="24"/>
          <w:lang w:eastAsia="es-ES_tradnl"/>
        </w:rPr>
        <w:t xml:space="preserve">. Lo anterior, teniendo en cuenta que </w:t>
      </w:r>
      <w:r w:rsidRPr="00D505B1">
        <w:rPr>
          <w:rFonts w:ascii="Arial" w:eastAsia="Times New Roman" w:hAnsi="Arial" w:cs="Arial"/>
          <w:color w:val="000000"/>
          <w:szCs w:val="24"/>
          <w:lang w:val="es-MX" w:eastAsia="es-ES_tradnl"/>
        </w:rPr>
        <w:t xml:space="preserve">la norma no restringió a una metodología específica el análisis y la valoración de estas anotaciones. </w:t>
      </w:r>
    </w:p>
    <w:p w14:paraId="52A2F545" w14:textId="6FE7EAC1" w:rsidR="00A33061" w:rsidRPr="00D505B1" w:rsidRDefault="00A33061" w:rsidP="00A3306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Times New Roman" w:hAnsi="Arial" w:cs="Arial"/>
          <w:color w:val="000000"/>
          <w:szCs w:val="24"/>
          <w:lang w:eastAsia="es-ES_tradnl"/>
        </w:rPr>
        <w:t xml:space="preserve">Sin embargo, </w:t>
      </w:r>
      <w:r w:rsidR="00430AA1">
        <w:rPr>
          <w:rFonts w:ascii="Arial" w:eastAsia="Times New Roman" w:hAnsi="Arial" w:cs="Arial"/>
          <w:color w:val="000000"/>
          <w:szCs w:val="24"/>
          <w:lang w:eastAsia="es-ES_tradnl"/>
        </w:rPr>
        <w:t xml:space="preserve">la Agencia recomienda </w:t>
      </w:r>
      <w:r w:rsidR="00E76F95">
        <w:rPr>
          <w:rFonts w:ascii="Arial" w:eastAsia="Times New Roman" w:hAnsi="Arial" w:cs="Arial"/>
          <w:color w:val="000000"/>
          <w:szCs w:val="24"/>
          <w:lang w:eastAsia="es-ES_tradnl"/>
        </w:rPr>
        <w:t>a las entidades estatales tener en cuenta que</w:t>
      </w:r>
      <w:r w:rsidR="007B124B">
        <w:rPr>
          <w:rFonts w:ascii="Arial" w:eastAsia="Times New Roman" w:hAnsi="Arial" w:cs="Arial"/>
          <w:color w:val="000000"/>
          <w:szCs w:val="24"/>
          <w:lang w:eastAsia="es-ES_tradnl"/>
        </w:rPr>
        <w:t xml:space="preserve"> la </w:t>
      </w:r>
      <w:r w:rsidRPr="00D505B1">
        <w:rPr>
          <w:rFonts w:ascii="Arial" w:eastAsia="Calibri" w:hAnsi="Arial" w:cs="Arial"/>
          <w:color w:val="000000"/>
          <w:szCs w:val="24"/>
          <w:lang w:val="es-ES_tradnl" w:eastAsia="en-GB"/>
        </w:rPr>
        <w:t xml:space="preserve">sola inclusión en el Registro Nacional de Obras Civiles Inconclusas no puede entenderse </w:t>
      </w:r>
      <w:r>
        <w:rPr>
          <w:rFonts w:ascii="Arial" w:eastAsia="Calibri" w:hAnsi="Arial" w:cs="Arial"/>
          <w:color w:val="000000"/>
          <w:szCs w:val="24"/>
          <w:lang w:val="es-ES_tradnl" w:eastAsia="en-GB"/>
        </w:rPr>
        <w:t xml:space="preserve">como </w:t>
      </w:r>
      <w:r w:rsidRPr="00D505B1">
        <w:rPr>
          <w:rFonts w:ascii="Arial" w:eastAsia="Calibri" w:hAnsi="Arial" w:cs="Arial"/>
          <w:color w:val="000000"/>
          <w:szCs w:val="24"/>
          <w:lang w:val="es-ES_tradnl" w:eastAsia="en-GB"/>
        </w:rPr>
        <w:t>suficiente para</w:t>
      </w:r>
      <w:r w:rsidRPr="00D505B1">
        <w:rPr>
          <w:rFonts w:ascii="Arial" w:eastAsia="Times New Roman" w:hAnsi="Arial" w:cs="Arial"/>
          <w:color w:val="000000"/>
          <w:szCs w:val="24"/>
          <w:lang w:eastAsia="es-ES_tradnl"/>
        </w:rPr>
        <w:t xml:space="preserve"> afectar la ponderación del factor de calidad del proponente, puesto que la norma establece el deber de la entidad de realizar la consulta y el análisis de la anotación. </w:t>
      </w:r>
      <w:r w:rsidRPr="00D505B1">
        <w:rPr>
          <w:rFonts w:ascii="Arial" w:eastAsia="Calibri" w:hAnsi="Arial" w:cs="Arial"/>
          <w:color w:val="000000"/>
          <w:szCs w:val="24"/>
          <w:lang w:val="es-ES_tradnl" w:eastAsia="en-GB"/>
        </w:rPr>
        <w:t xml:space="preserve">Además, como se expuso, el Registro Nacional de Obras Civiles Inconclusas es un sistema </w:t>
      </w:r>
      <w:r w:rsidRPr="00D505B1">
        <w:rPr>
          <w:rFonts w:ascii="Arial" w:eastAsia="Calibri" w:hAnsi="Arial" w:cs="Arial"/>
          <w:color w:val="000000"/>
          <w:szCs w:val="24"/>
          <w:lang w:eastAsia="en-GB"/>
        </w:rPr>
        <w:t xml:space="preserve">que contiene los datos sobre obras inconclusas en todo el territorio nacional, compuesto por la información reportada por las entidades estatales o la información obtenida por la Contraloría General de la República. </w:t>
      </w:r>
      <w:r w:rsidRPr="00D505B1">
        <w:rPr>
          <w:rFonts w:ascii="Arial" w:eastAsia="Calibri" w:hAnsi="Arial" w:cs="Arial"/>
          <w:color w:val="000000"/>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w:t>
      </w:r>
      <w:r w:rsidRPr="006E4B29">
        <w:rPr>
          <w:rFonts w:ascii="Arial" w:eastAsia="Calibri" w:hAnsi="Arial" w:cs="Arial"/>
          <w:i/>
          <w:iCs/>
          <w:color w:val="000000"/>
          <w:szCs w:val="24"/>
          <w:lang w:val="es-ES_tradnl" w:eastAsia="en-GB"/>
        </w:rPr>
        <w:t>automática</w:t>
      </w:r>
      <w:r w:rsidRPr="00D505B1">
        <w:rPr>
          <w:rFonts w:ascii="Arial" w:eastAsia="Calibri" w:hAnsi="Arial" w:cs="Arial"/>
          <w:color w:val="000000"/>
          <w:szCs w:val="24"/>
          <w:lang w:val="es-ES_tradnl" w:eastAsia="en-GB"/>
        </w:rPr>
        <w:t xml:space="preserve"> </w:t>
      </w:r>
      <w:r w:rsidRPr="00D505B1">
        <w:rPr>
          <w:rFonts w:ascii="Arial" w:eastAsia="Calibri" w:hAnsi="Arial" w:cs="Arial"/>
          <w:color w:val="000000"/>
          <w:lang w:val="es-ES_tradnl" w:eastAsia="en-GB"/>
        </w:rPr>
        <w:t xml:space="preserve">al momento de evaluar los factores de ponderación. Por ello, el artículo 6 dispuso expresamente que las entidades estatales contratantes </w:t>
      </w:r>
      <w:r w:rsidR="00C814A1">
        <w:rPr>
          <w:rFonts w:ascii="Arial" w:eastAsia="Times New Roman" w:hAnsi="Arial" w:cs="Arial"/>
          <w:color w:val="000000"/>
          <w:lang w:eastAsia="es-ES_tradnl"/>
        </w:rPr>
        <w:t>“</w:t>
      </w:r>
      <w:r w:rsidRPr="00D505B1">
        <w:rPr>
          <w:rFonts w:ascii="Arial" w:eastAsia="Calibri" w:hAnsi="Arial" w:cs="Arial"/>
          <w:color w:val="000000"/>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00C814A1">
        <w:rPr>
          <w:rFonts w:ascii="Arial" w:eastAsia="Times New Roman" w:hAnsi="Arial" w:cs="Arial"/>
          <w:color w:val="000000"/>
          <w:lang w:eastAsia="es-ES_tradnl"/>
        </w:rPr>
        <w:t>”</w:t>
      </w:r>
      <w:r w:rsidRPr="00D505B1">
        <w:rPr>
          <w:rFonts w:ascii="Arial" w:eastAsia="Calibri" w:hAnsi="Arial" w:cs="Arial"/>
          <w:color w:val="000000"/>
          <w:lang w:val="es-ES_tradnl" w:eastAsia="en-GB"/>
        </w:rPr>
        <w:t>.</w:t>
      </w:r>
    </w:p>
    <w:p w14:paraId="50A82C5C" w14:textId="77777777" w:rsidR="00A33061" w:rsidRDefault="00A33061" w:rsidP="00A33061">
      <w:pPr>
        <w:spacing w:before="120" w:after="0" w:line="276" w:lineRule="auto"/>
        <w:ind w:firstLine="709"/>
        <w:jc w:val="both"/>
        <w:rPr>
          <w:rFonts w:ascii="Arial" w:eastAsia="Calibri" w:hAnsi="Arial" w:cs="Arial"/>
          <w:color w:val="000000"/>
          <w:lang w:val="es-ES_tradnl" w:eastAsia="en-GB"/>
        </w:rPr>
      </w:pPr>
      <w:r w:rsidRPr="00D505B1">
        <w:rPr>
          <w:rFonts w:ascii="Arial" w:eastAsia="Times New Roman" w:hAnsi="Arial" w:cs="Arial"/>
          <w:color w:val="000000"/>
          <w:szCs w:val="24"/>
          <w:lang w:eastAsia="es-ES_tradnl"/>
        </w:rPr>
        <w:t xml:space="preserve">Así las cosas, no </w:t>
      </w:r>
      <w:r>
        <w:rPr>
          <w:rFonts w:ascii="Arial" w:eastAsia="Times New Roman" w:hAnsi="Arial" w:cs="Arial"/>
          <w:color w:val="000000"/>
          <w:szCs w:val="24"/>
          <w:lang w:eastAsia="es-ES_tradnl"/>
        </w:rPr>
        <w:t>por el hecho de</w:t>
      </w:r>
      <w:r w:rsidRPr="00D505B1">
        <w:rPr>
          <w:rFonts w:ascii="Arial" w:eastAsia="Times New Roman" w:hAnsi="Arial" w:cs="Arial"/>
          <w:color w:val="000000"/>
          <w:szCs w:val="24"/>
          <w:lang w:eastAsia="es-ES_tradnl"/>
        </w:rPr>
        <w:t xml:space="preserve"> que el contratista de obra o interventor se encuentre incluido en dicho Registro </w:t>
      </w:r>
      <w:r>
        <w:rPr>
          <w:rFonts w:ascii="Arial" w:eastAsia="Times New Roman" w:hAnsi="Arial" w:cs="Arial"/>
          <w:color w:val="000000"/>
          <w:szCs w:val="24"/>
          <w:lang w:eastAsia="es-ES_tradnl"/>
        </w:rPr>
        <w:t xml:space="preserve">se </w:t>
      </w:r>
      <w:r w:rsidRPr="00D505B1">
        <w:rPr>
          <w:rFonts w:ascii="Arial" w:eastAsia="Times New Roman" w:hAnsi="Arial" w:cs="Arial"/>
          <w:color w:val="000000"/>
          <w:szCs w:val="24"/>
          <w:lang w:eastAsia="es-ES_tradnl"/>
        </w:rPr>
        <w:t xml:space="preserve">genera automáticamente una consecuencia en la ponderación de los criterios de evaluación, pues la entidad tiene el deber de </w:t>
      </w:r>
      <w:r w:rsidRPr="00D505B1">
        <w:rPr>
          <w:rFonts w:ascii="Arial" w:eastAsia="Calibri" w:hAnsi="Arial" w:cs="Arial"/>
          <w:color w:val="000000"/>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3E592C21" w14:textId="77777777" w:rsidR="000B76FB" w:rsidRDefault="000B76FB" w:rsidP="00A33061">
      <w:pPr>
        <w:spacing w:before="120" w:after="0" w:line="276" w:lineRule="auto"/>
        <w:ind w:firstLine="709"/>
        <w:jc w:val="both"/>
        <w:rPr>
          <w:rFonts w:ascii="Arial" w:eastAsia="Calibri" w:hAnsi="Arial" w:cs="Arial"/>
          <w:color w:val="000000"/>
          <w:lang w:val="es-ES_tradnl" w:eastAsia="en-GB"/>
        </w:rPr>
      </w:pPr>
    </w:p>
    <w:p w14:paraId="2DA9255A" w14:textId="75A8EB9B" w:rsidR="00A04DF7" w:rsidRPr="00D505B1" w:rsidRDefault="00A04DF7" w:rsidP="00A04DF7">
      <w:pPr>
        <w:spacing w:after="0" w:line="276" w:lineRule="auto"/>
        <w:jc w:val="both"/>
        <w:rPr>
          <w:rFonts w:ascii="Arial" w:eastAsia="Times New Roman" w:hAnsi="Arial" w:cs="Arial"/>
          <w:b/>
          <w:color w:val="000000"/>
          <w:szCs w:val="24"/>
          <w:lang w:eastAsia="es-ES_tradnl"/>
        </w:rPr>
      </w:pPr>
      <w:r w:rsidRPr="00D505B1">
        <w:rPr>
          <w:rFonts w:ascii="Arial" w:eastAsia="Times New Roman" w:hAnsi="Arial" w:cs="Arial"/>
          <w:b/>
          <w:color w:val="000000"/>
          <w:szCs w:val="24"/>
          <w:lang w:eastAsia="es-ES_tradnl"/>
        </w:rPr>
        <w:t>2.</w:t>
      </w:r>
      <w:r w:rsidR="00086FAF">
        <w:rPr>
          <w:rFonts w:ascii="Arial" w:eastAsia="Times New Roman" w:hAnsi="Arial" w:cs="Arial"/>
          <w:b/>
          <w:color w:val="000000"/>
          <w:szCs w:val="24"/>
          <w:lang w:eastAsia="es-ES_tradnl"/>
        </w:rPr>
        <w:t>6</w:t>
      </w:r>
      <w:r w:rsidRPr="00D505B1">
        <w:rPr>
          <w:rFonts w:ascii="Arial" w:eastAsia="Times New Roman" w:hAnsi="Arial" w:cs="Arial"/>
          <w:b/>
          <w:color w:val="000000"/>
          <w:szCs w:val="24"/>
          <w:lang w:eastAsia="es-ES_tradnl"/>
        </w:rPr>
        <w:t xml:space="preserve">. Análisis de las anotaciones del Registro Nacional de Obras Civiles Inconclusas </w:t>
      </w:r>
      <w:r w:rsidR="00BA5DA1">
        <w:rPr>
          <w:rFonts w:ascii="Arial" w:eastAsia="Times New Roman" w:hAnsi="Arial" w:cs="Arial"/>
          <w:b/>
          <w:color w:val="000000"/>
          <w:szCs w:val="24"/>
          <w:lang w:eastAsia="es-ES_tradnl"/>
        </w:rPr>
        <w:t xml:space="preserve">– </w:t>
      </w:r>
      <w:r w:rsidR="008F1560">
        <w:rPr>
          <w:rFonts w:ascii="Arial" w:eastAsia="Times New Roman" w:hAnsi="Arial" w:cs="Arial"/>
          <w:b/>
          <w:color w:val="000000"/>
          <w:szCs w:val="24"/>
          <w:lang w:eastAsia="es-ES_tradnl"/>
        </w:rPr>
        <w:t xml:space="preserve">Caso de ejemplo </w:t>
      </w:r>
      <w:r w:rsidRPr="00D505B1">
        <w:rPr>
          <w:rFonts w:ascii="Arial" w:eastAsia="Times New Roman" w:hAnsi="Arial" w:cs="Arial"/>
          <w:b/>
          <w:color w:val="000000"/>
          <w:szCs w:val="24"/>
          <w:lang w:eastAsia="es-ES_tradnl"/>
        </w:rPr>
        <w:t xml:space="preserve">en los documentos tipo </w:t>
      </w:r>
    </w:p>
    <w:p w14:paraId="4D0AAD62" w14:textId="77777777" w:rsidR="00A04DF7" w:rsidRPr="00D505B1" w:rsidRDefault="00A04DF7" w:rsidP="00A04DF7">
      <w:pPr>
        <w:spacing w:after="0" w:line="276" w:lineRule="auto"/>
        <w:jc w:val="both"/>
        <w:rPr>
          <w:rFonts w:ascii="Arial" w:eastAsia="Times New Roman" w:hAnsi="Arial" w:cs="Arial"/>
          <w:b/>
          <w:color w:val="000000"/>
          <w:szCs w:val="24"/>
          <w:lang w:eastAsia="es-ES_tradnl"/>
        </w:rPr>
      </w:pPr>
    </w:p>
    <w:p w14:paraId="4A327E78" w14:textId="1DC51E4C" w:rsidR="008A032C" w:rsidRDefault="00A04DF7" w:rsidP="008A032C">
      <w:pPr>
        <w:spacing w:after="0" w:line="276" w:lineRule="auto"/>
        <w:jc w:val="both"/>
        <w:rPr>
          <w:rFonts w:ascii="Arial" w:eastAsia="Times New Roman" w:hAnsi="Arial" w:cs="Arial"/>
          <w:color w:val="000000"/>
          <w:szCs w:val="24"/>
          <w:lang w:eastAsia="es-ES_tradnl"/>
        </w:rPr>
      </w:pPr>
      <w:r w:rsidRPr="00D505B1">
        <w:rPr>
          <w:rFonts w:ascii="Arial" w:eastAsia="Times New Roman" w:hAnsi="Arial" w:cs="Arial"/>
          <w:bCs/>
          <w:color w:val="000000"/>
          <w:szCs w:val="24"/>
          <w:lang w:eastAsia="es-ES_tradnl"/>
        </w:rPr>
        <w:lastRenderedPageBreak/>
        <w:t>Debido</w:t>
      </w:r>
      <w:r w:rsidRPr="00D505B1">
        <w:rPr>
          <w:rFonts w:ascii="Arial" w:eastAsia="Times New Roman" w:hAnsi="Arial" w:cs="Arial"/>
          <w:b/>
          <w:color w:val="000000"/>
          <w:szCs w:val="24"/>
          <w:lang w:eastAsia="es-ES_tradnl"/>
        </w:rPr>
        <w:t xml:space="preserve"> </w:t>
      </w:r>
      <w:r w:rsidRPr="00D505B1">
        <w:rPr>
          <w:rFonts w:ascii="Arial" w:eastAsia="Times New Roman" w:hAnsi="Arial" w:cs="Arial"/>
          <w:bCs/>
          <w:color w:val="000000"/>
          <w:szCs w:val="24"/>
          <w:lang w:eastAsia="es-ES_tradnl"/>
        </w:rPr>
        <w:t>a que la consulta se refiere al descuento del punto en el factor de calidad por el reporte en el Registro Nacional de Obras Civiles Inconclusas</w:t>
      </w:r>
      <w:r w:rsidR="007C14CC">
        <w:rPr>
          <w:rFonts w:ascii="Arial" w:eastAsia="Times New Roman" w:hAnsi="Arial" w:cs="Arial"/>
          <w:bCs/>
          <w:color w:val="000000"/>
          <w:szCs w:val="24"/>
          <w:lang w:eastAsia="es-ES_tradnl"/>
        </w:rPr>
        <w:t xml:space="preserve"> o la inclusión de causal de rechazo en el pliego de condiciones por este aspecto</w:t>
      </w:r>
      <w:r w:rsidRPr="00D505B1">
        <w:rPr>
          <w:rFonts w:ascii="Arial" w:eastAsia="Times New Roman" w:hAnsi="Arial" w:cs="Arial"/>
          <w:bCs/>
          <w:color w:val="000000"/>
          <w:szCs w:val="24"/>
          <w:lang w:eastAsia="es-ES_tradnl"/>
        </w:rPr>
        <w:t xml:space="preserve">, es preciso señalar </w:t>
      </w:r>
      <w:r w:rsidRPr="00D505B1">
        <w:rPr>
          <w:rFonts w:ascii="Arial" w:eastAsia="Times New Roman" w:hAnsi="Arial" w:cs="Arial"/>
          <w:color w:val="000000"/>
          <w:szCs w:val="24"/>
          <w:lang w:eastAsia="es-ES_tradnl"/>
        </w:rPr>
        <w:t xml:space="preserve">la forma en la que esta Agencia determinó en los documentos tipo el cumplimiento del artículo 6 de la Ley 2020 de 2020, cuya aplicación únicamente se realizará respecto de </w:t>
      </w:r>
      <w:r w:rsidR="007C14CC">
        <w:rPr>
          <w:rFonts w:ascii="Arial" w:eastAsia="Times New Roman" w:hAnsi="Arial" w:cs="Arial"/>
          <w:color w:val="000000"/>
          <w:szCs w:val="24"/>
          <w:lang w:eastAsia="es-ES_tradnl"/>
        </w:rPr>
        <w:t>los Procesos de Contratación donde estos</w:t>
      </w:r>
      <w:r w:rsidRPr="00D505B1">
        <w:rPr>
          <w:rFonts w:ascii="Arial" w:eastAsia="Times New Roman" w:hAnsi="Arial" w:cs="Arial"/>
          <w:color w:val="000000"/>
          <w:szCs w:val="24"/>
          <w:lang w:eastAsia="es-ES_tradnl"/>
        </w:rPr>
        <w:t xml:space="preserve"> documentos</w:t>
      </w:r>
      <w:r w:rsidR="007C14CC">
        <w:rPr>
          <w:rFonts w:ascii="Arial" w:eastAsia="Times New Roman" w:hAnsi="Arial" w:cs="Arial"/>
          <w:color w:val="000000"/>
          <w:szCs w:val="24"/>
          <w:lang w:eastAsia="es-ES_tradnl"/>
        </w:rPr>
        <w:t xml:space="preserve"> tipo sean aplicables</w:t>
      </w:r>
      <w:r w:rsidRPr="00D505B1">
        <w:rPr>
          <w:rFonts w:ascii="Arial" w:eastAsia="Times New Roman" w:hAnsi="Arial" w:cs="Arial"/>
          <w:color w:val="000000"/>
          <w:szCs w:val="24"/>
          <w:lang w:eastAsia="es-ES_tradnl"/>
        </w:rPr>
        <w:t xml:space="preserve">, puesto que para los proceso de selección de contratación de obra y de interventoría que no resulten obligatorios la aplicación de los documentos tipo, cada </w:t>
      </w:r>
      <w:r w:rsidR="00021C90">
        <w:rPr>
          <w:rFonts w:ascii="Arial" w:eastAsia="Times New Roman" w:hAnsi="Arial" w:cs="Arial"/>
          <w:color w:val="000000"/>
          <w:szCs w:val="24"/>
          <w:lang w:eastAsia="es-ES_tradnl"/>
        </w:rPr>
        <w:t>Entidad Estatal</w:t>
      </w:r>
      <w:r w:rsidRPr="00D505B1">
        <w:rPr>
          <w:rFonts w:ascii="Arial" w:eastAsia="Times New Roman" w:hAnsi="Arial" w:cs="Arial"/>
          <w:color w:val="000000"/>
          <w:szCs w:val="24"/>
          <w:lang w:eastAsia="es-ES_tradnl"/>
        </w:rPr>
        <w:t xml:space="preserve"> tiene la discrecionalidad de determinar, en los pliegos de condiciones, la forma en que se realizará el análisis de las anotaciones vigentes en el Registro Nacional de Obras Civiles Inconclusas al momento de ponderar los criterios de evaluación</w:t>
      </w:r>
      <w:r w:rsidR="00273853">
        <w:rPr>
          <w:rFonts w:ascii="Arial" w:eastAsia="Times New Roman" w:hAnsi="Arial" w:cs="Arial"/>
          <w:color w:val="000000"/>
          <w:szCs w:val="24"/>
          <w:lang w:eastAsia="es-ES_tradnl"/>
        </w:rPr>
        <w:t xml:space="preserve"> </w:t>
      </w:r>
      <w:r w:rsidR="008A032C">
        <w:rPr>
          <w:rFonts w:ascii="Arial" w:eastAsia="Times New Roman" w:hAnsi="Arial" w:cs="Arial"/>
          <w:color w:val="000000"/>
          <w:szCs w:val="24"/>
          <w:lang w:eastAsia="es-ES_tradnl"/>
        </w:rPr>
        <w:t>en virtud de lo consagrado en el artículo 6 de la Ley 2020 de 2020</w:t>
      </w:r>
      <w:r w:rsidRPr="00D505B1">
        <w:rPr>
          <w:rFonts w:ascii="Arial" w:eastAsia="Times New Roman" w:hAnsi="Arial" w:cs="Arial"/>
          <w:color w:val="000000"/>
          <w:szCs w:val="24"/>
          <w:lang w:eastAsia="es-ES_tradnl"/>
        </w:rPr>
        <w:t xml:space="preserve">. </w:t>
      </w:r>
    </w:p>
    <w:p w14:paraId="7ED40098" w14:textId="1683118A" w:rsidR="00A04DF7" w:rsidRPr="00D505B1" w:rsidRDefault="00A04DF7" w:rsidP="00A04DF7">
      <w:pPr>
        <w:spacing w:before="120" w:after="0" w:line="276" w:lineRule="auto"/>
        <w:ind w:firstLine="709"/>
        <w:jc w:val="both"/>
        <w:rPr>
          <w:rFonts w:ascii="Arial" w:eastAsia="Times New Roman" w:hAnsi="Arial" w:cs="Arial"/>
          <w:szCs w:val="24"/>
          <w:lang w:eastAsia="es-ES_tradnl"/>
        </w:rPr>
      </w:pPr>
      <w:r w:rsidRPr="00D505B1">
        <w:rPr>
          <w:rFonts w:ascii="Arial" w:eastAsia="Calibri" w:hAnsi="Arial" w:cs="Arial"/>
          <w:lang w:val="es-MX"/>
        </w:rPr>
        <w:t>Así, de conformidad con las competencias asignadas</w:t>
      </w:r>
      <w:r w:rsidRPr="00D505B1">
        <w:rPr>
          <w:rFonts w:ascii="Arial" w:eastAsia="Times New Roman" w:hAnsi="Arial" w:cs="Arial"/>
          <w:color w:val="000000"/>
          <w:szCs w:val="24"/>
          <w:vertAlign w:val="superscript"/>
          <w:lang w:eastAsia="es-ES_tradnl"/>
        </w:rPr>
        <w:footnoteReference w:id="43"/>
      </w:r>
      <w:r w:rsidRPr="00D505B1">
        <w:rPr>
          <w:rFonts w:ascii="Arial" w:eastAsia="Calibri" w:hAnsi="Arial" w:cs="Arial"/>
          <w:lang w:val="es-MX"/>
        </w:rPr>
        <w:t>,</w:t>
      </w:r>
      <w:r w:rsidRPr="00D505B1">
        <w:rPr>
          <w:rFonts w:ascii="Arial" w:eastAsia="Times New Roman" w:hAnsi="Arial" w:cs="Arial"/>
          <w:szCs w:val="24"/>
          <w:shd w:val="clear" w:color="auto" w:fill="FFFFFF"/>
          <w:lang w:eastAsia="es-ES_tradnl"/>
        </w:rPr>
        <w:t xml:space="preserve"> la Agencia Nacional de Contratación Pública – Colombia Compra Eficiente ha expedido las</w:t>
      </w:r>
      <w:r w:rsidRPr="00D505B1">
        <w:rPr>
          <w:rFonts w:ascii="Arial" w:eastAsia="Times New Roman" w:hAnsi="Arial" w:cs="Arial"/>
          <w:szCs w:val="24"/>
          <w:lang w:eastAsia="es-ES_tradnl"/>
        </w:rPr>
        <w:t xml:space="preserve">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interventoría de obra pública de agua potable y saneamiento básico y los de obra pública de infraestructura social</w:t>
      </w:r>
      <w:r w:rsidRPr="00D505B1">
        <w:rPr>
          <w:rFonts w:ascii="Arial" w:eastAsia="Times New Roman" w:hAnsi="Arial" w:cs="Arial"/>
          <w:szCs w:val="24"/>
          <w:vertAlign w:val="superscript"/>
          <w:lang w:eastAsia="es-ES_tradnl"/>
        </w:rPr>
        <w:footnoteReference w:id="44"/>
      </w:r>
      <w:r w:rsidRPr="00D505B1">
        <w:rPr>
          <w:rFonts w:ascii="Arial" w:eastAsia="Times New Roman" w:hAnsi="Arial" w:cs="Arial"/>
          <w:szCs w:val="24"/>
          <w:lang w:eastAsia="es-ES_tradnl"/>
        </w:rPr>
        <w:t xml:space="preserve">. De acuerdo con el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Documento Base</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 de </w:t>
      </w:r>
      <w:r w:rsidRPr="00D505B1">
        <w:rPr>
          <w:rFonts w:ascii="Arial" w:eastAsia="Times New Roman" w:hAnsi="Arial" w:cs="Arial"/>
          <w:szCs w:val="24"/>
          <w:lang w:eastAsia="es-ES_tradnl"/>
        </w:rPr>
        <w:lastRenderedPageBreak/>
        <w:t>dichos procesos</w:t>
      </w:r>
      <w:r w:rsidRPr="00D505B1">
        <w:rPr>
          <w:rFonts w:ascii="Arial" w:eastAsia="Times New Roman" w:hAnsi="Arial" w:cs="Arial"/>
          <w:szCs w:val="24"/>
          <w:vertAlign w:val="superscript"/>
          <w:lang w:eastAsia="es-ES_tradnl"/>
        </w:rPr>
        <w:footnoteReference w:id="45"/>
      </w:r>
      <w:r w:rsidRPr="00D505B1">
        <w:rPr>
          <w:rFonts w:ascii="Arial" w:eastAsia="Times New Roman" w:hAnsi="Arial" w:cs="Arial"/>
          <w:szCs w:val="24"/>
          <w:lang w:eastAsia="es-ES_tradnl"/>
        </w:rPr>
        <w:t xml:space="preserve">, con excepción de la mínima cuantía, en el numeral 4.2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Factor de Calidad</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 se contempló: </w:t>
      </w:r>
    </w:p>
    <w:p w14:paraId="2627D283" w14:textId="77777777" w:rsidR="00A04DF7" w:rsidRPr="00D505B1" w:rsidRDefault="00A04DF7" w:rsidP="00A04DF7">
      <w:pPr>
        <w:spacing w:after="0" w:line="276" w:lineRule="auto"/>
        <w:ind w:firstLine="709"/>
        <w:jc w:val="both"/>
        <w:rPr>
          <w:rFonts w:ascii="Arial" w:eastAsia="Calibri" w:hAnsi="Arial" w:cs="Arial"/>
          <w:lang w:val="es-MX"/>
        </w:rPr>
      </w:pPr>
    </w:p>
    <w:p w14:paraId="5D73001D" w14:textId="1F948218" w:rsidR="00420D03" w:rsidRDefault="00547B32" w:rsidP="00420D03">
      <w:pPr>
        <w:tabs>
          <w:tab w:val="left" w:pos="0"/>
        </w:tabs>
        <w:spacing w:after="0" w:line="240" w:lineRule="auto"/>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00420D03" w:rsidRPr="00420D03">
        <w:rPr>
          <w:rFonts w:ascii="Arial" w:eastAsia="Calibri" w:hAnsi="Arial" w:cs="Arial"/>
          <w:color w:val="000000"/>
          <w:sz w:val="21"/>
          <w:szCs w:val="21"/>
          <w:lang w:val="es-ES_tradnl" w:eastAsia="en-GB"/>
        </w:rPr>
        <w:t xml:space="preserve">Las Entidades Estatales </w:t>
      </w:r>
      <w:r w:rsidR="00420D03" w:rsidRPr="00420D03">
        <w:rPr>
          <w:rFonts w:ascii="Arial" w:eastAsia="Calibri" w:hAnsi="Arial" w:cs="Arial"/>
          <w:i/>
          <w:iCs/>
          <w:color w:val="000000"/>
          <w:sz w:val="21"/>
          <w:szCs w:val="21"/>
          <w:lang w:val="es-ES_tradnl" w:eastAsia="en-GB"/>
        </w:rPr>
        <w:t>deben consultar y analizar las anotaciones</w:t>
      </w:r>
      <w:r w:rsidR="00420D03" w:rsidRPr="00420D03">
        <w:rPr>
          <w:rFonts w:ascii="Arial" w:eastAsia="Calibri" w:hAnsi="Arial" w:cs="Arial"/>
          <w:color w:val="000000"/>
          <w:sz w:val="21"/>
          <w:szCs w:val="21"/>
          <w:lang w:val="es-ES_tradnl" w:eastAsia="en-GB"/>
        </w:rPr>
        <w:t xml:space="preserve">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00420D03">
        <w:rPr>
          <w:rFonts w:ascii="Arial" w:eastAsia="Calibri" w:hAnsi="Arial" w:cs="Arial"/>
          <w:color w:val="000000"/>
          <w:sz w:val="21"/>
          <w:szCs w:val="21"/>
          <w:lang w:val="es-ES_tradnl" w:eastAsia="en-GB"/>
        </w:rPr>
        <w:t>.</w:t>
      </w:r>
    </w:p>
    <w:p w14:paraId="4DC14573" w14:textId="77777777" w:rsidR="00420D03" w:rsidRPr="00420D03" w:rsidRDefault="00420D03" w:rsidP="00420D03">
      <w:pPr>
        <w:tabs>
          <w:tab w:val="left" w:pos="0"/>
        </w:tabs>
        <w:spacing w:after="0" w:line="240" w:lineRule="auto"/>
        <w:ind w:left="709" w:right="709"/>
        <w:jc w:val="both"/>
        <w:rPr>
          <w:rFonts w:ascii="Arial" w:eastAsia="Calibri" w:hAnsi="Arial" w:cs="Arial"/>
          <w:color w:val="000000"/>
          <w:sz w:val="21"/>
          <w:szCs w:val="21"/>
          <w:lang w:val="es-ES_tradnl" w:eastAsia="en-GB"/>
        </w:rPr>
      </w:pPr>
    </w:p>
    <w:p w14:paraId="60C3B8D7" w14:textId="630BA509" w:rsidR="00A04DF7" w:rsidRPr="00D505B1" w:rsidRDefault="00420D03" w:rsidP="00420D03">
      <w:pPr>
        <w:tabs>
          <w:tab w:val="left" w:pos="0"/>
        </w:tabs>
        <w:spacing w:after="0" w:line="240" w:lineRule="auto"/>
        <w:ind w:left="709" w:right="709"/>
        <w:jc w:val="both"/>
        <w:rPr>
          <w:rFonts w:ascii="Arial" w:eastAsia="Calibri" w:hAnsi="Arial" w:cs="Arial"/>
          <w:i/>
          <w:iCs/>
          <w:color w:val="000000"/>
          <w:sz w:val="21"/>
          <w:szCs w:val="21"/>
          <w:lang w:val="es-ES_tradnl" w:eastAsia="en-GB"/>
        </w:rPr>
      </w:pPr>
      <w:r w:rsidRPr="00420D03">
        <w:rPr>
          <w:rFonts w:ascii="Arial" w:eastAsia="Calibri" w:hAnsi="Arial" w:cs="Arial"/>
          <w:color w:val="000000"/>
          <w:sz w:val="21"/>
          <w:szCs w:val="21"/>
          <w:lang w:val="es-ES_tradnl" w:eastAsia="en-GB"/>
        </w:rPr>
        <w:t>En todo caso, no se descontará el puntaje en los términos previstos en el inciso anterior cuando el Proponente no oferte el factor de calidad, por lo que éste obtendrá cero (0) puntos en este criterio de evaluación. En esta circunstancia, la Entidad no podrá reducir el puntaje de la sumatoria obtenida en los demás factores de ponderación</w:t>
      </w:r>
      <w:r w:rsidR="00A04DF7" w:rsidRPr="00D505B1">
        <w:rPr>
          <w:rFonts w:ascii="Arial" w:eastAsia="Calibri" w:hAnsi="Arial" w:cs="Arial"/>
          <w:color w:val="000000"/>
          <w:sz w:val="21"/>
          <w:szCs w:val="21"/>
          <w:vertAlign w:val="superscript"/>
          <w:lang w:val="es-ES_tradnl" w:eastAsia="en-GB"/>
        </w:rPr>
        <w:footnoteReference w:id="46"/>
      </w:r>
      <w:r w:rsidR="00A04DF7" w:rsidRPr="00D505B1">
        <w:rPr>
          <w:rFonts w:ascii="Arial" w:eastAsia="Calibri" w:hAnsi="Arial" w:cs="Arial"/>
          <w:color w:val="000000"/>
          <w:sz w:val="21"/>
          <w:szCs w:val="21"/>
          <w:lang w:val="es-ES_tradnl" w:eastAsia="en-GB"/>
        </w:rPr>
        <w:t>. [Énfasis fuera de texto]</w:t>
      </w:r>
    </w:p>
    <w:p w14:paraId="4F96F45C" w14:textId="77777777" w:rsidR="00A04DF7" w:rsidRPr="00D505B1" w:rsidRDefault="00A04DF7" w:rsidP="00A04DF7">
      <w:pPr>
        <w:spacing w:after="0" w:line="276" w:lineRule="auto"/>
        <w:jc w:val="both"/>
        <w:rPr>
          <w:rFonts w:ascii="Arial" w:eastAsia="Calibri" w:hAnsi="Arial" w:cs="Arial"/>
          <w:lang w:val="es-MX"/>
        </w:rPr>
      </w:pPr>
    </w:p>
    <w:p w14:paraId="6D29489B" w14:textId="7CF4D2FF" w:rsidR="00A04DF7" w:rsidRPr="00D505B1" w:rsidRDefault="00A04DF7" w:rsidP="00A04DF7">
      <w:pPr>
        <w:spacing w:after="0" w:line="276" w:lineRule="auto"/>
        <w:ind w:firstLine="709"/>
        <w:jc w:val="both"/>
        <w:rPr>
          <w:rFonts w:ascii="Arial" w:eastAsia="Calibri" w:hAnsi="Arial" w:cs="Arial"/>
          <w:lang w:val="es-MX"/>
        </w:rPr>
      </w:pPr>
      <w:r w:rsidRPr="00D505B1">
        <w:rPr>
          <w:rFonts w:ascii="Arial" w:eastAsia="Calibri" w:hAnsi="Arial" w:cs="Arial"/>
          <w:lang w:val="es-MX"/>
        </w:rPr>
        <w:t xml:space="preserve">Para comprender íntegramente la forma de aplicación del numeral citado, se revisarán dos temas que a nuestro juicio son esenciales: i) el alcance de los vocablos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consultar y analizar</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y ii) las anotaciones en el Registro Nacional de Obras Civiles Inconclusas. </w:t>
      </w:r>
    </w:p>
    <w:p w14:paraId="63D364AF" w14:textId="3C8628B4"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Como punto de partida, es preciso señalar que el inicio del párrafo del documento</w:t>
      </w:r>
      <w:bookmarkStart w:id="11" w:name="ver_30223091"/>
      <w:r w:rsidRPr="00D505B1">
        <w:rPr>
          <w:rFonts w:ascii="Arial" w:eastAsia="Calibri" w:hAnsi="Arial" w:cs="Arial"/>
          <w:lang w:val="es-MX"/>
        </w:rPr>
        <w:t xml:space="preserve">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00594F8F">
        <w:rPr>
          <w:rFonts w:ascii="Arial" w:eastAsia="Times New Roman" w:hAnsi="Arial" w:cs="Arial"/>
          <w:szCs w:val="24"/>
          <w:lang w:eastAsia="es-ES_tradnl"/>
        </w:rPr>
        <w:t>“</w:t>
      </w:r>
      <w:r w:rsidRPr="00D505B1">
        <w:rPr>
          <w:rFonts w:ascii="Arial" w:eastAsia="Calibri" w:hAnsi="Arial" w:cs="Arial"/>
          <w:lang w:val="es-MX"/>
        </w:rPr>
        <w:t>Documentos Base</w:t>
      </w:r>
      <w:r w:rsidR="00594F8F">
        <w:rPr>
          <w:rFonts w:ascii="Arial" w:eastAsia="Times New Roman" w:hAnsi="Arial" w:cs="Arial"/>
          <w:szCs w:val="24"/>
          <w:lang w:eastAsia="es-ES_tradnl"/>
        </w:rPr>
        <w:t>”</w:t>
      </w:r>
      <w:r w:rsidRPr="00D505B1">
        <w:rPr>
          <w:rFonts w:ascii="Arial" w:eastAsia="Calibri" w:hAnsi="Arial" w:cs="Arial"/>
          <w:lang w:val="es-MX"/>
        </w:rPr>
        <w:t xml:space="preserve"> es esencialmente una transcripción del inciso primero del artículo 6, el cual dispone que </w:t>
      </w:r>
      <w:r w:rsidR="00594F8F" w:rsidRPr="006F5770">
        <w:rPr>
          <w:rFonts w:ascii="Arial" w:eastAsia="Times New Roman" w:hAnsi="Arial" w:cs="Arial"/>
          <w:i/>
          <w:iCs/>
          <w:szCs w:val="24"/>
          <w:lang w:eastAsia="es-ES_tradnl"/>
        </w:rPr>
        <w:t>“</w:t>
      </w:r>
      <w:r w:rsidRPr="006F5770">
        <w:rPr>
          <w:rFonts w:ascii="Arial" w:eastAsia="Calibri" w:hAnsi="Arial" w:cs="Arial"/>
          <w:i/>
          <w:iCs/>
          <w:lang w:val="es-MX"/>
        </w:rPr>
        <w:t>En los procesos de contratación de obras públicas que adelanten las entidades estatales contratantes, sin importar la cuantía, deberán</w:t>
      </w:r>
      <w:r w:rsidRPr="006F5770">
        <w:rPr>
          <w:rFonts w:ascii="Arial" w:eastAsia="Calibri" w:hAnsi="Arial" w:cs="Arial"/>
          <w:b/>
          <w:i/>
          <w:iCs/>
          <w:lang w:val="es-MX"/>
        </w:rPr>
        <w:t xml:space="preserve"> </w:t>
      </w:r>
      <w:r w:rsidRPr="006F5770">
        <w:rPr>
          <w:rFonts w:ascii="Arial" w:eastAsia="Calibri" w:hAnsi="Arial" w:cs="Arial"/>
          <w:i/>
          <w:iCs/>
          <w:lang w:val="es-MX"/>
        </w:rPr>
        <w:t>consultar y analizar las anotaciones vigentes que presenten las personas naturales o jurídicas, nacionales o extranjeras domiciliadas o con sucursal en Colombia, en el Registro Nacional de Obras Civiles Inconclusas</w:t>
      </w:r>
      <w:r w:rsidR="00594F8F">
        <w:rPr>
          <w:rFonts w:ascii="Arial" w:eastAsia="Times New Roman" w:hAnsi="Arial" w:cs="Arial"/>
          <w:szCs w:val="24"/>
          <w:lang w:eastAsia="es-ES_tradnl"/>
        </w:rPr>
        <w:t>”</w:t>
      </w:r>
      <w:r w:rsidRPr="00D505B1">
        <w:rPr>
          <w:rFonts w:ascii="Arial" w:eastAsia="Calibri" w:hAnsi="Arial" w:cs="Arial"/>
          <w:lang w:val="es-MX"/>
        </w:rPr>
        <w:t xml:space="preserve">. Nótese que los términos de </w:t>
      </w:r>
      <w:r w:rsidR="00594F8F">
        <w:rPr>
          <w:rFonts w:ascii="Arial" w:eastAsia="Times New Roman" w:hAnsi="Arial" w:cs="Arial"/>
          <w:szCs w:val="24"/>
          <w:lang w:eastAsia="es-ES_tradnl"/>
        </w:rPr>
        <w:t>“</w:t>
      </w:r>
      <w:r w:rsidRPr="00D505B1">
        <w:rPr>
          <w:rFonts w:ascii="Arial" w:eastAsia="Calibri" w:hAnsi="Arial" w:cs="Arial"/>
          <w:lang w:val="es-MX"/>
        </w:rPr>
        <w:t>consultar y analizar</w:t>
      </w:r>
      <w:r w:rsidR="00594F8F">
        <w:rPr>
          <w:rFonts w:ascii="Arial" w:eastAsia="Times New Roman" w:hAnsi="Arial" w:cs="Arial"/>
          <w:szCs w:val="24"/>
          <w:lang w:eastAsia="es-ES_tradnl"/>
        </w:rPr>
        <w:t>”</w:t>
      </w:r>
      <w:r w:rsidRPr="00D505B1">
        <w:rPr>
          <w:rFonts w:ascii="Arial" w:eastAsia="Calibri" w:hAnsi="Arial" w:cs="Arial"/>
          <w:lang w:val="es-MX"/>
        </w:rPr>
        <w:t xml:space="preserve">, son empleados tanto en los Documento Base como en la disposición señalada. </w:t>
      </w:r>
    </w:p>
    <w:p w14:paraId="3FCA6983" w14:textId="1391392C"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Según su significado literal, consultar es </w:t>
      </w:r>
      <w:r w:rsidR="00594F8F">
        <w:rPr>
          <w:rFonts w:ascii="Arial" w:eastAsia="Times New Roman" w:hAnsi="Arial" w:cs="Arial"/>
          <w:szCs w:val="24"/>
          <w:lang w:eastAsia="es-ES_tradnl"/>
        </w:rPr>
        <w:t>“</w:t>
      </w:r>
      <w:r w:rsidRPr="00D505B1">
        <w:rPr>
          <w:rFonts w:ascii="Arial" w:eastAsia="Calibri" w:hAnsi="Arial" w:cs="Arial"/>
          <w:lang w:val="es-MX"/>
        </w:rPr>
        <w:t>buscar documentación o datos sobre algún asunto o materia</w:t>
      </w:r>
      <w:r w:rsidR="00594F8F">
        <w:rPr>
          <w:rFonts w:ascii="Arial" w:eastAsia="Times New Roman" w:hAnsi="Arial" w:cs="Arial"/>
          <w:szCs w:val="24"/>
          <w:lang w:eastAsia="es-ES_tradnl"/>
        </w:rPr>
        <w:t>”</w:t>
      </w:r>
      <w:r w:rsidRPr="00D505B1">
        <w:rPr>
          <w:rFonts w:ascii="Arial" w:eastAsia="Calibri" w:hAnsi="Arial" w:cs="Arial"/>
          <w:vertAlign w:val="superscript"/>
          <w:lang w:val="es-MX"/>
        </w:rPr>
        <w:footnoteReference w:id="47"/>
      </w:r>
      <w:r w:rsidRPr="00D505B1">
        <w:rPr>
          <w:rFonts w:ascii="Arial" w:eastAsia="Times New Roman" w:hAnsi="Arial" w:cs="Arial"/>
          <w:szCs w:val="24"/>
          <w:lang w:eastAsia="es-ES_tradnl"/>
        </w:rPr>
        <w:t xml:space="preserve"> y analizar </w:t>
      </w:r>
      <w:r w:rsidRPr="00D505B1">
        <w:rPr>
          <w:rFonts w:ascii="Arial" w:eastAsia="Calibri" w:hAnsi="Arial" w:cs="Arial"/>
          <w:lang w:val="es-MX"/>
        </w:rPr>
        <w:t xml:space="preserve">se refiere al </w:t>
      </w:r>
      <w:r w:rsidR="00594F8F">
        <w:rPr>
          <w:rFonts w:ascii="Arial" w:eastAsia="Times New Roman" w:hAnsi="Arial" w:cs="Arial"/>
          <w:szCs w:val="24"/>
          <w:lang w:eastAsia="es-ES_tradnl"/>
        </w:rPr>
        <w:t>“</w:t>
      </w:r>
      <w:r w:rsidRPr="00D505B1">
        <w:rPr>
          <w:rFonts w:ascii="Arial" w:eastAsia="Calibri" w:hAnsi="Arial" w:cs="Arial"/>
          <w:lang w:val="es-MX"/>
        </w:rPr>
        <w:t xml:space="preserve">examen que se hace de una obra, de un escrito o de </w:t>
      </w:r>
      <w:r w:rsidRPr="00D505B1">
        <w:rPr>
          <w:rFonts w:ascii="Arial" w:eastAsia="Calibri" w:hAnsi="Arial" w:cs="Arial"/>
          <w:lang w:val="es-MX"/>
        </w:rPr>
        <w:lastRenderedPageBreak/>
        <w:t>cualquier realidad susceptible de estudio intelectual</w:t>
      </w:r>
      <w:r w:rsidR="00594F8F">
        <w:rPr>
          <w:rFonts w:ascii="Arial" w:eastAsia="Times New Roman" w:hAnsi="Arial" w:cs="Arial"/>
          <w:szCs w:val="24"/>
          <w:lang w:eastAsia="es-ES_tradnl"/>
        </w:rPr>
        <w:t>”</w:t>
      </w:r>
      <w:r w:rsidRPr="00D505B1">
        <w:rPr>
          <w:rFonts w:ascii="Arial" w:eastAsia="Calibri" w:hAnsi="Arial" w:cs="Arial"/>
          <w:vertAlign w:val="superscript"/>
          <w:lang w:val="es-MX"/>
        </w:rPr>
        <w:footnoteReference w:id="48"/>
      </w:r>
      <w:r w:rsidRPr="00D505B1">
        <w:rPr>
          <w:rFonts w:ascii="Arial" w:eastAsia="Calibri" w:hAnsi="Arial" w:cs="Arial"/>
          <w:lang w:val="es-MX"/>
        </w:rPr>
        <w:t xml:space="preserve">. El propósito de estas expresiones, entonces, es el de realizar un examen minucioso de un asunto, para conocer sus características, factores, naturaleza y demás condiciones necesarias para entender el sentido del objeto de estudio. </w:t>
      </w:r>
    </w:p>
    <w:p w14:paraId="533E9B8F" w14:textId="135FAB65"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Estos vocablos revisten especial importancia, pues con base en ese análisis la </w:t>
      </w:r>
      <w:r w:rsidR="00021C90">
        <w:rPr>
          <w:rFonts w:ascii="Arial" w:eastAsia="Calibri" w:hAnsi="Arial" w:cs="Arial"/>
          <w:lang w:val="es-MX"/>
        </w:rPr>
        <w:t>Entidad Estatal</w:t>
      </w:r>
      <w:r w:rsidRPr="00D505B1">
        <w:rPr>
          <w:rFonts w:ascii="Arial" w:eastAsia="Calibri" w:hAnsi="Arial" w:cs="Arial"/>
          <w:lang w:val="es-MX"/>
        </w:rPr>
        <w:t xml:space="preserve"> descontará un punto de la sumatoria obtenida en relación con el factor calidad. En otras palabras, en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el desarrollo del trámite legislativo que se surtió en el Congreso de la República, en el cual se incorporó en el artículo 6 de la Ley 2020 de 2020 los vocablos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 en el entendido que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no toda inclusión en el registro es imputable al contratista</w:t>
      </w:r>
      <w:r w:rsidR="00594F8F">
        <w:rPr>
          <w:rFonts w:ascii="Arial" w:eastAsia="Times New Roman" w:hAnsi="Arial" w:cs="Arial"/>
          <w:szCs w:val="24"/>
          <w:lang w:eastAsia="es-ES_tradnl"/>
        </w:rPr>
        <w:t>”</w:t>
      </w:r>
      <w:r w:rsidRPr="00D505B1">
        <w:rPr>
          <w:rFonts w:ascii="Arial" w:eastAsia="Times New Roman" w:hAnsi="Arial" w:cs="Arial"/>
          <w:szCs w:val="24"/>
          <w:vertAlign w:val="superscript"/>
          <w:lang w:eastAsia="es-ES_tradnl"/>
        </w:rPr>
        <w:footnoteReference w:id="49"/>
      </w:r>
      <w:r w:rsidRPr="00D505B1">
        <w:rPr>
          <w:rFonts w:ascii="Arial" w:eastAsia="Times New Roman" w:hAnsi="Arial" w:cs="Arial"/>
          <w:szCs w:val="24"/>
          <w:lang w:eastAsia="es-ES_tradnl"/>
        </w:rPr>
        <w:t xml:space="preserve">. </w:t>
      </w:r>
    </w:p>
    <w:p w14:paraId="23E2960A" w14:textId="349175DF"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De esta manera, la connotación de las palabras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 </w:t>
      </w:r>
      <w:r w:rsidRPr="00D505B1">
        <w:rPr>
          <w:rFonts w:ascii="Arial" w:eastAsia="Calibri" w:hAnsi="Arial" w:cs="Arial"/>
          <w:lang w:val="es-MX"/>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00594F8F">
        <w:rPr>
          <w:rFonts w:ascii="Arial" w:eastAsia="Times New Roman" w:hAnsi="Arial" w:cs="Arial"/>
          <w:szCs w:val="24"/>
          <w:lang w:eastAsia="es-ES_tradnl"/>
        </w:rPr>
        <w:t>”</w:t>
      </w:r>
      <w:r w:rsidRPr="00D505B1">
        <w:rPr>
          <w:rFonts w:ascii="Arial" w:eastAsia="Calibri" w:hAnsi="Arial" w:cs="Arial"/>
          <w:lang w:val="es-MX"/>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46A2D659" w14:textId="77777777"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 </w:t>
      </w:r>
    </w:p>
    <w:p w14:paraId="7005F091" w14:textId="77777777"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w:t>
      </w:r>
      <w:r w:rsidRPr="00D505B1">
        <w:rPr>
          <w:rFonts w:ascii="Arial" w:eastAsia="Calibri" w:hAnsi="Arial" w:cs="Arial"/>
          <w:lang w:val="es-MX"/>
        </w:rPr>
        <w:lastRenderedPageBreak/>
        <w:t xml:space="preserve">alcance del análisis de las anotaciones en el registro también incluye la verificación de los incumplimientos del contratista respecto de las obras civiles inconclusas. </w:t>
      </w:r>
    </w:p>
    <w:p w14:paraId="2EEADB85" w14:textId="4C0660C0"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En la presentación inicial del proyecto de Ley No. 025 de 2018, </w:t>
      </w:r>
      <w:r w:rsidR="00594F8F">
        <w:rPr>
          <w:rFonts w:ascii="Arial" w:eastAsia="Times New Roman" w:hAnsi="Arial" w:cs="Arial"/>
          <w:szCs w:val="24"/>
          <w:lang w:eastAsia="es-ES_tradnl"/>
        </w:rPr>
        <w:t>“</w:t>
      </w:r>
      <w:r w:rsidRPr="00D505B1">
        <w:rPr>
          <w:rFonts w:ascii="Arial" w:eastAsia="Calibri" w:hAnsi="Arial" w:cs="Arial"/>
          <w:lang w:val="es-MX"/>
        </w:rPr>
        <w:t>por medio de la cual se crea el registro nacional de obras civiles inconclusas de las entidades estatales y se dictan otras disposiciones</w:t>
      </w:r>
      <w:r w:rsidR="00594F8F">
        <w:rPr>
          <w:rFonts w:ascii="Arial" w:eastAsia="Times New Roman" w:hAnsi="Arial" w:cs="Arial"/>
          <w:szCs w:val="24"/>
          <w:lang w:eastAsia="es-ES_tradnl"/>
        </w:rPr>
        <w:t>”</w:t>
      </w:r>
      <w:r w:rsidRPr="00D505B1">
        <w:rPr>
          <w:rFonts w:ascii="Arial" w:eastAsia="Calibri" w:hAnsi="Arial" w:cs="Arial"/>
          <w:lang w:val="es-MX"/>
        </w:rPr>
        <w:t xml:space="preserve">, la redacción del artículo 6 distaba mucho de la versión final de la Ley 2020 de 2020. El texto original no involucraba asuntos relacionados con la contratación pública. La disposición establecía lo siguiente: </w:t>
      </w:r>
    </w:p>
    <w:p w14:paraId="02F44613" w14:textId="77777777" w:rsidR="00A04DF7" w:rsidRPr="00D505B1" w:rsidRDefault="00A04DF7" w:rsidP="00A04DF7">
      <w:pPr>
        <w:spacing w:after="0" w:line="276" w:lineRule="auto"/>
        <w:ind w:firstLine="709"/>
        <w:jc w:val="both"/>
        <w:rPr>
          <w:rFonts w:ascii="Arial" w:eastAsia="Calibri" w:hAnsi="Arial" w:cs="Arial"/>
          <w:lang w:val="es-MX"/>
        </w:rPr>
      </w:pPr>
    </w:p>
    <w:p w14:paraId="703108B0" w14:textId="77777777" w:rsidR="00A04DF7" w:rsidRPr="00D505B1" w:rsidRDefault="00A04DF7" w:rsidP="00A04DF7">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24273437" w14:textId="77777777" w:rsidR="00A04DF7" w:rsidRPr="00D505B1" w:rsidRDefault="00A04DF7" w:rsidP="00A04DF7">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0F0AD828" w14:textId="77777777" w:rsidR="00A04DF7" w:rsidRPr="00D505B1" w:rsidRDefault="00A04DF7" w:rsidP="00A04DF7">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sidRPr="00D505B1">
        <w:rPr>
          <w:rFonts w:ascii="Arial" w:eastAsia="Calibri" w:hAnsi="Arial" w:cs="Arial"/>
          <w:vertAlign w:val="superscript"/>
          <w:lang w:val="es-MX"/>
        </w:rPr>
        <w:footnoteReference w:id="50"/>
      </w:r>
    </w:p>
    <w:p w14:paraId="2E133685" w14:textId="77777777" w:rsidR="00A04DF7" w:rsidRPr="00D505B1" w:rsidRDefault="00A04DF7" w:rsidP="00A04DF7">
      <w:pPr>
        <w:spacing w:after="0" w:line="276" w:lineRule="auto"/>
        <w:ind w:firstLine="709"/>
        <w:jc w:val="both"/>
        <w:rPr>
          <w:rFonts w:ascii="Arial" w:eastAsia="Calibri" w:hAnsi="Arial" w:cs="Arial"/>
          <w:lang w:val="es-MX"/>
        </w:rPr>
      </w:pPr>
    </w:p>
    <w:p w14:paraId="321F6ACD" w14:textId="77777777" w:rsidR="00A04DF7" w:rsidRPr="00D505B1" w:rsidRDefault="00A04DF7" w:rsidP="00A04DF7">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lang w:val="es-MX"/>
        </w:rPr>
        <w:t xml:space="preserve">Como se observa, el enfoque de esta redacción se caracterizó por determinar un Registro a nivel territorial de obras civiles inconclusas que se incorporaran en al Registro Nacional de Obras Inconclusas. Además, establecía al </w:t>
      </w:r>
      <w:r w:rsidRPr="00D505B1">
        <w:rPr>
          <w:rFonts w:ascii="Arial" w:eastAsia="Calibri" w:hAnsi="Arial" w:cs="Arial"/>
          <w:color w:val="000000"/>
          <w:lang w:val="es-ES_tradnl" w:eastAsia="en-GB"/>
        </w:rPr>
        <w:t xml:space="preserve">Departamento Nacional de Planeación, como la entidad encargada de consolidar la información suministrada por las entidades estatales. </w:t>
      </w:r>
    </w:p>
    <w:p w14:paraId="7A51162F" w14:textId="5B3D0F97" w:rsidR="00A04DF7" w:rsidRPr="00D505B1" w:rsidRDefault="00A04DF7" w:rsidP="00A04DF7">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Posteriormente, la modificación del artículo supuso la inclusión de una obligación a cargo de las entidades estatales en su parágrafo segundo. Según esta versión,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00594F8F">
        <w:rPr>
          <w:rFonts w:ascii="Arial" w:eastAsia="Times New Roman" w:hAnsi="Arial" w:cs="Arial"/>
          <w:szCs w:val="24"/>
          <w:lang w:eastAsia="es-ES_tradnl"/>
        </w:rPr>
        <w:t>”</w:t>
      </w:r>
      <w:r w:rsidRPr="00D505B1">
        <w:rPr>
          <w:rFonts w:ascii="Arial" w:eastAsia="Calibri" w:hAnsi="Arial" w:cs="Arial"/>
          <w:color w:val="000000"/>
          <w:vertAlign w:val="superscript"/>
          <w:lang w:val="es-ES_tradnl" w:eastAsia="en-GB"/>
        </w:rPr>
        <w:footnoteReference w:id="51"/>
      </w:r>
      <w:r w:rsidRPr="00D505B1">
        <w:rPr>
          <w:rFonts w:ascii="Arial" w:eastAsia="Calibri" w:hAnsi="Arial" w:cs="Arial"/>
          <w:color w:val="000000"/>
          <w:lang w:val="es-ES_tradnl" w:eastAsia="en-GB"/>
        </w:rPr>
        <w:t xml:space="preserve">. Esta glosa comprende dos términos claves,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consultar</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e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incumplimiento</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Así, antes de contratar obras públicas, las entidades debían consultar los incumplimientos de los </w:t>
      </w:r>
      <w:r w:rsidRPr="00D505B1">
        <w:rPr>
          <w:rFonts w:ascii="Arial" w:eastAsia="Calibri" w:hAnsi="Arial" w:cs="Arial"/>
          <w:color w:val="000000"/>
          <w:lang w:val="es-ES_tradnl" w:eastAsia="en-GB"/>
        </w:rPr>
        <w:lastRenderedPageBreak/>
        <w:t>contratistas en el registro, pero no se estableció ninguna consecuencia jurídica. En el trámite legislativo, el parágrafo segundo del artículo 6 cambió radicalmente. Este aparte dispuso</w:t>
      </w:r>
      <w:r w:rsidRPr="00D505B1">
        <w:rPr>
          <w:rFonts w:ascii="Arial" w:eastAsia="Calibri" w:hAnsi="Arial" w:cs="Arial"/>
          <w:color w:val="000000"/>
          <w:vertAlign w:val="superscript"/>
          <w:lang w:val="es-ES_tradnl" w:eastAsia="en-GB"/>
        </w:rPr>
        <w:footnoteReference w:id="52"/>
      </w:r>
      <w:r w:rsidRPr="00D505B1">
        <w:rPr>
          <w:rFonts w:ascii="Arial" w:eastAsia="Calibri" w:hAnsi="Arial" w:cs="Arial"/>
          <w:color w:val="000000"/>
          <w:lang w:val="es-ES_tradnl" w:eastAsia="en-GB"/>
        </w:rPr>
        <w:t>:</w:t>
      </w:r>
    </w:p>
    <w:p w14:paraId="13CCEF81" w14:textId="77777777" w:rsidR="00A04DF7" w:rsidRPr="00D505B1" w:rsidRDefault="00A04DF7" w:rsidP="00A04DF7">
      <w:pPr>
        <w:spacing w:after="0" w:line="276" w:lineRule="auto"/>
        <w:ind w:firstLine="709"/>
        <w:jc w:val="both"/>
        <w:rPr>
          <w:rFonts w:ascii="Arial" w:eastAsia="Calibri" w:hAnsi="Arial" w:cs="Arial"/>
          <w:color w:val="000000"/>
          <w:lang w:val="es-ES_tradnl" w:eastAsia="en-GB"/>
        </w:rPr>
      </w:pPr>
    </w:p>
    <w:p w14:paraId="380CE707" w14:textId="77777777" w:rsidR="00A04DF7" w:rsidRPr="00D505B1" w:rsidRDefault="00A04DF7" w:rsidP="00A04DF7">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6207D61A" w14:textId="77777777" w:rsidR="00A04DF7" w:rsidRPr="00D505B1" w:rsidRDefault="00A04DF7" w:rsidP="00A04DF7">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La entidad contratante tendrá en cuenta el</w:t>
      </w:r>
      <w:r w:rsidRPr="00D505B1">
        <w:rPr>
          <w:rFonts w:ascii="Arial" w:eastAsia="Calibri" w:hAnsi="Arial" w:cs="Arial"/>
          <w:b/>
          <w:color w:val="000000"/>
          <w:sz w:val="21"/>
          <w:szCs w:val="21"/>
          <w:lang w:val="es-ES_tradnl" w:eastAsia="en-GB"/>
        </w:rPr>
        <w:t xml:space="preserve"> </w:t>
      </w:r>
      <w:r w:rsidRPr="00D505B1">
        <w:rPr>
          <w:rFonts w:ascii="Arial" w:eastAsia="Calibri" w:hAnsi="Arial" w:cs="Arial"/>
          <w:bCs/>
          <w:i/>
          <w:iCs/>
          <w:color w:val="000000"/>
          <w:sz w:val="21"/>
          <w:szCs w:val="21"/>
          <w:lang w:val="es-ES_tradnl" w:eastAsia="en-GB"/>
        </w:rPr>
        <w:t>cumplimiento</w:t>
      </w:r>
      <w:r w:rsidRPr="00D505B1">
        <w:rPr>
          <w:rFonts w:ascii="Arial" w:eastAsia="Calibri" w:hAnsi="Arial" w:cs="Arial"/>
          <w:color w:val="000000"/>
          <w:sz w:val="21"/>
          <w:szCs w:val="21"/>
          <w:lang w:val="es-ES_tradnl" w:eastAsia="en-GB"/>
        </w:rPr>
        <w:t xml:space="preserve"> de los contratistas licitantes, reflejado en el certificado allegado por los mismos y </w:t>
      </w:r>
      <w:r w:rsidRPr="00D505B1">
        <w:rPr>
          <w:rFonts w:ascii="Arial" w:eastAsia="Calibri" w:hAnsi="Arial" w:cs="Arial"/>
          <w:bCs/>
          <w:i/>
          <w:iCs/>
          <w:color w:val="000000"/>
          <w:sz w:val="21"/>
          <w:szCs w:val="21"/>
          <w:lang w:val="es-ES_tradnl" w:eastAsia="en-GB"/>
        </w:rPr>
        <w:t>evaluarán</w:t>
      </w:r>
      <w:r w:rsidRPr="00D505B1">
        <w:rPr>
          <w:rFonts w:ascii="Arial" w:eastAsia="Calibri" w:hAnsi="Arial" w:cs="Arial"/>
          <w:color w:val="000000"/>
          <w:sz w:val="21"/>
          <w:szCs w:val="21"/>
          <w:lang w:val="es-ES_tradnl" w:eastAsia="en-GB"/>
        </w:rPr>
        <w:t xml:space="preserve"> sus antecedentes de acuerdo a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61AD8620" w14:textId="77777777" w:rsidR="00A04DF7" w:rsidRPr="00D505B1" w:rsidRDefault="00A04DF7" w:rsidP="00A04DF7">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El Ministerio de Hacienda y Crédito Público en un término de (6) meses contados a partir de la entrada en vigencia de la presente ley, reglamentará la tarifa a cobrar por el certificado. (Énfasis fuera de texto)</w:t>
      </w:r>
    </w:p>
    <w:p w14:paraId="58FF5BEE" w14:textId="77777777" w:rsidR="00A04DF7" w:rsidRPr="00D505B1" w:rsidRDefault="00A04DF7" w:rsidP="00A04DF7">
      <w:pPr>
        <w:spacing w:after="0" w:line="276" w:lineRule="auto"/>
        <w:ind w:firstLine="709"/>
        <w:jc w:val="both"/>
        <w:rPr>
          <w:rFonts w:ascii="Arial" w:eastAsia="Calibri" w:hAnsi="Arial" w:cs="Arial"/>
          <w:color w:val="000000"/>
          <w:lang w:val="es-ES_tradnl" w:eastAsia="en-GB"/>
        </w:rPr>
      </w:pPr>
    </w:p>
    <w:p w14:paraId="57769F4A" w14:textId="77777777" w:rsidR="00A04DF7" w:rsidRPr="00D505B1" w:rsidRDefault="00A04DF7" w:rsidP="00A04DF7">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De la cita se desprenden tres (3) aspectos que 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pues se tendrá en cuenta para la puntuación en la evaluación de la oferta. </w:t>
      </w:r>
    </w:p>
    <w:p w14:paraId="7CC9ADF3" w14:textId="0E0FF0E9" w:rsidR="00A04DF7" w:rsidRPr="00D505B1" w:rsidRDefault="00A04DF7" w:rsidP="00A04DF7">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Así, el artículo 6 continúo teniendo modificaciones en el trámite legislativo, en particular, el parágrafo segundo. De esta manera, el texto siguiente eliminó la certificación virtual y, en cambio, determinó que las entidades contratantes en los pliegos de condiciones o sus equivalentes,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De igual manera, señaló que </w:t>
      </w:r>
      <w:r w:rsidR="00594F8F">
        <w:rPr>
          <w:rFonts w:ascii="Arial" w:eastAsia="Times New Roman" w:hAnsi="Arial" w:cs="Arial"/>
          <w:szCs w:val="24"/>
          <w:lang w:eastAsia="es-ES_tradnl"/>
        </w:rPr>
        <w:t>“</w:t>
      </w:r>
      <w:r w:rsidRPr="00D505B1">
        <w:rPr>
          <w:rFonts w:ascii="Arial" w:eastAsia="Calibri" w:hAnsi="Arial" w:cs="Arial"/>
          <w:color w:val="000000"/>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00594F8F">
        <w:rPr>
          <w:rFonts w:ascii="Arial" w:eastAsia="Times New Roman" w:hAnsi="Arial" w:cs="Arial"/>
          <w:szCs w:val="24"/>
          <w:lang w:eastAsia="es-ES_tradnl"/>
        </w:rPr>
        <w:t>”</w:t>
      </w:r>
      <w:r w:rsidRPr="00D505B1">
        <w:rPr>
          <w:rFonts w:ascii="Arial" w:eastAsia="Calibri" w:hAnsi="Arial" w:cs="Arial"/>
          <w:color w:val="000000"/>
          <w:vertAlign w:val="superscript"/>
          <w:lang w:val="es-ES_tradnl" w:eastAsia="en-GB"/>
        </w:rPr>
        <w:footnoteReference w:id="53"/>
      </w:r>
      <w:r w:rsidRPr="00D505B1">
        <w:rPr>
          <w:rFonts w:ascii="Arial" w:eastAsia="Calibri" w:hAnsi="Arial" w:cs="Arial"/>
          <w:color w:val="000000"/>
          <w:lang w:val="es-ES_tradnl" w:eastAsia="en-GB"/>
        </w:rPr>
        <w:t>.</w:t>
      </w:r>
    </w:p>
    <w:p w14:paraId="60233BD6" w14:textId="77777777" w:rsidR="00A04DF7" w:rsidRPr="00D505B1" w:rsidRDefault="00A04DF7" w:rsidP="00A04DF7">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Como se evidencia, la versión en este punto se centró en las anotaciones que presenten las personas naturales o jurídicas, nacionales o extranjeras domiciliadas o con sucursal en </w:t>
      </w:r>
      <w:r w:rsidRPr="00D505B1">
        <w:rPr>
          <w:rFonts w:ascii="Arial" w:eastAsia="Calibri" w:hAnsi="Arial" w:cs="Arial"/>
          <w:color w:val="000000"/>
          <w:lang w:val="es-ES_tradnl" w:eastAsia="en-GB"/>
        </w:rPr>
        <w:lastRenderedPageBreak/>
        <w:t xml:space="preserve">Colombia en el Registro Nacional de Obras Civiles Inconclusas. La consecuencia jurídica era aparentemente clara, por cada anotación se descontaría 3% de los puntos en los factores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14:paraId="42BB649F" w14:textId="77777777" w:rsidR="00A04DF7" w:rsidRPr="00D505B1" w:rsidRDefault="00A04DF7" w:rsidP="00A04DF7">
      <w:pPr>
        <w:spacing w:after="0" w:line="276" w:lineRule="auto"/>
        <w:ind w:firstLine="709"/>
        <w:jc w:val="both"/>
        <w:rPr>
          <w:rFonts w:ascii="Arial" w:eastAsia="Calibri" w:hAnsi="Arial" w:cs="Arial"/>
          <w:color w:val="000000"/>
          <w:lang w:val="es-ES_tradnl" w:eastAsia="en-GB"/>
        </w:rPr>
      </w:pPr>
    </w:p>
    <w:p w14:paraId="2A100679" w14:textId="77777777" w:rsidR="00A04DF7" w:rsidRPr="00D505B1" w:rsidRDefault="00A04DF7" w:rsidP="00A04DF7">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43D51A36" w14:textId="77777777" w:rsidR="00A04DF7" w:rsidRPr="00D505B1" w:rsidRDefault="00A04DF7" w:rsidP="00A04DF7">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sidRPr="00D505B1">
        <w:rPr>
          <w:rFonts w:ascii="Arial" w:eastAsia="Calibri" w:hAnsi="Arial" w:cs="Arial"/>
          <w:color w:val="000000"/>
          <w:vertAlign w:val="superscript"/>
          <w:lang w:val="es-ES_tradnl" w:eastAsia="en-GB"/>
        </w:rPr>
        <w:footnoteReference w:id="54"/>
      </w:r>
      <w:r w:rsidRPr="00D505B1">
        <w:rPr>
          <w:rFonts w:ascii="Arial" w:eastAsia="Calibri" w:hAnsi="Arial" w:cs="Arial"/>
          <w:color w:val="000000"/>
          <w:sz w:val="21"/>
          <w:szCs w:val="21"/>
          <w:lang w:val="es-ES_tradnl" w:eastAsia="en-GB"/>
        </w:rPr>
        <w:t>.</w:t>
      </w:r>
    </w:p>
    <w:p w14:paraId="615B63AE" w14:textId="77777777" w:rsidR="00A04DF7" w:rsidRPr="00D505B1" w:rsidRDefault="00A04DF7" w:rsidP="00A04DF7">
      <w:pPr>
        <w:tabs>
          <w:tab w:val="left" w:pos="0"/>
        </w:tabs>
        <w:spacing w:after="0" w:line="276" w:lineRule="auto"/>
        <w:ind w:left="709" w:right="709"/>
        <w:jc w:val="both"/>
        <w:rPr>
          <w:rFonts w:ascii="Arial" w:eastAsia="Calibri" w:hAnsi="Arial" w:cs="Arial"/>
          <w:color w:val="000000"/>
          <w:sz w:val="21"/>
          <w:szCs w:val="21"/>
          <w:lang w:val="es-ES_tradnl" w:eastAsia="en-GB"/>
        </w:rPr>
      </w:pPr>
    </w:p>
    <w:p w14:paraId="0A0BF0CB" w14:textId="6B9C4BE6" w:rsidR="00A04DF7" w:rsidRPr="00D505B1" w:rsidRDefault="00A04DF7" w:rsidP="00A04DF7">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En esta versión se incluyeron los vocablos </w:t>
      </w:r>
      <w:r w:rsidR="00594F8F">
        <w:rPr>
          <w:rFonts w:ascii="Arial" w:eastAsia="Times New Roman" w:hAnsi="Arial" w:cs="Arial"/>
          <w:lang w:eastAsia="es-ES_tradnl"/>
        </w:rPr>
        <w:t>“</w:t>
      </w:r>
      <w:r w:rsidRPr="00D505B1">
        <w:rPr>
          <w:rFonts w:ascii="Arial" w:eastAsia="Calibri" w:hAnsi="Arial" w:cs="Arial"/>
          <w:color w:val="000000"/>
          <w:lang w:val="es-ES_tradnl" w:eastAsia="en-GB"/>
        </w:rPr>
        <w:t>consultar y analizar</w:t>
      </w:r>
      <w:r w:rsidR="00594F8F">
        <w:rPr>
          <w:rFonts w:ascii="Arial" w:eastAsia="Times New Roman" w:hAnsi="Arial" w:cs="Arial"/>
          <w:lang w:eastAsia="es-ES_tradnl"/>
        </w:rPr>
        <w:t>”</w:t>
      </w:r>
      <w:r w:rsidRPr="00D505B1">
        <w:rPr>
          <w:rFonts w:ascii="Arial" w:eastAsia="Times New Roman" w:hAnsi="Arial" w:cs="Arial"/>
          <w:lang w:eastAsia="es-ES_tradnl"/>
        </w:rPr>
        <w:t xml:space="preserve"> para efectos de las anotaciones </w:t>
      </w:r>
      <w:r w:rsidRPr="00D505B1">
        <w:rPr>
          <w:rFonts w:ascii="Arial" w:eastAsia="Calibri" w:hAnsi="Arial" w:cs="Arial"/>
          <w:color w:val="000000"/>
          <w:lang w:val="es-ES_tradnl" w:eastAsia="en-GB"/>
        </w:rPr>
        <w:t xml:space="preserve">vigentes que presenten las personas naturales o jurídicas, nacionales o extranjeras domiciliadas o con sucursal en Colombia, en el Registro Nacional de Obras Civiles Inconclusas. Se resalta la consecuencia que le atribuye el artículo a las anotaciones en el Registro. De esta manera, el descuento de hasta 3% de los puntos en los factores de ponderación se realiza si la anotación es por causas imputables a ellos. </w:t>
      </w:r>
    </w:p>
    <w:p w14:paraId="0721426A" w14:textId="5825FBE7" w:rsidR="00A04DF7" w:rsidRPr="00D505B1" w:rsidRDefault="00A04DF7" w:rsidP="00A04DF7">
      <w:pPr>
        <w:spacing w:before="120" w:after="0" w:line="276" w:lineRule="auto"/>
        <w:ind w:firstLine="709"/>
        <w:jc w:val="both"/>
        <w:rPr>
          <w:rFonts w:ascii="Arial" w:eastAsia="Calibri" w:hAnsi="Arial" w:cs="Arial"/>
          <w:color w:val="000000"/>
          <w:lang w:eastAsia="en-GB"/>
        </w:rPr>
      </w:pPr>
      <w:r w:rsidRPr="00D505B1">
        <w:rPr>
          <w:rFonts w:ascii="Arial" w:eastAsia="Calibri" w:hAnsi="Arial" w:cs="Arial"/>
          <w:color w:val="000000"/>
          <w:lang w:val="es-ES_tradnl" w:eastAsia="en-GB"/>
        </w:rPr>
        <w:t xml:space="preserve">Vale la pena destacar los comentarios que se realizaron en esta ponencia, en relación con la modificación efectuada. Según se indicó </w:t>
      </w:r>
      <w:r w:rsidR="00594F8F">
        <w:rPr>
          <w:rFonts w:ascii="Arial" w:eastAsia="Times New Roman" w:hAnsi="Arial" w:cs="Arial"/>
          <w:szCs w:val="24"/>
          <w:lang w:eastAsia="es-ES_tradnl"/>
        </w:rPr>
        <w:t>“</w:t>
      </w:r>
      <w:r w:rsidRPr="00D505B1">
        <w:rPr>
          <w:rFonts w:ascii="Arial" w:eastAsia="Calibri" w:hAnsi="Arial" w:cs="Arial"/>
          <w:color w:val="000000"/>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00594F8F">
        <w:rPr>
          <w:rFonts w:ascii="Arial" w:eastAsia="Times New Roman" w:hAnsi="Arial" w:cs="Arial"/>
          <w:szCs w:val="24"/>
          <w:lang w:eastAsia="es-ES_tradnl"/>
        </w:rPr>
        <w:t>”</w:t>
      </w:r>
      <w:r w:rsidRPr="00D505B1">
        <w:rPr>
          <w:rFonts w:ascii="Arial" w:eastAsia="Calibri" w:hAnsi="Arial" w:cs="Arial"/>
          <w:color w:val="000000"/>
          <w:lang w:eastAsia="en-GB"/>
        </w:rPr>
        <w:t>.</w:t>
      </w:r>
    </w:p>
    <w:p w14:paraId="21FD857F" w14:textId="032285C6" w:rsidR="00A04DF7" w:rsidRPr="00D505B1" w:rsidRDefault="00A04DF7" w:rsidP="00A04DF7">
      <w:pPr>
        <w:spacing w:before="120" w:after="0" w:line="276" w:lineRule="auto"/>
        <w:ind w:firstLine="709"/>
        <w:jc w:val="both"/>
        <w:rPr>
          <w:rFonts w:ascii="Arial" w:eastAsia="Calibri" w:hAnsi="Arial" w:cs="Arial"/>
          <w:lang w:eastAsia="en-GB"/>
        </w:rPr>
      </w:pPr>
      <w:r w:rsidRPr="00D505B1">
        <w:rPr>
          <w:rFonts w:ascii="Arial" w:eastAsia="Calibri" w:hAnsi="Arial" w:cs="Arial"/>
          <w:lang w:eastAsia="en-GB"/>
        </w:rPr>
        <w:t xml:space="preserve">De lo expuesto puede concluirse lo siguiente: i) para el legislador es claro que  no toda anotación en el Registro Nacional de Obras Civiles Inconclusa corresponde a una causa atribuible al contratista; ii) en los procesos de contratación de obras públicas, concretamente, para la selección de contratistas de obra o interventores, que adelanten las entidades estatales contratantes,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w:t>
      </w:r>
      <w:r w:rsidRPr="00D505B1">
        <w:rPr>
          <w:rFonts w:ascii="Arial" w:eastAsia="Calibri" w:hAnsi="Arial" w:cs="Arial"/>
          <w:lang w:eastAsia="en-GB"/>
        </w:rPr>
        <w:lastRenderedPageBreak/>
        <w:t xml:space="preserve">Inconclusas no aplica para los contratos de consultoría, de acuerdo a lo que se deriva de la interpretación literal del artículo 6 de la Ley 2020 de 2020. Por tanto, la obligación aplica a los contratos de obra y de interventoría. Lo anterior, es congruente con el Capítulo IV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Criterios de evaluación, asignación de puntaje y criterios de desempate</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 xml:space="preserve"> </w:t>
      </w:r>
      <w:r w:rsidRPr="00D505B1">
        <w:rPr>
          <w:rFonts w:ascii="Arial" w:eastAsia="Calibri" w:hAnsi="Arial" w:cs="Arial"/>
          <w:lang w:eastAsia="en-GB"/>
        </w:rPr>
        <w:t xml:space="preserve">del documento base del Documento Tipo adoptado mediante la Resolución 193 del 2021, </w:t>
      </w:r>
      <w:r w:rsidR="00594F8F">
        <w:rPr>
          <w:rFonts w:ascii="Arial" w:eastAsia="Times New Roman" w:hAnsi="Arial" w:cs="Arial"/>
          <w:szCs w:val="24"/>
          <w:lang w:eastAsia="es-ES_tradnl"/>
        </w:rPr>
        <w:t>“</w:t>
      </w:r>
      <w:r w:rsidRPr="00D505B1">
        <w:rPr>
          <w:rFonts w:ascii="Arial" w:eastAsia="Times New Roman" w:hAnsi="Arial" w:cs="Arial"/>
          <w:szCs w:val="24"/>
          <w:lang w:eastAsia="es-ES_tradnl"/>
        </w:rPr>
        <w:t>Por la cual se adoptan los documentos tipo para los procesos de selección de concurso de méritos, para contratar la consultoría de estudios de ingeniería de infraestructura de transporte</w:t>
      </w:r>
      <w:r w:rsidR="00594F8F">
        <w:rPr>
          <w:rFonts w:ascii="Arial" w:eastAsia="Times New Roman" w:hAnsi="Arial" w:cs="Arial"/>
          <w:szCs w:val="24"/>
          <w:lang w:eastAsia="es-ES_tradnl"/>
        </w:rPr>
        <w:t>”</w:t>
      </w:r>
      <w:r w:rsidRPr="00D505B1">
        <w:rPr>
          <w:rFonts w:ascii="Arial" w:eastAsia="Calibri" w:hAnsi="Arial" w:cs="Arial"/>
          <w:lang w:eastAsia="en-GB"/>
        </w:rPr>
        <w:t xml:space="preserve">, pues en dicho capítulo no se desarrolla el deber de </w:t>
      </w:r>
      <w:r w:rsidR="00594F8F">
        <w:rPr>
          <w:rFonts w:ascii="Arial" w:eastAsia="Times New Roman" w:hAnsi="Arial" w:cs="Arial"/>
          <w:szCs w:val="24"/>
          <w:lang w:eastAsia="es-ES_tradnl"/>
        </w:rPr>
        <w:t>“</w:t>
      </w:r>
      <w:r w:rsidRPr="00D505B1">
        <w:rPr>
          <w:rFonts w:ascii="Arial" w:eastAsia="Calibri" w:hAnsi="Arial" w:cs="Arial"/>
          <w:lang w:eastAsia="en-GB"/>
        </w:rPr>
        <w:t>consultar y analizar</w:t>
      </w:r>
      <w:r w:rsidR="00594F8F">
        <w:rPr>
          <w:rFonts w:ascii="Arial" w:eastAsia="Times New Roman" w:hAnsi="Arial" w:cs="Arial"/>
          <w:szCs w:val="24"/>
          <w:lang w:eastAsia="es-ES_tradnl"/>
        </w:rPr>
        <w:t>”</w:t>
      </w:r>
      <w:r w:rsidRPr="00D505B1">
        <w:rPr>
          <w:rFonts w:ascii="Arial" w:eastAsia="Calibri" w:hAnsi="Arial" w:cs="Arial"/>
          <w:lang w:eastAsia="en-GB"/>
        </w:rPr>
        <w:t xml:space="preserve"> el Registro Nacional de Obras Civiles Inconclusas, de acuerdo a la explicación precedente. </w:t>
      </w:r>
    </w:p>
    <w:p w14:paraId="15F71A54" w14:textId="77777777" w:rsidR="00A04DF7" w:rsidRPr="00D505B1" w:rsidRDefault="00A04DF7" w:rsidP="00A04DF7">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con las controversias que surjan respecto de los reportes de la información que suministre la entidad contratante. </w:t>
      </w:r>
    </w:p>
    <w:p w14:paraId="43B9BD0A" w14:textId="77777777" w:rsidR="00A04DF7" w:rsidRPr="00D505B1"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color w:val="000000"/>
          <w:lang w:val="es-ES_tradnl" w:eastAsia="en-GB"/>
        </w:rPr>
        <w:t xml:space="preserve">Por ello, </w:t>
      </w:r>
      <w:bookmarkStart w:id="12" w:name="_Hlk87533626"/>
      <w:r w:rsidRPr="00D505B1">
        <w:rPr>
          <w:rFonts w:ascii="Arial" w:eastAsia="Calibri" w:hAnsi="Arial" w:cs="Arial"/>
          <w:color w:val="000000"/>
          <w:lang w:val="es-ES_tradnl" w:eastAsia="en-GB"/>
        </w:rPr>
        <w:t xml:space="preserve">atendiendo los antecedentes legislativos del artículo 6 de la Ley 2020 de 2020 anteriormente expuestos, </w:t>
      </w:r>
      <w:r w:rsidRPr="00392C2B">
        <w:rPr>
          <w:rFonts w:ascii="Arial" w:eastAsia="Calibri" w:hAnsi="Arial" w:cs="Arial"/>
          <w:color w:val="000000"/>
          <w:u w:val="single"/>
          <w:lang w:val="es-ES_tradnl" w:eastAsia="en-GB"/>
        </w:rPr>
        <w:t xml:space="preserve">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392C2B">
        <w:rPr>
          <w:rFonts w:ascii="Arial" w:eastAsia="Calibri" w:hAnsi="Arial" w:cs="Arial"/>
          <w:u w:val="single"/>
          <w:lang w:val="es-MX"/>
        </w:rPr>
        <w:t>si esa anotación se dio por un incumplimiento del contratista, por lo que, dependiendo del supuesto, la entidad descontará el punto</w:t>
      </w:r>
      <w:r w:rsidRPr="00D505B1">
        <w:rPr>
          <w:rFonts w:ascii="Arial" w:eastAsia="Calibri" w:hAnsi="Arial" w:cs="Arial"/>
          <w:lang w:val="es-MX"/>
        </w:rPr>
        <w:t xml:space="preserve">. </w:t>
      </w:r>
      <w:bookmarkEnd w:id="12"/>
    </w:p>
    <w:p w14:paraId="47960F22" w14:textId="065B15BD" w:rsidR="00A04DF7" w:rsidRPr="00D505B1" w:rsidRDefault="00A04DF7" w:rsidP="00A04DF7">
      <w:pPr>
        <w:spacing w:before="120" w:after="0" w:line="276" w:lineRule="auto"/>
        <w:ind w:firstLine="709"/>
        <w:jc w:val="both"/>
        <w:rPr>
          <w:rFonts w:ascii="Arial" w:eastAsia="Calibri" w:hAnsi="Arial" w:cs="Arial"/>
          <w:lang w:val="es-MX"/>
        </w:rPr>
      </w:pPr>
      <w:bookmarkStart w:id="13" w:name="_Hlk68164749"/>
      <w:r w:rsidRPr="00D505B1">
        <w:rPr>
          <w:rFonts w:ascii="Arial" w:eastAsia="Times New Roman" w:hAnsi="Arial" w:cs="Arial"/>
          <w:color w:val="000000"/>
          <w:szCs w:val="24"/>
          <w:lang w:eastAsia="es-ES_tradnl"/>
        </w:rPr>
        <w:t xml:space="preserve">Debe precisarse que 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w:t>
      </w:r>
      <w:bookmarkStart w:id="14" w:name="_Hlk70876793"/>
      <w:r w:rsidRPr="00D505B1">
        <w:rPr>
          <w:rFonts w:ascii="Arial" w:eastAsia="Times New Roman" w:hAnsi="Arial" w:cs="Arial"/>
          <w:color w:val="000000"/>
          <w:szCs w:val="24"/>
          <w:lang w:eastAsia="es-ES_tradnl"/>
        </w:rPr>
        <w:t xml:space="preserve">En tal sentido, para efectos del descuento del puntaje establecido en el documento base, la </w:t>
      </w:r>
      <w:r w:rsidR="00021C90">
        <w:rPr>
          <w:rFonts w:ascii="Arial" w:eastAsia="Times New Roman" w:hAnsi="Arial" w:cs="Arial"/>
          <w:color w:val="000000"/>
          <w:szCs w:val="24"/>
          <w:lang w:eastAsia="es-ES_tradnl"/>
        </w:rPr>
        <w:t>Entidad Estatal</w:t>
      </w:r>
      <w:r w:rsidRPr="00D505B1">
        <w:rPr>
          <w:rFonts w:ascii="Arial" w:eastAsia="Times New Roman" w:hAnsi="Arial" w:cs="Arial"/>
          <w:color w:val="000000"/>
          <w:szCs w:val="24"/>
          <w:lang w:eastAsia="es-ES_tradnl"/>
        </w:rPr>
        <w:t xml:space="preserve"> –al momento de evaluar– deberá consultar y analizar las anotaciones en el registro con sus respectivas actualizaciones, sin perjuicio de que en procesos que no se rijan por documentos tipo exista una regulación distinta respecto a la consecuencia de encontrarse reportado en el registro.</w:t>
      </w:r>
      <w:bookmarkEnd w:id="13"/>
      <w:bookmarkEnd w:id="14"/>
    </w:p>
    <w:p w14:paraId="5125C23B" w14:textId="36C1CEEC" w:rsidR="00A04DF7" w:rsidRPr="00D505B1" w:rsidRDefault="00A04DF7" w:rsidP="006E4C53">
      <w:pPr>
        <w:spacing w:before="120" w:after="0" w:line="276" w:lineRule="auto"/>
        <w:ind w:firstLine="709"/>
        <w:jc w:val="both"/>
        <w:rPr>
          <w:rFonts w:ascii="Arial" w:eastAsia="Calibri" w:hAnsi="Arial" w:cs="Arial"/>
        </w:rPr>
      </w:pPr>
      <w:r w:rsidRPr="00D505B1">
        <w:rPr>
          <w:rFonts w:ascii="Arial" w:eastAsia="Calibri" w:hAnsi="Arial" w:cs="Arial"/>
          <w:lang w:val="es-MX"/>
        </w:rPr>
        <w:t>Teniendo en cuenta lo anterior, es pertinente aclarar que el simple hecho de encontrarse incluido en el Registro Nacional de Obras Civiles Inconclusas no da lugar a descontar el punto señalado</w:t>
      </w:r>
      <w:r w:rsidR="006E4C53">
        <w:rPr>
          <w:rFonts w:ascii="Arial" w:eastAsia="Calibri" w:hAnsi="Arial" w:cs="Arial"/>
          <w:lang w:val="es-MX"/>
        </w:rPr>
        <w:t xml:space="preserve"> y e</w:t>
      </w:r>
      <w:r w:rsidR="006E4C53" w:rsidRPr="006E4C53">
        <w:rPr>
          <w:rFonts w:ascii="Arial" w:eastAsia="Calibri" w:hAnsi="Arial" w:cs="Arial"/>
          <w:lang w:val="es-MX"/>
        </w:rPr>
        <w:t xml:space="preserve">n todo caso, no se descontará el puntaje cuando el </w:t>
      </w:r>
      <w:r w:rsidR="006E4C53">
        <w:rPr>
          <w:rFonts w:ascii="Arial" w:eastAsia="Calibri" w:hAnsi="Arial" w:cs="Arial"/>
          <w:lang w:val="es-MX"/>
        </w:rPr>
        <w:t>p</w:t>
      </w:r>
      <w:r w:rsidR="006E4C53" w:rsidRPr="006E4C53">
        <w:rPr>
          <w:rFonts w:ascii="Arial" w:eastAsia="Calibri" w:hAnsi="Arial" w:cs="Arial"/>
          <w:lang w:val="es-MX"/>
        </w:rPr>
        <w:t>roponente no oferte el factor de calidad</w:t>
      </w:r>
      <w:r w:rsidR="006E4C53">
        <w:rPr>
          <w:rFonts w:ascii="Arial" w:eastAsia="Calibri" w:hAnsi="Arial" w:cs="Arial"/>
          <w:lang w:val="es-MX"/>
        </w:rPr>
        <w:t xml:space="preserve">. </w:t>
      </w:r>
      <w:r w:rsidR="006E4C53" w:rsidRPr="006E4C53">
        <w:rPr>
          <w:rFonts w:ascii="Arial" w:eastAsia="Calibri" w:hAnsi="Arial" w:cs="Arial"/>
          <w:lang w:val="es-MX"/>
        </w:rPr>
        <w:t xml:space="preserve">En esta </w:t>
      </w:r>
      <w:r w:rsidR="006E4C53">
        <w:rPr>
          <w:rFonts w:ascii="Arial" w:eastAsia="Calibri" w:hAnsi="Arial" w:cs="Arial"/>
          <w:lang w:val="es-MX"/>
        </w:rPr>
        <w:t xml:space="preserve">última </w:t>
      </w:r>
      <w:r w:rsidR="006E4C53" w:rsidRPr="006E4C53">
        <w:rPr>
          <w:rFonts w:ascii="Arial" w:eastAsia="Calibri" w:hAnsi="Arial" w:cs="Arial"/>
          <w:lang w:val="es-MX"/>
        </w:rPr>
        <w:t xml:space="preserve">circunstancia, la Entidad no podrá reducir el puntaje de la sumatoria obtenida en los demás factores de </w:t>
      </w:r>
      <w:r w:rsidR="003135B7" w:rsidRPr="006E4C53">
        <w:rPr>
          <w:rFonts w:ascii="Arial" w:eastAsia="Calibri" w:hAnsi="Arial" w:cs="Arial"/>
          <w:lang w:val="es-MX"/>
        </w:rPr>
        <w:t>ponderación.</w:t>
      </w:r>
      <w:r w:rsidRPr="00D505B1">
        <w:rPr>
          <w:rFonts w:ascii="Arial" w:eastAsia="Calibri" w:hAnsi="Arial" w:cs="Arial"/>
          <w:lang w:val="es-MX"/>
        </w:rPr>
        <w:t xml:space="preserve"> </w:t>
      </w:r>
      <w:bookmarkStart w:id="15" w:name="_Hlk84438253"/>
      <w:bookmarkStart w:id="16" w:name="_Hlk84358273"/>
    </w:p>
    <w:bookmarkEnd w:id="15"/>
    <w:p w14:paraId="30992FD8" w14:textId="77777777" w:rsidR="00A04DF7" w:rsidRDefault="00A04DF7" w:rsidP="00A04DF7">
      <w:pPr>
        <w:spacing w:before="120" w:after="0" w:line="276" w:lineRule="auto"/>
        <w:ind w:firstLine="709"/>
        <w:jc w:val="both"/>
        <w:rPr>
          <w:rFonts w:ascii="Arial" w:eastAsia="Calibri" w:hAnsi="Arial" w:cs="Arial"/>
          <w:lang w:val="es-MX"/>
        </w:rPr>
      </w:pPr>
      <w:r w:rsidRPr="00D505B1">
        <w:rPr>
          <w:rFonts w:ascii="Arial" w:eastAsia="Calibri" w:hAnsi="Arial" w:cs="Arial"/>
          <w:color w:val="000000"/>
          <w:szCs w:val="24"/>
          <w:lang w:val="es-ES_tradnl" w:eastAsia="en-GB"/>
        </w:rPr>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sidRPr="00D505B1">
        <w:rPr>
          <w:rFonts w:ascii="Arial" w:eastAsia="Calibri" w:hAnsi="Arial" w:cs="Arial"/>
          <w:lang w:val="es-MX"/>
        </w:rPr>
        <w:t xml:space="preserve">De todas formas, si en el informe </w:t>
      </w:r>
      <w:r w:rsidRPr="00D505B1">
        <w:rPr>
          <w:rFonts w:ascii="Arial" w:eastAsia="Calibri" w:hAnsi="Arial" w:cs="Arial"/>
          <w:lang w:val="es-MX"/>
        </w:rPr>
        <w:lastRenderedPageBreak/>
        <w:t>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dispuso que tal controversia o solicitud será resuelta por la entidad contratante que suministró dicha información.</w:t>
      </w:r>
    </w:p>
    <w:bookmarkEnd w:id="11"/>
    <w:bookmarkEnd w:id="16"/>
    <w:p w14:paraId="5968298B" w14:textId="77777777" w:rsidR="00FF0609" w:rsidRDefault="00FF0609" w:rsidP="00DA6414">
      <w:pPr>
        <w:spacing w:after="0" w:line="276" w:lineRule="auto"/>
        <w:ind w:firstLine="708"/>
        <w:jc w:val="both"/>
        <w:rPr>
          <w:rFonts w:ascii="Arial" w:eastAsia="Times New Roman" w:hAnsi="Arial" w:cs="Arial"/>
          <w:color w:val="000000"/>
          <w:szCs w:val="24"/>
          <w:lang w:eastAsia="es-ES_tradnl"/>
        </w:rPr>
      </w:pPr>
    </w:p>
    <w:p w14:paraId="35DEC760" w14:textId="4F7D5C57" w:rsidR="00DA6414" w:rsidRDefault="00DA6414" w:rsidP="00DA6414">
      <w:pPr>
        <w:spacing w:after="0" w:line="276" w:lineRule="auto"/>
        <w:ind w:firstLine="708"/>
        <w:jc w:val="both"/>
        <w:rPr>
          <w:rFonts w:ascii="Arial" w:hAnsi="Arial" w:cs="Arial"/>
        </w:rPr>
      </w:pPr>
      <w:r>
        <w:rPr>
          <w:rFonts w:ascii="Arial" w:eastAsia="Times New Roman" w:hAnsi="Arial" w:cs="Arial"/>
          <w:color w:val="000000"/>
          <w:szCs w:val="24"/>
          <w:lang w:eastAsia="es-ES_tradnl"/>
        </w:rPr>
        <w:t xml:space="preserve">Por su parte, y en lo que respecta a la </w:t>
      </w:r>
      <w:r>
        <w:rPr>
          <w:rFonts w:ascii="Arial" w:hAnsi="Arial" w:cs="Arial"/>
        </w:rPr>
        <w:t xml:space="preserve">posibilidad de que una </w:t>
      </w:r>
      <w:r w:rsidR="00021C90">
        <w:rPr>
          <w:rFonts w:ascii="Arial" w:hAnsi="Arial" w:cs="Arial"/>
        </w:rPr>
        <w:t>Entidad Estatal</w:t>
      </w:r>
      <w:r>
        <w:rPr>
          <w:rFonts w:ascii="Arial" w:hAnsi="Arial" w:cs="Arial"/>
        </w:rPr>
        <w:t xml:space="preserve"> rechace la oferta de un proponente por tener </w:t>
      </w:r>
      <w:r w:rsidRPr="00D505B1">
        <w:rPr>
          <w:rFonts w:ascii="Arial" w:eastAsia="Times New Roman" w:hAnsi="Arial" w:cs="Arial"/>
          <w:color w:val="000000"/>
          <w:szCs w:val="24"/>
          <w:lang w:eastAsia="es-ES_tradnl"/>
        </w:rPr>
        <w:t>anotaciones vigentes en el Registro Nacional de Obras Civiles Inconclusas</w:t>
      </w:r>
      <w:r>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 xml:space="preserve"> </w:t>
      </w:r>
      <w:r>
        <w:rPr>
          <w:rFonts w:ascii="Arial" w:hAnsi="Arial" w:cs="Arial"/>
        </w:rPr>
        <w:t xml:space="preserve">debe indicarse que en los </w:t>
      </w:r>
      <w:r w:rsidR="00FF0609">
        <w:rPr>
          <w:rFonts w:ascii="Arial" w:hAnsi="Arial" w:cs="Arial"/>
        </w:rPr>
        <w:t xml:space="preserve">documentos pliego tipo no se contempló dicha causal de rechazo, no obstante, en los </w:t>
      </w:r>
      <w:r>
        <w:rPr>
          <w:rFonts w:ascii="Arial" w:hAnsi="Arial" w:cs="Arial"/>
        </w:rPr>
        <w:t xml:space="preserve">Procesos de Contratación en donde los documentos tipo adoptados por la Agencia no sea aplicable, las Entidades Estatales, como directoras de sus procesos de contratación son autónomas en estipular en sus Pliegos de Condiciones o documentos equivalentes, las causales de rechazo que considere pertinente, siempre que no contradigan la Ley ni los principios que rigen en materia de contratación. Sobre el particular, debe tenerse en cuenta que el parágrafo 1 del artículo 5 de la Ley 1150 de 2011 señala:  </w:t>
      </w:r>
    </w:p>
    <w:p w14:paraId="3E937F3F" w14:textId="77777777" w:rsidR="00DA6414" w:rsidRDefault="00DA6414" w:rsidP="00DA6414">
      <w:pPr>
        <w:spacing w:after="0" w:line="276" w:lineRule="auto"/>
        <w:ind w:firstLine="708"/>
        <w:jc w:val="both"/>
        <w:rPr>
          <w:rFonts w:ascii="Arial" w:eastAsia="Times New Roman" w:hAnsi="Arial" w:cs="Arial"/>
          <w:color w:val="4D4D4D"/>
          <w:spacing w:val="2"/>
          <w:lang w:eastAsia="es-CO"/>
        </w:rPr>
      </w:pPr>
    </w:p>
    <w:p w14:paraId="3B8577C4" w14:textId="77777777" w:rsidR="00DA6414" w:rsidRDefault="00DA6414" w:rsidP="00DA6414">
      <w:pPr>
        <w:spacing w:line="240" w:lineRule="auto"/>
        <w:ind w:left="709" w:right="709"/>
        <w:contextualSpacing/>
        <w:jc w:val="both"/>
        <w:rPr>
          <w:rFonts w:ascii="Arial" w:eastAsia="Times New Roman" w:hAnsi="Arial" w:cs="Arial"/>
          <w:spacing w:val="2"/>
          <w:sz w:val="21"/>
          <w:szCs w:val="21"/>
          <w:lang w:eastAsia="es-CO"/>
        </w:rPr>
      </w:pPr>
      <w:r>
        <w:rPr>
          <w:rFonts w:ascii="Arial" w:eastAsia="Times New Roman" w:hAnsi="Arial" w:cs="Arial"/>
          <w:spacing w:val="2"/>
          <w:sz w:val="21"/>
          <w:szCs w:val="21"/>
          <w:lang w:eastAsia="es-CO"/>
        </w:rPr>
        <w:t>“PARÁGRAFO 1o.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Pr>
          <w:rFonts w:ascii="Arial" w:hAnsi="Arial" w:cs="Arial"/>
          <w:bCs/>
          <w:sz w:val="21"/>
          <w:szCs w:val="21"/>
        </w:rPr>
        <w:t>”</w:t>
      </w:r>
      <w:r>
        <w:rPr>
          <w:rFonts w:ascii="Arial" w:eastAsia="Times New Roman" w:hAnsi="Arial" w:cs="Arial"/>
          <w:spacing w:val="2"/>
          <w:sz w:val="21"/>
          <w:szCs w:val="21"/>
          <w:lang w:eastAsia="es-CO"/>
        </w:rPr>
        <w:t>.</w:t>
      </w:r>
    </w:p>
    <w:p w14:paraId="0A5078EB" w14:textId="77777777" w:rsidR="00DA6414" w:rsidRDefault="00DA6414" w:rsidP="00DA6414">
      <w:pPr>
        <w:spacing w:line="276" w:lineRule="auto"/>
        <w:ind w:firstLine="709"/>
        <w:jc w:val="both"/>
        <w:rPr>
          <w:rFonts w:ascii="Arial" w:eastAsia="Times New Roman" w:hAnsi="Arial" w:cs="Arial"/>
          <w:spacing w:val="2"/>
          <w:lang w:eastAsia="es-CO"/>
        </w:rPr>
      </w:pPr>
    </w:p>
    <w:p w14:paraId="4C3B7343" w14:textId="3E57A6D3" w:rsidR="00DA6414" w:rsidRDefault="00DA6414" w:rsidP="00DA6414">
      <w:pPr>
        <w:spacing w:line="276" w:lineRule="auto"/>
        <w:ind w:firstLine="709"/>
        <w:jc w:val="both"/>
        <w:rPr>
          <w:rFonts w:ascii="Arial" w:eastAsia="Times New Roman" w:hAnsi="Arial" w:cs="Arial"/>
          <w:spacing w:val="2"/>
          <w:lang w:eastAsia="es-CO"/>
        </w:rPr>
      </w:pPr>
      <w:r>
        <w:rPr>
          <w:rFonts w:ascii="Arial" w:eastAsia="Times New Roman" w:hAnsi="Arial" w:cs="Arial"/>
          <w:spacing w:val="2"/>
          <w:lang w:eastAsia="es-CO"/>
        </w:rPr>
        <w:t>Se concluye que, si bien la administración cuenta con un espacio significativo de discrecionalidad al momento de elaborar los pliegos de condiciones, la misma se encuentra delimitada por los fines y principios de la contratación estatal. En este entendimiento, la administración no puede establecer en los pliegos de condiciones causales de rechazo que no tengan un fundamento legal o constitucional, y que carezcan de razonabilidad y proporcionalidad en relación con el objeto a contratar</w:t>
      </w:r>
      <w:r w:rsidR="00045A63">
        <w:rPr>
          <w:rFonts w:ascii="Arial" w:eastAsia="Times New Roman" w:hAnsi="Arial" w:cs="Arial"/>
          <w:spacing w:val="2"/>
          <w:lang w:eastAsia="es-CO"/>
        </w:rPr>
        <w:t xml:space="preserve">, por lo que en cada caso, la entidad estatal deberá verificar los términos en los que se consagra dicha causal de rechazo para que la misma no contravenga </w:t>
      </w:r>
      <w:r w:rsidR="00856588">
        <w:rPr>
          <w:rFonts w:ascii="Arial" w:eastAsia="Times New Roman" w:hAnsi="Arial" w:cs="Arial"/>
          <w:spacing w:val="2"/>
          <w:lang w:eastAsia="es-CO"/>
        </w:rPr>
        <w:t>la ley o la constitución</w:t>
      </w:r>
      <w:r>
        <w:rPr>
          <w:rFonts w:ascii="Arial" w:eastAsia="Times New Roman" w:hAnsi="Arial" w:cs="Arial"/>
          <w:spacing w:val="2"/>
          <w:lang w:eastAsia="es-CO"/>
        </w:rPr>
        <w:t>.</w:t>
      </w:r>
    </w:p>
    <w:p w14:paraId="2FAD0840" w14:textId="5C16CAAD" w:rsidR="00A33061" w:rsidRPr="004A11D8" w:rsidRDefault="00A33061" w:rsidP="004A11D8">
      <w:pPr>
        <w:pStyle w:val="Prrafodelista"/>
        <w:numPr>
          <w:ilvl w:val="0"/>
          <w:numId w:val="6"/>
        </w:numPr>
        <w:tabs>
          <w:tab w:val="left" w:pos="0"/>
        </w:tabs>
        <w:spacing w:after="0" w:line="240" w:lineRule="auto"/>
        <w:jc w:val="both"/>
        <w:rPr>
          <w:rFonts w:ascii="Arial" w:eastAsia="Calibri" w:hAnsi="Arial" w:cs="Arial"/>
          <w:b/>
          <w:color w:val="000000"/>
          <w:szCs w:val="24"/>
          <w:lang w:val="es-ES_tradnl" w:eastAsia="es-ES_tradnl"/>
        </w:rPr>
      </w:pPr>
      <w:r w:rsidRPr="004A11D8">
        <w:rPr>
          <w:rFonts w:ascii="Arial" w:eastAsia="Calibri" w:hAnsi="Arial" w:cs="Arial"/>
          <w:b/>
          <w:color w:val="000000"/>
          <w:szCs w:val="24"/>
          <w:lang w:val="es-ES_tradnl" w:eastAsia="es-ES_tradnl"/>
        </w:rPr>
        <w:t xml:space="preserve"> Respuesta</w:t>
      </w:r>
    </w:p>
    <w:p w14:paraId="1C2240F7" w14:textId="77777777" w:rsidR="00A33061" w:rsidRPr="00D505B1" w:rsidRDefault="00A33061" w:rsidP="00A33061">
      <w:pPr>
        <w:spacing w:after="0" w:line="276" w:lineRule="auto"/>
        <w:jc w:val="both"/>
        <w:rPr>
          <w:rFonts w:ascii="Arial" w:eastAsia="Times New Roman" w:hAnsi="Arial" w:cs="Arial"/>
          <w:lang w:eastAsia="es-ES_tradnl"/>
        </w:rPr>
      </w:pPr>
    </w:p>
    <w:p w14:paraId="41A5E5FA" w14:textId="14746E55" w:rsidR="002F18C0" w:rsidRPr="00C814A1" w:rsidRDefault="002F18C0" w:rsidP="002F18C0">
      <w:pPr>
        <w:spacing w:after="0" w:line="240" w:lineRule="auto"/>
        <w:ind w:left="709" w:right="709"/>
        <w:jc w:val="both"/>
        <w:rPr>
          <w:rFonts w:ascii="Arial" w:eastAsia="Calibri" w:hAnsi="Arial" w:cs="Arial"/>
          <w:sz w:val="21"/>
          <w:szCs w:val="21"/>
          <w:lang w:eastAsia="es-ES_tradnl"/>
        </w:rPr>
      </w:pPr>
      <w:r w:rsidRPr="00C814A1">
        <w:rPr>
          <w:rFonts w:ascii="Arial" w:eastAsia="Calibri" w:hAnsi="Arial" w:cs="Arial"/>
          <w:sz w:val="21"/>
          <w:szCs w:val="21"/>
          <w:lang w:val="es-ES" w:eastAsia="es-ES_tradnl"/>
        </w:rPr>
        <w:t>“</w:t>
      </w:r>
      <w:r w:rsidRPr="002F18C0">
        <w:rPr>
          <w:rFonts w:ascii="Arial" w:eastAsia="Calibri" w:hAnsi="Arial" w:cs="Arial"/>
          <w:sz w:val="21"/>
          <w:szCs w:val="21"/>
          <w:lang w:val="es-ES" w:eastAsia="es-ES_tradnl"/>
        </w:rPr>
        <w:t xml:space="preserve">Puede una persona jurídica contratar con el estado si uno de sus accionistas, sea persona jurídica o natural se encuentra inhabilitado para hacerlo? Lo mismo aplicaría </w:t>
      </w:r>
      <w:r w:rsidRPr="002F18C0">
        <w:rPr>
          <w:rFonts w:ascii="Arial" w:eastAsia="Calibri" w:hAnsi="Arial" w:cs="Arial"/>
          <w:sz w:val="21"/>
          <w:szCs w:val="21"/>
          <w:lang w:val="es-ES" w:eastAsia="es-ES_tradnl"/>
        </w:rPr>
        <w:lastRenderedPageBreak/>
        <w:t>para multas u obras inconclusas que pueda tener el socio o accionista, se le aplicaría el descuento de puntos al proponente del cual hace parte?</w:t>
      </w:r>
      <w:r w:rsidRPr="00C814A1">
        <w:rPr>
          <w:rFonts w:ascii="Arial" w:eastAsia="Calibri" w:hAnsi="Arial" w:cs="Arial"/>
          <w:sz w:val="21"/>
          <w:szCs w:val="21"/>
          <w:lang w:eastAsia="es-ES_tradnl"/>
        </w:rPr>
        <w:t>”</w:t>
      </w:r>
      <w:r>
        <w:rPr>
          <w:rFonts w:ascii="Arial" w:eastAsia="Calibri" w:hAnsi="Arial" w:cs="Arial"/>
          <w:sz w:val="21"/>
          <w:szCs w:val="21"/>
          <w:lang w:eastAsia="es-ES_tradnl"/>
        </w:rPr>
        <w:t xml:space="preserve"> (Sic)</w:t>
      </w:r>
      <w:r w:rsidRPr="00C814A1">
        <w:rPr>
          <w:rFonts w:ascii="Times New Roman" w:eastAsia="Times New Roman" w:hAnsi="Times New Roman" w:cs="Times New Roman"/>
          <w:sz w:val="21"/>
          <w:szCs w:val="21"/>
          <w:lang w:eastAsia="es-ES_tradnl"/>
        </w:rPr>
        <w:t>.</w:t>
      </w:r>
      <w:r>
        <w:rPr>
          <w:rFonts w:ascii="Times New Roman" w:eastAsia="Times New Roman" w:hAnsi="Times New Roman" w:cs="Times New Roman"/>
          <w:sz w:val="21"/>
          <w:szCs w:val="21"/>
          <w:lang w:eastAsia="es-ES_tradnl"/>
        </w:rPr>
        <w:t xml:space="preserve"> </w:t>
      </w:r>
    </w:p>
    <w:p w14:paraId="54AC54C2" w14:textId="77777777" w:rsidR="00F47EC6" w:rsidRDefault="00F47EC6" w:rsidP="00F47EC6">
      <w:pPr>
        <w:spacing w:after="0" w:line="276" w:lineRule="auto"/>
        <w:jc w:val="both"/>
        <w:rPr>
          <w:rFonts w:ascii="Arial" w:eastAsia="Calibri" w:hAnsi="Arial" w:cs="Arial"/>
          <w:sz w:val="21"/>
          <w:szCs w:val="21"/>
          <w:lang w:val="es-ES" w:eastAsia="es-ES_tradnl"/>
        </w:rPr>
      </w:pPr>
    </w:p>
    <w:p w14:paraId="1278DEA7" w14:textId="31E472D9" w:rsidR="00D111EE" w:rsidRDefault="00D111EE" w:rsidP="00817DC0">
      <w:pPr>
        <w:spacing w:after="0" w:line="276" w:lineRule="auto"/>
        <w:jc w:val="both"/>
        <w:rPr>
          <w:rFonts w:ascii="Arial" w:eastAsia="Times New Roman" w:hAnsi="Arial" w:cs="Arial"/>
          <w:bCs/>
          <w:color w:val="000000"/>
          <w:szCs w:val="24"/>
          <w:lang w:eastAsia="es-ES_tradnl"/>
        </w:rPr>
      </w:pPr>
      <w:r w:rsidRPr="00817DC0">
        <w:rPr>
          <w:rFonts w:ascii="Arial" w:eastAsia="Times New Roman" w:hAnsi="Arial" w:cs="Arial"/>
          <w:bCs/>
          <w:color w:val="000000"/>
          <w:szCs w:val="24"/>
          <w:lang w:eastAsia="es-ES_tradnl"/>
        </w:rPr>
        <w:t xml:space="preserve">Conforme a lo expuesto </w:t>
      </w:r>
      <w:r w:rsidR="00817DC0" w:rsidRPr="00817DC0">
        <w:rPr>
          <w:rFonts w:ascii="Arial" w:eastAsia="Times New Roman" w:hAnsi="Arial" w:cs="Arial"/>
          <w:bCs/>
          <w:color w:val="000000"/>
          <w:szCs w:val="24"/>
          <w:lang w:eastAsia="es-ES_tradnl"/>
        </w:rPr>
        <w:t>en las consideraciones,</w:t>
      </w:r>
      <w:r w:rsidR="00817DC0" w:rsidRPr="00817DC0">
        <w:t xml:space="preserve"> </w:t>
      </w:r>
      <w:r w:rsidR="00817DC0">
        <w:rPr>
          <w:rFonts w:ascii="Arial" w:eastAsia="Times New Roman" w:hAnsi="Arial" w:cs="Arial"/>
          <w:bCs/>
          <w:color w:val="000000"/>
          <w:szCs w:val="24"/>
          <w:lang w:eastAsia="es-ES_tradnl"/>
        </w:rPr>
        <w:t>l</w:t>
      </w:r>
      <w:r w:rsidR="00817DC0" w:rsidRPr="00817DC0">
        <w:rPr>
          <w:rFonts w:ascii="Arial" w:eastAsia="Times New Roman" w:hAnsi="Arial" w:cs="Arial"/>
          <w:bCs/>
          <w:color w:val="000000"/>
          <w:szCs w:val="24"/>
          <w:lang w:eastAsia="es-ES_tradnl"/>
        </w:rPr>
        <w:t xml:space="preserve">as inhabilidades son </w:t>
      </w:r>
      <w:r w:rsidR="00817DC0" w:rsidRPr="003A2E92">
        <w:rPr>
          <w:rFonts w:ascii="Arial" w:eastAsia="Times New Roman" w:hAnsi="Arial" w:cs="Arial"/>
          <w:bCs/>
          <w:color w:val="000000"/>
          <w:szCs w:val="24"/>
          <w:u w:val="single"/>
          <w:lang w:eastAsia="es-ES_tradnl"/>
        </w:rPr>
        <w:t>prohibiciones para concurrir a los procedimientos de selección y para contratar con el Estado</w:t>
      </w:r>
      <w:r w:rsidR="00817DC0" w:rsidRPr="00817DC0">
        <w:rPr>
          <w:rFonts w:ascii="Arial" w:eastAsia="Times New Roman" w:hAnsi="Arial" w:cs="Arial"/>
          <w:bCs/>
          <w:color w:val="000000"/>
          <w:szCs w:val="24"/>
          <w:lang w:eastAsia="es-ES_tradnl"/>
        </w:rPr>
        <w:t>, que se derivan i) de la existencia de comportamientos reprochables o de sanciones anteriormente impuestas, ii) de vínculos personales relativos al parentesco o al estado civil  o iii) de una actividad u oficio que se desempeñó en el pasado</w:t>
      </w:r>
      <w:r w:rsidR="00B83935">
        <w:rPr>
          <w:rFonts w:ascii="Arial" w:eastAsia="Times New Roman" w:hAnsi="Arial" w:cs="Arial"/>
          <w:bCs/>
          <w:color w:val="000000"/>
          <w:szCs w:val="24"/>
          <w:lang w:eastAsia="es-ES_tradnl"/>
        </w:rPr>
        <w:t xml:space="preserve">. De esta forma, </w:t>
      </w:r>
      <w:r w:rsidR="00B83935" w:rsidRPr="00B83935">
        <w:rPr>
          <w:rFonts w:ascii="Arial" w:eastAsia="Times New Roman" w:hAnsi="Arial" w:cs="Arial"/>
          <w:bCs/>
          <w:color w:val="000000"/>
          <w:szCs w:val="24"/>
          <w:lang w:eastAsia="es-ES_tradnl"/>
        </w:rPr>
        <w:t xml:space="preserve">si el contrato se celebra con personas incursas previamente en una situación de inhabilidad o incompatibilidad, </w:t>
      </w:r>
      <w:r w:rsidR="00B83935" w:rsidRPr="00954B44">
        <w:rPr>
          <w:rFonts w:ascii="Arial" w:eastAsia="Times New Roman" w:hAnsi="Arial" w:cs="Arial"/>
          <w:bCs/>
          <w:color w:val="000000"/>
          <w:szCs w:val="24"/>
          <w:u w:val="single"/>
          <w:lang w:eastAsia="es-ES_tradnl"/>
        </w:rPr>
        <w:t>este surge a la vida jurídica viciado de nulidad absoluta</w:t>
      </w:r>
      <w:r w:rsidR="00B83935" w:rsidRPr="00B83935">
        <w:rPr>
          <w:rFonts w:ascii="Arial" w:eastAsia="Times New Roman" w:hAnsi="Arial" w:cs="Arial"/>
          <w:bCs/>
          <w:color w:val="000000"/>
          <w:szCs w:val="24"/>
          <w:lang w:eastAsia="es-ES_tradnl"/>
        </w:rPr>
        <w:t>. En contraste, si se generan en forma sobreviniente,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w:t>
      </w:r>
    </w:p>
    <w:p w14:paraId="3C12EF69" w14:textId="77777777" w:rsidR="002B683C" w:rsidRDefault="002B683C" w:rsidP="00817DC0">
      <w:pPr>
        <w:spacing w:after="0" w:line="276" w:lineRule="auto"/>
        <w:jc w:val="both"/>
        <w:rPr>
          <w:rFonts w:ascii="Arial" w:eastAsia="Times New Roman" w:hAnsi="Arial" w:cs="Arial"/>
          <w:bCs/>
          <w:color w:val="000000"/>
          <w:szCs w:val="24"/>
          <w:lang w:eastAsia="es-ES_tradnl"/>
        </w:rPr>
      </w:pPr>
    </w:p>
    <w:p w14:paraId="25742638" w14:textId="2D02F95C" w:rsidR="002B683C" w:rsidRDefault="002B683C" w:rsidP="002B683C">
      <w:pPr>
        <w:spacing w:after="0" w:line="276" w:lineRule="auto"/>
        <w:ind w:firstLine="708"/>
        <w:jc w:val="both"/>
        <w:rPr>
          <w:rFonts w:ascii="Arial" w:eastAsia="Times New Roman" w:hAnsi="Arial" w:cs="Arial"/>
          <w:bCs/>
          <w:color w:val="000000"/>
          <w:szCs w:val="24"/>
          <w:lang w:eastAsia="es-ES_tradnl"/>
        </w:rPr>
      </w:pPr>
      <w:r>
        <w:rPr>
          <w:rFonts w:ascii="Arial" w:eastAsia="Times New Roman" w:hAnsi="Arial" w:cs="Arial"/>
          <w:bCs/>
          <w:color w:val="000000"/>
          <w:szCs w:val="24"/>
          <w:lang w:eastAsia="es-ES_tradnl"/>
        </w:rPr>
        <w:t>Por otra parte,</w:t>
      </w:r>
      <w:r w:rsidR="008D7C2D" w:rsidRPr="008D7C2D">
        <w:t xml:space="preserve"> </w:t>
      </w:r>
      <w:r w:rsidR="00032D18" w:rsidRPr="00032D18">
        <w:rPr>
          <w:rFonts w:ascii="Arial" w:eastAsia="Times New Roman" w:hAnsi="Arial" w:cs="Arial"/>
          <w:bCs/>
          <w:color w:val="000000"/>
          <w:szCs w:val="24"/>
          <w:lang w:eastAsia="es-ES_tradnl"/>
        </w:rPr>
        <w:t>en lo que</w:t>
      </w:r>
      <w:r w:rsidR="006501A0">
        <w:rPr>
          <w:rFonts w:ascii="Arial" w:eastAsia="Times New Roman" w:hAnsi="Arial" w:cs="Arial"/>
          <w:bCs/>
          <w:color w:val="000000"/>
          <w:szCs w:val="24"/>
          <w:lang w:eastAsia="es-ES_tradnl"/>
        </w:rPr>
        <w:t xml:space="preserve"> a</w:t>
      </w:r>
      <w:r w:rsidR="00032D18">
        <w:rPr>
          <w:rFonts w:ascii="Arial" w:eastAsia="Times New Roman" w:hAnsi="Arial" w:cs="Arial"/>
          <w:bCs/>
          <w:color w:val="000000"/>
          <w:szCs w:val="24"/>
          <w:lang w:eastAsia="es-ES_tradnl"/>
        </w:rPr>
        <w:t xml:space="preserve"> </w:t>
      </w:r>
      <w:r w:rsidR="00032D18" w:rsidRPr="00032D18">
        <w:rPr>
          <w:rFonts w:ascii="Arial" w:eastAsia="Times New Roman" w:hAnsi="Arial" w:cs="Arial"/>
          <w:bCs/>
          <w:color w:val="000000"/>
          <w:szCs w:val="24"/>
          <w:lang w:eastAsia="es-ES_tradnl"/>
        </w:rPr>
        <w:t>las multas respecta</w:t>
      </w:r>
      <w:r w:rsidR="00032D18">
        <w:t xml:space="preserve">, </w:t>
      </w:r>
      <w:r w:rsidR="008D7C2D">
        <w:rPr>
          <w:rFonts w:ascii="Arial" w:eastAsia="Times New Roman" w:hAnsi="Arial" w:cs="Arial"/>
          <w:bCs/>
          <w:color w:val="000000"/>
          <w:szCs w:val="24"/>
          <w:lang w:eastAsia="es-ES_tradnl"/>
        </w:rPr>
        <w:t>e</w:t>
      </w:r>
      <w:r w:rsidR="008D7C2D" w:rsidRPr="008D7C2D">
        <w:rPr>
          <w:rFonts w:ascii="Arial" w:eastAsia="Times New Roman" w:hAnsi="Arial" w:cs="Arial"/>
          <w:bCs/>
          <w:color w:val="000000"/>
          <w:szCs w:val="24"/>
          <w:lang w:eastAsia="es-ES_tradnl"/>
        </w:rPr>
        <w:t>l artículo 6.2 de la Ley 1150 de 2007 obliga a las entidades públicas a reportar a la Cámara de Comercio correspondiente la información sobre contratos, multas y sanciones. Esta norma pretende poner en conocimiento de todos los participantes del sistema de compras públicas la información de sanciones y multas impuestas a los inscritos en el RUP, como una forma de ejercer control a la ejecución de los contratos suscritos por las entidades estatales</w:t>
      </w:r>
      <w:r w:rsidR="00032D18">
        <w:rPr>
          <w:rFonts w:ascii="Arial" w:eastAsia="Times New Roman" w:hAnsi="Arial" w:cs="Arial"/>
          <w:bCs/>
          <w:color w:val="000000"/>
          <w:szCs w:val="24"/>
          <w:lang w:eastAsia="es-ES_tradnl"/>
        </w:rPr>
        <w:t>.</w:t>
      </w:r>
    </w:p>
    <w:p w14:paraId="7CC66406" w14:textId="77777777" w:rsidR="00032D18" w:rsidRDefault="00032D18" w:rsidP="002B683C">
      <w:pPr>
        <w:spacing w:after="0" w:line="276" w:lineRule="auto"/>
        <w:ind w:firstLine="708"/>
        <w:jc w:val="both"/>
        <w:rPr>
          <w:rFonts w:ascii="Arial" w:eastAsia="Times New Roman" w:hAnsi="Arial" w:cs="Arial"/>
          <w:bCs/>
          <w:color w:val="000000"/>
          <w:szCs w:val="24"/>
          <w:lang w:eastAsia="es-ES_tradnl"/>
        </w:rPr>
      </w:pPr>
    </w:p>
    <w:p w14:paraId="0C9C5F7D" w14:textId="278CACB4" w:rsidR="00032D18" w:rsidRPr="00817DC0" w:rsidRDefault="00671738" w:rsidP="002B683C">
      <w:pPr>
        <w:spacing w:after="0" w:line="276" w:lineRule="auto"/>
        <w:ind w:firstLine="708"/>
        <w:jc w:val="both"/>
        <w:rPr>
          <w:rFonts w:ascii="Arial" w:eastAsia="Times New Roman" w:hAnsi="Arial" w:cs="Arial"/>
          <w:bCs/>
          <w:color w:val="000000"/>
          <w:szCs w:val="24"/>
          <w:lang w:eastAsia="es-ES_tradnl"/>
        </w:rPr>
      </w:pPr>
      <w:r>
        <w:rPr>
          <w:rFonts w:ascii="Arial" w:eastAsia="Times New Roman" w:hAnsi="Arial" w:cs="Arial"/>
          <w:bCs/>
          <w:color w:val="000000"/>
          <w:szCs w:val="24"/>
          <w:lang w:eastAsia="es-ES_tradnl"/>
        </w:rPr>
        <w:t>De conformidad con lo anterior, l</w:t>
      </w:r>
      <w:r w:rsidR="00032D18" w:rsidRPr="00032D18">
        <w:rPr>
          <w:rFonts w:ascii="Arial" w:eastAsia="Times New Roman" w:hAnsi="Arial" w:cs="Arial"/>
          <w:bCs/>
          <w:color w:val="000000"/>
          <w:szCs w:val="24"/>
          <w:lang w:eastAsia="es-ES_tradnl"/>
        </w:rPr>
        <w:t>a norma precisa los elementos para cumplir con el</w:t>
      </w:r>
      <w:r w:rsidR="00364E5C">
        <w:rPr>
          <w:rFonts w:ascii="Arial" w:eastAsia="Times New Roman" w:hAnsi="Arial" w:cs="Arial"/>
          <w:bCs/>
          <w:color w:val="000000"/>
          <w:szCs w:val="24"/>
          <w:lang w:eastAsia="es-ES_tradnl"/>
        </w:rPr>
        <w:t xml:space="preserve">, mencionado, </w:t>
      </w:r>
      <w:r w:rsidR="00032D18" w:rsidRPr="00032D18">
        <w:rPr>
          <w:rFonts w:ascii="Arial" w:eastAsia="Times New Roman" w:hAnsi="Arial" w:cs="Arial"/>
          <w:bCs/>
          <w:color w:val="000000"/>
          <w:szCs w:val="24"/>
          <w:lang w:eastAsia="es-ES_tradnl"/>
        </w:rPr>
        <w:t xml:space="preserve">artículo 6.2. de la Ley 1150 de 2007, los cuales se concretan en los siguientes tres (3) puntos: </w:t>
      </w:r>
      <w:r w:rsidR="00032D18" w:rsidRPr="00A05E74">
        <w:rPr>
          <w:rFonts w:ascii="Arial" w:eastAsia="Times New Roman" w:hAnsi="Arial" w:cs="Arial"/>
          <w:bCs/>
          <w:color w:val="000000"/>
          <w:szCs w:val="24"/>
          <w:u w:val="single"/>
          <w:lang w:eastAsia="es-ES_tradnl"/>
        </w:rPr>
        <w:t>i) reporte</w:t>
      </w:r>
      <w:r w:rsidR="00032D18" w:rsidRPr="00032D18">
        <w:rPr>
          <w:rFonts w:ascii="Arial" w:eastAsia="Times New Roman" w:hAnsi="Arial" w:cs="Arial"/>
          <w:bCs/>
          <w:color w:val="000000"/>
          <w:szCs w:val="24"/>
          <w:lang w:eastAsia="es-ES_tradnl"/>
        </w:rPr>
        <w:t xml:space="preserve"> de las multas y sanciones por parte de las entidades estatales, </w:t>
      </w:r>
      <w:r w:rsidR="00032D18" w:rsidRPr="00A05E74">
        <w:rPr>
          <w:rFonts w:ascii="Arial" w:eastAsia="Times New Roman" w:hAnsi="Arial" w:cs="Arial"/>
          <w:bCs/>
          <w:color w:val="000000"/>
          <w:szCs w:val="24"/>
          <w:u w:val="single"/>
          <w:lang w:eastAsia="es-ES_tradnl"/>
        </w:rPr>
        <w:t>ii) registro</w:t>
      </w:r>
      <w:r w:rsidR="00032D18" w:rsidRPr="00032D18">
        <w:rPr>
          <w:rFonts w:ascii="Arial" w:eastAsia="Times New Roman" w:hAnsi="Arial" w:cs="Arial"/>
          <w:bCs/>
          <w:color w:val="000000"/>
          <w:szCs w:val="24"/>
          <w:lang w:eastAsia="es-ES_tradnl"/>
        </w:rPr>
        <w:t xml:space="preserve"> de las multas y sanciones en el RUP por parte de las Cámaras de Comercio y </w:t>
      </w:r>
      <w:r w:rsidR="00032D18" w:rsidRPr="00A05E74">
        <w:rPr>
          <w:rFonts w:ascii="Arial" w:eastAsia="Times New Roman" w:hAnsi="Arial" w:cs="Arial"/>
          <w:bCs/>
          <w:color w:val="000000"/>
          <w:szCs w:val="24"/>
          <w:u w:val="single"/>
          <w:lang w:eastAsia="es-ES_tradnl"/>
        </w:rPr>
        <w:t>iii) término de permanencia de las anotaciones en el registro</w:t>
      </w:r>
      <w:r w:rsidR="00032D18" w:rsidRPr="00032D18">
        <w:rPr>
          <w:rFonts w:ascii="Arial" w:eastAsia="Times New Roman" w:hAnsi="Arial" w:cs="Arial"/>
          <w:bCs/>
          <w:color w:val="000000"/>
          <w:szCs w:val="24"/>
          <w:lang w:eastAsia="es-ES_tradnl"/>
        </w:rPr>
        <w:t>. En relación con el reporte, la norma impone la obligación a las entidades estatales de enviar mensualmente a las cámaras de comercio del lugar de su domicilio, copia de los actos administrativos en firme que impusieron multas y sanciones y de las inhabilidades que deriven de los contratos suscritos, a través de los mecanismos que para el efecto disponga la cámara respectiva. Respecto al registro¸ la disposición estableció la obligación a las cámaras de comercio de registrar las sanciones e inhabilidades remitidas por las entidades estatales en el RUP, con el propósito de concretar aspectos de publicidad y transparencia en la actividad contractual. Finalmente, en relación con el término, es decir, el periodo en que debe constar la anotación correspondiente, la norma estableció que las sanciones e inhabilidades permanecerán en el registro por el término de la sanción o inhabilidad, según el caso. Igualmente, estableció que, en el caso de las multas, deberán permanecer por el término de un año, contado a partir de la publicación de la misma.</w:t>
      </w:r>
    </w:p>
    <w:p w14:paraId="1C4C9968" w14:textId="77777777" w:rsidR="002F18C0" w:rsidRPr="00D505B1" w:rsidRDefault="002F18C0" w:rsidP="00F47EC6">
      <w:pPr>
        <w:spacing w:after="0" w:line="276" w:lineRule="auto"/>
        <w:jc w:val="both"/>
        <w:rPr>
          <w:rFonts w:ascii="Arial" w:eastAsia="Times New Roman" w:hAnsi="Arial" w:cs="Arial"/>
          <w:b/>
          <w:color w:val="000000"/>
          <w:szCs w:val="24"/>
          <w:lang w:eastAsia="es-ES_tradnl"/>
        </w:rPr>
      </w:pPr>
    </w:p>
    <w:p w14:paraId="7D64F7DF" w14:textId="38BDB3CE" w:rsidR="00FB2F69" w:rsidRDefault="003A2E92" w:rsidP="00817DC0">
      <w:pPr>
        <w:spacing w:after="0" w:line="276" w:lineRule="auto"/>
        <w:ind w:firstLine="708"/>
        <w:jc w:val="both"/>
        <w:rPr>
          <w:rFonts w:ascii="Arial" w:eastAsia="Times New Roman" w:hAnsi="Arial" w:cs="Arial"/>
          <w:color w:val="000000"/>
          <w:szCs w:val="24"/>
          <w:lang w:eastAsia="es-ES_tradnl"/>
        </w:rPr>
      </w:pPr>
      <w:r>
        <w:rPr>
          <w:rFonts w:ascii="Arial" w:eastAsia="Times New Roman" w:hAnsi="Arial" w:cs="Arial"/>
          <w:bCs/>
          <w:color w:val="000000"/>
          <w:szCs w:val="24"/>
          <w:lang w:eastAsia="es-ES_tradnl"/>
        </w:rPr>
        <w:t>Ahora bien, e</w:t>
      </w:r>
      <w:r w:rsidR="00FB2F69">
        <w:rPr>
          <w:rFonts w:ascii="Arial" w:eastAsia="Times New Roman" w:hAnsi="Arial" w:cs="Arial"/>
          <w:bCs/>
          <w:color w:val="000000"/>
          <w:szCs w:val="24"/>
          <w:lang w:eastAsia="es-ES_tradnl"/>
        </w:rPr>
        <w:t xml:space="preserve">l </w:t>
      </w:r>
      <w:r w:rsidR="00FB2F69">
        <w:rPr>
          <w:rFonts w:ascii="Arial" w:eastAsia="Times New Roman" w:hAnsi="Arial" w:cs="Arial"/>
          <w:color w:val="000000"/>
          <w:szCs w:val="24"/>
          <w:lang w:eastAsia="es-ES_tradnl"/>
        </w:rPr>
        <w:t>a</w:t>
      </w:r>
      <w:r w:rsidR="00FB2F69" w:rsidRPr="003135B7">
        <w:rPr>
          <w:rFonts w:ascii="Arial" w:eastAsia="Times New Roman" w:hAnsi="Arial" w:cs="Arial"/>
          <w:color w:val="000000"/>
          <w:szCs w:val="24"/>
          <w:lang w:eastAsia="es-ES_tradnl"/>
        </w:rPr>
        <w:t>rtículo 6</w:t>
      </w:r>
      <w:r w:rsidR="00FB2F69">
        <w:rPr>
          <w:rFonts w:ascii="Arial" w:eastAsia="Times New Roman" w:hAnsi="Arial" w:cs="Arial"/>
          <w:color w:val="000000"/>
          <w:szCs w:val="24"/>
          <w:lang w:eastAsia="es-ES_tradnl"/>
        </w:rPr>
        <w:t xml:space="preserve"> de la Ley 202</w:t>
      </w:r>
      <w:r w:rsidR="001B315D">
        <w:rPr>
          <w:rFonts w:ascii="Arial" w:eastAsia="Times New Roman" w:hAnsi="Arial" w:cs="Arial"/>
          <w:color w:val="000000"/>
          <w:szCs w:val="24"/>
          <w:lang w:eastAsia="es-ES_tradnl"/>
        </w:rPr>
        <w:t>0 de 2020 dispuso que e</w:t>
      </w:r>
      <w:r w:rsidR="00C50195">
        <w:rPr>
          <w:rFonts w:ascii="Arial" w:eastAsia="Times New Roman" w:hAnsi="Arial" w:cs="Arial"/>
          <w:color w:val="000000"/>
          <w:szCs w:val="24"/>
          <w:lang w:eastAsia="es-ES_tradnl"/>
        </w:rPr>
        <w:t>n</w:t>
      </w:r>
      <w:r w:rsidR="00FB2F69" w:rsidRPr="003135B7">
        <w:rPr>
          <w:rFonts w:ascii="Arial" w:eastAsia="Times New Roman" w:hAnsi="Arial" w:cs="Arial"/>
          <w:color w:val="000000"/>
          <w:szCs w:val="24"/>
          <w:lang w:eastAsia="es-ES_tradnl"/>
        </w:rPr>
        <w:t xml:space="preserve"> los procesos de selección objetiva para contratistas de obra o interventores, </w:t>
      </w:r>
      <w:r w:rsidR="003C5FAE">
        <w:rPr>
          <w:rFonts w:ascii="Arial" w:eastAsia="Times New Roman" w:hAnsi="Arial" w:cs="Arial"/>
          <w:color w:val="000000"/>
          <w:szCs w:val="24"/>
          <w:lang w:eastAsia="es-ES_tradnl"/>
        </w:rPr>
        <w:t xml:space="preserve">las entidades estatales </w:t>
      </w:r>
      <w:r w:rsidR="00C50195">
        <w:rPr>
          <w:rFonts w:ascii="Arial" w:eastAsia="Times New Roman" w:hAnsi="Arial" w:cs="Arial"/>
          <w:color w:val="000000"/>
          <w:szCs w:val="24"/>
          <w:lang w:eastAsia="es-ES_tradnl"/>
        </w:rPr>
        <w:t xml:space="preserve">deberían consultar y </w:t>
      </w:r>
      <w:r w:rsidR="00C50195">
        <w:rPr>
          <w:rFonts w:ascii="Arial" w:eastAsia="Times New Roman" w:hAnsi="Arial" w:cs="Arial"/>
          <w:color w:val="000000"/>
          <w:szCs w:val="24"/>
          <w:lang w:eastAsia="es-ES_tradnl"/>
        </w:rPr>
        <w:lastRenderedPageBreak/>
        <w:t>analizar</w:t>
      </w:r>
      <w:r w:rsidR="00FB2F69" w:rsidRPr="003135B7">
        <w:rPr>
          <w:rFonts w:ascii="Arial" w:eastAsia="Times New Roman" w:hAnsi="Arial" w:cs="Arial"/>
          <w:color w:val="000000"/>
          <w:szCs w:val="24"/>
          <w:lang w:eastAsia="es-ES_tradnl"/>
        </w:rPr>
        <w:t xml:space="preserve"> las anotaciones vigentes en el Registro Nacional de Obras Civiles Inconclusas</w:t>
      </w:r>
      <w:r w:rsidR="00C50195">
        <w:rPr>
          <w:rFonts w:ascii="Arial" w:eastAsia="Times New Roman" w:hAnsi="Arial" w:cs="Arial"/>
          <w:color w:val="000000"/>
          <w:szCs w:val="24"/>
          <w:lang w:eastAsia="es-ES_tradnl"/>
        </w:rPr>
        <w:t xml:space="preserve">, </w:t>
      </w:r>
      <w:r w:rsidR="00FB2F69" w:rsidRPr="003135B7">
        <w:rPr>
          <w:rFonts w:ascii="Arial" w:eastAsia="Times New Roman" w:hAnsi="Arial" w:cs="Arial"/>
          <w:color w:val="000000"/>
          <w:szCs w:val="24"/>
          <w:lang w:eastAsia="es-ES_tradnl"/>
        </w:rPr>
        <w:t>al momento de evaluar los factores de ponderación de calidad</w:t>
      </w:r>
      <w:r w:rsidR="003C5FAE">
        <w:rPr>
          <w:rFonts w:ascii="Arial" w:eastAsia="Times New Roman" w:hAnsi="Arial" w:cs="Arial"/>
          <w:color w:val="000000"/>
          <w:szCs w:val="24"/>
          <w:lang w:eastAsia="es-ES_tradnl"/>
        </w:rPr>
        <w:t xml:space="preserve"> de los proponentes</w:t>
      </w:r>
      <w:r w:rsidR="00FB2F69" w:rsidRPr="003135B7">
        <w:rPr>
          <w:rFonts w:ascii="Arial" w:eastAsia="Times New Roman" w:hAnsi="Arial" w:cs="Arial"/>
          <w:color w:val="000000"/>
          <w:szCs w:val="24"/>
          <w:lang w:eastAsia="es-ES_tradnl"/>
        </w:rPr>
        <w:t>, establecidos en el literal a) del artículo 5° de la Ley 1150 de 2007</w:t>
      </w:r>
      <w:r w:rsidR="00C50195">
        <w:rPr>
          <w:rFonts w:ascii="Arial" w:eastAsia="Times New Roman" w:hAnsi="Arial" w:cs="Arial"/>
          <w:color w:val="000000"/>
          <w:szCs w:val="24"/>
          <w:lang w:eastAsia="es-ES_tradnl"/>
        </w:rPr>
        <w:t>,</w:t>
      </w:r>
      <w:r w:rsidR="003C5FAE">
        <w:rPr>
          <w:rFonts w:ascii="Arial" w:eastAsia="Times New Roman" w:hAnsi="Arial" w:cs="Arial"/>
          <w:color w:val="000000"/>
          <w:szCs w:val="24"/>
          <w:lang w:eastAsia="es-ES_tradnl"/>
        </w:rPr>
        <w:t xml:space="preserve"> esto es, cuando se haya previsto en el proceso de selección la asignación de puntajes o formulas para determinar la mejor oferta</w:t>
      </w:r>
      <w:r w:rsidR="00F21940">
        <w:rPr>
          <w:rFonts w:ascii="Arial" w:eastAsia="Times New Roman" w:hAnsi="Arial" w:cs="Arial"/>
          <w:color w:val="000000"/>
          <w:szCs w:val="24"/>
          <w:lang w:eastAsia="es-ES_tradnl"/>
        </w:rPr>
        <w:t xml:space="preserve">, en relación a la calidad y precio. </w:t>
      </w:r>
    </w:p>
    <w:p w14:paraId="6BEE51A9" w14:textId="5AB4B8D5" w:rsidR="00F21940" w:rsidRDefault="00F21940" w:rsidP="001B315D">
      <w:pPr>
        <w:spacing w:after="0" w:line="276" w:lineRule="auto"/>
        <w:jc w:val="both"/>
        <w:rPr>
          <w:rFonts w:ascii="Arial" w:eastAsia="Times New Roman" w:hAnsi="Arial" w:cs="Arial"/>
          <w:color w:val="000000"/>
          <w:szCs w:val="24"/>
          <w:lang w:eastAsia="es-ES_tradnl"/>
        </w:rPr>
      </w:pPr>
      <w:r>
        <w:rPr>
          <w:rFonts w:ascii="Arial" w:eastAsia="Times New Roman" w:hAnsi="Arial" w:cs="Arial"/>
          <w:color w:val="000000"/>
          <w:szCs w:val="24"/>
          <w:lang w:eastAsia="es-ES_tradnl"/>
        </w:rPr>
        <w:tab/>
      </w:r>
    </w:p>
    <w:p w14:paraId="0B368050" w14:textId="14CC7F81" w:rsidR="00A93AA1" w:rsidRDefault="00F21940" w:rsidP="00AE7DE8">
      <w:pPr>
        <w:spacing w:after="0" w:line="276" w:lineRule="auto"/>
        <w:jc w:val="both"/>
        <w:rPr>
          <w:rFonts w:ascii="Arial" w:eastAsia="Times New Roman" w:hAnsi="Arial" w:cs="Arial"/>
          <w:bCs/>
          <w:color w:val="000000"/>
          <w:szCs w:val="24"/>
          <w:lang w:eastAsia="es-ES_tradnl"/>
        </w:rPr>
      </w:pPr>
      <w:r>
        <w:rPr>
          <w:rFonts w:ascii="Arial" w:eastAsia="Times New Roman" w:hAnsi="Arial" w:cs="Arial"/>
          <w:color w:val="000000"/>
          <w:szCs w:val="24"/>
          <w:lang w:eastAsia="es-ES_tradnl"/>
        </w:rPr>
        <w:tab/>
        <w:t xml:space="preserve">En ese contexto, y </w:t>
      </w:r>
      <w:r w:rsidR="009C469D">
        <w:rPr>
          <w:rFonts w:ascii="Arial" w:eastAsia="Times New Roman" w:hAnsi="Arial" w:cs="Arial"/>
          <w:color w:val="000000"/>
          <w:szCs w:val="24"/>
          <w:lang w:eastAsia="es-ES_tradnl"/>
        </w:rPr>
        <w:t xml:space="preserve">cuando en el </w:t>
      </w:r>
      <w:r w:rsidR="002611CD">
        <w:rPr>
          <w:rFonts w:ascii="Arial" w:eastAsia="Times New Roman" w:hAnsi="Arial" w:cs="Arial"/>
          <w:color w:val="000000"/>
          <w:szCs w:val="24"/>
          <w:lang w:eastAsia="es-ES_tradnl"/>
        </w:rPr>
        <w:t xml:space="preserve">Proceso de Contratación </w:t>
      </w:r>
      <w:r w:rsidR="009C469D">
        <w:rPr>
          <w:rFonts w:ascii="Arial" w:eastAsia="Times New Roman" w:hAnsi="Arial" w:cs="Arial"/>
          <w:color w:val="000000"/>
          <w:szCs w:val="24"/>
          <w:lang w:eastAsia="es-ES_tradnl"/>
        </w:rPr>
        <w:t xml:space="preserve">le sea aplicable por el objeto y modalidad de selección un documento tipo adoptado por esta Agencia, </w:t>
      </w:r>
      <w:r w:rsidR="00A93AA1">
        <w:rPr>
          <w:rFonts w:ascii="Arial" w:eastAsia="Times New Roman" w:hAnsi="Arial" w:cs="Arial"/>
          <w:color w:val="000000"/>
          <w:szCs w:val="24"/>
          <w:lang w:eastAsia="es-ES_tradnl"/>
        </w:rPr>
        <w:t xml:space="preserve">se ha </w:t>
      </w:r>
      <w:r w:rsidR="00345127">
        <w:rPr>
          <w:rFonts w:ascii="Arial" w:eastAsia="Times New Roman" w:hAnsi="Arial" w:cs="Arial"/>
          <w:color w:val="000000"/>
          <w:szCs w:val="24"/>
          <w:lang w:eastAsia="es-ES_tradnl"/>
        </w:rPr>
        <w:t>establecido</w:t>
      </w:r>
      <w:r w:rsidR="00A93AA1">
        <w:rPr>
          <w:rFonts w:ascii="Arial" w:eastAsia="Times New Roman" w:hAnsi="Arial" w:cs="Arial"/>
          <w:color w:val="000000"/>
          <w:szCs w:val="24"/>
          <w:lang w:eastAsia="es-ES_tradnl"/>
        </w:rPr>
        <w:t xml:space="preserve"> </w:t>
      </w:r>
      <w:r w:rsidR="00345127">
        <w:rPr>
          <w:rFonts w:ascii="Arial" w:eastAsia="Times New Roman" w:hAnsi="Arial" w:cs="Arial"/>
          <w:color w:val="000000"/>
          <w:szCs w:val="24"/>
          <w:lang w:eastAsia="es-ES_tradnl"/>
        </w:rPr>
        <w:t>que,</w:t>
      </w:r>
      <w:r w:rsidR="00A93AA1">
        <w:rPr>
          <w:rFonts w:ascii="Arial" w:eastAsia="Times New Roman" w:hAnsi="Arial" w:cs="Arial"/>
          <w:color w:val="000000"/>
          <w:szCs w:val="24"/>
          <w:lang w:eastAsia="es-ES_tradnl"/>
        </w:rPr>
        <w:t xml:space="preserve"> en virtud de dicha norma, </w:t>
      </w:r>
      <w:r w:rsidR="00345127">
        <w:rPr>
          <w:rFonts w:ascii="Arial" w:eastAsia="Times New Roman" w:hAnsi="Arial" w:cs="Arial"/>
          <w:color w:val="000000"/>
          <w:szCs w:val="24"/>
          <w:lang w:eastAsia="es-ES_tradnl"/>
        </w:rPr>
        <w:t>l</w:t>
      </w:r>
      <w:r w:rsidR="00805B64" w:rsidRPr="00805B64">
        <w:rPr>
          <w:rFonts w:ascii="Arial" w:eastAsia="Times New Roman" w:hAnsi="Arial" w:cs="Arial"/>
          <w:color w:val="000000"/>
          <w:szCs w:val="24"/>
          <w:lang w:eastAsia="es-ES_tradnl"/>
        </w:rPr>
        <w:t>as Entidades Estatales deben consultar y analizar las anotaciones vigentes que reposen en el Registro Nacional de Obras Civiles Inconclusas</w:t>
      </w:r>
      <w:r w:rsidR="006D79FE">
        <w:rPr>
          <w:rFonts w:ascii="Arial" w:eastAsia="Times New Roman" w:hAnsi="Arial" w:cs="Arial"/>
          <w:color w:val="000000"/>
          <w:szCs w:val="24"/>
          <w:lang w:eastAsia="es-ES_tradnl"/>
        </w:rPr>
        <w:t xml:space="preserve">, y en </w:t>
      </w:r>
      <w:r w:rsidR="00805B64" w:rsidRPr="003C6ED7">
        <w:rPr>
          <w:rFonts w:ascii="Arial" w:eastAsia="Times New Roman" w:hAnsi="Arial" w:cs="Arial"/>
          <w:color w:val="000000"/>
          <w:szCs w:val="24"/>
          <w:u w:val="single"/>
          <w:lang w:eastAsia="es-ES_tradnl"/>
        </w:rPr>
        <w:t xml:space="preserve">el evento que </w:t>
      </w:r>
      <w:r w:rsidR="006D79FE" w:rsidRPr="003C6ED7">
        <w:rPr>
          <w:rFonts w:ascii="Arial" w:eastAsia="Times New Roman" w:hAnsi="Arial" w:cs="Arial"/>
          <w:color w:val="000000"/>
          <w:szCs w:val="24"/>
          <w:u w:val="single"/>
          <w:lang w:eastAsia="es-ES_tradnl"/>
        </w:rPr>
        <w:t>el proponente</w:t>
      </w:r>
      <w:r w:rsidR="00805B64" w:rsidRPr="003C6ED7">
        <w:rPr>
          <w:rFonts w:ascii="Arial" w:eastAsia="Times New Roman" w:hAnsi="Arial" w:cs="Arial"/>
          <w:color w:val="000000"/>
          <w:szCs w:val="24"/>
          <w:u w:val="single"/>
          <w:lang w:eastAsia="es-ES_tradnl"/>
        </w:rPr>
        <w:t xml:space="preserve"> o integrantes de Proponentes Plurales, cuenten con alguna anotación vigente de obra civil inconclusa, en el mencionado registro, </w:t>
      </w:r>
      <w:r w:rsidR="00805B64" w:rsidRPr="003C6ED7">
        <w:rPr>
          <w:rFonts w:ascii="Arial" w:eastAsia="Times New Roman" w:hAnsi="Arial" w:cs="Arial"/>
          <w:b/>
          <w:bCs/>
          <w:color w:val="000000"/>
          <w:szCs w:val="24"/>
          <w:u w:val="single"/>
          <w:lang w:eastAsia="es-ES_tradnl"/>
        </w:rPr>
        <w:t>se descontará un (1) punto</w:t>
      </w:r>
      <w:r w:rsidR="00805B64" w:rsidRPr="003C6ED7">
        <w:rPr>
          <w:rFonts w:ascii="Arial" w:eastAsia="Times New Roman" w:hAnsi="Arial" w:cs="Arial"/>
          <w:color w:val="000000"/>
          <w:szCs w:val="24"/>
          <w:u w:val="single"/>
          <w:lang w:eastAsia="es-ES_tradnl"/>
        </w:rPr>
        <w:t xml:space="preserve"> de la sumatoria obtenida en relación con el factor de calidad.</w:t>
      </w:r>
      <w:r w:rsidR="00AE7DE8">
        <w:rPr>
          <w:rFonts w:ascii="Arial" w:eastAsia="Times New Roman" w:hAnsi="Arial" w:cs="Arial"/>
          <w:color w:val="000000"/>
          <w:szCs w:val="24"/>
          <w:lang w:eastAsia="es-ES_tradnl"/>
        </w:rPr>
        <w:t xml:space="preserve"> Sin embargo, si el proponente no ofertó en el </w:t>
      </w:r>
      <w:r w:rsidR="00805B64" w:rsidRPr="00805B64">
        <w:rPr>
          <w:rFonts w:ascii="Arial" w:eastAsia="Times New Roman" w:hAnsi="Arial" w:cs="Arial"/>
          <w:color w:val="000000"/>
          <w:szCs w:val="24"/>
          <w:lang w:eastAsia="es-ES_tradnl"/>
        </w:rPr>
        <w:t xml:space="preserve">factor de calidad, </w:t>
      </w:r>
      <w:r w:rsidR="00AE7DE8">
        <w:rPr>
          <w:rFonts w:ascii="Arial" w:eastAsia="Times New Roman" w:hAnsi="Arial" w:cs="Arial"/>
          <w:color w:val="000000"/>
          <w:szCs w:val="24"/>
          <w:lang w:eastAsia="es-ES_tradnl"/>
        </w:rPr>
        <w:t xml:space="preserve">se determinó que </w:t>
      </w:r>
      <w:r w:rsidR="00805B64" w:rsidRPr="00805B64">
        <w:rPr>
          <w:rFonts w:ascii="Arial" w:eastAsia="Times New Roman" w:hAnsi="Arial" w:cs="Arial"/>
          <w:color w:val="000000"/>
          <w:szCs w:val="24"/>
          <w:lang w:eastAsia="es-ES_tradnl"/>
        </w:rPr>
        <w:t>la Entidad no podrá reducir el puntaje de la sumatoria obtenida en los demás factores de ponderación</w:t>
      </w:r>
      <w:r w:rsidR="00AE7DE8">
        <w:rPr>
          <w:rFonts w:ascii="Arial" w:eastAsia="Times New Roman" w:hAnsi="Arial" w:cs="Arial"/>
          <w:color w:val="000000"/>
          <w:szCs w:val="24"/>
          <w:lang w:eastAsia="es-ES_tradnl"/>
        </w:rPr>
        <w:t>.</w:t>
      </w:r>
    </w:p>
    <w:p w14:paraId="60FA14EF" w14:textId="77777777" w:rsidR="00A93AA1" w:rsidRDefault="00A93AA1" w:rsidP="00A93AA1">
      <w:pPr>
        <w:spacing w:after="0" w:line="276" w:lineRule="auto"/>
        <w:jc w:val="both"/>
        <w:rPr>
          <w:rFonts w:ascii="Arial" w:eastAsia="Times New Roman" w:hAnsi="Arial" w:cs="Arial"/>
          <w:color w:val="000000"/>
          <w:szCs w:val="24"/>
          <w:lang w:eastAsia="es-ES_tradnl"/>
        </w:rPr>
      </w:pPr>
    </w:p>
    <w:p w14:paraId="0856F0A6" w14:textId="2481068F" w:rsidR="00E32246" w:rsidRDefault="00E32246" w:rsidP="00E32246">
      <w:pPr>
        <w:spacing w:after="0" w:line="276" w:lineRule="auto"/>
        <w:ind w:firstLine="708"/>
        <w:jc w:val="both"/>
        <w:rPr>
          <w:rFonts w:ascii="Arial" w:eastAsia="Calibri" w:hAnsi="Arial" w:cs="Arial"/>
          <w:lang w:val="es-MX"/>
        </w:rPr>
      </w:pPr>
      <w:r>
        <w:rPr>
          <w:rFonts w:ascii="Arial" w:eastAsia="Calibri" w:hAnsi="Arial" w:cs="Arial"/>
          <w:color w:val="000000"/>
          <w:lang w:eastAsia="en-GB"/>
        </w:rPr>
        <w:t xml:space="preserve">Para esta Agencia, </w:t>
      </w:r>
      <w:r w:rsidR="009866C3">
        <w:rPr>
          <w:rFonts w:ascii="Arial" w:eastAsia="Calibri" w:hAnsi="Arial" w:cs="Arial"/>
          <w:color w:val="000000"/>
          <w:lang w:eastAsia="en-GB"/>
        </w:rPr>
        <w:t xml:space="preserve">la sola inclusión en dicho registro no es suficiente para el descuento de dicho puntaje, pues para ello requiere que la Agencia realice </w:t>
      </w:r>
      <w:r w:rsidRPr="00D505B1">
        <w:rPr>
          <w:rFonts w:ascii="Arial" w:eastAsia="Calibri" w:hAnsi="Arial" w:cs="Arial"/>
          <w:color w:val="000000"/>
          <w:lang w:val="es-ES_tradnl" w:eastAsia="en-GB"/>
        </w:rPr>
        <w:t xml:space="preserve">la consulta y el análisis </w:t>
      </w:r>
      <w:r w:rsidR="009866C3">
        <w:rPr>
          <w:rFonts w:ascii="Arial" w:eastAsia="Calibri" w:hAnsi="Arial" w:cs="Arial"/>
          <w:color w:val="000000"/>
          <w:lang w:val="es-ES_tradnl" w:eastAsia="en-GB"/>
        </w:rPr>
        <w:t xml:space="preserve">respectivo </w:t>
      </w:r>
      <w:r w:rsidRPr="00D505B1">
        <w:rPr>
          <w:rFonts w:ascii="Arial" w:eastAsia="Calibri" w:hAnsi="Arial" w:cs="Arial"/>
          <w:color w:val="000000"/>
          <w:lang w:val="es-ES_tradnl" w:eastAsia="en-GB"/>
        </w:rPr>
        <w:t xml:space="preserve">de las anotaciones vigentes en el Registro Nacional de Obras Civiles Inconclusas y determine </w:t>
      </w:r>
      <w:r w:rsidRPr="00D505B1">
        <w:rPr>
          <w:rFonts w:ascii="Arial" w:eastAsia="Calibri" w:hAnsi="Arial" w:cs="Arial"/>
          <w:lang w:val="es-MX"/>
        </w:rPr>
        <w:t>si esa anotación se dio por un incumplimiento del contratista, por lo que, dependiendo del supuesto, la entidad descontará el punto</w:t>
      </w:r>
      <w:r w:rsidR="009866C3">
        <w:rPr>
          <w:rFonts w:ascii="Arial" w:eastAsia="Calibri" w:hAnsi="Arial" w:cs="Arial"/>
          <w:lang w:val="es-MX"/>
        </w:rPr>
        <w:t xml:space="preserve"> o no.</w:t>
      </w:r>
    </w:p>
    <w:p w14:paraId="6FB13166" w14:textId="77777777" w:rsidR="009866C3" w:rsidRPr="00D505B1" w:rsidRDefault="009866C3" w:rsidP="00E32246">
      <w:pPr>
        <w:spacing w:after="0" w:line="276" w:lineRule="auto"/>
        <w:ind w:firstLine="708"/>
        <w:jc w:val="both"/>
        <w:rPr>
          <w:rFonts w:ascii="Arial" w:eastAsia="Times New Roman" w:hAnsi="Arial" w:cs="Arial"/>
          <w:color w:val="000000"/>
          <w:szCs w:val="24"/>
          <w:lang w:eastAsia="es-ES_tradnl"/>
        </w:rPr>
      </w:pPr>
    </w:p>
    <w:p w14:paraId="723C84D8" w14:textId="7AA4D6CA" w:rsidR="00F47EC6" w:rsidRDefault="009866C3" w:rsidP="009866C3">
      <w:pPr>
        <w:spacing w:after="0" w:line="276" w:lineRule="auto"/>
        <w:ind w:firstLine="708"/>
        <w:jc w:val="both"/>
        <w:rPr>
          <w:rFonts w:ascii="Arial" w:eastAsia="Times New Roman" w:hAnsi="Arial" w:cs="Arial"/>
          <w:color w:val="000000"/>
          <w:szCs w:val="24"/>
          <w:lang w:eastAsia="es-ES_tradnl"/>
        </w:rPr>
      </w:pPr>
      <w:r>
        <w:rPr>
          <w:rFonts w:ascii="Arial" w:eastAsia="Times New Roman" w:hAnsi="Arial" w:cs="Arial"/>
          <w:color w:val="000000"/>
          <w:szCs w:val="24"/>
          <w:lang w:eastAsia="es-ES_tradnl"/>
        </w:rPr>
        <w:t>Igualmente, se aclara que</w:t>
      </w:r>
      <w:r w:rsidR="00543179">
        <w:rPr>
          <w:rFonts w:ascii="Arial" w:eastAsia="Times New Roman" w:hAnsi="Arial" w:cs="Arial"/>
          <w:color w:val="000000"/>
          <w:szCs w:val="24"/>
          <w:lang w:eastAsia="es-ES_tradnl"/>
        </w:rPr>
        <w:t xml:space="preserve"> </w:t>
      </w:r>
      <w:r w:rsidR="00AE3679">
        <w:rPr>
          <w:rFonts w:ascii="Arial" w:eastAsia="Times New Roman" w:hAnsi="Arial" w:cs="Arial"/>
          <w:color w:val="000000"/>
          <w:szCs w:val="24"/>
          <w:lang w:eastAsia="es-ES_tradnl"/>
        </w:rPr>
        <w:t>dichos lineamientos se han emitido en el marco de</w:t>
      </w:r>
      <w:r w:rsidR="00F47EC6" w:rsidRPr="00D505B1">
        <w:rPr>
          <w:rFonts w:ascii="Arial" w:eastAsia="Times New Roman" w:hAnsi="Arial" w:cs="Arial"/>
          <w:color w:val="000000"/>
          <w:szCs w:val="24"/>
          <w:lang w:eastAsia="es-ES_tradnl"/>
        </w:rPr>
        <w:t xml:space="preserve"> </w:t>
      </w:r>
      <w:r w:rsidR="00F47EC6">
        <w:rPr>
          <w:rFonts w:ascii="Arial" w:eastAsia="Times New Roman" w:hAnsi="Arial" w:cs="Arial"/>
          <w:color w:val="000000"/>
          <w:szCs w:val="24"/>
          <w:lang w:eastAsia="es-ES_tradnl"/>
        </w:rPr>
        <w:t xml:space="preserve">los Procesos de Contratación </w:t>
      </w:r>
      <w:r w:rsidR="006A76CD">
        <w:rPr>
          <w:rFonts w:ascii="Arial" w:eastAsia="Times New Roman" w:hAnsi="Arial" w:cs="Arial"/>
          <w:color w:val="000000"/>
          <w:szCs w:val="24"/>
          <w:lang w:eastAsia="es-ES_tradnl"/>
        </w:rPr>
        <w:t xml:space="preserve">que se lleven a cabo utilizando </w:t>
      </w:r>
      <w:r w:rsidR="00F47EC6" w:rsidRPr="00D505B1">
        <w:rPr>
          <w:rFonts w:ascii="Arial" w:eastAsia="Times New Roman" w:hAnsi="Arial" w:cs="Arial"/>
          <w:color w:val="000000"/>
          <w:szCs w:val="24"/>
          <w:lang w:eastAsia="es-ES_tradnl"/>
        </w:rPr>
        <w:t>documentos</w:t>
      </w:r>
      <w:r w:rsidR="00F47EC6">
        <w:rPr>
          <w:rFonts w:ascii="Arial" w:eastAsia="Times New Roman" w:hAnsi="Arial" w:cs="Arial"/>
          <w:color w:val="000000"/>
          <w:szCs w:val="24"/>
          <w:lang w:eastAsia="es-ES_tradnl"/>
        </w:rPr>
        <w:t xml:space="preserve"> tipo</w:t>
      </w:r>
      <w:r w:rsidR="00F47EC6" w:rsidRPr="00D505B1">
        <w:rPr>
          <w:rFonts w:ascii="Arial" w:eastAsia="Times New Roman" w:hAnsi="Arial" w:cs="Arial"/>
          <w:color w:val="000000"/>
          <w:szCs w:val="24"/>
          <w:lang w:eastAsia="es-ES_tradnl"/>
        </w:rPr>
        <w:t xml:space="preserve">, puesto que para los proceso de selección de contratación de obra y de interventoría que no resulten obligatorios </w:t>
      </w:r>
      <w:r w:rsidR="006A76CD">
        <w:rPr>
          <w:rFonts w:ascii="Arial" w:eastAsia="Times New Roman" w:hAnsi="Arial" w:cs="Arial"/>
          <w:color w:val="000000"/>
          <w:szCs w:val="24"/>
          <w:lang w:eastAsia="es-ES_tradnl"/>
        </w:rPr>
        <w:t>su</w:t>
      </w:r>
      <w:r w:rsidR="00F47EC6" w:rsidRPr="00D505B1">
        <w:rPr>
          <w:rFonts w:ascii="Arial" w:eastAsia="Times New Roman" w:hAnsi="Arial" w:cs="Arial"/>
          <w:color w:val="000000"/>
          <w:szCs w:val="24"/>
          <w:lang w:eastAsia="es-ES_tradnl"/>
        </w:rPr>
        <w:t xml:space="preserve"> aplicación, cada </w:t>
      </w:r>
      <w:r w:rsidR="00F47EC6">
        <w:rPr>
          <w:rFonts w:ascii="Arial" w:eastAsia="Times New Roman" w:hAnsi="Arial" w:cs="Arial"/>
          <w:color w:val="000000"/>
          <w:szCs w:val="24"/>
          <w:lang w:eastAsia="es-ES_tradnl"/>
        </w:rPr>
        <w:t>Entidad Estatal</w:t>
      </w:r>
      <w:r w:rsidR="00F47EC6" w:rsidRPr="00D505B1">
        <w:rPr>
          <w:rFonts w:ascii="Arial" w:eastAsia="Times New Roman" w:hAnsi="Arial" w:cs="Arial"/>
          <w:color w:val="000000"/>
          <w:szCs w:val="24"/>
          <w:lang w:eastAsia="es-ES_tradnl"/>
        </w:rPr>
        <w:t xml:space="preserve"> tiene la discrecionalidad de determinar, en los pliegos de condiciones, la forma en que se realizará el análisis de las anotaciones vigentes en el Registro Nacional de Obras Civiles Inconclusas al momento de ponderar los criterios de evaluación</w:t>
      </w:r>
      <w:r w:rsidR="00F47EC6">
        <w:rPr>
          <w:rFonts w:ascii="Arial" w:eastAsia="Times New Roman" w:hAnsi="Arial" w:cs="Arial"/>
          <w:color w:val="000000"/>
          <w:szCs w:val="24"/>
          <w:lang w:eastAsia="es-ES_tradnl"/>
        </w:rPr>
        <w:t xml:space="preserve"> en virtud de lo consagrado en el artículo 6 de la Ley 2020 de 2020</w:t>
      </w:r>
      <w:r w:rsidR="00421C3E">
        <w:rPr>
          <w:rFonts w:ascii="Arial" w:eastAsia="Times New Roman" w:hAnsi="Arial" w:cs="Arial"/>
          <w:color w:val="000000"/>
          <w:szCs w:val="24"/>
          <w:lang w:eastAsia="es-ES_tradnl"/>
        </w:rPr>
        <w:t xml:space="preserve">, sin embargo, se reitera </w:t>
      </w:r>
      <w:r w:rsidR="00A81278">
        <w:rPr>
          <w:rFonts w:ascii="Arial" w:eastAsia="Times New Roman" w:hAnsi="Arial" w:cs="Arial"/>
          <w:color w:val="000000"/>
          <w:szCs w:val="24"/>
          <w:lang w:eastAsia="es-ES_tradnl"/>
        </w:rPr>
        <w:t>que</w:t>
      </w:r>
      <w:r w:rsidR="0010264E">
        <w:rPr>
          <w:rFonts w:ascii="Arial" w:eastAsia="Times New Roman" w:hAnsi="Arial" w:cs="Arial"/>
          <w:color w:val="000000"/>
          <w:szCs w:val="24"/>
          <w:lang w:eastAsia="es-ES_tradnl"/>
        </w:rPr>
        <w:t xml:space="preserve"> a criterio de esta Agencia no basta con el sólo registro,</w:t>
      </w:r>
      <w:r w:rsidR="00C07B23">
        <w:rPr>
          <w:rFonts w:ascii="Arial" w:eastAsia="Times New Roman" w:hAnsi="Arial" w:cs="Arial"/>
          <w:color w:val="000000"/>
          <w:szCs w:val="24"/>
          <w:lang w:eastAsia="es-ES_tradnl"/>
        </w:rPr>
        <w:t xml:space="preserve"> sino con el análisis de dicha anotación, para determinar consecuencias adversas para los proponentes por dicho motivo, en el marco de los proceso de contratación para seleccionar la oferta más favorable</w:t>
      </w:r>
    </w:p>
    <w:p w14:paraId="73B65D49" w14:textId="77777777" w:rsidR="003135B7" w:rsidRDefault="003135B7" w:rsidP="00F47EC6">
      <w:pPr>
        <w:spacing w:after="0" w:line="276" w:lineRule="auto"/>
        <w:jc w:val="both"/>
        <w:rPr>
          <w:rFonts w:ascii="Arial" w:eastAsia="Times New Roman" w:hAnsi="Arial" w:cs="Arial"/>
          <w:color w:val="000000"/>
          <w:szCs w:val="24"/>
          <w:lang w:eastAsia="es-ES_tradnl"/>
        </w:rPr>
      </w:pPr>
    </w:p>
    <w:p w14:paraId="52CD1E7D" w14:textId="221782BF" w:rsidR="00F47EC6" w:rsidRDefault="00F47EC6" w:rsidP="00421C3E">
      <w:pPr>
        <w:spacing w:after="0" w:line="276" w:lineRule="auto"/>
        <w:ind w:firstLine="708"/>
        <w:jc w:val="both"/>
        <w:rPr>
          <w:rFonts w:ascii="Arial" w:eastAsia="Times New Roman" w:hAnsi="Arial" w:cs="Arial"/>
          <w:color w:val="000000"/>
          <w:szCs w:val="24"/>
          <w:lang w:eastAsia="es-ES_tradnl"/>
        </w:rPr>
      </w:pPr>
      <w:r>
        <w:rPr>
          <w:rFonts w:ascii="Arial" w:eastAsia="Times New Roman" w:hAnsi="Arial" w:cs="Arial"/>
          <w:color w:val="000000"/>
          <w:szCs w:val="24"/>
          <w:lang w:eastAsia="es-ES_tradnl"/>
        </w:rPr>
        <w:t xml:space="preserve">Por su parte, y en lo que respecta a la </w:t>
      </w:r>
      <w:r>
        <w:rPr>
          <w:rFonts w:ascii="Arial" w:hAnsi="Arial" w:cs="Arial"/>
        </w:rPr>
        <w:t xml:space="preserve">posibilidad de que una Entidad Estatal rechace la oferta de un proponente por tener </w:t>
      </w:r>
      <w:r w:rsidRPr="00D505B1">
        <w:rPr>
          <w:rFonts w:ascii="Arial" w:eastAsia="Times New Roman" w:hAnsi="Arial" w:cs="Arial"/>
          <w:color w:val="000000"/>
          <w:szCs w:val="24"/>
          <w:lang w:eastAsia="es-ES_tradnl"/>
        </w:rPr>
        <w:t>anotaciones vigentes en el Registro Nacional de Obras Civiles Inconclusas</w:t>
      </w:r>
      <w:r>
        <w:rPr>
          <w:rFonts w:ascii="Arial" w:eastAsia="Times New Roman" w:hAnsi="Arial" w:cs="Arial"/>
          <w:color w:val="000000"/>
          <w:szCs w:val="24"/>
          <w:lang w:eastAsia="es-ES_tradnl"/>
        </w:rPr>
        <w:t>,</w:t>
      </w:r>
      <w:r w:rsidRPr="00D505B1">
        <w:rPr>
          <w:rFonts w:ascii="Arial" w:eastAsia="Times New Roman" w:hAnsi="Arial" w:cs="Arial"/>
          <w:color w:val="000000"/>
          <w:szCs w:val="24"/>
          <w:lang w:eastAsia="es-ES_tradnl"/>
        </w:rPr>
        <w:t xml:space="preserve"> </w:t>
      </w:r>
      <w:r>
        <w:rPr>
          <w:rFonts w:ascii="Arial" w:hAnsi="Arial" w:cs="Arial"/>
        </w:rPr>
        <w:t xml:space="preserve">debe indicarse que en los documentos pliego tipo no se contempló dicha causal de rechazo, no obstante, en los Procesos de Contratación en donde los documentos tipo adoptados por la Agencia no sea aplicable, las Entidades Estatales, como directoras de sus procesos de contratación son autónomas en estipular en sus Pliegos de Condiciones o documentos </w:t>
      </w:r>
      <w:r>
        <w:rPr>
          <w:rFonts w:ascii="Arial" w:hAnsi="Arial" w:cs="Arial"/>
        </w:rPr>
        <w:lastRenderedPageBreak/>
        <w:t>equivalentes, las causales de rechazo que considere pertinente, siempre que no contradigan la Ley ni los principios que rigen en materia de contratación</w:t>
      </w:r>
    </w:p>
    <w:p w14:paraId="5E3FC5DE" w14:textId="77777777" w:rsidR="00114227" w:rsidRDefault="00114227" w:rsidP="00A33061">
      <w:pPr>
        <w:widowControl w:val="0"/>
        <w:autoSpaceDE w:val="0"/>
        <w:autoSpaceDN w:val="0"/>
        <w:spacing w:after="0" w:line="276" w:lineRule="auto"/>
        <w:jc w:val="both"/>
        <w:rPr>
          <w:rFonts w:ascii="Arial" w:eastAsia="Times New Roman" w:hAnsi="Arial" w:cs="Arial"/>
          <w:color w:val="000000"/>
          <w:lang w:val="es-ES_tradnl" w:eastAsia="es-ES_tradnl"/>
        </w:rPr>
      </w:pPr>
    </w:p>
    <w:p w14:paraId="27902751" w14:textId="77777777" w:rsidR="00655A1B" w:rsidRPr="00606090" w:rsidRDefault="00655A1B" w:rsidP="00655A1B">
      <w:pPr>
        <w:spacing w:before="120" w:after="0" w:line="276" w:lineRule="auto"/>
        <w:jc w:val="both"/>
        <w:rPr>
          <w:rFonts w:ascii="Arial" w:eastAsia="Times New Roman" w:hAnsi="Arial" w:cs="Arial"/>
          <w:bCs/>
          <w:color w:val="000000"/>
          <w:szCs w:val="24"/>
          <w:lang w:eastAsia="es-ES_tradnl"/>
        </w:rPr>
      </w:pPr>
      <w:r w:rsidRPr="00EF69F0">
        <w:rPr>
          <w:rFonts w:ascii="Arial" w:eastAsia="Times New Roman" w:hAnsi="Arial" w:cs="Arial"/>
          <w:color w:val="000000"/>
          <w:lang w:val="es-ES_tradnl" w:eastAsia="es-ES_tradnl"/>
        </w:rPr>
        <w:t>Este concepto tiene el alcance previsto en el artículo 28 del</w:t>
      </w:r>
      <w:r w:rsidRPr="00EF69F0">
        <w:rPr>
          <w:rFonts w:ascii="Arial" w:eastAsia="Times New Roman" w:hAnsi="Arial" w:cs="Arial"/>
          <w:color w:val="000000"/>
          <w:szCs w:val="24"/>
          <w:lang w:val="es-ES_tradnl" w:eastAsia="es-ES_tradnl"/>
        </w:rPr>
        <w:t xml:space="preserve"> Código de Procedimiento Administrativo y de lo Contencioso Administrativo </w:t>
      </w:r>
      <w:r w:rsidRPr="00EF69F0">
        <w:rPr>
          <w:rFonts w:ascii="Arial" w:eastAsia="Calibri" w:hAnsi="Arial" w:cs="Arial"/>
          <w:lang w:val="es-ES" w:eastAsia="es-MX"/>
        </w:rPr>
        <w:t xml:space="preserve">y </w:t>
      </w:r>
      <w:r w:rsidRPr="00EF69F0">
        <w:rPr>
          <w:rFonts w:ascii="Arial" w:eastAsia="Calibri" w:hAnsi="Arial" w:cs="Arial"/>
          <w:lang w:val="es-MX" w:eastAsia="es-ES_tradnl"/>
        </w:rPr>
        <w:t>las expresiones aquí utilizadas con mayúscula inicial deben ser entendidas con el significado que les otorga el artículo 2.2.1.1.1.3.1. del Decreto 1082 de 2015</w:t>
      </w:r>
      <w:r w:rsidRPr="00EF69F0">
        <w:rPr>
          <w:rFonts w:ascii="Arial" w:eastAsia="Times New Roman" w:hAnsi="Arial" w:cs="Arial"/>
          <w:lang w:val="es-ES_tradnl" w:eastAsia="es-ES_tradnl"/>
        </w:rPr>
        <w:t>.</w:t>
      </w:r>
    </w:p>
    <w:p w14:paraId="1B77CC5F" w14:textId="77777777" w:rsidR="00A33061" w:rsidRPr="00655A1B" w:rsidRDefault="00A33061" w:rsidP="00A33061">
      <w:pPr>
        <w:widowControl w:val="0"/>
        <w:autoSpaceDE w:val="0"/>
        <w:autoSpaceDN w:val="0"/>
        <w:spacing w:after="0" w:line="276" w:lineRule="auto"/>
        <w:jc w:val="both"/>
        <w:rPr>
          <w:rFonts w:ascii="Arial" w:eastAsia="Times New Roman" w:hAnsi="Arial" w:cs="Arial"/>
          <w:lang w:eastAsia="es-ES_tradnl" w:bidi="es-ES"/>
        </w:rPr>
      </w:pPr>
    </w:p>
    <w:p w14:paraId="5DE82397" w14:textId="77777777" w:rsidR="00A33061" w:rsidRPr="00D505B1" w:rsidRDefault="00A33061" w:rsidP="00A33061">
      <w:pPr>
        <w:spacing w:after="0" w:line="276" w:lineRule="auto"/>
        <w:jc w:val="both"/>
        <w:rPr>
          <w:rFonts w:ascii="Arial" w:eastAsia="Times New Roman" w:hAnsi="Arial" w:cs="Arial"/>
          <w:color w:val="000000"/>
          <w:lang w:val="es-ES_tradnl" w:eastAsia="es-CO"/>
        </w:rPr>
      </w:pPr>
      <w:r w:rsidRPr="00D505B1">
        <w:rPr>
          <w:rFonts w:ascii="Arial" w:eastAsia="Times New Roman" w:hAnsi="Arial" w:cs="Arial"/>
          <w:color w:val="000000"/>
          <w:lang w:val="es-ES_tradnl" w:eastAsia="es-CO"/>
        </w:rPr>
        <w:t>Atentamente,</w:t>
      </w:r>
    </w:p>
    <w:p w14:paraId="2DAA31D9" w14:textId="42C8C746" w:rsidR="00A33061" w:rsidRDefault="00A33061" w:rsidP="00A33061">
      <w:pPr>
        <w:spacing w:after="0" w:line="276" w:lineRule="auto"/>
        <w:jc w:val="center"/>
        <w:rPr>
          <w:noProof/>
        </w:rPr>
      </w:pPr>
    </w:p>
    <w:p w14:paraId="0CAC2702" w14:textId="394875B0" w:rsidR="0071177C" w:rsidRPr="00D505B1" w:rsidRDefault="007A3AD8" w:rsidP="00A33061">
      <w:pPr>
        <w:spacing w:after="0" w:line="276" w:lineRule="auto"/>
        <w:jc w:val="center"/>
        <w:rPr>
          <w:rFonts w:ascii="Arial" w:eastAsia="Times New Roman" w:hAnsi="Arial" w:cs="Arial"/>
          <w:color w:val="000000"/>
          <w:lang w:val="es-ES_tradnl" w:eastAsia="es-CO"/>
        </w:rPr>
      </w:pPr>
      <w:r w:rsidRPr="007A3AD8">
        <w:rPr>
          <w:rFonts w:ascii="Calibri" w:eastAsia="Calibri" w:hAnsi="Calibri" w:cs="Times New Roman"/>
          <w:noProof/>
          <w:lang w:val="es-ES"/>
        </w:rPr>
        <w:drawing>
          <wp:inline distT="0" distB="0" distL="0" distR="0" wp14:anchorId="2BD7A8CC" wp14:editId="0B73550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1177C" w:rsidRPr="0071177C" w14:paraId="34850EA1" w14:textId="77777777" w:rsidTr="00205E93">
        <w:trPr>
          <w:trHeight w:val="409"/>
        </w:trPr>
        <w:tc>
          <w:tcPr>
            <w:tcW w:w="817" w:type="dxa"/>
            <w:tcBorders>
              <w:top w:val="nil"/>
              <w:left w:val="nil"/>
              <w:bottom w:val="nil"/>
              <w:right w:val="nil"/>
            </w:tcBorders>
            <w:vAlign w:val="center"/>
            <w:hideMark/>
          </w:tcPr>
          <w:p w14:paraId="6DB4890C"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1FA9336"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Gabriel Alejandro Murcia Taboada</w:t>
            </w:r>
          </w:p>
          <w:p w14:paraId="5D94E794" w14:textId="155871D1"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Contratista de la Subdirección de Gestión Contractual</w:t>
            </w:r>
          </w:p>
        </w:tc>
      </w:tr>
      <w:tr w:rsidR="0071177C" w:rsidRPr="0071177C" w14:paraId="3410B35A" w14:textId="77777777" w:rsidTr="00205E93">
        <w:trPr>
          <w:trHeight w:val="409"/>
        </w:trPr>
        <w:tc>
          <w:tcPr>
            <w:tcW w:w="817" w:type="dxa"/>
            <w:tcBorders>
              <w:top w:val="nil"/>
              <w:left w:val="nil"/>
              <w:right w:val="nil"/>
            </w:tcBorders>
            <w:vAlign w:val="center"/>
          </w:tcPr>
          <w:p w14:paraId="6F8F059C" w14:textId="77777777" w:rsidR="0071177C" w:rsidRPr="0071177C" w:rsidRDefault="0071177C" w:rsidP="0071177C">
            <w:pPr>
              <w:shd w:val="clear" w:color="auto" w:fill="FFFFFF" w:themeFill="background1"/>
              <w:jc w:val="both"/>
              <w:rPr>
                <w:rFonts w:ascii="Arial" w:hAnsi="Arial" w:cs="Arial"/>
                <w:sz w:val="16"/>
                <w:szCs w:val="16"/>
              </w:rPr>
            </w:pPr>
            <w:r w:rsidRPr="0071177C">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CD72AAE"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Juan David Cárdenas Cabeza</w:t>
            </w:r>
          </w:p>
          <w:p w14:paraId="12A08B67" w14:textId="5ED5952D"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 xml:space="preserve">Contratista de la Subdirección de Gestión Contractual  </w:t>
            </w:r>
          </w:p>
        </w:tc>
      </w:tr>
      <w:tr w:rsidR="0071177C" w:rsidRPr="0071177C" w14:paraId="02956260" w14:textId="77777777" w:rsidTr="00205E93">
        <w:trPr>
          <w:trHeight w:val="389"/>
        </w:trPr>
        <w:tc>
          <w:tcPr>
            <w:tcW w:w="817" w:type="dxa"/>
            <w:tcBorders>
              <w:top w:val="nil"/>
              <w:left w:val="nil"/>
              <w:bottom w:val="nil"/>
              <w:right w:val="nil"/>
            </w:tcBorders>
            <w:vAlign w:val="center"/>
            <w:hideMark/>
          </w:tcPr>
          <w:p w14:paraId="7FBD61BA"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F5B1B34"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Nohelia del Carmen Zawady Palacio</w:t>
            </w:r>
          </w:p>
          <w:p w14:paraId="052F4C79" w14:textId="77777777" w:rsidR="0071177C" w:rsidRPr="0071177C" w:rsidRDefault="0071177C" w:rsidP="0071177C">
            <w:pPr>
              <w:shd w:val="clear" w:color="auto" w:fill="FFFFFF" w:themeFill="background1"/>
              <w:spacing w:after="0" w:line="240" w:lineRule="auto"/>
              <w:jc w:val="both"/>
              <w:rPr>
                <w:rFonts w:ascii="Arial" w:hAnsi="Arial" w:cs="Arial"/>
                <w:sz w:val="16"/>
                <w:szCs w:val="16"/>
              </w:rPr>
            </w:pPr>
            <w:r w:rsidRPr="0071177C">
              <w:rPr>
                <w:rFonts w:ascii="Arial" w:hAnsi="Arial" w:cs="Arial"/>
                <w:sz w:val="16"/>
                <w:szCs w:val="16"/>
              </w:rPr>
              <w:t xml:space="preserve">Subdirectora de Gestión Contractual ANCP - CCE </w:t>
            </w:r>
          </w:p>
        </w:tc>
      </w:tr>
    </w:tbl>
    <w:p w14:paraId="0F293BF4" w14:textId="0F6FB6C1" w:rsidR="00127233" w:rsidRPr="00A33061" w:rsidRDefault="00127233" w:rsidP="00A33061"/>
    <w:sectPr w:rsidR="00127233" w:rsidRPr="00A33061"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21EF" w14:textId="77777777" w:rsidR="00C2244C" w:rsidRDefault="00C2244C" w:rsidP="004A1847">
      <w:pPr>
        <w:spacing w:after="0" w:line="240" w:lineRule="auto"/>
      </w:pPr>
      <w:r>
        <w:separator/>
      </w:r>
    </w:p>
  </w:endnote>
  <w:endnote w:type="continuationSeparator" w:id="0">
    <w:p w14:paraId="299F9205" w14:textId="77777777" w:rsidR="00C2244C" w:rsidRDefault="00C2244C" w:rsidP="004A1847">
      <w:pPr>
        <w:spacing w:after="0" w:line="240" w:lineRule="auto"/>
      </w:pPr>
      <w:r>
        <w:continuationSeparator/>
      </w:r>
    </w:p>
  </w:endnote>
  <w:endnote w:type="continuationNotice" w:id="1">
    <w:p w14:paraId="5A11ED0E" w14:textId="77777777" w:rsidR="00C2244C" w:rsidRDefault="00C22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170" w14:textId="77777777" w:rsidR="00C2244C" w:rsidRDefault="00C2244C" w:rsidP="004A1847">
      <w:pPr>
        <w:spacing w:after="0" w:line="240" w:lineRule="auto"/>
      </w:pPr>
      <w:r>
        <w:separator/>
      </w:r>
    </w:p>
  </w:footnote>
  <w:footnote w:type="continuationSeparator" w:id="0">
    <w:p w14:paraId="373F0AB5" w14:textId="77777777" w:rsidR="00C2244C" w:rsidRDefault="00C2244C" w:rsidP="004A1847">
      <w:pPr>
        <w:spacing w:after="0" w:line="240" w:lineRule="auto"/>
      </w:pPr>
      <w:r>
        <w:continuationSeparator/>
      </w:r>
    </w:p>
  </w:footnote>
  <w:footnote w:type="continuationNotice" w:id="1">
    <w:p w14:paraId="492F4000" w14:textId="77777777" w:rsidR="00C2244C" w:rsidRDefault="00C2244C">
      <w:pPr>
        <w:spacing w:after="0" w:line="240" w:lineRule="auto"/>
      </w:pPr>
    </w:p>
  </w:footnote>
  <w:footnote w:id="2">
    <w:p w14:paraId="2263A787" w14:textId="521E275B" w:rsidR="005A59ED" w:rsidRPr="00010C05" w:rsidRDefault="005A59ED" w:rsidP="005A59ED">
      <w:pPr>
        <w:pStyle w:val="Textonotapie"/>
        <w:ind w:firstLine="708"/>
        <w:jc w:val="both"/>
        <w:rPr>
          <w:sz w:val="16"/>
          <w:szCs w:val="16"/>
          <w:lang w:val="es-CO"/>
        </w:rPr>
      </w:pPr>
      <w:r w:rsidRPr="00010C05">
        <w:rPr>
          <w:rStyle w:val="Refdenotaalpie"/>
          <w:sz w:val="16"/>
          <w:szCs w:val="16"/>
        </w:rPr>
        <w:footnoteRef/>
      </w:r>
      <w:r w:rsidRPr="00010C05">
        <w:rPr>
          <w:sz w:val="16"/>
          <w:szCs w:val="16"/>
        </w:rPr>
        <w:t xml:space="preserve"> </w:t>
      </w:r>
      <w:r w:rsidRPr="00010C05">
        <w:rPr>
          <w:rFonts w:ascii="Arial" w:hAnsi="Arial"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010C05">
          <w:rPr>
            <w:rStyle w:val="Hipervnculo"/>
            <w:rFonts w:ascii="Arial" w:hAnsi="Arial" w:cs="Arial"/>
            <w:color w:val="auto"/>
            <w:sz w:val="16"/>
            <w:szCs w:val="16"/>
          </w:rPr>
          <w:t>https://relatoria.colombiacompra.gov.co/busqueda/conceptos</w:t>
        </w:r>
      </w:hyperlink>
      <w:r w:rsidRPr="00010C05">
        <w:rPr>
          <w:rStyle w:val="Hipervnculo"/>
          <w:rFonts w:ascii="Arial" w:hAnsi="Arial" w:cs="Arial"/>
          <w:color w:val="auto"/>
          <w:sz w:val="16"/>
          <w:szCs w:val="16"/>
        </w:rPr>
        <w:t>.</w:t>
      </w:r>
    </w:p>
  </w:footnote>
  <w:footnote w:id="3">
    <w:p w14:paraId="790DA752" w14:textId="24AE1D9C" w:rsidR="006765BF" w:rsidRPr="00010C05" w:rsidRDefault="006765BF" w:rsidP="006765BF">
      <w:pPr>
        <w:pStyle w:val="Textonotapie"/>
        <w:ind w:firstLine="709"/>
        <w:jc w:val="both"/>
        <w:rPr>
          <w:rFonts w:ascii="Arial" w:hAnsi="Arial" w:cs="Arial"/>
          <w:color w:val="000000"/>
          <w:sz w:val="16"/>
          <w:szCs w:val="16"/>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El artículo 6 de la Ley 80 de 1993 expresa: </w:t>
      </w:r>
      <w:r w:rsidR="00B514AD" w:rsidRPr="00010C05">
        <w:rPr>
          <w:rFonts w:ascii="Arial" w:hAnsi="Arial" w:cs="Arial"/>
          <w:color w:val="000000"/>
          <w:sz w:val="16"/>
          <w:szCs w:val="16"/>
        </w:rPr>
        <w:t>“</w:t>
      </w:r>
      <w:r w:rsidRPr="00010C05">
        <w:rPr>
          <w:rFonts w:ascii="Arial" w:hAnsi="Arial" w:cs="Arial"/>
          <w:color w:val="000000"/>
          <w:sz w:val="16"/>
          <w:szCs w:val="16"/>
        </w:rPr>
        <w:t>Pueden celebrar contratos con las entidades estatales las personas consideradas legalmente capaces en las disposiciones vigentes. También podrán celebrar contratos con las entidades estatales, los consorcios y uniones temporales.</w:t>
      </w:r>
    </w:p>
    <w:p w14:paraId="1BD8EEED" w14:textId="38D409AA" w:rsidR="006765BF" w:rsidRPr="00010C05" w:rsidRDefault="00B514AD" w:rsidP="006765BF">
      <w:pPr>
        <w:pStyle w:val="Textonotapie"/>
        <w:ind w:firstLine="709"/>
        <w:jc w:val="both"/>
        <w:rPr>
          <w:rFonts w:ascii="Arial" w:eastAsia="Calibri" w:hAnsi="Arial" w:cs="Arial"/>
          <w:color w:val="000000"/>
          <w:sz w:val="16"/>
          <w:szCs w:val="16"/>
          <w:lang w:val="es-CO"/>
        </w:rPr>
      </w:pPr>
      <w:r w:rsidRPr="00010C05">
        <w:rPr>
          <w:rFonts w:ascii="Arial" w:hAnsi="Arial" w:cs="Arial"/>
          <w:color w:val="000000"/>
          <w:sz w:val="16"/>
          <w:szCs w:val="16"/>
        </w:rPr>
        <w:t>“</w:t>
      </w:r>
      <w:r w:rsidR="006765BF" w:rsidRPr="00010C05">
        <w:rPr>
          <w:rFonts w:ascii="Arial" w:hAnsi="Arial" w:cs="Arial"/>
          <w:color w:val="000000"/>
          <w:sz w:val="16"/>
          <w:szCs w:val="16"/>
        </w:rPr>
        <w:t>Las personas jurídicas nacionales y extranjeras deberán acreditar que su duración no será inferior a la del plazo del contrato y un año más</w:t>
      </w:r>
      <w:r w:rsidRPr="00010C05">
        <w:rPr>
          <w:rFonts w:ascii="Arial" w:hAnsi="Arial" w:cs="Arial"/>
          <w:color w:val="000000"/>
          <w:sz w:val="16"/>
          <w:szCs w:val="16"/>
        </w:rPr>
        <w:t>”</w:t>
      </w:r>
      <w:r w:rsidR="006765BF" w:rsidRPr="00010C05">
        <w:rPr>
          <w:rFonts w:ascii="Arial" w:hAnsi="Arial" w:cs="Arial"/>
          <w:color w:val="000000"/>
          <w:sz w:val="16"/>
          <w:szCs w:val="16"/>
        </w:rPr>
        <w:t>.</w:t>
      </w:r>
    </w:p>
  </w:footnote>
  <w:footnote w:id="4">
    <w:p w14:paraId="6C52B091" w14:textId="4FC1BB44" w:rsidR="006765BF" w:rsidRPr="00010C05" w:rsidRDefault="006765BF" w:rsidP="006765BF">
      <w:pPr>
        <w:pStyle w:val="Textonotapie"/>
        <w:ind w:firstLine="709"/>
        <w:jc w:val="both"/>
        <w:rPr>
          <w:rFonts w:ascii="Arial" w:hAnsi="Arial" w:cs="Arial"/>
          <w:color w:val="000000"/>
          <w:sz w:val="16"/>
          <w:szCs w:val="16"/>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El artículo 1502 del Código Civil prevé la capacidad legal como requisito para obligarse contractualmente, en los siguientes términos: </w:t>
      </w:r>
      <w:r w:rsidR="00B514AD" w:rsidRPr="00010C05">
        <w:rPr>
          <w:rFonts w:ascii="Arial" w:hAnsi="Arial" w:cs="Arial"/>
          <w:color w:val="000000"/>
          <w:sz w:val="16"/>
          <w:szCs w:val="16"/>
        </w:rPr>
        <w:t>“</w:t>
      </w:r>
      <w:r w:rsidRPr="00010C05">
        <w:rPr>
          <w:rFonts w:ascii="Arial" w:hAnsi="Arial" w:cs="Arial"/>
          <w:color w:val="000000"/>
          <w:sz w:val="16"/>
          <w:szCs w:val="16"/>
        </w:rPr>
        <w:t>Para que una persona se obligue a otra por un acto o declaración de voluntad, es necesario:</w:t>
      </w:r>
    </w:p>
    <w:p w14:paraId="3B4CACE7" w14:textId="5A94A402" w:rsidR="006765BF" w:rsidRPr="00010C05" w:rsidRDefault="00B514AD" w:rsidP="006765BF">
      <w:pPr>
        <w:pStyle w:val="Textonotapie"/>
        <w:ind w:firstLine="709"/>
        <w:jc w:val="both"/>
        <w:rPr>
          <w:rFonts w:ascii="Arial" w:hAnsi="Arial" w:cs="Arial"/>
          <w:color w:val="000000"/>
          <w:sz w:val="16"/>
          <w:szCs w:val="16"/>
        </w:rPr>
      </w:pPr>
      <w:r w:rsidRPr="00010C05">
        <w:rPr>
          <w:rFonts w:ascii="Arial" w:hAnsi="Arial" w:cs="Arial"/>
          <w:color w:val="000000"/>
          <w:sz w:val="16"/>
          <w:szCs w:val="16"/>
        </w:rPr>
        <w:t>“</w:t>
      </w:r>
      <w:r w:rsidR="006765BF" w:rsidRPr="00010C05">
        <w:rPr>
          <w:rFonts w:ascii="Arial" w:hAnsi="Arial" w:cs="Arial"/>
          <w:color w:val="000000"/>
          <w:sz w:val="16"/>
          <w:szCs w:val="16"/>
        </w:rPr>
        <w:t>1o.) que sea legalmente capaz.</w:t>
      </w:r>
    </w:p>
    <w:p w14:paraId="0791E812" w14:textId="77777777" w:rsidR="006765BF" w:rsidRPr="00010C05" w:rsidRDefault="006765BF" w:rsidP="006765BF">
      <w:pPr>
        <w:pStyle w:val="Textonotapie"/>
        <w:ind w:firstLine="709"/>
        <w:jc w:val="both"/>
        <w:rPr>
          <w:rFonts w:ascii="Arial" w:hAnsi="Arial" w:cs="Arial"/>
          <w:color w:val="000000"/>
          <w:sz w:val="16"/>
          <w:szCs w:val="16"/>
        </w:rPr>
      </w:pPr>
      <w:r w:rsidRPr="00010C05">
        <w:rPr>
          <w:rFonts w:ascii="Arial" w:hAnsi="Arial" w:cs="Arial"/>
          <w:color w:val="000000"/>
          <w:sz w:val="16"/>
          <w:szCs w:val="16"/>
        </w:rPr>
        <w:t>[…]</w:t>
      </w:r>
    </w:p>
    <w:p w14:paraId="0380BF54" w14:textId="4257D4FC" w:rsidR="006765BF" w:rsidRPr="00010C05" w:rsidRDefault="00B514AD" w:rsidP="006765BF">
      <w:pPr>
        <w:pStyle w:val="Textonotapie"/>
        <w:ind w:firstLine="709"/>
        <w:jc w:val="both"/>
        <w:rPr>
          <w:rFonts w:ascii="Arial" w:hAnsi="Arial" w:cs="Arial"/>
          <w:color w:val="000000"/>
          <w:sz w:val="16"/>
          <w:szCs w:val="16"/>
        </w:rPr>
      </w:pPr>
      <w:r w:rsidRPr="00010C05">
        <w:rPr>
          <w:rFonts w:ascii="Arial" w:hAnsi="Arial" w:cs="Arial"/>
          <w:color w:val="000000"/>
          <w:sz w:val="16"/>
          <w:szCs w:val="16"/>
        </w:rPr>
        <w:t>“</w:t>
      </w:r>
      <w:r w:rsidR="006765BF" w:rsidRPr="00010C05">
        <w:rPr>
          <w:rFonts w:ascii="Arial" w:hAnsi="Arial" w:cs="Arial"/>
          <w:color w:val="000000"/>
          <w:sz w:val="16"/>
          <w:szCs w:val="16"/>
        </w:rPr>
        <w:t>La capacidad legal de una persona consiste en poderse obligar por sí misma, sin el ministerio o la autorización de otra</w:t>
      </w:r>
      <w:r w:rsidRPr="00010C05">
        <w:rPr>
          <w:rFonts w:ascii="Arial" w:hAnsi="Arial" w:cs="Arial"/>
          <w:color w:val="000000"/>
          <w:sz w:val="16"/>
          <w:szCs w:val="16"/>
        </w:rPr>
        <w:t>”</w:t>
      </w:r>
      <w:r w:rsidR="006765BF" w:rsidRPr="00010C05">
        <w:rPr>
          <w:rFonts w:ascii="Arial" w:hAnsi="Arial" w:cs="Arial"/>
          <w:color w:val="000000"/>
          <w:sz w:val="16"/>
          <w:szCs w:val="16"/>
        </w:rPr>
        <w:t>.</w:t>
      </w:r>
    </w:p>
  </w:footnote>
  <w:footnote w:id="5">
    <w:p w14:paraId="7D38A33F" w14:textId="1B62B7D6" w:rsidR="006765BF" w:rsidRPr="00010C05" w:rsidRDefault="006765BF" w:rsidP="006765BF">
      <w:pPr>
        <w:pStyle w:val="Textonotapie"/>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En tal sentido, José Luis Benavides comenta que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Aunque la mayoría de las reglas limitativas de la responsabilidad contractual se aplican a la administración, existen también algunas restricciones importantes a la capacidad de los contratistas: </w:t>
      </w:r>
      <w:r w:rsidRPr="00010C05">
        <w:rPr>
          <w:rFonts w:ascii="Arial" w:hAnsi="Arial" w:cs="Arial"/>
          <w:i/>
          <w:iCs/>
          <w:color w:val="000000"/>
          <w:sz w:val="16"/>
          <w:szCs w:val="16"/>
          <w:lang w:val="es-ES"/>
        </w:rPr>
        <w:t>el régimen de inhabilidades e incompatibilidades</w:t>
      </w:r>
      <w:r w:rsidRPr="00010C05">
        <w:rPr>
          <w:rFonts w:ascii="Arial" w:hAnsi="Arial" w:cs="Arial"/>
          <w:color w:val="000000"/>
          <w:sz w:val="16"/>
          <w:szCs w:val="16"/>
          <w:lang w:val="es-ES"/>
        </w:rPr>
        <w:t xml:space="preserve"> (1) y la obligación de ciertos proponentes de inscribirse en el </w:t>
      </w:r>
      <w:r w:rsidRPr="00010C05">
        <w:rPr>
          <w:rFonts w:ascii="Arial" w:hAnsi="Arial" w:cs="Arial"/>
          <w:i/>
          <w:iCs/>
          <w:color w:val="000000"/>
          <w:sz w:val="16"/>
          <w:szCs w:val="16"/>
          <w:lang w:val="es-ES"/>
        </w:rPr>
        <w:t>registro único</w:t>
      </w:r>
      <w:r w:rsidRPr="00010C05">
        <w:rPr>
          <w:rFonts w:ascii="Arial" w:hAnsi="Arial" w:cs="Arial"/>
          <w:color w:val="000000"/>
          <w:sz w:val="16"/>
          <w:szCs w:val="16"/>
          <w:lang w:val="es-ES"/>
        </w:rPr>
        <w:t xml:space="preserve"> (2)</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(BENAVIDES, José Luis. El contrato estatal. Entre el Derecho público y el Derecho privado. 2ª ed. Bogotá: Universidad Externado de Colombia, 2004. p. 278). </w:t>
      </w:r>
    </w:p>
  </w:footnote>
  <w:footnote w:id="6">
    <w:p w14:paraId="00DBAEC3" w14:textId="2230D8D7" w:rsidR="006765BF" w:rsidRPr="00010C05" w:rsidRDefault="006765BF" w:rsidP="006765BF">
      <w:pPr>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Son inhabilidades que responden a esta circunstancia, entre otras, las siguientes: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participaron en las licitaciones o celebraron los contratos de que trata el literal anterior estando inhabilitados</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b,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dieron lugar a la declaratoria de caducidad</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c),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en sentencia judicial hayan sido condenados a la pena accesoria de interdicción de derechos y funciones públicas y quienes hayan sido sancionados disciplinariamente con destitución</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d),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sin justa causa se abstengan de suscribir el contrato estatal adjudicado</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e),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i) Los socios de sociedades de personas a las cuales se haya declarado la caducidad, así como las sociedades de personas de las que aquellos formen parte con posterioridad a dicha declaratoria</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i),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j),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k),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90, lit. a), b) y c), Ley 1474/11, modificado por el art. 43, Ley 1955/19).</w:t>
      </w:r>
    </w:p>
  </w:footnote>
  <w:footnote w:id="7">
    <w:p w14:paraId="06CC2085" w14:textId="72F49087" w:rsidR="006765BF" w:rsidRPr="00010C05" w:rsidRDefault="006765BF" w:rsidP="006765BF">
      <w:pPr>
        <w:pStyle w:val="Textonotapie"/>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Por ejemplo, a título enunciativo, las siguientes: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sean cónyuges o compañeros permanentes y quienes se encuentren dentro del segundo grado de consanguinidad o segundo de afinidad con cualquier otra persona que formalmente haya presentado propuesta para una misma licitación</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g),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h),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b),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El cónyuge, compañero o compañera permanente del servidor público en los niveles directivo, asesor, ejecutivo, o de un miembro de la junta o consejo directivo, o de quien ejerza funciones de control interno o de control fiscal</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c),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d), Ley 80/93).</w:t>
      </w:r>
    </w:p>
  </w:footnote>
  <w:footnote w:id="8">
    <w:p w14:paraId="60085233" w14:textId="30FC71DF" w:rsidR="006765BF" w:rsidRPr="00010C05" w:rsidRDefault="006765BF" w:rsidP="006765BF">
      <w:pPr>
        <w:pStyle w:val="Textonotapie"/>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Verbigracia, entre otras, las que se indican a continuación: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k), Ley 80/93, modificado por el art. 33, Ley 1778/16);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Quienes fueron miembros de la junta o consejo directivo o servidores públicos de la entidad contratante</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a), Ley 80/93) [a pesar de que la norma la califica como una incompatibilidad, en realidad se trata de una inhabilidad, ya que en dicha causal no existe concurrencia de calidades en un sujeto];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f), Ley 80/93, adicionado por el art. 4º, Ley 1474/2011) [a pesar de que la norma la califica como una incompatibilidad, en realidad se trata de una inhabilidad, ya que en dicha causal no existe concurrencia de calidades en un sujeto]. </w:t>
      </w:r>
    </w:p>
  </w:footnote>
  <w:footnote w:id="9">
    <w:p w14:paraId="3A466999" w14:textId="53FA81A7" w:rsidR="006765BF" w:rsidRPr="00010C05" w:rsidRDefault="006765BF" w:rsidP="006765BF">
      <w:pPr>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Como las señaladas a continuación: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Los servidores públicos</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1º, lit. f),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d),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Los miembros de las juntas o consejos directivos. Esta incompatibilidad sólo se predica respecto de la entidad a la cual prestan sus servicios y de las del sector administrativo al que la misma esté adscrita o vinculada</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8, num. 2º, lit. e), Ley 80/93); </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w:t>
      </w:r>
      <w:r w:rsidR="00B514AD" w:rsidRPr="00010C05">
        <w:rPr>
          <w:rFonts w:ascii="Arial" w:hAnsi="Arial" w:cs="Arial"/>
          <w:color w:val="000000"/>
          <w:sz w:val="16"/>
          <w:szCs w:val="16"/>
          <w:lang w:val="es-ES"/>
        </w:rPr>
        <w:t>”</w:t>
      </w:r>
      <w:r w:rsidRPr="00010C05">
        <w:rPr>
          <w:rFonts w:ascii="Arial" w:hAnsi="Arial" w:cs="Arial"/>
          <w:color w:val="000000"/>
          <w:sz w:val="16"/>
          <w:szCs w:val="16"/>
          <w:lang w:val="es-ES"/>
        </w:rPr>
        <w:t xml:space="preserve"> (art. 5, Ley 1474/11). </w:t>
      </w:r>
    </w:p>
  </w:footnote>
  <w:footnote w:id="10">
    <w:p w14:paraId="3A4DE681" w14:textId="77777777" w:rsidR="006765BF" w:rsidRPr="00010C05" w:rsidRDefault="006765BF" w:rsidP="006765BF">
      <w:pPr>
        <w:pStyle w:val="Textonotapie"/>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footnote>
  <w:footnote w:id="11">
    <w:p w14:paraId="5990A71F" w14:textId="77777777" w:rsidR="006765BF" w:rsidRPr="00010C05" w:rsidRDefault="006765BF" w:rsidP="006765BF">
      <w:pPr>
        <w:pStyle w:val="Textonotapie"/>
        <w:ind w:firstLine="709"/>
        <w:jc w:val="both"/>
        <w:rPr>
          <w:rFonts w:ascii="Arial" w:hAnsi="Arial" w:cs="Arial"/>
          <w:color w:val="000000"/>
          <w:sz w:val="16"/>
          <w:szCs w:val="16"/>
          <w:lang w:val="es-ES"/>
        </w:rPr>
      </w:pPr>
      <w:r w:rsidRPr="00010C05">
        <w:rPr>
          <w:rStyle w:val="Refdenotaalpie"/>
          <w:rFonts w:ascii="Arial" w:hAnsi="Arial" w:cs="Arial"/>
          <w:color w:val="000000"/>
          <w:sz w:val="16"/>
          <w:szCs w:val="16"/>
        </w:rPr>
        <w:footnoteRef/>
      </w:r>
      <w:r w:rsidRPr="00010C05">
        <w:rPr>
          <w:rFonts w:ascii="Arial" w:hAnsi="Arial" w:cs="Arial"/>
          <w:color w:val="000000"/>
          <w:sz w:val="16"/>
          <w:szCs w:val="16"/>
        </w:rPr>
        <w:t xml:space="preserve"> </w:t>
      </w:r>
      <w:r w:rsidRPr="00010C05">
        <w:rPr>
          <w:rFonts w:ascii="Arial" w:hAnsi="Arial" w:cs="Arial"/>
          <w:color w:val="000000"/>
          <w:sz w:val="16"/>
          <w:szCs w:val="16"/>
          <w:lang w:val="es-ES"/>
        </w:rPr>
        <w:t>Consejo de Estado. Sala de Consulta y Servicio Civil. Concepto del 30 de abril de 2015. Expediente: 2251. Consejero Ponente: Álvaro Namén Vargas.</w:t>
      </w:r>
    </w:p>
  </w:footnote>
  <w:footnote w:id="12">
    <w:p w14:paraId="1D683C50" w14:textId="77777777" w:rsidR="006765BF" w:rsidRPr="00010C05" w:rsidRDefault="006765BF" w:rsidP="006765BF">
      <w:pPr>
        <w:pStyle w:val="Textonotapie"/>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23. Expedir las leyes que regirán el ejercicio de las funciones públicas y la prestación de los servicios públicos.</w:t>
      </w:r>
    </w:p>
  </w:footnote>
  <w:footnote w:id="13">
    <w:p w14:paraId="42DE79B1" w14:textId="77777777" w:rsidR="006765BF" w:rsidRPr="00010C05" w:rsidRDefault="006765BF" w:rsidP="006765BF">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eastAsia="Calibri" w:hAnsi="Arial" w:cs="Arial"/>
          <w:bCs/>
          <w:color w:val="000000" w:themeColor="text1"/>
          <w:sz w:val="16"/>
          <w:szCs w:val="16"/>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3" w:name="_Hlk79776115"/>
      <w:r w:rsidRPr="00010C05">
        <w:rPr>
          <w:rFonts w:ascii="Arial" w:eastAsia="Calibri" w:hAnsi="Arial" w:cs="Arial"/>
          <w:bCs/>
          <w:color w:val="000000" w:themeColor="text1"/>
          <w:sz w:val="16"/>
          <w:szCs w:val="16"/>
        </w:rPr>
        <w:t>: “El Gobierno nacional reglamentará el procedimiento de la cesión del contrato de que trata este artículo, en término no mayor a seis (6) meses.”</w:t>
      </w:r>
      <w:bookmarkEnd w:id="3"/>
    </w:p>
  </w:footnote>
  <w:footnote w:id="14">
    <w:p w14:paraId="6BEF50B7" w14:textId="77777777" w:rsidR="006765BF" w:rsidRPr="00010C05" w:rsidRDefault="006765BF" w:rsidP="006765BF">
      <w:pPr>
        <w:pStyle w:val="Textonotapie"/>
        <w:ind w:firstLine="708"/>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Sentencia de la Corte Constitucional. C-221 de 1996. Magistrado Ponente: José Gregorio Hernández Galindo. </w:t>
      </w:r>
    </w:p>
    <w:p w14:paraId="56F87F61" w14:textId="77777777" w:rsidR="006765BF" w:rsidRPr="00010C05" w:rsidRDefault="006765BF" w:rsidP="006765BF">
      <w:pPr>
        <w:pStyle w:val="Textonotapie"/>
        <w:ind w:firstLine="708"/>
        <w:jc w:val="both"/>
        <w:rPr>
          <w:rFonts w:ascii="Arial" w:hAnsi="Arial" w:cs="Arial"/>
          <w:sz w:val="16"/>
          <w:szCs w:val="16"/>
        </w:rPr>
      </w:pPr>
    </w:p>
  </w:footnote>
  <w:footnote w:id="15">
    <w:p w14:paraId="163B92AB" w14:textId="77777777" w:rsidR="006765BF" w:rsidRPr="00010C05" w:rsidRDefault="006765BF" w:rsidP="006765BF">
      <w:pPr>
        <w:pStyle w:val="Textonotapie"/>
        <w:ind w:firstLine="708"/>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p w14:paraId="06766937" w14:textId="77777777" w:rsidR="006765BF" w:rsidRPr="00010C05" w:rsidRDefault="006765BF" w:rsidP="006765BF">
      <w:pPr>
        <w:pStyle w:val="Textonotapie"/>
        <w:ind w:firstLine="708"/>
        <w:jc w:val="both"/>
        <w:rPr>
          <w:rFonts w:ascii="Arial" w:hAnsi="Arial" w:cs="Arial"/>
          <w:sz w:val="16"/>
          <w:szCs w:val="16"/>
        </w:rPr>
      </w:pPr>
    </w:p>
  </w:footnote>
  <w:footnote w:id="16">
    <w:p w14:paraId="5CEB5783" w14:textId="77777777" w:rsidR="00CB683F" w:rsidRPr="00010C05" w:rsidRDefault="00CB683F" w:rsidP="00CB683F">
      <w:pPr>
        <w:pStyle w:val="Textonotapie"/>
        <w:ind w:firstLine="708"/>
        <w:contextualSpacing/>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En lo pertinente, la norma dispone que </w:t>
      </w:r>
      <w:bookmarkStart w:id="4" w:name="_Hlk98942284"/>
      <w:r w:rsidRPr="00010C05">
        <w:rPr>
          <w:rFonts w:ascii="Arial" w:hAnsi="Arial" w:cs="Arial"/>
          <w:sz w:val="16"/>
          <w:szCs w:val="16"/>
        </w:rPr>
        <w:t>“</w:t>
      </w:r>
      <w:r w:rsidRPr="00010C05">
        <w:rPr>
          <w:rFonts w:ascii="Arial" w:hAnsi="Arial"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4"/>
      <w:r w:rsidRPr="00010C05">
        <w:rPr>
          <w:rFonts w:ascii="Arial" w:hAnsi="Arial" w:cs="Arial"/>
          <w:sz w:val="16"/>
          <w:szCs w:val="16"/>
          <w:lang w:val="es-CO"/>
        </w:rPr>
        <w:t>.</w:t>
      </w:r>
    </w:p>
    <w:p w14:paraId="4B891FA5" w14:textId="77777777" w:rsidR="00CB683F" w:rsidRPr="00010C05" w:rsidRDefault="00CB683F" w:rsidP="00CB683F">
      <w:pPr>
        <w:pStyle w:val="Textonotapie"/>
        <w:ind w:firstLine="708"/>
        <w:contextualSpacing/>
        <w:jc w:val="both"/>
        <w:rPr>
          <w:rFonts w:ascii="Arial" w:hAnsi="Arial" w:cs="Arial"/>
          <w:sz w:val="16"/>
          <w:szCs w:val="16"/>
          <w:lang w:val="es-CO"/>
        </w:rPr>
      </w:pPr>
      <w:r w:rsidRPr="00010C05">
        <w:rPr>
          <w:rFonts w:ascii="Arial" w:hAnsi="Arial" w:cs="Arial"/>
          <w:sz w:val="16"/>
          <w:szCs w:val="16"/>
          <w:lang w:val="es-CO"/>
        </w:rPr>
        <w:t>Las condiciones de remisión de la información y los plazos de permanencia de la misma en el registro serán señalados por el Gobierno Nacional.</w:t>
      </w:r>
    </w:p>
    <w:p w14:paraId="668FDBB9" w14:textId="77777777" w:rsidR="00CB683F" w:rsidRPr="00010C05" w:rsidRDefault="00CB683F" w:rsidP="00CB683F">
      <w:pPr>
        <w:pStyle w:val="Textonotapie"/>
        <w:ind w:firstLine="708"/>
        <w:contextualSpacing/>
        <w:jc w:val="both"/>
        <w:rPr>
          <w:rFonts w:ascii="Arial" w:hAnsi="Arial" w:cs="Arial"/>
          <w:sz w:val="16"/>
          <w:szCs w:val="16"/>
          <w:lang w:val="es-CO"/>
        </w:rPr>
      </w:pPr>
      <w:r w:rsidRPr="00010C05">
        <w:rPr>
          <w:rFonts w:ascii="Arial" w:hAnsi="Arial" w:cs="Arial"/>
          <w:sz w:val="16"/>
          <w:szCs w:val="16"/>
          <w:lang w:val="es-CO"/>
        </w:rPr>
        <w:t>El servidor público encargado de remitir la información, que incumpla esta obligación incurrirá en causal de mala conducta”.</w:t>
      </w:r>
    </w:p>
  </w:footnote>
  <w:footnote w:id="17">
    <w:p w14:paraId="37ED3FCB" w14:textId="77777777" w:rsidR="00CB683F" w:rsidRPr="00010C05" w:rsidRDefault="00CB683F" w:rsidP="00CB683F">
      <w:pPr>
        <w:pStyle w:val="Textonotapie"/>
        <w:ind w:firstLine="708"/>
        <w:contextualSpacing/>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Ley 80 de 1993: “Artículo 31. De la publicación de los actos y sentencias sancionatorias. &lt;Artículo modificado por el artículo </w:t>
      </w:r>
      <w:hyperlink r:id="rId2" w:anchor="218" w:history="1">
        <w:r w:rsidRPr="00010C05">
          <w:rPr>
            <w:rFonts w:ascii="Arial" w:hAnsi="Arial" w:cs="Arial"/>
            <w:sz w:val="16"/>
            <w:szCs w:val="16"/>
          </w:rPr>
          <w:t>218</w:t>
        </w:r>
      </w:hyperlink>
      <w:r w:rsidRPr="00010C05">
        <w:rPr>
          <w:rFonts w:ascii="Arial" w:hAnsi="Arial" w:cs="Arial"/>
          <w:sz w:val="16"/>
          <w:szCs w:val="16"/>
        </w:rPr>
        <w:t> del Decreto 19 de 2012. El nuevo texto es el siguiente:&gt; La parte resolutiva de los actos que declaren Ia caducidad, impongan multas, sanciones o declaren el incumplimiento, una vez ejecutoriados, se publicarán en el SECOP y se comunicarán a Ia cámara de comercio en que se encuentre inscrito el contratista respectivo. También se comunicarán a Ia Procuraduría General de Ia Nación”.</w:t>
      </w:r>
    </w:p>
  </w:footnote>
  <w:footnote w:id="18">
    <w:p w14:paraId="23B524B1" w14:textId="77777777" w:rsidR="00CB683F" w:rsidRPr="00010C05" w:rsidRDefault="00CB683F" w:rsidP="00CB683F">
      <w:pPr>
        <w:pStyle w:val="Textonotapie"/>
        <w:ind w:firstLine="709"/>
        <w:contextualSpacing/>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19">
    <w:p w14:paraId="774D5AE3" w14:textId="77777777" w:rsidR="00CB683F" w:rsidRPr="00010C05" w:rsidRDefault="00CB683F" w:rsidP="00CB683F">
      <w:pPr>
        <w:pStyle w:val="Textonotapie"/>
        <w:ind w:firstLine="708"/>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Creado por la Resolución No. 143 del 27 de mayo de 2002 expedida por la Procuraduría General de la Nación.</w:t>
      </w:r>
    </w:p>
  </w:footnote>
  <w:footnote w:id="20">
    <w:p w14:paraId="31E1783C" w14:textId="77777777" w:rsidR="00DF028A" w:rsidRPr="00010C05" w:rsidRDefault="00DF028A" w:rsidP="00DF028A">
      <w:pPr>
        <w:pStyle w:val="Textonotapie"/>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AGENCIA NACIONAL DE CONTRATACIÓN PÚBLICA, Concepto de 11 de diciembre de 2019. Radicado de entrada No. 4201912000007060, Radicado de salida No. 2201913000009165.</w:t>
      </w:r>
    </w:p>
    <w:p w14:paraId="31CE5C75" w14:textId="77777777" w:rsidR="00DF028A" w:rsidRPr="00010C05" w:rsidRDefault="00DF028A" w:rsidP="00DF028A">
      <w:pPr>
        <w:pStyle w:val="Textonotapie"/>
        <w:ind w:firstLine="709"/>
        <w:jc w:val="both"/>
        <w:outlineLvl w:val="0"/>
        <w:rPr>
          <w:rFonts w:ascii="Arial" w:hAnsi="Arial" w:cs="Arial"/>
          <w:sz w:val="16"/>
          <w:szCs w:val="16"/>
        </w:rPr>
      </w:pPr>
    </w:p>
  </w:footnote>
  <w:footnote w:id="21">
    <w:p w14:paraId="54BDB2FE" w14:textId="77777777" w:rsidR="00DF028A" w:rsidRPr="00010C05" w:rsidRDefault="00DF028A" w:rsidP="00DF028A">
      <w:pPr>
        <w:pStyle w:val="Textonotapie"/>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Ley 153 de 1887 “Artículo 2. La ley posterior prevalece sobre la ley anterior. En caso de que una ley posterior sea contraria a otra anterior, y ambas preexistentes al hecho que se juzga, se aplicará la ley posterior”.</w:t>
      </w:r>
    </w:p>
  </w:footnote>
  <w:footnote w:id="22">
    <w:p w14:paraId="0C88A6D9"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Constitución Política de Colombia “Artículo 29. El debido proceso se aplicará a toda clase de actuaciones judiciales y administrativas.</w:t>
      </w:r>
    </w:p>
    <w:p w14:paraId="71758DDF"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w:t>
      </w:r>
    </w:p>
    <w:p w14:paraId="45D0A94F"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Nadie podrá ser juzgado sino conforme a leyes preexistentes al acto que se le imputa, ante juez o tribunal competente y con observancia de la plenitud de las formas propias de cada juicio.</w:t>
      </w:r>
    </w:p>
    <w:p w14:paraId="70FC1AEE"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En materia penal, la ley permisiva o favorable, aun cuando sea posterior, se aplicará de preferencia a la restrictiva o desfavorable.</w:t>
      </w:r>
    </w:p>
    <w:p w14:paraId="12A2177F" w14:textId="77777777" w:rsidR="00DF028A" w:rsidRPr="00010C05" w:rsidRDefault="00DF028A" w:rsidP="00DF028A">
      <w:pPr>
        <w:pStyle w:val="Textoindependiente"/>
        <w:spacing w:after="0" w:line="240" w:lineRule="auto"/>
        <w:ind w:firstLine="709"/>
        <w:jc w:val="both"/>
        <w:outlineLvl w:val="0"/>
        <w:rPr>
          <w:rFonts w:ascii="Arial" w:hAnsi="Arial" w:cs="Arial"/>
          <w:sz w:val="16"/>
          <w:szCs w:val="16"/>
        </w:rPr>
      </w:pPr>
      <w:r w:rsidRPr="00010C05">
        <w:rPr>
          <w:rFonts w:ascii="Arial" w:hAnsi="Arial" w:cs="Arial"/>
          <w:sz w:val="16"/>
          <w:szCs w:val="16"/>
        </w:rPr>
        <w:t>[…]</w:t>
      </w:r>
    </w:p>
    <w:p w14:paraId="6F6C2080"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footnote>
  <w:footnote w:id="23">
    <w:p w14:paraId="2227C5A3"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CORTE CONSTITUCIONAL, Sentencia C -619 de 2001, M.P. Marco Gerardo Monroy Cabra: “La noción de derecho adquirido se contrapone a la de mera expectativa. Por derecho adquirido ha entendido la doctrina y la jurisprudencia aquel derecho que ha entrado al patrimonio de una persona natural o jurídica y que hace parte de</w:t>
      </w:r>
      <w:r w:rsidRPr="00010C05">
        <w:rPr>
          <w:rFonts w:ascii="Arial" w:hAnsi="Arial" w:cs="Arial"/>
          <w:spacing w:val="-4"/>
          <w:sz w:val="16"/>
          <w:szCs w:val="16"/>
        </w:rPr>
        <w:t xml:space="preserve"> </w:t>
      </w:r>
      <w:r w:rsidRPr="00010C05">
        <w:rPr>
          <w:rFonts w:ascii="Arial" w:hAnsi="Arial" w:cs="Arial"/>
          <w:sz w:val="16"/>
          <w:szCs w:val="16"/>
        </w:rPr>
        <w:t>él,</w:t>
      </w:r>
      <w:r w:rsidRPr="00010C05">
        <w:rPr>
          <w:rFonts w:ascii="Arial" w:hAnsi="Arial" w:cs="Arial"/>
          <w:spacing w:val="-3"/>
          <w:sz w:val="16"/>
          <w:szCs w:val="16"/>
        </w:rPr>
        <w:t xml:space="preserve"> </w:t>
      </w:r>
      <w:r w:rsidRPr="00010C05">
        <w:rPr>
          <w:rFonts w:ascii="Arial" w:hAnsi="Arial" w:cs="Arial"/>
          <w:sz w:val="16"/>
          <w:szCs w:val="16"/>
        </w:rPr>
        <w:t>y</w:t>
      </w:r>
      <w:r w:rsidRPr="00010C05">
        <w:rPr>
          <w:rFonts w:ascii="Arial" w:hAnsi="Arial" w:cs="Arial"/>
          <w:spacing w:val="-6"/>
          <w:sz w:val="16"/>
          <w:szCs w:val="16"/>
        </w:rPr>
        <w:t xml:space="preserve"> </w:t>
      </w:r>
      <w:r w:rsidRPr="00010C05">
        <w:rPr>
          <w:rFonts w:ascii="Arial" w:hAnsi="Arial" w:cs="Arial"/>
          <w:sz w:val="16"/>
          <w:szCs w:val="16"/>
        </w:rPr>
        <w:t>que</w:t>
      </w:r>
      <w:r w:rsidRPr="00010C05">
        <w:rPr>
          <w:rFonts w:ascii="Arial" w:hAnsi="Arial" w:cs="Arial"/>
          <w:spacing w:val="-3"/>
          <w:sz w:val="16"/>
          <w:szCs w:val="16"/>
        </w:rPr>
        <w:t xml:space="preserve"> </w:t>
      </w:r>
      <w:r w:rsidRPr="00010C05">
        <w:rPr>
          <w:rFonts w:ascii="Arial" w:hAnsi="Arial" w:cs="Arial"/>
          <w:sz w:val="16"/>
          <w:szCs w:val="16"/>
        </w:rPr>
        <w:t>por</w:t>
      </w:r>
      <w:r w:rsidRPr="00010C05">
        <w:rPr>
          <w:rFonts w:ascii="Arial" w:hAnsi="Arial" w:cs="Arial"/>
          <w:spacing w:val="-3"/>
          <w:sz w:val="16"/>
          <w:szCs w:val="16"/>
        </w:rPr>
        <w:t xml:space="preserve"> </w:t>
      </w:r>
      <w:r w:rsidRPr="00010C05">
        <w:rPr>
          <w:rFonts w:ascii="Arial" w:hAnsi="Arial" w:cs="Arial"/>
          <w:sz w:val="16"/>
          <w:szCs w:val="16"/>
        </w:rPr>
        <w:t>lo</w:t>
      </w:r>
      <w:r w:rsidRPr="00010C05">
        <w:rPr>
          <w:rFonts w:ascii="Arial" w:hAnsi="Arial" w:cs="Arial"/>
          <w:spacing w:val="-1"/>
          <w:sz w:val="16"/>
          <w:szCs w:val="16"/>
        </w:rPr>
        <w:t xml:space="preserve"> </w:t>
      </w:r>
      <w:r w:rsidRPr="00010C05">
        <w:rPr>
          <w:rFonts w:ascii="Arial" w:hAnsi="Arial" w:cs="Arial"/>
          <w:sz w:val="16"/>
          <w:szCs w:val="16"/>
        </w:rPr>
        <w:t>mismo,</w:t>
      </w:r>
      <w:r w:rsidRPr="00010C05">
        <w:rPr>
          <w:rFonts w:ascii="Arial" w:hAnsi="Arial" w:cs="Arial"/>
          <w:spacing w:val="-3"/>
          <w:sz w:val="16"/>
          <w:szCs w:val="16"/>
        </w:rPr>
        <w:t xml:space="preserve"> </w:t>
      </w:r>
      <w:r w:rsidRPr="00010C05">
        <w:rPr>
          <w:rFonts w:ascii="Arial" w:hAnsi="Arial" w:cs="Arial"/>
          <w:sz w:val="16"/>
          <w:szCs w:val="16"/>
        </w:rPr>
        <w:t>no</w:t>
      </w:r>
      <w:r w:rsidRPr="00010C05">
        <w:rPr>
          <w:rFonts w:ascii="Arial" w:hAnsi="Arial" w:cs="Arial"/>
          <w:spacing w:val="-1"/>
          <w:sz w:val="16"/>
          <w:szCs w:val="16"/>
        </w:rPr>
        <w:t xml:space="preserve"> </w:t>
      </w:r>
      <w:r w:rsidRPr="00010C05">
        <w:rPr>
          <w:rFonts w:ascii="Arial" w:hAnsi="Arial" w:cs="Arial"/>
          <w:sz w:val="16"/>
          <w:szCs w:val="16"/>
        </w:rPr>
        <w:t>puede</w:t>
      </w:r>
      <w:r w:rsidRPr="00010C05">
        <w:rPr>
          <w:rFonts w:ascii="Arial" w:hAnsi="Arial" w:cs="Arial"/>
          <w:spacing w:val="-3"/>
          <w:sz w:val="16"/>
          <w:szCs w:val="16"/>
        </w:rPr>
        <w:t xml:space="preserve"> </w:t>
      </w:r>
      <w:r w:rsidRPr="00010C05">
        <w:rPr>
          <w:rFonts w:ascii="Arial" w:hAnsi="Arial" w:cs="Arial"/>
          <w:sz w:val="16"/>
          <w:szCs w:val="16"/>
        </w:rPr>
        <w:t>ser</w:t>
      </w:r>
      <w:r w:rsidRPr="00010C05">
        <w:rPr>
          <w:rFonts w:ascii="Arial" w:hAnsi="Arial" w:cs="Arial"/>
          <w:spacing w:val="-4"/>
          <w:sz w:val="16"/>
          <w:szCs w:val="16"/>
        </w:rPr>
        <w:t xml:space="preserve"> </w:t>
      </w:r>
      <w:r w:rsidRPr="00010C05">
        <w:rPr>
          <w:rFonts w:ascii="Arial" w:hAnsi="Arial" w:cs="Arial"/>
          <w:sz w:val="16"/>
          <w:szCs w:val="16"/>
        </w:rPr>
        <w:t>arrebatado</w:t>
      </w:r>
      <w:r w:rsidRPr="00010C05">
        <w:rPr>
          <w:rFonts w:ascii="Arial" w:hAnsi="Arial" w:cs="Arial"/>
          <w:spacing w:val="-3"/>
          <w:sz w:val="16"/>
          <w:szCs w:val="16"/>
        </w:rPr>
        <w:t xml:space="preserve"> </w:t>
      </w:r>
      <w:r w:rsidRPr="00010C05">
        <w:rPr>
          <w:rFonts w:ascii="Arial" w:hAnsi="Arial" w:cs="Arial"/>
          <w:sz w:val="16"/>
          <w:szCs w:val="16"/>
        </w:rPr>
        <w:t>o</w:t>
      </w:r>
      <w:r w:rsidRPr="00010C05">
        <w:rPr>
          <w:rFonts w:ascii="Arial" w:hAnsi="Arial" w:cs="Arial"/>
          <w:spacing w:val="-3"/>
          <w:sz w:val="16"/>
          <w:szCs w:val="16"/>
        </w:rPr>
        <w:t xml:space="preserve"> </w:t>
      </w:r>
      <w:r w:rsidRPr="00010C05">
        <w:rPr>
          <w:rFonts w:ascii="Arial" w:hAnsi="Arial" w:cs="Arial"/>
          <w:sz w:val="16"/>
          <w:szCs w:val="16"/>
        </w:rPr>
        <w:t>vulnerado</w:t>
      </w:r>
      <w:r w:rsidRPr="00010C05">
        <w:rPr>
          <w:rFonts w:ascii="Arial" w:hAnsi="Arial" w:cs="Arial"/>
          <w:spacing w:val="-4"/>
          <w:sz w:val="16"/>
          <w:szCs w:val="16"/>
        </w:rPr>
        <w:t xml:space="preserve"> </w:t>
      </w:r>
      <w:r w:rsidRPr="00010C05">
        <w:rPr>
          <w:rFonts w:ascii="Arial" w:hAnsi="Arial" w:cs="Arial"/>
          <w:sz w:val="16"/>
          <w:szCs w:val="16"/>
        </w:rPr>
        <w:t>por</w:t>
      </w:r>
      <w:r w:rsidRPr="00010C05">
        <w:rPr>
          <w:rFonts w:ascii="Arial" w:hAnsi="Arial" w:cs="Arial"/>
          <w:spacing w:val="-3"/>
          <w:sz w:val="16"/>
          <w:szCs w:val="16"/>
        </w:rPr>
        <w:t xml:space="preserve"> </w:t>
      </w:r>
      <w:r w:rsidRPr="00010C05">
        <w:rPr>
          <w:rFonts w:ascii="Arial" w:hAnsi="Arial" w:cs="Arial"/>
          <w:sz w:val="16"/>
          <w:szCs w:val="16"/>
        </w:rPr>
        <w:t>quien</w:t>
      </w:r>
      <w:r w:rsidRPr="00010C05">
        <w:rPr>
          <w:rFonts w:ascii="Arial" w:hAnsi="Arial" w:cs="Arial"/>
          <w:spacing w:val="-3"/>
          <w:sz w:val="16"/>
          <w:szCs w:val="16"/>
        </w:rPr>
        <w:t xml:space="preserve"> </w:t>
      </w:r>
      <w:r w:rsidRPr="00010C05">
        <w:rPr>
          <w:rFonts w:ascii="Arial" w:hAnsi="Arial" w:cs="Arial"/>
          <w:sz w:val="16"/>
          <w:szCs w:val="16"/>
        </w:rPr>
        <w:t>lo</w:t>
      </w:r>
      <w:r w:rsidRPr="00010C05">
        <w:rPr>
          <w:rFonts w:ascii="Arial" w:hAnsi="Arial" w:cs="Arial"/>
          <w:spacing w:val="-4"/>
          <w:sz w:val="16"/>
          <w:szCs w:val="16"/>
        </w:rPr>
        <w:t xml:space="preserve"> </w:t>
      </w:r>
      <w:r w:rsidRPr="00010C05">
        <w:rPr>
          <w:rFonts w:ascii="Arial" w:hAnsi="Arial" w:cs="Arial"/>
          <w:sz w:val="16"/>
          <w:szCs w:val="16"/>
        </w:rPr>
        <w:t>creó</w:t>
      </w:r>
      <w:r w:rsidRPr="00010C05">
        <w:rPr>
          <w:rFonts w:ascii="Arial" w:hAnsi="Arial" w:cs="Arial"/>
          <w:spacing w:val="-3"/>
          <w:sz w:val="16"/>
          <w:szCs w:val="16"/>
        </w:rPr>
        <w:t xml:space="preserve"> </w:t>
      </w:r>
      <w:r w:rsidRPr="00010C05">
        <w:rPr>
          <w:rFonts w:ascii="Arial" w:hAnsi="Arial" w:cs="Arial"/>
          <w:sz w:val="16"/>
          <w:szCs w:val="16"/>
        </w:rPr>
        <w:t>o</w:t>
      </w:r>
      <w:r w:rsidRPr="00010C05">
        <w:rPr>
          <w:rFonts w:ascii="Arial" w:hAnsi="Arial" w:cs="Arial"/>
          <w:spacing w:val="-4"/>
          <w:sz w:val="16"/>
          <w:szCs w:val="16"/>
        </w:rPr>
        <w:t xml:space="preserve"> </w:t>
      </w:r>
      <w:r w:rsidRPr="00010C05">
        <w:rPr>
          <w:rFonts w:ascii="Arial" w:hAnsi="Arial" w:cs="Arial"/>
          <w:sz w:val="16"/>
          <w:szCs w:val="16"/>
        </w:rPr>
        <w:t>reconoció legítimamente.</w:t>
      </w:r>
    </w:p>
    <w:p w14:paraId="6AD5D0DC"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Lo anterior conduce a afirmar que el derecho adquirido es la ventaja o el beneficio cuya conservación o integridad, está garantizada, en favor del titular del derecho, por una acción o por una excepción.</w:t>
      </w:r>
    </w:p>
    <w:p w14:paraId="27BA6F2D"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Ajusta mejor con la técnica denominar 'situación jurídica concreta o subjetiva', al derecho adquirido o constituido de que trata la Constitución en sus artículos 30 y 202; y 'situación jurídica abstracta u objetiva', a la mera expectativa de derecho. Se está en presencia de la primera cuando el texto legal que la crea ha jugado ya, jurídicamente, su papel en favor o en contra de una persona en el momento en que ha entrado a regir una ley nueva. A la inversa, se está frente a la segunda, cuando el texto legal que ha creado esa situación aún no ha jugado su papel jurídico en favor o en contra de una persona”.</w:t>
      </w:r>
    </w:p>
  </w:footnote>
  <w:footnote w:id="24">
    <w:p w14:paraId="3647D083" w14:textId="77777777" w:rsidR="00DF028A" w:rsidRPr="00010C05" w:rsidRDefault="00DF028A" w:rsidP="00DF028A">
      <w:pPr>
        <w:pStyle w:val="Textonotapie"/>
        <w:ind w:firstLine="709"/>
        <w:jc w:val="both"/>
        <w:outlineLvl w:val="0"/>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AGENCIA NACIONAL DE CONTRATACIÓN PÚBLICA, Concepto de 3 de octubre de 2019, Radicado de entrada No. </w:t>
      </w:r>
      <w:bookmarkStart w:id="6" w:name="_Hlk131949480"/>
      <w:r w:rsidRPr="00010C05">
        <w:rPr>
          <w:rFonts w:ascii="Arial" w:hAnsi="Arial" w:cs="Arial"/>
          <w:sz w:val="16"/>
          <w:szCs w:val="16"/>
        </w:rPr>
        <w:t>4201913000005694</w:t>
      </w:r>
      <w:bookmarkEnd w:id="6"/>
      <w:r w:rsidRPr="00010C05">
        <w:rPr>
          <w:rFonts w:ascii="Arial" w:hAnsi="Arial" w:cs="Arial"/>
          <w:sz w:val="16"/>
          <w:szCs w:val="16"/>
        </w:rPr>
        <w:t>, Radicado de salida No. 2201913000007385.</w:t>
      </w:r>
    </w:p>
  </w:footnote>
  <w:footnote w:id="25">
    <w:p w14:paraId="7C171025" w14:textId="77777777" w:rsidR="00DF028A" w:rsidRPr="00010C05" w:rsidRDefault="00DF028A" w:rsidP="00DF028A">
      <w:pPr>
        <w:pStyle w:val="Textonotapie"/>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Dicha naturaleza sancionatoria de la inhabilidad por incumplimiento reiterado, la hace asimilable a una pena en los términos del artículo 38 de la Ley 153 de 1887, que dispone que para efectos de determinar la pena procedente la infracción correspondiente deberá ser castigada con arreglo a la ley bajo la cual se hubiere cometido. Este artículo señala que: “En todo contrato se entenderán incorporadas las leyes vigentes al tiempo de su celebración.</w:t>
      </w:r>
    </w:p>
    <w:p w14:paraId="1BD3647D" w14:textId="77777777" w:rsidR="00DF028A" w:rsidRPr="00010C05" w:rsidRDefault="00DF028A" w:rsidP="00DF028A">
      <w:pPr>
        <w:pStyle w:val="Textonotapie"/>
        <w:ind w:firstLine="709"/>
        <w:jc w:val="both"/>
        <w:outlineLvl w:val="0"/>
        <w:rPr>
          <w:rFonts w:ascii="Arial" w:hAnsi="Arial" w:cs="Arial"/>
          <w:sz w:val="16"/>
          <w:szCs w:val="16"/>
        </w:rPr>
      </w:pPr>
      <w:r w:rsidRPr="00010C05">
        <w:rPr>
          <w:rFonts w:ascii="Arial" w:hAnsi="Arial" w:cs="Arial"/>
          <w:sz w:val="16"/>
          <w:szCs w:val="16"/>
        </w:rPr>
        <w:t>Exceptúanse de esta disposición:</w:t>
      </w:r>
    </w:p>
    <w:p w14:paraId="17C2CB6E" w14:textId="77777777" w:rsidR="00DF028A" w:rsidRPr="00010C05" w:rsidRDefault="00DF028A" w:rsidP="00DF028A">
      <w:pPr>
        <w:pStyle w:val="Textonotapie"/>
        <w:ind w:firstLine="709"/>
        <w:jc w:val="both"/>
        <w:outlineLvl w:val="0"/>
        <w:rPr>
          <w:rFonts w:ascii="Arial" w:hAnsi="Arial" w:cs="Arial"/>
          <w:sz w:val="16"/>
          <w:szCs w:val="16"/>
        </w:rPr>
      </w:pPr>
      <w:r w:rsidRPr="00010C05">
        <w:rPr>
          <w:rFonts w:ascii="Arial" w:hAnsi="Arial" w:cs="Arial"/>
          <w:sz w:val="16"/>
          <w:szCs w:val="16"/>
        </w:rPr>
        <w:t>1. Las leyes concernientes al modo de reclamar en juicio los derechos que resultaren del contrato, y</w:t>
      </w:r>
    </w:p>
    <w:p w14:paraId="27030165" w14:textId="77777777" w:rsidR="00DF028A" w:rsidRPr="00010C05" w:rsidRDefault="00DF028A" w:rsidP="00DF028A">
      <w:pPr>
        <w:pStyle w:val="Textonotapie"/>
        <w:ind w:firstLine="709"/>
        <w:jc w:val="both"/>
        <w:outlineLvl w:val="0"/>
        <w:rPr>
          <w:rFonts w:ascii="Arial" w:hAnsi="Arial" w:cs="Arial"/>
          <w:sz w:val="16"/>
          <w:szCs w:val="16"/>
          <w:lang w:val="es-CO"/>
        </w:rPr>
      </w:pPr>
      <w:r w:rsidRPr="00010C05">
        <w:rPr>
          <w:rFonts w:ascii="Arial" w:hAnsi="Arial" w:cs="Arial"/>
          <w:sz w:val="16"/>
          <w:szCs w:val="16"/>
        </w:rPr>
        <w:t>2. Las que señalan penas para el caso de infracción de lo estipulado; la cual infracción será castigada con arreglo á la ley bajo la cual se hubiere cometido”.</w:t>
      </w:r>
    </w:p>
  </w:footnote>
  <w:footnote w:id="26">
    <w:p w14:paraId="39594FA4" w14:textId="77777777" w:rsidR="00DF028A" w:rsidRPr="00010C05" w:rsidRDefault="00DF028A" w:rsidP="00DF028A">
      <w:pPr>
        <w:pStyle w:val="Textonotapie"/>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Constitución Política de Colombia “Artículo 29. El debido proceso se aplicará a toda clase de actuaciones judiciales y administrativas.</w:t>
      </w:r>
    </w:p>
    <w:p w14:paraId="32511926" w14:textId="77777777" w:rsidR="00DF028A" w:rsidRPr="00010C05" w:rsidRDefault="00DF028A" w:rsidP="00DF028A">
      <w:pPr>
        <w:pStyle w:val="Textonotapie"/>
        <w:ind w:firstLine="709"/>
        <w:jc w:val="both"/>
        <w:outlineLvl w:val="0"/>
        <w:rPr>
          <w:rFonts w:ascii="Arial" w:hAnsi="Arial" w:cs="Arial"/>
          <w:sz w:val="16"/>
          <w:szCs w:val="16"/>
        </w:rPr>
      </w:pPr>
      <w:r w:rsidRPr="00010C05">
        <w:rPr>
          <w:rFonts w:ascii="Arial" w:hAnsi="Arial" w:cs="Arial"/>
          <w:sz w:val="16"/>
          <w:szCs w:val="16"/>
        </w:rPr>
        <w:t>Nadie podrá ser juzgado sino conforme a leyes preexistentes al acto que se le imputa, ante juez o tribunal competente y con observancia de la plenitud de las formas propias de cada juicio.</w:t>
      </w:r>
    </w:p>
    <w:p w14:paraId="6C3EA716" w14:textId="77777777" w:rsidR="00DF028A" w:rsidRPr="00010C05" w:rsidRDefault="00DF028A" w:rsidP="00DF028A">
      <w:pPr>
        <w:pStyle w:val="Textonotapie"/>
        <w:ind w:firstLine="709"/>
        <w:jc w:val="both"/>
        <w:outlineLvl w:val="0"/>
        <w:rPr>
          <w:rFonts w:ascii="Arial" w:hAnsi="Arial" w:cs="Arial"/>
          <w:sz w:val="16"/>
          <w:szCs w:val="16"/>
          <w:lang w:val="es-CO"/>
        </w:rPr>
      </w:pPr>
      <w:r w:rsidRPr="00010C05">
        <w:rPr>
          <w:rFonts w:ascii="Arial" w:hAnsi="Arial" w:cs="Arial"/>
          <w:sz w:val="16"/>
          <w:szCs w:val="16"/>
        </w:rPr>
        <w:t>En materia penal, la ley permisiva o favorable, aun cuando sea posterior, se aplicará de preferencia a la restrictiva o desfavorable […]”.</w:t>
      </w:r>
    </w:p>
  </w:footnote>
  <w:footnote w:id="27">
    <w:p w14:paraId="3A9CE07E" w14:textId="77777777" w:rsidR="00DF028A" w:rsidRPr="00010C05" w:rsidRDefault="00DF028A" w:rsidP="00DF028A">
      <w:pPr>
        <w:pStyle w:val="Textonotapie"/>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2F5D1206" w14:textId="77777777" w:rsidR="00DF028A" w:rsidRPr="00010C05" w:rsidRDefault="00DF028A" w:rsidP="00DF028A">
      <w:pPr>
        <w:pStyle w:val="Textonotapie"/>
        <w:ind w:firstLine="709"/>
        <w:jc w:val="both"/>
        <w:outlineLvl w:val="0"/>
        <w:rPr>
          <w:rFonts w:ascii="Arial" w:hAnsi="Arial" w:cs="Arial"/>
          <w:sz w:val="16"/>
          <w:szCs w:val="16"/>
        </w:rPr>
      </w:pPr>
      <w:r w:rsidRPr="00010C05">
        <w:rPr>
          <w:rFonts w:ascii="Arial" w:hAnsi="Arial" w:cs="Arial"/>
          <w:sz w:val="16"/>
          <w:szCs w:val="16"/>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20893843" w14:textId="77777777" w:rsidR="00DF028A" w:rsidRPr="00010C05" w:rsidRDefault="00DF028A" w:rsidP="00DF028A">
      <w:pPr>
        <w:pStyle w:val="Textonotapie"/>
        <w:ind w:firstLine="709"/>
        <w:jc w:val="both"/>
        <w:outlineLvl w:val="0"/>
        <w:rPr>
          <w:rFonts w:ascii="Arial" w:hAnsi="Arial" w:cs="Arial"/>
          <w:sz w:val="16"/>
          <w:szCs w:val="16"/>
        </w:rPr>
      </w:pPr>
      <w:r w:rsidRPr="00010C05">
        <w:rPr>
          <w:rFonts w:ascii="Arial" w:hAnsi="Arial" w:cs="Arial"/>
          <w:sz w:val="16"/>
          <w:szCs w:val="16"/>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4B403223" w14:textId="77777777" w:rsidR="00DF028A" w:rsidRPr="00010C05" w:rsidRDefault="00DF028A" w:rsidP="00DF028A">
      <w:pPr>
        <w:pStyle w:val="Textonotapie"/>
        <w:ind w:firstLine="709"/>
        <w:jc w:val="both"/>
        <w:outlineLvl w:val="0"/>
        <w:rPr>
          <w:rFonts w:ascii="Arial" w:hAnsi="Arial" w:cs="Arial"/>
          <w:sz w:val="16"/>
          <w:szCs w:val="16"/>
          <w:lang w:val="es-CO"/>
        </w:rPr>
      </w:pPr>
      <w:r w:rsidRPr="00010C05">
        <w:rPr>
          <w:rFonts w:ascii="Arial" w:hAnsi="Arial" w:cs="Arial"/>
          <w:sz w:val="16"/>
          <w:szCs w:val="16"/>
        </w:rPr>
        <w:t>En materia administrativa sancionatoria, se observarán adicionalmente los principios de legalidad de las faltas y de las sanciones, de presunción de inocencia, de no reformatio in pejus y non bis in idem […]”.</w:t>
      </w:r>
    </w:p>
  </w:footnote>
  <w:footnote w:id="28">
    <w:p w14:paraId="78D053B6"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Ley 80 de 1993: “Artículo 8 De las inhabilidades e incompatibilidades para contratar:</w:t>
      </w:r>
    </w:p>
    <w:p w14:paraId="6B2855A4"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w:t>
      </w:r>
    </w:p>
    <w:p w14:paraId="056A5D68"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c) Quienes dieron lugar a la declaratoria de caducidad.</w:t>
      </w:r>
    </w:p>
    <w:p w14:paraId="5C8E16C0" w14:textId="77777777" w:rsidR="00DF028A" w:rsidRPr="00010C05" w:rsidRDefault="00DF028A" w:rsidP="00DF028A">
      <w:pPr>
        <w:pStyle w:val="Textonotapie"/>
        <w:ind w:firstLine="709"/>
        <w:jc w:val="both"/>
        <w:outlineLvl w:val="0"/>
        <w:rPr>
          <w:rFonts w:ascii="Arial" w:hAnsi="Arial" w:cs="Arial"/>
          <w:sz w:val="16"/>
          <w:szCs w:val="16"/>
          <w:lang w:val="es-CO"/>
        </w:rPr>
      </w:pPr>
      <w:r w:rsidRPr="00010C05">
        <w:rPr>
          <w:rFonts w:ascii="Arial" w:hAnsi="Arial" w:cs="Arial"/>
          <w:sz w:val="16"/>
          <w:szCs w:val="16"/>
          <w:lang w:val="es-CO"/>
        </w:rPr>
        <w:t>[…]</w:t>
      </w:r>
    </w:p>
    <w:p w14:paraId="520BB7E3"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de la de celebración del contrato, o de la de expiración del plazo para su</w:t>
      </w:r>
      <w:r w:rsidRPr="00010C05">
        <w:rPr>
          <w:rFonts w:ascii="Arial" w:hAnsi="Arial" w:cs="Arial"/>
          <w:spacing w:val="-19"/>
          <w:sz w:val="16"/>
          <w:szCs w:val="16"/>
        </w:rPr>
        <w:t xml:space="preserve"> </w:t>
      </w:r>
      <w:r w:rsidRPr="00010C05">
        <w:rPr>
          <w:rFonts w:ascii="Arial" w:hAnsi="Arial" w:cs="Arial"/>
          <w:sz w:val="16"/>
          <w:szCs w:val="16"/>
        </w:rPr>
        <w:t>firma”.</w:t>
      </w:r>
    </w:p>
  </w:footnote>
  <w:footnote w:id="29">
    <w:p w14:paraId="269A6E23"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Ley 80 de 1993: “Artículo 8 De las inhabilidades e incompatibilidades para contratar</w:t>
      </w:r>
    </w:p>
    <w:p w14:paraId="0D7FF30F"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009C3EB9" w14:textId="77777777" w:rsidR="00DF028A" w:rsidRPr="00010C05" w:rsidRDefault="00DF028A" w:rsidP="00DF028A">
      <w:pPr>
        <w:spacing w:after="0" w:line="240" w:lineRule="auto"/>
        <w:ind w:firstLine="709"/>
        <w:jc w:val="both"/>
        <w:outlineLvl w:val="0"/>
        <w:rPr>
          <w:rFonts w:ascii="Arial" w:hAnsi="Arial" w:cs="Arial"/>
          <w:sz w:val="16"/>
          <w:szCs w:val="16"/>
        </w:rPr>
      </w:pPr>
      <w:r w:rsidRPr="00010C05">
        <w:rPr>
          <w:rFonts w:ascii="Arial" w:hAnsi="Arial" w:cs="Arial"/>
          <w:sz w:val="16"/>
          <w:szCs w:val="16"/>
        </w:rPr>
        <w:t>Esta inhabilidad se extenderá por un término de cinco (5) años, contados a partir de la ejecutoria del acto administrativo que así lo declare, previa la actuación administrativa correspondiente”.</w:t>
      </w:r>
    </w:p>
  </w:footnote>
  <w:footnote w:id="30">
    <w:p w14:paraId="051F027F"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El fenómeno de la firmeza de los actos administrativos se define en el artículo 87 de la Ley 1437 de 2011, del siguiente modo: “Los actos administrativos quedarán en firme:</w:t>
      </w:r>
    </w:p>
    <w:p w14:paraId="11AF79F6"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Fonts w:ascii="Arial" w:hAnsi="Arial" w:cs="Arial"/>
          <w:sz w:val="16"/>
          <w:szCs w:val="16"/>
          <w:lang w:val="es-ES"/>
        </w:rPr>
        <w:t>1. Cuando contra ellos no proceda ningún recurso, desde el día siguiente al de su notificación, comunicación o publicación según el caso.</w:t>
      </w:r>
    </w:p>
    <w:p w14:paraId="13E69DB5"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Fonts w:ascii="Arial" w:hAnsi="Arial" w:cs="Arial"/>
          <w:sz w:val="16"/>
          <w:szCs w:val="16"/>
          <w:lang w:val="es-ES"/>
        </w:rPr>
        <w:t>2. Desde el día siguiente a la publicación, comunicación o notificación de la decisión sobre los recursos interpuestos.</w:t>
      </w:r>
    </w:p>
    <w:p w14:paraId="113CD9F7"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Fonts w:ascii="Arial" w:hAnsi="Arial" w:cs="Arial"/>
          <w:sz w:val="16"/>
          <w:szCs w:val="16"/>
          <w:lang w:val="es-ES"/>
        </w:rPr>
        <w:t>3. Desde el día siguiente al del vencimiento del término para interponer los recursos, si estos no fueron interpuestos, o se hubiere renunciado expresamente a ellos.</w:t>
      </w:r>
    </w:p>
    <w:p w14:paraId="6682A104"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Fonts w:ascii="Arial" w:hAnsi="Arial" w:cs="Arial"/>
          <w:sz w:val="16"/>
          <w:szCs w:val="16"/>
          <w:lang w:val="es-ES"/>
        </w:rPr>
        <w:t>4. Desde el día siguiente al de la notificación de la aceptación del desistimiento de los recursos.</w:t>
      </w:r>
    </w:p>
    <w:p w14:paraId="3C680302" w14:textId="77777777" w:rsidR="00DF028A" w:rsidRPr="00010C05" w:rsidRDefault="00DF028A" w:rsidP="00DF028A">
      <w:pPr>
        <w:pStyle w:val="Textonotapie"/>
        <w:ind w:firstLine="709"/>
        <w:jc w:val="both"/>
        <w:outlineLvl w:val="0"/>
        <w:rPr>
          <w:rFonts w:ascii="Arial" w:hAnsi="Arial" w:cs="Arial"/>
          <w:sz w:val="16"/>
          <w:szCs w:val="16"/>
          <w:lang w:val="es-ES"/>
        </w:rPr>
      </w:pPr>
      <w:r w:rsidRPr="00010C05">
        <w:rPr>
          <w:rFonts w:ascii="Arial" w:hAnsi="Arial" w:cs="Arial"/>
          <w:sz w:val="16"/>
          <w:szCs w:val="16"/>
          <w:lang w:val="es-ES"/>
        </w:rPr>
        <w:t>5. Desde el día siguiente al de la protocolización a que alude el artículo 85 para el silencio administrativo positivo”.</w:t>
      </w:r>
    </w:p>
  </w:footnote>
  <w:footnote w:id="31">
    <w:p w14:paraId="1B96FFAA" w14:textId="77777777" w:rsidR="00A33061" w:rsidRPr="00010C05" w:rsidRDefault="00A33061" w:rsidP="005A59ED">
      <w:pPr>
        <w:pStyle w:val="Textonotapie"/>
        <w:ind w:firstLine="709"/>
        <w:jc w:val="both"/>
        <w:rPr>
          <w:rFonts w:ascii="Arial" w:hAnsi="Arial" w:cs="Arial"/>
          <w:sz w:val="16"/>
          <w:szCs w:val="16"/>
        </w:rPr>
      </w:pPr>
    </w:p>
    <w:p w14:paraId="0ADAEB5C" w14:textId="77777777" w:rsidR="00A33061" w:rsidRPr="00010C05" w:rsidRDefault="00A33061" w:rsidP="005A59ED">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 xml:space="preserve">Sobre el particular, se puede consultar la Gaceta 158 del cuarto debate en el Senado. Disponible en: </w:t>
      </w:r>
      <w:hyperlink r:id="rId3" w:history="1">
        <w:r w:rsidRPr="00010C05">
          <w:rPr>
            <w:rFonts w:ascii="Arial" w:hAnsi="Arial" w:cs="Arial"/>
            <w:sz w:val="16"/>
            <w:szCs w:val="16"/>
            <w:lang w:val="es-ES"/>
          </w:rPr>
          <w:t>http://svrpubindc.imprenta.gov.co/senado/index.xhtml;jsessionid=b3ba7213a248bacd37376ffcedca</w:t>
        </w:r>
      </w:hyperlink>
      <w:r w:rsidRPr="00010C05">
        <w:rPr>
          <w:rFonts w:ascii="Arial" w:hAnsi="Arial" w:cs="Arial"/>
          <w:sz w:val="16"/>
          <w:szCs w:val="16"/>
          <w:lang w:val="es-ES"/>
        </w:rPr>
        <w:t xml:space="preserve">  </w:t>
      </w:r>
      <w:r w:rsidRPr="00010C05">
        <w:rPr>
          <w:rFonts w:ascii="Arial" w:hAnsi="Arial" w:cs="Arial"/>
          <w:sz w:val="16"/>
          <w:szCs w:val="16"/>
        </w:rPr>
        <w:t xml:space="preserve"> </w:t>
      </w:r>
    </w:p>
  </w:footnote>
  <w:footnote w:id="32">
    <w:p w14:paraId="0B83F0A8" w14:textId="77777777" w:rsidR="00A33061" w:rsidRPr="00010C05" w:rsidRDefault="00A33061" w:rsidP="005A59ED">
      <w:pPr>
        <w:pStyle w:val="Textonotapie"/>
        <w:ind w:firstLine="709"/>
        <w:jc w:val="both"/>
        <w:rPr>
          <w:rFonts w:ascii="Arial" w:hAnsi="Arial" w:cs="Arial"/>
          <w:sz w:val="16"/>
          <w:szCs w:val="16"/>
        </w:rPr>
      </w:pPr>
    </w:p>
    <w:p w14:paraId="5FB41467" w14:textId="77777777"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Exposición de motivos del Proyecto de Ley No. 025 de 2018 Cámara. Disponible en: http://leyes.senado.gov.co/proyectos/images/documentos/Textos%20Radicados/Ponencias/2018/gaceta_563.pdf</w:t>
      </w:r>
    </w:p>
    <w:p w14:paraId="1A7F962D" w14:textId="77777777" w:rsidR="00A33061" w:rsidRPr="00010C05" w:rsidRDefault="00A33061" w:rsidP="005A59ED">
      <w:pPr>
        <w:pStyle w:val="Textonotapie"/>
        <w:ind w:firstLine="709"/>
        <w:jc w:val="both"/>
        <w:rPr>
          <w:rFonts w:ascii="Arial" w:hAnsi="Arial" w:cs="Arial"/>
          <w:sz w:val="16"/>
          <w:szCs w:val="16"/>
          <w:lang w:val="es-ES"/>
        </w:rPr>
      </w:pPr>
    </w:p>
  </w:footnote>
  <w:footnote w:id="33">
    <w:p w14:paraId="2BB0FF43" w14:textId="77777777" w:rsidR="00A33061" w:rsidRPr="00010C05" w:rsidRDefault="00A33061" w:rsidP="005A59ED">
      <w:pPr>
        <w:pStyle w:val="Textonotapie"/>
        <w:ind w:firstLine="709"/>
        <w:jc w:val="both"/>
        <w:rPr>
          <w:rFonts w:ascii="Arial" w:hAnsi="Arial" w:cs="Arial"/>
          <w:sz w:val="16"/>
          <w:szCs w:val="16"/>
        </w:rPr>
      </w:pPr>
    </w:p>
    <w:p w14:paraId="403D68AF" w14:textId="75A4CFF3"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00C814A1" w:rsidRPr="00010C05">
        <w:rPr>
          <w:rFonts w:ascii="Arial" w:hAnsi="Arial" w:cs="Arial"/>
          <w:sz w:val="16"/>
          <w:szCs w:val="16"/>
          <w:lang w:val="es-ES"/>
        </w:rPr>
        <w:t>“</w:t>
      </w:r>
      <w:r w:rsidRPr="00010C05">
        <w:rPr>
          <w:rFonts w:ascii="Arial" w:hAnsi="Arial" w:cs="Arial"/>
          <w:sz w:val="16"/>
          <w:szCs w:val="16"/>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r w:rsidR="00C814A1" w:rsidRPr="00010C05">
        <w:rPr>
          <w:rFonts w:ascii="Arial" w:hAnsi="Arial" w:cs="Arial"/>
          <w:sz w:val="16"/>
          <w:szCs w:val="16"/>
          <w:lang w:val="es-ES"/>
        </w:rPr>
        <w:t>”</w:t>
      </w:r>
      <w:r w:rsidRPr="00010C05">
        <w:rPr>
          <w:rFonts w:ascii="Arial" w:hAnsi="Arial" w:cs="Arial"/>
          <w:sz w:val="16"/>
          <w:szCs w:val="16"/>
          <w:lang w:val="es-ES"/>
        </w:rPr>
        <w:t>.</w:t>
      </w:r>
    </w:p>
    <w:p w14:paraId="0EE5D606" w14:textId="77777777" w:rsidR="00A33061" w:rsidRPr="00010C05" w:rsidRDefault="00A33061" w:rsidP="005A59ED">
      <w:pPr>
        <w:pStyle w:val="Textonotapie"/>
        <w:ind w:firstLine="709"/>
        <w:jc w:val="both"/>
        <w:rPr>
          <w:rFonts w:ascii="Arial" w:hAnsi="Arial" w:cs="Arial"/>
          <w:sz w:val="16"/>
          <w:szCs w:val="16"/>
          <w:lang w:val="es-CO"/>
        </w:rPr>
      </w:pPr>
    </w:p>
  </w:footnote>
  <w:footnote w:id="34">
    <w:p w14:paraId="22504C7E" w14:textId="3784C3DD"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 xml:space="preserve">Dicho artículo establece: </w:t>
      </w:r>
      <w:r w:rsidR="00C814A1" w:rsidRPr="00010C05">
        <w:rPr>
          <w:rFonts w:ascii="Arial" w:hAnsi="Arial" w:cs="Arial"/>
          <w:sz w:val="16"/>
          <w:szCs w:val="16"/>
          <w:lang w:val="es-ES"/>
        </w:rPr>
        <w:t>“</w:t>
      </w:r>
      <w:r w:rsidRPr="00010C05">
        <w:rPr>
          <w:rFonts w:ascii="Arial" w:hAnsi="Arial" w:cs="Arial"/>
          <w:sz w:val="16"/>
          <w:szCs w:val="16"/>
          <w:lang w:val="es-ES"/>
        </w:rPr>
        <w:t>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7D934CF8" w14:textId="49E83E5D" w:rsidR="00A33061" w:rsidRPr="00010C05" w:rsidRDefault="00C814A1" w:rsidP="005A59ED">
      <w:pPr>
        <w:pStyle w:val="Textonotapie"/>
        <w:ind w:firstLine="709"/>
        <w:jc w:val="both"/>
        <w:rPr>
          <w:rFonts w:ascii="Arial" w:hAnsi="Arial" w:cs="Arial"/>
          <w:sz w:val="16"/>
          <w:szCs w:val="16"/>
          <w:lang w:val="es-ES"/>
        </w:rPr>
      </w:pPr>
      <w:r w:rsidRPr="00010C05">
        <w:rPr>
          <w:rFonts w:ascii="Arial" w:hAnsi="Arial" w:cs="Arial"/>
          <w:sz w:val="16"/>
          <w:szCs w:val="16"/>
          <w:lang w:val="es-ES"/>
        </w:rPr>
        <w:t>“</w:t>
      </w:r>
      <w:r w:rsidR="00A33061" w:rsidRPr="00010C05">
        <w:rPr>
          <w:rFonts w:ascii="Arial" w:hAnsi="Arial" w:cs="Arial"/>
          <w:sz w:val="16"/>
          <w:szCs w:val="16"/>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sidRPr="00010C05">
        <w:rPr>
          <w:rFonts w:ascii="Arial" w:hAnsi="Arial" w:cs="Arial"/>
          <w:sz w:val="16"/>
          <w:szCs w:val="16"/>
          <w:lang w:val="es-ES"/>
        </w:rPr>
        <w:t>”</w:t>
      </w:r>
      <w:r w:rsidR="00A33061" w:rsidRPr="00010C05">
        <w:rPr>
          <w:rFonts w:ascii="Arial" w:hAnsi="Arial" w:cs="Arial"/>
          <w:sz w:val="16"/>
          <w:szCs w:val="16"/>
          <w:lang w:val="es-ES"/>
        </w:rPr>
        <w:t>.</w:t>
      </w:r>
    </w:p>
    <w:p w14:paraId="16FCC613" w14:textId="77777777" w:rsidR="00A33061" w:rsidRPr="00010C05" w:rsidRDefault="00A33061" w:rsidP="005A59ED">
      <w:pPr>
        <w:pStyle w:val="Textonotapie"/>
        <w:ind w:firstLine="709"/>
        <w:jc w:val="both"/>
        <w:rPr>
          <w:rFonts w:ascii="Arial" w:hAnsi="Arial" w:cs="Arial"/>
          <w:sz w:val="16"/>
          <w:szCs w:val="16"/>
          <w:lang w:val="es-ES"/>
        </w:rPr>
      </w:pPr>
    </w:p>
  </w:footnote>
  <w:footnote w:id="35">
    <w:p w14:paraId="7A4783AA" w14:textId="2C5B1D55"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4" w:history="1">
        <w:r w:rsidRPr="00010C05">
          <w:rPr>
            <w:rStyle w:val="Hipervnculo1"/>
            <w:rFonts w:ascii="Arial" w:hAnsi="Arial" w:cs="Arial"/>
            <w:color w:val="auto"/>
            <w:sz w:val="16"/>
            <w:szCs w:val="16"/>
          </w:rPr>
          <w:t>https://www.contraloria.gov.co/documents/20181/1776254/CIRCULAR_2020EE0096013_REGISTRO_NACIONAL_OBRAS_INCONCLUSAS.PDF/785952d4-4b41-48cb-916b-4881c3b4a095</w:t>
        </w:r>
      </w:hyperlink>
      <w:r w:rsidR="00C814A1" w:rsidRPr="00010C05">
        <w:rPr>
          <w:rStyle w:val="Hipervnculo1"/>
          <w:rFonts w:ascii="Arial" w:hAnsi="Arial" w:cs="Arial"/>
          <w:color w:val="auto"/>
          <w:sz w:val="16"/>
          <w:szCs w:val="16"/>
        </w:rPr>
        <w:t xml:space="preserve"> </w:t>
      </w:r>
    </w:p>
    <w:p w14:paraId="24931CE0" w14:textId="77777777" w:rsidR="00A33061" w:rsidRPr="00010C05" w:rsidRDefault="00A33061" w:rsidP="005A59ED">
      <w:pPr>
        <w:pStyle w:val="Textonotapie"/>
        <w:ind w:firstLine="709"/>
        <w:jc w:val="both"/>
        <w:rPr>
          <w:rFonts w:ascii="Arial" w:hAnsi="Arial" w:cs="Arial"/>
          <w:sz w:val="16"/>
          <w:szCs w:val="16"/>
          <w:lang w:val="es-ES"/>
        </w:rPr>
      </w:pPr>
    </w:p>
  </w:footnote>
  <w:footnote w:id="36">
    <w:p w14:paraId="3AC78AA0" w14:textId="77777777" w:rsidR="00A33061" w:rsidRPr="00010C05" w:rsidRDefault="00A33061" w:rsidP="005A59ED">
      <w:pPr>
        <w:pStyle w:val="Textonotapie"/>
        <w:ind w:firstLine="709"/>
        <w:jc w:val="both"/>
        <w:rPr>
          <w:rFonts w:ascii="Arial" w:hAnsi="Arial" w:cs="Arial"/>
          <w:sz w:val="16"/>
          <w:szCs w:val="16"/>
        </w:rPr>
      </w:pPr>
    </w:p>
    <w:p w14:paraId="141E0062" w14:textId="65B1D154" w:rsidR="00A33061" w:rsidRPr="00010C05" w:rsidRDefault="00A33061" w:rsidP="005A59ED">
      <w:pPr>
        <w:pStyle w:val="Textonotapie"/>
        <w:ind w:firstLine="709"/>
        <w:jc w:val="both"/>
        <w:rPr>
          <w:rFonts w:ascii="Arial" w:eastAsia="Calibri" w:hAnsi="Arial" w:cs="Arial"/>
          <w:sz w:val="16"/>
          <w:szCs w:val="16"/>
          <w:lang w:val="es-ES_tradnl" w:eastAsia="en-GB"/>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Al respecto, el parágrafo 3 </w:t>
      </w:r>
      <w:r w:rsidRPr="00010C05">
        <w:rPr>
          <w:rFonts w:ascii="Arial" w:eastAsia="Calibri" w:hAnsi="Arial" w:cs="Arial"/>
          <w:sz w:val="16"/>
          <w:szCs w:val="16"/>
          <w:lang w:val="es-ES_tradnl" w:eastAsia="en-GB"/>
        </w:rPr>
        <w:t xml:space="preserve">del artículo 3 de la Ley 2020 de 2020 establece lo siguiente: </w:t>
      </w:r>
      <w:r w:rsidR="00C814A1" w:rsidRPr="00010C05">
        <w:rPr>
          <w:rFonts w:ascii="Arial" w:hAnsi="Arial" w:cs="Arial"/>
          <w:sz w:val="16"/>
          <w:szCs w:val="16"/>
          <w:lang w:val="es-ES"/>
        </w:rPr>
        <w:t>“</w:t>
      </w:r>
      <w:r w:rsidRPr="00010C05">
        <w:rPr>
          <w:rFonts w:ascii="Arial" w:eastAsia="Calibri" w:hAnsi="Arial" w:cs="Arial"/>
          <w:sz w:val="16"/>
          <w:szCs w:val="16"/>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5E01646D" w14:textId="4DC78558" w:rsidR="00A33061" w:rsidRPr="00010C05" w:rsidRDefault="00C814A1" w:rsidP="005A59ED">
      <w:pPr>
        <w:pStyle w:val="Textonotapie"/>
        <w:ind w:firstLine="709"/>
        <w:jc w:val="both"/>
        <w:rPr>
          <w:rFonts w:ascii="Arial" w:hAnsi="Arial" w:cs="Arial"/>
          <w:sz w:val="16"/>
          <w:szCs w:val="16"/>
          <w:lang w:val="es-CO"/>
        </w:rPr>
      </w:pPr>
      <w:r w:rsidRPr="00010C05">
        <w:rPr>
          <w:rFonts w:ascii="Arial" w:hAnsi="Arial" w:cs="Arial"/>
          <w:sz w:val="16"/>
          <w:szCs w:val="16"/>
          <w:lang w:val="es-ES"/>
        </w:rPr>
        <w:t>“</w:t>
      </w:r>
      <w:r w:rsidR="00A33061" w:rsidRPr="00010C05">
        <w:rPr>
          <w:rFonts w:ascii="Arial" w:eastAsia="Calibri" w:hAnsi="Arial" w:cs="Arial"/>
          <w:sz w:val="16"/>
          <w:szCs w:val="16"/>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010C05">
        <w:rPr>
          <w:rFonts w:ascii="Arial" w:hAnsi="Arial" w:cs="Arial"/>
          <w:sz w:val="16"/>
          <w:szCs w:val="16"/>
          <w:lang w:val="es-ES"/>
        </w:rPr>
        <w:t>”</w:t>
      </w:r>
      <w:r w:rsidR="00A33061" w:rsidRPr="00010C05">
        <w:rPr>
          <w:rFonts w:ascii="Arial" w:hAnsi="Arial" w:cs="Arial"/>
          <w:sz w:val="16"/>
          <w:szCs w:val="16"/>
          <w:lang w:val="es-ES"/>
        </w:rPr>
        <w:t>.</w:t>
      </w:r>
    </w:p>
  </w:footnote>
  <w:footnote w:id="37">
    <w:p w14:paraId="7676859B" w14:textId="77777777" w:rsidR="00A33061" w:rsidRPr="00010C05" w:rsidRDefault="00A33061" w:rsidP="005A59ED">
      <w:pPr>
        <w:pStyle w:val="Textonotapie"/>
        <w:ind w:firstLine="709"/>
        <w:jc w:val="both"/>
        <w:rPr>
          <w:rFonts w:ascii="Arial" w:hAnsi="Arial" w:cs="Arial"/>
          <w:sz w:val="16"/>
          <w:szCs w:val="16"/>
        </w:rPr>
      </w:pPr>
    </w:p>
    <w:p w14:paraId="3BF08D9C" w14:textId="77777777" w:rsidR="00A33061" w:rsidRPr="00010C05" w:rsidRDefault="00A33061" w:rsidP="005A59ED">
      <w:pPr>
        <w:pStyle w:val="Textonotapie"/>
        <w:ind w:firstLine="709"/>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Puede ser consultada en: </w:t>
      </w:r>
      <w:hyperlink r:id="rId5" w:history="1">
        <w:r w:rsidRPr="00010C05">
          <w:rPr>
            <w:rStyle w:val="Hipervnculo1"/>
            <w:rFonts w:ascii="Arial" w:hAnsi="Arial" w:cs="Arial"/>
            <w:color w:val="auto"/>
            <w:sz w:val="16"/>
            <w:szCs w:val="16"/>
          </w:rPr>
          <w:t>https://www.contraloria.gov.co/web/relatoria/normatividad-y-relatoria</w:t>
        </w:r>
      </w:hyperlink>
      <w:r w:rsidRPr="00010C05">
        <w:rPr>
          <w:rStyle w:val="Hipervnculo1"/>
          <w:rFonts w:ascii="Arial" w:hAnsi="Arial" w:cs="Arial"/>
          <w:color w:val="auto"/>
          <w:sz w:val="16"/>
          <w:szCs w:val="16"/>
        </w:rPr>
        <w:t xml:space="preserve"> </w:t>
      </w:r>
      <w:r w:rsidRPr="00010C05">
        <w:rPr>
          <w:rFonts w:ascii="Arial" w:hAnsi="Arial" w:cs="Arial"/>
          <w:sz w:val="16"/>
          <w:szCs w:val="16"/>
        </w:rPr>
        <w:t xml:space="preserve"> </w:t>
      </w:r>
      <w:r w:rsidRPr="00010C05">
        <w:rPr>
          <w:rFonts w:ascii="Arial" w:hAnsi="Arial" w:cs="Arial"/>
          <w:sz w:val="16"/>
          <w:szCs w:val="16"/>
        </w:rPr>
        <w:tab/>
      </w:r>
    </w:p>
  </w:footnote>
  <w:footnote w:id="38">
    <w:p w14:paraId="16756EB8" w14:textId="6BB57E86" w:rsidR="00A33061" w:rsidRPr="00010C05" w:rsidRDefault="00A33061" w:rsidP="005A59ED">
      <w:pPr>
        <w:pStyle w:val="Textonotapie"/>
        <w:ind w:firstLine="709"/>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w:t>
      </w:r>
      <w:r w:rsidR="00C814A1" w:rsidRPr="00010C05">
        <w:rPr>
          <w:rFonts w:ascii="Arial" w:hAnsi="Arial" w:cs="Arial"/>
          <w:sz w:val="16"/>
          <w:szCs w:val="16"/>
          <w:lang w:val="es-ES"/>
        </w:rPr>
        <w:t>“</w:t>
      </w:r>
      <w:r w:rsidRPr="00010C05">
        <w:rPr>
          <w:rFonts w:ascii="Arial" w:hAnsi="Arial" w:cs="Arial"/>
          <w:sz w:val="16"/>
          <w:szCs w:val="16"/>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00C814A1" w:rsidRPr="00010C05">
        <w:rPr>
          <w:rFonts w:ascii="Arial" w:hAnsi="Arial" w:cs="Arial"/>
          <w:sz w:val="16"/>
          <w:szCs w:val="16"/>
          <w:lang w:val="es-ES"/>
        </w:rPr>
        <w:t>”</w:t>
      </w:r>
      <w:r w:rsidRPr="00010C05">
        <w:rPr>
          <w:rFonts w:ascii="Arial" w:hAnsi="Arial" w:cs="Arial"/>
          <w:sz w:val="16"/>
          <w:szCs w:val="16"/>
          <w:lang w:val="es-ES"/>
        </w:rPr>
        <w:t>.</w:t>
      </w:r>
    </w:p>
  </w:footnote>
  <w:footnote w:id="39">
    <w:p w14:paraId="3225428A" w14:textId="77777777" w:rsidR="00A33061" w:rsidRPr="00010C05" w:rsidRDefault="00A33061" w:rsidP="005A59ED">
      <w:pPr>
        <w:pStyle w:val="Textonotapie"/>
        <w:ind w:firstLine="709"/>
        <w:jc w:val="both"/>
        <w:rPr>
          <w:rFonts w:ascii="Arial" w:hAnsi="Arial" w:cs="Arial"/>
          <w:sz w:val="16"/>
          <w:szCs w:val="16"/>
        </w:rPr>
      </w:pPr>
    </w:p>
    <w:p w14:paraId="5A767CBA" w14:textId="6D3B89AE" w:rsidR="00A33061" w:rsidRPr="00010C05" w:rsidRDefault="00A33061" w:rsidP="005A59ED">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eastAsia="es-CO"/>
        </w:rPr>
        <w:t>Ley 1437 de 2011:</w:t>
      </w:r>
      <w:r w:rsidRPr="00010C05">
        <w:rPr>
          <w:rFonts w:ascii="Arial" w:hAnsi="Arial" w:cs="Arial"/>
          <w:sz w:val="16"/>
          <w:szCs w:val="16"/>
        </w:rPr>
        <w:t xml:space="preserve"> </w:t>
      </w:r>
      <w:r w:rsidR="00C814A1" w:rsidRPr="00010C05">
        <w:rPr>
          <w:rFonts w:ascii="Arial" w:hAnsi="Arial" w:cs="Arial"/>
          <w:sz w:val="16"/>
          <w:szCs w:val="16"/>
        </w:rPr>
        <w:t>“</w:t>
      </w:r>
      <w:r w:rsidRPr="00010C05">
        <w:rPr>
          <w:rFonts w:ascii="Arial" w:hAnsi="Arial" w:cs="Arial"/>
          <w:sz w:val="16"/>
          <w:szCs w:val="16"/>
        </w:rPr>
        <w:t>Artículo 44. Decisiones discrecionales. En la medida en que el contenido de una decisión de carácter general o particular sea discrecional, debe ser adecuada a los fines de la norma que la autoriza, y proporcional a los hechos que le sirven de causa</w:t>
      </w:r>
      <w:r w:rsidR="00C814A1" w:rsidRPr="00010C05">
        <w:rPr>
          <w:rFonts w:ascii="Arial" w:hAnsi="Arial" w:cs="Arial"/>
          <w:sz w:val="16"/>
          <w:szCs w:val="16"/>
          <w:lang w:eastAsia="es-CO"/>
        </w:rPr>
        <w:t>”</w:t>
      </w:r>
      <w:r w:rsidRPr="00010C05">
        <w:rPr>
          <w:rFonts w:ascii="Arial" w:hAnsi="Arial" w:cs="Arial"/>
          <w:sz w:val="16"/>
          <w:szCs w:val="16"/>
        </w:rPr>
        <w:t>.</w:t>
      </w:r>
    </w:p>
    <w:p w14:paraId="0E9BC82F" w14:textId="77777777" w:rsidR="00A33061" w:rsidRPr="00010C05" w:rsidRDefault="00A33061" w:rsidP="005A59ED">
      <w:pPr>
        <w:pStyle w:val="Textonotapie"/>
        <w:ind w:firstLine="709"/>
        <w:jc w:val="both"/>
        <w:rPr>
          <w:rFonts w:ascii="Arial" w:hAnsi="Arial" w:cs="Arial"/>
          <w:sz w:val="16"/>
          <w:szCs w:val="16"/>
          <w:lang w:val="es-ES"/>
        </w:rPr>
      </w:pPr>
    </w:p>
  </w:footnote>
  <w:footnote w:id="40">
    <w:p w14:paraId="095B7A09" w14:textId="2FBCFD9B"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 xml:space="preserve">Principio que se compone a su vez de </w:t>
      </w:r>
      <w:r w:rsidR="00C814A1" w:rsidRPr="00010C05">
        <w:rPr>
          <w:rFonts w:ascii="Arial" w:hAnsi="Arial" w:cs="Arial"/>
          <w:sz w:val="16"/>
          <w:szCs w:val="16"/>
          <w:lang w:val="es-ES"/>
        </w:rPr>
        <w:t>“</w:t>
      </w:r>
      <w:r w:rsidRPr="00010C05">
        <w:rPr>
          <w:rFonts w:ascii="Arial" w:hAnsi="Arial" w:cs="Arial"/>
          <w:sz w:val="16"/>
          <w:szCs w:val="16"/>
          <w:lang w:val="es-ES"/>
        </w:rPr>
        <w:t xml:space="preserve">tres subprincipios, etapas o mandatos parciales: el </w:t>
      </w:r>
      <w:r w:rsidRPr="00010C05">
        <w:rPr>
          <w:rFonts w:ascii="Arial" w:hAnsi="Arial" w:cs="Arial"/>
          <w:i/>
          <w:iCs/>
          <w:sz w:val="16"/>
          <w:szCs w:val="16"/>
          <w:lang w:val="es-ES"/>
        </w:rPr>
        <w:t>subprincipio o mandato de adecuación, de idoneidad o de congruencia</w:t>
      </w:r>
      <w:r w:rsidRPr="00010C05">
        <w:rPr>
          <w:rFonts w:ascii="Arial" w:hAnsi="Arial" w:cs="Arial"/>
          <w:sz w:val="16"/>
          <w:szCs w:val="16"/>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010C05">
        <w:rPr>
          <w:rFonts w:ascii="Arial" w:hAnsi="Arial" w:cs="Arial"/>
          <w:i/>
          <w:iCs/>
          <w:sz w:val="16"/>
          <w:szCs w:val="16"/>
          <w:lang w:val="es-ES"/>
        </w:rPr>
        <w:t>subprincipio o mandato de necesidad, intervención mínima o menor lesividad</w:t>
      </w:r>
      <w:r w:rsidRPr="00010C05">
        <w:rPr>
          <w:rFonts w:ascii="Arial" w:hAnsi="Arial" w:cs="Arial"/>
          <w:sz w:val="16"/>
          <w:szCs w:val="16"/>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010C05">
        <w:rPr>
          <w:rFonts w:ascii="Arial" w:hAnsi="Arial" w:cs="Arial"/>
          <w:i/>
          <w:iCs/>
          <w:sz w:val="16"/>
          <w:szCs w:val="16"/>
          <w:lang w:val="es-ES"/>
        </w:rPr>
        <w:t>el subprincipio o mandato de proporcionalidad en sentido estricto</w:t>
      </w:r>
      <w:r w:rsidRPr="00010C05">
        <w:rPr>
          <w:rFonts w:ascii="Arial" w:hAnsi="Arial" w:cs="Arial"/>
          <w:sz w:val="16"/>
          <w:szCs w:val="16"/>
          <w:lang w:val="es-ES"/>
        </w:rPr>
        <w:t>, de acuerdo con el cual debe producirse un equilibrio entre el perjuicio irrogado al derecho o interés que se limita y el beneficio que de ello se deriva para el bien jurídico que la medida prohíja</w:t>
      </w:r>
      <w:r w:rsidR="00C814A1" w:rsidRPr="00010C05">
        <w:rPr>
          <w:rFonts w:ascii="Arial" w:hAnsi="Arial" w:cs="Arial"/>
          <w:sz w:val="16"/>
          <w:szCs w:val="16"/>
          <w:lang w:val="es-ES"/>
        </w:rPr>
        <w:t>”</w:t>
      </w:r>
      <w:r w:rsidRPr="00010C05">
        <w:rPr>
          <w:rFonts w:ascii="Arial" w:hAnsi="Arial" w:cs="Arial"/>
          <w:sz w:val="16"/>
          <w:szCs w:val="16"/>
          <w:lang w:val="es-ES"/>
        </w:rPr>
        <w:t xml:space="preserve"> (MARÍN HERNÁNDEZ, Hugo Alberto. El principio de proporcionalidad en el derecho administrativo colombiano. Bogotá: Universidad Externado de Colombia, 2018. p. 34).</w:t>
      </w:r>
    </w:p>
    <w:p w14:paraId="15655F46" w14:textId="77777777" w:rsidR="00A33061" w:rsidRPr="00010C05" w:rsidRDefault="00A33061" w:rsidP="005A59ED">
      <w:pPr>
        <w:pStyle w:val="Textonotapie"/>
        <w:ind w:firstLine="709"/>
        <w:jc w:val="both"/>
        <w:rPr>
          <w:rFonts w:ascii="Arial" w:hAnsi="Arial" w:cs="Arial"/>
          <w:sz w:val="16"/>
          <w:szCs w:val="16"/>
          <w:lang w:val="es-ES"/>
        </w:rPr>
      </w:pPr>
    </w:p>
  </w:footnote>
  <w:footnote w:id="41">
    <w:p w14:paraId="6D04B627" w14:textId="77777777" w:rsidR="00A33061" w:rsidRPr="00010C05" w:rsidRDefault="00A33061" w:rsidP="005A59ED">
      <w:pPr>
        <w:spacing w:after="0" w:line="240" w:lineRule="auto"/>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ES"/>
        </w:rPr>
        <w:t>Consejo de Estado. Sección Tercera. Sentencia del 14 de abril de 2010. Consejero Ponente: Enrique Gil Botero. Radicación número: 11001-03-26-000-2008-00101-00(36054).</w:t>
      </w:r>
    </w:p>
    <w:p w14:paraId="68CCD912" w14:textId="77777777" w:rsidR="00A33061" w:rsidRPr="00010C05" w:rsidRDefault="00A33061" w:rsidP="005A59ED">
      <w:pPr>
        <w:pStyle w:val="Textonotapie"/>
        <w:ind w:firstLine="709"/>
        <w:jc w:val="both"/>
        <w:rPr>
          <w:rFonts w:ascii="Arial" w:hAnsi="Arial" w:cs="Arial"/>
          <w:sz w:val="16"/>
          <w:szCs w:val="16"/>
          <w:lang w:val="es-ES"/>
        </w:rPr>
      </w:pPr>
    </w:p>
  </w:footnote>
  <w:footnote w:id="42">
    <w:p w14:paraId="15B07EC1" w14:textId="132CBC33" w:rsidR="00A33061" w:rsidRPr="00010C05" w:rsidRDefault="00A33061" w:rsidP="005A59ED">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 Esta norma establece: </w:t>
      </w:r>
      <w:r w:rsidR="00C814A1" w:rsidRPr="00010C05">
        <w:rPr>
          <w:rFonts w:ascii="Arial" w:hAnsi="Arial" w:cs="Arial"/>
          <w:sz w:val="16"/>
          <w:szCs w:val="16"/>
          <w:lang w:val="es-ES"/>
        </w:rPr>
        <w:t>“</w:t>
      </w:r>
      <w:r w:rsidRPr="00010C05">
        <w:rPr>
          <w:rFonts w:ascii="Arial" w:hAnsi="Arial" w:cs="Arial"/>
          <w:sz w:val="16"/>
          <w:szCs w:val="16"/>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EFB6537" w14:textId="5B82161F" w:rsidR="00A33061" w:rsidRPr="00010C05" w:rsidRDefault="00C814A1" w:rsidP="005A59ED">
      <w:pPr>
        <w:pStyle w:val="Textonotapie"/>
        <w:ind w:firstLine="709"/>
        <w:jc w:val="both"/>
        <w:rPr>
          <w:rFonts w:ascii="Arial" w:hAnsi="Arial" w:cs="Arial"/>
          <w:sz w:val="16"/>
          <w:szCs w:val="16"/>
          <w:lang w:val="es-ES"/>
        </w:rPr>
      </w:pPr>
      <w:r w:rsidRPr="00010C05">
        <w:rPr>
          <w:rFonts w:ascii="Arial" w:hAnsi="Arial" w:cs="Arial"/>
          <w:sz w:val="16"/>
          <w:szCs w:val="16"/>
          <w:lang w:val="es-ES"/>
        </w:rPr>
        <w:t>“</w:t>
      </w:r>
      <w:r w:rsidR="00A33061" w:rsidRPr="00010C05">
        <w:rPr>
          <w:rFonts w:ascii="Arial" w:hAnsi="Arial"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7D66C42C" w14:textId="2C45FAB2" w:rsidR="00A33061" w:rsidRPr="00010C05" w:rsidRDefault="00C814A1" w:rsidP="005A59ED">
      <w:pPr>
        <w:pStyle w:val="Textonotapie"/>
        <w:ind w:firstLine="709"/>
        <w:jc w:val="both"/>
        <w:rPr>
          <w:rFonts w:ascii="Arial" w:hAnsi="Arial" w:cs="Arial"/>
          <w:sz w:val="16"/>
          <w:szCs w:val="16"/>
          <w:lang w:val="es-ES"/>
        </w:rPr>
      </w:pPr>
      <w:r w:rsidRPr="00010C05">
        <w:rPr>
          <w:rFonts w:ascii="Arial" w:hAnsi="Arial" w:cs="Arial"/>
          <w:sz w:val="16"/>
          <w:szCs w:val="16"/>
          <w:lang w:val="es-ES"/>
        </w:rPr>
        <w:t>“</w:t>
      </w:r>
      <w:r w:rsidR="00A33061" w:rsidRPr="00010C05">
        <w:rPr>
          <w:rFonts w:ascii="Arial" w:hAnsi="Arial" w:cs="Arial"/>
          <w:sz w:val="16"/>
          <w:szCs w:val="16"/>
          <w:lang w:val="es-ES"/>
        </w:rPr>
        <w:t>Ninguna orden del interventor de una obra podrá darse verbalmente. Es obligatorio para el interventor entregar por escrito sus órdenes o sugerencias y ellas deben enmarcarse dentro de los términos del respectivo contrato</w:t>
      </w:r>
      <w:r w:rsidRPr="00010C05">
        <w:rPr>
          <w:rFonts w:ascii="Arial" w:hAnsi="Arial" w:cs="Arial"/>
          <w:sz w:val="16"/>
          <w:szCs w:val="16"/>
          <w:lang w:val="es-ES"/>
        </w:rPr>
        <w:t>”</w:t>
      </w:r>
      <w:r w:rsidR="00A33061" w:rsidRPr="00010C05">
        <w:rPr>
          <w:rFonts w:ascii="Arial" w:hAnsi="Arial" w:cs="Arial"/>
          <w:sz w:val="16"/>
          <w:szCs w:val="16"/>
          <w:lang w:val="es-ES"/>
        </w:rPr>
        <w:t>.</w:t>
      </w:r>
    </w:p>
  </w:footnote>
  <w:footnote w:id="43">
    <w:p w14:paraId="7FCD4636" w14:textId="77777777" w:rsidR="00A04DF7" w:rsidRPr="00010C05" w:rsidRDefault="00A04DF7" w:rsidP="00A04DF7">
      <w:pPr>
        <w:pStyle w:val="Textonotapie"/>
        <w:ind w:firstLine="709"/>
        <w:jc w:val="both"/>
        <w:rPr>
          <w:rFonts w:ascii="Arial" w:hAnsi="Arial" w:cs="Arial"/>
          <w:sz w:val="16"/>
          <w:szCs w:val="16"/>
        </w:rPr>
      </w:pPr>
    </w:p>
    <w:p w14:paraId="010B702B" w14:textId="36D160DB" w:rsidR="00A04DF7" w:rsidRPr="00010C05" w:rsidRDefault="00A04DF7" w:rsidP="00A04DF7">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w:t>
      </w:r>
      <w:r w:rsidR="00594F8F" w:rsidRPr="00010C05">
        <w:rPr>
          <w:rFonts w:ascii="Arial" w:hAnsi="Arial" w:cs="Arial"/>
          <w:sz w:val="16"/>
          <w:szCs w:val="16"/>
        </w:rPr>
        <w:t>“</w:t>
      </w:r>
      <w:r w:rsidRPr="00010C05">
        <w:rPr>
          <w:rFonts w:ascii="Arial" w:hAnsi="Arial" w:cs="Arial"/>
          <w:sz w:val="16"/>
          <w:szCs w:val="16"/>
        </w:rPr>
        <w:t>ARTÍCULO 1o. Modifíquese el artículo 4o de la Ley 1882 de 2018, el cual quedará así:</w:t>
      </w:r>
    </w:p>
    <w:p w14:paraId="2EDAE07D" w14:textId="17F45E5C" w:rsidR="00A04DF7" w:rsidRPr="00010C05" w:rsidRDefault="00594F8F" w:rsidP="00A04DF7">
      <w:pPr>
        <w:pStyle w:val="Textonotapie"/>
        <w:ind w:firstLine="709"/>
        <w:jc w:val="both"/>
        <w:rPr>
          <w:rFonts w:ascii="Arial" w:hAnsi="Arial" w:cs="Arial"/>
          <w:sz w:val="16"/>
          <w:szCs w:val="16"/>
        </w:rPr>
      </w:pPr>
      <w:r w:rsidRPr="00010C05">
        <w:rPr>
          <w:rFonts w:ascii="Arial" w:hAnsi="Arial" w:cs="Arial"/>
          <w:sz w:val="16"/>
          <w:szCs w:val="16"/>
        </w:rPr>
        <w:t>“</w:t>
      </w:r>
      <w:r w:rsidR="00A04DF7" w:rsidRPr="00010C05">
        <w:rPr>
          <w:rFonts w:ascii="Arial" w:hAnsi="Arial" w:cs="Arial"/>
          <w:sz w:val="16"/>
          <w:szCs w:val="16"/>
        </w:rPr>
        <w:t>Artículo 4o. Adiciónese el siguiente parágrafo al artículo 2o de la Ley 1150 de 2007.</w:t>
      </w:r>
    </w:p>
    <w:p w14:paraId="1DE2DE1A" w14:textId="029053A4" w:rsidR="00A04DF7" w:rsidRPr="00010C05" w:rsidRDefault="00594F8F" w:rsidP="00A04DF7">
      <w:pPr>
        <w:pStyle w:val="Textonotapie"/>
        <w:ind w:firstLine="709"/>
        <w:jc w:val="both"/>
        <w:rPr>
          <w:rFonts w:ascii="Arial" w:hAnsi="Arial" w:cs="Arial"/>
          <w:sz w:val="16"/>
          <w:szCs w:val="16"/>
        </w:rPr>
      </w:pPr>
      <w:r w:rsidRPr="00010C05">
        <w:rPr>
          <w:rFonts w:ascii="Arial" w:hAnsi="Arial" w:cs="Arial"/>
          <w:sz w:val="16"/>
          <w:szCs w:val="16"/>
        </w:rPr>
        <w:t>“</w:t>
      </w:r>
      <w:r w:rsidR="00A04DF7" w:rsidRPr="00010C05">
        <w:rPr>
          <w:rFonts w:ascii="Arial" w:hAnsi="Arial" w:cs="Arial"/>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36F3D63" w14:textId="14D4A200" w:rsidR="00A04DF7" w:rsidRPr="00010C05" w:rsidRDefault="00A04DF7" w:rsidP="00A04DF7">
      <w:pPr>
        <w:pStyle w:val="Textonotapie"/>
        <w:ind w:firstLine="709"/>
        <w:jc w:val="both"/>
        <w:rPr>
          <w:rFonts w:ascii="Arial" w:hAnsi="Arial" w:cs="Arial"/>
          <w:sz w:val="16"/>
          <w:szCs w:val="16"/>
        </w:rPr>
      </w:pPr>
      <w:r w:rsidRPr="00010C05">
        <w:rPr>
          <w:rFonts w:ascii="Arial" w:hAnsi="Arial"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D92C80E" w14:textId="3C57A4C7" w:rsidR="00A04DF7" w:rsidRPr="00010C05" w:rsidRDefault="00A04DF7" w:rsidP="00A04DF7">
      <w:pPr>
        <w:pStyle w:val="Textonotapie"/>
        <w:ind w:firstLine="709"/>
        <w:jc w:val="both"/>
        <w:rPr>
          <w:rFonts w:ascii="Arial" w:hAnsi="Arial" w:cs="Arial"/>
          <w:sz w:val="16"/>
          <w:szCs w:val="16"/>
        </w:rPr>
      </w:pPr>
      <w:r w:rsidRPr="00010C05">
        <w:rPr>
          <w:rFonts w:ascii="Arial" w:hAnsi="Arial" w:cs="Arial"/>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311B56B" w14:textId="09594AC7" w:rsidR="00A04DF7" w:rsidRPr="00010C05" w:rsidRDefault="00A04DF7" w:rsidP="00A04DF7">
      <w:pPr>
        <w:pStyle w:val="Textonotapie"/>
        <w:ind w:firstLine="709"/>
        <w:jc w:val="both"/>
        <w:rPr>
          <w:rFonts w:ascii="Arial" w:hAnsi="Arial" w:cs="Arial"/>
          <w:sz w:val="16"/>
          <w:szCs w:val="16"/>
        </w:rPr>
      </w:pPr>
      <w:r w:rsidRPr="00010C05">
        <w:rPr>
          <w:rFonts w:ascii="Arial" w:hAnsi="Arial" w:cs="Arial"/>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9696A2A" w14:textId="608E177A" w:rsidR="00A04DF7" w:rsidRPr="00010C05" w:rsidRDefault="00A04DF7" w:rsidP="00A04DF7">
      <w:pPr>
        <w:pStyle w:val="Textonotapie"/>
        <w:ind w:firstLine="709"/>
        <w:jc w:val="both"/>
        <w:rPr>
          <w:rFonts w:ascii="Arial" w:hAnsi="Arial" w:cs="Arial"/>
          <w:sz w:val="16"/>
          <w:szCs w:val="16"/>
          <w:lang w:val="es-CO"/>
        </w:rPr>
      </w:pPr>
      <w:r w:rsidRPr="00010C05">
        <w:rPr>
          <w:rFonts w:ascii="Arial" w:hAnsi="Arial"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594F8F" w:rsidRPr="00010C05">
        <w:rPr>
          <w:rFonts w:ascii="Arial" w:hAnsi="Arial" w:cs="Arial"/>
          <w:sz w:val="16"/>
          <w:szCs w:val="16"/>
        </w:rPr>
        <w:t>”</w:t>
      </w:r>
      <w:r w:rsidRPr="00010C05">
        <w:rPr>
          <w:rFonts w:ascii="Arial" w:hAnsi="Arial" w:cs="Arial"/>
          <w:sz w:val="16"/>
          <w:szCs w:val="16"/>
        </w:rPr>
        <w:t>.</w:t>
      </w:r>
    </w:p>
  </w:footnote>
  <w:footnote w:id="44">
    <w:p w14:paraId="259E7325" w14:textId="7E2FD693" w:rsidR="00594F8F" w:rsidRPr="00010C05" w:rsidRDefault="00A04DF7" w:rsidP="00594F8F">
      <w:pPr>
        <w:pStyle w:val="Textonotapie"/>
        <w:ind w:firstLine="709"/>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Para el efecto, se puede consultar el siguiente enlace en el cual se encuentran todos los documentos tipo actualmente implementados por Colombia Compra Eficiente </w:t>
      </w:r>
      <w:hyperlink r:id="rId6" w:history="1">
        <w:r w:rsidRPr="00010C05">
          <w:rPr>
            <w:rFonts w:ascii="Arial" w:hAnsi="Arial" w:cs="Arial"/>
            <w:sz w:val="16"/>
            <w:szCs w:val="16"/>
          </w:rPr>
          <w:t>https://www.colombiacompra.gov.co/documentos-tipo/documentos-tipo</w:t>
        </w:r>
      </w:hyperlink>
      <w:r w:rsidRPr="00010C05">
        <w:rPr>
          <w:rFonts w:ascii="Arial" w:hAnsi="Arial" w:cs="Arial"/>
          <w:sz w:val="16"/>
          <w:szCs w:val="16"/>
        </w:rPr>
        <w:t xml:space="preserve"> </w:t>
      </w:r>
      <w:r w:rsidRPr="00010C05">
        <w:rPr>
          <w:rFonts w:ascii="Arial" w:hAnsi="Arial" w:cs="Arial"/>
          <w:sz w:val="16"/>
          <w:szCs w:val="16"/>
          <w:lang w:val="es-CO"/>
        </w:rPr>
        <w:t xml:space="preserve">  </w:t>
      </w:r>
    </w:p>
    <w:p w14:paraId="672FDFBE" w14:textId="77777777" w:rsidR="00A04DF7" w:rsidRPr="00010C05" w:rsidRDefault="00A04DF7" w:rsidP="00A04DF7">
      <w:pPr>
        <w:pStyle w:val="Textonotapie"/>
        <w:ind w:firstLine="709"/>
        <w:jc w:val="both"/>
        <w:rPr>
          <w:rFonts w:ascii="Arial" w:hAnsi="Arial" w:cs="Arial"/>
          <w:sz w:val="16"/>
          <w:szCs w:val="16"/>
          <w:lang w:val="es-CO"/>
        </w:rPr>
      </w:pPr>
      <w:r w:rsidRPr="00010C05">
        <w:rPr>
          <w:rFonts w:ascii="Arial" w:hAnsi="Arial" w:cs="Arial"/>
          <w:sz w:val="16"/>
          <w:szCs w:val="16"/>
          <w:lang w:val="es-CO"/>
        </w:rPr>
        <w:t xml:space="preserve">Los documentos tipo de obra pública de infraestructura social y de obra pública de infraestructura social relacionados con el sector educativo adoptados mediante Resoluciones 219 y 220 de 2021, respectivamente, entran en vigencia a partir del 2 de noviembre de 2021 conforme lo dispone la Resolución 336 del 2021. Por su parte, los documentos tipo complementarios para los procesos de licitación de obra pública de infraestructura social relacionados con el sector cultura, recreación y deporte, entran en vigencia de forma gradual y progresiva partir del 1 de febrero de 2022 conforme lo dispone la Resolución 454 del 2021. Así mismo, los documentos tipo complementarios para los procesos de licitación de obra pública de infraestructura social relacionados con el sector salud entran en vigencia de forma gradual y progresiva partir del 3 de enero de 2022 conforme lo dispone la Resolución 392 del 2021. </w:t>
      </w:r>
    </w:p>
    <w:p w14:paraId="0DDCFD48" w14:textId="77777777" w:rsidR="00594F8F" w:rsidRPr="00010C05" w:rsidRDefault="00594F8F" w:rsidP="00A04DF7">
      <w:pPr>
        <w:pStyle w:val="Textonotapie"/>
        <w:ind w:firstLine="709"/>
        <w:jc w:val="both"/>
        <w:rPr>
          <w:rFonts w:ascii="Arial" w:hAnsi="Arial" w:cs="Arial"/>
          <w:sz w:val="16"/>
          <w:szCs w:val="16"/>
          <w:lang w:val="es-CO"/>
        </w:rPr>
      </w:pPr>
    </w:p>
  </w:footnote>
  <w:footnote w:id="45">
    <w:p w14:paraId="32A77ABA" w14:textId="77777777" w:rsidR="00A04DF7" w:rsidRPr="00010C05" w:rsidRDefault="00A04DF7" w:rsidP="00A04DF7">
      <w:pPr>
        <w:pStyle w:val="Textonotapie"/>
        <w:ind w:firstLine="709"/>
        <w:jc w:val="both"/>
        <w:rPr>
          <w:rFonts w:ascii="Arial" w:hAnsi="Arial" w:cs="Arial"/>
          <w:bCs/>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En los documentos tipo para selección de interventoría de obra pública de infraestructura de transporte se encuentra incluido en el inciso segundo del capítulo </w:t>
      </w:r>
      <w:r w:rsidRPr="00010C05">
        <w:rPr>
          <w:rFonts w:ascii="Arial" w:hAnsi="Arial" w:cs="Arial"/>
          <w:bCs/>
          <w:sz w:val="16"/>
          <w:szCs w:val="16"/>
          <w:lang w:val="es-CO"/>
        </w:rPr>
        <w:t>IV.</w:t>
      </w:r>
      <w:r w:rsidRPr="00010C05">
        <w:rPr>
          <w:rFonts w:ascii="Arial" w:hAnsi="Arial" w:cs="Arial"/>
          <w:bCs/>
          <w:sz w:val="16"/>
          <w:szCs w:val="16"/>
        </w:rPr>
        <w:t xml:space="preserve"> Criterios de Evaluación, Asignación de Puntaje y Criterios de Desempate. </w:t>
      </w:r>
    </w:p>
    <w:p w14:paraId="5E1C1154" w14:textId="77777777" w:rsidR="00A04DF7" w:rsidRPr="00010C05" w:rsidRDefault="00A04DF7" w:rsidP="00A04DF7">
      <w:pPr>
        <w:pStyle w:val="Textonotapie"/>
        <w:rPr>
          <w:rFonts w:ascii="Arial" w:hAnsi="Arial" w:cs="Arial"/>
          <w:sz w:val="16"/>
          <w:szCs w:val="16"/>
          <w:lang w:val="es-CO"/>
        </w:rPr>
      </w:pPr>
    </w:p>
  </w:footnote>
  <w:footnote w:id="46">
    <w:p w14:paraId="75D1A299" w14:textId="77777777" w:rsidR="00A04DF7" w:rsidRPr="00010C05" w:rsidRDefault="00A04DF7" w:rsidP="00A04DF7">
      <w:pPr>
        <w:pStyle w:val="Textonotapie"/>
        <w:ind w:firstLine="708"/>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Esta regulación se contempló en el Capítulo IV del Documento Base de los Documentos tipo de interventoría de obra pública de transporte –versión 2- y los de agua potable y saneamiento básico. </w:t>
      </w:r>
    </w:p>
  </w:footnote>
  <w:footnote w:id="47">
    <w:p w14:paraId="0657B4AE" w14:textId="77777777" w:rsidR="00A04DF7" w:rsidRPr="00010C05" w:rsidRDefault="00A04DF7" w:rsidP="00A04DF7">
      <w:pPr>
        <w:pStyle w:val="Textonotapie"/>
        <w:ind w:firstLine="709"/>
        <w:rPr>
          <w:rFonts w:ascii="Arial" w:hAnsi="Arial" w:cs="Arial"/>
          <w:sz w:val="16"/>
          <w:szCs w:val="16"/>
        </w:rPr>
      </w:pPr>
    </w:p>
    <w:p w14:paraId="6DBB3CAB" w14:textId="77777777" w:rsidR="00A04DF7" w:rsidRPr="00010C05" w:rsidRDefault="00A04DF7" w:rsidP="00A04DF7">
      <w:pPr>
        <w:pStyle w:val="Textonotapie"/>
        <w:ind w:firstLine="709"/>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Definición Rae. Disponible en </w:t>
      </w:r>
      <w:hyperlink r:id="rId7" w:history="1">
        <w:r w:rsidRPr="00010C05">
          <w:rPr>
            <w:rStyle w:val="Hipervnculo1"/>
            <w:rFonts w:ascii="Arial" w:hAnsi="Arial" w:cs="Arial"/>
            <w:color w:val="auto"/>
            <w:sz w:val="16"/>
            <w:szCs w:val="16"/>
            <w:lang w:val="es-CO"/>
          </w:rPr>
          <w:t>https://dle.rae.es/consultar</w:t>
        </w:r>
      </w:hyperlink>
      <w:r w:rsidRPr="00010C05">
        <w:rPr>
          <w:rStyle w:val="Hipervnculo1"/>
          <w:rFonts w:ascii="Arial" w:hAnsi="Arial" w:cs="Arial"/>
          <w:color w:val="auto"/>
          <w:sz w:val="16"/>
          <w:szCs w:val="16"/>
          <w:lang w:val="es-CO"/>
        </w:rPr>
        <w:t xml:space="preserve"> </w:t>
      </w:r>
    </w:p>
    <w:p w14:paraId="43135492" w14:textId="77777777" w:rsidR="00A04DF7" w:rsidRPr="00010C05" w:rsidRDefault="00A04DF7" w:rsidP="00A04DF7">
      <w:pPr>
        <w:pStyle w:val="Textonotapie"/>
        <w:ind w:firstLine="709"/>
        <w:rPr>
          <w:rFonts w:ascii="Arial" w:hAnsi="Arial" w:cs="Arial"/>
          <w:sz w:val="16"/>
          <w:szCs w:val="16"/>
          <w:lang w:val="es-CO"/>
        </w:rPr>
      </w:pPr>
    </w:p>
  </w:footnote>
  <w:footnote w:id="48">
    <w:p w14:paraId="57A046F8" w14:textId="77777777" w:rsidR="00A04DF7" w:rsidRPr="00010C05" w:rsidRDefault="00A04DF7" w:rsidP="00A04DF7">
      <w:pPr>
        <w:pStyle w:val="Textonotapie"/>
        <w:ind w:firstLine="709"/>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 </w:t>
      </w:r>
      <w:r w:rsidRPr="00010C05">
        <w:rPr>
          <w:rFonts w:ascii="Arial" w:hAnsi="Arial" w:cs="Arial"/>
          <w:sz w:val="16"/>
          <w:szCs w:val="16"/>
          <w:lang w:val="es-CO"/>
        </w:rPr>
        <w:t xml:space="preserve">Ibídem. Disponible en: </w:t>
      </w:r>
      <w:hyperlink r:id="rId8" w:history="1">
        <w:r w:rsidRPr="00010C05">
          <w:rPr>
            <w:rStyle w:val="Hipervnculo1"/>
            <w:rFonts w:ascii="Arial" w:hAnsi="Arial" w:cs="Arial"/>
            <w:color w:val="auto"/>
            <w:sz w:val="16"/>
            <w:szCs w:val="16"/>
            <w:lang w:val="es-CO"/>
          </w:rPr>
          <w:t>https://www.rae.es/drae2001/an%C3%A1lisis</w:t>
        </w:r>
      </w:hyperlink>
    </w:p>
    <w:p w14:paraId="3ACF8172" w14:textId="77777777" w:rsidR="00A04DF7" w:rsidRPr="00010C05" w:rsidRDefault="00A04DF7" w:rsidP="00A04DF7">
      <w:pPr>
        <w:pStyle w:val="Textonotapie"/>
        <w:ind w:firstLine="709"/>
        <w:rPr>
          <w:rFonts w:ascii="Arial" w:hAnsi="Arial" w:cs="Arial"/>
          <w:sz w:val="16"/>
          <w:szCs w:val="16"/>
          <w:lang w:val="es-CO"/>
        </w:rPr>
      </w:pPr>
    </w:p>
  </w:footnote>
  <w:footnote w:id="49">
    <w:p w14:paraId="45A5B4BA" w14:textId="77777777" w:rsidR="00A04DF7" w:rsidRPr="00010C05" w:rsidRDefault="00A04DF7" w:rsidP="00A04DF7">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 Gaceta del Congreso de la República No.1187/19. Disponible en: </w:t>
      </w:r>
      <w:hyperlink r:id="rId9" w:history="1">
        <w:r w:rsidRPr="00010C05">
          <w:rPr>
            <w:rStyle w:val="Hipervnculo1"/>
            <w:rFonts w:ascii="Arial" w:hAnsi="Arial" w:cs="Arial"/>
            <w:color w:val="auto"/>
            <w:sz w:val="16"/>
            <w:szCs w:val="16"/>
          </w:rPr>
          <w:t>http://leyes.senado.gov.co/proyectos/images/documentos/Textos%20Radicados/Ponencias/2019/gaceta_1187.pdf</w:t>
        </w:r>
      </w:hyperlink>
      <w:r w:rsidRPr="00010C05">
        <w:rPr>
          <w:rFonts w:ascii="Arial" w:hAnsi="Arial" w:cs="Arial"/>
          <w:sz w:val="16"/>
          <w:szCs w:val="16"/>
        </w:rPr>
        <w:t xml:space="preserve"> </w:t>
      </w:r>
    </w:p>
    <w:p w14:paraId="011313E6" w14:textId="77777777" w:rsidR="00A04DF7" w:rsidRPr="00010C05" w:rsidRDefault="00A04DF7" w:rsidP="00A04DF7">
      <w:pPr>
        <w:pStyle w:val="Textonotapie"/>
        <w:ind w:firstLine="709"/>
        <w:rPr>
          <w:rFonts w:ascii="Arial" w:hAnsi="Arial" w:cs="Arial"/>
          <w:sz w:val="16"/>
          <w:szCs w:val="16"/>
          <w:lang w:val="es-CO"/>
        </w:rPr>
      </w:pPr>
    </w:p>
  </w:footnote>
  <w:footnote w:id="50">
    <w:p w14:paraId="53EF073D" w14:textId="77777777" w:rsidR="00A04DF7" w:rsidRPr="00010C05" w:rsidRDefault="00A04DF7" w:rsidP="00A04DF7">
      <w:pPr>
        <w:pStyle w:val="Textonotapie"/>
        <w:ind w:firstLine="709"/>
        <w:jc w:val="both"/>
        <w:rPr>
          <w:rFonts w:ascii="Arial" w:hAnsi="Arial" w:cs="Arial"/>
          <w:sz w:val="16"/>
          <w:szCs w:val="16"/>
        </w:rPr>
      </w:pPr>
    </w:p>
    <w:p w14:paraId="13F5A135" w14:textId="77777777" w:rsidR="00A04DF7" w:rsidRPr="00010C05" w:rsidRDefault="00A04DF7" w:rsidP="00A04DF7">
      <w:pPr>
        <w:pStyle w:val="Textonotapie"/>
        <w:ind w:firstLine="709"/>
        <w:jc w:val="both"/>
        <w:rPr>
          <w:rFonts w:ascii="Arial" w:hAnsi="Arial" w:cs="Arial"/>
          <w:sz w:val="16"/>
          <w:szCs w:val="16"/>
          <w:lang w:val="es-ES"/>
        </w:rPr>
      </w:pPr>
      <w:r w:rsidRPr="00010C05">
        <w:rPr>
          <w:rStyle w:val="Refdenotaalpie"/>
          <w:rFonts w:ascii="Arial" w:hAnsi="Arial" w:cs="Arial"/>
          <w:sz w:val="16"/>
          <w:szCs w:val="16"/>
        </w:rPr>
        <w:footnoteRef/>
      </w:r>
      <w:r w:rsidRPr="00010C05">
        <w:rPr>
          <w:rFonts w:ascii="Arial" w:hAnsi="Arial" w:cs="Arial"/>
          <w:sz w:val="16"/>
          <w:szCs w:val="16"/>
        </w:rPr>
        <w:t xml:space="preserve">Gaceta del Congreso de la República No. 563/18. Disponible en: </w:t>
      </w:r>
      <w:hyperlink r:id="rId10" w:history="1">
        <w:r w:rsidRPr="00010C05">
          <w:rPr>
            <w:rStyle w:val="Hipervnculo1"/>
            <w:rFonts w:ascii="Arial" w:hAnsi="Arial" w:cs="Arial"/>
            <w:color w:val="auto"/>
            <w:sz w:val="16"/>
            <w:szCs w:val="16"/>
          </w:rPr>
          <w:t>http://leyes.senado.gov.co/proyectos/images/documentos/Textos%20Radicados/Ponencias/2018/gaceta_563.pdf</w:t>
        </w:r>
      </w:hyperlink>
      <w:r w:rsidRPr="00010C05">
        <w:rPr>
          <w:rFonts w:ascii="Arial" w:hAnsi="Arial" w:cs="Arial"/>
          <w:sz w:val="16"/>
          <w:szCs w:val="16"/>
          <w:lang w:val="es-ES"/>
        </w:rPr>
        <w:t xml:space="preserve"> </w:t>
      </w:r>
    </w:p>
    <w:p w14:paraId="5136185D" w14:textId="77777777" w:rsidR="00A04DF7" w:rsidRPr="00010C05" w:rsidRDefault="00A04DF7" w:rsidP="00A04DF7">
      <w:pPr>
        <w:pStyle w:val="Textonotapie"/>
        <w:ind w:firstLine="709"/>
        <w:jc w:val="both"/>
        <w:rPr>
          <w:rFonts w:ascii="Arial" w:hAnsi="Arial" w:cs="Arial"/>
          <w:sz w:val="16"/>
          <w:szCs w:val="16"/>
          <w:lang w:val="es-CO"/>
        </w:rPr>
      </w:pPr>
    </w:p>
  </w:footnote>
  <w:footnote w:id="51">
    <w:p w14:paraId="235184C6" w14:textId="33F06A06" w:rsidR="00A04DF7" w:rsidRPr="00010C05" w:rsidRDefault="00A04DF7" w:rsidP="00A04DF7">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Gaceta del Congreso de la República No. 1154/18 Disponible en: </w:t>
      </w:r>
      <w:hyperlink r:id="rId11" w:history="1">
        <w:r w:rsidRPr="00010C05">
          <w:rPr>
            <w:rStyle w:val="Hipervnculo1"/>
            <w:rFonts w:ascii="Arial" w:hAnsi="Arial" w:cs="Arial"/>
            <w:color w:val="auto"/>
            <w:sz w:val="16"/>
            <w:szCs w:val="16"/>
          </w:rPr>
          <w:t>http://leyes.senado.gov.co/proyectos/images/documentos/Textos%20Radicados/Ponencias/2018/gaceta_1154.pdf</w:t>
        </w:r>
      </w:hyperlink>
      <w:r w:rsidRPr="00010C05">
        <w:rPr>
          <w:rFonts w:ascii="Arial" w:hAnsi="Arial" w:cs="Arial"/>
          <w:sz w:val="16"/>
          <w:szCs w:val="16"/>
        </w:rPr>
        <w:t xml:space="preserve"> </w:t>
      </w:r>
    </w:p>
    <w:p w14:paraId="095F635E" w14:textId="77777777" w:rsidR="00A04DF7" w:rsidRPr="00010C05" w:rsidRDefault="00A04DF7" w:rsidP="00A04DF7">
      <w:pPr>
        <w:pStyle w:val="Textonotapie"/>
        <w:ind w:firstLine="709"/>
        <w:jc w:val="both"/>
        <w:rPr>
          <w:rFonts w:ascii="Arial" w:hAnsi="Arial" w:cs="Arial"/>
          <w:sz w:val="16"/>
          <w:szCs w:val="16"/>
          <w:lang w:val="es-CO"/>
        </w:rPr>
      </w:pPr>
    </w:p>
  </w:footnote>
  <w:footnote w:id="52">
    <w:p w14:paraId="2B73D2E9" w14:textId="77777777" w:rsidR="00A04DF7" w:rsidRPr="00010C05" w:rsidRDefault="00A04DF7" w:rsidP="00A04DF7">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Gaceta del Congreso de la República No. 423/19. Disponible en: </w:t>
      </w:r>
      <w:hyperlink r:id="rId12" w:history="1">
        <w:r w:rsidRPr="00010C05">
          <w:rPr>
            <w:rStyle w:val="Hipervnculo1"/>
            <w:rFonts w:ascii="Arial" w:hAnsi="Arial" w:cs="Arial"/>
            <w:color w:val="auto"/>
            <w:sz w:val="16"/>
            <w:szCs w:val="16"/>
          </w:rPr>
          <w:t>http://leyes.senado.gov.co/proyectos/images/documentos/Textos%20Radicados/Ponencias/2019/gaceta_423.pdf</w:t>
        </w:r>
      </w:hyperlink>
      <w:r w:rsidRPr="00010C05">
        <w:rPr>
          <w:rFonts w:ascii="Arial" w:hAnsi="Arial" w:cs="Arial"/>
          <w:sz w:val="16"/>
          <w:szCs w:val="16"/>
        </w:rPr>
        <w:t xml:space="preserve"> </w:t>
      </w:r>
    </w:p>
    <w:p w14:paraId="156EEC3F" w14:textId="77777777" w:rsidR="00A04DF7" w:rsidRPr="00010C05" w:rsidRDefault="00A04DF7" w:rsidP="00A04DF7">
      <w:pPr>
        <w:pStyle w:val="Textonotapie"/>
        <w:ind w:firstLine="709"/>
        <w:jc w:val="both"/>
        <w:rPr>
          <w:rFonts w:ascii="Arial" w:hAnsi="Arial" w:cs="Arial"/>
          <w:sz w:val="16"/>
          <w:szCs w:val="16"/>
          <w:lang w:val="es-CO"/>
        </w:rPr>
      </w:pPr>
    </w:p>
  </w:footnote>
  <w:footnote w:id="53">
    <w:p w14:paraId="5B69D7D2" w14:textId="77777777" w:rsidR="00A04DF7" w:rsidRPr="00010C05" w:rsidRDefault="00A04DF7" w:rsidP="00A04DF7">
      <w:pPr>
        <w:pStyle w:val="Textonotapie"/>
        <w:ind w:firstLine="709"/>
        <w:jc w:val="both"/>
        <w:rPr>
          <w:rFonts w:ascii="Arial" w:hAnsi="Arial" w:cs="Arial"/>
          <w:sz w:val="16"/>
          <w:szCs w:val="16"/>
        </w:rPr>
      </w:pPr>
      <w:r w:rsidRPr="00010C05">
        <w:rPr>
          <w:rStyle w:val="Refdenotaalpie"/>
          <w:rFonts w:ascii="Arial" w:hAnsi="Arial" w:cs="Arial"/>
          <w:sz w:val="16"/>
          <w:szCs w:val="16"/>
        </w:rPr>
        <w:footnoteRef/>
      </w:r>
      <w:r w:rsidRPr="00010C05">
        <w:rPr>
          <w:rFonts w:ascii="Arial" w:hAnsi="Arial" w:cs="Arial"/>
          <w:sz w:val="16"/>
          <w:szCs w:val="16"/>
        </w:rPr>
        <w:t xml:space="preserve">Gaceta del Congreso de la República No. 963/19 Disponible en: </w:t>
      </w:r>
      <w:hyperlink r:id="rId13" w:history="1">
        <w:r w:rsidRPr="00010C05">
          <w:rPr>
            <w:rStyle w:val="Hipervnculo1"/>
            <w:rFonts w:ascii="Arial" w:hAnsi="Arial" w:cs="Arial"/>
            <w:color w:val="auto"/>
            <w:sz w:val="16"/>
            <w:szCs w:val="16"/>
          </w:rPr>
          <w:t>http://leyes.senado.gov.co/proyectos/images/documentos/Textos%20Radicados/Ponencias/2019/gaceta_963.pdf</w:t>
        </w:r>
      </w:hyperlink>
    </w:p>
    <w:p w14:paraId="06897034" w14:textId="77777777" w:rsidR="00A04DF7" w:rsidRPr="00010C05" w:rsidRDefault="00A04DF7" w:rsidP="00A04DF7">
      <w:pPr>
        <w:pStyle w:val="Textonotapie"/>
        <w:ind w:firstLine="709"/>
        <w:jc w:val="both"/>
        <w:rPr>
          <w:rFonts w:ascii="Arial" w:hAnsi="Arial" w:cs="Arial"/>
          <w:sz w:val="16"/>
          <w:szCs w:val="16"/>
          <w:lang w:val="es-CO"/>
        </w:rPr>
      </w:pPr>
    </w:p>
  </w:footnote>
  <w:footnote w:id="54">
    <w:p w14:paraId="61A2375B" w14:textId="77777777" w:rsidR="00A04DF7" w:rsidRPr="00010C05" w:rsidRDefault="00A04DF7" w:rsidP="00A04DF7">
      <w:pPr>
        <w:pStyle w:val="Textonotapie"/>
        <w:ind w:firstLine="709"/>
        <w:jc w:val="both"/>
        <w:rPr>
          <w:rFonts w:ascii="Arial" w:hAnsi="Arial" w:cs="Arial"/>
          <w:sz w:val="16"/>
          <w:szCs w:val="16"/>
          <w:lang w:val="es-CO"/>
        </w:rPr>
      </w:pPr>
      <w:r w:rsidRPr="00010C05">
        <w:rPr>
          <w:rStyle w:val="Refdenotaalpie"/>
          <w:rFonts w:ascii="Arial" w:hAnsi="Arial" w:cs="Arial"/>
          <w:sz w:val="16"/>
          <w:szCs w:val="16"/>
        </w:rPr>
        <w:footnoteRef/>
      </w:r>
      <w:r w:rsidRPr="00010C05">
        <w:rPr>
          <w:rFonts w:ascii="Arial" w:hAnsi="Arial" w:cs="Arial"/>
          <w:sz w:val="16"/>
          <w:szCs w:val="16"/>
        </w:rPr>
        <w:t xml:space="preserve">Gaceta del Congreso de la República No. 1187/19 Disponible en: </w:t>
      </w:r>
      <w:hyperlink r:id="rId14" w:history="1">
        <w:r w:rsidRPr="00010C05">
          <w:rPr>
            <w:rStyle w:val="Hipervnculo1"/>
            <w:rFonts w:ascii="Arial" w:hAnsi="Arial" w:cs="Arial"/>
            <w:color w:val="auto"/>
            <w:sz w:val="16"/>
            <w:szCs w:val="16"/>
          </w:rPr>
          <w:t>http://leyes.senado.gov.co/proyectos/images/documentos/Textos%20Radicados/Ponencias/2019/gaceta_1187.pdf</w:t>
        </w:r>
      </w:hyperlink>
      <w:r w:rsidRPr="00010C0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EF0736"/>
    <w:multiLevelType w:val="hybridMultilevel"/>
    <w:tmpl w:val="AB3E0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941F0"/>
    <w:multiLevelType w:val="hybridMultilevel"/>
    <w:tmpl w:val="AF386AC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6" w15:restartNumberingAfterBreak="0">
    <w:nsid w:val="7FFD70A4"/>
    <w:multiLevelType w:val="hybridMultilevel"/>
    <w:tmpl w:val="27344D9C"/>
    <w:lvl w:ilvl="0" w:tplc="128E1BB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500395951">
    <w:abstractNumId w:val="4"/>
  </w:num>
  <w:num w:numId="2" w16cid:durableId="1408454564">
    <w:abstractNumId w:val="0"/>
  </w:num>
  <w:num w:numId="3" w16cid:durableId="1897622572">
    <w:abstractNumId w:val="3"/>
  </w:num>
  <w:num w:numId="4" w16cid:durableId="362480315">
    <w:abstractNumId w:val="6"/>
  </w:num>
  <w:num w:numId="5" w16cid:durableId="183321833">
    <w:abstractNumId w:val="1"/>
  </w:num>
  <w:num w:numId="6" w16cid:durableId="1973319956">
    <w:abstractNumId w:val="2"/>
  </w:num>
  <w:num w:numId="7" w16cid:durableId="81745637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C05"/>
    <w:rsid w:val="00021C90"/>
    <w:rsid w:val="00024C50"/>
    <w:rsid w:val="00032D18"/>
    <w:rsid w:val="00034443"/>
    <w:rsid w:val="00043510"/>
    <w:rsid w:val="00045A63"/>
    <w:rsid w:val="00083334"/>
    <w:rsid w:val="00086FAF"/>
    <w:rsid w:val="000956CF"/>
    <w:rsid w:val="000A683E"/>
    <w:rsid w:val="000B15B6"/>
    <w:rsid w:val="000B76FB"/>
    <w:rsid w:val="000E22CF"/>
    <w:rsid w:val="000F419E"/>
    <w:rsid w:val="0010264E"/>
    <w:rsid w:val="00114227"/>
    <w:rsid w:val="00114264"/>
    <w:rsid w:val="0011595A"/>
    <w:rsid w:val="00116172"/>
    <w:rsid w:val="001220C5"/>
    <w:rsid w:val="001267F7"/>
    <w:rsid w:val="00127233"/>
    <w:rsid w:val="00130999"/>
    <w:rsid w:val="00140064"/>
    <w:rsid w:val="00164D81"/>
    <w:rsid w:val="001A1011"/>
    <w:rsid w:val="001A48D0"/>
    <w:rsid w:val="001A5B0F"/>
    <w:rsid w:val="001B315D"/>
    <w:rsid w:val="001F1B87"/>
    <w:rsid w:val="00201E7E"/>
    <w:rsid w:val="00215B62"/>
    <w:rsid w:val="00221164"/>
    <w:rsid w:val="00230025"/>
    <w:rsid w:val="00257C83"/>
    <w:rsid w:val="002611CD"/>
    <w:rsid w:val="002653C1"/>
    <w:rsid w:val="0026611D"/>
    <w:rsid w:val="00273853"/>
    <w:rsid w:val="00293C48"/>
    <w:rsid w:val="002951A0"/>
    <w:rsid w:val="00296C13"/>
    <w:rsid w:val="002A64FD"/>
    <w:rsid w:val="002B0FB9"/>
    <w:rsid w:val="002B5CEC"/>
    <w:rsid w:val="002B683C"/>
    <w:rsid w:val="002F0839"/>
    <w:rsid w:val="002F18C0"/>
    <w:rsid w:val="00301469"/>
    <w:rsid w:val="00306EE1"/>
    <w:rsid w:val="00310B9B"/>
    <w:rsid w:val="00311CB0"/>
    <w:rsid w:val="003135B7"/>
    <w:rsid w:val="00337C33"/>
    <w:rsid w:val="00345127"/>
    <w:rsid w:val="0036461C"/>
    <w:rsid w:val="00364E5C"/>
    <w:rsid w:val="00367884"/>
    <w:rsid w:val="00392C2B"/>
    <w:rsid w:val="0039439C"/>
    <w:rsid w:val="003A2E92"/>
    <w:rsid w:val="003B69E7"/>
    <w:rsid w:val="003C013B"/>
    <w:rsid w:val="003C5FAE"/>
    <w:rsid w:val="003C6ED7"/>
    <w:rsid w:val="003D0F4D"/>
    <w:rsid w:val="003D4A6A"/>
    <w:rsid w:val="003F58A1"/>
    <w:rsid w:val="003F7574"/>
    <w:rsid w:val="00410DD6"/>
    <w:rsid w:val="0041202C"/>
    <w:rsid w:val="004134C9"/>
    <w:rsid w:val="00420D03"/>
    <w:rsid w:val="00421C3E"/>
    <w:rsid w:val="00430AA1"/>
    <w:rsid w:val="0043138C"/>
    <w:rsid w:val="00434B61"/>
    <w:rsid w:val="00462A59"/>
    <w:rsid w:val="004642FE"/>
    <w:rsid w:val="00466A84"/>
    <w:rsid w:val="00476F7F"/>
    <w:rsid w:val="00480190"/>
    <w:rsid w:val="00491741"/>
    <w:rsid w:val="004956BE"/>
    <w:rsid w:val="004A11D8"/>
    <w:rsid w:val="004A1847"/>
    <w:rsid w:val="004B1A9E"/>
    <w:rsid w:val="004B6B0E"/>
    <w:rsid w:val="004C25B2"/>
    <w:rsid w:val="004D25B3"/>
    <w:rsid w:val="004F2E0F"/>
    <w:rsid w:val="00511405"/>
    <w:rsid w:val="00526E9D"/>
    <w:rsid w:val="00543179"/>
    <w:rsid w:val="00547856"/>
    <w:rsid w:val="00547A74"/>
    <w:rsid w:val="00547B32"/>
    <w:rsid w:val="00555890"/>
    <w:rsid w:val="005566E8"/>
    <w:rsid w:val="00563B6E"/>
    <w:rsid w:val="00572C99"/>
    <w:rsid w:val="005746AB"/>
    <w:rsid w:val="0059357F"/>
    <w:rsid w:val="00594F8F"/>
    <w:rsid w:val="005A1130"/>
    <w:rsid w:val="005A59ED"/>
    <w:rsid w:val="005B6D67"/>
    <w:rsid w:val="005D1E27"/>
    <w:rsid w:val="005D65C8"/>
    <w:rsid w:val="005F69F1"/>
    <w:rsid w:val="005F7214"/>
    <w:rsid w:val="00604247"/>
    <w:rsid w:val="006219F8"/>
    <w:rsid w:val="006501A0"/>
    <w:rsid w:val="00655A1B"/>
    <w:rsid w:val="00662FA2"/>
    <w:rsid w:val="00671738"/>
    <w:rsid w:val="006765BF"/>
    <w:rsid w:val="00681FDB"/>
    <w:rsid w:val="006A05AE"/>
    <w:rsid w:val="006A76CD"/>
    <w:rsid w:val="006A7DAD"/>
    <w:rsid w:val="006C2934"/>
    <w:rsid w:val="006D70BA"/>
    <w:rsid w:val="006D79FE"/>
    <w:rsid w:val="006E4C53"/>
    <w:rsid w:val="006E62C0"/>
    <w:rsid w:val="006F5770"/>
    <w:rsid w:val="0071177C"/>
    <w:rsid w:val="007317BC"/>
    <w:rsid w:val="007566FE"/>
    <w:rsid w:val="00757CE0"/>
    <w:rsid w:val="00764244"/>
    <w:rsid w:val="0076726F"/>
    <w:rsid w:val="0077144B"/>
    <w:rsid w:val="00785E55"/>
    <w:rsid w:val="00793403"/>
    <w:rsid w:val="007A3AD8"/>
    <w:rsid w:val="007B124B"/>
    <w:rsid w:val="007C0CDF"/>
    <w:rsid w:val="007C14CC"/>
    <w:rsid w:val="007C7D9B"/>
    <w:rsid w:val="007D4857"/>
    <w:rsid w:val="007E2A2F"/>
    <w:rsid w:val="007F2B7C"/>
    <w:rsid w:val="007F7A9A"/>
    <w:rsid w:val="0080229E"/>
    <w:rsid w:val="00805B64"/>
    <w:rsid w:val="008105A5"/>
    <w:rsid w:val="00811651"/>
    <w:rsid w:val="00817DC0"/>
    <w:rsid w:val="00820F5B"/>
    <w:rsid w:val="00833452"/>
    <w:rsid w:val="00856588"/>
    <w:rsid w:val="0085704D"/>
    <w:rsid w:val="008614E5"/>
    <w:rsid w:val="008678EB"/>
    <w:rsid w:val="00875894"/>
    <w:rsid w:val="00881C10"/>
    <w:rsid w:val="00890411"/>
    <w:rsid w:val="008A032C"/>
    <w:rsid w:val="008B45FA"/>
    <w:rsid w:val="008C0E47"/>
    <w:rsid w:val="008D5C70"/>
    <w:rsid w:val="008D7C2D"/>
    <w:rsid w:val="008E5E8B"/>
    <w:rsid w:val="008F1560"/>
    <w:rsid w:val="009025AF"/>
    <w:rsid w:val="00904F23"/>
    <w:rsid w:val="00906B3C"/>
    <w:rsid w:val="009153D0"/>
    <w:rsid w:val="009321E3"/>
    <w:rsid w:val="0095342C"/>
    <w:rsid w:val="00954B44"/>
    <w:rsid w:val="0096397C"/>
    <w:rsid w:val="009866C3"/>
    <w:rsid w:val="009A715C"/>
    <w:rsid w:val="009C469D"/>
    <w:rsid w:val="009F33F2"/>
    <w:rsid w:val="009F6C77"/>
    <w:rsid w:val="009F745E"/>
    <w:rsid w:val="00A04DF7"/>
    <w:rsid w:val="00A05E74"/>
    <w:rsid w:val="00A07532"/>
    <w:rsid w:val="00A1085C"/>
    <w:rsid w:val="00A11316"/>
    <w:rsid w:val="00A14890"/>
    <w:rsid w:val="00A15436"/>
    <w:rsid w:val="00A2064E"/>
    <w:rsid w:val="00A309E2"/>
    <w:rsid w:val="00A33061"/>
    <w:rsid w:val="00A8066E"/>
    <w:rsid w:val="00A81278"/>
    <w:rsid w:val="00A82F72"/>
    <w:rsid w:val="00A83C11"/>
    <w:rsid w:val="00A93AA1"/>
    <w:rsid w:val="00A93B66"/>
    <w:rsid w:val="00AA4B8A"/>
    <w:rsid w:val="00AA6BF7"/>
    <w:rsid w:val="00AE3679"/>
    <w:rsid w:val="00AE734C"/>
    <w:rsid w:val="00AE7DE8"/>
    <w:rsid w:val="00AF786E"/>
    <w:rsid w:val="00B01ED6"/>
    <w:rsid w:val="00B06D09"/>
    <w:rsid w:val="00B2401B"/>
    <w:rsid w:val="00B514AD"/>
    <w:rsid w:val="00B548C8"/>
    <w:rsid w:val="00B771A9"/>
    <w:rsid w:val="00B809BB"/>
    <w:rsid w:val="00B8248A"/>
    <w:rsid w:val="00B83935"/>
    <w:rsid w:val="00B947F3"/>
    <w:rsid w:val="00B95B14"/>
    <w:rsid w:val="00BA5DA1"/>
    <w:rsid w:val="00BA5F2F"/>
    <w:rsid w:val="00BB7726"/>
    <w:rsid w:val="00BE347C"/>
    <w:rsid w:val="00C07B23"/>
    <w:rsid w:val="00C2174C"/>
    <w:rsid w:val="00C2244C"/>
    <w:rsid w:val="00C2329E"/>
    <w:rsid w:val="00C30461"/>
    <w:rsid w:val="00C47D1D"/>
    <w:rsid w:val="00C50195"/>
    <w:rsid w:val="00C754BE"/>
    <w:rsid w:val="00C813FC"/>
    <w:rsid w:val="00C814A1"/>
    <w:rsid w:val="00C87572"/>
    <w:rsid w:val="00C9405D"/>
    <w:rsid w:val="00CB683F"/>
    <w:rsid w:val="00CC1B26"/>
    <w:rsid w:val="00CC4978"/>
    <w:rsid w:val="00CD284F"/>
    <w:rsid w:val="00CF23AA"/>
    <w:rsid w:val="00D01921"/>
    <w:rsid w:val="00D111EE"/>
    <w:rsid w:val="00D22AEE"/>
    <w:rsid w:val="00D379B9"/>
    <w:rsid w:val="00D46722"/>
    <w:rsid w:val="00D5736D"/>
    <w:rsid w:val="00D57587"/>
    <w:rsid w:val="00D752B7"/>
    <w:rsid w:val="00D92C2C"/>
    <w:rsid w:val="00D97E6C"/>
    <w:rsid w:val="00DA1854"/>
    <w:rsid w:val="00DA40C4"/>
    <w:rsid w:val="00DA6414"/>
    <w:rsid w:val="00DB0887"/>
    <w:rsid w:val="00DF028A"/>
    <w:rsid w:val="00DF1E43"/>
    <w:rsid w:val="00E05E39"/>
    <w:rsid w:val="00E20894"/>
    <w:rsid w:val="00E26B7C"/>
    <w:rsid w:val="00E32246"/>
    <w:rsid w:val="00E3623A"/>
    <w:rsid w:val="00E74A4C"/>
    <w:rsid w:val="00E76F95"/>
    <w:rsid w:val="00EA3003"/>
    <w:rsid w:val="00EB3C91"/>
    <w:rsid w:val="00EB66DA"/>
    <w:rsid w:val="00EB6B39"/>
    <w:rsid w:val="00F13E89"/>
    <w:rsid w:val="00F21940"/>
    <w:rsid w:val="00F3635D"/>
    <w:rsid w:val="00F40FA6"/>
    <w:rsid w:val="00F47EC6"/>
    <w:rsid w:val="00F522A2"/>
    <w:rsid w:val="00F57BE9"/>
    <w:rsid w:val="00F605F2"/>
    <w:rsid w:val="00F76AFC"/>
    <w:rsid w:val="00F8319B"/>
    <w:rsid w:val="00FA5516"/>
    <w:rsid w:val="00FB2F69"/>
    <w:rsid w:val="00FD6F73"/>
    <w:rsid w:val="00FE2352"/>
    <w:rsid w:val="00FF0609"/>
    <w:rsid w:val="0571B3A3"/>
    <w:rsid w:val="1CC63BF5"/>
    <w:rsid w:val="201411AF"/>
    <w:rsid w:val="2F9951DC"/>
    <w:rsid w:val="3EA2D60F"/>
    <w:rsid w:val="5F189484"/>
    <w:rsid w:val="60BEB841"/>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A3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A33061"/>
    <w:rPr>
      <w:color w:val="F2F2F2"/>
      <w:u w:val="single"/>
    </w:rPr>
  </w:style>
  <w:style w:type="paragraph" w:customStyle="1" w:styleId="Appelnotedebasde">
    <w:name w:val="Appel note de bas de..."/>
    <w:basedOn w:val="Normal"/>
    <w:link w:val="Refdenotaalpie"/>
    <w:uiPriority w:val="99"/>
    <w:rsid w:val="00A33061"/>
    <w:pPr>
      <w:spacing w:line="240" w:lineRule="exact"/>
    </w:pPr>
    <w:rPr>
      <w:vertAlign w:val="superscript"/>
    </w:rPr>
  </w:style>
  <w:style w:type="paragraph" w:styleId="NormalWeb">
    <w:name w:val="Normal (Web)"/>
    <w:basedOn w:val="Normal"/>
    <w:uiPriority w:val="99"/>
    <w:semiHidden/>
    <w:unhideWhenUsed/>
    <w:rsid w:val="00A330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A33061"/>
    <w:pPr>
      <w:spacing w:after="0" w:line="240" w:lineRule="auto"/>
    </w:pPr>
    <w:rPr>
      <w:sz w:val="24"/>
      <w:lang w:val="es-MX"/>
    </w:rPr>
  </w:style>
  <w:style w:type="character" w:styleId="Hipervnculo">
    <w:name w:val="Hyperlink"/>
    <w:basedOn w:val="Fuentedeprrafopredeter"/>
    <w:uiPriority w:val="99"/>
    <w:unhideWhenUsed/>
    <w:rsid w:val="005A59ED"/>
    <w:rPr>
      <w:color w:val="0563C1" w:themeColor="hyperlink"/>
      <w:u w:val="single"/>
    </w:rPr>
  </w:style>
  <w:style w:type="character" w:styleId="Mencinsinresolver">
    <w:name w:val="Unresolved Mention"/>
    <w:basedOn w:val="Fuentedeprrafopredeter"/>
    <w:uiPriority w:val="99"/>
    <w:semiHidden/>
    <w:unhideWhenUsed/>
    <w:rsid w:val="002F18C0"/>
    <w:rPr>
      <w:color w:val="605E5C"/>
      <w:shd w:val="clear" w:color="auto" w:fill="E1DFDD"/>
    </w:rPr>
  </w:style>
  <w:style w:type="paragraph" w:styleId="Textoindependiente">
    <w:name w:val="Body Text"/>
    <w:basedOn w:val="Normal"/>
    <w:link w:val="TextoindependienteCar"/>
    <w:uiPriority w:val="99"/>
    <w:semiHidden/>
    <w:unhideWhenUsed/>
    <w:rsid w:val="00DF028A"/>
    <w:pPr>
      <w:spacing w:after="120"/>
    </w:pPr>
  </w:style>
  <w:style w:type="character" w:customStyle="1" w:styleId="TextoindependienteCar">
    <w:name w:val="Texto independiente Car"/>
    <w:basedOn w:val="Fuentedeprrafopredeter"/>
    <w:link w:val="Textoindependiente"/>
    <w:uiPriority w:val="99"/>
    <w:semiHidden/>
    <w:rsid w:val="00DF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0783">
      <w:bodyDiv w:val="1"/>
      <w:marLeft w:val="0"/>
      <w:marRight w:val="0"/>
      <w:marTop w:val="0"/>
      <w:marBottom w:val="0"/>
      <w:divBdr>
        <w:top w:val="none" w:sz="0" w:space="0" w:color="auto"/>
        <w:left w:val="none" w:sz="0" w:space="0" w:color="auto"/>
        <w:bottom w:val="none" w:sz="0" w:space="0" w:color="auto"/>
        <w:right w:val="none" w:sz="0" w:space="0" w:color="auto"/>
      </w:divBdr>
      <w:divsChild>
        <w:div w:id="1971015327">
          <w:marLeft w:val="0"/>
          <w:marRight w:val="0"/>
          <w:marTop w:val="0"/>
          <w:marBottom w:val="0"/>
          <w:divBdr>
            <w:top w:val="none" w:sz="0" w:space="0" w:color="auto"/>
            <w:left w:val="none" w:sz="0" w:space="0" w:color="auto"/>
            <w:bottom w:val="none" w:sz="0" w:space="0" w:color="auto"/>
            <w:right w:val="none" w:sz="0" w:space="0" w:color="auto"/>
          </w:divBdr>
          <w:divsChild>
            <w:div w:id="359358367">
              <w:marLeft w:val="0"/>
              <w:marRight w:val="0"/>
              <w:marTop w:val="0"/>
              <w:marBottom w:val="0"/>
              <w:divBdr>
                <w:top w:val="none" w:sz="0" w:space="0" w:color="auto"/>
                <w:left w:val="none" w:sz="0" w:space="0" w:color="auto"/>
                <w:bottom w:val="none" w:sz="0" w:space="0" w:color="auto"/>
                <w:right w:val="none" w:sz="0" w:space="0" w:color="auto"/>
              </w:divBdr>
            </w:div>
          </w:divsChild>
        </w:div>
        <w:div w:id="892616018">
          <w:marLeft w:val="0"/>
          <w:marRight w:val="0"/>
          <w:marTop w:val="0"/>
          <w:marBottom w:val="0"/>
          <w:divBdr>
            <w:top w:val="none" w:sz="0" w:space="0" w:color="auto"/>
            <w:left w:val="none" w:sz="0" w:space="0" w:color="auto"/>
            <w:bottom w:val="none" w:sz="0" w:space="0" w:color="auto"/>
            <w:right w:val="none" w:sz="0" w:space="0" w:color="auto"/>
          </w:divBdr>
          <w:divsChild>
            <w:div w:id="11377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shg93@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rae.es/drae2001/an%C3%A1lisis" TargetMode="External"/><Relationship Id="rId13" Type="http://schemas.openxmlformats.org/officeDocument/2006/relationships/hyperlink" Target="http://leyes.senado.gov.co/proyectos/images/documentos/Textos%20Radicados/Ponencias/2019/gaceta_963.pdf" TargetMode="External"/><Relationship Id="rId3" Type="http://schemas.openxmlformats.org/officeDocument/2006/relationships/hyperlink" Target="http://svrpubindc.imprenta.gov.co/senado/index.xhtml;jsessionid=b3ba7213a248bacd37376ffcedca" TargetMode="External"/><Relationship Id="rId7" Type="http://schemas.openxmlformats.org/officeDocument/2006/relationships/hyperlink" Target="https://dle.rae.es/consultar" TargetMode="External"/><Relationship Id="rId12" Type="http://schemas.openxmlformats.org/officeDocument/2006/relationships/hyperlink" Target="http://leyes.senado.gov.co/proyectos/images/documentos/Textos%20Radicados/Ponencias/2019/gaceta_423.pdf" TargetMode="External"/><Relationship Id="rId2" Type="http://schemas.openxmlformats.org/officeDocument/2006/relationships/hyperlink" Target="http://www.secretariasenado.gov.co/senado/basedoc/decreto_0019_2012_pr004.html"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colombiacompra.gov.co/documentos-tipo/documentos-tipo" TargetMode="External"/><Relationship Id="rId11" Type="http://schemas.openxmlformats.org/officeDocument/2006/relationships/hyperlink" Target="http://leyes.senado.gov.co/proyectos/images/documentos/Textos%20Radicados/Ponencias/2018/gaceta_1154.pdf" TargetMode="External"/><Relationship Id="rId5" Type="http://schemas.openxmlformats.org/officeDocument/2006/relationships/hyperlink" Target="https://www.contraloria.gov.co/web/relatoria/normatividad-y-relatoria" TargetMode="External"/><Relationship Id="rId10" Type="http://schemas.openxmlformats.org/officeDocument/2006/relationships/hyperlink" Target="http://leyes.senado.gov.co/proyectos/images/documentos/Textos%20Radicados/Ponencias/2018/gaceta_563.pdf" TargetMode="External"/><Relationship Id="rId4" Type="http://schemas.openxmlformats.org/officeDocument/2006/relationships/hyperlink" Target="https://www.contraloria.gov.co/documents/20181/1776254/CIRCULAR_2020EE0096013_REGISTRO_NACIONAL_OBRAS_INCONCLUSAS.PDF/785952d4-4b41-48cb-916b-4881c3b4a095" TargetMode="External"/><Relationship Id="rId9" Type="http://schemas.openxmlformats.org/officeDocument/2006/relationships/hyperlink" Target="http://leyes.senado.gov.co/proyectos/images/documentos/Textos%20Radicados/Ponencias/2019/gaceta_1187.pdf" TargetMode="External"/><Relationship Id="rId14" Type="http://schemas.openxmlformats.org/officeDocument/2006/relationships/hyperlink" Target="http://leyes.senado.gov.co/proyectos/images/documentos/Textos%20Radicados/Ponencias/2019/gaceta_118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82F38F7C-9533-4E55-BA53-005BF88A3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39</Pages>
  <Words>15414</Words>
  <Characters>84777</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64</cp:revision>
  <dcterms:created xsi:type="dcterms:W3CDTF">2023-08-25T01:30:00Z</dcterms:created>
  <dcterms:modified xsi:type="dcterms:W3CDTF">2023-09-01T01:35:00Z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