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C6BFF" w:rsidR="00E37FE9" w:rsidP="00E37FE9" w:rsidRDefault="00E37FE9" w14:paraId="20EBCB92" w14:textId="026103C9">
      <w:pPr>
        <w:spacing w:after="0" w:line="240" w:lineRule="auto"/>
        <w:contextualSpacing/>
        <w:jc w:val="both"/>
        <w:rPr>
          <w:rFonts w:ascii="Arial" w:hAnsi="Arial" w:eastAsia="Times New Roman" w:cs="Arial"/>
          <w:b/>
          <w:lang w:eastAsia="es-ES_tradnl"/>
        </w:rPr>
      </w:pPr>
      <w:r w:rsidRPr="006C6BFF">
        <w:rPr>
          <w:rFonts w:ascii="Arial" w:hAnsi="Arial" w:eastAsia="Times New Roman" w:cs="Arial"/>
          <w:b/>
          <w:lang w:val="es-MX" w:eastAsia="es-ES_tradnl"/>
        </w:rPr>
        <w:t xml:space="preserve">SOCIEDAD DE ECONOMÍA MIXTA – Naturaleza jurídica </w:t>
      </w:r>
      <w:r w:rsidRPr="006C6BFF">
        <w:rPr>
          <w:rFonts w:ascii="Arial" w:hAnsi="Arial" w:eastAsia="Times New Roman" w:cs="Arial"/>
          <w:b/>
          <w:lang w:eastAsia="es-ES_tradnl"/>
        </w:rPr>
        <w:t>– Régimen de contratación</w:t>
      </w:r>
    </w:p>
    <w:p w:rsidRPr="006C6BFF" w:rsidR="00E37FE9" w:rsidP="00E37FE9" w:rsidRDefault="00E37FE9" w14:paraId="10ED5458" w14:textId="77777777">
      <w:pPr>
        <w:spacing w:after="0" w:line="240" w:lineRule="auto"/>
        <w:contextualSpacing/>
        <w:jc w:val="both"/>
        <w:rPr>
          <w:rFonts w:ascii="Arial" w:hAnsi="Arial" w:eastAsia="Times New Roman" w:cs="Arial"/>
          <w:b/>
          <w:sz w:val="20"/>
          <w:szCs w:val="20"/>
          <w:lang w:eastAsia="es-ES_tradnl"/>
        </w:rPr>
      </w:pPr>
    </w:p>
    <w:p w:rsidRPr="006C6BFF" w:rsidR="00E37FE9" w:rsidP="00E37FE9" w:rsidRDefault="00E37FE9" w14:paraId="7BC95F33" w14:textId="77777777">
      <w:pPr>
        <w:spacing w:after="0" w:line="240" w:lineRule="auto"/>
        <w:contextualSpacing/>
        <w:jc w:val="both"/>
        <w:textAlignment w:val="baseline"/>
        <w:rPr>
          <w:rFonts w:ascii="Arial" w:hAnsi="Arial" w:eastAsia="Times New Roman" w:cs="Arial"/>
          <w:sz w:val="20"/>
          <w:szCs w:val="20"/>
          <w:lang w:val="es-ES_tradnl" w:eastAsia="es-MX"/>
        </w:rPr>
      </w:pPr>
      <w:r w:rsidRPr="006C6BFF">
        <w:rPr>
          <w:rFonts w:ascii="Arial" w:hAnsi="Arial" w:eastAsia="Times New Roman" w:cs="Arial"/>
          <w:sz w:val="20"/>
          <w:szCs w:val="20"/>
          <w:lang w:val="es-ES_tradnl" w:eastAsia="es-MX"/>
        </w:rPr>
        <w:t>En este orden de ideas, resulta importante resaltar que, en nuestro ordenamiento jurídico, las sociedades de economía mixta están sometidas a un régimen jurídico compuesto por un conjunto normativo de derecho público y de derecho privado; el primero, derivado directamente de la Constitución Política y referido a aspectos como su creación, autorización, organización y funcionamiento internos. Y el segundo destinado a regir el desarrollo de la actividad económica de cada sociedad.</w:t>
      </w:r>
    </w:p>
    <w:p w:rsidR="00E37FE9" w:rsidP="00E37FE9" w:rsidRDefault="00E37FE9" w14:paraId="7756204F" w14:textId="77777777">
      <w:pPr>
        <w:spacing w:after="0" w:line="240" w:lineRule="auto"/>
        <w:contextualSpacing/>
        <w:jc w:val="both"/>
        <w:rPr>
          <w:rFonts w:ascii="Arial" w:hAnsi="Arial" w:eastAsia="Times New Roman" w:cs="Arial"/>
          <w:sz w:val="20"/>
          <w:szCs w:val="20"/>
          <w:lang w:val="es-ES_tradnl" w:eastAsia="es-ES_tradnl"/>
        </w:rPr>
      </w:pPr>
    </w:p>
    <w:p w:rsidRPr="006C6BFF" w:rsidR="00E37FE9" w:rsidP="00E37FE9" w:rsidRDefault="00E37FE9" w14:paraId="3E226F69" w14:textId="77777777">
      <w:pPr>
        <w:spacing w:after="0" w:line="240" w:lineRule="auto"/>
        <w:contextualSpacing/>
        <w:jc w:val="both"/>
        <w:rPr>
          <w:rFonts w:ascii="Arial" w:hAnsi="Arial" w:eastAsia="Times New Roman" w:cs="Arial"/>
          <w:sz w:val="20"/>
          <w:szCs w:val="20"/>
          <w:lang w:val="es-ES_tradnl" w:eastAsia="es-ES_tradnl"/>
        </w:rPr>
      </w:pPr>
      <w:r w:rsidRPr="006C6BFF">
        <w:rPr>
          <w:rFonts w:ascii="Arial" w:hAnsi="Arial" w:eastAsia="Times New Roman" w:cs="Arial"/>
          <w:sz w:val="20"/>
          <w:szCs w:val="20"/>
          <w:lang w:val="es-ES_tradnl" w:eastAsia="es-ES_tradnl"/>
        </w:rPr>
        <w:t>[…]</w:t>
      </w:r>
      <w:r>
        <w:rPr>
          <w:rFonts w:ascii="Arial" w:hAnsi="Arial" w:eastAsia="Times New Roman" w:cs="Arial"/>
          <w:sz w:val="20"/>
          <w:szCs w:val="20"/>
          <w:lang w:val="es-ES_tradnl" w:eastAsia="es-ES_tradnl"/>
        </w:rPr>
        <w:t xml:space="preserve"> </w:t>
      </w:r>
      <w:r w:rsidRPr="006C6BFF">
        <w:rPr>
          <w:rFonts w:ascii="Arial" w:hAnsi="Arial" w:eastAsia="Times New Roman" w:cs="Arial"/>
          <w:sz w:val="20"/>
          <w:szCs w:val="20"/>
          <w:lang w:val="es-ES_tradnl" w:eastAsia="es-MX"/>
        </w:rPr>
        <w:t>Así las cosas, las sociedades de economía mixta sometidas al EGCAP son aquellas en las que el aporte del Estado es superior al cincuenta por ciento (50%) y además las actuaciones que adelantan no se encuentran en competencia con el sector privado o público, nacional o internacional o en mercados regulados. Por el contrario, las sociedades de economía mixta en las que el Estado tenga una participación menor al cincuenta por ciento (50%) o en los casos que desarrollan actividades comerciales en competencia con el sector privado y/o público, nacional o internacional, o en mercados regulados se regirán por las disposiciones legales y reglamentarias aplicables a sus actividades económicas y comerciales, lo que implica acudir usualmente al derecho privado.</w:t>
      </w:r>
    </w:p>
    <w:p w:rsidRPr="006C6BFF" w:rsidR="00E37FE9" w:rsidP="00E37FE9" w:rsidRDefault="00E37FE9" w14:paraId="4A18DA99" w14:textId="77777777">
      <w:pPr>
        <w:spacing w:after="0" w:line="240" w:lineRule="auto"/>
        <w:contextualSpacing/>
        <w:jc w:val="both"/>
        <w:rPr>
          <w:rFonts w:ascii="Arial" w:hAnsi="Arial" w:eastAsia="Times New Roman" w:cs="Arial"/>
          <w:b/>
          <w:sz w:val="20"/>
          <w:szCs w:val="20"/>
          <w:lang w:val="es-ES_tradnl" w:eastAsia="es-ES_tradnl"/>
        </w:rPr>
      </w:pPr>
    </w:p>
    <w:p w:rsidRPr="006C6BFF" w:rsidR="00E37FE9" w:rsidP="00E37FE9" w:rsidRDefault="00E37FE9" w14:paraId="3686F60D" w14:textId="77777777">
      <w:pPr>
        <w:spacing w:after="0" w:line="240" w:lineRule="auto"/>
        <w:contextualSpacing/>
        <w:jc w:val="both"/>
        <w:rPr>
          <w:rFonts w:ascii="Arial" w:hAnsi="Arial" w:eastAsia="Times New Roman" w:cs="Arial"/>
          <w:b/>
          <w:lang w:eastAsia="es-ES_tradnl"/>
        </w:rPr>
      </w:pPr>
      <w:r w:rsidRPr="006C6BFF">
        <w:rPr>
          <w:rFonts w:ascii="Arial" w:hAnsi="Arial" w:eastAsia="Times New Roman" w:cs="Arial"/>
          <w:b/>
          <w:lang w:val="es-MX" w:eastAsia="es-ES_tradnl"/>
        </w:rPr>
        <w:t>EMPRESAS INDUSTRIALES Y COMERCIALES DEL ESTADO – Naturaleza Jurídica –</w:t>
      </w:r>
      <w:r w:rsidRPr="006C6BFF">
        <w:rPr>
          <w:rFonts w:ascii="Arial" w:hAnsi="Arial" w:eastAsia="Times New Roman" w:cs="Arial"/>
          <w:b/>
          <w:lang w:eastAsia="es-ES_tradnl"/>
        </w:rPr>
        <w:t xml:space="preserve"> </w:t>
      </w:r>
      <w:r w:rsidRPr="006C6BFF">
        <w:rPr>
          <w:rFonts w:ascii="Arial" w:hAnsi="Arial" w:eastAsia="Times New Roman" w:cs="Arial"/>
          <w:b/>
          <w:lang w:val="es-MX" w:eastAsia="es-ES_tradnl"/>
        </w:rPr>
        <w:t>Régimen de contratación</w:t>
      </w:r>
      <w:r w:rsidRPr="006C6BFF">
        <w:rPr>
          <w:rFonts w:ascii="Arial" w:hAnsi="Arial" w:eastAsia="Times New Roman" w:cs="Arial"/>
          <w:b/>
          <w:lang w:eastAsia="es-ES_tradnl"/>
        </w:rPr>
        <w:t xml:space="preserve"> </w:t>
      </w:r>
    </w:p>
    <w:p w:rsidRPr="006C6BFF" w:rsidR="00E37FE9" w:rsidP="00E37FE9" w:rsidRDefault="00E37FE9" w14:paraId="729A1BB9" w14:textId="77777777">
      <w:pPr>
        <w:autoSpaceDE w:val="0"/>
        <w:autoSpaceDN w:val="0"/>
        <w:adjustRightInd w:val="0"/>
        <w:spacing w:after="0" w:line="240" w:lineRule="auto"/>
        <w:contextualSpacing/>
        <w:jc w:val="both"/>
        <w:rPr>
          <w:rFonts w:ascii="Arial" w:hAnsi="Arial" w:cs="Arial"/>
          <w:sz w:val="20"/>
          <w:szCs w:val="20"/>
          <w:lang w:val="es-ES_tradnl"/>
        </w:rPr>
      </w:pPr>
    </w:p>
    <w:p w:rsidR="00E37FE9" w:rsidP="00E37FE9" w:rsidRDefault="00E37FE9" w14:paraId="1D268198" w14:textId="77777777">
      <w:pPr>
        <w:spacing w:after="0" w:line="240" w:lineRule="auto"/>
        <w:contextualSpacing/>
        <w:jc w:val="both"/>
        <w:rPr>
          <w:rFonts w:ascii="Arial" w:hAnsi="Arial" w:cs="Arial"/>
          <w:sz w:val="20"/>
          <w:szCs w:val="20"/>
        </w:rPr>
      </w:pPr>
      <w:r w:rsidRPr="006C6BFF">
        <w:rPr>
          <w:rFonts w:ascii="Arial" w:hAnsi="Arial" w:cs="Arial"/>
          <w:sz w:val="20"/>
          <w:szCs w:val="20"/>
        </w:rPr>
        <w:t xml:space="preserve">Por lo tanto, las EICE, las sociedades de economía mixta, sus filiales y las sociedades entre Entidades Públicas en las que el Estado tenga participación superior al cincuenta por ciento (50%), están sometidas, por regla general, al EGCAP, excepto aquellas EICE que: i) desarrollen actividades comerciales en competencia con el sector privado y/o público, nacional o internacional o </w:t>
      </w:r>
      <w:proofErr w:type="spellStart"/>
      <w:r w:rsidRPr="006C6BFF">
        <w:rPr>
          <w:rFonts w:ascii="Arial" w:hAnsi="Arial" w:cs="Arial"/>
          <w:sz w:val="20"/>
          <w:szCs w:val="20"/>
        </w:rPr>
        <w:t>ii</w:t>
      </w:r>
      <w:proofErr w:type="spellEnd"/>
      <w:r w:rsidRPr="006C6BFF">
        <w:rPr>
          <w:rFonts w:ascii="Arial" w:hAnsi="Arial" w:cs="Arial"/>
          <w:sz w:val="20"/>
          <w:szCs w:val="20"/>
        </w:rPr>
        <w:t>) desarrollen actividades en mercados regulados, eventos en los cuales ellas se rigen por las disposiciones que regulen su actividad. Lo anterior, sin perjuicio de dar cumplimiento a lo dispuesto en el artículo 13 de la Ley 1150 de 2007, esto es, del deber que le incumbe a la EICE 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w:t>
      </w:r>
    </w:p>
    <w:p w:rsidRPr="006C6BFF" w:rsidR="00E37FE9" w:rsidP="00E37FE9" w:rsidRDefault="00E37FE9" w14:paraId="69466195" w14:textId="77777777">
      <w:pPr>
        <w:spacing w:after="0" w:line="240" w:lineRule="auto"/>
        <w:contextualSpacing/>
        <w:jc w:val="both"/>
        <w:rPr>
          <w:rFonts w:ascii="Arial" w:hAnsi="Arial" w:cs="Arial"/>
          <w:sz w:val="20"/>
          <w:szCs w:val="20"/>
        </w:rPr>
      </w:pPr>
    </w:p>
    <w:p w:rsidRPr="006C6BFF" w:rsidR="00E37FE9" w:rsidP="00E37FE9" w:rsidRDefault="00E37FE9" w14:paraId="4C1A8844" w14:textId="77777777">
      <w:pPr>
        <w:spacing w:after="0" w:line="240" w:lineRule="auto"/>
        <w:contextualSpacing/>
        <w:jc w:val="both"/>
        <w:rPr>
          <w:rFonts w:ascii="Arial" w:hAnsi="Arial" w:eastAsia="Calibri" w:cs="Arial"/>
          <w:color w:val="000000" w:themeColor="text1"/>
          <w:sz w:val="20"/>
          <w:szCs w:val="20"/>
        </w:rPr>
      </w:pPr>
      <w:r w:rsidRPr="006C6BFF">
        <w:rPr>
          <w:rFonts w:ascii="Arial" w:hAnsi="Arial" w:cs="Arial"/>
          <w:sz w:val="20"/>
          <w:szCs w:val="20"/>
        </w:rPr>
        <w:t xml:space="preserve">En línea con lo anterior, resulta pertinente resaltar que, </w:t>
      </w:r>
      <w:r w:rsidRPr="006C6BFF">
        <w:rPr>
          <w:rFonts w:ascii="Arial" w:hAnsi="Arial" w:eastAsia="Calibri" w:cs="Arial"/>
          <w:color w:val="000000" w:themeColor="text1"/>
          <w:sz w:val="20"/>
          <w:szCs w:val="20"/>
        </w:rPr>
        <w:t xml:space="preserve">aun cuando se esté frente a la celebración de contratos que se encuentren excluidos de la Ley 80 de 1993, no se rigen exclusivamente por el derecho civil y comercial, pues –conforme se señaló– aplican tanto los principios de la función administrativa y de la gestión fiscal como el régimen de inhabilidades e incompatibilidades. Por el contrario, aquellas EICE que no estén en competencia ni desarrollen su actividad en mercados regulados están sometidas al EGCAP y las normas que lo complementan, como lo dispone el artículo 14 de la Ley 1150 de 2007. </w:t>
      </w:r>
    </w:p>
    <w:p w:rsidRPr="006C6BFF" w:rsidR="00E37FE9" w:rsidP="00E37FE9" w:rsidRDefault="00E37FE9" w14:paraId="30EA6B33" w14:textId="77777777">
      <w:pPr>
        <w:spacing w:after="0" w:line="240" w:lineRule="auto"/>
        <w:contextualSpacing/>
        <w:jc w:val="both"/>
        <w:rPr>
          <w:rFonts w:ascii="Arial" w:hAnsi="Arial" w:eastAsia="Times New Roman" w:cs="Arial"/>
          <w:b/>
          <w:sz w:val="20"/>
          <w:szCs w:val="20"/>
          <w:lang w:val="es-MX" w:eastAsia="es-ES_tradnl"/>
        </w:rPr>
      </w:pPr>
    </w:p>
    <w:p w:rsidRPr="006C6BFF" w:rsidR="00E37FE9" w:rsidP="00E37FE9" w:rsidRDefault="00E37FE9" w14:paraId="2C1F5CD8" w14:textId="77777777">
      <w:pPr>
        <w:spacing w:after="0" w:line="240" w:lineRule="auto"/>
        <w:contextualSpacing/>
        <w:jc w:val="both"/>
        <w:rPr>
          <w:rFonts w:ascii="Arial" w:hAnsi="Arial" w:eastAsia="Times New Roman" w:cs="Arial"/>
          <w:b/>
          <w:lang w:val="es-MX" w:eastAsia="es-ES_tradnl"/>
        </w:rPr>
      </w:pPr>
      <w:r w:rsidRPr="006C6BFF">
        <w:rPr>
          <w:rFonts w:ascii="Arial" w:hAnsi="Arial" w:eastAsia="Times New Roman" w:cs="Arial"/>
          <w:b/>
          <w:lang w:val="es-MX" w:eastAsia="es-ES_tradnl"/>
        </w:rPr>
        <w:t>CONTRATO INTERADMINISTRATIVO – Concepto – Régimen jurídico aplicable</w:t>
      </w:r>
    </w:p>
    <w:p w:rsidRPr="006C6BFF" w:rsidR="00E37FE9" w:rsidP="00E37FE9" w:rsidRDefault="00E37FE9" w14:paraId="4A3991BA" w14:textId="77777777">
      <w:pPr>
        <w:spacing w:after="0" w:line="240" w:lineRule="auto"/>
        <w:contextualSpacing/>
        <w:jc w:val="both"/>
        <w:rPr>
          <w:rFonts w:ascii="Arial" w:hAnsi="Arial" w:eastAsia="Times New Roman" w:cs="Arial"/>
          <w:b/>
          <w:sz w:val="20"/>
          <w:szCs w:val="20"/>
          <w:lang w:val="es-MX" w:eastAsia="es-ES_tradnl"/>
        </w:rPr>
      </w:pPr>
    </w:p>
    <w:p w:rsidR="00E37FE9" w:rsidP="00E37FE9" w:rsidRDefault="00E37FE9" w14:paraId="1D985C72" w14:textId="77777777">
      <w:pPr>
        <w:spacing w:after="0" w:line="240" w:lineRule="auto"/>
        <w:contextualSpacing/>
        <w:jc w:val="both"/>
        <w:rPr>
          <w:rFonts w:ascii="Arial" w:hAnsi="Arial" w:eastAsia="Calibri" w:cs="Arial"/>
          <w:color w:val="000000" w:themeColor="text1"/>
          <w:sz w:val="20"/>
          <w:szCs w:val="20"/>
          <w:lang w:val="es-ES_tradnl" w:eastAsia="es-ES_tradnl"/>
        </w:rPr>
      </w:pPr>
      <w:r w:rsidRPr="006C6BFF">
        <w:rPr>
          <w:rFonts w:ascii="Arial" w:hAnsi="Arial" w:eastAsia="Calibri" w:cs="Arial"/>
          <w:color w:val="000000" w:themeColor="text1"/>
          <w:sz w:val="20"/>
          <w:szCs w:val="20"/>
          <w:lang w:val="es-ES_tradnl" w:eastAsia="es-ES_tradnl"/>
        </w:rPr>
        <w:t>[…]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rsidRPr="006C6BFF" w:rsidR="00E37FE9" w:rsidP="00E37FE9" w:rsidRDefault="00E37FE9" w14:paraId="791F4D03" w14:textId="77777777">
      <w:pPr>
        <w:spacing w:after="0" w:line="240" w:lineRule="auto"/>
        <w:contextualSpacing/>
        <w:jc w:val="both"/>
        <w:rPr>
          <w:rFonts w:ascii="Arial" w:hAnsi="Arial" w:eastAsia="Calibri" w:cs="Arial"/>
          <w:color w:val="000000" w:themeColor="text1"/>
          <w:sz w:val="20"/>
          <w:szCs w:val="20"/>
          <w:lang w:val="es-ES_tradnl" w:eastAsia="es-ES_tradnl"/>
        </w:rPr>
      </w:pPr>
    </w:p>
    <w:p w:rsidRPr="006C6BFF" w:rsidR="00E37FE9" w:rsidP="00E37FE9" w:rsidRDefault="00E37FE9" w14:paraId="40DA76DB" w14:textId="77777777">
      <w:pPr>
        <w:spacing w:after="0" w:line="240" w:lineRule="auto"/>
        <w:contextualSpacing/>
        <w:jc w:val="both"/>
        <w:rPr>
          <w:rFonts w:ascii="Arial" w:hAnsi="Arial" w:eastAsia="Times New Roman" w:cs="Arial"/>
          <w:color w:val="000000" w:themeColor="text1"/>
          <w:sz w:val="20"/>
          <w:szCs w:val="20"/>
          <w:lang w:val="es-ES_tradnl" w:eastAsia="es-ES_tradnl"/>
        </w:rPr>
      </w:pPr>
      <w:r w:rsidRPr="006C6BFF">
        <w:rPr>
          <w:rFonts w:ascii="Arial" w:hAnsi="Arial" w:eastAsia="Calibri" w:cs="Arial"/>
          <w:color w:val="000000" w:themeColor="text1"/>
          <w:sz w:val="20"/>
          <w:szCs w:val="20"/>
          <w:lang w:val="es-ES_tradnl" w:eastAsia="es-ES_tradnl"/>
        </w:rPr>
        <w:t>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la Ley 80 de 1993 bien puede celebrar esta clase de convenios con una Entidad Estatal de régimen especial y no por ello dejará de ser un contrato o convenio interadministrativo, caso en el cual su ejecución se regirá por la Ley 80 de 1993, si la entidad sometida al EGCAP actúa en calidad de contratante.</w:t>
      </w:r>
    </w:p>
    <w:p w:rsidRPr="006C6BFF" w:rsidR="00E37FE9" w:rsidP="00E37FE9" w:rsidRDefault="00E37FE9" w14:paraId="180E98B0" w14:textId="77777777">
      <w:pPr>
        <w:spacing w:after="0" w:line="240" w:lineRule="auto"/>
        <w:contextualSpacing/>
        <w:jc w:val="both"/>
        <w:rPr>
          <w:rFonts w:ascii="Arial" w:hAnsi="Arial" w:eastAsia="Times New Roman" w:cs="Arial"/>
          <w:b/>
          <w:sz w:val="20"/>
          <w:szCs w:val="20"/>
          <w:lang w:val="es-MX" w:eastAsia="es-ES_tradnl"/>
        </w:rPr>
      </w:pPr>
    </w:p>
    <w:p w:rsidRPr="006C6BFF" w:rsidR="00E37FE9" w:rsidP="00E37FE9" w:rsidRDefault="00E37FE9" w14:paraId="03044559" w14:textId="77777777">
      <w:pPr>
        <w:spacing w:after="0" w:line="240" w:lineRule="auto"/>
        <w:contextualSpacing/>
        <w:jc w:val="both"/>
        <w:rPr>
          <w:rFonts w:ascii="Arial" w:hAnsi="Arial" w:eastAsia="Times New Roman" w:cs="Arial"/>
          <w:b/>
          <w:lang w:val="es-MX" w:eastAsia="es-ES_tradnl"/>
        </w:rPr>
      </w:pPr>
      <w:r w:rsidRPr="006C6BFF">
        <w:rPr>
          <w:rFonts w:ascii="Arial" w:hAnsi="Arial" w:eastAsia="Times New Roman" w:cs="Arial"/>
          <w:b/>
          <w:lang w:val="es-MX" w:eastAsia="es-ES_tradnl"/>
        </w:rPr>
        <w:t>CONTRATO INTERADMINISTRATIVO – Modalidad de selección</w:t>
      </w:r>
    </w:p>
    <w:p w:rsidRPr="006C6BFF" w:rsidR="00E37FE9" w:rsidP="00E37FE9" w:rsidRDefault="00E37FE9" w14:paraId="55E51DA7" w14:textId="77777777">
      <w:pPr>
        <w:spacing w:after="0" w:line="240" w:lineRule="auto"/>
        <w:contextualSpacing/>
        <w:jc w:val="both"/>
        <w:rPr>
          <w:rFonts w:ascii="Arial" w:hAnsi="Arial" w:eastAsia="Times New Roman" w:cs="Arial"/>
          <w:b/>
          <w:sz w:val="20"/>
          <w:szCs w:val="20"/>
          <w:lang w:val="es-MX" w:eastAsia="es-ES_tradnl"/>
        </w:rPr>
      </w:pPr>
    </w:p>
    <w:p w:rsidRPr="006C6BFF" w:rsidR="00E37FE9" w:rsidP="00E37FE9" w:rsidRDefault="00E37FE9" w14:paraId="51AF83F5" w14:textId="77777777">
      <w:pPr>
        <w:spacing w:after="0" w:line="240" w:lineRule="auto"/>
        <w:contextualSpacing/>
        <w:jc w:val="both"/>
        <w:rPr>
          <w:rFonts w:ascii="Arial" w:hAnsi="Arial" w:eastAsia="Calibri" w:cs="Arial"/>
          <w:color w:val="000000" w:themeColor="text1"/>
          <w:sz w:val="20"/>
          <w:szCs w:val="20"/>
          <w:lang w:val="es-ES_tradnl" w:eastAsia="es-ES_tradnl"/>
        </w:rPr>
      </w:pPr>
      <w:r w:rsidRPr="006C6BFF">
        <w:rPr>
          <w:rFonts w:ascii="Arial" w:hAnsi="Arial" w:eastAsia="Calibri" w:cs="Arial"/>
          <w:color w:val="000000" w:themeColor="text1"/>
          <w:sz w:val="20"/>
          <w:szCs w:val="20"/>
          <w:lang w:val="es-ES_tradnl" w:eastAsia="es-ES_tradnl"/>
        </w:rPr>
        <w:t>En relación con la modalidad de selección aplicable a la celebración de contratos interadministrativos, la Ley 1150 de 2007 establece que las Entidades Estatales pueden suscribirlos de manera directa, siempre que las obligaciones derivadas de los mismos tengan relación con el objeto de la entidad ejecutora. Sin embargo, esa misma ley establece excepciones concretas a esta facultad, aplicable a los supuestos en que ciertas tipologías contractuales sean ejecutadas por alguna de las Entidades Estatales enlistadas en dicha restricción.</w:t>
      </w:r>
    </w:p>
    <w:p w:rsidRPr="006C6BFF" w:rsidR="00E37FE9" w:rsidP="00E37FE9" w:rsidRDefault="00E37FE9" w14:paraId="55663B40" w14:textId="77777777">
      <w:pPr>
        <w:spacing w:after="0" w:line="240" w:lineRule="auto"/>
        <w:contextualSpacing/>
        <w:jc w:val="both"/>
        <w:rPr>
          <w:rFonts w:ascii="Arial" w:hAnsi="Arial" w:eastAsia="Calibri" w:cs="Arial"/>
          <w:color w:val="000000" w:themeColor="text1"/>
          <w:sz w:val="20"/>
          <w:szCs w:val="20"/>
          <w:lang w:val="es-ES_tradnl" w:eastAsia="es-ES_tradnl"/>
        </w:rPr>
      </w:pPr>
    </w:p>
    <w:p w:rsidRPr="006C6BFF" w:rsidR="00E37FE9" w:rsidP="00E37FE9" w:rsidRDefault="00E37FE9" w14:paraId="4DFBD9A5" w14:textId="77777777">
      <w:pPr>
        <w:spacing w:after="0" w:line="240" w:lineRule="auto"/>
        <w:contextualSpacing/>
        <w:jc w:val="both"/>
        <w:rPr>
          <w:rFonts w:ascii="Arial" w:hAnsi="Arial" w:eastAsia="Calibri" w:cs="Arial"/>
          <w:color w:val="000000" w:themeColor="text1"/>
          <w:sz w:val="20"/>
          <w:szCs w:val="20"/>
          <w:lang w:val="es-ES_tradnl" w:eastAsia="es-ES_tradnl"/>
        </w:rPr>
      </w:pPr>
      <w:r w:rsidRPr="006C6BFF">
        <w:rPr>
          <w:rFonts w:ascii="Arial" w:hAnsi="Arial" w:eastAsia="Calibri" w:cs="Arial"/>
          <w:color w:val="000000" w:themeColor="text1"/>
          <w:sz w:val="20"/>
          <w:szCs w:val="20"/>
          <w:lang w:val="es-ES_tradnl" w:eastAsia="es-ES_tradnl"/>
        </w:rPr>
        <w:t xml:space="preserve">[…] 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    </w:t>
      </w:r>
    </w:p>
    <w:p w:rsidRPr="006C6BFF" w:rsidR="00E37FE9" w:rsidP="00E37FE9" w:rsidRDefault="00E37FE9" w14:paraId="51D96F26" w14:textId="77777777">
      <w:pPr>
        <w:spacing w:after="0" w:line="240" w:lineRule="auto"/>
        <w:contextualSpacing/>
        <w:jc w:val="both"/>
        <w:rPr>
          <w:rFonts w:ascii="Arial" w:hAnsi="Arial" w:eastAsia="Times New Roman" w:cs="Arial"/>
          <w:b/>
          <w:sz w:val="20"/>
          <w:szCs w:val="20"/>
          <w:lang w:val="es-MX" w:eastAsia="es-ES_tradnl"/>
        </w:rPr>
      </w:pPr>
    </w:p>
    <w:p w:rsidRPr="006C6BFF" w:rsidR="00E37FE9" w:rsidP="00E37FE9" w:rsidRDefault="00E37FE9" w14:paraId="1D89E756" w14:textId="77777777">
      <w:pPr>
        <w:spacing w:after="0" w:line="240" w:lineRule="auto"/>
        <w:contextualSpacing/>
        <w:jc w:val="both"/>
        <w:rPr>
          <w:rFonts w:ascii="Arial" w:hAnsi="Arial" w:eastAsia="Times New Roman" w:cs="Arial"/>
          <w:b/>
          <w:lang w:val="es-MX" w:eastAsia="es-ES_tradnl"/>
        </w:rPr>
      </w:pPr>
      <w:r w:rsidRPr="006C6BFF">
        <w:rPr>
          <w:rFonts w:ascii="Arial" w:hAnsi="Arial" w:eastAsia="Times New Roman" w:cs="Arial"/>
          <w:b/>
          <w:lang w:val="es-MX" w:eastAsia="es-ES_tradnl"/>
        </w:rPr>
        <w:t xml:space="preserve">CONTRATO INTERADMINISTRATIVO – Modalidad de selección – Excepciones </w:t>
      </w:r>
    </w:p>
    <w:p w:rsidRPr="006C6BFF" w:rsidR="00E37FE9" w:rsidP="00E37FE9" w:rsidRDefault="00E37FE9" w14:paraId="4E7CA29C" w14:textId="77777777">
      <w:pPr>
        <w:spacing w:after="0" w:line="240" w:lineRule="auto"/>
        <w:contextualSpacing/>
        <w:jc w:val="both"/>
        <w:rPr>
          <w:rFonts w:ascii="Arial" w:hAnsi="Arial" w:eastAsia="Times New Roman" w:cs="Arial"/>
          <w:b/>
          <w:sz w:val="20"/>
          <w:szCs w:val="20"/>
          <w:lang w:val="es-MX" w:eastAsia="es-ES_tradnl"/>
        </w:rPr>
      </w:pPr>
    </w:p>
    <w:p w:rsidRPr="006C6BFF" w:rsidR="00E37FE9" w:rsidP="00E37FE9" w:rsidRDefault="00E37FE9" w14:paraId="1E7728BE" w14:textId="77777777">
      <w:pPr>
        <w:spacing w:after="0" w:line="240" w:lineRule="auto"/>
        <w:contextualSpacing/>
        <w:jc w:val="both"/>
        <w:rPr>
          <w:rFonts w:ascii="Arial" w:hAnsi="Arial" w:eastAsia="Calibri" w:cs="Arial"/>
          <w:color w:val="000000" w:themeColor="text1"/>
          <w:sz w:val="20"/>
          <w:szCs w:val="20"/>
          <w:lang w:val="es-ES_tradnl" w:eastAsia="es-ES_tradnl"/>
        </w:rPr>
      </w:pPr>
      <w:r>
        <w:rPr>
          <w:rFonts w:ascii="Arial" w:hAnsi="Arial" w:eastAsia="Calibri" w:cs="Arial"/>
          <w:color w:val="000000" w:themeColor="text1"/>
          <w:sz w:val="20"/>
          <w:szCs w:val="20"/>
          <w:lang w:val="es-ES_tradnl" w:eastAsia="es-ES_tradnl"/>
        </w:rPr>
        <w:t xml:space="preserve">[…] </w:t>
      </w:r>
      <w:r w:rsidRPr="006C6BFF">
        <w:rPr>
          <w:rFonts w:ascii="Arial" w:hAnsi="Arial" w:eastAsia="Calibri" w:cs="Arial"/>
          <w:color w:val="000000" w:themeColor="text1"/>
          <w:sz w:val="20"/>
          <w:szCs w:val="20"/>
          <w:lang w:val="es-ES_tradnl" w:eastAsia="es-ES_tradnl"/>
        </w:rPr>
        <w:t>el inciso segundo establece una limitación a la contratación directa mediante la causal del literal c) –transcrito anteriormente– dirigido a los supuestos en que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en tratándose de “contratos de obra, suministro, prestación de servicios de evaluación de conformidad respecto de las normas o reglamentos técnicos, encargos fiduciarios y fiducia pública”, estos últimos a los cuales hace referencia en su consulta.</w:t>
      </w:r>
    </w:p>
    <w:p w:rsidR="00E37FE9" w:rsidP="00E37FE9" w:rsidRDefault="00E37FE9" w14:paraId="5C62D458" w14:textId="77777777">
      <w:pPr>
        <w:spacing w:after="0" w:line="240" w:lineRule="auto"/>
        <w:contextualSpacing/>
        <w:jc w:val="both"/>
        <w:rPr>
          <w:rFonts w:ascii="Arial" w:hAnsi="Arial" w:eastAsia="Calibri" w:cs="Arial"/>
          <w:color w:val="000000" w:themeColor="text1"/>
          <w:sz w:val="20"/>
          <w:szCs w:val="20"/>
          <w:lang w:val="es-ES_tradnl" w:eastAsia="es-ES_tradnl"/>
        </w:rPr>
      </w:pPr>
    </w:p>
    <w:p w:rsidRPr="006C6BFF" w:rsidR="00E37FE9" w:rsidP="00E37FE9" w:rsidRDefault="00E37FE9" w14:paraId="56790D35" w14:textId="77777777">
      <w:pPr>
        <w:spacing w:after="0" w:line="240" w:lineRule="auto"/>
        <w:contextualSpacing/>
        <w:jc w:val="both"/>
        <w:rPr>
          <w:rFonts w:ascii="Arial" w:hAnsi="Arial" w:eastAsia="Calibri" w:cs="Arial"/>
          <w:color w:val="000000" w:themeColor="text1"/>
          <w:sz w:val="20"/>
          <w:szCs w:val="20"/>
          <w:lang w:val="es-ES_tradnl" w:eastAsia="es-ES_tradnl"/>
        </w:rPr>
      </w:pPr>
      <w:r w:rsidRPr="006C6BFF">
        <w:rPr>
          <w:rFonts w:ascii="Arial" w:hAnsi="Arial" w:eastAsia="Calibri" w:cs="Arial"/>
          <w:color w:val="000000" w:themeColor="text1"/>
          <w:sz w:val="20"/>
          <w:szCs w:val="20"/>
          <w:lang w:val="es-ES_tradnl" w:eastAsia="es-ES_tradnl"/>
        </w:rPr>
        <w:t xml:space="preserve">Conviene señalar que la excepción contenida en la norma mencionada –concretamente el inciso segundo– determina de manera explícita los sujetos a los cuales les es aplicable la restricción contenida en dicho artículo, que incluye la celebración de contratos o convenios interadministrativos cuando se trate, entre otros, de un contrato de obra o suministro. Esta disposición exceptuó celebrar de manera directa contratos o convenios interadministrativos cuando se trate de encargos fiduciarios o fiducia pública cuya entidad ejecutora sea una institución de educación superior pública o una sociedad de economía mixta con participación mayoritaria del Estado, o una persona jurídica sin ánimo de lucro conformada por la asociación de Entidades Públicas, o una federación de entidades territoriales. </w:t>
      </w:r>
    </w:p>
    <w:p w:rsidRPr="006C6BFF" w:rsidR="00E37FE9" w:rsidP="00E37FE9" w:rsidRDefault="00E37FE9" w14:paraId="7CFC90E7" w14:textId="77777777">
      <w:pPr>
        <w:spacing w:after="0" w:line="240" w:lineRule="auto"/>
        <w:contextualSpacing/>
        <w:jc w:val="both"/>
        <w:rPr>
          <w:rFonts w:ascii="Arial" w:hAnsi="Arial" w:eastAsia="Calibri" w:cs="Arial"/>
          <w:b/>
          <w:color w:val="000000" w:themeColor="text1"/>
          <w:sz w:val="20"/>
          <w:szCs w:val="20"/>
          <w:lang w:val="es-ES_tradnl" w:eastAsia="es-ES_tradnl"/>
        </w:rPr>
      </w:pPr>
    </w:p>
    <w:p w:rsidR="00E37FE9" w:rsidRDefault="00E37FE9" w14:paraId="3B3A234D" w14:textId="609DA12D">
      <w:pPr>
        <w:rPr>
          <w:rFonts w:ascii="Arial" w:hAnsi="Arial" w:eastAsia="Times New Roman" w:cs="Arial"/>
          <w:b/>
          <w:lang w:val="es-ES_tradnl" w:eastAsia="es-ES_tradnl"/>
        </w:rPr>
      </w:pPr>
      <w:r>
        <w:rPr>
          <w:rFonts w:ascii="Arial" w:hAnsi="Arial" w:eastAsia="Times New Roman" w:cs="Arial"/>
          <w:b/>
          <w:lang w:val="es-ES_tradnl" w:eastAsia="es-ES_tradnl"/>
        </w:rPr>
        <w:br w:type="page"/>
      </w:r>
    </w:p>
    <w:p w:rsidRPr="00601E52" w:rsidR="00144677" w:rsidP="00144677" w:rsidRDefault="00144677" w14:paraId="059F05AC" w14:textId="6A723A79">
      <w:pPr>
        <w:spacing w:after="0" w:line="240" w:lineRule="auto"/>
        <w:contextualSpacing/>
        <w:rPr>
          <w:rFonts w:ascii="Arial" w:hAnsi="Arial" w:eastAsia="Times New Roman" w:cs="Arial"/>
          <w:lang w:val="es-MX" w:eastAsia="es-ES_tradnl"/>
        </w:rPr>
      </w:pPr>
      <w:r w:rsidRPr="00601E52">
        <w:rPr>
          <w:rFonts w:ascii="Arial" w:hAnsi="Arial" w:eastAsia="Times New Roman" w:cs="Arial"/>
          <w:lang w:val="es-MX" w:eastAsia="es-ES_tradnl"/>
        </w:rPr>
        <w:t xml:space="preserve">Bogotá D.C., </w:t>
      </w:r>
      <w:r w:rsidR="00BA5598">
        <w:rPr>
          <w:rFonts w:ascii="Arial" w:hAnsi="Arial" w:eastAsia="Times New Roman" w:cs="Arial"/>
          <w:lang w:val="es-MX" w:eastAsia="es-ES_tradnl"/>
        </w:rPr>
        <w:t>12 de septiembre de 2023.</w:t>
      </w:r>
    </w:p>
    <w:p w:rsidRPr="00144677" w:rsidR="00144677" w:rsidP="00E32678" w:rsidRDefault="00E32678" w14:paraId="40A94DE2" w14:textId="3CB9F07F">
      <w:pPr>
        <w:spacing w:after="0" w:line="240" w:lineRule="auto"/>
        <w:contextualSpacing/>
        <w:jc w:val="right"/>
        <w:rPr>
          <w:rFonts w:ascii="Arial" w:hAnsi="Arial" w:eastAsia="Century Gothic" w:cs="Arial"/>
          <w:noProof/>
          <w:lang w:val="es-ES" w:eastAsia="es-ES_tradnl"/>
        </w:rPr>
      </w:pPr>
      <w:r>
        <w:rPr>
          <w:noProof/>
        </w:rPr>
        <w:drawing>
          <wp:inline distT="0" distB="0" distL="0" distR="0" wp14:anchorId="444C1666" wp14:editId="36040DDD">
            <wp:extent cx="3857625" cy="1104900"/>
            <wp:effectExtent l="0" t="0" r="9525" b="0"/>
            <wp:docPr id="3866520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52078" name=""/>
                    <pic:cNvPicPr/>
                  </pic:nvPicPr>
                  <pic:blipFill>
                    <a:blip r:embed="rId10"/>
                    <a:stretch>
                      <a:fillRect/>
                    </a:stretch>
                  </pic:blipFill>
                  <pic:spPr>
                    <a:xfrm>
                      <a:off x="0" y="0"/>
                      <a:ext cx="3857625" cy="1104900"/>
                    </a:xfrm>
                    <a:prstGeom prst="rect">
                      <a:avLst/>
                    </a:prstGeom>
                  </pic:spPr>
                </pic:pic>
              </a:graphicData>
            </a:graphic>
          </wp:inline>
        </w:drawing>
      </w:r>
    </w:p>
    <w:p w:rsidRPr="00144677" w:rsidR="00144677" w:rsidP="00144677" w:rsidRDefault="00144677" w14:paraId="3A1DABFF" w14:textId="77777777">
      <w:pPr>
        <w:spacing w:after="0" w:line="240" w:lineRule="auto"/>
        <w:contextualSpacing/>
        <w:jc w:val="both"/>
        <w:rPr>
          <w:rFonts w:ascii="Arial" w:hAnsi="Arial" w:eastAsia="Century Gothic" w:cs="Arial"/>
          <w:lang w:val="es-ES" w:eastAsia="es-ES_tradnl"/>
        </w:rPr>
      </w:pPr>
      <w:r w:rsidRPr="00144677">
        <w:rPr>
          <w:rFonts w:ascii="Arial" w:hAnsi="Arial" w:eastAsia="Century Gothic" w:cs="Arial"/>
          <w:lang w:val="es-ES" w:eastAsia="es-ES_tradnl"/>
        </w:rPr>
        <w:t>Señor</w:t>
      </w:r>
    </w:p>
    <w:p w:rsidRPr="00144677" w:rsidR="00144677" w:rsidP="00144677" w:rsidRDefault="00144677" w14:paraId="1F5C27C3" w14:textId="77777777">
      <w:pPr>
        <w:spacing w:after="0" w:line="240" w:lineRule="auto"/>
        <w:contextualSpacing/>
        <w:rPr>
          <w:rFonts w:ascii="Arial" w:hAnsi="Arial" w:eastAsia="Times New Roman" w:cs="Arial"/>
          <w:b/>
          <w:bCs/>
          <w:shd w:val="clear" w:color="auto" w:fill="FFFFFF"/>
          <w:lang w:eastAsia="es-ES_tradnl"/>
        </w:rPr>
      </w:pPr>
      <w:r w:rsidRPr="00144677">
        <w:rPr>
          <w:rFonts w:ascii="Arial" w:hAnsi="Arial" w:eastAsia="Times New Roman" w:cs="Arial"/>
          <w:b/>
          <w:bCs/>
          <w:shd w:val="clear" w:color="auto" w:fill="FFFFFF"/>
          <w:lang w:eastAsia="es-ES_tradnl"/>
        </w:rPr>
        <w:t xml:space="preserve">Jorge Miguel Guevara </w:t>
      </w:r>
      <w:proofErr w:type="spellStart"/>
      <w:r w:rsidRPr="00144677">
        <w:rPr>
          <w:rFonts w:ascii="Arial" w:hAnsi="Arial" w:eastAsia="Times New Roman" w:cs="Arial"/>
          <w:b/>
          <w:bCs/>
          <w:shd w:val="clear" w:color="auto" w:fill="FFFFFF"/>
          <w:lang w:eastAsia="es-ES_tradnl"/>
        </w:rPr>
        <w:t>Fragozo</w:t>
      </w:r>
      <w:proofErr w:type="spellEnd"/>
    </w:p>
    <w:p w:rsidRPr="00144677" w:rsidR="00144677" w:rsidP="00144677" w:rsidRDefault="00144677" w14:paraId="2D6E1A50" w14:textId="77777777">
      <w:pPr>
        <w:spacing w:after="0" w:line="240" w:lineRule="auto"/>
        <w:contextualSpacing/>
        <w:rPr>
          <w:rFonts w:ascii="Arial" w:hAnsi="Arial" w:eastAsia="Century Gothic" w:cs="Arial"/>
          <w:lang w:val="es-ES" w:eastAsia="es-ES_tradnl"/>
        </w:rPr>
      </w:pPr>
      <w:r w:rsidRPr="00144677">
        <w:rPr>
          <w:rFonts w:ascii="Arial" w:hAnsi="Arial" w:eastAsia="Century Gothic" w:cs="Arial"/>
          <w:lang w:val="es-ES" w:eastAsia="es-ES_tradnl"/>
        </w:rPr>
        <w:t xml:space="preserve">Bogotá D.C. </w:t>
      </w:r>
    </w:p>
    <w:p w:rsidRPr="00144677" w:rsidR="00144677" w:rsidP="00144677" w:rsidRDefault="00144677" w14:paraId="73F44AEC" w14:textId="77777777">
      <w:pPr>
        <w:spacing w:after="0" w:line="240" w:lineRule="auto"/>
        <w:contextualSpacing/>
        <w:rPr>
          <w:rFonts w:ascii="Arial" w:hAnsi="Arial" w:eastAsia="Century Gothic" w:cs="Arial"/>
          <w:lang w:val="es-ES" w:eastAsia="es-ES_tradnl"/>
        </w:rPr>
      </w:pPr>
    </w:p>
    <w:p w:rsidRPr="00144677" w:rsidR="00144677" w:rsidP="00144677" w:rsidRDefault="00144677" w14:paraId="7DEB3418" w14:textId="77777777">
      <w:pPr>
        <w:spacing w:after="0" w:line="240" w:lineRule="auto"/>
        <w:contextualSpacing/>
        <w:rPr>
          <w:rFonts w:ascii="Arial" w:hAnsi="Arial" w:eastAsia="Century Gothic" w:cs="Arial"/>
          <w:lang w:val="es-ES" w:eastAsia="es-ES_tradnl"/>
        </w:rPr>
      </w:pPr>
    </w:p>
    <w:p w:rsidRPr="00144677" w:rsidR="00144677" w:rsidP="00144677" w:rsidRDefault="00144677" w14:paraId="433A805E" w14:textId="77777777">
      <w:pPr>
        <w:spacing w:after="0" w:line="240" w:lineRule="auto"/>
        <w:ind w:left="2694"/>
        <w:contextualSpacing/>
        <w:rPr>
          <w:rFonts w:ascii="Arial" w:hAnsi="Arial" w:eastAsia="Century Gothic" w:cs="Arial"/>
          <w:b/>
          <w:bCs/>
          <w:lang w:val="es-ES" w:eastAsia="es-ES_tradnl"/>
        </w:rPr>
      </w:pPr>
      <w:r w:rsidRPr="00144677">
        <w:rPr>
          <w:rFonts w:ascii="Arial" w:hAnsi="Arial" w:eastAsia="Century Gothic" w:cs="Arial"/>
          <w:b/>
          <w:bCs/>
          <w:lang w:val="es-ES" w:eastAsia="es-ES_tradnl"/>
        </w:rPr>
        <w:t>Concepto C</w:t>
      </w:r>
      <w:r w:rsidRPr="00601E52">
        <w:rPr>
          <w:rFonts w:ascii="Arial" w:hAnsi="Arial" w:eastAsia="Century Gothic" w:cs="Arial"/>
          <w:b/>
          <w:bCs/>
          <w:lang w:val="es-ES" w:eastAsia="es-ES_tradnl"/>
        </w:rPr>
        <w:t>-</w:t>
      </w:r>
      <w:r w:rsidRPr="00144677">
        <w:rPr>
          <w:rFonts w:ascii="Arial" w:hAnsi="Arial" w:eastAsia="Century Gothic" w:cs="Arial"/>
          <w:b/>
          <w:bCs/>
          <w:lang w:val="es-ES" w:eastAsia="es-ES_tradnl"/>
        </w:rPr>
        <w:t>369 de 2023</w:t>
      </w:r>
    </w:p>
    <w:p w:rsidRPr="00144677" w:rsidR="00144677" w:rsidP="00144677" w:rsidRDefault="00144677" w14:paraId="365B7588" w14:textId="77777777">
      <w:pPr>
        <w:spacing w:after="0" w:line="240" w:lineRule="auto"/>
        <w:contextualSpacing/>
        <w:jc w:val="both"/>
        <w:rPr>
          <w:rFonts w:ascii="Arial" w:hAnsi="Arial" w:eastAsia="Century Gothic" w:cs="Arial"/>
          <w:lang w:val="es-ES" w:eastAsia="es-ES_tradnl"/>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144677" w:rsidR="00144677" w:rsidTr="0002014E" w14:paraId="6BAAA86C" w14:textId="77777777">
        <w:trPr>
          <w:jc w:val="right"/>
        </w:trPr>
        <w:tc>
          <w:tcPr>
            <w:tcW w:w="1838" w:type="dxa"/>
          </w:tcPr>
          <w:p w:rsidRPr="00144677" w:rsidR="00144677" w:rsidP="00144677" w:rsidRDefault="00144677" w14:paraId="6DB8C502" w14:textId="77777777">
            <w:pPr>
              <w:contextualSpacing/>
              <w:jc w:val="center"/>
              <w:rPr>
                <w:rFonts w:ascii="Arial" w:hAnsi="Arial" w:eastAsia="Century Gothic" w:cs="Arial"/>
                <w:lang w:val="es-ES" w:eastAsia="es-ES_tradnl"/>
              </w:rPr>
            </w:pPr>
            <w:r w:rsidRPr="00144677">
              <w:rPr>
                <w:rFonts w:ascii="Arial" w:hAnsi="Arial" w:eastAsia="Century Gothic" w:cs="Arial"/>
                <w:b/>
                <w:bCs/>
                <w:lang w:val="es-ES" w:eastAsia="es-ES_tradnl"/>
              </w:rPr>
              <w:t>Temas:</w:t>
            </w:r>
          </w:p>
        </w:tc>
        <w:tc>
          <w:tcPr>
            <w:tcW w:w="6237" w:type="dxa"/>
          </w:tcPr>
          <w:p w:rsidRPr="00144677" w:rsidR="00144677" w:rsidP="00144677" w:rsidRDefault="00144677" w14:paraId="646ADF6D" w14:textId="75496CB5">
            <w:pPr>
              <w:contextualSpacing/>
              <w:jc w:val="both"/>
              <w:rPr>
                <w:rFonts w:ascii="Arial" w:hAnsi="Arial" w:eastAsia="Calibri" w:cs="Arial"/>
                <w:bCs/>
                <w:color w:val="000000" w:themeColor="text1"/>
                <w:lang w:val="es-ES_tradnl" w:eastAsia="es-ES_tradnl"/>
              </w:rPr>
            </w:pPr>
            <w:r w:rsidRPr="00144677">
              <w:rPr>
                <w:rFonts w:ascii="Arial" w:hAnsi="Arial" w:eastAsia="Times New Roman" w:cs="Arial"/>
                <w:bCs/>
                <w:lang w:val="es-MX" w:eastAsia="es-ES_tradnl"/>
              </w:rPr>
              <w:t xml:space="preserve">SOCIEDAD DE ECONOMÍA MIXTA – Naturaleza jurídica </w:t>
            </w:r>
            <w:r w:rsidRPr="00144677">
              <w:rPr>
                <w:rFonts w:ascii="Arial" w:hAnsi="Arial" w:eastAsia="Times New Roman" w:cs="Arial"/>
                <w:bCs/>
                <w:lang w:eastAsia="es-ES_tradnl"/>
              </w:rPr>
              <w:t xml:space="preserve">– Régimen de contratación / </w:t>
            </w:r>
            <w:r w:rsidRPr="00144677">
              <w:rPr>
                <w:rFonts w:ascii="Arial" w:hAnsi="Arial" w:eastAsia="Times New Roman" w:cs="Arial"/>
                <w:bCs/>
                <w:lang w:val="es-MX" w:eastAsia="es-ES_tradnl"/>
              </w:rPr>
              <w:t>EMPRESAS INDUSTRIALES Y COMERCIALES DEL ESTADO – Naturaleza Jurídica –</w:t>
            </w:r>
            <w:r w:rsidRPr="00144677">
              <w:rPr>
                <w:rFonts w:ascii="Arial" w:hAnsi="Arial" w:eastAsia="Times New Roman" w:cs="Arial"/>
                <w:bCs/>
                <w:lang w:eastAsia="es-ES_tradnl"/>
              </w:rPr>
              <w:t xml:space="preserve"> </w:t>
            </w:r>
            <w:r w:rsidRPr="00144677">
              <w:rPr>
                <w:rFonts w:ascii="Arial" w:hAnsi="Arial" w:eastAsia="Times New Roman" w:cs="Arial"/>
                <w:bCs/>
                <w:lang w:val="es-MX" w:eastAsia="es-ES_tradnl"/>
              </w:rPr>
              <w:t>Régimen de contratación</w:t>
            </w:r>
            <w:r w:rsidRPr="00144677">
              <w:rPr>
                <w:rFonts w:ascii="Arial" w:hAnsi="Arial" w:eastAsia="Times New Roman" w:cs="Arial"/>
                <w:bCs/>
                <w:lang w:eastAsia="es-ES_tradnl"/>
              </w:rPr>
              <w:t xml:space="preserve"> </w:t>
            </w:r>
            <w:r w:rsidRPr="00144677">
              <w:rPr>
                <w:rFonts w:ascii="Arial" w:hAnsi="Arial" w:eastAsia="Times New Roman" w:cs="Arial"/>
                <w:bCs/>
                <w:lang w:val="es-MX" w:eastAsia="es-ES_tradnl"/>
              </w:rPr>
              <w:t>/</w:t>
            </w:r>
            <w:r w:rsidRPr="00144677">
              <w:rPr>
                <w:rFonts w:ascii="Arial" w:hAnsi="Arial" w:eastAsia="Times New Roman" w:cs="Arial"/>
                <w:bCs/>
                <w:lang w:eastAsia="es-ES_tradnl"/>
              </w:rPr>
              <w:t xml:space="preserve"> </w:t>
            </w:r>
            <w:r w:rsidRPr="00144677">
              <w:rPr>
                <w:rFonts w:ascii="Arial" w:hAnsi="Arial" w:eastAsia="Times New Roman" w:cs="Arial"/>
                <w:lang w:val="es-MX" w:eastAsia="es-ES_tradnl"/>
              </w:rPr>
              <w:t xml:space="preserve">CONTRATO INTERADMINISTRATIVO – Concepto – Régimen jurídico aplicable / CONTRATO INTERADMINISTRATIVO – Modalidad de selección </w:t>
            </w:r>
            <w:r w:rsidRPr="00144677">
              <w:rPr>
                <w:rFonts w:ascii="Arial" w:hAnsi="Arial" w:eastAsia="Times New Roman" w:cs="Arial"/>
                <w:bCs/>
                <w:lang w:val="es-MX" w:eastAsia="es-ES_tradnl"/>
              </w:rPr>
              <w:t>/</w:t>
            </w:r>
            <w:r w:rsidRPr="00144677">
              <w:rPr>
                <w:rFonts w:ascii="Arial" w:hAnsi="Arial" w:eastAsia="Times New Roman" w:cs="Arial"/>
                <w:bCs/>
                <w:lang w:eastAsia="es-ES_tradnl"/>
              </w:rPr>
              <w:t xml:space="preserve"> </w:t>
            </w:r>
            <w:r w:rsidRPr="00144677">
              <w:rPr>
                <w:rFonts w:ascii="Arial" w:hAnsi="Arial" w:eastAsia="Times New Roman" w:cs="Arial"/>
                <w:lang w:val="es-MX" w:eastAsia="es-ES_tradnl"/>
              </w:rPr>
              <w:t xml:space="preserve">CONTRATO INTERADMINISTRATIVO – Modalidad de selección – Excepciones </w:t>
            </w:r>
          </w:p>
          <w:p w:rsidRPr="00144677" w:rsidR="00144677" w:rsidP="00144677" w:rsidRDefault="00144677" w14:paraId="730A429E" w14:textId="77777777">
            <w:pPr>
              <w:contextualSpacing/>
              <w:jc w:val="both"/>
              <w:rPr>
                <w:rFonts w:ascii="Arial" w:hAnsi="Arial" w:eastAsia="Century Gothic" w:cs="Arial"/>
                <w:lang w:val="es-ES" w:eastAsia="es-ES_tradnl"/>
              </w:rPr>
            </w:pPr>
          </w:p>
        </w:tc>
      </w:tr>
      <w:tr w:rsidRPr="00144677" w:rsidR="00144677" w:rsidTr="0002014E" w14:paraId="2037F77E" w14:textId="77777777">
        <w:trPr>
          <w:jc w:val="right"/>
        </w:trPr>
        <w:tc>
          <w:tcPr>
            <w:tcW w:w="1838" w:type="dxa"/>
          </w:tcPr>
          <w:p w:rsidRPr="00144677" w:rsidR="00144677" w:rsidP="00144677" w:rsidRDefault="00144677" w14:paraId="0D0C2F59" w14:textId="77777777">
            <w:pPr>
              <w:contextualSpacing/>
              <w:jc w:val="center"/>
              <w:rPr>
                <w:rFonts w:ascii="Arial" w:hAnsi="Arial" w:eastAsia="Century Gothic" w:cs="Arial"/>
                <w:b/>
                <w:bCs/>
                <w:lang w:val="es-ES" w:eastAsia="es-ES_tradnl"/>
              </w:rPr>
            </w:pPr>
            <w:r w:rsidRPr="00144677">
              <w:rPr>
                <w:rFonts w:ascii="Arial" w:hAnsi="Arial" w:eastAsia="Century Gothic" w:cs="Arial"/>
                <w:b/>
                <w:bCs/>
                <w:lang w:val="es-ES" w:eastAsia="es-ES_tradnl"/>
              </w:rPr>
              <w:t>Radicación:</w:t>
            </w:r>
          </w:p>
        </w:tc>
        <w:tc>
          <w:tcPr>
            <w:tcW w:w="6237" w:type="dxa"/>
          </w:tcPr>
          <w:p w:rsidRPr="00144677" w:rsidR="00144677" w:rsidP="00144677" w:rsidRDefault="00144677" w14:paraId="27812367" w14:textId="77777777">
            <w:pPr>
              <w:contextualSpacing/>
              <w:jc w:val="both"/>
              <w:rPr>
                <w:rFonts w:ascii="Arial" w:hAnsi="Arial" w:eastAsia="Times New Roman" w:cs="Arial"/>
                <w:lang w:eastAsia="es-CO"/>
              </w:rPr>
            </w:pPr>
            <w:r w:rsidRPr="00144677">
              <w:rPr>
                <w:rFonts w:ascii="Arial" w:hAnsi="Arial" w:eastAsia="Century Gothic" w:cs="Arial"/>
                <w:lang w:val="es-ES" w:eastAsia="es-ES_tradnl"/>
              </w:rPr>
              <w:t xml:space="preserve">Respuesta a consulta </w:t>
            </w:r>
            <w:r w:rsidRPr="00144677">
              <w:rPr>
                <w:rFonts w:ascii="Arial" w:hAnsi="Arial" w:eastAsia="Times New Roman" w:cs="Arial"/>
                <w:lang w:eastAsia="es-ES_tradnl"/>
              </w:rPr>
              <w:t>P20230728013734</w:t>
            </w:r>
          </w:p>
        </w:tc>
      </w:tr>
    </w:tbl>
    <w:p w:rsidRPr="00144677" w:rsidR="00144677" w:rsidP="00144677" w:rsidRDefault="00144677" w14:paraId="1E1E64C8" w14:textId="77777777">
      <w:pPr>
        <w:spacing w:after="0" w:line="240" w:lineRule="auto"/>
        <w:contextualSpacing/>
        <w:jc w:val="both"/>
        <w:rPr>
          <w:rFonts w:ascii="Arial" w:hAnsi="Arial" w:eastAsia="Century Gothic" w:cs="Arial"/>
          <w:lang w:val="es-ES" w:eastAsia="es-ES_tradnl"/>
        </w:rPr>
      </w:pPr>
    </w:p>
    <w:p w:rsidRPr="00144677" w:rsidR="00144677" w:rsidP="00144677" w:rsidRDefault="00144677" w14:paraId="0F0D157D" w14:textId="77777777">
      <w:pPr>
        <w:spacing w:after="0" w:line="240" w:lineRule="auto"/>
        <w:contextualSpacing/>
        <w:jc w:val="both"/>
        <w:rPr>
          <w:rFonts w:ascii="Arial" w:hAnsi="Arial" w:eastAsia="Century Gothic" w:cs="Arial"/>
          <w:lang w:val="es-ES" w:eastAsia="es-ES_tradnl"/>
        </w:rPr>
      </w:pPr>
    </w:p>
    <w:p w:rsidRPr="00144677" w:rsidR="00144677" w:rsidP="00144677" w:rsidRDefault="00144677" w14:paraId="03FE252B" w14:textId="77777777">
      <w:pPr>
        <w:spacing w:after="0" w:line="276" w:lineRule="auto"/>
        <w:contextualSpacing/>
        <w:jc w:val="both"/>
        <w:rPr>
          <w:rFonts w:ascii="Arial" w:hAnsi="Arial" w:eastAsia="Century Gothic" w:cs="Arial"/>
          <w:lang w:val="es-ES" w:eastAsia="es-ES_tradnl"/>
        </w:rPr>
      </w:pPr>
      <w:r w:rsidRPr="00144677">
        <w:rPr>
          <w:rFonts w:ascii="Arial" w:hAnsi="Arial" w:eastAsia="Century Gothic" w:cs="Arial"/>
          <w:lang w:val="es-ES" w:eastAsia="es-ES_tradnl"/>
        </w:rPr>
        <w:t xml:space="preserve">Estimado señor Guevara </w:t>
      </w:r>
      <w:proofErr w:type="spellStart"/>
      <w:r w:rsidRPr="00144677">
        <w:rPr>
          <w:rFonts w:ascii="Arial" w:hAnsi="Arial" w:eastAsia="Century Gothic" w:cs="Arial"/>
          <w:lang w:val="es-ES" w:eastAsia="es-ES_tradnl"/>
        </w:rPr>
        <w:t>Fragozo</w:t>
      </w:r>
      <w:proofErr w:type="spellEnd"/>
      <w:r w:rsidRPr="00144677">
        <w:rPr>
          <w:rFonts w:ascii="Arial" w:hAnsi="Arial" w:eastAsia="Century Gothic" w:cs="Arial"/>
          <w:lang w:val="es-ES" w:eastAsia="es-ES_tradnl"/>
        </w:rPr>
        <w:t>:</w:t>
      </w:r>
    </w:p>
    <w:p w:rsidRPr="00144677" w:rsidR="00144677" w:rsidP="00144677" w:rsidRDefault="00144677" w14:paraId="47E4A468" w14:textId="77777777">
      <w:pPr>
        <w:spacing w:after="0" w:line="276" w:lineRule="auto"/>
        <w:contextualSpacing/>
        <w:jc w:val="both"/>
        <w:rPr>
          <w:rFonts w:ascii="Arial" w:hAnsi="Arial" w:eastAsia="Century Gothic" w:cs="Arial"/>
          <w:lang w:val="es-ES" w:eastAsia="es-ES_tradnl"/>
        </w:rPr>
      </w:pPr>
    </w:p>
    <w:p w:rsidRPr="00144677" w:rsidR="00144677" w:rsidP="00144677" w:rsidRDefault="00144677" w14:paraId="2984160E" w14:textId="77777777">
      <w:pPr>
        <w:spacing w:after="0" w:line="276" w:lineRule="auto"/>
        <w:contextualSpacing/>
        <w:jc w:val="both"/>
        <w:rPr>
          <w:rFonts w:ascii="Arial" w:hAnsi="Arial" w:eastAsia="Century Gothic" w:cs="Arial"/>
          <w:lang w:val="es-ES" w:eastAsia="es-ES_tradnl"/>
        </w:rPr>
      </w:pPr>
      <w:r w:rsidRPr="00144677">
        <w:rPr>
          <w:rFonts w:ascii="Arial" w:hAnsi="Arial" w:eastAsia="Century Gothic" w:cs="Arial"/>
          <w:lang w:val="es-ES" w:eastAsia="es-ES_tradnl"/>
        </w:rPr>
        <w:t>En ejercicio de la competencia otorgada por el numeral 8° del artículo 11 y el numeral 5° del artículo 3 del Decreto Ley 4170 de 2011</w:t>
      </w:r>
      <w:r w:rsidRPr="00144677">
        <w:rPr>
          <w:rFonts w:ascii="Arial" w:hAnsi="Arial" w:eastAsia="Century Gothic" w:cs="Arial"/>
          <w:lang w:eastAsia="es-ES_tradnl"/>
        </w:rPr>
        <w:t>, así como lo establecido en la Resolución 1707 de 2018 expedida por esta Entidad</w:t>
      </w:r>
      <w:r w:rsidRPr="00144677">
        <w:rPr>
          <w:rFonts w:ascii="Arial" w:hAnsi="Arial" w:eastAsia="Century Gothic" w:cs="Arial"/>
          <w:lang w:val="es-ES" w:eastAsia="es-ES_tradnl"/>
        </w:rPr>
        <w:t>, la Agencia Nacional de Contratación Pública ― Colombia Compra Eficiente responde su consulta del 28 de julio de 2023.</w:t>
      </w:r>
    </w:p>
    <w:p w:rsidRPr="00144677" w:rsidR="00144677" w:rsidP="00144677" w:rsidRDefault="00144677" w14:paraId="4B4EDC9E" w14:textId="77777777">
      <w:pPr>
        <w:spacing w:after="0" w:line="276" w:lineRule="auto"/>
        <w:contextualSpacing/>
        <w:jc w:val="both"/>
        <w:rPr>
          <w:rFonts w:ascii="Arial" w:hAnsi="Arial" w:eastAsia="Century Gothic" w:cs="Arial"/>
          <w:b/>
          <w:bCs/>
          <w:lang w:val="es-ES" w:eastAsia="es-ES_tradnl"/>
        </w:rPr>
      </w:pPr>
    </w:p>
    <w:p w:rsidRPr="00144677" w:rsidR="00144677" w:rsidP="00144677" w:rsidRDefault="00144677" w14:paraId="2B7288D2" w14:textId="77777777">
      <w:pPr>
        <w:numPr>
          <w:ilvl w:val="0"/>
          <w:numId w:val="16"/>
        </w:numPr>
        <w:tabs>
          <w:tab w:val="left" w:pos="142"/>
          <w:tab w:val="left" w:pos="284"/>
        </w:tabs>
        <w:spacing w:after="0" w:line="276" w:lineRule="auto"/>
        <w:ind w:left="0" w:firstLine="0"/>
        <w:contextualSpacing/>
        <w:jc w:val="both"/>
        <w:rPr>
          <w:rFonts w:ascii="Arial" w:hAnsi="Arial" w:eastAsia="Century Gothic" w:cs="Arial"/>
          <w:b/>
          <w:bCs/>
          <w:lang w:val="es-ES"/>
        </w:rPr>
      </w:pPr>
      <w:r w:rsidRPr="00144677">
        <w:rPr>
          <w:rFonts w:ascii="Arial" w:hAnsi="Arial" w:eastAsia="Century Gothic" w:cs="Arial"/>
          <w:b/>
          <w:bCs/>
          <w:lang w:val="es-ES"/>
        </w:rPr>
        <w:t xml:space="preserve">Problema planteado </w:t>
      </w:r>
    </w:p>
    <w:p w:rsidRPr="00144677" w:rsidR="00144677" w:rsidP="00144677" w:rsidRDefault="00144677" w14:paraId="63F79796" w14:textId="77777777">
      <w:pPr>
        <w:spacing w:after="0" w:line="276" w:lineRule="auto"/>
        <w:contextualSpacing/>
        <w:jc w:val="both"/>
        <w:rPr>
          <w:rFonts w:ascii="Arial" w:hAnsi="Arial" w:eastAsia="Century Gothic" w:cs="Arial"/>
          <w:lang w:eastAsia="es-ES_tradnl"/>
        </w:rPr>
      </w:pPr>
    </w:p>
    <w:p w:rsidRPr="00601E52" w:rsidR="00144677" w:rsidP="00601E52" w:rsidRDefault="00144677" w14:paraId="583438C5" w14:textId="3C6A6BA8">
      <w:pPr>
        <w:spacing w:after="0" w:line="276" w:lineRule="auto"/>
        <w:jc w:val="both"/>
        <w:rPr>
          <w:rFonts w:ascii="Arial" w:hAnsi="Arial" w:eastAsia="Century Gothic" w:cs="Arial"/>
          <w:i/>
          <w:iCs/>
          <w:lang w:val="es-ES" w:eastAsia="es-ES_tradnl"/>
        </w:rPr>
      </w:pPr>
      <w:r w:rsidRPr="00601E52">
        <w:rPr>
          <w:rFonts w:ascii="Arial" w:hAnsi="Arial" w:eastAsia="Century Gothic" w:cs="Arial"/>
          <w:lang w:val="es-ES" w:eastAsia="es-ES_tradnl"/>
        </w:rPr>
        <w:t xml:space="preserve">Usted formula la siguiente consulta: </w:t>
      </w:r>
      <w:r w:rsidRPr="00601E52" w:rsidR="0009075A">
        <w:rPr>
          <w:rFonts w:ascii="Arial" w:hAnsi="Arial" w:eastAsia="Century Gothic" w:cs="Arial"/>
          <w:lang w:val="es-ES" w:eastAsia="es-ES_tradnl"/>
        </w:rPr>
        <w:t xml:space="preserve"> </w:t>
      </w:r>
      <w:r w:rsidRPr="00601E52">
        <w:rPr>
          <w:rFonts w:ascii="Arial" w:hAnsi="Arial" w:eastAsia="Century Gothic" w:cs="Arial"/>
          <w:i/>
          <w:iCs/>
          <w:lang w:val="es-ES" w:eastAsia="es-ES_tradnl"/>
        </w:rPr>
        <w:t>“Atendiendo la Ley 80 de 1993, ¿Es viable jurídicamente celebrar por la modalidad de Contratación Directa -Contrato Interadministrativo- entre una Sociedad de Economía Mixta con participación mayoritaria del 50% del Estado de carácter financiero y una Empresa Industrial y Comercial del Estado con participación mayoritaria del 50% del Estado, con la finalidad de ejecutar contrato de encargo fiduciario, atendiendo lo dispuesto en el parágrafo del Artículo 32 ibidem?”.</w:t>
      </w:r>
    </w:p>
    <w:p w:rsidRPr="00144677" w:rsidR="00144677" w:rsidP="00144677" w:rsidRDefault="00144677" w14:paraId="6672B588" w14:textId="77777777">
      <w:pPr>
        <w:spacing w:after="0" w:line="276" w:lineRule="auto"/>
        <w:contextualSpacing/>
        <w:jc w:val="both"/>
        <w:rPr>
          <w:rFonts w:ascii="Arial" w:hAnsi="Arial" w:eastAsia="Century Gothic" w:cs="Arial"/>
          <w:lang w:val="es-ES" w:eastAsia="es-ES_tradnl"/>
        </w:rPr>
      </w:pPr>
    </w:p>
    <w:p w:rsidRPr="00144677" w:rsidR="00144677" w:rsidP="00144677" w:rsidRDefault="00144677" w14:paraId="59AB05AF" w14:textId="77777777">
      <w:pPr>
        <w:numPr>
          <w:ilvl w:val="0"/>
          <w:numId w:val="16"/>
        </w:numPr>
        <w:tabs>
          <w:tab w:val="left" w:pos="284"/>
        </w:tabs>
        <w:spacing w:after="0" w:line="276" w:lineRule="auto"/>
        <w:ind w:left="0" w:firstLine="0"/>
        <w:contextualSpacing/>
        <w:jc w:val="both"/>
        <w:rPr>
          <w:rFonts w:ascii="Arial" w:hAnsi="Arial" w:eastAsia="Century Gothic" w:cs="Arial"/>
          <w:b/>
          <w:bCs/>
          <w:lang w:val="es-ES"/>
        </w:rPr>
      </w:pPr>
      <w:r w:rsidRPr="00144677">
        <w:rPr>
          <w:rFonts w:ascii="Arial" w:hAnsi="Arial" w:eastAsia="Century Gothic" w:cs="Arial"/>
          <w:b/>
          <w:bCs/>
          <w:lang w:val="es-ES"/>
        </w:rPr>
        <w:t>Consideraciones</w:t>
      </w:r>
    </w:p>
    <w:p w:rsidRPr="00144677" w:rsidR="00144677" w:rsidP="00144677" w:rsidRDefault="00144677" w14:paraId="1105FE44" w14:textId="77777777">
      <w:pPr>
        <w:tabs>
          <w:tab w:val="left" w:pos="284"/>
        </w:tabs>
        <w:spacing w:after="0" w:line="276" w:lineRule="auto"/>
        <w:contextualSpacing/>
        <w:jc w:val="both"/>
        <w:rPr>
          <w:rFonts w:ascii="Arial" w:hAnsi="Arial" w:eastAsia="Century Gothic" w:cs="Arial"/>
          <w:b/>
          <w:bCs/>
          <w:lang w:val="es-ES"/>
        </w:rPr>
      </w:pPr>
    </w:p>
    <w:p w:rsidRPr="00144677" w:rsidR="00144677" w:rsidP="00144677" w:rsidRDefault="00144677" w14:paraId="2DF83B90" w14:textId="77777777">
      <w:pPr>
        <w:spacing w:after="120" w:line="276" w:lineRule="auto"/>
        <w:jc w:val="both"/>
        <w:rPr>
          <w:rFonts w:ascii="Arial" w:hAnsi="Arial" w:eastAsia="Century Gothic" w:cs="Arial"/>
          <w:lang w:val="es-ES" w:eastAsia="es-ES_tradnl"/>
        </w:rPr>
      </w:pPr>
      <w:r w:rsidRPr="00144677">
        <w:rPr>
          <w:rFonts w:ascii="Arial" w:hAnsi="Arial" w:eastAsia="Century Gothic" w:cs="Arial"/>
          <w:lang w:eastAsia="es-ES_tradnl"/>
        </w:rPr>
        <w:t xml:space="preserve">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w:t>
      </w:r>
      <w:r w:rsidRPr="00601E52">
        <w:rPr>
          <w:rFonts w:ascii="Arial" w:hAnsi="Arial" w:eastAsia="Century Gothic" w:cs="Arial"/>
          <w:lang w:val="es-ES" w:eastAsia="es-ES_tradnl"/>
        </w:rPr>
        <w:t>artículos citados.</w:t>
      </w:r>
      <w:bookmarkStart w:name="_Hlk61701014" w:id="0"/>
      <w:bookmarkStart w:name="_Hlk62136649" w:id="1"/>
      <w:r w:rsidRPr="00601E52">
        <w:rPr>
          <w:rFonts w:ascii="Arial" w:hAnsi="Arial" w:eastAsia="Century Gothic" w:cs="Arial"/>
          <w:lang w:val="es-ES" w:eastAsia="es-ES_tradnl"/>
        </w:rPr>
        <w:t xml:space="preserve"> </w:t>
      </w:r>
      <w:r w:rsidRPr="00144677">
        <w:rPr>
          <w:rFonts w:ascii="Arial" w:hAnsi="Arial" w:eastAsia="Century Gothic" w:cs="Arial"/>
          <w:lang w:val="es-ES" w:eastAsia="es-ES_tradnl"/>
        </w:rPr>
        <w:t xml:space="preserve">Es necesario tener en cuenta que </w:t>
      </w:r>
      <w:bookmarkStart w:name="_Hlk61026958" w:id="2"/>
      <w:r w:rsidRPr="00144677">
        <w:rPr>
          <w:rFonts w:ascii="Arial" w:hAnsi="Arial" w:eastAsia="Century Gothic" w:cs="Arial"/>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144677">
        <w:rPr>
          <w:rFonts w:ascii="Arial" w:hAnsi="Arial" w:eastAsia="Century Gothic" w:cs="Arial"/>
          <w:lang w:eastAsia="es-ES_tradnl"/>
        </w:rPr>
        <w:t xml:space="preserve"> de todos los partícipes de la contratación estatal.</w:t>
      </w:r>
    </w:p>
    <w:p w:rsidRPr="00144677" w:rsidR="00144677" w:rsidP="00144677" w:rsidRDefault="00144677" w14:paraId="2711DA62" w14:textId="77777777">
      <w:pPr>
        <w:spacing w:after="120" w:line="276" w:lineRule="auto"/>
        <w:ind w:firstLine="708"/>
        <w:jc w:val="both"/>
        <w:rPr>
          <w:rFonts w:ascii="Arial" w:hAnsi="Arial" w:eastAsia="Century Gothic" w:cs="Arial"/>
          <w:lang w:val="es-ES" w:eastAsia="es-ES_tradnl"/>
        </w:rPr>
      </w:pPr>
      <w:r w:rsidRPr="00144677">
        <w:rPr>
          <w:rFonts w:ascii="Arial" w:hAnsi="Arial" w:eastAsia="Century Gothic" w:cs="Arial"/>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44677">
        <w:rPr>
          <w:rFonts w:ascii="Arial" w:hAnsi="Arial" w:eastAsia="Century Gothic" w:cs="Arial"/>
          <w:vertAlign w:val="superscript"/>
          <w:lang w:val="es-ES" w:eastAsia="es-ES_tradnl"/>
        </w:rPr>
        <w:footnoteReference w:id="1"/>
      </w:r>
      <w:r w:rsidRPr="00144677">
        <w:rPr>
          <w:rFonts w:ascii="Arial" w:hAnsi="Arial" w:eastAsia="Century Gothic" w:cs="Arial"/>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2"/>
      <w:r w:rsidRPr="00144677">
        <w:rPr>
          <w:rFonts w:ascii="Arial" w:hAnsi="Arial" w:eastAsia="Century Gothic" w:cs="Arial"/>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bookmarkEnd w:id="1"/>
    <w:p w:rsidRPr="00144677" w:rsidR="00144677" w:rsidP="00144677" w:rsidRDefault="00144677" w14:paraId="72F3979F" w14:textId="77777777">
      <w:pPr>
        <w:tabs>
          <w:tab w:val="left" w:pos="426"/>
        </w:tabs>
        <w:spacing w:after="120" w:line="276" w:lineRule="auto"/>
        <w:jc w:val="both"/>
        <w:rPr>
          <w:rFonts w:ascii="Arial" w:hAnsi="Arial" w:eastAsia="Calibri" w:cs="Arial"/>
          <w:color w:val="000000"/>
          <w:lang w:val="es-ES" w:eastAsia="es-ES_tradnl"/>
        </w:rPr>
      </w:pPr>
      <w:r w:rsidRPr="00144677">
        <w:rPr>
          <w:rFonts w:ascii="Arial" w:hAnsi="Arial" w:eastAsia="Times New Roman" w:cs="Arial"/>
          <w:lang w:eastAsia="es-ES_tradnl"/>
        </w:rPr>
        <w:tab/>
      </w:r>
      <w:r w:rsidRPr="00144677">
        <w:rPr>
          <w:rFonts w:ascii="Arial" w:hAnsi="Arial" w:eastAsia="Times New Roman" w:cs="Arial"/>
          <w:lang w:eastAsia="es-ES_tradnl"/>
        </w:rPr>
        <w:tab/>
      </w:r>
      <w:r w:rsidRPr="00144677">
        <w:rPr>
          <w:rFonts w:ascii="Arial" w:hAnsi="Arial" w:eastAsia="Century Gothic" w:cs="Arial"/>
          <w:lang w:eastAsia="es-ES_tradnl"/>
        </w:rPr>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144677">
        <w:rPr>
          <w:rFonts w:ascii="Arial" w:hAnsi="Arial" w:eastAsia="Century Gothic" w:cs="Arial"/>
          <w:lang w:val="es-ES" w:eastAsia="es-ES_tradnl"/>
        </w:rPr>
        <w:t xml:space="preserve">los siguientes temas: i) </w:t>
      </w:r>
      <w:r w:rsidRPr="00144677">
        <w:rPr>
          <w:rFonts w:ascii="Arial" w:hAnsi="Arial" w:eastAsia="Calibri" w:cs="Arial"/>
          <w:color w:val="000000"/>
          <w:lang w:val="es-ES" w:eastAsia="es-ES_tradnl"/>
        </w:rPr>
        <w:t xml:space="preserve">naturaleza jurídica de las sociedades de economía mixta; </w:t>
      </w:r>
      <w:proofErr w:type="spellStart"/>
      <w:r w:rsidRPr="00144677">
        <w:rPr>
          <w:rFonts w:ascii="Arial" w:hAnsi="Arial" w:eastAsia="Calibri" w:cs="Arial"/>
          <w:color w:val="000000"/>
          <w:lang w:val="es-ES" w:eastAsia="es-ES_tradnl"/>
        </w:rPr>
        <w:t>ii</w:t>
      </w:r>
      <w:proofErr w:type="spellEnd"/>
      <w:r w:rsidRPr="00144677">
        <w:rPr>
          <w:rFonts w:ascii="Arial" w:hAnsi="Arial" w:eastAsia="Calibri" w:cs="Arial"/>
          <w:color w:val="000000"/>
          <w:lang w:val="es-ES" w:eastAsia="es-ES_tradnl"/>
        </w:rPr>
        <w:t xml:space="preserve">) naturaleza jurídica y régimen contractual de las empresas industriales y comerciales del Estado y; </w:t>
      </w:r>
      <w:proofErr w:type="spellStart"/>
      <w:r w:rsidRPr="00144677">
        <w:rPr>
          <w:rFonts w:ascii="Arial" w:hAnsi="Arial" w:eastAsia="Calibri" w:cs="Arial"/>
          <w:color w:val="000000"/>
          <w:lang w:val="es-ES" w:eastAsia="es-ES_tradnl"/>
        </w:rPr>
        <w:t>iii</w:t>
      </w:r>
      <w:proofErr w:type="spellEnd"/>
      <w:r w:rsidRPr="00144677">
        <w:rPr>
          <w:rFonts w:ascii="Arial" w:hAnsi="Arial" w:eastAsia="Calibri" w:cs="Arial"/>
          <w:color w:val="000000"/>
          <w:lang w:val="es-ES" w:eastAsia="es-ES_tradnl"/>
        </w:rPr>
        <w:t xml:space="preserve">) contratos interadministrativos: concepto y régimen jurídico aplicable.  </w:t>
      </w:r>
    </w:p>
    <w:p w:rsidRPr="00144677" w:rsidR="00144677" w:rsidP="00144677" w:rsidRDefault="00144677" w14:paraId="060CAD8B" w14:textId="77777777">
      <w:pPr>
        <w:spacing w:after="0" w:line="276" w:lineRule="auto"/>
        <w:ind w:firstLine="709"/>
        <w:jc w:val="both"/>
        <w:rPr>
          <w:rFonts w:ascii="Arial" w:hAnsi="Arial" w:eastAsia="Calibri" w:cs="Arial"/>
          <w:color w:val="000000" w:themeColor="text1"/>
          <w:lang w:eastAsia="es-ES_tradnl"/>
        </w:rPr>
      </w:pPr>
      <w:r w:rsidRPr="00144677">
        <w:rPr>
          <w:rFonts w:ascii="Arial" w:hAnsi="Arial" w:eastAsia="Calibri" w:cs="Arial"/>
          <w:color w:val="000000" w:themeColor="text1"/>
          <w:lang w:eastAsia="es-ES_tradnl"/>
        </w:rPr>
        <w:t xml:space="preserve">La Agencia Nacional de Contratación Pública – Colombia Compra Eficiente </w:t>
      </w:r>
      <w:r w:rsidRPr="00144677">
        <w:rPr>
          <w:rFonts w:ascii="Arial" w:hAnsi="Arial" w:eastAsia="Arial" w:cs="Arial"/>
          <w:lang w:val="es-MX" w:eastAsia="es-ES_tradnl"/>
        </w:rPr>
        <w:t xml:space="preserve">ha analizado diferentes aspectos </w:t>
      </w:r>
      <w:r w:rsidRPr="00144677">
        <w:rPr>
          <w:rFonts w:ascii="Arial" w:hAnsi="Arial" w:eastAsia="Times New Roman" w:cs="Arial"/>
          <w:bCs/>
          <w:color w:val="000000" w:themeColor="text1"/>
          <w:lang w:val="es-MX" w:eastAsia="es-ES_tradnl"/>
        </w:rPr>
        <w:t xml:space="preserve">sobre el concepto y régimen jurídico aplicable a los contratos interadministrativos, entre otros, en los Conceptos: </w:t>
      </w:r>
      <w:r w:rsidRPr="00144677">
        <w:rPr>
          <w:rFonts w:ascii="Arial" w:hAnsi="Arial" w:eastAsia="Calibri" w:cs="Arial"/>
          <w:color w:val="000000" w:themeColor="text1"/>
          <w:lang w:eastAsia="es-ES_tradnl"/>
        </w:rPr>
        <w:t xml:space="preserve">4201913000004536 del 27 de julio de </w:t>
      </w:r>
      <w:r w:rsidRPr="00144677">
        <w:rPr>
          <w:rFonts w:ascii="Arial" w:hAnsi="Arial" w:eastAsia="Calibri" w:cs="Arial"/>
          <w:color w:val="000000" w:themeColor="text1"/>
          <w:lang w:eastAsia="es-ES_tradnl"/>
        </w:rPr>
        <w:t xml:space="preserve">2019, C-023 del 3 de febrero de 2020, C-702 del 11 de diciembre de 2020, C-097 de 23 de marzo de 202, C-350 del 16 de julio de 2021, C-352 del 27 de julio de 2021, C-508 del 20 de septiembre de 2021, C-616 del 3 de noviembre de 2021, C-662 del 1 de diciembre de 2022, C-147 del 25 de julio de 2023. </w:t>
      </w:r>
      <w:r w:rsidRPr="00144677">
        <w:rPr>
          <w:rFonts w:ascii="Arial" w:hAnsi="Arial" w:eastAsia="Times New Roman" w:cs="Arial"/>
          <w:color w:val="000000"/>
          <w:shd w:val="clear" w:color="auto" w:fill="FFFFFF"/>
          <w:lang w:eastAsia="es-ES_tradnl"/>
        </w:rPr>
        <w:t xml:space="preserve">Igualmente, </w:t>
      </w:r>
      <w:r w:rsidRPr="00144677">
        <w:rPr>
          <w:rFonts w:ascii="Arial" w:hAnsi="Arial" w:eastAsia="Times New Roman" w:cs="Arial"/>
          <w:color w:val="000000"/>
          <w:shd w:val="clear" w:color="auto" w:fill="FFFFFF"/>
          <w:lang w:val="es-ES" w:eastAsia="es-ES_tradnl"/>
        </w:rPr>
        <w:t xml:space="preserve">se pronunció sobre el régimen de las sociedades de economía mixta en los conceptos C- 762 del 6 de enero de 2020 y C-089 del 22 de marzo de 2022. </w:t>
      </w:r>
      <w:r w:rsidRPr="00144677">
        <w:rPr>
          <w:rFonts w:ascii="Arial" w:hAnsi="Arial" w:eastAsia="Calibri" w:cs="Arial"/>
          <w:color w:val="000000" w:themeColor="text1"/>
          <w:lang w:eastAsia="es-ES_tradnl"/>
        </w:rPr>
        <w:t xml:space="preserve">Asimismo, </w:t>
      </w:r>
      <w:r w:rsidRPr="00144677">
        <w:rPr>
          <w:rFonts w:ascii="Arial" w:hAnsi="Arial" w:eastAsia="Times New Roman" w:cs="Arial"/>
          <w:color w:val="000000"/>
          <w:shd w:val="clear" w:color="auto" w:fill="FFFFFF"/>
          <w:lang w:val="es-MX" w:eastAsia="es-ES_tradnl"/>
        </w:rPr>
        <w:t xml:space="preserve">se ha referido previamente al régimen contractual de las </w:t>
      </w:r>
      <w:r w:rsidRPr="00144677">
        <w:rPr>
          <w:rFonts w:ascii="Arial" w:hAnsi="Arial" w:eastAsia="Times New Roman" w:cs="Arial"/>
          <w:color w:val="000000"/>
          <w:shd w:val="clear" w:color="auto" w:fill="FFFFFF"/>
          <w:lang w:eastAsia="es-ES_tradnl"/>
        </w:rPr>
        <w:t xml:space="preserve">empresas industriales </w:t>
      </w:r>
      <w:r w:rsidRPr="00144677">
        <w:rPr>
          <w:rFonts w:ascii="Arial" w:hAnsi="Arial" w:eastAsia="Times New Roman" w:cs="Arial"/>
          <w:color w:val="000000"/>
          <w:shd w:val="clear" w:color="auto" w:fill="FFFFFF"/>
          <w:lang w:val="es-MX" w:eastAsia="es-ES_tradnl"/>
        </w:rPr>
        <w:t xml:space="preserve">y </w:t>
      </w:r>
      <w:r w:rsidRPr="00144677">
        <w:rPr>
          <w:rFonts w:ascii="Arial" w:hAnsi="Arial" w:eastAsia="Times New Roman" w:cs="Arial"/>
          <w:color w:val="000000"/>
          <w:shd w:val="clear" w:color="auto" w:fill="FFFFFF"/>
          <w:lang w:eastAsia="es-ES_tradnl"/>
        </w:rPr>
        <w:t xml:space="preserve">comerciales </w:t>
      </w:r>
      <w:r w:rsidRPr="00144677">
        <w:rPr>
          <w:rFonts w:ascii="Arial" w:hAnsi="Arial" w:eastAsia="Times New Roman" w:cs="Arial"/>
          <w:color w:val="000000"/>
          <w:shd w:val="clear" w:color="auto" w:fill="FFFFFF"/>
          <w:lang w:val="es-MX" w:eastAsia="es-ES_tradnl"/>
        </w:rPr>
        <w:t>del Estado, según desarrollen o no sus actividades en competencia con el sector privado o en mercados regulados, en los conceptos 4201913000001662, C</w:t>
      </w:r>
      <w:r w:rsidRPr="00144677">
        <w:rPr>
          <w:rFonts w:ascii="Arial" w:hAnsi="Arial" w:eastAsia="Times New Roman" w:cs="Arial"/>
          <w:color w:val="000000"/>
          <w:shd w:val="clear" w:color="auto" w:fill="FFFFFF"/>
          <w:lang w:eastAsia="es-ES_tradnl"/>
        </w:rPr>
        <w:t>-</w:t>
      </w:r>
      <w:r w:rsidRPr="00144677">
        <w:rPr>
          <w:rFonts w:ascii="Arial" w:hAnsi="Arial" w:eastAsia="Times New Roman" w:cs="Arial"/>
          <w:color w:val="000000"/>
          <w:shd w:val="clear" w:color="auto" w:fill="FFFFFF"/>
          <w:lang w:val="es-MX" w:eastAsia="es-ES_tradnl"/>
        </w:rPr>
        <w:t>251 del 27 de mayo de 2020, C-280 del 6 de julio de 2020, C</w:t>
      </w:r>
      <w:r w:rsidRPr="00144677">
        <w:rPr>
          <w:rFonts w:ascii="Arial" w:hAnsi="Arial" w:eastAsia="Times New Roman" w:cs="Arial"/>
          <w:color w:val="000000"/>
          <w:shd w:val="clear" w:color="auto" w:fill="FFFFFF"/>
          <w:lang w:eastAsia="es-ES_tradnl"/>
        </w:rPr>
        <w:t>-</w:t>
      </w:r>
      <w:r w:rsidRPr="00144677">
        <w:rPr>
          <w:rFonts w:ascii="Arial" w:hAnsi="Arial" w:eastAsia="Times New Roman" w:cs="Arial"/>
          <w:color w:val="000000"/>
          <w:shd w:val="clear" w:color="auto" w:fill="FFFFFF"/>
          <w:lang w:val="es-MX" w:eastAsia="es-ES_tradnl"/>
        </w:rPr>
        <w:t>253 del 2 de junio de 2021, C</w:t>
      </w:r>
      <w:r w:rsidRPr="00144677">
        <w:rPr>
          <w:rFonts w:ascii="Arial" w:hAnsi="Arial" w:eastAsia="Times New Roman" w:cs="Arial"/>
          <w:color w:val="000000"/>
          <w:shd w:val="clear" w:color="auto" w:fill="FFFFFF"/>
          <w:lang w:eastAsia="es-ES_tradnl"/>
        </w:rPr>
        <w:t>-</w:t>
      </w:r>
      <w:r w:rsidRPr="00144677">
        <w:rPr>
          <w:rFonts w:ascii="Arial" w:hAnsi="Arial" w:eastAsia="Times New Roman" w:cs="Arial"/>
          <w:color w:val="000000"/>
          <w:shd w:val="clear" w:color="auto" w:fill="FFFFFF"/>
          <w:lang w:val="es-MX" w:eastAsia="es-ES_tradnl"/>
        </w:rPr>
        <w:t>616 del 3 de noviembre de 2021 y C-176 del 6 de abril de 2022</w:t>
      </w:r>
      <w:r w:rsidRPr="00144677">
        <w:rPr>
          <w:rFonts w:ascii="Arial" w:hAnsi="Arial" w:eastAsia="Times New Roman" w:cs="Arial"/>
          <w:color w:val="000000"/>
          <w:shd w:val="clear" w:color="auto" w:fill="FFFFFF"/>
          <w:lang w:eastAsia="es-ES_tradnl"/>
        </w:rPr>
        <w:t xml:space="preserve">, </w:t>
      </w:r>
      <w:r w:rsidRPr="00144677">
        <w:rPr>
          <w:rFonts w:ascii="Arial" w:hAnsi="Arial" w:eastAsia="Times New Roman" w:cs="Arial"/>
          <w:color w:val="000000"/>
          <w:shd w:val="clear" w:color="auto" w:fill="FFFFFF"/>
          <w:lang w:val="es-ES" w:eastAsia="es-ES_tradnl"/>
        </w:rPr>
        <w:t>entre otros</w:t>
      </w:r>
      <w:r w:rsidRPr="00144677">
        <w:rPr>
          <w:rFonts w:ascii="Arial" w:hAnsi="Arial" w:eastAsia="Century Gothic" w:cs="Arial"/>
          <w:vertAlign w:val="superscript"/>
          <w:lang w:val="es-ES" w:eastAsia="es-ES_tradnl"/>
        </w:rPr>
        <w:footnoteReference w:id="2"/>
      </w:r>
      <w:r w:rsidRPr="00144677">
        <w:rPr>
          <w:rFonts w:ascii="Arial" w:hAnsi="Arial" w:eastAsia="Century Gothic" w:cs="Arial"/>
          <w:lang w:val="es-ES" w:eastAsia="es-ES_tradnl"/>
        </w:rPr>
        <w:t xml:space="preserve">. Las tesis expuestas en estos conceptos se reiteran a continuación y se complementan en lo pertinente, teniendo en cuenta el interrogante planteado. </w:t>
      </w:r>
    </w:p>
    <w:p w:rsidRPr="00144677" w:rsidR="00144677" w:rsidP="00144677" w:rsidRDefault="00144677" w14:paraId="2F6A6DDC" w14:textId="77777777">
      <w:pPr>
        <w:spacing w:after="0" w:line="276" w:lineRule="auto"/>
        <w:jc w:val="both"/>
        <w:rPr>
          <w:rFonts w:ascii="Arial" w:hAnsi="Arial" w:eastAsia="Century Gothic" w:cs="Arial"/>
          <w:lang w:val="es-ES" w:eastAsia="es-ES_tradnl"/>
        </w:rPr>
      </w:pPr>
    </w:p>
    <w:p w:rsidRPr="00144677" w:rsidR="00144677" w:rsidP="00144677" w:rsidRDefault="00144677" w14:paraId="21056BE3" w14:textId="77777777">
      <w:pPr>
        <w:spacing w:after="0" w:line="276" w:lineRule="auto"/>
        <w:jc w:val="both"/>
        <w:rPr>
          <w:rFonts w:ascii="Arial" w:hAnsi="Arial" w:eastAsia="Calibri" w:cs="Arial"/>
          <w:b/>
          <w:bCs/>
          <w:color w:val="000000" w:themeColor="text1"/>
          <w:lang w:val="es-ES_tradnl" w:eastAsia="es-ES_tradnl"/>
        </w:rPr>
      </w:pPr>
      <w:r w:rsidRPr="00144677">
        <w:rPr>
          <w:rFonts w:ascii="Arial" w:hAnsi="Arial" w:eastAsia="Times New Roman" w:cs="Arial"/>
          <w:b/>
          <w:lang w:eastAsia="es-ES_tradnl"/>
        </w:rPr>
        <w:t xml:space="preserve">2.1. </w:t>
      </w:r>
      <w:r w:rsidRPr="00144677">
        <w:rPr>
          <w:rFonts w:ascii="Arial" w:hAnsi="Arial" w:eastAsia="Calibri" w:cs="Arial"/>
          <w:b/>
          <w:bCs/>
          <w:lang w:val="es-ES_tradnl" w:eastAsia="es-ES_tradnl"/>
        </w:rPr>
        <w:t>Naturaleza jurídica</w:t>
      </w:r>
      <w:r w:rsidRPr="00144677">
        <w:rPr>
          <w:rFonts w:ascii="Arial" w:hAnsi="Arial" w:eastAsia="Calibri" w:cs="Arial"/>
          <w:b/>
          <w:bCs/>
          <w:color w:val="000000" w:themeColor="text1"/>
          <w:lang w:val="es-ES_tradnl" w:eastAsia="es-ES_tradnl"/>
        </w:rPr>
        <w:t xml:space="preserve"> de las Sociedades de Economía Mixta</w:t>
      </w:r>
    </w:p>
    <w:p w:rsidRPr="00144677" w:rsidR="00144677" w:rsidP="00144677" w:rsidRDefault="00144677" w14:paraId="6808AA92" w14:textId="77777777">
      <w:pPr>
        <w:spacing w:after="0" w:line="276" w:lineRule="auto"/>
        <w:jc w:val="both"/>
        <w:rPr>
          <w:rFonts w:ascii="Arial" w:hAnsi="Arial" w:eastAsia="Calibri" w:cs="Arial"/>
          <w:b/>
          <w:bCs/>
          <w:color w:val="000000" w:themeColor="text1"/>
          <w:lang w:val="es-ES_tradnl" w:eastAsia="es-ES_tradnl"/>
        </w:rPr>
      </w:pPr>
    </w:p>
    <w:p w:rsidRPr="00144677" w:rsidR="00144677" w:rsidP="00144677" w:rsidRDefault="00144677" w14:paraId="2F848B57" w14:textId="77777777">
      <w:pPr>
        <w:autoSpaceDE w:val="0"/>
        <w:autoSpaceDN w:val="0"/>
        <w:adjustRightInd w:val="0"/>
        <w:spacing w:after="120" w:line="276" w:lineRule="auto"/>
        <w:jc w:val="both"/>
        <w:rPr>
          <w:rFonts w:ascii="Arial" w:hAnsi="Arial" w:eastAsia="Times New Roman" w:cs="Arial"/>
          <w:lang w:val="es-ES_tradnl" w:eastAsia="es-ES_tradnl"/>
        </w:rPr>
      </w:pPr>
      <w:r w:rsidRPr="00144677">
        <w:rPr>
          <w:rFonts w:ascii="Arial" w:hAnsi="Arial" w:eastAsia="Times New Roman" w:cs="Arial"/>
          <w:color w:val="000000" w:themeColor="text1"/>
          <w:lang w:val="es-ES_tradnl" w:eastAsia="es-ES_tradnl"/>
        </w:rPr>
        <w:t>En nuestro ordenamiento jurídico el</w:t>
      </w:r>
      <w:r w:rsidRPr="00144677">
        <w:rPr>
          <w:rFonts w:ascii="Arial" w:hAnsi="Arial" w:eastAsia="Times New Roman" w:cs="Arial"/>
          <w:lang w:val="es-ES_tradnl" w:eastAsia="es-ES_tradnl"/>
        </w:rPr>
        <w:t xml:space="preserve"> artículo 97 de la Ley 489 de 1998 define a las sociedades de economía mixta como organismos autorizados por la ley, constituidos como sociedades comerciales, con aportes de capital público y privado, que desarrollan actividades de naturaleza industrial o comercial conforme a las reglas del derecho privado, salvo las excepciones que consagra la ley.</w:t>
      </w:r>
    </w:p>
    <w:p w:rsidRPr="00144677" w:rsidR="00144677" w:rsidP="00144677" w:rsidRDefault="00144677" w14:paraId="0AE25C74" w14:textId="77777777">
      <w:pPr>
        <w:spacing w:after="120" w:line="276" w:lineRule="auto"/>
        <w:ind w:firstLine="709"/>
        <w:jc w:val="both"/>
        <w:textAlignment w:val="baseline"/>
        <w:rPr>
          <w:rFonts w:ascii="Arial" w:hAnsi="Arial" w:eastAsia="Times New Roman" w:cs="Arial"/>
          <w:lang w:val="es-ES_tradnl" w:eastAsia="es-MX"/>
        </w:rPr>
      </w:pPr>
      <w:r w:rsidRPr="00144677">
        <w:rPr>
          <w:rFonts w:ascii="Arial" w:hAnsi="Arial" w:eastAsia="Times New Roman" w:cs="Arial"/>
          <w:lang w:val="es-ES_tradnl" w:eastAsia="es-MX"/>
        </w:rPr>
        <w:t>En este sentido, la citada Ley, en sus artículos 38 y 68, clasifica a las sociedades de economía mixta como entidades descentralizadas por servicios, con personería jurídica, autonomía administrativa y patrimonio propio</w:t>
      </w:r>
      <w:r w:rsidRPr="00144677">
        <w:rPr>
          <w:rFonts w:ascii="Arial" w:hAnsi="Arial" w:eastAsia="Times New Roman" w:cs="Arial"/>
          <w:vertAlign w:val="superscript"/>
          <w:lang w:val="es-ES_tradnl" w:eastAsia="es-MX"/>
        </w:rPr>
        <w:footnoteReference w:id="3"/>
      </w:r>
      <w:r w:rsidRPr="00144677">
        <w:rPr>
          <w:rFonts w:ascii="Arial" w:hAnsi="Arial" w:eastAsia="Times New Roman" w:cs="Arial"/>
          <w:lang w:val="es-ES_tradnl" w:eastAsia="es-MX"/>
        </w:rPr>
        <w:t>, que pueden ser del orden nacional, departamental o municipal, según su órgano de creación</w:t>
      </w:r>
      <w:r w:rsidRPr="00144677">
        <w:rPr>
          <w:rFonts w:ascii="Arial" w:hAnsi="Arial" w:eastAsia="Times New Roman" w:cs="Arial"/>
          <w:vertAlign w:val="superscript"/>
          <w:lang w:val="es-ES_tradnl" w:eastAsia="es-MX"/>
        </w:rPr>
        <w:footnoteReference w:id="4"/>
      </w:r>
      <w:r w:rsidRPr="00144677">
        <w:rPr>
          <w:rFonts w:ascii="Arial" w:hAnsi="Arial" w:eastAsia="Times New Roman" w:cs="Arial"/>
          <w:lang w:val="es-ES_tradnl" w:eastAsia="es-MX"/>
        </w:rPr>
        <w:t xml:space="preserve">. Al respecto, la Corte Constitucional, en sentencias C-736 del 19 de septiembre de 2007, C-118 del 14 de noviembre de 2018 y C-306 del 10 de julio de 2019, ha considerado que las sociedades estudiadas, desde una perspectiva constitucional, se caracterizan por los siguientes rasgos: i) pertenecen a la rama ejecutiva del poder público, como manifestación de la descentralización por servicios. Así mismo, </w:t>
      </w:r>
      <w:proofErr w:type="spellStart"/>
      <w:r w:rsidRPr="00144677">
        <w:rPr>
          <w:rFonts w:ascii="Arial" w:hAnsi="Arial" w:eastAsia="Times New Roman" w:cs="Arial"/>
          <w:lang w:val="es-ES_tradnl" w:eastAsia="es-MX"/>
        </w:rPr>
        <w:t>ii</w:t>
      </w:r>
      <w:proofErr w:type="spellEnd"/>
      <w:r w:rsidRPr="00144677">
        <w:rPr>
          <w:rFonts w:ascii="Arial" w:hAnsi="Arial" w:eastAsia="Times New Roman" w:cs="Arial"/>
          <w:lang w:val="es-ES_tradnl" w:eastAsia="es-MX"/>
        </w:rPr>
        <w:t xml:space="preserve">) están sujetas al control fiscal, financiero, de gestión y de resultados en cabeza de la Contraloría General de la República. Por otra parte, </w:t>
      </w:r>
      <w:proofErr w:type="spellStart"/>
      <w:r w:rsidRPr="00144677">
        <w:rPr>
          <w:rFonts w:ascii="Arial" w:hAnsi="Arial" w:eastAsia="Times New Roman" w:cs="Arial"/>
          <w:lang w:val="es-ES_tradnl" w:eastAsia="es-MX"/>
        </w:rPr>
        <w:t>iii</w:t>
      </w:r>
      <w:proofErr w:type="spellEnd"/>
      <w:r w:rsidRPr="00144677">
        <w:rPr>
          <w:rFonts w:ascii="Arial" w:hAnsi="Arial" w:eastAsia="Times New Roman" w:cs="Arial"/>
          <w:lang w:val="es-ES_tradnl" w:eastAsia="es-MX"/>
        </w:rPr>
        <w:t xml:space="preserve">) se someten al control político, que ejerce directamente el Congreso de la República. Además, </w:t>
      </w:r>
      <w:proofErr w:type="spellStart"/>
      <w:r w:rsidRPr="00144677">
        <w:rPr>
          <w:rFonts w:ascii="Arial" w:hAnsi="Arial" w:eastAsia="Times New Roman" w:cs="Arial"/>
          <w:lang w:val="es-ES_tradnl" w:eastAsia="es-MX"/>
        </w:rPr>
        <w:t>iv</w:t>
      </w:r>
      <w:proofErr w:type="spellEnd"/>
      <w:r w:rsidRPr="00144677">
        <w:rPr>
          <w:rFonts w:ascii="Arial" w:hAnsi="Arial" w:eastAsia="Times New Roman" w:cs="Arial"/>
          <w:lang w:val="es-ES_tradnl" w:eastAsia="es-MX"/>
        </w:rPr>
        <w:t xml:space="preserve">) en el caso de las sociedades de economía mixta del orden nacional, le corresponde al Congreso de la República su creación o autorización mediante ley. En cambio, v) en el caso de los órdenes departamental y municipal, esta misma facultad se les reconoce a las asambleas y concejos. Adicionalmente, vi) a todas las sociedades de economía mixta les son aplicables las inhabilidades para la integración de órganos directivos a que aluden los artículos 180- 3, 292 y 323 de la Constitución Política. A lo anterior debe agregarse que, </w:t>
      </w:r>
      <w:proofErr w:type="spellStart"/>
      <w:r w:rsidRPr="00144677">
        <w:rPr>
          <w:rFonts w:ascii="Arial" w:hAnsi="Arial" w:eastAsia="Times New Roman" w:cs="Arial"/>
          <w:lang w:val="es-ES_tradnl" w:eastAsia="es-MX"/>
        </w:rPr>
        <w:t>vii</w:t>
      </w:r>
      <w:proofErr w:type="spellEnd"/>
      <w:r w:rsidRPr="00144677">
        <w:rPr>
          <w:rFonts w:ascii="Arial" w:hAnsi="Arial" w:eastAsia="Times New Roman" w:cs="Arial"/>
          <w:lang w:val="es-ES_tradnl" w:eastAsia="es-MX"/>
        </w:rPr>
        <w:t xml:space="preserve">) en materia presupuestal, las sociedades de economía mixta quedan sujetas a las reglas de la ley orgánica del presupuesto. De otro lado, </w:t>
      </w:r>
      <w:proofErr w:type="spellStart"/>
      <w:r w:rsidRPr="00144677">
        <w:rPr>
          <w:rFonts w:ascii="Arial" w:hAnsi="Arial" w:eastAsia="Times New Roman" w:cs="Arial"/>
          <w:lang w:val="es-ES_tradnl" w:eastAsia="es-MX"/>
        </w:rPr>
        <w:t>viii</w:t>
      </w:r>
      <w:proofErr w:type="spellEnd"/>
      <w:r w:rsidRPr="00144677">
        <w:rPr>
          <w:rFonts w:ascii="Arial" w:hAnsi="Arial" w:eastAsia="Times New Roman" w:cs="Arial"/>
          <w:lang w:val="es-ES_tradnl" w:eastAsia="es-MX"/>
        </w:rPr>
        <w:t xml:space="preserve">) en materia contable, quedan vinculadas a las reglas de contabilidad oficial. Además, </w:t>
      </w:r>
      <w:proofErr w:type="spellStart"/>
      <w:r w:rsidRPr="00144677">
        <w:rPr>
          <w:rFonts w:ascii="Arial" w:hAnsi="Arial" w:eastAsia="Times New Roman" w:cs="Arial"/>
          <w:lang w:val="es-ES_tradnl" w:eastAsia="es-MX"/>
        </w:rPr>
        <w:t>ix</w:t>
      </w:r>
      <w:proofErr w:type="spellEnd"/>
      <w:r w:rsidRPr="00144677">
        <w:rPr>
          <w:rFonts w:ascii="Arial" w:hAnsi="Arial" w:eastAsia="Times New Roman" w:cs="Arial"/>
          <w:lang w:val="es-ES_tradnl" w:eastAsia="es-MX"/>
        </w:rPr>
        <w:t>) se rigen por el derecho privado, en virtud de la naturaleza de las actividades que desarrollan.</w:t>
      </w:r>
    </w:p>
    <w:p w:rsidRPr="00144677" w:rsidR="00144677" w:rsidP="00144677" w:rsidRDefault="00144677" w14:paraId="29018B6F" w14:textId="77777777">
      <w:pPr>
        <w:spacing w:after="120" w:line="276" w:lineRule="auto"/>
        <w:ind w:firstLine="709"/>
        <w:jc w:val="both"/>
        <w:textAlignment w:val="baseline"/>
        <w:rPr>
          <w:rFonts w:ascii="Arial" w:hAnsi="Arial" w:eastAsia="Times New Roman" w:cs="Arial"/>
          <w:lang w:val="es-ES_tradnl" w:eastAsia="es-MX"/>
        </w:rPr>
      </w:pPr>
      <w:r w:rsidRPr="00144677">
        <w:rPr>
          <w:rFonts w:ascii="Arial" w:hAnsi="Arial" w:eastAsia="Times New Roman" w:cs="Arial"/>
          <w:lang w:val="es-ES_tradnl" w:eastAsia="es-MX"/>
        </w:rPr>
        <w:t>Sin embargo, esta Corporación, en sentencia C-529 del 12 de julio de 2006, hizo énfasis en que, a pesar del sometimiento al régimen jurídico de derecho privado para el desarrollo de sus actividades, las sociedades de economía mixta no pierden su carácter de expresión organizacional de la actividad estatal</w:t>
      </w:r>
      <w:r w:rsidRPr="00144677">
        <w:rPr>
          <w:rFonts w:ascii="Arial" w:hAnsi="Arial" w:eastAsia="Times New Roman" w:cs="Arial"/>
          <w:vertAlign w:val="superscript"/>
          <w:lang w:val="es-ES_tradnl" w:eastAsia="es-MX"/>
        </w:rPr>
        <w:footnoteReference w:id="5"/>
      </w:r>
      <w:r w:rsidRPr="00144677">
        <w:rPr>
          <w:rFonts w:ascii="Arial" w:hAnsi="Arial" w:eastAsia="Times New Roman" w:cs="Arial"/>
          <w:lang w:val="es-ES_tradnl" w:eastAsia="es-MX"/>
        </w:rPr>
        <w:t>, más precisamente de la función administrativa</w:t>
      </w:r>
      <w:r w:rsidRPr="00144677">
        <w:rPr>
          <w:rFonts w:ascii="Arial" w:hAnsi="Arial" w:eastAsia="Times New Roman" w:cs="Arial"/>
          <w:vertAlign w:val="superscript"/>
          <w:lang w:val="es-ES_tradnl" w:eastAsia="es-MX"/>
        </w:rPr>
        <w:footnoteReference w:id="6"/>
      </w:r>
      <w:r w:rsidRPr="00144677">
        <w:rPr>
          <w:rFonts w:ascii="Arial" w:hAnsi="Arial" w:eastAsia="Times New Roman" w:cs="Arial"/>
          <w:lang w:val="es-ES_tradnl" w:eastAsia="es-MX"/>
        </w:rPr>
        <w:t>, en virtud del aporte público en la constitución del capital social y la consiguiente pertenencia a la administración pública, en la condición de entidades descentralizadas.</w:t>
      </w:r>
    </w:p>
    <w:p w:rsidRPr="00144677" w:rsidR="00144677" w:rsidP="00144677" w:rsidRDefault="00144677" w14:paraId="3B4EEB21" w14:textId="77777777">
      <w:pPr>
        <w:spacing w:after="120" w:line="276" w:lineRule="auto"/>
        <w:ind w:firstLine="709"/>
        <w:jc w:val="both"/>
        <w:textAlignment w:val="baseline"/>
        <w:rPr>
          <w:rFonts w:ascii="Arial" w:hAnsi="Arial" w:eastAsia="Times New Roman" w:cs="Arial"/>
          <w:lang w:val="es-ES_tradnl" w:eastAsia="es-MX"/>
        </w:rPr>
      </w:pPr>
      <w:r w:rsidRPr="00144677">
        <w:rPr>
          <w:rFonts w:ascii="Arial" w:hAnsi="Arial" w:eastAsia="Times New Roman" w:cs="Arial"/>
          <w:lang w:val="es-ES_tradnl" w:eastAsia="es-MX"/>
        </w:rPr>
        <w:t>En este orden de ideas, resulta importante resaltar que, en nuestro ordenamiento jurídico, las sociedades de economía mixta están sometidas a un régimen jurídico compuesto por un conjunto normativo de derecho público y de derecho privado; el primero, derivado directamente de la Constitución Política y referido a aspectos como su creación, autorización, organización y funcionamiento internos. Y el segundo destinado a regir el desarrollo de la actividad económica de cada sociedad.</w:t>
      </w:r>
    </w:p>
    <w:p w:rsidRPr="00144677" w:rsidR="00144677" w:rsidP="00144677" w:rsidRDefault="00144677" w14:paraId="5D9F279B" w14:textId="77777777">
      <w:pPr>
        <w:spacing w:after="120" w:line="276" w:lineRule="auto"/>
        <w:ind w:firstLine="709"/>
        <w:jc w:val="both"/>
        <w:textAlignment w:val="baseline"/>
        <w:rPr>
          <w:rFonts w:ascii="Arial" w:hAnsi="Arial" w:eastAsia="Times New Roman" w:cs="Arial"/>
          <w:lang w:val="es-ES_tradnl" w:eastAsia="es-MX"/>
        </w:rPr>
      </w:pPr>
      <w:r w:rsidRPr="00144677">
        <w:rPr>
          <w:rFonts w:ascii="Arial" w:hAnsi="Arial" w:eastAsia="Times New Roman" w:cs="Arial"/>
          <w:lang w:val="es-ES_tradnl" w:eastAsia="es-MX"/>
        </w:rPr>
        <w:t>Ahora bien, conviene analizar el régimen aplicable para los actos y contratos que celebran estas entidades. Al respecto, el literal a), del artículo 2 de la Ley 80 de 1993, señala que son Entidades Estatales las sociedades de economía mixta en las que el Estado tenga participación superior al cincuenta por ciento (50%)</w:t>
      </w:r>
      <w:r w:rsidRPr="00144677">
        <w:rPr>
          <w:rFonts w:ascii="Arial" w:hAnsi="Arial" w:eastAsia="Times New Roman" w:cs="Arial"/>
          <w:vertAlign w:val="superscript"/>
          <w:lang w:val="es-ES_tradnl" w:eastAsia="es-MX"/>
        </w:rPr>
        <w:footnoteReference w:id="7"/>
      </w:r>
      <w:r w:rsidRPr="00144677">
        <w:rPr>
          <w:rFonts w:ascii="Arial" w:hAnsi="Arial" w:eastAsia="Times New Roman" w:cs="Arial"/>
          <w:lang w:val="es-ES_tradnl" w:eastAsia="es-MX"/>
        </w:rPr>
        <w:t xml:space="preserve">. Esto significa que el legislador, en el </w:t>
      </w:r>
      <w:r w:rsidRPr="00144677">
        <w:rPr>
          <w:rFonts w:ascii="Arial" w:hAnsi="Arial" w:eastAsia="Times New Roman" w:cs="Arial"/>
          <w:lang w:val="es-ES_tradnl" w:eastAsia="es-MX"/>
        </w:rPr>
        <w:t xml:space="preserve">año 1993, estableció que las sociedades de economía mixta donde el Estado tenga participación superior al cincuenta por ciento (50%) están sujetos al Estatuto General de Contratación de la Administración Pública – en adelante EGCAP. </w:t>
      </w:r>
    </w:p>
    <w:p w:rsidRPr="00144677" w:rsidR="00144677" w:rsidP="00144677" w:rsidRDefault="00144677" w14:paraId="3DBF3E40" w14:textId="77777777">
      <w:pPr>
        <w:spacing w:after="120" w:line="276" w:lineRule="auto"/>
        <w:ind w:firstLine="709"/>
        <w:jc w:val="both"/>
        <w:textAlignment w:val="baseline"/>
        <w:rPr>
          <w:rFonts w:ascii="Arial" w:hAnsi="Arial" w:eastAsia="Times New Roman" w:cs="Arial"/>
          <w:lang w:val="es-ES_tradnl" w:eastAsia="es-MX"/>
        </w:rPr>
      </w:pPr>
      <w:r w:rsidRPr="00144677">
        <w:rPr>
          <w:rFonts w:ascii="Arial" w:hAnsi="Arial" w:eastAsia="Times New Roman" w:cs="Arial"/>
          <w:lang w:val="es-ES_tradnl" w:eastAsia="es-MX"/>
        </w:rPr>
        <w:t>Frente al particular, el Consejo de Estado, en el concepto 1127 del 10 de diciembre de 2004, estableció que del análisis de esta norma se concluye que: “si la participación estatal en una sociedad de economía mixta es superior al cincuenta por ciento (50%) de su capital, ya no le aplica el derecho privado, como es la regla general, sino el Estatuto General de Contratación de la Administración Pública”</w:t>
      </w:r>
      <w:r w:rsidRPr="00144677">
        <w:rPr>
          <w:rFonts w:ascii="Arial" w:hAnsi="Arial" w:eastAsia="Times New Roman" w:cs="Arial"/>
          <w:vertAlign w:val="superscript"/>
          <w:lang w:val="es-ES_tradnl" w:eastAsia="es-MX"/>
        </w:rPr>
        <w:footnoteReference w:id="8"/>
      </w:r>
      <w:r w:rsidRPr="00144677">
        <w:rPr>
          <w:rFonts w:ascii="Arial" w:hAnsi="Arial" w:eastAsia="Times New Roman" w:cs="Arial"/>
          <w:lang w:val="es-ES_tradnl" w:eastAsia="es-MX"/>
        </w:rPr>
        <w:t xml:space="preserve">. Es claro, entonces, que las sociedades de economía mixta con participación estatal superior al cincuenta por ciento (50%) se rigen en materia contractual por la Ley 80 de 1993, de acuerdo con la libertad de configuración del legislador en la materia. </w:t>
      </w:r>
    </w:p>
    <w:p w:rsidRPr="00144677" w:rsidR="00144677" w:rsidP="00144677" w:rsidRDefault="00144677" w14:paraId="6CC3E807" w14:textId="77777777">
      <w:pPr>
        <w:spacing w:after="120" w:line="276" w:lineRule="auto"/>
        <w:ind w:firstLine="709"/>
        <w:jc w:val="both"/>
        <w:textAlignment w:val="baseline"/>
        <w:rPr>
          <w:rFonts w:ascii="Arial" w:hAnsi="Arial" w:eastAsia="Times New Roman" w:cs="Arial"/>
          <w:lang w:val="es-ES_tradnl" w:eastAsia="es-MX"/>
        </w:rPr>
      </w:pPr>
      <w:r w:rsidRPr="00144677">
        <w:rPr>
          <w:rFonts w:ascii="Arial" w:hAnsi="Arial" w:eastAsia="Times New Roman" w:cs="Arial"/>
          <w:lang w:val="es-ES_tradnl" w:eastAsia="es-MX"/>
        </w:rPr>
        <w:t>Sin embargo, actualmente el artículo 14 de la Ley 1150 de 2007 previó que las sociedades de economía mixta en las que el Estado tenga participación superior al cincuenta por ciento (50%) y sus filiales que cuenten con participación mayoritaria del Estado superior al cincuenta por ciento (50%) estarán sometidas al EGCAP,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w:t>
      </w:r>
      <w:r w:rsidRPr="00144677">
        <w:rPr>
          <w:rFonts w:ascii="Arial" w:hAnsi="Arial" w:eastAsia="Times New Roman" w:cs="Arial"/>
          <w:vertAlign w:val="superscript"/>
          <w:lang w:val="es-ES_tradnl" w:eastAsia="es-MX"/>
        </w:rPr>
        <w:footnoteReference w:id="9"/>
      </w:r>
      <w:r w:rsidRPr="00144677">
        <w:rPr>
          <w:rFonts w:ascii="Arial" w:hAnsi="Arial" w:eastAsia="Times New Roman" w:cs="Arial"/>
          <w:lang w:val="es-ES_tradnl" w:eastAsia="es-MX"/>
        </w:rPr>
        <w:t>. En otras palabras, el legislador estableció que las sociedades de economía mixta en las que el Estado tenga participación superior al cincuenta por ciento (50%), cuando se encuentran en competencia con el sector privado o público, nacional o internacional o desarrollan su actividad en mercados regulados estarán sometidos al derecho privado.</w:t>
      </w:r>
    </w:p>
    <w:p w:rsidRPr="00144677" w:rsidR="00144677" w:rsidP="00144677" w:rsidRDefault="00144677" w14:paraId="32A93906" w14:textId="77777777">
      <w:pPr>
        <w:spacing w:before="120" w:after="0" w:line="276" w:lineRule="auto"/>
        <w:ind w:firstLine="709"/>
        <w:jc w:val="both"/>
        <w:textAlignment w:val="baseline"/>
        <w:rPr>
          <w:rFonts w:ascii="Arial" w:hAnsi="Arial" w:eastAsia="Times New Roman" w:cs="Arial"/>
          <w:lang w:val="es-ES_tradnl" w:eastAsia="es-MX"/>
        </w:rPr>
      </w:pPr>
      <w:r w:rsidRPr="00144677">
        <w:rPr>
          <w:rFonts w:ascii="Arial" w:hAnsi="Arial" w:eastAsia="Times New Roman" w:cs="Arial"/>
          <w:lang w:val="es-ES_tradnl" w:eastAsia="es-MX"/>
        </w:rPr>
        <w:t xml:space="preserve">Así las cosas, las sociedades de economía mixta sometidas al EGCAP son aquellas en las que el aporte del Estado es superior al cincuenta por ciento (50%) y además las actuaciones que adelantan no se encuentran en competencia con el sector privado o público, nacional o internacional o en mercados regulados. Por el contrario, las sociedades </w:t>
      </w:r>
      <w:r w:rsidRPr="00144677">
        <w:rPr>
          <w:rFonts w:ascii="Arial" w:hAnsi="Arial" w:eastAsia="Times New Roman" w:cs="Arial"/>
          <w:lang w:val="es-ES_tradnl" w:eastAsia="es-MX"/>
        </w:rPr>
        <w:t>de economía mixta en las que el Estado tenga una participación menor al cincuenta por ciento (50%) o en los casos que desarrollan actividades comerciales en competencia con el sector privado y/o público, nacional o internacional, o en mercados regulados se regirán por las disposiciones legales y reglamentarias aplicables a sus actividades económicas y comerciales, lo que implica acudir usualmente al derecho privado.</w:t>
      </w:r>
    </w:p>
    <w:p w:rsidRPr="00144677" w:rsidR="00144677" w:rsidP="00144677" w:rsidRDefault="00144677" w14:paraId="20FD64FC" w14:textId="77777777">
      <w:pPr>
        <w:spacing w:after="0" w:line="276" w:lineRule="auto"/>
        <w:jc w:val="both"/>
        <w:rPr>
          <w:rFonts w:ascii="Arial" w:hAnsi="Arial" w:eastAsia="Calibri" w:cs="Arial"/>
          <w:b/>
          <w:color w:val="000000"/>
          <w:lang w:val="es-ES_tradnl" w:eastAsia="es-ES_tradnl"/>
        </w:rPr>
      </w:pPr>
    </w:p>
    <w:p w:rsidRPr="00144677" w:rsidR="00144677" w:rsidP="00144677" w:rsidRDefault="00144677" w14:paraId="3417EE2A" w14:textId="77777777">
      <w:pPr>
        <w:spacing w:after="0" w:line="276" w:lineRule="auto"/>
        <w:jc w:val="both"/>
        <w:rPr>
          <w:rFonts w:ascii="Arial" w:hAnsi="Arial" w:eastAsia="Times New Roman" w:cs="Arial"/>
          <w:b/>
          <w:color w:val="1A1A1A"/>
          <w:szCs w:val="24"/>
          <w:lang w:eastAsia="es-ES_tradnl"/>
        </w:rPr>
      </w:pPr>
      <w:r w:rsidRPr="00144677">
        <w:rPr>
          <w:rFonts w:ascii="Arial" w:hAnsi="Arial" w:eastAsia="Times New Roman" w:cs="Arial"/>
          <w:b/>
          <w:bCs/>
          <w:color w:val="000000"/>
          <w:szCs w:val="24"/>
          <w:lang w:val="es-ES_tradnl" w:eastAsia="es-ES_tradnl"/>
        </w:rPr>
        <w:t xml:space="preserve">2.2 </w:t>
      </w:r>
      <w:r w:rsidRPr="00144677">
        <w:rPr>
          <w:rFonts w:ascii="Arial" w:hAnsi="Arial" w:eastAsia="Times New Roman" w:cs="Arial"/>
          <w:b/>
          <w:color w:val="1A1A1A"/>
          <w:szCs w:val="24"/>
          <w:lang w:eastAsia="es-ES_tradnl"/>
        </w:rPr>
        <w:t>Naturaleza jurídica y régimen contractual de las empresas industriales y comerciales del Estado</w:t>
      </w:r>
    </w:p>
    <w:p w:rsidRPr="00144677" w:rsidR="00144677" w:rsidP="00144677" w:rsidRDefault="00144677" w14:paraId="15189A33" w14:textId="77777777">
      <w:pPr>
        <w:spacing w:after="0" w:line="276" w:lineRule="auto"/>
        <w:jc w:val="both"/>
        <w:rPr>
          <w:rFonts w:ascii="Arial" w:hAnsi="Arial" w:eastAsia="Times New Roman" w:cs="Arial"/>
          <w:b/>
          <w:color w:val="1A1A1A"/>
          <w:szCs w:val="24"/>
          <w:lang w:eastAsia="es-ES_tradnl"/>
        </w:rPr>
      </w:pPr>
    </w:p>
    <w:p w:rsidRPr="00144677" w:rsidR="00144677" w:rsidP="00144677" w:rsidRDefault="00144677" w14:paraId="6BE0614E" w14:textId="77777777">
      <w:pPr>
        <w:autoSpaceDE w:val="0"/>
        <w:autoSpaceDN w:val="0"/>
        <w:adjustRightInd w:val="0"/>
        <w:spacing w:after="120" w:line="276" w:lineRule="auto"/>
        <w:jc w:val="both"/>
        <w:rPr>
          <w:rFonts w:ascii="Arial" w:hAnsi="Arial" w:cs="Arial"/>
          <w:lang w:val="es-ES_tradnl"/>
        </w:rPr>
      </w:pPr>
      <w:r w:rsidRPr="00144677">
        <w:rPr>
          <w:rFonts w:ascii="Arial" w:hAnsi="Arial" w:eastAsia="Calibri" w:cs="Arial"/>
          <w:color w:val="000000" w:themeColor="text1"/>
        </w:rPr>
        <w:t xml:space="preserve">Dentro de la estructura de la Administración Pública se encuentran las entidades descentralizadas por servicios, y dentro de dicha categoría se ubican las empresas industriales y comerciales del Estado </w:t>
      </w:r>
      <w:r w:rsidRPr="00144677">
        <w:rPr>
          <w:rFonts w:ascii="Arial" w:hAnsi="Arial" w:cs="Arial"/>
          <w:lang w:val="es-ES"/>
        </w:rPr>
        <w:t>– en adelante EICE</w:t>
      </w:r>
      <w:r w:rsidRPr="00144677">
        <w:rPr>
          <w:rFonts w:ascii="Arial" w:hAnsi="Arial" w:eastAsia="Calibri" w:cs="Arial"/>
          <w:color w:val="000000" w:themeColor="text1"/>
        </w:rPr>
        <w:t>, las cuales –sin perjuicio del control de tutela– tienen personería jurídica, autonomía administrativa y patrimonio propio.</w:t>
      </w:r>
      <w:r w:rsidRPr="00144677">
        <w:rPr>
          <w:rFonts w:ascii="Arial" w:hAnsi="Arial" w:eastAsia="Calibri" w:cs="Arial"/>
          <w:b/>
          <w:bCs/>
          <w:color w:val="000000" w:themeColor="text1"/>
        </w:rPr>
        <w:t xml:space="preserve"> </w:t>
      </w:r>
      <w:r w:rsidRPr="00144677">
        <w:rPr>
          <w:rFonts w:ascii="Arial" w:hAnsi="Arial" w:eastAsia="Calibri" w:cs="Arial"/>
          <w:color w:val="000000" w:themeColor="text1"/>
        </w:rPr>
        <w:t>Estas entidades, como su nombre lo indica, se caracterizan por desarrollar actividades de carácter industrial o comercial. Así, por ejemplo, son empresas industriales y comerciales del Estado la Imprenta Nacional de Colombia, Coljuegos, Indumil, la Caja Promotora de Vivienda Militar y de Policía, Colpensiones, entre otras</w:t>
      </w:r>
      <w:r w:rsidRPr="00144677">
        <w:rPr>
          <w:rFonts w:ascii="Arial" w:hAnsi="Arial" w:eastAsia="Calibri" w:cs="Arial"/>
          <w:color w:val="000000" w:themeColor="text1"/>
          <w:vertAlign w:val="superscript"/>
        </w:rPr>
        <w:footnoteReference w:id="10"/>
      </w:r>
      <w:r w:rsidRPr="00144677">
        <w:rPr>
          <w:rFonts w:ascii="Arial" w:hAnsi="Arial" w:eastAsia="Calibri" w:cs="Arial"/>
          <w:color w:val="000000" w:themeColor="text1"/>
        </w:rPr>
        <w:t>.</w:t>
      </w:r>
    </w:p>
    <w:p w:rsidRPr="00144677" w:rsidR="00144677" w:rsidP="00144677" w:rsidRDefault="00144677" w14:paraId="1A01D1D1" w14:textId="77777777">
      <w:pPr>
        <w:autoSpaceDE w:val="0"/>
        <w:autoSpaceDN w:val="0"/>
        <w:adjustRightInd w:val="0"/>
        <w:spacing w:after="120" w:line="276" w:lineRule="auto"/>
        <w:ind w:firstLine="709"/>
        <w:jc w:val="both"/>
        <w:rPr>
          <w:rFonts w:ascii="Arial" w:hAnsi="Arial" w:eastAsia="Arial" w:cs="Arial"/>
          <w:i/>
          <w:iCs/>
          <w:lang w:val="es-ES" w:eastAsia="es-ES" w:bidi="es-ES"/>
        </w:rPr>
      </w:pPr>
      <w:r w:rsidRPr="00144677">
        <w:rPr>
          <w:rFonts w:ascii="Arial" w:hAnsi="Arial" w:cs="Arial"/>
          <w:lang w:val="es-ES_tradnl"/>
        </w:rPr>
        <w:t>L</w:t>
      </w:r>
      <w:r w:rsidRPr="00144677">
        <w:rPr>
          <w:rFonts w:ascii="Arial" w:hAnsi="Arial" w:cs="Arial"/>
          <w:lang w:val="es-ES"/>
        </w:rPr>
        <w:t>as EICE, bajo la denominación de Entidades Estatales, quedaron sometidas al EGCAP –Ley 80 de 1993, artículo 2, numeral 1, literal a)–</w:t>
      </w:r>
      <w:r w:rsidRPr="00144677">
        <w:rPr>
          <w:rFonts w:ascii="Arial" w:hAnsi="Arial" w:cs="Arial"/>
          <w:vertAlign w:val="superscript"/>
          <w:lang w:val="es-ES"/>
        </w:rPr>
        <w:footnoteReference w:id="11"/>
      </w:r>
      <w:r w:rsidRPr="00144677">
        <w:rPr>
          <w:rFonts w:ascii="Arial" w:hAnsi="Arial" w:cs="Arial"/>
          <w:lang w:val="es-ES"/>
        </w:rPr>
        <w:t>. Posteriormente,</w:t>
      </w:r>
      <w:r w:rsidRPr="00144677">
        <w:rPr>
          <w:rFonts w:ascii="Arial" w:hAnsi="Arial" w:cs="Arial"/>
          <w:bCs/>
          <w:lang w:val="es-ES"/>
        </w:rPr>
        <w:t xml:space="preserve"> </w:t>
      </w:r>
      <w:r w:rsidRPr="00144677">
        <w:rPr>
          <w:rFonts w:ascii="Arial" w:hAnsi="Arial" w:cs="Arial"/>
          <w:lang w:val="es-ES"/>
        </w:rPr>
        <w:t>la Ley 489 de 1998</w:t>
      </w:r>
      <w:r w:rsidRPr="00144677">
        <w:rPr>
          <w:rFonts w:ascii="Arial" w:hAnsi="Arial" w:cs="Arial"/>
          <w:vertAlign w:val="superscript"/>
          <w:lang w:val="es-ES"/>
        </w:rPr>
        <w:footnoteReference w:id="12"/>
      </w:r>
      <w:r w:rsidRPr="00144677">
        <w:rPr>
          <w:rFonts w:ascii="Arial" w:hAnsi="Arial" w:cs="Arial"/>
          <w:lang w:val="es-ES"/>
        </w:rPr>
        <w:t xml:space="preserve">, mediante el cual se regula la organización y funcionamiento de las entidades del </w:t>
      </w:r>
      <w:r w:rsidRPr="00144677">
        <w:rPr>
          <w:rFonts w:ascii="Arial" w:hAnsi="Arial" w:cs="Arial"/>
          <w:lang w:val="es-ES"/>
        </w:rPr>
        <w:t xml:space="preserve">orden nacional, en su artículo 93 estableció el régimen jurídico aplicable a los contratos celebrados por las EICE, como sigue: </w:t>
      </w:r>
      <w:r w:rsidRPr="00144677">
        <w:rPr>
          <w:rFonts w:ascii="Arial" w:hAnsi="Arial" w:eastAsia="Arial" w:cs="Arial"/>
          <w:i/>
          <w:iCs/>
          <w:lang w:val="es-ES" w:eastAsia="es-ES" w:bidi="es-ES"/>
        </w:rPr>
        <w:t>“Artículo 93. Régimen de los actos y contratos. Los actos que expidan las empresas industriales y comerciales del Estado para el desarrollo de su actividad propia, industrial o comercial o de gestión económica se sujetarán a las disposiciones del Derecho Privado. Los contratos que celebren para el cumplimiento de su objeto se sujetarán a las disposiciones del Estatuto General de Contratación de las entidades estatales”.</w:t>
      </w:r>
    </w:p>
    <w:p w:rsidRPr="00144677" w:rsidR="00144677" w:rsidP="00144677" w:rsidRDefault="00144677" w14:paraId="52DB08BB" w14:textId="77777777">
      <w:pPr>
        <w:autoSpaceDE w:val="0"/>
        <w:autoSpaceDN w:val="0"/>
        <w:adjustRightInd w:val="0"/>
        <w:spacing w:after="0" w:line="276" w:lineRule="auto"/>
        <w:ind w:firstLine="709"/>
        <w:jc w:val="both"/>
        <w:rPr>
          <w:rFonts w:ascii="Arial" w:hAnsi="Arial" w:cs="Arial"/>
          <w:lang w:val="es-ES"/>
        </w:rPr>
      </w:pPr>
      <w:r w:rsidRPr="00144677">
        <w:rPr>
          <w:rFonts w:ascii="Arial" w:hAnsi="Arial" w:cs="Arial"/>
          <w:lang w:val="es-ES"/>
        </w:rPr>
        <w:t xml:space="preserve">No </w:t>
      </w:r>
      <w:proofErr w:type="gramStart"/>
      <w:r w:rsidRPr="00144677">
        <w:rPr>
          <w:rFonts w:ascii="Arial" w:hAnsi="Arial" w:cs="Arial"/>
          <w:lang w:val="es-ES"/>
        </w:rPr>
        <w:t>obstante</w:t>
      </w:r>
      <w:proofErr w:type="gramEnd"/>
      <w:r w:rsidRPr="00144677">
        <w:rPr>
          <w:rFonts w:ascii="Arial" w:hAnsi="Arial" w:cs="Arial"/>
          <w:lang w:val="es-ES"/>
        </w:rPr>
        <w:t xml:space="preserve"> las dificultades hermenéuticas que suscitaba la disposición anterior, el artículo 14 de la Ley 1150 de 2007 –modificado por el artículo 93 de la Ley 1474 de 2011–dispuso un régimen exceptivo de aplicación del derecho privado para la actividad contractual de las </w:t>
      </w:r>
      <w:bookmarkStart w:name="_Hlk75850758" w:id="5"/>
      <w:r w:rsidRPr="00144677">
        <w:rPr>
          <w:rFonts w:ascii="Arial" w:hAnsi="Arial" w:cs="Arial"/>
          <w:lang w:val="es-ES"/>
        </w:rPr>
        <w:t>EICE</w:t>
      </w:r>
      <w:bookmarkEnd w:id="5"/>
      <w:r w:rsidRPr="00144677">
        <w:rPr>
          <w:rFonts w:ascii="Arial" w:hAnsi="Arial" w:cs="Arial"/>
          <w:lang w:val="es-ES"/>
        </w:rPr>
        <w:t xml:space="preserve"> que ejercen su actividad en competencia con el sector público o privado, o en mercados regulados, quedando las otras EICE dentro del ámbito de aplicación del EGCAP</w:t>
      </w:r>
      <w:r w:rsidRPr="00144677">
        <w:rPr>
          <w:rFonts w:ascii="Arial" w:hAnsi="Arial" w:cs="Arial"/>
          <w:vertAlign w:val="superscript"/>
          <w:lang w:val="es-ES"/>
        </w:rPr>
        <w:footnoteReference w:id="13"/>
      </w:r>
      <w:r w:rsidRPr="00144677">
        <w:rPr>
          <w:rFonts w:ascii="Arial" w:hAnsi="Arial" w:cs="Arial"/>
          <w:lang w:val="es-ES"/>
        </w:rPr>
        <w:t>. Así, la norma vigente respecto a su régimen contractual establece:</w:t>
      </w:r>
    </w:p>
    <w:p w:rsidRPr="00144677" w:rsidR="00144677" w:rsidP="00144677" w:rsidRDefault="00144677" w14:paraId="37EAC48D" w14:textId="77777777">
      <w:pPr>
        <w:autoSpaceDE w:val="0"/>
        <w:autoSpaceDN w:val="0"/>
        <w:adjustRightInd w:val="0"/>
        <w:spacing w:after="0" w:line="276" w:lineRule="auto"/>
        <w:ind w:firstLine="709"/>
        <w:jc w:val="both"/>
        <w:rPr>
          <w:rFonts w:ascii="Arial" w:hAnsi="Arial" w:cs="Arial"/>
          <w:lang w:val="es-ES"/>
        </w:rPr>
      </w:pPr>
    </w:p>
    <w:p w:rsidRPr="00144677" w:rsidR="00144677" w:rsidP="00144677" w:rsidRDefault="00144677" w14:paraId="44832E2A" w14:textId="77777777">
      <w:pPr>
        <w:widowControl w:val="0"/>
        <w:autoSpaceDE w:val="0"/>
        <w:autoSpaceDN w:val="0"/>
        <w:spacing w:after="0" w:line="240" w:lineRule="auto"/>
        <w:ind w:left="709" w:right="709"/>
        <w:jc w:val="both"/>
        <w:rPr>
          <w:rFonts w:ascii="Arial" w:hAnsi="Arial" w:cs="Arial"/>
          <w:iCs/>
          <w:sz w:val="20"/>
          <w:szCs w:val="20"/>
          <w:lang w:val="es-ES"/>
        </w:rPr>
      </w:pPr>
      <w:r w:rsidRPr="00144677" w:rsidR="00144677">
        <w:rPr>
          <w:rFonts w:ascii="Arial" w:hAnsi="Arial" w:eastAsia="Arial" w:cs="Arial"/>
          <w:sz w:val="20"/>
          <w:szCs w:val="20"/>
          <w:lang w:val="es-ES" w:eastAsia="es-ES" w:bidi="es-ES"/>
        </w:rPr>
        <w:t xml:space="preserve">“Artículo 14. Del régimen contractual de las empresas industriales y comerciales del estado, las sociedades de economía mixta, sus filiales y empresas con participación mayoritaria del estado.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w:t>
      </w:r>
      <w:bookmarkStart w:name="_Hlk75720889" w:id="7"/>
      <w:r w:rsidRPr="00144677" w:rsidR="00144677">
        <w:rPr>
          <w:rFonts w:ascii="Arial" w:hAnsi="Arial" w:eastAsia="Arial" w:cs="Arial"/>
          <w:sz w:val="20"/>
          <w:szCs w:val="20"/>
          <w:lang w:val="es-ES" w:eastAsia="es-ES" w:bidi="es-ES"/>
        </w:rPr>
        <w:t xml:space="preserve">caso en el cual se regirán por las disposiciones legales y reglamentarias aplicables a sus actividades económicas y comerciales, sin perjuicio de lo previsto en el artículo 13 de la presente ley. </w:t>
      </w:r>
      <w:bookmarkEnd w:id="7"/>
      <w:r w:rsidRPr="00144677" w:rsidR="00144677">
        <w:rPr>
          <w:rFonts w:ascii="Arial" w:hAnsi="Arial" w:eastAsia="Arial" w:cs="Arial"/>
          <w:sz w:val="20"/>
          <w:szCs w:val="20"/>
          <w:lang w:val="es-ES" w:eastAsia="es-ES" w:bidi="es-ES"/>
        </w:rPr>
        <w:t>Se exceptúan los contratos de ciencia y tecnología, que se regirán por la Ley 29 de 1990 y las disposiciones normativas existentes</w:t>
      </w:r>
      <w:r w:rsidRPr="00144677">
        <w:rPr>
          <w:rFonts w:ascii="Arial" w:hAnsi="Arial" w:cs="Arial"/>
          <w:sz w:val="20"/>
          <w:szCs w:val="20"/>
          <w:vertAlign w:val="superscript"/>
          <w:lang w:val="es-ES"/>
        </w:rPr>
        <w:footnoteReference w:id="14"/>
      </w:r>
      <w:r w:rsidRPr="319EC93D" w:rsidR="00144677">
        <w:rPr>
          <w:rFonts w:ascii="Arial" w:hAnsi="Arial" w:cs="Arial"/>
          <w:sz w:val="20"/>
          <w:szCs w:val="20"/>
          <w:lang w:val="es-ES"/>
        </w:rPr>
        <w:t>.”</w:t>
      </w:r>
    </w:p>
    <w:p w:rsidRPr="00144677" w:rsidR="00144677" w:rsidP="00144677" w:rsidRDefault="00144677" w14:paraId="778ECC08" w14:textId="77777777">
      <w:pPr>
        <w:spacing w:after="0" w:line="276" w:lineRule="auto"/>
        <w:ind w:firstLine="709"/>
        <w:jc w:val="both"/>
        <w:rPr>
          <w:rFonts w:ascii="Arial" w:hAnsi="Arial" w:cs="Arial"/>
        </w:rPr>
      </w:pPr>
    </w:p>
    <w:p w:rsidRPr="00144677" w:rsidR="00144677" w:rsidP="00144677" w:rsidRDefault="00144677" w14:paraId="3C3659C0" w14:textId="77777777">
      <w:pPr>
        <w:spacing w:after="120" w:line="276" w:lineRule="auto"/>
        <w:ind w:firstLine="709"/>
        <w:jc w:val="both"/>
        <w:rPr>
          <w:rFonts w:ascii="Arial" w:hAnsi="Arial" w:cs="Arial"/>
          <w:vertAlign w:val="subscript"/>
        </w:rPr>
      </w:pPr>
      <w:r w:rsidRPr="00144677">
        <w:rPr>
          <w:rFonts w:ascii="Arial" w:hAnsi="Arial" w:cs="Arial"/>
        </w:rPr>
        <w:t xml:space="preserve">El sometimiento parcial de las EICE al régimen de derecho privado, se ha justificado por </w:t>
      </w:r>
      <w:r w:rsidRPr="00144677">
        <w:rPr>
          <w:rFonts w:ascii="Arial" w:hAnsi="Arial" w:eastAsia="Calibri" w:cs="Arial"/>
          <w:bCs/>
        </w:rPr>
        <w:t>“</w:t>
      </w:r>
      <w:r w:rsidRPr="00144677">
        <w:rPr>
          <w:rFonts w:ascii="Arial" w:hAnsi="Arial" w:cs="Arial"/>
        </w:rPr>
        <w:t>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 […]. Por ello, la regla general es que en sus actos y contratos rijan las normas de derecho privado, salvo en cuanto a sus relaciones con la administración [otras Entidades Estatales -convenios o contratos interadministrativos</w:t>
      </w:r>
      <w:r w:rsidRPr="00144677">
        <w:rPr>
          <w:rFonts w:ascii="Arial" w:hAnsi="Arial" w:eastAsia="Calibri" w:cs="Arial"/>
          <w:bCs/>
        </w:rPr>
        <w:t>]</w:t>
      </w:r>
      <w:r w:rsidRPr="00144677">
        <w:rPr>
          <w:rFonts w:ascii="Arial" w:hAnsi="Arial" w:cs="Arial"/>
        </w:rPr>
        <w:t xml:space="preserve"> y en aquellos casos en los que por expresa disposición legal ejerzan alguna función administrativa, puesto que allí sí deberá dar aplicación a las reglas de derecho público pertinentes [...</w:t>
      </w:r>
      <w:r w:rsidRPr="00144677">
        <w:rPr>
          <w:rFonts w:ascii="Arial" w:hAnsi="Arial" w:eastAsia="Calibri" w:cs="Arial"/>
          <w:bCs/>
        </w:rPr>
        <w:t>]”</w:t>
      </w:r>
      <w:r w:rsidRPr="00144677">
        <w:rPr>
          <w:rFonts w:ascii="Arial" w:hAnsi="Arial" w:cs="Arial"/>
          <w:vertAlign w:val="superscript"/>
        </w:rPr>
        <w:footnoteReference w:id="15"/>
      </w:r>
      <w:r w:rsidRPr="00144677">
        <w:rPr>
          <w:rFonts w:ascii="Arial" w:hAnsi="Arial" w:cs="Arial"/>
          <w:vertAlign w:val="subscript"/>
        </w:rPr>
        <w:t xml:space="preserve">. </w:t>
      </w:r>
      <w:r w:rsidRPr="00144677">
        <w:rPr>
          <w:rFonts w:ascii="Arial" w:hAnsi="Arial" w:cs="Arial"/>
        </w:rPr>
        <w:t>(corchetes fuera de texto)</w:t>
      </w:r>
    </w:p>
    <w:p w:rsidRPr="00144677" w:rsidR="00144677" w:rsidP="00144677" w:rsidRDefault="00144677" w14:paraId="0C1DE48F" w14:textId="77777777">
      <w:pPr>
        <w:spacing w:after="0" w:line="276" w:lineRule="auto"/>
        <w:ind w:firstLine="709"/>
        <w:jc w:val="both"/>
        <w:rPr>
          <w:rFonts w:ascii="Arial" w:hAnsi="Arial" w:eastAsia="Calibri" w:cs="Arial"/>
          <w:color w:val="000000" w:themeColor="text1"/>
        </w:rPr>
      </w:pPr>
      <w:r w:rsidRPr="00144677">
        <w:rPr>
          <w:rFonts w:ascii="Arial" w:hAnsi="Arial" w:eastAsia="Calibri" w:cs="Arial"/>
          <w:color w:val="000000" w:themeColor="text1"/>
        </w:rPr>
        <w:t>De acuerdo con la jurisprudencia, lo anterior se justifica en el principio de igualdad, ya que, si el Estado desarrolla actividades similares a los particulares, debe actuar no solo desprovisto de poderes exorbitantes sino también con la misma eficacia y eficiencia que los sujetos de derecho privado. No en vano:</w:t>
      </w:r>
    </w:p>
    <w:p w:rsidRPr="00144677" w:rsidR="00144677" w:rsidP="00144677" w:rsidRDefault="00144677" w14:paraId="71D5F233" w14:textId="77777777">
      <w:pPr>
        <w:spacing w:after="0" w:line="276" w:lineRule="auto"/>
        <w:ind w:firstLine="709"/>
        <w:jc w:val="both"/>
        <w:rPr>
          <w:rFonts w:ascii="Arial" w:hAnsi="Arial" w:eastAsia="Calibri" w:cs="Arial"/>
          <w:color w:val="000000" w:themeColor="text1"/>
        </w:rPr>
      </w:pPr>
    </w:p>
    <w:p w:rsidRPr="00144677" w:rsidR="00144677" w:rsidP="00144677" w:rsidRDefault="00144677" w14:paraId="37B98DD5" w14:textId="77777777">
      <w:pPr>
        <w:spacing w:after="0" w:line="240" w:lineRule="auto"/>
        <w:ind w:left="709" w:right="709"/>
        <w:jc w:val="both"/>
        <w:rPr>
          <w:rFonts w:ascii="Arial" w:hAnsi="Arial" w:eastAsia="Calibri" w:cs="Arial"/>
          <w:color w:val="000000" w:themeColor="text1"/>
          <w:sz w:val="20"/>
          <w:szCs w:val="20"/>
        </w:rPr>
      </w:pPr>
      <w:r w:rsidRPr="00144677">
        <w:rPr>
          <w:rFonts w:ascii="Arial" w:hAnsi="Arial" w:eastAsia="Calibri" w:cs="Arial"/>
          <w:color w:val="000000" w:themeColor="text1"/>
          <w:sz w:val="20"/>
          <w:szCs w:val="20"/>
        </w:rPr>
        <w:t>“La razón de ser de la aplicación del régimen de derecho privado a estas entidades radica en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w:t>
      </w:r>
    </w:p>
    <w:p w:rsidRPr="00144677" w:rsidR="00144677" w:rsidP="00144677" w:rsidRDefault="00144677" w14:paraId="6482EF3B" w14:textId="77777777">
      <w:pPr>
        <w:spacing w:after="0" w:line="240" w:lineRule="auto"/>
        <w:ind w:left="709" w:right="709"/>
        <w:jc w:val="both"/>
        <w:rPr>
          <w:rFonts w:ascii="Arial" w:hAnsi="Arial" w:eastAsia="Calibri" w:cs="Arial"/>
          <w:color w:val="000000" w:themeColor="text1"/>
          <w:sz w:val="20"/>
          <w:szCs w:val="20"/>
        </w:rPr>
      </w:pPr>
    </w:p>
    <w:p w:rsidRPr="00144677" w:rsidR="00144677" w:rsidP="00144677" w:rsidRDefault="00144677" w14:paraId="0E2095E2" w14:textId="77777777">
      <w:pPr>
        <w:spacing w:after="0" w:line="240" w:lineRule="auto"/>
        <w:ind w:left="709" w:right="709"/>
        <w:jc w:val="both"/>
        <w:rPr>
          <w:rFonts w:ascii="Arial" w:hAnsi="Arial" w:eastAsia="Calibri" w:cs="Arial"/>
          <w:color w:val="000000" w:themeColor="text1"/>
          <w:sz w:val="20"/>
          <w:szCs w:val="20"/>
        </w:rPr>
      </w:pPr>
      <w:r w:rsidRPr="00144677">
        <w:rPr>
          <w:rFonts w:ascii="Arial" w:hAnsi="Arial" w:eastAsia="Calibri" w:cs="Arial"/>
          <w:color w:val="000000" w:themeColor="text1"/>
          <w:sz w:val="20"/>
          <w:szCs w:val="20"/>
        </w:rPr>
        <w:t xml:space="preserve">Se trata pues, de que sus actividades de explotación industrial o comercial se desarrollen con las </w:t>
      </w:r>
      <w:proofErr w:type="gramStart"/>
      <w:r w:rsidRPr="00144677">
        <w:rPr>
          <w:rFonts w:ascii="Arial" w:hAnsi="Arial" w:eastAsia="Calibri" w:cs="Arial"/>
          <w:color w:val="000000" w:themeColor="text1"/>
          <w:sz w:val="20"/>
          <w:szCs w:val="20"/>
        </w:rPr>
        <w:t>mismas oportunidades y las mismas ventajas</w:t>
      </w:r>
      <w:proofErr w:type="gramEnd"/>
      <w:r w:rsidRPr="00144677">
        <w:rPr>
          <w:rFonts w:ascii="Arial" w:hAnsi="Arial" w:eastAsia="Calibri" w:cs="Arial"/>
          <w:color w:val="000000" w:themeColor="text1"/>
          <w:sz w:val="20"/>
          <w:szCs w:val="20"/>
        </w:rPr>
        <w:t xml:space="preserve"> o desventajas que las adelantadas por aquellos, sin que influya para nada su investidura de entidad estatal; que puedan actuar como particulares, frente a las exigencias de la economía y del mercado.”</w:t>
      </w:r>
    </w:p>
    <w:p w:rsidRPr="00144677" w:rsidR="00144677" w:rsidP="00144677" w:rsidRDefault="00144677" w14:paraId="1322C4B7" w14:textId="77777777">
      <w:pPr>
        <w:spacing w:after="0" w:line="276" w:lineRule="auto"/>
        <w:ind w:left="709" w:right="709"/>
        <w:jc w:val="both"/>
        <w:rPr>
          <w:rFonts w:ascii="Arial" w:hAnsi="Arial" w:eastAsia="Calibri" w:cs="Arial"/>
          <w:color w:val="000000" w:themeColor="text1"/>
        </w:rPr>
      </w:pPr>
    </w:p>
    <w:p w:rsidRPr="00144677" w:rsidR="00144677" w:rsidP="00144677" w:rsidRDefault="00144677" w14:paraId="37E14A24" w14:textId="77777777">
      <w:pPr>
        <w:spacing w:after="120" w:line="276" w:lineRule="auto"/>
        <w:ind w:firstLine="709"/>
        <w:jc w:val="both"/>
        <w:rPr>
          <w:rFonts w:ascii="Arial" w:hAnsi="Arial" w:cs="Arial"/>
        </w:rPr>
      </w:pPr>
      <w:r w:rsidRPr="00144677">
        <w:rPr>
          <w:rFonts w:ascii="Arial" w:hAnsi="Arial" w:cs="Arial"/>
        </w:rPr>
        <w:t xml:space="preserve">Ahora bien, es importante destacar, que el artículo 14 de la Ley 1150 de 2007, modificado por el artículo 93 de la Ley 1474 de 2011, esclareció las dudas que producía el confuso artículo 93 de la Ley 489 de 1998 a propósito del régimen contractual de estas entidades. Por lo tanto, </w:t>
      </w:r>
      <w:bookmarkStart w:name="_Hlk77174298" w:id="8"/>
      <w:r w:rsidRPr="00144677">
        <w:rPr>
          <w:rFonts w:ascii="Arial" w:hAnsi="Arial" w:cs="Arial"/>
        </w:rPr>
        <w:t xml:space="preserve">las EICE, las sociedades de economía mixta, sus filiales y las sociedades entre Entidades Públicas en las que el Estado tenga participación superior al cincuenta por ciento (50%), están sometidas, por regla general, al EGCAP, excepto aquellas EICE que: i) desarrollen actividades comerciales en competencia con el sector privado y/o público, nacional o internacional o </w:t>
      </w:r>
      <w:proofErr w:type="spellStart"/>
      <w:r w:rsidRPr="00144677">
        <w:rPr>
          <w:rFonts w:ascii="Arial" w:hAnsi="Arial" w:cs="Arial"/>
        </w:rPr>
        <w:t>ii</w:t>
      </w:r>
      <w:proofErr w:type="spellEnd"/>
      <w:r w:rsidRPr="00144677">
        <w:rPr>
          <w:rFonts w:ascii="Arial" w:hAnsi="Arial" w:cs="Arial"/>
        </w:rPr>
        <w:t xml:space="preserve">) desarrollen actividades en mercados regulados, eventos en los cuales ellas se rigen por las disposiciones que regulen su actividad. Lo anterior, sin perjuicio de dar cumplimiento a lo dispuesto en el artículo 13 de </w:t>
      </w:r>
      <w:r w:rsidRPr="00144677">
        <w:rPr>
          <w:rFonts w:ascii="Arial" w:hAnsi="Arial" w:cs="Arial"/>
        </w:rPr>
        <w:t>la Ley 1150 de 2007, esto es, del deber que le incumbe a la EICE 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w:t>
      </w:r>
      <w:bookmarkEnd w:id="8"/>
      <w:r w:rsidRPr="00144677">
        <w:rPr>
          <w:rFonts w:ascii="Arial" w:hAnsi="Arial" w:cs="Arial"/>
          <w:vertAlign w:val="superscript"/>
        </w:rPr>
        <w:footnoteReference w:id="16"/>
      </w:r>
      <w:r w:rsidRPr="00144677">
        <w:rPr>
          <w:rFonts w:ascii="Arial" w:hAnsi="Arial" w:cs="Arial"/>
        </w:rPr>
        <w:t>.</w:t>
      </w:r>
    </w:p>
    <w:p w:rsidRPr="00144677" w:rsidR="00144677" w:rsidP="00144677" w:rsidRDefault="00144677" w14:paraId="58E6209E" w14:textId="77777777">
      <w:pPr>
        <w:spacing w:after="120" w:line="276" w:lineRule="auto"/>
        <w:ind w:firstLine="709"/>
        <w:jc w:val="both"/>
        <w:rPr>
          <w:rFonts w:ascii="Arial" w:hAnsi="Arial" w:eastAsia="Calibri" w:cs="Arial"/>
          <w:color w:val="000000" w:themeColor="text1"/>
        </w:rPr>
      </w:pPr>
      <w:r w:rsidRPr="00144677">
        <w:rPr>
          <w:rFonts w:ascii="Arial" w:hAnsi="Arial" w:cs="Arial"/>
        </w:rPr>
        <w:t xml:space="preserve">En línea con lo anterior, resulta pertinente resaltar que, </w:t>
      </w:r>
      <w:r w:rsidRPr="00144677">
        <w:rPr>
          <w:rFonts w:ascii="Arial" w:hAnsi="Arial" w:eastAsia="Calibri" w:cs="Arial"/>
          <w:color w:val="000000" w:themeColor="text1"/>
        </w:rPr>
        <w:t xml:space="preserve">aun cuando se esté frente a la celebración de contratos que se encuentren excluidos de la Ley 80 de 1993, no se rigen exclusivamente por el derecho civil y comercial, pues –conforme se señaló– aplican tanto los principios de la función administrativa y de la gestión fiscal como el régimen de inhabilidades e incompatibilidades. Por el contrario, aquellas EICE que no estén en competencia ni desarrollen su actividad en mercados regulados están sometidas al EGCAP y las normas que lo complementan, como lo dispone el artículo 14 de la Ley 1150 de 2007. </w:t>
      </w:r>
    </w:p>
    <w:p w:rsidRPr="00144677" w:rsidR="00144677" w:rsidP="00144677" w:rsidRDefault="00144677" w14:paraId="0F7E2990" w14:textId="77777777">
      <w:pPr>
        <w:spacing w:after="0" w:line="276" w:lineRule="auto"/>
        <w:ind w:firstLine="709"/>
        <w:jc w:val="both"/>
        <w:rPr>
          <w:rFonts w:ascii="Arial" w:hAnsi="Arial" w:eastAsia="Calibri" w:cs="Arial"/>
          <w:color w:val="000000" w:themeColor="text1"/>
        </w:rPr>
      </w:pPr>
      <w:r w:rsidRPr="00144677">
        <w:rPr>
          <w:rFonts w:ascii="Arial" w:hAnsi="Arial" w:eastAsia="Calibri" w:cs="Arial"/>
          <w:color w:val="000000" w:themeColor="text1"/>
        </w:rPr>
        <w:t xml:space="preserve">De conformidad con las explicaciones anteriores, en torno a los fundamentos jurídicos que regulan el régimen contractual aplicable a las EICE, a cada Entidad Estatal le corresponde analizar si se encuentra en alguno de los supuestos establecidos en el artículo 14 de la Ley 1150 de 2007, para definir si su régimen contractual es el EGCAP o si están exceptuadas de él y, por tanto, si se rigen por un régimen especial, como sería el derecho privado. </w:t>
      </w:r>
    </w:p>
    <w:p w:rsidRPr="00144677" w:rsidR="00144677" w:rsidP="00144677" w:rsidRDefault="00144677" w14:paraId="760D3CD2" w14:textId="77777777">
      <w:pPr>
        <w:spacing w:after="0" w:line="276" w:lineRule="auto"/>
        <w:jc w:val="both"/>
        <w:rPr>
          <w:rFonts w:ascii="Arial" w:hAnsi="Arial" w:eastAsia="Calibri" w:cs="Arial"/>
          <w:b/>
          <w:color w:val="000000"/>
          <w:lang w:val="es-ES_tradnl" w:eastAsia="es-ES_tradnl"/>
        </w:rPr>
      </w:pPr>
    </w:p>
    <w:p w:rsidRPr="00144677" w:rsidR="00144677" w:rsidP="00144677" w:rsidRDefault="00144677" w14:paraId="74E33760" w14:textId="77777777">
      <w:pPr>
        <w:spacing w:after="0" w:line="276" w:lineRule="auto"/>
        <w:jc w:val="both"/>
        <w:rPr>
          <w:rFonts w:ascii="Arial" w:hAnsi="Arial" w:eastAsia="Calibri" w:cs="Arial"/>
          <w:b/>
          <w:color w:val="000000"/>
          <w:lang w:val="es-ES_tradnl" w:eastAsia="es-ES_tradnl"/>
        </w:rPr>
      </w:pPr>
      <w:r w:rsidRPr="00144677">
        <w:rPr>
          <w:rFonts w:ascii="Arial" w:hAnsi="Arial" w:eastAsia="Calibri" w:cs="Arial"/>
          <w:b/>
          <w:color w:val="000000"/>
          <w:lang w:val="es-ES_tradnl" w:eastAsia="es-ES_tradnl"/>
        </w:rPr>
        <w:t>2.3. Contratos interadministrativos: posibilidad de celebrar contratos o convenios interadministrativos de manera directa y el régimen jurídico aplicable</w:t>
      </w:r>
    </w:p>
    <w:p w:rsidRPr="00144677" w:rsidR="00144677" w:rsidP="00144677" w:rsidRDefault="00144677" w14:paraId="4BD05E14" w14:textId="77777777">
      <w:pPr>
        <w:spacing w:after="0" w:line="276" w:lineRule="auto"/>
        <w:jc w:val="both"/>
        <w:rPr>
          <w:rFonts w:ascii="Arial" w:hAnsi="Arial" w:eastAsia="Calibri" w:cs="Arial"/>
          <w:color w:val="000000"/>
          <w:lang w:val="es-ES_tradnl" w:eastAsia="es-ES_tradnl"/>
        </w:rPr>
      </w:pPr>
    </w:p>
    <w:p w:rsidRPr="00144677" w:rsidR="00144677" w:rsidP="00144677" w:rsidRDefault="00144677" w14:paraId="13B5F704" w14:textId="77777777">
      <w:pPr>
        <w:spacing w:after="120" w:line="276" w:lineRule="auto"/>
        <w:jc w:val="both"/>
        <w:rPr>
          <w:rFonts w:ascii="Arial" w:hAnsi="Arial" w:eastAsia="Calibri" w:cs="Arial"/>
          <w:color w:val="000000" w:themeColor="text1"/>
          <w:lang w:val="es-ES_tradnl" w:eastAsia="es-ES_tradnl"/>
        </w:rPr>
      </w:pPr>
      <w:r w:rsidRPr="00144677">
        <w:rPr>
          <w:rFonts w:ascii="Arial" w:hAnsi="Arial" w:eastAsia="Calibri" w:cs="Arial"/>
          <w:color w:val="000000" w:themeColor="text1"/>
          <w:lang w:val="es-ES_tradnl" w:eastAsia="es-ES_tradnl"/>
        </w:rPr>
        <w:t xml:space="preserve">Los procedimientos contractuales mediante los cuales las Entidades Estatales sometidas al EGCAP ejecutan recursos públicos y satisfacen el interés general se rigen por la normativa de contratación pública ―Ley 80 de 1993, Ley 1150 de 2007, Decreto 1082 de 2015 y disposiciones concordantes―, que contiene los principios, reglas y procedimientos que rigen los contratos de las Entidades Estatales. En concreto, el EGCAP se aplica a las Entidades Estatales relacionadas en el artículo 2, como a las que hace mención en su consulta, con lo cual se puede determinar quiénes deben cumplir los principios y obligaciones señalados en las normas citadas. </w:t>
      </w:r>
    </w:p>
    <w:p w:rsidRPr="00144677" w:rsidR="00144677" w:rsidP="00144677" w:rsidRDefault="00144677" w14:paraId="46D20E73" w14:textId="77777777">
      <w:pPr>
        <w:spacing w:after="120" w:line="276" w:lineRule="auto"/>
        <w:ind w:firstLine="708"/>
        <w:jc w:val="both"/>
        <w:rPr>
          <w:rFonts w:ascii="Arial" w:hAnsi="Arial" w:eastAsia="Calibri" w:cs="Arial"/>
          <w:color w:val="000000" w:themeColor="text1"/>
          <w:lang w:val="es-ES_tradnl" w:eastAsia="es-ES_tradnl"/>
        </w:rPr>
      </w:pPr>
      <w:r w:rsidRPr="00144677">
        <w:rPr>
          <w:rFonts w:ascii="Arial" w:hAnsi="Arial" w:eastAsia="Calibri" w:cs="Arial"/>
          <w:color w:val="000000" w:themeColor="text1"/>
          <w:lang w:val="es-ES_tradnl" w:eastAsia="es-ES_tradnl"/>
        </w:rPr>
        <w:t xml:space="preserve">Los procedimientos de contratación se estructuran a partir de las modalidades de selección, y al revisar las normas citadas se observa que contienen los procedimientos para adelantarlas y las reglas de cada modalidad: licitación pública, selección abreviada, </w:t>
      </w:r>
      <w:r w:rsidRPr="00144677">
        <w:rPr>
          <w:rFonts w:ascii="Arial" w:hAnsi="Arial" w:eastAsia="Calibri" w:cs="Arial"/>
          <w:color w:val="000000" w:themeColor="text1"/>
          <w:lang w:val="es-ES_tradnl" w:eastAsia="es-ES_tradnl"/>
        </w:rPr>
        <w:t>concurso de méritos, contratación directa y mínima cuantía</w:t>
      </w:r>
      <w:r w:rsidRPr="00144677">
        <w:rPr>
          <w:rFonts w:ascii="Arial" w:hAnsi="Arial" w:eastAsia="Calibri" w:cs="Arial"/>
          <w:color w:val="000000" w:themeColor="text1"/>
          <w:vertAlign w:val="superscript"/>
          <w:lang w:val="es-ES_tradnl" w:eastAsia="es-ES_tradnl"/>
        </w:rPr>
        <w:footnoteReference w:id="17"/>
      </w:r>
      <w:r w:rsidRPr="00144677">
        <w:rPr>
          <w:rFonts w:ascii="Arial" w:hAnsi="Arial" w:eastAsia="Calibri" w:cs="Arial"/>
          <w:color w:val="000000" w:themeColor="text1"/>
          <w:lang w:val="es-ES_tradnl" w:eastAsia="es-ES_tradnl"/>
        </w:rPr>
        <w:t xml:space="preserve">. 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w:t>
      </w:r>
      <w:proofErr w:type="gramStart"/>
      <w:r w:rsidRPr="00144677">
        <w:rPr>
          <w:rFonts w:ascii="Arial" w:hAnsi="Arial" w:eastAsia="Calibri" w:cs="Arial"/>
          <w:color w:val="000000" w:themeColor="text1"/>
          <w:lang w:val="es-ES_tradnl" w:eastAsia="es-ES_tradnl"/>
        </w:rPr>
        <w:t>eficiente,</w:t>
      </w:r>
      <w:proofErr w:type="gramEnd"/>
      <w:r w:rsidRPr="00144677">
        <w:rPr>
          <w:rFonts w:ascii="Arial" w:hAnsi="Arial" w:eastAsia="Calibri" w:cs="Arial"/>
          <w:color w:val="000000" w:themeColor="text1"/>
          <w:lang w:val="es-ES_tradnl" w:eastAsia="es-ES_tradnl"/>
        </w:rPr>
        <w:t xml:space="preserve"> es el de modular las modalidades de selección en razón a las características del objeto”. </w:t>
      </w:r>
    </w:p>
    <w:p w:rsidRPr="00144677" w:rsidR="00144677" w:rsidP="00144677" w:rsidRDefault="00144677" w14:paraId="03811BE3" w14:textId="77777777">
      <w:pPr>
        <w:spacing w:after="120" w:line="276" w:lineRule="auto"/>
        <w:ind w:firstLine="709"/>
        <w:jc w:val="both"/>
        <w:rPr>
          <w:rFonts w:ascii="Arial" w:hAnsi="Arial" w:eastAsia="Calibri" w:cs="Arial"/>
          <w:color w:val="000000" w:themeColor="text1"/>
          <w:lang w:val="es-ES_tradnl" w:eastAsia="es-ES_tradnl"/>
        </w:rPr>
      </w:pPr>
      <w:r w:rsidRPr="00144677">
        <w:rPr>
          <w:rFonts w:ascii="Arial" w:hAnsi="Arial" w:eastAsia="Calibri" w:cs="Arial"/>
          <w:color w:val="000000" w:themeColor="text1"/>
          <w:lang w:val="es-ES_tradnl" w:eastAsia="es-ES_tradnl"/>
        </w:rPr>
        <w:t>Sobre la tipología de convenio o contrato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144677">
        <w:rPr>
          <w:rFonts w:ascii="Arial" w:hAnsi="Arial" w:eastAsia="Calibri" w:cs="Arial"/>
          <w:color w:val="000000" w:themeColor="text1"/>
          <w:vertAlign w:val="superscript"/>
          <w:lang w:val="es-ES_tradnl" w:eastAsia="es-ES_tradnl"/>
        </w:rPr>
        <w:footnoteReference w:id="18"/>
      </w:r>
      <w:r w:rsidRPr="00144677">
        <w:rPr>
          <w:rFonts w:ascii="Arial" w:hAnsi="Arial" w:eastAsia="Calibri" w:cs="Arial"/>
          <w:color w:val="000000" w:themeColor="text1"/>
          <w:lang w:val="es-ES_tradnl" w:eastAsia="es-ES_tradnl"/>
        </w:rPr>
        <w:t>.</w:t>
      </w:r>
      <w:r w:rsidRPr="00144677">
        <w:rPr>
          <w:rFonts w:ascii="Arial" w:hAnsi="Arial" w:eastAsia="Times New Roman" w:cs="Arial"/>
          <w:color w:val="000000" w:themeColor="text1"/>
          <w:lang w:val="es-ES_tradnl" w:eastAsia="es-ES_tradnl"/>
        </w:rPr>
        <w:t xml:space="preserve"> </w:t>
      </w:r>
      <w:r w:rsidRPr="00144677">
        <w:rPr>
          <w:rFonts w:ascii="Arial" w:hAnsi="Arial" w:eastAsia="Calibri" w:cs="Arial"/>
          <w:color w:val="000000" w:themeColor="text1"/>
          <w:lang w:val="es-ES_tradnl" w:eastAsia="es-ES_tradnl"/>
        </w:rPr>
        <w:t>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rsidRPr="00144677" w:rsidR="00144677" w:rsidP="00144677" w:rsidRDefault="00144677" w14:paraId="0B17793B" w14:textId="77777777">
      <w:pPr>
        <w:spacing w:after="120" w:line="276" w:lineRule="auto"/>
        <w:ind w:firstLine="708"/>
        <w:jc w:val="both"/>
        <w:rPr>
          <w:rFonts w:ascii="Arial" w:hAnsi="Arial" w:eastAsia="Times New Roman" w:cs="Arial"/>
          <w:color w:val="000000" w:themeColor="text1"/>
          <w:lang w:val="es-ES_tradnl" w:eastAsia="es-ES_tradnl"/>
        </w:rPr>
      </w:pPr>
      <w:r w:rsidRPr="00144677">
        <w:rPr>
          <w:rFonts w:ascii="Arial" w:hAnsi="Arial" w:eastAsia="Calibri" w:cs="Arial"/>
          <w:color w:val="000000" w:themeColor="text1"/>
          <w:lang w:val="es-ES_tradnl" w:eastAsia="es-ES_tradnl"/>
        </w:rPr>
        <w:t>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la Ley 80 de 1993 bien puede celebrar esta clase de convenios con una Entidad Estatal de régimen especial y no por ello dejará de ser un contrato o convenio interadministrativo, caso en el cual su ejecución se regirá por la Ley 80 de 1993, si la entidad sometida al EGCAP actúa en calidad de contratante.</w:t>
      </w:r>
    </w:p>
    <w:p w:rsidRPr="00144677" w:rsidR="00144677" w:rsidP="00144677" w:rsidRDefault="00144677" w14:paraId="1E9294E4" w14:textId="77777777">
      <w:pPr>
        <w:spacing w:after="120" w:line="276" w:lineRule="auto"/>
        <w:ind w:firstLine="708"/>
        <w:jc w:val="both"/>
        <w:rPr>
          <w:rFonts w:ascii="Arial" w:hAnsi="Arial" w:eastAsia="Calibri" w:cs="Arial"/>
          <w:color w:val="000000" w:themeColor="text1"/>
          <w:lang w:val="es-ES_tradnl" w:eastAsia="es-ES_tradnl"/>
        </w:rPr>
      </w:pPr>
      <w:r w:rsidRPr="00144677">
        <w:rPr>
          <w:rFonts w:ascii="Arial" w:hAnsi="Arial" w:eastAsia="Calibri" w:cs="Arial"/>
          <w:color w:val="000000" w:themeColor="text1"/>
          <w:lang w:val="es-ES_tradnl" w:eastAsia="es-ES_tradnl"/>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 las cuales se analizarán posteriormente con el fin de atender la consulta –, deba adelantarse un procedimiento </w:t>
      </w:r>
      <w:r w:rsidRPr="00144677">
        <w:rPr>
          <w:rFonts w:ascii="Arial" w:hAnsi="Arial" w:eastAsia="Calibri" w:cs="Arial"/>
          <w:color w:val="000000" w:themeColor="text1"/>
          <w:lang w:val="es-ES_tradnl" w:eastAsia="es-ES_tradnl"/>
        </w:rPr>
        <w:t>susceptible de pluralidad de oferentes</w:t>
      </w:r>
      <w:r w:rsidRPr="00144677">
        <w:rPr>
          <w:rFonts w:ascii="Arial" w:hAnsi="Arial" w:eastAsia="Calibri" w:cs="Arial"/>
          <w:color w:val="000000" w:themeColor="text1"/>
          <w:vertAlign w:val="superscript"/>
          <w:lang w:val="es-ES_tradnl" w:eastAsia="es-ES_tradnl"/>
        </w:rPr>
        <w:footnoteReference w:id="19"/>
      </w:r>
      <w:r w:rsidRPr="00144677">
        <w:rPr>
          <w:rFonts w:ascii="Arial" w:hAnsi="Arial" w:eastAsia="Calibri" w:cs="Arial"/>
          <w:color w:val="000000" w:themeColor="text1"/>
          <w:lang w:val="es-ES_tradnl" w:eastAsia="es-ES_tradnl"/>
        </w:rPr>
        <w:t>. Nótese que, en este caso, lo que cambia es la modalidad de selección y no la naturaleza de contrato interadministrativo.</w:t>
      </w:r>
    </w:p>
    <w:p w:rsidRPr="00144677" w:rsidR="00144677" w:rsidP="00144677" w:rsidRDefault="00144677" w14:paraId="7866BB1A" w14:textId="77777777">
      <w:pPr>
        <w:spacing w:before="120" w:after="0" w:line="276" w:lineRule="auto"/>
        <w:ind w:firstLine="709"/>
        <w:jc w:val="both"/>
        <w:rPr>
          <w:rFonts w:ascii="Arial" w:hAnsi="Arial" w:eastAsia="Calibri" w:cs="Arial"/>
          <w:color w:val="000000" w:themeColor="text1"/>
          <w:lang w:val="es-ES_tradnl" w:eastAsia="es-ES_tradnl"/>
        </w:rPr>
      </w:pPr>
      <w:r w:rsidRPr="00144677">
        <w:rPr>
          <w:rFonts w:ascii="Arial" w:hAnsi="Arial" w:eastAsia="Calibri" w:cs="Arial"/>
          <w:color w:val="000000" w:themeColor="text1"/>
          <w:lang w:val="es-ES_tradnl" w:eastAsia="es-ES_tradnl"/>
        </w:rPr>
        <w:t>Así las cosas, atendiendo a la literalidad de las normas enunciadas, no cabe una interpretación diferente</w:t>
      </w:r>
      <w:r w:rsidRPr="00144677">
        <w:rPr>
          <w:rFonts w:ascii="Arial" w:hAnsi="Arial" w:eastAsia="Times New Roman" w:cs="Arial"/>
          <w:color w:val="000000" w:themeColor="text1"/>
          <w:vertAlign w:val="superscript"/>
          <w:lang w:val="es-ES_tradnl" w:eastAsia="es-ES_tradnl"/>
        </w:rPr>
        <w:footnoteReference w:id="20"/>
      </w:r>
      <w:r w:rsidRPr="00144677">
        <w:rPr>
          <w:rFonts w:ascii="Arial" w:hAnsi="Arial" w:eastAsia="Calibri" w:cs="Arial"/>
          <w:color w:val="000000" w:themeColor="text1"/>
          <w:lang w:val="es-ES_tradnl" w:eastAsia="es-ES_tradnl"/>
        </w:rPr>
        <w:t>, pues, de acuerdo con lo anotado, esta clase de acuerdos de voluntades se definen por un criterio orgánico, por lo que uno de sus elementos esenciales es que en los extremos de la relación jurídico negocial concurran personas de derecho público con competencia para celebrar contratos. Adicionalmente, el Consejo de Estado ha indicado, frente a los contratos o convenio interadministrativos y sus características, que:</w:t>
      </w:r>
    </w:p>
    <w:p w:rsidRPr="00144677" w:rsidR="00144677" w:rsidP="00144677" w:rsidRDefault="00144677" w14:paraId="1824D134" w14:textId="77777777">
      <w:pPr>
        <w:spacing w:after="0" w:line="276" w:lineRule="auto"/>
        <w:ind w:left="709" w:right="709"/>
        <w:jc w:val="both"/>
        <w:rPr>
          <w:rFonts w:ascii="Arial" w:hAnsi="Arial" w:eastAsia="Calibri" w:cs="Arial"/>
          <w:color w:val="000000" w:themeColor="text1"/>
          <w:lang w:val="es-ES_tradnl" w:eastAsia="es-ES_tradnl"/>
        </w:rPr>
      </w:pPr>
    </w:p>
    <w:p w:rsidRPr="00144677" w:rsidR="00144677" w:rsidP="00144677" w:rsidRDefault="00144677" w14:paraId="577A7C00" w14:textId="77777777">
      <w:pPr>
        <w:spacing w:after="0" w:line="240" w:lineRule="auto"/>
        <w:ind w:left="709" w:right="709"/>
        <w:jc w:val="both"/>
        <w:rPr>
          <w:rFonts w:ascii="Arial" w:hAnsi="Arial" w:eastAsia="Calibri" w:cs="Arial"/>
          <w:color w:val="000000" w:themeColor="text1"/>
          <w:sz w:val="20"/>
          <w:szCs w:val="20"/>
          <w:lang w:val="es-ES_tradnl" w:eastAsia="es-ES_tradnl"/>
        </w:rPr>
      </w:pPr>
      <w:r w:rsidRPr="00144677">
        <w:rPr>
          <w:rFonts w:ascii="Arial" w:hAnsi="Arial" w:eastAsia="Calibri" w:cs="Arial"/>
          <w:color w:val="000000" w:themeColor="text1"/>
          <w:sz w:val="20"/>
          <w:szCs w:val="20"/>
          <w:lang w:val="es-ES_tradnl" w:eastAsia="es-ES_tradnl"/>
        </w:rPr>
        <w:t>“[…] se puede señalar que los convenios o contratos interadministrativos tienen como características principales las siguientes:</w:t>
      </w:r>
    </w:p>
    <w:p w:rsidRPr="00144677" w:rsidR="00144677" w:rsidP="00144677" w:rsidRDefault="00144677" w14:paraId="10F3EA1D" w14:textId="77777777">
      <w:pPr>
        <w:spacing w:after="0" w:line="240" w:lineRule="auto"/>
        <w:ind w:left="709" w:right="709"/>
        <w:jc w:val="both"/>
        <w:rPr>
          <w:rFonts w:ascii="Arial" w:hAnsi="Arial" w:eastAsia="Calibri" w:cs="Arial"/>
          <w:color w:val="000000" w:themeColor="text1"/>
          <w:sz w:val="20"/>
          <w:szCs w:val="20"/>
          <w:lang w:val="es-ES_tradnl" w:eastAsia="es-ES_tradnl"/>
        </w:rPr>
      </w:pPr>
    </w:p>
    <w:p w:rsidRPr="00144677" w:rsidR="00144677" w:rsidP="00144677" w:rsidRDefault="00144677" w14:paraId="78691367" w14:textId="77777777">
      <w:pPr>
        <w:spacing w:after="0" w:line="240" w:lineRule="auto"/>
        <w:ind w:left="709" w:right="709"/>
        <w:jc w:val="both"/>
        <w:rPr>
          <w:rFonts w:ascii="Arial" w:hAnsi="Arial" w:eastAsia="Calibri" w:cs="Arial"/>
          <w:color w:val="000000" w:themeColor="text1"/>
          <w:sz w:val="20"/>
          <w:szCs w:val="20"/>
          <w:lang w:val="es-ES_tradnl" w:eastAsia="es-ES_tradnl"/>
        </w:rPr>
      </w:pPr>
      <w:r w:rsidRPr="00144677">
        <w:rPr>
          <w:rFonts w:ascii="Arial" w:hAnsi="Arial" w:eastAsia="Calibri" w:cs="Arial"/>
          <w:color w:val="000000" w:themeColor="text1"/>
          <w:sz w:val="20"/>
          <w:szCs w:val="20"/>
          <w:lang w:val="es-ES_tradnl" w:eastAsia="es-ES_tradnl"/>
        </w:rPr>
        <w:t>(i) constituyen verdaderos contratos en los términos del Código de Comercio cuando su objeto lo constituyen obligaciones patrimoniales; (</w:t>
      </w:r>
      <w:proofErr w:type="spellStart"/>
      <w:r w:rsidRPr="00144677">
        <w:rPr>
          <w:rFonts w:ascii="Arial" w:hAnsi="Arial" w:eastAsia="Calibri" w:cs="Arial"/>
          <w:color w:val="000000" w:themeColor="text1"/>
          <w:sz w:val="20"/>
          <w:szCs w:val="20"/>
          <w:lang w:val="es-ES_tradnl" w:eastAsia="es-ES_tradnl"/>
        </w:rPr>
        <w:t>ii</w:t>
      </w:r>
      <w:proofErr w:type="spellEnd"/>
      <w:r w:rsidRPr="00144677">
        <w:rPr>
          <w:rFonts w:ascii="Arial" w:hAnsi="Arial" w:eastAsia="Calibri" w:cs="Arial"/>
          <w:color w:val="000000" w:themeColor="text1"/>
          <w:sz w:val="20"/>
          <w:szCs w:val="20"/>
          <w:lang w:val="es-ES_tradnl" w:eastAsia="es-ES_tradnl"/>
        </w:rPr>
        <w:t>) tienen como fuente la autonomía contractual; (</w:t>
      </w:r>
      <w:proofErr w:type="spellStart"/>
      <w:r w:rsidRPr="00144677">
        <w:rPr>
          <w:rFonts w:ascii="Arial" w:hAnsi="Arial" w:eastAsia="Calibri" w:cs="Arial"/>
          <w:color w:val="000000" w:themeColor="text1"/>
          <w:sz w:val="20"/>
          <w:szCs w:val="20"/>
          <w:lang w:val="es-ES_tradnl" w:eastAsia="es-ES_tradnl"/>
        </w:rPr>
        <w:t>iii</w:t>
      </w:r>
      <w:proofErr w:type="spellEnd"/>
      <w:r w:rsidRPr="00144677">
        <w:rPr>
          <w:rFonts w:ascii="Arial" w:hAnsi="Arial" w:eastAsia="Calibri" w:cs="Arial"/>
          <w:color w:val="000000" w:themeColor="text1"/>
          <w:sz w:val="20"/>
          <w:szCs w:val="20"/>
          <w:lang w:val="es-ES_tradnl" w:eastAsia="es-ES_tradnl"/>
        </w:rPr>
        <w:t>) son contratos nominados puesto que están mencionados en la ley; (</w:t>
      </w:r>
      <w:proofErr w:type="spellStart"/>
      <w:r w:rsidRPr="00144677">
        <w:rPr>
          <w:rFonts w:ascii="Arial" w:hAnsi="Arial" w:eastAsia="Calibri" w:cs="Arial"/>
          <w:color w:val="000000" w:themeColor="text1"/>
          <w:sz w:val="20"/>
          <w:szCs w:val="20"/>
          <w:lang w:val="es-ES_tradnl" w:eastAsia="es-ES_tradnl"/>
        </w:rPr>
        <w:t>iv</w:t>
      </w:r>
      <w:proofErr w:type="spellEnd"/>
      <w:r w:rsidRPr="00144677">
        <w:rPr>
          <w:rFonts w:ascii="Arial" w:hAnsi="Arial" w:eastAsia="Calibri" w:cs="Arial"/>
          <w:color w:val="000000" w:themeColor="text1"/>
          <w:sz w:val="20"/>
          <w:szCs w:val="20"/>
          <w:lang w:val="es-ES_tradnl" w:eastAsia="es-ES_tradnl"/>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144677">
        <w:rPr>
          <w:rFonts w:ascii="Arial" w:hAnsi="Arial" w:eastAsia="Calibri" w:cs="Arial"/>
          <w:color w:val="000000" w:themeColor="text1"/>
          <w:sz w:val="20"/>
          <w:szCs w:val="20"/>
          <w:lang w:val="es-ES_tradnl" w:eastAsia="es-ES_tradnl"/>
        </w:rPr>
        <w:t>vii</w:t>
      </w:r>
      <w:proofErr w:type="spellEnd"/>
      <w:r w:rsidRPr="00144677">
        <w:rPr>
          <w:rFonts w:ascii="Arial" w:hAnsi="Arial" w:eastAsia="Calibri" w:cs="Arial"/>
          <w:color w:val="000000" w:themeColor="text1"/>
          <w:sz w:val="20"/>
          <w:szCs w:val="20"/>
          <w:lang w:val="es-ES_tradnl" w:eastAsia="es-ES_tradnl"/>
        </w:rPr>
        <w:t>) persiguen una finalidad común a través de la realización de intereses compartidos entre las entidades vinculadas; (</w:t>
      </w:r>
      <w:proofErr w:type="spellStart"/>
      <w:r w:rsidRPr="00144677">
        <w:rPr>
          <w:rFonts w:ascii="Arial" w:hAnsi="Arial" w:eastAsia="Calibri" w:cs="Arial"/>
          <w:color w:val="000000" w:themeColor="text1"/>
          <w:sz w:val="20"/>
          <w:szCs w:val="20"/>
          <w:lang w:val="es-ES_tradnl" w:eastAsia="es-ES_tradnl"/>
        </w:rPr>
        <w:t>viii</w:t>
      </w:r>
      <w:proofErr w:type="spellEnd"/>
      <w:r w:rsidRPr="00144677">
        <w:rPr>
          <w:rFonts w:ascii="Arial" w:hAnsi="Arial" w:eastAsia="Calibri" w:cs="Arial"/>
          <w:color w:val="000000" w:themeColor="text1"/>
          <w:sz w:val="20"/>
          <w:szCs w:val="20"/>
          <w:lang w:val="es-ES_tradnl" w:eastAsia="es-ES_tradnl"/>
        </w:rPr>
        <w:t>) la acción mediante la cual se deben ventilar las diferencias que sobre el particular surjan es la de controversias contractuales”</w:t>
      </w:r>
      <w:r w:rsidRPr="00144677">
        <w:rPr>
          <w:rFonts w:ascii="Arial" w:hAnsi="Arial" w:eastAsia="Calibri" w:cs="Arial"/>
          <w:color w:val="000000" w:themeColor="text1"/>
          <w:sz w:val="20"/>
          <w:szCs w:val="20"/>
          <w:vertAlign w:val="superscript"/>
          <w:lang w:val="es-ES_tradnl" w:eastAsia="es-ES_tradnl"/>
        </w:rPr>
        <w:footnoteReference w:id="21"/>
      </w:r>
      <w:r w:rsidRPr="00144677">
        <w:rPr>
          <w:rFonts w:ascii="Arial" w:hAnsi="Arial" w:eastAsia="Calibri" w:cs="Arial"/>
          <w:color w:val="000000" w:themeColor="text1"/>
          <w:sz w:val="20"/>
          <w:szCs w:val="20"/>
          <w:lang w:val="es-ES_tradnl" w:eastAsia="es-ES_tradnl"/>
        </w:rPr>
        <w:t>.</w:t>
      </w:r>
    </w:p>
    <w:p w:rsidRPr="00144677" w:rsidR="00144677" w:rsidP="00144677" w:rsidRDefault="00144677" w14:paraId="721A5173" w14:textId="77777777">
      <w:pPr>
        <w:spacing w:after="0" w:line="276" w:lineRule="auto"/>
        <w:ind w:right="709"/>
        <w:jc w:val="both"/>
        <w:rPr>
          <w:rFonts w:ascii="Arial" w:hAnsi="Arial" w:eastAsia="Calibri" w:cs="Arial"/>
          <w:color w:val="000000" w:themeColor="text1"/>
          <w:lang w:val="es-ES_tradnl" w:eastAsia="es-ES_tradnl"/>
        </w:rPr>
      </w:pPr>
    </w:p>
    <w:p w:rsidRPr="00144677" w:rsidR="00144677" w:rsidP="00144677" w:rsidRDefault="00144677" w14:paraId="76B38C81" w14:textId="77777777">
      <w:pPr>
        <w:spacing w:after="0" w:line="276" w:lineRule="auto"/>
        <w:ind w:firstLine="709"/>
        <w:jc w:val="both"/>
        <w:rPr>
          <w:rFonts w:ascii="Arial" w:hAnsi="Arial" w:eastAsia="Calibri" w:cs="Arial"/>
          <w:color w:val="000000" w:themeColor="text1"/>
          <w:lang w:val="es-ES_tradnl" w:eastAsia="es-ES_tradnl"/>
        </w:rPr>
      </w:pPr>
      <w:bookmarkStart w:name="_Hlk145329903" w:id="9"/>
      <w:r w:rsidRPr="00144677">
        <w:rPr>
          <w:rFonts w:ascii="Arial" w:hAnsi="Arial" w:eastAsia="Calibri" w:cs="Arial"/>
          <w:color w:val="000000" w:themeColor="text1"/>
          <w:lang w:val="es-ES_tradnl" w:eastAsia="es-ES_tradnl"/>
        </w:rPr>
        <w:t xml:space="preserve">En relación con la modalidad de selección aplicable a la celebración de contratos interadministrativos, la Ley 1150 de 2007 establece que las Entidades Estatales pueden suscribirlos de manera directa, siempre que las obligaciones derivadas de los mismos tengan relación con el objeto de la entidad ejecutora. Sin embargo, esa misma ley establece excepciones concretas a esta facultad, aplicable a los supuestos en que ciertas tipologías contractuales sean ejecutadas por alguna de las Entidades Estatales enlistadas en dicha restricción. De esta manera, el artículo 2, numeral 4, literal c), de la mencionada ley –modificado por el artículo 92 de la Ley 1474 de 2011– estableció lo siguiente: </w:t>
      </w:r>
    </w:p>
    <w:p w:rsidRPr="00144677" w:rsidR="00144677" w:rsidP="00144677" w:rsidRDefault="00144677" w14:paraId="61222813" w14:textId="77777777">
      <w:pPr>
        <w:spacing w:after="0" w:line="276" w:lineRule="auto"/>
        <w:ind w:firstLine="709"/>
        <w:jc w:val="both"/>
        <w:rPr>
          <w:rFonts w:ascii="Arial" w:hAnsi="Arial" w:eastAsia="Calibri" w:cs="Arial"/>
          <w:color w:val="000000" w:themeColor="text1"/>
          <w:lang w:val="es-ES_tradnl" w:eastAsia="es-ES_tradnl"/>
        </w:rPr>
      </w:pPr>
    </w:p>
    <w:p w:rsidRPr="00144677" w:rsidR="00144677" w:rsidP="00144677" w:rsidRDefault="00144677" w14:paraId="76683A70" w14:textId="77777777">
      <w:pPr>
        <w:spacing w:after="0" w:line="240" w:lineRule="auto"/>
        <w:ind w:left="709" w:right="709"/>
        <w:jc w:val="both"/>
        <w:rPr>
          <w:rFonts w:ascii="Arial" w:hAnsi="Arial" w:eastAsia="Times New Roman" w:cs="Arial"/>
          <w:sz w:val="20"/>
          <w:szCs w:val="20"/>
          <w:lang w:eastAsia="es-CO"/>
        </w:rPr>
      </w:pPr>
      <w:r w:rsidRPr="00144677">
        <w:rPr>
          <w:rFonts w:ascii="Arial" w:hAnsi="Arial" w:eastAsia="Times New Roman" w:cs="Arial"/>
          <w:sz w:val="20"/>
          <w:szCs w:val="20"/>
          <w:lang w:eastAsia="es-CO"/>
        </w:rPr>
        <w:t>“c) Contratos interadministrativos, siempre que las obligaciones derivadas del mismo tengan relación directa con el objeto de la entidad ejecutora señalado en la ley o en sus reglamentos.</w:t>
      </w:r>
    </w:p>
    <w:p w:rsidRPr="00144677" w:rsidR="00144677" w:rsidP="00144677" w:rsidRDefault="00144677" w14:paraId="1796DD37" w14:textId="77777777">
      <w:pPr>
        <w:spacing w:after="0" w:line="240" w:lineRule="auto"/>
        <w:ind w:left="709" w:right="709"/>
        <w:jc w:val="both"/>
        <w:rPr>
          <w:rFonts w:ascii="Arial" w:hAnsi="Arial" w:eastAsia="Times New Roman" w:cs="Arial"/>
          <w:sz w:val="20"/>
          <w:szCs w:val="20"/>
          <w:lang w:eastAsia="es-CO"/>
        </w:rPr>
      </w:pPr>
    </w:p>
    <w:p w:rsidRPr="00144677" w:rsidR="00144677" w:rsidP="00144677" w:rsidRDefault="00144677" w14:paraId="11B14AA5" w14:textId="77777777">
      <w:pPr>
        <w:spacing w:after="0" w:line="240" w:lineRule="auto"/>
        <w:ind w:left="709" w:right="709"/>
        <w:jc w:val="both"/>
        <w:rPr>
          <w:rFonts w:ascii="Arial" w:hAnsi="Arial" w:eastAsia="Times New Roman" w:cs="Arial"/>
          <w:sz w:val="20"/>
          <w:szCs w:val="20"/>
          <w:lang w:eastAsia="es-CO"/>
        </w:rPr>
      </w:pPr>
      <w:r w:rsidRPr="00144677">
        <w:rPr>
          <w:rFonts w:ascii="Arial" w:hAnsi="Arial" w:eastAsia="Times New Roman" w:cs="Arial"/>
          <w:sz w:val="20"/>
          <w:szCs w:val="20"/>
          <w:lang w:eastAsia="es-CO"/>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rsidRPr="00144677" w:rsidR="00144677" w:rsidP="00144677" w:rsidRDefault="00144677" w14:paraId="5989503D" w14:textId="77777777">
      <w:pPr>
        <w:spacing w:after="0" w:line="276" w:lineRule="auto"/>
        <w:ind w:left="709" w:right="709"/>
        <w:jc w:val="both"/>
        <w:rPr>
          <w:rFonts w:ascii="Arial" w:hAnsi="Arial" w:eastAsia="Times New Roman" w:cs="Arial"/>
          <w:lang w:eastAsia="es-CO"/>
        </w:rPr>
      </w:pPr>
    </w:p>
    <w:p w:rsidRPr="00144677" w:rsidR="00144677" w:rsidP="00144677" w:rsidRDefault="00144677" w14:paraId="03D82C20" w14:textId="77777777">
      <w:pPr>
        <w:spacing w:after="120" w:line="276" w:lineRule="auto"/>
        <w:ind w:firstLine="709"/>
        <w:jc w:val="both"/>
        <w:rPr>
          <w:rFonts w:ascii="Arial" w:hAnsi="Arial" w:eastAsia="Calibri" w:cs="Arial"/>
          <w:color w:val="000000" w:themeColor="text1"/>
          <w:szCs w:val="24"/>
          <w:lang w:val="es-ES_tradnl" w:eastAsia="es-ES_tradnl"/>
        </w:rPr>
      </w:pPr>
      <w:r w:rsidRPr="00144677">
        <w:rPr>
          <w:rFonts w:ascii="Arial" w:hAnsi="Arial" w:eastAsia="Calibri" w:cs="Arial"/>
          <w:color w:val="000000" w:themeColor="text1"/>
          <w:szCs w:val="24"/>
          <w:lang w:val="es-ES_tradnl" w:eastAsia="es-ES_tradnl"/>
        </w:rPr>
        <w:t xml:space="preserve">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    </w:t>
      </w:r>
    </w:p>
    <w:bookmarkEnd w:id="9"/>
    <w:p w:rsidRPr="00144677" w:rsidR="00144677" w:rsidP="00144677" w:rsidRDefault="00144677" w14:paraId="172173B0" w14:textId="77777777">
      <w:pPr>
        <w:spacing w:after="120" w:line="276" w:lineRule="auto"/>
        <w:ind w:firstLine="709"/>
        <w:jc w:val="both"/>
        <w:rPr>
          <w:rFonts w:ascii="Arial" w:hAnsi="Arial" w:eastAsia="Calibri" w:cs="Arial"/>
          <w:color w:val="000000" w:themeColor="text1"/>
          <w:szCs w:val="24"/>
          <w:lang w:val="es-ES_tradnl" w:eastAsia="es-ES_tradnl"/>
        </w:rPr>
      </w:pPr>
      <w:r w:rsidRPr="00144677">
        <w:rPr>
          <w:rFonts w:ascii="Arial" w:hAnsi="Arial" w:eastAsia="Calibri" w:cs="Arial"/>
          <w:color w:val="000000" w:themeColor="text1"/>
          <w:szCs w:val="24"/>
          <w:lang w:val="es-ES_tradnl" w:eastAsia="es-ES_tradnl"/>
        </w:rPr>
        <w:t>De otro lado, para efectos de responder la consulta, se encuentra que el inciso segundo establece una limitación a la contratación directa mediante la causal del literal c) –transcrito anteriormente– dirigido a los supuestos en que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en tratándose de “contratos de obra, suministro, prestación de servicios de evaluación de conformidad respecto de las normas o reglamentos técnicos, encargos fiduciarios y fiducia pública”, estos últimos a los cuales hace referencia en su consulta.</w:t>
      </w:r>
    </w:p>
    <w:p w:rsidRPr="00144677" w:rsidR="00144677" w:rsidP="00144677" w:rsidRDefault="00144677" w14:paraId="795FD2EB" w14:textId="77777777">
      <w:pPr>
        <w:spacing w:after="120" w:line="276" w:lineRule="auto"/>
        <w:ind w:firstLine="708"/>
        <w:jc w:val="both"/>
        <w:rPr>
          <w:rFonts w:ascii="Arial" w:hAnsi="Arial" w:eastAsia="Calibri" w:cs="Arial"/>
          <w:color w:val="000000" w:themeColor="text1"/>
          <w:szCs w:val="24"/>
          <w:lang w:val="es-ES_tradnl" w:eastAsia="es-ES_tradnl"/>
        </w:rPr>
      </w:pPr>
      <w:r w:rsidRPr="00144677">
        <w:rPr>
          <w:rFonts w:ascii="Arial" w:hAnsi="Arial" w:eastAsia="Calibri" w:cs="Arial"/>
          <w:color w:val="000000" w:themeColor="text1"/>
          <w:szCs w:val="24"/>
          <w:lang w:val="es-ES_tradnl" w:eastAsia="es-ES_tradnl"/>
        </w:rPr>
        <w:t xml:space="preserve">Conviene señalar que la excepción contenida en la norma mencionada –concretamente el inciso segundo– determina de manera explícita los sujetos a los cuales les es aplicable la restricción contenida en dicho artículo, que incluye la celebración de contratos o convenios interadministrativos cuando se trate, entre otros, de un contrato de obra o suministro. Esta disposición exceptuó celebrar de manera directa contratos o convenios interadministrativos cuando se trate de encargos fiduciarios o fiducia pública cuya entidad ejecutora sea una institución de educación superior pública o una sociedad de economía mixta con participación mayoritaria del Estado, o una persona jurídica sin ánimo </w:t>
      </w:r>
      <w:r w:rsidRPr="00144677">
        <w:rPr>
          <w:rFonts w:ascii="Arial" w:hAnsi="Arial" w:eastAsia="Calibri" w:cs="Arial"/>
          <w:color w:val="000000" w:themeColor="text1"/>
          <w:szCs w:val="24"/>
          <w:lang w:val="es-ES_tradnl" w:eastAsia="es-ES_tradnl"/>
        </w:rPr>
        <w:t xml:space="preserve">de lucro conformada por la asociación de Entidades Públicas, o una federación de entidades territoriales. </w:t>
      </w:r>
    </w:p>
    <w:p w:rsidRPr="00144677" w:rsidR="00144677" w:rsidP="00144677" w:rsidRDefault="00144677" w14:paraId="6C2B731C" w14:textId="77777777">
      <w:pPr>
        <w:spacing w:before="120" w:after="0" w:line="276" w:lineRule="auto"/>
        <w:ind w:firstLine="709"/>
        <w:jc w:val="both"/>
        <w:rPr>
          <w:rFonts w:ascii="Arial" w:hAnsi="Arial" w:eastAsia="Calibri" w:cs="Arial"/>
          <w:color w:val="000000" w:themeColor="text1"/>
          <w:szCs w:val="24"/>
          <w:lang w:val="es-ES_tradnl" w:eastAsia="es-ES_tradnl"/>
        </w:rPr>
      </w:pPr>
      <w:r w:rsidRPr="00144677">
        <w:rPr>
          <w:rFonts w:ascii="Arial" w:hAnsi="Arial" w:eastAsia="Calibri" w:cs="Arial"/>
          <w:color w:val="000000" w:themeColor="text1"/>
          <w:szCs w:val="24"/>
          <w:lang w:val="es-ES_tradnl" w:eastAsia="es-ES_tradnl"/>
        </w:rPr>
        <w:t>En esta línea, la Sala de Consulta y Servicio Civil</w:t>
      </w:r>
      <w:r w:rsidRPr="00144677">
        <w:rPr>
          <w:rFonts w:ascii="Arial" w:hAnsi="Arial" w:eastAsia="Calibri" w:cs="Arial"/>
          <w:color w:val="000000" w:themeColor="text1"/>
          <w:szCs w:val="24"/>
          <w:vertAlign w:val="superscript"/>
          <w:lang w:val="es-ES_tradnl" w:eastAsia="es-ES_tradnl"/>
        </w:rPr>
        <w:footnoteReference w:id="22"/>
      </w:r>
      <w:r w:rsidRPr="00144677">
        <w:rPr>
          <w:rFonts w:ascii="Arial" w:hAnsi="Arial" w:eastAsia="Calibri" w:cs="Arial"/>
          <w:color w:val="000000" w:themeColor="text1"/>
          <w:szCs w:val="24"/>
          <w:lang w:val="es-ES_tradnl" w:eastAsia="es-ES_tradnl"/>
        </w:rPr>
        <w:t xml:space="preserve"> precisó sobre el alcance de la modificación introducida por el artículo 92 de la Ley 1474 de 2011 al literal c) del numeral 4 del artículo 2 de la Ley 1150 de 2007, y en particular, sobre la restricción establecida en el inciso segundo de la norma referida, lo siguiente: </w:t>
      </w:r>
    </w:p>
    <w:p w:rsidRPr="00144677" w:rsidR="00144677" w:rsidP="00144677" w:rsidRDefault="00144677" w14:paraId="59EBEF2F" w14:textId="77777777">
      <w:pPr>
        <w:widowControl w:val="0"/>
        <w:autoSpaceDE w:val="0"/>
        <w:autoSpaceDN w:val="0"/>
        <w:spacing w:after="0" w:line="276" w:lineRule="auto"/>
        <w:ind w:right="51"/>
        <w:rPr>
          <w:rFonts w:ascii="Arial" w:hAnsi="Arial" w:eastAsia="Arial" w:cs="Arial"/>
          <w:lang w:val="es-ES" w:eastAsia="es-ES" w:bidi="es-ES"/>
        </w:rPr>
      </w:pPr>
    </w:p>
    <w:p w:rsidRPr="00144677" w:rsidR="00144677" w:rsidP="00144677" w:rsidRDefault="00A74BF6" w14:paraId="4B43BB36" w14:textId="4FC780AF">
      <w:pPr>
        <w:widowControl w:val="0"/>
        <w:autoSpaceDE w:val="0"/>
        <w:autoSpaceDN w:val="0"/>
        <w:spacing w:after="0" w:line="240" w:lineRule="auto"/>
        <w:ind w:left="709" w:right="709"/>
        <w:jc w:val="both"/>
        <w:rPr>
          <w:rFonts w:ascii="Arial" w:hAnsi="Arial" w:eastAsia="Arial" w:cs="Arial"/>
          <w:sz w:val="20"/>
          <w:szCs w:val="20"/>
          <w:lang w:val="es-ES" w:eastAsia="es-ES" w:bidi="es-ES"/>
        </w:rPr>
      </w:pPr>
      <w:r>
        <w:rPr>
          <w:rFonts w:ascii="Arial" w:hAnsi="Arial" w:eastAsia="Arial" w:cs="Arial"/>
          <w:sz w:val="20"/>
          <w:szCs w:val="20"/>
          <w:lang w:val="es-ES" w:eastAsia="es-ES" w:bidi="es-ES"/>
        </w:rPr>
        <w:t>“</w:t>
      </w:r>
      <w:r w:rsidRPr="00144677" w:rsidR="00144677">
        <w:rPr>
          <w:rFonts w:ascii="Arial" w:hAnsi="Arial" w:eastAsia="Arial" w:cs="Arial"/>
          <w:sz w:val="20"/>
          <w:szCs w:val="20"/>
          <w:lang w:val="es-ES" w:eastAsia="es-ES" w:bidi="es-ES"/>
        </w:rPr>
        <w:t>[.</w:t>
      </w:r>
      <w:r>
        <w:rPr>
          <w:rFonts w:ascii="Arial" w:hAnsi="Arial" w:eastAsia="Arial" w:cs="Arial"/>
          <w:sz w:val="20"/>
          <w:szCs w:val="20"/>
          <w:lang w:val="es-ES" w:eastAsia="es-ES" w:bidi="es-ES"/>
        </w:rPr>
        <w:t>.</w:t>
      </w:r>
      <w:r w:rsidRPr="00144677" w:rsidR="00144677">
        <w:rPr>
          <w:rFonts w:ascii="Arial" w:hAnsi="Arial" w:eastAsia="Arial" w:cs="Arial"/>
          <w:sz w:val="20"/>
          <w:szCs w:val="20"/>
          <w:lang w:val="es-ES" w:eastAsia="es-ES" w:bidi="es-ES"/>
        </w:rPr>
        <w:t xml:space="preserve">.] La suscripción de contratos interadministrativos </w:t>
      </w:r>
      <w:r w:rsidRPr="00144677" w:rsidR="00144677">
        <w:rPr>
          <w:rFonts w:ascii="Arial" w:hAnsi="Arial" w:eastAsia="Calibri" w:cs="Arial"/>
          <w:color w:val="000000" w:themeColor="text1"/>
          <w:sz w:val="20"/>
          <w:szCs w:val="20"/>
          <w:lang w:val="es-ES_tradnl" w:eastAsia="es-ES" w:bidi="es-ES"/>
        </w:rPr>
        <w:t>“</w:t>
      </w:r>
      <w:r w:rsidRPr="00144677" w:rsidR="00144677">
        <w:rPr>
          <w:rFonts w:ascii="Arial" w:hAnsi="Arial" w:eastAsia="Arial" w:cs="Arial"/>
          <w:sz w:val="20"/>
          <w:szCs w:val="20"/>
          <w:lang w:val="es-ES" w:eastAsia="es-ES" w:bidi="es-ES"/>
        </w:rPr>
        <w:t>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sidRPr="00144677" w:rsidR="00144677">
        <w:rPr>
          <w:rFonts w:ascii="Arial" w:hAnsi="Arial" w:eastAsia="Calibri" w:cs="Arial"/>
          <w:color w:val="000000" w:themeColor="text1"/>
          <w:sz w:val="20"/>
          <w:szCs w:val="20"/>
          <w:lang w:val="es-ES_tradnl" w:eastAsia="es-ES" w:bidi="es-ES"/>
        </w:rPr>
        <w:t>”</w:t>
      </w:r>
      <w:r w:rsidRPr="00144677" w:rsidR="00144677">
        <w:rPr>
          <w:rFonts w:ascii="Arial" w:hAnsi="Arial" w:eastAsia="Arial" w:cs="Arial"/>
          <w:sz w:val="20"/>
          <w:szCs w:val="20"/>
          <w:lang w:val="es-ES" w:eastAsia="es-ES" w:bidi="es-ES"/>
        </w:rPr>
        <w:t>, debe estar precedida de licitación pública o selección abreviada; solamente en los demás casos, podrá acudirse al sistema de contratación directa (literal c, inciso 2).</w:t>
      </w:r>
    </w:p>
    <w:p w:rsidRPr="00144677" w:rsidR="00144677" w:rsidP="00144677" w:rsidRDefault="00144677" w14:paraId="0071D7FE" w14:textId="77777777">
      <w:pPr>
        <w:widowControl w:val="0"/>
        <w:autoSpaceDE w:val="0"/>
        <w:autoSpaceDN w:val="0"/>
        <w:spacing w:after="0" w:line="240" w:lineRule="auto"/>
        <w:ind w:left="709" w:right="709"/>
        <w:jc w:val="both"/>
        <w:rPr>
          <w:rFonts w:ascii="Arial" w:hAnsi="Arial" w:eastAsia="Arial" w:cs="Arial"/>
          <w:sz w:val="20"/>
          <w:szCs w:val="20"/>
          <w:lang w:val="es-ES" w:eastAsia="es-ES" w:bidi="es-ES"/>
        </w:rPr>
      </w:pPr>
    </w:p>
    <w:p w:rsidRPr="00144677" w:rsidR="00144677" w:rsidP="00144677" w:rsidRDefault="00144677" w14:paraId="2A77E8CB" w14:textId="4E6AB8A9">
      <w:pPr>
        <w:widowControl w:val="0"/>
        <w:autoSpaceDE w:val="0"/>
        <w:autoSpaceDN w:val="0"/>
        <w:spacing w:after="0" w:line="240" w:lineRule="auto"/>
        <w:ind w:left="709" w:right="709"/>
        <w:jc w:val="both"/>
        <w:rPr>
          <w:rFonts w:ascii="Arial" w:hAnsi="Arial" w:eastAsia="Arial" w:cs="Arial"/>
          <w:sz w:val="20"/>
          <w:szCs w:val="20"/>
          <w:lang w:val="es-ES" w:eastAsia="es-ES" w:bidi="es-ES"/>
        </w:rPr>
      </w:pPr>
      <w:r w:rsidRPr="00144677">
        <w:rPr>
          <w:rFonts w:ascii="Arial" w:hAnsi="Arial" w:eastAsia="Arial" w:cs="Arial"/>
          <w:sz w:val="20"/>
          <w:szCs w:val="20"/>
          <w:lang w:val="es-ES" w:eastAsia="es-ES" w:bidi="es-ES"/>
        </w:rPr>
        <w:t xml:space="preserve">La Sala aclara que, en todo caso y aún en los eventos de licitación pública o selección abreviada, el contrato debe tener relación directa con el objeto de la entidad ejecutora; en ese sentido, el inciso segundo de la norma en </w:t>
      </w:r>
      <w:proofErr w:type="gramStart"/>
      <w:r w:rsidRPr="00144677">
        <w:rPr>
          <w:rFonts w:ascii="Arial" w:hAnsi="Arial" w:eastAsia="Arial" w:cs="Arial"/>
          <w:sz w:val="20"/>
          <w:szCs w:val="20"/>
          <w:lang w:val="es-ES" w:eastAsia="es-ES" w:bidi="es-ES"/>
        </w:rPr>
        <w:t>cita,</w:t>
      </w:r>
      <w:proofErr w:type="gramEnd"/>
      <w:r w:rsidRPr="00144677">
        <w:rPr>
          <w:rFonts w:ascii="Arial" w:hAnsi="Arial" w:eastAsia="Arial" w:cs="Arial"/>
          <w:sz w:val="20"/>
          <w:szCs w:val="20"/>
          <w:lang w:val="es-ES" w:eastAsia="es-ES" w:bidi="es-ES"/>
        </w:rPr>
        <w:t xml:space="preserve"> no puede ser interpretado como una autorización para celebrar contratos que no tengan relación con el objeto de la entidad ejecutora. La excepción que consagra dicho inciso se refiere solamente a que los contratos allí referidos no pueden celebrarse por contratación </w:t>
      </w:r>
      <w:proofErr w:type="gramStart"/>
      <w:r w:rsidRPr="00144677">
        <w:rPr>
          <w:rFonts w:ascii="Arial" w:hAnsi="Arial" w:eastAsia="Arial" w:cs="Arial"/>
          <w:sz w:val="20"/>
          <w:szCs w:val="20"/>
          <w:lang w:val="es-ES" w:eastAsia="es-ES" w:bidi="es-ES"/>
        </w:rPr>
        <w:t>directa</w:t>
      </w:r>
      <w:proofErr w:type="gramEnd"/>
      <w:r w:rsidRPr="00144677">
        <w:rPr>
          <w:rFonts w:ascii="Arial" w:hAnsi="Arial" w:eastAsia="Arial" w:cs="Arial"/>
          <w:sz w:val="20"/>
          <w:szCs w:val="20"/>
          <w:lang w:val="es-ES" w:eastAsia="es-ES" w:bidi="es-ES"/>
        </w:rPr>
        <w:t xml:space="preserve"> sino que requieren agotar un proceso previo de licitación pública o selección abreviada</w:t>
      </w:r>
      <w:r w:rsidR="00A74BF6">
        <w:rPr>
          <w:rFonts w:ascii="Arial" w:hAnsi="Arial" w:eastAsia="Arial" w:cs="Arial"/>
          <w:sz w:val="20"/>
          <w:szCs w:val="20"/>
          <w:lang w:val="es-ES" w:eastAsia="es-ES" w:bidi="es-ES"/>
        </w:rPr>
        <w:t>”</w:t>
      </w:r>
      <w:r w:rsidRPr="00144677">
        <w:rPr>
          <w:rFonts w:ascii="Arial" w:hAnsi="Arial" w:eastAsia="Arial" w:cs="Arial"/>
          <w:sz w:val="20"/>
          <w:szCs w:val="20"/>
          <w:lang w:val="es-ES" w:eastAsia="es-ES" w:bidi="es-ES"/>
        </w:rPr>
        <w:t>.</w:t>
      </w:r>
    </w:p>
    <w:p w:rsidRPr="00144677" w:rsidR="00144677" w:rsidP="00144677" w:rsidRDefault="00144677" w14:paraId="552A6C18" w14:textId="77777777">
      <w:pPr>
        <w:spacing w:after="0" w:line="276" w:lineRule="auto"/>
        <w:ind w:firstLine="709"/>
        <w:jc w:val="both"/>
        <w:rPr>
          <w:rFonts w:ascii="Arial" w:hAnsi="Arial" w:eastAsia="Calibri" w:cs="Arial"/>
          <w:color w:val="000000" w:themeColor="text1"/>
          <w:szCs w:val="24"/>
          <w:lang w:val="es-ES_tradnl" w:eastAsia="es-ES_tradnl"/>
        </w:rPr>
      </w:pPr>
    </w:p>
    <w:p w:rsidRPr="00144677" w:rsidR="00144677" w:rsidP="00144677" w:rsidRDefault="00144677" w14:paraId="5781AA79" w14:textId="77777777">
      <w:pPr>
        <w:spacing w:after="120" w:line="276" w:lineRule="auto"/>
        <w:ind w:firstLine="709"/>
        <w:jc w:val="both"/>
        <w:rPr>
          <w:rFonts w:ascii="Arial" w:hAnsi="Arial" w:eastAsia="Calibri" w:cs="Arial"/>
          <w:color w:val="000000" w:themeColor="text1"/>
          <w:szCs w:val="24"/>
          <w:lang w:val="es-ES_tradnl" w:eastAsia="es-ES_tradnl"/>
        </w:rPr>
      </w:pPr>
      <w:bookmarkStart w:name="_Hlk145336541" w:id="10"/>
      <w:r w:rsidRPr="00144677">
        <w:rPr>
          <w:rFonts w:ascii="Arial" w:hAnsi="Arial" w:eastAsia="Calibri" w:cs="Arial"/>
          <w:color w:val="000000" w:themeColor="text1"/>
          <w:szCs w:val="24"/>
          <w:lang w:val="es-ES_tradnl" w:eastAsia="es-ES_tradnl"/>
        </w:rPr>
        <w:t xml:space="preserve">Así las cosas, de conformidad con lo establecido por el artículo 92 de la Ley 1474 de 2011, al modificar el literal c) del numeral 4 del artículo 2 de la Ley 1150 de 2007, sin perjuicio de lo dispuesto en otras disposiciones normativas que resulten aplicables, el alcance de la excepción establecida en la norma referida se circunscribe a las entidades mencionadas en el inciso segundo de este artículo. De modo que, estas entidades – cabe resaltar que entre ellas se encuentran las sociedades de economía mixta –, cuando sean las ejecutoras, no podrán celebrar bajo la modalidad de contratación directa contratos interadministrativos cuyo objeto consista, entre otros, encargos fiduciarios o fiducias públicas, sin perjuicio de que dichas entidades participen y, eventualmente, celebren dichos contratos luego de ser seleccionados a través de modalidades como la licitación pública, selección abreviada o mínima cuantía, según corresponda. </w:t>
      </w:r>
    </w:p>
    <w:bookmarkEnd w:id="10"/>
    <w:p w:rsidRPr="00144677" w:rsidR="00144677" w:rsidP="00144677" w:rsidRDefault="00144677" w14:paraId="2475CCB5" w14:textId="77777777">
      <w:pPr>
        <w:spacing w:before="120" w:after="120" w:line="276" w:lineRule="auto"/>
        <w:ind w:firstLine="708"/>
        <w:jc w:val="both"/>
        <w:rPr>
          <w:rFonts w:ascii="Arial" w:hAnsi="Arial" w:eastAsia="Calibri" w:cs="Arial"/>
          <w:color w:val="000000" w:themeColor="text1"/>
          <w:szCs w:val="24"/>
          <w:lang w:val="es-ES_tradnl" w:eastAsia="es-ES_tradnl"/>
        </w:rPr>
      </w:pPr>
      <w:r w:rsidRPr="00144677">
        <w:rPr>
          <w:rFonts w:ascii="Arial" w:hAnsi="Arial" w:eastAsia="Calibri" w:cs="Arial"/>
          <w:color w:val="000000" w:themeColor="text1"/>
          <w:szCs w:val="24"/>
          <w:lang w:val="es-ES_tradnl" w:eastAsia="es-ES_tradnl"/>
        </w:rPr>
        <w:t xml:space="preserve"> Por tanto, para esta Agencia, el ámbito de aplicación de la regla referida es de alcance restrictivo, dado que se circunscribe a los contratos y entidades señaladas en el inciso segundo del literal c) analizado, por lo que la prohibición aplica cuando confluyan ambos elementos. En este sentido, cuando se trate de otros objetos contractuales o cuando </w:t>
      </w:r>
      <w:r w:rsidRPr="00144677">
        <w:rPr>
          <w:rFonts w:ascii="Arial" w:hAnsi="Arial" w:eastAsia="Calibri" w:cs="Arial"/>
          <w:color w:val="000000" w:themeColor="text1"/>
          <w:szCs w:val="24"/>
          <w:lang w:val="es-ES_tradnl" w:eastAsia="es-ES_tradnl"/>
        </w:rPr>
        <w:t>sean celebrados por entidades distintas a las enlistadas en el inciso segundo, no aplicará la excepción establecida en la regla referida y, en consecuencia, las entidades podrían celebrar los contratos bajo la modalidad de contratación directa, sin perjuicio de observar las demás disposiciones del ordenamiento jurídico, correspondiendo a cada entidad definir la conveniencia y procedencia jurídica, técnica y financiera de su celebración.</w:t>
      </w:r>
    </w:p>
    <w:p w:rsidRPr="00144677" w:rsidR="00144677" w:rsidP="00144677" w:rsidRDefault="00144677" w14:paraId="563B130B" w14:textId="77777777">
      <w:pPr>
        <w:spacing w:before="120" w:after="0" w:line="276" w:lineRule="auto"/>
        <w:ind w:firstLine="709"/>
        <w:jc w:val="both"/>
        <w:rPr>
          <w:rFonts w:ascii="Arial" w:hAnsi="Arial" w:eastAsia="Calibri" w:cs="Arial"/>
          <w:color w:val="000000" w:themeColor="text1"/>
          <w:szCs w:val="24"/>
          <w:lang w:val="es-ES_tradnl" w:eastAsia="es-ES_tradnl"/>
        </w:rPr>
      </w:pPr>
      <w:bookmarkStart w:name="_Hlk145336618" w:id="11"/>
      <w:r w:rsidRPr="00144677">
        <w:rPr>
          <w:rFonts w:ascii="Arial" w:hAnsi="Arial" w:eastAsia="Calibri" w:cs="Arial"/>
          <w:color w:val="000000" w:themeColor="text1"/>
          <w:szCs w:val="24"/>
          <w:lang w:val="es-ES_tradnl" w:eastAsia="es-ES_tradnl"/>
        </w:rPr>
        <w:t>En particular, teniendo en cuenta la consulta del peticionario, se observa que la restricción establecida en el inciso segundo del literal c) se extiende a las sociedades de economía mixta, a las cuales se hizo mención en el numeral 2.1. de este concepto, cuando estas actúen en calidad de ejecutoras, en negocios como encargos fiduciarios. Ahora bien, la excepción estudiada no se extendió a las EICE, las cuales ostentan una naturaleza jurídica particular, de acuerdo con lo establecido en la Ley 489 de 1998 –art. 38, entre otros–, por lo cual no es posible asimilarlas a alguno de los tipos de entidades enlistadas en el inciso segundo del literal c) analizado. En particular, cabe destacar que la Ley 489 de 1998 regula como Entidades Estatales distintas, entre otras, por un lado, a las EICE y, por otro, a las sociedades de economía mixta</w:t>
      </w:r>
      <w:bookmarkStart w:name="_Hlk82437628" w:id="12"/>
      <w:r w:rsidRPr="00144677">
        <w:rPr>
          <w:rFonts w:ascii="Arial" w:hAnsi="Arial" w:eastAsia="Calibri" w:cs="Arial"/>
          <w:color w:val="000000" w:themeColor="text1"/>
          <w:szCs w:val="24"/>
          <w:vertAlign w:val="superscript"/>
          <w:lang w:val="es-ES_tradnl" w:eastAsia="es-ES_tradnl"/>
        </w:rPr>
        <w:footnoteReference w:id="23"/>
      </w:r>
      <w:r w:rsidRPr="00144677">
        <w:rPr>
          <w:rFonts w:ascii="Arial" w:hAnsi="Arial" w:eastAsia="Calibri" w:cs="Arial"/>
          <w:color w:val="000000" w:themeColor="text1"/>
          <w:szCs w:val="24"/>
          <w:lang w:val="es-ES_tradnl" w:eastAsia="es-ES_tradnl"/>
        </w:rPr>
        <w:t>.</w:t>
      </w:r>
    </w:p>
    <w:p w:rsidRPr="00144677" w:rsidR="00144677" w:rsidP="00144677" w:rsidRDefault="00144677" w14:paraId="33567E4A" w14:textId="77777777">
      <w:pPr>
        <w:spacing w:after="0" w:line="276" w:lineRule="auto"/>
        <w:jc w:val="both"/>
        <w:rPr>
          <w:rFonts w:ascii="Arial" w:hAnsi="Arial" w:eastAsia="Century Gothic" w:cs="Arial"/>
          <w:b/>
          <w:bCs/>
          <w:lang w:val="es-ES" w:eastAsia="es-ES_tradnl"/>
        </w:rPr>
      </w:pPr>
      <w:bookmarkStart w:name="_Hlk117695077" w:id="13"/>
      <w:bookmarkEnd w:id="11"/>
      <w:bookmarkEnd w:id="12"/>
    </w:p>
    <w:p w:rsidRPr="00144677" w:rsidR="00144677" w:rsidP="00144677" w:rsidRDefault="00144677" w14:paraId="1837A8F0" w14:textId="77777777">
      <w:pPr>
        <w:spacing w:after="0" w:line="276" w:lineRule="auto"/>
        <w:jc w:val="both"/>
        <w:rPr>
          <w:rFonts w:ascii="Arial" w:hAnsi="Arial" w:eastAsia="Century Gothic" w:cs="Arial"/>
          <w:b/>
          <w:bCs/>
          <w:lang w:val="es-ES" w:eastAsia="es-ES_tradnl"/>
        </w:rPr>
      </w:pPr>
      <w:r w:rsidRPr="00144677">
        <w:rPr>
          <w:rFonts w:ascii="Arial" w:hAnsi="Arial" w:eastAsia="Century Gothic" w:cs="Arial"/>
          <w:b/>
          <w:bCs/>
          <w:lang w:val="es-ES" w:eastAsia="es-ES_tradnl"/>
        </w:rPr>
        <w:t>3. Respuesta</w:t>
      </w:r>
    </w:p>
    <w:p w:rsidRPr="00144677" w:rsidR="00144677" w:rsidP="00144677" w:rsidRDefault="00144677" w14:paraId="2A58C0AD" w14:textId="77777777">
      <w:pPr>
        <w:spacing w:after="0" w:line="276" w:lineRule="auto"/>
        <w:jc w:val="both"/>
        <w:rPr>
          <w:rFonts w:ascii="Arial" w:hAnsi="Arial" w:eastAsia="Century Gothic" w:cs="Arial"/>
          <w:lang w:val="es-ES" w:eastAsia="es-ES_tradnl"/>
        </w:rPr>
      </w:pPr>
    </w:p>
    <w:p w:rsidRPr="00144677" w:rsidR="00144677" w:rsidP="00144677" w:rsidRDefault="00144677" w14:paraId="29E47D3F" w14:textId="77777777">
      <w:pPr>
        <w:spacing w:after="0" w:line="240" w:lineRule="auto"/>
        <w:ind w:left="709" w:right="709"/>
        <w:jc w:val="both"/>
        <w:rPr>
          <w:rFonts w:ascii="Arial" w:hAnsi="Arial" w:eastAsia="Century Gothic" w:cs="Arial"/>
          <w:sz w:val="20"/>
          <w:szCs w:val="20"/>
          <w:lang w:eastAsia="es-ES_tradnl"/>
        </w:rPr>
      </w:pPr>
      <w:r w:rsidRPr="00144677">
        <w:rPr>
          <w:rFonts w:ascii="Arial" w:hAnsi="Arial" w:eastAsia="Times New Roman" w:cs="Arial"/>
          <w:color w:val="222222"/>
          <w:sz w:val="20"/>
          <w:szCs w:val="20"/>
          <w:lang w:eastAsia="es-ES_tradnl"/>
        </w:rPr>
        <w:t>“Atendiendo la Ley 80 de 1993, ¿Es viable jurídicamente celebrar por la modalidad de Contratación Directa -</w:t>
      </w:r>
      <w:r w:rsidRPr="00144677">
        <w:rPr>
          <w:rFonts w:ascii="Arial" w:hAnsi="Arial" w:eastAsia="Times New Roman" w:cs="Arial"/>
          <w:i/>
          <w:iCs/>
          <w:color w:val="222222"/>
          <w:sz w:val="20"/>
          <w:szCs w:val="20"/>
          <w:lang w:eastAsia="es-ES_tradnl"/>
        </w:rPr>
        <w:t>Contrato Interadministrativo</w:t>
      </w:r>
      <w:r w:rsidRPr="00144677">
        <w:rPr>
          <w:rFonts w:ascii="Arial" w:hAnsi="Arial" w:eastAsia="Times New Roman" w:cs="Arial"/>
          <w:color w:val="222222"/>
          <w:sz w:val="20"/>
          <w:szCs w:val="20"/>
          <w:lang w:eastAsia="es-ES_tradnl"/>
        </w:rPr>
        <w:t>- entre una Sociedad de Economía Mixta con participación mayoritaria del 50% del Estado de carácter financiero y una Empresa Industrial y Comercial del Estado con participación mayoritaria del 50% del Estado, con la finalidad de ejecutar contrato de encargo fiduciario, atendiendo lo dispuesto en el parágrafo del Artículo 32 ibidem?</w:t>
      </w:r>
      <w:r w:rsidRPr="00144677">
        <w:rPr>
          <w:rFonts w:ascii="Arial" w:hAnsi="Arial" w:eastAsia="Century Gothic" w:cs="Arial"/>
          <w:sz w:val="20"/>
          <w:szCs w:val="20"/>
          <w:lang w:eastAsia="es-ES_tradnl"/>
        </w:rPr>
        <w:t>”</w:t>
      </w:r>
      <w:r w:rsidRPr="00144677">
        <w:rPr>
          <w:rFonts w:ascii="Arial" w:hAnsi="Arial" w:eastAsia="Century Gothic" w:cs="Arial"/>
          <w:sz w:val="20"/>
          <w:szCs w:val="20"/>
          <w:shd w:val="clear" w:color="auto" w:fill="E6E6E6"/>
          <w:lang w:eastAsia="es-ES_tradnl"/>
        </w:rPr>
        <w:t>.</w:t>
      </w:r>
    </w:p>
    <w:p w:rsidRPr="00144677" w:rsidR="00144677" w:rsidP="00144677" w:rsidRDefault="00144677" w14:paraId="3DA5AFE8" w14:textId="77777777">
      <w:pPr>
        <w:spacing w:after="0" w:line="276" w:lineRule="auto"/>
        <w:ind w:left="709" w:right="709"/>
        <w:jc w:val="both"/>
        <w:rPr>
          <w:rFonts w:ascii="Arial" w:hAnsi="Arial" w:eastAsia="Century Gothic" w:cs="Arial"/>
          <w:lang w:eastAsia="es-ES_tradnl"/>
        </w:rPr>
      </w:pPr>
    </w:p>
    <w:p w:rsidRPr="00144677" w:rsidR="00144677" w:rsidP="00144677" w:rsidRDefault="00144677" w14:paraId="185A1ED7" w14:textId="77777777">
      <w:pPr>
        <w:spacing w:after="120" w:line="276" w:lineRule="auto"/>
        <w:jc w:val="both"/>
        <w:rPr>
          <w:rFonts w:ascii="Arial" w:hAnsi="Arial" w:eastAsia="Times New Roman" w:cs="Arial"/>
          <w:lang w:eastAsia="es-ES_tradnl"/>
        </w:rPr>
      </w:pPr>
      <w:r w:rsidRPr="00144677">
        <w:rPr>
          <w:rFonts w:ascii="Arial" w:hAnsi="Arial" w:eastAsia="Times New Roman" w:cs="Arial"/>
          <w:lang w:eastAsia="es-ES_tradnl"/>
        </w:rPr>
        <w:t xml:space="preserve">Conforme lo expuesto en el presente concepto, </w:t>
      </w:r>
      <w:r w:rsidRPr="00144677">
        <w:rPr>
          <w:rFonts w:ascii="Arial" w:hAnsi="Arial" w:eastAsia="Calibri" w:cs="Arial"/>
          <w:color w:val="000000" w:themeColor="text1"/>
          <w:lang w:val="es-ES_tradnl" w:eastAsia="es-ES_tradnl"/>
        </w:rPr>
        <w:t xml:space="preserve">en relación con la modalidad de selección aplicable a la celebración de contratos interadministrativos, la Ley 1150 de 2007 establece que las Entidades Estatales pueden suscribirlos de manera directa, siempre que las obligaciones derivadas de los mismos tengan relación con el objeto de la entidad ejecutora. </w:t>
      </w:r>
      <w:r w:rsidRPr="00144677">
        <w:rPr>
          <w:rFonts w:ascii="Arial" w:hAnsi="Arial" w:eastAsia="Calibri" w:cs="Arial"/>
          <w:color w:val="000000" w:themeColor="text1"/>
          <w:lang w:val="es-ES_tradnl" w:eastAsia="es-ES_tradnl"/>
        </w:rPr>
        <w:t>Sin embargo, esa misma ley establece excepciones concretas a esta facultad, aplicable a los supuestos en que ciertas tipologías contractuales sean ejecutadas por alguna de las Entidades Estatales enlistadas en dicha restricción.</w:t>
      </w:r>
      <w:r w:rsidRPr="00144677">
        <w:rPr>
          <w:rFonts w:ascii="Arial" w:hAnsi="Arial" w:eastAsia="Times New Roman" w:cs="Arial"/>
          <w:lang w:eastAsia="es-ES_tradnl"/>
        </w:rPr>
        <w:t xml:space="preserve"> </w:t>
      </w:r>
    </w:p>
    <w:p w:rsidRPr="00144677" w:rsidR="00144677" w:rsidP="00144677" w:rsidRDefault="00144677" w14:paraId="545DE37D" w14:textId="77777777">
      <w:pPr>
        <w:spacing w:after="120" w:line="276" w:lineRule="auto"/>
        <w:ind w:firstLine="708"/>
        <w:jc w:val="both"/>
        <w:rPr>
          <w:rFonts w:ascii="Arial" w:hAnsi="Arial" w:eastAsia="Times New Roman" w:cs="Arial"/>
          <w:lang w:eastAsia="es-ES_tradnl"/>
        </w:rPr>
      </w:pPr>
      <w:r w:rsidRPr="00144677">
        <w:rPr>
          <w:rFonts w:ascii="Arial" w:hAnsi="Arial" w:eastAsia="Times New Roman" w:cs="Arial"/>
          <w:lang w:eastAsia="es-ES_tradnl"/>
        </w:rPr>
        <w:t xml:space="preserve">Respecto a la excepciones a la celebración directa de los contratos y convenios interadministrativos, </w:t>
      </w:r>
      <w:r w:rsidRPr="00144677">
        <w:rPr>
          <w:rFonts w:ascii="Arial" w:hAnsi="Arial" w:eastAsia="Calibri" w:cs="Arial"/>
          <w:color w:val="000000" w:themeColor="text1"/>
          <w:lang w:val="es-ES_tradnl" w:eastAsia="es-ES_tradnl"/>
        </w:rPr>
        <w:t>se encuentra que el inciso segundo del literal c) del numeral 4 del artículo 2 de la Ley 1150 de 2007, modificado por el artículo 92 de la Ley 1474 de 2011, señala que las Entidades Estatales no pueden celebrar contratos interadministrativos de manera directa con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cuando los contratos a celebrar sean “contratos de obra, suministro, prestación de servicios de evaluación de conformidad respecto de las normas o reglamentos técnicos, encargos fiduciarios y fiducia pública”.</w:t>
      </w:r>
    </w:p>
    <w:p w:rsidRPr="00144677" w:rsidR="00144677" w:rsidP="00144677" w:rsidRDefault="00144677" w14:paraId="30ED13E5" w14:textId="77777777">
      <w:pPr>
        <w:spacing w:after="120" w:line="276" w:lineRule="auto"/>
        <w:ind w:firstLine="709"/>
        <w:jc w:val="both"/>
        <w:rPr>
          <w:rFonts w:ascii="Arial" w:hAnsi="Arial" w:eastAsia="Calibri" w:cs="Arial"/>
          <w:color w:val="000000" w:themeColor="text1"/>
          <w:lang w:val="es-ES_tradnl" w:eastAsia="es-ES_tradnl"/>
        </w:rPr>
      </w:pPr>
      <w:r w:rsidRPr="00144677">
        <w:rPr>
          <w:rFonts w:ascii="Arial" w:hAnsi="Arial" w:eastAsia="Calibri" w:cs="Arial"/>
          <w:color w:val="000000" w:themeColor="text1"/>
          <w:lang w:val="es-ES_tradnl" w:eastAsia="es-ES_tradnl"/>
        </w:rPr>
        <w:t xml:space="preserve">Así las cosas, de conformidad con lo establecido en la disposición antes citada, sin perjuicio de lo dispuesto en otras disposiciones normativas que resulten aplicables, el alcance de la restricción establecida en la norma referida se circunscribe a las entidades mencionadas en el inciso segundo de este artículo. De modo que, estas entidades, cuando sean las ejecutoras, no podrán celebrar bajo la modalidad de contratación directa contratos interadministrativos cuyo objeto consista, entre otros, en contratos de obra o suministro, sin perjuicio de que dichas entidades participen y eventualmente celebren dichos contratos luego de ser seleccionados a través de modalidades como la licitación pública, selección abreviada o mínima cuantía, según corresponda. </w:t>
      </w:r>
    </w:p>
    <w:p w:rsidRPr="00144677" w:rsidR="00144677" w:rsidP="00144677" w:rsidRDefault="00144677" w14:paraId="1220F7BC" w14:textId="77777777">
      <w:pPr>
        <w:spacing w:after="120" w:line="276" w:lineRule="auto"/>
        <w:ind w:firstLine="709"/>
        <w:jc w:val="both"/>
        <w:rPr>
          <w:rFonts w:ascii="Arial" w:hAnsi="Arial" w:eastAsia="Calibri" w:cs="Arial"/>
          <w:color w:val="000000" w:themeColor="text1"/>
          <w:lang w:val="es-ES_tradnl" w:eastAsia="es-ES_tradnl"/>
        </w:rPr>
      </w:pPr>
      <w:r w:rsidRPr="00144677">
        <w:rPr>
          <w:rFonts w:ascii="Arial" w:hAnsi="Arial" w:eastAsia="Calibri" w:cs="Arial"/>
          <w:color w:val="000000" w:themeColor="text1"/>
          <w:szCs w:val="24"/>
          <w:lang w:val="es-ES_tradnl" w:eastAsia="es-ES_tradnl"/>
        </w:rPr>
        <w:t>En particular, teniendo en cuenta la consulta del peticionario, se observa que la restricción establecida en el inciso segundo del literal c) se extiende a las sociedades de economía mixta, a las cuales se hizo mención en el numeral 2.1. de este concepto, cuando estas actúen en calidad de ejecutoras, en negocios como encargos fiduciarios. Ahora bien, la excepción estudiada no se extendió a las EICE, en los casos en los que estas sean ejecutoras, las cuales ostentan una naturaleza jurídica particular, de acuerdo con lo establecido en la Ley 489 de 1998 –art. 38, entre otros–, por lo cual no es posible asimilarlas a alguno de los tipos de entidades enlistadas en el inciso segundo del literal c) analizado. En particular, cabe destacar que la Ley 489 de 1998 regula como Entidades Estatales distintas, entre otras, por un lado, a las EICE y, por otro, a las sociedades de economía mixta</w:t>
      </w:r>
    </w:p>
    <w:p w:rsidRPr="00144677" w:rsidR="00144677" w:rsidP="00144677" w:rsidRDefault="00144677" w14:paraId="15CC9BF9" w14:textId="309640C2">
      <w:pPr>
        <w:spacing w:after="0" w:line="276" w:lineRule="auto"/>
        <w:ind w:firstLine="709"/>
        <w:jc w:val="both"/>
        <w:rPr>
          <w:rFonts w:ascii="Arial" w:hAnsi="Arial" w:eastAsia="Calibri" w:cs="Arial"/>
          <w:color w:val="000000" w:themeColor="text1"/>
          <w:lang w:val="es-ES_tradnl" w:eastAsia="es-ES_tradnl"/>
        </w:rPr>
      </w:pPr>
      <w:r w:rsidRPr="00144677">
        <w:rPr>
          <w:rFonts w:ascii="Arial" w:hAnsi="Arial" w:eastAsia="Calibri" w:cs="Arial"/>
          <w:color w:val="000000" w:themeColor="text1"/>
          <w:lang w:val="es-ES_tradnl" w:eastAsia="es-ES_tradnl"/>
        </w:rPr>
        <w:t xml:space="preserve"> Para esta Agencia, el ámbito de aplicación de la regla referida es de alcance restrictivo, dado que se circunscribe a los contratos y entidades señaladas en el inciso segundo del literal c) analizado, por lo que la prohibición aplica cuando confluyan ambos elementos. En este sentido, cuando se trate de otros objetos contractuales o cuando sean celebrados por entidades distintas a las enlistadas en el inciso segundo, no aplicará la </w:t>
      </w:r>
      <w:r w:rsidRPr="00144677">
        <w:rPr>
          <w:rFonts w:ascii="Arial" w:hAnsi="Arial" w:eastAsia="Calibri" w:cs="Arial"/>
          <w:color w:val="000000" w:themeColor="text1"/>
          <w:lang w:val="es-ES_tradnl" w:eastAsia="es-ES_tradnl"/>
        </w:rPr>
        <w:t xml:space="preserve">restricción establecida en la regla referida y, en consecuencia, las entidades podrían celebrar los contratos bajo la modalidad de contratación directa, sin perjuicio de observar las demás disposiciones del ordenamiento jurídico, correspondiendo a cada entidad definir la conveniencia y procedencia </w:t>
      </w:r>
      <w:r w:rsidR="00033FF7">
        <w:rPr>
          <w:rFonts w:ascii="Arial" w:hAnsi="Arial" w:eastAsia="Calibri" w:cs="Arial"/>
          <w:color w:val="000000" w:themeColor="text1"/>
          <w:lang w:val="es-ES_tradnl" w:eastAsia="es-ES_tradnl"/>
        </w:rPr>
        <w:t xml:space="preserve">desde el punto de vista </w:t>
      </w:r>
      <w:r w:rsidRPr="00144677">
        <w:rPr>
          <w:rFonts w:ascii="Arial" w:hAnsi="Arial" w:eastAsia="Calibri" w:cs="Arial"/>
          <w:color w:val="000000" w:themeColor="text1"/>
          <w:lang w:val="es-ES_tradnl" w:eastAsia="es-ES_tradnl"/>
        </w:rPr>
        <w:t>jurídic</w:t>
      </w:r>
      <w:r w:rsidR="00033FF7">
        <w:rPr>
          <w:rFonts w:ascii="Arial" w:hAnsi="Arial" w:eastAsia="Calibri" w:cs="Arial"/>
          <w:color w:val="000000" w:themeColor="text1"/>
          <w:lang w:val="es-ES_tradnl" w:eastAsia="es-ES_tradnl"/>
        </w:rPr>
        <w:t>o</w:t>
      </w:r>
      <w:r w:rsidRPr="00144677">
        <w:rPr>
          <w:rFonts w:ascii="Arial" w:hAnsi="Arial" w:eastAsia="Calibri" w:cs="Arial"/>
          <w:color w:val="000000" w:themeColor="text1"/>
          <w:lang w:val="es-ES_tradnl" w:eastAsia="es-ES_tradnl"/>
        </w:rPr>
        <w:t>, técnic</w:t>
      </w:r>
      <w:r w:rsidR="00033FF7">
        <w:rPr>
          <w:rFonts w:ascii="Arial" w:hAnsi="Arial" w:eastAsia="Calibri" w:cs="Arial"/>
          <w:color w:val="000000" w:themeColor="text1"/>
          <w:lang w:val="es-ES_tradnl" w:eastAsia="es-ES_tradnl"/>
        </w:rPr>
        <w:t>o</w:t>
      </w:r>
      <w:r w:rsidRPr="00144677">
        <w:rPr>
          <w:rFonts w:ascii="Arial" w:hAnsi="Arial" w:eastAsia="Calibri" w:cs="Arial"/>
          <w:color w:val="000000" w:themeColor="text1"/>
          <w:lang w:val="es-ES_tradnl" w:eastAsia="es-ES_tradnl"/>
        </w:rPr>
        <w:t xml:space="preserve"> y financier</w:t>
      </w:r>
      <w:r w:rsidR="00033FF7">
        <w:rPr>
          <w:rFonts w:ascii="Arial" w:hAnsi="Arial" w:eastAsia="Calibri" w:cs="Arial"/>
          <w:color w:val="000000" w:themeColor="text1"/>
          <w:lang w:val="es-ES_tradnl" w:eastAsia="es-ES_tradnl"/>
        </w:rPr>
        <w:t>o</w:t>
      </w:r>
      <w:r w:rsidRPr="00144677">
        <w:rPr>
          <w:rFonts w:ascii="Arial" w:hAnsi="Arial" w:eastAsia="Calibri" w:cs="Arial"/>
          <w:color w:val="000000" w:themeColor="text1"/>
          <w:lang w:val="es-ES_tradnl" w:eastAsia="es-ES_tradnl"/>
        </w:rPr>
        <w:t xml:space="preserve"> de su celebración.</w:t>
      </w:r>
    </w:p>
    <w:p w:rsidRPr="00144677" w:rsidR="00144677" w:rsidP="00144677" w:rsidRDefault="00144677" w14:paraId="65886D88" w14:textId="77777777">
      <w:pPr>
        <w:spacing w:after="0" w:line="276" w:lineRule="auto"/>
        <w:jc w:val="both"/>
        <w:rPr>
          <w:rFonts w:ascii="Arial" w:hAnsi="Arial" w:eastAsia="Century Gothic" w:cs="Arial"/>
          <w:lang w:val="es-ES" w:eastAsia="es-ES_tradnl"/>
        </w:rPr>
      </w:pPr>
    </w:p>
    <w:p w:rsidRPr="00144677" w:rsidR="00144677" w:rsidP="00144677" w:rsidRDefault="00144677" w14:paraId="3DDEDE96" w14:textId="77777777">
      <w:pPr>
        <w:spacing w:after="0" w:line="276" w:lineRule="auto"/>
        <w:jc w:val="both"/>
        <w:rPr>
          <w:rFonts w:ascii="Arial" w:hAnsi="Arial" w:eastAsia="Century Gothic" w:cs="Arial"/>
          <w:lang w:val="es-ES" w:eastAsia="es-ES_tradnl"/>
        </w:rPr>
      </w:pPr>
      <w:r w:rsidRPr="00144677">
        <w:rPr>
          <w:rFonts w:ascii="Arial" w:hAnsi="Arial" w:eastAsia="Century Gothic" w:cs="Arial"/>
          <w:lang w:val="es-ES"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144677" w:rsidR="00144677" w:rsidP="00922D1B" w:rsidRDefault="00144677" w14:paraId="2A0DF4B7" w14:textId="77777777">
      <w:pPr>
        <w:spacing w:after="0" w:line="276" w:lineRule="auto"/>
        <w:jc w:val="both"/>
        <w:rPr>
          <w:rFonts w:ascii="Arial" w:hAnsi="Arial" w:eastAsia="Century Gothic" w:cs="Arial"/>
          <w:lang w:val="es-ES" w:eastAsia="es-CO"/>
        </w:rPr>
      </w:pPr>
    </w:p>
    <w:p w:rsidRPr="00144677" w:rsidR="00144677" w:rsidP="00922D1B" w:rsidRDefault="00144677" w14:paraId="7471CA3F" w14:textId="77777777">
      <w:pPr>
        <w:spacing w:after="0" w:line="276" w:lineRule="auto"/>
        <w:jc w:val="both"/>
        <w:rPr>
          <w:rFonts w:ascii="Arial" w:hAnsi="Arial" w:eastAsia="Century Gothic" w:cs="Arial"/>
          <w:lang w:val="es-ES" w:eastAsia="es-CO"/>
        </w:rPr>
      </w:pPr>
      <w:r w:rsidRPr="00144677">
        <w:rPr>
          <w:rFonts w:ascii="Arial" w:hAnsi="Arial" w:eastAsia="Century Gothic" w:cs="Arial"/>
          <w:lang w:val="es-ES" w:eastAsia="es-CO"/>
        </w:rPr>
        <w:t>Atentamente,</w:t>
      </w:r>
    </w:p>
    <w:p w:rsidR="00317B99" w:rsidP="00922D1B" w:rsidRDefault="00317B99" w14:paraId="02BE1F68" w14:textId="77777777">
      <w:pPr>
        <w:spacing w:after="0" w:line="276" w:lineRule="auto"/>
        <w:jc w:val="both"/>
        <w:rPr>
          <w:rFonts w:ascii="Century Gothic" w:hAnsi="Century Gothic" w:eastAsia="Century Gothic" w:cs="Century Gothic"/>
          <w:lang w:val="es-ES" w:eastAsia="es-CO"/>
        </w:rPr>
      </w:pPr>
    </w:p>
    <w:p w:rsidR="00317B99" w:rsidP="00922D1B" w:rsidRDefault="00317B99" w14:paraId="52C79CE4" w14:textId="2A3AA211">
      <w:pPr>
        <w:spacing w:after="0" w:line="276" w:lineRule="auto"/>
        <w:jc w:val="center"/>
        <w:rPr>
          <w:rFonts w:ascii="Arial" w:hAnsi="Arial" w:eastAsia="Times New Roman" w:cs="Arial"/>
          <w:sz w:val="24"/>
          <w:szCs w:val="24"/>
          <w:lang w:val="es-ES_tradnl" w:eastAsia="es-CO"/>
        </w:rPr>
      </w:pPr>
      <w:r>
        <w:rPr>
          <w:rFonts w:ascii="Arial" w:hAnsi="Arial" w:cs="Arial"/>
          <w:noProof/>
          <w:sz w:val="16"/>
          <w:szCs w:val="16"/>
          <w:lang w:val="es-ES"/>
        </w:rPr>
        <w:drawing>
          <wp:inline distT="0" distB="0" distL="0" distR="0" wp14:anchorId="107F67CF" wp14:editId="1EC5EDA5">
            <wp:extent cx="2964180" cy="1135380"/>
            <wp:effectExtent l="0" t="0" r="7620" b="7620"/>
            <wp:docPr id="214074435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4180" cy="1135380"/>
                    </a:xfrm>
                    <a:prstGeom prst="rect">
                      <a:avLst/>
                    </a:prstGeom>
                    <a:noFill/>
                    <a:ln>
                      <a:noFill/>
                    </a:ln>
                  </pic:spPr>
                </pic:pic>
              </a:graphicData>
            </a:graphic>
          </wp:inline>
        </w:drawing>
      </w:r>
    </w:p>
    <w:p w:rsidRPr="00144677" w:rsidR="00922D1B" w:rsidP="00922D1B" w:rsidRDefault="00922D1B" w14:paraId="00FF1B71" w14:textId="77777777">
      <w:pPr>
        <w:spacing w:after="0" w:line="276" w:lineRule="auto"/>
        <w:rPr>
          <w:rFonts w:ascii="Arial" w:hAnsi="Arial" w:eastAsia="Century Gothic" w:cs="Arial"/>
          <w:sz w:val="24"/>
          <w:szCs w:val="24"/>
          <w:lang w:eastAsia="es-ES_tradnl"/>
        </w:rPr>
      </w:pPr>
    </w:p>
    <w:tbl>
      <w:tblPr>
        <w:tblStyle w:val="Tablaconcuadrcula1"/>
        <w:tblpPr w:leftFromText="141" w:rightFromText="141" w:vertAnchor="text" w:horzAnchor="margin" w:tblpY="-79"/>
        <w:tblW w:w="5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5010"/>
      </w:tblGrid>
      <w:tr w:rsidRPr="00144677" w:rsidR="00144677" w:rsidTr="0002014E" w14:paraId="64489F1B" w14:textId="77777777">
        <w:trPr>
          <w:trHeight w:val="286"/>
        </w:trPr>
        <w:tc>
          <w:tcPr>
            <w:tcW w:w="817" w:type="dxa"/>
            <w:vAlign w:val="center"/>
          </w:tcPr>
          <w:p w:rsidRPr="00144677" w:rsidR="00144677" w:rsidP="00144677" w:rsidRDefault="00144677" w14:paraId="6CB90833" w14:textId="77777777">
            <w:pPr>
              <w:rPr>
                <w:rFonts w:ascii="Arial" w:hAnsi="Arial" w:eastAsia="Century Gothic" w:cs="Arial"/>
                <w:sz w:val="16"/>
                <w:szCs w:val="16"/>
                <w:lang w:eastAsia="es-ES_tradnl"/>
              </w:rPr>
            </w:pPr>
            <w:r w:rsidRPr="00144677">
              <w:rPr>
                <w:rFonts w:ascii="Arial" w:hAnsi="Arial" w:eastAsia="Century Gothic" w:cs="Arial"/>
                <w:sz w:val="16"/>
                <w:szCs w:val="16"/>
                <w:lang w:eastAsia="es-ES_tradnl"/>
              </w:rPr>
              <w:t>Elaboró:</w:t>
            </w:r>
          </w:p>
        </w:tc>
        <w:tc>
          <w:tcPr>
            <w:tcW w:w="5010" w:type="dxa"/>
            <w:tcBorders>
              <w:bottom w:val="dotted" w:color="7F7F7F" w:themeColor="text1" w:themeTint="80" w:sz="4" w:space="0"/>
            </w:tcBorders>
            <w:vAlign w:val="center"/>
          </w:tcPr>
          <w:p w:rsidRPr="00144677" w:rsidR="00144677" w:rsidP="00144677" w:rsidRDefault="00144677" w14:paraId="117C882A" w14:textId="77777777">
            <w:pPr>
              <w:textAlignment w:val="baseline"/>
              <w:rPr>
                <w:rFonts w:ascii="Arial" w:hAnsi="Arial" w:eastAsia="Century Gothic" w:cs="Arial"/>
                <w:sz w:val="18"/>
                <w:szCs w:val="18"/>
                <w:lang w:eastAsia="es-CO"/>
              </w:rPr>
            </w:pPr>
            <w:r w:rsidRPr="00144677">
              <w:rPr>
                <w:rFonts w:ascii="Arial" w:hAnsi="Arial" w:eastAsia="Century Gothic" w:cs="Arial"/>
                <w:sz w:val="16"/>
                <w:szCs w:val="16"/>
                <w:lang w:eastAsia="es-CO"/>
              </w:rPr>
              <w:t>Diana Lucia Saavedra Castañeda</w:t>
            </w:r>
          </w:p>
          <w:p w:rsidRPr="00144677" w:rsidR="00144677" w:rsidP="00144677" w:rsidRDefault="00144677" w14:paraId="71805BA4" w14:textId="77777777">
            <w:pPr>
              <w:textAlignment w:val="baseline"/>
              <w:rPr>
                <w:rFonts w:ascii="Arial" w:hAnsi="Arial" w:eastAsia="Century Gothic" w:cs="Arial"/>
                <w:sz w:val="16"/>
                <w:szCs w:val="16"/>
                <w:lang w:eastAsia="es-CO"/>
              </w:rPr>
            </w:pPr>
            <w:r w:rsidRPr="00144677">
              <w:rPr>
                <w:rFonts w:ascii="Arial" w:hAnsi="Arial" w:eastAsia="Century Gothic" w:cs="Arial"/>
                <w:sz w:val="16"/>
                <w:szCs w:val="16"/>
                <w:lang w:eastAsia="es-CO"/>
              </w:rPr>
              <w:t>Contratista de la Subdirección de Gestión Contractual</w:t>
            </w:r>
          </w:p>
        </w:tc>
      </w:tr>
      <w:tr w:rsidRPr="00144677" w:rsidR="00144677" w:rsidTr="0002014E" w14:paraId="77EF1360" w14:textId="77777777">
        <w:trPr>
          <w:trHeight w:val="286"/>
        </w:trPr>
        <w:tc>
          <w:tcPr>
            <w:tcW w:w="817" w:type="dxa"/>
            <w:vAlign w:val="center"/>
          </w:tcPr>
          <w:p w:rsidRPr="00144677" w:rsidR="00144677" w:rsidP="00144677" w:rsidRDefault="00144677" w14:paraId="510CCAD0" w14:textId="77777777">
            <w:pPr>
              <w:rPr>
                <w:rFonts w:ascii="Arial" w:hAnsi="Arial" w:eastAsia="Century Gothic" w:cs="Arial"/>
                <w:sz w:val="16"/>
                <w:szCs w:val="16"/>
                <w:lang w:eastAsia="es-ES_tradnl"/>
              </w:rPr>
            </w:pPr>
            <w:r w:rsidRPr="00144677">
              <w:rPr>
                <w:rFonts w:ascii="Arial" w:hAnsi="Arial" w:eastAsia="Century Gothic" w:cs="Arial"/>
                <w:sz w:val="16"/>
                <w:szCs w:val="16"/>
                <w:lang w:eastAsia="es-ES_tradnl"/>
              </w:rPr>
              <w:t>Revisó:</w:t>
            </w:r>
          </w:p>
        </w:tc>
        <w:tc>
          <w:tcPr>
            <w:tcW w:w="5010" w:type="dxa"/>
            <w:tcBorders>
              <w:bottom w:val="dotted" w:color="7F7F7F" w:themeColor="text1" w:themeTint="80" w:sz="4" w:space="0"/>
            </w:tcBorders>
            <w:vAlign w:val="center"/>
          </w:tcPr>
          <w:p w:rsidRPr="00144677" w:rsidR="00144677" w:rsidP="00144677" w:rsidRDefault="00144677" w14:paraId="72CD7F00" w14:textId="77777777">
            <w:pPr>
              <w:textAlignment w:val="baseline"/>
              <w:rPr>
                <w:rFonts w:ascii="Arial" w:hAnsi="Arial" w:eastAsia="Century Gothic" w:cs="Arial"/>
                <w:sz w:val="18"/>
                <w:szCs w:val="18"/>
                <w:lang w:eastAsia="es-CO"/>
              </w:rPr>
            </w:pPr>
            <w:r w:rsidRPr="00144677">
              <w:rPr>
                <w:rFonts w:ascii="Arial" w:hAnsi="Arial" w:eastAsia="Century Gothic" w:cs="Arial"/>
                <w:sz w:val="16"/>
                <w:szCs w:val="16"/>
                <w:lang w:eastAsia="es-CO"/>
              </w:rPr>
              <w:t>Alejandro Sarmiento Cantillo</w:t>
            </w:r>
          </w:p>
          <w:p w:rsidRPr="00144677" w:rsidR="00144677" w:rsidP="00144677" w:rsidRDefault="00144677" w14:paraId="508E235A" w14:textId="77777777">
            <w:pPr>
              <w:rPr>
                <w:rFonts w:ascii="Arial" w:hAnsi="Arial" w:eastAsia="Century Gothic" w:cs="Arial"/>
                <w:sz w:val="16"/>
                <w:szCs w:val="16"/>
                <w:lang w:eastAsia="es-ES_tradnl"/>
              </w:rPr>
            </w:pPr>
            <w:r w:rsidRPr="00144677">
              <w:rPr>
                <w:rFonts w:ascii="Arial" w:hAnsi="Arial" w:eastAsia="Century Gothic" w:cs="Arial"/>
                <w:sz w:val="16"/>
                <w:szCs w:val="16"/>
                <w:lang w:eastAsia="es-ES_tradnl"/>
              </w:rPr>
              <w:t>Gestor T1-15 de la Subdirección de Gestión Contractual</w:t>
            </w:r>
          </w:p>
        </w:tc>
      </w:tr>
      <w:tr w:rsidRPr="00144677" w:rsidR="00144677" w:rsidTr="0002014E" w14:paraId="0B921955" w14:textId="77777777">
        <w:trPr>
          <w:trHeight w:val="299"/>
        </w:trPr>
        <w:tc>
          <w:tcPr>
            <w:tcW w:w="817" w:type="dxa"/>
            <w:vAlign w:val="center"/>
          </w:tcPr>
          <w:p w:rsidRPr="00144677" w:rsidR="00144677" w:rsidP="00144677" w:rsidRDefault="00144677" w14:paraId="29C7485B" w14:textId="77777777">
            <w:pPr>
              <w:rPr>
                <w:rFonts w:ascii="Arial" w:hAnsi="Arial" w:eastAsia="Century Gothic" w:cs="Arial"/>
                <w:sz w:val="16"/>
                <w:szCs w:val="16"/>
                <w:lang w:eastAsia="es-ES_tradnl"/>
              </w:rPr>
            </w:pPr>
            <w:r w:rsidRPr="00144677">
              <w:rPr>
                <w:rFonts w:ascii="Arial" w:hAnsi="Arial" w:eastAsia="Century Gothic" w:cs="Arial"/>
                <w:sz w:val="16"/>
                <w:szCs w:val="16"/>
                <w:lang w:eastAsia="es-ES_tradnl"/>
              </w:rPr>
              <w:t>Aprobó:</w:t>
            </w:r>
          </w:p>
        </w:tc>
        <w:tc>
          <w:tcPr>
            <w:tcW w:w="5010" w:type="dxa"/>
            <w:tcBorders>
              <w:top w:val="dotted" w:color="7F7F7F" w:themeColor="text1" w:themeTint="80" w:sz="4" w:space="0"/>
              <w:bottom w:val="dotted" w:color="7F7F7F" w:themeColor="text1" w:themeTint="80" w:sz="4" w:space="0"/>
            </w:tcBorders>
            <w:vAlign w:val="center"/>
          </w:tcPr>
          <w:p w:rsidRPr="00144677" w:rsidR="00144677" w:rsidP="00144677" w:rsidRDefault="00144677" w14:paraId="5D2F95E9" w14:textId="77777777">
            <w:pPr>
              <w:rPr>
                <w:rFonts w:ascii="Arial" w:hAnsi="Arial" w:eastAsia="Century Gothic" w:cs="Arial"/>
                <w:sz w:val="16"/>
                <w:szCs w:val="16"/>
                <w:lang w:eastAsia="es-ES_tradnl"/>
              </w:rPr>
            </w:pPr>
            <w:r w:rsidRPr="00144677">
              <w:rPr>
                <w:rFonts w:ascii="Arial" w:hAnsi="Arial" w:eastAsia="Century Gothic" w:cs="Arial"/>
                <w:sz w:val="16"/>
                <w:szCs w:val="16"/>
                <w:lang w:eastAsia="es-ES_tradnl"/>
              </w:rPr>
              <w:t>Nohelia Del Carmen Zawady Palacio</w:t>
            </w:r>
          </w:p>
          <w:p w:rsidRPr="00144677" w:rsidR="00144677" w:rsidP="00144677" w:rsidRDefault="00144677" w14:paraId="0596F718" w14:textId="77777777">
            <w:pPr>
              <w:rPr>
                <w:rFonts w:ascii="Arial" w:hAnsi="Arial" w:eastAsia="Century Gothic" w:cs="Arial"/>
                <w:sz w:val="16"/>
                <w:szCs w:val="16"/>
                <w:lang w:eastAsia="es-ES_tradnl"/>
              </w:rPr>
            </w:pPr>
            <w:r w:rsidRPr="00144677">
              <w:rPr>
                <w:rFonts w:ascii="Arial" w:hAnsi="Arial" w:eastAsia="Century Gothic" w:cs="Arial"/>
                <w:sz w:val="16"/>
                <w:szCs w:val="16"/>
                <w:lang w:eastAsia="es-ES_tradnl"/>
              </w:rPr>
              <w:t xml:space="preserve">Subdirectora de Gestión Contractual ANCP – CCE </w:t>
            </w:r>
          </w:p>
        </w:tc>
      </w:tr>
    </w:tbl>
    <w:p w:rsidRPr="00144677" w:rsidR="00144677" w:rsidP="00144677" w:rsidRDefault="00144677" w14:paraId="7EE27B89" w14:textId="77777777">
      <w:pPr>
        <w:tabs>
          <w:tab w:val="left" w:pos="3795"/>
        </w:tabs>
        <w:spacing w:after="0" w:line="240" w:lineRule="auto"/>
        <w:rPr>
          <w:rFonts w:ascii="Arial" w:hAnsi="Arial" w:eastAsia="Century Gothic" w:cs="Arial"/>
          <w:sz w:val="24"/>
          <w:szCs w:val="24"/>
          <w:lang w:val="es-ES" w:eastAsia="es-ES_tradnl"/>
        </w:rPr>
      </w:pPr>
    </w:p>
    <w:p w:rsidRPr="00144677" w:rsidR="00144677" w:rsidP="00144677" w:rsidRDefault="00144677" w14:paraId="51AA36AC" w14:textId="77777777">
      <w:pPr>
        <w:spacing w:after="0" w:line="240" w:lineRule="auto"/>
        <w:rPr>
          <w:rFonts w:ascii="Arial" w:hAnsi="Arial" w:eastAsia="Century Gothic" w:cs="Arial"/>
          <w:sz w:val="24"/>
          <w:szCs w:val="24"/>
          <w:lang w:eastAsia="es-ES_tradnl"/>
        </w:rPr>
      </w:pPr>
    </w:p>
    <w:bookmarkEnd w:id="13"/>
    <w:p w:rsidRPr="00144677" w:rsidR="00144677" w:rsidP="00144677" w:rsidRDefault="00144677" w14:paraId="0A0040BA" w14:textId="77777777">
      <w:pPr>
        <w:spacing w:after="0" w:line="240" w:lineRule="auto"/>
        <w:rPr>
          <w:rFonts w:ascii="Arial" w:hAnsi="Arial" w:eastAsia="Century Gothic" w:cs="Arial"/>
          <w:sz w:val="24"/>
          <w:szCs w:val="24"/>
          <w:lang w:eastAsia="es-ES_tradnl"/>
        </w:rPr>
      </w:pPr>
    </w:p>
    <w:p w:rsidRPr="00BD712C" w:rsidR="00127233" w:rsidP="00BD712C" w:rsidRDefault="00127233" w14:paraId="0F293BF4" w14:textId="7BBFAB11"/>
    <w:sectPr w:rsidRPr="00BD712C" w:rsidR="00127233" w:rsidSect="002E4FD9">
      <w:headerReference w:type="default" r:id="rId12"/>
      <w:footerReference w:type="default" r:id="rId13"/>
      <w:pgSz w:w="12240" w:h="15840" w:orient="portrait"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031D" w:rsidP="004A1847" w:rsidRDefault="0002031D" w14:paraId="30FF47FE" w14:textId="77777777">
      <w:pPr>
        <w:spacing w:after="0" w:line="240" w:lineRule="auto"/>
      </w:pPr>
      <w:r>
        <w:separator/>
      </w:r>
    </w:p>
  </w:endnote>
  <w:endnote w:type="continuationSeparator" w:id="0">
    <w:p w:rsidR="0002031D" w:rsidP="004A1847" w:rsidRDefault="0002031D" w14:paraId="7137ACF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322A85" w:rsidP="00322A85" w:rsidRDefault="003F3941" w14:paraId="171D456F" w14:textId="56C74A82">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415501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061B2A">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F4E4C24">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031D" w:rsidP="004A1847" w:rsidRDefault="0002031D" w14:paraId="232CC3F3" w14:textId="77777777">
      <w:pPr>
        <w:spacing w:after="0" w:line="240" w:lineRule="auto"/>
      </w:pPr>
      <w:r>
        <w:separator/>
      </w:r>
    </w:p>
  </w:footnote>
  <w:footnote w:type="continuationSeparator" w:id="0">
    <w:p w:rsidR="0002031D" w:rsidP="004A1847" w:rsidRDefault="0002031D" w14:paraId="6F31A45A" w14:textId="77777777">
      <w:pPr>
        <w:spacing w:after="0" w:line="240" w:lineRule="auto"/>
      </w:pPr>
      <w:r>
        <w:continuationSeparator/>
      </w:r>
    </w:p>
  </w:footnote>
  <w:footnote w:id="1">
    <w:p w:rsidRPr="006B627F" w:rsidR="00144677" w:rsidP="00144677" w:rsidRDefault="00144677" w14:paraId="64D251B5" w14:textId="77777777">
      <w:pPr>
        <w:pStyle w:val="Textonotapie"/>
        <w:ind w:firstLine="708"/>
        <w:contextualSpacing/>
        <w:jc w:val="both"/>
        <w:rPr>
          <w:rFonts w:ascii="Arial" w:hAnsi="Arial" w:cs="Arial"/>
          <w:sz w:val="16"/>
          <w:szCs w:val="16"/>
          <w:lang w:val="es-ES"/>
        </w:rPr>
      </w:pPr>
      <w:r w:rsidRPr="006B627F">
        <w:rPr>
          <w:rFonts w:ascii="Arial" w:hAnsi="Arial" w:eastAsia="Calibri" w:cs="Arial"/>
          <w:sz w:val="16"/>
          <w:szCs w:val="16"/>
          <w:vertAlign w:val="superscript"/>
          <w:lang w:val="es-ES" w:eastAsia="es-ES_tradnl"/>
        </w:rPr>
        <w:footnoteRef/>
      </w:r>
      <w:r w:rsidRPr="006B627F">
        <w:rPr>
          <w:rFonts w:ascii="Arial" w:hAnsi="Arial" w:eastAsia="Calibri" w:cs="Arial"/>
          <w:sz w:val="16"/>
          <w:szCs w:val="16"/>
          <w:lang w:val="es-ES" w:eastAsia="es-ES_tradnl"/>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6B627F">
        <w:rPr>
          <w:rFonts w:ascii="Arial" w:hAnsi="Arial" w:eastAsia="Calibri" w:cs="Arial"/>
          <w:sz w:val="16"/>
          <w:szCs w:val="16"/>
          <w:lang w:val="es-ES" w:eastAsia="es-ES_tradnl"/>
        </w:rPr>
        <w:t>bsolver</w:t>
      </w:r>
      <w:proofErr w:type="spellEnd"/>
      <w:r w:rsidRPr="006B627F">
        <w:rPr>
          <w:rFonts w:ascii="Arial" w:hAnsi="Arial" w:eastAsia="Calibri" w:cs="Arial"/>
          <w:sz w:val="16"/>
          <w:szCs w:val="16"/>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6B627F">
        <w:rPr>
          <w:rFonts w:ascii="Arial" w:hAnsi="Arial" w:eastAsia="Calibri" w:cs="Arial"/>
          <w:sz w:val="16"/>
          <w:szCs w:val="16"/>
          <w:lang w:val="es-ES" w:eastAsia="es-ES_tradnl"/>
        </w:rPr>
        <w:t>bsolver</w:t>
      </w:r>
      <w:proofErr w:type="spellEnd"/>
      <w:r w:rsidRPr="006B627F">
        <w:rPr>
          <w:rFonts w:ascii="Arial" w:hAnsi="Arial" w:eastAsia="Calibri" w:cs="Arial"/>
          <w:sz w:val="16"/>
          <w:szCs w:val="16"/>
          <w:lang w:val="es-ES" w:eastAsia="es-ES_tradnl"/>
        </w:rPr>
        <w:t xml:space="preserve"> consultas sobre la aplicación de normas de carácter general”.</w:t>
      </w:r>
    </w:p>
  </w:footnote>
  <w:footnote w:id="2">
    <w:p w:rsidRPr="006B627F" w:rsidR="00144677" w:rsidP="00144677" w:rsidRDefault="00144677" w14:paraId="73958144" w14:textId="77777777">
      <w:pPr>
        <w:pStyle w:val="Textonotapie"/>
        <w:ind w:firstLine="708"/>
        <w:contextualSpacing/>
        <w:jc w:val="both"/>
        <w:rPr>
          <w:rFonts w:ascii="Arial" w:hAnsi="Arial" w:cs="Arial"/>
          <w:sz w:val="16"/>
          <w:szCs w:val="16"/>
        </w:rPr>
      </w:pPr>
      <w:r w:rsidRPr="006B627F">
        <w:rPr>
          <w:rFonts w:ascii="Arial" w:hAnsi="Arial" w:cs="Arial"/>
          <w:sz w:val="16"/>
          <w:szCs w:val="16"/>
          <w:vertAlign w:val="superscript"/>
        </w:rPr>
        <w:footnoteRef/>
      </w:r>
      <w:r w:rsidRPr="006B627F">
        <w:rPr>
          <w:rFonts w:ascii="Arial" w:hAnsi="Arial"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6B627F">
          <w:rPr>
            <w:rStyle w:val="Hipervnculo"/>
            <w:rFonts w:ascii="Arial" w:hAnsi="Arial" w:cs="Arial"/>
            <w:sz w:val="16"/>
            <w:szCs w:val="16"/>
          </w:rPr>
          <w:t>https://relatoria.colombiacompra.gov.co/busqueda/conceptos</w:t>
        </w:r>
      </w:hyperlink>
      <w:r w:rsidRPr="006B627F">
        <w:rPr>
          <w:rFonts w:ascii="Arial" w:hAnsi="Arial" w:cs="Arial"/>
          <w:sz w:val="16"/>
          <w:szCs w:val="16"/>
          <w:shd w:val="clear" w:color="auto" w:fill="E6E6E6"/>
        </w:rPr>
        <w:t xml:space="preserve"> </w:t>
      </w:r>
    </w:p>
  </w:footnote>
  <w:footnote w:id="3">
    <w:p w:rsidRPr="006B627F" w:rsidR="00144677" w:rsidP="00144677" w:rsidRDefault="00144677" w14:paraId="498CF8DA" w14:textId="77777777">
      <w:pPr>
        <w:pStyle w:val="paragraph"/>
        <w:spacing w:before="0" w:beforeAutospacing="0" w:after="0" w:afterAutospacing="0"/>
        <w:ind w:firstLine="709"/>
        <w:contextualSpacing/>
        <w:jc w:val="both"/>
        <w:textAlignment w:val="baseline"/>
        <w:rPr>
          <w:rFonts w:ascii="Arial" w:hAnsi="Arial" w:cs="Arial"/>
          <w:color w:val="000000" w:themeColor="text1"/>
          <w:sz w:val="16"/>
          <w:szCs w:val="16"/>
        </w:rPr>
      </w:pPr>
      <w:r w:rsidRPr="006B627F">
        <w:rPr>
          <w:rStyle w:val="Refdenotaalpie"/>
          <w:rFonts w:ascii="Arial" w:hAnsi="Arial" w:cs="Arial"/>
          <w:color w:val="000000" w:themeColor="text1"/>
          <w:sz w:val="16"/>
          <w:szCs w:val="16"/>
        </w:rPr>
        <w:footnoteRef/>
      </w:r>
      <w:r w:rsidRPr="006B627F">
        <w:rPr>
          <w:rFonts w:ascii="Arial" w:hAnsi="Arial" w:cs="Arial"/>
          <w:color w:val="000000" w:themeColor="text1"/>
          <w:sz w:val="16"/>
          <w:szCs w:val="16"/>
        </w:rPr>
        <w:t xml:space="preserve"> </w:t>
      </w:r>
      <w:r w:rsidRPr="006B627F">
        <w:rPr>
          <w:rFonts w:ascii="Arial" w:hAnsi="Arial" w:cs="Arial"/>
          <w:color w:val="000000" w:themeColor="text1"/>
          <w:sz w:val="16"/>
          <w:szCs w:val="16"/>
          <w:lang w:val="es-ES"/>
        </w:rPr>
        <w:t>Ley 489 de 1998, artículo 38, numeral 2, literal f, y artículo 68, numeral 2: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footnote>
  <w:footnote w:id="4">
    <w:p w:rsidRPr="006B627F" w:rsidR="00144677" w:rsidP="00144677" w:rsidRDefault="00144677" w14:paraId="40339372" w14:textId="77777777">
      <w:pPr>
        <w:spacing w:after="0" w:line="240" w:lineRule="auto"/>
        <w:ind w:firstLine="709"/>
        <w:contextualSpacing/>
        <w:jc w:val="both"/>
        <w:rPr>
          <w:rFonts w:ascii="Arial" w:hAnsi="Arial" w:cs="Arial"/>
          <w:color w:val="000000" w:themeColor="text1"/>
          <w:sz w:val="16"/>
          <w:szCs w:val="16"/>
          <w:lang w:eastAsia="es-MX"/>
        </w:rPr>
      </w:pPr>
      <w:r w:rsidRPr="006B627F">
        <w:rPr>
          <w:rFonts w:ascii="Arial" w:hAnsi="Arial" w:cs="Arial"/>
          <w:color w:val="000000" w:themeColor="text1"/>
          <w:sz w:val="16"/>
          <w:szCs w:val="16"/>
          <w:lang w:val="es-ES" w:eastAsia="es-MX"/>
        </w:rPr>
        <w:t xml:space="preserve"> </w:t>
      </w:r>
      <w:r w:rsidRPr="006B627F">
        <w:rPr>
          <w:rStyle w:val="Refdenotaalpie"/>
          <w:rFonts w:ascii="Arial" w:hAnsi="Arial" w:cs="Arial"/>
          <w:color w:val="000000" w:themeColor="text1"/>
          <w:sz w:val="16"/>
          <w:szCs w:val="16"/>
        </w:rPr>
        <w:footnoteRef/>
      </w:r>
      <w:r w:rsidRPr="006B627F">
        <w:rPr>
          <w:rFonts w:ascii="Arial" w:hAnsi="Arial" w:cs="Arial"/>
          <w:color w:val="000000" w:themeColor="text1"/>
          <w:sz w:val="16"/>
          <w:szCs w:val="16"/>
          <w:lang w:val="es-ES" w:eastAsia="es-MX"/>
        </w:rPr>
        <w:t xml:space="preserve"> Así lo establece la Constitución Política, en el artículo 150, numeral 7, así como en el artículo 300, numeral 7 y en el artículo 313, numeral 6.</w:t>
      </w:r>
    </w:p>
    <w:p w:rsidRPr="006B627F" w:rsidR="00144677" w:rsidP="00144677" w:rsidRDefault="00144677" w14:paraId="15AC447F" w14:textId="77777777">
      <w:pPr>
        <w:pStyle w:val="Textonotapie"/>
        <w:ind w:firstLine="709"/>
        <w:contextualSpacing/>
        <w:jc w:val="both"/>
        <w:rPr>
          <w:rFonts w:ascii="Arial" w:hAnsi="Arial" w:cs="Arial"/>
          <w:sz w:val="16"/>
          <w:szCs w:val="16"/>
          <w:lang w:val="es-ES"/>
        </w:rPr>
      </w:pPr>
    </w:p>
  </w:footnote>
  <w:footnote w:id="5">
    <w:p w:rsidRPr="006B627F" w:rsidR="00144677" w:rsidP="00144677" w:rsidRDefault="00144677" w14:paraId="0CCC8BF0" w14:textId="77777777">
      <w:pPr>
        <w:pStyle w:val="Textonotapie"/>
        <w:ind w:firstLine="709"/>
        <w:contextualSpacing/>
        <w:jc w:val="both"/>
        <w:rPr>
          <w:rFonts w:ascii="Arial" w:hAnsi="Arial" w:cs="Arial"/>
          <w:sz w:val="16"/>
          <w:szCs w:val="16"/>
        </w:rPr>
      </w:pPr>
      <w:r w:rsidRPr="006B627F">
        <w:rPr>
          <w:rStyle w:val="Refdenotaalpie"/>
          <w:rFonts w:ascii="Arial" w:hAnsi="Arial" w:cs="Arial"/>
          <w:sz w:val="16"/>
          <w:szCs w:val="16"/>
        </w:rPr>
        <w:footnoteRef/>
      </w:r>
      <w:r w:rsidRPr="006B627F">
        <w:rPr>
          <w:rFonts w:ascii="Arial" w:hAnsi="Arial" w:cs="Arial"/>
          <w:sz w:val="16"/>
          <w:szCs w:val="16"/>
        </w:rPr>
        <w:t xml:space="preserve"> Las sociedades de economía mixta son una clara manifestación organizacional de la función administrativa. Al respecto, la doctrina colombiana ha considerado que “la organización debe ocupar un lugar central en el estudio del derecho administrativo, sobre todo si se tiene en cuenta que lo estructural es consustancial a la actividad administrativa. De hecho, podemos afirmar que se trata de una verdadera dialéctica en la que se presenta una relación de medio a fin, ya que su objeto es precisamente el diseño y puesta en funcionamiento de las maneras o formas de gestión de potestades, atribuciones y competencias administrativas” (RINCÓN CÓRDOBA, Jorge Iván. Teoría de la organización administrativa en Colombia, Bogotá: Universidad Externado de Colombia, 2019, pp. 31-32). </w:t>
      </w:r>
    </w:p>
  </w:footnote>
  <w:footnote w:id="6">
    <w:p w:rsidRPr="006B627F" w:rsidR="00144677" w:rsidP="00144677" w:rsidRDefault="00144677" w14:paraId="1E213AD3" w14:textId="77777777">
      <w:pPr>
        <w:pStyle w:val="Textonotapie"/>
        <w:ind w:firstLine="709"/>
        <w:contextualSpacing/>
        <w:jc w:val="both"/>
        <w:rPr>
          <w:rFonts w:ascii="Arial" w:hAnsi="Arial" w:cs="Arial"/>
          <w:sz w:val="16"/>
          <w:szCs w:val="16"/>
        </w:rPr>
      </w:pPr>
      <w:r w:rsidRPr="006B627F">
        <w:rPr>
          <w:rStyle w:val="Refdenotaalpie"/>
          <w:rFonts w:ascii="Arial" w:hAnsi="Arial" w:cs="Arial"/>
          <w:sz w:val="16"/>
          <w:szCs w:val="16"/>
        </w:rPr>
        <w:footnoteRef/>
      </w:r>
      <w:r w:rsidRPr="006B627F">
        <w:rPr>
          <w:rFonts w:ascii="Arial" w:hAnsi="Arial" w:cs="Arial"/>
          <w:sz w:val="16"/>
          <w:szCs w:val="16"/>
        </w:rPr>
        <w:t xml:space="preserve"> “Una función administrativa entendida entonces, como un conjunto de actividades particulares, disimiles entre sí, pero diversas de aquellas generales de Estado y particulares propias de la función judicial y legislativa, que dan desarrollo directo a las finalidades del estado, consagradas de manera positiva en la Constitución Política, que pueden ser desarrolladas por distintos sujetos de derecho, habilitados para ello, con el respeto y cumplimiento del ordenamiento jurídico superior” (MONTAÑA PLATA, Alberto. Fundamentos de derecho administrativo. Bogotá: Universidad Externado de Colombia, 2010, p. 124).</w:t>
      </w:r>
    </w:p>
  </w:footnote>
  <w:footnote w:id="7">
    <w:p w:rsidRPr="006B627F" w:rsidR="00144677" w:rsidP="00144677" w:rsidRDefault="00144677" w14:paraId="7BDA72D0" w14:textId="77777777">
      <w:pPr>
        <w:pStyle w:val="Textonotapie"/>
        <w:ind w:firstLine="708"/>
        <w:contextualSpacing/>
        <w:jc w:val="both"/>
        <w:rPr>
          <w:rFonts w:ascii="Arial" w:hAnsi="Arial" w:cs="Arial"/>
          <w:sz w:val="16"/>
          <w:szCs w:val="16"/>
        </w:rPr>
      </w:pPr>
      <w:r w:rsidRPr="006B627F">
        <w:rPr>
          <w:rStyle w:val="Refdenotaalpie"/>
          <w:rFonts w:ascii="Arial" w:hAnsi="Arial" w:cs="Arial"/>
          <w:sz w:val="16"/>
          <w:szCs w:val="16"/>
        </w:rPr>
        <w:footnoteRef/>
      </w:r>
      <w:r w:rsidRPr="006B627F">
        <w:rPr>
          <w:rFonts w:ascii="Arial" w:hAnsi="Arial" w:cs="Arial"/>
          <w:sz w:val="16"/>
          <w:szCs w:val="16"/>
        </w:rPr>
        <w:t xml:space="preserve"> Ley 80 de 1993, artículo 2, literal a):</w:t>
      </w:r>
      <w:bookmarkStart w:name="2" w:id="3"/>
      <w:r w:rsidRPr="006B627F">
        <w:rPr>
          <w:rFonts w:ascii="Arial" w:hAnsi="Arial" w:cs="Arial"/>
          <w:sz w:val="16"/>
          <w:szCs w:val="16"/>
        </w:rPr>
        <w:t xml:space="preserve"> “Artículo 2o. de la definición de entidades, servidores y servicios públicos. </w:t>
      </w:r>
      <w:bookmarkEnd w:id="3"/>
      <w:r w:rsidRPr="006B627F">
        <w:rPr>
          <w:rFonts w:ascii="Arial" w:hAnsi="Arial" w:cs="Arial"/>
          <w:sz w:val="16"/>
          <w:szCs w:val="16"/>
        </w:rPr>
        <w:t>Para los solos efectos de esta ley:</w:t>
      </w:r>
    </w:p>
    <w:p w:rsidRPr="006B627F" w:rsidR="00144677" w:rsidP="00144677" w:rsidRDefault="00144677" w14:paraId="06737E51" w14:textId="77777777">
      <w:pPr>
        <w:pStyle w:val="Textonotapie"/>
        <w:ind w:firstLine="708"/>
        <w:contextualSpacing/>
        <w:jc w:val="both"/>
        <w:rPr>
          <w:rFonts w:ascii="Arial" w:hAnsi="Arial" w:cs="Arial"/>
          <w:sz w:val="16"/>
          <w:szCs w:val="16"/>
        </w:rPr>
      </w:pPr>
      <w:r w:rsidRPr="006B627F">
        <w:rPr>
          <w:rFonts w:ascii="Arial" w:hAnsi="Arial" w:cs="Arial"/>
          <w:sz w:val="16"/>
          <w:szCs w:val="16"/>
        </w:rPr>
        <w:t>1o. Se denominan entidades estatales:</w:t>
      </w:r>
    </w:p>
    <w:p w:rsidRPr="006B627F" w:rsidR="00144677" w:rsidP="00144677" w:rsidRDefault="00144677" w14:paraId="17C19A82" w14:textId="77777777">
      <w:pPr>
        <w:pStyle w:val="Textonotapie"/>
        <w:ind w:firstLine="708"/>
        <w:contextualSpacing/>
        <w:jc w:val="both"/>
        <w:rPr>
          <w:rFonts w:ascii="Arial" w:hAnsi="Arial" w:cs="Arial"/>
          <w:sz w:val="16"/>
          <w:szCs w:val="16"/>
        </w:rPr>
      </w:pPr>
      <w:r w:rsidRPr="006B627F">
        <w:rPr>
          <w:rFonts w:ascii="Arial" w:hAnsi="Arial" w:cs="Arial"/>
          <w:sz w:val="16"/>
          <w:szCs w:val="16"/>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Pr="006B627F" w:rsidR="00144677" w:rsidP="00144677" w:rsidRDefault="00144677" w14:paraId="79511FBA" w14:textId="77777777">
      <w:pPr>
        <w:pStyle w:val="Textonotapie"/>
        <w:ind w:firstLine="708"/>
        <w:contextualSpacing/>
        <w:jc w:val="both"/>
        <w:rPr>
          <w:rFonts w:ascii="Arial" w:hAnsi="Arial" w:cs="Arial"/>
          <w:sz w:val="16"/>
          <w:szCs w:val="16"/>
        </w:rPr>
      </w:pPr>
      <w:r w:rsidRPr="006B627F">
        <w:rPr>
          <w:rFonts w:ascii="Arial" w:hAnsi="Arial" w:cs="Arial"/>
          <w:sz w:val="16"/>
          <w:szCs w:val="16"/>
        </w:rPr>
        <w:t>[…]”.</w:t>
      </w:r>
    </w:p>
  </w:footnote>
  <w:footnote w:id="8">
    <w:p w:rsidRPr="006B627F" w:rsidR="00144677" w:rsidP="00144677" w:rsidRDefault="00144677" w14:paraId="383B0CBF" w14:textId="77777777">
      <w:pPr>
        <w:pStyle w:val="Textonotapie"/>
        <w:ind w:firstLine="708"/>
        <w:contextualSpacing/>
        <w:jc w:val="both"/>
        <w:rPr>
          <w:rFonts w:ascii="Arial" w:hAnsi="Arial" w:cs="Arial"/>
          <w:sz w:val="16"/>
          <w:szCs w:val="16"/>
        </w:rPr>
      </w:pPr>
      <w:r w:rsidRPr="006B627F">
        <w:rPr>
          <w:rStyle w:val="Refdenotaalpie"/>
          <w:rFonts w:ascii="Arial" w:hAnsi="Arial" w:cs="Arial"/>
          <w:sz w:val="16"/>
          <w:szCs w:val="16"/>
        </w:rPr>
        <w:footnoteRef/>
      </w:r>
      <w:r w:rsidRPr="006B627F">
        <w:rPr>
          <w:rFonts w:ascii="Arial" w:hAnsi="Arial" w:cs="Arial"/>
          <w:sz w:val="16"/>
          <w:szCs w:val="16"/>
        </w:rPr>
        <w:t xml:space="preserve"> Consejo de Estado, Sala de Consulta y Servicio Civil, Concepto 1127 del 10 de diciembre de 2004. M.P. Enrique José Arboleda Perdomo </w:t>
      </w:r>
    </w:p>
  </w:footnote>
  <w:footnote w:id="9">
    <w:p w:rsidRPr="006B627F" w:rsidR="00144677" w:rsidP="00144677" w:rsidRDefault="00144677" w14:paraId="4C64BDB3" w14:textId="77777777">
      <w:pPr>
        <w:pStyle w:val="Textonotapie"/>
        <w:ind w:firstLine="708"/>
        <w:contextualSpacing/>
        <w:jc w:val="both"/>
        <w:rPr>
          <w:rFonts w:ascii="Arial" w:hAnsi="Arial" w:cs="Arial"/>
          <w:sz w:val="16"/>
          <w:szCs w:val="16"/>
        </w:rPr>
      </w:pPr>
      <w:r w:rsidRPr="006B627F">
        <w:rPr>
          <w:rStyle w:val="Refdenotaalpie"/>
          <w:rFonts w:ascii="Arial" w:hAnsi="Arial" w:cs="Arial"/>
          <w:sz w:val="16"/>
          <w:szCs w:val="16"/>
        </w:rPr>
        <w:footnoteRef/>
      </w:r>
      <w:r w:rsidRPr="006B627F">
        <w:rPr>
          <w:rFonts w:ascii="Arial" w:hAnsi="Arial" w:cs="Arial"/>
          <w:sz w:val="16"/>
          <w:szCs w:val="16"/>
        </w:rPr>
        <w:t xml:space="preserve"> Ley 1150 de 2007, artículo 14: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p>
  </w:footnote>
  <w:footnote w:id="10">
    <w:p w:rsidRPr="006B627F" w:rsidR="00144677" w:rsidP="00144677" w:rsidRDefault="00144677" w14:paraId="4FCE4C5A" w14:textId="77777777">
      <w:pPr>
        <w:pStyle w:val="Textonotapie"/>
        <w:ind w:firstLine="708"/>
        <w:contextualSpacing/>
        <w:jc w:val="both"/>
        <w:rPr>
          <w:rFonts w:ascii="Arial" w:hAnsi="Arial" w:cs="Arial"/>
          <w:sz w:val="16"/>
          <w:szCs w:val="16"/>
        </w:rPr>
      </w:pPr>
      <w:r w:rsidRPr="006B627F">
        <w:rPr>
          <w:rStyle w:val="Refdenotaalpie"/>
          <w:rFonts w:ascii="Arial" w:hAnsi="Arial" w:cs="Arial"/>
          <w:sz w:val="16"/>
          <w:szCs w:val="16"/>
        </w:rPr>
        <w:footnoteRef/>
      </w:r>
      <w:r w:rsidRPr="006B627F">
        <w:rPr>
          <w:rFonts w:ascii="Arial" w:hAnsi="Arial" w:cs="Arial"/>
          <w:sz w:val="16"/>
          <w:szCs w:val="16"/>
        </w:rPr>
        <w:t xml:space="preserve"> Ley 489 de 1998: “Artículo 85. Empresas industriales y comerciales del Estado. Las empresas industriales y comerciales del Estado son organismos creados por la ley o autorizados por ésta, que desarrollan actividades de naturaleza industrial o comercial y de gestión económica conforme a las reglas del Derecho Privado, salvo las excepciones que consagra la ley, y que reúnen las siguientes características: </w:t>
      </w:r>
    </w:p>
    <w:p w:rsidRPr="006B627F" w:rsidR="00144677" w:rsidP="00144677" w:rsidRDefault="00144677" w14:paraId="3853E7BF" w14:textId="77777777">
      <w:pPr>
        <w:pStyle w:val="Textonotapie"/>
        <w:ind w:firstLine="708"/>
        <w:contextualSpacing/>
        <w:jc w:val="both"/>
        <w:rPr>
          <w:rFonts w:ascii="Arial" w:hAnsi="Arial" w:cs="Arial"/>
          <w:sz w:val="16"/>
          <w:szCs w:val="16"/>
        </w:rPr>
      </w:pPr>
      <w:r w:rsidRPr="006B627F">
        <w:rPr>
          <w:rFonts w:ascii="Arial" w:hAnsi="Arial" w:cs="Arial"/>
          <w:sz w:val="16"/>
          <w:szCs w:val="16"/>
        </w:rPr>
        <w:t xml:space="preserve">a) Personería jurídica; </w:t>
      </w:r>
    </w:p>
    <w:p w:rsidRPr="006B627F" w:rsidR="00144677" w:rsidP="00144677" w:rsidRDefault="00144677" w14:paraId="05EE5611" w14:textId="77777777">
      <w:pPr>
        <w:pStyle w:val="Textonotapie"/>
        <w:ind w:firstLine="708"/>
        <w:contextualSpacing/>
        <w:jc w:val="both"/>
        <w:rPr>
          <w:rFonts w:ascii="Arial" w:hAnsi="Arial" w:cs="Arial"/>
          <w:sz w:val="16"/>
          <w:szCs w:val="16"/>
        </w:rPr>
      </w:pPr>
      <w:r w:rsidRPr="006B627F">
        <w:rPr>
          <w:rFonts w:ascii="Arial" w:hAnsi="Arial" w:cs="Arial"/>
          <w:sz w:val="16"/>
          <w:szCs w:val="16"/>
        </w:rPr>
        <w:t xml:space="preserve">b) Autonomía administrativa y financiera; </w:t>
      </w:r>
    </w:p>
    <w:p w:rsidRPr="006B627F" w:rsidR="00144677" w:rsidP="00144677" w:rsidRDefault="00144677" w14:paraId="23688F30" w14:textId="77777777">
      <w:pPr>
        <w:pStyle w:val="Textonotapie"/>
        <w:ind w:firstLine="708"/>
        <w:contextualSpacing/>
        <w:jc w:val="both"/>
        <w:rPr>
          <w:rFonts w:ascii="Arial" w:hAnsi="Arial" w:cs="Arial"/>
          <w:sz w:val="16"/>
          <w:szCs w:val="16"/>
        </w:rPr>
      </w:pPr>
      <w:r w:rsidRPr="006B627F">
        <w:rPr>
          <w:rFonts w:ascii="Arial" w:hAnsi="Arial" w:cs="Arial"/>
          <w:sz w:val="16"/>
          <w:szCs w:val="16"/>
        </w:rPr>
        <w:t xml:space="preserve">c) Capital independiente, constituido totalmente con bienes o fondos públicos comunes, los productos de ellos, o el rendimiento de tasas que perciban por las funciones o servicios, y contribuciones de destinación especial en los casos autorizados por la Constitución. </w:t>
      </w:r>
    </w:p>
    <w:p w:rsidRPr="006B627F" w:rsidR="00144677" w:rsidP="00144677" w:rsidRDefault="00144677" w14:paraId="7D49E313" w14:textId="77777777">
      <w:pPr>
        <w:pStyle w:val="Textonotapie"/>
        <w:ind w:firstLine="708"/>
        <w:contextualSpacing/>
        <w:jc w:val="both"/>
        <w:rPr>
          <w:rFonts w:ascii="Arial" w:hAnsi="Arial" w:cs="Arial"/>
          <w:sz w:val="16"/>
          <w:szCs w:val="16"/>
        </w:rPr>
      </w:pPr>
      <w:r w:rsidRPr="006B627F">
        <w:rPr>
          <w:rFonts w:ascii="Arial" w:hAnsi="Arial" w:cs="Arial"/>
          <w:sz w:val="16"/>
          <w:szCs w:val="16"/>
        </w:rPr>
        <w:t xml:space="preserve">El capital de las empresas industriales y comerciales del Estado podrá estar representado en cuotas o acciones de igual valor nominal. </w:t>
      </w:r>
    </w:p>
    <w:p w:rsidRPr="006B627F" w:rsidR="00144677" w:rsidP="00144677" w:rsidRDefault="00144677" w14:paraId="16994A6A" w14:textId="77777777">
      <w:pPr>
        <w:pStyle w:val="Textonotapie"/>
        <w:ind w:firstLine="708"/>
        <w:contextualSpacing/>
        <w:jc w:val="both"/>
        <w:rPr>
          <w:rFonts w:ascii="Arial" w:hAnsi="Arial" w:cs="Arial"/>
          <w:sz w:val="16"/>
          <w:szCs w:val="16"/>
        </w:rPr>
      </w:pPr>
      <w:r w:rsidRPr="006B627F">
        <w:rPr>
          <w:rFonts w:ascii="Arial" w:hAnsi="Arial" w:cs="Arial"/>
          <w:sz w:val="16"/>
          <w:szCs w:val="16"/>
        </w:rPr>
        <w:t xml:space="preserve">A las empresas industriales y comerciales del Estado y a las sociedades de economía mixta se les aplicará en lo pertinente los artículos 19, numerales 2°, 4°, 5°, 6°, 12, 13, 17, 27, numerales 2°, 3°, 4°, 5°, y 7°, y 183 de la Ley 142 de 1994. </w:t>
      </w:r>
    </w:p>
    <w:p w:rsidRPr="006B627F" w:rsidR="00144677" w:rsidP="00144677" w:rsidRDefault="00144677" w14:paraId="11C87763" w14:textId="77777777">
      <w:pPr>
        <w:pStyle w:val="Textonotapie"/>
        <w:ind w:firstLine="708"/>
        <w:contextualSpacing/>
        <w:jc w:val="both"/>
        <w:rPr>
          <w:rFonts w:ascii="Arial" w:hAnsi="Arial" w:cs="Arial"/>
          <w:sz w:val="16"/>
          <w:szCs w:val="16"/>
        </w:rPr>
      </w:pPr>
      <w:r w:rsidRPr="006B627F">
        <w:rPr>
          <w:rFonts w:ascii="Arial" w:hAnsi="Arial" w:cs="Arial"/>
          <w:sz w:val="16"/>
          <w:szCs w:val="16"/>
        </w:rPr>
        <w:t xml:space="preserve">Parágrafo. Las disposiciones legales que protegen el secreto industrial y la información comercial se aplicarán a aquellos secretos e informaciones de esa naturaleza que desarrollen y posean las empresas industriales y comerciales del Estado”. </w:t>
      </w:r>
    </w:p>
  </w:footnote>
  <w:footnote w:id="11">
    <w:p w:rsidRPr="006B627F" w:rsidR="00144677" w:rsidP="00144677" w:rsidRDefault="00144677" w14:paraId="5298D141" w14:textId="77777777">
      <w:pPr>
        <w:pStyle w:val="Textonotapie"/>
        <w:ind w:firstLine="709"/>
        <w:contextualSpacing/>
        <w:jc w:val="both"/>
        <w:rPr>
          <w:rFonts w:ascii="Arial" w:hAnsi="Arial" w:cs="Arial"/>
          <w:sz w:val="16"/>
          <w:szCs w:val="16"/>
        </w:rPr>
      </w:pPr>
      <w:r w:rsidRPr="006B627F">
        <w:rPr>
          <w:rStyle w:val="Refdenotaalpie"/>
          <w:rFonts w:ascii="Arial" w:hAnsi="Arial" w:cs="Arial"/>
          <w:sz w:val="16"/>
          <w:szCs w:val="16"/>
        </w:rPr>
        <w:footnoteRef/>
      </w:r>
      <w:r w:rsidRPr="006B627F">
        <w:rPr>
          <w:rFonts w:ascii="Arial" w:hAnsi="Arial" w:cs="Arial"/>
          <w:sz w:val="16"/>
          <w:szCs w:val="16"/>
        </w:rPr>
        <w:t xml:space="preserve"> El estatuto estableció como regla general para la selección del contratista la licitación pública o el concurso público, con algunas excepciones en las cuales la selección se haría mediante el procedimiento de contratación directa, entre ellas, la prevista en el literal m) del numeral 1 del artículo 24: “m)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esta ley”, o sea, los de obra, consultoría, prestación de servicios, concesión, encargos fiduciarios y fiducia pública, que se regirían por la regla general, salvo los casos de menor cuantía –previstos en el ordinal a), numeral 1 del artículo 24, original, de la Ley 80 de 1993–. Además, en el parágrafo del artículo 14 de la Ley 80 de 1993, se señaló que “en los contratos que tengan por objeto actividades comerciales o industriales de las entidades estatales que no correspondan a las señaladas en el numeral 2º de este artículo (…) se prescindirá de la utilización de las cláusulas o estipulaciones excepcionales”.</w:t>
      </w:r>
    </w:p>
  </w:footnote>
  <w:footnote w:id="12">
    <w:p w:rsidRPr="006B627F" w:rsidR="00144677" w:rsidP="00144677" w:rsidRDefault="00144677" w14:paraId="4BA07E9C" w14:textId="77777777">
      <w:pPr>
        <w:spacing w:after="0" w:line="240" w:lineRule="auto"/>
        <w:ind w:firstLine="709"/>
        <w:contextualSpacing/>
        <w:jc w:val="both"/>
        <w:rPr>
          <w:rFonts w:ascii="Arial" w:hAnsi="Arial" w:cs="Arial"/>
          <w:sz w:val="16"/>
          <w:szCs w:val="16"/>
        </w:rPr>
      </w:pPr>
      <w:r w:rsidRPr="006B627F">
        <w:rPr>
          <w:rStyle w:val="Refdenotaalpie"/>
          <w:rFonts w:ascii="Arial" w:hAnsi="Arial" w:cs="Arial"/>
          <w:sz w:val="16"/>
          <w:szCs w:val="16"/>
        </w:rPr>
        <w:footnoteRef/>
      </w:r>
      <w:r w:rsidRPr="006B627F">
        <w:rPr>
          <w:rFonts w:ascii="Arial" w:hAnsi="Arial" w:cs="Arial"/>
          <w:sz w:val="16"/>
          <w:szCs w:val="16"/>
        </w:rPr>
        <w:t xml:space="preserve"> El artículo 85 de la ley 489 de 1998 definió a las empresas industriales y comerciales del Estado </w:t>
      </w:r>
      <w:r w:rsidRPr="006B627F">
        <w:rPr>
          <w:rFonts w:ascii="Arial" w:hAnsi="Arial" w:cs="Arial"/>
          <w:color w:val="000000"/>
          <w:sz w:val="16"/>
          <w:szCs w:val="16"/>
        </w:rPr>
        <w:t>como “organismos creados por la ley o autorizados por ésta, que desarrollan actividades de naturaleza industrial o comercial y de gestión económica conforme a las reglas del Derecho Privado, salvo las excepciones que consagra la ley, y que reúnen las siguientes características: a) Personería jurídica; b) Autonomía administrativa y financiera; c) Capital independiente, constituido totalmente con bienes o fondos públicos comunes, los productos de ellos, o el rendimiento de tasas que perciban por las funciones o servicios, y contribuciones de destinación especial en los casos autorizados por la Constitución […]”.</w:t>
      </w:r>
    </w:p>
    <w:bookmarkStart w:name="353" w:id="4"/>
    <w:bookmarkEnd w:id="4"/>
  </w:footnote>
  <w:footnote w:id="13">
    <w:p w:rsidRPr="006B627F" w:rsidR="00144677" w:rsidP="00144677" w:rsidRDefault="00144677" w14:paraId="6725F1E6" w14:textId="77777777">
      <w:pPr>
        <w:pStyle w:val="Textonotapie"/>
        <w:ind w:firstLine="709"/>
        <w:contextualSpacing/>
        <w:jc w:val="both"/>
        <w:rPr>
          <w:rFonts w:ascii="Arial" w:hAnsi="Arial" w:cs="Arial"/>
          <w:sz w:val="16"/>
          <w:szCs w:val="16"/>
        </w:rPr>
      </w:pPr>
      <w:r w:rsidRPr="006B627F">
        <w:rPr>
          <w:rStyle w:val="Refdenotaalpie"/>
          <w:rFonts w:ascii="Arial" w:hAnsi="Arial" w:cs="Arial"/>
          <w:sz w:val="16"/>
          <w:szCs w:val="16"/>
        </w:rPr>
        <w:footnoteRef/>
      </w:r>
      <w:r w:rsidRPr="006B627F">
        <w:rPr>
          <w:rFonts w:ascii="Arial" w:hAnsi="Arial" w:cs="Arial"/>
          <w:sz w:val="16"/>
          <w:szCs w:val="16"/>
        </w:rPr>
        <w:t xml:space="preserve"> Sin perjuicio de la regla indicada, es importante señalar que el literal g, numeral 2, artículo 2 de la Ley 1150 de 2007, prevé como causal de selección abreviada: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[obra, concesión, prestación de servicios, consultoría, fiducia pública]”. 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Por su parte, el Decreto 1082 del 2015, artículo 2.2.1.2.1.2.24, prescribió: “Contratación de empresas industriales y comerciales del Estado. Las empresas industriales y comerciales del Estado y las sociedades de economía mixta, sus filiales y las empresas en las cuales el Estado tenga más del cincuenta por ciento (50%) del capital social que no se encuentren en situación de competencia, deben utilizar el procedimiento de selección abreviada de menor cuantía para los contratos que tengan como objeto su actividad comercial e industrial, salvo para los contratos de obra pública, consultoría, prestación de servicios, concesión, encargo fiduciario y fiducia pública para los cuales se aplicará la modalidad que corresponda”.</w:t>
      </w:r>
    </w:p>
  </w:footnote>
  <w:footnote w:id="14">
    <w:p w:rsidRPr="006B627F" w:rsidR="00144677" w:rsidP="319EC93D" w:rsidRDefault="00144677" w14:paraId="35BDEC7B" w14:textId="77777777" w14:noSpellErr="1">
      <w:pPr>
        <w:pStyle w:val="Textonotapie"/>
        <w:spacing/>
        <w:ind w:firstLine="709"/>
        <w:contextualSpacing/>
        <w:jc w:val="both"/>
        <w:rPr>
          <w:rFonts w:ascii="Arial" w:hAnsi="Arial" w:cs="Arial"/>
          <w:sz w:val="14"/>
          <w:szCs w:val="14"/>
          <w:lang w:val="es-CO"/>
        </w:rPr>
      </w:pPr>
      <w:r w:rsidRPr="006B627F">
        <w:rPr>
          <w:rStyle w:val="Refdenotaalpie"/>
          <w:rFonts w:ascii="Arial" w:hAnsi="Arial" w:cs="Arial"/>
          <w:sz w:val="16"/>
          <w:szCs w:val="16"/>
        </w:rPr>
        <w:footnoteRef/>
      </w:r>
      <w:r w:rsidRPr="006B627F" w:rsidR="319EC93D">
        <w:rPr>
          <w:rFonts w:ascii="Arial" w:hAnsi="Arial" w:cs="Arial"/>
          <w:sz w:val="16"/>
          <w:szCs w:val="16"/>
        </w:rPr>
        <w:t xml:space="preserve"> </w:t>
      </w:r>
      <w:r w:rsidRPr="319EC93D" w:rsidR="319EC93D">
        <w:rPr>
          <w:rFonts w:ascii="Arial" w:hAnsi="Arial" w:cs="Arial"/>
          <w:sz w:val="14"/>
          <w:szCs w:val="14"/>
        </w:rPr>
        <w:t xml:space="preserve">El artículo 14 original de la Ley 1150 de 2007 excluía además aquellas cuya actividad se realizaba en “mercados monopolísticos”, pero, con buen tino, se eliminó en el artículo 93 de la Ley 1474 de 2011, pues en ese caso no se está en presencia de los fundamentos que soportan la excepción de no aplicar el Estatuto General de Contratación de la Administración Pública, cual es la “competencia y el libre juego del mercado”.</w:t>
      </w:r>
    </w:p>
  </w:footnote>
  <w:footnote w:id="15">
    <w:p w:rsidRPr="006B627F" w:rsidR="00144677" w:rsidP="00144677" w:rsidRDefault="00144677" w14:paraId="5226020D" w14:textId="77777777">
      <w:pPr>
        <w:pStyle w:val="Textonotapie"/>
        <w:ind w:firstLine="709"/>
        <w:contextualSpacing/>
        <w:jc w:val="both"/>
        <w:rPr>
          <w:rFonts w:ascii="Arial" w:hAnsi="Arial" w:cs="Arial"/>
          <w:sz w:val="16"/>
          <w:szCs w:val="16"/>
        </w:rPr>
      </w:pPr>
      <w:r w:rsidRPr="006B627F">
        <w:rPr>
          <w:rStyle w:val="Refdenotaalpie"/>
          <w:rFonts w:ascii="Arial" w:hAnsi="Arial" w:cs="Arial"/>
          <w:sz w:val="16"/>
          <w:szCs w:val="16"/>
        </w:rPr>
        <w:footnoteRef/>
      </w:r>
      <w:r w:rsidRPr="006B627F">
        <w:rPr>
          <w:rFonts w:ascii="Arial" w:hAnsi="Arial" w:cs="Arial"/>
          <w:sz w:val="16"/>
          <w:szCs w:val="16"/>
        </w:rPr>
        <w:t xml:space="preserve"> Consejo de Estado. Sección Tercera, Sentencia del 19 de agosto de 2004 </w:t>
      </w:r>
      <w:proofErr w:type="spellStart"/>
      <w:r w:rsidRPr="006B627F">
        <w:rPr>
          <w:rFonts w:ascii="Arial" w:hAnsi="Arial" w:cs="Arial"/>
          <w:sz w:val="16"/>
          <w:szCs w:val="16"/>
        </w:rPr>
        <w:t>Exp</w:t>
      </w:r>
      <w:proofErr w:type="spellEnd"/>
      <w:r w:rsidRPr="006B627F">
        <w:rPr>
          <w:rFonts w:ascii="Arial" w:hAnsi="Arial" w:cs="Arial"/>
          <w:sz w:val="16"/>
          <w:szCs w:val="16"/>
        </w:rPr>
        <w:t xml:space="preserve">. 12.342, reiterada en sentencia de 6 de febrero de 2006, </w:t>
      </w:r>
      <w:proofErr w:type="spellStart"/>
      <w:r w:rsidRPr="006B627F">
        <w:rPr>
          <w:rFonts w:ascii="Arial" w:hAnsi="Arial" w:cs="Arial"/>
          <w:sz w:val="16"/>
          <w:szCs w:val="16"/>
        </w:rPr>
        <w:t>Exp</w:t>
      </w:r>
      <w:proofErr w:type="spellEnd"/>
      <w:r w:rsidRPr="006B627F">
        <w:rPr>
          <w:rFonts w:ascii="Arial" w:hAnsi="Arial" w:cs="Arial"/>
          <w:sz w:val="16"/>
          <w:szCs w:val="16"/>
        </w:rPr>
        <w:t xml:space="preserve">. 13.414. </w:t>
      </w:r>
    </w:p>
  </w:footnote>
  <w:footnote w:id="16">
    <w:p w:rsidRPr="006B627F" w:rsidR="00144677" w:rsidP="00144677" w:rsidRDefault="00144677" w14:paraId="17297E9F" w14:textId="77777777">
      <w:pPr>
        <w:pStyle w:val="Textonotapie"/>
        <w:ind w:firstLine="709"/>
        <w:contextualSpacing/>
        <w:jc w:val="both"/>
        <w:rPr>
          <w:rFonts w:ascii="Arial" w:hAnsi="Arial" w:cs="Arial"/>
          <w:sz w:val="16"/>
          <w:szCs w:val="16"/>
        </w:rPr>
      </w:pPr>
      <w:r w:rsidRPr="006B627F">
        <w:rPr>
          <w:rStyle w:val="Refdenotaalpie"/>
          <w:rFonts w:ascii="Arial" w:hAnsi="Arial" w:cs="Arial"/>
          <w:sz w:val="16"/>
          <w:szCs w:val="16"/>
        </w:rPr>
        <w:footnoteRef/>
      </w:r>
      <w:r w:rsidRPr="006B627F">
        <w:rPr>
          <w:rFonts w:ascii="Arial" w:hAnsi="Arial" w:cs="Arial"/>
          <w:sz w:val="16"/>
          <w:szCs w:val="16"/>
        </w:rPr>
        <w:t xml:space="preserve"> Ley 1150 de 2007, artículo 13: </w:t>
      </w:r>
      <w:r w:rsidRPr="006B627F">
        <w:rPr>
          <w:rFonts w:ascii="Arial" w:hAnsi="Arial" w:cs="Arial"/>
          <w:color w:val="000000" w:themeColor="text1"/>
          <w:sz w:val="16"/>
          <w:szCs w:val="16"/>
        </w:rPr>
        <w:t>“</w:t>
      </w:r>
      <w:r w:rsidRPr="006B627F">
        <w:rPr>
          <w:rFonts w:ascii="Arial" w:hAnsi="Arial" w:cs="Arial"/>
          <w:sz w:val="16"/>
          <w:szCs w:val="16"/>
        </w:rPr>
        <w:t>Principios generales de la actividad contractual para entidades no sometidas al estatuto general de contratación de la administración pública.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6B627F">
        <w:rPr>
          <w:rFonts w:ascii="Arial" w:hAnsi="Arial" w:cs="Arial"/>
          <w:color w:val="000000" w:themeColor="text1"/>
          <w:sz w:val="16"/>
          <w:szCs w:val="16"/>
        </w:rPr>
        <w:t>”.</w:t>
      </w:r>
    </w:p>
  </w:footnote>
  <w:footnote w:id="17">
    <w:p w:rsidRPr="006B627F" w:rsidR="00144677" w:rsidP="00144677" w:rsidRDefault="00144677" w14:paraId="2DEB61B2" w14:textId="77777777">
      <w:pPr>
        <w:pStyle w:val="Textonotapie"/>
        <w:ind w:firstLine="709"/>
        <w:contextualSpacing/>
        <w:jc w:val="both"/>
        <w:rPr>
          <w:rFonts w:ascii="Arial" w:hAnsi="Arial" w:cs="Arial"/>
          <w:color w:val="000000" w:themeColor="text1"/>
          <w:sz w:val="16"/>
          <w:szCs w:val="16"/>
        </w:rPr>
      </w:pPr>
      <w:r w:rsidRPr="006B627F">
        <w:rPr>
          <w:rStyle w:val="Refdenotaalpie"/>
          <w:rFonts w:ascii="Arial" w:hAnsi="Arial" w:cs="Arial"/>
          <w:color w:val="000000" w:themeColor="text1"/>
          <w:sz w:val="16"/>
          <w:szCs w:val="16"/>
        </w:rPr>
        <w:footnoteRef/>
      </w:r>
      <w:r w:rsidRPr="006B627F">
        <w:rPr>
          <w:rFonts w:ascii="Arial" w:hAnsi="Arial" w:cs="Arial"/>
          <w:color w:val="000000" w:themeColor="text1"/>
          <w:sz w:val="16"/>
          <w:szCs w:val="16"/>
        </w:rPr>
        <w:t xml:space="preserve"> Ley 1150 de 2007: “Artículo 2. De las modalidades de selección. La escogencia del contratista se efectuará con arreglo a las modalidades de selección de licitación pública, selección abreviada, concurso de méritos y contratación directa [...]”.</w:t>
      </w:r>
    </w:p>
  </w:footnote>
  <w:footnote w:id="18">
    <w:p w:rsidRPr="006B627F" w:rsidR="00144677" w:rsidP="00144677" w:rsidRDefault="00144677" w14:paraId="3A0FAB87" w14:textId="77777777">
      <w:pPr>
        <w:pStyle w:val="Textonotapie"/>
        <w:ind w:firstLine="709"/>
        <w:contextualSpacing/>
        <w:jc w:val="both"/>
        <w:rPr>
          <w:rFonts w:ascii="Arial" w:hAnsi="Arial" w:cs="Arial"/>
          <w:color w:val="000000" w:themeColor="text1"/>
          <w:sz w:val="16"/>
          <w:szCs w:val="16"/>
        </w:rPr>
      </w:pPr>
      <w:r w:rsidRPr="006B627F">
        <w:rPr>
          <w:rStyle w:val="Refdenotaalpie"/>
          <w:rFonts w:ascii="Arial" w:hAnsi="Arial" w:cs="Arial"/>
          <w:color w:val="000000" w:themeColor="text1"/>
          <w:sz w:val="16"/>
          <w:szCs w:val="16"/>
        </w:rPr>
        <w:footnoteRef/>
      </w:r>
      <w:r w:rsidRPr="006B627F">
        <w:rPr>
          <w:rFonts w:ascii="Arial" w:hAnsi="Arial" w:cs="Arial"/>
          <w:color w:val="000000" w:themeColor="text1"/>
          <w:sz w:val="16"/>
          <w:szCs w:val="16"/>
        </w:rPr>
        <w:t xml:space="preserve"> Decreto 1082 de 2015: “Artículo 2.2.1.2.1.4.4. Convenios o contratos interadministrativos. La modalidad de selección para la contratación entre Entidades Estatales es la contratación directa; </w:t>
      </w:r>
      <w:proofErr w:type="gramStart"/>
      <w:r w:rsidRPr="006B627F">
        <w:rPr>
          <w:rFonts w:ascii="Arial" w:hAnsi="Arial" w:cs="Arial"/>
          <w:color w:val="000000" w:themeColor="text1"/>
          <w:sz w:val="16"/>
          <w:szCs w:val="16"/>
        </w:rPr>
        <w:t>y</w:t>
      </w:r>
      <w:proofErr w:type="gramEnd"/>
      <w:r w:rsidRPr="006B627F">
        <w:rPr>
          <w:rFonts w:ascii="Arial" w:hAnsi="Arial" w:cs="Arial"/>
          <w:color w:val="000000" w:themeColor="text1"/>
          <w:sz w:val="16"/>
          <w:szCs w:val="16"/>
        </w:rPr>
        <w:t xml:space="preserve"> en consecuencia, le es aplicable lo establecido en el artículo 2.2.1.2.1.4.1 del presente decreto.</w:t>
      </w:r>
    </w:p>
    <w:p w:rsidRPr="006B627F" w:rsidR="00144677" w:rsidP="00144677" w:rsidRDefault="00144677" w14:paraId="063426EC" w14:textId="77777777">
      <w:pPr>
        <w:pStyle w:val="Textonotapie"/>
        <w:ind w:firstLine="709"/>
        <w:contextualSpacing/>
        <w:jc w:val="both"/>
        <w:rPr>
          <w:rFonts w:ascii="Arial" w:hAnsi="Arial" w:cs="Arial"/>
          <w:color w:val="000000" w:themeColor="text1"/>
          <w:sz w:val="16"/>
          <w:szCs w:val="16"/>
        </w:rPr>
      </w:pPr>
      <w:r w:rsidRPr="006B627F">
        <w:rPr>
          <w:rFonts w:ascii="Arial" w:hAnsi="Arial" w:cs="Arial"/>
          <w:color w:val="000000" w:themeColor="text1"/>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19">
    <w:p w:rsidRPr="006B627F" w:rsidR="00144677" w:rsidP="00144677" w:rsidRDefault="00144677" w14:paraId="19C5ED26" w14:textId="77777777">
      <w:pPr>
        <w:spacing w:after="0" w:line="240" w:lineRule="auto"/>
        <w:ind w:firstLine="709"/>
        <w:contextualSpacing/>
        <w:jc w:val="both"/>
        <w:rPr>
          <w:rFonts w:ascii="Arial" w:hAnsi="Arial" w:cs="Arial"/>
          <w:color w:val="000000" w:themeColor="text1"/>
          <w:sz w:val="16"/>
          <w:szCs w:val="16"/>
        </w:rPr>
      </w:pPr>
      <w:r w:rsidRPr="006B627F">
        <w:rPr>
          <w:rStyle w:val="Refdenotaalpie"/>
          <w:rFonts w:ascii="Arial" w:hAnsi="Arial" w:cs="Arial"/>
          <w:color w:val="000000" w:themeColor="text1"/>
          <w:sz w:val="16"/>
          <w:szCs w:val="16"/>
        </w:rPr>
        <w:footnoteRef/>
      </w:r>
      <w:r w:rsidRPr="006B627F">
        <w:rPr>
          <w:rStyle w:val="Refdenotaalpie"/>
          <w:rFonts w:ascii="Arial" w:hAnsi="Arial" w:cs="Arial"/>
          <w:color w:val="000000" w:themeColor="text1"/>
          <w:sz w:val="16"/>
          <w:szCs w:val="16"/>
        </w:rPr>
        <w:t xml:space="preserve"> </w:t>
      </w:r>
      <w:r w:rsidRPr="006B627F">
        <w:rPr>
          <w:rFonts w:ascii="Arial" w:hAnsi="Arial" w:cs="Arial"/>
          <w:color w:val="000000" w:themeColor="text1"/>
          <w:sz w:val="16"/>
          <w:szCs w:val="16"/>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footnote>
  <w:footnote w:id="20">
    <w:p w:rsidRPr="006B627F" w:rsidR="00144677" w:rsidP="00144677" w:rsidRDefault="00144677" w14:paraId="5927943C" w14:textId="77777777">
      <w:pPr>
        <w:pStyle w:val="Textonotapie"/>
        <w:ind w:firstLine="709"/>
        <w:contextualSpacing/>
        <w:jc w:val="both"/>
        <w:rPr>
          <w:rFonts w:ascii="Arial" w:hAnsi="Arial" w:cs="Arial"/>
          <w:color w:val="000000" w:themeColor="text1"/>
          <w:sz w:val="16"/>
          <w:szCs w:val="16"/>
        </w:rPr>
      </w:pPr>
      <w:r w:rsidRPr="006B627F">
        <w:rPr>
          <w:rStyle w:val="Refdenotaalpie"/>
          <w:rFonts w:ascii="Arial" w:hAnsi="Arial" w:cs="Arial"/>
          <w:color w:val="000000" w:themeColor="text1"/>
          <w:sz w:val="16"/>
          <w:szCs w:val="16"/>
        </w:rPr>
        <w:footnoteRef/>
      </w:r>
      <w:r w:rsidRPr="006B627F">
        <w:rPr>
          <w:rFonts w:ascii="Arial" w:hAnsi="Arial" w:cs="Arial"/>
          <w:color w:val="000000" w:themeColor="text1"/>
          <w:sz w:val="16"/>
          <w:szCs w:val="16"/>
        </w:rPr>
        <w:t xml:space="preserve"> Código Civil: “Artículo 27. Cuando el sentido de la ley sea claro, no se desatenderá su tenor a pretexto de consultar su espíritu”.</w:t>
      </w:r>
    </w:p>
  </w:footnote>
  <w:footnote w:id="21">
    <w:p w:rsidRPr="006B627F" w:rsidR="00144677" w:rsidP="00144677" w:rsidRDefault="00144677" w14:paraId="5E6E9BEF" w14:textId="77777777">
      <w:pPr>
        <w:pStyle w:val="Textonotapie"/>
        <w:ind w:firstLine="709"/>
        <w:contextualSpacing/>
        <w:jc w:val="both"/>
        <w:rPr>
          <w:rFonts w:ascii="Arial" w:hAnsi="Arial" w:cs="Arial"/>
          <w:color w:val="000000" w:themeColor="text1"/>
          <w:sz w:val="16"/>
          <w:szCs w:val="16"/>
        </w:rPr>
      </w:pPr>
      <w:r w:rsidRPr="006B627F">
        <w:rPr>
          <w:rStyle w:val="Refdenotaalpie"/>
          <w:rFonts w:ascii="Arial" w:hAnsi="Arial" w:cs="Arial"/>
          <w:color w:val="000000" w:themeColor="text1"/>
          <w:sz w:val="16"/>
          <w:szCs w:val="16"/>
        </w:rPr>
        <w:footnoteRef/>
      </w:r>
      <w:r w:rsidRPr="006B627F">
        <w:rPr>
          <w:rFonts w:ascii="Arial" w:hAnsi="Arial" w:cs="Arial"/>
          <w:color w:val="000000" w:themeColor="text1"/>
          <w:sz w:val="16"/>
          <w:szCs w:val="16"/>
        </w:rPr>
        <w:t xml:space="preserve"> Consejo de Estado. Sección Tercera. Sentencia del 23 de junio de 2010. Radicación No. 66001-23-31-000-1998-00261-01(17.860). Consejero Ponente: Mauricio Fajardo Gómez.</w:t>
      </w:r>
    </w:p>
  </w:footnote>
  <w:footnote w:id="22">
    <w:p w:rsidRPr="006B627F" w:rsidR="00144677" w:rsidP="00144677" w:rsidRDefault="00144677" w14:paraId="54610D5E" w14:textId="77777777">
      <w:pPr>
        <w:pStyle w:val="Textonotapie"/>
        <w:ind w:firstLine="709"/>
        <w:contextualSpacing/>
        <w:jc w:val="both"/>
        <w:rPr>
          <w:rFonts w:ascii="Arial" w:hAnsi="Arial" w:cs="Arial"/>
          <w:sz w:val="16"/>
          <w:szCs w:val="16"/>
        </w:rPr>
      </w:pPr>
      <w:r w:rsidRPr="006B627F">
        <w:rPr>
          <w:rStyle w:val="Refdenotaalpie"/>
          <w:rFonts w:ascii="Arial" w:hAnsi="Arial" w:cs="Arial"/>
          <w:sz w:val="16"/>
          <w:szCs w:val="16"/>
        </w:rPr>
        <w:footnoteRef/>
      </w:r>
      <w:r w:rsidRPr="006B627F">
        <w:rPr>
          <w:rFonts w:ascii="Arial" w:hAnsi="Arial" w:cs="Arial"/>
          <w:sz w:val="16"/>
          <w:szCs w:val="16"/>
        </w:rPr>
        <w:t xml:space="preserve"> Consejo de Estado. Sala de Consulta y Servicio Civil. Concepto de 28 de junio de 2012. Rad: 11001-03-06-000-2012-00016-00(2092). CP: William Zambrano Cetina. </w:t>
      </w:r>
    </w:p>
  </w:footnote>
  <w:footnote w:id="23">
    <w:p w:rsidRPr="006B627F" w:rsidR="00144677" w:rsidP="00144677" w:rsidRDefault="00144677" w14:paraId="2A4ABE6B" w14:textId="77777777">
      <w:pPr>
        <w:pStyle w:val="Textonotapie"/>
        <w:ind w:firstLine="708"/>
        <w:contextualSpacing/>
        <w:jc w:val="both"/>
        <w:rPr>
          <w:rFonts w:ascii="Arial" w:hAnsi="Arial" w:cs="Arial"/>
          <w:sz w:val="16"/>
          <w:szCs w:val="16"/>
        </w:rPr>
      </w:pPr>
      <w:r w:rsidRPr="006B627F">
        <w:rPr>
          <w:rStyle w:val="Refdenotaalpie"/>
          <w:rFonts w:ascii="Arial" w:hAnsi="Arial" w:cs="Arial"/>
          <w:sz w:val="16"/>
          <w:szCs w:val="16"/>
        </w:rPr>
        <w:footnoteRef/>
      </w:r>
      <w:r w:rsidRPr="006B627F">
        <w:rPr>
          <w:rFonts w:ascii="Arial" w:hAnsi="Arial" w:cs="Arial"/>
          <w:sz w:val="16"/>
          <w:szCs w:val="16"/>
        </w:rPr>
        <w:t xml:space="preserve"> “Articulo 38. Integración de la rama ejecutiva del poder </w:t>
      </w:r>
      <w:proofErr w:type="spellStart"/>
      <w:r w:rsidRPr="006B627F">
        <w:rPr>
          <w:rFonts w:ascii="Arial" w:hAnsi="Arial" w:cs="Arial"/>
          <w:sz w:val="16"/>
          <w:szCs w:val="16"/>
        </w:rPr>
        <w:t>publico</w:t>
      </w:r>
      <w:proofErr w:type="spellEnd"/>
      <w:r w:rsidRPr="006B627F">
        <w:rPr>
          <w:rFonts w:ascii="Arial" w:hAnsi="Arial" w:cs="Arial"/>
          <w:sz w:val="16"/>
          <w:szCs w:val="16"/>
        </w:rPr>
        <w:t xml:space="preserve"> en el orden nacional. La Rama Ejecutiva del Poder Público en el orden nacional, está integrada por los siguientes organismos y entidades:</w:t>
      </w:r>
    </w:p>
    <w:p w:rsidRPr="006B627F" w:rsidR="00144677" w:rsidP="00144677" w:rsidRDefault="00144677" w14:paraId="1077DE99" w14:textId="77777777">
      <w:pPr>
        <w:pStyle w:val="Textonotapie"/>
        <w:ind w:firstLine="708"/>
        <w:contextualSpacing/>
        <w:jc w:val="both"/>
        <w:rPr>
          <w:rFonts w:ascii="Arial" w:hAnsi="Arial" w:cs="Arial"/>
          <w:sz w:val="16"/>
          <w:szCs w:val="16"/>
        </w:rPr>
      </w:pPr>
      <w:r w:rsidRPr="006B627F">
        <w:rPr>
          <w:rFonts w:ascii="Arial" w:hAnsi="Arial" w:cs="Arial"/>
          <w:sz w:val="16"/>
          <w:szCs w:val="16"/>
        </w:rPr>
        <w:t>1. Del Sector Central:</w:t>
      </w:r>
    </w:p>
    <w:p w:rsidRPr="006B627F" w:rsidR="00144677" w:rsidP="00144677" w:rsidRDefault="00144677" w14:paraId="61A3513F" w14:textId="77777777">
      <w:pPr>
        <w:pStyle w:val="Textonotapie"/>
        <w:ind w:firstLine="708"/>
        <w:contextualSpacing/>
        <w:jc w:val="both"/>
        <w:rPr>
          <w:rFonts w:ascii="Arial" w:hAnsi="Arial" w:cs="Arial"/>
          <w:sz w:val="16"/>
          <w:szCs w:val="16"/>
        </w:rPr>
      </w:pPr>
      <w:r w:rsidRPr="006B627F">
        <w:rPr>
          <w:rFonts w:ascii="Arial" w:hAnsi="Arial" w:cs="Arial"/>
          <w:sz w:val="16"/>
          <w:szCs w:val="16"/>
        </w:rPr>
        <w:t>a) La Presidencia de la República;</w:t>
      </w:r>
    </w:p>
    <w:p w:rsidRPr="006B627F" w:rsidR="00144677" w:rsidP="00144677" w:rsidRDefault="00144677" w14:paraId="5170CA88" w14:textId="77777777">
      <w:pPr>
        <w:pStyle w:val="Textonotapie"/>
        <w:ind w:firstLine="708"/>
        <w:contextualSpacing/>
        <w:jc w:val="both"/>
        <w:rPr>
          <w:rFonts w:ascii="Arial" w:hAnsi="Arial" w:cs="Arial"/>
          <w:sz w:val="16"/>
          <w:szCs w:val="16"/>
        </w:rPr>
      </w:pPr>
      <w:r w:rsidRPr="006B627F">
        <w:rPr>
          <w:rFonts w:ascii="Arial" w:hAnsi="Arial" w:cs="Arial"/>
          <w:sz w:val="16"/>
          <w:szCs w:val="16"/>
        </w:rPr>
        <w:t>b) La Vicepresidencia de la República;</w:t>
      </w:r>
    </w:p>
    <w:p w:rsidRPr="006B627F" w:rsidR="00144677" w:rsidP="00144677" w:rsidRDefault="00144677" w14:paraId="6F16ABC7" w14:textId="77777777">
      <w:pPr>
        <w:pStyle w:val="Textonotapie"/>
        <w:ind w:firstLine="708"/>
        <w:contextualSpacing/>
        <w:jc w:val="both"/>
        <w:rPr>
          <w:rFonts w:ascii="Arial" w:hAnsi="Arial" w:cs="Arial"/>
          <w:sz w:val="16"/>
          <w:szCs w:val="16"/>
        </w:rPr>
      </w:pPr>
      <w:r w:rsidRPr="006B627F">
        <w:rPr>
          <w:rFonts w:ascii="Arial" w:hAnsi="Arial" w:cs="Arial"/>
          <w:sz w:val="16"/>
          <w:szCs w:val="16"/>
        </w:rPr>
        <w:t>c) Los Consejos Superiores de la administración;</w:t>
      </w:r>
    </w:p>
    <w:p w:rsidRPr="006B627F" w:rsidR="00144677" w:rsidP="00144677" w:rsidRDefault="00144677" w14:paraId="53C8F278" w14:textId="77777777">
      <w:pPr>
        <w:pStyle w:val="Textonotapie"/>
        <w:ind w:firstLine="708"/>
        <w:contextualSpacing/>
        <w:jc w:val="both"/>
        <w:rPr>
          <w:rFonts w:ascii="Arial" w:hAnsi="Arial" w:cs="Arial"/>
          <w:sz w:val="16"/>
          <w:szCs w:val="16"/>
        </w:rPr>
      </w:pPr>
      <w:r w:rsidRPr="006B627F">
        <w:rPr>
          <w:rFonts w:ascii="Arial" w:hAnsi="Arial" w:cs="Arial"/>
          <w:sz w:val="16"/>
          <w:szCs w:val="16"/>
        </w:rPr>
        <w:t>d) Los ministerios y departamentos administrativos;</w:t>
      </w:r>
    </w:p>
    <w:p w:rsidRPr="006B627F" w:rsidR="00144677" w:rsidP="00144677" w:rsidRDefault="00144677" w14:paraId="5F0AC520" w14:textId="77777777">
      <w:pPr>
        <w:pStyle w:val="Textonotapie"/>
        <w:ind w:firstLine="708"/>
        <w:contextualSpacing/>
        <w:jc w:val="both"/>
        <w:rPr>
          <w:rFonts w:ascii="Arial" w:hAnsi="Arial" w:cs="Arial"/>
          <w:sz w:val="16"/>
          <w:szCs w:val="16"/>
        </w:rPr>
      </w:pPr>
      <w:r w:rsidRPr="006B627F">
        <w:rPr>
          <w:rFonts w:ascii="Arial" w:hAnsi="Arial" w:cs="Arial"/>
          <w:sz w:val="16"/>
          <w:szCs w:val="16"/>
        </w:rPr>
        <w:t>e) Las superintendencias y unidades administrativas especiales sin personería jurídica.</w:t>
      </w:r>
    </w:p>
    <w:p w:rsidRPr="006B627F" w:rsidR="00144677" w:rsidP="00144677" w:rsidRDefault="00144677" w14:paraId="3B394D2B" w14:textId="77777777">
      <w:pPr>
        <w:pStyle w:val="Textonotapie"/>
        <w:ind w:firstLine="708"/>
        <w:contextualSpacing/>
        <w:jc w:val="both"/>
        <w:rPr>
          <w:rFonts w:ascii="Arial" w:hAnsi="Arial" w:cs="Arial"/>
          <w:i/>
          <w:iCs/>
          <w:sz w:val="16"/>
          <w:szCs w:val="16"/>
        </w:rPr>
      </w:pPr>
      <w:r w:rsidRPr="006B627F">
        <w:rPr>
          <w:rFonts w:ascii="Arial" w:hAnsi="Arial" w:cs="Arial"/>
          <w:i/>
          <w:iCs/>
          <w:sz w:val="16"/>
          <w:szCs w:val="16"/>
        </w:rPr>
        <w:t>2. Del Sector descentralizado por servicios:</w:t>
      </w:r>
    </w:p>
    <w:p w:rsidRPr="006B627F" w:rsidR="00144677" w:rsidP="00144677" w:rsidRDefault="00144677" w14:paraId="20523DB8" w14:textId="77777777">
      <w:pPr>
        <w:pStyle w:val="Textonotapie"/>
        <w:ind w:firstLine="708"/>
        <w:contextualSpacing/>
        <w:jc w:val="both"/>
        <w:rPr>
          <w:rFonts w:ascii="Arial" w:hAnsi="Arial" w:cs="Arial"/>
          <w:sz w:val="16"/>
          <w:szCs w:val="16"/>
        </w:rPr>
      </w:pPr>
      <w:r w:rsidRPr="006B627F">
        <w:rPr>
          <w:rFonts w:ascii="Arial" w:hAnsi="Arial" w:cs="Arial"/>
          <w:sz w:val="16"/>
          <w:szCs w:val="16"/>
        </w:rPr>
        <w:t>a) Los establecimientos públicos;</w:t>
      </w:r>
    </w:p>
    <w:p w:rsidRPr="006B627F" w:rsidR="00144677" w:rsidP="00144677" w:rsidRDefault="00144677" w14:paraId="0E16802F" w14:textId="77777777">
      <w:pPr>
        <w:pStyle w:val="Textonotapie"/>
        <w:ind w:firstLine="708"/>
        <w:contextualSpacing/>
        <w:jc w:val="both"/>
        <w:rPr>
          <w:rFonts w:ascii="Arial" w:hAnsi="Arial" w:cs="Arial"/>
          <w:sz w:val="16"/>
          <w:szCs w:val="16"/>
        </w:rPr>
      </w:pPr>
      <w:r w:rsidRPr="006B627F">
        <w:rPr>
          <w:rFonts w:ascii="Arial" w:hAnsi="Arial" w:cs="Arial"/>
          <w:i/>
          <w:iCs/>
          <w:sz w:val="16"/>
          <w:szCs w:val="16"/>
        </w:rPr>
        <w:t>b) Las empresas industriales y comerciales del Estado</w:t>
      </w:r>
      <w:r w:rsidRPr="006B627F">
        <w:rPr>
          <w:rFonts w:ascii="Arial" w:hAnsi="Arial" w:cs="Arial"/>
          <w:sz w:val="16"/>
          <w:szCs w:val="16"/>
        </w:rPr>
        <w:t>;</w:t>
      </w:r>
    </w:p>
    <w:p w:rsidRPr="006B627F" w:rsidR="00144677" w:rsidP="00144677" w:rsidRDefault="00144677" w14:paraId="1040315E" w14:textId="77777777">
      <w:pPr>
        <w:pStyle w:val="Textonotapie"/>
        <w:ind w:firstLine="708"/>
        <w:contextualSpacing/>
        <w:jc w:val="both"/>
        <w:rPr>
          <w:rFonts w:ascii="Arial" w:hAnsi="Arial" w:cs="Arial"/>
          <w:sz w:val="16"/>
          <w:szCs w:val="16"/>
        </w:rPr>
      </w:pPr>
      <w:r w:rsidRPr="006B627F">
        <w:rPr>
          <w:rFonts w:ascii="Arial" w:hAnsi="Arial" w:cs="Arial"/>
          <w:sz w:val="16"/>
          <w:szCs w:val="16"/>
        </w:rPr>
        <w:t>c) Las superintendencias y las unidades administrativas especiales con personería jurídica;</w:t>
      </w:r>
    </w:p>
    <w:p w:rsidRPr="006B627F" w:rsidR="00144677" w:rsidP="00144677" w:rsidRDefault="00144677" w14:paraId="09B28FA9" w14:textId="77777777">
      <w:pPr>
        <w:pStyle w:val="Textonotapie"/>
        <w:ind w:firstLine="708"/>
        <w:contextualSpacing/>
        <w:jc w:val="both"/>
        <w:rPr>
          <w:rFonts w:ascii="Arial" w:hAnsi="Arial" w:cs="Arial"/>
          <w:sz w:val="16"/>
          <w:szCs w:val="16"/>
        </w:rPr>
      </w:pPr>
      <w:r w:rsidRPr="006B627F">
        <w:rPr>
          <w:rFonts w:ascii="Arial" w:hAnsi="Arial" w:cs="Arial"/>
          <w:sz w:val="16"/>
          <w:szCs w:val="16"/>
        </w:rPr>
        <w:t>d) Las empresas sociales del Estado y las empresas oficiales de servicios públicos domiciliarios;</w:t>
      </w:r>
    </w:p>
    <w:p w:rsidRPr="006B627F" w:rsidR="00144677" w:rsidP="00144677" w:rsidRDefault="00144677" w14:paraId="223DF5D4" w14:textId="77777777">
      <w:pPr>
        <w:pStyle w:val="Textonotapie"/>
        <w:ind w:firstLine="708"/>
        <w:contextualSpacing/>
        <w:jc w:val="both"/>
        <w:rPr>
          <w:rFonts w:ascii="Arial" w:hAnsi="Arial" w:cs="Arial"/>
          <w:sz w:val="16"/>
          <w:szCs w:val="16"/>
        </w:rPr>
      </w:pPr>
      <w:r w:rsidRPr="006B627F">
        <w:rPr>
          <w:rFonts w:ascii="Arial" w:hAnsi="Arial" w:cs="Arial"/>
          <w:sz w:val="16"/>
          <w:szCs w:val="16"/>
        </w:rPr>
        <w:t>e) Los institutos científicos y tecnológicos;</w:t>
      </w:r>
    </w:p>
    <w:p w:rsidRPr="006B627F" w:rsidR="00144677" w:rsidP="00144677" w:rsidRDefault="00144677" w14:paraId="3E0C78AB" w14:textId="77777777">
      <w:pPr>
        <w:pStyle w:val="Textonotapie"/>
        <w:ind w:firstLine="708"/>
        <w:contextualSpacing/>
        <w:jc w:val="both"/>
        <w:rPr>
          <w:rFonts w:ascii="Arial" w:hAnsi="Arial" w:cs="Arial"/>
          <w:sz w:val="16"/>
          <w:szCs w:val="16"/>
        </w:rPr>
      </w:pPr>
      <w:r w:rsidRPr="006B627F">
        <w:rPr>
          <w:rFonts w:ascii="Arial" w:hAnsi="Arial" w:cs="Arial"/>
          <w:sz w:val="16"/>
          <w:szCs w:val="16"/>
        </w:rPr>
        <w:t xml:space="preserve">f) Las sociedades públicas y </w:t>
      </w:r>
      <w:r w:rsidRPr="006B627F">
        <w:rPr>
          <w:rFonts w:ascii="Arial" w:hAnsi="Arial" w:cs="Arial"/>
          <w:i/>
          <w:iCs/>
          <w:sz w:val="16"/>
          <w:szCs w:val="16"/>
        </w:rPr>
        <w:t>las sociedades de economía mixta</w:t>
      </w:r>
      <w:r w:rsidRPr="006B627F">
        <w:rPr>
          <w:rFonts w:ascii="Arial" w:hAnsi="Arial" w:cs="Arial"/>
          <w:sz w:val="16"/>
          <w:szCs w:val="16"/>
        </w:rPr>
        <w:t>;</w:t>
      </w:r>
    </w:p>
    <w:p w:rsidRPr="006B627F" w:rsidR="00144677" w:rsidP="00144677" w:rsidRDefault="00144677" w14:paraId="7F7E09DD" w14:textId="77777777">
      <w:pPr>
        <w:pStyle w:val="Textonotapie"/>
        <w:ind w:firstLine="708"/>
        <w:contextualSpacing/>
        <w:jc w:val="both"/>
        <w:rPr>
          <w:rFonts w:ascii="Arial" w:hAnsi="Arial" w:cs="Arial"/>
          <w:sz w:val="16"/>
          <w:szCs w:val="16"/>
        </w:rPr>
      </w:pPr>
      <w:r w:rsidRPr="006B627F">
        <w:rPr>
          <w:rFonts w:ascii="Arial" w:hAnsi="Arial" w:cs="Arial"/>
          <w:sz w:val="16"/>
          <w:szCs w:val="16"/>
        </w:rPr>
        <w:t>g) Las demás entidades administrativas nacionales con personería jurídica que cree, organice o autorice la ley para que formen parte de la Rama Ejecutiva del Poder Público” (Cursivas fuera del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D6F55FC">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061B2A">
      <w:rPr>
        <w:rFonts w:ascii="Century Gothic" w:hAnsi="Century Gothic" w:eastAsia="Geo" w:cs="Geo"/>
        <w:bCs/>
        <w:color w:val="000000"/>
        <w:sz w:val="16"/>
        <w:szCs w:val="16"/>
        <w:lang w:eastAsia="es-CO"/>
      </w:rPr>
      <w:t>7</w:t>
    </w:r>
  </w:p>
  <w:p w:rsidRPr="004A305D" w:rsidR="004A305D" w:rsidP="004A305D" w:rsidRDefault="004A305D" w14:paraId="5E18350A" w14:textId="39FD735C">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322A85">
      <w:rPr>
        <w:rFonts w:ascii="Century Gothic" w:hAnsi="Century Gothic" w:eastAsia="Geo" w:cs="Geo"/>
        <w:sz w:val="16"/>
        <w:szCs w:val="16"/>
        <w:lang w:eastAsia="es-CO"/>
      </w:rPr>
      <w:t>2</w:t>
    </w:r>
    <w:r w:rsidRPr="004A305D">
      <w:rPr>
        <w:rFonts w:ascii="Century Gothic" w:hAnsi="Century Gothic" w:eastAsia="Geo" w:cs="Geo"/>
        <w:sz w:val="16"/>
        <w:szCs w:val="16"/>
        <w:lang w:eastAsia="es-CO"/>
      </w:rPr>
      <w:t xml:space="preserve"> DEL </w:t>
    </w:r>
    <w:r w:rsidR="002E4FD9">
      <w:rPr>
        <w:rFonts w:ascii="Century Gothic" w:hAnsi="Century Gothic" w:eastAsia="Geo" w:cs="Geo"/>
        <w:sz w:val="16"/>
        <w:szCs w:val="16"/>
        <w:lang w:eastAsia="es-CO"/>
      </w:rPr>
      <w:t>31</w:t>
    </w:r>
    <w:r w:rsidR="00CB6357">
      <w:rPr>
        <w:rFonts w:ascii="Century Gothic" w:hAnsi="Century Gothic" w:eastAsia="Geo" w:cs="Geo"/>
        <w:sz w:val="16"/>
        <w:szCs w:val="16"/>
        <w:lang w:eastAsia="es-CO"/>
      </w:rPr>
      <w:t xml:space="preserve"> </w:t>
    </w:r>
    <w:r w:rsidRPr="004A305D">
      <w:rPr>
        <w:rFonts w:ascii="Century Gothic" w:hAnsi="Century Gothic" w:eastAsia="Geo" w:cs="Geo"/>
        <w:sz w:val="16"/>
        <w:szCs w:val="16"/>
        <w:lang w:eastAsia="es-CO"/>
      </w:rPr>
      <w:t xml:space="preserve">DE </w:t>
    </w:r>
    <w:r w:rsidR="00322A85">
      <w:rPr>
        <w:rFonts w:ascii="Century Gothic" w:hAnsi="Century Gothic" w:eastAsia="Geo" w:cs="Geo"/>
        <w:sz w:val="16"/>
        <w:szCs w:val="16"/>
        <w:lang w:eastAsia="es-CO"/>
      </w:rPr>
      <w:t>AGOSTO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4pt;height:11.4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133853393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2031D"/>
    <w:rsid w:val="00033FF7"/>
    <w:rsid w:val="00061B2A"/>
    <w:rsid w:val="00082362"/>
    <w:rsid w:val="0009075A"/>
    <w:rsid w:val="000A683E"/>
    <w:rsid w:val="000B19B9"/>
    <w:rsid w:val="000D0334"/>
    <w:rsid w:val="000F5045"/>
    <w:rsid w:val="000F6486"/>
    <w:rsid w:val="00125105"/>
    <w:rsid w:val="00127233"/>
    <w:rsid w:val="00144677"/>
    <w:rsid w:val="0016025F"/>
    <w:rsid w:val="001E4177"/>
    <w:rsid w:val="001F7DC6"/>
    <w:rsid w:val="002421BB"/>
    <w:rsid w:val="002707A2"/>
    <w:rsid w:val="00294F25"/>
    <w:rsid w:val="002951A0"/>
    <w:rsid w:val="002962BC"/>
    <w:rsid w:val="002A093D"/>
    <w:rsid w:val="002A0DD0"/>
    <w:rsid w:val="002A49AC"/>
    <w:rsid w:val="002A64FD"/>
    <w:rsid w:val="002C7A84"/>
    <w:rsid w:val="002E4FD9"/>
    <w:rsid w:val="00317B99"/>
    <w:rsid w:val="00322A85"/>
    <w:rsid w:val="00342E11"/>
    <w:rsid w:val="003448F4"/>
    <w:rsid w:val="00374F5E"/>
    <w:rsid w:val="00377E3E"/>
    <w:rsid w:val="003A779E"/>
    <w:rsid w:val="003D0F4D"/>
    <w:rsid w:val="003D5B0D"/>
    <w:rsid w:val="003E0499"/>
    <w:rsid w:val="003F3941"/>
    <w:rsid w:val="00406575"/>
    <w:rsid w:val="0042722E"/>
    <w:rsid w:val="00442330"/>
    <w:rsid w:val="004A129F"/>
    <w:rsid w:val="004A1847"/>
    <w:rsid w:val="004A305D"/>
    <w:rsid w:val="004F21C4"/>
    <w:rsid w:val="004F685F"/>
    <w:rsid w:val="00505348"/>
    <w:rsid w:val="005566E8"/>
    <w:rsid w:val="00574867"/>
    <w:rsid w:val="00591460"/>
    <w:rsid w:val="005A2340"/>
    <w:rsid w:val="005C3777"/>
    <w:rsid w:val="005C5CDC"/>
    <w:rsid w:val="005D476C"/>
    <w:rsid w:val="00601E52"/>
    <w:rsid w:val="006219F8"/>
    <w:rsid w:val="00665D70"/>
    <w:rsid w:val="006900D9"/>
    <w:rsid w:val="006B627F"/>
    <w:rsid w:val="00706C16"/>
    <w:rsid w:val="00756841"/>
    <w:rsid w:val="007649AB"/>
    <w:rsid w:val="00771D0C"/>
    <w:rsid w:val="007833AC"/>
    <w:rsid w:val="007B268C"/>
    <w:rsid w:val="007B7171"/>
    <w:rsid w:val="007C3DC2"/>
    <w:rsid w:val="007E5497"/>
    <w:rsid w:val="00806F5F"/>
    <w:rsid w:val="00820278"/>
    <w:rsid w:val="008843B6"/>
    <w:rsid w:val="00891928"/>
    <w:rsid w:val="008A446D"/>
    <w:rsid w:val="008D180B"/>
    <w:rsid w:val="008F0EA7"/>
    <w:rsid w:val="00922D1B"/>
    <w:rsid w:val="00923EEF"/>
    <w:rsid w:val="009411D8"/>
    <w:rsid w:val="009419F9"/>
    <w:rsid w:val="009503C0"/>
    <w:rsid w:val="00961B09"/>
    <w:rsid w:val="00965334"/>
    <w:rsid w:val="0097093E"/>
    <w:rsid w:val="009C71FA"/>
    <w:rsid w:val="009C72E7"/>
    <w:rsid w:val="009F3A13"/>
    <w:rsid w:val="00A122D3"/>
    <w:rsid w:val="00A17F13"/>
    <w:rsid w:val="00A20739"/>
    <w:rsid w:val="00A33C78"/>
    <w:rsid w:val="00A74BF6"/>
    <w:rsid w:val="00AB02C6"/>
    <w:rsid w:val="00AB0ADB"/>
    <w:rsid w:val="00B72669"/>
    <w:rsid w:val="00B72CD3"/>
    <w:rsid w:val="00B72FFF"/>
    <w:rsid w:val="00BA5598"/>
    <w:rsid w:val="00BC3D36"/>
    <w:rsid w:val="00BD712C"/>
    <w:rsid w:val="00BD7F72"/>
    <w:rsid w:val="00C04FB3"/>
    <w:rsid w:val="00C330EB"/>
    <w:rsid w:val="00C754BE"/>
    <w:rsid w:val="00C76B1C"/>
    <w:rsid w:val="00CB6357"/>
    <w:rsid w:val="00CC1B26"/>
    <w:rsid w:val="00D423A2"/>
    <w:rsid w:val="00D63AC2"/>
    <w:rsid w:val="00D7383B"/>
    <w:rsid w:val="00DA231B"/>
    <w:rsid w:val="00DF5254"/>
    <w:rsid w:val="00E16408"/>
    <w:rsid w:val="00E20894"/>
    <w:rsid w:val="00E245AB"/>
    <w:rsid w:val="00E2764C"/>
    <w:rsid w:val="00E27F2E"/>
    <w:rsid w:val="00E32678"/>
    <w:rsid w:val="00E37FE9"/>
    <w:rsid w:val="00E50AFE"/>
    <w:rsid w:val="00E771DC"/>
    <w:rsid w:val="00E8772A"/>
    <w:rsid w:val="00E90F6B"/>
    <w:rsid w:val="00E92C27"/>
    <w:rsid w:val="00E97D30"/>
    <w:rsid w:val="00EA0E3D"/>
    <w:rsid w:val="00EE1AA8"/>
    <w:rsid w:val="00F31EDC"/>
    <w:rsid w:val="00F462B3"/>
    <w:rsid w:val="00F5664F"/>
    <w:rsid w:val="00F666C4"/>
    <w:rsid w:val="00F76AFC"/>
    <w:rsid w:val="00FB5DD1"/>
    <w:rsid w:val="00FC2B5D"/>
    <w:rsid w:val="00FF1449"/>
    <w:rsid w:val="319EC9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table" w:styleId="Tablaconcuadrcula1" w:customStyle="1">
    <w:name w:val="Tabla con cuadrícula1"/>
    <w:basedOn w:val="Tablanormal"/>
    <w:next w:val="Tablaconcuadrcula"/>
    <w:uiPriority w:val="59"/>
    <w:rsid w:val="0014467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144677"/>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92208826">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www.w3.org/XML/1998/namespace"/>
    <ds:schemaRef ds:uri="http://schemas.microsoft.com/office/infopath/2007/PartnerControls"/>
    <ds:schemaRef ds:uri="http://schemas.microsoft.com/office/2006/documentManagement/types"/>
    <ds:schemaRef ds:uri="cabc2350-70b2-4dba-bb42-96a3175f4d5a"/>
    <ds:schemaRef ds:uri="8ae15d26-076e-464e-81a7-6f76a0fb3917"/>
    <ds:schemaRef ds:uri="http://purl.org/dc/elements/1.1/"/>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01C6923-6C60-444A-87B5-87C6B7B796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Johanna Ovalle Clavijo</lastModifiedBy>
  <revision>12</revision>
  <lastPrinted>2023-01-10T21:18:00.0000000Z</lastPrinted>
  <dcterms:created xsi:type="dcterms:W3CDTF">2023-09-13T00:01:00.0000000Z</dcterms:created>
  <dcterms:modified xsi:type="dcterms:W3CDTF">2023-10-13T19:56:26.5225713Z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