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D83E" w14:textId="77777777" w:rsidR="00FA69D2" w:rsidRDefault="00B66A5F" w:rsidP="00B66A5F">
      <w:pPr>
        <w:jc w:val="both"/>
        <w:rPr>
          <w:rFonts w:ascii="Arial" w:eastAsia="Calibri" w:hAnsi="Arial" w:cs="Arial"/>
          <w:b/>
        </w:rPr>
      </w:pPr>
      <w:r w:rsidRPr="00B66A5F">
        <w:rPr>
          <w:rFonts w:ascii="Arial" w:eastAsia="Calibri" w:hAnsi="Arial" w:cs="Arial"/>
          <w:b/>
        </w:rPr>
        <w:t>CONTRATO ESTATAL – Ejercicio – Funciones de control y vigilancia</w:t>
      </w:r>
    </w:p>
    <w:p w14:paraId="5678FB13" w14:textId="6F8784B2" w:rsidR="00B615D1" w:rsidRPr="00B615D1" w:rsidRDefault="00B615D1" w:rsidP="00B615D1">
      <w:pPr>
        <w:jc w:val="both"/>
        <w:rPr>
          <w:rFonts w:ascii="Arial" w:eastAsia="Calibri" w:hAnsi="Arial" w:cs="Arial"/>
          <w:bCs/>
        </w:rPr>
      </w:pPr>
      <w:r>
        <w:rPr>
          <w:rFonts w:ascii="Arial" w:eastAsia="Calibri" w:hAnsi="Arial" w:cs="Arial"/>
          <w:bCs/>
        </w:rPr>
        <w:t>E</w:t>
      </w:r>
      <w:r w:rsidRPr="00B615D1">
        <w:rPr>
          <w:rFonts w:ascii="Arial" w:eastAsia="Calibri" w:hAnsi="Arial" w:cs="Arial"/>
          <w:bCs/>
        </w:rPr>
        <w:t>l seguimiento de la ejecución del contrato para su dirección, control y</w:t>
      </w:r>
      <w:r>
        <w:rPr>
          <w:rFonts w:ascii="Arial" w:eastAsia="Calibri" w:hAnsi="Arial" w:cs="Arial"/>
          <w:bCs/>
        </w:rPr>
        <w:t xml:space="preserve"> </w:t>
      </w:r>
      <w:r w:rsidRPr="00B615D1">
        <w:rPr>
          <w:rFonts w:ascii="Arial" w:eastAsia="Calibri" w:hAnsi="Arial" w:cs="Arial"/>
          <w:bCs/>
        </w:rPr>
        <w:t>vigilancia del correcto cumplimiento del objeto es un deber legal que permite</w:t>
      </w:r>
      <w:r>
        <w:rPr>
          <w:rFonts w:ascii="Arial" w:eastAsia="Calibri" w:hAnsi="Arial" w:cs="Arial"/>
          <w:bCs/>
        </w:rPr>
        <w:t xml:space="preserve"> </w:t>
      </w:r>
      <w:r w:rsidRPr="00B615D1">
        <w:rPr>
          <w:rFonts w:ascii="Arial" w:eastAsia="Calibri" w:hAnsi="Arial" w:cs="Arial"/>
          <w:bCs/>
        </w:rPr>
        <w:t>a las entidades estatales tomar medidas orientadas a la satisfacción de los</w:t>
      </w:r>
      <w:r>
        <w:rPr>
          <w:rFonts w:ascii="Arial" w:eastAsia="Calibri" w:hAnsi="Arial" w:cs="Arial"/>
          <w:bCs/>
        </w:rPr>
        <w:t xml:space="preserve"> </w:t>
      </w:r>
      <w:r w:rsidRPr="00B615D1">
        <w:rPr>
          <w:rFonts w:ascii="Arial" w:eastAsia="Calibri" w:hAnsi="Arial" w:cs="Arial"/>
          <w:bCs/>
        </w:rPr>
        <w:t>fines de la contratación, dentro de las cuales, se encuentra la posibilidad de</w:t>
      </w:r>
      <w:r>
        <w:rPr>
          <w:rFonts w:ascii="Arial" w:eastAsia="Calibri" w:hAnsi="Arial" w:cs="Arial"/>
          <w:bCs/>
        </w:rPr>
        <w:t xml:space="preserve"> </w:t>
      </w:r>
      <w:r w:rsidRPr="00B615D1">
        <w:rPr>
          <w:rFonts w:ascii="Arial" w:eastAsia="Calibri" w:hAnsi="Arial" w:cs="Arial"/>
          <w:bCs/>
        </w:rPr>
        <w:t>pactar y ejercer las cláusulas exorbitantes, la designación de una supervisión</w:t>
      </w:r>
      <w:r>
        <w:rPr>
          <w:rFonts w:ascii="Arial" w:eastAsia="Calibri" w:hAnsi="Arial" w:cs="Arial"/>
          <w:bCs/>
        </w:rPr>
        <w:t xml:space="preserve"> </w:t>
      </w:r>
      <w:r w:rsidRPr="00B615D1">
        <w:rPr>
          <w:rFonts w:ascii="Arial" w:eastAsia="Calibri" w:hAnsi="Arial" w:cs="Arial"/>
          <w:bCs/>
        </w:rPr>
        <w:t>o la contratación de una interventoría para vigilar la ejecución del contrato y</w:t>
      </w:r>
      <w:r>
        <w:rPr>
          <w:rFonts w:ascii="Arial" w:eastAsia="Calibri" w:hAnsi="Arial" w:cs="Arial"/>
          <w:bCs/>
        </w:rPr>
        <w:t xml:space="preserve"> </w:t>
      </w:r>
      <w:r w:rsidRPr="00B615D1">
        <w:rPr>
          <w:rFonts w:ascii="Arial" w:eastAsia="Calibri" w:hAnsi="Arial" w:cs="Arial"/>
          <w:bCs/>
        </w:rPr>
        <w:t>la facultad de pactar e imponer multas, cláusula penal o hacer efectivas las</w:t>
      </w:r>
      <w:r>
        <w:rPr>
          <w:rFonts w:ascii="Arial" w:eastAsia="Calibri" w:hAnsi="Arial" w:cs="Arial"/>
          <w:bCs/>
        </w:rPr>
        <w:t xml:space="preserve"> </w:t>
      </w:r>
      <w:r w:rsidRPr="00B615D1">
        <w:rPr>
          <w:rFonts w:ascii="Arial" w:eastAsia="Calibri" w:hAnsi="Arial" w:cs="Arial"/>
          <w:bCs/>
        </w:rPr>
        <w:t>garantías del contrato, previa declaratoria de incumplimiento de las</w:t>
      </w:r>
      <w:r>
        <w:rPr>
          <w:rFonts w:ascii="Arial" w:eastAsia="Calibri" w:hAnsi="Arial" w:cs="Arial"/>
          <w:bCs/>
        </w:rPr>
        <w:t xml:space="preserve"> </w:t>
      </w:r>
      <w:r w:rsidRPr="00B615D1">
        <w:rPr>
          <w:rFonts w:ascii="Arial" w:eastAsia="Calibri" w:hAnsi="Arial" w:cs="Arial"/>
          <w:bCs/>
        </w:rPr>
        <w:t>obligaciones del contrato, en aras de lograr la satisfacción de las</w:t>
      </w:r>
      <w:r>
        <w:rPr>
          <w:rFonts w:ascii="Arial" w:eastAsia="Calibri" w:hAnsi="Arial" w:cs="Arial"/>
          <w:bCs/>
        </w:rPr>
        <w:t xml:space="preserve"> </w:t>
      </w:r>
      <w:r w:rsidRPr="00B615D1">
        <w:rPr>
          <w:rFonts w:ascii="Arial" w:eastAsia="Calibri" w:hAnsi="Arial" w:cs="Arial"/>
          <w:bCs/>
        </w:rPr>
        <w:t>necesidades de bienes, obras o servicios que se pretenden suplir con la</w:t>
      </w:r>
      <w:r>
        <w:rPr>
          <w:rFonts w:ascii="Arial" w:eastAsia="Calibri" w:hAnsi="Arial" w:cs="Arial"/>
          <w:bCs/>
        </w:rPr>
        <w:t xml:space="preserve"> </w:t>
      </w:r>
      <w:r w:rsidRPr="00B615D1">
        <w:rPr>
          <w:rFonts w:ascii="Arial" w:eastAsia="Calibri" w:hAnsi="Arial" w:cs="Arial"/>
          <w:bCs/>
        </w:rPr>
        <w:t>celebración de los contratos estatales.</w:t>
      </w:r>
    </w:p>
    <w:p w14:paraId="4711CF51" w14:textId="77777777" w:rsidR="00FA69D2" w:rsidRDefault="00B66A5F" w:rsidP="00B66A5F">
      <w:pPr>
        <w:jc w:val="both"/>
        <w:rPr>
          <w:rFonts w:ascii="Arial" w:eastAsia="Calibri" w:hAnsi="Arial" w:cs="Arial"/>
          <w:b/>
        </w:rPr>
      </w:pPr>
      <w:r w:rsidRPr="00B66A5F">
        <w:rPr>
          <w:rFonts w:ascii="Arial" w:eastAsia="Calibri" w:hAnsi="Arial" w:cs="Arial"/>
          <w:b/>
        </w:rPr>
        <w:t xml:space="preserve">CONTRATO ESTATAL – Funciones de control y vigilancia </w:t>
      </w:r>
    </w:p>
    <w:p w14:paraId="2FA3F0D2" w14:textId="77777777" w:rsidR="00FA69D2" w:rsidRDefault="00B66A5F" w:rsidP="00B66A5F">
      <w:pPr>
        <w:jc w:val="both"/>
        <w:rPr>
          <w:rFonts w:ascii="Arial" w:eastAsia="Calibri" w:hAnsi="Arial" w:cs="Arial"/>
          <w:b/>
        </w:rPr>
      </w:pPr>
      <w:r w:rsidRPr="00B66A5F">
        <w:rPr>
          <w:rFonts w:ascii="Arial" w:eastAsia="Calibri" w:hAnsi="Arial" w:cs="Arial"/>
          <w:b/>
        </w:rPr>
        <w:t>SUPERVISIÓN – Ejercicio – Contratista – Apoyo a la supervisión</w:t>
      </w:r>
    </w:p>
    <w:p w14:paraId="1E5E0DCC" w14:textId="79077F1A" w:rsidR="00B66A5F" w:rsidRPr="00B66A5F" w:rsidRDefault="00B66A5F" w:rsidP="00B66A5F">
      <w:pPr>
        <w:jc w:val="both"/>
        <w:rPr>
          <w:rFonts w:ascii="Arial" w:eastAsia="Calibri" w:hAnsi="Arial" w:cs="Arial"/>
          <w:b/>
        </w:rPr>
      </w:pPr>
      <w:r w:rsidRPr="00B66A5F">
        <w:rPr>
          <w:rFonts w:ascii="Arial" w:eastAsia="Calibri" w:hAnsi="Arial" w:cs="Arial"/>
          <w:b/>
          <w:color w:val="000000" w:themeColor="text1"/>
          <w:sz w:val="21"/>
          <w:szCs w:val="21"/>
        </w:rPr>
        <w:t>SUPERVISIÓN − Imposibilidad de ser ejercida por un contratista</w:t>
      </w:r>
    </w:p>
    <w:p w14:paraId="4E6860A5" w14:textId="77777777" w:rsidR="00B66A5F" w:rsidRDefault="00B66A5F">
      <w:pPr>
        <w:rPr>
          <w:rFonts w:ascii="Arial" w:hAnsi="Arial" w:cs="Arial"/>
        </w:rPr>
      </w:pPr>
    </w:p>
    <w:p w14:paraId="27988287" w14:textId="408F2417" w:rsidR="00B66A5F" w:rsidRDefault="00B66A5F">
      <w:pPr>
        <w:rPr>
          <w:rFonts w:ascii="Arial" w:hAnsi="Arial" w:cs="Arial"/>
        </w:rPr>
      </w:pPr>
      <w:r>
        <w:rPr>
          <w:rFonts w:ascii="Arial" w:hAnsi="Arial" w:cs="Arial"/>
        </w:rPr>
        <w:br w:type="page"/>
      </w:r>
    </w:p>
    <w:p w14:paraId="0898CBAB" w14:textId="77777777" w:rsidR="00B66A5F" w:rsidRDefault="00B66A5F" w:rsidP="00285D73">
      <w:pPr>
        <w:spacing w:after="0"/>
        <w:jc w:val="both"/>
        <w:rPr>
          <w:rFonts w:ascii="Arial" w:hAnsi="Arial" w:cs="Arial"/>
        </w:rPr>
      </w:pPr>
    </w:p>
    <w:p w14:paraId="3FE2184B" w14:textId="1ED334AD" w:rsidR="00E245AB" w:rsidRPr="00851F96" w:rsidRDefault="00D8636A" w:rsidP="00285D73">
      <w:pPr>
        <w:spacing w:after="0"/>
        <w:jc w:val="both"/>
        <w:rPr>
          <w:rFonts w:ascii="Arial" w:hAnsi="Arial" w:cs="Arial"/>
        </w:rPr>
      </w:pPr>
      <w:r w:rsidRPr="00D8636A">
        <w:rPr>
          <w:rFonts w:ascii="Arial" w:hAnsi="Arial" w:cs="Arial"/>
          <w:noProof/>
        </w:rPr>
        <w:drawing>
          <wp:anchor distT="0" distB="0" distL="114300" distR="114300" simplePos="0" relativeHeight="251658240" behindDoc="1" locked="0" layoutInCell="1" allowOverlap="1" wp14:anchorId="0952E291" wp14:editId="7D897BD1">
            <wp:simplePos x="0" y="0"/>
            <wp:positionH relativeFrom="margin">
              <wp:align>right</wp:align>
            </wp:positionH>
            <wp:positionV relativeFrom="paragraph">
              <wp:posOffset>-55880</wp:posOffset>
            </wp:positionV>
            <wp:extent cx="3149600" cy="933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49600" cy="933450"/>
                    </a:xfrm>
                    <a:prstGeom prst="rect">
                      <a:avLst/>
                    </a:prstGeom>
                  </pic:spPr>
                </pic:pic>
              </a:graphicData>
            </a:graphic>
          </wp:anchor>
        </w:drawing>
      </w:r>
      <w:r w:rsidR="00E245AB" w:rsidRPr="00851F96">
        <w:rPr>
          <w:rFonts w:ascii="Arial" w:hAnsi="Arial" w:cs="Arial"/>
        </w:rPr>
        <w:t xml:space="preserve">Bogotá D.C., </w:t>
      </w:r>
      <w:r w:rsidR="004C5094">
        <w:rPr>
          <w:rFonts w:ascii="Arial" w:hAnsi="Arial" w:cs="Arial"/>
        </w:rPr>
        <w:t>11 de julio de 2023</w:t>
      </w:r>
      <w:r>
        <w:rPr>
          <w:rFonts w:ascii="Arial" w:hAnsi="Arial" w:cs="Arial"/>
        </w:rPr>
        <w:t xml:space="preserve"> </w:t>
      </w:r>
    </w:p>
    <w:p w14:paraId="5FCADBF9" w14:textId="77777777" w:rsidR="00E245AB" w:rsidRPr="00851F96" w:rsidRDefault="00E245AB" w:rsidP="00285D73">
      <w:pPr>
        <w:spacing w:after="0"/>
        <w:jc w:val="both"/>
        <w:rPr>
          <w:rFonts w:ascii="Arial" w:hAnsi="Arial" w:cs="Arial"/>
        </w:rPr>
      </w:pPr>
    </w:p>
    <w:p w14:paraId="0465BA6D" w14:textId="77777777" w:rsidR="00E245AB" w:rsidRPr="00851F96" w:rsidRDefault="00E245AB" w:rsidP="00285D73">
      <w:pPr>
        <w:spacing w:after="0"/>
        <w:jc w:val="both"/>
        <w:rPr>
          <w:rFonts w:ascii="Arial" w:hAnsi="Arial" w:cs="Arial"/>
        </w:rPr>
      </w:pPr>
    </w:p>
    <w:p w14:paraId="69A07279" w14:textId="13D94B0C" w:rsidR="00400548" w:rsidRPr="00851F96" w:rsidRDefault="00400548" w:rsidP="00285D73">
      <w:pPr>
        <w:spacing w:after="0"/>
        <w:jc w:val="both"/>
        <w:rPr>
          <w:rFonts w:ascii="Arial" w:hAnsi="Arial" w:cs="Arial"/>
          <w:lang w:val="es-MX"/>
        </w:rPr>
      </w:pPr>
      <w:r w:rsidRPr="00851F96">
        <w:rPr>
          <w:rFonts w:ascii="Arial" w:hAnsi="Arial" w:cs="Arial"/>
          <w:lang w:val="es-MX"/>
        </w:rPr>
        <w:t xml:space="preserve">Señor </w:t>
      </w:r>
    </w:p>
    <w:p w14:paraId="3A274E44" w14:textId="77777777" w:rsidR="00912DC8" w:rsidRPr="00851F96" w:rsidRDefault="002F00C0" w:rsidP="00912DC8">
      <w:pPr>
        <w:spacing w:after="0"/>
        <w:rPr>
          <w:rFonts w:ascii="Arial" w:hAnsi="Arial" w:cs="Arial"/>
        </w:rPr>
      </w:pPr>
      <w:r w:rsidRPr="00851F96">
        <w:rPr>
          <w:rFonts w:ascii="Arial" w:hAnsi="Arial" w:cs="Arial"/>
        </w:rPr>
        <w:t>Oscar Ávila Parra</w:t>
      </w:r>
    </w:p>
    <w:p w14:paraId="216A4236" w14:textId="00904803" w:rsidR="00400548" w:rsidRPr="00851F96" w:rsidRDefault="00E94F02" w:rsidP="00400548">
      <w:pPr>
        <w:spacing w:after="0"/>
        <w:rPr>
          <w:rFonts w:ascii="Arial" w:hAnsi="Arial" w:cs="Arial"/>
        </w:rPr>
      </w:pPr>
      <w:r w:rsidRPr="00851F96">
        <w:rPr>
          <w:rFonts w:ascii="Arial" w:hAnsi="Arial" w:cs="Arial"/>
        </w:rPr>
        <w:t>Tunja, Boyacá</w:t>
      </w:r>
    </w:p>
    <w:p w14:paraId="4B03230F" w14:textId="77777777" w:rsidR="00E245AB" w:rsidRPr="00851F96" w:rsidRDefault="00E245AB" w:rsidP="00285D73">
      <w:pPr>
        <w:spacing w:after="0"/>
        <w:jc w:val="both"/>
        <w:rPr>
          <w:rFonts w:ascii="Arial" w:hAnsi="Arial" w:cs="Arial"/>
        </w:rPr>
      </w:pPr>
    </w:p>
    <w:p w14:paraId="53E2BE3A" w14:textId="1AF150E2" w:rsidR="00952BD5" w:rsidRPr="00851F96" w:rsidRDefault="00952BD5" w:rsidP="00285D73">
      <w:pPr>
        <w:spacing w:after="0" w:line="276" w:lineRule="auto"/>
        <w:contextualSpacing/>
        <w:jc w:val="both"/>
        <w:rPr>
          <w:rFonts w:ascii="Arial" w:eastAsia="Calibri" w:hAnsi="Arial" w:cs="Arial"/>
          <w:b/>
          <w:color w:val="000000" w:themeColor="text1"/>
        </w:rPr>
      </w:pPr>
      <w:bookmarkStart w:id="0" w:name="_Hlk137525426"/>
      <w:r w:rsidRPr="00851F96">
        <w:rPr>
          <w:rFonts w:ascii="Arial" w:eastAsia="Calibri" w:hAnsi="Arial" w:cs="Arial"/>
          <w:b/>
          <w:color w:val="000000" w:themeColor="text1"/>
        </w:rPr>
        <w:t xml:space="preserve">                                Concepto C – 1</w:t>
      </w:r>
      <w:r w:rsidR="00FF37BB" w:rsidRPr="00851F96">
        <w:rPr>
          <w:rFonts w:ascii="Arial" w:eastAsia="Calibri" w:hAnsi="Arial" w:cs="Arial"/>
          <w:b/>
          <w:color w:val="000000" w:themeColor="text1"/>
        </w:rPr>
        <w:t>73</w:t>
      </w:r>
      <w:r w:rsidRPr="00851F96">
        <w:rPr>
          <w:rFonts w:ascii="Arial" w:eastAsia="Calibri" w:hAnsi="Arial" w:cs="Arial"/>
          <w:b/>
          <w:color w:val="000000" w:themeColor="text1"/>
        </w:rPr>
        <w:t xml:space="preserve"> de 2023 </w:t>
      </w:r>
    </w:p>
    <w:p w14:paraId="3CA89734" w14:textId="77777777" w:rsidR="00952BD5" w:rsidRPr="00851F96" w:rsidRDefault="00952BD5" w:rsidP="00285D73">
      <w:pPr>
        <w:spacing w:after="0" w:line="276" w:lineRule="auto"/>
        <w:contextualSpacing/>
        <w:jc w:val="both"/>
        <w:rPr>
          <w:rFonts w:ascii="Arial" w:eastAsia="Calibri" w:hAnsi="Arial" w:cs="Arial"/>
          <w:b/>
          <w:color w:val="000000" w:themeColor="text1"/>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6799"/>
      </w:tblGrid>
      <w:tr w:rsidR="00952BD5" w:rsidRPr="00851F96" w14:paraId="65E28BF9" w14:textId="77777777" w:rsidTr="00EB4758">
        <w:trPr>
          <w:trHeight w:val="822"/>
        </w:trPr>
        <w:tc>
          <w:tcPr>
            <w:tcW w:w="1985" w:type="dxa"/>
          </w:tcPr>
          <w:p w14:paraId="2ABD8174" w14:textId="77777777" w:rsidR="00952BD5" w:rsidRPr="00851F96" w:rsidRDefault="00952BD5" w:rsidP="00285D73">
            <w:pPr>
              <w:pStyle w:val="Textoindependiente"/>
              <w:spacing w:line="276" w:lineRule="auto"/>
              <w:contextualSpacing/>
              <w:jc w:val="both"/>
              <w:rPr>
                <w:rFonts w:eastAsia="Calibri"/>
                <w:b/>
                <w:bCs/>
                <w:sz w:val="22"/>
                <w:szCs w:val="22"/>
                <w:lang w:val="es-CO"/>
              </w:rPr>
            </w:pPr>
            <w:r w:rsidRPr="00851F96">
              <w:rPr>
                <w:rFonts w:eastAsia="Calibri"/>
                <w:b/>
                <w:color w:val="000000" w:themeColor="text1"/>
                <w:sz w:val="22"/>
                <w:szCs w:val="22"/>
              </w:rPr>
              <w:t>Temas:</w:t>
            </w:r>
          </w:p>
          <w:p w14:paraId="431C17A2" w14:textId="77777777" w:rsidR="00952BD5" w:rsidRPr="00851F96" w:rsidRDefault="00952BD5" w:rsidP="00285D73">
            <w:pPr>
              <w:pStyle w:val="Textoindependiente"/>
              <w:spacing w:line="276" w:lineRule="auto"/>
              <w:contextualSpacing/>
              <w:jc w:val="both"/>
              <w:rPr>
                <w:rFonts w:eastAsia="Calibri"/>
                <w:b/>
                <w:bCs/>
                <w:sz w:val="22"/>
                <w:szCs w:val="22"/>
                <w:lang w:val="es-CO"/>
              </w:rPr>
            </w:pPr>
          </w:p>
          <w:p w14:paraId="27C3692F" w14:textId="77777777" w:rsidR="00952BD5" w:rsidRPr="00851F96" w:rsidRDefault="00952BD5" w:rsidP="00285D73">
            <w:pPr>
              <w:spacing w:line="276" w:lineRule="auto"/>
              <w:contextualSpacing/>
              <w:jc w:val="both"/>
              <w:rPr>
                <w:rFonts w:ascii="Arial" w:eastAsia="Calibri" w:hAnsi="Arial" w:cs="Arial"/>
                <w:color w:val="000000" w:themeColor="text1"/>
              </w:rPr>
            </w:pPr>
            <w:r w:rsidRPr="00851F96">
              <w:rPr>
                <w:rFonts w:ascii="Arial" w:eastAsia="Calibri" w:hAnsi="Arial" w:cs="Arial"/>
                <w:color w:val="000000" w:themeColor="text1"/>
              </w:rPr>
              <w:t xml:space="preserve">        </w:t>
            </w:r>
          </w:p>
        </w:tc>
        <w:tc>
          <w:tcPr>
            <w:tcW w:w="6799" w:type="dxa"/>
          </w:tcPr>
          <w:p w14:paraId="0EA706EB" w14:textId="04BA7677" w:rsidR="00952BD5" w:rsidRPr="00851F96" w:rsidRDefault="00952BD5" w:rsidP="00285D73">
            <w:pPr>
              <w:jc w:val="both"/>
              <w:rPr>
                <w:rFonts w:ascii="Arial" w:eastAsia="Calibri" w:hAnsi="Arial" w:cs="Arial"/>
                <w:bCs/>
              </w:rPr>
            </w:pPr>
            <w:r w:rsidRPr="00851F96">
              <w:rPr>
                <w:rFonts w:ascii="Arial" w:eastAsia="Calibri" w:hAnsi="Arial" w:cs="Arial"/>
                <w:bCs/>
              </w:rPr>
              <w:t xml:space="preserve">CONTRATO ESTATAL – Ejercicio – Funciones de control y vigilancia / CONTRATO ESTATAL – Funciones de control y vigilancia / SUPERVISIÓN – Ejercicio – Contratista – Apoyo a la supervisión / </w:t>
            </w:r>
            <w:r w:rsidRPr="00851F96">
              <w:rPr>
                <w:rFonts w:ascii="Arial" w:eastAsia="Calibri" w:hAnsi="Arial" w:cs="Arial"/>
                <w:bCs/>
                <w:color w:val="000000" w:themeColor="text1"/>
                <w:sz w:val="21"/>
                <w:szCs w:val="21"/>
              </w:rPr>
              <w:t>SUPERVISIÓN − Imposibilidad de ser ejercida por un contratista</w:t>
            </w:r>
          </w:p>
          <w:p w14:paraId="38C12CDA" w14:textId="77777777" w:rsidR="00952BD5" w:rsidRPr="00851F96" w:rsidRDefault="00952BD5" w:rsidP="00285D73">
            <w:pPr>
              <w:pStyle w:val="Textoindependiente"/>
              <w:spacing w:line="276" w:lineRule="auto"/>
              <w:contextualSpacing/>
              <w:jc w:val="both"/>
              <w:rPr>
                <w:rFonts w:eastAsia="Calibri"/>
                <w:bCs/>
                <w:color w:val="000000" w:themeColor="text1"/>
                <w:sz w:val="22"/>
                <w:szCs w:val="22"/>
                <w:highlight w:val="yellow"/>
              </w:rPr>
            </w:pPr>
          </w:p>
        </w:tc>
      </w:tr>
      <w:tr w:rsidR="00952BD5" w:rsidRPr="00851F96" w14:paraId="70598661" w14:textId="77777777" w:rsidTr="00EB4758">
        <w:tc>
          <w:tcPr>
            <w:tcW w:w="1985" w:type="dxa"/>
          </w:tcPr>
          <w:p w14:paraId="3F20B50F" w14:textId="77777777" w:rsidR="00952BD5" w:rsidRPr="00851F96" w:rsidRDefault="00952BD5" w:rsidP="00285D73">
            <w:pPr>
              <w:spacing w:line="276" w:lineRule="auto"/>
              <w:contextualSpacing/>
              <w:jc w:val="both"/>
              <w:rPr>
                <w:rFonts w:ascii="Arial" w:eastAsia="Calibri" w:hAnsi="Arial" w:cs="Arial"/>
                <w:color w:val="000000" w:themeColor="text1"/>
              </w:rPr>
            </w:pPr>
            <w:r w:rsidRPr="00851F96">
              <w:rPr>
                <w:rFonts w:ascii="Arial" w:eastAsia="Calibri" w:hAnsi="Arial" w:cs="Arial"/>
                <w:b/>
                <w:color w:val="000000" w:themeColor="text1"/>
              </w:rPr>
              <w:t>Radicación:</w:t>
            </w:r>
            <w:r w:rsidRPr="00851F96">
              <w:rPr>
                <w:rFonts w:ascii="Arial" w:eastAsia="Calibri" w:hAnsi="Arial" w:cs="Arial"/>
                <w:color w:val="000000" w:themeColor="text1"/>
              </w:rPr>
              <w:t xml:space="preserve">                              </w:t>
            </w:r>
          </w:p>
        </w:tc>
        <w:tc>
          <w:tcPr>
            <w:tcW w:w="6799" w:type="dxa"/>
          </w:tcPr>
          <w:p w14:paraId="64CEE5FA" w14:textId="4458C2C6" w:rsidR="00952BD5" w:rsidRPr="00851F96" w:rsidRDefault="00952BD5" w:rsidP="00285D73">
            <w:pPr>
              <w:spacing w:line="276" w:lineRule="auto"/>
              <w:contextualSpacing/>
              <w:jc w:val="both"/>
              <w:rPr>
                <w:rFonts w:ascii="Arial" w:eastAsia="Calibri" w:hAnsi="Arial" w:cs="Arial"/>
                <w:color w:val="000000" w:themeColor="text1"/>
              </w:rPr>
            </w:pPr>
            <w:r w:rsidRPr="00851F96">
              <w:rPr>
                <w:rFonts w:ascii="Arial" w:eastAsia="Calibri" w:hAnsi="Arial" w:cs="Arial"/>
                <w:color w:val="000000" w:themeColor="text1"/>
              </w:rPr>
              <w:t xml:space="preserve">Respuesta a la consulta No. </w:t>
            </w:r>
            <w:r w:rsidRPr="00851F96">
              <w:rPr>
                <w:rFonts w:ascii="Arial" w:eastAsia="Calibri" w:hAnsi="Arial" w:cs="Arial"/>
                <w:bCs/>
                <w:color w:val="000000" w:themeColor="text1"/>
              </w:rPr>
              <w:t>P20230</w:t>
            </w:r>
            <w:r w:rsidR="004F5E9F" w:rsidRPr="00851F96">
              <w:rPr>
                <w:rFonts w:ascii="Arial" w:eastAsia="Calibri" w:hAnsi="Arial" w:cs="Arial"/>
                <w:bCs/>
                <w:color w:val="000000" w:themeColor="text1"/>
              </w:rPr>
              <w:t>526011665</w:t>
            </w:r>
          </w:p>
        </w:tc>
      </w:tr>
    </w:tbl>
    <w:p w14:paraId="358519EB" w14:textId="77777777" w:rsidR="00952BD5" w:rsidRPr="00851F96" w:rsidRDefault="00952BD5" w:rsidP="00285D73">
      <w:pPr>
        <w:spacing w:after="0" w:line="276" w:lineRule="auto"/>
        <w:contextualSpacing/>
        <w:jc w:val="both"/>
        <w:rPr>
          <w:rFonts w:ascii="Arial" w:eastAsia="Calibri" w:hAnsi="Arial" w:cs="Arial"/>
          <w:color w:val="000000" w:themeColor="text1"/>
        </w:rPr>
      </w:pPr>
    </w:p>
    <w:p w14:paraId="4E402EC0" w14:textId="77777777" w:rsidR="00952BD5" w:rsidRPr="00851F96" w:rsidRDefault="00952BD5" w:rsidP="00285D73">
      <w:pPr>
        <w:spacing w:after="0" w:line="276" w:lineRule="auto"/>
        <w:contextualSpacing/>
        <w:jc w:val="both"/>
        <w:rPr>
          <w:rFonts w:ascii="Arial" w:eastAsia="Calibri" w:hAnsi="Arial" w:cs="Arial"/>
          <w:color w:val="000000" w:themeColor="text1"/>
        </w:rPr>
      </w:pPr>
    </w:p>
    <w:p w14:paraId="0F4E688D" w14:textId="385E7923" w:rsidR="00952BD5" w:rsidRPr="00851F96" w:rsidRDefault="00BB60F1" w:rsidP="00285D73">
      <w:pPr>
        <w:tabs>
          <w:tab w:val="left" w:pos="3736"/>
        </w:tabs>
        <w:spacing w:after="0" w:line="276" w:lineRule="auto"/>
        <w:contextualSpacing/>
        <w:jc w:val="both"/>
        <w:rPr>
          <w:rFonts w:ascii="Arial" w:eastAsia="Calibri" w:hAnsi="Arial" w:cs="Arial"/>
          <w:color w:val="000000" w:themeColor="text1"/>
        </w:rPr>
      </w:pPr>
      <w:r w:rsidRPr="00851F96">
        <w:rPr>
          <w:rFonts w:ascii="Arial" w:eastAsia="Calibri" w:hAnsi="Arial" w:cs="Arial"/>
          <w:color w:val="000000" w:themeColor="text1"/>
        </w:rPr>
        <w:t>Respetado</w:t>
      </w:r>
      <w:r w:rsidR="00952BD5" w:rsidRPr="00851F96">
        <w:rPr>
          <w:rFonts w:ascii="Arial" w:eastAsia="Calibri" w:hAnsi="Arial" w:cs="Arial"/>
          <w:color w:val="000000" w:themeColor="text1"/>
        </w:rPr>
        <w:t xml:space="preserve"> señor </w:t>
      </w:r>
      <w:r w:rsidRPr="00851F96">
        <w:rPr>
          <w:rFonts w:ascii="Arial" w:eastAsia="Calibri" w:hAnsi="Arial" w:cs="Arial"/>
          <w:color w:val="000000" w:themeColor="text1"/>
        </w:rPr>
        <w:t>Ávila</w:t>
      </w:r>
      <w:r w:rsidR="00952BD5" w:rsidRPr="00851F96">
        <w:rPr>
          <w:rFonts w:ascii="Arial" w:eastAsia="Calibri" w:hAnsi="Arial" w:cs="Arial"/>
          <w:color w:val="000000" w:themeColor="text1"/>
        </w:rPr>
        <w:t>:</w:t>
      </w:r>
      <w:r w:rsidR="00952BD5" w:rsidRPr="00851F96">
        <w:rPr>
          <w:rFonts w:ascii="Arial" w:eastAsia="Calibri" w:hAnsi="Arial" w:cs="Arial"/>
          <w:color w:val="000000" w:themeColor="text1"/>
        </w:rPr>
        <w:tab/>
      </w:r>
    </w:p>
    <w:p w14:paraId="4E0D92CF" w14:textId="77777777" w:rsidR="00952BD5" w:rsidRPr="00851F96" w:rsidRDefault="00952BD5" w:rsidP="00285D73">
      <w:pPr>
        <w:spacing w:after="0" w:line="276" w:lineRule="auto"/>
        <w:contextualSpacing/>
        <w:jc w:val="both"/>
        <w:rPr>
          <w:rFonts w:ascii="Arial" w:eastAsia="Calibri" w:hAnsi="Arial" w:cs="Arial"/>
          <w:color w:val="000000" w:themeColor="text1"/>
        </w:rPr>
      </w:pPr>
    </w:p>
    <w:p w14:paraId="79C5E1C4" w14:textId="5AE11060" w:rsidR="00952BD5" w:rsidRPr="00851F96" w:rsidRDefault="00952BD5" w:rsidP="00285D73">
      <w:pPr>
        <w:pStyle w:val="Prrafodelista"/>
        <w:spacing w:after="0" w:line="276" w:lineRule="auto"/>
        <w:ind w:left="0"/>
        <w:jc w:val="both"/>
        <w:rPr>
          <w:rFonts w:ascii="Arial" w:eastAsia="Calibri" w:hAnsi="Arial" w:cs="Arial"/>
          <w:lang w:val="es-ES_tradnl"/>
        </w:rPr>
      </w:pPr>
      <w:r w:rsidRPr="00851F96">
        <w:rPr>
          <w:rFonts w:ascii="Arial" w:eastAsia="Calibri" w:hAnsi="Arial" w:cs="Arial"/>
          <w:lang w:val="es-ES_tradnl"/>
        </w:rPr>
        <w:t xml:space="preserve">En ejercicio de la competencia otorgada por </w:t>
      </w:r>
      <w:r w:rsidRPr="00851F96">
        <w:rPr>
          <w:rFonts w:ascii="Arial" w:eastAsia="Calibri" w:hAnsi="Arial" w:cs="Arial"/>
          <w:color w:val="000000" w:themeColor="text1"/>
          <w:lang w:val="es-ES_tradnl"/>
        </w:rPr>
        <w:t>el numeral 8 del artículo 11 y el numeral 5 del artículo 3 del Decreto Ley 4170 de 2011</w:t>
      </w:r>
      <w:r w:rsidRPr="00851F96">
        <w:rPr>
          <w:rFonts w:ascii="Arial" w:eastAsia="Calibri" w:hAnsi="Arial" w:cs="Arial"/>
          <w:lang w:val="es-ES_tradnl"/>
        </w:rPr>
        <w:t xml:space="preserve">, la Agencia Nacional de Contratación Pública − Colombia Compra Eficiente responde su consulta remitida </w:t>
      </w:r>
      <w:r w:rsidRPr="00851F96">
        <w:rPr>
          <w:rFonts w:ascii="Arial" w:eastAsia="Calibri" w:hAnsi="Arial" w:cs="Arial"/>
          <w:lang w:val="es-CO"/>
        </w:rPr>
        <w:t>el 2</w:t>
      </w:r>
      <w:r w:rsidR="00A26133" w:rsidRPr="00851F96">
        <w:rPr>
          <w:rFonts w:ascii="Arial" w:eastAsia="Calibri" w:hAnsi="Arial" w:cs="Arial"/>
          <w:lang w:val="es-CO"/>
        </w:rPr>
        <w:t>6</w:t>
      </w:r>
      <w:r w:rsidRPr="00851F96">
        <w:rPr>
          <w:rFonts w:ascii="Arial" w:eastAsia="Calibri" w:hAnsi="Arial" w:cs="Arial"/>
          <w:lang w:val="es-CO"/>
        </w:rPr>
        <w:t xml:space="preserve"> </w:t>
      </w:r>
      <w:r w:rsidR="00A26133" w:rsidRPr="00851F96">
        <w:rPr>
          <w:rFonts w:ascii="Arial" w:eastAsia="Calibri" w:hAnsi="Arial" w:cs="Arial"/>
          <w:lang w:val="es-CO"/>
        </w:rPr>
        <w:t>mayo</w:t>
      </w:r>
      <w:r w:rsidRPr="00851F96">
        <w:rPr>
          <w:rFonts w:ascii="Arial" w:eastAsia="Calibri" w:hAnsi="Arial" w:cs="Arial"/>
          <w:lang w:val="es-CO"/>
        </w:rPr>
        <w:t xml:space="preserve"> de 2023. </w:t>
      </w:r>
    </w:p>
    <w:p w14:paraId="377322DA" w14:textId="77777777" w:rsidR="00952BD5" w:rsidRPr="00851F96" w:rsidRDefault="00952BD5" w:rsidP="00285D73">
      <w:pPr>
        <w:pStyle w:val="Prrafodelista"/>
        <w:spacing w:after="0" w:line="276" w:lineRule="auto"/>
        <w:ind w:left="0"/>
        <w:jc w:val="both"/>
        <w:rPr>
          <w:rFonts w:ascii="Arial" w:eastAsia="Calibri" w:hAnsi="Arial" w:cs="Arial"/>
          <w:color w:val="000000" w:themeColor="text1"/>
        </w:rPr>
      </w:pPr>
    </w:p>
    <w:p w14:paraId="570CC868" w14:textId="77777777" w:rsidR="00952BD5" w:rsidRPr="00851F96" w:rsidRDefault="00952BD5" w:rsidP="00285D73">
      <w:pPr>
        <w:tabs>
          <w:tab w:val="left" w:pos="0"/>
        </w:tabs>
        <w:spacing w:after="0" w:line="276" w:lineRule="auto"/>
        <w:contextualSpacing/>
        <w:jc w:val="both"/>
        <w:rPr>
          <w:rFonts w:ascii="Arial" w:eastAsia="Calibri" w:hAnsi="Arial" w:cs="Arial"/>
          <w:b/>
          <w:color w:val="000000" w:themeColor="text1"/>
        </w:rPr>
      </w:pPr>
      <w:r w:rsidRPr="00851F96">
        <w:rPr>
          <w:rFonts w:ascii="Arial" w:eastAsia="Calibri" w:hAnsi="Arial" w:cs="Arial"/>
          <w:b/>
          <w:color w:val="000000" w:themeColor="text1"/>
        </w:rPr>
        <w:t>1. Problema planteado</w:t>
      </w:r>
    </w:p>
    <w:p w14:paraId="20711500" w14:textId="77777777" w:rsidR="00952BD5" w:rsidRPr="00851F96" w:rsidRDefault="00952BD5" w:rsidP="00285D73">
      <w:pPr>
        <w:spacing w:after="0" w:line="276" w:lineRule="auto"/>
        <w:contextualSpacing/>
        <w:jc w:val="both"/>
        <w:rPr>
          <w:rFonts w:ascii="Arial" w:eastAsia="Calibri" w:hAnsi="Arial" w:cs="Arial"/>
          <w:color w:val="000000" w:themeColor="text1"/>
        </w:rPr>
      </w:pPr>
    </w:p>
    <w:p w14:paraId="2D3F64F6" w14:textId="2EEC0145" w:rsidR="00952BD5" w:rsidRPr="00851F96" w:rsidRDefault="004F666B" w:rsidP="00285D73">
      <w:pPr>
        <w:spacing w:after="0" w:line="276" w:lineRule="auto"/>
        <w:contextualSpacing/>
        <w:jc w:val="both"/>
        <w:rPr>
          <w:rFonts w:ascii="Arial" w:eastAsia="Calibri" w:hAnsi="Arial" w:cs="Arial"/>
        </w:rPr>
      </w:pPr>
      <w:r w:rsidRPr="00851F96">
        <w:rPr>
          <w:rFonts w:ascii="Arial" w:eastAsia="Calibri" w:hAnsi="Arial" w:cs="Arial"/>
        </w:rPr>
        <w:t>U</w:t>
      </w:r>
      <w:r w:rsidR="00952BD5" w:rsidRPr="00851F96">
        <w:rPr>
          <w:rFonts w:ascii="Arial" w:eastAsia="Calibri" w:hAnsi="Arial" w:cs="Arial"/>
        </w:rPr>
        <w:t xml:space="preserve">sted consulta lo siguiente: </w:t>
      </w:r>
    </w:p>
    <w:p w14:paraId="7411018A" w14:textId="77777777" w:rsidR="00952BD5" w:rsidRPr="00851F96" w:rsidRDefault="00952BD5" w:rsidP="00285D73">
      <w:pPr>
        <w:spacing w:after="0" w:line="276" w:lineRule="auto"/>
        <w:contextualSpacing/>
        <w:jc w:val="both"/>
        <w:rPr>
          <w:rFonts w:ascii="Arial" w:eastAsia="Calibri" w:hAnsi="Arial" w:cs="Arial"/>
        </w:rPr>
      </w:pPr>
    </w:p>
    <w:p w14:paraId="4B74F29C" w14:textId="2C28F909" w:rsidR="00952BD5" w:rsidRPr="00851F96" w:rsidRDefault="00952BD5" w:rsidP="00285D73">
      <w:pPr>
        <w:autoSpaceDE w:val="0"/>
        <w:autoSpaceDN w:val="0"/>
        <w:adjustRightInd w:val="0"/>
        <w:spacing w:after="0" w:line="240" w:lineRule="auto"/>
        <w:ind w:left="709" w:right="709"/>
        <w:jc w:val="both"/>
        <w:rPr>
          <w:rFonts w:ascii="Arial" w:eastAsia="Calibri" w:hAnsi="Arial" w:cs="Arial"/>
          <w:i/>
          <w:iCs/>
          <w:sz w:val="21"/>
          <w:szCs w:val="21"/>
        </w:rPr>
      </w:pPr>
      <w:bookmarkStart w:id="1" w:name="_Hlk136419030"/>
      <w:r w:rsidRPr="00851F96">
        <w:rPr>
          <w:rFonts w:ascii="Arial" w:hAnsi="Arial" w:cs="Arial"/>
          <w:i/>
          <w:iCs/>
          <w:sz w:val="21"/>
          <w:szCs w:val="21"/>
        </w:rPr>
        <w:t>“</w:t>
      </w:r>
      <w:r w:rsidR="006A408C" w:rsidRPr="00851F96">
        <w:rPr>
          <w:rFonts w:ascii="Arial" w:hAnsi="Arial" w:cs="Arial"/>
          <w:i/>
          <w:iCs/>
          <w:sz w:val="21"/>
          <w:szCs w:val="21"/>
        </w:rPr>
        <w:t>(…) solicito información respecto a la normatividad que se tiene</w:t>
      </w:r>
      <w:r w:rsidR="003F7319" w:rsidRPr="00851F96">
        <w:rPr>
          <w:rFonts w:ascii="Arial" w:hAnsi="Arial" w:cs="Arial"/>
          <w:i/>
          <w:iCs/>
          <w:sz w:val="21"/>
          <w:szCs w:val="21"/>
        </w:rPr>
        <w:t xml:space="preserve"> </w:t>
      </w:r>
      <w:r w:rsidR="006A408C" w:rsidRPr="00851F96">
        <w:rPr>
          <w:rFonts w:ascii="Arial" w:hAnsi="Arial" w:cs="Arial"/>
          <w:i/>
          <w:iCs/>
          <w:sz w:val="21"/>
          <w:szCs w:val="21"/>
        </w:rPr>
        <w:t>sobre la designación de supervisión de contratos estatales por parte de los funcionarios de una entidad, y la responsabilidad en cuanto a las funciones, además se me aclare</w:t>
      </w:r>
      <w:r w:rsidR="003F7319" w:rsidRPr="00851F96">
        <w:rPr>
          <w:rFonts w:ascii="Arial" w:hAnsi="Arial" w:cs="Arial"/>
          <w:i/>
          <w:iCs/>
          <w:sz w:val="21"/>
          <w:szCs w:val="21"/>
        </w:rPr>
        <w:t xml:space="preserve"> </w:t>
      </w:r>
      <w:r w:rsidR="006A408C" w:rsidRPr="00851F96">
        <w:rPr>
          <w:rFonts w:ascii="Arial" w:hAnsi="Arial" w:cs="Arial"/>
          <w:i/>
          <w:iCs/>
          <w:sz w:val="21"/>
          <w:szCs w:val="21"/>
        </w:rPr>
        <w:t xml:space="preserve">que se puede hacer si el funcionario no aceptas la </w:t>
      </w:r>
      <w:r w:rsidR="003F7319" w:rsidRPr="00851F96">
        <w:rPr>
          <w:rFonts w:ascii="Arial" w:hAnsi="Arial" w:cs="Arial"/>
          <w:i/>
          <w:iCs/>
          <w:sz w:val="21"/>
          <w:szCs w:val="21"/>
        </w:rPr>
        <w:t>supervisión</w:t>
      </w:r>
      <w:r w:rsidR="006A408C" w:rsidRPr="00851F96">
        <w:rPr>
          <w:rFonts w:ascii="Arial" w:hAnsi="Arial" w:cs="Arial"/>
          <w:i/>
          <w:iCs/>
          <w:sz w:val="21"/>
          <w:szCs w:val="21"/>
        </w:rPr>
        <w:t xml:space="preserve"> de un contrato </w:t>
      </w:r>
      <w:r w:rsidR="003F7319" w:rsidRPr="00851F96">
        <w:rPr>
          <w:rFonts w:ascii="Arial" w:hAnsi="Arial" w:cs="Arial"/>
          <w:i/>
          <w:iCs/>
          <w:sz w:val="21"/>
          <w:szCs w:val="21"/>
        </w:rPr>
        <w:t>así</w:t>
      </w:r>
      <w:r w:rsidR="006A408C" w:rsidRPr="00851F96">
        <w:rPr>
          <w:rFonts w:ascii="Arial" w:hAnsi="Arial" w:cs="Arial"/>
          <w:i/>
          <w:iCs/>
          <w:sz w:val="21"/>
          <w:szCs w:val="21"/>
        </w:rPr>
        <w:t xml:space="preserve"> el</w:t>
      </w:r>
      <w:r w:rsidR="003F7319" w:rsidRPr="00851F96">
        <w:rPr>
          <w:rFonts w:ascii="Arial" w:hAnsi="Arial" w:cs="Arial"/>
          <w:i/>
          <w:iCs/>
          <w:sz w:val="21"/>
          <w:szCs w:val="21"/>
        </w:rPr>
        <w:t xml:space="preserve"> </w:t>
      </w:r>
      <w:r w:rsidR="006A408C" w:rsidRPr="00851F96">
        <w:rPr>
          <w:rFonts w:ascii="Arial" w:hAnsi="Arial" w:cs="Arial"/>
          <w:i/>
          <w:iCs/>
          <w:sz w:val="21"/>
          <w:szCs w:val="21"/>
        </w:rPr>
        <w:t>funcionario tenga las capacidades de hacerlo.</w:t>
      </w:r>
      <w:r w:rsidRPr="00851F96">
        <w:rPr>
          <w:rFonts w:ascii="Arial" w:hAnsi="Arial" w:cs="Arial"/>
          <w:i/>
          <w:iCs/>
          <w:sz w:val="21"/>
          <w:szCs w:val="21"/>
        </w:rPr>
        <w:t>”</w:t>
      </w:r>
    </w:p>
    <w:p w14:paraId="608C1EAA" w14:textId="77777777" w:rsidR="00952BD5" w:rsidRPr="00851F96" w:rsidRDefault="00952BD5" w:rsidP="00285D73">
      <w:pPr>
        <w:spacing w:line="240" w:lineRule="auto"/>
        <w:ind w:left="709" w:right="709"/>
        <w:jc w:val="both"/>
        <w:rPr>
          <w:rFonts w:ascii="Arial" w:eastAsia="Calibri" w:hAnsi="Arial" w:cs="Arial"/>
          <w:sz w:val="21"/>
          <w:szCs w:val="21"/>
        </w:rPr>
      </w:pPr>
    </w:p>
    <w:bookmarkEnd w:id="1"/>
    <w:p w14:paraId="7028DA6A" w14:textId="77777777" w:rsidR="00952BD5" w:rsidRPr="00851F96" w:rsidRDefault="00952BD5" w:rsidP="00285D73">
      <w:pPr>
        <w:spacing w:after="0" w:line="276" w:lineRule="auto"/>
        <w:contextualSpacing/>
        <w:jc w:val="both"/>
        <w:rPr>
          <w:rFonts w:ascii="Arial" w:eastAsia="Calibri" w:hAnsi="Arial" w:cs="Arial"/>
          <w:color w:val="000000" w:themeColor="text1"/>
        </w:rPr>
      </w:pPr>
      <w:r w:rsidRPr="00851F96">
        <w:rPr>
          <w:rFonts w:ascii="Arial" w:eastAsia="Calibri" w:hAnsi="Arial" w:cs="Arial"/>
          <w:b/>
          <w:color w:val="000000" w:themeColor="text1"/>
        </w:rPr>
        <w:t>2. Consideraciones</w:t>
      </w:r>
    </w:p>
    <w:p w14:paraId="6A5013BC" w14:textId="77777777" w:rsidR="00952BD5" w:rsidRPr="00851F96" w:rsidRDefault="00952BD5" w:rsidP="00285D73">
      <w:pPr>
        <w:tabs>
          <w:tab w:val="left" w:pos="426"/>
        </w:tabs>
        <w:spacing w:after="0" w:line="276" w:lineRule="auto"/>
        <w:contextualSpacing/>
        <w:jc w:val="both"/>
        <w:rPr>
          <w:rFonts w:ascii="Arial" w:eastAsia="Calibri" w:hAnsi="Arial" w:cs="Arial"/>
          <w:color w:val="000000" w:themeColor="text1"/>
        </w:rPr>
      </w:pPr>
    </w:p>
    <w:p w14:paraId="6319A5BE" w14:textId="7CC2440B" w:rsidR="009621F9" w:rsidRPr="00851F96" w:rsidRDefault="00421C8D" w:rsidP="00285D73">
      <w:pPr>
        <w:tabs>
          <w:tab w:val="left" w:pos="426"/>
        </w:tabs>
        <w:spacing w:after="120"/>
        <w:jc w:val="both"/>
        <w:rPr>
          <w:rFonts w:ascii="Arial" w:hAnsi="Arial" w:cs="Arial"/>
          <w:bCs/>
          <w:color w:val="000000" w:themeColor="text1"/>
          <w:lang w:eastAsia="es-MX"/>
        </w:rPr>
      </w:pPr>
      <w:r w:rsidRPr="00851F96">
        <w:rPr>
          <w:rFonts w:ascii="Arial" w:hAnsi="Arial" w:cs="Arial"/>
          <w:bCs/>
        </w:rPr>
        <w:t>L</w:t>
      </w:r>
      <w:r w:rsidR="009621F9" w:rsidRPr="00851F96">
        <w:rPr>
          <w:rFonts w:ascii="Arial" w:hAnsi="Arial" w:cs="Arial"/>
          <w:bCs/>
        </w:rPr>
        <w:t xml:space="preserve">a Agencia Nacional de Contratación Pública – Colombia Compra Eficiente resuelve </w:t>
      </w:r>
      <w:r w:rsidR="009621F9" w:rsidRPr="00851F96">
        <w:rPr>
          <w:rFonts w:ascii="Arial" w:hAnsi="Arial" w:cs="Arial"/>
          <w:bCs/>
          <w:color w:val="000000" w:themeColor="text1"/>
          <w:lang w:eastAsia="es-MX"/>
        </w:rPr>
        <w:t xml:space="preserve">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w:t>
      </w:r>
      <w:r w:rsidR="009621F9" w:rsidRPr="00851F96">
        <w:rPr>
          <w:rFonts w:ascii="Arial" w:hAnsi="Arial" w:cs="Arial"/>
          <w:bCs/>
          <w:color w:val="000000" w:themeColor="text1"/>
          <w:lang w:eastAsia="es-MX"/>
        </w:rPr>
        <w:lastRenderedPageBreak/>
        <w:t>autoridad para solucionar problemas jurídicos particulares de los partícipes de la contratación estatal ni para interpretar el alcance de cualquier norma vigente en el ordenamiento jurídico.</w:t>
      </w:r>
    </w:p>
    <w:p w14:paraId="69F85F49" w14:textId="77777777" w:rsidR="009621F9" w:rsidRPr="00851F96" w:rsidRDefault="009621F9" w:rsidP="00285D73">
      <w:pPr>
        <w:spacing w:before="120" w:after="120"/>
        <w:ind w:firstLine="708"/>
        <w:jc w:val="both"/>
        <w:rPr>
          <w:rFonts w:ascii="Arial" w:hAnsi="Arial" w:cs="Arial"/>
          <w:lang w:val="es-ES"/>
        </w:rPr>
      </w:pPr>
      <w:r w:rsidRPr="00851F96">
        <w:rPr>
          <w:rFonts w:ascii="Arial" w:hAnsi="Arial" w:cs="Arial"/>
          <w:bCs/>
          <w:color w:val="000000" w:themeColor="text1"/>
          <w:lang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51F96">
        <w:rPr>
          <w:rStyle w:val="Refdenotaalpie"/>
          <w:rFonts w:ascii="Arial" w:hAnsi="Arial" w:cs="Arial"/>
        </w:rPr>
        <w:footnoteReference w:id="2"/>
      </w:r>
      <w:r w:rsidRPr="00851F96">
        <w:rPr>
          <w:rStyle w:val="Refdenotaalpie"/>
          <w:rFonts w:ascii="Arial" w:hAnsi="Arial" w:cs="Arial"/>
          <w:sz w:val="18"/>
          <w:szCs w:val="18"/>
        </w:rPr>
        <w:t>.</w:t>
      </w:r>
      <w:r w:rsidRPr="00851F96">
        <w:rPr>
          <w:rFonts w:ascii="Arial" w:hAnsi="Arial" w:cs="Arial"/>
          <w:bCs/>
          <w:color w:val="000000" w:themeColor="text1"/>
          <w:lang w:eastAsia="es-MX"/>
        </w:rPr>
        <w:t xml:space="preserve"> Esta 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corresponde a la entidad de adoptar la decisión correspondiente y, en caso de conflicto, a las autoridades judiciales, fiscales y disciplinarias</w:t>
      </w:r>
      <w:r w:rsidRPr="00851F96">
        <w:rPr>
          <w:rFonts w:ascii="Arial" w:hAnsi="Arial" w:cs="Arial"/>
          <w:lang w:val="es-ES"/>
        </w:rPr>
        <w:t>.</w:t>
      </w:r>
    </w:p>
    <w:p w14:paraId="786C579F" w14:textId="06FE8ADC" w:rsidR="009621F9" w:rsidRPr="00851F96" w:rsidRDefault="009621F9" w:rsidP="00285D73">
      <w:pPr>
        <w:spacing w:before="120" w:after="120"/>
        <w:ind w:firstLine="708"/>
        <w:jc w:val="both"/>
        <w:rPr>
          <w:rFonts w:ascii="Arial" w:hAnsi="Arial" w:cs="Arial"/>
          <w:bCs/>
          <w:color w:val="000000" w:themeColor="text1"/>
          <w:lang w:eastAsia="es-MX"/>
        </w:rPr>
      </w:pPr>
      <w:r w:rsidRPr="00851F96">
        <w:rPr>
          <w:rFonts w:ascii="Arial" w:hAnsi="Arial" w:cs="Arial"/>
          <w:bCs/>
          <w:color w:val="000000" w:themeColor="text1"/>
          <w:lang w:eastAsia="es-MX"/>
        </w:rPr>
        <w:t xml:space="preserve">Sin perjuicio de lo anterior, la </w:t>
      </w:r>
      <w:r w:rsidR="002452B9" w:rsidRPr="00851F96">
        <w:rPr>
          <w:rFonts w:ascii="Arial" w:hAnsi="Arial" w:cs="Arial"/>
          <w:bCs/>
          <w:color w:val="000000" w:themeColor="text1"/>
          <w:lang w:eastAsia="es-MX"/>
        </w:rPr>
        <w:t>Subdirección de Gestión Contractual,</w:t>
      </w:r>
      <w:r w:rsidRPr="00851F96">
        <w:rPr>
          <w:rFonts w:ascii="Arial" w:hAnsi="Arial" w:cs="Arial"/>
          <w:bCs/>
          <w:color w:val="000000" w:themeColor="text1"/>
          <w:lang w:eastAsia="es-MX"/>
        </w:rPr>
        <w:t xml:space="preserve"> dentro de los límites de sus atribuciones, resolverá la consulta de forma general conforme a las normas generales del sistema de compras y contratación pública. Con este objetivo se analizarán los siguientes temas: i) obligación de vigilar la correcta ejecución del objeto contratado</w:t>
      </w:r>
      <w:r w:rsidR="008D26F0" w:rsidRPr="00851F96">
        <w:rPr>
          <w:rFonts w:ascii="Arial" w:hAnsi="Arial" w:cs="Arial"/>
          <w:bCs/>
          <w:color w:val="000000" w:themeColor="text1"/>
          <w:lang w:eastAsia="es-MX"/>
        </w:rPr>
        <w:t xml:space="preserve">; ii) la </w:t>
      </w:r>
      <w:r w:rsidRPr="00851F96">
        <w:rPr>
          <w:rFonts w:ascii="Arial" w:hAnsi="Arial" w:cs="Arial"/>
          <w:bCs/>
          <w:color w:val="000000" w:themeColor="text1"/>
          <w:lang w:eastAsia="es-MX"/>
        </w:rPr>
        <w:t>supervisión de los contratos estatales; i</w:t>
      </w:r>
      <w:r w:rsidR="008D26F0" w:rsidRPr="00851F96">
        <w:rPr>
          <w:rFonts w:ascii="Arial" w:hAnsi="Arial" w:cs="Arial"/>
          <w:bCs/>
          <w:color w:val="000000" w:themeColor="text1"/>
          <w:lang w:eastAsia="es-MX"/>
        </w:rPr>
        <w:t>i</w:t>
      </w:r>
      <w:r w:rsidRPr="00851F96">
        <w:rPr>
          <w:rFonts w:ascii="Arial" w:hAnsi="Arial" w:cs="Arial"/>
          <w:bCs/>
          <w:color w:val="000000" w:themeColor="text1"/>
          <w:lang w:eastAsia="es-MX"/>
        </w:rPr>
        <w:t>i) Régimen de incompatibilidades e inhabilidades de los supervisores de contratos estatales.</w:t>
      </w:r>
    </w:p>
    <w:p w14:paraId="459A944D" w14:textId="2012F0FB" w:rsidR="00952BD5" w:rsidRPr="00851F96" w:rsidRDefault="00952BD5" w:rsidP="00285D73">
      <w:pPr>
        <w:spacing w:line="276" w:lineRule="auto"/>
        <w:ind w:firstLine="708"/>
        <w:jc w:val="both"/>
        <w:rPr>
          <w:rFonts w:ascii="Arial" w:hAnsi="Arial" w:cs="Arial"/>
          <w:color w:val="000000" w:themeColor="text1"/>
          <w:lang w:val="es-ES"/>
        </w:rPr>
      </w:pPr>
      <w:r w:rsidRPr="00851F96">
        <w:rPr>
          <w:rFonts w:ascii="Arial" w:hAnsi="Arial" w:cs="Arial"/>
        </w:rPr>
        <w:t xml:space="preserve">La </w:t>
      </w:r>
      <w:r w:rsidRPr="00851F96">
        <w:rPr>
          <w:rFonts w:ascii="Arial" w:eastAsia="Calibri" w:hAnsi="Arial" w:cs="Arial"/>
        </w:rPr>
        <w:t>Agencia Nacional de Contratación Pública ― Colombia Compra Eficiente se ha pronunciado sobre la obligación de controlar y vigilar la ejecución de los contratos estatales, en los conceptos con radicado 4201913000004799 del 30 de agosto de 2019, 4201913000008240 del 20 de diciembre de 2019, C-064 del 28 de febrero de 2020, C-071 del 4 de marzo de 2020, C–077 del 18 de marzo de 2020, C–150 del 18 de marzo de 2020, C–134 del 30 de marzo de 2020, C–180 del 13 de abril de 2020, C-344 del 26 de mayo de 2020, C-414 del 30 de junio de 2021</w:t>
      </w:r>
      <w:r w:rsidR="00F21C56" w:rsidRPr="00851F96">
        <w:rPr>
          <w:rFonts w:ascii="Arial" w:eastAsia="Calibri" w:hAnsi="Arial" w:cs="Arial"/>
        </w:rPr>
        <w:t xml:space="preserve">, </w:t>
      </w:r>
      <w:r w:rsidR="00077AB6" w:rsidRPr="00851F96">
        <w:rPr>
          <w:rFonts w:ascii="Arial" w:eastAsia="Calibri" w:hAnsi="Arial" w:cs="Arial"/>
        </w:rPr>
        <w:t xml:space="preserve">C-506 </w:t>
      </w:r>
      <w:r w:rsidR="00880D56" w:rsidRPr="00851F96">
        <w:rPr>
          <w:rFonts w:ascii="Arial" w:eastAsia="Calibri" w:hAnsi="Arial" w:cs="Arial"/>
        </w:rPr>
        <w:t xml:space="preserve">de 3 de agosto de 2022, </w:t>
      </w:r>
      <w:r w:rsidR="00F21C56" w:rsidRPr="00851F96">
        <w:rPr>
          <w:rFonts w:ascii="Arial" w:eastAsia="Calibri" w:hAnsi="Arial" w:cs="Arial"/>
        </w:rPr>
        <w:t>C</w:t>
      </w:r>
      <w:r w:rsidR="00767796" w:rsidRPr="00851F96">
        <w:rPr>
          <w:rFonts w:ascii="Arial" w:eastAsia="Calibri" w:hAnsi="Arial" w:cs="Arial"/>
        </w:rPr>
        <w:t>-579 del 9 de septiembre de 2022,</w:t>
      </w:r>
      <w:r w:rsidR="00457CF7" w:rsidRPr="00851F96">
        <w:rPr>
          <w:rFonts w:ascii="Arial" w:eastAsia="Calibri" w:hAnsi="Arial" w:cs="Arial"/>
        </w:rPr>
        <w:t xml:space="preserve"> C-577 del 15 de septiembre de 2022,</w:t>
      </w:r>
      <w:r w:rsidR="00A8193E" w:rsidRPr="00851F96">
        <w:rPr>
          <w:rFonts w:ascii="Arial" w:eastAsia="Calibri" w:hAnsi="Arial" w:cs="Arial"/>
        </w:rPr>
        <w:t xml:space="preserve"> C-620 del 27 de septiembre de 2022,</w:t>
      </w:r>
      <w:r w:rsidR="00767796" w:rsidRPr="00851F96">
        <w:rPr>
          <w:rFonts w:ascii="Arial" w:eastAsia="Calibri" w:hAnsi="Arial" w:cs="Arial"/>
        </w:rPr>
        <w:t xml:space="preserve"> C-650 del 27 de septiembre de 2022</w:t>
      </w:r>
      <w:r w:rsidR="0010402E" w:rsidRPr="00851F96">
        <w:rPr>
          <w:rFonts w:ascii="Arial" w:eastAsia="Calibri" w:hAnsi="Arial" w:cs="Arial"/>
        </w:rPr>
        <w:t xml:space="preserve">, c-679 de 24 de octubre de 2022, </w:t>
      </w:r>
      <w:r w:rsidR="00B92BAF" w:rsidRPr="00851F96">
        <w:rPr>
          <w:rFonts w:ascii="Arial" w:eastAsia="Calibri" w:hAnsi="Arial" w:cs="Arial"/>
        </w:rPr>
        <w:t xml:space="preserve">C-818 del 28 de noviembre de 2022, </w:t>
      </w:r>
      <w:r w:rsidR="00763AD5" w:rsidRPr="00851F96">
        <w:rPr>
          <w:rFonts w:ascii="Arial" w:eastAsia="Calibri" w:hAnsi="Arial" w:cs="Arial"/>
        </w:rPr>
        <w:t>C-830 de 28 de noviembre de 2022</w:t>
      </w:r>
      <w:r w:rsidR="00775EA5" w:rsidRPr="00851F96">
        <w:rPr>
          <w:rFonts w:ascii="Arial" w:eastAsia="Calibri" w:hAnsi="Arial" w:cs="Arial"/>
        </w:rPr>
        <w:t xml:space="preserve">, </w:t>
      </w:r>
      <w:r w:rsidR="0010402E" w:rsidRPr="00851F96">
        <w:rPr>
          <w:rFonts w:ascii="Arial" w:eastAsia="Calibri" w:hAnsi="Arial" w:cs="Arial"/>
        </w:rPr>
        <w:t xml:space="preserve">C-800 de 29 de noviembre de 2022, </w:t>
      </w:r>
      <w:r w:rsidR="00775EA5" w:rsidRPr="00851F96">
        <w:rPr>
          <w:rFonts w:ascii="Arial" w:eastAsia="Calibri" w:hAnsi="Arial" w:cs="Arial"/>
        </w:rPr>
        <w:t>C-930 de 30 de diciembre de 2022</w:t>
      </w:r>
      <w:r w:rsidR="00E50EBF" w:rsidRPr="00851F96">
        <w:rPr>
          <w:rFonts w:ascii="Arial" w:eastAsia="Calibri" w:hAnsi="Arial" w:cs="Arial"/>
        </w:rPr>
        <w:t>, C-932 de 30 de diciembre de 2022</w:t>
      </w:r>
      <w:r w:rsidR="005D4511" w:rsidRPr="00851F96">
        <w:rPr>
          <w:rFonts w:ascii="Arial" w:eastAsia="Calibri" w:hAnsi="Arial" w:cs="Arial"/>
        </w:rPr>
        <w:t xml:space="preserve">, C-975 de 8 </w:t>
      </w:r>
      <w:r w:rsidR="005D4511" w:rsidRPr="00851F96">
        <w:rPr>
          <w:rFonts w:ascii="Arial" w:eastAsia="Calibri" w:hAnsi="Arial" w:cs="Arial"/>
        </w:rPr>
        <w:lastRenderedPageBreak/>
        <w:t xml:space="preserve">de marzo de 2032, y </w:t>
      </w:r>
      <w:r w:rsidR="00E60CFB" w:rsidRPr="00851F96">
        <w:rPr>
          <w:rFonts w:ascii="Arial" w:eastAsia="Calibri" w:hAnsi="Arial" w:cs="Arial"/>
        </w:rPr>
        <w:t>C-191 de 27 de abril de 2023</w:t>
      </w:r>
      <w:r w:rsidR="00F31060" w:rsidRPr="00851F96">
        <w:rPr>
          <w:rStyle w:val="Refdenotaalpie"/>
          <w:rFonts w:ascii="Arial" w:eastAsia="Calibri" w:hAnsi="Arial" w:cs="Arial"/>
        </w:rPr>
        <w:footnoteReference w:id="3"/>
      </w:r>
      <w:r w:rsidRPr="00851F96">
        <w:rPr>
          <w:rFonts w:ascii="Arial" w:eastAsia="Calibri" w:hAnsi="Arial" w:cs="Arial"/>
        </w:rPr>
        <w:t xml:space="preserve">. </w:t>
      </w:r>
      <w:r w:rsidRPr="00851F96">
        <w:rPr>
          <w:rFonts w:ascii="Arial" w:hAnsi="Arial" w:cs="Arial"/>
          <w:color w:val="000000" w:themeColor="text1"/>
          <w:lang w:val="es-ES"/>
        </w:rPr>
        <w:t>La tesis propuesta se expone a continuación:</w:t>
      </w:r>
    </w:p>
    <w:p w14:paraId="563821E4" w14:textId="77777777" w:rsidR="00952BD5" w:rsidRPr="00851F96" w:rsidRDefault="00952BD5" w:rsidP="00285D73">
      <w:pPr>
        <w:pStyle w:val="Sinespaciado"/>
        <w:widowControl w:val="0"/>
        <w:numPr>
          <w:ilvl w:val="1"/>
          <w:numId w:val="6"/>
        </w:numPr>
        <w:autoSpaceDE w:val="0"/>
        <w:autoSpaceDN w:val="0"/>
        <w:spacing w:line="276" w:lineRule="auto"/>
        <w:jc w:val="both"/>
        <w:rPr>
          <w:rFonts w:ascii="Arial" w:hAnsi="Arial" w:cs="Arial"/>
          <w:b/>
          <w:color w:val="000000" w:themeColor="text1"/>
          <w:sz w:val="22"/>
        </w:rPr>
      </w:pPr>
      <w:r w:rsidRPr="00851F96">
        <w:rPr>
          <w:rFonts w:ascii="Arial" w:hAnsi="Arial" w:cs="Arial"/>
          <w:b/>
          <w:color w:val="000000" w:themeColor="text1"/>
          <w:sz w:val="22"/>
        </w:rPr>
        <w:t xml:space="preserve">La obligación de controlar y vigilar la correcta ejecución del objeto contratado </w:t>
      </w:r>
    </w:p>
    <w:p w14:paraId="42791274" w14:textId="77777777" w:rsidR="00952BD5" w:rsidRPr="00851F96" w:rsidRDefault="00952BD5" w:rsidP="00285D73">
      <w:pPr>
        <w:pStyle w:val="Sinespaciado"/>
        <w:spacing w:line="276" w:lineRule="auto"/>
        <w:ind w:left="567"/>
        <w:jc w:val="both"/>
        <w:rPr>
          <w:rFonts w:ascii="Arial" w:hAnsi="Arial" w:cs="Arial"/>
          <w:b/>
          <w:color w:val="000000" w:themeColor="text1"/>
          <w:sz w:val="22"/>
        </w:rPr>
      </w:pPr>
    </w:p>
    <w:p w14:paraId="6266D696" w14:textId="77777777" w:rsidR="005C78B9" w:rsidRPr="00851F96" w:rsidRDefault="005C78B9" w:rsidP="00285D73">
      <w:pPr>
        <w:pStyle w:val="Prrafodelista"/>
        <w:tabs>
          <w:tab w:val="left" w:pos="284"/>
        </w:tabs>
        <w:spacing w:line="276" w:lineRule="auto"/>
        <w:ind w:left="0"/>
        <w:jc w:val="both"/>
        <w:rPr>
          <w:rFonts w:ascii="Arial" w:eastAsia="Calibri" w:hAnsi="Arial" w:cs="Arial"/>
          <w:bCs/>
          <w:color w:val="000000" w:themeColor="text1"/>
          <w:szCs w:val="24"/>
          <w:lang w:val="es-CO" w:eastAsia="es-MX"/>
        </w:rPr>
      </w:pPr>
      <w:r w:rsidRPr="00851F96">
        <w:rPr>
          <w:rFonts w:ascii="Arial" w:eastAsia="Calibri" w:hAnsi="Arial" w:cs="Arial"/>
          <w:bCs/>
          <w:color w:val="000000" w:themeColor="text1"/>
          <w:szCs w:val="24"/>
          <w:lang w:val="es-CO" w:eastAsia="es-MX"/>
        </w:rPr>
        <w:t>A través de la actividad contractual, el Estado adquiere bienes, obras y servicios para cumplir los fines que le impone el ordenamiento jurídico, garantizando así la continuidad y eficiente prestación de los servicios públicos y la efectividad de los derechos e intereses de los administrados</w:t>
      </w:r>
      <w:r w:rsidRPr="00851F96">
        <w:rPr>
          <w:rStyle w:val="Refdenotaalpie"/>
          <w:rFonts w:ascii="Arial" w:hAnsi="Arial" w:cs="Arial"/>
          <w:color w:val="1A1A1A" w:themeColor="background1" w:themeShade="1A"/>
          <w:sz w:val="18"/>
          <w:szCs w:val="18"/>
        </w:rPr>
        <w:footnoteReference w:id="4"/>
      </w:r>
      <w:r w:rsidRPr="00851F96">
        <w:rPr>
          <w:rFonts w:ascii="Arial" w:eastAsia="Calibri" w:hAnsi="Arial" w:cs="Arial"/>
          <w:bCs/>
          <w:color w:val="000000" w:themeColor="text1"/>
          <w:szCs w:val="24"/>
          <w:lang w:val="es-CO" w:eastAsia="es-MX"/>
        </w:rPr>
        <w:t xml:space="preserve">. Para la garantía de los fines de interés general, involucrados en la contratación de las entidades estatales, el Estatuto General de Contratación de la Administración Pública –en adelante EGCAP– dispone que, en la etapa de ejecución del contrato, las entidades estatales y los servidores públicos que participan en ella tienen la obligación de controlar y vigilar la correcta ejecución del objeto contratado. Lo anterior busca que las finalidades perseguidas con la celebración de los contratos estatales se logren de manera satisfactoria. </w:t>
      </w:r>
    </w:p>
    <w:p w14:paraId="5F3AC684" w14:textId="77777777" w:rsidR="005C78B9" w:rsidRPr="00851F96" w:rsidRDefault="005C78B9" w:rsidP="00285D73">
      <w:pPr>
        <w:spacing w:before="120" w:after="120"/>
        <w:ind w:firstLine="708"/>
        <w:jc w:val="both"/>
        <w:rPr>
          <w:rFonts w:ascii="Arial" w:hAnsi="Arial" w:cs="Arial"/>
          <w:bCs/>
          <w:color w:val="000000" w:themeColor="text1"/>
          <w:lang w:eastAsia="es-MX"/>
        </w:rPr>
      </w:pPr>
      <w:bookmarkStart w:id="2" w:name="_Hlk88458784"/>
      <w:r w:rsidRPr="00851F96">
        <w:rPr>
          <w:rFonts w:ascii="Arial" w:hAnsi="Arial" w:cs="Arial"/>
          <w:bCs/>
          <w:color w:val="000000" w:themeColor="text1"/>
          <w:lang w:eastAsia="es-MX"/>
        </w:rPr>
        <w:t>El seguimiento de la ejecución del contrato para la dirección, control y vigilancia de su correcto cumplimiento es un deber legal que permite a las entidades estatales tomar medidas orientadas a la satisfacción de los fines de la contratación. Por esto, el EGCAP alude a la obligación mencionada, que guarda relación con el principio de responsabilidad que rige la celebración y ejecución de los contratos estatales</w:t>
      </w:r>
      <w:bookmarkEnd w:id="2"/>
      <w:r w:rsidRPr="00851F96">
        <w:rPr>
          <w:rFonts w:ascii="Arial" w:hAnsi="Arial" w:cs="Arial"/>
          <w:bCs/>
          <w:color w:val="000000" w:themeColor="text1"/>
          <w:lang w:eastAsia="es-MX"/>
        </w:rPr>
        <w:t xml:space="preserve">. Así, por ejemplo, </w:t>
      </w:r>
      <w:bookmarkStart w:id="3" w:name="_Hlk117850258"/>
      <w:r w:rsidRPr="00851F96">
        <w:rPr>
          <w:rFonts w:ascii="Arial" w:hAnsi="Arial" w:cs="Arial"/>
          <w:bCs/>
          <w:color w:val="000000" w:themeColor="text1"/>
          <w:lang w:eastAsia="es-MX"/>
        </w:rPr>
        <w:t>los artículos 4, 5, 12, 14 y 26 de la Ley 80 de 1993 consagran normas relacionadas con el control y vigilancia de la ejecución de los contratos estatales</w:t>
      </w:r>
      <w:bookmarkEnd w:id="3"/>
      <w:r w:rsidRPr="00851F96">
        <w:rPr>
          <w:rFonts w:ascii="Arial" w:hAnsi="Arial" w:cs="Arial"/>
          <w:bCs/>
          <w:color w:val="000000" w:themeColor="text1"/>
          <w:lang w:eastAsia="es-MX"/>
        </w:rPr>
        <w:t xml:space="preserve">. Estas disposiciones establecen, entre otros aspectos, la obligación de las entidades estatales de velar por el correcto y oportuno cumplimiento de las prestaciones del contrato, las especificaciones de los bienes, obras y servicios objeto de este, y las condiciones de calidad ofrecidas, etc. Esta obligación se predica, en principio, del jefe o representante legal de la entidad, por tener la responsabilidad de la dirección y manejo de la actividad contractual, pero también de los servidores públicos que intervienen en ella. </w:t>
      </w:r>
    </w:p>
    <w:p w14:paraId="1E432EE2" w14:textId="08A28E53" w:rsidR="005C78B9" w:rsidRPr="00851F96" w:rsidRDefault="005C78B9" w:rsidP="00285D73">
      <w:pPr>
        <w:spacing w:before="120" w:after="120"/>
        <w:ind w:firstLine="708"/>
        <w:jc w:val="both"/>
        <w:rPr>
          <w:rFonts w:ascii="Arial" w:hAnsi="Arial" w:cs="Arial"/>
          <w:bCs/>
          <w:color w:val="000000" w:themeColor="text1"/>
          <w:lang w:eastAsia="es-MX"/>
        </w:rPr>
      </w:pPr>
      <w:r w:rsidRPr="00851F96">
        <w:rPr>
          <w:rFonts w:ascii="Arial" w:hAnsi="Arial" w:cs="Arial"/>
          <w:bCs/>
          <w:color w:val="000000" w:themeColor="text1"/>
          <w:lang w:eastAsia="es-MX"/>
        </w:rPr>
        <w:t>En ese sentido, las entidades estatales deben ejercer el control de la ejecución del contrato y, de ser el caso, tomar medidas para exigir el adecuado cumplimiento.</w:t>
      </w:r>
    </w:p>
    <w:p w14:paraId="2B509F6F" w14:textId="77777777" w:rsidR="00952BD5" w:rsidRPr="00851F96" w:rsidRDefault="00952BD5" w:rsidP="00285D73">
      <w:pPr>
        <w:pStyle w:val="Sinespaciado"/>
        <w:spacing w:before="120" w:line="276" w:lineRule="auto"/>
        <w:ind w:firstLine="708"/>
        <w:jc w:val="both"/>
        <w:rPr>
          <w:rFonts w:ascii="Arial" w:hAnsi="Arial" w:cs="Arial"/>
          <w:bCs/>
          <w:color w:val="000000" w:themeColor="text1"/>
          <w:sz w:val="22"/>
        </w:rPr>
      </w:pPr>
      <w:r w:rsidRPr="00851F96">
        <w:rPr>
          <w:rFonts w:ascii="Arial" w:hAnsi="Arial" w:cs="Arial"/>
          <w:bCs/>
          <w:color w:val="000000" w:themeColor="text1"/>
          <w:sz w:val="22"/>
        </w:rPr>
        <w:t xml:space="preserve">Las Leyes 1150 de 2007 y 1474 de 2011 complementan el régimen jurídico de la obligación de vigilar la ejecución de los contratos estatales. Allí se impone, entre otros postulados, el debido proceso como principio rector en materia sancionatoria contractual, para la imposición de multas y la decisión de hacer efectiva la cláusula penal; principio que </w:t>
      </w:r>
      <w:r w:rsidRPr="00851F96">
        <w:rPr>
          <w:rFonts w:ascii="Arial" w:hAnsi="Arial" w:cs="Arial"/>
          <w:bCs/>
          <w:color w:val="000000" w:themeColor="text1"/>
          <w:sz w:val="22"/>
        </w:rPr>
        <w:lastRenderedPageBreak/>
        <w:t>se debe respetar en el ejercicio del control y vigilancia de la ejecución contractual</w:t>
      </w:r>
      <w:r w:rsidRPr="00851F96">
        <w:rPr>
          <w:rStyle w:val="Refdenotaalpie"/>
          <w:rFonts w:ascii="Arial" w:hAnsi="Arial" w:cs="Arial"/>
          <w:bCs/>
          <w:color w:val="000000" w:themeColor="text1"/>
          <w:sz w:val="22"/>
        </w:rPr>
        <w:footnoteReference w:id="5"/>
      </w:r>
      <w:r w:rsidRPr="00851F96">
        <w:rPr>
          <w:rFonts w:ascii="Arial" w:hAnsi="Arial" w:cs="Arial"/>
          <w:bCs/>
          <w:color w:val="000000" w:themeColor="text1"/>
          <w:sz w:val="22"/>
        </w:rPr>
        <w:t>. También se establecen los límites de la responsabilidad del representante legal ante la delegación de sus funciones en materia contractual</w:t>
      </w:r>
      <w:r w:rsidRPr="00851F96">
        <w:rPr>
          <w:rStyle w:val="Refdenotaalpie"/>
          <w:rFonts w:ascii="Arial" w:hAnsi="Arial" w:cs="Arial"/>
          <w:bCs/>
          <w:color w:val="000000" w:themeColor="text1"/>
          <w:sz w:val="22"/>
        </w:rPr>
        <w:footnoteReference w:id="6"/>
      </w:r>
      <w:r w:rsidRPr="00851F96">
        <w:rPr>
          <w:rFonts w:ascii="Arial" w:hAnsi="Arial" w:cs="Arial"/>
          <w:bCs/>
          <w:color w:val="000000" w:themeColor="text1"/>
          <w:sz w:val="22"/>
        </w:rPr>
        <w:t xml:space="preserve"> y se regula la supervisión y la interventoría de los contratos estatales</w:t>
      </w:r>
      <w:r w:rsidRPr="00851F96">
        <w:rPr>
          <w:rStyle w:val="Refdenotaalpie"/>
          <w:rFonts w:ascii="Arial" w:hAnsi="Arial" w:cs="Arial"/>
          <w:bCs/>
          <w:color w:val="000000" w:themeColor="text1"/>
          <w:sz w:val="22"/>
        </w:rPr>
        <w:footnoteReference w:id="7"/>
      </w:r>
      <w:r w:rsidRPr="00851F96">
        <w:rPr>
          <w:rFonts w:ascii="Arial" w:hAnsi="Arial" w:cs="Arial"/>
          <w:bCs/>
          <w:color w:val="000000" w:themeColor="text1"/>
          <w:sz w:val="22"/>
        </w:rPr>
        <w:t xml:space="preserve">.  </w:t>
      </w:r>
    </w:p>
    <w:p w14:paraId="4F01247D" w14:textId="77777777" w:rsidR="00952BD5" w:rsidRPr="00851F96" w:rsidRDefault="00952BD5" w:rsidP="00285D73">
      <w:pPr>
        <w:pStyle w:val="Sinespaciado"/>
        <w:spacing w:before="120" w:after="240" w:line="276" w:lineRule="auto"/>
        <w:ind w:firstLine="708"/>
        <w:jc w:val="both"/>
        <w:rPr>
          <w:rFonts w:ascii="Arial" w:hAnsi="Arial" w:cs="Arial"/>
          <w:bCs/>
          <w:color w:val="000000" w:themeColor="text1"/>
          <w:sz w:val="22"/>
        </w:rPr>
      </w:pPr>
      <w:r w:rsidRPr="00851F96">
        <w:rPr>
          <w:rFonts w:ascii="Arial" w:hAnsi="Arial" w:cs="Arial"/>
          <w:bCs/>
          <w:color w:val="000000" w:themeColor="text1"/>
          <w:sz w:val="22"/>
        </w:rPr>
        <w:t>La jurisprudencia contencioso-administrativa, por su parte, ha considerado que la obligación de vigilar la correcta ejecución del objeto contractual es una función de la entidad contratante, en los siguientes términos:</w:t>
      </w:r>
    </w:p>
    <w:p w14:paraId="61DBE5C6" w14:textId="205FFD82" w:rsidR="00952BD5" w:rsidRPr="00851F96" w:rsidRDefault="00952BD5" w:rsidP="00285D73">
      <w:pPr>
        <w:pStyle w:val="Sinespaciado"/>
        <w:spacing w:after="240" w:line="276" w:lineRule="auto"/>
        <w:ind w:left="709" w:right="709"/>
        <w:jc w:val="both"/>
        <w:rPr>
          <w:rFonts w:ascii="Arial" w:hAnsi="Arial" w:cs="Arial"/>
          <w:bCs/>
          <w:color w:val="000000" w:themeColor="text1"/>
          <w:sz w:val="21"/>
          <w:szCs w:val="21"/>
          <w:lang w:val="es-CO"/>
        </w:rPr>
      </w:pPr>
      <w:r w:rsidRPr="00851F96">
        <w:rPr>
          <w:rFonts w:ascii="Arial" w:hAnsi="Arial" w:cs="Arial"/>
          <w:bCs/>
          <w:color w:val="000000" w:themeColor="text1"/>
        </w:rPr>
        <w:t xml:space="preserve"> </w:t>
      </w:r>
      <w:r w:rsidR="00732482" w:rsidRPr="00851F96">
        <w:rPr>
          <w:rFonts w:ascii="Arial" w:hAnsi="Arial" w:cs="Arial"/>
          <w:bCs/>
          <w:color w:val="000000" w:themeColor="text1"/>
          <w:sz w:val="21"/>
          <w:szCs w:val="21"/>
        </w:rPr>
        <w:t>“</w:t>
      </w:r>
      <w:r w:rsidRPr="00851F96">
        <w:rPr>
          <w:rFonts w:ascii="Arial" w:hAnsi="Arial" w:cs="Arial"/>
          <w:bCs/>
          <w:color w:val="000000" w:themeColor="text1"/>
          <w:sz w:val="21"/>
          <w:szCs w:val="21"/>
        </w:rPr>
        <w:t>La función de</w:t>
      </w:r>
      <w:r w:rsidR="0041701B"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vigilancia</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y control</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del</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contrato</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estatal supone el cuidado y la supervisión, de forma tal que en ejercicio de esa función, quien administra la adecuada y oportuna</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ejecución</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del</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contrato</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no sólo debe velar por que las partes den cumplimiento a las obligaciones contractuales, sino que el</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contrato</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se ejecute en el tiempo y la forma convenidos, para de esta forma garantizar la satisfacción de las necesidades que la administración buscaba alcanzar con la celebración</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del</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respectivo</w:t>
      </w:r>
      <w:r w:rsidR="008579C1" w:rsidRPr="00851F96">
        <w:rPr>
          <w:rFonts w:ascii="Arial" w:hAnsi="Arial" w:cs="Arial"/>
          <w:bCs/>
          <w:color w:val="000000" w:themeColor="text1"/>
          <w:sz w:val="21"/>
          <w:szCs w:val="21"/>
        </w:rPr>
        <w:t xml:space="preserve"> </w:t>
      </w:r>
      <w:r w:rsidRPr="00851F96">
        <w:rPr>
          <w:rFonts w:ascii="Arial" w:hAnsi="Arial" w:cs="Arial"/>
          <w:bCs/>
          <w:color w:val="000000" w:themeColor="text1"/>
          <w:sz w:val="21"/>
          <w:szCs w:val="21"/>
        </w:rPr>
        <w:t>contrato”</w:t>
      </w:r>
      <w:r w:rsidRPr="00851F96">
        <w:rPr>
          <w:rStyle w:val="Refdenotaalpie"/>
          <w:rFonts w:ascii="Arial" w:hAnsi="Arial" w:cs="Arial"/>
          <w:bCs/>
          <w:color w:val="000000" w:themeColor="text1"/>
          <w:sz w:val="21"/>
          <w:szCs w:val="21"/>
        </w:rPr>
        <w:footnoteReference w:id="8"/>
      </w:r>
      <w:r w:rsidRPr="00851F96">
        <w:rPr>
          <w:rFonts w:ascii="Arial" w:hAnsi="Arial" w:cs="Arial"/>
          <w:bCs/>
          <w:color w:val="000000" w:themeColor="text1"/>
          <w:sz w:val="21"/>
          <w:szCs w:val="21"/>
        </w:rPr>
        <w:t>.</w:t>
      </w:r>
    </w:p>
    <w:p w14:paraId="44B04631" w14:textId="77777777" w:rsidR="008F3E85" w:rsidRPr="00851F96" w:rsidRDefault="00952BD5" w:rsidP="00285D73">
      <w:pPr>
        <w:pStyle w:val="Sinespaciado"/>
        <w:spacing w:after="240" w:line="276" w:lineRule="auto"/>
        <w:ind w:firstLine="567"/>
        <w:jc w:val="both"/>
        <w:rPr>
          <w:rFonts w:ascii="Arial" w:hAnsi="Arial" w:cs="Arial"/>
          <w:bCs/>
          <w:color w:val="000000" w:themeColor="text1"/>
          <w:sz w:val="22"/>
        </w:rPr>
      </w:pPr>
      <w:r w:rsidRPr="00851F96">
        <w:rPr>
          <w:rFonts w:ascii="Arial" w:hAnsi="Arial" w:cs="Arial"/>
          <w:bCs/>
          <w:color w:val="000000" w:themeColor="text1"/>
          <w:sz w:val="22"/>
        </w:rPr>
        <w:t xml:space="preserve">En este punto, se reitera lo expuesto en el concepto emitido por esta Agencia con el radicado 4201913000008240, del 20 de diciembre de 2019, </w:t>
      </w:r>
      <w:r w:rsidR="008F3E85" w:rsidRPr="00851F96">
        <w:rPr>
          <w:rFonts w:ascii="Arial" w:hAnsi="Arial" w:cs="Arial"/>
          <w:bCs/>
          <w:color w:val="000000" w:themeColor="text1"/>
          <w:sz w:val="22"/>
        </w:rPr>
        <w:t>en cuya oportunidad se señaló que:</w:t>
      </w:r>
    </w:p>
    <w:p w14:paraId="535A267F" w14:textId="4AB3676B" w:rsidR="00952BD5" w:rsidRPr="00851F96" w:rsidRDefault="00952BD5" w:rsidP="00285D73">
      <w:pPr>
        <w:pStyle w:val="Sinespaciado"/>
        <w:spacing w:after="240" w:line="276" w:lineRule="auto"/>
        <w:ind w:left="709" w:right="709"/>
        <w:jc w:val="both"/>
        <w:rPr>
          <w:rFonts w:ascii="Arial" w:hAnsi="Arial" w:cs="Arial"/>
          <w:bCs/>
          <w:color w:val="000000" w:themeColor="text1"/>
          <w:sz w:val="22"/>
        </w:rPr>
      </w:pPr>
      <w:r w:rsidRPr="00851F96">
        <w:rPr>
          <w:rFonts w:ascii="Arial" w:hAnsi="Arial" w:cs="Arial"/>
          <w:bCs/>
          <w:color w:val="000000" w:themeColor="text1"/>
          <w:sz w:val="22"/>
        </w:rPr>
        <w:t xml:space="preserve"> </w:t>
      </w:r>
      <w:r w:rsidR="003B072E" w:rsidRPr="00851F96">
        <w:rPr>
          <w:rFonts w:ascii="Arial" w:hAnsi="Arial" w:cs="Arial"/>
          <w:bCs/>
          <w:color w:val="000000" w:themeColor="text1"/>
          <w:sz w:val="22"/>
        </w:rPr>
        <w:t>“</w:t>
      </w:r>
      <w:r w:rsidRPr="00851F96">
        <w:rPr>
          <w:rFonts w:ascii="Arial" w:hAnsi="Arial" w:cs="Arial"/>
          <w:bCs/>
          <w:color w:val="000000" w:themeColor="text1"/>
          <w:sz w:val="22"/>
        </w:rPr>
        <w:t>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r w:rsidR="003B072E" w:rsidRPr="00851F96">
        <w:rPr>
          <w:rFonts w:ascii="Arial" w:hAnsi="Arial" w:cs="Arial"/>
          <w:bCs/>
          <w:color w:val="000000" w:themeColor="text1"/>
          <w:sz w:val="22"/>
        </w:rPr>
        <w:t>”</w:t>
      </w:r>
      <w:r w:rsidRPr="00851F96">
        <w:rPr>
          <w:rFonts w:ascii="Arial" w:hAnsi="Arial" w:cs="Arial"/>
          <w:bCs/>
          <w:color w:val="000000" w:themeColor="text1"/>
          <w:sz w:val="22"/>
        </w:rPr>
        <w:t>.</w:t>
      </w:r>
    </w:p>
    <w:p w14:paraId="4119DFC5" w14:textId="12A10ED2" w:rsidR="00904F6A" w:rsidRPr="00851F96" w:rsidRDefault="00904F6A" w:rsidP="00285D73">
      <w:pPr>
        <w:spacing w:before="120" w:after="120"/>
        <w:ind w:firstLine="708"/>
        <w:jc w:val="both"/>
        <w:rPr>
          <w:rFonts w:ascii="Arial" w:hAnsi="Arial" w:cs="Arial"/>
          <w:bCs/>
          <w:color w:val="000000" w:themeColor="text1"/>
          <w:lang w:eastAsia="es-MX"/>
        </w:rPr>
      </w:pPr>
      <w:r w:rsidRPr="00851F96">
        <w:rPr>
          <w:rFonts w:ascii="Arial" w:hAnsi="Arial" w:cs="Arial"/>
          <w:bCs/>
          <w:color w:val="000000" w:themeColor="text1"/>
          <w:lang w:eastAsia="es-MX"/>
        </w:rPr>
        <w:lastRenderedPageBreak/>
        <w:t>La responsabilidad por el control y vigilancia de la ejecución del contrato está a cargo de la Entidad Estatal contratante y, en consecuencia, es esta quien debe supervisar los contratos mediante sus funcionarios o servidores públicos</w:t>
      </w:r>
      <w:r w:rsidR="0061503D" w:rsidRPr="00851F96">
        <w:rPr>
          <w:rFonts w:ascii="Arial" w:hAnsi="Arial" w:cs="Arial"/>
          <w:bCs/>
          <w:color w:val="000000" w:themeColor="text1"/>
          <w:lang w:eastAsia="es-MX"/>
        </w:rPr>
        <w:t>.</w:t>
      </w:r>
      <w:r w:rsidRPr="00851F96">
        <w:rPr>
          <w:rFonts w:ascii="Arial" w:hAnsi="Arial" w:cs="Arial"/>
          <w:bCs/>
          <w:color w:val="000000" w:themeColor="text1"/>
          <w:lang w:eastAsia="es-MX"/>
        </w:rPr>
        <w:t xml:space="preserve"> </w:t>
      </w:r>
    </w:p>
    <w:p w14:paraId="09876C91" w14:textId="77777777" w:rsidR="00952BD5" w:rsidRPr="00851F96" w:rsidRDefault="00952BD5" w:rsidP="00285D73">
      <w:pPr>
        <w:pStyle w:val="Sinespaciado"/>
        <w:widowControl w:val="0"/>
        <w:numPr>
          <w:ilvl w:val="1"/>
          <w:numId w:val="6"/>
        </w:numPr>
        <w:autoSpaceDE w:val="0"/>
        <w:autoSpaceDN w:val="0"/>
        <w:spacing w:after="240" w:line="276" w:lineRule="auto"/>
        <w:jc w:val="both"/>
        <w:rPr>
          <w:rFonts w:ascii="Arial" w:hAnsi="Arial" w:cs="Arial"/>
          <w:b/>
          <w:color w:val="000000" w:themeColor="text1"/>
          <w:sz w:val="22"/>
        </w:rPr>
      </w:pPr>
      <w:r w:rsidRPr="00851F96">
        <w:rPr>
          <w:rFonts w:ascii="Arial" w:hAnsi="Arial" w:cs="Arial"/>
          <w:b/>
          <w:color w:val="000000" w:themeColor="text1"/>
          <w:sz w:val="22"/>
        </w:rPr>
        <w:t xml:space="preserve">La supervisión en los contratos estatales </w:t>
      </w:r>
    </w:p>
    <w:p w14:paraId="1DEFA0B8" w14:textId="341B6E21" w:rsidR="00952BD5" w:rsidRPr="00851F96" w:rsidRDefault="00952BD5" w:rsidP="00285D73">
      <w:pPr>
        <w:pStyle w:val="Sinespaciado"/>
        <w:spacing w:after="240" w:line="276" w:lineRule="auto"/>
        <w:jc w:val="both"/>
        <w:rPr>
          <w:rFonts w:ascii="Arial" w:hAnsi="Arial" w:cs="Arial"/>
          <w:color w:val="000000" w:themeColor="text1"/>
          <w:sz w:val="22"/>
        </w:rPr>
      </w:pPr>
      <w:r w:rsidRPr="00851F96">
        <w:rPr>
          <w:rFonts w:ascii="Arial" w:hAnsi="Arial" w:cs="Arial"/>
          <w:color w:val="000000" w:themeColor="text1"/>
          <w:sz w:val="22"/>
        </w:rPr>
        <w:t xml:space="preserve">La Ley 1474 de 2011 enmarcó el seguimiento, control y vigilancia de la ejecución del contrato estatal dentro del principio de moralidad administrativa. El artículo 83 </w:t>
      </w:r>
      <w:r w:rsidRPr="00851F96">
        <w:rPr>
          <w:rFonts w:ascii="Arial" w:hAnsi="Arial" w:cs="Arial"/>
          <w:i/>
          <w:iCs/>
          <w:color w:val="000000" w:themeColor="text1"/>
          <w:sz w:val="22"/>
        </w:rPr>
        <w:t xml:space="preserve">ibidem </w:t>
      </w:r>
      <w:r w:rsidRPr="00851F96">
        <w:rPr>
          <w:rFonts w:ascii="Arial" w:hAnsi="Arial" w:cs="Arial"/>
          <w:color w:val="000000" w:themeColor="text1"/>
          <w:sz w:val="22"/>
        </w:rPr>
        <w:t xml:space="preserve">establece que </w:t>
      </w:r>
      <w:r w:rsidR="003B072E" w:rsidRPr="00851F96">
        <w:rPr>
          <w:rFonts w:ascii="Arial" w:hAnsi="Arial" w:cs="Arial"/>
          <w:color w:val="000000" w:themeColor="text1"/>
          <w:sz w:val="22"/>
        </w:rPr>
        <w:t>“</w:t>
      </w:r>
      <w:r w:rsidRPr="00851F96">
        <w:rPr>
          <w:rFonts w:ascii="Arial" w:hAnsi="Arial" w:cs="Arial"/>
          <w:color w:val="000000" w:themeColor="text1"/>
          <w:sz w:val="22"/>
        </w:rPr>
        <w:t>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r w:rsidR="003B072E" w:rsidRPr="00851F96">
        <w:rPr>
          <w:rFonts w:ascii="Arial" w:hAnsi="Arial" w:cs="Arial"/>
          <w:color w:val="000000" w:themeColor="text1"/>
          <w:sz w:val="22"/>
        </w:rPr>
        <w:t>”</w:t>
      </w:r>
      <w:r w:rsidRPr="00851F96">
        <w:rPr>
          <w:rFonts w:ascii="Arial" w:hAnsi="Arial" w:cs="Arial"/>
          <w:color w:val="000000" w:themeColor="text1"/>
          <w:sz w:val="22"/>
        </w:rPr>
        <w:t xml:space="preserve">. El legislador además definió las nociones de </w:t>
      </w:r>
      <w:r w:rsidRPr="00851F96">
        <w:rPr>
          <w:rFonts w:ascii="Arial" w:hAnsi="Arial" w:cs="Arial"/>
          <w:i/>
          <w:iCs/>
          <w:color w:val="000000" w:themeColor="text1"/>
          <w:sz w:val="22"/>
        </w:rPr>
        <w:t>supervisión</w:t>
      </w:r>
      <w:r w:rsidRPr="00851F96">
        <w:rPr>
          <w:rFonts w:ascii="Arial" w:hAnsi="Arial" w:cs="Arial"/>
          <w:color w:val="000000" w:themeColor="text1"/>
          <w:sz w:val="22"/>
        </w:rPr>
        <w:t xml:space="preserve"> e </w:t>
      </w:r>
      <w:r w:rsidRPr="00851F96">
        <w:rPr>
          <w:rFonts w:ascii="Arial" w:hAnsi="Arial" w:cs="Arial"/>
          <w:i/>
          <w:iCs/>
          <w:color w:val="000000" w:themeColor="text1"/>
          <w:sz w:val="22"/>
        </w:rPr>
        <w:t>interventoría</w:t>
      </w:r>
      <w:r w:rsidRPr="00851F96">
        <w:rPr>
          <w:rFonts w:ascii="Arial" w:hAnsi="Arial" w:cs="Arial"/>
          <w:color w:val="000000" w:themeColor="text1"/>
          <w:sz w:val="22"/>
        </w:rPr>
        <w:t xml:space="preserve">, como mecanismos que pueden usar las entidades estatales para vigilar el contrato, en estos términos: </w:t>
      </w:r>
    </w:p>
    <w:p w14:paraId="41B2F7CD" w14:textId="26815602" w:rsidR="00952BD5" w:rsidRPr="00851F96" w:rsidRDefault="00BF1681" w:rsidP="00285D73">
      <w:pPr>
        <w:pStyle w:val="Sinespaciado"/>
        <w:ind w:left="709" w:right="709"/>
        <w:jc w:val="both"/>
        <w:rPr>
          <w:rFonts w:ascii="Arial" w:hAnsi="Arial" w:cs="Arial"/>
          <w:color w:val="000000" w:themeColor="text1"/>
          <w:sz w:val="21"/>
          <w:szCs w:val="21"/>
        </w:rPr>
      </w:pPr>
      <w:r w:rsidRPr="00851F96">
        <w:rPr>
          <w:rFonts w:ascii="Arial" w:hAnsi="Arial" w:cs="Arial"/>
          <w:color w:val="000000" w:themeColor="text1"/>
          <w:sz w:val="21"/>
          <w:szCs w:val="21"/>
        </w:rPr>
        <w:t>“</w:t>
      </w:r>
      <w:r w:rsidR="00952BD5" w:rsidRPr="00851F96">
        <w:rPr>
          <w:rFonts w:ascii="Arial" w:hAnsi="Arial" w:cs="Arial"/>
          <w:color w:val="000000" w:themeColor="text1"/>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09D94346" w14:textId="77777777" w:rsidR="00952BD5" w:rsidRPr="00851F96" w:rsidRDefault="00952BD5" w:rsidP="00285D73">
      <w:pPr>
        <w:pStyle w:val="Sinespaciado"/>
        <w:ind w:left="709" w:right="709"/>
        <w:jc w:val="both"/>
        <w:rPr>
          <w:rFonts w:ascii="Arial" w:hAnsi="Arial" w:cs="Arial"/>
          <w:color w:val="000000" w:themeColor="text1"/>
          <w:sz w:val="21"/>
          <w:szCs w:val="21"/>
        </w:rPr>
      </w:pPr>
    </w:p>
    <w:p w14:paraId="6EF69910" w14:textId="3FB35354" w:rsidR="00952BD5" w:rsidRPr="00851F96" w:rsidRDefault="00952BD5" w:rsidP="00285D73">
      <w:pPr>
        <w:pStyle w:val="Sinespaciado"/>
        <w:ind w:left="709" w:right="709"/>
        <w:jc w:val="both"/>
        <w:rPr>
          <w:rFonts w:ascii="Arial" w:hAnsi="Arial" w:cs="Arial"/>
          <w:color w:val="000000" w:themeColor="text1"/>
          <w:sz w:val="21"/>
          <w:szCs w:val="21"/>
        </w:rPr>
      </w:pPr>
      <w:r w:rsidRPr="00851F96">
        <w:rPr>
          <w:rFonts w:ascii="Arial" w:hAnsi="Arial" w:cs="Arial"/>
          <w:color w:val="000000" w:themeColor="text1"/>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r w:rsidR="00BF1681" w:rsidRPr="00851F96">
        <w:rPr>
          <w:rFonts w:ascii="Arial" w:hAnsi="Arial" w:cs="Arial"/>
          <w:color w:val="000000" w:themeColor="text1"/>
          <w:sz w:val="21"/>
          <w:szCs w:val="21"/>
        </w:rPr>
        <w:t>”</w:t>
      </w:r>
    </w:p>
    <w:p w14:paraId="055AE357" w14:textId="77777777" w:rsidR="00952BD5" w:rsidRPr="00851F96" w:rsidRDefault="00952BD5" w:rsidP="00285D73">
      <w:pPr>
        <w:pStyle w:val="Sinespaciado"/>
        <w:spacing w:line="276" w:lineRule="auto"/>
        <w:jc w:val="both"/>
        <w:rPr>
          <w:rFonts w:ascii="Arial" w:hAnsi="Arial" w:cs="Arial"/>
          <w:color w:val="000000" w:themeColor="text1"/>
          <w:lang w:val="es-ES"/>
        </w:rPr>
      </w:pPr>
    </w:p>
    <w:p w14:paraId="25EB5F7B" w14:textId="075913B2" w:rsidR="001877EE" w:rsidRPr="00851F96" w:rsidRDefault="00952BD5" w:rsidP="00851F96">
      <w:pPr>
        <w:spacing w:after="120" w:line="276" w:lineRule="auto"/>
        <w:ind w:firstLine="709"/>
        <w:jc w:val="both"/>
        <w:rPr>
          <w:rFonts w:ascii="Arial" w:eastAsia="Calibri" w:hAnsi="Arial" w:cs="Arial"/>
          <w:color w:val="000000"/>
          <w:lang w:val="es-ES"/>
        </w:rPr>
      </w:pPr>
      <w:r w:rsidRPr="00851F96">
        <w:rPr>
          <w:rFonts w:ascii="Arial" w:hAnsi="Arial" w:cs="Arial"/>
          <w:color w:val="000000" w:themeColor="text1"/>
        </w:rPr>
        <w:t>Del primer concepto, según lo expresado por esta entidad</w:t>
      </w:r>
      <w:r w:rsidRPr="00851F96">
        <w:rPr>
          <w:rStyle w:val="Refdenotaalpie"/>
          <w:rFonts w:ascii="Arial" w:hAnsi="Arial" w:cs="Arial"/>
          <w:color w:val="000000" w:themeColor="text1"/>
        </w:rPr>
        <w:footnoteReference w:id="9"/>
      </w:r>
      <w:r w:rsidRPr="00851F96">
        <w:rPr>
          <w:rFonts w:ascii="Arial" w:hAnsi="Arial" w:cs="Arial"/>
          <w:color w:val="000000" w:themeColor="text1"/>
        </w:rPr>
        <w:t>, se extractan las siguientes características</w:t>
      </w:r>
      <w:r w:rsidR="001877EE" w:rsidRPr="00851F96">
        <w:rPr>
          <w:rFonts w:ascii="Arial" w:eastAsia="Calibri" w:hAnsi="Arial" w:cs="Arial"/>
          <w:color w:val="000000"/>
          <w:lang w:val="es-ES"/>
        </w:rPr>
        <w:t xml:space="preserve"> en relación con la supervisión: i) la labor de supervisión siempre existirá en relación con cualquier contrato estatal, salvo cuando se realice la vigilancia a través de la interventoría, caso en el cual podrán concurrir informando en el contrato de interventoría la división de dicha vigilancia. Por su parte, la interventoría se contratara dependiendo del análisis de su necesidad y extensión</w:t>
      </w:r>
      <w:r w:rsidR="001877EE" w:rsidRPr="00851F96">
        <w:rPr>
          <w:rFonts w:ascii="Arial" w:eastAsia="Calibri" w:hAnsi="Arial" w:cs="Arial"/>
          <w:color w:val="000000"/>
          <w:vertAlign w:val="superscript"/>
          <w:lang w:val="es-ES"/>
        </w:rPr>
        <w:footnoteReference w:id="10"/>
      </w:r>
      <w:r w:rsidR="001877EE" w:rsidRPr="00851F96">
        <w:rPr>
          <w:rFonts w:ascii="Arial" w:eastAsia="Calibri" w:hAnsi="Arial" w:cs="Arial"/>
          <w:color w:val="000000"/>
          <w:lang w:val="es-ES"/>
        </w:rPr>
        <w:t xml:space="preserve">; ii) no requiere conocimientos especializados como la interventoría; iii) se ejerce por la </w:t>
      </w:r>
      <w:r w:rsidR="00285D73" w:rsidRPr="00851F96">
        <w:rPr>
          <w:rFonts w:ascii="Arial" w:eastAsia="Calibri" w:hAnsi="Arial" w:cs="Arial"/>
          <w:color w:val="000000"/>
          <w:lang w:val="es-ES"/>
        </w:rPr>
        <w:t>Entidad Estatal</w:t>
      </w:r>
      <w:r w:rsidR="001877EE" w:rsidRPr="00851F96">
        <w:rPr>
          <w:rFonts w:ascii="Arial" w:eastAsia="Calibri" w:hAnsi="Arial" w:cs="Arial"/>
          <w:color w:val="000000"/>
          <w:lang w:val="es-ES"/>
        </w:rPr>
        <w:t xml:space="preserve"> por conducto de la </w:t>
      </w:r>
      <w:r w:rsidR="001877EE" w:rsidRPr="00851F96">
        <w:rPr>
          <w:rFonts w:ascii="Arial" w:eastAsia="Calibri" w:hAnsi="Arial" w:cs="Arial"/>
          <w:color w:val="000000"/>
          <w:lang w:val="es-ES"/>
        </w:rPr>
        <w:lastRenderedPageBreak/>
        <w:t xml:space="preserve">designación de servidores públicos idóneos para cumplir la función; </w:t>
      </w:r>
      <w:proofErr w:type="spellStart"/>
      <w:r w:rsidR="001877EE" w:rsidRPr="00851F96">
        <w:rPr>
          <w:rFonts w:ascii="Arial" w:eastAsia="Calibri" w:hAnsi="Arial" w:cs="Arial"/>
          <w:color w:val="000000"/>
          <w:lang w:val="es-ES"/>
        </w:rPr>
        <w:t>iv</w:t>
      </w:r>
      <w:proofErr w:type="spellEnd"/>
      <w:r w:rsidR="001877EE" w:rsidRPr="00851F96">
        <w:rPr>
          <w:rFonts w:ascii="Arial" w:eastAsia="Calibri" w:hAnsi="Arial" w:cs="Arial"/>
          <w:color w:val="000000"/>
          <w:lang w:val="es-ES"/>
        </w:rPr>
        <w:t>) puede recibir apoyo de personal contratado para tal fin mediante contratos de prestación de servicios; v) le es inherente el seguimiento técnico, administrativo, financiero, contable, y jurídico del contrato vigilado.</w:t>
      </w:r>
    </w:p>
    <w:p w14:paraId="12C32E66" w14:textId="51BABFC2" w:rsidR="00952BD5" w:rsidRPr="00851F96" w:rsidRDefault="00952BD5" w:rsidP="00285D73">
      <w:pPr>
        <w:pStyle w:val="Sinespaciado"/>
        <w:spacing w:line="276" w:lineRule="auto"/>
        <w:ind w:firstLine="708"/>
        <w:jc w:val="both"/>
        <w:rPr>
          <w:rFonts w:ascii="Arial" w:hAnsi="Arial" w:cs="Arial"/>
          <w:color w:val="000000" w:themeColor="text1"/>
          <w:sz w:val="22"/>
        </w:rPr>
      </w:pPr>
      <w:r w:rsidRPr="00851F96">
        <w:rPr>
          <w:rFonts w:ascii="Arial" w:hAnsi="Arial" w:cs="Arial"/>
          <w:color w:val="000000" w:themeColor="text1"/>
          <w:sz w:val="22"/>
        </w:rPr>
        <w:t xml:space="preserve">En relación con las definiciones de </w:t>
      </w:r>
      <w:r w:rsidRPr="00851F96">
        <w:rPr>
          <w:rFonts w:ascii="Arial" w:hAnsi="Arial" w:cs="Arial"/>
          <w:i/>
          <w:iCs/>
          <w:color w:val="000000" w:themeColor="text1"/>
          <w:sz w:val="22"/>
        </w:rPr>
        <w:t xml:space="preserve">supervisión </w:t>
      </w:r>
      <w:r w:rsidRPr="00851F96">
        <w:rPr>
          <w:rFonts w:ascii="Arial" w:hAnsi="Arial" w:cs="Arial"/>
          <w:color w:val="000000" w:themeColor="text1"/>
          <w:sz w:val="22"/>
        </w:rPr>
        <w:t xml:space="preserve">e </w:t>
      </w:r>
      <w:r w:rsidRPr="00851F96">
        <w:rPr>
          <w:rFonts w:ascii="Arial" w:hAnsi="Arial" w:cs="Arial"/>
          <w:i/>
          <w:iCs/>
          <w:color w:val="000000" w:themeColor="text1"/>
          <w:sz w:val="22"/>
        </w:rPr>
        <w:t>interventoría</w:t>
      </w:r>
      <w:r w:rsidRPr="00851F96">
        <w:rPr>
          <w:rFonts w:ascii="Arial" w:hAnsi="Arial" w:cs="Arial"/>
          <w:color w:val="000000" w:themeColor="text1"/>
          <w:sz w:val="22"/>
        </w:rPr>
        <w:t>, doctrinariamente se ha establecido la diferencia entre una y otra, de la siguiente manera:</w:t>
      </w:r>
    </w:p>
    <w:p w14:paraId="64D7BF57" w14:textId="77777777" w:rsidR="00952BD5" w:rsidRPr="00851F96" w:rsidRDefault="00952BD5" w:rsidP="00285D73">
      <w:pPr>
        <w:pStyle w:val="Sinespaciado"/>
        <w:ind w:left="709" w:right="709"/>
        <w:jc w:val="both"/>
        <w:rPr>
          <w:rFonts w:ascii="Arial" w:hAnsi="Arial" w:cs="Arial"/>
          <w:color w:val="000000" w:themeColor="text1"/>
          <w:sz w:val="21"/>
          <w:szCs w:val="21"/>
        </w:rPr>
      </w:pPr>
    </w:p>
    <w:p w14:paraId="43D466F7" w14:textId="0539C61B" w:rsidR="00952BD5" w:rsidRPr="00851F96" w:rsidRDefault="00952BD5" w:rsidP="00285D73">
      <w:pPr>
        <w:pStyle w:val="Sinespaciado"/>
        <w:ind w:left="709" w:right="709"/>
        <w:jc w:val="both"/>
        <w:rPr>
          <w:rFonts w:ascii="Arial" w:hAnsi="Arial" w:cs="Arial"/>
          <w:color w:val="000000" w:themeColor="text1"/>
          <w:sz w:val="21"/>
          <w:szCs w:val="21"/>
        </w:rPr>
      </w:pPr>
      <w:r w:rsidRPr="00851F96">
        <w:rPr>
          <w:rFonts w:ascii="Arial" w:hAnsi="Arial" w:cs="Arial"/>
          <w:color w:val="000000" w:themeColor="text1"/>
          <w:sz w:val="21"/>
          <w:szCs w:val="21"/>
        </w:rPr>
        <w:t xml:space="preserve">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w:t>
      </w:r>
      <w:r w:rsidR="003B072E" w:rsidRPr="00851F96">
        <w:rPr>
          <w:rFonts w:ascii="Arial" w:hAnsi="Arial" w:cs="Arial"/>
          <w:color w:val="000000" w:themeColor="text1"/>
          <w:sz w:val="21"/>
          <w:szCs w:val="21"/>
        </w:rPr>
        <w:t>“</w:t>
      </w:r>
      <w:r w:rsidRPr="00851F96">
        <w:rPr>
          <w:rFonts w:ascii="Arial" w:hAnsi="Arial" w:cs="Arial"/>
          <w:color w:val="000000" w:themeColor="text1"/>
          <w:sz w:val="21"/>
          <w:szCs w:val="21"/>
        </w:rPr>
        <w:t>sus ojos</w:t>
      </w:r>
      <w:r w:rsidR="003B072E" w:rsidRPr="00851F96">
        <w:rPr>
          <w:rFonts w:ascii="Arial" w:hAnsi="Arial" w:cs="Arial"/>
          <w:color w:val="000000" w:themeColor="text1"/>
          <w:sz w:val="21"/>
          <w:szCs w:val="21"/>
        </w:rPr>
        <w:t>”</w:t>
      </w:r>
      <w:r w:rsidRPr="00851F96">
        <w:rPr>
          <w:rFonts w:ascii="Arial" w:hAnsi="Arial" w:cs="Arial"/>
          <w:color w:val="000000" w:themeColor="text1"/>
          <w:sz w:val="21"/>
          <w:szCs w:val="21"/>
        </w:rPr>
        <w:t xml:space="preserve"> en frente de la ejecución del contrato. Es por ello </w:t>
      </w:r>
      <w:proofErr w:type="gramStart"/>
      <w:r w:rsidRPr="00851F96">
        <w:rPr>
          <w:rFonts w:ascii="Arial" w:hAnsi="Arial" w:cs="Arial"/>
          <w:color w:val="000000" w:themeColor="text1"/>
          <w:sz w:val="21"/>
          <w:szCs w:val="21"/>
        </w:rPr>
        <w:t>que</w:t>
      </w:r>
      <w:proofErr w:type="gramEnd"/>
      <w:r w:rsidRPr="00851F96">
        <w:rPr>
          <w:rFonts w:ascii="Arial" w:hAnsi="Arial" w:cs="Arial"/>
          <w:color w:val="000000" w:themeColor="text1"/>
          <w:sz w:val="21"/>
          <w:szCs w:val="21"/>
        </w:rPr>
        <w:t xml:space="preserve"> a la interventoría se le hace consistir de acuerdo con la definición legal, </w:t>
      </w:r>
      <w:r w:rsidR="003B072E" w:rsidRPr="00851F96">
        <w:rPr>
          <w:rFonts w:ascii="Arial" w:hAnsi="Arial" w:cs="Arial"/>
          <w:color w:val="000000" w:themeColor="text1"/>
          <w:sz w:val="21"/>
          <w:szCs w:val="21"/>
        </w:rPr>
        <w:t>“</w:t>
      </w:r>
      <w:r w:rsidRPr="00851F96">
        <w:rPr>
          <w:rFonts w:ascii="Arial" w:hAnsi="Arial" w:cs="Arial"/>
          <w:color w:val="000000" w:themeColor="text1"/>
          <w:sz w:val="21"/>
          <w:szCs w:val="21"/>
        </w:rPr>
        <w:t>en el seguimiento técnico</w:t>
      </w:r>
      <w:r w:rsidR="003B072E" w:rsidRPr="00851F96">
        <w:rPr>
          <w:rFonts w:ascii="Arial" w:hAnsi="Arial" w:cs="Arial"/>
          <w:color w:val="000000" w:themeColor="text1"/>
          <w:sz w:val="21"/>
          <w:szCs w:val="21"/>
        </w:rPr>
        <w:t>”</w:t>
      </w:r>
      <w:r w:rsidRPr="00851F96">
        <w:rPr>
          <w:rFonts w:ascii="Arial" w:hAnsi="Arial" w:cs="Arial"/>
          <w:color w:val="000000" w:themeColor="text1"/>
          <w:sz w:val="21"/>
          <w:szCs w:val="21"/>
        </w:rPr>
        <w:t xml:space="preserve"> del cumplimiento del contrato, cuando el mismo </w:t>
      </w:r>
      <w:r w:rsidR="003B072E" w:rsidRPr="00851F96">
        <w:rPr>
          <w:rFonts w:ascii="Arial" w:hAnsi="Arial" w:cs="Arial"/>
          <w:color w:val="000000" w:themeColor="text1"/>
          <w:sz w:val="21"/>
          <w:szCs w:val="21"/>
        </w:rPr>
        <w:t>“</w:t>
      </w:r>
      <w:r w:rsidRPr="00851F96">
        <w:rPr>
          <w:rFonts w:ascii="Arial" w:hAnsi="Arial" w:cs="Arial"/>
          <w:color w:val="000000" w:themeColor="text1"/>
          <w:sz w:val="21"/>
          <w:szCs w:val="21"/>
        </w:rPr>
        <w:t>suponga conocimiento especializado en la materia, o cuando la complejidad o la extensión del mismo lo justifiquen</w:t>
      </w:r>
      <w:r w:rsidR="003B072E" w:rsidRPr="00851F96">
        <w:rPr>
          <w:rFonts w:ascii="Arial" w:hAnsi="Arial" w:cs="Arial"/>
          <w:color w:val="000000" w:themeColor="text1"/>
          <w:sz w:val="21"/>
          <w:szCs w:val="21"/>
        </w:rPr>
        <w:t>”</w:t>
      </w:r>
      <w:r w:rsidRPr="00851F96">
        <w:rPr>
          <w:rFonts w:ascii="Arial" w:hAnsi="Arial" w:cs="Arial"/>
          <w:color w:val="000000" w:themeColor="text1"/>
          <w:sz w:val="21"/>
          <w:szCs w:val="21"/>
        </w:rPr>
        <w:t xml:space="preserve">.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w:t>
      </w:r>
      <w:r w:rsidR="003B072E" w:rsidRPr="00851F96">
        <w:rPr>
          <w:rFonts w:ascii="Arial" w:hAnsi="Arial" w:cs="Arial"/>
          <w:color w:val="000000" w:themeColor="text1"/>
          <w:sz w:val="21"/>
          <w:szCs w:val="21"/>
        </w:rPr>
        <w:t>“</w:t>
      </w:r>
      <w:r w:rsidRPr="00851F96">
        <w:rPr>
          <w:rFonts w:ascii="Arial" w:hAnsi="Arial" w:cs="Arial"/>
          <w:color w:val="000000" w:themeColor="text1"/>
          <w:sz w:val="21"/>
          <w:szCs w:val="21"/>
        </w:rPr>
        <w:t>otros aspectos del contrato</w:t>
      </w:r>
      <w:r w:rsidR="003B072E" w:rsidRPr="00851F96">
        <w:rPr>
          <w:rFonts w:ascii="Arial" w:hAnsi="Arial" w:cs="Arial"/>
          <w:color w:val="000000" w:themeColor="text1"/>
          <w:sz w:val="21"/>
          <w:szCs w:val="21"/>
        </w:rPr>
        <w:t>”</w:t>
      </w:r>
      <w:r w:rsidRPr="00851F96">
        <w:rPr>
          <w:rFonts w:ascii="Arial" w:hAnsi="Arial" w:cs="Arial"/>
          <w:color w:val="000000" w:themeColor="text1"/>
          <w:sz w:val="21"/>
          <w:szCs w:val="21"/>
        </w:rPr>
        <w:t xml:space="preserve"> en adición a aquellos de naturaleza técnica</w:t>
      </w:r>
      <w:r w:rsidRPr="00851F96">
        <w:rPr>
          <w:rStyle w:val="Refdenotaalpie"/>
          <w:rFonts w:ascii="Arial" w:hAnsi="Arial" w:cs="Arial"/>
          <w:color w:val="000000" w:themeColor="text1"/>
          <w:sz w:val="21"/>
          <w:szCs w:val="21"/>
        </w:rPr>
        <w:footnoteReference w:id="11"/>
      </w:r>
      <w:r w:rsidRPr="00851F96">
        <w:rPr>
          <w:rFonts w:ascii="Arial" w:hAnsi="Arial" w:cs="Arial"/>
          <w:color w:val="000000" w:themeColor="text1"/>
          <w:sz w:val="21"/>
          <w:szCs w:val="21"/>
        </w:rPr>
        <w:t xml:space="preserve">. </w:t>
      </w:r>
    </w:p>
    <w:p w14:paraId="0BEF8AEF" w14:textId="77777777" w:rsidR="00952BD5" w:rsidRPr="00851F96" w:rsidRDefault="00952BD5" w:rsidP="00285D73">
      <w:pPr>
        <w:pStyle w:val="Sinespaciado"/>
        <w:spacing w:before="120" w:line="276" w:lineRule="auto"/>
        <w:ind w:firstLine="709"/>
        <w:jc w:val="both"/>
        <w:rPr>
          <w:rFonts w:ascii="Arial" w:hAnsi="Arial" w:cs="Arial"/>
          <w:color w:val="000000" w:themeColor="text1"/>
          <w:sz w:val="22"/>
        </w:rPr>
      </w:pPr>
      <w:r w:rsidRPr="00851F96">
        <w:rPr>
          <w:rFonts w:ascii="Arial" w:hAnsi="Arial" w:cs="Arial"/>
          <w:color w:val="000000" w:themeColor="text1"/>
          <w:sz w:val="22"/>
        </w:rPr>
        <w:t>Por otro lado, quien ejerza la vigilancia de la ejecución del contrato, ya sea mediante la supervisión o mediante la interventoría, puede hacer uso de las facultades previstas en el artículo 84 de la Ley 1474 de 2011 para efectuar el seguimiento al cumplimiento obligacional del contrato y estará sometido a los deberes y responsabilidades que implica el ejercicio de dicha actividad.</w:t>
      </w:r>
    </w:p>
    <w:p w14:paraId="7FB1A3D3" w14:textId="73731571" w:rsidR="00952BD5" w:rsidRPr="00851F96" w:rsidRDefault="00952BD5" w:rsidP="00285D73">
      <w:pPr>
        <w:pStyle w:val="Sinespaciado"/>
        <w:spacing w:before="120" w:line="276" w:lineRule="auto"/>
        <w:ind w:firstLine="709"/>
        <w:jc w:val="both"/>
        <w:rPr>
          <w:rFonts w:ascii="Arial" w:hAnsi="Arial" w:cs="Arial"/>
          <w:color w:val="000000" w:themeColor="text1"/>
          <w:sz w:val="22"/>
        </w:rPr>
      </w:pPr>
      <w:r w:rsidRPr="00851F96">
        <w:rPr>
          <w:rFonts w:ascii="Arial" w:hAnsi="Arial" w:cs="Arial"/>
          <w:bCs/>
          <w:color w:val="000000" w:themeColor="text1"/>
          <w:sz w:val="22"/>
        </w:rPr>
        <w:t>Ahora bien, e</w:t>
      </w:r>
      <w:r w:rsidRPr="00851F96">
        <w:rPr>
          <w:rFonts w:ascii="Arial" w:hAnsi="Arial" w:cs="Arial"/>
          <w:color w:val="000000" w:themeColor="text1"/>
          <w:sz w:val="22"/>
        </w:rPr>
        <w:t xml:space="preserve">n cuanto a la designación del supervisor, Colombia Compra Eficiente, en la </w:t>
      </w:r>
      <w:r w:rsidR="003B072E" w:rsidRPr="00851F96">
        <w:rPr>
          <w:rFonts w:ascii="Arial" w:hAnsi="Arial" w:cs="Arial"/>
          <w:color w:val="000000" w:themeColor="text1"/>
          <w:sz w:val="22"/>
        </w:rPr>
        <w:t>“</w:t>
      </w:r>
      <w:r w:rsidRPr="00851F96">
        <w:rPr>
          <w:rFonts w:ascii="Arial" w:hAnsi="Arial" w:cs="Arial"/>
          <w:color w:val="000000" w:themeColor="text1"/>
          <w:sz w:val="22"/>
        </w:rPr>
        <w:t>Guía para el ejercicio de las funciones de supervisión e interventoría de los contratos del Estado</w:t>
      </w:r>
      <w:r w:rsidR="003B072E" w:rsidRPr="00851F96">
        <w:rPr>
          <w:rFonts w:ascii="Arial" w:hAnsi="Arial" w:cs="Arial"/>
          <w:color w:val="000000" w:themeColor="text1"/>
          <w:sz w:val="22"/>
        </w:rPr>
        <w:t>”</w:t>
      </w:r>
      <w:r w:rsidRPr="00851F96">
        <w:rPr>
          <w:rStyle w:val="Refdenotaalpie"/>
          <w:rFonts w:ascii="Arial" w:hAnsi="Arial" w:cs="Arial"/>
          <w:color w:val="000000" w:themeColor="text1"/>
          <w:sz w:val="22"/>
        </w:rPr>
        <w:footnoteReference w:id="12"/>
      </w:r>
      <w:r w:rsidRPr="00851F96">
        <w:rPr>
          <w:rFonts w:ascii="Arial" w:hAnsi="Arial" w:cs="Arial"/>
          <w:color w:val="000000" w:themeColor="text1"/>
          <w:sz w:val="22"/>
        </w:rPr>
        <w:t xml:space="preserve"> recomienda que esta se haga </w:t>
      </w:r>
      <w:r w:rsidR="003F56E1" w:rsidRPr="00851F96">
        <w:rPr>
          <w:rFonts w:ascii="Arial" w:hAnsi="Arial" w:cs="Arial"/>
          <w:color w:val="000000" w:themeColor="text1"/>
          <w:sz w:val="22"/>
        </w:rPr>
        <w:t xml:space="preserve">por </w:t>
      </w:r>
      <w:r w:rsidRPr="00851F96">
        <w:rPr>
          <w:rFonts w:ascii="Arial" w:hAnsi="Arial" w:cs="Arial"/>
          <w:color w:val="000000" w:themeColor="text1"/>
          <w:sz w:val="22"/>
        </w:rPr>
        <w:t>un funcionario</w:t>
      </w:r>
      <w:r w:rsidR="003F56E1" w:rsidRPr="00851F96">
        <w:rPr>
          <w:rFonts w:ascii="Arial" w:hAnsi="Arial" w:cs="Arial"/>
          <w:color w:val="000000" w:themeColor="text1"/>
          <w:sz w:val="22"/>
        </w:rPr>
        <w:t xml:space="preserve"> público</w:t>
      </w:r>
      <w:r w:rsidRPr="00851F96">
        <w:rPr>
          <w:rFonts w:ascii="Arial" w:hAnsi="Arial" w:cs="Arial"/>
          <w:color w:val="000000" w:themeColor="text1"/>
          <w:sz w:val="22"/>
        </w:rPr>
        <w:t xml:space="preserve"> </w:t>
      </w:r>
      <w:r w:rsidR="00CE679F" w:rsidRPr="00851F96">
        <w:rPr>
          <w:rFonts w:ascii="Arial" w:hAnsi="Arial" w:cs="Arial"/>
          <w:color w:val="000000" w:themeColor="text1"/>
          <w:sz w:val="22"/>
        </w:rPr>
        <w:t>quién</w:t>
      </w:r>
      <w:r w:rsidRPr="00851F96">
        <w:rPr>
          <w:rFonts w:ascii="Arial" w:hAnsi="Arial" w:cs="Arial"/>
          <w:color w:val="000000" w:themeColor="text1"/>
          <w:sz w:val="22"/>
        </w:rPr>
        <w:t xml:space="preserv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w:t>
      </w:r>
      <w:r w:rsidRPr="00851F96">
        <w:rPr>
          <w:rFonts w:ascii="Arial" w:hAnsi="Arial" w:cs="Arial"/>
          <w:color w:val="000000" w:themeColor="text1"/>
          <w:sz w:val="22"/>
        </w:rPr>
        <w:lastRenderedPageBreak/>
        <w:t xml:space="preserve">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w14:paraId="5CE6CDE9" w14:textId="77777777" w:rsidR="00952BD5" w:rsidRPr="00851F96" w:rsidRDefault="00952BD5" w:rsidP="00285D73">
      <w:pPr>
        <w:pStyle w:val="Sinespaciado"/>
        <w:spacing w:before="120" w:line="276" w:lineRule="auto"/>
        <w:ind w:firstLine="709"/>
        <w:jc w:val="both"/>
        <w:rPr>
          <w:rFonts w:ascii="Arial" w:hAnsi="Arial" w:cs="Arial"/>
          <w:color w:val="000000" w:themeColor="text1"/>
          <w:sz w:val="22"/>
        </w:rPr>
      </w:pPr>
      <w:r w:rsidRPr="00851F96">
        <w:rPr>
          <w:rFonts w:ascii="Arial" w:hAnsi="Arial" w:cs="Arial"/>
          <w:color w:val="000000" w:themeColor="text1"/>
          <w:sz w:val="22"/>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851F96">
        <w:rPr>
          <w:rStyle w:val="Refdenotaalpie"/>
          <w:rFonts w:ascii="Arial" w:hAnsi="Arial" w:cs="Arial"/>
          <w:color w:val="000000" w:themeColor="text1"/>
          <w:sz w:val="22"/>
        </w:rPr>
        <w:footnoteReference w:id="13"/>
      </w:r>
      <w:r w:rsidRPr="00851F96">
        <w:rPr>
          <w:rFonts w:ascii="Arial" w:hAnsi="Arial" w:cs="Arial"/>
          <w:color w:val="000000" w:themeColor="text1"/>
          <w:sz w:val="22"/>
        </w:rPr>
        <w:t>.</w:t>
      </w:r>
    </w:p>
    <w:p w14:paraId="1D765204" w14:textId="77777777" w:rsidR="00952BD5" w:rsidRPr="00851F96" w:rsidRDefault="00952BD5" w:rsidP="00285D73">
      <w:pPr>
        <w:pStyle w:val="Sinespaciado"/>
        <w:spacing w:before="120" w:line="276" w:lineRule="auto"/>
        <w:ind w:firstLine="709"/>
        <w:jc w:val="both"/>
        <w:rPr>
          <w:rFonts w:ascii="Arial" w:hAnsi="Arial" w:cs="Arial"/>
          <w:color w:val="000000" w:themeColor="text1"/>
          <w:sz w:val="22"/>
        </w:rPr>
      </w:pPr>
      <w:r w:rsidRPr="00851F96">
        <w:rPr>
          <w:rFonts w:ascii="Arial" w:hAnsi="Arial" w:cs="Arial"/>
          <w:color w:val="000000" w:themeColor="text1"/>
          <w:sz w:val="22"/>
        </w:rPr>
        <w:t xml:space="preserve">Si bien es cierto que para desarrollar la supervisión del contrato no se requieren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 en aras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 </w:t>
      </w:r>
    </w:p>
    <w:p w14:paraId="5F352C48" w14:textId="7BAFA051" w:rsidR="00952BD5" w:rsidRPr="00851F96" w:rsidRDefault="00F77507" w:rsidP="00285D73">
      <w:pPr>
        <w:pStyle w:val="Sinespaciado"/>
        <w:spacing w:before="120" w:line="276" w:lineRule="auto"/>
        <w:ind w:firstLine="709"/>
        <w:jc w:val="both"/>
        <w:rPr>
          <w:rFonts w:ascii="Arial" w:hAnsi="Arial" w:cs="Arial"/>
          <w:color w:val="000000" w:themeColor="text1"/>
          <w:sz w:val="22"/>
        </w:rPr>
      </w:pPr>
      <w:r w:rsidRPr="00851F96">
        <w:rPr>
          <w:rFonts w:ascii="Arial" w:hAnsi="Arial" w:cs="Arial"/>
          <w:color w:val="000000" w:themeColor="text1"/>
          <w:sz w:val="22"/>
        </w:rPr>
        <w:t xml:space="preserve">Es pertinente señalar que esta Agencia ha </w:t>
      </w:r>
      <w:r w:rsidR="00952BD5" w:rsidRPr="00851F96">
        <w:rPr>
          <w:rFonts w:ascii="Arial" w:hAnsi="Arial" w:cs="Arial"/>
          <w:color w:val="000000" w:themeColor="text1"/>
          <w:sz w:val="22"/>
        </w:rPr>
        <w:t>consider</w:t>
      </w:r>
      <w:r w:rsidRPr="00851F96">
        <w:rPr>
          <w:rFonts w:ascii="Arial" w:hAnsi="Arial" w:cs="Arial"/>
          <w:color w:val="000000" w:themeColor="text1"/>
          <w:sz w:val="22"/>
        </w:rPr>
        <w:t>ado</w:t>
      </w:r>
      <w:r w:rsidR="00952BD5" w:rsidRPr="00851F96">
        <w:rPr>
          <w:rFonts w:ascii="Arial" w:hAnsi="Arial" w:cs="Arial"/>
          <w:color w:val="000000" w:themeColor="text1"/>
          <w:sz w:val="22"/>
        </w:rPr>
        <w:t xml:space="preserve"> que del texto del artículo 83 de la Ley 1474 es posible inferir que la ley d</w:t>
      </w:r>
      <w:r w:rsidR="00285D73" w:rsidRPr="00851F96">
        <w:rPr>
          <w:rFonts w:ascii="Arial" w:hAnsi="Arial" w:cs="Arial"/>
          <w:color w:val="000000" w:themeColor="text1"/>
          <w:sz w:val="22"/>
        </w:rPr>
        <w:t>ispuso</w:t>
      </w:r>
      <w:r w:rsidR="00952BD5" w:rsidRPr="00851F96">
        <w:rPr>
          <w:rFonts w:ascii="Arial" w:hAnsi="Arial" w:cs="Arial"/>
          <w:color w:val="000000" w:themeColor="text1"/>
          <w:sz w:val="22"/>
        </w:rPr>
        <w:t xml:space="preserve"> que la supervisión debe ser ejercida por la misma </w:t>
      </w:r>
      <w:r w:rsidR="00285D73" w:rsidRPr="00851F96">
        <w:rPr>
          <w:rFonts w:ascii="Arial" w:hAnsi="Arial" w:cs="Arial"/>
          <w:color w:val="000000" w:themeColor="text1"/>
          <w:sz w:val="22"/>
        </w:rPr>
        <w:t>Entidad Estatal</w:t>
      </w:r>
      <w:r w:rsidR="00952BD5" w:rsidRPr="00851F96">
        <w:rPr>
          <w:rFonts w:ascii="Arial" w:hAnsi="Arial" w:cs="Arial"/>
          <w:color w:val="000000" w:themeColor="text1"/>
          <w:sz w:val="22"/>
        </w:rPr>
        <w:t xml:space="preserve">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 </w:t>
      </w:r>
    </w:p>
    <w:p w14:paraId="15F0B547" w14:textId="2E34105A" w:rsidR="00952BD5" w:rsidRPr="00851F96" w:rsidRDefault="00285D73" w:rsidP="00285D73">
      <w:pPr>
        <w:pStyle w:val="Sinespaciado"/>
        <w:spacing w:before="120" w:line="276" w:lineRule="auto"/>
        <w:ind w:firstLine="709"/>
        <w:jc w:val="both"/>
        <w:rPr>
          <w:rFonts w:ascii="Arial" w:hAnsi="Arial" w:cs="Arial"/>
          <w:color w:val="000000" w:themeColor="text1"/>
          <w:sz w:val="22"/>
        </w:rPr>
      </w:pPr>
      <w:r w:rsidRPr="00851F96">
        <w:rPr>
          <w:rFonts w:ascii="Arial" w:hAnsi="Arial" w:cs="Arial"/>
          <w:color w:val="000000" w:themeColor="text1"/>
          <w:sz w:val="22"/>
        </w:rPr>
        <w:t xml:space="preserve">Lo anterior postura se soporta del trámite del </w:t>
      </w:r>
      <w:r w:rsidR="00952BD5" w:rsidRPr="00851F96">
        <w:rPr>
          <w:rFonts w:ascii="Arial" w:hAnsi="Arial" w:cs="Arial"/>
          <w:color w:val="000000" w:themeColor="text1"/>
          <w:sz w:val="22"/>
        </w:rPr>
        <w:t xml:space="preserve">proyecto de ley que se convirtió en la Ley 1474 de 2011, inicialmente, establecía que </w:t>
      </w:r>
      <w:r w:rsidR="003B072E" w:rsidRPr="00851F96">
        <w:rPr>
          <w:rFonts w:ascii="Arial" w:hAnsi="Arial" w:cs="Arial"/>
          <w:color w:val="000000" w:themeColor="text1"/>
          <w:sz w:val="22"/>
        </w:rPr>
        <w:t>“</w:t>
      </w:r>
      <w:r w:rsidR="00952BD5" w:rsidRPr="00851F96">
        <w:rPr>
          <w:rFonts w:ascii="Arial" w:hAnsi="Arial" w:cs="Arial"/>
          <w:color w:val="000000" w:themeColor="text1"/>
          <w:sz w:val="22"/>
        </w:rPr>
        <w:t>la supervisión de los contratos ser[</w:t>
      </w:r>
      <w:proofErr w:type="spellStart"/>
      <w:r w:rsidR="00952BD5" w:rsidRPr="00851F96">
        <w:rPr>
          <w:rFonts w:ascii="Arial" w:hAnsi="Arial" w:cs="Arial"/>
          <w:color w:val="000000" w:themeColor="text1"/>
          <w:sz w:val="22"/>
        </w:rPr>
        <w:t>ía</w:t>
      </w:r>
      <w:proofErr w:type="spellEnd"/>
      <w:r w:rsidR="00952BD5" w:rsidRPr="00851F96">
        <w:rPr>
          <w:rFonts w:ascii="Arial" w:hAnsi="Arial" w:cs="Arial"/>
          <w:color w:val="000000" w:themeColor="text1"/>
          <w:sz w:val="22"/>
        </w:rPr>
        <w:t xml:space="preserve">] ejercida por un funcionario de la misma entidad estatal, o por un contratista de prestación </w:t>
      </w:r>
      <w:r w:rsidR="00952BD5" w:rsidRPr="00851F96">
        <w:rPr>
          <w:rFonts w:ascii="Arial" w:hAnsi="Arial" w:cs="Arial"/>
          <w:color w:val="000000" w:themeColor="text1"/>
          <w:sz w:val="22"/>
        </w:rPr>
        <w:lastRenderedPageBreak/>
        <w:t>de servicios profesionales […]</w:t>
      </w:r>
      <w:r w:rsidR="003B072E" w:rsidRPr="00851F96">
        <w:rPr>
          <w:rFonts w:ascii="Arial" w:hAnsi="Arial" w:cs="Arial"/>
          <w:color w:val="000000" w:themeColor="text1"/>
          <w:sz w:val="22"/>
        </w:rPr>
        <w:t>”</w:t>
      </w:r>
      <w:r w:rsidR="00952BD5" w:rsidRPr="00851F96">
        <w:rPr>
          <w:rStyle w:val="Refdenotaalpie"/>
          <w:rFonts w:ascii="Arial" w:hAnsi="Arial" w:cs="Arial"/>
          <w:color w:val="000000" w:themeColor="text1"/>
          <w:sz w:val="22"/>
        </w:rPr>
        <w:footnoteReference w:id="14"/>
      </w:r>
      <w:r w:rsidR="00952BD5" w:rsidRPr="00851F96">
        <w:rPr>
          <w:rFonts w:ascii="Arial" w:hAnsi="Arial" w:cs="Arial"/>
          <w:color w:val="000000" w:themeColor="text1"/>
          <w:sz w:val="22"/>
        </w:rPr>
        <w:t>. Sin embargo, también lo es que esa postura fue modificada para el segundo debate legislativo</w:t>
      </w:r>
      <w:r w:rsidR="00952BD5" w:rsidRPr="00851F96">
        <w:rPr>
          <w:rStyle w:val="Refdenotaalpie"/>
          <w:rFonts w:ascii="Arial" w:hAnsi="Arial" w:cs="Arial"/>
          <w:color w:val="000000" w:themeColor="text1"/>
          <w:sz w:val="22"/>
        </w:rPr>
        <w:footnoteReference w:id="15"/>
      </w:r>
      <w:r w:rsidR="00952BD5" w:rsidRPr="00851F96">
        <w:rPr>
          <w:rFonts w:ascii="Arial" w:hAnsi="Arial" w:cs="Arial"/>
          <w:color w:val="000000" w:themeColor="text1"/>
          <w:sz w:val="22"/>
        </w:rPr>
        <w:t xml:space="preserve"> y en la ponencia registrada para tercer debate</w:t>
      </w:r>
      <w:r w:rsidR="00952BD5" w:rsidRPr="00851F96">
        <w:rPr>
          <w:rStyle w:val="Refdenotaalpie"/>
          <w:rFonts w:ascii="Arial" w:hAnsi="Arial" w:cs="Arial"/>
          <w:color w:val="000000" w:themeColor="text1"/>
          <w:sz w:val="22"/>
        </w:rPr>
        <w:footnoteReference w:id="16"/>
      </w:r>
      <w:r w:rsidR="00952BD5" w:rsidRPr="00851F96">
        <w:rPr>
          <w:rFonts w:ascii="Arial" w:hAnsi="Arial" w:cs="Arial"/>
          <w:color w:val="000000" w:themeColor="text1"/>
          <w:sz w:val="22"/>
        </w:rPr>
        <w:t xml:space="preserve">, en donde se estableció que </w:t>
      </w:r>
      <w:r w:rsidR="003B072E" w:rsidRPr="00851F96">
        <w:rPr>
          <w:rFonts w:ascii="Arial" w:hAnsi="Arial" w:cs="Arial"/>
          <w:color w:val="000000" w:themeColor="text1"/>
          <w:sz w:val="22"/>
        </w:rPr>
        <w:t>“</w:t>
      </w:r>
      <w:r w:rsidR="00952BD5" w:rsidRPr="00851F96">
        <w:rPr>
          <w:rFonts w:ascii="Arial" w:hAnsi="Arial" w:cs="Arial"/>
          <w:color w:val="000000" w:themeColor="text1"/>
          <w:sz w:val="22"/>
        </w:rPr>
        <w:t>la supervisión de los contratos ser[</w:t>
      </w:r>
      <w:proofErr w:type="spellStart"/>
      <w:r w:rsidR="00952BD5" w:rsidRPr="00851F96">
        <w:rPr>
          <w:rFonts w:ascii="Arial" w:hAnsi="Arial" w:cs="Arial"/>
          <w:color w:val="000000" w:themeColor="text1"/>
          <w:sz w:val="22"/>
        </w:rPr>
        <w:t>ía</w:t>
      </w:r>
      <w:proofErr w:type="spellEnd"/>
      <w:r w:rsidR="00952BD5" w:rsidRPr="00851F96">
        <w:rPr>
          <w:rFonts w:ascii="Arial" w:hAnsi="Arial" w:cs="Arial"/>
          <w:color w:val="000000" w:themeColor="text1"/>
          <w:sz w:val="22"/>
        </w:rPr>
        <w:t>] ejercida por un funcionario de la misma entidad estatal</w:t>
      </w:r>
      <w:r w:rsidR="003B072E" w:rsidRPr="00851F96">
        <w:rPr>
          <w:rFonts w:ascii="Arial" w:hAnsi="Arial" w:cs="Arial"/>
          <w:color w:val="000000" w:themeColor="text1"/>
          <w:sz w:val="22"/>
        </w:rPr>
        <w:t>”</w:t>
      </w:r>
      <w:r w:rsidR="00952BD5" w:rsidRPr="00851F96">
        <w:rPr>
          <w:rFonts w:ascii="Arial" w:hAnsi="Arial" w:cs="Arial"/>
          <w:color w:val="000000" w:themeColor="text1"/>
          <w:sz w:val="22"/>
        </w:rPr>
        <w:t>. Incluso, la versión que finalmente se aprobó en cuarto debate</w:t>
      </w:r>
      <w:r w:rsidR="00952BD5" w:rsidRPr="00851F96">
        <w:rPr>
          <w:rStyle w:val="Refdenotaalpie"/>
          <w:rFonts w:ascii="Arial" w:hAnsi="Arial" w:cs="Arial"/>
          <w:color w:val="000000" w:themeColor="text1"/>
          <w:sz w:val="22"/>
        </w:rPr>
        <w:footnoteReference w:id="17"/>
      </w:r>
      <w:r w:rsidR="00952BD5" w:rsidRPr="00851F96">
        <w:rPr>
          <w:rFonts w:ascii="Arial" w:hAnsi="Arial" w:cs="Arial"/>
          <w:color w:val="000000" w:themeColor="text1"/>
          <w:sz w:val="22"/>
        </w:rPr>
        <w:t>, que fue acogida por ambas cámaras legislativas</w:t>
      </w:r>
      <w:r w:rsidR="00952BD5" w:rsidRPr="00851F96">
        <w:rPr>
          <w:rStyle w:val="Refdenotaalpie"/>
          <w:rFonts w:ascii="Arial" w:hAnsi="Arial" w:cs="Arial"/>
          <w:color w:val="000000" w:themeColor="text1"/>
          <w:sz w:val="22"/>
        </w:rPr>
        <w:footnoteReference w:id="18"/>
      </w:r>
      <w:r w:rsidR="00952BD5" w:rsidRPr="00851F96">
        <w:rPr>
          <w:rFonts w:ascii="Arial" w:hAnsi="Arial" w:cs="Arial"/>
          <w:color w:val="000000" w:themeColor="text1"/>
          <w:sz w:val="22"/>
        </w:rPr>
        <w:t xml:space="preserve"> luego del correspondiente trámite de conciliación</w:t>
      </w:r>
      <w:r w:rsidR="00952BD5" w:rsidRPr="00851F96">
        <w:rPr>
          <w:rStyle w:val="Refdenotaalpie"/>
          <w:rFonts w:ascii="Arial" w:hAnsi="Arial" w:cs="Arial"/>
          <w:color w:val="000000" w:themeColor="text1"/>
          <w:sz w:val="22"/>
        </w:rPr>
        <w:footnoteReference w:id="19"/>
      </w:r>
      <w:r w:rsidR="00952BD5" w:rsidRPr="00851F96">
        <w:rPr>
          <w:rFonts w:ascii="Arial" w:hAnsi="Arial" w:cs="Arial"/>
          <w:color w:val="000000" w:themeColor="text1"/>
          <w:sz w:val="22"/>
        </w:rPr>
        <w:t xml:space="preserve">, era del siguiente tenor: </w:t>
      </w:r>
      <w:r w:rsidR="003B072E" w:rsidRPr="00851F96">
        <w:rPr>
          <w:rFonts w:ascii="Arial" w:hAnsi="Arial" w:cs="Arial"/>
          <w:color w:val="000000" w:themeColor="text1"/>
          <w:sz w:val="22"/>
        </w:rPr>
        <w:t>“</w:t>
      </w:r>
      <w:r w:rsidR="00952BD5" w:rsidRPr="00851F96">
        <w:rPr>
          <w:rFonts w:ascii="Arial" w:hAnsi="Arial" w:cs="Arial"/>
          <w:color w:val="000000" w:themeColor="text1"/>
          <w:sz w:val="22"/>
        </w:rPr>
        <w:t>la supervisión consistirá en el seguimiento administrativo, técnico, financiero, contable, y jurídico que sobre el cumplimiento del objeto del contrato es ejercida por la misma entidad estatal […]</w:t>
      </w:r>
      <w:r w:rsidR="003B072E" w:rsidRPr="00851F96">
        <w:rPr>
          <w:rFonts w:ascii="Arial" w:hAnsi="Arial" w:cs="Arial"/>
          <w:color w:val="000000" w:themeColor="text1"/>
          <w:sz w:val="22"/>
        </w:rPr>
        <w:t>”</w:t>
      </w:r>
      <w:r w:rsidR="00952BD5" w:rsidRPr="00851F96">
        <w:rPr>
          <w:rFonts w:ascii="Arial" w:hAnsi="Arial" w:cs="Arial"/>
          <w:color w:val="000000" w:themeColor="text1"/>
          <w:sz w:val="22"/>
        </w:rPr>
        <w:t xml:space="preserve">. Nótese que el legislador acogió, finalmente, la noción </w:t>
      </w:r>
      <w:r w:rsidR="003B072E" w:rsidRPr="00851F96">
        <w:rPr>
          <w:rFonts w:ascii="Arial" w:hAnsi="Arial" w:cs="Arial"/>
          <w:color w:val="000000" w:themeColor="text1"/>
          <w:sz w:val="22"/>
        </w:rPr>
        <w:t>“</w:t>
      </w:r>
      <w:r w:rsidR="00952BD5" w:rsidRPr="00851F96">
        <w:rPr>
          <w:rFonts w:ascii="Arial" w:hAnsi="Arial" w:cs="Arial"/>
          <w:color w:val="000000" w:themeColor="text1"/>
          <w:sz w:val="22"/>
        </w:rPr>
        <w:t>entidad estatal</w:t>
      </w:r>
      <w:r w:rsidR="003B072E" w:rsidRPr="00851F96">
        <w:rPr>
          <w:rFonts w:ascii="Arial" w:hAnsi="Arial" w:cs="Arial"/>
          <w:color w:val="000000" w:themeColor="text1"/>
          <w:sz w:val="22"/>
        </w:rPr>
        <w:t>”</w:t>
      </w:r>
      <w:r w:rsidR="00952BD5" w:rsidRPr="00851F96">
        <w:rPr>
          <w:rFonts w:ascii="Arial" w:hAnsi="Arial" w:cs="Arial"/>
          <w:color w:val="000000" w:themeColor="text1"/>
          <w:sz w:val="22"/>
        </w:rPr>
        <w:t>, sin hacer referencia a los funcionarios de la entidad o a los contratistas.</w:t>
      </w:r>
    </w:p>
    <w:p w14:paraId="4E672694" w14:textId="6CC0D375" w:rsidR="00952BD5" w:rsidRPr="00851F96" w:rsidRDefault="00952BD5" w:rsidP="00285D73">
      <w:pPr>
        <w:pStyle w:val="Sinespaciado"/>
        <w:spacing w:before="120" w:after="240" w:line="276" w:lineRule="auto"/>
        <w:ind w:firstLine="709"/>
        <w:jc w:val="both"/>
        <w:rPr>
          <w:rFonts w:ascii="Arial" w:hAnsi="Arial" w:cs="Arial"/>
          <w:color w:val="000000" w:themeColor="text1"/>
          <w:sz w:val="22"/>
        </w:rPr>
      </w:pPr>
      <w:r w:rsidRPr="00851F96">
        <w:rPr>
          <w:rFonts w:ascii="Arial" w:hAnsi="Arial" w:cs="Arial"/>
          <w:color w:val="000000" w:themeColor="text1"/>
          <w:sz w:val="22"/>
        </w:rPr>
        <w:t xml:space="preserve">La expresión </w:t>
      </w:r>
      <w:r w:rsidR="003B072E" w:rsidRPr="00851F96">
        <w:rPr>
          <w:rFonts w:ascii="Arial" w:hAnsi="Arial" w:cs="Arial"/>
          <w:color w:val="000000" w:themeColor="text1"/>
          <w:sz w:val="22"/>
        </w:rPr>
        <w:t>“</w:t>
      </w:r>
      <w:r w:rsidRPr="00851F96">
        <w:rPr>
          <w:rFonts w:ascii="Arial" w:hAnsi="Arial" w:cs="Arial"/>
          <w:color w:val="000000" w:themeColor="text1"/>
          <w:sz w:val="22"/>
        </w:rPr>
        <w:t>entidad estatal</w:t>
      </w:r>
      <w:r w:rsidR="003B072E" w:rsidRPr="00851F96">
        <w:rPr>
          <w:rFonts w:ascii="Arial" w:hAnsi="Arial" w:cs="Arial"/>
          <w:color w:val="000000" w:themeColor="text1"/>
          <w:sz w:val="22"/>
        </w:rPr>
        <w:t>”</w:t>
      </w:r>
      <w:r w:rsidRPr="00851F96">
        <w:rPr>
          <w:rFonts w:ascii="Arial" w:hAnsi="Arial" w:cs="Arial"/>
          <w:color w:val="000000" w:themeColor="text1"/>
          <w:sz w:val="22"/>
        </w:rPr>
        <w:t xml:space="preserve">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Consejo de Estado</w:t>
      </w:r>
      <w:r w:rsidRPr="00851F96">
        <w:rPr>
          <w:rStyle w:val="Refdenotaalpie"/>
          <w:rFonts w:ascii="Arial" w:hAnsi="Arial" w:cs="Arial"/>
          <w:color w:val="000000" w:themeColor="text1"/>
          <w:sz w:val="22"/>
        </w:rPr>
        <w:footnoteReference w:id="20"/>
      </w:r>
      <w:r w:rsidRPr="00851F96">
        <w:rPr>
          <w:rFonts w:ascii="Arial" w:hAnsi="Arial" w:cs="Arial"/>
          <w:color w:val="000000" w:themeColor="text1"/>
          <w:sz w:val="22"/>
        </w:rPr>
        <w:t>, en providencia del 12 de diciembre de 2014, consideró que la calidad de supervisor la tienen los funcionarios de la entidad y no los contratistas. Esto, en los siguientes términos:</w:t>
      </w:r>
    </w:p>
    <w:p w14:paraId="3CB58D2B" w14:textId="499F2240" w:rsidR="00952BD5" w:rsidRPr="00851F96" w:rsidRDefault="00285D73" w:rsidP="00285D73">
      <w:pPr>
        <w:pStyle w:val="Sinespaciado"/>
        <w:spacing w:after="240"/>
        <w:ind w:left="709" w:right="709"/>
        <w:jc w:val="both"/>
        <w:rPr>
          <w:rFonts w:ascii="Arial" w:hAnsi="Arial" w:cs="Arial"/>
          <w:color w:val="000000" w:themeColor="text1"/>
          <w:sz w:val="21"/>
          <w:szCs w:val="21"/>
        </w:rPr>
      </w:pPr>
      <w:r w:rsidRPr="00851F96">
        <w:rPr>
          <w:rFonts w:ascii="Arial" w:hAnsi="Arial" w:cs="Arial"/>
          <w:color w:val="000000" w:themeColor="text1"/>
          <w:sz w:val="21"/>
          <w:szCs w:val="21"/>
        </w:rPr>
        <w:t>“</w:t>
      </w:r>
      <w:r w:rsidR="00952BD5" w:rsidRPr="00851F96">
        <w:rPr>
          <w:rFonts w:ascii="Arial" w:hAnsi="Arial" w:cs="Arial"/>
          <w:color w:val="000000" w:themeColor="text1"/>
          <w:sz w:val="21"/>
          <w:szCs w:val="21"/>
        </w:rPr>
        <w:t xml:space="preserve">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w:t>
      </w:r>
      <w:r w:rsidR="00952BD5" w:rsidRPr="00851F96">
        <w:rPr>
          <w:rFonts w:ascii="Arial" w:hAnsi="Arial" w:cs="Arial"/>
          <w:color w:val="000000" w:themeColor="text1"/>
          <w:sz w:val="21"/>
          <w:szCs w:val="21"/>
        </w:rPr>
        <w:lastRenderedPageBreak/>
        <w:t xml:space="preserve">actuaciones que le corresponden en virtud de su posición de parte dentro de la relación negocial11. </w:t>
      </w:r>
    </w:p>
    <w:p w14:paraId="1BF573AE" w14:textId="77777777" w:rsidR="00952BD5" w:rsidRPr="00851F96" w:rsidRDefault="00952BD5" w:rsidP="00285D73">
      <w:pPr>
        <w:pStyle w:val="Sinespaciado"/>
        <w:spacing w:after="240"/>
        <w:ind w:left="709" w:right="709"/>
        <w:jc w:val="both"/>
        <w:rPr>
          <w:rFonts w:ascii="Arial" w:hAnsi="Arial" w:cs="Arial"/>
          <w:color w:val="000000" w:themeColor="text1"/>
          <w:sz w:val="21"/>
          <w:szCs w:val="21"/>
        </w:rPr>
      </w:pPr>
      <w:r w:rsidRPr="00851F96">
        <w:rPr>
          <w:rFonts w:ascii="Arial" w:hAnsi="Arial" w:cs="Arial"/>
          <w:color w:val="000000" w:themeColor="text1"/>
          <w:sz w:val="21"/>
          <w:szCs w:val="21"/>
        </w:rPr>
        <w:t>[…]</w:t>
      </w:r>
    </w:p>
    <w:p w14:paraId="127377E4" w14:textId="77777777" w:rsidR="00285D73" w:rsidRPr="00851F96" w:rsidRDefault="00952BD5" w:rsidP="00285D73">
      <w:pPr>
        <w:pStyle w:val="Sinespaciado"/>
        <w:spacing w:after="240"/>
        <w:ind w:left="709" w:right="709"/>
        <w:jc w:val="both"/>
        <w:rPr>
          <w:rFonts w:ascii="Arial" w:hAnsi="Arial" w:cs="Arial"/>
          <w:color w:val="000000" w:themeColor="text1"/>
          <w:sz w:val="21"/>
          <w:szCs w:val="21"/>
        </w:rPr>
      </w:pPr>
      <w:r w:rsidRPr="00851F96">
        <w:rPr>
          <w:rFonts w:ascii="Arial" w:hAnsi="Arial" w:cs="Arial"/>
          <w:color w:val="000000" w:themeColor="text1"/>
          <w:sz w:val="21"/>
          <w:szCs w:val="21"/>
        </w:rPr>
        <w:t xml:space="preserve">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 Actualmente, la cuestión se mantiene en similares condiciones, sólo </w:t>
      </w:r>
      <w:r w:rsidRPr="00851F96">
        <w:rPr>
          <w:rFonts w:ascii="Arial" w:hAnsi="Arial" w:cs="Arial"/>
          <w:i/>
          <w:iCs/>
          <w:color w:val="000000" w:themeColor="text1"/>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851F96">
        <w:rPr>
          <w:rFonts w:ascii="Arial" w:hAnsi="Arial" w:cs="Arial"/>
          <w:color w:val="000000" w:themeColor="text1"/>
          <w:sz w:val="21"/>
          <w:szCs w:val="21"/>
        </w:rPr>
        <w:t>, so pena de variar de una consultoría a otra tipología diferente y, por consiguiente, de eludir procesos de selección. Por su parte, se hablará de interventor cuando se trate de una vigilancia externa o contratada</w:t>
      </w:r>
      <w:r w:rsidRPr="00851F96">
        <w:rPr>
          <w:rStyle w:val="Refdenotaalpie"/>
          <w:rFonts w:ascii="Arial" w:hAnsi="Arial" w:cs="Arial"/>
          <w:color w:val="000000" w:themeColor="text1"/>
          <w:sz w:val="21"/>
          <w:szCs w:val="21"/>
        </w:rPr>
        <w:footnoteReference w:id="21"/>
      </w:r>
      <w:r w:rsidRPr="00851F96">
        <w:rPr>
          <w:rFonts w:ascii="Arial" w:hAnsi="Arial" w:cs="Arial"/>
          <w:color w:val="000000" w:themeColor="text1"/>
          <w:sz w:val="21"/>
          <w:szCs w:val="21"/>
        </w:rPr>
        <w:t>.</w:t>
      </w:r>
      <w:r w:rsidR="00285D73" w:rsidRPr="00851F96">
        <w:rPr>
          <w:rFonts w:ascii="Arial" w:hAnsi="Arial" w:cs="Arial"/>
          <w:color w:val="000000" w:themeColor="text1"/>
          <w:sz w:val="21"/>
          <w:szCs w:val="21"/>
        </w:rPr>
        <w:t>”</w:t>
      </w:r>
    </w:p>
    <w:p w14:paraId="49147A61" w14:textId="6853E360" w:rsidR="00952BD5" w:rsidRPr="00851F96" w:rsidRDefault="00952BD5" w:rsidP="00285D73">
      <w:pPr>
        <w:pStyle w:val="Sinespaciado"/>
        <w:spacing w:after="240" w:line="276" w:lineRule="auto"/>
        <w:ind w:firstLine="708"/>
        <w:jc w:val="both"/>
        <w:rPr>
          <w:rFonts w:ascii="Arial" w:eastAsia="Calibri" w:hAnsi="Arial" w:cs="Arial"/>
          <w:color w:val="000000" w:themeColor="text1"/>
          <w:sz w:val="22"/>
        </w:rPr>
      </w:pPr>
      <w:r w:rsidRPr="00851F96">
        <w:rPr>
          <w:rFonts w:ascii="Arial" w:hAnsi="Arial" w:cs="Arial"/>
          <w:color w:val="000000" w:themeColor="text1"/>
          <w:sz w:val="22"/>
        </w:rPr>
        <w:t xml:space="preserve">En ese mismo sentido, </w:t>
      </w:r>
      <w:r w:rsidR="00285D73" w:rsidRPr="00851F96">
        <w:rPr>
          <w:rFonts w:ascii="Arial" w:hAnsi="Arial" w:cs="Arial"/>
          <w:color w:val="000000" w:themeColor="text1"/>
          <w:sz w:val="22"/>
        </w:rPr>
        <w:t xml:space="preserve">como se expuso previamente, </w:t>
      </w:r>
      <w:r w:rsidRPr="00851F96">
        <w:rPr>
          <w:rFonts w:ascii="Arial" w:hAnsi="Arial" w:cs="Arial"/>
          <w:color w:val="000000" w:themeColor="text1"/>
          <w:sz w:val="22"/>
        </w:rPr>
        <w:t xml:space="preserve">la </w:t>
      </w:r>
      <w:r w:rsidR="003B072E" w:rsidRPr="00851F96">
        <w:rPr>
          <w:rFonts w:ascii="Arial" w:hAnsi="Arial" w:cs="Arial"/>
          <w:i/>
          <w:iCs/>
          <w:color w:val="000000" w:themeColor="text1"/>
          <w:sz w:val="22"/>
        </w:rPr>
        <w:t>“</w:t>
      </w:r>
      <w:r w:rsidRPr="00851F96">
        <w:rPr>
          <w:rFonts w:ascii="Arial" w:hAnsi="Arial" w:cs="Arial"/>
          <w:i/>
          <w:iCs/>
          <w:color w:val="000000" w:themeColor="text1"/>
          <w:sz w:val="22"/>
        </w:rPr>
        <w:t>Guía para el ejercicio de las funciones de supervisión e interventoría de los contratos suscritos por las Entidades Estatales</w:t>
      </w:r>
      <w:r w:rsidR="00285D73" w:rsidRPr="00851F96">
        <w:rPr>
          <w:rFonts w:ascii="Arial" w:hAnsi="Arial" w:cs="Arial"/>
          <w:i/>
          <w:iCs/>
          <w:color w:val="000000" w:themeColor="text1"/>
          <w:sz w:val="22"/>
        </w:rPr>
        <w:t>”</w:t>
      </w:r>
      <w:r w:rsidR="00285D73" w:rsidRPr="00851F96">
        <w:rPr>
          <w:rFonts w:ascii="Arial" w:hAnsi="Arial" w:cs="Arial"/>
          <w:color w:val="000000" w:themeColor="text1"/>
          <w:sz w:val="22"/>
        </w:rPr>
        <w:t xml:space="preserve"> consagró q</w:t>
      </w:r>
      <w:r w:rsidRPr="00851F96">
        <w:rPr>
          <w:rFonts w:ascii="Arial" w:hAnsi="Arial" w:cs="Arial"/>
          <w:color w:val="000000" w:themeColor="text1"/>
          <w:sz w:val="22"/>
        </w:rPr>
        <w:t xml:space="preserve">ue la supervisión del contrato </w:t>
      </w:r>
      <w:r w:rsidR="00285D73" w:rsidRPr="00851F96">
        <w:rPr>
          <w:rFonts w:ascii="Arial" w:hAnsi="Arial" w:cs="Arial"/>
          <w:color w:val="000000" w:themeColor="text1"/>
          <w:sz w:val="22"/>
        </w:rPr>
        <w:t xml:space="preserve">estatal </w:t>
      </w:r>
      <w:r w:rsidRPr="00851F96">
        <w:rPr>
          <w:rFonts w:ascii="Arial" w:hAnsi="Arial" w:cs="Arial"/>
          <w:color w:val="000000" w:themeColor="text1"/>
          <w:sz w:val="22"/>
        </w:rPr>
        <w:t xml:space="preserve">corresponde al funcionario público de la entidad. </w:t>
      </w:r>
      <w:r w:rsidR="00285D73" w:rsidRPr="00851F96">
        <w:rPr>
          <w:rFonts w:ascii="Arial" w:hAnsi="Arial" w:cs="Arial"/>
          <w:color w:val="000000" w:themeColor="text1"/>
          <w:sz w:val="22"/>
        </w:rPr>
        <w:t xml:space="preserve">Sin embargo, dicha guía reiteró que </w:t>
      </w:r>
      <w:r w:rsidRPr="00851F96">
        <w:rPr>
          <w:rFonts w:ascii="Arial" w:hAnsi="Arial" w:cs="Arial"/>
          <w:color w:val="000000" w:themeColor="text1"/>
          <w:sz w:val="22"/>
        </w:rPr>
        <w:t xml:space="preserve">las Entidades Estatales puedan celebrar contratos de prestación de servicios para apoyar las actividades de supervisión, consignando en ellos las actividades propias del apoyo a la supervisión. </w:t>
      </w:r>
      <w:r w:rsidRPr="00851F96">
        <w:rPr>
          <w:rFonts w:ascii="Arial" w:eastAsia="Calibri" w:hAnsi="Arial" w:cs="Arial"/>
          <w:color w:val="000000" w:themeColor="text1"/>
          <w:sz w:val="22"/>
        </w:rPr>
        <w:t xml:space="preserve">Con todo, el </w:t>
      </w:r>
      <w:r w:rsidRPr="00851F96">
        <w:rPr>
          <w:rFonts w:ascii="Arial" w:eastAsia="Calibri" w:hAnsi="Arial" w:cs="Arial"/>
          <w:color w:val="000000" w:themeColor="text1"/>
          <w:sz w:val="22"/>
        </w:rPr>
        <w:lastRenderedPageBreak/>
        <w:t xml:space="preserve">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w:t>
      </w:r>
      <w:r w:rsidR="00285D73" w:rsidRPr="00851F96">
        <w:rPr>
          <w:rFonts w:ascii="Arial" w:eastAsia="Calibri" w:hAnsi="Arial" w:cs="Arial"/>
          <w:color w:val="000000" w:themeColor="text1"/>
          <w:sz w:val="22"/>
        </w:rPr>
        <w:t>Entidad Estatal</w:t>
      </w:r>
      <w:r w:rsidRPr="00851F96">
        <w:rPr>
          <w:rFonts w:ascii="Arial" w:eastAsia="Calibri" w:hAnsi="Arial" w:cs="Arial"/>
          <w:color w:val="000000" w:themeColor="text1"/>
          <w:sz w:val="22"/>
        </w:rPr>
        <w:t xml:space="preserve"> será el funcionario sobre quien recae la supervisión</w:t>
      </w:r>
      <w:r w:rsidR="00285D73" w:rsidRPr="00851F96">
        <w:rPr>
          <w:rFonts w:ascii="Arial" w:eastAsia="Calibri" w:hAnsi="Arial" w:cs="Arial"/>
          <w:color w:val="000000" w:themeColor="text1"/>
          <w:sz w:val="22"/>
        </w:rPr>
        <w:t xml:space="preserve"> y el respectivo ordenador del gasto de la entidad</w:t>
      </w:r>
      <w:r w:rsidRPr="00851F96">
        <w:rPr>
          <w:rFonts w:ascii="Arial" w:eastAsia="Calibri" w:hAnsi="Arial" w:cs="Arial"/>
          <w:color w:val="000000" w:themeColor="text1"/>
          <w:sz w:val="22"/>
        </w:rPr>
        <w:t>.</w:t>
      </w:r>
    </w:p>
    <w:p w14:paraId="7B42F710" w14:textId="33250F56" w:rsidR="00E00332" w:rsidRPr="00851F96" w:rsidRDefault="00E00332" w:rsidP="00285D73">
      <w:pPr>
        <w:pStyle w:val="Prrafodelista"/>
        <w:numPr>
          <w:ilvl w:val="1"/>
          <w:numId w:val="6"/>
        </w:numPr>
        <w:spacing w:before="120" w:after="0" w:line="276" w:lineRule="auto"/>
        <w:jc w:val="both"/>
        <w:rPr>
          <w:rFonts w:ascii="Arial" w:hAnsi="Arial" w:cs="Arial"/>
          <w:b/>
          <w:bCs/>
          <w:noProof/>
          <w:color w:val="000000" w:themeColor="text1"/>
        </w:rPr>
      </w:pPr>
      <w:bookmarkStart w:id="4" w:name="_Hlk117863946"/>
      <w:r w:rsidRPr="00851F96">
        <w:rPr>
          <w:rFonts w:ascii="Arial" w:hAnsi="Arial" w:cs="Arial"/>
          <w:b/>
          <w:bCs/>
          <w:noProof/>
          <w:color w:val="000000" w:themeColor="text1"/>
        </w:rPr>
        <w:t>Regimen de impedimentos, incompatibilidades e inhabiliddes de los supervisores de contratos estatales</w:t>
      </w:r>
      <w:bookmarkEnd w:id="4"/>
      <w:r w:rsidRPr="00851F96">
        <w:rPr>
          <w:rFonts w:ascii="Arial" w:hAnsi="Arial" w:cs="Arial"/>
          <w:b/>
          <w:bCs/>
          <w:noProof/>
          <w:color w:val="000000" w:themeColor="text1"/>
        </w:rPr>
        <w:t xml:space="preserve">. </w:t>
      </w:r>
    </w:p>
    <w:p w14:paraId="530D2B5B" w14:textId="77777777" w:rsidR="00E00332" w:rsidRPr="00851F96" w:rsidRDefault="00E00332" w:rsidP="00285D73">
      <w:pPr>
        <w:pStyle w:val="Prrafodelista"/>
        <w:spacing w:before="120" w:line="276" w:lineRule="auto"/>
        <w:jc w:val="both"/>
        <w:rPr>
          <w:rFonts w:ascii="Arial" w:hAnsi="Arial" w:cs="Arial"/>
          <w:b/>
          <w:bCs/>
          <w:noProof/>
          <w:color w:val="000000" w:themeColor="text1"/>
        </w:rPr>
      </w:pPr>
    </w:p>
    <w:p w14:paraId="3B45165B" w14:textId="1A522920" w:rsidR="00E00332" w:rsidRPr="00851F96" w:rsidRDefault="00E00332" w:rsidP="009F110B">
      <w:pPr>
        <w:tabs>
          <w:tab w:val="left" w:pos="426"/>
        </w:tabs>
        <w:spacing w:after="120" w:line="276" w:lineRule="auto"/>
        <w:jc w:val="both"/>
        <w:rPr>
          <w:rFonts w:ascii="Arial" w:eastAsia="Times New Roman" w:hAnsi="Arial" w:cs="Arial"/>
          <w:color w:val="333333"/>
          <w:lang w:eastAsia="es-CO"/>
        </w:rPr>
      </w:pPr>
      <w:r w:rsidRPr="00851F96">
        <w:rPr>
          <w:rFonts w:ascii="Arial" w:hAnsi="Arial" w:cs="Arial"/>
          <w:bCs/>
          <w:color w:val="000000" w:themeColor="text1"/>
          <w:lang w:eastAsia="es-MX"/>
        </w:rPr>
        <w:t xml:space="preserve">Dado que los supervisores de los contratos estatales solo pueden ser funcionarios públicos, corresponde determinar cuál es el régimen de inhabilidades e incompatibilidades que les aplica a estos y el proceso mediante el cual se determina su configuración. Al respecto, el Departamento Administrativo de la Función Pública tiene como competencia </w:t>
      </w:r>
      <w:r w:rsidR="00285D73" w:rsidRPr="00851F96">
        <w:rPr>
          <w:rFonts w:ascii="Arial" w:hAnsi="Arial" w:cs="Arial"/>
          <w:bCs/>
          <w:i/>
          <w:iCs/>
          <w:color w:val="000000" w:themeColor="text1"/>
          <w:lang w:eastAsia="es-MX"/>
        </w:rPr>
        <w:t>“</w:t>
      </w:r>
      <w:r w:rsidRPr="00851F96">
        <w:rPr>
          <w:rFonts w:ascii="Arial" w:eastAsia="Times New Roman" w:hAnsi="Arial" w:cs="Arial"/>
          <w:i/>
          <w:iCs/>
          <w:color w:val="333333"/>
          <w:lang w:eastAsia="es-CO"/>
        </w:rPr>
        <w:t>Asesorar, acompañar y capacitar a las entidades del Estado para facilitar el cumplimiento de las políticas y disposiciones sobre la gestión del talento humano, la organización y el funcionamiento de la administración pública.</w:t>
      </w:r>
      <w:r w:rsidR="00285D73" w:rsidRPr="00851F96">
        <w:rPr>
          <w:rFonts w:ascii="Arial" w:eastAsia="Times New Roman" w:hAnsi="Arial" w:cs="Arial"/>
          <w:i/>
          <w:iCs/>
          <w:color w:val="333333"/>
          <w:lang w:eastAsia="es-CO"/>
        </w:rPr>
        <w:t>”</w:t>
      </w:r>
      <w:r w:rsidRPr="00851F96">
        <w:rPr>
          <w:rStyle w:val="Refdenotaalpie"/>
          <w:rFonts w:ascii="Arial" w:eastAsia="Times New Roman" w:hAnsi="Arial" w:cs="Arial"/>
          <w:i/>
          <w:iCs/>
          <w:color w:val="333333"/>
          <w:lang w:eastAsia="es-CO"/>
        </w:rPr>
        <w:footnoteReference w:id="22"/>
      </w:r>
      <w:r w:rsidRPr="00851F96">
        <w:rPr>
          <w:rFonts w:ascii="Arial" w:eastAsia="Times New Roman" w:hAnsi="Arial" w:cs="Arial"/>
          <w:color w:val="333333"/>
          <w:lang w:eastAsia="es-CO"/>
        </w:rPr>
        <w:t xml:space="preserve">, teniendo en cuenta </w:t>
      </w:r>
      <w:r w:rsidR="00285D73" w:rsidRPr="00851F96">
        <w:rPr>
          <w:rFonts w:ascii="Arial" w:eastAsia="Times New Roman" w:hAnsi="Arial" w:cs="Arial"/>
          <w:color w:val="333333"/>
          <w:lang w:eastAsia="es-CO"/>
        </w:rPr>
        <w:t>ello, resulta</w:t>
      </w:r>
      <w:r w:rsidRPr="00851F96">
        <w:rPr>
          <w:rFonts w:ascii="Arial" w:eastAsia="Times New Roman" w:hAnsi="Arial" w:cs="Arial"/>
          <w:color w:val="333333"/>
          <w:lang w:eastAsia="es-CO"/>
        </w:rPr>
        <w:t xml:space="preserve"> pertinente y obligatorio, citar por competencia lo resuelto en el tema por esta entidad.</w:t>
      </w:r>
    </w:p>
    <w:p w14:paraId="647761CB" w14:textId="77AAD868" w:rsidR="00E00332" w:rsidRPr="00851F96" w:rsidRDefault="00E00332" w:rsidP="009F110B">
      <w:pPr>
        <w:tabs>
          <w:tab w:val="left" w:pos="426"/>
        </w:tabs>
        <w:spacing w:after="120" w:line="276" w:lineRule="auto"/>
        <w:jc w:val="both"/>
        <w:rPr>
          <w:rFonts w:ascii="Arial" w:hAnsi="Arial" w:cs="Arial"/>
          <w:bCs/>
          <w:color w:val="000000" w:themeColor="text1"/>
          <w:lang w:eastAsia="es-MX"/>
        </w:rPr>
      </w:pPr>
      <w:r w:rsidRPr="00851F96">
        <w:rPr>
          <w:rFonts w:ascii="Arial" w:hAnsi="Arial" w:cs="Arial"/>
          <w:color w:val="333333"/>
          <w:shd w:val="clear" w:color="auto" w:fill="FFFFFF"/>
        </w:rPr>
        <w:tab/>
      </w:r>
      <w:r w:rsidRPr="00851F96">
        <w:rPr>
          <w:rFonts w:ascii="Arial" w:hAnsi="Arial" w:cs="Arial"/>
          <w:color w:val="333333"/>
          <w:shd w:val="clear" w:color="auto" w:fill="FFFFFF"/>
        </w:rPr>
        <w:tab/>
        <w:t xml:space="preserve">De esta manera, </w:t>
      </w:r>
      <w:r w:rsidRPr="00851F96">
        <w:rPr>
          <w:rFonts w:ascii="Arial" w:hAnsi="Arial" w:cs="Arial"/>
          <w:bCs/>
          <w:color w:val="000000" w:themeColor="text1"/>
          <w:lang w:eastAsia="es-MX"/>
        </w:rPr>
        <w:t>el Departamento Administrativo de la Función Pública, ha contestado preguntas análogas a las realizadas por usted, y se ha pronunciado, entre otros, en el concepto 75901 de 2019, señalando que el régimen de inhabilidades e incompatibilidades para los funcionarios públicos está regulado en el Código de Procedimiento Administrativo y de lo Contencioso Administrativo, en los artículos 11 y 12</w:t>
      </w:r>
      <w:r w:rsidR="00285D73" w:rsidRPr="00851F96">
        <w:rPr>
          <w:rStyle w:val="Refdenotaalpie"/>
          <w:rFonts w:ascii="Arial" w:hAnsi="Arial" w:cs="Arial"/>
          <w:bCs/>
          <w:color w:val="000000" w:themeColor="text1"/>
          <w:lang w:eastAsia="es-MX"/>
        </w:rPr>
        <w:footnoteReference w:id="23"/>
      </w:r>
      <w:r w:rsidRPr="00851F96">
        <w:rPr>
          <w:rFonts w:ascii="Arial" w:hAnsi="Arial" w:cs="Arial"/>
          <w:bCs/>
          <w:color w:val="000000" w:themeColor="text1"/>
          <w:lang w:eastAsia="es-MX"/>
        </w:rPr>
        <w:t xml:space="preserve">, </w:t>
      </w:r>
      <w:r w:rsidR="00285D73" w:rsidRPr="00851F96">
        <w:rPr>
          <w:rFonts w:ascii="Arial" w:hAnsi="Arial" w:cs="Arial"/>
          <w:bCs/>
          <w:color w:val="000000" w:themeColor="text1"/>
          <w:lang w:eastAsia="es-MX"/>
        </w:rPr>
        <w:lastRenderedPageBreak/>
        <w:t xml:space="preserve">cuyo procedimiento se encuentra contemplado en este último artículo, siempre y cuando se esté en presencia de las siguientes situaciones </w:t>
      </w:r>
      <w:r w:rsidRPr="00851F96">
        <w:rPr>
          <w:rFonts w:ascii="Arial" w:hAnsi="Arial" w:cs="Arial"/>
          <w:bCs/>
          <w:color w:val="000000" w:themeColor="text1"/>
          <w:lang w:eastAsia="es-MX"/>
        </w:rPr>
        <w:t xml:space="preserve">que se procede a citar: </w:t>
      </w:r>
    </w:p>
    <w:p w14:paraId="52EFA68D" w14:textId="0A189790" w:rsidR="00E00332"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b/>
          <w:bCs/>
          <w:sz w:val="20"/>
          <w:szCs w:val="20"/>
          <w:lang w:eastAsia="es-MX"/>
        </w:rPr>
        <w:t>“</w:t>
      </w:r>
      <w:r w:rsidR="00E00332" w:rsidRPr="00851F96">
        <w:rPr>
          <w:rFonts w:ascii="Arial" w:hAnsi="Arial" w:cs="Arial"/>
          <w:b/>
          <w:bCs/>
          <w:sz w:val="20"/>
          <w:szCs w:val="20"/>
          <w:lang w:eastAsia="es-MX"/>
        </w:rPr>
        <w:t>ARTÍCULO</w:t>
      </w:r>
      <w:r w:rsidRPr="00851F96">
        <w:rPr>
          <w:rFonts w:ascii="Arial" w:hAnsi="Arial" w:cs="Arial"/>
          <w:b/>
          <w:bCs/>
          <w:sz w:val="20"/>
          <w:szCs w:val="20"/>
          <w:lang w:eastAsia="es-MX"/>
        </w:rPr>
        <w:t xml:space="preserve"> </w:t>
      </w:r>
      <w:r w:rsidR="00E00332" w:rsidRPr="00851F96">
        <w:rPr>
          <w:rFonts w:ascii="Arial" w:hAnsi="Arial" w:cs="Arial"/>
          <w:b/>
          <w:bCs/>
          <w:sz w:val="20"/>
          <w:szCs w:val="20"/>
          <w:lang w:eastAsia="es-MX"/>
        </w:rPr>
        <w:t>11</w:t>
      </w:r>
      <w:r w:rsidR="00E00332" w:rsidRPr="00851F96">
        <w:rPr>
          <w:rFonts w:ascii="Arial" w:hAnsi="Arial" w:cs="Arial"/>
          <w:sz w:val="20"/>
          <w:szCs w:val="20"/>
          <w:lang w:eastAsia="es-MX"/>
        </w:rPr>
        <w:t>. Conflictos de interés y causales de impedimento y recusación. 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14:paraId="305A9049" w14:textId="3256170A" w:rsidR="00285D73" w:rsidRPr="00851F96" w:rsidRDefault="00E00332"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1. </w:t>
      </w:r>
      <w:bookmarkStart w:id="5" w:name="_Hlk117861656"/>
      <w:r w:rsidRPr="00851F96">
        <w:rPr>
          <w:rFonts w:ascii="Arial" w:hAnsi="Arial" w:cs="Arial"/>
          <w:sz w:val="20"/>
          <w:szCs w:val="20"/>
          <w:lang w:eastAsia="es-MX"/>
        </w:rPr>
        <w:t>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p>
    <w:p w14:paraId="32A71BB1" w14:textId="0EED4819"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2. Haber conocido del asunto, en oportunidad anterior, el servidor, su cónyuge, compañero permanente o alguno de sus parientes indicados en el numeral precedente. </w:t>
      </w:r>
    </w:p>
    <w:p w14:paraId="055AB8A2"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3. Ser el servidor, su cónyuge, compañero permanente o alguno de sus parientes arriba indicados, curador o tutor de persona interesada en el asunto. </w:t>
      </w:r>
    </w:p>
    <w:p w14:paraId="09F41146"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4. Ser alguno de los interesados en la actuación administrativa: representante, apoderado, dependiente, mandatario o administrador de los negocios del servidor público. </w:t>
      </w:r>
    </w:p>
    <w:p w14:paraId="0B0087B2"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5. Existir litigio o controversia ante autoridades administrativas o jurisdiccionales entre el servidor, su cónyuge, compañero permanente, o alguno de sus parientes indicados en el numeral 1, y cualquiera de los interesados en la actuación, su representante o apoderado. </w:t>
      </w:r>
    </w:p>
    <w:p w14:paraId="663106CE"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6. 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 </w:t>
      </w:r>
    </w:p>
    <w:p w14:paraId="5D395D3C"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7. Haber formulado el servidor, su cónyuge, compañero permanente o pariente hasta el segundo grado de consanguinidad, segundo de afinidad o primero civil, denuncia penal contra una de las personas interesadas en la actuación administrativa o su representante o apoderado, o estar aquellos legitimados para intervenir como parte civil en el respectivo proceso penal. </w:t>
      </w:r>
    </w:p>
    <w:p w14:paraId="62279A36"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lastRenderedPageBreak/>
        <w:t xml:space="preserve">8. Existir enemistad grave por hechos ajenos a la actuación administrativa, o amistad entrañable entre el servidor y alguna de las personas interesadas en la actuación administrativa, su representante o apoderado. </w:t>
      </w:r>
    </w:p>
    <w:p w14:paraId="44E5100E"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9. Ser el servidor, su cónyuge, compañero permanente o alguno de sus parientes en segundo grado de consanguinidad, primero de afinidad o primero civil, acreedor o deudor de alguna de las personas interesadas en la actuación administrativa, su representante o apoderado, salvo cuando se trate de persona de derecho público, establecimiento de crédito o sociedad anónima. </w:t>
      </w:r>
    </w:p>
    <w:p w14:paraId="61CCBDF8"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10. Ser el servidor, su cónyuge, compañero permanente o alguno de sus parientes indicados en el numeral anterior, socio de alguna de las personas interesadas en la actuación administrativa o su representante o apoderado en sociedad de personas. </w:t>
      </w:r>
    </w:p>
    <w:p w14:paraId="2BFFFA69"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11. Haber dado el servidor consejo o concepto por fuera de la actuación administrativa sobre las cuestiones materia de la misma, o haber intervenido en esta como apoderado, Agente del Ministerio Público, perito o testigo. Sin embargo, no tendrán el carácter de concepto las referencias o explicaciones que el servidor público haga sobre el contenido de una decisión tomada por la administración. </w:t>
      </w:r>
    </w:p>
    <w:p w14:paraId="0255787C"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12. Ser el servidor, su cónyuge, compañero permanente o alguno de sus parientes indicados en el numeral 1, heredero o legatario de alguna de las personas interesadas en la actuación administrativa. </w:t>
      </w:r>
    </w:p>
    <w:p w14:paraId="2D71A6E7"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13. Tener el servidor, su cónyuge, compañero permanente o alguno de sus parientes en segundo grado de consanguinidad o primero civil, decisión administrativa pendiente en que se controvierta la misma cuestión jurídica que él debe resolver. </w:t>
      </w:r>
    </w:p>
    <w:p w14:paraId="3E4207FA"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14. Haber hecho parte de listas de candidatos a cuerpos colegiados de elección popular inscritas o integradas también por el interesado en el período electoral coincidente con la actuación administrativa o en alguno de los dos períodos anteriores. </w:t>
      </w:r>
    </w:p>
    <w:p w14:paraId="228AE2EF" w14:textId="77777777" w:rsidR="00285D73"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xml:space="preserve">15. Haber sido recomendado por el interesado en la actuación para llegar al cargo que ocupa el servidor público o haber sido señalado por este como referencia con el mismo fin. </w:t>
      </w:r>
    </w:p>
    <w:p w14:paraId="4ED54816" w14:textId="4EBE827F" w:rsidR="00E00332" w:rsidRPr="00851F96" w:rsidRDefault="00285D73"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16. Dentro del año anterior, haber tenido interés directo o haber actuado como representante, asesor, presidente, gerente, director, miembro de Junta Directiva o socio de gremio, sindicato, sociedad, asociación o grupo social o económico interesado en el asunto objeto de definición.</w:t>
      </w:r>
      <w:r w:rsidR="00E00332" w:rsidRPr="00851F96">
        <w:rPr>
          <w:rFonts w:ascii="Arial" w:hAnsi="Arial" w:cs="Arial"/>
          <w:sz w:val="20"/>
          <w:szCs w:val="20"/>
          <w:lang w:eastAsia="es-MX"/>
        </w:rPr>
        <w:t>”</w:t>
      </w:r>
      <w:bookmarkEnd w:id="5"/>
    </w:p>
    <w:p w14:paraId="0D8CD2B2" w14:textId="25C0B4EB" w:rsidR="00E00332" w:rsidRPr="00851F96" w:rsidRDefault="00285D73" w:rsidP="00285D73">
      <w:pPr>
        <w:spacing w:after="0" w:line="240" w:lineRule="auto"/>
        <w:ind w:firstLine="708"/>
        <w:jc w:val="both"/>
        <w:rPr>
          <w:rFonts w:ascii="Arial" w:hAnsi="Arial" w:cs="Arial"/>
          <w:bCs/>
          <w:color w:val="000000" w:themeColor="text1"/>
          <w:lang w:eastAsia="es-MX"/>
        </w:rPr>
      </w:pPr>
      <w:r w:rsidRPr="00851F96">
        <w:rPr>
          <w:rFonts w:ascii="Arial" w:hAnsi="Arial" w:cs="Arial"/>
          <w:bCs/>
          <w:color w:val="000000" w:themeColor="text1"/>
          <w:lang w:eastAsia="es-MX"/>
        </w:rPr>
        <w:t xml:space="preserve">En ese contexto, la figura de los impedimentos de los servidores públicos se ha entendido como una institución útil para la obtención de los fines constitucionales que se persiguen dentro de un Estado Social de Derecho y como garante del derecho fundamental a la igualdad (artículo 13 constitucional), guiando las actuaciones de la administración con base en la independencia y la imparcialidad. </w:t>
      </w:r>
      <w:r w:rsidR="00E00332" w:rsidRPr="00851F96">
        <w:rPr>
          <w:rFonts w:ascii="Arial" w:hAnsi="Arial" w:cs="Arial"/>
          <w:bCs/>
          <w:color w:val="000000" w:themeColor="text1"/>
          <w:lang w:eastAsia="es-MX"/>
        </w:rPr>
        <w:t>Por su parte, respecto del tema el Consejo de Estado</w:t>
      </w:r>
      <w:r w:rsidR="00E00332" w:rsidRPr="00851F96">
        <w:rPr>
          <w:rStyle w:val="Refdenotaalpie"/>
          <w:rFonts w:ascii="Arial" w:hAnsi="Arial" w:cs="Arial"/>
          <w:bCs/>
          <w:color w:val="000000" w:themeColor="text1"/>
          <w:lang w:eastAsia="es-MX"/>
        </w:rPr>
        <w:footnoteReference w:id="24"/>
      </w:r>
      <w:r w:rsidR="00E00332" w:rsidRPr="00851F96">
        <w:rPr>
          <w:rFonts w:ascii="Arial" w:hAnsi="Arial" w:cs="Arial"/>
          <w:bCs/>
          <w:color w:val="000000" w:themeColor="text1"/>
          <w:lang w:eastAsia="es-MX"/>
        </w:rPr>
        <w:t xml:space="preserve"> ha señalado lo siguiente:</w:t>
      </w:r>
    </w:p>
    <w:p w14:paraId="6E7BA3EB" w14:textId="77777777" w:rsidR="00E00332" w:rsidRPr="00851F96" w:rsidRDefault="00E00332" w:rsidP="00285D73">
      <w:pPr>
        <w:spacing w:after="0" w:line="240" w:lineRule="auto"/>
        <w:ind w:left="709" w:right="709"/>
        <w:jc w:val="both"/>
        <w:rPr>
          <w:rFonts w:ascii="Arial" w:hAnsi="Arial" w:cs="Arial"/>
          <w:bCs/>
          <w:color w:val="000000" w:themeColor="text1"/>
          <w:lang w:eastAsia="es-MX"/>
        </w:rPr>
      </w:pPr>
    </w:p>
    <w:p w14:paraId="4591624A" w14:textId="0A66360F" w:rsidR="00E00332" w:rsidRPr="00851F96" w:rsidRDefault="00285D73" w:rsidP="00285D73">
      <w:pPr>
        <w:spacing w:line="240" w:lineRule="auto"/>
        <w:ind w:left="709" w:right="709"/>
        <w:jc w:val="both"/>
        <w:rPr>
          <w:rFonts w:ascii="Arial" w:hAnsi="Arial" w:cs="Arial"/>
          <w:sz w:val="20"/>
          <w:szCs w:val="20"/>
          <w:lang w:eastAsia="es-MX"/>
        </w:rPr>
      </w:pPr>
      <w:r w:rsidRPr="00851F96">
        <w:rPr>
          <w:rFonts w:ascii="Arial" w:hAnsi="Arial" w:cs="Arial"/>
          <w:sz w:val="21"/>
          <w:szCs w:val="21"/>
          <w:lang w:eastAsia="es-MX"/>
        </w:rPr>
        <w:lastRenderedPageBreak/>
        <w:t>“</w:t>
      </w:r>
      <w:r w:rsidR="00E00332" w:rsidRPr="00851F96">
        <w:rPr>
          <w:rFonts w:ascii="Arial" w:hAnsi="Arial" w:cs="Arial"/>
          <w:sz w:val="20"/>
          <w:szCs w:val="20"/>
          <w:lang w:eastAsia="es-MX"/>
        </w:rPr>
        <w:t>Al respecto es preciso señalar que la institución del impedimento persigue la salvaguarda de la imparcialidad del juzgador, como bien lo ha precisado la jurisprudencia constitucional al observar que:</w:t>
      </w:r>
    </w:p>
    <w:p w14:paraId="75748D57" w14:textId="0E349978" w:rsidR="00E00332" w:rsidRPr="00851F96" w:rsidRDefault="00E00332" w:rsidP="00285D73">
      <w:pPr>
        <w:spacing w:after="120" w:line="240" w:lineRule="auto"/>
        <w:ind w:left="709" w:right="709"/>
        <w:jc w:val="both"/>
        <w:rPr>
          <w:rFonts w:ascii="Arial" w:hAnsi="Arial" w:cs="Arial"/>
          <w:color w:val="333333"/>
          <w:sz w:val="20"/>
          <w:szCs w:val="20"/>
        </w:rPr>
      </w:pPr>
      <w:r w:rsidRPr="00851F96">
        <w:rPr>
          <w:rFonts w:ascii="Arial" w:hAnsi="Arial" w:cs="Arial"/>
          <w:sz w:val="20"/>
          <w:szCs w:val="20"/>
          <w:lang w:eastAsia="es-MX"/>
        </w:rPr>
        <w:t>“Las normas que consagran las causales de impedimento y recusación, se han dictado para garantizar la imparcialidad del juez. El que existan las causales, fijadas por la ley y no por el capricho de las partes, garantiza, dentro de lo posible, la imparcialidad del juez y su independencia de toda presión, es decir, que sólo esté sometido al imperio de la ley”</w:t>
      </w:r>
    </w:p>
    <w:p w14:paraId="135F485B" w14:textId="12F05708" w:rsidR="00E00332" w:rsidRPr="00851F96" w:rsidRDefault="00E00332" w:rsidP="00285D73">
      <w:pPr>
        <w:spacing w:after="0" w:line="240" w:lineRule="auto"/>
        <w:ind w:left="709" w:right="709"/>
        <w:jc w:val="both"/>
        <w:rPr>
          <w:rFonts w:ascii="Arial" w:hAnsi="Arial" w:cs="Arial"/>
          <w:sz w:val="20"/>
          <w:szCs w:val="20"/>
          <w:lang w:eastAsia="es-MX"/>
        </w:rPr>
      </w:pPr>
      <w:r w:rsidRPr="00851F96">
        <w:rPr>
          <w:rFonts w:ascii="Arial" w:hAnsi="Arial" w:cs="Arial"/>
          <w:sz w:val="20"/>
          <w:szCs w:val="20"/>
          <w:lang w:eastAsia="es-MX"/>
        </w:rPr>
        <w:t>Ahora bien, la configuración de las causales de impedimento y los efectos que se deriven de dicha declaratoria requieren de una interpretación restrictiva4 como quiera que ponga en juego la seguridad de quienes intervienen en el proceso, puesto que estos obran bajo la pretensión de que la aplicación de las normas procesales y sustanciales se efectuará bajo la égida del principio de igualdad, y por otro tanto, como una clara manifestación del acceso material a la administración de justicia</w:t>
      </w:r>
      <w:r w:rsidR="00285D73" w:rsidRPr="00851F96">
        <w:rPr>
          <w:rFonts w:ascii="Arial" w:hAnsi="Arial" w:cs="Arial"/>
          <w:sz w:val="20"/>
          <w:szCs w:val="20"/>
          <w:lang w:eastAsia="es-MX"/>
        </w:rPr>
        <w:t>”</w:t>
      </w:r>
      <w:r w:rsidRPr="00851F96">
        <w:rPr>
          <w:rFonts w:ascii="Arial" w:hAnsi="Arial" w:cs="Arial"/>
          <w:sz w:val="20"/>
          <w:szCs w:val="20"/>
          <w:lang w:eastAsia="es-MX"/>
        </w:rPr>
        <w:t>.</w:t>
      </w:r>
    </w:p>
    <w:p w14:paraId="49678760" w14:textId="77777777" w:rsidR="00E00332" w:rsidRPr="00851F96" w:rsidRDefault="00E00332" w:rsidP="00285D73">
      <w:pPr>
        <w:spacing w:after="0" w:line="240" w:lineRule="auto"/>
        <w:ind w:left="709" w:right="709"/>
        <w:jc w:val="both"/>
        <w:rPr>
          <w:rFonts w:ascii="Arial" w:hAnsi="Arial" w:cs="Arial"/>
          <w:sz w:val="20"/>
          <w:szCs w:val="20"/>
          <w:lang w:eastAsia="es-MX"/>
        </w:rPr>
      </w:pPr>
    </w:p>
    <w:p w14:paraId="23C1502F" w14:textId="77777777" w:rsidR="00E00332" w:rsidRPr="00851F96" w:rsidRDefault="00E00332" w:rsidP="00285D73">
      <w:pPr>
        <w:spacing w:after="120"/>
        <w:ind w:firstLine="708"/>
        <w:jc w:val="both"/>
        <w:rPr>
          <w:rFonts w:ascii="Arial" w:hAnsi="Arial" w:cs="Arial"/>
          <w:lang w:eastAsia="es-MX"/>
        </w:rPr>
      </w:pPr>
      <w:r w:rsidRPr="00851F96">
        <w:rPr>
          <w:rFonts w:ascii="Arial" w:hAnsi="Arial" w:cs="Arial"/>
          <w:lang w:eastAsia="es-MX"/>
        </w:rPr>
        <w:t xml:space="preserve">De igual forma, en sentencia del 17 de marzo de 2011, esta alta corte manifestó que: </w:t>
      </w:r>
    </w:p>
    <w:p w14:paraId="4A2DDA8A" w14:textId="2EF860EE" w:rsidR="00E00332" w:rsidRPr="00851F96" w:rsidRDefault="00E00332" w:rsidP="00285D73">
      <w:pPr>
        <w:spacing w:after="120" w:line="240" w:lineRule="auto"/>
        <w:ind w:left="709" w:right="709"/>
        <w:jc w:val="both"/>
        <w:rPr>
          <w:rFonts w:ascii="Arial" w:hAnsi="Arial" w:cs="Arial"/>
          <w:sz w:val="20"/>
          <w:szCs w:val="20"/>
          <w:lang w:eastAsia="es-MX"/>
        </w:rPr>
      </w:pPr>
      <w:r w:rsidRPr="00851F96">
        <w:rPr>
          <w:rFonts w:ascii="Arial" w:hAnsi="Arial" w:cs="Arial"/>
          <w:sz w:val="20"/>
          <w:szCs w:val="20"/>
          <w:lang w:eastAsia="es-MX"/>
        </w:rPr>
        <w:t> </w:t>
      </w:r>
      <w:r w:rsidR="00285D73" w:rsidRPr="00851F96">
        <w:rPr>
          <w:rFonts w:ascii="Arial" w:hAnsi="Arial" w:cs="Arial"/>
          <w:sz w:val="20"/>
          <w:szCs w:val="20"/>
          <w:lang w:eastAsia="es-MX"/>
        </w:rPr>
        <w:t>”</w:t>
      </w:r>
      <w:r w:rsidRPr="00851F96">
        <w:rPr>
          <w:rFonts w:ascii="Arial" w:hAnsi="Arial" w:cs="Arial"/>
          <w:sz w:val="20"/>
          <w:szCs w:val="20"/>
          <w:lang w:eastAsia="es-MX"/>
        </w:rPr>
        <w:t>Según la jurisprudencia de esta Sala, el interés que genera el conflicto debe ser directo, es decir que la decisión debe redundar en beneficio del servidor público en forma inmediata, esto es, sin necesidad de que medien circunstancias o elementos externos a la misma; que se produzca un beneficio especial, particular y concreto en favor suyo, de su cónyuge o de un pariente; y que además no se manifieste el impedimento por esa situación personal o familiar en el trámite del asunto, tal como lo ha señalado la Sala Plena de lo Contencioso Administrativo, al pronunciarse de fondo en procesos de pérdida de investidura de los congresistas. Así, por ejemplo, en la sentencia de 20 de noviembre de 2001, exp. núm. IP-0130, Consejero Ponente, Dr. Germán Rodríguez Villamizar, la Sala señaló:</w:t>
      </w:r>
    </w:p>
    <w:p w14:paraId="0CF5806E" w14:textId="77777777" w:rsidR="0090086D" w:rsidRPr="00851F96" w:rsidRDefault="00E00332" w:rsidP="0090086D">
      <w:pPr>
        <w:spacing w:line="240" w:lineRule="auto"/>
        <w:ind w:left="709" w:right="709"/>
        <w:jc w:val="both"/>
        <w:rPr>
          <w:rFonts w:ascii="Arial" w:hAnsi="Arial" w:cs="Arial"/>
          <w:sz w:val="20"/>
          <w:szCs w:val="20"/>
          <w:lang w:eastAsia="es-MX"/>
        </w:rPr>
      </w:pPr>
      <w:r w:rsidRPr="00851F96">
        <w:rPr>
          <w:rFonts w:ascii="Arial" w:hAnsi="Arial" w:cs="Arial"/>
          <w:sz w:val="20"/>
          <w:szCs w:val="20"/>
          <w:lang w:eastAsia="es-MX"/>
        </w:rPr>
        <w:t>"Por consiguiente, el conflicto de interés se presenta cuando el congresista se ve afectado por alguna situación de orden moral o económico que le impide tomar parte en el trámite o decisión de algún asunto sometido a su consideración, de tal manera que rompería la imparcialidad e independencia para atender su propia conveniencia o beneficio personal, o el de su cónyuge o compañero permanente, el de sus socios, o el de sus parientes en los grados antes señalados"</w:t>
      </w:r>
      <w:r w:rsidRPr="00851F96">
        <w:rPr>
          <w:rStyle w:val="Refdenotaalpie"/>
          <w:rFonts w:ascii="Arial" w:hAnsi="Arial" w:cs="Arial"/>
          <w:sz w:val="20"/>
          <w:szCs w:val="20"/>
          <w:lang w:eastAsia="es-MX"/>
        </w:rPr>
        <w:footnoteReference w:id="25"/>
      </w:r>
      <w:r w:rsidR="00285D73" w:rsidRPr="00851F96">
        <w:rPr>
          <w:rFonts w:ascii="Arial" w:hAnsi="Arial" w:cs="Arial"/>
          <w:sz w:val="20"/>
          <w:szCs w:val="20"/>
          <w:lang w:eastAsia="es-MX"/>
        </w:rPr>
        <w:t>“</w:t>
      </w:r>
    </w:p>
    <w:p w14:paraId="322FEA6D" w14:textId="77777777" w:rsidR="00AB2D38" w:rsidRPr="00851F96" w:rsidRDefault="0090086D" w:rsidP="009F110B">
      <w:pPr>
        <w:spacing w:line="276" w:lineRule="auto"/>
        <w:ind w:firstLine="709"/>
        <w:jc w:val="both"/>
        <w:rPr>
          <w:rFonts w:ascii="Arial" w:hAnsi="Arial" w:cs="Arial"/>
        </w:rPr>
      </w:pPr>
      <w:r w:rsidRPr="00851F96">
        <w:rPr>
          <w:rFonts w:ascii="Arial" w:hAnsi="Arial" w:cs="Arial"/>
          <w:lang w:eastAsia="es-MX"/>
        </w:rPr>
        <w:t>Por su parte, en lo que corresponde a la</w:t>
      </w:r>
      <w:r w:rsidR="0051399A" w:rsidRPr="00851F96">
        <w:rPr>
          <w:rFonts w:ascii="Arial" w:hAnsi="Arial" w:cs="Arial"/>
          <w:lang w:eastAsia="es-MX"/>
        </w:rPr>
        <w:t>s</w:t>
      </w:r>
      <w:r w:rsidRPr="00851F96">
        <w:rPr>
          <w:rFonts w:ascii="Arial" w:hAnsi="Arial" w:cs="Arial"/>
          <w:lang w:eastAsia="es-MX"/>
        </w:rPr>
        <w:t xml:space="preserve"> inhabilidad</w:t>
      </w:r>
      <w:r w:rsidR="0051399A" w:rsidRPr="00851F96">
        <w:rPr>
          <w:rFonts w:ascii="Arial" w:hAnsi="Arial" w:cs="Arial"/>
          <w:lang w:eastAsia="es-MX"/>
        </w:rPr>
        <w:t>es e incompatibilidades de los funcionaros públicos</w:t>
      </w:r>
      <w:r w:rsidRPr="00851F96">
        <w:rPr>
          <w:rFonts w:ascii="Arial" w:hAnsi="Arial" w:cs="Arial"/>
          <w:lang w:eastAsia="es-MX"/>
        </w:rPr>
        <w:t>,</w:t>
      </w:r>
      <w:r w:rsidR="0051399A" w:rsidRPr="00851F96">
        <w:rPr>
          <w:rFonts w:ascii="Arial" w:hAnsi="Arial" w:cs="Arial"/>
          <w:lang w:eastAsia="es-MX"/>
        </w:rPr>
        <w:t xml:space="preserve"> específicamente para ser supervisor de contratos, es necesario recordar que esta debe ser entendida </w:t>
      </w:r>
      <w:r w:rsidRPr="00851F96">
        <w:rPr>
          <w:rFonts w:ascii="Arial" w:hAnsi="Arial" w:cs="Arial"/>
          <w:lang w:eastAsia="es-MX"/>
        </w:rPr>
        <w:t>como la incapacidad</w:t>
      </w:r>
      <w:r w:rsidR="00285D73" w:rsidRPr="00851F96">
        <w:rPr>
          <w:rFonts w:ascii="Arial" w:hAnsi="Arial" w:cs="Arial"/>
        </w:rPr>
        <w:t xml:space="preserve"> o circunstancias que impiden a una persona ser designada en un cargo público y en ciertos casos, impiden el ejercicio del empleo </w:t>
      </w:r>
      <w:r w:rsidR="00F10B82" w:rsidRPr="00851F96">
        <w:rPr>
          <w:rFonts w:ascii="Arial" w:hAnsi="Arial" w:cs="Arial"/>
        </w:rPr>
        <w:t xml:space="preserve">o funciones </w:t>
      </w:r>
      <w:r w:rsidR="00285D73" w:rsidRPr="00851F96">
        <w:rPr>
          <w:rFonts w:ascii="Arial" w:hAnsi="Arial" w:cs="Arial"/>
        </w:rPr>
        <w:t xml:space="preserve">a quienes ya se encuentran vinculados al servicio. La jurisprudencia </w:t>
      </w:r>
      <w:r w:rsidR="00762F5D" w:rsidRPr="00851F96">
        <w:rPr>
          <w:rFonts w:ascii="Arial" w:hAnsi="Arial" w:cs="Arial"/>
        </w:rPr>
        <w:t xml:space="preserve">de la Corte Constitucional </w:t>
      </w:r>
      <w:r w:rsidR="00285D73" w:rsidRPr="00851F96">
        <w:rPr>
          <w:rFonts w:ascii="Arial" w:hAnsi="Arial" w:cs="Arial"/>
        </w:rPr>
        <w:t xml:space="preserve">ha señalado que “Las inhabilidades </w:t>
      </w:r>
      <w:r w:rsidR="00AB2D38" w:rsidRPr="00851F96">
        <w:rPr>
          <w:rFonts w:ascii="Arial" w:hAnsi="Arial" w:cs="Arial"/>
        </w:rPr>
        <w:t>(…)</w:t>
      </w:r>
      <w:r w:rsidR="00285D73" w:rsidRPr="00851F96">
        <w:rPr>
          <w:rFonts w:ascii="Arial" w:hAnsi="Arial" w:cs="Arial"/>
        </w:rPr>
        <w:t xml:space="preserve"> han sido definidas por esta Corporación como aquellos requisitos negativos para acceder a la función pública, los </w:t>
      </w:r>
      <w:r w:rsidR="00285D73" w:rsidRPr="00851F96">
        <w:rPr>
          <w:rFonts w:ascii="Arial" w:hAnsi="Arial" w:cs="Arial"/>
        </w:rPr>
        <w:lastRenderedPageBreak/>
        <w:t>cuales buscan rodear de condiciones de transparencia, imparcialidad, igualdad y moralidad el acceso y la permanencia en el servicio público, de tal suerte que las decisiones públicas sean objetivas y tengan como resultado el adecuado cumplimiento de los fines del Estado que asegure la convivencia pacífica y la vigencia de un orden justo Cfr. Corte Constitucional</w:t>
      </w:r>
      <w:r w:rsidR="008C452C" w:rsidRPr="00851F96">
        <w:rPr>
          <w:rFonts w:ascii="Arial" w:hAnsi="Arial" w:cs="Arial"/>
        </w:rPr>
        <w:t>.”</w:t>
      </w:r>
      <w:r w:rsidR="008C452C" w:rsidRPr="00851F96">
        <w:rPr>
          <w:rStyle w:val="Refdenotaalpie"/>
          <w:rFonts w:ascii="Arial" w:hAnsi="Arial" w:cs="Arial"/>
        </w:rPr>
        <w:footnoteReference w:id="26"/>
      </w:r>
      <w:r w:rsidR="00285D73" w:rsidRPr="00851F96">
        <w:rPr>
          <w:rFonts w:ascii="Arial" w:hAnsi="Arial" w:cs="Arial"/>
        </w:rPr>
        <w:t xml:space="preserve"> </w:t>
      </w:r>
    </w:p>
    <w:p w14:paraId="6C03A207" w14:textId="19D7709D" w:rsidR="002572B6" w:rsidRPr="00851F96" w:rsidRDefault="009F7065" w:rsidP="009F110B">
      <w:pPr>
        <w:spacing w:line="276" w:lineRule="auto"/>
        <w:ind w:firstLine="709"/>
        <w:jc w:val="both"/>
        <w:rPr>
          <w:rFonts w:ascii="Arial" w:hAnsi="Arial" w:cs="Arial"/>
        </w:rPr>
      </w:pPr>
      <w:r w:rsidRPr="00851F96">
        <w:rPr>
          <w:rFonts w:ascii="Arial" w:hAnsi="Arial" w:cs="Arial"/>
        </w:rPr>
        <w:t>Igualmente, es importante señalar que en nuestro</w:t>
      </w:r>
      <w:r w:rsidR="00285D73" w:rsidRPr="00851F96">
        <w:rPr>
          <w:rFonts w:ascii="Arial" w:hAnsi="Arial" w:cs="Arial"/>
        </w:rPr>
        <w:t xml:space="preserve"> ordenamiento jurídico</w:t>
      </w:r>
      <w:r w:rsidR="003E70DA" w:rsidRPr="00851F96">
        <w:rPr>
          <w:rFonts w:ascii="Arial" w:hAnsi="Arial" w:cs="Arial"/>
        </w:rPr>
        <w:t xml:space="preserve"> se</w:t>
      </w:r>
      <w:r w:rsidR="00285D73" w:rsidRPr="00851F96">
        <w:rPr>
          <w:rFonts w:ascii="Arial" w:hAnsi="Arial" w:cs="Arial"/>
        </w:rPr>
        <w:t xml:space="preserve"> consagra dos tipos de inhabilidades en consideración a la naturaleza y la finalidad de la limitación</w:t>
      </w:r>
      <w:r w:rsidR="00956BA3" w:rsidRPr="00851F96">
        <w:rPr>
          <w:rFonts w:ascii="Arial" w:hAnsi="Arial" w:cs="Arial"/>
        </w:rPr>
        <w:t>, por un lado, aquellas</w:t>
      </w:r>
      <w:r w:rsidR="00285D73" w:rsidRPr="00851F96">
        <w:rPr>
          <w:rFonts w:ascii="Arial" w:hAnsi="Arial" w:cs="Arial"/>
        </w:rPr>
        <w:t xml:space="preserve"> relacionadas directamente con la potestad sancionadora del Estado, en los ámbitos penal, disciplinario, contravencional, correccional y de punición por indignidad política</w:t>
      </w:r>
      <w:r w:rsidR="00515A53" w:rsidRPr="00851F96">
        <w:rPr>
          <w:rFonts w:ascii="Arial" w:hAnsi="Arial" w:cs="Arial"/>
        </w:rPr>
        <w:t>, y por otro, aquellas relacionadas a la</w:t>
      </w:r>
      <w:r w:rsidR="00285D73" w:rsidRPr="00851F96">
        <w:rPr>
          <w:rFonts w:ascii="Arial" w:hAnsi="Arial" w:cs="Arial"/>
        </w:rPr>
        <w:t xml:space="preserve"> protección del interés general y obedecen a la efectividad de principios, derechos y valores constitucionales, como son la lealtad empresarial, moralidad, imparcialidad, eficacia, transparencia o sigilo profesional, entre otros postulados</w:t>
      </w:r>
      <w:r w:rsidR="009A573E" w:rsidRPr="00851F96">
        <w:rPr>
          <w:rFonts w:ascii="Arial" w:hAnsi="Arial" w:cs="Arial"/>
        </w:rPr>
        <w:t>, a la vez de que son una garantía de que el comportamiento o el vínculo familiar no afectarán el desempeño del empleo o función</w:t>
      </w:r>
      <w:r w:rsidR="00285D73" w:rsidRPr="00851F96">
        <w:rPr>
          <w:rFonts w:ascii="Arial" w:hAnsi="Arial" w:cs="Arial"/>
        </w:rPr>
        <w:t>.</w:t>
      </w:r>
      <w:r w:rsidR="002572B6" w:rsidRPr="00851F96">
        <w:rPr>
          <w:rStyle w:val="Refdenotaalpie"/>
          <w:rFonts w:ascii="Arial" w:hAnsi="Arial" w:cs="Arial"/>
        </w:rPr>
        <w:footnoteReference w:id="27"/>
      </w:r>
    </w:p>
    <w:p w14:paraId="189DA770" w14:textId="52D8B8FE" w:rsidR="0041792C" w:rsidRPr="00851F96" w:rsidRDefault="009F110B" w:rsidP="009F110B">
      <w:pPr>
        <w:spacing w:line="276" w:lineRule="auto"/>
        <w:ind w:firstLine="708"/>
        <w:jc w:val="both"/>
        <w:rPr>
          <w:rFonts w:ascii="Arial" w:hAnsi="Arial" w:cs="Arial"/>
        </w:rPr>
      </w:pPr>
      <w:r w:rsidRPr="00851F96">
        <w:rPr>
          <w:rFonts w:ascii="Arial" w:hAnsi="Arial" w:cs="Arial"/>
        </w:rPr>
        <w:t>En ese orden de ideas, e</w:t>
      </w:r>
      <w:r w:rsidR="006B223D" w:rsidRPr="00851F96">
        <w:rPr>
          <w:rFonts w:ascii="Arial" w:hAnsi="Arial" w:cs="Arial"/>
        </w:rPr>
        <w:t xml:space="preserve">l artículo 6º de la Ley 190 de 1995 señala: “En caso de que sobrevenga al acto de nombramiento o posesión alguna inhabilidad o incompatibilidad, el servidor público deberá advertirlo inmediatamente a la entidad a la cual preste el servicio. Si dentro de los tres (3) meses siguientes el servidor público no ha puesto fin a la situación que dio origen a la inhabilidad o incompatibilidad, procederá su retiro inmediato, sin perjuicio de las sanciones a que por tal hecho haya lugar.” </w:t>
      </w:r>
    </w:p>
    <w:p w14:paraId="2D7F0117" w14:textId="68D7EC66" w:rsidR="00E00332" w:rsidRPr="00851F96" w:rsidRDefault="00E00332" w:rsidP="009F110B">
      <w:pPr>
        <w:spacing w:before="120" w:line="276" w:lineRule="auto"/>
        <w:ind w:firstLine="708"/>
        <w:jc w:val="both"/>
        <w:rPr>
          <w:rFonts w:ascii="Arial" w:hAnsi="Arial" w:cs="Arial"/>
          <w:bCs/>
          <w:color w:val="000000" w:themeColor="text1"/>
          <w:lang w:eastAsia="es-MX"/>
        </w:rPr>
      </w:pPr>
      <w:r w:rsidRPr="00851F96">
        <w:rPr>
          <w:rFonts w:ascii="Arial" w:hAnsi="Arial" w:cs="Arial"/>
          <w:bCs/>
          <w:color w:val="000000" w:themeColor="text1"/>
          <w:lang w:eastAsia="es-MX"/>
        </w:rPr>
        <w:t>Teniendo en cuenta lo anterior, el Código General Disciplinario adoptado mediante Ley 1952 de 2019, reglamentó las sanciones disciplinarias que podrán ser aplicadas a los funcionarios que estando en causal de inhabilidad o incompatibilidad</w:t>
      </w:r>
      <w:r w:rsidR="00FC7DAC" w:rsidRPr="00851F96">
        <w:rPr>
          <w:rFonts w:ascii="Arial" w:hAnsi="Arial" w:cs="Arial"/>
          <w:bCs/>
          <w:color w:val="000000" w:themeColor="text1"/>
          <w:lang w:eastAsia="es-MX"/>
        </w:rPr>
        <w:t xml:space="preserve"> e impedimento</w:t>
      </w:r>
      <w:r w:rsidRPr="00851F96">
        <w:rPr>
          <w:rFonts w:ascii="Arial" w:hAnsi="Arial" w:cs="Arial"/>
          <w:bCs/>
          <w:color w:val="000000" w:themeColor="text1"/>
          <w:lang w:eastAsia="es-MX"/>
        </w:rPr>
        <w:t xml:space="preserve"> no se aparte del asunto, al respecto:</w:t>
      </w:r>
    </w:p>
    <w:p w14:paraId="7C598CCB" w14:textId="0ACCE258" w:rsidR="00E00332" w:rsidRPr="00851F96" w:rsidRDefault="00285D73" w:rsidP="009F110B">
      <w:pPr>
        <w:spacing w:before="120" w:after="0" w:line="240" w:lineRule="auto"/>
        <w:ind w:left="709" w:right="709"/>
        <w:jc w:val="both"/>
        <w:rPr>
          <w:rFonts w:ascii="Arial" w:hAnsi="Arial" w:cs="Arial"/>
          <w:bCs/>
          <w:color w:val="000000" w:themeColor="text1"/>
          <w:sz w:val="20"/>
          <w:szCs w:val="20"/>
          <w:lang w:eastAsia="es-MX"/>
        </w:rPr>
      </w:pPr>
      <w:r w:rsidRPr="00851F96">
        <w:rPr>
          <w:rFonts w:ascii="Arial" w:hAnsi="Arial" w:cs="Arial"/>
          <w:bCs/>
          <w:color w:val="000000" w:themeColor="text1"/>
          <w:sz w:val="20"/>
          <w:szCs w:val="20"/>
          <w:lang w:eastAsia="es-MX"/>
        </w:rPr>
        <w:t>“</w:t>
      </w:r>
      <w:r w:rsidR="00E00332" w:rsidRPr="00851F96">
        <w:rPr>
          <w:rFonts w:ascii="Arial" w:hAnsi="Arial" w:cs="Arial"/>
          <w:bCs/>
          <w:color w:val="000000" w:themeColor="text1"/>
          <w:sz w:val="20"/>
          <w:szCs w:val="20"/>
          <w:lang w:eastAsia="es-MX"/>
        </w:rPr>
        <w:t>ARTÍCULO 44. Conflicto de intereses. Todo servidor público 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primero civil, o su socio o socios de hecho o de derecho.</w:t>
      </w:r>
    </w:p>
    <w:p w14:paraId="127B45DB" w14:textId="77777777" w:rsidR="00E00332" w:rsidRPr="00851F96" w:rsidRDefault="00E00332" w:rsidP="009F110B">
      <w:pPr>
        <w:spacing w:before="120" w:after="0" w:line="240" w:lineRule="auto"/>
        <w:ind w:left="709" w:right="709"/>
        <w:jc w:val="both"/>
        <w:rPr>
          <w:rFonts w:ascii="Arial" w:hAnsi="Arial" w:cs="Arial"/>
          <w:bCs/>
          <w:color w:val="000000" w:themeColor="text1"/>
          <w:sz w:val="20"/>
          <w:szCs w:val="20"/>
          <w:lang w:eastAsia="es-MX"/>
        </w:rPr>
      </w:pPr>
      <w:r w:rsidRPr="00851F96">
        <w:rPr>
          <w:rFonts w:ascii="Arial" w:hAnsi="Arial" w:cs="Arial"/>
          <w:bCs/>
          <w:color w:val="000000" w:themeColor="text1"/>
          <w:sz w:val="20"/>
          <w:szCs w:val="20"/>
          <w:lang w:eastAsia="es-MX"/>
        </w:rPr>
        <w:t>Cuando el interés general, propio de la función pública, entre en conflicto con un interés particular y directo del servidor público deberá declararse impedido.</w:t>
      </w:r>
    </w:p>
    <w:p w14:paraId="15743515" w14:textId="302880D8" w:rsidR="00285D73" w:rsidRPr="00851F96" w:rsidRDefault="00E00332" w:rsidP="009F110B">
      <w:pPr>
        <w:spacing w:before="120" w:after="0" w:line="240" w:lineRule="auto"/>
        <w:ind w:left="709" w:right="709"/>
        <w:jc w:val="both"/>
        <w:rPr>
          <w:rFonts w:ascii="Arial" w:hAnsi="Arial" w:cs="Arial"/>
          <w:bCs/>
          <w:color w:val="000000" w:themeColor="text1"/>
          <w:sz w:val="20"/>
          <w:szCs w:val="20"/>
          <w:lang w:eastAsia="es-MX"/>
        </w:rPr>
      </w:pPr>
      <w:r w:rsidRPr="00851F96">
        <w:rPr>
          <w:rFonts w:ascii="Arial" w:hAnsi="Arial" w:cs="Arial"/>
          <w:bCs/>
          <w:color w:val="000000" w:themeColor="text1"/>
          <w:sz w:val="20"/>
          <w:szCs w:val="20"/>
          <w:lang w:eastAsia="es-MX"/>
        </w:rPr>
        <w:t xml:space="preserve">ARTÍCULO 45. Extensión de las inhabilidades, incompatibilidades e impedimentos. Las inhabilidades, incompatibilidades e impedimentos señalados en la ley para los gerentes, directores, rectores, miembros de juntas directivas y funcionarios o </w:t>
      </w:r>
      <w:r w:rsidRPr="00851F96">
        <w:rPr>
          <w:rFonts w:ascii="Arial" w:hAnsi="Arial" w:cs="Arial"/>
          <w:bCs/>
          <w:color w:val="000000" w:themeColor="text1"/>
          <w:sz w:val="20"/>
          <w:szCs w:val="20"/>
          <w:lang w:eastAsia="es-MX"/>
        </w:rPr>
        <w:lastRenderedPageBreak/>
        <w:t>servidores públicos de las empresas industriales y comerciales del Estado y sociedades de economía mixta, se hacen extensivos a las mismas autoridades de los niveles departamental, distrital y municipal.</w:t>
      </w:r>
      <w:r w:rsidR="00285D73" w:rsidRPr="00851F96">
        <w:rPr>
          <w:rFonts w:ascii="Arial" w:hAnsi="Arial" w:cs="Arial"/>
          <w:bCs/>
          <w:color w:val="000000" w:themeColor="text1"/>
          <w:sz w:val="20"/>
          <w:szCs w:val="20"/>
          <w:lang w:eastAsia="es-MX"/>
        </w:rPr>
        <w:t>”</w:t>
      </w:r>
    </w:p>
    <w:p w14:paraId="3A5ABC99" w14:textId="77777777" w:rsidR="00E00332" w:rsidRPr="00851F96" w:rsidRDefault="00E00332" w:rsidP="00285D73">
      <w:pPr>
        <w:spacing w:before="120" w:after="0"/>
        <w:ind w:firstLine="708"/>
        <w:jc w:val="both"/>
        <w:rPr>
          <w:rFonts w:ascii="Arial" w:eastAsia="Times New Roman" w:hAnsi="Arial" w:cs="Arial"/>
          <w:color w:val="000000" w:themeColor="text1"/>
          <w:lang w:eastAsia="es-MX"/>
        </w:rPr>
      </w:pPr>
      <w:r w:rsidRPr="00851F96">
        <w:rPr>
          <w:rFonts w:ascii="Arial" w:hAnsi="Arial" w:cs="Arial"/>
          <w:bCs/>
          <w:color w:val="000000" w:themeColor="text1"/>
          <w:lang w:eastAsia="es-MX"/>
        </w:rPr>
        <w:t xml:space="preserve">Así las cosas, previo a la designación de un supervisor de un contrato estatal, le corresponde a la entidad realizar un análisis juicioso de las </w:t>
      </w:r>
      <w:r w:rsidRPr="00851F96">
        <w:rPr>
          <w:rFonts w:ascii="Arial" w:eastAsia="Times New Roman" w:hAnsi="Arial" w:cs="Arial"/>
          <w:color w:val="000000" w:themeColor="text1"/>
          <w:lang w:eastAsia="es-MX"/>
        </w:rPr>
        <w:t xml:space="preserve">prohibiciones, impedimentos, inhabilidades, incompatibilidades o conflicto de intereses consagrados en la Constitución o en la Ley en las que pueda estar incurso el funcionario público escogido, de igual forma, dicho funcionario tiene el deber de </w:t>
      </w:r>
      <w:r w:rsidRPr="00851F96">
        <w:rPr>
          <w:rFonts w:ascii="Arial" w:hAnsi="Arial" w:cs="Arial"/>
          <w:bCs/>
          <w:color w:val="000000" w:themeColor="text1"/>
          <w:lang w:eastAsia="es-MX"/>
        </w:rPr>
        <w:t>declararse impedido para actuar en un asunto como supervisor cuando tenga interés particular y directo en la ejecución del mismo, gestión, control o decisión, o lo tuviere su cónyuge, compañero o compañera permanente, o algunos de sus parientes dentro del cuarto grado de consanguinidad, segundo de afinidad o primero civil, o su socio o socios de hecho o de derecho y, demás causales que contemple la Ley y la Constitución.</w:t>
      </w:r>
    </w:p>
    <w:p w14:paraId="19EC902B" w14:textId="77777777" w:rsidR="00031620" w:rsidRPr="00851F96" w:rsidRDefault="00031620" w:rsidP="00285D73">
      <w:pPr>
        <w:tabs>
          <w:tab w:val="left" w:pos="709"/>
        </w:tabs>
        <w:spacing w:after="0" w:line="276" w:lineRule="auto"/>
        <w:contextualSpacing/>
        <w:jc w:val="both"/>
        <w:rPr>
          <w:rFonts w:ascii="Arial" w:eastAsia="Calibri" w:hAnsi="Arial" w:cs="Arial"/>
          <w:b/>
          <w:lang w:val="es-ES_tradnl"/>
        </w:rPr>
      </w:pPr>
    </w:p>
    <w:p w14:paraId="0992B52D" w14:textId="58824DB9" w:rsidR="00952BD5" w:rsidRPr="00851F96" w:rsidRDefault="00952BD5" w:rsidP="00285D73">
      <w:pPr>
        <w:tabs>
          <w:tab w:val="left" w:pos="709"/>
        </w:tabs>
        <w:spacing w:after="0" w:line="276" w:lineRule="auto"/>
        <w:contextualSpacing/>
        <w:jc w:val="both"/>
        <w:rPr>
          <w:rFonts w:ascii="Arial" w:eastAsia="Calibri" w:hAnsi="Arial" w:cs="Arial"/>
          <w:b/>
          <w:lang w:val="es-ES_tradnl"/>
        </w:rPr>
      </w:pPr>
      <w:r w:rsidRPr="00851F96">
        <w:rPr>
          <w:rFonts w:ascii="Arial" w:eastAsia="Calibri" w:hAnsi="Arial" w:cs="Arial"/>
          <w:b/>
          <w:lang w:val="es-ES_tradnl"/>
        </w:rPr>
        <w:t>3. Respuesta:</w:t>
      </w:r>
    </w:p>
    <w:p w14:paraId="5C3D264F" w14:textId="77777777" w:rsidR="00952BD5" w:rsidRPr="00851F96" w:rsidRDefault="00952BD5" w:rsidP="00285D73">
      <w:pPr>
        <w:spacing w:after="0" w:line="276" w:lineRule="auto"/>
        <w:contextualSpacing/>
        <w:jc w:val="both"/>
        <w:rPr>
          <w:rFonts w:ascii="Arial" w:eastAsia="Calibri" w:hAnsi="Arial" w:cs="Arial"/>
        </w:rPr>
      </w:pPr>
    </w:p>
    <w:p w14:paraId="732AF664" w14:textId="77777777" w:rsidR="00031620" w:rsidRPr="00851F96" w:rsidRDefault="00031620" w:rsidP="00031620">
      <w:pPr>
        <w:autoSpaceDE w:val="0"/>
        <w:autoSpaceDN w:val="0"/>
        <w:adjustRightInd w:val="0"/>
        <w:spacing w:after="0" w:line="240" w:lineRule="auto"/>
        <w:ind w:left="709" w:right="709"/>
        <w:jc w:val="both"/>
        <w:rPr>
          <w:rFonts w:ascii="Arial" w:eastAsia="Calibri" w:hAnsi="Arial" w:cs="Arial"/>
          <w:i/>
          <w:iCs/>
          <w:sz w:val="21"/>
          <w:szCs w:val="21"/>
        </w:rPr>
      </w:pPr>
      <w:r w:rsidRPr="00851F96">
        <w:rPr>
          <w:rFonts w:ascii="Arial" w:hAnsi="Arial" w:cs="Arial"/>
          <w:i/>
          <w:iCs/>
          <w:sz w:val="21"/>
          <w:szCs w:val="21"/>
        </w:rPr>
        <w:t>“(…) solicito información respecto a la normatividad que se tiene sobre la designación de supervisión de contratos estatales por parte de los funcionarios de una entidad, y la responsabilidad en cuanto a las funciones, además se me aclare que se puede hacer si el funcionario no aceptas la supervisión de un contrato así el funcionario tenga las capacidades de hacerlo.”</w:t>
      </w:r>
    </w:p>
    <w:p w14:paraId="6776EFAD" w14:textId="77777777" w:rsidR="00F2397B" w:rsidRPr="00851F96" w:rsidRDefault="00DC0BE9" w:rsidP="00DC0BE9">
      <w:pPr>
        <w:spacing w:before="120" w:line="276" w:lineRule="auto"/>
        <w:jc w:val="both"/>
        <w:rPr>
          <w:rFonts w:ascii="Arial" w:hAnsi="Arial" w:cs="Arial"/>
          <w:color w:val="000000" w:themeColor="text1"/>
        </w:rPr>
      </w:pPr>
      <w:r w:rsidRPr="00851F96">
        <w:rPr>
          <w:rFonts w:ascii="Arial" w:hAnsi="Arial" w:cs="Arial"/>
          <w:color w:val="000000" w:themeColor="text1"/>
        </w:rPr>
        <w:t>De conformidad a lo expuesto, l</w:t>
      </w:r>
      <w:r w:rsidR="00952BD5" w:rsidRPr="00851F96">
        <w:rPr>
          <w:rFonts w:ascii="Arial" w:hAnsi="Arial" w:cs="Arial"/>
          <w:color w:val="000000" w:themeColor="text1"/>
        </w:rPr>
        <w:t>a responsabilidad en el control y vigilancia de la ejecución de</w:t>
      </w:r>
      <w:r w:rsidR="00581720" w:rsidRPr="00851F96">
        <w:rPr>
          <w:rFonts w:ascii="Arial" w:hAnsi="Arial" w:cs="Arial"/>
          <w:color w:val="000000" w:themeColor="text1"/>
        </w:rPr>
        <w:t xml:space="preserve"> los contratos que celebre las e</w:t>
      </w:r>
      <w:r w:rsidR="00285D73" w:rsidRPr="00851F96">
        <w:rPr>
          <w:rFonts w:ascii="Arial" w:hAnsi="Arial" w:cs="Arial"/>
          <w:color w:val="000000" w:themeColor="text1"/>
        </w:rPr>
        <w:t>ntidad</w:t>
      </w:r>
      <w:r w:rsidR="00581720" w:rsidRPr="00851F96">
        <w:rPr>
          <w:rFonts w:ascii="Arial" w:hAnsi="Arial" w:cs="Arial"/>
          <w:color w:val="000000" w:themeColor="text1"/>
        </w:rPr>
        <w:t>es</w:t>
      </w:r>
      <w:r w:rsidR="00285D73" w:rsidRPr="00851F96">
        <w:rPr>
          <w:rFonts w:ascii="Arial" w:hAnsi="Arial" w:cs="Arial"/>
          <w:color w:val="000000" w:themeColor="text1"/>
        </w:rPr>
        <w:t xml:space="preserve"> </w:t>
      </w:r>
      <w:r w:rsidR="00581720" w:rsidRPr="00851F96">
        <w:rPr>
          <w:rFonts w:ascii="Arial" w:hAnsi="Arial" w:cs="Arial"/>
          <w:color w:val="000000" w:themeColor="text1"/>
        </w:rPr>
        <w:t>e</w:t>
      </w:r>
      <w:r w:rsidR="00285D73" w:rsidRPr="00851F96">
        <w:rPr>
          <w:rFonts w:ascii="Arial" w:hAnsi="Arial" w:cs="Arial"/>
          <w:color w:val="000000" w:themeColor="text1"/>
        </w:rPr>
        <w:t>statal</w:t>
      </w:r>
      <w:r w:rsidR="00581720" w:rsidRPr="00851F96">
        <w:rPr>
          <w:rFonts w:ascii="Arial" w:hAnsi="Arial" w:cs="Arial"/>
          <w:color w:val="000000" w:themeColor="text1"/>
        </w:rPr>
        <w:t xml:space="preserve">es, se encuentran a cargo de </w:t>
      </w:r>
      <w:r w:rsidR="00941362" w:rsidRPr="00851F96">
        <w:rPr>
          <w:rFonts w:ascii="Arial" w:hAnsi="Arial" w:cs="Arial"/>
          <w:color w:val="000000" w:themeColor="text1"/>
        </w:rPr>
        <w:t>la misma entidad</w:t>
      </w:r>
      <w:r w:rsidR="00BF49A3" w:rsidRPr="00851F96">
        <w:rPr>
          <w:rFonts w:ascii="Arial" w:hAnsi="Arial" w:cs="Arial"/>
          <w:color w:val="000000" w:themeColor="text1"/>
        </w:rPr>
        <w:t>, obligación que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r w:rsidR="000E682B" w:rsidRPr="00851F96">
        <w:rPr>
          <w:rFonts w:ascii="Arial" w:hAnsi="Arial" w:cs="Arial"/>
          <w:color w:val="000000" w:themeColor="text1"/>
        </w:rPr>
        <w:t xml:space="preserve"> </w:t>
      </w:r>
      <w:r w:rsidR="00952BD5" w:rsidRPr="00851F96">
        <w:rPr>
          <w:rFonts w:ascii="Arial" w:hAnsi="Arial" w:cs="Arial"/>
          <w:color w:val="000000" w:themeColor="text1"/>
        </w:rPr>
        <w:t xml:space="preserve">Por lo tanto, </w:t>
      </w:r>
      <w:r w:rsidR="000E682B" w:rsidRPr="00851F96">
        <w:rPr>
          <w:rFonts w:ascii="Arial" w:hAnsi="Arial" w:cs="Arial"/>
          <w:color w:val="000000" w:themeColor="text1"/>
        </w:rPr>
        <w:t>la supervisión de los contratos estatales se dará</w:t>
      </w:r>
      <w:r w:rsidR="00952BD5" w:rsidRPr="00851F96">
        <w:rPr>
          <w:rFonts w:ascii="Arial" w:hAnsi="Arial" w:cs="Arial"/>
          <w:color w:val="000000" w:themeColor="text1"/>
        </w:rPr>
        <w:t xml:space="preserve"> mediante sus funcionarios y únicamente </w:t>
      </w:r>
      <w:r w:rsidR="00377101" w:rsidRPr="00851F96">
        <w:rPr>
          <w:rFonts w:ascii="Arial" w:hAnsi="Arial" w:cs="Arial"/>
          <w:color w:val="000000" w:themeColor="text1"/>
        </w:rPr>
        <w:t xml:space="preserve">se </w:t>
      </w:r>
      <w:r w:rsidR="00952BD5" w:rsidRPr="00851F96">
        <w:rPr>
          <w:rFonts w:ascii="Arial" w:hAnsi="Arial" w:cs="Arial"/>
          <w:color w:val="000000" w:themeColor="text1"/>
        </w:rPr>
        <w:t xml:space="preserve">puede contratar personal en caso de necesitarlo como </w:t>
      </w:r>
      <w:r w:rsidR="003B072E" w:rsidRPr="00851F96">
        <w:rPr>
          <w:rFonts w:ascii="Arial" w:hAnsi="Arial" w:cs="Arial"/>
          <w:color w:val="000000" w:themeColor="text1"/>
        </w:rPr>
        <w:t>“</w:t>
      </w:r>
      <w:r w:rsidR="00952BD5" w:rsidRPr="00851F96">
        <w:rPr>
          <w:rFonts w:ascii="Arial" w:hAnsi="Arial" w:cs="Arial"/>
          <w:color w:val="000000" w:themeColor="text1"/>
        </w:rPr>
        <w:t>apoyo</w:t>
      </w:r>
      <w:r w:rsidR="003B072E" w:rsidRPr="00851F96">
        <w:rPr>
          <w:rFonts w:ascii="Arial" w:hAnsi="Arial" w:cs="Arial"/>
          <w:color w:val="000000" w:themeColor="text1"/>
        </w:rPr>
        <w:t>”</w:t>
      </w:r>
      <w:r w:rsidR="00952BD5" w:rsidRPr="00851F96">
        <w:rPr>
          <w:rFonts w:ascii="Arial" w:hAnsi="Arial" w:cs="Arial"/>
          <w:color w:val="000000" w:themeColor="text1"/>
        </w:rPr>
        <w:t xml:space="preserve"> a su gestión en la supervisión. </w:t>
      </w:r>
    </w:p>
    <w:p w14:paraId="2B01FB0F" w14:textId="01BFBE2B" w:rsidR="00F0313E" w:rsidRPr="00851F96" w:rsidRDefault="00FA5B04" w:rsidP="001D460B">
      <w:pPr>
        <w:spacing w:before="120" w:line="276" w:lineRule="auto"/>
        <w:ind w:firstLine="708"/>
        <w:jc w:val="both"/>
        <w:rPr>
          <w:rFonts w:ascii="Arial" w:hAnsi="Arial" w:cs="Arial"/>
          <w:color w:val="000000" w:themeColor="text1"/>
        </w:rPr>
      </w:pPr>
      <w:r w:rsidRPr="00851F96">
        <w:rPr>
          <w:rFonts w:ascii="Arial" w:hAnsi="Arial" w:cs="Arial"/>
          <w:color w:val="000000" w:themeColor="text1"/>
        </w:rPr>
        <w:t xml:space="preserve">La normatividad que contempla </w:t>
      </w:r>
      <w:r w:rsidR="00311D8A" w:rsidRPr="00851F96">
        <w:rPr>
          <w:rFonts w:ascii="Arial" w:hAnsi="Arial" w:cs="Arial"/>
          <w:color w:val="000000" w:themeColor="text1"/>
        </w:rPr>
        <w:t>dicha obligación de supervisar</w:t>
      </w:r>
      <w:r w:rsidR="00D72DE0" w:rsidRPr="00851F96">
        <w:rPr>
          <w:rFonts w:ascii="Arial" w:hAnsi="Arial" w:cs="Arial"/>
          <w:color w:val="000000" w:themeColor="text1"/>
        </w:rPr>
        <w:t xml:space="preserve">, su </w:t>
      </w:r>
      <w:r w:rsidRPr="00851F96">
        <w:rPr>
          <w:rFonts w:ascii="Arial" w:hAnsi="Arial" w:cs="Arial"/>
          <w:color w:val="000000" w:themeColor="text1"/>
        </w:rPr>
        <w:t xml:space="preserve">definición y facultades se encuentra dispuesta </w:t>
      </w:r>
      <w:r w:rsidR="00311D8A" w:rsidRPr="00851F96">
        <w:rPr>
          <w:rFonts w:ascii="Arial" w:hAnsi="Arial" w:cs="Arial"/>
          <w:color w:val="000000" w:themeColor="text1"/>
        </w:rPr>
        <w:t>en varias disposiciones de la Ley 80 de 1993,</w:t>
      </w:r>
      <w:r w:rsidR="00D72DE0" w:rsidRPr="00851F96">
        <w:rPr>
          <w:rFonts w:ascii="Arial" w:hAnsi="Arial" w:cs="Arial"/>
          <w:color w:val="000000" w:themeColor="text1"/>
        </w:rPr>
        <w:t xml:space="preserve"> </w:t>
      </w:r>
      <w:r w:rsidR="00311D8A" w:rsidRPr="00851F96">
        <w:rPr>
          <w:rFonts w:ascii="Arial" w:hAnsi="Arial" w:cs="Arial"/>
          <w:color w:val="000000" w:themeColor="text1"/>
        </w:rPr>
        <w:t>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w:t>
      </w:r>
      <w:r w:rsidR="00004BAF" w:rsidRPr="00851F96">
        <w:rPr>
          <w:rFonts w:ascii="Arial" w:hAnsi="Arial" w:cs="Arial"/>
          <w:color w:val="000000" w:themeColor="text1"/>
        </w:rPr>
        <w:t xml:space="preserve">, </w:t>
      </w:r>
      <w:r w:rsidR="004A02C2" w:rsidRPr="00851F96">
        <w:rPr>
          <w:rFonts w:ascii="Arial" w:hAnsi="Arial" w:cs="Arial"/>
          <w:color w:val="000000" w:themeColor="text1"/>
        </w:rPr>
        <w:t xml:space="preserve">por su parte, </w:t>
      </w:r>
      <w:r w:rsidR="00F0313E" w:rsidRPr="00851F96">
        <w:rPr>
          <w:rFonts w:ascii="Arial" w:hAnsi="Arial" w:cs="Arial"/>
          <w:color w:val="000000" w:themeColor="text1"/>
        </w:rPr>
        <w:t>los artículos</w:t>
      </w:r>
      <w:r w:rsidR="001B1D8F" w:rsidRPr="00851F96">
        <w:rPr>
          <w:rFonts w:ascii="Arial" w:hAnsi="Arial" w:cs="Arial"/>
          <w:color w:val="000000" w:themeColor="text1"/>
        </w:rPr>
        <w:t xml:space="preserve"> 17 </w:t>
      </w:r>
      <w:r w:rsidR="00B1170D" w:rsidRPr="00851F96">
        <w:rPr>
          <w:rFonts w:ascii="Arial" w:hAnsi="Arial" w:cs="Arial"/>
          <w:color w:val="000000" w:themeColor="text1"/>
        </w:rPr>
        <w:t xml:space="preserve">y 21 de la Ley 1150 de 2007 y especialmente en </w:t>
      </w:r>
      <w:r w:rsidR="00717726" w:rsidRPr="00851F96">
        <w:rPr>
          <w:rFonts w:ascii="Arial" w:hAnsi="Arial" w:cs="Arial"/>
          <w:color w:val="000000" w:themeColor="text1"/>
        </w:rPr>
        <w:t>los artículos</w:t>
      </w:r>
      <w:r w:rsidR="00864C09" w:rsidRPr="00851F96">
        <w:rPr>
          <w:rFonts w:ascii="Arial" w:hAnsi="Arial" w:cs="Arial"/>
          <w:color w:val="000000" w:themeColor="text1"/>
        </w:rPr>
        <w:t xml:space="preserve"> 83</w:t>
      </w:r>
      <w:r w:rsidRPr="00851F96">
        <w:rPr>
          <w:rFonts w:ascii="Arial" w:hAnsi="Arial" w:cs="Arial"/>
          <w:color w:val="000000" w:themeColor="text1"/>
        </w:rPr>
        <w:t xml:space="preserve"> </w:t>
      </w:r>
      <w:r w:rsidR="00B1170D" w:rsidRPr="00851F96">
        <w:rPr>
          <w:rFonts w:ascii="Arial" w:hAnsi="Arial" w:cs="Arial"/>
          <w:color w:val="000000" w:themeColor="text1"/>
        </w:rPr>
        <w:t>a</w:t>
      </w:r>
      <w:r w:rsidRPr="00851F96">
        <w:rPr>
          <w:rFonts w:ascii="Arial" w:hAnsi="Arial" w:cs="Arial"/>
          <w:color w:val="000000" w:themeColor="text1"/>
        </w:rPr>
        <w:t xml:space="preserve"> 8</w:t>
      </w:r>
      <w:r w:rsidR="00B1170D" w:rsidRPr="00851F96">
        <w:rPr>
          <w:rFonts w:ascii="Arial" w:hAnsi="Arial" w:cs="Arial"/>
          <w:color w:val="000000" w:themeColor="text1"/>
        </w:rPr>
        <w:t>6</w:t>
      </w:r>
      <w:r w:rsidRPr="00851F96">
        <w:rPr>
          <w:rFonts w:ascii="Arial" w:hAnsi="Arial" w:cs="Arial"/>
          <w:color w:val="000000" w:themeColor="text1"/>
        </w:rPr>
        <w:t xml:space="preserve"> de la Ley 1474 de 2011</w:t>
      </w:r>
      <w:r w:rsidR="004A02C2" w:rsidRPr="00851F96">
        <w:rPr>
          <w:rFonts w:ascii="Arial" w:hAnsi="Arial" w:cs="Arial"/>
          <w:color w:val="000000" w:themeColor="text1"/>
        </w:rPr>
        <w:t xml:space="preserve">, complementan el régimen jurídico de la obligación de </w:t>
      </w:r>
      <w:r w:rsidR="001D460B" w:rsidRPr="00851F96">
        <w:rPr>
          <w:rFonts w:ascii="Arial" w:hAnsi="Arial" w:cs="Arial"/>
          <w:color w:val="000000" w:themeColor="text1"/>
        </w:rPr>
        <w:t xml:space="preserve">vigilar la correcta ejecución de los contratos estatales y </w:t>
      </w:r>
      <w:r w:rsidR="004A02C2" w:rsidRPr="00851F96">
        <w:rPr>
          <w:rFonts w:ascii="Arial" w:hAnsi="Arial" w:cs="Arial"/>
          <w:color w:val="000000" w:themeColor="text1"/>
        </w:rPr>
        <w:t>establecen los límites de la responsabilidad del representante legal ante la delegación de sus funciones en materia contractual</w:t>
      </w:r>
      <w:r w:rsidR="001D460B" w:rsidRPr="00851F96">
        <w:rPr>
          <w:rFonts w:ascii="Arial" w:hAnsi="Arial" w:cs="Arial"/>
          <w:color w:val="000000" w:themeColor="text1"/>
        </w:rPr>
        <w:t xml:space="preserve">, definiendo las figuras de </w:t>
      </w:r>
      <w:r w:rsidR="004A02C2" w:rsidRPr="00851F96">
        <w:rPr>
          <w:rFonts w:ascii="Arial" w:hAnsi="Arial" w:cs="Arial"/>
          <w:color w:val="000000" w:themeColor="text1"/>
        </w:rPr>
        <w:t xml:space="preserve">supervisión </w:t>
      </w:r>
      <w:r w:rsidR="001D460B" w:rsidRPr="00851F96">
        <w:rPr>
          <w:rFonts w:ascii="Arial" w:hAnsi="Arial" w:cs="Arial"/>
          <w:color w:val="000000" w:themeColor="text1"/>
        </w:rPr>
        <w:t>e</w:t>
      </w:r>
      <w:r w:rsidR="004A02C2" w:rsidRPr="00851F96">
        <w:rPr>
          <w:rFonts w:ascii="Arial" w:hAnsi="Arial" w:cs="Arial"/>
          <w:color w:val="000000" w:themeColor="text1"/>
        </w:rPr>
        <w:t xml:space="preserve"> interventoría de los contratos estatales</w:t>
      </w:r>
      <w:r w:rsidR="001D460B" w:rsidRPr="00851F96">
        <w:rPr>
          <w:rFonts w:ascii="Arial" w:hAnsi="Arial" w:cs="Arial"/>
          <w:color w:val="000000" w:themeColor="text1"/>
        </w:rPr>
        <w:t>.</w:t>
      </w:r>
    </w:p>
    <w:p w14:paraId="5C012035" w14:textId="77777777" w:rsidR="002858AE" w:rsidRPr="00851F96" w:rsidRDefault="00BB542A" w:rsidP="00761197">
      <w:pPr>
        <w:spacing w:before="120" w:line="276" w:lineRule="auto"/>
        <w:ind w:firstLine="708"/>
        <w:jc w:val="both"/>
        <w:rPr>
          <w:rFonts w:ascii="Arial" w:hAnsi="Arial" w:cs="Arial"/>
          <w:color w:val="000000" w:themeColor="text1"/>
        </w:rPr>
      </w:pPr>
      <w:r w:rsidRPr="00851F96">
        <w:rPr>
          <w:rFonts w:ascii="Arial" w:hAnsi="Arial" w:cs="Arial"/>
          <w:color w:val="000000" w:themeColor="text1"/>
        </w:rPr>
        <w:lastRenderedPageBreak/>
        <w:t>En cuanto a la designación del supervisor, esta Agencia</w:t>
      </w:r>
      <w:r w:rsidR="00761197" w:rsidRPr="00851F96">
        <w:rPr>
          <w:rFonts w:ascii="Arial" w:hAnsi="Arial" w:cs="Arial"/>
          <w:color w:val="000000" w:themeColor="text1"/>
        </w:rPr>
        <w:t xml:space="preserve"> </w:t>
      </w:r>
      <w:r w:rsidRPr="00851F96">
        <w:rPr>
          <w:rFonts w:ascii="Arial" w:hAnsi="Arial" w:cs="Arial"/>
          <w:color w:val="000000" w:themeColor="text1"/>
        </w:rPr>
        <w:t xml:space="preserve">recomienda que esta se haga a través de un funcionario que pueda actuar al menos como par del contratista y que tenga asignadas funciones relacionadas con el objeto contractual. Así mismo, </w:t>
      </w:r>
      <w:r w:rsidR="00F75F4D" w:rsidRPr="00851F96">
        <w:rPr>
          <w:rFonts w:ascii="Arial" w:hAnsi="Arial" w:cs="Arial"/>
          <w:color w:val="000000" w:themeColor="text1"/>
        </w:rPr>
        <w:t xml:space="preserve">se recomienda que dicha </w:t>
      </w:r>
      <w:r w:rsidRPr="00851F96">
        <w:rPr>
          <w:rFonts w:ascii="Arial" w:hAnsi="Arial" w:cs="Arial"/>
          <w:color w:val="000000" w:themeColor="text1"/>
        </w:rPr>
        <w:t xml:space="preserve">designación </w:t>
      </w:r>
      <w:r w:rsidR="00F75F4D" w:rsidRPr="00851F96">
        <w:rPr>
          <w:rFonts w:ascii="Arial" w:hAnsi="Arial" w:cs="Arial"/>
          <w:color w:val="000000" w:themeColor="text1"/>
        </w:rPr>
        <w:t>esté</w:t>
      </w:r>
      <w:r w:rsidRPr="00851F96">
        <w:rPr>
          <w:rFonts w:ascii="Arial" w:hAnsi="Arial" w:cs="Arial"/>
          <w:color w:val="000000" w:themeColor="text1"/>
        </w:rPr>
        <w:t xml:space="preserve"> antecedida por un análisis de la carga operativa del funcionario al que se le asigna la supervisión, para no incurrir en el riesgo de que el supervisor no pueda desempeñar la labor de manera adecuada. </w:t>
      </w:r>
    </w:p>
    <w:p w14:paraId="4DAFC089" w14:textId="53CD38C0" w:rsidR="00BB542A" w:rsidRPr="00851F96" w:rsidRDefault="00B06C1A" w:rsidP="00B06C1A">
      <w:pPr>
        <w:spacing w:before="120" w:line="276" w:lineRule="auto"/>
        <w:ind w:firstLine="708"/>
        <w:jc w:val="both"/>
        <w:rPr>
          <w:rFonts w:ascii="Arial" w:hAnsi="Arial" w:cs="Arial"/>
          <w:color w:val="000000" w:themeColor="text1"/>
        </w:rPr>
      </w:pPr>
      <w:r w:rsidRPr="00851F96">
        <w:rPr>
          <w:rFonts w:ascii="Arial" w:hAnsi="Arial" w:cs="Arial"/>
          <w:color w:val="000000" w:themeColor="text1"/>
        </w:rPr>
        <w:t>Se advierte que, s</w:t>
      </w:r>
      <w:r w:rsidR="00BB542A" w:rsidRPr="00851F96">
        <w:rPr>
          <w:rFonts w:ascii="Arial" w:hAnsi="Arial" w:cs="Arial"/>
          <w:color w:val="000000" w:themeColor="text1"/>
        </w:rPr>
        <w:t>i bien es cierto que para desarrollar la supervisión del contrato no se requieren conocimientos técnicos especializados, también lo es que las funciones de seguimiento contractual abarcan varios campos,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ello deberá tener en cuenta que las funciones propias de los cargos, y los perfiles, conocimientos y experiencia de los funcionarios designados, guarden relación directa con el objeto del contrato y sus aspectos a supervisar.</w:t>
      </w:r>
      <w:r w:rsidR="00E60C17" w:rsidRPr="00851F96">
        <w:rPr>
          <w:rFonts w:ascii="Arial" w:hAnsi="Arial" w:cs="Arial"/>
          <w:color w:val="000000" w:themeColor="text1"/>
        </w:rPr>
        <w:t xml:space="preserve"> Asimismo, deberá verificarse que el funcionario al asumir dichas funciones de supervisión no se encuentre en curso en </w:t>
      </w:r>
      <w:r w:rsidR="007D2330" w:rsidRPr="00851F96">
        <w:rPr>
          <w:rFonts w:ascii="Arial" w:hAnsi="Arial" w:cs="Arial"/>
          <w:color w:val="000000" w:themeColor="text1"/>
        </w:rPr>
        <w:t>alguna causal sobreviniente de</w:t>
      </w:r>
      <w:r w:rsidR="00E60C17" w:rsidRPr="00851F96">
        <w:rPr>
          <w:rFonts w:ascii="Arial" w:hAnsi="Arial" w:cs="Arial"/>
          <w:color w:val="000000" w:themeColor="text1"/>
        </w:rPr>
        <w:t xml:space="preserve"> </w:t>
      </w:r>
      <w:r w:rsidR="00E60C17" w:rsidRPr="00851F96">
        <w:rPr>
          <w:rFonts w:ascii="Arial" w:eastAsia="Times New Roman" w:hAnsi="Arial" w:cs="Arial"/>
          <w:color w:val="000000" w:themeColor="text1"/>
          <w:lang w:eastAsia="es-MX"/>
        </w:rPr>
        <w:t>impedimentos, inhabilidades, incompatibilidades o conflicto de intereses</w:t>
      </w:r>
      <w:r w:rsidR="00E60C17" w:rsidRPr="00851F96">
        <w:rPr>
          <w:rFonts w:ascii="Arial" w:hAnsi="Arial" w:cs="Arial"/>
          <w:color w:val="000000" w:themeColor="text1"/>
        </w:rPr>
        <w:t xml:space="preserve">. </w:t>
      </w:r>
      <w:r w:rsidR="00BB542A" w:rsidRPr="00851F96">
        <w:rPr>
          <w:rFonts w:ascii="Arial" w:hAnsi="Arial" w:cs="Arial"/>
          <w:color w:val="000000" w:themeColor="text1"/>
        </w:rPr>
        <w:t xml:space="preserve">Lo anterior pretende que la vigilancia del contrato se realice de manera idónea y suficiente, con distribución equitativa de cargas y responsabilidades, en aplicación a los principios de coordinación y eficacia que rigen el ejercicio de la función administrativa. Estos principios son aplicables a la contratación estatal por disposición del artículo 23 de la Ley 80 de 1993. </w:t>
      </w:r>
    </w:p>
    <w:p w14:paraId="5AB9CF6D" w14:textId="116CB87A" w:rsidR="00847FC0" w:rsidRPr="00851F96" w:rsidRDefault="00CC5D79" w:rsidP="00847FC0">
      <w:pPr>
        <w:spacing w:before="120" w:line="276" w:lineRule="auto"/>
        <w:ind w:firstLine="708"/>
        <w:jc w:val="both"/>
        <w:rPr>
          <w:rFonts w:ascii="Arial" w:hAnsi="Arial" w:cs="Arial"/>
          <w:color w:val="000000" w:themeColor="text1"/>
        </w:rPr>
      </w:pPr>
      <w:r w:rsidRPr="00851F96">
        <w:rPr>
          <w:rFonts w:ascii="Arial" w:hAnsi="Arial" w:cs="Arial"/>
          <w:color w:val="000000" w:themeColor="text1"/>
        </w:rPr>
        <w:t>Igualmente, se reitera que</w:t>
      </w:r>
      <w:r w:rsidR="00ED6975" w:rsidRPr="00851F96">
        <w:rPr>
          <w:rFonts w:ascii="Arial" w:hAnsi="Arial" w:cs="Arial"/>
          <w:color w:val="000000" w:themeColor="text1"/>
        </w:rPr>
        <w:t xml:space="preserve"> </w:t>
      </w:r>
      <w:r w:rsidRPr="00851F96">
        <w:rPr>
          <w:rFonts w:ascii="Arial" w:hAnsi="Arial" w:cs="Arial"/>
          <w:color w:val="000000" w:themeColor="text1"/>
        </w:rPr>
        <w:t>q</w:t>
      </w:r>
      <w:r w:rsidR="00864C09" w:rsidRPr="00851F96">
        <w:rPr>
          <w:rFonts w:ascii="Arial" w:hAnsi="Arial" w:cs="Arial"/>
          <w:color w:val="000000" w:themeColor="text1"/>
        </w:rPr>
        <w:t>ui</w:t>
      </w:r>
      <w:r w:rsidR="00ED6975" w:rsidRPr="00851F96">
        <w:rPr>
          <w:rFonts w:ascii="Arial" w:hAnsi="Arial" w:cs="Arial"/>
          <w:color w:val="000000" w:themeColor="text1"/>
        </w:rPr>
        <w:t>é</w:t>
      </w:r>
      <w:r w:rsidR="00864C09" w:rsidRPr="00851F96">
        <w:rPr>
          <w:rFonts w:ascii="Arial" w:hAnsi="Arial" w:cs="Arial"/>
          <w:color w:val="000000" w:themeColor="text1"/>
        </w:rPr>
        <w:t>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r w:rsidR="00847FC0" w:rsidRPr="00851F96">
        <w:rPr>
          <w:rFonts w:ascii="Arial" w:hAnsi="Arial" w:cs="Arial"/>
          <w:color w:val="000000" w:themeColor="text1"/>
        </w:rPr>
        <w:t xml:space="preserve">, pero en ningún caso, puede sustituir o reemplazar a la Entidad Estatal en la toma de las decisiones, quien conserva dicha potestad y la ejerce a través de su propio representante legal, que adelanta las actuaciones que le corresponden en virtud de su posición de parte dentro de la relación negocial. </w:t>
      </w:r>
    </w:p>
    <w:p w14:paraId="0368654E" w14:textId="4E9764D7" w:rsidR="004E140B" w:rsidRPr="000A2C3A" w:rsidRDefault="0097113C" w:rsidP="00912DC8">
      <w:pPr>
        <w:spacing w:before="120" w:line="276" w:lineRule="auto"/>
        <w:ind w:firstLine="708"/>
        <w:jc w:val="both"/>
        <w:rPr>
          <w:rFonts w:ascii="Arial" w:hAnsi="Arial" w:cs="Arial"/>
          <w:color w:val="000000" w:themeColor="text1"/>
        </w:rPr>
      </w:pPr>
      <w:r w:rsidRPr="000A2C3A">
        <w:rPr>
          <w:rFonts w:ascii="Arial" w:hAnsi="Arial" w:cs="Arial"/>
          <w:color w:val="000000" w:themeColor="text1"/>
        </w:rPr>
        <w:t xml:space="preserve">Finalmente, si </w:t>
      </w:r>
      <w:r w:rsidRPr="000A2C3A">
        <w:rPr>
          <w:rFonts w:ascii="Arial" w:hAnsi="Arial" w:cs="Arial"/>
        </w:rPr>
        <w:t xml:space="preserve">el funcionario que designa el representante legal u ordenador del </w:t>
      </w:r>
      <w:r w:rsidR="003038AD" w:rsidRPr="000A2C3A">
        <w:rPr>
          <w:rFonts w:ascii="Arial" w:hAnsi="Arial" w:cs="Arial"/>
        </w:rPr>
        <w:t>gasto</w:t>
      </w:r>
      <w:r w:rsidRPr="000A2C3A">
        <w:rPr>
          <w:rFonts w:ascii="Arial" w:hAnsi="Arial" w:cs="Arial"/>
        </w:rPr>
        <w:t xml:space="preserve"> </w:t>
      </w:r>
      <w:r w:rsidR="003038AD" w:rsidRPr="000A2C3A">
        <w:rPr>
          <w:rFonts w:ascii="Arial" w:hAnsi="Arial" w:cs="Arial"/>
        </w:rPr>
        <w:t xml:space="preserve">si tiene dicha competencia, y este no acepta, las consecuencias de su negativa deberán analizarse a través de la aplicación de normas </w:t>
      </w:r>
      <w:r w:rsidR="005228F8" w:rsidRPr="000A2C3A">
        <w:rPr>
          <w:rFonts w:ascii="Arial" w:hAnsi="Arial" w:cs="Arial"/>
        </w:rPr>
        <w:t xml:space="preserve">laborales </w:t>
      </w:r>
      <w:r w:rsidR="00306C5A" w:rsidRPr="000A2C3A">
        <w:rPr>
          <w:rFonts w:ascii="Arial" w:hAnsi="Arial" w:cs="Arial"/>
        </w:rPr>
        <w:t xml:space="preserve">del sector público </w:t>
      </w:r>
      <w:r w:rsidR="005228F8" w:rsidRPr="000A2C3A">
        <w:rPr>
          <w:rFonts w:ascii="Arial" w:hAnsi="Arial" w:cs="Arial"/>
        </w:rPr>
        <w:t>y disciplinarias que exceden la</w:t>
      </w:r>
      <w:r w:rsidRPr="000A2C3A">
        <w:rPr>
          <w:rFonts w:ascii="Arial" w:hAnsi="Arial" w:cs="Arial"/>
          <w:bCs/>
          <w:color w:val="000000" w:themeColor="text1"/>
          <w:lang w:eastAsia="es-MX"/>
        </w:rPr>
        <w:t xml:space="preserve"> competencia </w:t>
      </w:r>
      <w:r w:rsidR="005228F8" w:rsidRPr="000A2C3A">
        <w:rPr>
          <w:rFonts w:ascii="Arial" w:hAnsi="Arial" w:cs="Arial"/>
          <w:bCs/>
          <w:color w:val="000000" w:themeColor="text1"/>
          <w:lang w:eastAsia="es-MX"/>
        </w:rPr>
        <w:t>de esta Agencia, además que se encuentra proscrito mediate estos conceptos</w:t>
      </w:r>
      <w:r w:rsidR="00A24673" w:rsidRPr="000A2C3A">
        <w:rPr>
          <w:rFonts w:ascii="Arial" w:hAnsi="Arial" w:cs="Arial"/>
          <w:bCs/>
          <w:color w:val="000000" w:themeColor="text1"/>
          <w:lang w:eastAsia="es-MX"/>
        </w:rPr>
        <w:t xml:space="preserve"> jurídicos, el</w:t>
      </w:r>
      <w:r w:rsidRPr="000A2C3A">
        <w:rPr>
          <w:rFonts w:ascii="Arial" w:hAnsi="Arial" w:cs="Arial"/>
          <w:bCs/>
          <w:color w:val="000000" w:themeColor="text1"/>
          <w:lang w:eastAsia="es-MX"/>
        </w:rPr>
        <w:t xml:space="preserve"> extende</w:t>
      </w:r>
      <w:r w:rsidR="00A24673" w:rsidRPr="000A2C3A">
        <w:rPr>
          <w:rFonts w:ascii="Arial" w:hAnsi="Arial" w:cs="Arial"/>
          <w:bCs/>
          <w:color w:val="000000" w:themeColor="text1"/>
          <w:lang w:eastAsia="es-MX"/>
        </w:rPr>
        <w:t xml:space="preserve">r la consulta </w:t>
      </w:r>
      <w:r w:rsidRPr="000A2C3A">
        <w:rPr>
          <w:rFonts w:ascii="Arial" w:hAnsi="Arial" w:cs="Arial"/>
          <w:bCs/>
          <w:color w:val="000000" w:themeColor="text1"/>
          <w:lang w:eastAsia="es-MX"/>
        </w:rPr>
        <w:t>a la resolución de controversias</w:t>
      </w:r>
      <w:r w:rsidR="00A24673" w:rsidRPr="000A2C3A">
        <w:rPr>
          <w:rFonts w:ascii="Arial" w:hAnsi="Arial" w:cs="Arial"/>
          <w:bCs/>
          <w:color w:val="000000" w:themeColor="text1"/>
          <w:lang w:eastAsia="es-MX"/>
        </w:rPr>
        <w:t xml:space="preserve"> o</w:t>
      </w:r>
      <w:r w:rsidRPr="000A2C3A">
        <w:rPr>
          <w:rFonts w:ascii="Arial" w:hAnsi="Arial" w:cs="Arial"/>
          <w:bCs/>
          <w:color w:val="000000" w:themeColor="text1"/>
          <w:lang w:eastAsia="es-MX"/>
        </w:rPr>
        <w:t xml:space="preserve"> brindar asesorías sobre casos puntuales ni interpretar normas ajenas al sistema de compras públicas. Por lo anterior, previo concepto de sus órganos asesores, la solución de estos temas corresponde a la entidad de adoptar la decisión correspondiente</w:t>
      </w:r>
      <w:r w:rsidR="00306C5A" w:rsidRPr="000A2C3A">
        <w:rPr>
          <w:rFonts w:ascii="Arial" w:hAnsi="Arial" w:cs="Arial"/>
          <w:bCs/>
          <w:color w:val="000000" w:themeColor="text1"/>
          <w:lang w:eastAsia="es-MX"/>
        </w:rPr>
        <w:t xml:space="preserve">, </w:t>
      </w:r>
      <w:r w:rsidR="00306C5A" w:rsidRPr="000A2C3A">
        <w:rPr>
          <w:rFonts w:ascii="Arial" w:hAnsi="Arial" w:cs="Arial"/>
          <w:bCs/>
          <w:color w:val="000000" w:themeColor="text1"/>
          <w:lang w:eastAsia="es-MX"/>
        </w:rPr>
        <w:lastRenderedPageBreak/>
        <w:t xml:space="preserve">sin embargo, </w:t>
      </w:r>
      <w:r w:rsidR="00A0177E" w:rsidRPr="000A2C3A">
        <w:rPr>
          <w:rFonts w:ascii="Arial" w:hAnsi="Arial" w:cs="Arial"/>
          <w:bCs/>
          <w:color w:val="000000" w:themeColor="text1"/>
          <w:lang w:eastAsia="es-MX"/>
        </w:rPr>
        <w:t xml:space="preserve">resulta pertinente indicar que el representante legal, de quién se presume </w:t>
      </w:r>
      <w:r w:rsidR="00B035AB" w:rsidRPr="000A2C3A">
        <w:rPr>
          <w:rFonts w:ascii="Arial" w:hAnsi="Arial" w:cs="Arial"/>
          <w:bCs/>
          <w:color w:val="000000" w:themeColor="text1"/>
          <w:lang w:eastAsia="es-MX"/>
        </w:rPr>
        <w:t xml:space="preserve">de </w:t>
      </w:r>
      <w:r w:rsidR="00B035AB" w:rsidRPr="000A2C3A">
        <w:rPr>
          <w:rFonts w:ascii="Arial" w:hAnsi="Arial" w:cs="Arial"/>
          <w:bCs/>
          <w:i/>
          <w:iCs/>
          <w:color w:val="000000" w:themeColor="text1"/>
          <w:lang w:eastAsia="es-MX"/>
        </w:rPr>
        <w:t>prima facie</w:t>
      </w:r>
      <w:r w:rsidR="00A0177E" w:rsidRPr="000A2C3A">
        <w:rPr>
          <w:rFonts w:ascii="Arial" w:hAnsi="Arial" w:cs="Arial"/>
          <w:bCs/>
          <w:color w:val="000000" w:themeColor="text1"/>
          <w:lang w:eastAsia="es-MX"/>
        </w:rPr>
        <w:t xml:space="preserve"> la supervisión de los contratos suscritos por la entidad</w:t>
      </w:r>
      <w:r w:rsidR="00B035AB" w:rsidRPr="000A2C3A">
        <w:rPr>
          <w:rFonts w:ascii="Arial" w:hAnsi="Arial" w:cs="Arial"/>
          <w:bCs/>
          <w:color w:val="000000" w:themeColor="text1"/>
          <w:lang w:eastAsia="es-MX"/>
        </w:rPr>
        <w:t xml:space="preserve"> a la que representa</w:t>
      </w:r>
      <w:r w:rsidR="00A0177E" w:rsidRPr="000A2C3A">
        <w:rPr>
          <w:rFonts w:ascii="Arial" w:hAnsi="Arial" w:cs="Arial"/>
          <w:bCs/>
          <w:color w:val="000000" w:themeColor="text1"/>
          <w:lang w:eastAsia="es-MX"/>
        </w:rPr>
        <w:t xml:space="preserve">, </w:t>
      </w:r>
      <w:r w:rsidR="00B035AB" w:rsidRPr="000A2C3A">
        <w:rPr>
          <w:rFonts w:ascii="Arial" w:hAnsi="Arial" w:cs="Arial"/>
          <w:color w:val="000000" w:themeColor="text1"/>
        </w:rPr>
        <w:t xml:space="preserve">podrá apoyarse en su </w:t>
      </w:r>
      <w:r w:rsidR="00864C09" w:rsidRPr="000A2C3A">
        <w:rPr>
          <w:rFonts w:ascii="Arial" w:hAnsi="Arial" w:cs="Arial"/>
          <w:color w:val="000000" w:themeColor="text1"/>
        </w:rPr>
        <w:t xml:space="preserve"> labor </w:t>
      </w:r>
      <w:r w:rsidR="00B035AB" w:rsidRPr="000A2C3A">
        <w:rPr>
          <w:rFonts w:ascii="Arial" w:hAnsi="Arial" w:cs="Arial"/>
          <w:color w:val="000000" w:themeColor="text1"/>
        </w:rPr>
        <w:t>de supervisión</w:t>
      </w:r>
      <w:r w:rsidR="00864C09" w:rsidRPr="000A2C3A">
        <w:rPr>
          <w:rFonts w:ascii="Arial" w:hAnsi="Arial" w:cs="Arial"/>
          <w:color w:val="000000" w:themeColor="text1"/>
        </w:rPr>
        <w:t xml:space="preserve"> a través de contratos de prestación de servicios</w:t>
      </w:r>
      <w:r w:rsidR="004E140B" w:rsidRPr="000A2C3A">
        <w:rPr>
          <w:rFonts w:ascii="Arial" w:hAnsi="Arial" w:cs="Arial"/>
          <w:color w:val="000000" w:themeColor="text1"/>
        </w:rPr>
        <w:t xml:space="preserve"> profesionales o de apoyo a la gestión</w:t>
      </w:r>
      <w:r w:rsidR="00864C09" w:rsidRPr="000A2C3A">
        <w:rPr>
          <w:rFonts w:ascii="Arial" w:hAnsi="Arial" w:cs="Arial"/>
          <w:color w:val="000000" w:themeColor="text1"/>
        </w:rPr>
        <w:t xml:space="preserve">, </w:t>
      </w:r>
      <w:r w:rsidR="004E140B" w:rsidRPr="000A2C3A">
        <w:rPr>
          <w:rFonts w:ascii="Arial" w:hAnsi="Arial" w:cs="Arial"/>
          <w:color w:val="000000" w:themeColor="text1"/>
        </w:rPr>
        <w:t xml:space="preserve">siempre y cuando se celebre el contrato cuyo objeto </w:t>
      </w:r>
      <w:r w:rsidR="00EC4B57" w:rsidRPr="000A2C3A">
        <w:rPr>
          <w:rFonts w:ascii="Arial" w:hAnsi="Arial" w:cs="Arial"/>
          <w:color w:val="000000" w:themeColor="text1"/>
        </w:rPr>
        <w:t xml:space="preserve">y </w:t>
      </w:r>
      <w:r w:rsidR="004E140B" w:rsidRPr="000A2C3A">
        <w:rPr>
          <w:rFonts w:ascii="Arial" w:hAnsi="Arial" w:cs="Arial"/>
          <w:color w:val="000000" w:themeColor="text1"/>
        </w:rPr>
        <w:t xml:space="preserve">obligaciones </w:t>
      </w:r>
      <w:r w:rsidR="00EC4B57" w:rsidRPr="000A2C3A">
        <w:rPr>
          <w:rFonts w:ascii="Arial" w:hAnsi="Arial" w:cs="Arial"/>
          <w:color w:val="000000" w:themeColor="text1"/>
        </w:rPr>
        <w:t xml:space="preserve">estén </w:t>
      </w:r>
      <w:r w:rsidR="004E140B" w:rsidRPr="000A2C3A">
        <w:rPr>
          <w:rFonts w:ascii="Arial" w:hAnsi="Arial" w:cs="Arial"/>
          <w:color w:val="000000" w:themeColor="text1"/>
        </w:rPr>
        <w:t>dirigidas a apoyar la supervisión de contratos. En tal sentido, los contratistas no podrían realizar directamente y de forma aislada la supervisión de los contratos estatales.</w:t>
      </w:r>
    </w:p>
    <w:p w14:paraId="36CB64F3" w14:textId="77777777" w:rsidR="00FF05F3" w:rsidRPr="00851F96" w:rsidRDefault="00FF05F3" w:rsidP="00FF05F3">
      <w:pPr>
        <w:shd w:val="clear" w:color="auto" w:fill="FFFFFF" w:themeFill="background1"/>
        <w:spacing w:after="0" w:line="276" w:lineRule="auto"/>
        <w:ind w:firstLine="708"/>
        <w:jc w:val="both"/>
        <w:textAlignment w:val="baseline"/>
        <w:rPr>
          <w:rFonts w:ascii="Arial" w:hAnsi="Arial" w:cs="Arial"/>
          <w:color w:val="000000" w:themeColor="text1"/>
          <w:lang w:eastAsia="es-MX"/>
        </w:rPr>
      </w:pPr>
      <w:r w:rsidRPr="00851F96">
        <w:rPr>
          <w:rFonts w:ascii="Arial" w:hAnsi="Arial"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70B50F9" w14:textId="77777777" w:rsidR="00952BD5" w:rsidRPr="00851F96" w:rsidRDefault="00952BD5" w:rsidP="00285D73">
      <w:pPr>
        <w:spacing w:after="0" w:line="276" w:lineRule="auto"/>
        <w:contextualSpacing/>
        <w:jc w:val="both"/>
        <w:textAlignment w:val="baseline"/>
        <w:rPr>
          <w:rFonts w:ascii="Arial" w:hAnsi="Arial" w:cs="Arial"/>
          <w:lang w:val="es-ES"/>
        </w:rPr>
      </w:pPr>
    </w:p>
    <w:p w14:paraId="282E150F" w14:textId="77777777" w:rsidR="00952BD5" w:rsidRPr="00851F96" w:rsidRDefault="00952BD5" w:rsidP="00285D73">
      <w:pPr>
        <w:spacing w:after="0" w:line="276" w:lineRule="auto"/>
        <w:contextualSpacing/>
        <w:jc w:val="both"/>
        <w:textAlignment w:val="baseline"/>
        <w:rPr>
          <w:rFonts w:ascii="Arial" w:eastAsia="Times New Roman" w:hAnsi="Arial" w:cs="Arial"/>
          <w:lang w:eastAsia="es-CO"/>
        </w:rPr>
      </w:pPr>
      <w:r w:rsidRPr="00851F96">
        <w:rPr>
          <w:rFonts w:ascii="Arial" w:hAnsi="Arial" w:cs="Arial"/>
          <w:lang w:val="es-ES"/>
        </w:rPr>
        <w:t>Atentamente</w:t>
      </w:r>
      <w:r w:rsidRPr="00851F96">
        <w:rPr>
          <w:rFonts w:ascii="Arial" w:eastAsia="Times New Roman" w:hAnsi="Arial" w:cs="Arial"/>
          <w:lang w:val="es-MX" w:eastAsia="es-CO"/>
        </w:rPr>
        <w:t>,</w:t>
      </w:r>
      <w:r w:rsidRPr="00851F96">
        <w:rPr>
          <w:rFonts w:ascii="Arial" w:eastAsia="Times New Roman" w:hAnsi="Arial" w:cs="Arial"/>
          <w:lang w:eastAsia="es-CO"/>
        </w:rPr>
        <w:t> </w:t>
      </w:r>
    </w:p>
    <w:p w14:paraId="0AEAA78F" w14:textId="377D6FA6" w:rsidR="00952BD5" w:rsidRPr="00851F96" w:rsidRDefault="00286416" w:rsidP="00DC0BE9">
      <w:pPr>
        <w:spacing w:after="0" w:line="276" w:lineRule="auto"/>
        <w:jc w:val="center"/>
        <w:textAlignment w:val="baseline"/>
        <w:rPr>
          <w:rFonts w:ascii="Arial" w:eastAsia="Times New Roman" w:hAnsi="Arial" w:cs="Arial"/>
          <w:sz w:val="18"/>
          <w:szCs w:val="18"/>
          <w:lang w:eastAsia="es-CO"/>
        </w:rPr>
      </w:pPr>
      <w:r>
        <w:rPr>
          <w:noProof/>
        </w:rPr>
        <w:drawing>
          <wp:inline distT="0" distB="0" distL="0" distR="0" wp14:anchorId="62310952" wp14:editId="0E3F7CB6">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672ADAE2" w14:textId="77777777" w:rsidR="00952BD5" w:rsidRPr="00851F96" w:rsidRDefault="00952BD5" w:rsidP="00285D73">
      <w:pPr>
        <w:spacing w:after="0" w:line="276" w:lineRule="auto"/>
        <w:jc w:val="both"/>
        <w:textAlignment w:val="baseline"/>
        <w:rPr>
          <w:rFonts w:ascii="Arial" w:eastAsia="Times New Roman" w:hAnsi="Arial" w:cs="Arial"/>
          <w:sz w:val="16"/>
          <w:szCs w:val="16"/>
          <w:lang w:eastAsia="es-CO"/>
        </w:rPr>
      </w:pPr>
      <w:r w:rsidRPr="00851F96">
        <w:rPr>
          <w:rFonts w:ascii="Arial" w:eastAsia="Times New Roman" w:hAnsi="Arial" w:cs="Arial"/>
          <w:sz w:val="16"/>
          <w:szCs w:val="16"/>
          <w:lang w:eastAsia="es-CO"/>
        </w:rPr>
        <w:t> </w:t>
      </w:r>
    </w:p>
    <w:tbl>
      <w:tblPr>
        <w:tblW w:w="50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4430"/>
      </w:tblGrid>
      <w:tr w:rsidR="00952BD5" w:rsidRPr="00851F96" w14:paraId="0DED2CA6" w14:textId="77777777" w:rsidTr="00FF05F3">
        <w:trPr>
          <w:trHeight w:val="403"/>
        </w:trPr>
        <w:tc>
          <w:tcPr>
            <w:tcW w:w="517" w:type="dxa"/>
            <w:tcBorders>
              <w:top w:val="nil"/>
              <w:left w:val="nil"/>
              <w:bottom w:val="nil"/>
              <w:right w:val="nil"/>
            </w:tcBorders>
            <w:vAlign w:val="center"/>
            <w:hideMark/>
          </w:tcPr>
          <w:p w14:paraId="721C0A4F" w14:textId="77777777" w:rsidR="00952BD5" w:rsidRPr="00851F96" w:rsidRDefault="00952BD5" w:rsidP="00285D73">
            <w:pPr>
              <w:spacing w:after="0" w:line="276" w:lineRule="auto"/>
              <w:jc w:val="both"/>
              <w:textAlignment w:val="baseline"/>
              <w:rPr>
                <w:rFonts w:ascii="Arial" w:eastAsia="Times New Roman" w:hAnsi="Arial" w:cs="Arial"/>
                <w:sz w:val="16"/>
                <w:szCs w:val="16"/>
                <w:lang w:eastAsia="es-CO"/>
              </w:rPr>
            </w:pPr>
            <w:r w:rsidRPr="00851F96">
              <w:rPr>
                <w:rFonts w:ascii="Arial" w:eastAsia="Times New Roman" w:hAnsi="Arial" w:cs="Arial"/>
                <w:sz w:val="16"/>
                <w:szCs w:val="16"/>
                <w:lang w:val="es-MX" w:eastAsia="es-CO"/>
              </w:rPr>
              <w:t>Elaboró:</w:t>
            </w:r>
            <w:r w:rsidRPr="00851F96">
              <w:rPr>
                <w:rFonts w:ascii="Arial" w:eastAsia="Times New Roman" w:hAnsi="Arial" w:cs="Arial"/>
                <w:sz w:val="16"/>
                <w:szCs w:val="16"/>
                <w:lang w:eastAsia="es-CO"/>
              </w:rPr>
              <w:t> </w:t>
            </w:r>
          </w:p>
        </w:tc>
        <w:tc>
          <w:tcPr>
            <w:tcW w:w="4554" w:type="dxa"/>
            <w:tcBorders>
              <w:top w:val="nil"/>
              <w:left w:val="nil"/>
              <w:bottom w:val="dotted" w:sz="6" w:space="0" w:color="7F7F7F"/>
              <w:right w:val="nil"/>
            </w:tcBorders>
            <w:vAlign w:val="center"/>
            <w:hideMark/>
          </w:tcPr>
          <w:p w14:paraId="5C924A4E" w14:textId="190B871B" w:rsidR="00FF05F3" w:rsidRPr="00851F96" w:rsidRDefault="00FF05F3" w:rsidP="00285D73">
            <w:pPr>
              <w:spacing w:after="0" w:line="240" w:lineRule="auto"/>
              <w:jc w:val="both"/>
              <w:textAlignment w:val="baseline"/>
              <w:rPr>
                <w:rFonts w:ascii="Arial" w:eastAsia="Times New Roman" w:hAnsi="Arial" w:cs="Arial"/>
                <w:sz w:val="16"/>
                <w:szCs w:val="16"/>
                <w:lang w:val="es-MX" w:eastAsia="es-CO"/>
              </w:rPr>
            </w:pPr>
            <w:proofErr w:type="spellStart"/>
            <w:r w:rsidRPr="00851F96">
              <w:rPr>
                <w:rFonts w:ascii="Arial" w:eastAsia="Times New Roman" w:hAnsi="Arial" w:cs="Arial"/>
                <w:sz w:val="16"/>
                <w:szCs w:val="16"/>
                <w:lang w:val="es-MX" w:eastAsia="es-CO"/>
              </w:rPr>
              <w:t>Any</w:t>
            </w:r>
            <w:proofErr w:type="spellEnd"/>
            <w:r w:rsidRPr="00851F96">
              <w:rPr>
                <w:rFonts w:ascii="Arial" w:eastAsia="Times New Roman" w:hAnsi="Arial" w:cs="Arial"/>
                <w:sz w:val="16"/>
                <w:szCs w:val="16"/>
                <w:lang w:val="es-MX" w:eastAsia="es-CO"/>
              </w:rPr>
              <w:t xml:space="preserve"> Alejandra Tovar Castillo</w:t>
            </w:r>
          </w:p>
          <w:p w14:paraId="6017D903" w14:textId="6EF588E9" w:rsidR="00952BD5" w:rsidRPr="00851F96" w:rsidRDefault="00952BD5" w:rsidP="00285D73">
            <w:pPr>
              <w:spacing w:after="0" w:line="240" w:lineRule="auto"/>
              <w:jc w:val="both"/>
              <w:textAlignment w:val="baseline"/>
              <w:rPr>
                <w:rFonts w:ascii="Arial" w:eastAsia="Times New Roman" w:hAnsi="Arial" w:cs="Arial"/>
                <w:sz w:val="16"/>
                <w:szCs w:val="16"/>
                <w:lang w:eastAsia="es-CO"/>
              </w:rPr>
            </w:pPr>
            <w:r w:rsidRPr="00851F96">
              <w:rPr>
                <w:rFonts w:ascii="Arial" w:eastAsia="Times New Roman" w:hAnsi="Arial" w:cs="Arial"/>
                <w:sz w:val="16"/>
                <w:szCs w:val="16"/>
                <w:lang w:val="es-MX" w:eastAsia="es-CO"/>
              </w:rPr>
              <w:t xml:space="preserve">Contratista </w:t>
            </w:r>
            <w:r w:rsidRPr="00851F96">
              <w:rPr>
                <w:rFonts w:ascii="Arial" w:eastAsia="Times New Roman" w:hAnsi="Arial" w:cs="Arial"/>
                <w:sz w:val="16"/>
                <w:szCs w:val="16"/>
                <w:lang w:eastAsia="es-CO"/>
              </w:rPr>
              <w:t>Subdirección de Gestión Contractual</w:t>
            </w:r>
          </w:p>
        </w:tc>
      </w:tr>
      <w:tr w:rsidR="00952BD5" w:rsidRPr="00851F96" w14:paraId="202C11C5" w14:textId="77777777" w:rsidTr="00FF05F3">
        <w:trPr>
          <w:trHeight w:val="403"/>
        </w:trPr>
        <w:tc>
          <w:tcPr>
            <w:tcW w:w="517" w:type="dxa"/>
            <w:tcBorders>
              <w:top w:val="nil"/>
              <w:left w:val="nil"/>
              <w:bottom w:val="nil"/>
              <w:right w:val="nil"/>
            </w:tcBorders>
            <w:vAlign w:val="center"/>
            <w:hideMark/>
          </w:tcPr>
          <w:p w14:paraId="5ED686A3" w14:textId="77777777" w:rsidR="00952BD5" w:rsidRPr="00851F96" w:rsidRDefault="00952BD5" w:rsidP="00285D73">
            <w:pPr>
              <w:spacing w:after="0" w:line="276" w:lineRule="auto"/>
              <w:jc w:val="both"/>
              <w:textAlignment w:val="baseline"/>
              <w:rPr>
                <w:rFonts w:ascii="Arial" w:eastAsia="Times New Roman" w:hAnsi="Arial" w:cs="Arial"/>
                <w:sz w:val="16"/>
                <w:szCs w:val="16"/>
                <w:lang w:eastAsia="es-CO"/>
              </w:rPr>
            </w:pPr>
            <w:r w:rsidRPr="00851F96">
              <w:rPr>
                <w:rFonts w:ascii="Arial" w:eastAsia="Times New Roman" w:hAnsi="Arial" w:cs="Arial"/>
                <w:sz w:val="16"/>
                <w:szCs w:val="16"/>
                <w:lang w:val="es-MX" w:eastAsia="es-CO"/>
              </w:rPr>
              <w:t>Revisó:</w:t>
            </w:r>
            <w:r w:rsidRPr="00851F96">
              <w:rPr>
                <w:rFonts w:ascii="Arial" w:eastAsia="Times New Roman" w:hAnsi="Arial" w:cs="Arial"/>
                <w:sz w:val="16"/>
                <w:szCs w:val="16"/>
                <w:lang w:eastAsia="es-CO"/>
              </w:rPr>
              <w:t> </w:t>
            </w:r>
          </w:p>
        </w:tc>
        <w:tc>
          <w:tcPr>
            <w:tcW w:w="4554" w:type="dxa"/>
            <w:tcBorders>
              <w:top w:val="dotted" w:sz="6" w:space="0" w:color="7F7F7F"/>
              <w:left w:val="nil"/>
              <w:bottom w:val="dotted" w:sz="6" w:space="0" w:color="7F7F7F"/>
              <w:right w:val="nil"/>
            </w:tcBorders>
            <w:vAlign w:val="center"/>
            <w:hideMark/>
          </w:tcPr>
          <w:p w14:paraId="66F80D1B" w14:textId="5FE3342A" w:rsidR="00952BD5" w:rsidRPr="00851F96" w:rsidRDefault="00FF05F3" w:rsidP="00285D73">
            <w:pPr>
              <w:spacing w:after="0" w:line="276" w:lineRule="auto"/>
              <w:jc w:val="both"/>
              <w:textAlignment w:val="baseline"/>
              <w:rPr>
                <w:rFonts w:ascii="Arial" w:eastAsia="Times New Roman" w:hAnsi="Arial" w:cs="Arial"/>
                <w:sz w:val="16"/>
                <w:szCs w:val="16"/>
                <w:lang w:val="es-MX" w:eastAsia="es-CO"/>
              </w:rPr>
            </w:pPr>
            <w:r w:rsidRPr="00851F96">
              <w:rPr>
                <w:rFonts w:ascii="Arial" w:eastAsia="Times New Roman" w:hAnsi="Arial" w:cs="Arial"/>
                <w:sz w:val="16"/>
                <w:szCs w:val="16"/>
                <w:lang w:val="es-MX" w:eastAsia="es-CO"/>
              </w:rPr>
              <w:t>Juan David Cárdenas Cabeza</w:t>
            </w:r>
          </w:p>
          <w:p w14:paraId="551BA23E" w14:textId="77777777" w:rsidR="00952BD5" w:rsidRPr="00851F96" w:rsidRDefault="00952BD5" w:rsidP="00285D73">
            <w:pPr>
              <w:spacing w:after="0" w:line="240" w:lineRule="auto"/>
              <w:jc w:val="both"/>
              <w:textAlignment w:val="baseline"/>
              <w:rPr>
                <w:rFonts w:ascii="Arial" w:eastAsia="Times New Roman" w:hAnsi="Arial" w:cs="Arial"/>
                <w:sz w:val="16"/>
                <w:szCs w:val="16"/>
                <w:lang w:eastAsia="es-CO"/>
              </w:rPr>
            </w:pPr>
            <w:r w:rsidRPr="00851F96">
              <w:rPr>
                <w:rFonts w:ascii="Arial" w:eastAsia="Times New Roman" w:hAnsi="Arial" w:cs="Arial"/>
                <w:sz w:val="16"/>
                <w:szCs w:val="16"/>
                <w:lang w:val="es-MX" w:eastAsia="es-CO"/>
              </w:rPr>
              <w:t>Contratista Subdirección de Gestión Contractual</w:t>
            </w:r>
          </w:p>
        </w:tc>
      </w:tr>
      <w:tr w:rsidR="00952BD5" w:rsidRPr="00851F96" w14:paraId="7E704831" w14:textId="77777777" w:rsidTr="00FF05F3">
        <w:trPr>
          <w:trHeight w:val="384"/>
        </w:trPr>
        <w:tc>
          <w:tcPr>
            <w:tcW w:w="517" w:type="dxa"/>
            <w:tcBorders>
              <w:top w:val="nil"/>
              <w:left w:val="nil"/>
              <w:bottom w:val="nil"/>
              <w:right w:val="nil"/>
            </w:tcBorders>
            <w:vAlign w:val="center"/>
            <w:hideMark/>
          </w:tcPr>
          <w:p w14:paraId="55B285F6" w14:textId="77777777" w:rsidR="00952BD5" w:rsidRPr="00851F96" w:rsidRDefault="00952BD5" w:rsidP="00285D73">
            <w:pPr>
              <w:spacing w:after="0" w:line="276" w:lineRule="auto"/>
              <w:jc w:val="both"/>
              <w:textAlignment w:val="baseline"/>
              <w:rPr>
                <w:rFonts w:ascii="Arial" w:eastAsia="Times New Roman" w:hAnsi="Arial" w:cs="Arial"/>
                <w:sz w:val="16"/>
                <w:szCs w:val="16"/>
                <w:lang w:eastAsia="es-CO"/>
              </w:rPr>
            </w:pPr>
            <w:r w:rsidRPr="00851F96">
              <w:rPr>
                <w:rFonts w:ascii="Arial" w:eastAsia="Times New Roman" w:hAnsi="Arial" w:cs="Arial"/>
                <w:sz w:val="16"/>
                <w:szCs w:val="16"/>
                <w:lang w:val="es-MX" w:eastAsia="es-CO"/>
              </w:rPr>
              <w:t>Aprobó:</w:t>
            </w:r>
            <w:r w:rsidRPr="00851F96">
              <w:rPr>
                <w:rFonts w:ascii="Arial" w:eastAsia="Times New Roman" w:hAnsi="Arial" w:cs="Arial"/>
                <w:sz w:val="16"/>
                <w:szCs w:val="16"/>
                <w:lang w:eastAsia="es-CO"/>
              </w:rPr>
              <w:t> </w:t>
            </w:r>
          </w:p>
        </w:tc>
        <w:tc>
          <w:tcPr>
            <w:tcW w:w="4554" w:type="dxa"/>
            <w:tcBorders>
              <w:top w:val="dotted" w:sz="6" w:space="0" w:color="7F7F7F"/>
              <w:left w:val="nil"/>
              <w:bottom w:val="dotted" w:sz="6" w:space="0" w:color="7F7F7F"/>
              <w:right w:val="nil"/>
            </w:tcBorders>
            <w:vAlign w:val="center"/>
            <w:hideMark/>
          </w:tcPr>
          <w:p w14:paraId="3CCA0E93" w14:textId="77777777" w:rsidR="00952BD5" w:rsidRPr="00851F96" w:rsidRDefault="00952BD5" w:rsidP="00285D73">
            <w:pPr>
              <w:spacing w:after="0" w:line="240" w:lineRule="auto"/>
              <w:jc w:val="both"/>
              <w:textAlignment w:val="baseline"/>
              <w:rPr>
                <w:rFonts w:ascii="Arial" w:eastAsia="Times New Roman" w:hAnsi="Arial" w:cs="Arial"/>
                <w:sz w:val="16"/>
                <w:szCs w:val="16"/>
                <w:lang w:val="es-ES_tradnl" w:eastAsia="es-CO"/>
              </w:rPr>
            </w:pPr>
            <w:r w:rsidRPr="00851F96">
              <w:rPr>
                <w:rFonts w:ascii="Arial" w:eastAsia="Times New Roman" w:hAnsi="Arial" w:cs="Arial"/>
                <w:sz w:val="16"/>
                <w:szCs w:val="16"/>
                <w:lang w:val="es-ES_tradnl" w:eastAsia="es-CO"/>
              </w:rPr>
              <w:t>Nohelia del Carmen Zawady Palacio</w:t>
            </w:r>
          </w:p>
          <w:p w14:paraId="2E9DFFEF" w14:textId="77777777" w:rsidR="00952BD5" w:rsidRPr="00851F96" w:rsidRDefault="00952BD5" w:rsidP="00285D73">
            <w:pPr>
              <w:spacing w:after="0" w:line="240" w:lineRule="auto"/>
              <w:jc w:val="both"/>
              <w:textAlignment w:val="baseline"/>
              <w:rPr>
                <w:rFonts w:ascii="Arial" w:eastAsia="Times New Roman" w:hAnsi="Arial" w:cs="Arial"/>
                <w:sz w:val="16"/>
                <w:szCs w:val="16"/>
                <w:lang w:eastAsia="es-CO"/>
              </w:rPr>
            </w:pPr>
            <w:r w:rsidRPr="00851F96">
              <w:rPr>
                <w:rFonts w:ascii="Arial" w:eastAsia="Times New Roman" w:hAnsi="Arial" w:cs="Arial"/>
                <w:sz w:val="16"/>
                <w:szCs w:val="16"/>
                <w:lang w:val="es-ES_tradnl" w:eastAsia="es-CO"/>
              </w:rPr>
              <w:t>Subdirectora de Gestión Contractual ANCP-CCE</w:t>
            </w:r>
          </w:p>
        </w:tc>
      </w:tr>
      <w:bookmarkEnd w:id="0"/>
    </w:tbl>
    <w:p w14:paraId="348E6DDF" w14:textId="77777777" w:rsidR="00952BD5" w:rsidRPr="00851F96" w:rsidRDefault="00952BD5" w:rsidP="00285D73">
      <w:pPr>
        <w:jc w:val="both"/>
        <w:rPr>
          <w:rFonts w:ascii="Arial" w:eastAsia="Geomanist Light" w:hAnsi="Arial" w:cs="Arial"/>
          <w:color w:val="201F1E"/>
          <w:lang w:val="es-MX"/>
        </w:rPr>
      </w:pPr>
    </w:p>
    <w:p w14:paraId="0F293BF4" w14:textId="429A18CA" w:rsidR="00127233" w:rsidRPr="00851F96" w:rsidRDefault="00127233" w:rsidP="00285D73">
      <w:pPr>
        <w:jc w:val="both"/>
        <w:rPr>
          <w:rFonts w:ascii="Arial" w:hAnsi="Arial" w:cs="Arial"/>
        </w:rPr>
      </w:pPr>
    </w:p>
    <w:sectPr w:rsidR="00127233" w:rsidRPr="00851F96"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6A5E" w14:textId="77777777" w:rsidR="00F35DA5" w:rsidRDefault="00F35DA5" w:rsidP="004A1847">
      <w:pPr>
        <w:spacing w:after="0" w:line="240" w:lineRule="auto"/>
      </w:pPr>
      <w:r>
        <w:separator/>
      </w:r>
    </w:p>
  </w:endnote>
  <w:endnote w:type="continuationSeparator" w:id="0">
    <w:p w14:paraId="0127B6F1" w14:textId="77777777" w:rsidR="00F35DA5" w:rsidRDefault="00F35DA5" w:rsidP="004A1847">
      <w:pPr>
        <w:spacing w:after="0" w:line="240" w:lineRule="auto"/>
      </w:pPr>
      <w:r>
        <w:continuationSeparator/>
      </w:r>
    </w:p>
  </w:endnote>
  <w:endnote w:type="continuationNotice" w:id="1">
    <w:p w14:paraId="3DDA5709" w14:textId="77777777" w:rsidR="00F35DA5" w:rsidRDefault="00F35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8E3E" w14:textId="77777777" w:rsidR="00F35DA5" w:rsidRDefault="00F35DA5" w:rsidP="004A1847">
      <w:pPr>
        <w:spacing w:after="0" w:line="240" w:lineRule="auto"/>
      </w:pPr>
      <w:r>
        <w:separator/>
      </w:r>
    </w:p>
  </w:footnote>
  <w:footnote w:type="continuationSeparator" w:id="0">
    <w:p w14:paraId="7240FF98" w14:textId="77777777" w:rsidR="00F35DA5" w:rsidRDefault="00F35DA5" w:rsidP="004A1847">
      <w:pPr>
        <w:spacing w:after="0" w:line="240" w:lineRule="auto"/>
      </w:pPr>
      <w:r>
        <w:continuationSeparator/>
      </w:r>
    </w:p>
  </w:footnote>
  <w:footnote w:type="continuationNotice" w:id="1">
    <w:p w14:paraId="387028E0" w14:textId="77777777" w:rsidR="00F35DA5" w:rsidRDefault="00F35DA5">
      <w:pPr>
        <w:spacing w:after="0" w:line="240" w:lineRule="auto"/>
      </w:pPr>
    </w:p>
  </w:footnote>
  <w:footnote w:id="2">
    <w:p w14:paraId="6F6A6260" w14:textId="4A99DCA0" w:rsidR="009621F9" w:rsidRPr="00851F96" w:rsidRDefault="009621F9" w:rsidP="00031620">
      <w:pPr>
        <w:pStyle w:val="Textonotapie"/>
        <w:ind w:firstLine="708"/>
        <w:contextualSpacing/>
        <w:jc w:val="both"/>
        <w:rPr>
          <w:rFonts w:ascii="Arial" w:hAnsi="Arial" w:cs="Arial"/>
          <w:sz w:val="18"/>
          <w:szCs w:val="18"/>
          <w:lang w:val="es-ES"/>
        </w:rPr>
      </w:pPr>
      <w:r w:rsidRPr="00851F96">
        <w:rPr>
          <w:rStyle w:val="Refdenotaalpie"/>
          <w:rFonts w:ascii="Arial" w:hAnsi="Arial" w:cs="Arial"/>
          <w:sz w:val="18"/>
          <w:szCs w:val="18"/>
        </w:rPr>
        <w:footnoteRef/>
      </w:r>
      <w:r w:rsidRPr="00851F96">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51F96">
        <w:rPr>
          <w:rFonts w:ascii="Arial" w:hAnsi="Arial" w:cs="Arial"/>
          <w:i/>
          <w:iCs/>
          <w:sz w:val="18"/>
          <w:szCs w:val="18"/>
        </w:rPr>
        <w:t xml:space="preserve">ibidem </w:t>
      </w:r>
      <w:r w:rsidRPr="00851F96">
        <w:rPr>
          <w:rFonts w:ascii="Arial" w:hAnsi="Arial" w:cs="Arial"/>
          <w:sz w:val="18"/>
          <w:szCs w:val="18"/>
        </w:rPr>
        <w:t xml:space="preserve">señala, de manera precisa, las funciones de Colombia Compra Eficiente. Concretamente, el numeral 5º de este artículo establece que le corresponde a esta entidad: </w:t>
      </w:r>
      <w:r w:rsidR="00285D73" w:rsidRPr="00851F96">
        <w:rPr>
          <w:rFonts w:ascii="Arial" w:hAnsi="Arial" w:cs="Arial"/>
          <w:sz w:val="18"/>
          <w:szCs w:val="18"/>
        </w:rPr>
        <w:t>“</w:t>
      </w:r>
      <w:r w:rsidRPr="00851F96">
        <w:rPr>
          <w:rFonts w:ascii="Arial" w:hAnsi="Arial" w:cs="Arial"/>
          <w:sz w:val="18"/>
          <w:szCs w:val="18"/>
        </w:rPr>
        <w:t>[a]bsolver consultas sobre la aplicación de normas de carácter general y expedir circulares externas en materia de compras y contratación pública</w:t>
      </w:r>
      <w:r w:rsidR="00285D73" w:rsidRPr="00851F96">
        <w:rPr>
          <w:rFonts w:ascii="Arial" w:hAnsi="Arial" w:cs="Arial"/>
          <w:sz w:val="18"/>
          <w:szCs w:val="18"/>
        </w:rPr>
        <w:t>”</w:t>
      </w:r>
      <w:r w:rsidRPr="00851F96">
        <w:rPr>
          <w:rFonts w:ascii="Arial" w:hAnsi="Arial" w:cs="Arial"/>
          <w:sz w:val="18"/>
          <w:szCs w:val="18"/>
        </w:rPr>
        <w:t xml:space="preserve">. Seguidamente, el numeral 8º del artículo 11 ibidem señala que es función de la Subdirección de Gestión Contractual: </w:t>
      </w:r>
      <w:r w:rsidR="00285D73" w:rsidRPr="00851F96">
        <w:rPr>
          <w:rFonts w:ascii="Arial" w:hAnsi="Arial" w:cs="Arial"/>
          <w:sz w:val="18"/>
          <w:szCs w:val="18"/>
        </w:rPr>
        <w:t>“</w:t>
      </w:r>
      <w:r w:rsidRPr="00851F96">
        <w:rPr>
          <w:rFonts w:ascii="Arial" w:hAnsi="Arial" w:cs="Arial"/>
          <w:sz w:val="18"/>
          <w:szCs w:val="18"/>
        </w:rPr>
        <w:t>[a]bsolver consultas sobre la aplicación de normas de carácter general</w:t>
      </w:r>
      <w:r w:rsidR="00285D73" w:rsidRPr="00851F96">
        <w:rPr>
          <w:rFonts w:ascii="Arial" w:hAnsi="Arial" w:cs="Arial"/>
          <w:sz w:val="18"/>
          <w:szCs w:val="18"/>
        </w:rPr>
        <w:t>”</w:t>
      </w:r>
      <w:r w:rsidRPr="00851F96">
        <w:rPr>
          <w:rFonts w:ascii="Arial" w:hAnsi="Arial" w:cs="Arial"/>
          <w:sz w:val="18"/>
          <w:szCs w:val="18"/>
        </w:rPr>
        <w:t>.</w:t>
      </w:r>
    </w:p>
  </w:footnote>
  <w:footnote w:id="3">
    <w:p w14:paraId="11B39E56" w14:textId="600ABD57" w:rsidR="00F31060" w:rsidRPr="00851F96" w:rsidRDefault="00F31060" w:rsidP="00031620">
      <w:pPr>
        <w:pStyle w:val="Textonotapie"/>
        <w:spacing w:after="160"/>
        <w:ind w:firstLine="708"/>
        <w:jc w:val="both"/>
        <w:rPr>
          <w:rFonts w:ascii="Arial" w:hAnsi="Arial" w:cs="Arial"/>
          <w:sz w:val="18"/>
          <w:szCs w:val="18"/>
        </w:rPr>
      </w:pPr>
      <w:r w:rsidRPr="00851F96">
        <w:rPr>
          <w:rStyle w:val="Refdenotaalpie"/>
          <w:rFonts w:ascii="Arial" w:hAnsi="Arial" w:cs="Arial"/>
          <w:sz w:val="18"/>
          <w:szCs w:val="18"/>
        </w:rPr>
        <w:footnoteRef/>
      </w:r>
      <w:r w:rsidRPr="00851F96">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851F96">
          <w:rPr>
            <w:rStyle w:val="Hipervnculo"/>
            <w:rFonts w:ascii="Arial" w:hAnsi="Arial" w:cs="Arial"/>
            <w:sz w:val="18"/>
            <w:szCs w:val="18"/>
          </w:rPr>
          <w:t>https://relatoria.colombiacompra.gov.co/busqueda/conceptos</w:t>
        </w:r>
      </w:hyperlink>
    </w:p>
  </w:footnote>
  <w:footnote w:id="4">
    <w:p w14:paraId="126A4748" w14:textId="77777777" w:rsidR="005C78B9" w:rsidRPr="00851F96" w:rsidRDefault="005C78B9" w:rsidP="00031620">
      <w:pPr>
        <w:pStyle w:val="Textonotapie"/>
        <w:ind w:firstLine="709"/>
        <w:jc w:val="both"/>
        <w:rPr>
          <w:rFonts w:ascii="Arial" w:hAnsi="Arial" w:cs="Arial"/>
          <w:iCs/>
          <w:color w:val="1A1A1A" w:themeColor="background1" w:themeShade="1A"/>
          <w:sz w:val="18"/>
          <w:szCs w:val="18"/>
        </w:rPr>
      </w:pPr>
      <w:r w:rsidRPr="00851F96">
        <w:rPr>
          <w:rStyle w:val="Refdenotaalpie"/>
          <w:rFonts w:ascii="Arial" w:hAnsi="Arial" w:cs="Arial"/>
          <w:color w:val="1A1A1A" w:themeColor="background1" w:themeShade="1A"/>
          <w:sz w:val="18"/>
          <w:szCs w:val="18"/>
        </w:rPr>
        <w:footnoteRef/>
      </w:r>
      <w:r w:rsidRPr="00851F96">
        <w:rPr>
          <w:rFonts w:ascii="Arial" w:hAnsi="Arial" w:cs="Arial"/>
          <w:color w:val="1A1A1A" w:themeColor="background1" w:themeShade="1A"/>
          <w:sz w:val="18"/>
          <w:szCs w:val="18"/>
        </w:rPr>
        <w:t xml:space="preserve"> </w:t>
      </w:r>
      <w:r w:rsidRPr="00851F96">
        <w:rPr>
          <w:rFonts w:ascii="Arial" w:hAnsi="Arial" w:cs="Arial"/>
          <w:iCs/>
          <w:color w:val="1A1A1A" w:themeColor="background1" w:themeShade="1A"/>
          <w:sz w:val="18"/>
          <w:szCs w:val="18"/>
        </w:rPr>
        <w:t>Artículo 3 de la Ley 80 de 1993.</w:t>
      </w:r>
    </w:p>
  </w:footnote>
  <w:footnote w:id="5">
    <w:p w14:paraId="02ECC9F2" w14:textId="77777777" w:rsidR="00952BD5" w:rsidRPr="00851F96" w:rsidRDefault="00952BD5" w:rsidP="00912DC8">
      <w:pPr>
        <w:pStyle w:val="Textonotapie"/>
        <w:ind w:firstLine="708"/>
        <w:contextualSpacing/>
        <w:jc w:val="both"/>
        <w:rPr>
          <w:rFonts w:ascii="Arial" w:hAnsi="Arial" w:cs="Arial"/>
          <w:iCs/>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w:t>
      </w:r>
      <w:r w:rsidRPr="00851F96">
        <w:rPr>
          <w:rFonts w:ascii="Arial" w:hAnsi="Arial" w:cs="Arial"/>
          <w:iCs/>
          <w:color w:val="000000" w:themeColor="text1"/>
          <w:sz w:val="18"/>
          <w:szCs w:val="18"/>
        </w:rPr>
        <w:t>Artículo 17 de la Ley 1150 de 2007.</w:t>
      </w:r>
    </w:p>
    <w:p w14:paraId="510BF5DF" w14:textId="77777777" w:rsidR="00952BD5" w:rsidRPr="00851F96" w:rsidRDefault="00952BD5" w:rsidP="00031620">
      <w:pPr>
        <w:pStyle w:val="Textonotapie"/>
        <w:contextualSpacing/>
        <w:jc w:val="both"/>
        <w:rPr>
          <w:rFonts w:ascii="Arial" w:hAnsi="Arial" w:cs="Arial"/>
          <w:color w:val="000000" w:themeColor="text1"/>
          <w:sz w:val="18"/>
          <w:szCs w:val="18"/>
          <w:lang w:val="es-ES"/>
        </w:rPr>
      </w:pPr>
    </w:p>
  </w:footnote>
  <w:footnote w:id="6">
    <w:p w14:paraId="52E44541" w14:textId="77777777" w:rsidR="00952BD5" w:rsidRPr="00851F96" w:rsidRDefault="00952BD5" w:rsidP="00912DC8">
      <w:pPr>
        <w:pStyle w:val="Textonotapie"/>
        <w:ind w:firstLine="708"/>
        <w:contextualSpacing/>
        <w:jc w:val="both"/>
        <w:rPr>
          <w:rFonts w:ascii="Arial" w:hAnsi="Arial" w:cs="Arial"/>
          <w:iCs/>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w:t>
      </w:r>
      <w:r w:rsidRPr="00851F96">
        <w:rPr>
          <w:rFonts w:ascii="Arial" w:hAnsi="Arial" w:cs="Arial"/>
          <w:iCs/>
          <w:color w:val="000000" w:themeColor="text1"/>
          <w:sz w:val="18"/>
          <w:szCs w:val="18"/>
        </w:rPr>
        <w:t>Artículo 21 de la Ley 1150 de 2007.</w:t>
      </w:r>
    </w:p>
    <w:p w14:paraId="1A41A5E8" w14:textId="77777777" w:rsidR="00952BD5" w:rsidRPr="00851F96" w:rsidRDefault="00952BD5" w:rsidP="00031620">
      <w:pPr>
        <w:pStyle w:val="Textonotapie"/>
        <w:contextualSpacing/>
        <w:jc w:val="both"/>
        <w:rPr>
          <w:rFonts w:ascii="Arial" w:hAnsi="Arial" w:cs="Arial"/>
          <w:color w:val="000000" w:themeColor="text1"/>
          <w:sz w:val="18"/>
          <w:szCs w:val="18"/>
        </w:rPr>
      </w:pPr>
    </w:p>
  </w:footnote>
  <w:footnote w:id="7">
    <w:p w14:paraId="63868035" w14:textId="77777777" w:rsidR="00952BD5" w:rsidRPr="00851F96" w:rsidRDefault="00952BD5" w:rsidP="00912DC8">
      <w:pPr>
        <w:pStyle w:val="Textonotapie"/>
        <w:ind w:firstLine="708"/>
        <w:contextualSpacing/>
        <w:jc w:val="both"/>
        <w:rPr>
          <w:rFonts w:ascii="Arial" w:hAnsi="Arial" w:cs="Arial"/>
          <w:iCs/>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w:t>
      </w:r>
      <w:r w:rsidRPr="00851F96">
        <w:rPr>
          <w:rFonts w:ascii="Arial" w:hAnsi="Arial" w:cs="Arial"/>
          <w:iCs/>
          <w:color w:val="000000" w:themeColor="text1"/>
          <w:sz w:val="18"/>
          <w:szCs w:val="18"/>
        </w:rPr>
        <w:t>Artículos 83 a 86 de la Ley 1474 de 2011.</w:t>
      </w:r>
    </w:p>
    <w:p w14:paraId="39F163AC" w14:textId="77777777" w:rsidR="00952BD5" w:rsidRPr="00851F96" w:rsidRDefault="00952BD5" w:rsidP="00031620">
      <w:pPr>
        <w:pStyle w:val="Textonotapie"/>
        <w:contextualSpacing/>
        <w:jc w:val="both"/>
        <w:rPr>
          <w:rFonts w:ascii="Arial" w:hAnsi="Arial" w:cs="Arial"/>
          <w:color w:val="000000" w:themeColor="text1"/>
          <w:sz w:val="18"/>
          <w:szCs w:val="18"/>
        </w:rPr>
      </w:pPr>
    </w:p>
  </w:footnote>
  <w:footnote w:id="8">
    <w:p w14:paraId="7C897EF8" w14:textId="77777777" w:rsidR="00952BD5" w:rsidRPr="00851F96" w:rsidRDefault="00952BD5" w:rsidP="00912DC8">
      <w:pPr>
        <w:pStyle w:val="Textonotapie"/>
        <w:ind w:firstLine="708"/>
        <w:contextualSpacing/>
        <w:jc w:val="both"/>
        <w:rPr>
          <w:rFonts w:ascii="Arial" w:hAnsi="Arial" w:cs="Arial"/>
          <w:iCs/>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w:t>
      </w:r>
      <w:r w:rsidRPr="00851F96">
        <w:rPr>
          <w:rFonts w:ascii="Arial" w:hAnsi="Arial" w:cs="Arial"/>
          <w:iCs/>
          <w:color w:val="000000" w:themeColor="text1"/>
          <w:sz w:val="18"/>
          <w:szCs w:val="18"/>
        </w:rPr>
        <w:t>Consejo de Estado. Sección 3ª. Sentencia del 27 de noviembre de 2017. M.P. Jaime Orlando Santofimio. Exp. 51.802.</w:t>
      </w:r>
    </w:p>
    <w:p w14:paraId="41D8E6DB" w14:textId="77777777" w:rsidR="00952BD5" w:rsidRPr="00851F96" w:rsidRDefault="00952BD5" w:rsidP="00031620">
      <w:pPr>
        <w:pStyle w:val="Textonotapie"/>
        <w:jc w:val="both"/>
        <w:rPr>
          <w:rFonts w:ascii="Arial" w:hAnsi="Arial" w:cs="Arial"/>
          <w:color w:val="000000" w:themeColor="text1"/>
          <w:sz w:val="18"/>
          <w:szCs w:val="18"/>
          <w:lang w:val="es-CO"/>
        </w:rPr>
      </w:pPr>
    </w:p>
  </w:footnote>
  <w:footnote w:id="9">
    <w:p w14:paraId="391D35A7" w14:textId="77777777" w:rsidR="00952BD5" w:rsidRPr="00851F96" w:rsidRDefault="00952BD5" w:rsidP="00031620">
      <w:pPr>
        <w:pStyle w:val="Textonotapie"/>
        <w:ind w:firstLine="708"/>
        <w:jc w:val="both"/>
        <w:rPr>
          <w:rFonts w:ascii="Arial" w:hAnsi="Arial" w:cs="Arial"/>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Radicado # 4201913000008240 del 20 de diciembre de 2019.</w:t>
      </w:r>
    </w:p>
    <w:p w14:paraId="30A01632" w14:textId="77777777" w:rsidR="00952BD5" w:rsidRPr="00851F96" w:rsidRDefault="00952BD5" w:rsidP="00031620">
      <w:pPr>
        <w:pStyle w:val="Textonotapie"/>
        <w:ind w:firstLine="708"/>
        <w:jc w:val="both"/>
        <w:rPr>
          <w:rFonts w:ascii="Arial" w:hAnsi="Arial" w:cs="Arial"/>
          <w:color w:val="000000" w:themeColor="text1"/>
          <w:sz w:val="18"/>
          <w:szCs w:val="18"/>
          <w:lang w:val="es-ES"/>
        </w:rPr>
      </w:pPr>
    </w:p>
  </w:footnote>
  <w:footnote w:id="10">
    <w:p w14:paraId="045B59A9" w14:textId="77777777" w:rsidR="001877EE" w:rsidRPr="00851F96" w:rsidRDefault="001877EE" w:rsidP="00031620">
      <w:pPr>
        <w:pStyle w:val="Textonotapie"/>
        <w:spacing w:after="120"/>
        <w:ind w:firstLine="708"/>
        <w:jc w:val="both"/>
        <w:rPr>
          <w:rFonts w:ascii="Arial" w:hAnsi="Arial" w:cs="Arial"/>
          <w:iCs/>
          <w:color w:val="000000"/>
          <w:sz w:val="18"/>
          <w:szCs w:val="18"/>
        </w:rPr>
      </w:pPr>
      <w:r w:rsidRPr="00851F96">
        <w:rPr>
          <w:rStyle w:val="Refdenotaalpie"/>
          <w:rFonts w:ascii="Arial" w:hAnsi="Arial" w:cs="Arial"/>
          <w:color w:val="000000"/>
          <w:sz w:val="18"/>
          <w:szCs w:val="18"/>
        </w:rPr>
        <w:footnoteRef/>
      </w:r>
      <w:r w:rsidRPr="00851F96">
        <w:rPr>
          <w:rFonts w:ascii="Arial" w:hAnsi="Arial" w:cs="Arial"/>
          <w:color w:val="000000"/>
          <w:sz w:val="18"/>
          <w:szCs w:val="18"/>
        </w:rPr>
        <w:t xml:space="preserve"> </w:t>
      </w:r>
      <w:r w:rsidRPr="00851F96">
        <w:rPr>
          <w:rFonts w:ascii="Arial" w:hAnsi="Arial" w:cs="Arial"/>
          <w:iCs/>
          <w:color w:val="000000"/>
          <w:sz w:val="18"/>
          <w:szCs w:val="18"/>
        </w:rPr>
        <w:t>A excepción de la interventoría del contrato de obra adjudicado por licitación pública que es obligatoria según el numeral 1° del artículo 32 de la Ley 80 de 1993.</w:t>
      </w:r>
    </w:p>
    <w:p w14:paraId="3F8B5640" w14:textId="77777777" w:rsidR="001877EE" w:rsidRPr="00851F96" w:rsidRDefault="001877EE" w:rsidP="00031620">
      <w:pPr>
        <w:pStyle w:val="Textonotapie"/>
        <w:spacing w:after="120"/>
        <w:jc w:val="both"/>
        <w:rPr>
          <w:rFonts w:ascii="Arial" w:hAnsi="Arial" w:cs="Arial"/>
          <w:iCs/>
          <w:color w:val="000000"/>
          <w:sz w:val="18"/>
          <w:szCs w:val="18"/>
        </w:rPr>
      </w:pPr>
    </w:p>
  </w:footnote>
  <w:footnote w:id="11">
    <w:p w14:paraId="279E2486" w14:textId="77777777" w:rsidR="00952BD5" w:rsidRPr="00851F96" w:rsidRDefault="00952BD5" w:rsidP="00912DC8">
      <w:pPr>
        <w:pStyle w:val="Textonotapie"/>
        <w:ind w:firstLine="708"/>
        <w:jc w:val="both"/>
        <w:rPr>
          <w:rFonts w:ascii="Arial" w:hAnsi="Arial" w:cs="Arial"/>
          <w:color w:val="000000" w:themeColor="text1"/>
          <w:sz w:val="18"/>
          <w:szCs w:val="18"/>
          <w:lang w:val="es-ES"/>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w:t>
      </w:r>
      <w:r w:rsidRPr="00851F96">
        <w:rPr>
          <w:rFonts w:ascii="Arial" w:hAnsi="Arial" w:cs="Arial"/>
          <w:iCs/>
          <w:color w:val="000000" w:themeColor="text1"/>
          <w:sz w:val="18"/>
          <w:szCs w:val="18"/>
        </w:rPr>
        <w:t>SUÁREZ BELTRÁN, Gonzalo. Estudios de derecho contractual público. 1ª Ed. Legis, 2014. Bogotá. p. 256.</w:t>
      </w:r>
    </w:p>
    <w:p w14:paraId="78EBEF1C" w14:textId="77777777" w:rsidR="00952BD5" w:rsidRPr="00851F96" w:rsidRDefault="00952BD5" w:rsidP="00031620">
      <w:pPr>
        <w:pStyle w:val="Textonotapie"/>
        <w:jc w:val="both"/>
        <w:rPr>
          <w:rFonts w:ascii="Arial" w:hAnsi="Arial" w:cs="Arial"/>
          <w:color w:val="000000" w:themeColor="text1"/>
          <w:sz w:val="18"/>
          <w:szCs w:val="18"/>
        </w:rPr>
      </w:pPr>
    </w:p>
  </w:footnote>
  <w:footnote w:id="12">
    <w:p w14:paraId="0E40FB7D" w14:textId="77777777" w:rsidR="00952BD5" w:rsidRPr="00851F96" w:rsidRDefault="00952BD5" w:rsidP="00912DC8">
      <w:pPr>
        <w:pStyle w:val="Textonotapie"/>
        <w:ind w:firstLine="708"/>
        <w:jc w:val="both"/>
        <w:rPr>
          <w:rStyle w:val="Hipervnculo"/>
          <w:rFonts w:ascii="Arial" w:hAnsi="Arial" w:cs="Arial"/>
          <w:iCs/>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iCs/>
          <w:color w:val="000000" w:themeColor="text1"/>
          <w:sz w:val="18"/>
          <w:szCs w:val="18"/>
        </w:rPr>
        <w:t xml:space="preserve">Disponible en: </w:t>
      </w:r>
      <w:hyperlink r:id="rId2" w:history="1">
        <w:r w:rsidRPr="00851F96">
          <w:rPr>
            <w:rStyle w:val="Hipervnculo"/>
            <w:rFonts w:ascii="Arial" w:hAnsi="Arial" w:cs="Arial"/>
            <w:iCs/>
            <w:sz w:val="18"/>
            <w:szCs w:val="18"/>
          </w:rPr>
          <w:t>https://www.colombiacompra.gov.co/sites/cce_public/files/cce_documents/cce_guia_parael_                  ejercicio delas_ funciones_de_supervision_e_interventoria_de_los_contratos_del_estado.pdf</w:t>
        </w:r>
      </w:hyperlink>
      <w:r w:rsidRPr="00851F96">
        <w:rPr>
          <w:rStyle w:val="Hipervnculo"/>
          <w:rFonts w:ascii="Arial" w:hAnsi="Arial" w:cs="Arial"/>
          <w:iCs/>
          <w:color w:val="000000" w:themeColor="text1"/>
          <w:sz w:val="18"/>
          <w:szCs w:val="18"/>
        </w:rPr>
        <w:t>.</w:t>
      </w:r>
    </w:p>
    <w:p w14:paraId="6DFC96B1" w14:textId="77777777" w:rsidR="00952BD5" w:rsidRPr="00851F96" w:rsidRDefault="00952BD5" w:rsidP="00031620">
      <w:pPr>
        <w:pStyle w:val="Textonotapie"/>
        <w:ind w:firstLine="708"/>
        <w:jc w:val="both"/>
        <w:rPr>
          <w:rFonts w:ascii="Arial" w:hAnsi="Arial" w:cs="Arial"/>
          <w:iCs/>
          <w:color w:val="000000" w:themeColor="text1"/>
          <w:sz w:val="18"/>
          <w:szCs w:val="18"/>
        </w:rPr>
      </w:pPr>
    </w:p>
  </w:footnote>
  <w:footnote w:id="13">
    <w:p w14:paraId="0E2DEB8E" w14:textId="77777777" w:rsidR="00952BD5" w:rsidRPr="00851F96" w:rsidRDefault="00952BD5" w:rsidP="00912DC8">
      <w:pPr>
        <w:pStyle w:val="Textonotapie"/>
        <w:ind w:firstLine="708"/>
        <w:jc w:val="both"/>
        <w:rPr>
          <w:rFonts w:ascii="Arial" w:hAnsi="Arial" w:cs="Arial"/>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w:t>
      </w:r>
      <w:r w:rsidRPr="00851F96">
        <w:rPr>
          <w:rFonts w:ascii="Arial" w:hAnsi="Arial" w:cs="Arial"/>
          <w:iCs/>
          <w:color w:val="000000" w:themeColor="text1"/>
          <w:sz w:val="18"/>
          <w:szCs w:val="18"/>
        </w:rPr>
        <w:t>Departamento Administrativo de la Función Pública. Concepto del 6 de mayo de 2019. Rad. 140.881.</w:t>
      </w:r>
    </w:p>
    <w:p w14:paraId="12B265C1" w14:textId="77777777" w:rsidR="00952BD5" w:rsidRPr="00851F96" w:rsidRDefault="00952BD5" w:rsidP="00031620">
      <w:pPr>
        <w:pStyle w:val="Textonotapie"/>
        <w:jc w:val="both"/>
        <w:rPr>
          <w:rFonts w:ascii="Arial" w:hAnsi="Arial" w:cs="Arial"/>
          <w:color w:val="000000" w:themeColor="text1"/>
          <w:sz w:val="18"/>
          <w:szCs w:val="18"/>
        </w:rPr>
      </w:pPr>
    </w:p>
  </w:footnote>
  <w:footnote w:id="14">
    <w:p w14:paraId="60F6554F" w14:textId="77777777" w:rsidR="00952BD5" w:rsidRPr="00851F96" w:rsidRDefault="00952BD5" w:rsidP="00912DC8">
      <w:pPr>
        <w:pStyle w:val="Textonotapie"/>
        <w:ind w:firstLine="708"/>
        <w:jc w:val="both"/>
        <w:rPr>
          <w:rFonts w:ascii="Arial" w:hAnsi="Arial" w:cs="Arial"/>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En las Gacetas Nos. 607 y 784 de 2010, en las páginas 12 y 24, respectivamente, se da cuenta de esto.</w:t>
      </w:r>
    </w:p>
    <w:p w14:paraId="65339A61" w14:textId="77777777" w:rsidR="00952BD5" w:rsidRPr="00851F96" w:rsidRDefault="00952BD5" w:rsidP="00031620">
      <w:pPr>
        <w:pStyle w:val="Textonotapie"/>
        <w:ind w:firstLine="708"/>
        <w:jc w:val="both"/>
        <w:rPr>
          <w:rFonts w:ascii="Arial" w:hAnsi="Arial" w:cs="Arial"/>
          <w:color w:val="000000" w:themeColor="text1"/>
          <w:sz w:val="18"/>
          <w:szCs w:val="18"/>
          <w:lang w:val="es-ES"/>
        </w:rPr>
      </w:pPr>
    </w:p>
  </w:footnote>
  <w:footnote w:id="15">
    <w:p w14:paraId="07B65D8C" w14:textId="77777777" w:rsidR="00952BD5" w:rsidRPr="00851F96" w:rsidRDefault="00952BD5" w:rsidP="00912DC8">
      <w:pPr>
        <w:pStyle w:val="Textonotapie"/>
        <w:ind w:firstLine="708"/>
        <w:jc w:val="both"/>
        <w:rPr>
          <w:rFonts w:ascii="Arial" w:hAnsi="Arial" w:cs="Arial"/>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Ver las Gacetas Nos. 1002 y 1117 de 2010, en las páginas 44 y 13, respectivamente.</w:t>
      </w:r>
    </w:p>
    <w:p w14:paraId="7A2F8352" w14:textId="77777777" w:rsidR="00952BD5" w:rsidRPr="00851F96" w:rsidRDefault="00952BD5" w:rsidP="00031620">
      <w:pPr>
        <w:pStyle w:val="Textonotapie"/>
        <w:ind w:firstLine="708"/>
        <w:jc w:val="both"/>
        <w:rPr>
          <w:rFonts w:ascii="Arial" w:hAnsi="Arial" w:cs="Arial"/>
          <w:color w:val="000000" w:themeColor="text1"/>
          <w:sz w:val="18"/>
          <w:szCs w:val="18"/>
          <w:lang w:val="es-ES"/>
        </w:rPr>
      </w:pPr>
    </w:p>
  </w:footnote>
  <w:footnote w:id="16">
    <w:p w14:paraId="0BCDDB3A" w14:textId="77777777" w:rsidR="00952BD5" w:rsidRPr="00851F96" w:rsidRDefault="00952BD5" w:rsidP="00912DC8">
      <w:pPr>
        <w:pStyle w:val="Textonotapie"/>
        <w:ind w:firstLine="708"/>
        <w:jc w:val="both"/>
        <w:rPr>
          <w:rFonts w:ascii="Arial" w:hAnsi="Arial" w:cs="Arial"/>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Ver la Gaceta No. 019 de 2011, en la página 17.</w:t>
      </w:r>
    </w:p>
    <w:p w14:paraId="735FEC0D" w14:textId="77777777" w:rsidR="00952BD5" w:rsidRPr="00851F96" w:rsidRDefault="00952BD5" w:rsidP="00031620">
      <w:pPr>
        <w:pStyle w:val="Textonotapie"/>
        <w:jc w:val="both"/>
        <w:rPr>
          <w:rFonts w:ascii="Arial" w:hAnsi="Arial" w:cs="Arial"/>
          <w:color w:val="000000" w:themeColor="text1"/>
          <w:sz w:val="18"/>
          <w:szCs w:val="18"/>
          <w:lang w:val="es-ES"/>
        </w:rPr>
      </w:pPr>
    </w:p>
  </w:footnote>
  <w:footnote w:id="17">
    <w:p w14:paraId="41EFA077" w14:textId="77777777" w:rsidR="00952BD5" w:rsidRPr="00851F96" w:rsidRDefault="00952BD5" w:rsidP="00912DC8">
      <w:pPr>
        <w:pStyle w:val="Textonotapie"/>
        <w:ind w:firstLine="708"/>
        <w:jc w:val="both"/>
        <w:rPr>
          <w:rFonts w:ascii="Arial" w:hAnsi="Arial" w:cs="Arial"/>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Ver la Gaceta No. 128 de 2011, en la página 20.</w:t>
      </w:r>
    </w:p>
    <w:p w14:paraId="20EBC4E2" w14:textId="77777777" w:rsidR="00952BD5" w:rsidRPr="00851F96" w:rsidRDefault="00952BD5" w:rsidP="00031620">
      <w:pPr>
        <w:pStyle w:val="Textonotapie"/>
        <w:jc w:val="both"/>
        <w:rPr>
          <w:rFonts w:ascii="Arial" w:hAnsi="Arial" w:cs="Arial"/>
          <w:color w:val="000000" w:themeColor="text1"/>
          <w:sz w:val="18"/>
          <w:szCs w:val="18"/>
          <w:lang w:val="es-ES"/>
        </w:rPr>
      </w:pPr>
    </w:p>
  </w:footnote>
  <w:footnote w:id="18">
    <w:p w14:paraId="0FECC8CD" w14:textId="77777777" w:rsidR="00952BD5" w:rsidRPr="00851F96" w:rsidRDefault="00952BD5" w:rsidP="00912DC8">
      <w:pPr>
        <w:pStyle w:val="Textonotapie"/>
        <w:ind w:firstLine="708"/>
        <w:jc w:val="both"/>
        <w:rPr>
          <w:rFonts w:ascii="Arial" w:hAnsi="Arial" w:cs="Arial"/>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Ver la Gaceta No. 258 de 2011, en la página 16.</w:t>
      </w:r>
    </w:p>
    <w:p w14:paraId="09E02AE1" w14:textId="77777777" w:rsidR="00952BD5" w:rsidRPr="00851F96" w:rsidRDefault="00952BD5" w:rsidP="00031620">
      <w:pPr>
        <w:pStyle w:val="Textonotapie"/>
        <w:jc w:val="both"/>
        <w:rPr>
          <w:rFonts w:ascii="Arial" w:hAnsi="Arial" w:cs="Arial"/>
          <w:color w:val="000000" w:themeColor="text1"/>
          <w:sz w:val="18"/>
          <w:szCs w:val="18"/>
          <w:lang w:val="es-ES"/>
        </w:rPr>
      </w:pPr>
    </w:p>
  </w:footnote>
  <w:footnote w:id="19">
    <w:p w14:paraId="77D9BB5F" w14:textId="77777777" w:rsidR="00952BD5" w:rsidRPr="00851F96" w:rsidRDefault="00952BD5" w:rsidP="00912DC8">
      <w:pPr>
        <w:pStyle w:val="Textonotapie"/>
        <w:ind w:firstLine="708"/>
        <w:jc w:val="both"/>
        <w:rPr>
          <w:rFonts w:ascii="Arial" w:hAnsi="Arial" w:cs="Arial"/>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Ver las Gacetas Nos. 1002 y 1117 de 2010.</w:t>
      </w:r>
    </w:p>
    <w:p w14:paraId="76F63035" w14:textId="77777777" w:rsidR="00952BD5" w:rsidRPr="00851F96" w:rsidRDefault="00952BD5" w:rsidP="00031620">
      <w:pPr>
        <w:pStyle w:val="Textonotapie"/>
        <w:jc w:val="both"/>
        <w:rPr>
          <w:rFonts w:ascii="Arial" w:hAnsi="Arial" w:cs="Arial"/>
          <w:color w:val="000000" w:themeColor="text1"/>
          <w:sz w:val="18"/>
          <w:szCs w:val="18"/>
          <w:lang w:val="es-ES"/>
        </w:rPr>
      </w:pPr>
    </w:p>
  </w:footnote>
  <w:footnote w:id="20">
    <w:p w14:paraId="5DA45577" w14:textId="77777777" w:rsidR="00952BD5" w:rsidRPr="00851F96" w:rsidRDefault="00952BD5" w:rsidP="00912DC8">
      <w:pPr>
        <w:pStyle w:val="Textonotapie"/>
        <w:ind w:firstLine="708"/>
        <w:jc w:val="both"/>
        <w:rPr>
          <w:rFonts w:ascii="Arial" w:hAnsi="Arial" w:cs="Arial"/>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Consejo de Estado, Sección Tercera, Subsección A. Radicado No. 27426. C.P. Ramiro Pazos Guerrero.</w:t>
      </w:r>
    </w:p>
    <w:p w14:paraId="046FABF2" w14:textId="77777777" w:rsidR="00952BD5" w:rsidRPr="00851F96" w:rsidRDefault="00952BD5" w:rsidP="00031620">
      <w:pPr>
        <w:pStyle w:val="Textonotapie"/>
        <w:ind w:firstLine="708"/>
        <w:jc w:val="both"/>
        <w:rPr>
          <w:rFonts w:ascii="Arial" w:hAnsi="Arial" w:cs="Arial"/>
          <w:color w:val="000000" w:themeColor="text1"/>
          <w:sz w:val="18"/>
          <w:szCs w:val="18"/>
        </w:rPr>
      </w:pPr>
    </w:p>
  </w:footnote>
  <w:footnote w:id="21">
    <w:p w14:paraId="4B24241A" w14:textId="5272A184" w:rsidR="00952BD5" w:rsidRPr="00851F96" w:rsidRDefault="00952BD5" w:rsidP="00031620">
      <w:pPr>
        <w:pStyle w:val="Textonotapie"/>
        <w:jc w:val="both"/>
        <w:rPr>
          <w:rFonts w:ascii="Arial" w:hAnsi="Arial" w:cs="Arial"/>
          <w:color w:val="000000" w:themeColor="text1"/>
          <w:sz w:val="18"/>
          <w:szCs w:val="18"/>
        </w:rPr>
      </w:pPr>
      <w:r w:rsidRPr="00851F96">
        <w:rPr>
          <w:rStyle w:val="Refdenotaalpie"/>
          <w:rFonts w:ascii="Arial" w:hAnsi="Arial" w:cs="Arial"/>
          <w:color w:val="000000" w:themeColor="text1"/>
          <w:sz w:val="18"/>
          <w:szCs w:val="18"/>
        </w:rPr>
        <w:footnoteRef/>
      </w:r>
      <w:r w:rsidRPr="00851F96">
        <w:rPr>
          <w:rFonts w:ascii="Arial" w:hAnsi="Arial" w:cs="Arial"/>
          <w:color w:val="000000" w:themeColor="text1"/>
          <w:sz w:val="18"/>
          <w:szCs w:val="18"/>
        </w:rPr>
        <w:t xml:space="preserve"> Cita tomada del texto original: </w:t>
      </w:r>
      <w:r w:rsidR="00285D73" w:rsidRPr="00851F96">
        <w:rPr>
          <w:rFonts w:ascii="Arial" w:hAnsi="Arial" w:cs="Arial"/>
          <w:color w:val="000000" w:themeColor="text1"/>
          <w:sz w:val="18"/>
          <w:szCs w:val="18"/>
        </w:rPr>
        <w:t>“</w:t>
      </w:r>
      <w:r w:rsidRPr="00851F96">
        <w:rPr>
          <w:rFonts w:ascii="Arial" w:hAnsi="Arial" w:cs="Arial"/>
          <w:color w:val="000000" w:themeColor="text1"/>
          <w:sz w:val="18"/>
          <w:szCs w:val="18"/>
        </w:rPr>
        <w:t>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 // El contrato de Interventoría será supervisado directamente por la entidad estatal</w:t>
      </w:r>
      <w:r w:rsidR="00285D73" w:rsidRPr="00851F96">
        <w:rPr>
          <w:rFonts w:ascii="Arial" w:hAnsi="Arial" w:cs="Arial"/>
          <w:color w:val="000000" w:themeColor="text1"/>
          <w:sz w:val="18"/>
          <w:szCs w:val="18"/>
        </w:rPr>
        <w:t>”</w:t>
      </w:r>
      <w:r w:rsidRPr="00851F96">
        <w:rPr>
          <w:rFonts w:ascii="Arial" w:hAnsi="Arial" w:cs="Arial"/>
          <w:color w:val="000000" w:themeColor="text1"/>
          <w:sz w:val="18"/>
          <w:szCs w:val="18"/>
        </w:rPr>
        <w:t>.</w:t>
      </w:r>
    </w:p>
    <w:p w14:paraId="35922558" w14:textId="77777777" w:rsidR="00285D73" w:rsidRPr="00851F96" w:rsidRDefault="00285D73" w:rsidP="00031620">
      <w:pPr>
        <w:pStyle w:val="Textonotapie"/>
        <w:jc w:val="both"/>
        <w:rPr>
          <w:rFonts w:ascii="Arial" w:hAnsi="Arial" w:cs="Arial"/>
          <w:color w:val="000000" w:themeColor="text1"/>
          <w:sz w:val="18"/>
          <w:szCs w:val="18"/>
          <w:lang w:val="es-ES"/>
        </w:rPr>
      </w:pPr>
    </w:p>
  </w:footnote>
  <w:footnote w:id="22">
    <w:p w14:paraId="46021F8F" w14:textId="6B39B5DF" w:rsidR="00E00332" w:rsidRPr="00851F96" w:rsidRDefault="00E00332" w:rsidP="00031620">
      <w:pPr>
        <w:pStyle w:val="Textonotapie"/>
        <w:ind w:firstLine="708"/>
        <w:jc w:val="both"/>
        <w:rPr>
          <w:rFonts w:ascii="Arial" w:hAnsi="Arial" w:cs="Arial"/>
          <w:sz w:val="18"/>
          <w:szCs w:val="18"/>
          <w:lang w:val="es-ES"/>
        </w:rPr>
      </w:pPr>
      <w:r w:rsidRPr="00851F96">
        <w:rPr>
          <w:rStyle w:val="Refdenotaalpie"/>
          <w:rFonts w:ascii="Arial" w:hAnsi="Arial" w:cs="Arial"/>
          <w:sz w:val="18"/>
          <w:szCs w:val="18"/>
        </w:rPr>
        <w:footnoteRef/>
      </w:r>
      <w:r w:rsidRPr="00851F96">
        <w:rPr>
          <w:rFonts w:ascii="Arial" w:hAnsi="Arial" w:cs="Arial"/>
          <w:sz w:val="18"/>
          <w:szCs w:val="18"/>
        </w:rPr>
        <w:t xml:space="preserve"> señalada en las Leyes 489 de 1998, 872 de 2003, 909 de 2004, 962 de 2005, 1474 de 2011, 1712 de </w:t>
      </w:r>
      <w:r w:rsidR="00912DC8" w:rsidRPr="00851F96">
        <w:rPr>
          <w:rFonts w:ascii="Arial" w:hAnsi="Arial" w:cs="Arial"/>
          <w:sz w:val="18"/>
          <w:szCs w:val="18"/>
        </w:rPr>
        <w:t>2014, y</w:t>
      </w:r>
      <w:r w:rsidRPr="00851F96">
        <w:rPr>
          <w:rFonts w:ascii="Arial" w:hAnsi="Arial" w:cs="Arial"/>
          <w:sz w:val="18"/>
          <w:szCs w:val="18"/>
        </w:rPr>
        <w:t xml:space="preserve"> 1757 de 2015, el Decreto Ley 019 de 2012 y el Decreto 430 de 2016.</w:t>
      </w:r>
    </w:p>
  </w:footnote>
  <w:footnote w:id="23">
    <w:p w14:paraId="3DC7ADA0" w14:textId="77777777" w:rsidR="00912DC8" w:rsidRPr="00851F96" w:rsidRDefault="00912DC8" w:rsidP="00031620">
      <w:pPr>
        <w:spacing w:after="120" w:line="240" w:lineRule="auto"/>
        <w:ind w:firstLine="708"/>
        <w:jc w:val="both"/>
        <w:rPr>
          <w:rFonts w:ascii="Arial" w:hAnsi="Arial" w:cs="Arial"/>
          <w:sz w:val="18"/>
          <w:szCs w:val="18"/>
        </w:rPr>
      </w:pPr>
    </w:p>
    <w:p w14:paraId="5BF7E25C" w14:textId="10F262DF" w:rsidR="00285D73" w:rsidRPr="00851F96" w:rsidRDefault="00285D73" w:rsidP="00031620">
      <w:pPr>
        <w:spacing w:after="120" w:line="240" w:lineRule="auto"/>
        <w:ind w:firstLine="708"/>
        <w:jc w:val="both"/>
        <w:rPr>
          <w:rFonts w:ascii="Arial" w:hAnsi="Arial" w:cs="Arial"/>
          <w:sz w:val="18"/>
          <w:szCs w:val="18"/>
          <w:lang w:eastAsia="es-MX"/>
        </w:rPr>
      </w:pPr>
      <w:r w:rsidRPr="00851F96">
        <w:rPr>
          <w:rStyle w:val="Refdenotaalpie"/>
          <w:rFonts w:ascii="Arial" w:hAnsi="Arial" w:cs="Arial"/>
          <w:sz w:val="18"/>
          <w:szCs w:val="18"/>
        </w:rPr>
        <w:footnoteRef/>
      </w:r>
      <w:r w:rsidRPr="00851F96">
        <w:rPr>
          <w:rFonts w:ascii="Arial" w:hAnsi="Arial" w:cs="Arial"/>
          <w:sz w:val="18"/>
          <w:szCs w:val="18"/>
        </w:rPr>
        <w:t xml:space="preserve"> </w:t>
      </w:r>
      <w:r w:rsidRPr="00851F96">
        <w:rPr>
          <w:rFonts w:ascii="Arial" w:hAnsi="Arial" w:cs="Arial"/>
          <w:b/>
          <w:bCs/>
          <w:sz w:val="18"/>
          <w:szCs w:val="18"/>
          <w:lang w:eastAsia="es-MX"/>
        </w:rPr>
        <w:t>ARTÍCULO 12</w:t>
      </w:r>
      <w:r w:rsidRPr="00851F96">
        <w:rPr>
          <w:rFonts w:ascii="Arial" w:hAnsi="Arial" w:cs="Arial"/>
          <w:sz w:val="18"/>
          <w:szCs w:val="18"/>
          <w:lang w:eastAsia="es-MX"/>
        </w:rPr>
        <w:t>. Trámite de los impedimentos y recusaciones. En caso de impedimento el servidor enviará dentro de los tres (3) días siguientes a su conocimiento la actuación con escrito motivado al superior, o si no lo tuviere, a la cabeza del respectivo sector administrativo. A falta de todos los anteriores, al Procurador General de la Nación cuando se trate de autoridades nacionales o del Alcalde Mayor del Distrito Capital, o al procurador regional en el caso de las autoridades territoriales.</w:t>
      </w:r>
    </w:p>
    <w:p w14:paraId="4FB3DA8F" w14:textId="77777777" w:rsidR="00285D73" w:rsidRPr="00851F96" w:rsidRDefault="00285D73" w:rsidP="00031620">
      <w:pPr>
        <w:spacing w:after="120" w:line="240" w:lineRule="auto"/>
        <w:jc w:val="both"/>
        <w:rPr>
          <w:rFonts w:ascii="Arial" w:hAnsi="Arial" w:cs="Arial"/>
          <w:sz w:val="18"/>
          <w:szCs w:val="18"/>
          <w:lang w:eastAsia="es-MX"/>
        </w:rPr>
      </w:pPr>
      <w:r w:rsidRPr="00851F96">
        <w:rPr>
          <w:rFonts w:ascii="Arial" w:hAnsi="Arial" w:cs="Arial"/>
          <w:sz w:val="18"/>
          <w:szCs w:val="18"/>
          <w:lang w:eastAsia="es-MX"/>
        </w:rPr>
        <w:t>La autoridad competente decidirá de plano sobre el impedimento dentro de los diez (10) días siguientes a la fecha de su recibo. Si acepta el impedimento, determinará a quién corresponde el conocimiento del asunto, pudiendo, si es preciso, designar un funcionario ad hoc. En el mismo acto ordenará la entrega del expediente.</w:t>
      </w:r>
    </w:p>
    <w:p w14:paraId="41D47272" w14:textId="307E471C" w:rsidR="00285D73" w:rsidRPr="00851F96" w:rsidRDefault="00285D73" w:rsidP="00031620">
      <w:pPr>
        <w:spacing w:after="120" w:line="240" w:lineRule="auto"/>
        <w:jc w:val="both"/>
        <w:rPr>
          <w:rFonts w:ascii="Arial" w:hAnsi="Arial" w:cs="Arial"/>
          <w:sz w:val="18"/>
          <w:szCs w:val="18"/>
          <w:lang w:eastAsia="es-MX"/>
        </w:rPr>
      </w:pPr>
      <w:r w:rsidRPr="00851F96">
        <w:rPr>
          <w:rFonts w:ascii="Arial" w:hAnsi="Arial" w:cs="Arial"/>
          <w:sz w:val="18"/>
          <w:szCs w:val="18"/>
          <w:lang w:eastAsia="es-MX"/>
        </w:rPr>
        <w:t>Cuando cualquier persona presente una recusación, el recusado manifestará si acepta o no la causal invocada, dentro de los cinco (5) días siguientes a la fecha de su formulación. Vencido este término, se seguirá el trámite señalado en el inciso anterior.</w:t>
      </w:r>
    </w:p>
    <w:p w14:paraId="0E3758BB" w14:textId="777AD5CF" w:rsidR="00285D73" w:rsidRPr="00851F96" w:rsidRDefault="00285D73" w:rsidP="00031620">
      <w:pPr>
        <w:spacing w:after="0" w:line="240" w:lineRule="auto"/>
        <w:jc w:val="both"/>
        <w:rPr>
          <w:rFonts w:ascii="Arial" w:hAnsi="Arial" w:cs="Arial"/>
          <w:sz w:val="18"/>
          <w:szCs w:val="18"/>
          <w:lang w:eastAsia="es-MX"/>
        </w:rPr>
      </w:pPr>
      <w:r w:rsidRPr="00851F96">
        <w:rPr>
          <w:rFonts w:ascii="Arial" w:hAnsi="Arial" w:cs="Arial"/>
          <w:sz w:val="18"/>
          <w:szCs w:val="18"/>
          <w:lang w:eastAsia="es-MX"/>
        </w:rPr>
        <w:t>La actuación administrativa se suspenderá desde la manifestación del impedimento o desde la presentación de la recusación, hasta cuando se decida. Sin embargo, el cómputo de los términos para que proceda el silencio administrativo se reiniciará una vez vencidos los plazos a que hace referencia el inciso 1 de este artículo.”</w:t>
      </w:r>
    </w:p>
    <w:p w14:paraId="703CF302" w14:textId="7C53C530" w:rsidR="00285D73" w:rsidRPr="00851F96" w:rsidRDefault="00285D73" w:rsidP="00031620">
      <w:pPr>
        <w:pStyle w:val="Textonotapie"/>
        <w:jc w:val="both"/>
        <w:rPr>
          <w:rFonts w:ascii="Arial" w:hAnsi="Arial" w:cs="Arial"/>
          <w:sz w:val="18"/>
          <w:szCs w:val="18"/>
        </w:rPr>
      </w:pPr>
    </w:p>
  </w:footnote>
  <w:footnote w:id="24">
    <w:p w14:paraId="5A8192F4" w14:textId="77777777" w:rsidR="00E00332" w:rsidRPr="00851F96" w:rsidRDefault="00E00332" w:rsidP="00912DC8">
      <w:pPr>
        <w:pStyle w:val="Textonotapie"/>
        <w:ind w:firstLine="708"/>
        <w:jc w:val="both"/>
        <w:rPr>
          <w:rFonts w:ascii="Arial" w:hAnsi="Arial" w:cs="Arial"/>
          <w:sz w:val="18"/>
          <w:szCs w:val="18"/>
          <w:lang w:val="es-ES"/>
        </w:rPr>
      </w:pPr>
      <w:r w:rsidRPr="00851F96">
        <w:rPr>
          <w:rStyle w:val="Refdenotaalpie"/>
          <w:rFonts w:ascii="Arial" w:hAnsi="Arial" w:cs="Arial"/>
          <w:sz w:val="18"/>
          <w:szCs w:val="18"/>
        </w:rPr>
        <w:footnoteRef/>
      </w:r>
      <w:r w:rsidRPr="00851F96">
        <w:rPr>
          <w:rFonts w:ascii="Arial" w:hAnsi="Arial" w:cs="Arial"/>
          <w:sz w:val="18"/>
          <w:szCs w:val="18"/>
        </w:rPr>
        <w:t xml:space="preserve"> Consejo de Estado, </w:t>
      </w:r>
      <w:r w:rsidRPr="00851F96">
        <w:rPr>
          <w:rFonts w:ascii="Arial" w:eastAsia="Calibri" w:hAnsi="Arial" w:cs="Arial"/>
          <w:bCs/>
          <w:color w:val="000000" w:themeColor="text1"/>
          <w:sz w:val="18"/>
          <w:szCs w:val="18"/>
          <w:lang w:val="es-CO" w:eastAsia="es-MX"/>
        </w:rPr>
        <w:t>Sección Tercera, Subsección C, con sentencia Radicación número: 15001-23-31-000-2009-00001-01(42892) del 6 de febrero de 2012, consejero ponente: Jaime Orlando Santofimio Gamboa</w:t>
      </w:r>
    </w:p>
  </w:footnote>
  <w:footnote w:id="25">
    <w:p w14:paraId="7BB2BD8E" w14:textId="2E50E05F" w:rsidR="00E00332" w:rsidRPr="00851F96" w:rsidRDefault="00E00332" w:rsidP="00031620">
      <w:pPr>
        <w:spacing w:after="120" w:line="240" w:lineRule="auto"/>
        <w:ind w:firstLine="709"/>
        <w:jc w:val="both"/>
        <w:rPr>
          <w:rFonts w:ascii="Arial" w:hAnsi="Arial" w:cs="Arial"/>
          <w:sz w:val="18"/>
          <w:szCs w:val="18"/>
          <w:lang w:val="es-ES"/>
        </w:rPr>
      </w:pPr>
      <w:r w:rsidRPr="00851F96">
        <w:rPr>
          <w:rStyle w:val="Refdenotaalpie"/>
          <w:rFonts w:ascii="Arial" w:hAnsi="Arial" w:cs="Arial"/>
          <w:sz w:val="18"/>
          <w:szCs w:val="18"/>
        </w:rPr>
        <w:footnoteRef/>
      </w:r>
      <w:r w:rsidRPr="00851F96">
        <w:rPr>
          <w:rFonts w:ascii="Arial" w:hAnsi="Arial" w:cs="Arial"/>
          <w:sz w:val="18"/>
          <w:szCs w:val="18"/>
        </w:rPr>
        <w:t xml:space="preserve"> </w:t>
      </w:r>
      <w:r w:rsidRPr="00851F96">
        <w:rPr>
          <w:rFonts w:ascii="Arial" w:hAnsi="Arial" w:cs="Arial"/>
          <w:sz w:val="18"/>
          <w:szCs w:val="18"/>
          <w:lang w:eastAsia="es-MX"/>
        </w:rPr>
        <w:t>Consejo de Estado, Sala de lo Contencioso Administrativo, Sección Primera, consejero Ponente: Doctor Rafael E. Ostau De Lafont Planeta, Radicación núm.: 25000-23-15-000-2010-001610-01 del 17 de marzo de 2011</w:t>
      </w:r>
    </w:p>
  </w:footnote>
  <w:footnote w:id="26">
    <w:p w14:paraId="59D1F4CD" w14:textId="2973FDA7" w:rsidR="008C452C" w:rsidRPr="00851F96" w:rsidRDefault="008C452C" w:rsidP="00031620">
      <w:pPr>
        <w:pStyle w:val="Textonotapie"/>
        <w:ind w:firstLine="708"/>
        <w:jc w:val="both"/>
        <w:rPr>
          <w:rFonts w:ascii="Arial" w:hAnsi="Arial" w:cs="Arial"/>
          <w:sz w:val="18"/>
          <w:szCs w:val="18"/>
        </w:rPr>
      </w:pPr>
      <w:r w:rsidRPr="00851F96">
        <w:rPr>
          <w:rStyle w:val="Refdenotaalpie"/>
          <w:rFonts w:ascii="Arial" w:hAnsi="Arial" w:cs="Arial"/>
          <w:sz w:val="18"/>
          <w:szCs w:val="18"/>
        </w:rPr>
        <w:footnoteRef/>
      </w:r>
      <w:r w:rsidRPr="00851F96">
        <w:rPr>
          <w:rFonts w:ascii="Arial" w:hAnsi="Arial" w:cs="Arial"/>
          <w:sz w:val="18"/>
          <w:szCs w:val="18"/>
        </w:rPr>
        <w:t xml:space="preserve"> Sentencias C-380-97, M.P. Hernando Herrera Vergara; C-200-01, M.P. Eduardo Montealegre Lynett y C-1212-01, M.P. Jaime Araujo Rentería.</w:t>
      </w:r>
    </w:p>
  </w:footnote>
  <w:footnote w:id="27">
    <w:p w14:paraId="5D21A5EE" w14:textId="7C42D73C" w:rsidR="002572B6" w:rsidRPr="00851F96" w:rsidRDefault="002572B6" w:rsidP="00912DC8">
      <w:pPr>
        <w:pStyle w:val="Textonotapie"/>
        <w:ind w:firstLine="708"/>
        <w:jc w:val="both"/>
        <w:rPr>
          <w:rFonts w:ascii="Arial" w:hAnsi="Arial" w:cs="Arial"/>
          <w:sz w:val="18"/>
          <w:szCs w:val="18"/>
        </w:rPr>
      </w:pPr>
      <w:r w:rsidRPr="00851F96">
        <w:rPr>
          <w:rStyle w:val="Refdenotaalpie"/>
          <w:rFonts w:ascii="Arial" w:hAnsi="Arial" w:cs="Arial"/>
          <w:sz w:val="18"/>
          <w:szCs w:val="18"/>
        </w:rPr>
        <w:footnoteRef/>
      </w:r>
      <w:r w:rsidRPr="00851F96">
        <w:rPr>
          <w:rFonts w:ascii="Arial" w:hAnsi="Arial" w:cs="Arial"/>
          <w:sz w:val="18"/>
          <w:szCs w:val="18"/>
        </w:rPr>
        <w:t xml:space="preserve"> Corte Constitucional, Sentencia C-348 de 202 de abril de 2004. Magistrado Ponente Dr. Jaime Córdoba Triviño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0576B5A"/>
    <w:multiLevelType w:val="multilevel"/>
    <w:tmpl w:val="E7EE516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1407799903">
    <w:abstractNumId w:val="4"/>
  </w:num>
  <w:num w:numId="7" w16cid:durableId="1437366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BAF"/>
    <w:rsid w:val="00031620"/>
    <w:rsid w:val="00046140"/>
    <w:rsid w:val="00077AB6"/>
    <w:rsid w:val="000A2C3A"/>
    <w:rsid w:val="000A683E"/>
    <w:rsid w:val="000B19B9"/>
    <w:rsid w:val="000C52EA"/>
    <w:rsid w:val="000D0334"/>
    <w:rsid w:val="000E682B"/>
    <w:rsid w:val="000F6486"/>
    <w:rsid w:val="0010402E"/>
    <w:rsid w:val="00125105"/>
    <w:rsid w:val="00127233"/>
    <w:rsid w:val="001877EE"/>
    <w:rsid w:val="001A597A"/>
    <w:rsid w:val="001B1D8F"/>
    <w:rsid w:val="001D460B"/>
    <w:rsid w:val="001E4177"/>
    <w:rsid w:val="002452B9"/>
    <w:rsid w:val="002572B6"/>
    <w:rsid w:val="002858AE"/>
    <w:rsid w:val="00285D73"/>
    <w:rsid w:val="00286416"/>
    <w:rsid w:val="002951A0"/>
    <w:rsid w:val="002962BC"/>
    <w:rsid w:val="002A093D"/>
    <w:rsid w:val="002A49AC"/>
    <w:rsid w:val="002A64FD"/>
    <w:rsid w:val="002C7A84"/>
    <w:rsid w:val="002F00C0"/>
    <w:rsid w:val="002F7FB8"/>
    <w:rsid w:val="003038AD"/>
    <w:rsid w:val="00306C5A"/>
    <w:rsid w:val="00311D8A"/>
    <w:rsid w:val="003148BD"/>
    <w:rsid w:val="003448F4"/>
    <w:rsid w:val="00377101"/>
    <w:rsid w:val="003A779E"/>
    <w:rsid w:val="003B072E"/>
    <w:rsid w:val="003B7DF5"/>
    <w:rsid w:val="003C0CC4"/>
    <w:rsid w:val="003D0F4D"/>
    <w:rsid w:val="003E0499"/>
    <w:rsid w:val="003E678B"/>
    <w:rsid w:val="003E70DA"/>
    <w:rsid w:val="003F3941"/>
    <w:rsid w:val="003F56E1"/>
    <w:rsid w:val="003F7319"/>
    <w:rsid w:val="00400548"/>
    <w:rsid w:val="0040349D"/>
    <w:rsid w:val="0041701B"/>
    <w:rsid w:val="0041792C"/>
    <w:rsid w:val="00421C8D"/>
    <w:rsid w:val="00457CF7"/>
    <w:rsid w:val="004929BA"/>
    <w:rsid w:val="004A02C2"/>
    <w:rsid w:val="004A1847"/>
    <w:rsid w:val="004A305D"/>
    <w:rsid w:val="004C5094"/>
    <w:rsid w:val="004E140B"/>
    <w:rsid w:val="004F21C4"/>
    <w:rsid w:val="004F5E9F"/>
    <w:rsid w:val="004F666B"/>
    <w:rsid w:val="004F685F"/>
    <w:rsid w:val="0051399A"/>
    <w:rsid w:val="00515A53"/>
    <w:rsid w:val="005228F8"/>
    <w:rsid w:val="005566E8"/>
    <w:rsid w:val="00574867"/>
    <w:rsid w:val="00581720"/>
    <w:rsid w:val="005C5CDC"/>
    <w:rsid w:val="005C78B9"/>
    <w:rsid w:val="005D4511"/>
    <w:rsid w:val="005D476C"/>
    <w:rsid w:val="0061503D"/>
    <w:rsid w:val="006219F8"/>
    <w:rsid w:val="00657482"/>
    <w:rsid w:val="00665D70"/>
    <w:rsid w:val="00675A57"/>
    <w:rsid w:val="006A408C"/>
    <w:rsid w:val="006B223D"/>
    <w:rsid w:val="00701C86"/>
    <w:rsid w:val="00706C16"/>
    <w:rsid w:val="00717726"/>
    <w:rsid w:val="00732482"/>
    <w:rsid w:val="00756841"/>
    <w:rsid w:val="00761197"/>
    <w:rsid w:val="00762F5D"/>
    <w:rsid w:val="00763AD5"/>
    <w:rsid w:val="007649AB"/>
    <w:rsid w:val="00767796"/>
    <w:rsid w:val="00775EA5"/>
    <w:rsid w:val="007833AC"/>
    <w:rsid w:val="007B7171"/>
    <w:rsid w:val="007C3DC2"/>
    <w:rsid w:val="007D2330"/>
    <w:rsid w:val="007E5497"/>
    <w:rsid w:val="00806F5F"/>
    <w:rsid w:val="00820278"/>
    <w:rsid w:val="00847FC0"/>
    <w:rsid w:val="00851F96"/>
    <w:rsid w:val="008579C1"/>
    <w:rsid w:val="00864C09"/>
    <w:rsid w:val="00880D56"/>
    <w:rsid w:val="008843B6"/>
    <w:rsid w:val="00891928"/>
    <w:rsid w:val="008A446D"/>
    <w:rsid w:val="008C452C"/>
    <w:rsid w:val="008D26F0"/>
    <w:rsid w:val="008F0EA7"/>
    <w:rsid w:val="008F3E85"/>
    <w:rsid w:val="0090086D"/>
    <w:rsid w:val="00904F6A"/>
    <w:rsid w:val="00912DC8"/>
    <w:rsid w:val="00923EEF"/>
    <w:rsid w:val="00941362"/>
    <w:rsid w:val="009419F9"/>
    <w:rsid w:val="00952BD5"/>
    <w:rsid w:val="00956BA3"/>
    <w:rsid w:val="00961B09"/>
    <w:rsid w:val="009621F9"/>
    <w:rsid w:val="00965334"/>
    <w:rsid w:val="0097093E"/>
    <w:rsid w:val="0097113C"/>
    <w:rsid w:val="009A573E"/>
    <w:rsid w:val="009C71FA"/>
    <w:rsid w:val="009C72E7"/>
    <w:rsid w:val="009E17A7"/>
    <w:rsid w:val="009F110B"/>
    <w:rsid w:val="009F7065"/>
    <w:rsid w:val="00A0177E"/>
    <w:rsid w:val="00A17F13"/>
    <w:rsid w:val="00A20739"/>
    <w:rsid w:val="00A24673"/>
    <w:rsid w:val="00A26133"/>
    <w:rsid w:val="00A33C78"/>
    <w:rsid w:val="00A8193E"/>
    <w:rsid w:val="00AB0ADB"/>
    <w:rsid w:val="00AB2D38"/>
    <w:rsid w:val="00B035AB"/>
    <w:rsid w:val="00B06C1A"/>
    <w:rsid w:val="00B1170D"/>
    <w:rsid w:val="00B615D1"/>
    <w:rsid w:val="00B66A5F"/>
    <w:rsid w:val="00B72CD3"/>
    <w:rsid w:val="00B72FFF"/>
    <w:rsid w:val="00B778F8"/>
    <w:rsid w:val="00B92BAF"/>
    <w:rsid w:val="00BB542A"/>
    <w:rsid w:val="00BB60F1"/>
    <w:rsid w:val="00BD7F72"/>
    <w:rsid w:val="00BF1681"/>
    <w:rsid w:val="00BF49A3"/>
    <w:rsid w:val="00C04FB3"/>
    <w:rsid w:val="00C330EB"/>
    <w:rsid w:val="00C65875"/>
    <w:rsid w:val="00C66E30"/>
    <w:rsid w:val="00C754BE"/>
    <w:rsid w:val="00CB6357"/>
    <w:rsid w:val="00CC1B26"/>
    <w:rsid w:val="00CC5D79"/>
    <w:rsid w:val="00CE679F"/>
    <w:rsid w:val="00D423A2"/>
    <w:rsid w:val="00D63AC2"/>
    <w:rsid w:val="00D645C0"/>
    <w:rsid w:val="00D72DE0"/>
    <w:rsid w:val="00D7383B"/>
    <w:rsid w:val="00D8636A"/>
    <w:rsid w:val="00DA231B"/>
    <w:rsid w:val="00DC0BE9"/>
    <w:rsid w:val="00DF5B70"/>
    <w:rsid w:val="00DF7C21"/>
    <w:rsid w:val="00E00332"/>
    <w:rsid w:val="00E16408"/>
    <w:rsid w:val="00E20894"/>
    <w:rsid w:val="00E245AB"/>
    <w:rsid w:val="00E44530"/>
    <w:rsid w:val="00E50AFE"/>
    <w:rsid w:val="00E50EBF"/>
    <w:rsid w:val="00E60C17"/>
    <w:rsid w:val="00E60CFB"/>
    <w:rsid w:val="00E771DC"/>
    <w:rsid w:val="00E8772A"/>
    <w:rsid w:val="00E90F6B"/>
    <w:rsid w:val="00E92C27"/>
    <w:rsid w:val="00E94F02"/>
    <w:rsid w:val="00EA0E3D"/>
    <w:rsid w:val="00EC4B57"/>
    <w:rsid w:val="00ED6975"/>
    <w:rsid w:val="00EE1AA8"/>
    <w:rsid w:val="00F0313E"/>
    <w:rsid w:val="00F10B82"/>
    <w:rsid w:val="00F204AB"/>
    <w:rsid w:val="00F21C56"/>
    <w:rsid w:val="00F2397B"/>
    <w:rsid w:val="00F31060"/>
    <w:rsid w:val="00F31EDC"/>
    <w:rsid w:val="00F35DA5"/>
    <w:rsid w:val="00F5664F"/>
    <w:rsid w:val="00F75F4D"/>
    <w:rsid w:val="00F76AFC"/>
    <w:rsid w:val="00F77507"/>
    <w:rsid w:val="00F92AF6"/>
    <w:rsid w:val="00FA5B04"/>
    <w:rsid w:val="00FA69D2"/>
    <w:rsid w:val="00FA6D90"/>
    <w:rsid w:val="00FB4840"/>
    <w:rsid w:val="00FB5DD1"/>
    <w:rsid w:val="00FC2B5D"/>
    <w:rsid w:val="00FC7DAC"/>
    <w:rsid w:val="00FF05F3"/>
    <w:rsid w:val="00FF1449"/>
    <w:rsid w:val="00FF37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01C86"/>
    <w:rPr>
      <w:rFonts w:ascii="Geomanist Light" w:hAnsi="Geomanist Light"/>
      <w:lang w:val="es-ES"/>
    </w:rPr>
  </w:style>
  <w:style w:type="paragraph" w:styleId="Textoindependiente">
    <w:name w:val="Body Text"/>
    <w:basedOn w:val="Normal"/>
    <w:link w:val="TextoindependienteCar"/>
    <w:uiPriority w:val="1"/>
    <w:qFormat/>
    <w:rsid w:val="00701C86"/>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701C86"/>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701C86"/>
    <w:pPr>
      <w:spacing w:line="240" w:lineRule="exact"/>
    </w:pPr>
    <w:rPr>
      <w:vertAlign w:val="superscript"/>
    </w:rPr>
  </w:style>
  <w:style w:type="paragraph" w:styleId="Sinespaciado">
    <w:name w:val="No Spacing"/>
    <w:aliases w:val="No Indent"/>
    <w:uiPriority w:val="3"/>
    <w:qFormat/>
    <w:rsid w:val="00701C86"/>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4521">
      <w:bodyDiv w:val="1"/>
      <w:marLeft w:val="0"/>
      <w:marRight w:val="0"/>
      <w:marTop w:val="0"/>
      <w:marBottom w:val="0"/>
      <w:divBdr>
        <w:top w:val="none" w:sz="0" w:space="0" w:color="auto"/>
        <w:left w:val="none" w:sz="0" w:space="0" w:color="auto"/>
        <w:bottom w:val="none" w:sz="0" w:space="0" w:color="auto"/>
        <w:right w:val="none" w:sz="0" w:space="0" w:color="auto"/>
      </w:divBdr>
    </w:div>
    <w:div w:id="741755040">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cce_guia_parael_%20%20%20%20%20%20%20%20%20%20%20%20%20%20%20%20%20%20ejercicio%20delas_%20funciones_de_supervision_e_interventoria_de_los_contratos_del_estado.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8BFF9FE-EA50-4F81-A002-1E8A63D56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AB3C8F53-0CA0-467A-8C0B-8DA95C39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6490</Words>
  <Characters>35698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2023-10-20T14:14:00Z</dcterms:created>
  <dcterms:modified xsi:type="dcterms:W3CDTF">2023-10-20T14:14:00Z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