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9F13" w14:textId="54C01D3B" w:rsidR="00EC00ED" w:rsidRPr="00EC00ED" w:rsidRDefault="00EC00ED" w:rsidP="00EC00ED">
      <w:pPr>
        <w:spacing w:line="240" w:lineRule="auto"/>
        <w:jc w:val="both"/>
        <w:rPr>
          <w:rFonts w:ascii="Arial" w:hAnsi="Arial" w:cs="Arial"/>
          <w:b/>
          <w:bCs/>
          <w:color w:val="000000"/>
          <w:sz w:val="20"/>
          <w:szCs w:val="20"/>
        </w:rPr>
      </w:pPr>
      <w:r w:rsidRPr="00EC00ED">
        <w:rPr>
          <w:rFonts w:ascii="Arial" w:hAnsi="Arial" w:cs="Arial"/>
          <w:b/>
          <w:bCs/>
          <w:color w:val="000000"/>
          <w:sz w:val="20"/>
          <w:szCs w:val="20"/>
        </w:rPr>
        <w:t>DOCUMENTOS TIPO – Fundamento normativo</w:t>
      </w:r>
    </w:p>
    <w:p w14:paraId="2092646F" w14:textId="77777777" w:rsidR="00EC00ED" w:rsidRPr="00EC00ED" w:rsidRDefault="00EC00ED" w:rsidP="00EC00ED">
      <w:pPr>
        <w:spacing w:before="120" w:after="120" w:line="240" w:lineRule="auto"/>
        <w:jc w:val="both"/>
        <w:rPr>
          <w:rFonts w:ascii="Arial" w:eastAsia="Calibri" w:hAnsi="Arial" w:cs="Arial"/>
          <w:sz w:val="20"/>
          <w:szCs w:val="20"/>
          <w:bdr w:val="none" w:sz="0" w:space="0" w:color="auto" w:frame="1"/>
        </w:rPr>
      </w:pPr>
      <w:r w:rsidRPr="00EC00ED">
        <w:rPr>
          <w:rFonts w:ascii="Arial" w:hAnsi="Arial" w:cs="Arial"/>
          <w:sz w:val="20"/>
          <w:szCs w:val="20"/>
        </w:rPr>
        <w:t>[l]</w:t>
      </w:r>
      <w:r w:rsidRPr="00EC00ED">
        <w:rPr>
          <w:rFonts w:ascii="Arial" w:eastAsia="Calibri" w:hAnsi="Arial" w:cs="Arial"/>
          <w:color w:val="000000"/>
          <w:sz w:val="20"/>
          <w:szCs w:val="20"/>
          <w:lang w:val="es-ES" w:eastAsia="es-ES"/>
        </w:rPr>
        <w:t xml:space="preserve">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2B23C992" w14:textId="77777777" w:rsidR="00EC00ED" w:rsidRPr="00EC00ED" w:rsidRDefault="00EC00ED" w:rsidP="00EC00ED">
      <w:pPr>
        <w:spacing w:before="120" w:after="120" w:line="240" w:lineRule="auto"/>
        <w:jc w:val="both"/>
        <w:rPr>
          <w:rFonts w:ascii="Arial" w:eastAsia="Calibri" w:hAnsi="Arial" w:cs="Arial"/>
          <w:sz w:val="20"/>
          <w:szCs w:val="20"/>
          <w:lang w:val="es-ES" w:eastAsia="es-ES"/>
        </w:rPr>
      </w:pPr>
      <w:r w:rsidRPr="00EC00ED">
        <w:rPr>
          <w:rFonts w:ascii="Arial" w:eastAsia="Calibri" w:hAnsi="Arial" w:cs="Arial"/>
          <w:sz w:val="20"/>
          <w:szCs w:val="20"/>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16F8B850" w14:textId="77777777" w:rsidR="00EC00ED" w:rsidRPr="00EC00ED" w:rsidRDefault="00EC00ED" w:rsidP="00EC00ED">
      <w:pPr>
        <w:spacing w:line="240" w:lineRule="auto"/>
        <w:jc w:val="both"/>
        <w:rPr>
          <w:rFonts w:ascii="Arial" w:eastAsia="Calibri" w:hAnsi="Arial" w:cs="Arial"/>
          <w:b/>
          <w:bCs/>
          <w:sz w:val="20"/>
          <w:szCs w:val="20"/>
        </w:rPr>
      </w:pPr>
      <w:r w:rsidRPr="00EC00ED">
        <w:rPr>
          <w:rFonts w:ascii="Arial" w:eastAsia="Calibri" w:hAnsi="Arial" w:cs="Arial"/>
          <w:b/>
          <w:bCs/>
          <w:sz w:val="20"/>
          <w:szCs w:val="20"/>
        </w:rPr>
        <w:t xml:space="preserve">CAPACIDAD RESIDUAL – Documentos tipo – Experiencia </w:t>
      </w:r>
    </w:p>
    <w:p w14:paraId="5EC39978" w14:textId="77777777" w:rsidR="00EC00ED" w:rsidRPr="00EC00ED" w:rsidRDefault="00EC00ED" w:rsidP="00EC00ED">
      <w:pPr>
        <w:spacing w:line="240" w:lineRule="auto"/>
        <w:jc w:val="both"/>
        <w:rPr>
          <w:rFonts w:ascii="Arial" w:eastAsia="Calibri" w:hAnsi="Arial" w:cs="Arial"/>
          <w:sz w:val="20"/>
          <w:szCs w:val="20"/>
        </w:rPr>
      </w:pPr>
      <w:r w:rsidRPr="00EC00ED">
        <w:rPr>
          <w:rFonts w:ascii="Arial" w:eastAsia="Calibri" w:hAnsi="Arial" w:cs="Arial"/>
          <w:sz w:val="20"/>
          <w:szCs w:val="20"/>
        </w:rPr>
        <w:t>Por su parte, el “Formato 5 – Capacidad Residual”, adoptado por la Resolución No. 240 para procesos de licitación de obra de infraestructura pública de transporte, así como el adoptado por la Resolución No. 241 de 2020 para procesos del mismo tipo para la modalidad de selección abreviada de menor cuantía, establecen lo siguiente: [La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10E38A95" w14:textId="77777777" w:rsidR="00EC00ED" w:rsidRPr="00EC00ED" w:rsidRDefault="00EC00ED" w:rsidP="00EC00ED">
      <w:pPr>
        <w:spacing w:line="240" w:lineRule="auto"/>
        <w:jc w:val="both"/>
        <w:rPr>
          <w:rFonts w:ascii="Arial" w:eastAsia="Calibri" w:hAnsi="Arial" w:cs="Arial"/>
          <w:sz w:val="20"/>
          <w:szCs w:val="20"/>
        </w:rPr>
      </w:pPr>
      <w:r w:rsidRPr="00EC00ED">
        <w:rPr>
          <w:rFonts w:ascii="Arial" w:eastAsia="Calibri" w:hAnsi="Arial" w:cs="Arial"/>
          <w:sz w:val="20"/>
          <w:szCs w:val="20"/>
        </w:rPr>
        <w:t>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Dicha información es la que debe aportar el proponente para acreditar su capacidad residual.</w:t>
      </w:r>
    </w:p>
    <w:p w14:paraId="04481E85" w14:textId="77777777" w:rsidR="00EC00ED" w:rsidRPr="00EC00ED" w:rsidRDefault="00EC00ED" w:rsidP="00EC00ED">
      <w:pPr>
        <w:spacing w:line="240" w:lineRule="auto"/>
        <w:jc w:val="both"/>
        <w:rPr>
          <w:rFonts w:ascii="Arial" w:eastAsia="Calibri" w:hAnsi="Arial" w:cs="Arial"/>
          <w:b/>
          <w:bCs/>
          <w:color w:val="000000"/>
          <w:sz w:val="20"/>
          <w:szCs w:val="20"/>
          <w:lang w:eastAsia="en-GB"/>
        </w:rPr>
      </w:pPr>
      <w:r w:rsidRPr="00EC00ED">
        <w:rPr>
          <w:rFonts w:ascii="Arial" w:eastAsia="Calibri" w:hAnsi="Arial" w:cs="Arial"/>
          <w:b/>
          <w:bCs/>
          <w:sz w:val="20"/>
          <w:szCs w:val="20"/>
        </w:rPr>
        <w:t xml:space="preserve">CAPACIDAD RESIDUAL – Documentos tipo − </w:t>
      </w:r>
      <w:r w:rsidRPr="00EC00ED">
        <w:rPr>
          <w:rFonts w:ascii="Arial" w:eastAsia="Calibri" w:hAnsi="Arial" w:cs="Arial"/>
          <w:b/>
          <w:bCs/>
          <w:color w:val="000000"/>
          <w:sz w:val="20"/>
          <w:szCs w:val="20"/>
          <w:lang w:eastAsia="en-GB"/>
        </w:rPr>
        <w:t xml:space="preserve">Causales de rechazo de la oferta – Licitación Pública </w:t>
      </w:r>
    </w:p>
    <w:p w14:paraId="5DC7841F" w14:textId="77777777" w:rsidR="00EC00ED" w:rsidRPr="00EC00ED" w:rsidRDefault="00EC00ED" w:rsidP="00EC00ED">
      <w:pPr>
        <w:spacing w:line="240" w:lineRule="auto"/>
        <w:jc w:val="both"/>
        <w:rPr>
          <w:rFonts w:ascii="Arial" w:eastAsia="Calibri" w:hAnsi="Arial" w:cs="Arial"/>
          <w:color w:val="000000"/>
          <w:sz w:val="20"/>
          <w:szCs w:val="20"/>
          <w:lang w:eastAsia="en-GB"/>
        </w:rPr>
      </w:pPr>
      <w:r w:rsidRPr="00EC00ED">
        <w:rPr>
          <w:rFonts w:ascii="Arial" w:eastAsia="Calibri" w:hAnsi="Arial" w:cs="Arial"/>
          <w:color w:val="000000"/>
          <w:sz w:val="20"/>
          <w:szCs w:val="20"/>
          <w:lang w:eastAsia="en-GB"/>
        </w:rPr>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el contenido de la información de los contratos, siempre que los reporte todos. Por tanto, la configuración de la causal de rechazo del literal Z es objetiva, pues solo aplica ante la omisión del proponente de informar todos los contratos en ejecución antes del cierre del proceso, es decir, opera también cuando no se aporte con la oferta el Formato 5, sólo si, con ello se está omitiendo informar contratos que tenga en ejecución el proponente.</w:t>
      </w:r>
    </w:p>
    <w:p w14:paraId="4A246EC1" w14:textId="77777777" w:rsidR="00EC00ED" w:rsidRPr="00EC00ED" w:rsidRDefault="00EC00ED" w:rsidP="00EC00ED">
      <w:pPr>
        <w:spacing w:line="240" w:lineRule="auto"/>
        <w:jc w:val="both"/>
        <w:rPr>
          <w:rFonts w:ascii="Arial" w:eastAsia="Calibri" w:hAnsi="Arial" w:cs="Arial"/>
          <w:color w:val="000000"/>
          <w:sz w:val="20"/>
          <w:szCs w:val="20"/>
          <w:lang w:eastAsia="en-GB"/>
        </w:rPr>
      </w:pPr>
      <w:r w:rsidRPr="00EC00ED">
        <w:rPr>
          <w:rFonts w:ascii="Arial" w:eastAsia="Calibri" w:hAnsi="Arial" w:cs="Arial"/>
          <w:color w:val="000000"/>
          <w:sz w:val="20"/>
          <w:szCs w:val="20"/>
          <w:lang w:eastAsia="en-GB"/>
        </w:rPr>
        <w:lastRenderedPageBreak/>
        <w:t>ii)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w:t>
      </w:r>
    </w:p>
    <w:p w14:paraId="72B9C59E" w14:textId="77777777" w:rsidR="00EC00ED" w:rsidRPr="00EC00ED" w:rsidRDefault="00EC00ED" w:rsidP="00EC00ED">
      <w:pPr>
        <w:spacing w:line="240" w:lineRule="auto"/>
        <w:jc w:val="both"/>
        <w:rPr>
          <w:rFonts w:ascii="Arial" w:eastAsia="Calibri" w:hAnsi="Arial" w:cs="Arial"/>
          <w:color w:val="000000"/>
          <w:sz w:val="20"/>
          <w:szCs w:val="20"/>
          <w:lang w:eastAsia="en-GB"/>
        </w:rPr>
      </w:pPr>
      <w:r w:rsidRPr="00EC00ED">
        <w:rPr>
          <w:rFonts w:ascii="Arial" w:eastAsia="Calibri" w:hAnsi="Arial" w:cs="Arial"/>
          <w:color w:val="000000"/>
          <w:sz w:val="20"/>
          <w:szCs w:val="20"/>
          <w:lang w:eastAsia="en-GB"/>
        </w:rPr>
        <w:t>iii)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5BDF20A1" w14:textId="77777777" w:rsidR="00EC00ED" w:rsidRPr="00EC00ED" w:rsidRDefault="00EC00ED" w:rsidP="00EC00ED">
      <w:pPr>
        <w:spacing w:after="120" w:line="240" w:lineRule="auto"/>
        <w:jc w:val="both"/>
        <w:rPr>
          <w:rFonts w:ascii="Arial" w:eastAsia="Calibri" w:hAnsi="Arial" w:cs="Arial"/>
          <w:b/>
          <w:lang w:val="es-MX"/>
        </w:rPr>
      </w:pPr>
      <w:bookmarkStart w:id="0" w:name="_Hlk65849188"/>
      <w:r w:rsidRPr="00EC00ED">
        <w:rPr>
          <w:rFonts w:ascii="Arial" w:eastAsia="Calibri" w:hAnsi="Arial" w:cs="Arial"/>
          <w:b/>
          <w:lang w:val="es-MX"/>
        </w:rPr>
        <w:t xml:space="preserve">RECHAZO DE LA OFERTA – Capacidad residual – Documento Base – Literal Z – Versión 3 – Licitación Pública – </w:t>
      </w:r>
      <w:r w:rsidRPr="00EC00ED">
        <w:rPr>
          <w:rFonts w:ascii="Arial" w:hAnsi="Arial" w:cs="Arial"/>
          <w:b/>
          <w:lang w:val="es-MX"/>
        </w:rPr>
        <w:t>Alcance</w:t>
      </w:r>
      <w:bookmarkEnd w:id="0"/>
    </w:p>
    <w:p w14:paraId="19F39F6D" w14:textId="77777777" w:rsidR="00EC00ED" w:rsidRPr="00EC00ED" w:rsidRDefault="00EC00ED" w:rsidP="00EC00ED">
      <w:pPr>
        <w:spacing w:after="120" w:line="240" w:lineRule="auto"/>
        <w:jc w:val="both"/>
        <w:rPr>
          <w:rFonts w:ascii="Arial" w:hAnsi="Arial" w:cs="Arial"/>
          <w:sz w:val="20"/>
          <w:szCs w:val="20"/>
        </w:rPr>
      </w:pPr>
      <w:r w:rsidRPr="00EC00ED">
        <w:rPr>
          <w:rFonts w:ascii="Arial" w:hAnsi="Arial" w:cs="Arial"/>
          <w:sz w:val="20"/>
          <w:szCs w:val="20"/>
        </w:rPr>
        <w:t>[…] 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que el proponente «corrija» el error e informe la existencia de un contrato no reportado, implica aceptar que ocurrió la causal del literal Z, esto es, que el proponente incumplió su obligación de informar todos los contratos de obra que tenía en ejecución.</w:t>
      </w:r>
    </w:p>
    <w:p w14:paraId="3237D165" w14:textId="77777777" w:rsidR="00EC00ED" w:rsidRPr="00EC00ED" w:rsidRDefault="00EC00ED" w:rsidP="00EC00ED">
      <w:pPr>
        <w:spacing w:after="0" w:line="240" w:lineRule="auto"/>
        <w:contextualSpacing/>
        <w:rPr>
          <w:rFonts w:ascii="Arial" w:eastAsia="Calibri" w:hAnsi="Arial" w:cs="Arial"/>
          <w:lang w:eastAsia="es-MX"/>
        </w:rPr>
      </w:pPr>
    </w:p>
    <w:p w14:paraId="2268DD65" w14:textId="77777777" w:rsidR="00EC00ED" w:rsidRPr="00EC00ED" w:rsidRDefault="00EC00ED" w:rsidP="00EC00ED">
      <w:pPr>
        <w:spacing w:after="0" w:line="240" w:lineRule="auto"/>
        <w:contextualSpacing/>
        <w:rPr>
          <w:rFonts w:ascii="Arial" w:eastAsia="Calibri" w:hAnsi="Arial" w:cs="Arial"/>
          <w:lang w:eastAsia="es-MX"/>
        </w:rPr>
      </w:pPr>
    </w:p>
    <w:p w14:paraId="2C022D08" w14:textId="77777777" w:rsidR="00EC00ED" w:rsidRPr="00EC00ED" w:rsidRDefault="00EC00ED" w:rsidP="00EC00ED">
      <w:pPr>
        <w:spacing w:after="0" w:line="240" w:lineRule="auto"/>
        <w:contextualSpacing/>
        <w:rPr>
          <w:rFonts w:ascii="Arial" w:eastAsia="Calibri" w:hAnsi="Arial" w:cs="Arial"/>
          <w:lang w:eastAsia="es-MX"/>
        </w:rPr>
      </w:pPr>
    </w:p>
    <w:p w14:paraId="6A864E5E" w14:textId="77777777" w:rsidR="00EC00ED" w:rsidRPr="00EC00ED" w:rsidRDefault="00EC00ED" w:rsidP="00EC00ED">
      <w:pPr>
        <w:spacing w:after="0" w:line="240" w:lineRule="auto"/>
        <w:contextualSpacing/>
        <w:rPr>
          <w:rFonts w:ascii="Arial" w:eastAsia="Calibri" w:hAnsi="Arial" w:cs="Arial"/>
          <w:lang w:eastAsia="es-MX"/>
        </w:rPr>
      </w:pPr>
    </w:p>
    <w:p w14:paraId="3D794A69" w14:textId="77777777" w:rsidR="00EC00ED" w:rsidRPr="00EC00ED" w:rsidRDefault="00EC00ED" w:rsidP="00EC00ED">
      <w:pPr>
        <w:spacing w:after="0" w:line="240" w:lineRule="auto"/>
        <w:contextualSpacing/>
        <w:rPr>
          <w:rFonts w:ascii="Arial" w:eastAsia="Calibri" w:hAnsi="Arial" w:cs="Arial"/>
          <w:lang w:eastAsia="es-MX"/>
        </w:rPr>
      </w:pPr>
    </w:p>
    <w:p w14:paraId="712864F3" w14:textId="77777777" w:rsidR="00EC00ED" w:rsidRPr="00EC00ED" w:rsidRDefault="00EC00ED" w:rsidP="00EC00ED">
      <w:pPr>
        <w:spacing w:after="0" w:line="240" w:lineRule="auto"/>
        <w:contextualSpacing/>
        <w:rPr>
          <w:rFonts w:ascii="Arial" w:eastAsia="Calibri" w:hAnsi="Arial" w:cs="Arial"/>
          <w:lang w:eastAsia="es-MX"/>
        </w:rPr>
      </w:pPr>
    </w:p>
    <w:p w14:paraId="35B5B112" w14:textId="77777777" w:rsidR="00EC00ED" w:rsidRPr="00EC00ED" w:rsidRDefault="00EC00ED" w:rsidP="00EC00ED">
      <w:pPr>
        <w:spacing w:after="0" w:line="240" w:lineRule="auto"/>
        <w:contextualSpacing/>
        <w:rPr>
          <w:rFonts w:ascii="Arial" w:eastAsia="Calibri" w:hAnsi="Arial" w:cs="Arial"/>
          <w:lang w:eastAsia="es-MX"/>
        </w:rPr>
      </w:pPr>
    </w:p>
    <w:p w14:paraId="1656BD82" w14:textId="77777777" w:rsidR="00EC00ED" w:rsidRPr="00EC00ED" w:rsidRDefault="00EC00ED" w:rsidP="00EC00ED">
      <w:pPr>
        <w:spacing w:after="0" w:line="240" w:lineRule="auto"/>
        <w:contextualSpacing/>
        <w:rPr>
          <w:rFonts w:ascii="Arial" w:eastAsia="Calibri" w:hAnsi="Arial" w:cs="Arial"/>
          <w:lang w:eastAsia="es-MX"/>
        </w:rPr>
      </w:pPr>
    </w:p>
    <w:p w14:paraId="18B0E006" w14:textId="77777777" w:rsidR="00EC00ED" w:rsidRPr="00EC00ED" w:rsidRDefault="00EC00ED" w:rsidP="00EC00ED">
      <w:pPr>
        <w:spacing w:after="0" w:line="240" w:lineRule="auto"/>
        <w:contextualSpacing/>
        <w:rPr>
          <w:rFonts w:ascii="Arial" w:eastAsia="Calibri" w:hAnsi="Arial" w:cs="Arial"/>
          <w:lang w:eastAsia="es-MX"/>
        </w:rPr>
      </w:pPr>
    </w:p>
    <w:p w14:paraId="548EF7B5" w14:textId="77777777" w:rsidR="00EC00ED" w:rsidRPr="00EC00ED" w:rsidRDefault="00EC00ED" w:rsidP="00EC00ED">
      <w:pPr>
        <w:spacing w:after="0" w:line="240" w:lineRule="auto"/>
        <w:contextualSpacing/>
        <w:rPr>
          <w:rFonts w:ascii="Arial" w:eastAsia="Calibri" w:hAnsi="Arial" w:cs="Arial"/>
          <w:lang w:eastAsia="es-MX"/>
        </w:rPr>
      </w:pPr>
    </w:p>
    <w:p w14:paraId="0BC1B712" w14:textId="77777777" w:rsidR="00EC00ED" w:rsidRPr="00EC00ED" w:rsidRDefault="00EC00ED" w:rsidP="00EC00ED">
      <w:pPr>
        <w:spacing w:after="0" w:line="240" w:lineRule="auto"/>
        <w:contextualSpacing/>
        <w:rPr>
          <w:rFonts w:ascii="Arial" w:eastAsia="Calibri" w:hAnsi="Arial" w:cs="Arial"/>
          <w:lang w:eastAsia="es-MX"/>
        </w:rPr>
      </w:pPr>
    </w:p>
    <w:p w14:paraId="2198D8A0" w14:textId="77777777" w:rsidR="00EC00ED" w:rsidRPr="00EC00ED" w:rsidRDefault="00EC00ED" w:rsidP="00EC00ED">
      <w:pPr>
        <w:spacing w:after="0" w:line="240" w:lineRule="auto"/>
        <w:contextualSpacing/>
        <w:rPr>
          <w:rFonts w:ascii="Arial" w:eastAsia="Calibri" w:hAnsi="Arial" w:cs="Arial"/>
          <w:lang w:eastAsia="es-MX"/>
        </w:rPr>
      </w:pPr>
    </w:p>
    <w:p w14:paraId="7FBB369B" w14:textId="77777777" w:rsidR="00EC00ED" w:rsidRPr="00EC00ED" w:rsidRDefault="00EC00ED" w:rsidP="00EC00ED">
      <w:pPr>
        <w:spacing w:after="0" w:line="240" w:lineRule="auto"/>
        <w:contextualSpacing/>
        <w:rPr>
          <w:rFonts w:ascii="Arial" w:eastAsia="Calibri" w:hAnsi="Arial" w:cs="Arial"/>
          <w:lang w:eastAsia="es-MX"/>
        </w:rPr>
      </w:pPr>
    </w:p>
    <w:p w14:paraId="4C2AD943" w14:textId="77777777" w:rsidR="00EC00ED" w:rsidRPr="00EC00ED" w:rsidRDefault="00EC00ED" w:rsidP="00EC00ED">
      <w:pPr>
        <w:spacing w:after="0" w:line="240" w:lineRule="auto"/>
        <w:contextualSpacing/>
        <w:rPr>
          <w:rFonts w:ascii="Arial" w:eastAsia="Calibri" w:hAnsi="Arial" w:cs="Arial"/>
          <w:lang w:eastAsia="es-MX"/>
        </w:rPr>
      </w:pPr>
    </w:p>
    <w:p w14:paraId="22DDAA0C" w14:textId="77777777" w:rsidR="00EC00ED" w:rsidRPr="00EC00ED" w:rsidRDefault="00EC00ED" w:rsidP="00EC00ED">
      <w:pPr>
        <w:spacing w:after="0" w:line="240" w:lineRule="auto"/>
        <w:contextualSpacing/>
        <w:rPr>
          <w:rFonts w:ascii="Arial" w:eastAsia="Calibri" w:hAnsi="Arial" w:cs="Arial"/>
          <w:lang w:eastAsia="es-MX"/>
        </w:rPr>
      </w:pPr>
    </w:p>
    <w:p w14:paraId="2CD14582" w14:textId="77777777" w:rsidR="00EC00ED" w:rsidRPr="00EC00ED" w:rsidRDefault="00EC00ED" w:rsidP="00EC00ED">
      <w:pPr>
        <w:spacing w:after="0" w:line="240" w:lineRule="auto"/>
        <w:contextualSpacing/>
        <w:rPr>
          <w:rFonts w:ascii="Arial" w:eastAsia="Calibri" w:hAnsi="Arial" w:cs="Arial"/>
          <w:lang w:eastAsia="es-MX"/>
        </w:rPr>
      </w:pPr>
    </w:p>
    <w:p w14:paraId="73645A13" w14:textId="77777777" w:rsidR="00EC00ED" w:rsidRPr="00EC00ED" w:rsidRDefault="00EC00ED" w:rsidP="00EC00ED">
      <w:pPr>
        <w:spacing w:after="0" w:line="240" w:lineRule="auto"/>
        <w:contextualSpacing/>
        <w:rPr>
          <w:rFonts w:ascii="Arial" w:eastAsia="Calibri" w:hAnsi="Arial" w:cs="Arial"/>
          <w:lang w:eastAsia="es-MX"/>
        </w:rPr>
      </w:pPr>
    </w:p>
    <w:p w14:paraId="6BE0808A" w14:textId="77777777" w:rsidR="00EC00ED" w:rsidRPr="00EC00ED" w:rsidRDefault="00EC00ED" w:rsidP="00EC00ED">
      <w:pPr>
        <w:spacing w:after="0" w:line="240" w:lineRule="auto"/>
        <w:contextualSpacing/>
        <w:rPr>
          <w:rFonts w:ascii="Arial" w:eastAsia="Calibri" w:hAnsi="Arial" w:cs="Arial"/>
          <w:lang w:eastAsia="es-MX"/>
        </w:rPr>
      </w:pPr>
    </w:p>
    <w:p w14:paraId="1EB00EDE" w14:textId="77777777" w:rsidR="00EC00ED" w:rsidRPr="00EC00ED" w:rsidRDefault="00EC00ED" w:rsidP="00EC00ED">
      <w:pPr>
        <w:spacing w:after="0" w:line="240" w:lineRule="auto"/>
        <w:contextualSpacing/>
        <w:rPr>
          <w:rFonts w:ascii="Arial" w:eastAsia="Calibri" w:hAnsi="Arial" w:cs="Arial"/>
          <w:lang w:eastAsia="es-MX"/>
        </w:rPr>
      </w:pPr>
    </w:p>
    <w:p w14:paraId="6337214E" w14:textId="77777777" w:rsidR="00EC00ED" w:rsidRPr="00EC00ED" w:rsidRDefault="00EC00ED" w:rsidP="00EC00ED">
      <w:pPr>
        <w:spacing w:after="0" w:line="240" w:lineRule="auto"/>
        <w:contextualSpacing/>
        <w:rPr>
          <w:rFonts w:ascii="Arial" w:eastAsia="Calibri" w:hAnsi="Arial" w:cs="Arial"/>
          <w:lang w:eastAsia="es-MX"/>
        </w:rPr>
      </w:pPr>
    </w:p>
    <w:p w14:paraId="55059230" w14:textId="77777777" w:rsidR="00EC00ED" w:rsidRPr="00EC00ED" w:rsidRDefault="00EC00ED" w:rsidP="00EC00ED">
      <w:pPr>
        <w:spacing w:after="0" w:line="240" w:lineRule="auto"/>
        <w:contextualSpacing/>
        <w:rPr>
          <w:rFonts w:ascii="Arial" w:eastAsia="Calibri" w:hAnsi="Arial" w:cs="Arial"/>
          <w:lang w:eastAsia="es-MX"/>
        </w:rPr>
      </w:pPr>
    </w:p>
    <w:p w14:paraId="51C62802" w14:textId="77777777" w:rsidR="00EC00ED" w:rsidRPr="00EC00ED" w:rsidRDefault="00EC00ED" w:rsidP="00EC00ED">
      <w:pPr>
        <w:spacing w:after="0" w:line="240" w:lineRule="auto"/>
        <w:contextualSpacing/>
        <w:rPr>
          <w:rFonts w:ascii="Arial" w:eastAsia="Calibri" w:hAnsi="Arial" w:cs="Arial"/>
          <w:lang w:eastAsia="es-MX"/>
        </w:rPr>
      </w:pPr>
    </w:p>
    <w:p w14:paraId="39F9B622" w14:textId="77777777" w:rsidR="00EC00ED" w:rsidRPr="00EC00ED" w:rsidRDefault="00EC00ED" w:rsidP="00EC00ED">
      <w:pPr>
        <w:spacing w:after="0" w:line="240" w:lineRule="auto"/>
        <w:contextualSpacing/>
        <w:rPr>
          <w:rFonts w:ascii="Arial" w:eastAsia="Calibri" w:hAnsi="Arial" w:cs="Arial"/>
          <w:lang w:eastAsia="es-MX"/>
        </w:rPr>
      </w:pPr>
    </w:p>
    <w:p w14:paraId="3BCD1549" w14:textId="77777777" w:rsidR="00EC00ED" w:rsidRPr="00EC00ED" w:rsidRDefault="00EC00ED" w:rsidP="00EC00ED">
      <w:pPr>
        <w:spacing w:after="0" w:line="240" w:lineRule="auto"/>
        <w:contextualSpacing/>
        <w:rPr>
          <w:rFonts w:ascii="Arial" w:eastAsia="Calibri" w:hAnsi="Arial" w:cs="Arial"/>
          <w:lang w:eastAsia="es-MX"/>
        </w:rPr>
      </w:pPr>
    </w:p>
    <w:p w14:paraId="45B670AE" w14:textId="77777777" w:rsidR="00EC00ED" w:rsidRPr="00EC00ED" w:rsidRDefault="00EC00ED" w:rsidP="00EC00ED">
      <w:pPr>
        <w:spacing w:after="0" w:line="240" w:lineRule="auto"/>
        <w:contextualSpacing/>
        <w:rPr>
          <w:rFonts w:ascii="Arial" w:eastAsia="Calibri" w:hAnsi="Arial" w:cs="Arial"/>
          <w:lang w:eastAsia="es-MX"/>
        </w:rPr>
      </w:pPr>
    </w:p>
    <w:p w14:paraId="3E050BD0" w14:textId="55169FF2" w:rsidR="22CB5A06" w:rsidRDefault="22CB5A06">
      <w:r>
        <w:br w:type="page"/>
      </w:r>
    </w:p>
    <w:p w14:paraId="030D90EA" w14:textId="77777777" w:rsidR="00EC00ED" w:rsidRPr="00EC00ED" w:rsidRDefault="00EC00ED" w:rsidP="00EC00ED">
      <w:pPr>
        <w:spacing w:after="0" w:line="240" w:lineRule="auto"/>
        <w:contextualSpacing/>
        <w:rPr>
          <w:rFonts w:ascii="Arial" w:eastAsia="Calibri" w:hAnsi="Arial" w:cs="Arial"/>
          <w:lang w:eastAsia="es-MX"/>
        </w:rPr>
      </w:pPr>
    </w:p>
    <w:p w14:paraId="3A7D2259" w14:textId="77777777" w:rsidR="00EC00ED" w:rsidRPr="00EC00ED" w:rsidRDefault="00EC00ED" w:rsidP="00EC00ED">
      <w:pPr>
        <w:spacing w:after="0" w:line="240" w:lineRule="auto"/>
        <w:contextualSpacing/>
        <w:rPr>
          <w:rFonts w:ascii="Arial" w:eastAsia="Calibri" w:hAnsi="Arial" w:cs="Arial"/>
          <w:lang w:eastAsia="es-MX"/>
        </w:rPr>
      </w:pPr>
    </w:p>
    <w:p w14:paraId="74687A46" w14:textId="77777777" w:rsidR="00EC00ED" w:rsidRPr="00EC00ED" w:rsidRDefault="00EC00ED" w:rsidP="00EC00ED">
      <w:pPr>
        <w:spacing w:after="0" w:line="240" w:lineRule="auto"/>
        <w:contextualSpacing/>
        <w:rPr>
          <w:rFonts w:ascii="Arial" w:eastAsia="Calibri" w:hAnsi="Arial" w:cs="Arial"/>
          <w:lang w:eastAsia="es-MX"/>
        </w:rPr>
      </w:pPr>
      <w:r w:rsidRPr="00EC00ED">
        <w:rPr>
          <w:rFonts w:ascii="Arial" w:eastAsia="Calibri" w:hAnsi="Arial" w:cs="Arial"/>
          <w:lang w:eastAsia="es-MX"/>
        </w:rPr>
        <w:t>Señora</w:t>
      </w:r>
    </w:p>
    <w:p w14:paraId="6727C092" w14:textId="77777777" w:rsidR="00EC00ED" w:rsidRPr="00EC00ED" w:rsidRDefault="00EC00ED" w:rsidP="00EC00ED">
      <w:pPr>
        <w:spacing w:after="0" w:line="240" w:lineRule="auto"/>
        <w:contextualSpacing/>
        <w:rPr>
          <w:rFonts w:ascii="Arial" w:eastAsia="Calibri" w:hAnsi="Arial" w:cs="Arial"/>
          <w:b/>
          <w:bCs/>
          <w:lang w:eastAsia="es-MX"/>
        </w:rPr>
      </w:pPr>
      <w:r w:rsidRPr="00EC00ED">
        <w:rPr>
          <w:rFonts w:ascii="Arial" w:eastAsia="Calibri" w:hAnsi="Arial" w:cs="Arial"/>
          <w:b/>
          <w:bCs/>
          <w:lang w:eastAsia="es-MX"/>
        </w:rPr>
        <w:t xml:space="preserve">Karen Lizet Acevedo Ruiz </w:t>
      </w:r>
    </w:p>
    <w:p w14:paraId="7B1385AA" w14:textId="77777777" w:rsidR="00EC00ED" w:rsidRPr="00EC00ED" w:rsidRDefault="00EC00ED" w:rsidP="00EC00ED">
      <w:pPr>
        <w:spacing w:after="0" w:line="240" w:lineRule="auto"/>
        <w:contextualSpacing/>
        <w:rPr>
          <w:rFonts w:ascii="Arial" w:eastAsia="Calibri" w:hAnsi="Arial" w:cs="Arial"/>
          <w:lang w:eastAsia="es-MX"/>
        </w:rPr>
      </w:pPr>
      <w:r w:rsidRPr="00EC00ED">
        <w:rPr>
          <w:rFonts w:ascii="Arial" w:eastAsia="Calibri" w:hAnsi="Arial" w:cs="Arial"/>
          <w:lang w:eastAsia="es-MX"/>
        </w:rPr>
        <w:t>Bogotá, D.C.</w:t>
      </w:r>
    </w:p>
    <w:p w14:paraId="36FBC8CA" w14:textId="77777777" w:rsidR="00EC00ED" w:rsidRPr="00EC00ED" w:rsidRDefault="00EC00ED" w:rsidP="00EC00ED">
      <w:pPr>
        <w:spacing w:after="0" w:line="240" w:lineRule="auto"/>
        <w:contextualSpacing/>
        <w:rPr>
          <w:rFonts w:ascii="Arial" w:eastAsia="Calibri" w:hAnsi="Arial" w:cs="Arial"/>
          <w:lang w:eastAsia="es-MX"/>
        </w:rPr>
      </w:pPr>
    </w:p>
    <w:p w14:paraId="7452B4F0" w14:textId="77777777" w:rsidR="00EC00ED" w:rsidRPr="00EC00ED" w:rsidRDefault="00EC00ED" w:rsidP="00EC00ED">
      <w:pPr>
        <w:spacing w:after="0" w:line="240" w:lineRule="auto"/>
        <w:ind w:left="2124" w:firstLine="708"/>
        <w:contextualSpacing/>
        <w:rPr>
          <w:rFonts w:ascii="Arial" w:eastAsia="Calibri" w:hAnsi="Arial" w:cs="Arial"/>
          <w:b/>
          <w:lang w:eastAsia="es-MX"/>
        </w:rPr>
      </w:pPr>
      <w:r w:rsidRPr="00EC00ED">
        <w:rPr>
          <w:rFonts w:ascii="Arial" w:eastAsia="Calibri" w:hAnsi="Arial" w:cs="Arial"/>
          <w:b/>
          <w:lang w:eastAsia="es-MX"/>
        </w:rPr>
        <w:t>Concepto C–271 de 2023</w:t>
      </w:r>
    </w:p>
    <w:p w14:paraId="23F446F0" w14:textId="77777777" w:rsidR="00EC00ED" w:rsidRPr="00EC00ED" w:rsidRDefault="00EC00ED" w:rsidP="00EC00ED">
      <w:pPr>
        <w:spacing w:after="0" w:line="240" w:lineRule="auto"/>
        <w:contextualSpacing/>
        <w:rPr>
          <w:rFonts w:ascii="Arial" w:eastAsia="Calibri" w:hAnsi="Arial" w:cs="Arial"/>
          <w:lang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45"/>
        <w:gridCol w:w="6481"/>
      </w:tblGrid>
      <w:tr w:rsidR="00EC00ED" w:rsidRPr="00EC00ED" w14:paraId="4CF07121" w14:textId="77777777" w:rsidTr="54974D71">
        <w:tc>
          <w:tcPr>
            <w:tcW w:w="2445" w:type="dxa"/>
            <w:hideMark/>
          </w:tcPr>
          <w:p w14:paraId="6D522074" w14:textId="77777777" w:rsidR="00EC00ED" w:rsidRPr="00EC00ED" w:rsidRDefault="00EC00ED" w:rsidP="00EC00ED">
            <w:pPr>
              <w:contextualSpacing/>
              <w:rPr>
                <w:rFonts w:ascii="Arial" w:eastAsia="Calibri" w:hAnsi="Arial" w:cs="Arial"/>
                <w:lang w:eastAsia="es-MX"/>
              </w:rPr>
            </w:pPr>
            <w:r w:rsidRPr="00EC00ED">
              <w:rPr>
                <w:rFonts w:ascii="Arial" w:eastAsia="Calibri" w:hAnsi="Arial" w:cs="Arial"/>
                <w:b/>
                <w:lang w:eastAsia="es-MX"/>
              </w:rPr>
              <w:t>Temas:</w:t>
            </w:r>
            <w:r w:rsidRPr="00EC00ED">
              <w:rPr>
                <w:rFonts w:ascii="Arial" w:eastAsia="Calibri" w:hAnsi="Arial" w:cs="Arial"/>
                <w:lang w:eastAsia="es-MX"/>
              </w:rPr>
              <w:t xml:space="preserve"> </w:t>
            </w:r>
          </w:p>
        </w:tc>
        <w:tc>
          <w:tcPr>
            <w:tcW w:w="6481" w:type="dxa"/>
            <w:hideMark/>
          </w:tcPr>
          <w:p w14:paraId="02B3F5FC" w14:textId="77777777" w:rsidR="00EC00ED" w:rsidRPr="00EC00ED" w:rsidRDefault="00EC00ED" w:rsidP="00EC00ED">
            <w:pPr>
              <w:tabs>
                <w:tab w:val="left" w:pos="0"/>
              </w:tabs>
              <w:ind w:left="11"/>
              <w:jc w:val="both"/>
              <w:rPr>
                <w:rFonts w:ascii="Arial" w:hAnsi="Arial" w:cs="Arial"/>
                <w:bCs/>
                <w:color w:val="000000" w:themeColor="text1"/>
                <w:highlight w:val="yellow"/>
                <w:lang w:val="es-ES"/>
              </w:rPr>
            </w:pPr>
            <w:r w:rsidRPr="00EC00ED">
              <w:rPr>
                <w:rFonts w:ascii="Arial" w:hAnsi="Arial" w:cs="Arial"/>
                <w:color w:val="000000"/>
              </w:rPr>
              <w:t xml:space="preserve">DOCUMENTOS TIPO – Fundamento normativo/ </w:t>
            </w:r>
            <w:r w:rsidRPr="00EC00ED">
              <w:rPr>
                <w:rFonts w:ascii="Arial" w:eastAsia="Calibri" w:hAnsi="Arial" w:cs="Arial"/>
              </w:rPr>
              <w:t xml:space="preserve">CAPACIDAD RESIDUAL – Documentos tipo – Experiencia / CAPACIDAD RESIDUAL – Documentos tipo − </w:t>
            </w:r>
            <w:r w:rsidRPr="00EC00ED">
              <w:rPr>
                <w:rFonts w:ascii="Arial" w:eastAsia="Calibri" w:hAnsi="Arial" w:cs="Arial"/>
                <w:color w:val="000000"/>
                <w:lang w:eastAsia="en-GB"/>
              </w:rPr>
              <w:t xml:space="preserve">Causales de rechazo de la oferta – Licitación Pública / </w:t>
            </w:r>
            <w:r w:rsidRPr="00EC00ED">
              <w:rPr>
                <w:rFonts w:ascii="Arial" w:eastAsia="Calibri" w:hAnsi="Arial" w:cs="Arial"/>
                <w:lang w:val="es-ES_tradnl"/>
              </w:rPr>
              <w:t xml:space="preserve">CAPACIDAD RESIDUAL – Deber de reportar la totalidad de contratos – Cargas – Proponente / </w:t>
            </w:r>
            <w:r w:rsidRPr="00EC00ED">
              <w:rPr>
                <w:rFonts w:ascii="Arial" w:hAnsi="Arial" w:cs="Arial"/>
              </w:rPr>
              <w:t>CAPACIDAD RESIDUAL- Requisito Habilitante – Subsanación – Aclaración</w:t>
            </w:r>
          </w:p>
        </w:tc>
      </w:tr>
      <w:tr w:rsidR="00EC00ED" w:rsidRPr="00EC00ED" w14:paraId="39F79D6B" w14:textId="77777777" w:rsidTr="54974D71">
        <w:trPr>
          <w:trHeight w:val="331"/>
        </w:trPr>
        <w:tc>
          <w:tcPr>
            <w:tcW w:w="2445" w:type="dxa"/>
          </w:tcPr>
          <w:p w14:paraId="3F30DBC1" w14:textId="77777777" w:rsidR="00EC00ED" w:rsidRPr="00EC00ED" w:rsidRDefault="00EC00ED" w:rsidP="00EC00ED">
            <w:pPr>
              <w:contextualSpacing/>
              <w:rPr>
                <w:rFonts w:ascii="Arial" w:eastAsia="Calibri" w:hAnsi="Arial" w:cs="Arial"/>
                <w:b/>
                <w:bCs/>
                <w:lang w:eastAsia="es-MX"/>
              </w:rPr>
            </w:pPr>
          </w:p>
          <w:p w14:paraId="506B40A5" w14:textId="77777777" w:rsidR="00EC00ED" w:rsidRPr="00EC00ED" w:rsidRDefault="00EC00ED" w:rsidP="00EC00ED">
            <w:pPr>
              <w:contextualSpacing/>
              <w:rPr>
                <w:rFonts w:ascii="Arial" w:eastAsia="Calibri" w:hAnsi="Arial" w:cs="Arial"/>
                <w:b/>
                <w:bCs/>
                <w:lang w:eastAsia="es-MX"/>
              </w:rPr>
            </w:pPr>
            <w:r w:rsidRPr="00EC00ED">
              <w:rPr>
                <w:rFonts w:ascii="Arial" w:eastAsia="Calibri" w:hAnsi="Arial" w:cs="Arial"/>
                <w:b/>
                <w:bCs/>
                <w:lang w:eastAsia="es-MX"/>
              </w:rPr>
              <w:t>Radicación:</w:t>
            </w:r>
          </w:p>
        </w:tc>
        <w:tc>
          <w:tcPr>
            <w:tcW w:w="6481" w:type="dxa"/>
          </w:tcPr>
          <w:p w14:paraId="3D9BE95C" w14:textId="77777777" w:rsidR="00EC00ED" w:rsidRPr="00EC00ED" w:rsidRDefault="00EC00ED" w:rsidP="00EC00ED">
            <w:pPr>
              <w:contextualSpacing/>
              <w:jc w:val="both"/>
              <w:rPr>
                <w:rFonts w:ascii="Arial" w:eastAsia="Calibri" w:hAnsi="Arial" w:cs="Arial"/>
                <w:lang w:eastAsia="es-MX"/>
              </w:rPr>
            </w:pPr>
          </w:p>
          <w:p w14:paraId="21544C16" w14:textId="77777777" w:rsidR="00EC00ED" w:rsidRPr="00EC00ED" w:rsidRDefault="00EC00ED" w:rsidP="00EC00ED">
            <w:pPr>
              <w:contextualSpacing/>
              <w:jc w:val="both"/>
              <w:rPr>
                <w:rFonts w:ascii="Arial" w:eastAsia="Calibri" w:hAnsi="Arial" w:cs="Arial"/>
                <w:lang w:eastAsia="es-MX"/>
              </w:rPr>
            </w:pPr>
            <w:r w:rsidRPr="00EC00ED">
              <w:rPr>
                <w:rFonts w:ascii="Arial" w:eastAsia="Calibri" w:hAnsi="Arial" w:cs="Arial"/>
                <w:lang w:eastAsia="es-MX"/>
              </w:rPr>
              <w:t>Respuesta a consulta No. P20230707013061</w:t>
            </w:r>
          </w:p>
        </w:tc>
      </w:tr>
    </w:tbl>
    <w:p w14:paraId="6B5ED8E7" w14:textId="77777777" w:rsidR="00EC00ED" w:rsidRPr="00EC00ED" w:rsidRDefault="00EC00ED" w:rsidP="00EC00ED">
      <w:pPr>
        <w:spacing w:after="0" w:line="276" w:lineRule="auto"/>
        <w:contextualSpacing/>
        <w:rPr>
          <w:rFonts w:ascii="Arial" w:eastAsia="Calibri" w:hAnsi="Arial" w:cs="Arial"/>
          <w:lang w:eastAsia="es-MX"/>
        </w:rPr>
      </w:pPr>
    </w:p>
    <w:p w14:paraId="30B3F740" w14:textId="77777777" w:rsidR="00EC00ED" w:rsidRPr="00EC00ED" w:rsidRDefault="00EC00ED" w:rsidP="00EC00ED">
      <w:pPr>
        <w:spacing w:after="0" w:line="276" w:lineRule="auto"/>
        <w:contextualSpacing/>
        <w:rPr>
          <w:rFonts w:ascii="Arial" w:eastAsia="Calibri" w:hAnsi="Arial" w:cs="Arial"/>
          <w:lang w:eastAsia="es-MX"/>
        </w:rPr>
      </w:pPr>
      <w:r w:rsidRPr="00EC00ED">
        <w:rPr>
          <w:rFonts w:ascii="Arial" w:eastAsia="Calibri" w:hAnsi="Arial" w:cs="Arial"/>
          <w:lang w:eastAsia="es-MX"/>
        </w:rPr>
        <w:t>Respetada señora Acevedo Ruiz</w:t>
      </w:r>
      <w:r w:rsidRPr="00EC00ED">
        <w:rPr>
          <w:rFonts w:ascii="Arial" w:hAnsi="Arial" w:cs="Arial"/>
        </w:rPr>
        <w:t>:</w:t>
      </w:r>
    </w:p>
    <w:p w14:paraId="03212A4B" w14:textId="77777777" w:rsidR="00EC00ED" w:rsidRPr="00EC00ED" w:rsidRDefault="00EC00ED" w:rsidP="00EC00ED">
      <w:pPr>
        <w:spacing w:after="0" w:line="276" w:lineRule="auto"/>
        <w:contextualSpacing/>
        <w:rPr>
          <w:rFonts w:ascii="Arial" w:eastAsia="Calibri" w:hAnsi="Arial" w:cs="Arial"/>
          <w:lang w:eastAsia="es-MX"/>
        </w:rPr>
      </w:pPr>
    </w:p>
    <w:p w14:paraId="2A604322" w14:textId="77777777" w:rsidR="00EC00ED" w:rsidRPr="00EC00ED" w:rsidRDefault="00EC00ED" w:rsidP="00EC00ED">
      <w:pPr>
        <w:spacing w:after="0" w:line="276" w:lineRule="auto"/>
        <w:contextualSpacing/>
        <w:jc w:val="both"/>
        <w:rPr>
          <w:rFonts w:ascii="Arial" w:eastAsia="Calibri" w:hAnsi="Arial" w:cs="Arial"/>
          <w:lang w:eastAsia="es-MX"/>
        </w:rPr>
      </w:pPr>
      <w:r w:rsidRPr="00EC00ED">
        <w:rPr>
          <w:rFonts w:ascii="Arial" w:eastAsia="Calibri" w:hAnsi="Arial" w:cs="Arial"/>
          <w:lang w:eastAsia="es-MX"/>
        </w:rPr>
        <w:t>En ejercicio de la competencia otorgada por el numeral 8 del artículo 11 y el numeral 5 del artículo 3 del Decreto Ley 4170 de 2011, la Agencia Nacional de Contratación Pública – Colombia Compra Eficiente responde su consulta del 07 de julio de 2023.</w:t>
      </w:r>
    </w:p>
    <w:p w14:paraId="49FC388F" w14:textId="77777777" w:rsidR="00EC00ED" w:rsidRPr="00EC00ED" w:rsidRDefault="00EC00ED" w:rsidP="00EC00ED">
      <w:pPr>
        <w:spacing w:after="0" w:line="276" w:lineRule="auto"/>
        <w:contextualSpacing/>
        <w:jc w:val="both"/>
        <w:rPr>
          <w:rFonts w:ascii="Arial" w:eastAsia="Calibri" w:hAnsi="Arial" w:cs="Arial"/>
          <w:lang w:eastAsia="es-MX"/>
        </w:rPr>
      </w:pPr>
    </w:p>
    <w:p w14:paraId="6C12A22F" w14:textId="77777777" w:rsidR="00EC00ED" w:rsidRPr="00EC00ED" w:rsidRDefault="00EC00ED" w:rsidP="00EC00ED">
      <w:pPr>
        <w:numPr>
          <w:ilvl w:val="0"/>
          <w:numId w:val="6"/>
        </w:numPr>
        <w:tabs>
          <w:tab w:val="left" w:pos="284"/>
        </w:tabs>
        <w:spacing w:after="0" w:line="276" w:lineRule="auto"/>
        <w:ind w:left="360"/>
        <w:contextualSpacing/>
        <w:jc w:val="both"/>
        <w:rPr>
          <w:rFonts w:ascii="Arial" w:eastAsia="Calibri" w:hAnsi="Arial" w:cs="Arial"/>
          <w:b/>
          <w:lang w:eastAsia="es-MX"/>
        </w:rPr>
      </w:pPr>
      <w:r w:rsidRPr="00EC00ED">
        <w:rPr>
          <w:rFonts w:ascii="Arial" w:eastAsia="Calibri" w:hAnsi="Arial" w:cs="Arial"/>
          <w:b/>
          <w:lang w:eastAsia="es-MX"/>
        </w:rPr>
        <w:t>Problema planteado</w:t>
      </w:r>
      <w:bookmarkStart w:id="1" w:name="_Hlk68679800"/>
    </w:p>
    <w:p w14:paraId="21E4D5EB" w14:textId="77777777" w:rsidR="00EC00ED" w:rsidRPr="00EC00ED" w:rsidRDefault="00EC00ED" w:rsidP="00EC00ED">
      <w:pPr>
        <w:tabs>
          <w:tab w:val="left" w:pos="284"/>
        </w:tabs>
        <w:spacing w:after="0" w:line="276" w:lineRule="auto"/>
        <w:ind w:left="720"/>
        <w:contextualSpacing/>
        <w:jc w:val="both"/>
        <w:rPr>
          <w:rFonts w:ascii="Arial" w:eastAsia="Calibri" w:hAnsi="Arial" w:cs="Arial"/>
          <w:b/>
          <w:lang w:eastAsia="es-MX"/>
        </w:rPr>
      </w:pPr>
    </w:p>
    <w:p w14:paraId="62EF6120" w14:textId="77777777" w:rsidR="00EC00ED" w:rsidRPr="00EC00ED" w:rsidRDefault="00EC00ED" w:rsidP="00EC00ED">
      <w:pPr>
        <w:spacing w:after="0" w:line="276" w:lineRule="auto"/>
        <w:contextualSpacing/>
        <w:jc w:val="both"/>
        <w:rPr>
          <w:rFonts w:ascii="Arial" w:eastAsia="Calibri" w:hAnsi="Arial" w:cs="Arial"/>
          <w:lang w:eastAsia="es-MX"/>
        </w:rPr>
      </w:pPr>
      <w:r w:rsidRPr="00EC00ED">
        <w:rPr>
          <w:rFonts w:ascii="Arial" w:eastAsia="Calibri" w:hAnsi="Arial" w:cs="Arial"/>
          <w:lang w:eastAsia="es-MX"/>
        </w:rPr>
        <w:t xml:space="preserve">En relación con los documentos tipo expedidos por esta Agencia, usted realiza la siguiente consulta: </w:t>
      </w:r>
    </w:p>
    <w:p w14:paraId="146DF0C7" w14:textId="77777777" w:rsidR="00EC00ED" w:rsidRPr="00EC00ED" w:rsidRDefault="00EC00ED" w:rsidP="00EC00ED">
      <w:pPr>
        <w:spacing w:after="0" w:line="240" w:lineRule="auto"/>
        <w:ind w:left="709" w:right="709"/>
        <w:contextualSpacing/>
        <w:jc w:val="both"/>
        <w:rPr>
          <w:rFonts w:ascii="Arial" w:hAnsi="Arial" w:cs="Arial"/>
          <w:sz w:val="21"/>
          <w:szCs w:val="21"/>
        </w:rPr>
      </w:pPr>
    </w:p>
    <w:bookmarkEnd w:id="1"/>
    <w:p w14:paraId="58BAC833" w14:textId="77777777" w:rsidR="00EC00ED" w:rsidRPr="00EC00ED" w:rsidRDefault="00EC00ED" w:rsidP="00EC00ED">
      <w:pPr>
        <w:spacing w:after="120" w:line="240" w:lineRule="auto"/>
        <w:ind w:left="709" w:right="709"/>
        <w:jc w:val="both"/>
        <w:rPr>
          <w:rFonts w:ascii="Arial" w:hAnsi="Arial" w:cs="Arial"/>
          <w:sz w:val="21"/>
          <w:szCs w:val="21"/>
        </w:rPr>
      </w:pPr>
      <w:r w:rsidRPr="00EC00ED">
        <w:rPr>
          <w:rFonts w:ascii="Arial" w:hAnsi="Arial" w:cs="Arial"/>
          <w:sz w:val="21"/>
          <w:szCs w:val="21"/>
        </w:rPr>
        <w:t xml:space="preserve">“El pliego tipo trae como causal de rechazo (No informar todos los contratos que el Proponente tenga en ejecución antes del cierre, necesarios para acreditar su capacidad residual conforme a la sección 3.10.), no obstante una vez verificado el pliego tipo en la capacidad residual menciona que (... El proponente será hábil...) lo que quiere decir que es considerado un requisito habilitante, y siguiendo lo señalado en la Ley 1882 de 2028 respecto de los criterios de subsanabilidad no </w:t>
      </w:r>
      <w:proofErr w:type="spellStart"/>
      <w:r w:rsidRPr="00EC00ED">
        <w:rPr>
          <w:rFonts w:ascii="Arial" w:hAnsi="Arial" w:cs="Arial"/>
          <w:sz w:val="21"/>
          <w:szCs w:val="21"/>
        </w:rPr>
        <w:t>seria</w:t>
      </w:r>
      <w:proofErr w:type="spellEnd"/>
      <w:r w:rsidRPr="00EC00ED">
        <w:rPr>
          <w:rFonts w:ascii="Arial" w:hAnsi="Arial" w:cs="Arial"/>
          <w:sz w:val="21"/>
          <w:szCs w:val="21"/>
        </w:rPr>
        <w:t xml:space="preserve"> coherente la información pues quiere decir que no aportar uno de los formatos donde </w:t>
      </w:r>
      <w:proofErr w:type="spellStart"/>
      <w:r w:rsidRPr="00EC00ED">
        <w:rPr>
          <w:rFonts w:ascii="Arial" w:hAnsi="Arial" w:cs="Arial"/>
          <w:sz w:val="21"/>
          <w:szCs w:val="21"/>
        </w:rPr>
        <w:t>esta</w:t>
      </w:r>
      <w:proofErr w:type="spellEnd"/>
      <w:r w:rsidRPr="00EC00ED">
        <w:rPr>
          <w:rFonts w:ascii="Arial" w:hAnsi="Arial" w:cs="Arial"/>
          <w:sz w:val="21"/>
          <w:szCs w:val="21"/>
        </w:rPr>
        <w:t xml:space="preserve"> contenida esa información es causal de rechazo de un requisito habilitante.</w:t>
      </w:r>
    </w:p>
    <w:p w14:paraId="109F386D" w14:textId="77777777" w:rsidR="00EC00ED" w:rsidRPr="00EC00ED" w:rsidRDefault="00EC00ED" w:rsidP="00EC00ED">
      <w:pPr>
        <w:spacing w:after="0" w:line="240" w:lineRule="auto"/>
        <w:ind w:left="709" w:right="709"/>
        <w:jc w:val="both"/>
        <w:rPr>
          <w:rFonts w:ascii="Arial" w:hAnsi="Arial" w:cs="Arial"/>
          <w:sz w:val="21"/>
          <w:szCs w:val="21"/>
        </w:rPr>
      </w:pPr>
      <w:r w:rsidRPr="00EC00ED">
        <w:rPr>
          <w:rFonts w:ascii="Arial" w:hAnsi="Arial" w:cs="Arial"/>
          <w:sz w:val="21"/>
          <w:szCs w:val="21"/>
        </w:rPr>
        <w:t xml:space="preserve">Se solicita aclaración respecto de la procedencia de este factor como quiera que </w:t>
      </w:r>
      <w:proofErr w:type="gramStart"/>
      <w:r w:rsidRPr="00EC00ED">
        <w:rPr>
          <w:rFonts w:ascii="Arial" w:hAnsi="Arial" w:cs="Arial"/>
          <w:sz w:val="21"/>
          <w:szCs w:val="21"/>
        </w:rPr>
        <w:t>surge</w:t>
      </w:r>
      <w:proofErr w:type="gramEnd"/>
      <w:r w:rsidRPr="00EC00ED">
        <w:rPr>
          <w:rFonts w:ascii="Arial" w:hAnsi="Arial" w:cs="Arial"/>
          <w:sz w:val="21"/>
          <w:szCs w:val="21"/>
        </w:rPr>
        <w:t xml:space="preserve"> la duda si es o no factor de subsanación pues esta como causal de rechazo aun cuando sea requisito habilitante”. (SIC)</w:t>
      </w:r>
    </w:p>
    <w:p w14:paraId="474476A7" w14:textId="77777777" w:rsidR="00EC00ED" w:rsidRPr="00EC00ED" w:rsidRDefault="00EC00ED" w:rsidP="00EC00ED">
      <w:pPr>
        <w:spacing w:after="0" w:line="240" w:lineRule="auto"/>
        <w:ind w:left="709" w:right="709"/>
        <w:jc w:val="both"/>
        <w:rPr>
          <w:rFonts w:ascii="Arial" w:hAnsi="Arial" w:cs="Arial"/>
          <w:sz w:val="21"/>
          <w:szCs w:val="21"/>
        </w:rPr>
      </w:pPr>
    </w:p>
    <w:p w14:paraId="2888C255" w14:textId="77777777" w:rsidR="00EC00ED" w:rsidRPr="00EC00ED" w:rsidRDefault="00EC00ED" w:rsidP="00EC00ED">
      <w:pPr>
        <w:numPr>
          <w:ilvl w:val="0"/>
          <w:numId w:val="6"/>
        </w:numPr>
        <w:spacing w:after="0" w:line="240" w:lineRule="auto"/>
        <w:ind w:left="360"/>
        <w:jc w:val="both"/>
        <w:rPr>
          <w:rFonts w:ascii="Arial" w:eastAsia="Calibri" w:hAnsi="Arial" w:cs="Arial"/>
          <w:b/>
          <w:lang w:eastAsia="es-MX"/>
        </w:rPr>
      </w:pPr>
      <w:r w:rsidRPr="00EC00ED">
        <w:rPr>
          <w:rFonts w:ascii="Arial" w:eastAsia="Calibri" w:hAnsi="Arial" w:cs="Arial"/>
          <w:b/>
          <w:lang w:eastAsia="es-MX"/>
        </w:rPr>
        <w:t>Consideraciones</w:t>
      </w:r>
    </w:p>
    <w:p w14:paraId="2193EC4E" w14:textId="77777777" w:rsidR="00EC00ED" w:rsidRPr="00EC00ED" w:rsidRDefault="00EC00ED" w:rsidP="00EC00ED">
      <w:pPr>
        <w:spacing w:after="0" w:line="276" w:lineRule="auto"/>
        <w:contextualSpacing/>
        <w:jc w:val="both"/>
        <w:rPr>
          <w:rFonts w:ascii="Arial" w:eastAsia="Calibri" w:hAnsi="Arial" w:cs="Arial"/>
          <w:b/>
          <w:lang w:eastAsia="es-MX"/>
        </w:rPr>
      </w:pPr>
    </w:p>
    <w:p w14:paraId="42DD335E" w14:textId="77777777" w:rsidR="00EC00ED" w:rsidRPr="00EC00ED" w:rsidRDefault="00EC00ED" w:rsidP="00EC00ED">
      <w:pPr>
        <w:spacing w:line="276" w:lineRule="auto"/>
        <w:jc w:val="both"/>
        <w:rPr>
          <w:rFonts w:ascii="Arial" w:hAnsi="Arial" w:cs="Arial"/>
          <w:lang w:val="es-ES"/>
        </w:rPr>
      </w:pPr>
      <w:r w:rsidRPr="00EC00ED">
        <w:rPr>
          <w:rFonts w:ascii="Arial" w:hAnsi="Arial" w:cs="Arial"/>
          <w:bCs/>
        </w:rPr>
        <w:lastRenderedPageBreak/>
        <w:t xml:space="preserve">La Agencia Nacional de Contratación Pública – Colombia Compra Eficiente resuelve consultas sobre </w:t>
      </w:r>
      <w:r w:rsidRPr="00EC00ED">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EC00ED">
        <w:rPr>
          <w:rFonts w:ascii="Arial" w:hAnsi="Arial" w:cs="Arial"/>
          <w:bCs/>
        </w:rPr>
        <w:t xml:space="preserve"> de todos los partícipes de la contratación estatal ni para interpretar el alcance de cualquier norma vigente en el ordenamiento jurídico.</w:t>
      </w:r>
    </w:p>
    <w:p w14:paraId="3B087E7B" w14:textId="77777777" w:rsidR="00EC00ED" w:rsidRPr="00EC00ED" w:rsidRDefault="00EC00ED" w:rsidP="00EC00ED">
      <w:pPr>
        <w:spacing w:after="120" w:line="276" w:lineRule="auto"/>
        <w:ind w:firstLine="708"/>
        <w:jc w:val="both"/>
        <w:rPr>
          <w:rFonts w:ascii="Arial" w:hAnsi="Arial" w:cs="Arial"/>
          <w:lang w:val="es-ES"/>
        </w:rPr>
      </w:pPr>
      <w:r w:rsidRPr="00EC00ED">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C00ED">
        <w:rPr>
          <w:rFonts w:ascii="Arial" w:hAnsi="Arial" w:cs="Arial"/>
          <w:vertAlign w:val="superscript"/>
          <w:lang w:val="es-ES"/>
        </w:rPr>
        <w:footnoteReference w:id="1"/>
      </w:r>
      <w:r w:rsidRPr="00EC00ED">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4FE90CA6" w14:textId="77777777" w:rsidR="00EC00ED" w:rsidRPr="00EC00ED" w:rsidRDefault="00EC00ED" w:rsidP="00EC00ED">
      <w:pPr>
        <w:tabs>
          <w:tab w:val="left" w:pos="426"/>
        </w:tabs>
        <w:spacing w:after="120" w:line="276" w:lineRule="auto"/>
        <w:jc w:val="both"/>
        <w:rPr>
          <w:rFonts w:ascii="Arial" w:eastAsia="Times New Roman" w:hAnsi="Arial" w:cs="Arial"/>
          <w:b/>
          <w:bCs/>
          <w:lang w:eastAsia="es-CO"/>
        </w:rPr>
      </w:pPr>
      <w:r w:rsidRPr="00EC00ED">
        <w:rPr>
          <w:rFonts w:ascii="Arial" w:hAnsi="Arial" w:cs="Arial"/>
          <w:lang w:val="es-ES"/>
        </w:rPr>
        <w:tab/>
      </w:r>
      <w:r w:rsidRPr="00EC00ED">
        <w:rPr>
          <w:rFonts w:ascii="Arial" w:hAnsi="Arial" w:cs="Arial"/>
          <w:lang w:val="es-ES"/>
        </w:rPr>
        <w:tab/>
        <w:t>En este contexto, l</w:t>
      </w:r>
      <w:r w:rsidRPr="00EC00ED">
        <w:rPr>
          <w:rFonts w:ascii="Arial" w:eastAsia="Calibri" w:hAnsi="Arial" w:cs="Arial"/>
          <w:color w:val="000000" w:themeColor="text1"/>
          <w:lang w:val="es-ES"/>
        </w:rPr>
        <w:t xml:space="preserve">a </w:t>
      </w:r>
      <w:r w:rsidRPr="00EC00ED">
        <w:rPr>
          <w:rFonts w:ascii="Arial" w:eastAsia="Calibri" w:hAnsi="Arial" w:cs="Arial"/>
          <w:color w:val="000000" w:themeColor="text1"/>
          <w:lang w:val="es-ES_tradnl"/>
        </w:rPr>
        <w:t xml:space="preserve">Agencia Nacional de Contratación Pública – Colombia Compra Eficiente, </w:t>
      </w:r>
      <w:r w:rsidRPr="00EC00ED">
        <w:rPr>
          <w:rFonts w:ascii="Arial" w:eastAsia="Calibri" w:hAnsi="Arial" w:cs="Arial"/>
          <w:color w:val="000000" w:themeColor="text1"/>
          <w:lang w:val="es-ES"/>
        </w:rPr>
        <w:t>dentro de los límites de sus atribuciones,</w:t>
      </w:r>
      <w:r w:rsidRPr="00EC00ED">
        <w:rPr>
          <w:rFonts w:ascii="Arial" w:eastAsia="Calibri" w:hAnsi="Arial" w:cs="Arial"/>
          <w:lang w:val="es-ES" w:eastAsia="es-ES_tradnl"/>
        </w:rPr>
        <w:t xml:space="preserve"> esto es, haciendo abstracción al caso particular expuesto, </w:t>
      </w:r>
      <w:r w:rsidRPr="00EC00ED">
        <w:rPr>
          <w:rFonts w:ascii="Arial" w:eastAsia="Calibri" w:hAnsi="Arial" w:cs="Arial"/>
          <w:color w:val="000000"/>
          <w:lang w:val="es-ES" w:eastAsia="es-ES_tradnl"/>
        </w:rPr>
        <w:t>resolverá la consulta conforme a las normas generales en materia de contratación estatal. Con este objetivo se analizarán los siguientes temas</w:t>
      </w:r>
      <w:r w:rsidRPr="00EC00ED">
        <w:rPr>
          <w:rFonts w:ascii="Arial" w:eastAsia="Times New Roman" w:hAnsi="Arial" w:cs="Arial"/>
          <w:szCs w:val="24"/>
          <w:lang w:val="es-ES_tradnl" w:eastAsia="es-ES_tradnl"/>
        </w:rPr>
        <w:t xml:space="preserve">: i) fundamento normativo de los documentos tipo adoptados hasta la actualidad; ii) </w:t>
      </w:r>
      <w:r w:rsidRPr="00EC00ED">
        <w:rPr>
          <w:rFonts w:ascii="Arial" w:eastAsia="Times New Roman" w:hAnsi="Arial" w:cs="Arial"/>
          <w:bCs/>
          <w:bdr w:val="none" w:sz="0" w:space="0" w:color="auto" w:frame="1"/>
          <w:lang w:eastAsia="es-CO"/>
        </w:rPr>
        <w:t xml:space="preserve">generalidades de la Capacidad Residual o K de contratación como requisito habilitante; </w:t>
      </w:r>
      <w:r w:rsidRPr="00EC00ED">
        <w:rPr>
          <w:rFonts w:ascii="Arial" w:eastAsia="Calibri" w:hAnsi="Arial" w:cs="Arial"/>
        </w:rPr>
        <w:t>iii) a</w:t>
      </w:r>
      <w:r w:rsidRPr="00EC00ED">
        <w:rPr>
          <w:rFonts w:ascii="Arial" w:hAnsi="Arial" w:cs="Arial"/>
        </w:rPr>
        <w:t xml:space="preserve">nálisis frente al alcance de la regla de la subsanabilidad y la figura de la aclaración de ofertas frente a la Capacidad Residual; y, </w:t>
      </w:r>
      <w:proofErr w:type="spellStart"/>
      <w:r w:rsidRPr="00EC00ED">
        <w:rPr>
          <w:rFonts w:ascii="Arial" w:hAnsi="Arial" w:cs="Arial"/>
        </w:rPr>
        <w:t>iv</w:t>
      </w:r>
      <w:proofErr w:type="spellEnd"/>
      <w:r w:rsidRPr="00EC00ED">
        <w:rPr>
          <w:rFonts w:ascii="Arial" w:hAnsi="Arial" w:cs="Arial"/>
        </w:rPr>
        <w:t xml:space="preserve">) </w:t>
      </w:r>
      <w:r w:rsidRPr="00EC00ED">
        <w:rPr>
          <w:rFonts w:ascii="Arial" w:eastAsia="Calibri" w:hAnsi="Arial" w:cs="Arial"/>
        </w:rPr>
        <w:t xml:space="preserve">capacidad residual </w:t>
      </w:r>
      <w:r w:rsidRPr="00EC00ED">
        <w:rPr>
          <w:rFonts w:ascii="Arial" w:hAnsi="Arial" w:cs="Arial"/>
        </w:rPr>
        <w:t>y rechazo de la oferta</w:t>
      </w:r>
      <w:r w:rsidRPr="00EC00ED">
        <w:rPr>
          <w:rFonts w:ascii="Arial" w:eastAsia="Calibri" w:hAnsi="Arial" w:cs="Arial"/>
        </w:rPr>
        <w:t xml:space="preserve"> en procesos regidos por documentos tipo. Documentos Tipo </w:t>
      </w:r>
      <w:r w:rsidRPr="00EC00ED">
        <w:rPr>
          <w:rFonts w:ascii="Arial" w:hAnsi="Arial" w:cs="Arial"/>
        </w:rPr>
        <w:t>de licitación para obra pública de infraestructura de transporte</w:t>
      </w:r>
      <w:r w:rsidRPr="00EC00ED">
        <w:rPr>
          <w:rFonts w:ascii="Arial" w:eastAsia="Calibri" w:hAnsi="Arial" w:cs="Arial"/>
        </w:rPr>
        <w:t xml:space="preserve"> – Versión 3.</w:t>
      </w:r>
      <w:r w:rsidRPr="00EC00ED">
        <w:rPr>
          <w:rFonts w:ascii="Arial" w:eastAsia="Calibri" w:hAnsi="Arial" w:cs="Arial"/>
        </w:rPr>
        <w:tab/>
      </w:r>
    </w:p>
    <w:p w14:paraId="3A971F96" w14:textId="77777777" w:rsidR="00EC00ED" w:rsidRPr="00EC00ED" w:rsidRDefault="00EC00ED" w:rsidP="00EC00ED">
      <w:pPr>
        <w:spacing w:after="0" w:line="276" w:lineRule="auto"/>
        <w:ind w:firstLine="708"/>
        <w:jc w:val="both"/>
        <w:rPr>
          <w:rFonts w:ascii="Arial" w:eastAsia="Times New Roman" w:hAnsi="Arial" w:cs="Arial"/>
          <w:szCs w:val="24"/>
          <w:lang w:val="es-ES_tradnl" w:eastAsia="es-ES_tradnl"/>
        </w:rPr>
      </w:pPr>
      <w:r w:rsidRPr="00EC00ED">
        <w:rPr>
          <w:rFonts w:ascii="Arial" w:eastAsia="Times New Roman" w:hAnsi="Arial" w:cs="Arial"/>
          <w:szCs w:val="24"/>
          <w:lang w:val="es-ES_tradnl" w:eastAsia="es-ES_tradnl"/>
        </w:rPr>
        <w:t xml:space="preserve">Las preguntas del peticionario se absolverán teniendo como fundamento los documentos tipo de licitación de obra pública de infraestructura de transporte – versión 3, toda vez que en su consulta no se relaciona el pliego tipo en específico. Sin embargo, estas consideraciones aplican en lo pertinente, para los otros documentos tipo adoptados por esta Agencia. </w:t>
      </w:r>
    </w:p>
    <w:p w14:paraId="52A38AD1" w14:textId="77777777" w:rsidR="00EC00ED" w:rsidRPr="00EC00ED" w:rsidRDefault="00EC00ED" w:rsidP="00EC00ED">
      <w:pPr>
        <w:spacing w:before="120" w:line="276" w:lineRule="auto"/>
        <w:ind w:firstLine="708"/>
        <w:jc w:val="both"/>
        <w:rPr>
          <w:rFonts w:ascii="Arial" w:eastAsia="Calibri" w:hAnsi="Arial" w:cs="Arial"/>
          <w:lang w:val="es-ES"/>
        </w:rPr>
      </w:pPr>
      <w:r w:rsidRPr="00EC00ED">
        <w:rPr>
          <w:rFonts w:ascii="Arial" w:eastAsia="Times New Roman" w:hAnsi="Arial" w:cs="Arial"/>
          <w:szCs w:val="24"/>
          <w:lang w:val="es-ES_tradnl" w:eastAsia="es-ES_tradnl"/>
        </w:rPr>
        <w:t>Por su parte, es importante indicar que l</w:t>
      </w:r>
      <w:r w:rsidRPr="00EC00ED">
        <w:rPr>
          <w:rFonts w:ascii="Arial" w:hAnsi="Arial" w:cs="Arial"/>
        </w:rPr>
        <w:t xml:space="preserve">a Agencia Nacional de Contratación Pública − Colombia Compra Eficiente se ha pronunciado sobre la Capacidad Residual, y la forma como esta se debe acreditar, en los conceptos 2201913000006275 del 27 de agosto de 2019, 2201913000009465 del 20 de diciembre de 2019, 2201913000009642 y </w:t>
      </w:r>
      <w:r w:rsidRPr="00EC00ED">
        <w:rPr>
          <w:rFonts w:ascii="Arial" w:hAnsi="Arial" w:cs="Arial"/>
        </w:rPr>
        <w:lastRenderedPageBreak/>
        <w:t xml:space="preserve">2201913000009640 del 26 de diciembre de 2019; así como en los conceptos C–022 del 20 de febrero de 2020, C–089 del 4 de marzo de 2020, C–112 del 16 de marzo de 2020, C–133 del 25 de marzo de 2020, C–194 del 21 de abril de 2020, C–326 del 9 de junio de 2020, C–446 del 6 de julio de 2020, 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C-068 del 9 de marzo de 2022, </w:t>
      </w:r>
      <w:r w:rsidRPr="00EC00ED">
        <w:rPr>
          <w:rFonts w:ascii="Arial" w:eastAsia="Calibri" w:hAnsi="Arial" w:cs="Arial"/>
          <w:lang w:val="es-ES"/>
        </w:rPr>
        <w:t>C-220 del 22 de abril de 2022, C-306 de 16 de mayo de 2022, C-351 de 23 de mayo de 2022, C-392 del 16 de junio de 2022, C-512 del 10 de agosto de 2022, C-536 del 22 de agosto de 2022, C-538 del 28 de agosto de 2022, C-567 del 2 de septiembre de 2022, C-549 del 31 de agosto de 2022, C-601 del 22 de septiembre de 2022, C-606 del 23 de septiembre de 2022, C-615 del 19 de agosto de 2022, C-656 del 10 de octubre de 2022, C-849 de 7 de diciembre de 2022 y C- 053 de 28 de marzo de 2023.</w:t>
      </w:r>
    </w:p>
    <w:p w14:paraId="67115F25" w14:textId="77777777" w:rsidR="00EC00ED" w:rsidRPr="00EC00ED" w:rsidRDefault="00EC00ED" w:rsidP="00EC00ED">
      <w:pPr>
        <w:spacing w:after="0" w:line="276" w:lineRule="auto"/>
        <w:ind w:firstLine="708"/>
        <w:jc w:val="both"/>
        <w:rPr>
          <w:rFonts w:ascii="Arial" w:hAnsi="Arial" w:cs="Arial"/>
        </w:rPr>
      </w:pPr>
      <w:r w:rsidRPr="00EC00ED">
        <w:rPr>
          <w:rFonts w:ascii="Arial" w:eastAsia="Calibri" w:hAnsi="Arial" w:cs="Arial"/>
          <w:lang w:val="es-ES"/>
        </w:rPr>
        <w:t xml:space="preserve"> Así mismo, esta</w:t>
      </w:r>
      <w:r w:rsidRPr="00EC00ED">
        <w:rPr>
          <w:rFonts w:ascii="Arial" w:hAnsi="Arial" w:cs="Arial"/>
        </w:rPr>
        <w:t xml:space="preserve"> Agencia,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 C-692 del 28 de diciembre de 2021, C-306 de 16 de mayo de 2022, </w:t>
      </w:r>
      <w:r w:rsidRPr="00EC00ED">
        <w:rPr>
          <w:rFonts w:ascii="Arial" w:eastAsia="Calibri" w:hAnsi="Arial" w:cs="Arial"/>
          <w:lang w:val="es-ES"/>
        </w:rPr>
        <w:t>C-512 del 10 de agosto de 2022, C-615 del 19 de agosto de 2020, C-536 del 22 de agosto de 2022</w:t>
      </w:r>
      <w:r w:rsidRPr="00EC00ED">
        <w:rPr>
          <w:rFonts w:ascii="Arial" w:hAnsi="Arial" w:cs="Arial"/>
          <w:lang w:val="es-ES"/>
        </w:rPr>
        <w:t xml:space="preserve">, </w:t>
      </w:r>
      <w:r w:rsidRPr="00EC00ED">
        <w:rPr>
          <w:rFonts w:ascii="Arial" w:eastAsia="Calibri" w:hAnsi="Arial" w:cs="Arial"/>
          <w:lang w:val="es-ES"/>
        </w:rPr>
        <w:t xml:space="preserve">C-849 de 7 de diciembre de 2022, C- 053 de 28 de marzo de 2023 y C-280 del 06 de junio de 2023, </w:t>
      </w:r>
      <w:r w:rsidRPr="00EC00ED">
        <w:rPr>
          <w:rFonts w:ascii="Arial" w:hAnsi="Arial" w:cs="Arial"/>
        </w:rPr>
        <w:t>analizó el rechazo de propuestas por falta de acreditación del requisito de capacidad residual en Procesos de Contratación adelantados con documentos tipo</w:t>
      </w:r>
      <w:r w:rsidRPr="00EC00ED">
        <w:rPr>
          <w:rFonts w:ascii="Arial" w:eastAsia="Calibri" w:hAnsi="Arial" w:cs="Arial"/>
          <w:vertAlign w:val="superscript"/>
          <w:lang w:val="es-ES"/>
        </w:rPr>
        <w:footnoteReference w:id="2"/>
      </w:r>
      <w:r w:rsidRPr="00EC00ED">
        <w:rPr>
          <w:rFonts w:ascii="Arial" w:hAnsi="Arial" w:cs="Arial"/>
          <w:lang w:val="es-ES"/>
        </w:rPr>
        <w:t xml:space="preserve">. </w:t>
      </w:r>
      <w:r w:rsidRPr="00EC00ED">
        <w:rPr>
          <w:rFonts w:ascii="Arial" w:hAnsi="Arial" w:cs="Arial"/>
        </w:rPr>
        <w:t>Las tesis expuestas en dichos conceptos se exponen y, en lo pertinente, se complementa a continuación.</w:t>
      </w:r>
    </w:p>
    <w:p w14:paraId="207C0BE0" w14:textId="77777777" w:rsidR="00EC00ED" w:rsidRPr="00EC00ED" w:rsidRDefault="00EC00ED" w:rsidP="00EC00ED">
      <w:pPr>
        <w:spacing w:after="0" w:line="276" w:lineRule="auto"/>
        <w:ind w:firstLine="708"/>
        <w:jc w:val="both"/>
        <w:rPr>
          <w:rFonts w:ascii="Arial" w:hAnsi="Arial" w:cs="Arial"/>
          <w:b/>
          <w:bCs/>
          <w:lang w:val="es-ES"/>
        </w:rPr>
      </w:pPr>
    </w:p>
    <w:p w14:paraId="51E04666" w14:textId="77777777" w:rsidR="00EC00ED" w:rsidRPr="00EC00ED" w:rsidRDefault="00EC00ED" w:rsidP="00EC00ED">
      <w:pPr>
        <w:spacing w:after="0" w:line="276" w:lineRule="auto"/>
        <w:jc w:val="both"/>
        <w:rPr>
          <w:rFonts w:ascii="Arial" w:eastAsia="Arial" w:hAnsi="Arial" w:cs="Arial"/>
          <w:b/>
          <w:bCs/>
          <w:color w:val="000000"/>
          <w:szCs w:val="24"/>
          <w:lang w:val="es-ES_tradnl" w:eastAsia="es-ES_tradnl"/>
        </w:rPr>
      </w:pPr>
      <w:r w:rsidRPr="00EC00ED">
        <w:rPr>
          <w:rFonts w:ascii="Arial" w:eastAsia="Arial" w:hAnsi="Arial" w:cs="Arial"/>
          <w:b/>
          <w:bCs/>
          <w:color w:val="000000"/>
          <w:szCs w:val="24"/>
          <w:lang w:val="es-ES_tradnl" w:eastAsia="es-ES_tradnl"/>
        </w:rPr>
        <w:t>2.1. Documentos tipo: fundamento normativo y documentos adoptados hasta la actualidad</w:t>
      </w:r>
    </w:p>
    <w:p w14:paraId="23F98F79" w14:textId="77777777" w:rsidR="00EC00ED" w:rsidRPr="00EC00ED" w:rsidRDefault="00EC00ED" w:rsidP="00EC00ED">
      <w:pPr>
        <w:spacing w:after="0" w:line="276" w:lineRule="auto"/>
        <w:jc w:val="both"/>
        <w:rPr>
          <w:rFonts w:ascii="Arial" w:eastAsia="Arial" w:hAnsi="Arial" w:cs="Arial"/>
          <w:b/>
          <w:bCs/>
          <w:color w:val="000000"/>
          <w:szCs w:val="24"/>
          <w:lang w:val="es-ES_tradnl" w:eastAsia="es-ES_tradnl"/>
        </w:rPr>
      </w:pPr>
    </w:p>
    <w:p w14:paraId="3801D552" w14:textId="77777777" w:rsidR="00EC00ED" w:rsidRPr="00EC00ED" w:rsidRDefault="00EC00ED" w:rsidP="00EC00ED">
      <w:pPr>
        <w:spacing w:after="120" w:line="276" w:lineRule="auto"/>
        <w:jc w:val="both"/>
        <w:rPr>
          <w:rFonts w:ascii="Arial" w:eastAsia="Calibri" w:hAnsi="Arial" w:cs="Arial"/>
          <w:color w:val="000000"/>
          <w:szCs w:val="24"/>
          <w:lang w:val="es-ES" w:eastAsia="es-ES_tradnl"/>
        </w:rPr>
      </w:pPr>
      <w:r w:rsidRPr="00EC00ED">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EC00ED">
        <w:rPr>
          <w:rFonts w:ascii="Arial" w:eastAsia="Calibri" w:hAnsi="Arial" w:cs="Arial"/>
          <w:color w:val="000000"/>
          <w:szCs w:val="24"/>
          <w:vertAlign w:val="superscript"/>
          <w:lang w:val="es-ES" w:eastAsia="es-ES_tradnl"/>
        </w:rPr>
        <w:footnoteReference w:id="3"/>
      </w:r>
      <w:r w:rsidRPr="00EC00ED">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396185C1" w14:textId="77777777" w:rsidR="00EC00ED" w:rsidRPr="00EC00ED" w:rsidRDefault="00EC00ED" w:rsidP="00EC00ED">
      <w:pPr>
        <w:spacing w:after="120" w:line="276" w:lineRule="auto"/>
        <w:ind w:firstLine="708"/>
        <w:jc w:val="both"/>
        <w:rPr>
          <w:rFonts w:ascii="Arial" w:eastAsia="Calibri" w:hAnsi="Arial" w:cs="Arial"/>
          <w:color w:val="000000"/>
          <w:szCs w:val="24"/>
          <w:lang w:val="es-ES" w:eastAsia="es-ES_tradnl"/>
        </w:rPr>
      </w:pPr>
      <w:r w:rsidRPr="00EC00ED">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6D550438" w14:textId="77777777" w:rsidR="00EC00ED" w:rsidRPr="00EC00ED" w:rsidRDefault="00EC00ED" w:rsidP="00EC00ED">
      <w:pPr>
        <w:spacing w:before="120" w:after="120" w:line="276" w:lineRule="auto"/>
        <w:ind w:firstLine="708"/>
        <w:jc w:val="both"/>
        <w:rPr>
          <w:rFonts w:ascii="Arial" w:eastAsia="Calibri" w:hAnsi="Arial" w:cs="Arial"/>
          <w:color w:val="000000"/>
          <w:szCs w:val="24"/>
          <w:lang w:val="es-ES" w:eastAsia="es-ES_tradnl"/>
        </w:rPr>
      </w:pPr>
      <w:r w:rsidRPr="00EC00ED">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EC00ED">
        <w:rPr>
          <w:rFonts w:ascii="Arial" w:eastAsia="Calibri" w:hAnsi="Arial" w:cs="Arial"/>
          <w:color w:val="000000"/>
          <w:szCs w:val="24"/>
          <w:vertAlign w:val="superscript"/>
          <w:lang w:val="es-ES" w:eastAsia="es-ES_tradnl"/>
        </w:rPr>
        <w:footnoteReference w:id="4"/>
      </w:r>
      <w:r w:rsidRPr="00EC00ED">
        <w:rPr>
          <w:rFonts w:ascii="Arial" w:eastAsia="Calibri" w:hAnsi="Arial" w:cs="Arial"/>
          <w:color w:val="000000"/>
          <w:szCs w:val="24"/>
          <w:lang w:val="es-ES" w:eastAsia="es-ES_tradnl"/>
        </w:rPr>
        <w:t>.</w:t>
      </w:r>
    </w:p>
    <w:p w14:paraId="718FC0A4" w14:textId="77777777" w:rsidR="00EC00ED" w:rsidRPr="00EC00ED" w:rsidRDefault="00EC00ED" w:rsidP="00EC00ED">
      <w:pPr>
        <w:spacing w:before="120" w:after="120" w:line="276" w:lineRule="auto"/>
        <w:jc w:val="both"/>
        <w:rPr>
          <w:rFonts w:ascii="Arial" w:eastAsia="Calibri" w:hAnsi="Arial" w:cs="Arial"/>
          <w:color w:val="000000"/>
          <w:szCs w:val="24"/>
          <w:lang w:val="es-ES" w:eastAsia="es-ES_tradnl"/>
        </w:rPr>
      </w:pPr>
      <w:r w:rsidRPr="00EC00ED">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2DE4DCA" w14:textId="77777777" w:rsidR="00EC00ED" w:rsidRPr="00EC00ED" w:rsidRDefault="00EC00ED" w:rsidP="00EC00ED">
      <w:pPr>
        <w:spacing w:before="120" w:after="120" w:line="276" w:lineRule="auto"/>
        <w:jc w:val="both"/>
        <w:rPr>
          <w:rFonts w:ascii="Arial" w:eastAsia="Calibri" w:hAnsi="Arial" w:cs="Arial"/>
          <w:color w:val="000000"/>
          <w:szCs w:val="24"/>
          <w:lang w:val="es-ES" w:eastAsia="es-ES_tradnl"/>
        </w:rPr>
      </w:pPr>
      <w:r w:rsidRPr="00EC00ED">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w:t>
      </w:r>
      <w:proofErr w:type="spellStart"/>
      <w:r w:rsidRPr="00EC00ED">
        <w:rPr>
          <w:rFonts w:ascii="Arial" w:eastAsia="Calibri" w:hAnsi="Arial" w:cs="Arial"/>
          <w:color w:val="000000"/>
          <w:szCs w:val="24"/>
          <w:lang w:val="es-ES" w:eastAsia="es-ES_tradnl"/>
        </w:rPr>
        <w:t>iv</w:t>
      </w:r>
      <w:proofErr w:type="spellEnd"/>
      <w:r w:rsidRPr="00EC00ED">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155AFBC1" w14:textId="77777777" w:rsidR="00EC00ED" w:rsidRPr="00EC00ED" w:rsidRDefault="00EC00ED" w:rsidP="00EC00ED">
      <w:pPr>
        <w:spacing w:before="120" w:after="120" w:line="276" w:lineRule="auto"/>
        <w:jc w:val="both"/>
        <w:rPr>
          <w:rFonts w:ascii="Arial" w:eastAsia="Calibri" w:hAnsi="Arial" w:cs="Arial"/>
          <w:color w:val="000000"/>
          <w:szCs w:val="24"/>
          <w:lang w:val="es-ES" w:eastAsia="es-ES_tradnl"/>
        </w:rPr>
      </w:pPr>
      <w:r w:rsidRPr="00EC00ED">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EC00ED">
        <w:rPr>
          <w:rFonts w:ascii="Arial" w:eastAsia="Calibri" w:hAnsi="Arial" w:cs="Arial"/>
          <w:color w:val="000000"/>
          <w:szCs w:val="24"/>
          <w:vertAlign w:val="superscript"/>
          <w:lang w:val="es-ES" w:eastAsia="es-ES_tradnl"/>
        </w:rPr>
        <w:footnoteReference w:id="5"/>
      </w:r>
      <w:r w:rsidRPr="00EC00ED">
        <w:rPr>
          <w:rFonts w:ascii="Arial" w:eastAsia="Calibri" w:hAnsi="Arial" w:cs="Arial"/>
          <w:color w:val="000000"/>
          <w:szCs w:val="24"/>
          <w:lang w:val="es-ES" w:eastAsia="es-ES_tradnl"/>
        </w:rPr>
        <w:t>.</w:t>
      </w:r>
    </w:p>
    <w:p w14:paraId="5E78C585" w14:textId="77777777" w:rsidR="00EC00ED" w:rsidRPr="00EC00ED" w:rsidRDefault="00EC00ED" w:rsidP="00EC00ED">
      <w:pPr>
        <w:spacing w:before="120" w:after="120" w:line="276" w:lineRule="auto"/>
        <w:jc w:val="both"/>
        <w:rPr>
          <w:rFonts w:ascii="Arial" w:eastAsia="Calibri" w:hAnsi="Arial" w:cs="Arial"/>
          <w:color w:val="000000"/>
          <w:szCs w:val="24"/>
          <w:lang w:val="es-ES" w:eastAsia="es-ES_tradnl"/>
        </w:rPr>
      </w:pPr>
      <w:r w:rsidRPr="00EC00ED">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A3E782D" w14:textId="77777777" w:rsidR="00EC00ED" w:rsidRPr="00EC00ED" w:rsidRDefault="00EC00ED" w:rsidP="00EC00ED">
      <w:pPr>
        <w:spacing w:before="120" w:after="120" w:line="276" w:lineRule="auto"/>
        <w:jc w:val="both"/>
        <w:rPr>
          <w:rFonts w:ascii="Arial" w:eastAsia="Calibri" w:hAnsi="Arial" w:cs="Arial"/>
          <w:lang w:val="es-ES"/>
        </w:rPr>
      </w:pPr>
      <w:r w:rsidRPr="00EC00ED">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EC00ED">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9952FAA" w14:textId="77777777" w:rsidR="00EC00ED" w:rsidRPr="00EC00ED" w:rsidRDefault="00EC00ED" w:rsidP="00EC00ED">
      <w:pPr>
        <w:spacing w:before="120" w:after="120" w:line="276" w:lineRule="auto"/>
        <w:jc w:val="both"/>
        <w:rPr>
          <w:rFonts w:ascii="Arial" w:eastAsia="Calibri" w:hAnsi="Arial" w:cs="Arial"/>
          <w:color w:val="000000"/>
          <w:lang w:val="es-ES" w:eastAsia="es-ES_tradnl"/>
        </w:rPr>
      </w:pPr>
      <w:r w:rsidRPr="00EC00ED">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EC00ED" w:rsidDel="00A434AB">
        <w:rPr>
          <w:rFonts w:ascii="Arial" w:eastAsia="Calibri" w:hAnsi="Arial" w:cs="Arial"/>
          <w:lang w:val="es-ES"/>
        </w:rPr>
        <w:t xml:space="preserve"> </w:t>
      </w:r>
      <w:r w:rsidRPr="00EC00ED">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5B525403" w14:textId="77777777" w:rsidR="00EC00ED" w:rsidRPr="00EC00ED" w:rsidRDefault="00EC00ED" w:rsidP="00EC00ED">
      <w:pPr>
        <w:spacing w:before="120" w:after="120" w:line="276" w:lineRule="auto"/>
        <w:ind w:firstLine="709"/>
        <w:jc w:val="both"/>
        <w:rPr>
          <w:rFonts w:ascii="Arial" w:eastAsia="Calibri" w:hAnsi="Arial" w:cs="Arial"/>
          <w:bdr w:val="none" w:sz="0" w:space="0" w:color="auto" w:frame="1"/>
        </w:rPr>
      </w:pPr>
      <w:r w:rsidRPr="00EC00ED">
        <w:rPr>
          <w:rFonts w:ascii="Arial" w:eastAsia="Calibri" w:hAnsi="Arial" w:cs="Arial"/>
          <w:color w:val="000000"/>
          <w:lang w:val="es-ES" w:eastAsia="es-ES"/>
        </w:rPr>
        <w:t>Por otra parte</w:t>
      </w:r>
      <w:r w:rsidRPr="00EC00ED">
        <w:rPr>
          <w:rFonts w:ascii="Arial" w:eastAsia="Calibri" w:hAnsi="Arial" w:cs="Arial"/>
          <w:i/>
          <w:iCs/>
          <w:color w:val="000000"/>
          <w:lang w:val="es-ES" w:eastAsia="es-ES"/>
        </w:rPr>
        <w:t>,</w:t>
      </w:r>
      <w:r w:rsidRPr="00EC00ED">
        <w:rPr>
          <w:rFonts w:ascii="Arial" w:eastAsia="Calibri" w:hAnsi="Arial" w:cs="Arial"/>
          <w:color w:val="00000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EC00ED">
        <w:rPr>
          <w:rFonts w:ascii="Arial" w:eastAsia="Calibri" w:hAnsi="Arial" w:cs="Arial"/>
          <w:color w:val="000000"/>
          <w:vertAlign w:val="superscript"/>
          <w:lang w:val="es-ES" w:eastAsia="es-ES"/>
        </w:rPr>
        <w:footnoteReference w:id="6"/>
      </w:r>
      <w:r w:rsidRPr="00EC00ED">
        <w:rPr>
          <w:rFonts w:ascii="Arial" w:eastAsia="Calibri" w:hAnsi="Arial"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006DED55" w14:textId="77777777" w:rsidR="00EC00ED" w:rsidRPr="00EC00ED" w:rsidRDefault="00EC00ED" w:rsidP="00EC00ED">
      <w:pPr>
        <w:spacing w:before="120" w:after="120" w:line="276" w:lineRule="auto"/>
        <w:ind w:firstLine="709"/>
        <w:jc w:val="both"/>
        <w:rPr>
          <w:rFonts w:ascii="Arial" w:eastAsia="Calibri" w:hAnsi="Arial" w:cs="Arial"/>
          <w:lang w:val="es-ES" w:eastAsia="es-ES"/>
        </w:rPr>
      </w:pPr>
      <w:r w:rsidRPr="00EC00ED">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14367B1F" w14:textId="77777777" w:rsidR="00EC00ED" w:rsidRPr="00EC00ED" w:rsidRDefault="00EC00ED" w:rsidP="00EC00ED">
      <w:pPr>
        <w:spacing w:before="120" w:after="120" w:line="276" w:lineRule="auto"/>
        <w:ind w:firstLine="709"/>
        <w:jc w:val="both"/>
        <w:rPr>
          <w:rFonts w:ascii="Arial" w:eastAsia="Calibri" w:hAnsi="Arial" w:cs="Arial"/>
          <w:lang w:val="es-ES" w:eastAsia="es-ES"/>
        </w:rPr>
      </w:pPr>
      <w:r w:rsidRPr="00EC00ED">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091E124F" w14:textId="77777777" w:rsidR="00EC00ED" w:rsidRPr="00EC00ED" w:rsidRDefault="00EC00ED" w:rsidP="00EC00ED">
      <w:pPr>
        <w:spacing w:before="120" w:after="120" w:line="276" w:lineRule="auto"/>
        <w:ind w:firstLine="709"/>
        <w:jc w:val="both"/>
        <w:rPr>
          <w:rFonts w:ascii="Arial" w:hAnsi="Arial" w:cs="Arial"/>
        </w:rPr>
      </w:pPr>
      <w:r w:rsidRPr="00EC00ED">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w:t>
      </w:r>
      <w:r w:rsidRPr="00EC00ED">
        <w:rPr>
          <w:rFonts w:ascii="Arial" w:eastAsia="Calibri" w:hAnsi="Arial"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EC00ED">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EC00ED">
        <w:rPr>
          <w:rFonts w:ascii="Arial" w:eastAsia="Calibri" w:hAnsi="Arial" w:cs="Arial"/>
          <w:lang w:val="es-ES" w:eastAsia="es-ES"/>
        </w:rPr>
        <w:t>”. Luego, se expidió la Resolución 454 del 16 de diciembre de 2021 “</w:t>
      </w:r>
      <w:r w:rsidRPr="00EC00ED">
        <w:rPr>
          <w:rFonts w:ascii="Arial" w:hAnsi="Arial" w:cs="Arial"/>
        </w:rPr>
        <w:t>Por la cual se adoptan los documentos tipo complementarios para los procesos de licitación de obra pública de infraestructura social relacionados con el sector cultura, recreación y deporte</w:t>
      </w:r>
      <w:r w:rsidRPr="00EC00ED">
        <w:rPr>
          <w:rFonts w:ascii="Arial" w:eastAsia="Calibri" w:hAnsi="Arial" w:cs="Arial"/>
          <w:lang w:val="es-ES" w:eastAsia="es-ES"/>
        </w:rPr>
        <w:t>”</w:t>
      </w:r>
      <w:r w:rsidRPr="00EC00ED">
        <w:rPr>
          <w:rFonts w:ascii="Arial" w:hAnsi="Arial" w:cs="Arial"/>
        </w:rPr>
        <w:t>.</w:t>
      </w:r>
    </w:p>
    <w:p w14:paraId="61B10899" w14:textId="77777777" w:rsidR="00EC00ED" w:rsidRPr="00EC00ED" w:rsidRDefault="00EC00ED" w:rsidP="00EC00ED">
      <w:pPr>
        <w:spacing w:before="120" w:after="120" w:line="276" w:lineRule="auto"/>
        <w:ind w:firstLine="709"/>
        <w:jc w:val="both"/>
        <w:rPr>
          <w:rFonts w:ascii="Arial" w:eastAsia="Times New Roman" w:hAnsi="Arial" w:cs="Arial"/>
          <w:bdr w:val="none" w:sz="0" w:space="0" w:color="auto" w:frame="1"/>
          <w:lang w:val="es-ES_tradnl" w:eastAsia="es-CO"/>
        </w:rPr>
      </w:pPr>
      <w:r w:rsidRPr="00EC00ED">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FA3B800" w14:textId="77777777" w:rsidR="00EC00ED" w:rsidRPr="00EC00ED" w:rsidRDefault="00EC00ED" w:rsidP="00EC00ED">
      <w:pPr>
        <w:spacing w:before="120" w:after="120" w:line="276" w:lineRule="auto"/>
        <w:ind w:firstLine="709"/>
        <w:jc w:val="both"/>
        <w:rPr>
          <w:rFonts w:ascii="Arial" w:eastAsia="Calibri" w:hAnsi="Arial" w:cs="Arial"/>
          <w:lang w:val="es-ES_tradnl" w:eastAsia="es-ES"/>
        </w:rPr>
      </w:pPr>
      <w:r w:rsidRPr="00EC00ED">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26D6B510" w14:textId="77777777" w:rsidR="00EC00ED" w:rsidRPr="00EC00ED" w:rsidRDefault="00EC00ED" w:rsidP="00EC00ED">
      <w:pPr>
        <w:spacing w:after="0" w:line="276" w:lineRule="auto"/>
        <w:ind w:firstLine="709"/>
        <w:jc w:val="both"/>
        <w:rPr>
          <w:rFonts w:ascii="Arial" w:hAnsi="Arial" w:cs="Arial"/>
          <w:spacing w:val="2"/>
          <w:lang w:eastAsia="es-CO"/>
        </w:rPr>
      </w:pPr>
      <w:r w:rsidRPr="00EC00ED">
        <w:rPr>
          <w:rFonts w:ascii="Arial" w:hAnsi="Arial" w:cs="Arial"/>
          <w:spacing w:val="2"/>
          <w:lang w:eastAsia="es-CO"/>
        </w:rPr>
        <w:t xml:space="preserve">Con posterioridad, el Decreto 1860 de 2021 modificó </w:t>
      </w:r>
      <w:r w:rsidRPr="00EC00ED">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EC00ED">
        <w:rPr>
          <w:rFonts w:ascii="Arial" w:eastAsia="Times New Roman" w:hAnsi="Arial" w:cs="Arial"/>
          <w:szCs w:val="24"/>
          <w:lang w:eastAsia="es-MX"/>
        </w:rPr>
        <w:t>además de incluir algunas disposiciones adicionales para la reglamentación efectiva de la citada Ley.</w:t>
      </w:r>
      <w:r w:rsidRPr="00EC00ED">
        <w:rPr>
          <w:rFonts w:ascii="Arial" w:eastAsia="Arial" w:hAnsi="Arial" w:cs="Arial"/>
          <w:szCs w:val="24"/>
          <w:lang w:eastAsia="es-CO"/>
        </w:rPr>
        <w:t xml:space="preserve"> </w:t>
      </w:r>
      <w:r w:rsidRPr="00EC00ED">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EC00ED">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r w:rsidRPr="00EC00ED">
        <w:rPr>
          <w:rFonts w:ascii="Arial" w:hAnsi="Arial" w:cs="Arial"/>
          <w:spacing w:val="2"/>
          <w:vertAlign w:val="superscript"/>
          <w:lang w:eastAsia="es-CO"/>
        </w:rPr>
        <w:footnoteReference w:id="7"/>
      </w:r>
      <w:r w:rsidRPr="00EC00ED">
        <w:rPr>
          <w:rFonts w:ascii="Arial" w:hAnsi="Arial" w:cs="Arial"/>
          <w:spacing w:val="2"/>
          <w:lang w:eastAsia="es-CO"/>
        </w:rPr>
        <w:t>.</w:t>
      </w:r>
    </w:p>
    <w:p w14:paraId="15ECF138" w14:textId="77777777" w:rsidR="00EC00ED" w:rsidRPr="00EC00ED" w:rsidRDefault="00EC00ED" w:rsidP="00EC00ED">
      <w:pPr>
        <w:spacing w:before="120" w:after="0" w:line="276" w:lineRule="auto"/>
        <w:ind w:firstLine="709"/>
        <w:jc w:val="both"/>
        <w:rPr>
          <w:rFonts w:ascii="Arial" w:hAnsi="Arial" w:cs="Arial"/>
          <w:spacing w:val="2"/>
          <w:lang w:eastAsia="es-CO"/>
        </w:rPr>
      </w:pPr>
      <w:r w:rsidRPr="00EC00ED">
        <w:rPr>
          <w:rFonts w:ascii="Arial" w:hAnsi="Arial" w:cs="Arial"/>
          <w:spacing w:val="2"/>
          <w:lang w:eastAsia="es-CO"/>
        </w:rPr>
        <w:t xml:space="preserve">También,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w:t>
      </w:r>
    </w:p>
    <w:p w14:paraId="3DEEB2FB" w14:textId="77777777" w:rsidR="00EC00ED" w:rsidRPr="00EC00ED" w:rsidRDefault="00EC00ED" w:rsidP="00EC00ED">
      <w:pPr>
        <w:spacing w:before="120" w:after="0" w:line="276" w:lineRule="auto"/>
        <w:ind w:firstLine="709"/>
        <w:jc w:val="both"/>
        <w:rPr>
          <w:rFonts w:ascii="Arial" w:hAnsi="Arial" w:cs="Arial"/>
          <w:spacing w:val="2"/>
          <w:lang w:eastAsia="es-CO"/>
        </w:rPr>
      </w:pPr>
      <w:r w:rsidRPr="00EC00ED">
        <w:rPr>
          <w:rFonts w:ascii="Arial" w:hAnsi="Arial" w:cs="Arial"/>
          <w:spacing w:val="2"/>
          <w:lang w:eastAsia="es-CO"/>
        </w:rPr>
        <w:t>Finalmente, el pasado 30 de junio de 2023 se expidió la Resolución 358 de 2023 “</w:t>
      </w:r>
      <w:hyperlink r:id="rId11" w:history="1">
        <w:r w:rsidRPr="00EC00ED">
          <w:rPr>
            <w:rFonts w:ascii="Arial" w:hAnsi="Arial" w:cs="Arial"/>
            <w:spacing w:val="2"/>
            <w:lang w:eastAsia="es-CO"/>
          </w:rPr>
          <w:t>Por la cual se adopta el documento tipo para la contratación directa de convenios solidarios para la ejecución de obras hasta la menor cuantía con organismos de acción comunal”. </w:t>
        </w:r>
      </w:hyperlink>
    </w:p>
    <w:p w14:paraId="09552586" w14:textId="77777777" w:rsidR="00EC00ED" w:rsidRPr="00EC00ED" w:rsidRDefault="00EC00ED" w:rsidP="00EC00ED">
      <w:pPr>
        <w:tabs>
          <w:tab w:val="left" w:pos="0"/>
        </w:tabs>
        <w:spacing w:after="0" w:line="276" w:lineRule="auto"/>
        <w:ind w:left="11"/>
        <w:contextualSpacing/>
        <w:jc w:val="both"/>
        <w:rPr>
          <w:rFonts w:ascii="Arial" w:eastAsia="Calibri" w:hAnsi="Arial" w:cs="Arial"/>
          <w:b/>
          <w:bCs/>
          <w:lang w:eastAsia="en-GB"/>
        </w:rPr>
      </w:pPr>
    </w:p>
    <w:p w14:paraId="228D2D18" w14:textId="77777777" w:rsidR="00EC00ED" w:rsidRPr="00EC00ED" w:rsidRDefault="00EC00ED" w:rsidP="00EC00ED">
      <w:pPr>
        <w:tabs>
          <w:tab w:val="left" w:pos="0"/>
        </w:tabs>
        <w:spacing w:after="0" w:line="240" w:lineRule="auto"/>
        <w:ind w:left="11"/>
        <w:jc w:val="both"/>
        <w:rPr>
          <w:rFonts w:ascii="Arial" w:eastAsia="Calibri" w:hAnsi="Arial" w:cs="Arial"/>
          <w:b/>
          <w:bCs/>
        </w:rPr>
      </w:pPr>
      <w:r w:rsidRPr="00EC00ED">
        <w:rPr>
          <w:rFonts w:ascii="Arial" w:eastAsia="Arial" w:hAnsi="Arial" w:cs="Arial"/>
          <w:b/>
          <w:lang w:val="es-ES"/>
        </w:rPr>
        <w:t xml:space="preserve">2.2 </w:t>
      </w:r>
      <w:bookmarkStart w:id="2" w:name="_Hlk121298041"/>
      <w:bookmarkStart w:id="3" w:name="_Hlk63855115"/>
      <w:r w:rsidRPr="00EC00ED">
        <w:rPr>
          <w:rFonts w:ascii="Arial" w:eastAsia="Calibri" w:hAnsi="Arial" w:cs="Arial"/>
          <w:b/>
          <w:bCs/>
        </w:rPr>
        <w:t>Generalidades de la Capacidad Residual o K de contratación como requisito habilitante</w:t>
      </w:r>
    </w:p>
    <w:bookmarkEnd w:id="2"/>
    <w:p w14:paraId="1D07BA07" w14:textId="77777777" w:rsidR="00EC00ED" w:rsidRPr="00EC00ED" w:rsidRDefault="00EC00ED" w:rsidP="00EC00ED">
      <w:pPr>
        <w:shd w:val="clear" w:color="auto" w:fill="FFFFFF"/>
        <w:spacing w:after="0" w:line="276" w:lineRule="auto"/>
        <w:jc w:val="both"/>
        <w:textAlignment w:val="baseline"/>
        <w:rPr>
          <w:rFonts w:ascii="Arial" w:eastAsia="Times New Roman" w:hAnsi="Arial" w:cs="Arial"/>
          <w:lang w:eastAsia="es-CO"/>
        </w:rPr>
      </w:pPr>
    </w:p>
    <w:p w14:paraId="4C785CE2" w14:textId="77777777" w:rsidR="00EC00ED" w:rsidRPr="00EC00ED" w:rsidRDefault="00EC00ED" w:rsidP="00EC00ED">
      <w:pPr>
        <w:widowControl w:val="0"/>
        <w:autoSpaceDE w:val="0"/>
        <w:autoSpaceDN w:val="0"/>
        <w:spacing w:after="120" w:line="276" w:lineRule="auto"/>
        <w:ind w:right="51"/>
        <w:jc w:val="both"/>
        <w:rPr>
          <w:rFonts w:ascii="Arial" w:eastAsia="Arial" w:hAnsi="Arial" w:cs="Arial"/>
          <w:lang w:val="es-ES" w:eastAsia="es-ES" w:bidi="es-ES"/>
        </w:rPr>
      </w:pPr>
      <w:r w:rsidRPr="00EC00ED">
        <w:rPr>
          <w:rFonts w:ascii="Arial" w:eastAsia="Arial" w:hAnsi="Arial" w:cs="Arial"/>
          <w:lang w:val="es-ES" w:eastAsia="es-ES" w:bidi="es-ES"/>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w:t>
      </w:r>
      <w:r w:rsidRPr="00EC00ED">
        <w:rPr>
          <w:rFonts w:ascii="Arial" w:eastAsia="Arial" w:hAnsi="Arial" w:cs="Arial"/>
          <w:vertAlign w:val="superscript"/>
          <w:lang w:val="es-ES" w:eastAsia="es-ES" w:bidi="es-ES"/>
        </w:rPr>
        <w:footnoteReference w:id="8"/>
      </w:r>
      <w:r w:rsidRPr="00EC00ED">
        <w:rPr>
          <w:rFonts w:ascii="Arial" w:eastAsia="Arial" w:hAnsi="Arial" w:cs="Arial"/>
          <w:lang w:val="es-ES" w:eastAsia="es-ES" w:bidi="es-ES"/>
        </w:rPr>
        <w:t xml:space="preserve">. </w:t>
      </w:r>
    </w:p>
    <w:p w14:paraId="409028BC" w14:textId="77777777" w:rsidR="00EC00ED" w:rsidRPr="00EC00ED" w:rsidRDefault="00EC00ED" w:rsidP="00EC00ED">
      <w:pPr>
        <w:widowControl w:val="0"/>
        <w:autoSpaceDE w:val="0"/>
        <w:autoSpaceDN w:val="0"/>
        <w:spacing w:before="120" w:after="120" w:line="276" w:lineRule="auto"/>
        <w:ind w:right="51" w:firstLine="709"/>
        <w:jc w:val="both"/>
        <w:rPr>
          <w:rFonts w:ascii="Arial" w:eastAsia="Arial" w:hAnsi="Arial" w:cs="Arial"/>
          <w:lang w:val="es-ES" w:eastAsia="es-ES" w:bidi="es-ES"/>
        </w:rPr>
      </w:pPr>
      <w:r w:rsidRPr="00EC00ED">
        <w:rPr>
          <w:rFonts w:ascii="Arial" w:eastAsia="Arial" w:hAnsi="Arial" w:cs="Arial"/>
          <w:lang w:val="es-ES" w:eastAsia="es-ES" w:bidi="es-ES"/>
        </w:rPr>
        <w:t>Teniendo en cuenta lo anterior, la Agencia Nacional de Contratación Pública considera que la capacidad residual hace referencia a la suficiencia que se predica del proponente para asumir nuevas obligaciones que se derivan del contrato objeto del procedimiento de contratación, en relación con las obligaciones que ya ha adquirido simultáneamente.</w:t>
      </w:r>
    </w:p>
    <w:p w14:paraId="75779DF1" w14:textId="77777777" w:rsidR="00EC00ED" w:rsidRPr="00EC00ED" w:rsidRDefault="00EC00ED" w:rsidP="00EC00ED">
      <w:pPr>
        <w:widowControl w:val="0"/>
        <w:autoSpaceDE w:val="0"/>
        <w:autoSpaceDN w:val="0"/>
        <w:spacing w:after="0" w:line="276" w:lineRule="auto"/>
        <w:ind w:right="51" w:firstLine="709"/>
        <w:jc w:val="both"/>
        <w:rPr>
          <w:rFonts w:ascii="Arial" w:eastAsia="Arial" w:hAnsi="Arial" w:cs="Arial"/>
          <w:lang w:val="es-ES" w:eastAsia="es-ES" w:bidi="es-ES"/>
        </w:rPr>
      </w:pPr>
      <w:r w:rsidRPr="00EC00ED">
        <w:rPr>
          <w:rFonts w:ascii="Arial" w:eastAsia="Arial" w:hAnsi="Arial" w:cs="Arial"/>
          <w:lang w:val="es-ES" w:eastAsia="es-ES" w:bidi="es-ES"/>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08F32B1A" w14:textId="77777777" w:rsidR="00EC00ED" w:rsidRPr="00EC00ED" w:rsidRDefault="00EC00ED" w:rsidP="00EC00ED">
      <w:pPr>
        <w:widowControl w:val="0"/>
        <w:autoSpaceDE w:val="0"/>
        <w:autoSpaceDN w:val="0"/>
        <w:spacing w:after="0" w:line="240" w:lineRule="auto"/>
        <w:ind w:right="49"/>
        <w:rPr>
          <w:rFonts w:ascii="Arial" w:eastAsia="Arial" w:hAnsi="Arial" w:cs="Arial"/>
          <w:lang w:val="es-ES" w:eastAsia="es-ES" w:bidi="es-ES"/>
        </w:rPr>
      </w:pPr>
    </w:p>
    <w:p w14:paraId="73C9445B" w14:textId="77777777" w:rsidR="00EC00ED" w:rsidRPr="00EC00ED" w:rsidRDefault="00EC00ED" w:rsidP="00EC00ED">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EC00ED">
        <w:rPr>
          <w:rFonts w:ascii="Arial" w:eastAsia="Arial" w:hAnsi="Arial" w:cs="Arial"/>
          <w:sz w:val="21"/>
          <w:szCs w:val="21"/>
          <w:lang w:val="es-ES" w:eastAsia="es-ES" w:bidi="es-ES"/>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EC00ED">
        <w:rPr>
          <w:rFonts w:ascii="Arial" w:eastAsia="Arial" w:hAnsi="Arial" w:cs="Arial"/>
          <w:spacing w:val="-3"/>
          <w:sz w:val="21"/>
          <w:szCs w:val="21"/>
          <w:lang w:val="es-ES" w:eastAsia="es-ES" w:bidi="es-ES"/>
        </w:rPr>
        <w:t xml:space="preserve"> </w:t>
      </w:r>
      <w:r w:rsidRPr="00EC00ED">
        <w:rPr>
          <w:rFonts w:ascii="Arial" w:eastAsia="Arial" w:hAnsi="Arial" w:cs="Arial"/>
          <w:sz w:val="21"/>
          <w:szCs w:val="21"/>
          <w:lang w:val="es-ES" w:eastAsia="es-ES" w:bidi="es-ES"/>
        </w:rPr>
        <w:t>principal.</w:t>
      </w:r>
    </w:p>
    <w:p w14:paraId="0B5054F1" w14:textId="77777777" w:rsidR="00EC00ED" w:rsidRPr="00EC00ED" w:rsidRDefault="00EC00ED" w:rsidP="00EC00ED">
      <w:pPr>
        <w:widowControl w:val="0"/>
        <w:autoSpaceDE w:val="0"/>
        <w:autoSpaceDN w:val="0"/>
        <w:spacing w:after="120" w:line="240" w:lineRule="auto"/>
        <w:ind w:left="709" w:right="709"/>
        <w:rPr>
          <w:rFonts w:ascii="Arial" w:eastAsia="Arial" w:hAnsi="Arial" w:cs="Arial"/>
          <w:sz w:val="21"/>
          <w:szCs w:val="21"/>
          <w:lang w:val="es-ES" w:eastAsia="es-ES" w:bidi="es-ES"/>
        </w:rPr>
      </w:pPr>
      <w:r w:rsidRPr="00EC00ED">
        <w:rPr>
          <w:rFonts w:ascii="Arial" w:eastAsia="Arial" w:hAnsi="Arial" w:cs="Arial"/>
          <w:sz w:val="21"/>
          <w:szCs w:val="21"/>
          <w:lang w:val="es-ES" w:eastAsia="es-ES" w:bidi="es-ES"/>
        </w:rPr>
        <w:t>[…]</w:t>
      </w:r>
    </w:p>
    <w:p w14:paraId="23D75B06" w14:textId="77777777" w:rsidR="00EC00ED" w:rsidRPr="00EC00ED" w:rsidRDefault="00EC00ED" w:rsidP="00EC00ED">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EC00ED">
        <w:rPr>
          <w:rFonts w:ascii="Arial" w:eastAsia="Arial" w:hAnsi="Arial" w:cs="Arial"/>
          <w:sz w:val="21"/>
          <w:szCs w:val="21"/>
          <w:lang w:val="es-ES" w:eastAsia="es-ES" w:bidi="es-E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7CBB4DF" w14:textId="77777777" w:rsidR="00EC00ED" w:rsidRPr="00EC00ED" w:rsidRDefault="00EC00ED" w:rsidP="00EC00ED">
      <w:pPr>
        <w:widowControl w:val="0"/>
        <w:autoSpaceDE w:val="0"/>
        <w:autoSpaceDN w:val="0"/>
        <w:spacing w:after="0" w:line="240" w:lineRule="auto"/>
        <w:ind w:right="49"/>
        <w:rPr>
          <w:rFonts w:ascii="Arial" w:eastAsia="Arial" w:hAnsi="Arial" w:cs="Arial"/>
          <w:lang w:val="es-ES" w:eastAsia="es-ES" w:bidi="es-ES"/>
        </w:rPr>
      </w:pPr>
    </w:p>
    <w:p w14:paraId="7CE6919F" w14:textId="77777777" w:rsidR="00EC00ED" w:rsidRPr="00EC00ED" w:rsidRDefault="00EC00ED" w:rsidP="00EC00ED">
      <w:pPr>
        <w:widowControl w:val="0"/>
        <w:autoSpaceDE w:val="0"/>
        <w:autoSpaceDN w:val="0"/>
        <w:spacing w:before="1" w:after="0" w:line="276" w:lineRule="auto"/>
        <w:ind w:right="49" w:firstLine="708"/>
        <w:jc w:val="both"/>
        <w:rPr>
          <w:rFonts w:ascii="Arial" w:eastAsia="Arial" w:hAnsi="Arial" w:cs="Arial"/>
          <w:lang w:val="es-ES" w:eastAsia="es-ES" w:bidi="es-ES"/>
        </w:rPr>
      </w:pPr>
      <w:r w:rsidRPr="00EC00ED">
        <w:rPr>
          <w:rFonts w:ascii="Arial" w:eastAsia="Arial" w:hAnsi="Arial" w:cs="Arial"/>
          <w:lang w:val="es-ES" w:eastAsia="es-ES" w:bidi="es-ES"/>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esta disposición, “[…] se deberá calcular mediante la evaluación de los siguientes factores: Experiencia (E), Capacidad Financiera (CF), Capacidad Técnica (CT), y Capacidad de Organización (CO)”.</w:t>
      </w:r>
    </w:p>
    <w:p w14:paraId="346D6CF6" w14:textId="77777777" w:rsidR="00EC00ED" w:rsidRPr="00EC00ED" w:rsidRDefault="00EC00ED" w:rsidP="00EC00ED">
      <w:pPr>
        <w:spacing w:before="120" w:after="120" w:line="276" w:lineRule="auto"/>
        <w:ind w:firstLine="709"/>
        <w:jc w:val="both"/>
        <w:rPr>
          <w:rFonts w:ascii="Arial" w:eastAsia="Calibri" w:hAnsi="Arial" w:cs="Arial"/>
          <w:color w:val="000000"/>
          <w:lang w:val="es-MX" w:eastAsia="en-GB"/>
        </w:rPr>
      </w:pPr>
      <w:r w:rsidRPr="00EC00ED">
        <w:rPr>
          <w:rFonts w:ascii="Arial" w:eastAsia="Calibri" w:hAnsi="Arial" w:cs="Arial"/>
          <w:color w:val="000000"/>
          <w:lang w:val="es-MX" w:eastAsia="en-GB"/>
        </w:rPr>
        <w:t xml:space="preserve">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w:t>
      </w:r>
      <w:proofErr w:type="spellStart"/>
      <w:r w:rsidRPr="00EC00ED">
        <w:rPr>
          <w:rFonts w:ascii="Arial" w:eastAsia="Calibri" w:hAnsi="Arial" w:cs="Arial"/>
          <w:color w:val="000000"/>
          <w:lang w:val="es-MX" w:eastAsia="en-GB"/>
        </w:rPr>
        <w:t>iv</w:t>
      </w:r>
      <w:proofErr w:type="spellEnd"/>
      <w:r w:rsidRPr="00EC00ED">
        <w:rPr>
          <w:rFonts w:ascii="Arial" w:eastAsia="Calibri" w:hAnsi="Arial" w:cs="Arial"/>
          <w:color w:val="000000"/>
          <w:lang w:val="es-MX" w:eastAsia="en-GB"/>
        </w:rPr>
        <w:t>) Capacidad de Organización y v) los Saldos de los Contratos en Ejecución –SCE–</w:t>
      </w:r>
      <w:r w:rsidRPr="00EC00ED">
        <w:rPr>
          <w:rFonts w:ascii="Arial" w:eastAsia="Calibri" w:hAnsi="Arial" w:cs="Arial"/>
          <w:color w:val="000000"/>
          <w:vertAlign w:val="superscript"/>
          <w:lang w:val="es-MX" w:eastAsia="en-GB"/>
        </w:rPr>
        <w:footnoteReference w:id="9"/>
      </w:r>
      <w:r w:rsidRPr="00EC00ED">
        <w:rPr>
          <w:rFonts w:ascii="Arial" w:eastAsia="Calibri" w:hAnsi="Arial" w:cs="Arial"/>
          <w:color w:val="000000"/>
          <w:lang w:val="es-MX" w:eastAsia="en-GB"/>
        </w:rPr>
        <w:t>.</w:t>
      </w:r>
    </w:p>
    <w:p w14:paraId="64F9D7EE" w14:textId="77777777" w:rsidR="00EC00ED" w:rsidRPr="00EC00ED" w:rsidRDefault="00EC00ED" w:rsidP="00EC00ED">
      <w:pPr>
        <w:spacing w:before="120" w:after="120" w:line="276" w:lineRule="auto"/>
        <w:ind w:firstLine="709"/>
        <w:jc w:val="both"/>
        <w:rPr>
          <w:rFonts w:ascii="Arial" w:eastAsia="Times New Roman" w:hAnsi="Arial" w:cs="Arial"/>
          <w:lang w:val="es-MX" w:eastAsia="en-GB"/>
        </w:rPr>
      </w:pPr>
      <w:r w:rsidRPr="00EC00ED">
        <w:rPr>
          <w:rFonts w:ascii="Arial" w:eastAsia="Calibri" w:hAnsi="Arial" w:cs="Arial"/>
          <w:color w:val="000000"/>
          <w:lang w:val="es-MX" w:eastAsia="en-GB"/>
        </w:rPr>
        <w:t xml:space="preserve">De igual manera, </w:t>
      </w:r>
      <w:r w:rsidRPr="00EC00ED">
        <w:rPr>
          <w:rFonts w:ascii="Arial" w:eastAsia="Times New Roman" w:hAnsi="Arial" w:cs="Arial"/>
          <w:lang w:val="es-MX" w:eastAsia="en-GB"/>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r w:rsidRPr="00EC00ED">
        <w:rPr>
          <w:rFonts w:ascii="Arial" w:eastAsia="Times New Roman" w:hAnsi="Arial" w:cs="Arial"/>
          <w:vertAlign w:val="superscript"/>
          <w:lang w:val="es-MX" w:eastAsia="en-GB"/>
        </w:rPr>
        <w:footnoteReference w:id="10"/>
      </w:r>
      <w:r w:rsidRPr="00EC00ED">
        <w:rPr>
          <w:rFonts w:ascii="Arial" w:eastAsia="Times New Roman" w:hAnsi="Arial" w:cs="Arial"/>
          <w:lang w:val="es-MX" w:eastAsia="en-GB"/>
        </w:rPr>
        <w:t>. Al respecto, se debe tener en cuenta lo siguientes criterios para la acreditación de la Capacidad Residual.</w:t>
      </w:r>
    </w:p>
    <w:p w14:paraId="5FDDB900" w14:textId="77777777" w:rsidR="00EC00ED" w:rsidRPr="00EC00ED" w:rsidRDefault="00EC00ED" w:rsidP="00EC00ED">
      <w:pPr>
        <w:spacing w:after="120" w:line="276" w:lineRule="auto"/>
        <w:ind w:firstLine="703"/>
        <w:jc w:val="both"/>
        <w:textAlignment w:val="baseline"/>
        <w:rPr>
          <w:rFonts w:ascii="Arial" w:eastAsia="Calibri" w:hAnsi="Arial" w:cs="Arial"/>
          <w:b/>
          <w:bCs/>
          <w:lang w:val="es-MX"/>
        </w:rPr>
      </w:pPr>
      <w:bookmarkStart w:id="4" w:name="_Hlk121298060"/>
      <w:r w:rsidRPr="00EC00ED">
        <w:rPr>
          <w:rFonts w:ascii="Arial" w:eastAsia="Calibri" w:hAnsi="Arial" w:cs="Arial"/>
          <w:b/>
          <w:bCs/>
          <w:lang w:val="es-MX"/>
        </w:rPr>
        <w:t>A) Forma de acreditación de la Capacidad Residual por parte del Proponente</w:t>
      </w:r>
      <w:bookmarkEnd w:id="4"/>
    </w:p>
    <w:p w14:paraId="580F1249" w14:textId="77777777" w:rsidR="00EC00ED" w:rsidRPr="00EC00ED" w:rsidRDefault="00EC00ED" w:rsidP="00EC00ED">
      <w:pPr>
        <w:spacing w:after="120" w:line="276" w:lineRule="auto"/>
        <w:ind w:firstLine="703"/>
        <w:jc w:val="both"/>
        <w:textAlignment w:val="baseline"/>
        <w:rPr>
          <w:rFonts w:ascii="Arial" w:eastAsia="Times New Roman" w:hAnsi="Arial" w:cs="Arial"/>
          <w:lang w:eastAsia="es-ES"/>
        </w:rPr>
      </w:pPr>
      <w:r w:rsidRPr="00EC00ED">
        <w:rPr>
          <w:rFonts w:ascii="Arial" w:eastAsia="Times New Roman" w:hAnsi="Arial" w:cs="Arial"/>
          <w:lang w:eastAsia="es-CO"/>
        </w:rPr>
        <w:t>El artículo 6 de la Ley 1150 de 2007 establece que todas las personas naturales o jurídicas nacionales o extranjeras domiciliadas o con sucursal en Colombia, que aspiren a celebrar contratos con las entidades estatales, deben estar inscritas en el Registro Único de Proponentes – en adelante RUP–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Estales, en los Procedimientos de Contratación, no podrán exigir, ni los proponentes aportar, documentación que deba utilizarse para efectuar la inscripción en el registro.  </w:t>
      </w:r>
    </w:p>
    <w:p w14:paraId="553D59D4" w14:textId="77777777" w:rsidR="00EC00ED" w:rsidRPr="00EC00ED" w:rsidRDefault="00EC00ED" w:rsidP="00EC00ED">
      <w:pPr>
        <w:tabs>
          <w:tab w:val="left" w:pos="426"/>
        </w:tabs>
        <w:spacing w:after="120" w:line="276" w:lineRule="auto"/>
        <w:ind w:firstLine="703"/>
        <w:jc w:val="both"/>
        <w:rPr>
          <w:rFonts w:ascii="Arial" w:hAnsi="Arial" w:cs="Arial"/>
          <w:lang w:val="es-MX"/>
        </w:rPr>
      </w:pPr>
      <w:r w:rsidRPr="00EC00ED">
        <w:rPr>
          <w:rFonts w:ascii="Arial" w:hAnsi="Arial" w:cs="Arial"/>
          <w:lang w:val="es-MX"/>
        </w:rPr>
        <w:t>Conforme a lo anterior, la Ley 1150 de 2007 establece que los requisitos habilitantes de experiencia, capacidad jurídica, financiera y de organización se acreditarán conforme a lo contenido en el RUP. Respecto a la acreditación de la Capacidad Residual, como esta no se realiza totalmente conforme al contenido del RUP, las Entidades deben exigir los documentos previstos en el artículo 2.2.1.1.1.6.4. del Decreto 1082 de 2015, relacionados con anterioridad, siempre y cuando no sea información que el proponente haya aportado, con anterioridad, para inscribirse en el RUP.</w:t>
      </w:r>
    </w:p>
    <w:p w14:paraId="2DABF5A8" w14:textId="77777777" w:rsidR="00EC00ED" w:rsidRPr="00EC00ED" w:rsidRDefault="00EC00ED" w:rsidP="00EC00ED">
      <w:pPr>
        <w:tabs>
          <w:tab w:val="left" w:pos="426"/>
        </w:tabs>
        <w:spacing w:after="120" w:line="276" w:lineRule="auto"/>
        <w:ind w:firstLine="703"/>
        <w:jc w:val="both"/>
        <w:rPr>
          <w:rFonts w:ascii="Arial" w:eastAsia="Times New Roman" w:hAnsi="Arial" w:cs="Arial"/>
          <w:bCs/>
          <w:lang w:val="es-MX" w:eastAsia="x-none"/>
        </w:rPr>
      </w:pPr>
      <w:r w:rsidRPr="00EC00ED">
        <w:rPr>
          <w:rFonts w:ascii="Arial" w:eastAsia="Times New Roman" w:hAnsi="Arial" w:cs="Arial"/>
          <w:bCs/>
          <w:lang w:val="es-MX" w:eastAsia="x-none"/>
        </w:rPr>
        <w:t xml:space="preserve">Así las cosas, la Entidad Estatal, como directora de los Procesos de Contratación que adelanta, debe señalar en el pliego de condiciones–o en la Invitación– cuál es la información que se debe acreditar para el cálculo de la Capacidad Residual, así como los documentos que tendrá como válidos para tal fin. En consecuencia, el proponente deberá ceñirse a lo dispuesto por la 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38FBE721" w14:textId="77777777" w:rsidR="00EC00ED" w:rsidRPr="00EC00ED" w:rsidRDefault="00EC00ED" w:rsidP="00EC00ED">
      <w:pPr>
        <w:tabs>
          <w:tab w:val="left" w:pos="426"/>
        </w:tabs>
        <w:spacing w:after="120" w:line="276" w:lineRule="auto"/>
        <w:ind w:firstLine="703"/>
        <w:jc w:val="both"/>
        <w:rPr>
          <w:rFonts w:ascii="Arial" w:hAnsi="Arial" w:cs="Arial"/>
          <w:b/>
          <w:lang w:val="es-MX"/>
        </w:rPr>
      </w:pPr>
      <w:r w:rsidRPr="00EC00ED">
        <w:rPr>
          <w:rFonts w:ascii="Arial" w:eastAsia="Times New Roman" w:hAnsi="Arial" w:cs="Arial"/>
          <w:b/>
          <w:lang w:val="es-MX" w:eastAsia="x-none"/>
        </w:rPr>
        <w:t xml:space="preserve">B) </w:t>
      </w:r>
      <w:r w:rsidRPr="00EC00ED">
        <w:rPr>
          <w:rFonts w:ascii="Arial" w:eastAsia="Times New Roman" w:hAnsi="Arial" w:cs="Arial"/>
          <w:b/>
          <w:color w:val="000000"/>
          <w:lang w:val="es-MX" w:eastAsia="en-GB"/>
        </w:rPr>
        <w:t>Guía para Determinar y Verificar la Capacidad Residual del Proponente en los Procesos de Contratación de Obra Pública</w:t>
      </w:r>
    </w:p>
    <w:p w14:paraId="32DEA033" w14:textId="77777777" w:rsidR="00EC00ED" w:rsidRPr="00EC00ED" w:rsidRDefault="00EC00ED" w:rsidP="00EC00ED">
      <w:pPr>
        <w:spacing w:before="120" w:after="120" w:line="276" w:lineRule="auto"/>
        <w:ind w:firstLine="709"/>
        <w:jc w:val="both"/>
        <w:rPr>
          <w:rFonts w:ascii="Arial" w:eastAsia="Calibri" w:hAnsi="Arial" w:cs="Arial"/>
          <w:bCs/>
          <w:color w:val="000000"/>
          <w:lang w:eastAsia="en-GB"/>
        </w:rPr>
      </w:pPr>
      <w:r w:rsidRPr="00EC00ED">
        <w:rPr>
          <w:rFonts w:ascii="Arial" w:eastAsia="Times New Roman" w:hAnsi="Arial" w:cs="Arial"/>
          <w:color w:val="000000"/>
          <w:lang w:val="es-MX" w:eastAsia="en-GB"/>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21B49BBF" w14:textId="77777777" w:rsidR="00EC00ED" w:rsidRPr="00EC00ED" w:rsidRDefault="00EC00ED" w:rsidP="00EC00ED">
      <w:pPr>
        <w:spacing w:after="0" w:line="276" w:lineRule="auto"/>
        <w:ind w:firstLine="709"/>
        <w:jc w:val="both"/>
        <w:rPr>
          <w:rFonts w:ascii="Arial" w:eastAsia="Calibri" w:hAnsi="Arial" w:cs="Arial"/>
          <w:bCs/>
          <w:color w:val="000000"/>
          <w:lang w:eastAsia="en-GB"/>
        </w:rPr>
      </w:pPr>
      <w:r w:rsidRPr="00EC00ED">
        <w:rPr>
          <w:rFonts w:ascii="Arial" w:eastAsia="Calibri" w:hAnsi="Arial" w:cs="Arial"/>
          <w:bCs/>
          <w:color w:val="000000"/>
          <w:lang w:eastAsia="en-GB"/>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28C7B259" w14:textId="77777777" w:rsidR="00EC00ED" w:rsidRPr="00EC00ED" w:rsidRDefault="00EC00ED" w:rsidP="00EC00ED">
      <w:pPr>
        <w:spacing w:before="120" w:after="0" w:line="276" w:lineRule="auto"/>
        <w:ind w:firstLine="709"/>
        <w:jc w:val="both"/>
        <w:rPr>
          <w:rFonts w:ascii="Arial" w:eastAsia="Calibri" w:hAnsi="Arial" w:cs="Arial"/>
          <w:bCs/>
          <w:color w:val="000000"/>
          <w:lang w:eastAsia="en-GB"/>
        </w:rPr>
      </w:pPr>
      <w:r w:rsidRPr="00EC00ED">
        <w:rPr>
          <w:rFonts w:ascii="Arial" w:eastAsia="Calibri" w:hAnsi="Arial" w:cs="Arial"/>
          <w:bCs/>
          <w:color w:val="000000"/>
          <w:lang w:eastAsia="en-GB"/>
        </w:rPr>
        <w:t xml:space="preserve">En cuanto al segundo aspecto, sobre la validación de </w:t>
      </w:r>
      <w:bookmarkStart w:id="5" w:name="_Hlk68683272"/>
      <w:r w:rsidRPr="00EC00ED">
        <w:rPr>
          <w:rFonts w:ascii="Arial" w:eastAsia="Calibri" w:hAnsi="Arial" w:cs="Arial"/>
          <w:bCs/>
          <w:color w:val="000000"/>
          <w:lang w:eastAsia="en-GB"/>
        </w:rPr>
        <w:t>que cada proponente cumpla con la CRPC</w:t>
      </w:r>
      <w:bookmarkEnd w:id="5"/>
      <w:r w:rsidRPr="00EC00ED">
        <w:rPr>
          <w:rFonts w:ascii="Arial" w:eastAsia="Calibri" w:hAnsi="Arial" w:cs="Arial"/>
          <w:bCs/>
          <w:color w:val="000000"/>
          <w:lang w:eastAsia="en-GB"/>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w:t>
      </w:r>
      <w:proofErr w:type="spellStart"/>
      <w:r w:rsidRPr="00EC00ED">
        <w:rPr>
          <w:rFonts w:ascii="Arial" w:eastAsia="Calibri" w:hAnsi="Arial" w:cs="Arial"/>
          <w:bCs/>
          <w:color w:val="000000"/>
          <w:lang w:eastAsia="en-GB"/>
        </w:rPr>
        <w:t>iv</w:t>
      </w:r>
      <w:proofErr w:type="spellEnd"/>
      <w:r w:rsidRPr="00EC00ED">
        <w:rPr>
          <w:rFonts w:ascii="Arial" w:eastAsia="Calibri" w:hAnsi="Arial" w:cs="Arial"/>
          <w:bCs/>
          <w:color w:val="000000"/>
          <w:lang w:eastAsia="en-GB"/>
        </w:rPr>
        <w:t>) capacidad de organización “CO”; y v) los saldos de los contratos en ejecución “SCE”, según la siguiente formula:</w:t>
      </w:r>
    </w:p>
    <w:p w14:paraId="1011D082" w14:textId="77777777" w:rsidR="00EC00ED" w:rsidRPr="00EC00ED" w:rsidRDefault="00EC00ED" w:rsidP="00EC00ED">
      <w:pPr>
        <w:spacing w:after="0" w:line="276" w:lineRule="auto"/>
        <w:ind w:firstLine="709"/>
        <w:jc w:val="both"/>
        <w:rPr>
          <w:rFonts w:ascii="Arial" w:eastAsia="Calibri" w:hAnsi="Arial" w:cs="Arial"/>
          <w:bCs/>
          <w:color w:val="000000"/>
          <w:sz w:val="24"/>
          <w:szCs w:val="24"/>
          <w:lang w:eastAsia="en-GB"/>
        </w:rPr>
      </w:pPr>
      <w:r w:rsidRPr="00EC00ED">
        <w:rPr>
          <w:rFonts w:ascii="Arial" w:eastAsia="Calibri" w:hAnsi="Arial" w:cs="Arial"/>
          <w:bCs/>
          <w:noProof/>
          <w:color w:val="000000"/>
          <w:sz w:val="24"/>
          <w:szCs w:val="24"/>
          <w:lang w:eastAsia="en-GB"/>
        </w:rPr>
        <w:drawing>
          <wp:anchor distT="0" distB="0" distL="0" distR="0" simplePos="0" relativeHeight="251659264" behindDoc="0" locked="0" layoutInCell="1" allowOverlap="1" wp14:anchorId="2DC3AB7A" wp14:editId="4696389E">
            <wp:simplePos x="0" y="0"/>
            <wp:positionH relativeFrom="margin">
              <wp:align>center</wp:align>
            </wp:positionH>
            <wp:positionV relativeFrom="paragraph">
              <wp:posOffset>222250</wp:posOffset>
            </wp:positionV>
            <wp:extent cx="4638040" cy="552450"/>
            <wp:effectExtent l="0" t="0" r="0" b="0"/>
            <wp:wrapTopAndBottom/>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1678CC58" w14:textId="77777777" w:rsidR="00EC00ED" w:rsidRPr="00EC00ED" w:rsidRDefault="00EC00ED" w:rsidP="00EC00ED">
      <w:pPr>
        <w:widowControl w:val="0"/>
        <w:autoSpaceDE w:val="0"/>
        <w:autoSpaceDN w:val="0"/>
        <w:spacing w:before="120" w:after="0" w:line="276" w:lineRule="auto"/>
        <w:ind w:right="51" w:firstLine="709"/>
        <w:jc w:val="both"/>
        <w:rPr>
          <w:rFonts w:ascii="Arial" w:eastAsia="Arial" w:hAnsi="Arial" w:cs="Arial"/>
          <w:lang w:val="es-ES" w:eastAsia="es-ES" w:bidi="es-ES"/>
        </w:rPr>
      </w:pPr>
    </w:p>
    <w:p w14:paraId="3343F987" w14:textId="77777777" w:rsidR="00EC00ED" w:rsidRPr="00EC00ED" w:rsidRDefault="00EC00ED" w:rsidP="00EC00ED">
      <w:pPr>
        <w:widowControl w:val="0"/>
        <w:autoSpaceDE w:val="0"/>
        <w:autoSpaceDN w:val="0"/>
        <w:spacing w:after="120" w:line="276" w:lineRule="auto"/>
        <w:ind w:firstLine="709"/>
        <w:jc w:val="both"/>
        <w:rPr>
          <w:rFonts w:ascii="Arial" w:eastAsia="Arial" w:hAnsi="Arial" w:cs="Arial"/>
        </w:rPr>
      </w:pPr>
      <w:r w:rsidRPr="00EC00ED">
        <w:rPr>
          <w:rFonts w:ascii="Arial" w:eastAsia="Arial" w:hAnsi="Arial" w:cs="Arial"/>
          <w:lang w:val="es-ES" w:eastAsia="es-ES" w:bidi="es-ES"/>
        </w:rPr>
        <w:t xml:space="preserve">A cada uno de estos factores se les asigna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w:t>
      </w:r>
      <w:r w:rsidRPr="00EC00ED">
        <w:rPr>
          <w:rFonts w:ascii="Arial" w:eastAsia="Arial" w:hAnsi="Arial" w:cs="Arial"/>
        </w:rPr>
        <w:t>A continuación, se explicará, en términos generales, cómo calcular cada factor:</w:t>
      </w:r>
    </w:p>
    <w:p w14:paraId="51C8744D" w14:textId="77777777" w:rsidR="00EC00ED" w:rsidRPr="00EC00ED" w:rsidRDefault="00EC00ED" w:rsidP="00EC00ED">
      <w:pPr>
        <w:widowControl w:val="0"/>
        <w:numPr>
          <w:ilvl w:val="0"/>
          <w:numId w:val="7"/>
        </w:numPr>
        <w:tabs>
          <w:tab w:val="left" w:pos="993"/>
        </w:tabs>
        <w:autoSpaceDE w:val="0"/>
        <w:autoSpaceDN w:val="0"/>
        <w:spacing w:after="120" w:line="276" w:lineRule="auto"/>
        <w:ind w:firstLine="709"/>
        <w:jc w:val="both"/>
        <w:rPr>
          <w:rFonts w:ascii="Arial" w:eastAsia="Arial" w:hAnsi="Arial" w:cs="Arial"/>
          <w:i/>
          <w:iCs/>
        </w:rPr>
      </w:pPr>
      <w:r w:rsidRPr="00EC00ED">
        <w:rPr>
          <w:rFonts w:ascii="Arial" w:eastAsia="Arial" w:hAnsi="Arial" w:cs="Arial"/>
          <w:b/>
          <w:bCs/>
        </w:rPr>
        <w:t>Capacidad financiera (CF).</w:t>
      </w:r>
      <w:r w:rsidRPr="00EC00ED">
        <w:rPr>
          <w:rFonts w:ascii="Arial" w:eastAsia="Arial" w:hAnsi="Arial" w:cs="Arial"/>
        </w:rPr>
        <w:t xml:space="preserve"> Se mide por el </w:t>
      </w:r>
      <w:r w:rsidRPr="00EC00ED">
        <w:rPr>
          <w:rFonts w:ascii="Arial" w:eastAsia="Arial" w:hAnsi="Arial" w:cs="Arial"/>
          <w:i/>
          <w:iCs/>
        </w:rPr>
        <w:t>“índice de liquidez”</w:t>
      </w:r>
      <w:r w:rsidRPr="00EC00ED">
        <w:rPr>
          <w:rFonts w:ascii="Arial" w:eastAsia="Arial" w:hAnsi="Arial" w:cs="Arial"/>
        </w:rPr>
        <w:t xml:space="preserve"> y este, a su vez, corresponde al resultado de dividir el </w:t>
      </w:r>
      <w:r w:rsidRPr="00EC00ED">
        <w:rPr>
          <w:rFonts w:ascii="Arial" w:eastAsia="Arial" w:hAnsi="Arial" w:cs="Arial"/>
          <w:i/>
          <w:iCs/>
        </w:rPr>
        <w:t>“activo corriente”</w:t>
      </w:r>
      <w:r w:rsidRPr="00EC00ED">
        <w:rPr>
          <w:rFonts w:ascii="Arial" w:eastAsia="Arial" w:hAnsi="Arial" w:cs="Arial"/>
        </w:rPr>
        <w:t xml:space="preserve"> sobre el “</w:t>
      </w:r>
      <w:r w:rsidRPr="00EC00ED">
        <w:rPr>
          <w:rFonts w:ascii="Arial" w:eastAsia="Arial" w:hAnsi="Arial" w:cs="Arial"/>
          <w:i/>
          <w:iCs/>
        </w:rPr>
        <w:t>pasivo corriente”.</w:t>
      </w:r>
      <w:r w:rsidRPr="00EC00ED">
        <w:rPr>
          <w:rFonts w:ascii="Arial" w:eastAsia="Arial" w:hAnsi="Arial" w:cs="Arial"/>
        </w:rPr>
        <w:t xml:space="preserve"> El resultado puede ser calificado entre veinte (20) y cuarenta (40) puntos, según se explica en la Guía.</w:t>
      </w:r>
    </w:p>
    <w:p w14:paraId="12229A06" w14:textId="77777777" w:rsidR="00EC00ED" w:rsidRPr="00EC00ED" w:rsidRDefault="00EC00ED" w:rsidP="00EC00ED">
      <w:pPr>
        <w:widowControl w:val="0"/>
        <w:numPr>
          <w:ilvl w:val="0"/>
          <w:numId w:val="7"/>
        </w:numPr>
        <w:tabs>
          <w:tab w:val="left" w:pos="993"/>
        </w:tabs>
        <w:autoSpaceDE w:val="0"/>
        <w:autoSpaceDN w:val="0"/>
        <w:spacing w:after="120" w:line="276" w:lineRule="auto"/>
        <w:ind w:firstLine="709"/>
        <w:jc w:val="both"/>
        <w:rPr>
          <w:rFonts w:ascii="Arial" w:eastAsia="Arial" w:hAnsi="Arial" w:cs="Arial"/>
          <w:i/>
          <w:iCs/>
        </w:rPr>
      </w:pPr>
      <w:r w:rsidRPr="00EC00ED">
        <w:rPr>
          <w:rFonts w:ascii="Arial" w:eastAsia="Arial" w:hAnsi="Arial" w:cs="Arial"/>
          <w:b/>
          <w:bCs/>
        </w:rPr>
        <w:t>Capacidad técnica (CT).</w:t>
      </w:r>
      <w:r w:rsidRPr="00EC00ED">
        <w:rPr>
          <w:rFonts w:ascii="Arial" w:eastAsia="Arial" w:hAnsi="Arial" w:cs="Arial"/>
        </w:rPr>
        <w:t xml:space="preserve"> Se determina teniendo en cuenta el número de socios y profesionales de la arquitectura, ingeniería y geología vinculados mediante una relación laboral o contractual. El puntaje por asignar, según la Guía, oscila entre veinte (20) y cuarenta (40) puntos. Para tales fines, se aclara, el proponente debe diligenciar el Anexo 2 de la “Guía para Determinar y Verificar la Capacidad Residual del Proponente en los Procesos de Contratación de Obra Pública”.</w:t>
      </w:r>
    </w:p>
    <w:p w14:paraId="547B88CF" w14:textId="77777777" w:rsidR="00EC00ED" w:rsidRPr="00EC00ED" w:rsidRDefault="00EC00ED" w:rsidP="00EC00ED">
      <w:pPr>
        <w:widowControl w:val="0"/>
        <w:numPr>
          <w:ilvl w:val="0"/>
          <w:numId w:val="7"/>
        </w:numPr>
        <w:tabs>
          <w:tab w:val="left" w:pos="993"/>
        </w:tabs>
        <w:autoSpaceDE w:val="0"/>
        <w:autoSpaceDN w:val="0"/>
        <w:spacing w:after="0" w:line="276" w:lineRule="auto"/>
        <w:ind w:firstLine="709"/>
        <w:jc w:val="both"/>
        <w:rPr>
          <w:rFonts w:ascii="Arial" w:eastAsia="Arial" w:hAnsi="Arial" w:cs="Arial"/>
          <w:i/>
          <w:iCs/>
        </w:rPr>
      </w:pPr>
      <w:r w:rsidRPr="00EC00ED">
        <w:rPr>
          <w:rFonts w:ascii="Arial" w:eastAsia="Arial" w:hAnsi="Arial" w:cs="Arial"/>
          <w:b/>
          <w:bCs/>
        </w:rPr>
        <w:t>Capacidad de organización (CO).</w:t>
      </w:r>
      <w:r w:rsidRPr="00EC00ED">
        <w:rPr>
          <w:rFonts w:ascii="Arial" w:eastAsia="Arial" w:hAnsi="Arial" w:cs="Arial"/>
        </w:rPr>
        <w:t xml:space="preserve"> Corresponde a los ingresos operacionales, según el siguiente cuadro:</w:t>
      </w:r>
    </w:p>
    <w:p w14:paraId="223C429F" w14:textId="77777777" w:rsidR="00EC00ED" w:rsidRPr="00EC00ED" w:rsidRDefault="00EC00ED" w:rsidP="00EC00ED">
      <w:pPr>
        <w:widowControl w:val="0"/>
        <w:tabs>
          <w:tab w:val="left" w:pos="993"/>
        </w:tabs>
        <w:autoSpaceDE w:val="0"/>
        <w:autoSpaceDN w:val="0"/>
        <w:spacing w:after="0" w:line="276" w:lineRule="auto"/>
        <w:ind w:left="709"/>
        <w:jc w:val="both"/>
        <w:rPr>
          <w:rFonts w:ascii="Arial" w:eastAsia="Arial" w:hAnsi="Arial" w:cs="Arial"/>
          <w:i/>
          <w:iCs/>
        </w:rPr>
      </w:pPr>
    </w:p>
    <w:tbl>
      <w:tblPr>
        <w:tblStyle w:val="Tablaconcuadrcula"/>
        <w:tblW w:w="7366" w:type="dxa"/>
        <w:jc w:val="center"/>
        <w:tblLook w:val="04A0" w:firstRow="1" w:lastRow="0" w:firstColumn="1" w:lastColumn="0" w:noHBand="0" w:noVBand="1"/>
      </w:tblPr>
      <w:tblGrid>
        <w:gridCol w:w="4053"/>
        <w:gridCol w:w="3313"/>
      </w:tblGrid>
      <w:tr w:rsidR="00EC00ED" w:rsidRPr="00EC00ED" w14:paraId="5B81F2FB" w14:textId="77777777" w:rsidTr="00EC79AD">
        <w:trPr>
          <w:jc w:val="center"/>
        </w:trPr>
        <w:tc>
          <w:tcPr>
            <w:tcW w:w="4053" w:type="dxa"/>
            <w:shd w:val="clear" w:color="auto" w:fill="D9D9D9" w:themeFill="background1" w:themeFillShade="D9"/>
          </w:tcPr>
          <w:p w14:paraId="7CD483EE" w14:textId="77777777" w:rsidR="00EC00ED" w:rsidRPr="00EC00ED" w:rsidRDefault="00EC00ED" w:rsidP="00EC00ED">
            <w:pPr>
              <w:widowControl w:val="0"/>
              <w:tabs>
                <w:tab w:val="left" w:pos="993"/>
              </w:tabs>
              <w:autoSpaceDE w:val="0"/>
              <w:autoSpaceDN w:val="0"/>
              <w:ind w:right="51"/>
              <w:contextualSpacing/>
              <w:jc w:val="center"/>
              <w:rPr>
                <w:rFonts w:ascii="Arial" w:eastAsia="Arial" w:hAnsi="Arial" w:cs="Arial"/>
                <w:b/>
                <w:bCs/>
              </w:rPr>
            </w:pPr>
            <w:r w:rsidRPr="00EC00ED">
              <w:rPr>
                <w:rFonts w:ascii="Arial" w:eastAsia="Arial" w:hAnsi="Arial" w:cs="Arial"/>
                <w:b/>
                <w:bCs/>
              </w:rPr>
              <w:t>Años de información financiera</w:t>
            </w:r>
          </w:p>
        </w:tc>
        <w:tc>
          <w:tcPr>
            <w:tcW w:w="3313" w:type="dxa"/>
            <w:shd w:val="clear" w:color="auto" w:fill="D9D9D9" w:themeFill="background1" w:themeFillShade="D9"/>
          </w:tcPr>
          <w:p w14:paraId="7FD64E2C" w14:textId="77777777" w:rsidR="00EC00ED" w:rsidRPr="00EC00ED" w:rsidRDefault="00EC00ED" w:rsidP="00EC00ED">
            <w:pPr>
              <w:widowControl w:val="0"/>
              <w:tabs>
                <w:tab w:val="left" w:pos="993"/>
              </w:tabs>
              <w:autoSpaceDE w:val="0"/>
              <w:autoSpaceDN w:val="0"/>
              <w:ind w:right="51"/>
              <w:contextualSpacing/>
              <w:jc w:val="center"/>
              <w:rPr>
                <w:rFonts w:ascii="Arial" w:eastAsia="Arial" w:hAnsi="Arial" w:cs="Arial"/>
                <w:b/>
                <w:bCs/>
              </w:rPr>
            </w:pPr>
            <w:r w:rsidRPr="00EC00ED">
              <w:rPr>
                <w:rFonts w:ascii="Arial" w:eastAsia="Arial" w:hAnsi="Arial" w:cs="Arial"/>
                <w:b/>
                <w:bCs/>
              </w:rPr>
              <w:t>Capacidad de organización</w:t>
            </w:r>
          </w:p>
        </w:tc>
      </w:tr>
      <w:tr w:rsidR="00EC00ED" w:rsidRPr="00EC00ED" w14:paraId="74B6D967" w14:textId="77777777" w:rsidTr="00EC79AD">
        <w:trPr>
          <w:jc w:val="center"/>
        </w:trPr>
        <w:tc>
          <w:tcPr>
            <w:tcW w:w="4053" w:type="dxa"/>
          </w:tcPr>
          <w:p w14:paraId="235370E9" w14:textId="77777777" w:rsidR="00EC00ED" w:rsidRPr="00EC00ED" w:rsidRDefault="00EC00ED" w:rsidP="00EC00ED">
            <w:pPr>
              <w:widowControl w:val="0"/>
              <w:tabs>
                <w:tab w:val="left" w:pos="993"/>
              </w:tabs>
              <w:autoSpaceDE w:val="0"/>
              <w:autoSpaceDN w:val="0"/>
              <w:ind w:right="51"/>
              <w:contextualSpacing/>
              <w:jc w:val="both"/>
              <w:rPr>
                <w:rFonts w:ascii="Arial" w:eastAsia="Arial" w:hAnsi="Arial" w:cs="Arial"/>
              </w:rPr>
            </w:pPr>
            <w:r w:rsidRPr="00EC00ED">
              <w:rPr>
                <w:rFonts w:ascii="Arial" w:eastAsia="Arial" w:hAnsi="Arial" w:cs="Arial"/>
              </w:rPr>
              <w:t>Cinco (5) años o más</w:t>
            </w:r>
          </w:p>
        </w:tc>
        <w:tc>
          <w:tcPr>
            <w:tcW w:w="3313" w:type="dxa"/>
          </w:tcPr>
          <w:p w14:paraId="531F596F" w14:textId="77777777" w:rsidR="00EC00ED" w:rsidRPr="00EC00ED" w:rsidRDefault="00EC00ED" w:rsidP="00EC00ED">
            <w:pPr>
              <w:widowControl w:val="0"/>
              <w:tabs>
                <w:tab w:val="left" w:pos="993"/>
              </w:tabs>
              <w:autoSpaceDE w:val="0"/>
              <w:autoSpaceDN w:val="0"/>
              <w:ind w:right="51"/>
              <w:contextualSpacing/>
              <w:jc w:val="both"/>
              <w:rPr>
                <w:rFonts w:ascii="Arial" w:eastAsia="Arial" w:hAnsi="Arial" w:cs="Arial"/>
              </w:rPr>
            </w:pPr>
            <w:r w:rsidRPr="00EC00ED">
              <w:rPr>
                <w:rFonts w:ascii="Arial" w:eastAsia="Arial" w:hAnsi="Arial" w:cs="Arial"/>
              </w:rPr>
              <w:t>Mayor ingreso operacional de los últimos cinco años</w:t>
            </w:r>
          </w:p>
        </w:tc>
      </w:tr>
      <w:tr w:rsidR="00EC00ED" w:rsidRPr="00EC00ED" w14:paraId="399097BA" w14:textId="77777777" w:rsidTr="00EC79AD">
        <w:trPr>
          <w:jc w:val="center"/>
        </w:trPr>
        <w:tc>
          <w:tcPr>
            <w:tcW w:w="4053" w:type="dxa"/>
          </w:tcPr>
          <w:p w14:paraId="25BF3BB5" w14:textId="77777777" w:rsidR="00EC00ED" w:rsidRPr="00EC00ED" w:rsidRDefault="00EC00ED" w:rsidP="00EC00ED">
            <w:pPr>
              <w:widowControl w:val="0"/>
              <w:tabs>
                <w:tab w:val="left" w:pos="993"/>
              </w:tabs>
              <w:autoSpaceDE w:val="0"/>
              <w:autoSpaceDN w:val="0"/>
              <w:ind w:right="51"/>
              <w:contextualSpacing/>
              <w:jc w:val="both"/>
              <w:rPr>
                <w:rFonts w:ascii="Arial" w:eastAsia="Arial" w:hAnsi="Arial" w:cs="Arial"/>
              </w:rPr>
            </w:pPr>
            <w:r w:rsidRPr="00EC00ED">
              <w:rPr>
                <w:rFonts w:ascii="Arial" w:eastAsia="Arial" w:hAnsi="Arial" w:cs="Arial"/>
              </w:rPr>
              <w:t>Entre uno (1) y cinco (5) años</w:t>
            </w:r>
          </w:p>
        </w:tc>
        <w:tc>
          <w:tcPr>
            <w:tcW w:w="3313" w:type="dxa"/>
          </w:tcPr>
          <w:p w14:paraId="346248D3" w14:textId="77777777" w:rsidR="00EC00ED" w:rsidRPr="00EC00ED" w:rsidRDefault="00EC00ED" w:rsidP="00EC00ED">
            <w:pPr>
              <w:widowControl w:val="0"/>
              <w:tabs>
                <w:tab w:val="left" w:pos="993"/>
              </w:tabs>
              <w:autoSpaceDE w:val="0"/>
              <w:autoSpaceDN w:val="0"/>
              <w:ind w:right="51"/>
              <w:contextualSpacing/>
              <w:jc w:val="both"/>
              <w:rPr>
                <w:rFonts w:ascii="Arial" w:eastAsia="Arial" w:hAnsi="Arial" w:cs="Arial"/>
              </w:rPr>
            </w:pPr>
            <w:r w:rsidRPr="00EC00ED">
              <w:rPr>
                <w:rFonts w:ascii="Arial" w:eastAsia="Arial" w:hAnsi="Arial" w:cs="Arial"/>
              </w:rPr>
              <w:t>Mayor ingreso operacional de los años de vida del oferente</w:t>
            </w:r>
          </w:p>
        </w:tc>
      </w:tr>
      <w:tr w:rsidR="00EC00ED" w:rsidRPr="00EC00ED" w14:paraId="215C2657" w14:textId="77777777" w:rsidTr="00EC79AD">
        <w:trPr>
          <w:jc w:val="center"/>
        </w:trPr>
        <w:tc>
          <w:tcPr>
            <w:tcW w:w="4053" w:type="dxa"/>
          </w:tcPr>
          <w:p w14:paraId="7B198293" w14:textId="77777777" w:rsidR="00EC00ED" w:rsidRPr="00EC00ED" w:rsidRDefault="00EC00ED" w:rsidP="00EC00ED">
            <w:pPr>
              <w:widowControl w:val="0"/>
              <w:tabs>
                <w:tab w:val="left" w:pos="993"/>
              </w:tabs>
              <w:autoSpaceDE w:val="0"/>
              <w:autoSpaceDN w:val="0"/>
              <w:ind w:right="51"/>
              <w:contextualSpacing/>
              <w:jc w:val="both"/>
              <w:rPr>
                <w:rFonts w:ascii="Arial" w:eastAsia="Arial" w:hAnsi="Arial" w:cs="Arial"/>
              </w:rPr>
            </w:pPr>
            <w:r w:rsidRPr="00EC00ED">
              <w:rPr>
                <w:rFonts w:ascii="Arial" w:eastAsia="Arial" w:hAnsi="Arial" w:cs="Arial"/>
              </w:rPr>
              <w:t>Menos de un (1) año</w:t>
            </w:r>
          </w:p>
        </w:tc>
        <w:tc>
          <w:tcPr>
            <w:tcW w:w="3313" w:type="dxa"/>
          </w:tcPr>
          <w:p w14:paraId="1CB33099" w14:textId="77777777" w:rsidR="00EC00ED" w:rsidRPr="00EC00ED" w:rsidRDefault="00EC00ED" w:rsidP="00EC00ED">
            <w:pPr>
              <w:widowControl w:val="0"/>
              <w:tabs>
                <w:tab w:val="left" w:pos="993"/>
              </w:tabs>
              <w:autoSpaceDE w:val="0"/>
              <w:autoSpaceDN w:val="0"/>
              <w:ind w:right="51"/>
              <w:contextualSpacing/>
              <w:jc w:val="both"/>
              <w:rPr>
                <w:rFonts w:ascii="Arial" w:eastAsia="Arial" w:hAnsi="Arial" w:cs="Arial"/>
              </w:rPr>
            </w:pPr>
            <w:r w:rsidRPr="00EC00ED">
              <w:rPr>
                <w:rFonts w:ascii="Arial" w:eastAsia="Arial" w:hAnsi="Arial" w:cs="Arial"/>
              </w:rPr>
              <w:t>USD 125.000</w:t>
            </w:r>
          </w:p>
        </w:tc>
      </w:tr>
    </w:tbl>
    <w:p w14:paraId="67379964" w14:textId="77777777" w:rsidR="00EC00ED" w:rsidRPr="00EC00ED" w:rsidRDefault="00EC00ED" w:rsidP="00EC00ED">
      <w:pPr>
        <w:widowControl w:val="0"/>
        <w:tabs>
          <w:tab w:val="left" w:pos="993"/>
        </w:tabs>
        <w:autoSpaceDE w:val="0"/>
        <w:autoSpaceDN w:val="0"/>
        <w:spacing w:after="0" w:line="276" w:lineRule="auto"/>
        <w:ind w:left="709"/>
        <w:jc w:val="both"/>
        <w:rPr>
          <w:rFonts w:ascii="Arial" w:eastAsia="Arial" w:hAnsi="Arial" w:cs="Arial"/>
        </w:rPr>
      </w:pPr>
    </w:p>
    <w:p w14:paraId="5B047D99" w14:textId="77777777" w:rsidR="00EC00ED" w:rsidRPr="00EC00ED" w:rsidRDefault="00EC00ED" w:rsidP="00EC00ED">
      <w:pPr>
        <w:widowControl w:val="0"/>
        <w:tabs>
          <w:tab w:val="left" w:pos="993"/>
        </w:tabs>
        <w:autoSpaceDE w:val="0"/>
        <w:autoSpaceDN w:val="0"/>
        <w:spacing w:after="120" w:line="276" w:lineRule="auto"/>
        <w:jc w:val="both"/>
        <w:rPr>
          <w:rFonts w:ascii="Arial" w:eastAsia="Arial" w:hAnsi="Arial" w:cs="Arial"/>
        </w:rPr>
      </w:pPr>
      <w:r w:rsidRPr="00EC00ED">
        <w:rPr>
          <w:rFonts w:ascii="Arial" w:eastAsia="Arial" w:hAnsi="Arial" w:cs="Arial"/>
        </w:rPr>
        <w:tab/>
        <w:t>Si los ingresos operacionales del proponente con uno (1) o más años de información financiera es menor a USD125.000, la Capacidad de organización (CO) del proponente es igual a USD125.000.</w:t>
      </w:r>
    </w:p>
    <w:p w14:paraId="5653427A" w14:textId="77777777" w:rsidR="00EC00ED" w:rsidRPr="00EC00ED" w:rsidRDefault="00EC00ED" w:rsidP="00EC00ED">
      <w:pPr>
        <w:widowControl w:val="0"/>
        <w:numPr>
          <w:ilvl w:val="0"/>
          <w:numId w:val="7"/>
        </w:numPr>
        <w:tabs>
          <w:tab w:val="left" w:pos="993"/>
        </w:tabs>
        <w:autoSpaceDE w:val="0"/>
        <w:autoSpaceDN w:val="0"/>
        <w:spacing w:after="120" w:line="276" w:lineRule="auto"/>
        <w:ind w:firstLine="709"/>
        <w:jc w:val="both"/>
        <w:rPr>
          <w:rFonts w:ascii="Arial" w:eastAsia="Arial" w:hAnsi="Arial" w:cs="Arial"/>
        </w:rPr>
      </w:pPr>
      <w:r w:rsidRPr="00EC00ED">
        <w:rPr>
          <w:rFonts w:ascii="Arial" w:eastAsia="Arial" w:hAnsi="Arial" w:cs="Arial"/>
          <w:b/>
          <w:bCs/>
        </w:rPr>
        <w:t>Saldos de los contratos en ejecución (SCE).</w:t>
      </w:r>
      <w:r w:rsidRPr="00EC00ED">
        <w:rPr>
          <w:rFonts w:ascii="Arial" w:eastAsia="Arial" w:hAnsi="Arial" w:cs="Arial"/>
        </w:rPr>
        <w:t xml:space="preserve"> Debe hacerse linealmente y calculando una </w:t>
      </w:r>
      <w:r w:rsidRPr="00EC00ED">
        <w:rPr>
          <w:rFonts w:ascii="Arial" w:eastAsia="Arial" w:hAnsi="Arial" w:cs="Arial"/>
          <w:i/>
          <w:iCs/>
        </w:rPr>
        <w:t xml:space="preserve">“ejecución diaria equivalente al valor del contrato dividido por el plazo del contrato expresado en días”. </w:t>
      </w:r>
      <w:r w:rsidRPr="00EC00ED">
        <w:rPr>
          <w:rFonts w:ascii="Arial" w:eastAsia="Arial" w:hAnsi="Arial" w:cs="Arial"/>
        </w:rPr>
        <w:t>El resultado obtenido se debe multiplicar por el número de días pendientes para cumplir el plazo del contrato. Si el número de días por ejecutar un contrato es superior a trecientos sesenta (360) días, solo se tendrá en cuenta la proporción lineal de doce (12) meses.</w:t>
      </w:r>
    </w:p>
    <w:p w14:paraId="532A31BD" w14:textId="77777777" w:rsidR="00EC00ED" w:rsidRPr="00EC00ED" w:rsidRDefault="00EC00ED" w:rsidP="00EC00ED">
      <w:pPr>
        <w:widowControl w:val="0"/>
        <w:numPr>
          <w:ilvl w:val="0"/>
          <w:numId w:val="7"/>
        </w:numPr>
        <w:tabs>
          <w:tab w:val="left" w:pos="993"/>
        </w:tabs>
        <w:autoSpaceDE w:val="0"/>
        <w:autoSpaceDN w:val="0"/>
        <w:spacing w:after="120" w:line="276" w:lineRule="auto"/>
        <w:ind w:firstLine="709"/>
        <w:jc w:val="both"/>
        <w:rPr>
          <w:rFonts w:ascii="Arial" w:eastAsia="Arial" w:hAnsi="Arial" w:cs="Arial"/>
        </w:rPr>
      </w:pPr>
      <w:r w:rsidRPr="00EC00ED">
        <w:rPr>
          <w:rFonts w:ascii="Arial" w:eastAsia="Arial" w:hAnsi="Arial" w:cs="Arial"/>
          <w:b/>
          <w:bCs/>
        </w:rPr>
        <w:t>Experiencia (E).</w:t>
      </w:r>
      <w:r w:rsidRPr="00EC00ED">
        <w:rPr>
          <w:rFonts w:ascii="Arial" w:eastAsia="Arial" w:hAnsi="Arial" w:cs="Arial"/>
        </w:rPr>
        <w:t xml:space="preserve"> Para los efectos de la Capacidad Residual, corresponde de un lado, a la relación entre “</w:t>
      </w:r>
      <w:r w:rsidRPr="00EC00ED">
        <w:rPr>
          <w:rFonts w:ascii="Arial" w:eastAsia="Arial" w:hAnsi="Arial" w:cs="Arial"/>
          <w:i/>
          <w:iCs/>
        </w:rPr>
        <w:t>el valor total en pesos de los contratos relacionados con la actividad de la construcción inscritos por el proponente en el Registro Único de Proponentes “RUP” en el segmento 72 […] del Clasificador de Bienes y Servicios”,</w:t>
      </w:r>
      <w:r w:rsidRPr="00EC00ED">
        <w:rPr>
          <w:rFonts w:ascii="Arial" w:eastAsia="Arial" w:hAnsi="Arial" w:cs="Arial"/>
        </w:rPr>
        <w:t xml:space="preserve"> y del otro, al presupuesto oficial estimado del Proceso de Contratación. La relación indica el número de veces que el proponente ha ejecutado contratos equivalentes a la cuantía del Proceso de Contratación, según la siguientes formula:</w:t>
      </w:r>
    </w:p>
    <w:p w14:paraId="14C2FD53" w14:textId="77777777" w:rsidR="00EC00ED" w:rsidRPr="00EC00ED" w:rsidRDefault="00EC00ED" w:rsidP="00EC00ED">
      <w:pPr>
        <w:widowControl w:val="0"/>
        <w:autoSpaceDE w:val="0"/>
        <w:autoSpaceDN w:val="0"/>
        <w:spacing w:after="0" w:line="276" w:lineRule="auto"/>
        <w:ind w:left="709" w:right="758"/>
        <w:jc w:val="both"/>
        <w:rPr>
          <w:rFonts w:ascii="Arial" w:eastAsia="Arial" w:hAnsi="Arial" w:cs="Arial"/>
          <w:lang w:val="es-ES" w:eastAsia="es-ES" w:bidi="es-ES"/>
        </w:rPr>
      </w:pPr>
      <w:r w:rsidRPr="00EC00ED">
        <w:rPr>
          <w:rFonts w:ascii="Arial" w:eastAsia="Arial" w:hAnsi="Arial" w:cs="Arial"/>
          <w:noProof/>
          <w:lang w:val="es-ES" w:eastAsia="es-ES" w:bidi="es-ES"/>
        </w:rPr>
        <w:drawing>
          <wp:inline distT="0" distB="0" distL="0" distR="0" wp14:anchorId="0C06E250" wp14:editId="7F24D387">
            <wp:extent cx="4696459" cy="615315"/>
            <wp:effectExtent l="0" t="0" r="8890" b="0"/>
            <wp:docPr id="1996789253" name="Imagen 199678925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89253" name="Imagen 6" descr="Imagen que contiene 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p>
    <w:p w14:paraId="177D0E94" w14:textId="77777777" w:rsidR="00EC00ED" w:rsidRPr="00EC00ED" w:rsidRDefault="00EC00ED" w:rsidP="00EC00ED">
      <w:pPr>
        <w:widowControl w:val="0"/>
        <w:autoSpaceDE w:val="0"/>
        <w:autoSpaceDN w:val="0"/>
        <w:spacing w:after="0" w:line="276" w:lineRule="auto"/>
        <w:ind w:right="51"/>
        <w:jc w:val="both"/>
        <w:rPr>
          <w:rFonts w:ascii="Arial" w:eastAsia="Arial" w:hAnsi="Arial" w:cs="Arial"/>
          <w:lang w:val="es-ES" w:eastAsia="es-ES" w:bidi="es-ES"/>
        </w:rPr>
      </w:pPr>
    </w:p>
    <w:p w14:paraId="33A50ACC" w14:textId="77777777" w:rsidR="00EC00ED" w:rsidRPr="00EC00ED" w:rsidRDefault="00EC00ED" w:rsidP="00EC00ED">
      <w:pPr>
        <w:widowControl w:val="0"/>
        <w:autoSpaceDE w:val="0"/>
        <w:autoSpaceDN w:val="0"/>
        <w:spacing w:after="120" w:line="276" w:lineRule="auto"/>
        <w:ind w:right="51" w:firstLine="709"/>
        <w:jc w:val="both"/>
        <w:rPr>
          <w:rFonts w:ascii="Arial" w:eastAsia="Arial" w:hAnsi="Arial" w:cs="Arial"/>
          <w:lang w:val="es-ES" w:eastAsia="es-ES" w:bidi="es-ES"/>
        </w:rPr>
      </w:pPr>
      <w:r w:rsidRPr="00EC00ED">
        <w:rPr>
          <w:rFonts w:ascii="Arial" w:eastAsia="Arial" w:hAnsi="Arial" w:cs="Arial"/>
          <w:lang w:val="es-ES" w:eastAsia="es-ES" w:bidi="es-ES"/>
        </w:rPr>
        <w:t xml:space="preserve">Resulta del caso precisar que si bien es cierto que es la entidad estatal la que debe calcular la capacidad residual de los proponentes, también lo es que estos últimos, como ya se dijo, tienen como carga aportar los documentos para acreditarla. </w:t>
      </w:r>
    </w:p>
    <w:p w14:paraId="5D9C1571" w14:textId="77777777" w:rsidR="00EC00ED" w:rsidRPr="00EC00ED" w:rsidRDefault="00EC00ED" w:rsidP="00EC00ED">
      <w:pPr>
        <w:widowControl w:val="0"/>
        <w:autoSpaceDE w:val="0"/>
        <w:autoSpaceDN w:val="0"/>
        <w:spacing w:after="120" w:line="276" w:lineRule="auto"/>
        <w:ind w:right="51" w:firstLine="709"/>
        <w:jc w:val="both"/>
        <w:rPr>
          <w:rFonts w:ascii="Arial" w:eastAsia="Arial" w:hAnsi="Arial" w:cs="Arial"/>
          <w:lang w:val="es-ES" w:eastAsia="es-ES" w:bidi="es-ES"/>
        </w:rPr>
      </w:pPr>
      <w:r w:rsidRPr="00EC00ED">
        <w:rPr>
          <w:rFonts w:ascii="Arial" w:eastAsia="Arial" w:hAnsi="Arial" w:cs="Arial"/>
          <w:lang w:val="es-ES" w:eastAsia="es-ES" w:bidi="es-ES"/>
        </w:rPr>
        <w:t>Para acreditar el factor experiencia –E–, el proponente debe suscribir el formato correspondiente al anexo 1 de la “Guía para Determinar y Verificar la Capacidad Residual del Proponente en los Procesos de Contratación de Obra Pública” −este es diferente al anexo 1 de los documentos tipo−, el cual debe ser diligenciado, por un lado, con los contratos inscritos en el segmento 72 y, por el otro, con el valor total de dichos contratos expresado en pesos colombianos y liquidados con el SMMLV. El Anexo 1 es el siguiente:</w:t>
      </w:r>
    </w:p>
    <w:p w14:paraId="47EF6804" w14:textId="77777777" w:rsidR="00EC00ED" w:rsidRPr="00EC00ED" w:rsidRDefault="00EC00ED" w:rsidP="00EC00ED">
      <w:pPr>
        <w:widowControl w:val="0"/>
        <w:autoSpaceDE w:val="0"/>
        <w:autoSpaceDN w:val="0"/>
        <w:spacing w:before="120" w:after="0" w:line="276" w:lineRule="auto"/>
        <w:ind w:right="51"/>
        <w:jc w:val="center"/>
        <w:rPr>
          <w:rFonts w:ascii="Arial" w:eastAsia="Arial" w:hAnsi="Arial" w:cs="Arial"/>
          <w:lang w:val="es-ES" w:eastAsia="es-ES" w:bidi="es-ES"/>
        </w:rPr>
      </w:pPr>
      <w:r w:rsidRPr="00EC00ED">
        <w:rPr>
          <w:rFonts w:ascii="Arial" w:eastAsia="Arial" w:hAnsi="Arial" w:cs="Arial"/>
          <w:noProof/>
          <w:lang w:val="es-ES" w:eastAsia="es-ES" w:bidi="es-ES"/>
        </w:rPr>
        <w:drawing>
          <wp:inline distT="0" distB="0" distL="0" distR="0" wp14:anchorId="42D3D249" wp14:editId="53371841">
            <wp:extent cx="5790569" cy="4369981"/>
            <wp:effectExtent l="0" t="0" r="635" b="0"/>
            <wp:docPr id="889191954" name="Imagen 88919195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91954" name="Imagen 8" descr="Interfaz de usuario gráfica, Texto, Aplicación, Correo electrónic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848599" cy="4413774"/>
                    </a:xfrm>
                    <a:prstGeom prst="rect">
                      <a:avLst/>
                    </a:prstGeom>
                  </pic:spPr>
                </pic:pic>
              </a:graphicData>
            </a:graphic>
          </wp:inline>
        </w:drawing>
      </w:r>
    </w:p>
    <w:p w14:paraId="467644BC" w14:textId="77777777" w:rsidR="00EC00ED" w:rsidRPr="00EC00ED" w:rsidRDefault="00EC00ED" w:rsidP="00EC00ED">
      <w:pPr>
        <w:widowControl w:val="0"/>
        <w:autoSpaceDE w:val="0"/>
        <w:autoSpaceDN w:val="0"/>
        <w:spacing w:before="120" w:after="120" w:line="276" w:lineRule="auto"/>
        <w:ind w:right="51" w:firstLine="709"/>
        <w:jc w:val="both"/>
        <w:rPr>
          <w:rFonts w:ascii="Arial" w:eastAsia="Arial" w:hAnsi="Arial" w:cs="Arial"/>
          <w:lang w:val="es-ES" w:eastAsia="es-ES" w:bidi="es-ES"/>
        </w:rPr>
      </w:pPr>
      <w:r w:rsidRPr="00EC00ED">
        <w:rPr>
          <w:rFonts w:ascii="Arial" w:eastAsia="Arial" w:hAnsi="Arial" w:cs="Arial"/>
          <w:lang w:val="es-ES" w:eastAsia="es-ES" w:bidi="es-ES"/>
        </w:rPr>
        <w:t>Nótese que en la parte superior derecha se lee que el valor total de los contratos ejecutados corresponde “al valor del contrato ponderado por la participación en pesos colombianos”. Ahora bien, en criterio de la Agencia Nacional de Contratación Pública, la noción “liquidados con el SMMLV”, contenida en la página 7 de la “Guía para Determinar y Verificar la Capacidad Residual del Proponente en los Procesos de Contratación de Obra Pública”, implica que para efectos prácticos el anexo 1 hace referencia: i) al contrato relacionado con la actividad de la construcción −segmento 72, clasificador UNSPSC− y ii) al valor de cada uno de esos contratos de acuerdo a los salarios mínimos mensuales legales vigentes –SMMLV– registrados en el RUP</w:t>
      </w:r>
      <w:r w:rsidRPr="00EC00ED">
        <w:rPr>
          <w:rFonts w:ascii="Arial" w:eastAsia="Arial" w:hAnsi="Arial" w:cs="Arial"/>
          <w:vertAlign w:val="superscript"/>
          <w:lang w:val="es-ES" w:eastAsia="es-ES" w:bidi="es-ES"/>
        </w:rPr>
        <w:footnoteReference w:id="11"/>
      </w:r>
      <w:r w:rsidRPr="00EC00ED">
        <w:rPr>
          <w:rFonts w:ascii="Arial" w:eastAsia="Arial" w:hAnsi="Arial" w:cs="Arial"/>
          <w:lang w:val="es-ES" w:eastAsia="es-ES" w:bidi="es-ES"/>
        </w:rPr>
        <w:t xml:space="preserve">. De ser necesario, el proponente tendrá que diligenciar la casilla del porcentaje de “participación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w:t>
      </w:r>
    </w:p>
    <w:p w14:paraId="4237ADA0" w14:textId="77777777" w:rsidR="00EC00ED" w:rsidRPr="00EC00ED" w:rsidRDefault="00EC00ED" w:rsidP="00EC00ED">
      <w:pPr>
        <w:widowControl w:val="0"/>
        <w:autoSpaceDE w:val="0"/>
        <w:autoSpaceDN w:val="0"/>
        <w:spacing w:after="120" w:line="276" w:lineRule="auto"/>
        <w:ind w:right="51" w:firstLine="709"/>
        <w:jc w:val="both"/>
        <w:rPr>
          <w:rFonts w:ascii="Arial" w:eastAsia="Arial" w:hAnsi="Arial" w:cs="Arial"/>
          <w:lang w:val="es-ES" w:eastAsia="es-ES" w:bidi="es-ES"/>
        </w:rPr>
      </w:pPr>
      <w:r w:rsidRPr="00EC00ED">
        <w:rPr>
          <w:rFonts w:ascii="Arial" w:eastAsia="Arial" w:hAnsi="Arial" w:cs="Arial"/>
          <w:lang w:val="es-ES" w:eastAsia="es-ES" w:bidi="es-ES"/>
        </w:rPr>
        <w:t>En suma, a la entidad contratante corresponde, por una parte, establecer la capacidad residual del proceso de contratación –CRPC– y, por la otra, determinar si los proponentes cumplen con la capacidad residual del proceso de contratación, claro está, teniendo en cuenta la información aportada por el oferente, y según los criterios y directrices de los párrafos precedentes.</w:t>
      </w:r>
    </w:p>
    <w:p w14:paraId="6D0C97FB" w14:textId="77777777" w:rsidR="00EC00ED" w:rsidRPr="00EC00ED" w:rsidRDefault="00EC00ED" w:rsidP="00EC00ED">
      <w:pPr>
        <w:spacing w:before="120" w:line="276" w:lineRule="auto"/>
        <w:ind w:firstLine="709"/>
        <w:jc w:val="both"/>
        <w:rPr>
          <w:rFonts w:ascii="Arial" w:eastAsia="Calibri" w:hAnsi="Arial" w:cs="Arial"/>
          <w:bCs/>
          <w:color w:val="000000" w:themeColor="text1"/>
        </w:rPr>
      </w:pPr>
      <w:r w:rsidRPr="00EC00ED">
        <w:rPr>
          <w:rFonts w:ascii="Arial" w:eastAsia="Calibri" w:hAnsi="Arial" w:cs="Arial"/>
          <w:bCs/>
          <w:color w:val="000000" w:themeColor="text1"/>
        </w:rPr>
        <w:t xml:space="preserve">Así las cosas, una vez acreditado cada uno de los factores descritos y aplicada la fórmula señalada, se obtiene un resultado que determina la capacidad residual del proponente, con base en el cual se podrá establecer si cumple con la capacidad residual del proceso de contratación. En este sentido, si la capacidad residual del proponente es igual o mayor a la capacidad residual del proceso, el proponente será evaluado como </w:t>
      </w:r>
      <w:r w:rsidRPr="00EC00ED">
        <w:rPr>
          <w:rFonts w:ascii="Arial" w:eastAsia="Arial" w:hAnsi="Arial" w:cs="Arial"/>
          <w:color w:val="000000" w:themeColor="text1"/>
          <w:lang w:eastAsia="es-ES" w:bidi="es-ES"/>
        </w:rPr>
        <w:t>“</w:t>
      </w:r>
      <w:r w:rsidRPr="00EC00ED">
        <w:rPr>
          <w:rFonts w:ascii="Arial" w:eastAsia="Calibri" w:hAnsi="Arial" w:cs="Arial"/>
          <w:bCs/>
          <w:color w:val="000000" w:themeColor="text1"/>
        </w:rPr>
        <w:t>cumple</w:t>
      </w:r>
      <w:r w:rsidRPr="00EC00ED">
        <w:rPr>
          <w:rFonts w:ascii="Arial" w:eastAsia="Arial" w:hAnsi="Arial" w:cs="Arial"/>
          <w:color w:val="000000" w:themeColor="text1"/>
          <w:lang w:eastAsia="es-ES" w:bidi="es-ES"/>
        </w:rPr>
        <w:t>”</w:t>
      </w:r>
      <w:r w:rsidRPr="00EC00ED">
        <w:rPr>
          <w:rFonts w:ascii="Arial" w:eastAsia="Calibri" w:hAnsi="Arial" w:cs="Arial"/>
          <w:bCs/>
          <w:color w:val="000000" w:themeColor="text1"/>
        </w:rPr>
        <w:t xml:space="preserve"> respecto de este requisito habilitante adicional, de lo contrario la evaluación de este aspecto deberá ser </w:t>
      </w:r>
      <w:r w:rsidRPr="00EC00ED">
        <w:rPr>
          <w:rFonts w:ascii="Arial" w:eastAsia="Arial" w:hAnsi="Arial" w:cs="Arial"/>
          <w:color w:val="000000" w:themeColor="text1"/>
          <w:lang w:eastAsia="es-ES" w:bidi="es-ES"/>
        </w:rPr>
        <w:t>“</w:t>
      </w:r>
      <w:r w:rsidRPr="00EC00ED">
        <w:rPr>
          <w:rFonts w:ascii="Arial" w:eastAsia="Calibri" w:hAnsi="Arial" w:cs="Arial"/>
          <w:bCs/>
          <w:color w:val="000000" w:themeColor="text1"/>
        </w:rPr>
        <w:t>no cumple</w:t>
      </w:r>
      <w:r w:rsidRPr="00EC00ED">
        <w:rPr>
          <w:rFonts w:ascii="Arial" w:eastAsia="Arial" w:hAnsi="Arial" w:cs="Arial"/>
          <w:color w:val="000000" w:themeColor="text1"/>
          <w:lang w:eastAsia="es-ES" w:bidi="es-ES"/>
        </w:rPr>
        <w:t>”.</w:t>
      </w:r>
    </w:p>
    <w:p w14:paraId="172F759E" w14:textId="77777777" w:rsidR="00EC00ED" w:rsidRPr="00EC00ED" w:rsidRDefault="00EC00ED" w:rsidP="00EC00ED">
      <w:pPr>
        <w:tabs>
          <w:tab w:val="left" w:pos="426"/>
        </w:tabs>
        <w:spacing w:before="120" w:after="0" w:line="276" w:lineRule="auto"/>
        <w:ind w:firstLine="709"/>
        <w:jc w:val="both"/>
        <w:rPr>
          <w:rFonts w:ascii="Arial" w:eastAsia="Calibri" w:hAnsi="Arial" w:cs="Arial"/>
          <w:szCs w:val="20"/>
          <w:lang w:val="es-MX"/>
        </w:rPr>
      </w:pPr>
      <w:r w:rsidRPr="00EC00ED">
        <w:rPr>
          <w:rFonts w:ascii="Arial" w:eastAsia="Calibri" w:hAnsi="Arial" w:cs="Arial"/>
          <w:szCs w:val="20"/>
          <w:lang w:val="es-MX"/>
        </w:rPr>
        <w:t xml:space="preserve">En línea con lo anterior, para los procesos de contratación sometidos a documentos tipo, el numeral </w:t>
      </w:r>
      <w:r w:rsidRPr="00EC00ED">
        <w:rPr>
          <w:rFonts w:ascii="Arial" w:eastAsia="Calibri" w:hAnsi="Arial" w:cs="Arial"/>
          <w:lang w:val="es-MX"/>
        </w:rPr>
        <w:t>3.10.2 del pliego tipo para procesos de licitación pública de infraestructura de transporte, establece en que el cálculo de la</w:t>
      </w:r>
      <w:r w:rsidRPr="00EC00ED">
        <w:rPr>
          <w:rFonts w:ascii="Arial" w:eastAsia="Arial" w:hAnsi="Arial" w:cs="Arial"/>
          <w:lang w:val="es-MX"/>
        </w:rPr>
        <w:t xml:space="preserve"> </w:t>
      </w:r>
      <w:r w:rsidRPr="00EC00ED">
        <w:rPr>
          <w:rFonts w:ascii="Arial" w:eastAsia="Calibri" w:hAnsi="Arial" w:cs="Arial"/>
          <w:lang w:val="es-MX"/>
        </w:rPr>
        <w:t>capacidad</w:t>
      </w:r>
      <w:r w:rsidRPr="00EC00ED">
        <w:rPr>
          <w:rFonts w:ascii="Arial" w:eastAsia="Arial" w:hAnsi="Arial" w:cs="Arial"/>
          <w:lang w:val="es-MX"/>
        </w:rPr>
        <w:t xml:space="preserve"> </w:t>
      </w:r>
      <w:r w:rsidRPr="00EC00ED">
        <w:rPr>
          <w:rFonts w:ascii="Arial" w:eastAsia="Calibri" w:hAnsi="Arial" w:cs="Arial"/>
          <w:lang w:val="es-MX"/>
        </w:rPr>
        <w:t>residual</w:t>
      </w:r>
      <w:r w:rsidRPr="00EC00ED">
        <w:rPr>
          <w:rFonts w:ascii="Arial" w:eastAsia="Arial" w:hAnsi="Arial" w:cs="Arial"/>
          <w:lang w:val="es-MX"/>
        </w:rPr>
        <w:t xml:space="preserve"> </w:t>
      </w:r>
      <w:r w:rsidRPr="00EC00ED">
        <w:rPr>
          <w:rFonts w:ascii="Arial" w:eastAsia="Calibri" w:hAnsi="Arial" w:cs="Arial"/>
          <w:lang w:val="es-MX"/>
        </w:rPr>
        <w:t>del</w:t>
      </w:r>
      <w:r w:rsidRPr="00EC00ED">
        <w:rPr>
          <w:rFonts w:ascii="Arial" w:eastAsia="Arial" w:hAnsi="Arial" w:cs="Arial"/>
          <w:lang w:val="es-MX"/>
        </w:rPr>
        <w:t xml:space="preserve"> </w:t>
      </w:r>
      <w:r w:rsidRPr="00EC00ED">
        <w:rPr>
          <w:rFonts w:ascii="Arial" w:eastAsia="Calibri" w:hAnsi="Arial" w:cs="Arial"/>
          <w:lang w:val="es-MX"/>
        </w:rPr>
        <w:t>Proponente</w:t>
      </w:r>
      <w:r w:rsidRPr="00EC00ED">
        <w:rPr>
          <w:rFonts w:ascii="Arial" w:eastAsia="Arial" w:hAnsi="Arial" w:cs="Arial"/>
          <w:lang w:val="es-MX"/>
        </w:rPr>
        <w:t xml:space="preserve"> de acuerdo a la formula previamente citada, y en el </w:t>
      </w:r>
      <w:proofErr w:type="spellStart"/>
      <w:r w:rsidRPr="00EC00ED">
        <w:rPr>
          <w:rFonts w:ascii="Arial" w:eastAsia="Calibri" w:hAnsi="Arial" w:cs="Arial"/>
          <w:szCs w:val="20"/>
          <w:lang w:val="es-MX"/>
        </w:rPr>
        <w:t>el</w:t>
      </w:r>
      <w:proofErr w:type="spellEnd"/>
      <w:r w:rsidRPr="00EC00ED">
        <w:rPr>
          <w:rFonts w:ascii="Arial" w:eastAsia="Calibri" w:hAnsi="Arial" w:cs="Arial"/>
          <w:szCs w:val="20"/>
          <w:lang w:val="es-MX"/>
        </w:rPr>
        <w:t xml:space="preserve"> literal b del numeral 3.11.2, relativo al cálculo del factor de experiencia, establece lo siguiente:</w:t>
      </w:r>
    </w:p>
    <w:p w14:paraId="12BFE493" w14:textId="77777777" w:rsidR="00EC00ED" w:rsidRPr="00EC00ED" w:rsidRDefault="00EC00ED" w:rsidP="00EC00ED">
      <w:pPr>
        <w:spacing w:after="0" w:line="276" w:lineRule="auto"/>
        <w:jc w:val="both"/>
        <w:rPr>
          <w:rFonts w:ascii="Arial" w:eastAsia="Calibri" w:hAnsi="Arial" w:cs="Arial"/>
          <w:szCs w:val="20"/>
          <w:lang w:val="es-MX"/>
        </w:rPr>
      </w:pPr>
    </w:p>
    <w:p w14:paraId="66B09B64" w14:textId="77777777" w:rsidR="00EC00ED" w:rsidRPr="00EC00ED" w:rsidRDefault="00EC00ED" w:rsidP="00EC00ED">
      <w:pPr>
        <w:spacing w:after="120" w:line="240" w:lineRule="auto"/>
        <w:ind w:left="709" w:right="709"/>
        <w:jc w:val="both"/>
        <w:rPr>
          <w:rFonts w:ascii="Arial" w:eastAsia="Arial," w:hAnsi="Arial" w:cs="Arial"/>
          <w:sz w:val="21"/>
          <w:szCs w:val="21"/>
          <w:lang w:val="es-MX"/>
        </w:rPr>
      </w:pP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factor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Proponente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para</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propósitos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la</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capacidad</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residual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acreditado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por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medio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la</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relación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entre: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(i)</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valor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total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pesos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los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contratos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relacionados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la</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actividad</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la</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construcción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inscritos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por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Proponente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RUP,</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fldChar w:fldCharType="begin"/>
      </w:r>
      <w:r w:rsidRPr="00EC00ED">
        <w:rPr>
          <w:rFonts w:ascii="Arial" w:eastAsia="MS Mincho" w:hAnsi="Arial" w:cs="Arial"/>
          <w:bCs/>
          <w:sz w:val="21"/>
          <w:szCs w:val="21"/>
          <w:lang w:val="es-MX"/>
        </w:rPr>
        <w:instrText xml:space="preserve"> REF _Ref508649250 \h </w:instrText>
      </w:r>
      <w:r w:rsidRPr="00EC00ED">
        <w:rPr>
          <w:rFonts w:ascii="Arial" w:eastAsia="Calibri" w:hAnsi="Arial" w:cs="Arial"/>
          <w:sz w:val="21"/>
          <w:szCs w:val="21"/>
          <w:lang w:val="es-MX"/>
        </w:rPr>
        <w:instrText xml:space="preserve"> \* MERGEFORMAT </w:instrText>
      </w:r>
      <w:r w:rsidRPr="00EC00ED">
        <w:rPr>
          <w:rFonts w:ascii="Arial" w:eastAsia="Calibri" w:hAnsi="Arial" w:cs="Arial"/>
          <w:sz w:val="21"/>
          <w:szCs w:val="21"/>
          <w:lang w:val="es-MX"/>
        </w:rPr>
      </w:r>
      <w:r w:rsidRPr="00EC00ED">
        <w:rPr>
          <w:rFonts w:ascii="Arial" w:eastAsia="MS Mincho" w:hAnsi="Arial" w:cs="Arial"/>
          <w:bCs/>
          <w:sz w:val="21"/>
          <w:szCs w:val="21"/>
          <w:highlight w:val="yellow"/>
          <w:lang w:val="es-MX"/>
        </w:rPr>
        <w:fldChar w:fldCharType="separate"/>
      </w:r>
      <w:r w:rsidRPr="00EC00ED">
        <w:rPr>
          <w:rFonts w:ascii="Arial" w:eastAsia="Arial" w:hAnsi="Arial" w:cs="Arial"/>
          <w:sz w:val="21"/>
          <w:szCs w:val="21"/>
          <w:lang w:val="es-MX"/>
        </w:rPr>
        <w:t>Formato 5 – Capacidad residual</w:t>
      </w:r>
      <w:r w:rsidRPr="00EC00ED">
        <w:rPr>
          <w:rFonts w:ascii="Arial" w:eastAsia="Calibri" w:hAnsi="Arial" w:cs="Arial"/>
          <w:sz w:val="21"/>
          <w:szCs w:val="21"/>
          <w:lang w:val="es-MX"/>
        </w:rPr>
        <w:fldChar w:fldCharType="end"/>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segmento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72</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“Servicios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Edificación,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Construcción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Instalaciones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y</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Mantenimiento”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Clasificador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Bienes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y</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Servicios;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y</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(ii)</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Presupuesto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Oficial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Estimado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Proceso de Contratación.</w:t>
      </w:r>
    </w:p>
    <w:p w14:paraId="204629D1" w14:textId="77777777" w:rsidR="00EC00ED" w:rsidRPr="00EC00ED" w:rsidRDefault="00EC00ED" w:rsidP="00EC00ED">
      <w:pPr>
        <w:tabs>
          <w:tab w:val="left" w:pos="426"/>
        </w:tabs>
        <w:spacing w:after="120" w:line="240" w:lineRule="auto"/>
        <w:ind w:left="709" w:right="709"/>
        <w:jc w:val="both"/>
        <w:rPr>
          <w:rFonts w:ascii="Arial" w:eastAsia="Calibri" w:hAnsi="Arial" w:cs="Arial"/>
          <w:sz w:val="21"/>
          <w:szCs w:val="21"/>
          <w:lang w:val="es-MX"/>
        </w:rPr>
      </w:pPr>
      <w:r w:rsidRPr="00EC00ED">
        <w:rPr>
          <w:rFonts w:ascii="Arial" w:eastAsia="Calibri" w:hAnsi="Arial" w:cs="Arial"/>
          <w:sz w:val="21"/>
          <w:szCs w:val="21"/>
          <w:lang w:val="es-MX"/>
        </w:rPr>
        <w:t>[…]</w:t>
      </w:r>
    </w:p>
    <w:p w14:paraId="3EBEEC46" w14:textId="77777777" w:rsidR="00EC00ED" w:rsidRPr="00EC00ED" w:rsidRDefault="00EC00ED" w:rsidP="00EC00ED">
      <w:pPr>
        <w:spacing w:after="0" w:line="240" w:lineRule="auto"/>
        <w:ind w:left="709" w:right="709"/>
        <w:jc w:val="both"/>
        <w:rPr>
          <w:rFonts w:ascii="Arial" w:eastAsia="Arial," w:hAnsi="Arial" w:cs="Arial"/>
          <w:sz w:val="21"/>
          <w:szCs w:val="21"/>
          <w:lang w:val="es-MX"/>
        </w:rPr>
      </w:pPr>
      <w:r w:rsidRPr="00EC00ED">
        <w:rPr>
          <w:rFonts w:ascii="Arial" w:eastAsia="Calibri" w:hAnsi="Arial" w:cs="Arial"/>
          <w:sz w:val="21"/>
          <w:szCs w:val="21"/>
          <w:lang w:val="es-MX"/>
        </w:rPr>
        <w:t>Para</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acreditar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factor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Proponente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debe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diligenciar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fldChar w:fldCharType="begin"/>
      </w:r>
      <w:r w:rsidRPr="00EC00ED">
        <w:rPr>
          <w:rFonts w:ascii="Arial" w:eastAsia="MS Mincho" w:hAnsi="Arial" w:cs="Arial"/>
          <w:bCs/>
          <w:sz w:val="21"/>
          <w:szCs w:val="21"/>
          <w:lang w:val="es-MX"/>
        </w:rPr>
        <w:instrText xml:space="preserve"> REF _Ref508649250 \h </w:instrText>
      </w:r>
      <w:r w:rsidRPr="00EC00ED">
        <w:rPr>
          <w:rFonts w:ascii="Arial" w:eastAsia="Calibri" w:hAnsi="Arial" w:cs="Arial"/>
          <w:sz w:val="21"/>
          <w:szCs w:val="21"/>
          <w:lang w:val="es-MX"/>
        </w:rPr>
        <w:instrText xml:space="preserve"> \* MERGEFORMAT </w:instrText>
      </w:r>
      <w:r w:rsidRPr="00EC00ED">
        <w:rPr>
          <w:rFonts w:ascii="Arial" w:eastAsia="Calibri" w:hAnsi="Arial" w:cs="Arial"/>
          <w:sz w:val="21"/>
          <w:szCs w:val="21"/>
          <w:lang w:val="es-MX"/>
        </w:rPr>
      </w:r>
      <w:r w:rsidRPr="00EC00ED">
        <w:rPr>
          <w:rFonts w:ascii="Arial" w:eastAsia="MS Mincho" w:hAnsi="Arial" w:cs="Arial"/>
          <w:bCs/>
          <w:sz w:val="21"/>
          <w:szCs w:val="21"/>
          <w:highlight w:val="yellow"/>
          <w:lang w:val="es-MX"/>
        </w:rPr>
        <w:fldChar w:fldCharType="separate"/>
      </w:r>
      <w:r w:rsidRPr="00EC00ED">
        <w:rPr>
          <w:rFonts w:ascii="Arial" w:eastAsia="Arial" w:hAnsi="Arial" w:cs="Arial"/>
          <w:sz w:val="21"/>
          <w:szCs w:val="21"/>
          <w:lang w:val="es-MX"/>
        </w:rPr>
        <w:t>Formato 5 – Capacidad residual</w:t>
      </w:r>
      <w:r w:rsidRPr="00EC00ED">
        <w:rPr>
          <w:rFonts w:ascii="Arial" w:eastAsia="Calibri" w:hAnsi="Arial" w:cs="Arial"/>
          <w:sz w:val="21"/>
          <w:szCs w:val="21"/>
          <w:lang w:val="es-MX"/>
        </w:rPr>
        <w:fldChar w:fldCharType="end"/>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cual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contiene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los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contratos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inscritos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segmento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72</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y</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su</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valor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total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pesos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colombianos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liquidados</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SMMLV.</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Así</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mismo,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Presupuesto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Oficial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Estimado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debe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ser</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liquidado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con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SMMLV</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para</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año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publicación</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Pliego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 Condiciones definitivo</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del</w:t>
      </w:r>
      <w:r w:rsidRPr="00EC00ED">
        <w:rPr>
          <w:rFonts w:ascii="Arial" w:eastAsia="Arial," w:hAnsi="Arial" w:cs="Arial"/>
          <w:sz w:val="21"/>
          <w:szCs w:val="21"/>
          <w:lang w:val="es-MX"/>
        </w:rPr>
        <w:t xml:space="preserve"> </w:t>
      </w:r>
      <w:r w:rsidRPr="00EC00ED">
        <w:rPr>
          <w:rFonts w:ascii="Arial" w:eastAsia="Calibri" w:hAnsi="Arial" w:cs="Arial"/>
          <w:sz w:val="21"/>
          <w:szCs w:val="21"/>
          <w:lang w:val="es-MX"/>
        </w:rPr>
        <w:t>Proceso de Contratación”.</w:t>
      </w:r>
    </w:p>
    <w:p w14:paraId="3D7B1FDB" w14:textId="77777777" w:rsidR="00EC00ED" w:rsidRPr="00EC00ED" w:rsidRDefault="00EC00ED" w:rsidP="00EC00ED">
      <w:pPr>
        <w:widowControl w:val="0"/>
        <w:autoSpaceDE w:val="0"/>
        <w:autoSpaceDN w:val="0"/>
        <w:spacing w:after="0" w:line="276" w:lineRule="auto"/>
        <w:ind w:right="51" w:firstLine="709"/>
        <w:jc w:val="both"/>
        <w:rPr>
          <w:rFonts w:ascii="Arial" w:eastAsia="Arial" w:hAnsi="Arial" w:cs="Arial"/>
          <w:lang w:val="es-ES" w:eastAsia="es-ES" w:bidi="es-ES"/>
        </w:rPr>
      </w:pPr>
    </w:p>
    <w:p w14:paraId="3781FA03" w14:textId="77777777" w:rsidR="00EC00ED" w:rsidRPr="00EC00ED" w:rsidRDefault="00EC00ED" w:rsidP="00EC00ED">
      <w:pPr>
        <w:tabs>
          <w:tab w:val="left" w:pos="426"/>
        </w:tabs>
        <w:spacing w:after="0" w:line="276" w:lineRule="auto"/>
        <w:ind w:firstLine="709"/>
        <w:jc w:val="both"/>
        <w:rPr>
          <w:rFonts w:ascii="Arial" w:hAnsi="Arial" w:cs="Arial"/>
          <w:szCs w:val="20"/>
        </w:rPr>
      </w:pPr>
      <w:r w:rsidRPr="00EC00ED">
        <w:rPr>
          <w:rFonts w:ascii="Arial" w:hAnsi="Arial" w:cs="Arial"/>
          <w:szCs w:val="20"/>
        </w:rPr>
        <w:t xml:space="preserve">Por su parte, el “Formato 5 – Capacidad Residual”, adoptado por la Resolución No. 240 para procesos de licitación de obra de infraestructura pública de transporte, así como el adoptado por la Resolución No. 241 de 2020 para procesos del mismo tipo para la modalidad de selección abreviada de menor cuantía, establecen lo siguiente: </w:t>
      </w:r>
    </w:p>
    <w:p w14:paraId="10611CAF" w14:textId="77777777" w:rsidR="00EC00ED" w:rsidRPr="00EC00ED" w:rsidRDefault="00EC00ED" w:rsidP="00EC00ED">
      <w:pPr>
        <w:tabs>
          <w:tab w:val="left" w:pos="426"/>
        </w:tabs>
        <w:spacing w:after="0" w:line="276" w:lineRule="auto"/>
        <w:ind w:left="709" w:right="709"/>
        <w:jc w:val="both"/>
        <w:rPr>
          <w:rFonts w:ascii="Arial" w:hAnsi="Arial" w:cs="Arial"/>
          <w:sz w:val="21"/>
          <w:szCs w:val="21"/>
        </w:rPr>
      </w:pPr>
    </w:p>
    <w:p w14:paraId="78962602" w14:textId="77777777" w:rsidR="00EC00ED" w:rsidRPr="00EC00ED" w:rsidRDefault="00EC00ED" w:rsidP="00EC00ED">
      <w:pPr>
        <w:tabs>
          <w:tab w:val="left" w:pos="426"/>
        </w:tabs>
        <w:spacing w:after="0" w:line="240" w:lineRule="auto"/>
        <w:ind w:left="709" w:right="709"/>
        <w:jc w:val="both"/>
        <w:rPr>
          <w:rFonts w:ascii="Arial" w:hAnsi="Arial" w:cs="Arial"/>
          <w:sz w:val="21"/>
          <w:szCs w:val="21"/>
        </w:rPr>
      </w:pPr>
      <w:r w:rsidRPr="00EC00ED">
        <w:rPr>
          <w:rFonts w:ascii="Arial" w:hAnsi="Arial" w:cs="Arial"/>
          <w:sz w:val="21"/>
          <w:szCs w:val="21"/>
        </w:rPr>
        <w:t>[La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333D2306" w14:textId="77777777" w:rsidR="00EC00ED" w:rsidRPr="00EC00ED" w:rsidRDefault="00EC00ED" w:rsidP="00EC00ED">
      <w:pPr>
        <w:tabs>
          <w:tab w:val="left" w:pos="426"/>
        </w:tabs>
        <w:spacing w:after="0"/>
        <w:ind w:left="709" w:right="709"/>
        <w:jc w:val="both"/>
        <w:rPr>
          <w:rFonts w:ascii="Arial" w:hAnsi="Arial" w:cs="Arial"/>
          <w:szCs w:val="20"/>
        </w:rPr>
      </w:pPr>
    </w:p>
    <w:p w14:paraId="4B75603D" w14:textId="77777777" w:rsidR="00EC00ED" w:rsidRPr="00EC00ED" w:rsidRDefault="00EC00ED" w:rsidP="00EC00ED">
      <w:pPr>
        <w:tabs>
          <w:tab w:val="left" w:pos="426"/>
        </w:tabs>
        <w:spacing w:after="0" w:line="276" w:lineRule="auto"/>
        <w:ind w:firstLine="709"/>
        <w:jc w:val="both"/>
        <w:rPr>
          <w:rFonts w:ascii="Arial" w:hAnsi="Arial" w:cs="Arial"/>
          <w:szCs w:val="20"/>
        </w:rPr>
      </w:pPr>
      <w:r w:rsidRPr="00EC00ED">
        <w:rPr>
          <w:rFonts w:ascii="Arial" w:hAnsi="Arial" w:cs="Arial"/>
          <w:szCs w:val="20"/>
        </w:rPr>
        <w:t xml:space="preserve">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Dicha información es la que debe aportar el proponente para acreditar su capacidad residual. </w:t>
      </w:r>
    </w:p>
    <w:p w14:paraId="70F9F3CD" w14:textId="77777777" w:rsidR="00EC00ED" w:rsidRPr="00EC00ED" w:rsidRDefault="00EC00ED" w:rsidP="00EC00ED">
      <w:pPr>
        <w:tabs>
          <w:tab w:val="left" w:pos="426"/>
        </w:tabs>
        <w:spacing w:after="0" w:line="276" w:lineRule="auto"/>
        <w:ind w:firstLine="709"/>
        <w:jc w:val="both"/>
        <w:rPr>
          <w:rFonts w:ascii="Arial" w:hAnsi="Arial" w:cs="Arial"/>
          <w:szCs w:val="20"/>
        </w:rPr>
      </w:pPr>
    </w:p>
    <w:p w14:paraId="400AF20A" w14:textId="77777777" w:rsidR="00EC00ED" w:rsidRPr="00EC00ED" w:rsidRDefault="00EC00ED" w:rsidP="00EC00ED">
      <w:pPr>
        <w:spacing w:after="120" w:line="276" w:lineRule="auto"/>
        <w:jc w:val="both"/>
        <w:rPr>
          <w:rFonts w:ascii="Arial" w:hAnsi="Arial" w:cs="Arial"/>
          <w:b/>
          <w:bCs/>
        </w:rPr>
      </w:pPr>
      <w:r w:rsidRPr="00EC00ED">
        <w:rPr>
          <w:rFonts w:ascii="Arial" w:eastAsia="Calibri" w:hAnsi="Arial" w:cs="Arial"/>
          <w:b/>
          <w:bCs/>
          <w:color w:val="000000"/>
          <w:lang w:eastAsia="en-GB"/>
        </w:rPr>
        <w:t>2.3.</w:t>
      </w:r>
      <w:r w:rsidRPr="00EC00ED">
        <w:rPr>
          <w:rFonts w:ascii="Arial" w:hAnsi="Arial" w:cs="Arial"/>
          <w:b/>
          <w:bCs/>
        </w:rPr>
        <w:t xml:space="preserve"> </w:t>
      </w:r>
      <w:r w:rsidRPr="00EC00ED">
        <w:rPr>
          <w:rFonts w:ascii="Arial" w:eastAsia="Calibri" w:hAnsi="Arial" w:cs="Arial"/>
          <w:b/>
          <w:bCs/>
        </w:rPr>
        <w:t>A</w:t>
      </w:r>
      <w:r w:rsidRPr="00EC00ED">
        <w:rPr>
          <w:rFonts w:ascii="Arial" w:hAnsi="Arial" w:cs="Arial"/>
          <w:b/>
          <w:bCs/>
        </w:rPr>
        <w:t>nálisis frente al alcance de la regla de la subsanabilidad y la figura de la aclaración de ofertas frente a la Capacidad Residual</w:t>
      </w:r>
    </w:p>
    <w:p w14:paraId="7EF43921" w14:textId="77777777" w:rsidR="00EC00ED" w:rsidRPr="00EC00ED" w:rsidRDefault="00EC00ED" w:rsidP="00EC00ED">
      <w:pPr>
        <w:spacing w:after="120" w:line="276" w:lineRule="auto"/>
        <w:jc w:val="both"/>
        <w:rPr>
          <w:rFonts w:ascii="Arial" w:hAnsi="Arial" w:cs="Arial"/>
        </w:rPr>
      </w:pPr>
      <w:r w:rsidRPr="00EC00ED">
        <w:rPr>
          <w:rFonts w:ascii="Arial" w:hAnsi="Arial" w:cs="Arial"/>
          <w:bCs/>
        </w:rPr>
        <w:t xml:space="preserve">En el concepto CU — 060 de 16 de enero de 2020, se unificó el concepto de la Agencia Nacional de Contratación Pública – Colombia Compra Eficiente en torno al alcance de la regla de la subsanabilidad,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w:t>
      </w:r>
      <w:r w:rsidRPr="00EC00ED">
        <w:rPr>
          <w:rFonts w:ascii="Arial" w:hAnsi="Arial" w:cs="Arial"/>
        </w:rPr>
        <w:t>C-568 del 11 de octubre de 2021, C-728 del 25 de enero de 2022, C-140 del 28 de marzo de 2022, C-285 del 20 de mayo de 2022, C-416 del 30 de junio de 2022, C-431 del 7 de julio de 2022, C-470 del 25 de julio de 2022, C-505 de 8 de agosto de 2022 y C-681 de 19 de octubre de 2022.</w:t>
      </w:r>
    </w:p>
    <w:p w14:paraId="7A409C79" w14:textId="77777777" w:rsidR="00EC00ED" w:rsidRPr="00EC00ED" w:rsidRDefault="00EC00ED" w:rsidP="00EC00ED">
      <w:pPr>
        <w:spacing w:after="120" w:line="276" w:lineRule="auto"/>
        <w:ind w:firstLine="708"/>
        <w:jc w:val="both"/>
        <w:rPr>
          <w:rFonts w:ascii="Arial" w:hAnsi="Arial" w:cs="Arial"/>
          <w:lang w:val="es-ES_tradnl"/>
        </w:rPr>
      </w:pPr>
      <w:r w:rsidRPr="00EC00ED">
        <w:rPr>
          <w:rFonts w:ascii="Arial" w:hAnsi="Arial" w:cs="Arial"/>
          <w:lang w:val="es-ES_tradnl"/>
        </w:rPr>
        <w:t>La referida postura indica que, por regla general, la falta de entrega y los defectos, en la acreditación de los requisitos habilitantes son aspectos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no obstante, en la actualidad, bajo el numeral 15 del artículo 25 de la Ley 80 de 1993 ya no es posible rechazar las ofertas por falta de requisitos o documentos que no fueran “</w:t>
      </w:r>
      <w:r w:rsidRPr="00EC00ED">
        <w:rPr>
          <w:rFonts w:ascii="Arial" w:hAnsi="Arial" w:cs="Arial"/>
          <w:i/>
          <w:iCs/>
          <w:lang w:val="es-ES_tradnl"/>
        </w:rPr>
        <w:t>necesarios para la comparación de propuestas”.</w:t>
      </w:r>
      <w:r w:rsidRPr="00EC00ED">
        <w:rPr>
          <w:rFonts w:ascii="Arial" w:hAnsi="Arial"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BBFC6F8" w14:textId="77777777" w:rsidR="00EC00ED" w:rsidRPr="00EC00ED" w:rsidRDefault="00EC00ED" w:rsidP="00EC00ED">
      <w:pPr>
        <w:spacing w:after="120" w:line="276" w:lineRule="auto"/>
        <w:jc w:val="both"/>
        <w:rPr>
          <w:rFonts w:ascii="Arial" w:hAnsi="Arial" w:cs="Arial"/>
          <w:lang w:val="es-ES_tradnl"/>
        </w:rPr>
      </w:pPr>
      <w:r w:rsidRPr="00EC00ED">
        <w:rPr>
          <w:rFonts w:ascii="Arial" w:hAnsi="Arial" w:cs="Arial"/>
          <w:lang w:val="es-ES_tradnl"/>
        </w:rPr>
        <w:tab/>
        <w:t xml:space="preserve">Posteriormente, con la expedición de la Ley 1150 de 2007, que, en el parágrafo 1º del artículo 5, reiteró lo que dispuso la Ley 80 de 1993, en el sentido de que los requisitos o documentos que no sean necesarios para la comparación de las ofertas pueden subsanarse, pero además introdujo otro criterio que le dio mayor claridad al tema: la asignación de puntaje. </w:t>
      </w:r>
    </w:p>
    <w:p w14:paraId="2740D90F"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7DD3DA6E" w14:textId="77777777" w:rsidR="00EC00ED" w:rsidRPr="00EC00ED" w:rsidRDefault="00EC00ED" w:rsidP="00EC00ED">
      <w:pPr>
        <w:tabs>
          <w:tab w:val="left" w:pos="284"/>
        </w:tabs>
        <w:spacing w:after="120" w:line="276" w:lineRule="auto"/>
        <w:ind w:firstLine="709"/>
        <w:jc w:val="both"/>
        <w:rPr>
          <w:rFonts w:ascii="Arial" w:hAnsi="Arial" w:cs="Arial"/>
          <w:lang w:val="es-ES_tradnl"/>
        </w:rPr>
      </w:pPr>
      <w:r w:rsidRPr="00EC00ED">
        <w:rPr>
          <w:rFonts w:ascii="Arial" w:hAnsi="Arial" w:cs="Arial"/>
          <w:lang w:val="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Esa interpretación fue compartida por la </w:t>
      </w:r>
      <w:r w:rsidRPr="00EC00ED">
        <w:rPr>
          <w:rFonts w:ascii="Arial" w:eastAsia="Times New Roman" w:hAnsi="Arial" w:cs="Arial"/>
          <w:lang w:val="es-ES_tradnl" w:eastAsia="es-CO"/>
        </w:rPr>
        <w:t>Agencia Nacional de Contratación Pública – Colombia Compra Eficiente</w:t>
      </w:r>
      <w:r w:rsidRPr="00EC00ED">
        <w:rPr>
          <w:rFonts w:ascii="Arial" w:hAnsi="Arial" w:cs="Arial"/>
          <w:lang w:val="es-ES_tradnl"/>
        </w:rPr>
        <w:t>, pues en la Circular Externa Única se precisó que, si durante un Proceso de Contratación hay proponentes que no acreditaron en sus ofertas requisitos que no afectan la asignación de puntaje o la comparación de estas, la Entidad Estatal deberá indicarlo en el informe de evaluación y advertir que la correspondiente oferta puede ser subsanada.</w:t>
      </w:r>
    </w:p>
    <w:p w14:paraId="436FA0D3" w14:textId="77777777" w:rsidR="00EC00ED" w:rsidRPr="00EC00ED" w:rsidRDefault="00EC00ED" w:rsidP="00EC00ED">
      <w:pPr>
        <w:tabs>
          <w:tab w:val="left" w:pos="284"/>
        </w:tabs>
        <w:spacing w:line="276" w:lineRule="auto"/>
        <w:ind w:firstLine="709"/>
        <w:contextualSpacing/>
        <w:jc w:val="both"/>
        <w:rPr>
          <w:rFonts w:ascii="Arial" w:eastAsia="Times New Roman" w:hAnsi="Arial" w:cs="Arial"/>
          <w:lang w:val="es-ES_tradnl" w:eastAsia="es-CO"/>
        </w:rPr>
      </w:pPr>
      <w:r w:rsidRPr="00EC00ED">
        <w:rPr>
          <w:rFonts w:ascii="Arial" w:eastAsia="Times New Roman" w:hAnsi="Arial" w:cs="Arial"/>
          <w:lang w:val="es-ES_tradnl" w:eastAsia="es-CO"/>
        </w:rPr>
        <w:t xml:space="preserve">Sin embargo, con la expedición de la Ley 1882 de 2018, con la finalidad de introducir cambios y ajustes para fortalecer la contratación pública, su artículo 5 modificó el parágrafo 1º del artículo 5 de la Ley 1150 de 2007 y, adicionó algunos otros, entre ellos el 4° del artículo 5 de la Ley 1150 de 2007: </w:t>
      </w:r>
    </w:p>
    <w:p w14:paraId="2C79AA07" w14:textId="77777777" w:rsidR="00EC00ED" w:rsidRPr="00EC00ED" w:rsidRDefault="00EC00ED" w:rsidP="00EC00ED">
      <w:pPr>
        <w:spacing w:line="276" w:lineRule="auto"/>
        <w:ind w:left="709" w:right="709"/>
        <w:contextualSpacing/>
        <w:jc w:val="both"/>
        <w:rPr>
          <w:rFonts w:ascii="Arial" w:eastAsia="Arial" w:hAnsi="Arial" w:cs="Arial"/>
        </w:rPr>
      </w:pPr>
    </w:p>
    <w:p w14:paraId="527C8D2F" w14:textId="77777777" w:rsidR="00EC00ED" w:rsidRPr="00EC00ED" w:rsidRDefault="00EC00ED" w:rsidP="00EC00ED">
      <w:pPr>
        <w:ind w:left="709" w:right="709"/>
        <w:contextualSpacing/>
        <w:jc w:val="both"/>
        <w:rPr>
          <w:rFonts w:ascii="Arial" w:eastAsia="Times New Roman" w:hAnsi="Arial" w:cs="Arial"/>
          <w:sz w:val="21"/>
          <w:szCs w:val="21"/>
          <w:lang w:val="es-ES_tradnl" w:eastAsia="es-CO"/>
        </w:rPr>
      </w:pPr>
      <w:r w:rsidRPr="00EC00ED">
        <w:rPr>
          <w:rFonts w:ascii="Arial" w:eastAsia="Arial" w:hAnsi="Arial" w:cs="Arial"/>
          <w:sz w:val="21"/>
          <w:szCs w:val="21"/>
        </w:rPr>
        <w:t>“</w:t>
      </w:r>
      <w:r w:rsidRPr="00EC00ED">
        <w:rPr>
          <w:rFonts w:ascii="Arial" w:eastAsia="Times New Roman" w:hAnsi="Arial" w:cs="Arial"/>
          <w:sz w:val="21"/>
          <w:szCs w:val="21"/>
          <w:lang w:val="es-ES_tradnl" w:eastAsia="es-CO"/>
        </w:rPr>
        <w:t xml:space="preserve">Artículo 5°. De la selección objetiva. </w:t>
      </w:r>
    </w:p>
    <w:p w14:paraId="0F411839" w14:textId="77777777" w:rsidR="00EC00ED" w:rsidRPr="00EC00ED" w:rsidRDefault="00EC00ED" w:rsidP="00EC00ED">
      <w:pPr>
        <w:ind w:left="709" w:right="709"/>
        <w:contextualSpacing/>
        <w:jc w:val="both"/>
        <w:rPr>
          <w:rFonts w:ascii="Arial" w:eastAsia="Times New Roman" w:hAnsi="Arial" w:cs="Arial"/>
          <w:sz w:val="21"/>
          <w:szCs w:val="21"/>
          <w:lang w:val="es-ES_tradnl" w:eastAsia="es-CO"/>
        </w:rPr>
      </w:pPr>
    </w:p>
    <w:p w14:paraId="4F4AF582" w14:textId="77777777" w:rsidR="00EC00ED" w:rsidRPr="00EC00ED" w:rsidRDefault="00EC00ED" w:rsidP="00EC00ED">
      <w:pPr>
        <w:ind w:left="709" w:right="709"/>
        <w:contextualSpacing/>
        <w:jc w:val="both"/>
        <w:rPr>
          <w:rFonts w:ascii="Arial" w:eastAsia="Times New Roman" w:hAnsi="Arial" w:cs="Arial"/>
          <w:sz w:val="21"/>
          <w:szCs w:val="21"/>
          <w:lang w:val="es-ES_tradnl" w:eastAsia="es-CO"/>
        </w:rPr>
      </w:pPr>
      <w:r w:rsidRPr="00EC00ED">
        <w:rPr>
          <w:rFonts w:ascii="Arial" w:eastAsia="Times New Roman" w:hAnsi="Arial" w:cs="Arial"/>
          <w:sz w:val="21"/>
          <w:szCs w:val="21"/>
          <w:lang w:val="es-ES_tradnl" w:eastAsia="es-CO"/>
        </w:rPr>
        <w:t>[... ]</w:t>
      </w:r>
    </w:p>
    <w:p w14:paraId="09B95BEA" w14:textId="77777777" w:rsidR="00EC00ED" w:rsidRPr="00EC00ED" w:rsidRDefault="00EC00ED" w:rsidP="00EC00ED">
      <w:pPr>
        <w:ind w:left="709" w:right="709"/>
        <w:contextualSpacing/>
        <w:jc w:val="both"/>
        <w:rPr>
          <w:rFonts w:ascii="Arial" w:eastAsia="Times New Roman" w:hAnsi="Arial" w:cs="Arial"/>
          <w:sz w:val="21"/>
          <w:szCs w:val="21"/>
          <w:lang w:val="es-ES_tradnl" w:eastAsia="es-CO"/>
        </w:rPr>
      </w:pPr>
    </w:p>
    <w:p w14:paraId="2707D1C3" w14:textId="77777777" w:rsidR="00EC00ED" w:rsidRPr="00EC00ED" w:rsidRDefault="00EC00ED" w:rsidP="00EC00ED">
      <w:pPr>
        <w:ind w:left="709" w:right="709"/>
        <w:contextualSpacing/>
        <w:jc w:val="both"/>
        <w:rPr>
          <w:rFonts w:ascii="Arial" w:eastAsia="Times New Roman" w:hAnsi="Arial" w:cs="Arial"/>
          <w:sz w:val="21"/>
          <w:szCs w:val="21"/>
          <w:lang w:val="es-ES_tradnl" w:eastAsia="es-CO"/>
        </w:rPr>
      </w:pPr>
      <w:r w:rsidRPr="00EC00ED">
        <w:rPr>
          <w:rFonts w:ascii="Arial" w:eastAsia="Times New Roman" w:hAnsi="Arial" w:cs="Arial"/>
          <w:sz w:val="21"/>
          <w:szCs w:val="21"/>
          <w:lang w:val="es-ES_tradnl" w:eastAsia="es-CO"/>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EC00ED">
        <w:rPr>
          <w:rFonts w:ascii="Arial" w:eastAsia="Times New Roman" w:hAnsi="Arial" w:cs="Arial"/>
          <w:sz w:val="21"/>
          <w:szCs w:val="21"/>
          <w:lang w:val="es-ES_tradnl" w:eastAsia="es-CO"/>
        </w:rPr>
        <w:t>puntaje,</w:t>
      </w:r>
      <w:proofErr w:type="gramEnd"/>
      <w:r w:rsidRPr="00EC00ED">
        <w:rPr>
          <w:rFonts w:ascii="Arial" w:eastAsia="Times New Roman" w:hAnsi="Arial" w:cs="Arial"/>
          <w:sz w:val="21"/>
          <w:szCs w:val="21"/>
          <w:lang w:val="es-ES_tradnl" w:eastAsia="es-CO"/>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7206F0B1" w14:textId="77777777" w:rsidR="00EC00ED" w:rsidRPr="00EC00ED" w:rsidRDefault="00EC00ED" w:rsidP="00EC00ED">
      <w:pPr>
        <w:spacing w:line="276" w:lineRule="auto"/>
        <w:ind w:left="709" w:right="709"/>
        <w:contextualSpacing/>
        <w:jc w:val="both"/>
        <w:rPr>
          <w:rFonts w:ascii="Arial" w:eastAsia="Times New Roman" w:hAnsi="Arial" w:cs="Arial"/>
          <w:lang w:val="es-ES_tradnl" w:eastAsia="es-CO"/>
        </w:rPr>
      </w:pPr>
    </w:p>
    <w:p w14:paraId="0F4CA1C0"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09E60883" w14:textId="77777777" w:rsidR="00EC00ED" w:rsidRPr="00EC00ED" w:rsidRDefault="00EC00ED" w:rsidP="00EC00ED">
      <w:pPr>
        <w:spacing w:after="120" w:line="276" w:lineRule="auto"/>
        <w:ind w:right="51" w:firstLine="709"/>
        <w:jc w:val="both"/>
        <w:rPr>
          <w:rFonts w:ascii="Arial" w:hAnsi="Arial" w:cs="Arial"/>
          <w:lang w:val="es-ES_tradnl"/>
        </w:rPr>
      </w:pPr>
      <w:r w:rsidRPr="00EC00ED">
        <w:rPr>
          <w:rFonts w:ascii="Arial" w:hAnsi="Arial" w:cs="Arial"/>
          <w:i/>
          <w:iCs/>
          <w:lang w:val="es-ES_tradnl"/>
        </w:rPr>
        <w:t>El primero</w:t>
      </w:r>
      <w:r w:rsidRPr="00EC00ED">
        <w:rPr>
          <w:rFonts w:ascii="Arial" w:hAnsi="Arial" w:cs="Arial"/>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w:t>
      </w:r>
      <w:r w:rsidRPr="00EC00ED">
        <w:rPr>
          <w:rFonts w:ascii="Arial" w:hAnsi="Arial" w:cs="Arial"/>
          <w:vertAlign w:val="superscript"/>
          <w:lang w:val="es-ES_tradnl"/>
        </w:rPr>
        <w:footnoteReference w:id="12"/>
      </w:r>
      <w:r w:rsidRPr="00EC00ED">
        <w:rPr>
          <w:rFonts w:ascii="Arial" w:hAnsi="Arial" w:cs="Arial"/>
          <w:lang w:val="es-ES_tradnl"/>
        </w:rPr>
        <w:t xml:space="preserve"> y para el proceso de selección a través del sistema de subasta</w:t>
      </w:r>
      <w:r w:rsidRPr="00EC00ED">
        <w:rPr>
          <w:rFonts w:ascii="Arial" w:hAnsi="Arial" w:cs="Arial"/>
          <w:vertAlign w:val="superscript"/>
          <w:lang w:val="es-ES_tradnl"/>
        </w:rPr>
        <w:footnoteReference w:id="13"/>
      </w:r>
      <w:r w:rsidRPr="00EC00ED">
        <w:rPr>
          <w:rFonts w:ascii="Arial" w:hAnsi="Arial" w:cs="Arial"/>
          <w:lang w:val="es-ES_tradnl"/>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EC00ED">
        <w:rPr>
          <w:rFonts w:ascii="Arial" w:hAnsi="Arial" w:cs="Arial"/>
          <w:vertAlign w:val="superscript"/>
          <w:lang w:val="es-ES_tradnl"/>
        </w:rPr>
        <w:footnoteReference w:id="14"/>
      </w:r>
      <w:r w:rsidRPr="00EC00ED">
        <w:rPr>
          <w:rFonts w:ascii="Arial" w:hAnsi="Arial" w:cs="Arial"/>
          <w:lang w:val="es-ES_tradnl"/>
        </w:rPr>
        <w:t xml:space="preserve">. </w:t>
      </w:r>
    </w:p>
    <w:p w14:paraId="58E1412F"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EC00ED">
        <w:rPr>
          <w:rFonts w:ascii="Arial" w:hAnsi="Arial" w:cs="Arial"/>
          <w:i/>
          <w:iCs/>
          <w:lang w:val="es-ES_tradnl"/>
        </w:rPr>
        <w:t>deberán ser solicitados por las entidades estatales y deberán ser entregados por los proponentes hasta el término de traslado del informe de evaluación que corresponda a cada modalidad de selección”.</w:t>
      </w:r>
      <w:r w:rsidRPr="00EC00ED">
        <w:rPr>
          <w:rFonts w:ascii="Arial" w:hAnsi="Arial" w:cs="Arial"/>
          <w:lang w:val="es-ES_tradnl"/>
        </w:rPr>
        <w:t xml:space="preserve"> </w:t>
      </w:r>
    </w:p>
    <w:p w14:paraId="548E9FBC"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EC00ED">
        <w:rPr>
          <w:rFonts w:ascii="Arial" w:hAnsi="Arial" w:cs="Arial"/>
          <w:i/>
          <w:iCs/>
          <w:lang w:val="es-ES_tradnl"/>
        </w:rPr>
        <w:t>límite</w:t>
      </w:r>
      <w:r w:rsidRPr="00EC00ED">
        <w:rPr>
          <w:rFonts w:ascii="Arial" w:hAnsi="Arial" w:cs="Arial"/>
          <w:lang w:val="es-ES_tradnl"/>
        </w:rPr>
        <w:t xml:space="preserve"> para la subsanación de ofertas, pero no el único momento para hacerlo. </w:t>
      </w:r>
    </w:p>
    <w:p w14:paraId="7E92CC34"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60B0F015"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p>
    <w:p w14:paraId="7EF745F1"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 xml:space="preserve">El segundo cambio importante de la Ley 1882 de 2018 fue la introducción de un criterio material, directamente relacionado con los aspectos subsanables: </w:t>
      </w:r>
      <w:r w:rsidRPr="00EC00ED">
        <w:rPr>
          <w:rFonts w:ascii="Arial" w:hAnsi="Arial" w:cs="Arial"/>
          <w:i/>
          <w:iCs/>
          <w:lang w:val="es-ES_tradnl"/>
        </w:rPr>
        <w:t>“los proponentes no podrán acreditar circunstancias ocurridas con posterioridad al cierre del proceso”.</w:t>
      </w:r>
      <w:r w:rsidRPr="00EC00ED">
        <w:rPr>
          <w:rFonts w:ascii="Arial" w:hAnsi="Arial" w:cs="Arial"/>
          <w:lang w:val="es-ES_tradnl"/>
        </w:rPr>
        <w:t xml:space="preserve"> Lo anterior ofrece dos aspectos que merecen clarificación; primero, qué debe entenderse por circunstancias ocurridas con posterioridad; y segundo, qué es el cierre del proceso. </w:t>
      </w:r>
    </w:p>
    <w:p w14:paraId="6F433977"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01008172"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 xml:space="preserve">Un mejor entendimiento del significado de la expresión </w:t>
      </w:r>
      <w:r w:rsidRPr="00EC00ED">
        <w:rPr>
          <w:rFonts w:ascii="Arial" w:hAnsi="Arial" w:cs="Arial"/>
          <w:i/>
          <w:iCs/>
          <w:lang w:val="es-ES_tradnl"/>
        </w:rPr>
        <w:t>“circunstancias ocurridas con posterioridad al cierre del proceso”</w:t>
      </w:r>
      <w:r w:rsidRPr="00EC00ED">
        <w:rPr>
          <w:rFonts w:ascii="Arial" w:hAnsi="Arial" w:cs="Arial"/>
          <w:lang w:val="es-ES_tradnl"/>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EC00ED">
        <w:rPr>
          <w:rFonts w:ascii="Arial" w:hAnsi="Arial" w:cs="Arial"/>
          <w:vertAlign w:val="superscript"/>
          <w:lang w:val="es-ES_tradnl"/>
        </w:rPr>
        <w:footnoteReference w:id="15"/>
      </w:r>
      <w:r w:rsidRPr="00EC00ED">
        <w:rPr>
          <w:rFonts w:ascii="Arial" w:hAnsi="Arial" w:cs="Arial"/>
          <w:lang w:val="es-ES_tradnl"/>
        </w:rPr>
        <w:t xml:space="preserve">. </w:t>
      </w:r>
    </w:p>
    <w:p w14:paraId="0B72A598"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EC00ED">
        <w:rPr>
          <w:rFonts w:ascii="Arial" w:hAnsi="Arial" w:cs="Arial"/>
          <w:vertAlign w:val="superscript"/>
          <w:lang w:val="es-ES_tradnl"/>
        </w:rPr>
        <w:footnoteReference w:id="16"/>
      </w:r>
      <w:r w:rsidRPr="00EC00ED">
        <w:rPr>
          <w:rFonts w:ascii="Arial" w:hAnsi="Arial" w:cs="Arial"/>
          <w:lang w:val="es-ES_tradnl"/>
        </w:rPr>
        <w:t>; iii) si un oferente no anexó el Certificado de existencia y representación legal, el documento aportado con posterioridad debe dar cuenta de que la sociedad existía antes del cierre del proceso</w:t>
      </w:r>
      <w:r w:rsidRPr="00EC00ED">
        <w:rPr>
          <w:rFonts w:ascii="Arial" w:hAnsi="Arial" w:cs="Arial"/>
          <w:vertAlign w:val="superscript"/>
          <w:lang w:val="es-ES_tradnl"/>
        </w:rPr>
        <w:footnoteReference w:id="17"/>
      </w:r>
      <w:r w:rsidRPr="00EC00ED">
        <w:rPr>
          <w:rFonts w:ascii="Arial" w:hAnsi="Arial" w:cs="Arial"/>
          <w:lang w:val="es-ES_tradnl"/>
        </w:rPr>
        <w:t xml:space="preserve">; </w:t>
      </w:r>
      <w:proofErr w:type="spellStart"/>
      <w:r w:rsidRPr="00EC00ED">
        <w:rPr>
          <w:rFonts w:ascii="Arial" w:hAnsi="Arial" w:cs="Arial"/>
          <w:lang w:val="es-ES_tradnl"/>
        </w:rPr>
        <w:t>iv</w:t>
      </w:r>
      <w:proofErr w:type="spellEnd"/>
      <w:r w:rsidRPr="00EC00ED">
        <w:rPr>
          <w:rFonts w:ascii="Arial" w:hAnsi="Arial" w:cs="Arial"/>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48476E05" w14:textId="77777777" w:rsidR="00EC00ED" w:rsidRPr="00EC00ED" w:rsidRDefault="00EC00ED" w:rsidP="00EC00ED">
      <w:pPr>
        <w:spacing w:after="120" w:line="276" w:lineRule="auto"/>
        <w:ind w:firstLine="709"/>
        <w:jc w:val="both"/>
        <w:rPr>
          <w:rFonts w:ascii="Arial" w:hAnsi="Arial" w:cs="Arial"/>
          <w:i/>
          <w:iCs/>
          <w:lang w:val="es-ES_tradnl"/>
        </w:rPr>
      </w:pPr>
      <w:r w:rsidRPr="00EC00ED">
        <w:rPr>
          <w:rFonts w:ascii="Arial" w:hAnsi="Arial" w:cs="Arial"/>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w:t>
      </w:r>
      <w:proofErr w:type="gramStart"/>
      <w:r w:rsidRPr="00EC00ED">
        <w:rPr>
          <w:rFonts w:ascii="Arial" w:hAnsi="Arial" w:cs="Arial"/>
          <w:lang w:val="es-ES_tradnl"/>
        </w:rPr>
        <w:t>que</w:t>
      </w:r>
      <w:proofErr w:type="gramEnd"/>
      <w:r w:rsidRPr="00EC00ED">
        <w:rPr>
          <w:rFonts w:ascii="Arial" w:hAnsi="Arial" w:cs="Arial"/>
          <w:lang w:val="es-ES_tradnl"/>
        </w:rPr>
        <w:t xml:space="preserve"> el Consejo de Estado sostiene que “</w:t>
      </w:r>
      <w:r w:rsidRPr="00EC00ED">
        <w:rPr>
          <w:rFonts w:ascii="Arial" w:hAnsi="Arial" w:cs="Arial"/>
          <w:i/>
          <w:iCs/>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EC00ED">
        <w:rPr>
          <w:rFonts w:ascii="Arial" w:hAnsi="Arial" w:cs="Arial"/>
          <w:i/>
          <w:iCs/>
          <w:vertAlign w:val="superscript"/>
          <w:lang w:val="es-ES_tradnl"/>
        </w:rPr>
        <w:footnoteReference w:id="18"/>
      </w:r>
      <w:r w:rsidRPr="00EC00ED">
        <w:rPr>
          <w:rFonts w:ascii="Arial" w:hAnsi="Arial" w:cs="Arial"/>
          <w:i/>
          <w:iCs/>
          <w:lang w:val="es-ES_tradnl"/>
        </w:rPr>
        <w:t xml:space="preserve">. </w:t>
      </w:r>
    </w:p>
    <w:p w14:paraId="775484D3" w14:textId="77777777" w:rsidR="00EC00ED" w:rsidRPr="00EC00ED" w:rsidRDefault="00EC00ED" w:rsidP="00EC00ED">
      <w:pPr>
        <w:spacing w:after="120" w:line="276" w:lineRule="auto"/>
        <w:ind w:firstLine="709"/>
        <w:jc w:val="both"/>
        <w:rPr>
          <w:rFonts w:ascii="Arial" w:hAnsi="Arial" w:cs="Arial"/>
          <w:lang w:val="es-ES_tradnl"/>
        </w:rPr>
      </w:pPr>
      <w:r w:rsidRPr="00EC00ED">
        <w:rPr>
          <w:rFonts w:ascii="Arial" w:hAnsi="Arial" w:cs="Arial"/>
          <w:lang w:val="es-ES_tradn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en segundo lugar, si el cumplimiento del requisito constituye una circunstancia ocurrida con anterioridad o con posterioridad al cierre del proceso, y, en tercer lugar, si existe prohibición legal o en el pliego de condiciones para su subsanación. Para arribar a la conclusión de que lo omitido puede subsanarse, la respuesta al primer interrogante debe ser negativa, es decir, que lo omitido no sea un factor que afecte la asignación de puntaje, la respuesta al segundo interrogante debe dar cuenta de que lo omitido sea la prueba de una circunstancia o hecho que ocurrió con anterioridad al cierre del proceso y la respuesta a lo tercero debe ser que no existe disposición legal o en el pliego de condiciones que prohíba su subsanación. </w:t>
      </w:r>
    </w:p>
    <w:p w14:paraId="0078946F" w14:textId="77777777" w:rsidR="00EC00ED" w:rsidRPr="00EC00ED" w:rsidRDefault="00EC00ED" w:rsidP="00EC00ED">
      <w:pPr>
        <w:spacing w:after="120" w:line="276" w:lineRule="auto"/>
        <w:ind w:firstLine="709"/>
        <w:jc w:val="both"/>
        <w:rPr>
          <w:rFonts w:ascii="Arial" w:hAnsi="Arial" w:cs="Arial"/>
          <w:bCs/>
        </w:rPr>
      </w:pPr>
      <w:r w:rsidRPr="00EC00ED">
        <w:rPr>
          <w:rFonts w:ascii="Arial" w:hAnsi="Arial" w:cs="Arial"/>
          <w:bCs/>
        </w:rPr>
        <w:t xml:space="preserve">Ahora bien, la Agencia debe diferenciar entre la regla sobre subsanación de ofertas en los procedimientos de selección, que acaba de explicarse, por un lado, y por el otro lo referido a la </w:t>
      </w:r>
      <w:r w:rsidRPr="00EC00ED">
        <w:rPr>
          <w:rFonts w:ascii="Arial" w:hAnsi="Arial" w:cs="Arial"/>
          <w:bCs/>
          <w:i/>
          <w:iCs/>
        </w:rPr>
        <w:t>aclaración de las ofertas</w:t>
      </w:r>
      <w:r w:rsidRPr="00EC00ED">
        <w:rPr>
          <w:rFonts w:ascii="Arial" w:hAnsi="Arial" w:cs="Arial"/>
          <w:bCs/>
        </w:rPr>
        <w:t>, cuestiones que resultan ser distintas, sin perjuicio de que ambas puedan ser considerados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sidRPr="00EC00ED">
        <w:rPr>
          <w:rFonts w:ascii="Arial" w:hAnsi="Arial" w:cs="Arial"/>
          <w:bCs/>
          <w:i/>
          <w:iCs/>
        </w:rPr>
        <w:t>plazo razonable dentro del cual la entidad deberá elaborar los estudios técnicos, económicos y jurídicos necesarios para la evaluación de las propuestas y para solicitar a los proponentes las aclaraciones y explicaciones que se estimen indispensables”.</w:t>
      </w:r>
      <w:r w:rsidRPr="00EC00ED">
        <w:rPr>
          <w:rFonts w:ascii="Arial" w:hAnsi="Arial" w:cs="Arial"/>
          <w:bCs/>
        </w:rPr>
        <w:t xml:space="preserve"> </w:t>
      </w:r>
    </w:p>
    <w:p w14:paraId="2CE30A84" w14:textId="77777777" w:rsidR="00EC00ED" w:rsidRPr="00EC00ED" w:rsidRDefault="00EC00ED" w:rsidP="00EC00ED">
      <w:pPr>
        <w:spacing w:after="120" w:line="276" w:lineRule="auto"/>
        <w:ind w:firstLine="709"/>
        <w:jc w:val="both"/>
        <w:rPr>
          <w:rFonts w:ascii="Arial" w:hAnsi="Arial" w:cs="Arial"/>
          <w:bCs/>
        </w:rPr>
      </w:pPr>
      <w:r w:rsidRPr="00EC00ED">
        <w:rPr>
          <w:rFonts w:ascii="Arial" w:hAnsi="Arial" w:cs="Arial"/>
          <w:bCs/>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1D173988" w14:textId="77777777" w:rsidR="00EC00ED" w:rsidRPr="00EC00ED" w:rsidRDefault="00EC00ED" w:rsidP="00EC00ED">
      <w:pPr>
        <w:spacing w:after="120" w:line="276" w:lineRule="auto"/>
        <w:ind w:firstLine="709"/>
        <w:jc w:val="both"/>
        <w:rPr>
          <w:rFonts w:ascii="Arial" w:hAnsi="Arial" w:cs="Arial"/>
          <w:bCs/>
        </w:rPr>
      </w:pPr>
      <w:r w:rsidRPr="00EC00ED">
        <w:rPr>
          <w:rFonts w:ascii="Arial" w:hAnsi="Arial" w:cs="Arial"/>
          <w:bCs/>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1F06D1A4" w14:textId="77777777" w:rsidR="00EC00ED" w:rsidRPr="00EC00ED" w:rsidRDefault="00EC00ED" w:rsidP="00EC00ED">
      <w:pPr>
        <w:spacing w:after="120" w:line="276" w:lineRule="auto"/>
        <w:ind w:firstLine="709"/>
        <w:jc w:val="both"/>
        <w:rPr>
          <w:rFonts w:ascii="Arial" w:hAnsi="Arial" w:cs="Arial"/>
          <w:bCs/>
        </w:rPr>
      </w:pPr>
      <w:r w:rsidRPr="00EC00ED">
        <w:rPr>
          <w:rFonts w:ascii="Arial" w:hAnsi="Arial" w:cs="Arial"/>
          <w:bCs/>
        </w:rPr>
        <w:t>Ahora bien, lo anterior no impide que se puedan hacer aclaraciones a las propuestas bien porque la Entidad Estatal las solicite en la etapa de evaluación de las mismas, o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63A53763" w14:textId="77777777" w:rsidR="00EC00ED" w:rsidRPr="00EC00ED" w:rsidRDefault="00EC00ED" w:rsidP="00EC00ED">
      <w:pPr>
        <w:spacing w:before="120" w:after="0" w:line="276" w:lineRule="auto"/>
        <w:ind w:firstLine="709"/>
        <w:jc w:val="both"/>
        <w:rPr>
          <w:rFonts w:ascii="Arial" w:hAnsi="Arial" w:cs="Arial"/>
          <w:bCs/>
        </w:rPr>
      </w:pPr>
      <w:bookmarkStart w:id="6" w:name="_Hlk121294835"/>
      <w:r w:rsidRPr="00EC00ED">
        <w:rPr>
          <w:rFonts w:ascii="Arial" w:hAnsi="Arial" w:cs="Arial"/>
          <w:bCs/>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EC00ED">
        <w:rPr>
          <w:rFonts w:ascii="Arial" w:hAnsi="Arial" w:cs="Arial"/>
          <w:bCs/>
          <w:i/>
          <w:iCs/>
        </w:rPr>
        <w:t>es posible aclarar los requisitos que asignan puntaje</w:t>
      </w:r>
      <w:bookmarkEnd w:id="6"/>
      <w:r w:rsidRPr="00EC00ED">
        <w:rPr>
          <w:rFonts w:ascii="Arial" w:hAnsi="Arial" w:cs="Arial"/>
          <w:bCs/>
        </w:rPr>
        <w:t>, tal como lo ha señalado la jurisprudencia en los siguientes términos:</w:t>
      </w:r>
    </w:p>
    <w:p w14:paraId="544AB900" w14:textId="77777777" w:rsidR="00EC00ED" w:rsidRPr="00EC00ED" w:rsidRDefault="00EC00ED" w:rsidP="00EC00ED">
      <w:pPr>
        <w:spacing w:after="0" w:line="276" w:lineRule="auto"/>
        <w:ind w:left="709" w:right="709"/>
        <w:jc w:val="both"/>
        <w:rPr>
          <w:rFonts w:ascii="Arial" w:hAnsi="Arial" w:cs="Arial"/>
          <w:bCs/>
        </w:rPr>
      </w:pPr>
    </w:p>
    <w:p w14:paraId="51A82A0A" w14:textId="77777777" w:rsidR="00EC00ED" w:rsidRPr="00EC00ED" w:rsidRDefault="00EC00ED" w:rsidP="00EC00ED">
      <w:pPr>
        <w:spacing w:after="0"/>
        <w:ind w:left="709" w:right="709"/>
        <w:jc w:val="both"/>
        <w:rPr>
          <w:rFonts w:ascii="Arial" w:hAnsi="Arial" w:cs="Arial"/>
          <w:bCs/>
          <w:sz w:val="21"/>
          <w:szCs w:val="21"/>
        </w:rPr>
      </w:pPr>
      <w:bookmarkStart w:id="7" w:name="_3znysh7" w:colFirst="0" w:colLast="0"/>
      <w:bookmarkEnd w:id="7"/>
      <w:r w:rsidRPr="00EC00ED">
        <w:rPr>
          <w:rFonts w:ascii="Arial" w:hAnsi="Arial" w:cs="Arial"/>
          <w:bCs/>
          <w:sz w:val="21"/>
          <w:szCs w:val="21"/>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EC00ED">
        <w:rPr>
          <w:rFonts w:ascii="Arial" w:hAnsi="Arial" w:cs="Arial"/>
          <w:bCs/>
          <w:sz w:val="21"/>
          <w:szCs w:val="21"/>
          <w:vertAlign w:val="superscript"/>
        </w:rPr>
        <w:footnoteReference w:id="19"/>
      </w:r>
    </w:p>
    <w:p w14:paraId="3B6190D5" w14:textId="77777777" w:rsidR="00EC00ED" w:rsidRPr="00EC00ED" w:rsidRDefault="00EC00ED" w:rsidP="00EC00ED">
      <w:pPr>
        <w:spacing w:line="276" w:lineRule="auto"/>
        <w:ind w:left="709" w:right="709"/>
        <w:contextualSpacing/>
        <w:jc w:val="both"/>
        <w:rPr>
          <w:rFonts w:ascii="Arial" w:hAnsi="Arial" w:cs="Arial"/>
          <w:bCs/>
        </w:rPr>
      </w:pPr>
    </w:p>
    <w:p w14:paraId="28FE14FF" w14:textId="77777777" w:rsidR="00EC00ED" w:rsidRPr="00EC00ED" w:rsidRDefault="00EC00ED" w:rsidP="00EC00ED">
      <w:pPr>
        <w:spacing w:after="120" w:line="276" w:lineRule="auto"/>
        <w:ind w:firstLine="709"/>
        <w:jc w:val="both"/>
        <w:rPr>
          <w:rFonts w:ascii="Arial" w:hAnsi="Arial" w:cs="Arial"/>
          <w:bCs/>
        </w:rPr>
      </w:pPr>
      <w:r w:rsidRPr="00EC00ED">
        <w:rPr>
          <w:rFonts w:ascii="Arial" w:hAnsi="Arial" w:cs="Arial"/>
          <w:bCs/>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36783768" w14:textId="77777777" w:rsidR="00EC00ED" w:rsidRPr="00EC00ED" w:rsidRDefault="00EC00ED" w:rsidP="00EC00ED">
      <w:pPr>
        <w:spacing w:after="120" w:line="276" w:lineRule="auto"/>
        <w:ind w:firstLine="709"/>
        <w:jc w:val="both"/>
        <w:rPr>
          <w:rFonts w:ascii="Arial" w:hAnsi="Arial" w:cs="Arial"/>
          <w:bCs/>
          <w:i/>
          <w:iCs/>
        </w:rPr>
      </w:pPr>
      <w:r w:rsidRPr="00EC00ED">
        <w:rPr>
          <w:rFonts w:ascii="Arial" w:hAnsi="Arial" w:cs="Arial"/>
          <w:bCs/>
        </w:rPr>
        <w:t>Ahora bien, como dispone el numeral 7 del artículo 30 de la Ley 80 de 1993, la aclaración de las propuestas se realiza durante la evaluación de estas, pues es necesario esclarecer los aspectos dudosos de las ofertas antes de la adjudicación</w:t>
      </w:r>
      <w:r w:rsidRPr="00EC00ED">
        <w:rPr>
          <w:rFonts w:ascii="Arial" w:hAnsi="Arial" w:cs="Arial"/>
          <w:vertAlign w:val="superscript"/>
        </w:rPr>
        <w:footnoteReference w:id="20"/>
      </w:r>
      <w:r w:rsidRPr="00EC00ED">
        <w:rPr>
          <w:rFonts w:ascii="Arial" w:hAnsi="Arial" w:cs="Arial"/>
          <w:bCs/>
        </w:rPr>
        <w:t xml:space="preserve">. Por ello, la jurisprudencia también explica que </w:t>
      </w:r>
      <w:r w:rsidRPr="00EC00ED">
        <w:rPr>
          <w:rFonts w:ascii="Arial" w:hAnsi="Arial" w:cs="Arial"/>
          <w:bCs/>
          <w:i/>
          <w:iCs/>
        </w:rPr>
        <w:t>“[…] el proponente debe acogerse al tiempo que le otorga la administración para subsanar o aclarar la oferta, lapso que la entidad no puede extender más allá de la adjudicación […]”</w:t>
      </w:r>
      <w:r w:rsidRPr="00EC00ED">
        <w:rPr>
          <w:rFonts w:ascii="Arial" w:hAnsi="Arial" w:cs="Arial"/>
          <w:bCs/>
          <w:i/>
          <w:iCs/>
          <w:vertAlign w:val="superscript"/>
        </w:rPr>
        <w:footnoteReference w:id="21"/>
      </w:r>
      <w:r w:rsidRPr="00EC00ED">
        <w:rPr>
          <w:rFonts w:ascii="Arial" w:hAnsi="Arial" w:cs="Arial"/>
          <w:bCs/>
          <w:i/>
          <w:iCs/>
        </w:rPr>
        <w:t>.</w:t>
      </w:r>
      <w:r w:rsidRPr="00EC00ED">
        <w:rPr>
          <w:rFonts w:ascii="Arial" w:hAnsi="Arial" w:cs="Arial"/>
          <w:bCs/>
        </w:rPr>
        <w:t xml:space="preserve"> De esta manera, “</w:t>
      </w:r>
      <w:r w:rsidRPr="00EC00ED">
        <w:rPr>
          <w:rFonts w:ascii="Arial" w:hAnsi="Arial" w:cs="Arial"/>
          <w:bCs/>
          <w:i/>
          <w:iCs/>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Pr="00EC00ED">
        <w:rPr>
          <w:rFonts w:ascii="Arial" w:hAnsi="Arial" w:cs="Arial"/>
          <w:bCs/>
          <w:i/>
          <w:iCs/>
          <w:vertAlign w:val="superscript"/>
        </w:rPr>
        <w:footnoteReference w:id="22"/>
      </w:r>
      <w:r w:rsidRPr="00EC00ED">
        <w:rPr>
          <w:rFonts w:ascii="Arial" w:hAnsi="Arial" w:cs="Arial"/>
          <w:bCs/>
          <w:i/>
          <w:iCs/>
        </w:rPr>
        <w:t xml:space="preserve"> </w:t>
      </w:r>
    </w:p>
    <w:p w14:paraId="3CF2502C" w14:textId="77777777" w:rsidR="00EC00ED" w:rsidRPr="00EC00ED" w:rsidRDefault="00EC00ED" w:rsidP="00EC00ED">
      <w:pPr>
        <w:tabs>
          <w:tab w:val="left" w:pos="426"/>
        </w:tabs>
        <w:spacing w:after="120" w:line="276" w:lineRule="auto"/>
        <w:jc w:val="both"/>
        <w:rPr>
          <w:rFonts w:ascii="Arial" w:hAnsi="Arial" w:cs="Arial"/>
        </w:rPr>
      </w:pPr>
      <w:r w:rsidRPr="00EC00ED">
        <w:rPr>
          <w:rFonts w:ascii="Arial" w:eastAsia="Calibri" w:hAnsi="Arial" w:cs="Arial"/>
          <w:b/>
          <w:bCs/>
        </w:rPr>
        <w:tab/>
      </w:r>
      <w:r w:rsidRPr="00EC00ED">
        <w:rPr>
          <w:rFonts w:ascii="Arial" w:eastAsia="Calibri" w:hAnsi="Arial" w:cs="Arial"/>
          <w:b/>
          <w:bCs/>
        </w:rPr>
        <w:tab/>
      </w:r>
      <w:r w:rsidRPr="00EC00ED">
        <w:rPr>
          <w:rFonts w:ascii="Arial" w:eastAsia="Calibri" w:hAnsi="Arial" w:cs="Arial"/>
        </w:rPr>
        <w:t xml:space="preserve">De conformidad con lo expuesto y teniendo en cuenta que </w:t>
      </w:r>
      <w:r w:rsidRPr="00EC00ED">
        <w:rPr>
          <w:rFonts w:ascii="Arial" w:hAnsi="Arial" w:cs="Arial"/>
          <w:i/>
          <w:iCs/>
        </w:rPr>
        <w:t>la Capacidad Residual es un requisito habilitante</w:t>
      </w:r>
      <w:r w:rsidRPr="00EC00ED">
        <w:rPr>
          <w:rFonts w:ascii="Arial" w:hAnsi="Arial" w:cs="Arial"/>
        </w:rPr>
        <w:t xml:space="preserve"> está sujeta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es decir, </w:t>
      </w:r>
      <w:r w:rsidRPr="00EC00ED">
        <w:rPr>
          <w:rFonts w:ascii="Arial" w:hAnsi="Arial" w:cs="Arial"/>
          <w:lang w:val="es-ES_tradnl"/>
        </w:rPr>
        <w:t>que lo omitido no sea un factor que afecte la asignación de puntaje, sea la prueba de una circunstancia o hecho que ocurrió con anterioridad al cierre del proceso y no existe disposición legal o en el pliego de condiciones que prohíba su subsanación</w:t>
      </w:r>
      <w:r w:rsidRPr="00EC00ED">
        <w:rPr>
          <w:rFonts w:ascii="Arial" w:hAnsi="Arial" w:cs="Arial"/>
        </w:rPr>
        <w:t xml:space="preserve">. </w:t>
      </w:r>
    </w:p>
    <w:p w14:paraId="36FA7516" w14:textId="77777777" w:rsidR="00EC00ED" w:rsidRPr="00EC00ED" w:rsidRDefault="00EC00ED" w:rsidP="00EC00ED">
      <w:pPr>
        <w:tabs>
          <w:tab w:val="left" w:pos="426"/>
        </w:tabs>
        <w:spacing w:line="276" w:lineRule="auto"/>
        <w:jc w:val="both"/>
        <w:rPr>
          <w:rFonts w:ascii="Arial" w:hAnsi="Arial" w:cs="Arial"/>
          <w:b/>
          <w:bCs/>
          <w:szCs w:val="20"/>
        </w:rPr>
      </w:pPr>
      <w:r w:rsidRPr="00EC00ED">
        <w:rPr>
          <w:rFonts w:ascii="Arial" w:hAnsi="Arial" w:cs="Arial"/>
        </w:rPr>
        <w:tab/>
      </w:r>
      <w:r w:rsidRPr="00EC00ED">
        <w:rPr>
          <w:rFonts w:ascii="Arial" w:hAnsi="Arial" w:cs="Arial"/>
        </w:rPr>
        <w:tab/>
      </w:r>
      <w:r w:rsidRPr="00EC00ED">
        <w:rPr>
          <w:rFonts w:ascii="Arial" w:eastAsia="Calibri" w:hAnsi="Arial" w:cs="Arial"/>
          <w:b/>
          <w:bCs/>
          <w:color w:val="000000"/>
          <w:lang w:eastAsia="en-GB"/>
        </w:rPr>
        <w:t>2.4. La capacidad residual y su relación con las causales de rechazo de la oferta en los documentos tipo de</w:t>
      </w:r>
      <w:r w:rsidRPr="00EC00ED">
        <w:rPr>
          <w:rFonts w:ascii="Arial" w:eastAsia="Calibri" w:hAnsi="Arial" w:cs="Arial"/>
          <w:color w:val="000000" w:themeColor="text1"/>
        </w:rPr>
        <w:t xml:space="preserve"> </w:t>
      </w:r>
      <w:r w:rsidRPr="00EC00ED">
        <w:rPr>
          <w:rFonts w:ascii="Arial" w:eastAsia="Calibri" w:hAnsi="Arial" w:cs="Arial"/>
          <w:b/>
          <w:bCs/>
          <w:color w:val="000000"/>
          <w:lang w:eastAsia="en-GB"/>
        </w:rPr>
        <w:t>licitación de obra pública de infraestructura de transporte – versión 3</w:t>
      </w:r>
    </w:p>
    <w:p w14:paraId="416AA34F" w14:textId="77777777" w:rsidR="00EC00ED" w:rsidRPr="00EC00ED" w:rsidRDefault="00EC00ED" w:rsidP="00EC00ED">
      <w:pPr>
        <w:tabs>
          <w:tab w:val="left" w:pos="426"/>
        </w:tabs>
        <w:spacing w:after="0" w:line="276" w:lineRule="auto"/>
        <w:jc w:val="both"/>
        <w:rPr>
          <w:rFonts w:ascii="Arial" w:hAnsi="Arial" w:cs="Arial"/>
          <w:szCs w:val="20"/>
        </w:rPr>
      </w:pPr>
      <w:r w:rsidRPr="00EC00ED">
        <w:rPr>
          <w:rFonts w:ascii="Arial" w:hAnsi="Arial" w:cs="Arial"/>
          <w:szCs w:val="20"/>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 Estas causales disponen lo siguiente:</w:t>
      </w:r>
    </w:p>
    <w:p w14:paraId="3307F121" w14:textId="77777777" w:rsidR="00EC00ED" w:rsidRPr="00EC00ED" w:rsidRDefault="00EC00ED" w:rsidP="00EC00ED">
      <w:pPr>
        <w:spacing w:after="0"/>
        <w:ind w:left="709" w:right="709"/>
        <w:jc w:val="both"/>
        <w:rPr>
          <w:rFonts w:ascii="Arial" w:hAnsi="Arial" w:cs="Arial"/>
          <w:b/>
          <w:bCs/>
          <w:sz w:val="21"/>
          <w:szCs w:val="21"/>
        </w:rPr>
      </w:pPr>
    </w:p>
    <w:p w14:paraId="52BA5A40" w14:textId="77777777" w:rsidR="00EC00ED" w:rsidRPr="00EC00ED" w:rsidRDefault="00EC00ED" w:rsidP="00EC00ED">
      <w:pPr>
        <w:spacing w:line="240" w:lineRule="auto"/>
        <w:ind w:left="709" w:right="709"/>
        <w:jc w:val="both"/>
        <w:rPr>
          <w:rFonts w:ascii="Arial" w:hAnsi="Arial" w:cs="Arial"/>
          <w:b/>
          <w:bCs/>
          <w:sz w:val="21"/>
          <w:szCs w:val="21"/>
          <w:lang w:val="es-MX"/>
        </w:rPr>
      </w:pPr>
      <w:r w:rsidRPr="00EC00ED">
        <w:rPr>
          <w:rFonts w:ascii="Arial" w:hAnsi="Arial" w:cs="Arial"/>
          <w:b/>
          <w:bCs/>
          <w:sz w:val="21"/>
          <w:szCs w:val="21"/>
          <w:lang w:val="es-MX"/>
        </w:rPr>
        <w:t>“1.15.</w:t>
      </w:r>
      <w:r w:rsidRPr="00EC00ED">
        <w:rPr>
          <w:rFonts w:ascii="Arial" w:hAnsi="Arial" w:cs="Arial"/>
          <w:b/>
          <w:bCs/>
          <w:sz w:val="21"/>
          <w:szCs w:val="21"/>
          <w:lang w:val="es-MX"/>
        </w:rPr>
        <w:tab/>
        <w:t xml:space="preserve">CAUSALES DE RECHAZO </w:t>
      </w:r>
    </w:p>
    <w:p w14:paraId="52252C3B" w14:textId="77777777" w:rsidR="00EC00ED" w:rsidRPr="00EC00ED" w:rsidRDefault="00EC00ED" w:rsidP="00EC00ED">
      <w:pPr>
        <w:spacing w:line="240" w:lineRule="auto"/>
        <w:ind w:left="709" w:right="709"/>
        <w:jc w:val="both"/>
        <w:rPr>
          <w:rFonts w:ascii="Arial" w:hAnsi="Arial" w:cs="Arial"/>
          <w:sz w:val="21"/>
          <w:szCs w:val="21"/>
          <w:lang w:val="es-MX"/>
        </w:rPr>
      </w:pPr>
      <w:r w:rsidRPr="00EC00ED">
        <w:rPr>
          <w:rFonts w:ascii="Arial" w:hAnsi="Arial" w:cs="Arial"/>
          <w:sz w:val="21"/>
          <w:szCs w:val="21"/>
          <w:lang w:val="es-MX"/>
        </w:rPr>
        <w:t>Son causales de rechazo las siguientes [Las Entidades no podrán modificar o incluir causales de rechazo distintas a las señaladas en la presente sección]:</w:t>
      </w:r>
    </w:p>
    <w:p w14:paraId="771EAB3F" w14:textId="77777777" w:rsidR="00EC00ED" w:rsidRPr="00EC00ED" w:rsidRDefault="00EC00ED" w:rsidP="00EC00ED">
      <w:pPr>
        <w:spacing w:after="120" w:line="240" w:lineRule="auto"/>
        <w:ind w:left="709" w:right="709"/>
        <w:jc w:val="both"/>
        <w:rPr>
          <w:rFonts w:ascii="Arial" w:hAnsi="Arial" w:cs="Arial"/>
          <w:sz w:val="21"/>
          <w:szCs w:val="21"/>
          <w:lang w:val="es-MX"/>
        </w:rPr>
      </w:pPr>
      <w:r w:rsidRPr="00EC00ED">
        <w:rPr>
          <w:rFonts w:ascii="Arial" w:hAnsi="Arial" w:cs="Arial"/>
          <w:sz w:val="21"/>
          <w:szCs w:val="21"/>
          <w:lang w:val="es-MX"/>
        </w:rPr>
        <w:t>[…]</w:t>
      </w:r>
    </w:p>
    <w:p w14:paraId="6E9C8B97" w14:textId="77777777" w:rsidR="00EC00ED" w:rsidRPr="00EC00ED" w:rsidRDefault="00EC00ED" w:rsidP="00EC00ED">
      <w:pPr>
        <w:spacing w:line="240" w:lineRule="auto"/>
        <w:ind w:left="709" w:right="709"/>
        <w:jc w:val="both"/>
        <w:rPr>
          <w:rFonts w:ascii="Arial" w:hAnsi="Arial" w:cs="Arial"/>
          <w:sz w:val="21"/>
          <w:szCs w:val="21"/>
          <w:lang w:val="es-MX"/>
        </w:rPr>
      </w:pPr>
      <w:r w:rsidRPr="00EC00ED">
        <w:rPr>
          <w:rFonts w:ascii="Arial" w:hAnsi="Arial" w:cs="Arial"/>
          <w:sz w:val="21"/>
          <w:szCs w:val="21"/>
          <w:lang w:val="es-MX"/>
        </w:rPr>
        <w:t>E. Que el Proponente no aclare, subsane o aporte documentos necesarios para el cumplimiento de un requisito habilitante en los términos establecidos en la sección 1.6.</w:t>
      </w:r>
    </w:p>
    <w:p w14:paraId="06A41BDE" w14:textId="77777777" w:rsidR="00EC00ED" w:rsidRPr="00EC00ED" w:rsidRDefault="00EC00ED" w:rsidP="00EC00ED">
      <w:pPr>
        <w:spacing w:line="240" w:lineRule="auto"/>
        <w:ind w:left="709" w:right="709"/>
        <w:jc w:val="both"/>
        <w:rPr>
          <w:rFonts w:ascii="Arial" w:hAnsi="Arial" w:cs="Arial"/>
          <w:sz w:val="21"/>
          <w:szCs w:val="21"/>
          <w:lang w:val="es-MX"/>
        </w:rPr>
      </w:pPr>
      <w:r w:rsidRPr="00EC00ED">
        <w:rPr>
          <w:rFonts w:ascii="Arial" w:hAnsi="Arial" w:cs="Arial"/>
          <w:sz w:val="21"/>
          <w:szCs w:val="21"/>
          <w:lang w:val="es-MX"/>
        </w:rPr>
        <w:t>[…]</w:t>
      </w:r>
    </w:p>
    <w:p w14:paraId="60CDB870" w14:textId="77777777" w:rsidR="00EC00ED" w:rsidRPr="00EC00ED" w:rsidRDefault="00EC00ED" w:rsidP="00EC00ED">
      <w:pPr>
        <w:spacing w:before="120" w:line="240" w:lineRule="auto"/>
        <w:ind w:left="709" w:right="709"/>
        <w:jc w:val="both"/>
        <w:rPr>
          <w:rFonts w:ascii="Arial" w:hAnsi="Arial" w:cs="Arial"/>
          <w:sz w:val="21"/>
          <w:szCs w:val="21"/>
          <w:lang w:val="es-MX"/>
        </w:rPr>
      </w:pPr>
      <w:r w:rsidRPr="00EC00ED">
        <w:rPr>
          <w:rFonts w:ascii="Arial" w:hAnsi="Arial" w:cs="Arial"/>
          <w:sz w:val="21"/>
          <w:szCs w:val="21"/>
          <w:lang w:val="es-MX"/>
        </w:rPr>
        <w:t>H. Que el Proponente aporte información inexacta sobre la cual pueda existir una posible falsedad en los términos de la sección 1.11.</w:t>
      </w:r>
    </w:p>
    <w:p w14:paraId="4F2981A5" w14:textId="77777777" w:rsidR="00EC00ED" w:rsidRPr="00EC00ED" w:rsidRDefault="00EC00ED" w:rsidP="00EC00ED">
      <w:pPr>
        <w:spacing w:after="120" w:line="240" w:lineRule="auto"/>
        <w:ind w:left="709" w:right="709"/>
        <w:jc w:val="both"/>
        <w:rPr>
          <w:rFonts w:ascii="Arial" w:hAnsi="Arial" w:cs="Arial"/>
          <w:sz w:val="21"/>
          <w:szCs w:val="21"/>
          <w:lang w:val="es-MX"/>
        </w:rPr>
      </w:pPr>
      <w:r w:rsidRPr="00EC00ED">
        <w:rPr>
          <w:rFonts w:ascii="Arial" w:hAnsi="Arial" w:cs="Arial"/>
          <w:sz w:val="21"/>
          <w:szCs w:val="21"/>
          <w:lang w:val="es-MX"/>
        </w:rPr>
        <w:t>[…]</w:t>
      </w:r>
    </w:p>
    <w:p w14:paraId="065F726F" w14:textId="77777777" w:rsidR="00EC00ED" w:rsidRPr="00EC00ED" w:rsidRDefault="00EC00ED" w:rsidP="00EC00ED">
      <w:pPr>
        <w:spacing w:after="0" w:line="240" w:lineRule="auto"/>
        <w:ind w:left="709" w:right="709"/>
        <w:jc w:val="both"/>
        <w:rPr>
          <w:rFonts w:ascii="Arial" w:hAnsi="Arial" w:cs="Arial"/>
          <w:sz w:val="21"/>
          <w:szCs w:val="21"/>
          <w:lang w:val="es-MX"/>
        </w:rPr>
      </w:pPr>
      <w:r w:rsidRPr="00EC00ED">
        <w:rPr>
          <w:rFonts w:ascii="Arial" w:hAnsi="Arial" w:cs="Arial"/>
          <w:sz w:val="21"/>
          <w:szCs w:val="21"/>
          <w:lang w:val="es-MX"/>
        </w:rPr>
        <w:t xml:space="preserve">Z. </w:t>
      </w:r>
      <w:bookmarkStart w:id="8" w:name="_Hlk78878480"/>
      <w:r w:rsidRPr="00EC00ED">
        <w:rPr>
          <w:rFonts w:ascii="Arial" w:hAnsi="Arial" w:cs="Arial"/>
          <w:sz w:val="21"/>
          <w:szCs w:val="21"/>
          <w:lang w:val="es-MX"/>
        </w:rPr>
        <w:t>No informar todos los contratos que el Proponente tenga en ejecución antes del cierre, necesarios para acreditar su capacidad residual conforme a la sección 3.10”.</w:t>
      </w:r>
    </w:p>
    <w:bookmarkEnd w:id="8"/>
    <w:p w14:paraId="16B5B77C" w14:textId="77777777" w:rsidR="00EC00ED" w:rsidRPr="00EC00ED" w:rsidRDefault="00EC00ED" w:rsidP="00EC00ED">
      <w:pPr>
        <w:spacing w:after="0"/>
        <w:ind w:left="709" w:right="709"/>
        <w:jc w:val="both"/>
        <w:rPr>
          <w:rFonts w:ascii="Arial" w:hAnsi="Arial" w:cs="Arial"/>
          <w:szCs w:val="20"/>
          <w:lang w:val="es-MX"/>
        </w:rPr>
      </w:pPr>
    </w:p>
    <w:p w14:paraId="544CDB80" w14:textId="77777777" w:rsidR="00EC00ED" w:rsidRPr="00EC00ED" w:rsidRDefault="00EC00ED" w:rsidP="00EC00ED">
      <w:pPr>
        <w:spacing w:after="120" w:line="276" w:lineRule="auto"/>
        <w:ind w:firstLine="709"/>
        <w:jc w:val="both"/>
        <w:rPr>
          <w:rFonts w:ascii="Arial" w:hAnsi="Arial" w:cs="Arial"/>
          <w:szCs w:val="20"/>
          <w:lang w:val="es-MX"/>
        </w:rPr>
      </w:pPr>
      <w:bookmarkStart w:id="9" w:name="_Hlk91596805"/>
      <w:r w:rsidRPr="00EC00ED">
        <w:rPr>
          <w:rFonts w:ascii="Arial" w:hAnsi="Arial" w:cs="Arial"/>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bookmarkEnd w:id="9"/>
    <w:p w14:paraId="238D93F8" w14:textId="77777777" w:rsidR="00EC00ED" w:rsidRPr="00EC00ED" w:rsidRDefault="00EC00ED" w:rsidP="00EC00ED">
      <w:pPr>
        <w:spacing w:before="120" w:after="120" w:line="276" w:lineRule="auto"/>
        <w:ind w:firstLine="709"/>
        <w:jc w:val="both"/>
        <w:rPr>
          <w:rFonts w:ascii="Arial" w:hAnsi="Arial" w:cs="Arial"/>
          <w:i/>
          <w:iCs/>
          <w:lang w:val="es-MX"/>
        </w:rPr>
      </w:pPr>
      <w:r w:rsidRPr="00EC00ED">
        <w:rPr>
          <w:rFonts w:ascii="Arial" w:hAnsi="Arial" w:cs="Arial"/>
          <w:i/>
          <w:szCs w:val="20"/>
          <w:lang w:val="es-MX"/>
        </w:rPr>
        <w:t>i)</w:t>
      </w:r>
      <w:r w:rsidRPr="00EC00ED">
        <w:rPr>
          <w:rFonts w:ascii="Arial" w:hAnsi="Arial" w:cs="Arial"/>
          <w:szCs w:val="20"/>
          <w:lang w:val="es-MX"/>
        </w:rPr>
        <w:t xml:space="preserve"> La causal del </w:t>
      </w:r>
      <w:r w:rsidRPr="00EC00ED">
        <w:rPr>
          <w:rFonts w:ascii="Arial" w:hAnsi="Arial" w:cs="Arial"/>
          <w:i/>
          <w:iCs/>
          <w:szCs w:val="20"/>
          <w:lang w:val="es-MX"/>
        </w:rPr>
        <w:t>literal Z</w:t>
      </w:r>
      <w:r w:rsidRPr="00EC00ED">
        <w:rPr>
          <w:rFonts w:ascii="Arial" w:hAnsi="Arial" w:cs="Arial"/>
          <w:szCs w:val="20"/>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el contenido de la información de los contratos, siempre que los reporte todos. Por tanto, la </w:t>
      </w:r>
      <w:r w:rsidRPr="00EC00ED">
        <w:rPr>
          <w:rFonts w:ascii="Arial" w:hAnsi="Arial" w:cs="Arial"/>
          <w:lang w:val="es-MX"/>
        </w:rPr>
        <w:t xml:space="preserve">configuración de la causal de rechazo del literal Z es objetiva, pues solo aplica ante la omisión del proponente de informar todos </w:t>
      </w:r>
      <w:proofErr w:type="gramStart"/>
      <w:r w:rsidRPr="00EC00ED">
        <w:rPr>
          <w:rFonts w:ascii="Arial" w:hAnsi="Arial" w:cs="Arial"/>
          <w:lang w:val="es-MX"/>
        </w:rPr>
        <w:t>los  contratos</w:t>
      </w:r>
      <w:proofErr w:type="gramEnd"/>
      <w:r w:rsidRPr="00EC00ED">
        <w:rPr>
          <w:rFonts w:ascii="Arial" w:hAnsi="Arial" w:cs="Arial"/>
          <w:lang w:val="es-MX"/>
        </w:rPr>
        <w:t xml:space="preserve"> en ejecución antes del cierre del proceso</w:t>
      </w:r>
      <w:r w:rsidRPr="00EC00ED">
        <w:rPr>
          <w:rFonts w:ascii="Arial" w:hAnsi="Arial" w:cs="Arial"/>
          <w:szCs w:val="20"/>
          <w:lang w:val="es-MX"/>
        </w:rPr>
        <w:t>, es decir, opera también cuando no se aporte con la oferta el Formato 5, sólo si, con ello se está omitiendo informar contratos que tenga en ejecución el proponente.</w:t>
      </w:r>
    </w:p>
    <w:p w14:paraId="09725C1A" w14:textId="77777777" w:rsidR="00EC00ED" w:rsidRPr="00EC00ED" w:rsidRDefault="00EC00ED" w:rsidP="00EC00ED">
      <w:pPr>
        <w:spacing w:before="120" w:line="276" w:lineRule="auto"/>
        <w:ind w:firstLine="708"/>
        <w:jc w:val="both"/>
        <w:rPr>
          <w:rFonts w:ascii="Arial" w:hAnsi="Arial" w:cs="Arial"/>
          <w:szCs w:val="20"/>
          <w:lang w:val="es-MX"/>
        </w:rPr>
      </w:pPr>
      <w:bookmarkStart w:id="10" w:name="_Hlk91596835"/>
      <w:r w:rsidRPr="00EC00ED">
        <w:rPr>
          <w:rFonts w:ascii="Arial" w:hAnsi="Arial" w:cs="Arial"/>
          <w:i/>
          <w:szCs w:val="20"/>
          <w:lang w:val="es-MX"/>
        </w:rPr>
        <w:t xml:space="preserve">ii) </w:t>
      </w:r>
      <w:r w:rsidRPr="00EC00ED">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EC00ED">
        <w:rPr>
          <w:rFonts w:ascii="Arial" w:hAnsi="Arial" w:cs="Arial"/>
          <w:i/>
          <w:iCs/>
          <w:szCs w:val="20"/>
          <w:lang w:val="es-MX"/>
        </w:rPr>
        <w:t>literal E</w:t>
      </w:r>
      <w:r w:rsidRPr="00EC00ED">
        <w:rPr>
          <w:rFonts w:ascii="Arial" w:hAnsi="Arial" w:cs="Arial"/>
          <w:szCs w:val="20"/>
          <w:lang w:val="es-MX"/>
        </w:rPr>
        <w:t xml:space="preserve"> del numeral 1.15.</w:t>
      </w:r>
      <w:bookmarkEnd w:id="10"/>
      <w:r w:rsidRPr="00EC00ED">
        <w:rPr>
          <w:rFonts w:ascii="Arial" w:hAnsi="Arial" w:cs="Arial"/>
          <w:szCs w:val="20"/>
          <w:lang w:val="es-MX"/>
        </w:rPr>
        <w:t xml:space="preserve"> </w:t>
      </w:r>
    </w:p>
    <w:p w14:paraId="0343FE1B" w14:textId="77777777" w:rsidR="00EC00ED" w:rsidRPr="00EC00ED" w:rsidRDefault="00EC00ED" w:rsidP="00EC00ED">
      <w:pPr>
        <w:spacing w:before="120" w:after="0" w:line="276" w:lineRule="auto"/>
        <w:ind w:firstLine="708"/>
        <w:jc w:val="both"/>
        <w:rPr>
          <w:rFonts w:ascii="Arial" w:hAnsi="Arial" w:cs="Arial"/>
          <w:szCs w:val="20"/>
          <w:lang w:val="es-MX"/>
        </w:rPr>
      </w:pPr>
      <w:r w:rsidRPr="00EC00ED">
        <w:rPr>
          <w:rFonts w:ascii="Arial" w:hAnsi="Arial" w:cs="Arial"/>
          <w:i/>
          <w:szCs w:val="20"/>
          <w:lang w:val="es-MX"/>
        </w:rPr>
        <w:t xml:space="preserve">iii) </w:t>
      </w:r>
      <w:r w:rsidRPr="00EC00ED">
        <w:rPr>
          <w:rFonts w:ascii="Arial" w:hAnsi="Arial" w:cs="Arial"/>
          <w:szCs w:val="20"/>
          <w:lang w:val="es-MX"/>
        </w:rPr>
        <w:t xml:space="preserve">Lo dicho en los numerales precedentes tampoco descarta la posibilidad de que la entidad rechace la oferta si encuentra configurada la causal establecida en </w:t>
      </w:r>
      <w:bookmarkStart w:id="11" w:name="_Hlk81383775"/>
      <w:r w:rsidRPr="00EC00ED">
        <w:rPr>
          <w:rFonts w:ascii="Arial" w:hAnsi="Arial" w:cs="Arial"/>
          <w:szCs w:val="20"/>
          <w:lang w:val="es-MX"/>
        </w:rPr>
        <w:t xml:space="preserve">el </w:t>
      </w:r>
      <w:r w:rsidRPr="00EC00ED">
        <w:rPr>
          <w:rFonts w:ascii="Arial" w:hAnsi="Arial" w:cs="Arial"/>
          <w:i/>
          <w:iCs/>
          <w:szCs w:val="20"/>
          <w:lang w:val="es-MX"/>
        </w:rPr>
        <w:t>literal H</w:t>
      </w:r>
      <w:r w:rsidRPr="00EC00ED">
        <w:rPr>
          <w:rFonts w:ascii="Arial" w:hAnsi="Arial" w:cs="Arial"/>
          <w:szCs w:val="20"/>
          <w:lang w:val="es-MX"/>
        </w:rPr>
        <w:t xml:space="preserve"> del numeral 1.15, que aplica cuando el proponente aporta información inexacta, de acuerdo con lo señalado en el numeral 1.11. del documento base</w:t>
      </w:r>
      <w:bookmarkEnd w:id="11"/>
      <w:r w:rsidRPr="00EC00ED">
        <w:rPr>
          <w:rFonts w:ascii="Arial" w:hAnsi="Arial" w:cs="Arial"/>
          <w:szCs w:val="20"/>
          <w:lang w:val="es-MX"/>
        </w:rPr>
        <w:t xml:space="preserve">: </w:t>
      </w:r>
    </w:p>
    <w:p w14:paraId="62780F2C" w14:textId="77777777" w:rsidR="00EC00ED" w:rsidRPr="00EC00ED" w:rsidRDefault="00EC00ED" w:rsidP="00EC00ED">
      <w:pPr>
        <w:spacing w:after="0" w:line="276" w:lineRule="auto"/>
        <w:jc w:val="both"/>
        <w:rPr>
          <w:rFonts w:ascii="Arial" w:hAnsi="Arial" w:cs="Arial"/>
          <w:lang w:val="es-MX"/>
        </w:rPr>
      </w:pPr>
    </w:p>
    <w:p w14:paraId="32EB0220" w14:textId="77777777" w:rsidR="00EC00ED" w:rsidRPr="00EC00ED" w:rsidRDefault="00EC00ED" w:rsidP="00EC00ED">
      <w:pPr>
        <w:spacing w:after="120" w:line="240" w:lineRule="auto"/>
        <w:ind w:left="709" w:right="709"/>
        <w:jc w:val="both"/>
        <w:rPr>
          <w:rFonts w:ascii="Arial" w:hAnsi="Arial" w:cs="Arial"/>
          <w:b/>
          <w:bCs/>
          <w:sz w:val="21"/>
          <w:szCs w:val="21"/>
        </w:rPr>
      </w:pPr>
      <w:r w:rsidRPr="00EC00ED">
        <w:rPr>
          <w:rFonts w:ascii="Arial" w:hAnsi="Arial" w:cs="Arial"/>
          <w:b/>
          <w:bCs/>
          <w:sz w:val="21"/>
          <w:szCs w:val="21"/>
        </w:rPr>
        <w:t xml:space="preserve">“1.11 INFORMACIÓN INEXACTA </w:t>
      </w:r>
    </w:p>
    <w:p w14:paraId="7CBD48C2" w14:textId="77777777" w:rsidR="00EC00ED" w:rsidRPr="00EC00ED" w:rsidRDefault="00EC00ED" w:rsidP="00EC00ED">
      <w:pPr>
        <w:spacing w:after="120" w:line="240" w:lineRule="auto"/>
        <w:ind w:left="709" w:right="709"/>
        <w:jc w:val="both"/>
        <w:rPr>
          <w:rFonts w:ascii="Arial" w:hAnsi="Arial" w:cs="Arial"/>
          <w:sz w:val="21"/>
          <w:szCs w:val="21"/>
        </w:rPr>
      </w:pPr>
      <w:r w:rsidRPr="00EC00ED">
        <w:rPr>
          <w:rFonts w:ascii="Arial" w:hAnsi="Arial" w:cs="Arial"/>
          <w:sz w:val="21"/>
          <w:szCs w:val="21"/>
        </w:rPr>
        <w:t xml:space="preserve">La Entidad </w:t>
      </w:r>
      <w:bookmarkStart w:id="12" w:name="_Hlk88664526"/>
      <w:r w:rsidRPr="00EC00ED">
        <w:rPr>
          <w:rFonts w:ascii="Arial" w:hAnsi="Arial" w:cs="Arial"/>
          <w:sz w:val="21"/>
          <w:szCs w:val="21"/>
        </w:rPr>
        <w:t>se reserva el derecho de verificar integralmente la información aportada por el Proponente</w:t>
      </w:r>
      <w:bookmarkEnd w:id="12"/>
      <w:r w:rsidRPr="00EC00ED">
        <w:rPr>
          <w:rFonts w:ascii="Arial" w:hAnsi="Arial" w:cs="Arial"/>
          <w:sz w:val="21"/>
          <w:szCs w:val="21"/>
        </w:rPr>
        <w:t xml:space="preserve">. Para esto, puede acudir a las autoridades, personas, empresas o entidades respectivas. </w:t>
      </w:r>
    </w:p>
    <w:p w14:paraId="049D3118" w14:textId="77777777" w:rsidR="00EC00ED" w:rsidRPr="00EC00ED" w:rsidRDefault="00EC00ED" w:rsidP="00EC00ED">
      <w:pPr>
        <w:spacing w:after="120" w:line="240" w:lineRule="auto"/>
        <w:ind w:left="709" w:right="709"/>
        <w:jc w:val="both"/>
        <w:rPr>
          <w:rFonts w:ascii="Arial" w:hAnsi="Arial" w:cs="Arial"/>
          <w:sz w:val="21"/>
          <w:szCs w:val="21"/>
        </w:rPr>
      </w:pPr>
      <w:r w:rsidRPr="00EC00ED">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1D710784" w14:textId="77777777" w:rsidR="00EC00ED" w:rsidRPr="00EC00ED" w:rsidRDefault="00EC00ED" w:rsidP="00EC00ED">
      <w:pPr>
        <w:spacing w:after="0" w:line="240" w:lineRule="auto"/>
        <w:ind w:left="709" w:right="709"/>
        <w:jc w:val="both"/>
        <w:rPr>
          <w:rFonts w:ascii="Arial" w:hAnsi="Arial" w:cs="Arial"/>
          <w:sz w:val="21"/>
          <w:szCs w:val="21"/>
        </w:rPr>
      </w:pPr>
      <w:r w:rsidRPr="00EC00ED">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143A035C" w14:textId="77777777" w:rsidR="00EC00ED" w:rsidRPr="00EC00ED" w:rsidRDefault="00EC00ED" w:rsidP="00EC00ED">
      <w:pPr>
        <w:spacing w:after="0" w:line="240" w:lineRule="auto"/>
        <w:ind w:left="709" w:right="709"/>
        <w:jc w:val="both"/>
        <w:rPr>
          <w:rFonts w:ascii="Arial" w:hAnsi="Arial" w:cs="Arial"/>
          <w:sz w:val="21"/>
          <w:szCs w:val="21"/>
        </w:rPr>
      </w:pPr>
      <w:r w:rsidRPr="00EC00ED">
        <w:rPr>
          <w:rFonts w:ascii="Arial" w:hAnsi="Arial" w:cs="Arial"/>
          <w:sz w:val="21"/>
          <w:szCs w:val="21"/>
        </w:rPr>
        <w:t>[…]”</w:t>
      </w:r>
    </w:p>
    <w:p w14:paraId="109FA0F0" w14:textId="77777777" w:rsidR="00EC00ED" w:rsidRPr="00EC00ED" w:rsidRDefault="00EC00ED" w:rsidP="00EC00ED">
      <w:pPr>
        <w:spacing w:after="0" w:line="276" w:lineRule="auto"/>
        <w:jc w:val="both"/>
        <w:rPr>
          <w:rFonts w:ascii="Arial" w:hAnsi="Arial" w:cs="Arial"/>
        </w:rPr>
      </w:pPr>
    </w:p>
    <w:p w14:paraId="56EDD9B9" w14:textId="77777777" w:rsidR="00EC00ED" w:rsidRPr="00EC00ED" w:rsidRDefault="00EC00ED" w:rsidP="00EC00ED">
      <w:pPr>
        <w:spacing w:after="120" w:line="276" w:lineRule="auto"/>
        <w:ind w:firstLine="709"/>
        <w:jc w:val="both"/>
        <w:rPr>
          <w:rFonts w:ascii="Arial" w:hAnsi="Arial" w:cs="Arial"/>
        </w:rPr>
      </w:pPr>
      <w:proofErr w:type="gramStart"/>
      <w:r w:rsidRPr="00EC00ED">
        <w:rPr>
          <w:rFonts w:ascii="Arial" w:hAnsi="Arial" w:cs="Arial"/>
        </w:rPr>
        <w:t>Este numeral faculta</w:t>
      </w:r>
      <w:proofErr w:type="gramEnd"/>
      <w:r w:rsidRPr="00EC00ED">
        <w:rPr>
          <w:rFonts w:ascii="Arial" w:hAnsi="Arial" w:cs="Arial"/>
        </w:rPr>
        <w:t xml:space="preserve">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EC00ED">
        <w:rPr>
          <w:rFonts w:ascii="Arial" w:hAnsi="Arial" w:cs="Arial"/>
          <w:vertAlign w:val="superscript"/>
        </w:rPr>
        <w:footnoteReference w:id="23"/>
      </w:r>
      <w:r w:rsidRPr="00EC00ED">
        <w:rPr>
          <w:rFonts w:ascii="Arial" w:hAnsi="Arial" w:cs="Arial"/>
        </w:rPr>
        <w:t>. Conforme a ello, la prerrogativa de verificación es una herramienta para que la Administración adquiera certeza frente al cumplimiento de los requisitos del procedimiento de selección y del comportamiento leal que se exige de los proponentes.</w:t>
      </w:r>
    </w:p>
    <w:p w14:paraId="7DC6736F" w14:textId="77777777" w:rsidR="00EC00ED" w:rsidRPr="00EC00ED" w:rsidRDefault="00EC00ED" w:rsidP="00EC00ED">
      <w:pPr>
        <w:spacing w:before="120" w:after="120" w:line="276" w:lineRule="auto"/>
        <w:ind w:firstLine="708"/>
        <w:jc w:val="both"/>
        <w:rPr>
          <w:rFonts w:ascii="Arial" w:eastAsiaTheme="minorEastAsia" w:hAnsi="Arial" w:cs="Arial"/>
          <w:lang w:val="es-MX" w:eastAsia="es-CO"/>
        </w:rPr>
      </w:pPr>
      <w:r w:rsidRPr="00EC00ED">
        <w:rPr>
          <w:rFonts w:ascii="Arial" w:eastAsiaTheme="minorEastAsia" w:hAnsi="Arial" w:cs="Arial"/>
          <w:lang w:eastAsia="es-CO"/>
        </w:rPr>
        <w:t>Según</w:t>
      </w:r>
      <w:r w:rsidRPr="00EC00ED">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41475260" w14:textId="77777777" w:rsidR="00EC00ED" w:rsidRPr="00EC00ED" w:rsidRDefault="00EC00ED" w:rsidP="00EC00ED">
      <w:pPr>
        <w:spacing w:before="120" w:after="120" w:line="276" w:lineRule="auto"/>
        <w:ind w:firstLine="709"/>
        <w:jc w:val="both"/>
        <w:rPr>
          <w:rFonts w:ascii="Arial" w:hAnsi="Arial" w:cs="Arial"/>
        </w:rPr>
      </w:pPr>
      <w:r w:rsidRPr="00EC00ED">
        <w:rPr>
          <w:rFonts w:ascii="Arial" w:hAnsi="Arial" w:cs="Arial"/>
          <w:lang w:val="es-MX"/>
        </w:rPr>
        <w:t xml:space="preserve">La </w:t>
      </w:r>
      <w:r w:rsidRPr="00EC00ED">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682FF9D3" w14:textId="77777777" w:rsidR="00EC00ED" w:rsidRPr="00EC00ED" w:rsidRDefault="00EC00ED" w:rsidP="00EC00ED">
      <w:pPr>
        <w:spacing w:before="120" w:after="120" w:line="276" w:lineRule="auto"/>
        <w:ind w:firstLine="709"/>
        <w:jc w:val="both"/>
        <w:rPr>
          <w:rFonts w:ascii="Arial" w:hAnsi="Arial" w:cs="Arial"/>
        </w:rPr>
      </w:pPr>
      <w:r w:rsidRPr="00EC00ED">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13900266" w14:textId="77777777" w:rsidR="00EC00ED" w:rsidRPr="00EC00ED" w:rsidRDefault="00EC00ED" w:rsidP="00EC00ED">
      <w:pPr>
        <w:spacing w:before="120" w:after="120" w:line="276" w:lineRule="auto"/>
        <w:ind w:firstLine="708"/>
        <w:jc w:val="both"/>
        <w:rPr>
          <w:rFonts w:ascii="Arial" w:hAnsi="Arial" w:cs="Arial"/>
        </w:rPr>
      </w:pPr>
      <w:r w:rsidRPr="00EC00ED">
        <w:rPr>
          <w:rFonts w:ascii="Arial" w:hAnsi="Arial" w:cs="Arial"/>
        </w:rPr>
        <w:t>Ahora bien, aunque las</w:t>
      </w:r>
      <w:r w:rsidRPr="00EC00ED">
        <w:rPr>
          <w:rFonts w:ascii="Arial" w:hAnsi="Arial" w:cs="Arial"/>
          <w:szCs w:val="20"/>
        </w:rPr>
        <w:t xml:space="preserve"> causales de rechazo del literal E, H y Z del numeral 1.15 de los documentos tipo se relacionan con la capacidad residual como requisito habilitante</w:t>
      </w:r>
      <w:r w:rsidRPr="00EC00ED">
        <w:rPr>
          <w:rFonts w:ascii="Arial" w:hAnsi="Arial" w:cs="Arial"/>
        </w:rPr>
        <w:t xml:space="preserve">, estas se aplican en supuestos diferentes, de acuerdo con lo explicado </w:t>
      </w:r>
      <w:r w:rsidRPr="00EC00ED">
        <w:rPr>
          <w:rFonts w:ascii="Arial" w:hAnsi="Arial" w:cs="Arial"/>
          <w:i/>
        </w:rPr>
        <w:t>ut supra</w:t>
      </w:r>
      <w:r w:rsidRPr="00EC00ED">
        <w:rPr>
          <w:rFonts w:ascii="Arial" w:hAnsi="Arial" w:cs="Arial"/>
        </w:rPr>
        <w:t xml:space="preserve">.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es decir en el formato 5, y efectivamente tiene contratos en ejecución omitiendo su información. </w:t>
      </w:r>
    </w:p>
    <w:p w14:paraId="16B8C85E" w14:textId="77777777" w:rsidR="00EC00ED" w:rsidRPr="00EC00ED" w:rsidRDefault="00EC00ED" w:rsidP="00EC00ED">
      <w:pPr>
        <w:spacing w:before="120" w:after="120" w:line="276" w:lineRule="auto"/>
        <w:ind w:firstLine="708"/>
        <w:jc w:val="both"/>
        <w:rPr>
          <w:rFonts w:ascii="Arial" w:hAnsi="Arial" w:cs="Arial"/>
        </w:rPr>
      </w:pPr>
      <w:r w:rsidRPr="00EC00ED">
        <w:rPr>
          <w:rFonts w:ascii="Arial" w:hAnsi="Arial" w:cs="Arial"/>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o el reporte como tal de los contratos, dada la forma en que están configuradas las causales de rechazo enunciadas.</w:t>
      </w:r>
    </w:p>
    <w:p w14:paraId="49EB724C" w14:textId="77777777" w:rsidR="00EC00ED" w:rsidRPr="00EC00ED" w:rsidRDefault="00EC00ED" w:rsidP="00EC00ED">
      <w:pPr>
        <w:spacing w:before="120" w:after="120" w:line="276" w:lineRule="auto"/>
        <w:ind w:firstLine="708"/>
        <w:jc w:val="both"/>
        <w:rPr>
          <w:rFonts w:ascii="Arial" w:hAnsi="Arial" w:cs="Arial"/>
        </w:rPr>
      </w:pPr>
      <w:r w:rsidRPr="00EC00ED">
        <w:rPr>
          <w:rFonts w:ascii="Arial" w:hAnsi="Arial" w:cs="Arial"/>
          <w:noProof/>
        </w:rPr>
        <w:t>Ahora bien, es importate precisar que lo</w:t>
      </w:r>
      <w:r w:rsidRPr="00EC00ED">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EC00ED">
        <w:t xml:space="preserve"> </w:t>
      </w:r>
      <w:r w:rsidRPr="00EC00ED">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688CB7A1" w14:textId="77777777" w:rsidR="00EC00ED" w:rsidRPr="00EC00ED" w:rsidRDefault="00EC00ED" w:rsidP="00EC00ED">
      <w:pPr>
        <w:spacing w:before="120" w:after="120" w:line="276" w:lineRule="auto"/>
        <w:ind w:firstLine="709"/>
        <w:jc w:val="both"/>
        <w:rPr>
          <w:rFonts w:ascii="Arial" w:hAnsi="Arial" w:cs="Arial"/>
        </w:rPr>
      </w:pPr>
      <w:r w:rsidRPr="00EC00ED">
        <w:rPr>
          <w:rFonts w:ascii="Arial" w:hAnsi="Arial" w:cs="Arial"/>
        </w:rPr>
        <w:t xml:space="preserve">Como se expresó, la causal del literal Z procede cuando el proponente no informa todos los contratos de obra, fenómeno que se verifica con el formato 5. En este supuesto, lo que genera el rechazo de la oferta no es la ausencia de la información del contrato omitido, sino el hecho de haberse omitido anexar el documento mediante el cual se acredita la capacidad residual, correspondiente a el Formato 5, en caso de tener efectivamente contratos en ejecución. Incluso, en el evento en que el proponente “corrija” el error y aporte el formato 5, informando la existencia de contratos en ejecución no reportados al momento del cierre del proceso, implica aceptar que ocurrió la causal del literal Z, esto es, que el proponente incumplió su obligación de informar todos los contratos de obra que tenía en ejecución al momento del cierre del proceso de selección. </w:t>
      </w:r>
    </w:p>
    <w:p w14:paraId="796D9C83" w14:textId="77777777" w:rsidR="00EC00ED" w:rsidRPr="00EC00ED" w:rsidRDefault="00EC00ED" w:rsidP="00EC00ED">
      <w:pPr>
        <w:spacing w:before="120" w:after="120" w:line="276" w:lineRule="auto"/>
        <w:ind w:firstLine="709"/>
        <w:jc w:val="both"/>
        <w:rPr>
          <w:rFonts w:ascii="Arial" w:hAnsi="Arial" w:cs="Arial"/>
        </w:rPr>
      </w:pPr>
      <w:r w:rsidRPr="00EC00ED">
        <w:rPr>
          <w:rFonts w:ascii="Arial" w:hAnsi="Arial" w:cs="Arial"/>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EC00ED">
        <w:rPr>
          <w:rFonts w:ascii="Arial" w:hAnsi="Arial" w:cs="Arial"/>
          <w:i/>
        </w:rPr>
        <w:t>sub examine</w:t>
      </w:r>
      <w:r w:rsidRPr="00EC00ED">
        <w:rPr>
          <w:rFonts w:ascii="Arial" w:hAnsi="Arial" w:cs="Arial"/>
        </w:rPr>
        <w:t xml:space="preserve"> es desincentivar todas las prácticas fraudulentas en los procesos de contratación estatal. </w:t>
      </w:r>
    </w:p>
    <w:p w14:paraId="7D1A458C" w14:textId="77777777" w:rsidR="00EC00ED" w:rsidRPr="00EC00ED" w:rsidRDefault="00EC00ED" w:rsidP="00EC00ED">
      <w:pPr>
        <w:spacing w:before="120" w:after="120" w:line="276" w:lineRule="auto"/>
        <w:ind w:firstLine="709"/>
        <w:jc w:val="both"/>
        <w:rPr>
          <w:rFonts w:ascii="Arial" w:hAnsi="Arial" w:cs="Arial"/>
        </w:rPr>
      </w:pPr>
      <w:r w:rsidRPr="00EC00ED">
        <w:rPr>
          <w:rFonts w:ascii="Arial" w:hAnsi="Arial" w:cs="Arial"/>
          <w:color w:val="000000"/>
          <w:shd w:val="clear" w:color="auto" w:fill="FFFFFF"/>
        </w:rPr>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w:t>
      </w:r>
      <w:r w:rsidRPr="00EC00ED">
        <w:rPr>
          <w:rFonts w:ascii="Arial" w:hAnsi="Arial" w:cs="Arial"/>
          <w:color w:val="000000"/>
          <w:shd w:val="clear" w:color="auto" w:fill="FFFFFF"/>
          <w:lang w:val="es-MX"/>
        </w:rPr>
        <w:t>incurre en algún error en la información de estos contratos, como por ejemplo en el valor o el plazo</w:t>
      </w:r>
      <w:r w:rsidRPr="00EC00ED">
        <w:rPr>
          <w:rFonts w:ascii="Arial" w:hAnsi="Arial" w:cs="Arial"/>
          <w:color w:val="000000"/>
          <w:shd w:val="clear" w:color="auto" w:fill="FFFFFF"/>
        </w:rPr>
        <w:t xml:space="preserve">. En este caso, conforme a la explicación precedente, en principio, no se trata de información inexacta que tenga la connotación de falsedad por lo que no habría lugar a rechazo de la propuesta por esta </w:t>
      </w:r>
      <w:proofErr w:type="spellStart"/>
      <w:r w:rsidRPr="00EC00ED">
        <w:rPr>
          <w:rFonts w:ascii="Arial" w:hAnsi="Arial" w:cs="Arial"/>
          <w:color w:val="000000"/>
          <w:shd w:val="clear" w:color="auto" w:fill="FFFFFF"/>
        </w:rPr>
        <w:t>causal</w:t>
      </w:r>
      <w:proofErr w:type="spellEnd"/>
      <w:r w:rsidRPr="00EC00ED">
        <w:rPr>
          <w:rFonts w:ascii="Arial" w:hAnsi="Arial" w:cs="Arial"/>
          <w:color w:val="000000"/>
          <w:shd w:val="clear" w:color="auto" w:fill="FFFFFF"/>
        </w:rPr>
        <w:t>. Por ello, si el proponente omite o se equivoca en la información específica de un contrato incluido en el formato respectivo</w:t>
      </w:r>
      <w:r w:rsidRPr="00EC00ED">
        <w:rPr>
          <w:rFonts w:ascii="Arial" w:hAnsi="Arial" w:cs="Arial"/>
          <w:color w:val="000000"/>
          <w:shd w:val="clear" w:color="auto" w:fill="FFFFFF"/>
          <w:lang w:val="es-MX"/>
        </w:rPr>
        <w:t>, la entidad podrá requerirlo para que aclare la información y, en caso de no responder, rechazar la propuesta por la causal que consagra el literal E del numeral 1.15</w:t>
      </w:r>
      <w:r w:rsidRPr="00EC00ED">
        <w:rPr>
          <w:rFonts w:ascii="Arial" w:hAnsi="Arial" w:cs="Arial"/>
        </w:rPr>
        <w:t xml:space="preserve">. </w:t>
      </w:r>
    </w:p>
    <w:p w14:paraId="73EB04B7" w14:textId="77777777" w:rsidR="00EC00ED" w:rsidRPr="00EC00ED" w:rsidRDefault="00EC00ED" w:rsidP="00EC00ED">
      <w:pPr>
        <w:spacing w:before="120" w:after="120" w:line="276" w:lineRule="auto"/>
        <w:ind w:firstLine="709"/>
        <w:jc w:val="both"/>
        <w:rPr>
          <w:rFonts w:ascii="Arial" w:hAnsi="Arial" w:cs="Arial"/>
        </w:rPr>
      </w:pPr>
      <w:r w:rsidRPr="00EC00ED">
        <w:rPr>
          <w:rFonts w:ascii="Arial" w:hAnsi="Arial" w:cs="Arial"/>
          <w:color w:val="000000"/>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Por ejemplo, </w:t>
      </w:r>
      <w:r w:rsidRPr="00EC00ED">
        <w:rPr>
          <w:rFonts w:ascii="Arial" w:hAnsi="Arial" w:cs="Arial"/>
          <w:color w:val="000000"/>
          <w:shd w:val="clear" w:color="auto" w:fill="FFFFFF"/>
          <w:lang w:val="es-MX"/>
        </w:rPr>
        <w:t>en el evento en que se reporten todos los contratos y la entidad advierta que se consignó información errada en el formato respectivo soportada en documentos presuntamente falsos. En este caso,</w:t>
      </w:r>
      <w:r w:rsidRPr="00EC00ED">
        <w:rPr>
          <w:rFonts w:ascii="Arial" w:hAnsi="Arial" w:cs="Arial"/>
          <w:color w:val="000000"/>
          <w:shd w:val="clear" w:color="auto" w:fill="FFFFFF"/>
        </w:rPr>
        <w:t xml:space="preserve"> los datos erróneos corresponden a información inexacta sobre la cual pueda existir una posible falsedad, lo cual da lugar a la configuración de la causal de rechazo del literal H </w:t>
      </w:r>
      <w:r w:rsidRPr="00EC00ED">
        <w:rPr>
          <w:rFonts w:ascii="Arial" w:hAnsi="Arial" w:cs="Arial"/>
          <w:color w:val="000000"/>
          <w:shd w:val="clear" w:color="auto" w:fill="FFFFFF"/>
          <w:lang w:val="es-MX"/>
        </w:rPr>
        <w:t xml:space="preserve">del numeral 1.15. del documento base </w:t>
      </w:r>
      <w:r w:rsidRPr="00EC00ED">
        <w:rPr>
          <w:rFonts w:ascii="Arial" w:hAnsi="Arial" w:cs="Arial"/>
          <w:color w:val="000000"/>
          <w:shd w:val="clear" w:color="auto" w:fill="FFFFFF"/>
        </w:rPr>
        <w:t>e impide la subsanabilidad de la oferta en este aspecto</w:t>
      </w:r>
      <w:r w:rsidRPr="00EC00ED">
        <w:rPr>
          <w:rFonts w:ascii="Arial" w:hAnsi="Arial" w:cs="Arial"/>
        </w:rPr>
        <w:t xml:space="preserve">. </w:t>
      </w:r>
    </w:p>
    <w:p w14:paraId="1A20E03C" w14:textId="77777777" w:rsidR="00EC00ED" w:rsidRPr="00EC00ED" w:rsidRDefault="00EC00ED" w:rsidP="00EC00ED">
      <w:pPr>
        <w:spacing w:after="0" w:line="276" w:lineRule="auto"/>
        <w:ind w:firstLine="708"/>
        <w:jc w:val="both"/>
        <w:rPr>
          <w:rFonts w:ascii="Arial" w:hAnsi="Arial" w:cs="Arial"/>
        </w:rPr>
      </w:pPr>
      <w:r w:rsidRPr="00EC00ED">
        <w:rPr>
          <w:rFonts w:ascii="Arial" w:hAnsi="Arial" w:cs="Arial"/>
        </w:rPr>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7A472C18" w14:textId="77777777" w:rsidR="00EC00ED" w:rsidRPr="00EC00ED" w:rsidRDefault="00EC00ED" w:rsidP="00EC00ED">
      <w:pPr>
        <w:spacing w:after="0" w:line="276" w:lineRule="auto"/>
        <w:ind w:firstLine="709"/>
        <w:jc w:val="both"/>
        <w:rPr>
          <w:rFonts w:ascii="Arial" w:hAnsi="Arial" w:cs="Arial"/>
        </w:rPr>
      </w:pPr>
    </w:p>
    <w:p w14:paraId="17738DCE" w14:textId="73F00B53" w:rsidR="00EC00ED" w:rsidRPr="00EC00ED" w:rsidRDefault="005D2A7C" w:rsidP="00EC00ED">
      <w:pPr>
        <w:keepNext/>
        <w:spacing w:after="120" w:line="240" w:lineRule="auto"/>
        <w:ind w:left="709" w:right="709"/>
        <w:outlineLvl w:val="1"/>
        <w:rPr>
          <w:rFonts w:ascii="Arial" w:eastAsia="Times New Roman" w:hAnsi="Arial" w:cs="Arial"/>
          <w:b/>
          <w:sz w:val="21"/>
          <w:szCs w:val="21"/>
          <w:lang w:eastAsia="es-CO"/>
        </w:rPr>
      </w:pPr>
      <w:bookmarkStart w:id="13" w:name="_Toc32096843"/>
      <w:bookmarkStart w:id="14" w:name="_Toc32144836"/>
      <w:r>
        <w:rPr>
          <w:rFonts w:ascii="Arial" w:eastAsia="Times New Roman" w:hAnsi="Arial" w:cs="Arial"/>
          <w:b/>
          <w:sz w:val="21"/>
          <w:szCs w:val="21"/>
          <w:lang w:eastAsia="es-CO"/>
        </w:rPr>
        <w:t>“</w:t>
      </w:r>
      <w:r w:rsidR="00EC00ED" w:rsidRPr="00EC00ED">
        <w:rPr>
          <w:rFonts w:ascii="Arial" w:eastAsia="Times New Roman" w:hAnsi="Arial" w:cs="Arial"/>
          <w:b/>
          <w:sz w:val="21"/>
          <w:szCs w:val="21"/>
          <w:lang w:eastAsia="es-CO"/>
        </w:rPr>
        <w:t>3.10. CAPACIDAD RESIDUAL</w:t>
      </w:r>
      <w:bookmarkEnd w:id="13"/>
      <w:bookmarkEnd w:id="14"/>
      <w:r w:rsidR="00EC00ED" w:rsidRPr="00EC00ED">
        <w:rPr>
          <w:rFonts w:ascii="Arial" w:eastAsia="Times New Roman" w:hAnsi="Arial" w:cs="Arial"/>
          <w:b/>
          <w:sz w:val="21"/>
          <w:szCs w:val="21"/>
          <w:lang w:eastAsia="es-CO"/>
        </w:rPr>
        <w:t xml:space="preserve"> </w:t>
      </w:r>
    </w:p>
    <w:p w14:paraId="4713DFB1" w14:textId="77777777" w:rsidR="00EC00ED" w:rsidRPr="00EC00ED" w:rsidRDefault="00EC00ED" w:rsidP="00EC00ED">
      <w:pPr>
        <w:spacing w:line="240" w:lineRule="auto"/>
        <w:ind w:left="709" w:right="709"/>
        <w:jc w:val="both"/>
        <w:rPr>
          <w:rFonts w:ascii="Arial" w:hAnsi="Arial" w:cs="Arial"/>
          <w:color w:val="000000" w:themeColor="text1"/>
          <w:sz w:val="21"/>
          <w:szCs w:val="21"/>
          <w:lang w:val="es-MX"/>
        </w:rPr>
      </w:pPr>
      <w:r w:rsidRPr="00EC00ED">
        <w:rPr>
          <w:rFonts w:ascii="Arial" w:hAnsi="Arial" w:cs="Arial"/>
          <w:color w:val="000000" w:themeColor="text1"/>
          <w:sz w:val="21"/>
          <w:szCs w:val="21"/>
          <w:lang w:val="es-MX"/>
        </w:rPr>
        <w:t>El proponente será hábil si su capacidad residual es mayor o igual a la capacidad residual de proceso de contratación (CRPC). Así:</w:t>
      </w:r>
    </w:p>
    <w:p w14:paraId="60796A8E" w14:textId="77777777" w:rsidR="00EC00ED" w:rsidRPr="00EC00ED" w:rsidRDefault="00EC00ED" w:rsidP="00EC00ED">
      <w:pPr>
        <w:widowControl w:val="0"/>
        <w:spacing w:line="240" w:lineRule="auto"/>
        <w:ind w:left="709" w:right="709"/>
        <w:jc w:val="center"/>
        <w:rPr>
          <w:rFonts w:ascii="Arial" w:hAnsi="Arial" w:cs="Arial"/>
          <w:color w:val="000000" w:themeColor="text1"/>
          <w:sz w:val="21"/>
          <w:szCs w:val="21"/>
        </w:rPr>
      </w:pPr>
      <m:oMathPara>
        <m:oMath>
          <m:r>
            <w:rPr>
              <w:rFonts w:ascii="Cambria Math" w:hAnsi="Cambria Math" w:cs="Arial"/>
              <w:color w:val="000000" w:themeColor="text1"/>
              <w:sz w:val="21"/>
              <w:szCs w:val="21"/>
            </w:rPr>
            <m:t>CRP ≥CRPC</m:t>
          </m:r>
        </m:oMath>
      </m:oMathPara>
    </w:p>
    <w:p w14:paraId="2CF9C0F3" w14:textId="77777777" w:rsidR="00EC00ED" w:rsidRPr="00EC00ED" w:rsidRDefault="00EC00ED" w:rsidP="00EC00ED">
      <w:pPr>
        <w:spacing w:line="240" w:lineRule="auto"/>
        <w:ind w:left="709" w:right="709"/>
        <w:jc w:val="both"/>
        <w:rPr>
          <w:rFonts w:ascii="Arial" w:hAnsi="Arial" w:cs="Arial"/>
          <w:i/>
          <w:iCs/>
          <w:color w:val="000000" w:themeColor="text1"/>
          <w:sz w:val="21"/>
          <w:szCs w:val="21"/>
          <w:lang w:val="es-MX"/>
        </w:rPr>
      </w:pPr>
      <w:r w:rsidRPr="00EC00ED">
        <w:rPr>
          <w:rFonts w:ascii="Arial" w:hAnsi="Arial" w:cs="Arial"/>
          <w:color w:val="000000" w:themeColor="text1"/>
          <w:sz w:val="21"/>
          <w:szCs w:val="21"/>
          <w:lang w:val="es-MX"/>
        </w:rPr>
        <w:t xml:space="preserve">Los proponentes acreditarán la capacidad residual o K de contratación conforme se describe a continuación. </w:t>
      </w:r>
      <w:r w:rsidRPr="00EC00ED">
        <w:rPr>
          <w:rFonts w:ascii="Arial" w:hAnsi="Arial" w:cs="Arial"/>
          <w:i/>
          <w:iCs/>
          <w:color w:val="000000" w:themeColor="text1"/>
          <w:sz w:val="21"/>
          <w:szCs w:val="21"/>
          <w:lang w:val="es-MX"/>
        </w:rPr>
        <w:t xml:space="preserve">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p>
    <w:p w14:paraId="046BEB52" w14:textId="77777777" w:rsidR="00EC00ED" w:rsidRPr="00EC00ED" w:rsidRDefault="00EC00ED" w:rsidP="00EC00ED">
      <w:pPr>
        <w:spacing w:line="240" w:lineRule="auto"/>
        <w:ind w:left="709" w:right="709"/>
        <w:jc w:val="both"/>
        <w:rPr>
          <w:rFonts w:ascii="Arial" w:hAnsi="Arial" w:cs="Arial"/>
          <w:color w:val="000000" w:themeColor="text1"/>
          <w:sz w:val="21"/>
          <w:szCs w:val="21"/>
          <w:lang w:val="es-MX"/>
        </w:rPr>
      </w:pPr>
      <w:r w:rsidRPr="00EC00ED">
        <w:rPr>
          <w:rFonts w:ascii="Arial" w:hAnsi="Arial" w:cs="Arial"/>
          <w:color w:val="000000" w:themeColor="text1"/>
          <w:sz w:val="21"/>
          <w:szCs w:val="21"/>
          <w:lang w:val="es-MX"/>
        </w:rPr>
        <w:t>Lo anterior, sin perjuicio de las acciones administrativas y/o judiciales a que haya lugar, en contra de la (s) persona (s) que haya (n) suscrito las certificaciones exigidas para el cálculo de la capacidad residual.</w:t>
      </w:r>
    </w:p>
    <w:p w14:paraId="3B2F4F61" w14:textId="2A905E36" w:rsidR="00EC00ED" w:rsidRPr="00EC00ED" w:rsidRDefault="00EC00ED" w:rsidP="00EC00ED">
      <w:pPr>
        <w:widowControl w:val="0"/>
        <w:spacing w:after="0" w:line="240" w:lineRule="auto"/>
        <w:ind w:left="709" w:right="709"/>
        <w:jc w:val="both"/>
        <w:rPr>
          <w:rFonts w:ascii="Arial" w:hAnsi="Arial" w:cs="Arial"/>
          <w:sz w:val="21"/>
          <w:szCs w:val="21"/>
        </w:rPr>
      </w:pPr>
      <w:r w:rsidRPr="00EC00ED">
        <w:rPr>
          <w:rFonts w:ascii="Arial" w:hAnsi="Arial" w:cs="Arial"/>
          <w:sz w:val="21"/>
          <w:szCs w:val="21"/>
        </w:rPr>
        <w:t>[…]</w:t>
      </w:r>
      <w:r w:rsidR="005D2A7C">
        <w:rPr>
          <w:rFonts w:ascii="Arial" w:hAnsi="Arial" w:cs="Arial"/>
          <w:sz w:val="21"/>
          <w:szCs w:val="21"/>
        </w:rPr>
        <w:t>”</w:t>
      </w:r>
      <w:r w:rsidRPr="00EC00ED">
        <w:rPr>
          <w:rFonts w:ascii="Arial" w:hAnsi="Arial" w:cs="Arial"/>
          <w:sz w:val="21"/>
          <w:szCs w:val="21"/>
        </w:rPr>
        <w:t xml:space="preserve"> (Énfasis fuera de texto) </w:t>
      </w:r>
    </w:p>
    <w:p w14:paraId="2105049F" w14:textId="77777777" w:rsidR="00EC00ED" w:rsidRPr="00EC00ED" w:rsidRDefault="00EC00ED" w:rsidP="00EC00ED">
      <w:pPr>
        <w:widowControl w:val="0"/>
        <w:spacing w:after="0" w:line="276" w:lineRule="auto"/>
        <w:ind w:right="709"/>
        <w:jc w:val="both"/>
        <w:rPr>
          <w:rFonts w:ascii="Arial" w:hAnsi="Arial" w:cs="Arial"/>
        </w:rPr>
      </w:pPr>
    </w:p>
    <w:p w14:paraId="588F0D12" w14:textId="77777777" w:rsidR="00EC00ED" w:rsidRPr="00EC00ED" w:rsidRDefault="00EC00ED" w:rsidP="00EC00ED">
      <w:pPr>
        <w:spacing w:after="0" w:line="276" w:lineRule="auto"/>
        <w:ind w:firstLine="708"/>
        <w:jc w:val="both"/>
        <w:rPr>
          <w:rFonts w:ascii="Arial" w:eastAsiaTheme="minorEastAsia" w:hAnsi="Arial" w:cs="Arial"/>
          <w:lang w:eastAsia="es-CO"/>
        </w:rPr>
      </w:pPr>
      <w:bookmarkStart w:id="15" w:name="_Hlk81551358"/>
      <w:r w:rsidRPr="00EC00ED">
        <w:rPr>
          <w:rFonts w:ascii="Arial" w:hAnsi="Arial" w:cs="Arial"/>
          <w:color w:val="000000"/>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EC00ED">
        <w:rPr>
          <w:rFonts w:ascii="Arial" w:hAnsi="Arial" w:cs="Arial"/>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15"/>
      <w:r w:rsidRPr="00EC00ED">
        <w:rPr>
          <w:rFonts w:ascii="Arial" w:hAnsi="Arial" w:cs="Arial"/>
        </w:rPr>
        <w:t>Esto concuerda con la causal de rechazo prevista en el literal “H” del numeral 1.15 del documento base, el cual autoriza el rechazo de la propuesta en el evento en “</w:t>
      </w:r>
      <w:r w:rsidRPr="00EC00ED">
        <w:rPr>
          <w:rFonts w:ascii="Arial" w:eastAsia="Arial" w:hAnsi="Arial" w:cs="Arial"/>
          <w:lang w:eastAsia="es-CO"/>
        </w:rPr>
        <w:t>Que</w:t>
      </w:r>
      <w:r w:rsidRPr="00EC00ED">
        <w:rPr>
          <w:rFonts w:ascii="Arial" w:eastAsia="Arial,Calibri" w:hAnsi="Arial" w:cs="Arial"/>
          <w:lang w:eastAsia="es-CO"/>
        </w:rPr>
        <w:t xml:space="preserve"> </w:t>
      </w:r>
      <w:r w:rsidRPr="00EC00ED">
        <w:rPr>
          <w:rFonts w:ascii="Arial" w:eastAsia="Arial" w:hAnsi="Arial" w:cs="Arial"/>
          <w:lang w:eastAsia="es-CO"/>
        </w:rPr>
        <w:t>el</w:t>
      </w:r>
      <w:r w:rsidRPr="00EC00ED">
        <w:rPr>
          <w:rFonts w:ascii="Arial" w:eastAsia="Arial,Calibri" w:hAnsi="Arial" w:cs="Arial"/>
          <w:lang w:eastAsia="es-CO"/>
        </w:rPr>
        <w:t xml:space="preserve"> </w:t>
      </w:r>
      <w:r w:rsidRPr="00EC00ED">
        <w:rPr>
          <w:rFonts w:ascii="Arial" w:eastAsia="Arial" w:hAnsi="Arial" w:cs="Arial"/>
          <w:lang w:eastAsia="es-CO"/>
        </w:rPr>
        <w:t>Proponente</w:t>
      </w:r>
      <w:r w:rsidRPr="00EC00ED">
        <w:rPr>
          <w:rFonts w:ascii="Arial" w:eastAsia="Arial,Calibri" w:hAnsi="Arial" w:cs="Arial"/>
          <w:lang w:eastAsia="es-CO"/>
        </w:rPr>
        <w:t xml:space="preserve"> </w:t>
      </w:r>
      <w:r w:rsidRPr="00EC00ED">
        <w:rPr>
          <w:rFonts w:ascii="Arial" w:eastAsia="Arial" w:hAnsi="Arial" w:cs="Arial"/>
          <w:lang w:eastAsia="es-CO"/>
        </w:rPr>
        <w:t xml:space="preserve">aporte información inexacta </w:t>
      </w:r>
      <w:r w:rsidRPr="00EC00ED">
        <w:rPr>
          <w:rFonts w:ascii="Arial" w:eastAsiaTheme="minorEastAsia" w:hAnsi="Arial" w:cs="Arial"/>
          <w:lang w:eastAsia="es-CO"/>
        </w:rPr>
        <w:t>sobre la cual pueda existir una posible falsedad</w:t>
      </w:r>
      <w:r w:rsidRPr="00EC00ED" w:rsidDel="003061D1">
        <w:rPr>
          <w:rFonts w:ascii="Arial" w:eastAsiaTheme="minorEastAsia" w:hAnsi="Arial" w:cs="Arial"/>
          <w:lang w:eastAsia="es-CO"/>
        </w:rPr>
        <w:t xml:space="preserve"> </w:t>
      </w:r>
      <w:r w:rsidRPr="00EC00ED">
        <w:rPr>
          <w:rFonts w:ascii="Arial" w:eastAsiaTheme="minorEastAsia" w:hAnsi="Arial" w:cs="Arial"/>
          <w:lang w:eastAsia="es-CO"/>
        </w:rPr>
        <w:t>en los términos de la sección 1.11”.</w:t>
      </w:r>
    </w:p>
    <w:p w14:paraId="02F5460E" w14:textId="77777777" w:rsidR="00EC00ED" w:rsidRPr="00EC00ED" w:rsidRDefault="00EC00ED" w:rsidP="00EC00ED">
      <w:pPr>
        <w:spacing w:before="120" w:after="120" w:line="276" w:lineRule="auto"/>
        <w:ind w:firstLine="708"/>
        <w:jc w:val="both"/>
        <w:rPr>
          <w:rFonts w:ascii="Arial" w:hAnsi="Arial" w:cs="Arial"/>
        </w:rPr>
      </w:pPr>
      <w:r w:rsidRPr="00EC00ED">
        <w:rPr>
          <w:rFonts w:ascii="Arial" w:hAnsi="Arial" w:cs="Arial"/>
        </w:rPr>
        <w:t>Según lo expuesto, al verificarse que el proponente no incluyó información contractual que afecte su capacidad residual, la entidad no estará en posición de solicitar aclaraciones, o acudir al régimen de subsanabilidad de ofertas</w:t>
      </w:r>
      <w:r w:rsidRPr="00EC00ED">
        <w:rPr>
          <w:rFonts w:ascii="Arial" w:hAnsi="Arial" w:cs="Arial"/>
          <w:vertAlign w:val="superscript"/>
        </w:rPr>
        <w:footnoteReference w:id="24"/>
      </w:r>
      <w:r w:rsidRPr="00EC00ED">
        <w:rPr>
          <w:rFonts w:ascii="Arial" w:hAnsi="Arial" w:cs="Arial"/>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168D4AC0" w14:textId="77777777" w:rsidR="00EC00ED" w:rsidRPr="00EC00ED" w:rsidRDefault="00EC00ED" w:rsidP="00EC00ED">
      <w:pPr>
        <w:spacing w:after="120" w:line="276" w:lineRule="auto"/>
        <w:jc w:val="both"/>
        <w:rPr>
          <w:rFonts w:ascii="Arial" w:hAnsi="Arial" w:cs="Arial"/>
        </w:rPr>
      </w:pPr>
      <w:r w:rsidRPr="00EC00ED">
        <w:rPr>
          <w:rFonts w:ascii="Arial" w:hAnsi="Arial" w:cs="Arial"/>
        </w:rPr>
        <w:tab/>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EC00ED">
        <w:rPr>
          <w:rFonts w:ascii="Arial" w:hAnsi="Arial" w:cs="Arial"/>
          <w:i/>
          <w:iCs/>
        </w:rPr>
        <w:t>K</w:t>
      </w:r>
      <w:r w:rsidRPr="00EC00ED">
        <w:rPr>
          <w:rFonts w:ascii="Arial" w:hAnsi="Arial" w:cs="Arial"/>
        </w:rPr>
        <w:t xml:space="preserve"> de contratación, facultaría a la entidad para rechazar su oferta conforme a la causal Z del numeral 1.15 del documento base o, eventualmente, por la causal del literal H </w:t>
      </w:r>
      <w:proofErr w:type="spellStart"/>
      <w:r w:rsidRPr="00EC00ED">
        <w:rPr>
          <w:rFonts w:ascii="Arial" w:hAnsi="Arial" w:cs="Arial"/>
          <w:i/>
        </w:rPr>
        <w:t>ibídem</w:t>
      </w:r>
      <w:proofErr w:type="spellEnd"/>
      <w:r w:rsidRPr="00EC00ED">
        <w:rPr>
          <w:rFonts w:ascii="Arial" w:hAnsi="Arial" w:cs="Arial"/>
        </w:rPr>
        <w:t>.</w:t>
      </w:r>
    </w:p>
    <w:p w14:paraId="45795C0D" w14:textId="77777777" w:rsidR="00EC00ED" w:rsidRPr="00EC00ED" w:rsidRDefault="00EC00ED" w:rsidP="00EC00ED">
      <w:pPr>
        <w:widowControl w:val="0"/>
        <w:autoSpaceDE w:val="0"/>
        <w:autoSpaceDN w:val="0"/>
        <w:spacing w:after="0" w:line="276" w:lineRule="auto"/>
        <w:ind w:firstLine="709"/>
        <w:jc w:val="both"/>
        <w:rPr>
          <w:rFonts w:ascii="Arial" w:eastAsia="Arial" w:hAnsi="Arial" w:cs="Arial"/>
          <w:bCs/>
          <w:lang w:val="es-ES" w:eastAsia="es-ES" w:bidi="es-ES"/>
        </w:rPr>
      </w:pPr>
      <w:r w:rsidRPr="00EC00ED">
        <w:rPr>
          <w:rFonts w:ascii="Arial" w:eastAsia="Calibri" w:hAnsi="Arial" w:cs="Arial"/>
          <w:lang w:val="es-ES" w:eastAsia="es-ES" w:bidi="es-ES"/>
        </w:rPr>
        <w:t xml:space="preserve">Sin perjuicio de lo anterior, resulta pertinente mencionar que, en relación con las causales de rechazo relacionadas </w:t>
      </w:r>
      <w:r w:rsidRPr="00EC00ED">
        <w:rPr>
          <w:rFonts w:ascii="Arial" w:eastAsia="Calibri" w:hAnsi="Arial" w:cs="Arial"/>
          <w:szCs w:val="20"/>
          <w:lang w:val="es-MX"/>
        </w:rPr>
        <w:t>con la capacidad residual como requisito habilitante,</w:t>
      </w:r>
      <w:r w:rsidRPr="00EC00ED">
        <w:rPr>
          <w:rFonts w:ascii="Arial" w:eastAsia="Calibri" w:hAnsi="Arial" w:cs="Arial"/>
          <w:lang w:val="es-ES" w:eastAsia="es-ES" w:bidi="es-ES"/>
        </w:rPr>
        <w:t xml:space="preserve"> debe ser la entidad estatal quien determine si alguno de los supuestos de hecho contenidos en las causales de rechazo contenidas del numeral 1.15 del Documento Base </w:t>
      </w:r>
      <w:r w:rsidRPr="00EC00ED">
        <w:rPr>
          <w:rFonts w:ascii="Arial" w:eastAsia="Arial" w:hAnsi="Arial" w:cs="Arial"/>
          <w:bCs/>
          <w:lang w:val="es-ES" w:eastAsia="es-ES" w:bidi="es-ES"/>
        </w:rPr>
        <w:t>de los “Documentos Tipo – Versión 3»” aplican frente a la situación particular.</w:t>
      </w:r>
    </w:p>
    <w:p w14:paraId="5BCD4752" w14:textId="77777777" w:rsidR="00EC00ED" w:rsidRPr="00EC00ED" w:rsidRDefault="00EC00ED" w:rsidP="00EC00ED">
      <w:pPr>
        <w:spacing w:before="120" w:after="120" w:line="276" w:lineRule="auto"/>
        <w:ind w:firstLine="708"/>
        <w:jc w:val="both"/>
        <w:rPr>
          <w:rFonts w:ascii="Arial" w:hAnsi="Arial" w:cs="Arial"/>
          <w:bCs/>
          <w:lang w:val="es-MX"/>
        </w:rPr>
      </w:pPr>
      <w:r w:rsidRPr="00EC00ED">
        <w:rPr>
          <w:rFonts w:ascii="Arial" w:hAnsi="Arial" w:cs="Arial"/>
        </w:rPr>
        <w:t xml:space="preserve">Ahora bien, en congruencia con lo explicado en el numeral anterior, es importante tener en cuenta que </w:t>
      </w:r>
      <w:r w:rsidRPr="00EC00ED">
        <w:rPr>
          <w:rFonts w:ascii="Arial" w:hAnsi="Arial" w:cs="Arial"/>
          <w:lang w:val="es-ES"/>
        </w:rPr>
        <w:t>la causal de rechazo del literal Z del numeral 1.15 del pliego aplica por “</w:t>
      </w:r>
      <w:r w:rsidRPr="00EC00ED">
        <w:rPr>
          <w:rFonts w:ascii="Arial" w:hAnsi="Arial" w:cs="Arial"/>
          <w:lang w:val="es-MX"/>
        </w:rPr>
        <w:t xml:space="preserve">No informar todos los contratos que el Proponente tenga en ejecución antes del cierre, necesarios para acreditar su capacidad residual conforme a la sección 3.10”. Para estos efectos, conforme a las definiciones previstas en </w:t>
      </w:r>
      <w:r w:rsidRPr="00EC00ED">
        <w:rPr>
          <w:rFonts w:ascii="Arial" w:hAnsi="Arial" w:cs="Arial"/>
          <w:bCs/>
          <w:lang w:val="es-ES"/>
        </w:rPr>
        <w:t>la Guía para Determinar y Verificar la Capacidad Residual del Proponente en los Procesos de Contratación de Obra Pública, el numeral II del literal E del numeral 3.10.2 del documento base dispone que “</w:t>
      </w:r>
      <w:r w:rsidRPr="00EC00ED">
        <w:rPr>
          <w:rFonts w:ascii="Arial" w:hAnsi="Arial" w:cs="Arial"/>
          <w:bCs/>
          <w:lang w:val="es-MX"/>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14:paraId="6D360481" w14:textId="77777777" w:rsidR="00EC00ED" w:rsidRPr="00EC00ED" w:rsidRDefault="00EC00ED" w:rsidP="00EC00ED">
      <w:pPr>
        <w:spacing w:after="0" w:line="276" w:lineRule="auto"/>
        <w:ind w:firstLine="708"/>
        <w:jc w:val="both"/>
        <w:rPr>
          <w:rFonts w:ascii="Arial" w:hAnsi="Arial" w:cs="Arial"/>
          <w:lang w:val="es-MX"/>
        </w:rPr>
      </w:pPr>
      <w:r w:rsidRPr="00EC00ED">
        <w:rPr>
          <w:rFonts w:ascii="Arial" w:hAnsi="Arial" w:cs="Arial"/>
          <w:bCs/>
          <w:lang w:val="es-MX"/>
        </w:rPr>
        <w:t xml:space="preserve">Como se observa, la definición solo aplica a los </w:t>
      </w:r>
      <w:r w:rsidRPr="00EC00ED">
        <w:rPr>
          <w:rFonts w:ascii="Arial" w:hAnsi="Arial" w:cs="Arial"/>
          <w:bCs/>
          <w:i/>
          <w:iCs/>
          <w:lang w:val="es-MX"/>
        </w:rPr>
        <w:t>contratos perfeccionados</w:t>
      </w:r>
      <w:r w:rsidRPr="00EC00ED">
        <w:rPr>
          <w:rFonts w:ascii="Arial" w:hAnsi="Arial" w:cs="Arial"/>
          <w:bCs/>
          <w:lang w:val="es-MX"/>
        </w:rPr>
        <w:t xml:space="preserve">, aunque estos estén suspendidos o no tengan acta de inicio. Por tanto, están fuera de esta los procesos de selección </w:t>
      </w:r>
      <w:r w:rsidRPr="00EC00ED">
        <w:rPr>
          <w:rFonts w:ascii="Arial" w:hAnsi="Arial" w:cs="Arial"/>
          <w:bCs/>
          <w:i/>
          <w:iCs/>
          <w:lang w:val="es-MX"/>
        </w:rPr>
        <w:t>adjudicados</w:t>
      </w:r>
      <w:r w:rsidRPr="00EC00ED">
        <w:rPr>
          <w:rFonts w:ascii="Arial" w:hAnsi="Arial" w:cs="Arial"/>
          <w:bCs/>
          <w:lang w:val="es-MX"/>
        </w:rPr>
        <w:t xml:space="preserve">, pues –en los términos del artículo 41 de la Ley 80 de 1993– los contratos estatales de las entidades sometidas al Estatuto General de Contratación de la Administración Pública </w:t>
      </w:r>
      <w:r w:rsidRPr="00EC00ED">
        <w:rPr>
          <w:rFonts w:ascii="Arial" w:hAnsi="Arial" w:cs="Arial"/>
          <w:bCs/>
        </w:rPr>
        <w:t xml:space="preserve">se perfeccionan cuando se logre acuerdo sobre el objeto y la contraprestación y éste se eleve a escrito, lo cual ocurre con la suscripción formal del contrato y no con el acto de adjudicación. </w:t>
      </w:r>
      <w:r w:rsidRPr="00EC00ED">
        <w:rPr>
          <w:rFonts w:ascii="Arial" w:hAnsi="Arial" w:cs="Arial"/>
        </w:rPr>
        <w:t xml:space="preserve">Lo expuesto es congruente con </w:t>
      </w:r>
      <w:r w:rsidRPr="00EC00ED">
        <w:rPr>
          <w:rFonts w:ascii="Arial" w:eastAsia="Calibri" w:hAnsi="Arial" w:cs="Arial"/>
          <w:color w:val="000000" w:themeColor="text1"/>
          <w:lang w:val="es-MX"/>
        </w:rPr>
        <w:t xml:space="preserve">el artículo 2.2.1.1.1.6.4 del Decreto 1082 de 2015, en virtud del cual, para efectos de </w:t>
      </w:r>
      <w:r w:rsidRPr="00EC00ED">
        <w:rPr>
          <w:rFonts w:ascii="Arial" w:hAnsi="Arial" w:cs="Arial"/>
          <w:lang w:val="es-MX"/>
        </w:rPr>
        <w:t>acreditar la capacidad residual del proponente, se requiere el listado de contratos de obra civiles en ejecución suscritos con entidades estatales y con entidades privadas.</w:t>
      </w:r>
    </w:p>
    <w:p w14:paraId="4C57C266" w14:textId="77777777" w:rsidR="00EC00ED" w:rsidRPr="00EC00ED" w:rsidRDefault="00EC00ED" w:rsidP="00EC00ED">
      <w:pPr>
        <w:spacing w:after="0" w:line="276" w:lineRule="auto"/>
        <w:ind w:firstLine="708"/>
        <w:jc w:val="both"/>
        <w:rPr>
          <w:rFonts w:ascii="Arial" w:hAnsi="Arial" w:cs="Arial"/>
          <w:bCs/>
          <w:lang w:val="es-MX"/>
        </w:rPr>
      </w:pPr>
    </w:p>
    <w:bookmarkEnd w:id="3"/>
    <w:p w14:paraId="5DC98E82" w14:textId="77777777" w:rsidR="00EC00ED" w:rsidRPr="00EC00ED" w:rsidRDefault="00EC00ED" w:rsidP="00EC00ED">
      <w:pPr>
        <w:numPr>
          <w:ilvl w:val="0"/>
          <w:numId w:val="6"/>
        </w:numPr>
        <w:spacing w:after="0" w:line="276" w:lineRule="auto"/>
        <w:jc w:val="both"/>
        <w:rPr>
          <w:rFonts w:ascii="Arial" w:eastAsia="Calibri" w:hAnsi="Arial" w:cs="Arial"/>
          <w:b/>
          <w:szCs w:val="24"/>
          <w:lang w:val="es-ES" w:eastAsia="es-MX"/>
        </w:rPr>
      </w:pPr>
      <w:r w:rsidRPr="00EC00ED">
        <w:rPr>
          <w:rFonts w:ascii="Arial" w:eastAsia="Calibri" w:hAnsi="Arial" w:cs="Arial"/>
          <w:b/>
          <w:szCs w:val="24"/>
          <w:lang w:val="es-ES" w:eastAsia="es-MX"/>
        </w:rPr>
        <w:t>Respuesta</w:t>
      </w:r>
    </w:p>
    <w:p w14:paraId="186CE7B2" w14:textId="77777777" w:rsidR="00EC00ED" w:rsidRPr="00EC00ED" w:rsidRDefault="00EC00ED" w:rsidP="00EC00ED">
      <w:pPr>
        <w:spacing w:after="0" w:line="276" w:lineRule="auto"/>
        <w:ind w:firstLine="709"/>
        <w:jc w:val="both"/>
        <w:rPr>
          <w:rFonts w:ascii="Arial" w:eastAsia="Times New Roman" w:hAnsi="Arial" w:cs="Arial"/>
          <w:i/>
          <w:iCs/>
          <w:color w:val="000000"/>
          <w:szCs w:val="24"/>
          <w:shd w:val="clear" w:color="auto" w:fill="FFFFFF"/>
          <w:lang w:val="es-ES" w:eastAsia="es-MX"/>
        </w:rPr>
      </w:pPr>
    </w:p>
    <w:p w14:paraId="250162AB" w14:textId="77777777" w:rsidR="00EC00ED" w:rsidRPr="00EC00ED" w:rsidRDefault="00EC00ED" w:rsidP="00EC00ED">
      <w:pPr>
        <w:spacing w:after="120" w:line="240" w:lineRule="auto"/>
        <w:ind w:left="709" w:right="709"/>
        <w:jc w:val="both"/>
        <w:rPr>
          <w:rFonts w:ascii="Arial" w:hAnsi="Arial" w:cs="Arial"/>
          <w:sz w:val="21"/>
          <w:szCs w:val="21"/>
        </w:rPr>
      </w:pPr>
      <w:r w:rsidRPr="00EC00ED">
        <w:rPr>
          <w:rFonts w:ascii="Arial" w:hAnsi="Arial" w:cs="Arial"/>
          <w:sz w:val="21"/>
          <w:szCs w:val="21"/>
        </w:rPr>
        <w:t xml:space="preserve">“El pliego tipo trae como causal de rechazo (No informar todos los contratos que el Proponente tenga en ejecución antes del cierre, necesarios para acreditar su capacidad residual conforme a la sección 3.10.), no obstante una vez verificado el pliego tipo en la capacidad residual menciona que (... El proponente será hábil...) lo que quiere decir que es considerado un requisito habilitante, y siguiendo lo señalado en la Ley 1882 de 2028 respecto de los criterios de subsanabilidad no </w:t>
      </w:r>
      <w:proofErr w:type="spellStart"/>
      <w:r w:rsidRPr="00EC00ED">
        <w:rPr>
          <w:rFonts w:ascii="Arial" w:hAnsi="Arial" w:cs="Arial"/>
          <w:sz w:val="21"/>
          <w:szCs w:val="21"/>
        </w:rPr>
        <w:t>seria</w:t>
      </w:r>
      <w:proofErr w:type="spellEnd"/>
      <w:r w:rsidRPr="00EC00ED">
        <w:rPr>
          <w:rFonts w:ascii="Arial" w:hAnsi="Arial" w:cs="Arial"/>
          <w:sz w:val="21"/>
          <w:szCs w:val="21"/>
        </w:rPr>
        <w:t xml:space="preserve"> coherente la información pues quiere decir que no aportar uno de los formatos donde </w:t>
      </w:r>
      <w:proofErr w:type="spellStart"/>
      <w:r w:rsidRPr="00EC00ED">
        <w:rPr>
          <w:rFonts w:ascii="Arial" w:hAnsi="Arial" w:cs="Arial"/>
          <w:sz w:val="21"/>
          <w:szCs w:val="21"/>
        </w:rPr>
        <w:t>esta</w:t>
      </w:r>
      <w:proofErr w:type="spellEnd"/>
      <w:r w:rsidRPr="00EC00ED">
        <w:rPr>
          <w:rFonts w:ascii="Arial" w:hAnsi="Arial" w:cs="Arial"/>
          <w:sz w:val="21"/>
          <w:szCs w:val="21"/>
        </w:rPr>
        <w:t xml:space="preserve"> contenida esa información es causal de rechazo de un requisito habilitante.</w:t>
      </w:r>
    </w:p>
    <w:p w14:paraId="41330D24" w14:textId="77777777" w:rsidR="00EC00ED" w:rsidRPr="00EC00ED" w:rsidRDefault="00EC00ED" w:rsidP="00EC00ED">
      <w:pPr>
        <w:spacing w:after="0" w:line="240" w:lineRule="auto"/>
        <w:ind w:left="709" w:right="709"/>
        <w:jc w:val="both"/>
        <w:rPr>
          <w:rFonts w:ascii="Arial" w:hAnsi="Arial" w:cs="Arial"/>
          <w:sz w:val="21"/>
          <w:szCs w:val="21"/>
        </w:rPr>
      </w:pPr>
      <w:r w:rsidRPr="00EC00ED">
        <w:rPr>
          <w:rFonts w:ascii="Arial" w:hAnsi="Arial" w:cs="Arial"/>
          <w:sz w:val="21"/>
          <w:szCs w:val="21"/>
        </w:rPr>
        <w:t xml:space="preserve">Se solicita aclaración respecto de la procedencia de este factor como quiera que </w:t>
      </w:r>
      <w:proofErr w:type="gramStart"/>
      <w:r w:rsidRPr="00EC00ED">
        <w:rPr>
          <w:rFonts w:ascii="Arial" w:hAnsi="Arial" w:cs="Arial"/>
          <w:sz w:val="21"/>
          <w:szCs w:val="21"/>
        </w:rPr>
        <w:t>surge</w:t>
      </w:r>
      <w:proofErr w:type="gramEnd"/>
      <w:r w:rsidRPr="00EC00ED">
        <w:rPr>
          <w:rFonts w:ascii="Arial" w:hAnsi="Arial" w:cs="Arial"/>
          <w:sz w:val="21"/>
          <w:szCs w:val="21"/>
        </w:rPr>
        <w:t xml:space="preserve"> la duda si es o no factor de subsanación pues esta como causal de rechazo aun cuando sea requisito habilitante”. (SIC)</w:t>
      </w:r>
    </w:p>
    <w:p w14:paraId="5E8C01CE" w14:textId="77777777" w:rsidR="00EC00ED" w:rsidRPr="00EC00ED" w:rsidRDefault="00EC00ED" w:rsidP="00EC00ED">
      <w:pPr>
        <w:tabs>
          <w:tab w:val="left" w:pos="426"/>
          <w:tab w:val="left" w:pos="1993"/>
        </w:tabs>
        <w:spacing w:after="0"/>
        <w:ind w:left="709" w:right="709"/>
        <w:jc w:val="both"/>
        <w:rPr>
          <w:rFonts w:ascii="Arial" w:hAnsi="Arial" w:cs="Arial"/>
          <w:szCs w:val="20"/>
        </w:rPr>
      </w:pPr>
    </w:p>
    <w:p w14:paraId="3C2E32F9" w14:textId="77777777" w:rsidR="00EC00ED" w:rsidRPr="00EC00ED" w:rsidRDefault="00EC00ED" w:rsidP="00EC00ED">
      <w:pPr>
        <w:tabs>
          <w:tab w:val="left" w:pos="426"/>
        </w:tabs>
        <w:spacing w:after="120" w:line="276" w:lineRule="auto"/>
        <w:jc w:val="both"/>
        <w:rPr>
          <w:rFonts w:ascii="Arial" w:hAnsi="Arial" w:cs="Arial"/>
        </w:rPr>
      </w:pPr>
      <w:r w:rsidRPr="00EC00ED">
        <w:rPr>
          <w:rFonts w:ascii="Arial" w:hAnsi="Arial" w:cs="Arial"/>
        </w:rPr>
        <w:t>De acuerdo con lo explicado, la</w:t>
      </w:r>
      <w:r w:rsidRPr="00EC00ED">
        <w:rPr>
          <w:rFonts w:ascii="Arial" w:hAnsi="Arial" w:cs="Arial"/>
          <w:i/>
          <w:iCs/>
        </w:rPr>
        <w:t xml:space="preserve"> </w:t>
      </w:r>
      <w:r w:rsidRPr="00EC00ED">
        <w:rPr>
          <w:rFonts w:ascii="Arial" w:hAnsi="Arial" w:cs="Arial"/>
        </w:rPr>
        <w:t xml:space="preserve">Capacidad Residual 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w:t>
      </w:r>
      <w:r w:rsidRPr="00EC00ED">
        <w:rPr>
          <w:rFonts w:ascii="Arial" w:hAnsi="Arial" w:cs="Arial"/>
          <w:lang w:val="es-ES_tradnl"/>
        </w:rPr>
        <w:t>que lo omitido no sea un factor que afecte la asignación de puntaje, que sea la prueba de una circunstancia o hecho que ocurrió con anterioridad al cierre del proceso y que no existe disposición legal o en el pliego de condiciones que prohíba su subsanación</w:t>
      </w:r>
      <w:r w:rsidRPr="00EC00ED">
        <w:rPr>
          <w:rFonts w:ascii="Arial" w:hAnsi="Arial" w:cs="Arial"/>
        </w:rPr>
        <w:t xml:space="preserve">. </w:t>
      </w:r>
    </w:p>
    <w:p w14:paraId="53664CF4" w14:textId="77777777" w:rsidR="00EC00ED" w:rsidRPr="00EC00ED" w:rsidRDefault="00EC00ED" w:rsidP="00EC00ED">
      <w:pPr>
        <w:spacing w:after="120" w:line="276" w:lineRule="auto"/>
        <w:jc w:val="both"/>
        <w:rPr>
          <w:rFonts w:ascii="Arial" w:eastAsia="Calibri" w:hAnsi="Arial" w:cs="Arial"/>
          <w:lang w:val="es-MX"/>
        </w:rPr>
      </w:pPr>
      <w:r w:rsidRPr="00EC00ED">
        <w:rPr>
          <w:rFonts w:ascii="Arial" w:hAnsi="Arial" w:cs="Arial"/>
        </w:rPr>
        <w:tab/>
        <w:t xml:space="preserve"> </w:t>
      </w:r>
      <w:r w:rsidRPr="00EC00ED">
        <w:rPr>
          <w:rFonts w:ascii="Arial" w:eastAsia="Calibri" w:hAnsi="Arial" w:cs="Arial"/>
          <w:lang w:val="es-MX"/>
        </w:rPr>
        <w:t xml:space="preserve">El numeral 3.10 del documento base de obra de infraestructura de transporte para procesos de licitación pública – Versión 3, establece </w:t>
      </w:r>
      <w:r w:rsidRPr="00EC00ED">
        <w:rPr>
          <w:rFonts w:ascii="Arial" w:eastAsia="Times New Roman" w:hAnsi="Arial" w:cs="Arial"/>
          <w:lang w:val="es-MX" w:eastAsia="es-ES_tradnl"/>
        </w:rPr>
        <w:t xml:space="preserve">como requisito habilitante la capacidad residual. En este documento tipo, </w:t>
      </w:r>
      <w:r w:rsidRPr="00EC00ED">
        <w:rPr>
          <w:rFonts w:ascii="Arial" w:eastAsia="Calibri" w:hAnsi="Arial" w:cs="Arial"/>
          <w:lang w:val="es-MX"/>
        </w:rPr>
        <w:t>al menos tres causales de rechazo del numeral 1.15 se relacionan con la capacidad residual como requisito habilitante, esto es, los literales E, H y Z.</w:t>
      </w:r>
    </w:p>
    <w:p w14:paraId="16A305F5" w14:textId="77777777" w:rsidR="00EC00ED" w:rsidRPr="00EC00ED" w:rsidRDefault="00EC00ED" w:rsidP="00EC00ED">
      <w:pPr>
        <w:spacing w:after="0" w:line="276" w:lineRule="auto"/>
        <w:ind w:firstLine="708"/>
        <w:jc w:val="both"/>
        <w:rPr>
          <w:rFonts w:ascii="Arial" w:eastAsia="Calibri" w:hAnsi="Arial" w:cs="Arial"/>
          <w:lang w:val="es-MX"/>
        </w:rPr>
      </w:pPr>
      <w:r w:rsidRPr="00EC00ED">
        <w:rPr>
          <w:rFonts w:ascii="Arial" w:eastAsia="Calibri" w:hAnsi="Arial" w:cs="Arial"/>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07284F44" w14:textId="77777777" w:rsidR="00EC00ED" w:rsidRPr="00EC00ED" w:rsidRDefault="00EC00ED" w:rsidP="00EC00ED">
      <w:pPr>
        <w:spacing w:before="120" w:after="0" w:line="276" w:lineRule="auto"/>
        <w:ind w:firstLine="708"/>
        <w:jc w:val="both"/>
        <w:rPr>
          <w:rFonts w:ascii="Arial" w:eastAsia="Calibri" w:hAnsi="Arial" w:cs="Arial"/>
          <w:lang w:val="es-MX"/>
        </w:rPr>
      </w:pPr>
      <w:r w:rsidRPr="00EC00ED">
        <w:rPr>
          <w:rFonts w:ascii="Arial" w:eastAsia="Calibri" w:hAnsi="Arial" w:cs="Arial"/>
          <w:i/>
          <w:lang w:val="es-MX"/>
        </w:rPr>
        <w:t>i)</w:t>
      </w:r>
      <w:r w:rsidRPr="00EC00ED">
        <w:rPr>
          <w:rFonts w:ascii="Arial" w:eastAsia="Calibri" w:hAnsi="Arial" w:cs="Arial"/>
          <w:lang w:val="es-MX"/>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14:paraId="30758D37" w14:textId="77777777" w:rsidR="00EC00ED" w:rsidRPr="00EC00ED" w:rsidRDefault="00EC00ED" w:rsidP="00EC00ED">
      <w:pPr>
        <w:spacing w:before="120" w:after="120" w:line="276" w:lineRule="auto"/>
        <w:ind w:firstLine="708"/>
        <w:jc w:val="both"/>
        <w:rPr>
          <w:rFonts w:ascii="Arial" w:eastAsia="Calibri" w:hAnsi="Arial" w:cs="Arial"/>
          <w:lang w:val="es-MX"/>
        </w:rPr>
      </w:pPr>
      <w:r w:rsidRPr="00EC00ED">
        <w:rPr>
          <w:rFonts w:ascii="Arial" w:eastAsia="Calibri" w:hAnsi="Arial" w:cs="Arial"/>
          <w:i/>
          <w:lang w:val="es-MX"/>
        </w:rPr>
        <w:t xml:space="preserve">ii) </w:t>
      </w:r>
      <w:r w:rsidRPr="00EC00ED">
        <w:rPr>
          <w:rFonts w:ascii="Arial" w:eastAsia="Calibri" w:hAnsi="Arial" w:cs="Arial"/>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28B74296" w14:textId="77777777" w:rsidR="00EC00ED" w:rsidRPr="00EC00ED" w:rsidRDefault="00EC00ED" w:rsidP="00EC00ED">
      <w:pPr>
        <w:spacing w:before="120" w:after="120" w:line="276" w:lineRule="auto"/>
        <w:ind w:firstLine="708"/>
        <w:jc w:val="both"/>
        <w:rPr>
          <w:rFonts w:ascii="Arial" w:eastAsia="Calibri" w:hAnsi="Arial" w:cs="Arial"/>
          <w:lang w:val="es-MX"/>
        </w:rPr>
      </w:pPr>
      <w:r w:rsidRPr="00EC00ED">
        <w:rPr>
          <w:rFonts w:ascii="Arial" w:eastAsia="Calibri" w:hAnsi="Arial" w:cs="Arial"/>
          <w:i/>
          <w:lang w:val="es-MX"/>
        </w:rPr>
        <w:t xml:space="preserve">iii) </w:t>
      </w:r>
      <w:r w:rsidRPr="00EC00ED">
        <w:rPr>
          <w:rFonts w:ascii="Arial" w:eastAsia="Calibri" w:hAnsi="Arial" w:cs="Arial"/>
          <w:lang w:val="es-MX"/>
        </w:rPr>
        <w:t>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19823289" w14:textId="77777777" w:rsidR="00EC00ED" w:rsidRPr="00EC00ED" w:rsidRDefault="00EC00ED" w:rsidP="00EC00ED">
      <w:pPr>
        <w:spacing w:before="120" w:after="120" w:line="276" w:lineRule="auto"/>
        <w:ind w:firstLine="708"/>
        <w:jc w:val="both"/>
        <w:rPr>
          <w:rFonts w:ascii="Arial" w:hAnsi="Arial" w:cs="Arial"/>
          <w:lang w:val="es-MX"/>
        </w:rPr>
      </w:pPr>
      <w:r w:rsidRPr="00EC00ED">
        <w:rPr>
          <w:rFonts w:ascii="Arial" w:hAnsi="Arial" w:cs="Arial"/>
          <w:lang w:val="es-MX"/>
        </w:rPr>
        <w:t>En relación con las reglas de subsanabilidad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32D97488" w14:textId="77777777" w:rsidR="00EC00ED" w:rsidRPr="00EC00ED" w:rsidRDefault="00EC00ED" w:rsidP="00EC00ED">
      <w:pPr>
        <w:spacing w:before="120" w:after="120" w:line="276" w:lineRule="auto"/>
        <w:ind w:firstLine="708"/>
        <w:jc w:val="both"/>
        <w:rPr>
          <w:rFonts w:ascii="Arial" w:hAnsi="Arial" w:cs="Arial"/>
        </w:rPr>
      </w:pPr>
      <w:r w:rsidRPr="00EC00ED">
        <w:rPr>
          <w:rFonts w:ascii="Arial" w:hAnsi="Arial" w:cs="Arial"/>
          <w:noProof/>
        </w:rPr>
        <w:t>Ahora bien, es importate precisar que lo</w:t>
      </w:r>
      <w:r w:rsidRPr="00EC00ED">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EC00ED">
        <w:t xml:space="preserve"> </w:t>
      </w:r>
      <w:r w:rsidRPr="00EC00ED">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5B58592D" w14:textId="77777777" w:rsidR="00EC00ED" w:rsidRPr="00EC00ED" w:rsidRDefault="00EC00ED" w:rsidP="00EC00ED">
      <w:pPr>
        <w:spacing w:before="120" w:after="120" w:line="276" w:lineRule="auto"/>
        <w:ind w:firstLine="709"/>
        <w:jc w:val="both"/>
        <w:rPr>
          <w:rFonts w:ascii="Arial" w:hAnsi="Arial" w:cs="Arial"/>
        </w:rPr>
      </w:pPr>
      <w:r w:rsidRPr="00EC00ED">
        <w:rPr>
          <w:rFonts w:ascii="Arial" w:hAnsi="Arial" w:cs="Arial"/>
        </w:rPr>
        <w:t xml:space="preserve">En relación con el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w:t>
      </w:r>
      <w:r w:rsidRPr="00EC00ED">
        <w:rPr>
          <w:rFonts w:ascii="Arial" w:hAnsi="Arial" w:cs="Arial"/>
          <w:color w:val="000000"/>
          <w:shd w:val="clear" w:color="auto" w:fill="FFFFFF"/>
        </w:rPr>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w:t>
      </w:r>
      <w:r w:rsidRPr="00EC00ED">
        <w:rPr>
          <w:rFonts w:ascii="Arial" w:hAnsi="Arial" w:cs="Arial"/>
          <w:color w:val="000000"/>
          <w:shd w:val="clear" w:color="auto" w:fill="FFFFFF"/>
          <w:lang w:val="es-MX"/>
        </w:rPr>
        <w:t>incurre en algún error en la información de estos contratos, como por ejemplo en el valor o el plazo</w:t>
      </w:r>
      <w:r w:rsidRPr="00EC00ED">
        <w:rPr>
          <w:rFonts w:ascii="Arial" w:hAnsi="Arial" w:cs="Arial"/>
          <w:color w:val="000000"/>
          <w:shd w:val="clear" w:color="auto" w:fill="FFFFFF"/>
        </w:rPr>
        <w:t xml:space="preserve">. En este caso, conforme a la explicación precedente, en principio, no se trata de información inexacta que tenga la connotación de falsedad por lo que no habría lugar a rechazo de la propuesta por esta </w:t>
      </w:r>
      <w:proofErr w:type="spellStart"/>
      <w:r w:rsidRPr="00EC00ED">
        <w:rPr>
          <w:rFonts w:ascii="Arial" w:hAnsi="Arial" w:cs="Arial"/>
          <w:color w:val="000000"/>
          <w:shd w:val="clear" w:color="auto" w:fill="FFFFFF"/>
        </w:rPr>
        <w:t>causal</w:t>
      </w:r>
      <w:proofErr w:type="spellEnd"/>
      <w:r w:rsidRPr="00EC00ED">
        <w:rPr>
          <w:rFonts w:ascii="Arial" w:hAnsi="Arial" w:cs="Arial"/>
          <w:color w:val="000000"/>
          <w:shd w:val="clear" w:color="auto" w:fill="FFFFFF"/>
        </w:rPr>
        <w:t>. Por ello, si el proponente omite o se equivoca en la información específica de un contrato incluido en el formato respectivo</w:t>
      </w:r>
      <w:r w:rsidRPr="00EC00ED">
        <w:rPr>
          <w:rFonts w:ascii="Arial" w:hAnsi="Arial" w:cs="Arial"/>
          <w:color w:val="000000"/>
          <w:shd w:val="clear" w:color="auto" w:fill="FFFFFF"/>
          <w:lang w:val="es-MX"/>
        </w:rPr>
        <w:t>, la entidad podrá requerirlo para que aclare la información y, en caso de no responder, rechazar la propuesta por la causal que consagra el literal E del numeral 1.15</w:t>
      </w:r>
      <w:r w:rsidRPr="00EC00ED">
        <w:rPr>
          <w:rFonts w:ascii="Arial" w:hAnsi="Arial" w:cs="Arial"/>
        </w:rPr>
        <w:t xml:space="preserve">. </w:t>
      </w:r>
    </w:p>
    <w:p w14:paraId="6761F008" w14:textId="485C49D9" w:rsidR="00EC00ED" w:rsidRPr="00EC00ED" w:rsidRDefault="00EC00ED" w:rsidP="00EC00ED">
      <w:pPr>
        <w:spacing w:before="120" w:after="120" w:line="276" w:lineRule="auto"/>
        <w:ind w:firstLine="709"/>
        <w:jc w:val="both"/>
        <w:rPr>
          <w:rFonts w:ascii="Arial" w:hAnsi="Arial" w:cs="Arial"/>
        </w:rPr>
      </w:pPr>
      <w:r w:rsidRPr="00EC00ED">
        <w:rPr>
          <w:rFonts w:ascii="Arial" w:hAnsi="Arial" w:cs="Arial"/>
          <w:color w:val="000000"/>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w:t>
      </w:r>
      <w:proofErr w:type="spellStart"/>
      <w:r w:rsidR="00606544">
        <w:rPr>
          <w:rFonts w:ascii="Arial" w:hAnsi="Arial" w:cs="Arial"/>
          <w:color w:val="000000"/>
          <w:shd w:val="clear" w:color="auto" w:fill="FFFFFF"/>
        </w:rPr>
        <w:t>E</w:t>
      </w:r>
      <w:r w:rsidRPr="00EC00ED">
        <w:rPr>
          <w:rFonts w:ascii="Arial" w:hAnsi="Arial" w:cs="Arial"/>
          <w:color w:val="000000"/>
          <w:shd w:val="clear" w:color="auto" w:fill="FFFFFF"/>
        </w:rPr>
        <w:t>ntidad</w:t>
      </w:r>
      <w:r w:rsidR="00606544">
        <w:rPr>
          <w:rFonts w:ascii="Arial" w:hAnsi="Arial" w:cs="Arial"/>
          <w:color w:val="000000"/>
          <w:shd w:val="clear" w:color="auto" w:fill="FFFFFF"/>
        </w:rPr>
        <w:t>E</w:t>
      </w:r>
      <w:r w:rsidRPr="00EC00ED">
        <w:rPr>
          <w:rFonts w:ascii="Arial" w:hAnsi="Arial" w:cs="Arial"/>
          <w:color w:val="000000"/>
          <w:shd w:val="clear" w:color="auto" w:fill="FFFFFF"/>
        </w:rPr>
        <w:t>statal</w:t>
      </w:r>
      <w:proofErr w:type="spellEnd"/>
      <w:r w:rsidRPr="00EC00ED">
        <w:rPr>
          <w:rFonts w:ascii="Arial" w:hAnsi="Arial" w:cs="Arial"/>
          <w:color w:val="000000"/>
          <w:shd w:val="clear" w:color="auto" w:fill="FFFFFF"/>
        </w:rPr>
        <w:t xml:space="preserve">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33425732" w14:textId="77777777" w:rsidR="00EC00ED" w:rsidRPr="00EC00ED" w:rsidRDefault="00EC00ED" w:rsidP="00EC00ED">
      <w:pPr>
        <w:spacing w:after="120" w:line="276" w:lineRule="auto"/>
        <w:ind w:firstLine="709"/>
        <w:jc w:val="both"/>
        <w:rPr>
          <w:rFonts w:ascii="Arial" w:hAnsi="Arial" w:cs="Arial"/>
        </w:rPr>
      </w:pPr>
      <w:r w:rsidRPr="00EC00ED">
        <w:rPr>
          <w:rFonts w:ascii="Arial" w:hAnsi="Arial" w:cs="Arial"/>
        </w:rPr>
        <w:t>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w:t>
      </w:r>
    </w:p>
    <w:p w14:paraId="1317EF69" w14:textId="1F0FD93F" w:rsidR="00EC00ED" w:rsidRPr="00EC00ED" w:rsidRDefault="00EC00ED" w:rsidP="00EC00ED">
      <w:pPr>
        <w:spacing w:after="120" w:line="276" w:lineRule="auto"/>
        <w:ind w:firstLine="709"/>
        <w:jc w:val="both"/>
        <w:rPr>
          <w:rFonts w:ascii="Arial" w:eastAsiaTheme="minorEastAsia" w:hAnsi="Arial" w:cs="Arial"/>
          <w:lang w:eastAsia="es-CO"/>
        </w:rPr>
      </w:pPr>
      <w:r w:rsidRPr="00EC00ED">
        <w:rPr>
          <w:rFonts w:ascii="Arial" w:hAnsi="Arial" w:cs="Arial"/>
          <w:color w:val="000000"/>
          <w:shd w:val="clear" w:color="auto" w:fill="FFFFFF"/>
        </w:rPr>
        <w:t xml:space="preserve">De conformidad con esta regla, el rechazo de la oferta procede cuando en ejercicio de la potestad verificadora se advierta que </w:t>
      </w:r>
      <w:r w:rsidR="00952AE6">
        <w:rPr>
          <w:rFonts w:ascii="Arial" w:hAnsi="Arial" w:cs="Arial"/>
          <w:color w:val="000000"/>
          <w:shd w:val="clear" w:color="auto" w:fill="FFFFFF"/>
        </w:rPr>
        <w:t xml:space="preserve">luego de agotar la posibilidad de subsanación o aclaración el </w:t>
      </w:r>
      <w:proofErr w:type="gramStart"/>
      <w:r w:rsidR="00952AE6">
        <w:rPr>
          <w:rFonts w:ascii="Arial" w:hAnsi="Arial" w:cs="Arial"/>
          <w:color w:val="000000"/>
          <w:shd w:val="clear" w:color="auto" w:fill="FFFFFF"/>
        </w:rPr>
        <w:t xml:space="preserve">proponente </w:t>
      </w:r>
      <w:r w:rsidRPr="00EC00ED">
        <w:rPr>
          <w:rFonts w:ascii="Arial" w:hAnsi="Arial" w:cs="Arial"/>
          <w:color w:val="000000"/>
          <w:shd w:val="clear" w:color="auto" w:fill="FFFFFF"/>
        </w:rPr>
        <w:t xml:space="preserve"> dejó</w:t>
      </w:r>
      <w:proofErr w:type="gramEnd"/>
      <w:r w:rsidRPr="00EC00ED">
        <w:rPr>
          <w:rFonts w:ascii="Arial" w:hAnsi="Arial" w:cs="Arial"/>
          <w:color w:val="000000"/>
          <w:shd w:val="clear" w:color="auto" w:fill="FFFFFF"/>
        </w:rPr>
        <w:t xml:space="preserve"> de incluir información que afecta la capacidad, esto es, la referente a contratos de obra en ejecución. </w:t>
      </w:r>
      <w:r w:rsidRPr="00EC00ED">
        <w:rPr>
          <w:rFonts w:ascii="Arial" w:hAnsi="Arial" w:cs="Arial"/>
        </w:rPr>
        <w:t>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w:t>
      </w:r>
      <w:r w:rsidRPr="00EC00ED">
        <w:rPr>
          <w:rFonts w:ascii="Arial" w:eastAsia="Arial" w:hAnsi="Arial" w:cs="Arial"/>
          <w:lang w:eastAsia="es-CO"/>
        </w:rPr>
        <w:t>Que</w:t>
      </w:r>
      <w:r w:rsidRPr="00EC00ED">
        <w:rPr>
          <w:rFonts w:ascii="Arial" w:eastAsia="Arial,Calibri" w:hAnsi="Arial" w:cs="Arial"/>
          <w:lang w:eastAsia="es-CO"/>
        </w:rPr>
        <w:t xml:space="preserve"> </w:t>
      </w:r>
      <w:r w:rsidRPr="00EC00ED">
        <w:rPr>
          <w:rFonts w:ascii="Arial" w:eastAsia="Arial" w:hAnsi="Arial" w:cs="Arial"/>
          <w:lang w:eastAsia="es-CO"/>
        </w:rPr>
        <w:t>el</w:t>
      </w:r>
      <w:r w:rsidRPr="00EC00ED">
        <w:rPr>
          <w:rFonts w:ascii="Arial" w:eastAsia="Arial,Calibri" w:hAnsi="Arial" w:cs="Arial"/>
          <w:lang w:eastAsia="es-CO"/>
        </w:rPr>
        <w:t xml:space="preserve"> </w:t>
      </w:r>
      <w:r w:rsidRPr="00EC00ED">
        <w:rPr>
          <w:rFonts w:ascii="Arial" w:eastAsia="Arial" w:hAnsi="Arial" w:cs="Arial"/>
          <w:lang w:eastAsia="es-CO"/>
        </w:rPr>
        <w:t>Proponente</w:t>
      </w:r>
      <w:r w:rsidRPr="00EC00ED">
        <w:rPr>
          <w:rFonts w:ascii="Arial" w:eastAsia="Arial,Calibri" w:hAnsi="Arial" w:cs="Arial"/>
          <w:lang w:eastAsia="es-CO"/>
        </w:rPr>
        <w:t xml:space="preserve"> </w:t>
      </w:r>
      <w:r w:rsidRPr="00EC00ED">
        <w:rPr>
          <w:rFonts w:ascii="Arial" w:eastAsia="Arial" w:hAnsi="Arial" w:cs="Arial"/>
          <w:lang w:eastAsia="es-CO"/>
        </w:rPr>
        <w:t xml:space="preserve">aporte información inexacta </w:t>
      </w:r>
      <w:r w:rsidRPr="00EC00ED">
        <w:rPr>
          <w:rFonts w:ascii="Arial" w:eastAsiaTheme="minorEastAsia" w:hAnsi="Arial" w:cs="Arial"/>
          <w:lang w:eastAsia="es-CO"/>
        </w:rPr>
        <w:t>sobre la cual pueda existir una posible falsedad</w:t>
      </w:r>
      <w:r w:rsidRPr="00EC00ED" w:rsidDel="003061D1">
        <w:rPr>
          <w:rFonts w:ascii="Arial" w:eastAsiaTheme="minorEastAsia" w:hAnsi="Arial" w:cs="Arial"/>
          <w:lang w:eastAsia="es-CO"/>
        </w:rPr>
        <w:t xml:space="preserve"> </w:t>
      </w:r>
      <w:r w:rsidRPr="00EC00ED">
        <w:rPr>
          <w:rFonts w:ascii="Arial" w:eastAsiaTheme="minorEastAsia" w:hAnsi="Arial" w:cs="Arial"/>
          <w:lang w:eastAsia="es-CO"/>
        </w:rPr>
        <w:t>en los términos de la sección 1.11”.</w:t>
      </w:r>
    </w:p>
    <w:p w14:paraId="27953AE9" w14:textId="1994AD7F" w:rsidR="00EC00ED" w:rsidRPr="00EC00ED" w:rsidRDefault="00EC00ED" w:rsidP="00EC00ED">
      <w:pPr>
        <w:spacing w:after="0" w:line="276" w:lineRule="auto"/>
        <w:jc w:val="both"/>
        <w:rPr>
          <w:rFonts w:ascii="Arial" w:eastAsia="Calibri" w:hAnsi="Arial" w:cs="Arial"/>
          <w:lang w:val="es-ES" w:eastAsia="es-ES" w:bidi="es-ES"/>
        </w:rPr>
      </w:pPr>
      <w:r w:rsidRPr="00EC00ED">
        <w:rPr>
          <w:rFonts w:ascii="Arial" w:hAnsi="Arial" w:cs="Arial"/>
        </w:rPr>
        <w:tab/>
      </w:r>
      <w:r w:rsidRPr="00EC00ED">
        <w:rPr>
          <w:rFonts w:ascii="Arial" w:eastAsia="Calibri" w:hAnsi="Arial" w:cs="Arial"/>
          <w:lang w:val="es-ES" w:eastAsia="es-ES" w:bidi="es-ES"/>
        </w:rPr>
        <w:t xml:space="preserve">En todo caso, resulta pertinente mencionar que, debe ser la </w:t>
      </w:r>
      <w:r w:rsidR="00FD5245">
        <w:rPr>
          <w:rFonts w:ascii="Arial" w:eastAsia="Calibri" w:hAnsi="Arial" w:cs="Arial"/>
          <w:lang w:val="es-ES" w:eastAsia="es-ES" w:bidi="es-ES"/>
        </w:rPr>
        <w:t>E</w:t>
      </w:r>
      <w:r w:rsidRPr="00EC00ED">
        <w:rPr>
          <w:rFonts w:ascii="Arial" w:eastAsia="Calibri" w:hAnsi="Arial" w:cs="Arial"/>
          <w:lang w:val="es-ES" w:eastAsia="es-ES" w:bidi="es-ES"/>
        </w:rPr>
        <w:t xml:space="preserve">ntidad </w:t>
      </w:r>
      <w:r w:rsidR="00FD5245">
        <w:rPr>
          <w:rFonts w:ascii="Arial" w:eastAsia="Calibri" w:hAnsi="Arial" w:cs="Arial"/>
          <w:lang w:val="es-ES" w:eastAsia="es-ES" w:bidi="es-ES"/>
        </w:rPr>
        <w:t>E</w:t>
      </w:r>
      <w:r w:rsidRPr="00EC00ED">
        <w:rPr>
          <w:rFonts w:ascii="Arial" w:eastAsia="Calibri" w:hAnsi="Arial" w:cs="Arial"/>
          <w:lang w:val="es-ES" w:eastAsia="es-ES" w:bidi="es-ES"/>
        </w:rPr>
        <w:t xml:space="preserve">statal quien determine si alguno de los supuestos de hecho contenidos en las causales de rechazo contenidas del numeral 1.15 del Documento Base </w:t>
      </w:r>
      <w:r w:rsidRPr="00EC00ED">
        <w:rPr>
          <w:rFonts w:ascii="Arial" w:eastAsia="Arial" w:hAnsi="Arial" w:cs="Arial"/>
          <w:bCs/>
          <w:lang w:val="es-ES" w:eastAsia="es-ES" w:bidi="es-ES"/>
        </w:rPr>
        <w:t>de los “Documentos Tipo – Versión 3”, aplican frente a cada situación particular.</w:t>
      </w:r>
    </w:p>
    <w:p w14:paraId="2301B8E4" w14:textId="77777777" w:rsidR="00EC00ED" w:rsidRPr="00EC00ED" w:rsidRDefault="00EC00ED" w:rsidP="00EC00ED">
      <w:pPr>
        <w:tabs>
          <w:tab w:val="left" w:pos="1358"/>
        </w:tabs>
        <w:spacing w:after="0" w:line="240" w:lineRule="auto"/>
        <w:ind w:right="709"/>
        <w:jc w:val="both"/>
        <w:rPr>
          <w:rFonts w:ascii="Arial" w:hAnsi="Arial" w:cs="Arial"/>
          <w:sz w:val="21"/>
          <w:szCs w:val="21"/>
        </w:rPr>
      </w:pPr>
      <w:r w:rsidRPr="00EC00ED">
        <w:rPr>
          <w:rFonts w:ascii="Arial" w:hAnsi="Arial" w:cs="Arial"/>
          <w:sz w:val="21"/>
          <w:szCs w:val="21"/>
        </w:rPr>
        <w:t xml:space="preserve"> </w:t>
      </w:r>
      <w:r w:rsidRPr="00EC00ED">
        <w:rPr>
          <w:rFonts w:ascii="Arial" w:hAnsi="Arial" w:cs="Arial"/>
          <w:sz w:val="21"/>
          <w:szCs w:val="21"/>
        </w:rPr>
        <w:tab/>
      </w:r>
    </w:p>
    <w:p w14:paraId="141EB7CE" w14:textId="77777777" w:rsidR="00EC00ED" w:rsidRPr="00EC00ED" w:rsidRDefault="00EC00ED" w:rsidP="00EC00ED">
      <w:pPr>
        <w:spacing w:line="276" w:lineRule="auto"/>
        <w:jc w:val="both"/>
        <w:rPr>
          <w:rFonts w:ascii="Arial" w:hAnsi="Arial" w:cs="Arial"/>
          <w:lang w:val="es-ES_tradnl"/>
        </w:rPr>
      </w:pPr>
      <w:r w:rsidRPr="00EC00ED">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97E1D6B" w14:textId="77777777" w:rsidR="00EC00ED" w:rsidRPr="00EC00ED" w:rsidRDefault="00EC00ED" w:rsidP="00EC00ED">
      <w:pPr>
        <w:spacing w:after="0" w:line="276" w:lineRule="auto"/>
        <w:contextualSpacing/>
        <w:jc w:val="both"/>
        <w:rPr>
          <w:rFonts w:ascii="Arial" w:eastAsia="Calibri" w:hAnsi="Arial" w:cs="Arial"/>
          <w:lang w:eastAsia="es-MX"/>
        </w:rPr>
      </w:pPr>
    </w:p>
    <w:p w14:paraId="763B8BED" w14:textId="77777777" w:rsidR="00EC00ED" w:rsidRPr="00EC00ED" w:rsidRDefault="00EC00ED" w:rsidP="00EC00ED">
      <w:pPr>
        <w:spacing w:after="0" w:line="276" w:lineRule="auto"/>
        <w:rPr>
          <w:rFonts w:ascii="Arial" w:eastAsia="Times New Roman" w:hAnsi="Arial" w:cs="Arial"/>
          <w:lang w:eastAsia="es-CO"/>
        </w:rPr>
      </w:pPr>
      <w:r w:rsidRPr="00EC00ED">
        <w:rPr>
          <w:rFonts w:ascii="Arial" w:eastAsia="Times New Roman" w:hAnsi="Arial" w:cs="Arial"/>
          <w:lang w:eastAsia="es-CO"/>
        </w:rPr>
        <w:t>Atentamente,</w:t>
      </w:r>
    </w:p>
    <w:p w14:paraId="6573FF40" w14:textId="6A9BD133" w:rsidR="00EC00ED" w:rsidRPr="00EC00ED" w:rsidRDefault="00A569D3" w:rsidP="00EC00ED">
      <w:pPr>
        <w:spacing w:after="0" w:line="276" w:lineRule="auto"/>
        <w:jc w:val="center"/>
      </w:pPr>
      <w:r>
        <w:rPr>
          <w:noProof/>
        </w:rPr>
        <w:drawing>
          <wp:inline distT="0" distB="0" distL="0" distR="0" wp14:anchorId="242E155E" wp14:editId="16F67172">
            <wp:extent cx="2532241" cy="971585"/>
            <wp:effectExtent l="0" t="0" r="1905"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5"/>
                    <a:stretch>
                      <a:fillRect/>
                    </a:stretch>
                  </pic:blipFill>
                  <pic:spPr>
                    <a:xfrm>
                      <a:off x="0" y="0"/>
                      <a:ext cx="2548596" cy="977860"/>
                    </a:xfrm>
                    <a:prstGeom prst="rect">
                      <a:avLst/>
                    </a:prstGeom>
                  </pic:spPr>
                </pic:pic>
              </a:graphicData>
            </a:graphic>
          </wp:inline>
        </w:drawing>
      </w:r>
    </w:p>
    <w:p w14:paraId="2E1439B4" w14:textId="77777777" w:rsidR="00EC00ED" w:rsidRPr="00EC00ED" w:rsidRDefault="00EC00ED" w:rsidP="00EC00ED">
      <w:pPr>
        <w:spacing w:after="0" w:line="276" w:lineRule="auto"/>
        <w:jc w:val="center"/>
        <w:rPr>
          <w:rFonts w:ascii="Arial" w:eastAsia="Times New Roman" w:hAnsi="Arial" w:cs="Arial"/>
          <w:color w:val="000000"/>
          <w:sz w:val="16"/>
          <w:szCs w:val="16"/>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C00ED" w:rsidRPr="00EC00ED" w14:paraId="089449B7" w14:textId="77777777" w:rsidTr="365361B3">
        <w:trPr>
          <w:trHeight w:val="160"/>
        </w:trPr>
        <w:tc>
          <w:tcPr>
            <w:tcW w:w="812" w:type="dxa"/>
            <w:vAlign w:val="center"/>
            <w:hideMark/>
          </w:tcPr>
          <w:p w14:paraId="58F6871B" w14:textId="77777777" w:rsidR="00EC00ED" w:rsidRPr="00EC00ED" w:rsidRDefault="00EC00ED" w:rsidP="00EC00ED">
            <w:pPr>
              <w:jc w:val="both"/>
              <w:rPr>
                <w:rFonts w:ascii="Arial" w:eastAsia="Times New Roman" w:hAnsi="Arial" w:cs="Arial"/>
                <w:color w:val="000000"/>
                <w:sz w:val="16"/>
                <w:szCs w:val="16"/>
                <w:lang w:val="es-ES_tradnl" w:eastAsia="es-ES"/>
              </w:rPr>
            </w:pPr>
            <w:r w:rsidRPr="00EC00ED">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4A9F30D" w14:textId="76D8CDB6" w:rsidR="00EC00ED" w:rsidRPr="00EC00ED" w:rsidRDefault="00EC00ED" w:rsidP="365361B3">
            <w:pPr>
              <w:jc w:val="both"/>
              <w:rPr>
                <w:rFonts w:ascii="Arial" w:eastAsia="Times New Roman" w:hAnsi="Arial" w:cs="Arial"/>
                <w:color w:val="000000"/>
                <w:sz w:val="16"/>
                <w:szCs w:val="16"/>
                <w:lang w:val="es-ES" w:eastAsia="es-ES"/>
              </w:rPr>
            </w:pPr>
            <w:r w:rsidRPr="365361B3">
              <w:rPr>
                <w:rFonts w:ascii="Arial" w:eastAsia="Times New Roman" w:hAnsi="Arial" w:cs="Arial"/>
                <w:color w:val="000000" w:themeColor="text1"/>
                <w:sz w:val="16"/>
                <w:szCs w:val="16"/>
                <w:lang w:val="es-ES" w:eastAsia="es-ES"/>
              </w:rPr>
              <w:t xml:space="preserve">Carlos Mario </w:t>
            </w:r>
            <w:r w:rsidR="005D2A7C" w:rsidRPr="365361B3">
              <w:rPr>
                <w:rFonts w:ascii="Arial" w:eastAsia="Times New Roman" w:hAnsi="Arial" w:cs="Arial"/>
                <w:color w:val="000000" w:themeColor="text1"/>
                <w:sz w:val="16"/>
                <w:szCs w:val="16"/>
                <w:lang w:val="es-ES" w:eastAsia="es-ES"/>
              </w:rPr>
              <w:t>Castrillón</w:t>
            </w:r>
            <w:r w:rsidRPr="365361B3">
              <w:rPr>
                <w:rFonts w:ascii="Arial" w:eastAsia="Times New Roman" w:hAnsi="Arial" w:cs="Arial"/>
                <w:color w:val="000000" w:themeColor="text1"/>
                <w:sz w:val="16"/>
                <w:szCs w:val="16"/>
                <w:lang w:val="es-ES" w:eastAsia="es-ES"/>
              </w:rPr>
              <w:t xml:space="preserve"> Endo</w:t>
            </w:r>
          </w:p>
          <w:p w14:paraId="06DDDDD8" w14:textId="77777777" w:rsidR="00EC00ED" w:rsidRPr="00EC00ED" w:rsidRDefault="00EC00ED" w:rsidP="00EC00ED">
            <w:pPr>
              <w:jc w:val="both"/>
              <w:rPr>
                <w:rFonts w:ascii="Arial" w:eastAsia="Times New Roman" w:hAnsi="Arial" w:cs="Arial"/>
                <w:color w:val="000000"/>
                <w:sz w:val="16"/>
                <w:szCs w:val="16"/>
                <w:lang w:val="es-ES_tradnl" w:eastAsia="es-ES"/>
              </w:rPr>
            </w:pPr>
            <w:r w:rsidRPr="00EC00ED">
              <w:rPr>
                <w:rFonts w:ascii="Arial" w:eastAsia="Times New Roman" w:hAnsi="Arial" w:cs="Arial"/>
                <w:color w:val="000000"/>
                <w:sz w:val="16"/>
                <w:szCs w:val="16"/>
                <w:lang w:val="es-ES_tradnl" w:eastAsia="es-ES"/>
              </w:rPr>
              <w:t>Contratista de la Subdirección de Gestión Contractual</w:t>
            </w:r>
          </w:p>
        </w:tc>
      </w:tr>
      <w:tr w:rsidR="00EC00ED" w:rsidRPr="00EC00ED" w14:paraId="64C86D66" w14:textId="77777777" w:rsidTr="365361B3">
        <w:trPr>
          <w:trHeight w:val="330"/>
        </w:trPr>
        <w:tc>
          <w:tcPr>
            <w:tcW w:w="812" w:type="dxa"/>
            <w:vAlign w:val="center"/>
            <w:hideMark/>
          </w:tcPr>
          <w:p w14:paraId="3BDCA555" w14:textId="77777777" w:rsidR="00EC00ED" w:rsidRPr="00EC00ED" w:rsidRDefault="00EC00ED" w:rsidP="00EC00ED">
            <w:pPr>
              <w:jc w:val="both"/>
              <w:rPr>
                <w:rFonts w:ascii="Arial" w:eastAsia="Times New Roman" w:hAnsi="Arial" w:cs="Arial"/>
                <w:color w:val="000000"/>
                <w:sz w:val="16"/>
                <w:szCs w:val="16"/>
                <w:lang w:val="es-ES_tradnl" w:eastAsia="es-ES"/>
              </w:rPr>
            </w:pPr>
            <w:r w:rsidRPr="00EC00ED">
              <w:rPr>
                <w:rFonts w:ascii="Arial" w:eastAsia="Times New Roman" w:hAnsi="Arial" w:cs="Arial"/>
                <w:color w:val="000000"/>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ABF7C08" w14:textId="77777777" w:rsidR="00EC00ED" w:rsidRPr="00EC00ED" w:rsidRDefault="00EC00ED" w:rsidP="00EC00ED">
            <w:pPr>
              <w:jc w:val="both"/>
              <w:rPr>
                <w:rFonts w:ascii="Arial" w:eastAsia="Times New Roman" w:hAnsi="Arial" w:cs="Arial"/>
                <w:color w:val="000000"/>
                <w:sz w:val="16"/>
                <w:szCs w:val="16"/>
                <w:lang w:eastAsia="es-ES"/>
              </w:rPr>
            </w:pPr>
            <w:r w:rsidRPr="00EC00ED">
              <w:rPr>
                <w:rFonts w:ascii="Arial" w:eastAsia="Times New Roman" w:hAnsi="Arial" w:cs="Arial"/>
                <w:color w:val="000000"/>
                <w:sz w:val="16"/>
                <w:szCs w:val="16"/>
                <w:lang w:eastAsia="es-ES"/>
              </w:rPr>
              <w:t>Martha Alicia Romero Vargas</w:t>
            </w:r>
          </w:p>
          <w:p w14:paraId="6E9D6A70" w14:textId="4E436C77" w:rsidR="00EC00ED" w:rsidRPr="00EC00ED" w:rsidRDefault="00EC00ED" w:rsidP="365361B3">
            <w:pPr>
              <w:jc w:val="both"/>
              <w:rPr>
                <w:rFonts w:ascii="Arial" w:eastAsia="Times New Roman" w:hAnsi="Arial" w:cs="Arial"/>
                <w:color w:val="000000" w:themeColor="text1"/>
                <w:sz w:val="16"/>
                <w:szCs w:val="16"/>
                <w:lang w:eastAsia="es-ES"/>
              </w:rPr>
            </w:pPr>
            <w:r w:rsidRPr="365361B3">
              <w:rPr>
                <w:rFonts w:ascii="Arial" w:eastAsia="Times New Roman" w:hAnsi="Arial" w:cs="Arial"/>
                <w:color w:val="000000" w:themeColor="text1"/>
                <w:sz w:val="16"/>
                <w:szCs w:val="16"/>
                <w:lang w:eastAsia="es-ES"/>
              </w:rPr>
              <w:t>Gestor T1-15 de la Subdirección de Gestión Contractual</w:t>
            </w:r>
          </w:p>
          <w:p w14:paraId="5C6D7767" w14:textId="0A4EE166" w:rsidR="00EC00ED" w:rsidRPr="00EC00ED" w:rsidRDefault="2D01E031" w:rsidP="365361B3">
            <w:pPr>
              <w:jc w:val="both"/>
              <w:rPr>
                <w:rFonts w:ascii="Arial" w:eastAsia="Times New Roman" w:hAnsi="Arial" w:cs="Arial"/>
                <w:color w:val="000000" w:themeColor="text1"/>
                <w:sz w:val="16"/>
                <w:szCs w:val="16"/>
                <w:lang w:eastAsia="es-ES"/>
              </w:rPr>
            </w:pPr>
            <w:r w:rsidRPr="365361B3">
              <w:rPr>
                <w:rFonts w:ascii="Arial" w:eastAsia="Times New Roman" w:hAnsi="Arial" w:cs="Arial"/>
                <w:color w:val="000000" w:themeColor="text1"/>
                <w:sz w:val="16"/>
                <w:szCs w:val="16"/>
                <w:lang w:eastAsia="es-ES"/>
              </w:rPr>
              <w:t>Gabriel Mendoza</w:t>
            </w:r>
          </w:p>
          <w:p w14:paraId="3F0603B1" w14:textId="2BF950DE" w:rsidR="00EC00ED" w:rsidRPr="00EC00ED" w:rsidRDefault="2D01E031" w:rsidP="365361B3">
            <w:pPr>
              <w:jc w:val="both"/>
              <w:rPr>
                <w:rFonts w:ascii="Arial" w:eastAsia="Times New Roman" w:hAnsi="Arial" w:cs="Arial"/>
                <w:color w:val="000000"/>
                <w:sz w:val="16"/>
                <w:szCs w:val="16"/>
                <w:lang w:eastAsia="es-ES"/>
              </w:rPr>
            </w:pPr>
            <w:r w:rsidRPr="365361B3">
              <w:rPr>
                <w:rFonts w:ascii="Arial" w:eastAsia="Times New Roman" w:hAnsi="Arial" w:cs="Arial"/>
                <w:color w:val="000000" w:themeColor="text1"/>
                <w:sz w:val="16"/>
                <w:szCs w:val="16"/>
                <w:lang w:eastAsia="es-ES"/>
              </w:rPr>
              <w:t>Contratista de la Subdirección de Gestión Contractual</w:t>
            </w:r>
          </w:p>
        </w:tc>
      </w:tr>
      <w:tr w:rsidR="00EC00ED" w:rsidRPr="00EC00ED" w14:paraId="08C290FE" w14:textId="77777777" w:rsidTr="365361B3">
        <w:trPr>
          <w:trHeight w:val="300"/>
        </w:trPr>
        <w:tc>
          <w:tcPr>
            <w:tcW w:w="812" w:type="dxa"/>
            <w:vAlign w:val="center"/>
            <w:hideMark/>
          </w:tcPr>
          <w:p w14:paraId="7819C28F" w14:textId="77777777" w:rsidR="00EC00ED" w:rsidRPr="00EC00ED" w:rsidRDefault="00EC00ED" w:rsidP="00EC00ED">
            <w:pPr>
              <w:jc w:val="both"/>
              <w:rPr>
                <w:rFonts w:ascii="Arial" w:eastAsia="Times New Roman" w:hAnsi="Arial" w:cs="Arial"/>
                <w:color w:val="000000"/>
                <w:sz w:val="16"/>
                <w:szCs w:val="16"/>
                <w:lang w:val="es-ES_tradnl" w:eastAsia="es-ES"/>
              </w:rPr>
            </w:pPr>
            <w:r w:rsidRPr="00EC00ED">
              <w:rPr>
                <w:rFonts w:ascii="Arial" w:eastAsia="Times New Roman" w:hAnsi="Arial" w:cs="Arial"/>
                <w:color w:val="000000"/>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49E65B" w14:textId="77777777" w:rsidR="00EC00ED" w:rsidRPr="00EC00ED" w:rsidRDefault="00EC00ED" w:rsidP="00EC00ED">
            <w:pPr>
              <w:jc w:val="both"/>
              <w:rPr>
                <w:rFonts w:ascii="Arial" w:eastAsia="Times New Roman" w:hAnsi="Arial" w:cs="Arial"/>
                <w:color w:val="000000"/>
                <w:sz w:val="16"/>
                <w:szCs w:val="16"/>
                <w:lang w:eastAsia="es-ES"/>
              </w:rPr>
            </w:pPr>
            <w:r w:rsidRPr="00EC00ED">
              <w:rPr>
                <w:rFonts w:ascii="Arial" w:eastAsia="Times New Roman" w:hAnsi="Arial" w:cs="Arial"/>
                <w:color w:val="000000"/>
                <w:sz w:val="16"/>
                <w:szCs w:val="16"/>
                <w:lang w:eastAsia="es-ES"/>
              </w:rPr>
              <w:t>Nohelia del Carmen Zawady Palacio</w:t>
            </w:r>
          </w:p>
          <w:p w14:paraId="2116F505" w14:textId="77777777" w:rsidR="00EC00ED" w:rsidRPr="00EC00ED" w:rsidRDefault="00EC00ED" w:rsidP="00EC00ED">
            <w:pPr>
              <w:jc w:val="both"/>
              <w:rPr>
                <w:rFonts w:ascii="Arial" w:eastAsia="Times New Roman" w:hAnsi="Arial" w:cs="Arial"/>
                <w:color w:val="000000"/>
                <w:sz w:val="16"/>
                <w:szCs w:val="16"/>
                <w:lang w:val="es-ES_tradnl" w:eastAsia="es-ES"/>
              </w:rPr>
            </w:pPr>
            <w:r w:rsidRPr="00EC00ED">
              <w:rPr>
                <w:rFonts w:ascii="Arial" w:eastAsia="Times New Roman" w:hAnsi="Arial" w:cs="Arial"/>
                <w:color w:val="000000"/>
                <w:sz w:val="16"/>
                <w:szCs w:val="16"/>
                <w:lang w:eastAsia="es-ES"/>
              </w:rPr>
              <w:t>Subdirectora de Gestión Contractual</w:t>
            </w:r>
          </w:p>
        </w:tc>
      </w:tr>
    </w:tbl>
    <w:p w14:paraId="2B412163" w14:textId="77777777" w:rsidR="00EC00ED" w:rsidRPr="00EC00ED" w:rsidRDefault="00EC00ED" w:rsidP="00EC00ED">
      <w:pPr>
        <w:spacing w:after="0" w:line="276" w:lineRule="auto"/>
        <w:rPr>
          <w:rFonts w:ascii="Arial" w:eastAsia="Times New Roman" w:hAnsi="Arial" w:cs="Arial"/>
          <w:lang w:eastAsia="es-CO"/>
        </w:rPr>
      </w:pPr>
    </w:p>
    <w:p w14:paraId="7CAAA6E2" w14:textId="77777777" w:rsidR="00EC00ED" w:rsidRPr="00EC00ED" w:rsidRDefault="00EC00ED" w:rsidP="00EC00ED">
      <w:pPr>
        <w:spacing w:after="0" w:line="240" w:lineRule="auto"/>
        <w:jc w:val="right"/>
        <w:textAlignment w:val="baseline"/>
        <w:rPr>
          <w:lang w:val="es-MX"/>
        </w:rPr>
      </w:pPr>
    </w:p>
    <w:p w14:paraId="39D116BA" w14:textId="77777777" w:rsidR="00EC00ED" w:rsidRPr="00EC00ED" w:rsidRDefault="00EC00ED" w:rsidP="00EC00ED"/>
    <w:p w14:paraId="0F293BF4" w14:textId="2561A355" w:rsidR="00127233" w:rsidRPr="00280077" w:rsidRDefault="00127233" w:rsidP="00280077"/>
    <w:sectPr w:rsidR="00127233" w:rsidRPr="00280077" w:rsidSect="00923EEF">
      <w:headerReference w:type="default" r:id="rId16"/>
      <w:footerReference w:type="default" r:id="rId17"/>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EE80" w14:textId="77777777" w:rsidR="00801555" w:rsidRDefault="00801555" w:rsidP="004A1847">
      <w:pPr>
        <w:spacing w:after="0" w:line="240" w:lineRule="auto"/>
      </w:pPr>
      <w:r>
        <w:separator/>
      </w:r>
    </w:p>
  </w:endnote>
  <w:endnote w:type="continuationSeparator" w:id="0">
    <w:p w14:paraId="1ABFA234" w14:textId="77777777" w:rsidR="00801555" w:rsidRDefault="0080155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5802" w14:textId="77777777" w:rsidR="00801555" w:rsidRDefault="00801555" w:rsidP="004A1847">
      <w:pPr>
        <w:spacing w:after="0" w:line="240" w:lineRule="auto"/>
      </w:pPr>
      <w:r>
        <w:separator/>
      </w:r>
    </w:p>
  </w:footnote>
  <w:footnote w:type="continuationSeparator" w:id="0">
    <w:p w14:paraId="213DE55C" w14:textId="77777777" w:rsidR="00801555" w:rsidRDefault="00801555" w:rsidP="004A1847">
      <w:pPr>
        <w:spacing w:after="0" w:line="240" w:lineRule="auto"/>
      </w:pPr>
      <w:r>
        <w:continuationSeparator/>
      </w:r>
    </w:p>
  </w:footnote>
  <w:footnote w:id="1">
    <w:p w14:paraId="417CCBF1" w14:textId="77777777" w:rsidR="00EC00ED" w:rsidRPr="00EC00ED" w:rsidRDefault="00EC00ED" w:rsidP="00EC00ED">
      <w:pPr>
        <w:pStyle w:val="Textonotapie"/>
        <w:ind w:firstLine="708"/>
        <w:jc w:val="both"/>
        <w:rPr>
          <w:rFonts w:ascii="Arial" w:hAnsi="Arial" w:cs="Arial"/>
          <w:sz w:val="12"/>
          <w:szCs w:val="12"/>
        </w:rPr>
      </w:pPr>
      <w:r w:rsidRPr="00EC00ED">
        <w:rPr>
          <w:rStyle w:val="Refdenotaalpie"/>
          <w:rFonts w:ascii="Arial" w:hAnsi="Arial" w:cs="Arial"/>
          <w:sz w:val="12"/>
          <w:szCs w:val="12"/>
        </w:rPr>
        <w:footnoteRef/>
      </w:r>
      <w:r w:rsidRPr="00EC00ED">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C00ED">
        <w:rPr>
          <w:rFonts w:ascii="Arial" w:hAnsi="Arial" w:cs="Arial"/>
          <w:i/>
          <w:iCs/>
          <w:sz w:val="12"/>
          <w:szCs w:val="12"/>
        </w:rPr>
        <w:t xml:space="preserve">ibidem </w:t>
      </w:r>
      <w:r w:rsidRPr="00EC00ED">
        <w:rPr>
          <w:rFonts w:ascii="Arial" w:hAnsi="Arial"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6BA8B0FE" w14:textId="77777777" w:rsidR="00EC00ED" w:rsidRPr="00EC00ED" w:rsidRDefault="00EC00ED" w:rsidP="00EC00ED">
      <w:pPr>
        <w:pStyle w:val="Textonotapie"/>
        <w:ind w:firstLine="708"/>
        <w:jc w:val="both"/>
        <w:rPr>
          <w:rFonts w:ascii="Arial" w:hAnsi="Arial" w:cs="Arial"/>
          <w:sz w:val="12"/>
          <w:szCs w:val="12"/>
          <w:lang w:val="es-ES"/>
        </w:rPr>
      </w:pPr>
    </w:p>
  </w:footnote>
  <w:footnote w:id="2">
    <w:p w14:paraId="419AF550" w14:textId="77777777" w:rsidR="00EC00ED" w:rsidRPr="00EC00ED" w:rsidRDefault="00EC00ED" w:rsidP="00EC00ED">
      <w:pPr>
        <w:pStyle w:val="Textonotapie"/>
        <w:ind w:firstLine="709"/>
        <w:contextualSpacing/>
        <w:jc w:val="both"/>
        <w:rPr>
          <w:rFonts w:ascii="Arial" w:hAnsi="Arial" w:cs="Arial"/>
          <w:sz w:val="12"/>
          <w:szCs w:val="12"/>
          <w:lang w:val="es-CO"/>
        </w:rPr>
      </w:pPr>
      <w:r w:rsidRPr="00EC00ED">
        <w:rPr>
          <w:rStyle w:val="Refdenotaalpie"/>
          <w:rFonts w:ascii="Arial" w:hAnsi="Arial" w:cs="Arial"/>
          <w:sz w:val="12"/>
          <w:szCs w:val="12"/>
        </w:rPr>
        <w:footnoteRef/>
      </w:r>
      <w:r w:rsidRPr="00EC00ED">
        <w:rPr>
          <w:rFonts w:ascii="Arial" w:hAnsi="Arial" w:cs="Arial"/>
          <w:sz w:val="12"/>
          <w:szCs w:val="12"/>
        </w:rPr>
        <w:t xml:space="preserve"> </w:t>
      </w:r>
      <w:r w:rsidRPr="00EC00ED">
        <w:rPr>
          <w:rFonts w:ascii="Arial" w:hAnsi="Arial" w:cs="Arial"/>
          <w:sz w:val="12"/>
          <w:szCs w:val="12"/>
          <w:lang w:val="es-CO"/>
        </w:rPr>
        <w:t xml:space="preserve">Estos conceptos pueden ser consultados en: </w:t>
      </w:r>
      <w:hyperlink r:id="rId1" w:history="1">
        <w:r w:rsidRPr="00EC00ED">
          <w:rPr>
            <w:rStyle w:val="Hipervnculo"/>
            <w:rFonts w:ascii="Arial" w:hAnsi="Arial" w:cs="Arial"/>
            <w:sz w:val="12"/>
            <w:szCs w:val="12"/>
          </w:rPr>
          <w:t>https://relatoria.colombiacompra.gov.co/busqueda/conceptos#</w:t>
        </w:r>
      </w:hyperlink>
    </w:p>
    <w:p w14:paraId="70C1CD69" w14:textId="77777777" w:rsidR="00EC00ED" w:rsidRPr="00EC00ED" w:rsidRDefault="00EC00ED" w:rsidP="00EC00ED">
      <w:pPr>
        <w:pStyle w:val="Textonotapie"/>
        <w:ind w:firstLine="709"/>
        <w:contextualSpacing/>
        <w:jc w:val="both"/>
        <w:rPr>
          <w:rFonts w:ascii="Arial" w:hAnsi="Arial" w:cs="Arial"/>
          <w:sz w:val="12"/>
          <w:szCs w:val="12"/>
          <w:lang w:val="es-CO"/>
        </w:rPr>
      </w:pPr>
    </w:p>
  </w:footnote>
  <w:footnote w:id="3">
    <w:p w14:paraId="55F21CB2" w14:textId="77777777" w:rsidR="00EC00ED" w:rsidRPr="00EC00ED" w:rsidRDefault="00EC00ED" w:rsidP="00EC00ED">
      <w:pPr>
        <w:pStyle w:val="Textonotapie"/>
        <w:spacing w:after="120"/>
        <w:ind w:firstLine="709"/>
        <w:jc w:val="both"/>
        <w:rPr>
          <w:rFonts w:ascii="Arial" w:hAnsi="Arial" w:cs="Arial"/>
          <w:color w:val="000000"/>
          <w:sz w:val="12"/>
          <w:szCs w:val="12"/>
          <w:lang w:val="es-CO"/>
        </w:rPr>
      </w:pPr>
      <w:r w:rsidRPr="00EC00ED">
        <w:rPr>
          <w:rStyle w:val="Refdenotaalpie"/>
          <w:rFonts w:ascii="Arial" w:hAnsi="Arial" w:cs="Arial"/>
          <w:color w:val="000000"/>
          <w:sz w:val="12"/>
          <w:szCs w:val="12"/>
        </w:rPr>
        <w:footnoteRef/>
      </w:r>
      <w:r w:rsidRPr="00EC00ED">
        <w:rPr>
          <w:rFonts w:ascii="Arial" w:hAnsi="Arial" w:cs="Arial"/>
          <w:color w:val="000000"/>
          <w:sz w:val="12"/>
          <w:szCs w:val="12"/>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4443B3B4" w14:textId="77777777" w:rsidR="00EC00ED" w:rsidRPr="00EC00ED" w:rsidRDefault="00EC00ED" w:rsidP="00EC00ED">
      <w:pPr>
        <w:pStyle w:val="Textonotapie"/>
        <w:spacing w:after="120"/>
        <w:ind w:firstLine="709"/>
        <w:jc w:val="both"/>
        <w:rPr>
          <w:rFonts w:ascii="Arial" w:hAnsi="Arial" w:cs="Arial"/>
          <w:color w:val="000000"/>
          <w:sz w:val="12"/>
          <w:szCs w:val="12"/>
        </w:rPr>
      </w:pPr>
      <w:r w:rsidRPr="00EC00ED">
        <w:rPr>
          <w:rStyle w:val="Refdenotaalpie"/>
          <w:rFonts w:ascii="Arial" w:hAnsi="Arial" w:cs="Arial"/>
          <w:color w:val="000000"/>
          <w:sz w:val="12"/>
          <w:szCs w:val="12"/>
        </w:rPr>
        <w:footnoteRef/>
      </w:r>
      <w:r w:rsidRPr="00EC00ED">
        <w:rPr>
          <w:rFonts w:ascii="Arial" w:hAnsi="Arial" w:cs="Arial"/>
          <w:color w:val="000000"/>
          <w:sz w:val="12"/>
          <w:szCs w:val="12"/>
        </w:rPr>
        <w:t xml:space="preserve"> </w:t>
      </w:r>
      <w:r w:rsidRPr="00EC00ED">
        <w:rPr>
          <w:rFonts w:ascii="Arial" w:hAnsi="Arial" w:cs="Arial"/>
          <w:color w:val="000000"/>
          <w:sz w:val="12"/>
          <w:szCs w:val="12"/>
          <w:lang w:val="es-CO"/>
        </w:rPr>
        <w:t xml:space="preserve">Ley 1882 de 2018: “Artículo 4. </w:t>
      </w:r>
      <w:r w:rsidRPr="00EC00ED">
        <w:rPr>
          <w:rFonts w:ascii="Arial" w:hAnsi="Arial" w:cs="Arial"/>
          <w:color w:val="000000"/>
          <w:sz w:val="12"/>
          <w:szCs w:val="12"/>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451CE77" w14:textId="77777777" w:rsidR="00EC00ED" w:rsidRPr="00EC00ED" w:rsidRDefault="00EC00ED" w:rsidP="00EC00ED">
      <w:pPr>
        <w:pStyle w:val="Textonotapie"/>
        <w:spacing w:after="120"/>
        <w:ind w:firstLine="709"/>
        <w:jc w:val="both"/>
        <w:rPr>
          <w:rFonts w:ascii="Arial" w:hAnsi="Arial" w:cs="Arial"/>
          <w:color w:val="000000"/>
          <w:sz w:val="12"/>
          <w:szCs w:val="12"/>
          <w:lang w:val="es-CO"/>
        </w:rPr>
      </w:pPr>
      <w:r w:rsidRPr="00EC00ED">
        <w:rPr>
          <w:rFonts w:ascii="Arial" w:hAnsi="Arial" w:cs="Arial"/>
          <w:color w:val="000000"/>
          <w:sz w:val="12"/>
          <w:szCs w:val="12"/>
          <w:lang w:val="es-CO"/>
        </w:rPr>
        <w:t>La facultad de adoptar documentos tipo la tendrá el Gobierno nacional, cuando lo considere necesario, en relación con otros contratos o procesos de selección.</w:t>
      </w:r>
    </w:p>
    <w:p w14:paraId="016A8F6A" w14:textId="77777777" w:rsidR="00EC00ED" w:rsidRPr="00EC00ED" w:rsidRDefault="00EC00ED" w:rsidP="00EC00ED">
      <w:pPr>
        <w:pStyle w:val="Textonotapie"/>
        <w:spacing w:after="120"/>
        <w:ind w:firstLine="709"/>
        <w:jc w:val="both"/>
        <w:rPr>
          <w:rFonts w:ascii="Arial" w:hAnsi="Arial" w:cs="Arial"/>
          <w:color w:val="000000"/>
          <w:sz w:val="12"/>
          <w:szCs w:val="12"/>
          <w:lang w:val="es-CO"/>
        </w:rPr>
      </w:pPr>
      <w:r w:rsidRPr="00EC00ED">
        <w:rPr>
          <w:rFonts w:ascii="Arial" w:hAnsi="Arial" w:cs="Arial"/>
          <w:color w:val="000000"/>
          <w:sz w:val="12"/>
          <w:szCs w:val="12"/>
          <w:lang w:val="es-CO"/>
        </w:rPr>
        <w:t>Los pliegos tipo se adoptarán por categorías de acuerdo con la cuantía de la contratación, según la reglamentación que expida el Gobierno nacional”.</w:t>
      </w:r>
    </w:p>
  </w:footnote>
  <w:footnote w:id="5">
    <w:p w14:paraId="700C8370" w14:textId="77777777" w:rsidR="00EC00ED" w:rsidRPr="00EC00ED" w:rsidRDefault="00EC00ED" w:rsidP="00EC00ED">
      <w:pPr>
        <w:pStyle w:val="Textonotapie"/>
        <w:spacing w:after="120"/>
        <w:ind w:firstLine="709"/>
        <w:jc w:val="both"/>
        <w:rPr>
          <w:rFonts w:ascii="Arial" w:hAnsi="Arial" w:cs="Arial"/>
          <w:color w:val="000000"/>
          <w:sz w:val="12"/>
          <w:szCs w:val="12"/>
        </w:rPr>
      </w:pPr>
      <w:r w:rsidRPr="00EC00ED">
        <w:rPr>
          <w:rStyle w:val="Refdenotaalpie"/>
          <w:rFonts w:ascii="Arial" w:hAnsi="Arial" w:cs="Arial"/>
          <w:color w:val="000000"/>
          <w:sz w:val="12"/>
          <w:szCs w:val="12"/>
        </w:rPr>
        <w:footnoteRef/>
      </w:r>
      <w:r w:rsidRPr="00EC00ED">
        <w:rPr>
          <w:rFonts w:ascii="Arial" w:hAnsi="Arial" w:cs="Arial"/>
          <w:color w:val="000000"/>
          <w:sz w:val="12"/>
          <w:szCs w:val="12"/>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2B1B46CB" w14:textId="77777777" w:rsidR="00EC00ED" w:rsidRPr="00EC00ED" w:rsidRDefault="00EC00ED" w:rsidP="00EC00ED">
      <w:pPr>
        <w:pStyle w:val="Textonotapie"/>
        <w:spacing w:after="120"/>
        <w:ind w:firstLine="708"/>
        <w:jc w:val="both"/>
        <w:rPr>
          <w:rFonts w:ascii="Arial" w:hAnsi="Arial" w:cs="Arial"/>
          <w:color w:val="000000"/>
          <w:sz w:val="12"/>
          <w:szCs w:val="12"/>
        </w:rPr>
      </w:pPr>
      <w:r w:rsidRPr="00EC00ED">
        <w:rPr>
          <w:rStyle w:val="Refdenotaalpie"/>
          <w:rFonts w:ascii="Arial" w:hAnsi="Arial" w:cs="Arial"/>
          <w:color w:val="000000"/>
          <w:sz w:val="12"/>
          <w:szCs w:val="12"/>
        </w:rPr>
        <w:footnoteRef/>
      </w:r>
      <w:r w:rsidRPr="00EC00ED">
        <w:rPr>
          <w:rFonts w:ascii="Arial" w:hAnsi="Arial" w:cs="Arial"/>
          <w:color w:val="000000"/>
          <w:sz w:val="12"/>
          <w:szCs w:val="12"/>
        </w:rPr>
        <w:t xml:space="preserve"> “ARTÍCULO 1o. Modifíquese el artículo 4o de la Ley 1882 de 2018, el cual quedará así:</w:t>
      </w:r>
    </w:p>
    <w:p w14:paraId="5077965D" w14:textId="77777777" w:rsidR="00EC00ED" w:rsidRPr="00EC00ED" w:rsidRDefault="00EC00ED" w:rsidP="00EC00ED">
      <w:pPr>
        <w:pStyle w:val="Textonotapie"/>
        <w:spacing w:after="120"/>
        <w:ind w:firstLine="708"/>
        <w:jc w:val="both"/>
        <w:rPr>
          <w:rFonts w:ascii="Arial" w:hAnsi="Arial" w:cs="Arial"/>
          <w:color w:val="000000"/>
          <w:sz w:val="12"/>
          <w:szCs w:val="12"/>
        </w:rPr>
      </w:pPr>
      <w:r w:rsidRPr="00EC00ED">
        <w:rPr>
          <w:rFonts w:ascii="Arial" w:hAnsi="Arial" w:cs="Arial"/>
          <w:color w:val="000000"/>
          <w:sz w:val="12"/>
          <w:szCs w:val="12"/>
        </w:rPr>
        <w:t>Artículo 4o. Adiciónese el siguiente parágrafo al artículo 2o de la Ley 1150 de 2007.</w:t>
      </w:r>
    </w:p>
    <w:p w14:paraId="16D0459B" w14:textId="77777777" w:rsidR="00EC00ED" w:rsidRPr="00EC00ED" w:rsidRDefault="00EC00ED" w:rsidP="00EC00ED">
      <w:pPr>
        <w:pStyle w:val="Textonotapie"/>
        <w:spacing w:after="120"/>
        <w:ind w:firstLine="708"/>
        <w:jc w:val="both"/>
        <w:rPr>
          <w:rFonts w:ascii="Arial" w:hAnsi="Arial" w:cs="Arial"/>
          <w:color w:val="000000"/>
          <w:sz w:val="12"/>
          <w:szCs w:val="12"/>
        </w:rPr>
      </w:pPr>
      <w:r w:rsidRPr="00EC00ED">
        <w:rPr>
          <w:rFonts w:ascii="Arial" w:hAnsi="Arial" w:cs="Arial"/>
          <w:color w:val="000000"/>
          <w:sz w:val="12"/>
          <w:szCs w:val="12"/>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F0AFA4A" w14:textId="77777777" w:rsidR="00EC00ED" w:rsidRPr="00EC00ED" w:rsidRDefault="00EC00ED" w:rsidP="00EC00ED">
      <w:pPr>
        <w:pStyle w:val="Textonotapie"/>
        <w:spacing w:after="120"/>
        <w:ind w:firstLine="708"/>
        <w:jc w:val="both"/>
        <w:rPr>
          <w:rFonts w:ascii="Arial" w:hAnsi="Arial" w:cs="Arial"/>
          <w:color w:val="000000"/>
          <w:sz w:val="12"/>
          <w:szCs w:val="12"/>
        </w:rPr>
      </w:pPr>
      <w:r w:rsidRPr="00EC00ED">
        <w:rPr>
          <w:rFonts w:ascii="Arial" w:hAnsi="Arial" w:cs="Arial"/>
          <w:color w:val="000000"/>
          <w:sz w:val="12"/>
          <w:szCs w:val="12"/>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330BE73" w14:textId="77777777" w:rsidR="00EC00ED" w:rsidRPr="00EC00ED" w:rsidRDefault="00EC00ED" w:rsidP="00EC00ED">
      <w:pPr>
        <w:pStyle w:val="Textonotapie"/>
        <w:spacing w:after="120"/>
        <w:ind w:firstLine="708"/>
        <w:jc w:val="both"/>
        <w:rPr>
          <w:rFonts w:ascii="Arial" w:hAnsi="Arial" w:cs="Arial"/>
          <w:color w:val="000000"/>
          <w:sz w:val="12"/>
          <w:szCs w:val="12"/>
        </w:rPr>
      </w:pPr>
      <w:r w:rsidRPr="00EC00ED">
        <w:rPr>
          <w:rFonts w:ascii="Arial" w:hAnsi="Arial" w:cs="Arial"/>
          <w:color w:val="000000"/>
          <w:sz w:val="12"/>
          <w:szCs w:val="12"/>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0072C40" w14:textId="77777777" w:rsidR="00EC00ED" w:rsidRPr="00EC00ED" w:rsidRDefault="00EC00ED" w:rsidP="00EC00ED">
      <w:pPr>
        <w:pStyle w:val="Textonotapie"/>
        <w:spacing w:after="120"/>
        <w:ind w:firstLine="708"/>
        <w:jc w:val="both"/>
        <w:rPr>
          <w:rFonts w:ascii="Arial" w:hAnsi="Arial" w:cs="Arial"/>
          <w:color w:val="000000"/>
          <w:sz w:val="12"/>
          <w:szCs w:val="12"/>
        </w:rPr>
      </w:pPr>
      <w:r w:rsidRPr="00EC00ED">
        <w:rPr>
          <w:rFonts w:ascii="Arial" w:hAnsi="Arial" w:cs="Arial"/>
          <w:color w:val="000000"/>
          <w:sz w:val="12"/>
          <w:szCs w:val="12"/>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E397170" w14:textId="77777777" w:rsidR="00EC00ED" w:rsidRPr="00EC00ED" w:rsidRDefault="00EC00ED" w:rsidP="00EC00ED">
      <w:pPr>
        <w:pStyle w:val="Textonotapie"/>
        <w:spacing w:after="120"/>
        <w:ind w:firstLine="708"/>
        <w:jc w:val="both"/>
        <w:rPr>
          <w:rFonts w:ascii="Arial" w:hAnsi="Arial" w:cs="Arial"/>
          <w:color w:val="000000"/>
          <w:sz w:val="12"/>
          <w:szCs w:val="12"/>
          <w:lang w:val="es-CO"/>
        </w:rPr>
      </w:pPr>
      <w:r w:rsidRPr="00EC00ED">
        <w:rPr>
          <w:rFonts w:ascii="Arial" w:hAnsi="Arial" w:cs="Arial"/>
          <w:color w:val="000000"/>
          <w:sz w:val="12"/>
          <w:szCs w:val="12"/>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1CC19587" w14:textId="77777777" w:rsidR="00EC00ED" w:rsidRPr="00EC00ED" w:rsidRDefault="00EC00ED" w:rsidP="00EC00ED">
      <w:pPr>
        <w:pStyle w:val="Textonotapie"/>
        <w:ind w:firstLine="708"/>
        <w:jc w:val="both"/>
        <w:rPr>
          <w:rFonts w:ascii="Arial" w:hAnsi="Arial" w:cs="Arial"/>
          <w:sz w:val="12"/>
          <w:szCs w:val="12"/>
        </w:rPr>
      </w:pPr>
      <w:r w:rsidRPr="00EC00ED">
        <w:rPr>
          <w:rStyle w:val="Refdenotaalpie"/>
          <w:rFonts w:ascii="Arial" w:hAnsi="Arial" w:cs="Arial"/>
          <w:sz w:val="12"/>
          <w:szCs w:val="12"/>
        </w:rPr>
        <w:footnoteRef/>
      </w:r>
      <w:r w:rsidRPr="00EC00ED">
        <w:rPr>
          <w:rFonts w:ascii="Arial" w:hAnsi="Arial" w:cs="Arial"/>
          <w:sz w:val="12"/>
          <w:szCs w:val="12"/>
        </w:rPr>
        <w:t xml:space="preserve"> “</w:t>
      </w:r>
      <w:r w:rsidRPr="00EC00ED">
        <w:rPr>
          <w:rFonts w:ascii="Arial" w:eastAsia="Calibri" w:hAnsi="Arial" w:cs="Arial"/>
          <w:sz w:val="12"/>
          <w:szCs w:val="12"/>
          <w:lang w:val="es-ES" w:eastAsia="es-ES"/>
        </w:rPr>
        <w:t>Artículo 179 – VIGENCIA. Esta resolución rige a partir de su publicación y aplicará a los Procesos de Contratación cuyo aviso de convocatoria se publique a partir del 29 de agosto de 2022”.</w:t>
      </w:r>
    </w:p>
  </w:footnote>
  <w:footnote w:id="8">
    <w:p w14:paraId="49922C97" w14:textId="77777777" w:rsidR="00EC00ED" w:rsidRPr="00EC00ED" w:rsidRDefault="00EC00ED" w:rsidP="00EC00ED">
      <w:pPr>
        <w:spacing w:after="120" w:line="240" w:lineRule="auto"/>
        <w:ind w:right="51" w:firstLine="720"/>
        <w:jc w:val="both"/>
        <w:rPr>
          <w:rFonts w:ascii="Arial" w:hAnsi="Arial" w:cs="Arial"/>
          <w:sz w:val="12"/>
          <w:szCs w:val="12"/>
        </w:rPr>
      </w:pPr>
      <w:r w:rsidRPr="00EC00ED">
        <w:rPr>
          <w:rStyle w:val="Refdenotaalpie"/>
          <w:rFonts w:ascii="Arial" w:hAnsi="Arial" w:cs="Arial"/>
          <w:sz w:val="12"/>
          <w:szCs w:val="12"/>
        </w:rPr>
        <w:footnoteRef/>
      </w:r>
      <w:r w:rsidRPr="00EC00ED">
        <w:rPr>
          <w:rFonts w:ascii="Arial" w:hAnsi="Arial" w:cs="Arial"/>
          <w:sz w:val="12"/>
          <w:szCs w:val="12"/>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EC00ED">
        <w:rPr>
          <w:rFonts w:ascii="Arial" w:hAnsi="Arial" w:cs="Arial"/>
          <w:spacing w:val="-14"/>
          <w:sz w:val="12"/>
          <w:szCs w:val="12"/>
        </w:rPr>
        <w:t xml:space="preserve"> </w:t>
      </w:r>
      <w:r w:rsidRPr="00EC00ED">
        <w:rPr>
          <w:rFonts w:ascii="Arial" w:hAnsi="Arial" w:cs="Arial"/>
          <w:sz w:val="12"/>
          <w:szCs w:val="12"/>
        </w:rPr>
        <w:t>utilizados.</w:t>
      </w:r>
    </w:p>
    <w:p w14:paraId="07C580D0" w14:textId="77777777" w:rsidR="00EC00ED" w:rsidRPr="00EC00ED" w:rsidRDefault="00EC00ED" w:rsidP="00EC00ED">
      <w:pPr>
        <w:spacing w:after="120" w:line="240" w:lineRule="auto"/>
        <w:ind w:right="51" w:firstLine="708"/>
        <w:jc w:val="both"/>
        <w:rPr>
          <w:rFonts w:ascii="Arial" w:hAnsi="Arial" w:cs="Arial"/>
          <w:sz w:val="12"/>
          <w:szCs w:val="12"/>
        </w:rPr>
      </w:pPr>
      <w:r w:rsidRPr="00EC00ED">
        <w:rPr>
          <w:rFonts w:ascii="Arial" w:hAnsi="Arial" w:cs="Arial"/>
          <w:sz w:val="12"/>
          <w:szCs w:val="12"/>
        </w:rPr>
        <w:t>[…]</w:t>
      </w:r>
    </w:p>
    <w:p w14:paraId="3EEB6AE1" w14:textId="77777777" w:rsidR="00EC00ED" w:rsidRPr="00EC00ED" w:rsidRDefault="00EC00ED" w:rsidP="00EC00ED">
      <w:pPr>
        <w:spacing w:after="120" w:line="240" w:lineRule="auto"/>
        <w:ind w:right="51" w:firstLine="708"/>
        <w:jc w:val="both"/>
        <w:rPr>
          <w:rFonts w:ascii="Arial" w:hAnsi="Arial" w:cs="Arial"/>
          <w:sz w:val="12"/>
          <w:szCs w:val="12"/>
        </w:rPr>
      </w:pPr>
      <w:r w:rsidRPr="00EC00ED">
        <w:rPr>
          <w:rFonts w:ascii="Arial" w:hAnsi="Arial" w:cs="Arial"/>
          <w:sz w:val="12"/>
          <w:szCs w:val="12"/>
        </w:rPr>
        <w:t>Capacidad Residual o K de Contratación: Aptitud de un oferente para cumplir oportuna y cabalmente con el objeto de un contrato de obra, sin que sus otros compromisos contractuales afecten su habilidad de cumplir con el contrato que está en proceso de selección”.</w:t>
      </w:r>
    </w:p>
  </w:footnote>
  <w:footnote w:id="9">
    <w:p w14:paraId="686FFFDE" w14:textId="77777777" w:rsidR="00EC00ED" w:rsidRPr="00EC00ED" w:rsidRDefault="00EC00ED" w:rsidP="00EC00ED">
      <w:pPr>
        <w:widowControl w:val="0"/>
        <w:autoSpaceDE w:val="0"/>
        <w:autoSpaceDN w:val="0"/>
        <w:spacing w:after="120" w:line="240" w:lineRule="auto"/>
        <w:ind w:firstLine="708"/>
        <w:jc w:val="both"/>
        <w:rPr>
          <w:rFonts w:ascii="Arial" w:eastAsia="Arial" w:hAnsi="Arial" w:cs="Arial"/>
          <w:sz w:val="12"/>
          <w:szCs w:val="12"/>
          <w:lang w:val="es-ES" w:eastAsia="es-ES" w:bidi="es-ES"/>
        </w:rPr>
      </w:pPr>
      <w:r w:rsidRPr="00EC00ED">
        <w:rPr>
          <w:rStyle w:val="Refdenotaalpie"/>
          <w:rFonts w:ascii="Arial" w:hAnsi="Arial" w:cs="Arial"/>
          <w:sz w:val="12"/>
          <w:szCs w:val="12"/>
        </w:rPr>
        <w:footnoteRef/>
      </w:r>
      <w:r w:rsidRPr="00EC00ED">
        <w:rPr>
          <w:rFonts w:ascii="Arial" w:hAnsi="Arial" w:cs="Arial"/>
          <w:sz w:val="12"/>
          <w:szCs w:val="12"/>
        </w:rPr>
        <w:t xml:space="preserve"> “</w:t>
      </w:r>
      <w:r w:rsidRPr="00EC00ED">
        <w:rPr>
          <w:rFonts w:ascii="Arial" w:eastAsia="Arial" w:hAnsi="Arial" w:cs="Arial"/>
          <w:sz w:val="12"/>
          <w:szCs w:val="12"/>
          <w:lang w:val="es-ES" w:eastAsia="es-ES" w:bidi="es-ES"/>
        </w:rPr>
        <w:t xml:space="preserve">Artículo 2.2.1.1.1.6.4. Capacidad Residual. El interesado en celebrar contratos de obra pública con Entidades Estatales debe acreditar su Capacidad Residual o K de Contratación con los siguientes documentos: </w:t>
      </w:r>
    </w:p>
    <w:p w14:paraId="2BB7E874" w14:textId="77777777" w:rsidR="00EC00ED" w:rsidRPr="00EC00ED" w:rsidRDefault="00EC00ED" w:rsidP="00EC00ED">
      <w:pPr>
        <w:widowControl w:val="0"/>
        <w:autoSpaceDE w:val="0"/>
        <w:autoSpaceDN w:val="0"/>
        <w:spacing w:after="120" w:line="240" w:lineRule="auto"/>
        <w:ind w:firstLine="708"/>
        <w:jc w:val="both"/>
        <w:rPr>
          <w:rFonts w:ascii="Arial" w:eastAsia="Arial" w:hAnsi="Arial" w:cs="Arial"/>
          <w:sz w:val="12"/>
          <w:szCs w:val="12"/>
          <w:lang w:val="es-ES" w:eastAsia="es-ES" w:bidi="es-ES"/>
        </w:rPr>
      </w:pPr>
      <w:r w:rsidRPr="00EC00ED">
        <w:rPr>
          <w:rFonts w:ascii="Arial" w:eastAsia="Arial" w:hAnsi="Arial" w:cs="Arial"/>
          <w:sz w:val="12"/>
          <w:szCs w:val="12"/>
          <w:lang w:val="es-ES" w:eastAsia="es-ES" w:bidi="es-ES"/>
        </w:rPr>
        <w:t>[…]</w:t>
      </w:r>
    </w:p>
    <w:p w14:paraId="495D66D5" w14:textId="77777777" w:rsidR="00EC00ED" w:rsidRPr="00EC00ED" w:rsidRDefault="00EC00ED" w:rsidP="00EC00ED">
      <w:pPr>
        <w:widowControl w:val="0"/>
        <w:autoSpaceDE w:val="0"/>
        <w:autoSpaceDN w:val="0"/>
        <w:spacing w:after="120" w:line="240" w:lineRule="auto"/>
        <w:ind w:firstLine="708"/>
        <w:jc w:val="both"/>
        <w:rPr>
          <w:rFonts w:ascii="Arial" w:hAnsi="Arial" w:cs="Arial"/>
          <w:sz w:val="12"/>
          <w:szCs w:val="12"/>
        </w:rPr>
      </w:pPr>
      <w:r w:rsidRPr="00EC00ED">
        <w:rPr>
          <w:rFonts w:ascii="Arial" w:eastAsia="Arial" w:hAnsi="Arial" w:cs="Arial"/>
          <w:sz w:val="12"/>
          <w:szCs w:val="12"/>
          <w:lang w:val="es-ES" w:eastAsia="es-ES" w:bidi="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footnote>
  <w:footnote w:id="10">
    <w:p w14:paraId="1F3ED82A" w14:textId="77777777" w:rsidR="00EC00ED" w:rsidRPr="00EC00ED" w:rsidRDefault="00EC00ED" w:rsidP="00EC00ED">
      <w:pPr>
        <w:pStyle w:val="NormalWeb"/>
        <w:shd w:val="clear" w:color="auto" w:fill="FFFFFF"/>
        <w:spacing w:after="120" w:line="240" w:lineRule="auto"/>
        <w:ind w:firstLine="709"/>
        <w:jc w:val="both"/>
        <w:rPr>
          <w:rFonts w:ascii="Arial" w:hAnsi="Arial" w:cs="Arial"/>
          <w:sz w:val="12"/>
          <w:szCs w:val="12"/>
        </w:rPr>
      </w:pPr>
      <w:r w:rsidRPr="00EC00ED">
        <w:rPr>
          <w:rStyle w:val="Refdenotaalpie"/>
          <w:rFonts w:ascii="Arial" w:hAnsi="Arial" w:cs="Arial"/>
          <w:sz w:val="12"/>
          <w:szCs w:val="12"/>
          <w:lang w:val="es-MX"/>
        </w:rPr>
        <w:footnoteRef/>
      </w:r>
      <w:r w:rsidRPr="00EC00ED">
        <w:rPr>
          <w:rStyle w:val="Refdenotaalpie"/>
          <w:rFonts w:ascii="Arial" w:hAnsi="Arial" w:cs="Arial"/>
          <w:sz w:val="12"/>
          <w:szCs w:val="12"/>
          <w:lang w:val="es-MX"/>
        </w:rPr>
        <w:t xml:space="preserve"> </w:t>
      </w:r>
      <w:r w:rsidRPr="00EC00ED">
        <w:rPr>
          <w:rFonts w:ascii="Arial" w:hAnsi="Arial" w:cs="Arial"/>
          <w:sz w:val="12"/>
          <w:szCs w:val="12"/>
        </w:rPr>
        <w:t>“Artículo 2.2.1.1.1.6.4. Capacidad Residual: El interesado en celebrar contratos de obra pública con Entidades Estatales debe acreditar su Capacidad Residual o K de Contratación con los siguientes documentos:</w:t>
      </w:r>
    </w:p>
    <w:p w14:paraId="48F7947B" w14:textId="77777777" w:rsidR="00EC00ED" w:rsidRPr="00EC00ED" w:rsidRDefault="00EC00ED" w:rsidP="00EC00ED">
      <w:pPr>
        <w:shd w:val="clear" w:color="auto" w:fill="FFFFFF"/>
        <w:spacing w:after="120" w:line="240" w:lineRule="auto"/>
        <w:ind w:firstLine="709"/>
        <w:jc w:val="both"/>
        <w:rPr>
          <w:rFonts w:ascii="Arial" w:hAnsi="Arial" w:cs="Arial"/>
          <w:sz w:val="12"/>
          <w:szCs w:val="12"/>
        </w:rPr>
      </w:pPr>
      <w:r w:rsidRPr="00EC00ED">
        <w:rPr>
          <w:rFonts w:ascii="Arial" w:hAnsi="Arial" w:cs="Arial"/>
          <w:sz w:val="12"/>
          <w:szCs w:val="12"/>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5D0808A0" w14:textId="77777777" w:rsidR="00EC00ED" w:rsidRPr="00EC00ED" w:rsidRDefault="00EC00ED" w:rsidP="00EC00ED">
      <w:pPr>
        <w:shd w:val="clear" w:color="auto" w:fill="FFFFFF"/>
        <w:spacing w:after="120" w:line="240" w:lineRule="auto"/>
        <w:ind w:firstLine="709"/>
        <w:jc w:val="both"/>
        <w:rPr>
          <w:rFonts w:ascii="Arial" w:hAnsi="Arial" w:cs="Arial"/>
          <w:sz w:val="12"/>
          <w:szCs w:val="12"/>
        </w:rPr>
      </w:pPr>
      <w:r w:rsidRPr="00EC00ED">
        <w:rPr>
          <w:rFonts w:ascii="Arial" w:hAnsi="Arial" w:cs="Arial"/>
          <w:sz w:val="12"/>
          <w:szCs w:val="12"/>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183FC914" w14:textId="77777777" w:rsidR="00EC00ED" w:rsidRPr="00EC00ED" w:rsidRDefault="00EC00ED" w:rsidP="00EC00ED">
      <w:pPr>
        <w:shd w:val="clear" w:color="auto" w:fill="FFFFFF"/>
        <w:spacing w:after="120" w:line="240" w:lineRule="auto"/>
        <w:ind w:firstLine="709"/>
        <w:jc w:val="both"/>
        <w:rPr>
          <w:rFonts w:ascii="Arial" w:hAnsi="Arial" w:cs="Arial"/>
          <w:sz w:val="12"/>
          <w:szCs w:val="12"/>
        </w:rPr>
      </w:pPr>
      <w:r w:rsidRPr="00EC00ED">
        <w:rPr>
          <w:rFonts w:ascii="Arial" w:hAnsi="Arial" w:cs="Arial"/>
          <w:sz w:val="12"/>
          <w:szCs w:val="12"/>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1">
    <w:p w14:paraId="6211CDC5" w14:textId="77777777" w:rsidR="00EC00ED" w:rsidRPr="00EC00ED" w:rsidRDefault="00EC00ED" w:rsidP="00EC00ED">
      <w:pPr>
        <w:pStyle w:val="Textonotapie"/>
        <w:spacing w:after="120"/>
        <w:ind w:firstLine="709"/>
        <w:jc w:val="both"/>
        <w:rPr>
          <w:rFonts w:ascii="Arial" w:hAnsi="Arial" w:cs="Arial"/>
          <w:sz w:val="12"/>
          <w:szCs w:val="12"/>
        </w:rPr>
      </w:pPr>
      <w:r w:rsidRPr="00EC00ED">
        <w:rPr>
          <w:rStyle w:val="Refdenotaalpie"/>
          <w:rFonts w:ascii="Arial" w:hAnsi="Arial" w:cs="Arial"/>
          <w:sz w:val="12"/>
          <w:szCs w:val="12"/>
        </w:rPr>
        <w:footnoteRef/>
      </w:r>
      <w:r w:rsidRPr="00EC00ED">
        <w:rPr>
          <w:rFonts w:ascii="Arial" w:hAnsi="Arial" w:cs="Arial"/>
          <w:sz w:val="12"/>
          <w:szCs w:val="12"/>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600FDFAC" w14:textId="77777777" w:rsidR="00EC00ED" w:rsidRPr="00EC00ED" w:rsidRDefault="00EC00ED" w:rsidP="00EC00ED">
      <w:pPr>
        <w:pStyle w:val="Textonotapie"/>
        <w:spacing w:after="120"/>
        <w:ind w:firstLine="709"/>
        <w:jc w:val="both"/>
        <w:rPr>
          <w:rFonts w:ascii="Arial" w:hAnsi="Arial" w:cs="Arial"/>
          <w:sz w:val="12"/>
          <w:szCs w:val="12"/>
        </w:rPr>
      </w:pPr>
      <w:r w:rsidRPr="00EC00ED">
        <w:rPr>
          <w:rFonts w:ascii="Arial" w:hAnsi="Arial" w:cs="Arial"/>
          <w:sz w:val="12"/>
          <w:szCs w:val="12"/>
        </w:rPr>
        <w:t>1. Experiencia – Los contratos celebrados por el interesado para cada uno de los bienes, obras y servicios que ofrecerá a las Entidades Estatales, identificados con el Clasificador de Bienes y Servicios en el tercer nivel y su valor expresado en SMMLV.</w:t>
      </w:r>
    </w:p>
    <w:p w14:paraId="5C04B2E8" w14:textId="77777777" w:rsidR="00EC00ED" w:rsidRPr="00EC00ED" w:rsidRDefault="00EC00ED" w:rsidP="00EC00ED">
      <w:pPr>
        <w:pStyle w:val="Textonotapie"/>
        <w:spacing w:after="120"/>
        <w:ind w:firstLine="709"/>
        <w:jc w:val="both"/>
        <w:rPr>
          <w:rFonts w:ascii="Arial" w:hAnsi="Arial" w:cs="Arial"/>
          <w:sz w:val="12"/>
          <w:szCs w:val="12"/>
        </w:rPr>
      </w:pPr>
      <w:r w:rsidRPr="00EC00ED">
        <w:rPr>
          <w:rFonts w:ascii="Arial" w:hAnsi="Arial" w:cs="Arial"/>
          <w:sz w:val="12"/>
          <w:szCs w:val="12"/>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footnote>
  <w:footnote w:id="12">
    <w:p w14:paraId="3B505DED" w14:textId="77777777" w:rsidR="00EC00ED" w:rsidRPr="00EC00ED" w:rsidRDefault="00EC00ED" w:rsidP="00EC00ED">
      <w:pPr>
        <w:pStyle w:val="Textonotapie"/>
        <w:ind w:firstLine="708"/>
        <w:rPr>
          <w:rFonts w:ascii="Arial" w:hAnsi="Arial" w:cs="Arial"/>
          <w:sz w:val="12"/>
          <w:szCs w:val="12"/>
        </w:rPr>
      </w:pPr>
      <w:r w:rsidRPr="00EC00ED">
        <w:rPr>
          <w:rStyle w:val="Refdenotaalpie"/>
          <w:rFonts w:ascii="Arial" w:hAnsi="Arial" w:cs="Arial"/>
          <w:sz w:val="12"/>
          <w:szCs w:val="12"/>
        </w:rPr>
        <w:footnoteRef/>
      </w:r>
      <w:r w:rsidRPr="00EC00ED">
        <w:rPr>
          <w:rFonts w:ascii="Arial" w:hAnsi="Arial" w:cs="Arial"/>
          <w:sz w:val="12"/>
          <w:szCs w:val="12"/>
        </w:rPr>
        <w:t xml:space="preserve"> Sin embargo tener en cuenta el termino de traslado previsto en el Decreto 1080 de 2021 para proceso de contratación adelantados por mínima cuantía.</w:t>
      </w:r>
    </w:p>
  </w:footnote>
  <w:footnote w:id="13">
    <w:p w14:paraId="1530194D" w14:textId="77777777" w:rsidR="00EC00ED" w:rsidRPr="00EC00ED" w:rsidRDefault="00EC00ED" w:rsidP="00EC00ED">
      <w:pPr>
        <w:pStyle w:val="Textonotapie"/>
        <w:ind w:firstLine="709"/>
        <w:contextualSpacing/>
        <w:jc w:val="both"/>
        <w:rPr>
          <w:rFonts w:ascii="Arial" w:hAnsi="Arial" w:cs="Arial"/>
          <w:color w:val="000000"/>
          <w:sz w:val="12"/>
          <w:szCs w:val="12"/>
        </w:rPr>
      </w:pPr>
      <w:r w:rsidRPr="00EC00ED">
        <w:rPr>
          <w:rStyle w:val="Refdenotaalpie"/>
          <w:rFonts w:ascii="Arial" w:hAnsi="Arial" w:cs="Arial"/>
          <w:color w:val="000000"/>
          <w:sz w:val="12"/>
          <w:szCs w:val="12"/>
        </w:rPr>
        <w:footnoteRef/>
      </w:r>
      <w:r w:rsidRPr="00EC00ED">
        <w:rPr>
          <w:rStyle w:val="Refdenotaalpie"/>
          <w:rFonts w:ascii="Arial" w:hAnsi="Arial" w:cs="Arial"/>
          <w:color w:val="000000"/>
          <w:sz w:val="12"/>
          <w:szCs w:val="12"/>
        </w:rPr>
        <w:t xml:space="preserve"> </w:t>
      </w:r>
      <w:r w:rsidRPr="00EC00ED">
        <w:rPr>
          <w:rFonts w:ascii="Arial" w:hAnsi="Arial" w:cs="Arial"/>
          <w:color w:val="000000"/>
          <w:sz w:val="12"/>
          <w:szCs w:val="12"/>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71476E65" w14:textId="77777777" w:rsidR="00EC00ED" w:rsidRPr="00EC00ED" w:rsidRDefault="00EC00ED" w:rsidP="00EC00ED">
      <w:pPr>
        <w:pStyle w:val="Textonotapie"/>
        <w:ind w:firstLine="709"/>
        <w:contextualSpacing/>
        <w:jc w:val="both"/>
        <w:rPr>
          <w:rFonts w:ascii="Arial" w:hAnsi="Arial" w:cs="Arial"/>
          <w:color w:val="000000"/>
          <w:sz w:val="12"/>
          <w:szCs w:val="12"/>
        </w:rPr>
      </w:pPr>
    </w:p>
  </w:footnote>
  <w:footnote w:id="14">
    <w:p w14:paraId="5C630736" w14:textId="77777777" w:rsidR="00EC00ED" w:rsidRPr="00EC00ED" w:rsidRDefault="00EC00ED" w:rsidP="00EC00ED">
      <w:pPr>
        <w:pStyle w:val="NormalWeb"/>
        <w:shd w:val="clear" w:color="auto" w:fill="FFFFFF"/>
        <w:spacing w:after="0"/>
        <w:ind w:firstLine="708"/>
        <w:contextualSpacing/>
        <w:rPr>
          <w:rFonts w:ascii="Arial" w:hAnsi="Arial" w:cs="Arial"/>
          <w:sz w:val="12"/>
          <w:szCs w:val="12"/>
          <w:lang w:val="es-ES"/>
        </w:rPr>
      </w:pPr>
      <w:r w:rsidRPr="00EC00ED">
        <w:rPr>
          <w:rStyle w:val="Refdenotaalpie"/>
          <w:rFonts w:ascii="Arial" w:eastAsia="Arial" w:hAnsi="Arial" w:cs="Arial"/>
          <w:sz w:val="12"/>
          <w:szCs w:val="12"/>
        </w:rPr>
        <w:footnoteRef/>
      </w:r>
      <w:r w:rsidRPr="00EC00ED">
        <w:rPr>
          <w:rFonts w:ascii="Arial" w:hAnsi="Arial" w:cs="Arial"/>
          <w:sz w:val="12"/>
          <w:szCs w:val="12"/>
        </w:rPr>
        <w:t xml:space="preserve"> “</w:t>
      </w:r>
      <w:r w:rsidRPr="00EC00ED">
        <w:rPr>
          <w:rFonts w:ascii="Arial" w:hAnsi="Arial" w:cs="Arial"/>
          <w:bCs/>
          <w:sz w:val="12"/>
          <w:szCs w:val="12"/>
          <w:shd w:val="clear" w:color="auto" w:fill="FFFFFF"/>
        </w:rPr>
        <w:t>2.2.1.2.1.5.2</w:t>
      </w:r>
      <w:r w:rsidRPr="00EC00ED">
        <w:rPr>
          <w:rFonts w:ascii="Arial" w:hAnsi="Arial" w:cs="Arial"/>
          <w:sz w:val="12"/>
          <w:szCs w:val="12"/>
          <w:lang w:val="es-ES"/>
        </w:rPr>
        <w:t xml:space="preserve">5. </w:t>
      </w:r>
      <w:r w:rsidRPr="00EC00ED">
        <w:rPr>
          <w:rFonts w:ascii="Arial" w:hAnsi="Arial" w:cs="Arial"/>
          <w:bCs/>
          <w:sz w:val="12"/>
          <w:szCs w:val="12"/>
          <w:lang w:val="es-ES"/>
        </w:rPr>
        <w:t>Procedimiento para la contratación de mínima cuantía.</w:t>
      </w:r>
      <w:r w:rsidRPr="00EC00ED">
        <w:rPr>
          <w:rFonts w:ascii="Arial" w:hAnsi="Arial" w:cs="Arial"/>
          <w:sz w:val="12"/>
          <w:szCs w:val="12"/>
          <w:lang w:val="es-ES"/>
        </w:rPr>
        <w:t> Las siguientes reglas son aplicables a la contratación cuyo valor no excede del diez por ciento (10%) de la menor cuantía de la Entidad Estatal, independientemente de su objeto:</w:t>
      </w:r>
    </w:p>
    <w:p w14:paraId="5E187975" w14:textId="77777777" w:rsidR="00EC00ED" w:rsidRPr="00EC00ED" w:rsidRDefault="00EC00ED" w:rsidP="00EC00ED">
      <w:pPr>
        <w:pStyle w:val="NormalWeb"/>
        <w:shd w:val="clear" w:color="auto" w:fill="FFFFFF"/>
        <w:spacing w:after="0"/>
        <w:ind w:firstLine="708"/>
        <w:contextualSpacing/>
        <w:rPr>
          <w:rFonts w:ascii="Arial" w:hAnsi="Arial" w:cs="Arial"/>
          <w:sz w:val="12"/>
          <w:szCs w:val="12"/>
          <w:lang w:val="es-ES"/>
        </w:rPr>
      </w:pPr>
      <w:r w:rsidRPr="00EC00ED">
        <w:rPr>
          <w:rFonts w:ascii="Arial" w:hAnsi="Arial" w:cs="Arial"/>
          <w:sz w:val="12"/>
          <w:szCs w:val="12"/>
          <w:lang w:val="es-ES"/>
        </w:rPr>
        <w:t>[…]</w:t>
      </w:r>
    </w:p>
    <w:p w14:paraId="6BF86B59" w14:textId="77777777" w:rsidR="00EC00ED" w:rsidRPr="00EC00ED" w:rsidRDefault="00EC00ED" w:rsidP="00EC00ED">
      <w:pPr>
        <w:pStyle w:val="NormalWeb"/>
        <w:shd w:val="clear" w:color="auto" w:fill="FFFFFF"/>
        <w:spacing w:after="0"/>
        <w:ind w:firstLine="708"/>
        <w:contextualSpacing/>
        <w:rPr>
          <w:rFonts w:ascii="Arial" w:hAnsi="Arial" w:cs="Arial"/>
          <w:sz w:val="12"/>
          <w:szCs w:val="12"/>
          <w:lang w:val="es-ES"/>
        </w:rPr>
      </w:pPr>
      <w:r w:rsidRPr="00EC00ED">
        <w:rPr>
          <w:rFonts w:ascii="Arial" w:hAnsi="Arial" w:cs="Arial"/>
          <w:sz w:val="12"/>
          <w:szCs w:val="12"/>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2" w:anchor="5" w:history="1">
        <w:r w:rsidRPr="00EC00ED">
          <w:rPr>
            <w:rFonts w:ascii="Arial" w:hAnsi="Arial" w:cs="Arial"/>
            <w:sz w:val="12"/>
            <w:szCs w:val="12"/>
            <w:u w:val="single"/>
            <w:lang w:val="es-ES"/>
          </w:rPr>
          <w:t>5 </w:t>
        </w:r>
      </w:hyperlink>
      <w:r w:rsidRPr="00EC00ED">
        <w:rPr>
          <w:rFonts w:ascii="Arial" w:hAnsi="Arial" w:cs="Arial"/>
          <w:sz w:val="12"/>
          <w:szCs w:val="12"/>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EC00ED">
        <w:rPr>
          <w:rFonts w:ascii="Arial" w:hAnsi="Arial" w:cs="Arial"/>
          <w:sz w:val="12"/>
          <w:szCs w:val="12"/>
        </w:rPr>
        <w:t>”</w:t>
      </w:r>
      <w:r w:rsidRPr="00EC00ED">
        <w:rPr>
          <w:rFonts w:ascii="Arial" w:hAnsi="Arial" w:cs="Arial"/>
          <w:sz w:val="12"/>
          <w:szCs w:val="12"/>
          <w:lang w:val="es-ES"/>
        </w:rPr>
        <w:t>.</w:t>
      </w:r>
    </w:p>
    <w:p w14:paraId="343B1A1D" w14:textId="77777777" w:rsidR="00EC00ED" w:rsidRPr="00EC00ED" w:rsidRDefault="00EC00ED" w:rsidP="00EC00ED">
      <w:pPr>
        <w:pStyle w:val="Textonotapie"/>
        <w:contextualSpacing/>
        <w:jc w:val="both"/>
        <w:rPr>
          <w:rFonts w:ascii="Arial" w:hAnsi="Arial" w:cs="Arial"/>
          <w:sz w:val="12"/>
          <w:szCs w:val="12"/>
          <w:lang w:val="es-ES"/>
        </w:rPr>
      </w:pPr>
    </w:p>
  </w:footnote>
  <w:footnote w:id="15">
    <w:p w14:paraId="5A6589D9" w14:textId="77777777" w:rsidR="00EC00ED" w:rsidRPr="00EC00ED" w:rsidRDefault="00EC00ED" w:rsidP="00EC00ED">
      <w:pPr>
        <w:pStyle w:val="Textonotapie"/>
        <w:ind w:firstLine="709"/>
        <w:contextualSpacing/>
        <w:jc w:val="both"/>
        <w:rPr>
          <w:rFonts w:ascii="Arial" w:hAnsi="Arial" w:cs="Arial"/>
          <w:color w:val="000000"/>
          <w:sz w:val="12"/>
          <w:szCs w:val="12"/>
        </w:rPr>
      </w:pPr>
      <w:r w:rsidRPr="00EC00ED">
        <w:rPr>
          <w:rStyle w:val="Refdenotaalpie"/>
          <w:rFonts w:ascii="Arial" w:hAnsi="Arial" w:cs="Arial"/>
          <w:sz w:val="12"/>
          <w:szCs w:val="12"/>
        </w:rPr>
        <w:footnoteRef/>
      </w:r>
      <w:r w:rsidRPr="00EC00ED">
        <w:rPr>
          <w:rFonts w:ascii="Arial" w:hAnsi="Arial" w:cs="Arial"/>
          <w:sz w:val="12"/>
          <w:szCs w:val="12"/>
        </w:rPr>
        <w:t xml:space="preserve"> </w:t>
      </w:r>
      <w:r w:rsidRPr="00EC00ED">
        <w:rPr>
          <w:rFonts w:ascii="Arial" w:hAnsi="Arial" w:cs="Arial"/>
          <w:color w:val="000000"/>
          <w:sz w:val="12"/>
          <w:szCs w:val="12"/>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04663655" w14:textId="77777777" w:rsidR="00EC00ED" w:rsidRPr="00EC00ED" w:rsidRDefault="00EC00ED" w:rsidP="00EC00ED">
      <w:pPr>
        <w:pStyle w:val="Textonotapie"/>
        <w:ind w:firstLine="709"/>
        <w:contextualSpacing/>
        <w:jc w:val="both"/>
        <w:rPr>
          <w:rFonts w:ascii="Arial" w:hAnsi="Arial" w:cs="Arial"/>
          <w:color w:val="000000"/>
          <w:sz w:val="12"/>
          <w:szCs w:val="12"/>
        </w:rPr>
      </w:pPr>
      <w:r w:rsidRPr="00EC00ED">
        <w:rPr>
          <w:rFonts w:ascii="Arial" w:hAnsi="Arial" w:cs="Arial"/>
          <w:color w:val="000000"/>
          <w:sz w:val="12"/>
          <w:szCs w:val="12"/>
        </w:rPr>
        <w:t xml:space="preserve">“ 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3" w:history="1">
        <w:r w:rsidRPr="00EC00ED">
          <w:rPr>
            <w:rStyle w:val="Hipervnculo"/>
            <w:rFonts w:ascii="Arial" w:hAnsi="Arial" w:cs="Arial"/>
            <w:color w:val="000000"/>
            <w:sz w:val="12"/>
            <w:szCs w:val="12"/>
          </w:rPr>
          <w:t>https://www.colombiacompra.gov.co/content/circular-unica-externa</w:t>
        </w:r>
      </w:hyperlink>
      <w:r w:rsidRPr="00EC00ED">
        <w:rPr>
          <w:rFonts w:ascii="Arial" w:hAnsi="Arial" w:cs="Arial"/>
          <w:color w:val="000000"/>
          <w:sz w:val="12"/>
          <w:szCs w:val="12"/>
        </w:rPr>
        <w:t>.</w:t>
      </w:r>
    </w:p>
    <w:p w14:paraId="603F0EF4" w14:textId="77777777" w:rsidR="00EC00ED" w:rsidRPr="00EC00ED" w:rsidRDefault="00EC00ED" w:rsidP="00EC00ED">
      <w:pPr>
        <w:pStyle w:val="Textonotapie"/>
        <w:ind w:firstLine="709"/>
        <w:contextualSpacing/>
        <w:jc w:val="both"/>
        <w:rPr>
          <w:rFonts w:ascii="Arial" w:hAnsi="Arial" w:cs="Arial"/>
          <w:sz w:val="12"/>
          <w:szCs w:val="12"/>
        </w:rPr>
      </w:pPr>
    </w:p>
  </w:footnote>
  <w:footnote w:id="16">
    <w:p w14:paraId="6E2D89B1" w14:textId="77777777" w:rsidR="00EC00ED" w:rsidRPr="00EC00ED" w:rsidRDefault="00EC00ED" w:rsidP="00EC00ED">
      <w:pPr>
        <w:pStyle w:val="Textonotapie"/>
        <w:ind w:firstLine="709"/>
        <w:contextualSpacing/>
        <w:jc w:val="both"/>
        <w:rPr>
          <w:rFonts w:ascii="Arial" w:hAnsi="Arial" w:cs="Arial"/>
          <w:color w:val="000000"/>
          <w:sz w:val="12"/>
          <w:szCs w:val="12"/>
        </w:rPr>
      </w:pPr>
      <w:r w:rsidRPr="00EC00ED">
        <w:rPr>
          <w:rStyle w:val="Refdenotaalpie"/>
          <w:rFonts w:ascii="Arial" w:hAnsi="Arial" w:cs="Arial"/>
          <w:color w:val="000000"/>
          <w:sz w:val="12"/>
          <w:szCs w:val="12"/>
        </w:rPr>
        <w:footnoteRef/>
      </w:r>
      <w:r w:rsidRPr="00EC00ED">
        <w:rPr>
          <w:rFonts w:ascii="Arial" w:hAnsi="Arial" w:cs="Arial"/>
          <w:color w:val="000000"/>
          <w:sz w:val="12"/>
          <w:szCs w:val="12"/>
        </w:rPr>
        <w:t xml:space="preserve"> Ver CONSEJO DE ESTADO, Sección Tercera, Subsección C. Sentencia del 26 de febrero de 2011. C.P. Jaime Orlando Santofimio. Rad. 36.408. </w:t>
      </w:r>
    </w:p>
    <w:p w14:paraId="64085072" w14:textId="77777777" w:rsidR="00EC00ED" w:rsidRPr="00EC00ED" w:rsidRDefault="00EC00ED" w:rsidP="00EC00ED">
      <w:pPr>
        <w:pStyle w:val="Textonotapie"/>
        <w:ind w:firstLine="709"/>
        <w:contextualSpacing/>
        <w:jc w:val="both"/>
        <w:rPr>
          <w:rFonts w:ascii="Arial" w:hAnsi="Arial" w:cs="Arial"/>
          <w:color w:val="000000"/>
          <w:sz w:val="12"/>
          <w:szCs w:val="12"/>
        </w:rPr>
      </w:pPr>
    </w:p>
  </w:footnote>
  <w:footnote w:id="17">
    <w:p w14:paraId="2E031D13" w14:textId="77777777" w:rsidR="00EC00ED" w:rsidRPr="00EC00ED" w:rsidRDefault="00EC00ED" w:rsidP="00EC00ED">
      <w:pPr>
        <w:pStyle w:val="Textonotapie"/>
        <w:ind w:firstLine="709"/>
        <w:contextualSpacing/>
        <w:jc w:val="both"/>
        <w:rPr>
          <w:rFonts w:ascii="Arial" w:hAnsi="Arial" w:cs="Arial"/>
          <w:color w:val="000000"/>
          <w:sz w:val="12"/>
          <w:szCs w:val="12"/>
        </w:rPr>
      </w:pPr>
      <w:r w:rsidRPr="00EC00ED">
        <w:rPr>
          <w:rStyle w:val="Refdenotaalpie"/>
          <w:rFonts w:ascii="Arial" w:hAnsi="Arial" w:cs="Arial"/>
          <w:color w:val="000000"/>
          <w:sz w:val="12"/>
          <w:szCs w:val="12"/>
        </w:rPr>
        <w:footnoteRef/>
      </w:r>
      <w:r w:rsidRPr="00EC00ED">
        <w:rPr>
          <w:rFonts w:ascii="Arial" w:hAnsi="Arial" w:cs="Arial"/>
          <w:color w:val="000000"/>
          <w:sz w:val="12"/>
          <w:szCs w:val="12"/>
        </w:rPr>
        <w:t xml:space="preserve"> Ver CONSEJO DE ESTADO, Sección Tercera, Subsección C. Sentencia del 26 de febrero de 2014. C.P. Enrique Gil Botero. Rad. 25.804. </w:t>
      </w:r>
    </w:p>
    <w:p w14:paraId="487F3ED0" w14:textId="77777777" w:rsidR="00EC00ED" w:rsidRPr="00EC00ED" w:rsidRDefault="00EC00ED" w:rsidP="00EC00ED">
      <w:pPr>
        <w:pStyle w:val="Textonotapie"/>
        <w:ind w:firstLine="709"/>
        <w:contextualSpacing/>
        <w:jc w:val="both"/>
        <w:rPr>
          <w:rFonts w:ascii="Arial" w:hAnsi="Arial" w:cs="Arial"/>
          <w:color w:val="000000"/>
          <w:sz w:val="12"/>
          <w:szCs w:val="12"/>
        </w:rPr>
      </w:pPr>
    </w:p>
  </w:footnote>
  <w:footnote w:id="18">
    <w:p w14:paraId="54999464" w14:textId="77777777" w:rsidR="00EC00ED" w:rsidRPr="00EC00ED" w:rsidRDefault="00EC00ED" w:rsidP="00EC00ED">
      <w:pPr>
        <w:pStyle w:val="Textonotapie"/>
        <w:ind w:firstLine="709"/>
        <w:contextualSpacing/>
        <w:jc w:val="both"/>
        <w:rPr>
          <w:rFonts w:ascii="Arial" w:hAnsi="Arial" w:cs="Arial"/>
          <w:color w:val="000000"/>
          <w:sz w:val="12"/>
          <w:szCs w:val="12"/>
        </w:rPr>
      </w:pPr>
      <w:r w:rsidRPr="00EC00ED">
        <w:rPr>
          <w:rStyle w:val="Refdenotaalpie"/>
          <w:rFonts w:ascii="Arial" w:hAnsi="Arial" w:cs="Arial"/>
          <w:color w:val="000000"/>
          <w:sz w:val="12"/>
          <w:szCs w:val="12"/>
        </w:rPr>
        <w:footnoteRef/>
      </w:r>
      <w:r w:rsidRPr="00EC00ED">
        <w:rPr>
          <w:rFonts w:ascii="Arial" w:hAnsi="Arial" w:cs="Arial"/>
          <w:color w:val="000000"/>
          <w:sz w:val="12"/>
          <w:szCs w:val="12"/>
        </w:rPr>
        <w:t xml:space="preserve"> CONSEJO DE ESTADO. Sala de Consulta y Servicio Civil. Concepto del 20 de mayo de 2010. Expediente: 1992. Consejero Ponente: Enrique José Arboleda Perdomo.</w:t>
      </w:r>
    </w:p>
  </w:footnote>
  <w:footnote w:id="19">
    <w:p w14:paraId="22DEB093" w14:textId="77777777" w:rsidR="00EC00ED" w:rsidRPr="00EC00ED" w:rsidRDefault="00EC00ED" w:rsidP="00EC00ED">
      <w:pPr>
        <w:pBdr>
          <w:top w:val="nil"/>
          <w:left w:val="nil"/>
          <w:bottom w:val="nil"/>
          <w:right w:val="nil"/>
          <w:between w:val="nil"/>
        </w:pBdr>
        <w:ind w:firstLine="709"/>
        <w:contextualSpacing/>
        <w:jc w:val="both"/>
        <w:rPr>
          <w:rFonts w:ascii="Arial" w:eastAsia="Arial" w:hAnsi="Arial" w:cs="Arial"/>
          <w:color w:val="000000"/>
          <w:sz w:val="12"/>
          <w:szCs w:val="12"/>
        </w:rPr>
      </w:pPr>
      <w:r w:rsidRPr="00EC00ED">
        <w:rPr>
          <w:rFonts w:ascii="Arial" w:hAnsi="Arial" w:cs="Arial"/>
          <w:sz w:val="12"/>
          <w:szCs w:val="12"/>
          <w:vertAlign w:val="superscript"/>
        </w:rPr>
        <w:footnoteRef/>
      </w:r>
      <w:r w:rsidRPr="00EC00ED">
        <w:rPr>
          <w:rFonts w:ascii="Arial" w:eastAsia="Arial" w:hAnsi="Arial" w:cs="Arial"/>
          <w:color w:val="000000"/>
          <w:sz w:val="12"/>
          <w:szCs w:val="12"/>
        </w:rPr>
        <w:t xml:space="preserve"> CONSEJO DE ESTADO. Sección Tercera. Subsección C. Sentencia del 12 de noviembre de 2014. Exp. 27.986. C.P. Enrique Gil Botero.</w:t>
      </w:r>
    </w:p>
    <w:p w14:paraId="5428AEA0" w14:textId="77777777" w:rsidR="00EC00ED" w:rsidRPr="00EC00ED" w:rsidRDefault="00EC00ED" w:rsidP="00EC00ED">
      <w:pPr>
        <w:pBdr>
          <w:top w:val="nil"/>
          <w:left w:val="nil"/>
          <w:bottom w:val="nil"/>
          <w:right w:val="nil"/>
          <w:between w:val="nil"/>
        </w:pBdr>
        <w:ind w:firstLine="709"/>
        <w:contextualSpacing/>
        <w:jc w:val="both"/>
        <w:rPr>
          <w:rFonts w:ascii="Arial" w:eastAsia="Arial" w:hAnsi="Arial" w:cs="Arial"/>
          <w:color w:val="000000"/>
          <w:sz w:val="12"/>
          <w:szCs w:val="12"/>
        </w:rPr>
      </w:pPr>
    </w:p>
  </w:footnote>
  <w:footnote w:id="20">
    <w:p w14:paraId="37C004F2" w14:textId="77777777" w:rsidR="00EC00ED" w:rsidRPr="00EC00ED" w:rsidRDefault="00EC00ED" w:rsidP="00EC00ED">
      <w:pPr>
        <w:pStyle w:val="Textonotapie"/>
        <w:ind w:firstLine="709"/>
        <w:contextualSpacing/>
        <w:jc w:val="both"/>
        <w:rPr>
          <w:rFonts w:ascii="Arial" w:hAnsi="Arial" w:cs="Arial"/>
          <w:sz w:val="12"/>
          <w:szCs w:val="12"/>
          <w:lang w:val="es-CO"/>
        </w:rPr>
      </w:pPr>
      <w:r w:rsidRPr="00EC00ED">
        <w:rPr>
          <w:rStyle w:val="Refdenotaalpie"/>
          <w:rFonts w:ascii="Arial" w:hAnsi="Arial" w:cs="Arial"/>
          <w:sz w:val="12"/>
          <w:szCs w:val="12"/>
        </w:rPr>
        <w:footnoteRef/>
      </w:r>
      <w:r w:rsidRPr="00EC00ED">
        <w:rPr>
          <w:rFonts w:ascii="Arial" w:hAnsi="Arial" w:cs="Arial"/>
          <w:sz w:val="12"/>
          <w:szCs w:val="12"/>
        </w:rPr>
        <w:t xml:space="preserve"> </w:t>
      </w:r>
      <w:r w:rsidRPr="00EC00ED">
        <w:rPr>
          <w:rFonts w:ascii="Arial" w:hAnsi="Arial" w:cs="Arial"/>
          <w:bCs/>
          <w:sz w:val="12"/>
          <w:szCs w:val="12"/>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footnote>
  <w:footnote w:id="21">
    <w:p w14:paraId="5C8A8311" w14:textId="77777777" w:rsidR="00EC00ED" w:rsidRPr="00EC00ED" w:rsidRDefault="00EC00ED" w:rsidP="00EC00ED">
      <w:pPr>
        <w:pBdr>
          <w:top w:val="nil"/>
          <w:left w:val="nil"/>
          <w:bottom w:val="nil"/>
          <w:right w:val="nil"/>
          <w:between w:val="nil"/>
        </w:pBdr>
        <w:ind w:firstLine="709"/>
        <w:contextualSpacing/>
        <w:jc w:val="both"/>
        <w:rPr>
          <w:rFonts w:ascii="Arial" w:hAnsi="Arial" w:cs="Arial"/>
          <w:color w:val="000000"/>
          <w:sz w:val="12"/>
          <w:szCs w:val="12"/>
        </w:rPr>
      </w:pPr>
      <w:r w:rsidRPr="00EC00ED">
        <w:rPr>
          <w:rFonts w:ascii="Arial" w:hAnsi="Arial" w:cs="Arial"/>
          <w:sz w:val="12"/>
          <w:szCs w:val="12"/>
          <w:vertAlign w:val="superscript"/>
        </w:rPr>
        <w:footnoteRef/>
      </w:r>
      <w:r w:rsidRPr="00EC00ED">
        <w:rPr>
          <w:rFonts w:ascii="Arial" w:hAnsi="Arial" w:cs="Arial"/>
          <w:color w:val="000000"/>
          <w:sz w:val="12"/>
          <w:szCs w:val="12"/>
        </w:rPr>
        <w:t xml:space="preserve"> </w:t>
      </w:r>
      <w:r w:rsidRPr="00EC00ED">
        <w:rPr>
          <w:rFonts w:ascii="Arial" w:eastAsia="Arial" w:hAnsi="Arial" w:cs="Arial"/>
          <w:color w:val="000000"/>
          <w:sz w:val="12"/>
          <w:szCs w:val="12"/>
        </w:rPr>
        <w:t>Ibídem</w:t>
      </w:r>
      <w:r w:rsidRPr="00EC00ED">
        <w:rPr>
          <w:rFonts w:ascii="Arial" w:eastAsia="Arial" w:hAnsi="Arial" w:cs="Arial"/>
          <w:i/>
          <w:color w:val="000000"/>
          <w:sz w:val="12"/>
          <w:szCs w:val="12"/>
        </w:rPr>
        <w:t>.</w:t>
      </w:r>
    </w:p>
  </w:footnote>
  <w:footnote w:id="22">
    <w:p w14:paraId="48D30422" w14:textId="77777777" w:rsidR="00EC00ED" w:rsidRPr="00EC00ED" w:rsidRDefault="00EC00ED" w:rsidP="00EC00ED">
      <w:pPr>
        <w:pBdr>
          <w:top w:val="nil"/>
          <w:left w:val="nil"/>
          <w:bottom w:val="nil"/>
          <w:right w:val="nil"/>
          <w:between w:val="nil"/>
        </w:pBdr>
        <w:ind w:firstLine="709"/>
        <w:contextualSpacing/>
        <w:jc w:val="both"/>
        <w:rPr>
          <w:rFonts w:ascii="Arial" w:hAnsi="Arial" w:cs="Arial"/>
          <w:color w:val="000000"/>
          <w:sz w:val="12"/>
          <w:szCs w:val="12"/>
        </w:rPr>
      </w:pPr>
      <w:r w:rsidRPr="00EC00ED">
        <w:rPr>
          <w:rFonts w:ascii="Arial" w:hAnsi="Arial" w:cs="Arial"/>
          <w:sz w:val="12"/>
          <w:szCs w:val="12"/>
          <w:vertAlign w:val="superscript"/>
        </w:rPr>
        <w:footnoteRef/>
      </w:r>
      <w:r w:rsidRPr="00EC00ED">
        <w:rPr>
          <w:rFonts w:ascii="Arial" w:hAnsi="Arial" w:cs="Arial"/>
          <w:color w:val="000000"/>
          <w:sz w:val="12"/>
          <w:szCs w:val="12"/>
        </w:rPr>
        <w:t xml:space="preserve"> Ibídem</w:t>
      </w:r>
    </w:p>
    <w:p w14:paraId="625267D6" w14:textId="77777777" w:rsidR="00EC00ED" w:rsidRPr="00EC00ED" w:rsidRDefault="00EC00ED" w:rsidP="00EC00ED">
      <w:pPr>
        <w:pBdr>
          <w:top w:val="nil"/>
          <w:left w:val="nil"/>
          <w:bottom w:val="nil"/>
          <w:right w:val="nil"/>
          <w:between w:val="nil"/>
        </w:pBdr>
        <w:ind w:firstLine="709"/>
        <w:contextualSpacing/>
        <w:jc w:val="both"/>
        <w:rPr>
          <w:rFonts w:ascii="Arial" w:hAnsi="Arial" w:cs="Arial"/>
          <w:color w:val="000000"/>
          <w:sz w:val="12"/>
          <w:szCs w:val="12"/>
        </w:rPr>
      </w:pPr>
    </w:p>
  </w:footnote>
  <w:footnote w:id="23">
    <w:p w14:paraId="0E6674A1" w14:textId="77777777" w:rsidR="00EC00ED" w:rsidRPr="00EC00ED" w:rsidRDefault="00EC00ED" w:rsidP="00EC00ED">
      <w:pPr>
        <w:pStyle w:val="Textonotapie"/>
        <w:spacing w:after="120"/>
        <w:ind w:firstLine="709"/>
        <w:jc w:val="both"/>
        <w:rPr>
          <w:rFonts w:ascii="Arial" w:hAnsi="Arial" w:cs="Arial"/>
          <w:sz w:val="12"/>
          <w:szCs w:val="12"/>
        </w:rPr>
      </w:pPr>
      <w:r w:rsidRPr="00EC00ED">
        <w:rPr>
          <w:rStyle w:val="Refdenotaalpie"/>
          <w:rFonts w:ascii="Arial" w:hAnsi="Arial" w:cs="Arial"/>
          <w:sz w:val="12"/>
          <w:szCs w:val="12"/>
        </w:rPr>
        <w:footnoteRef/>
      </w:r>
      <w:r w:rsidRPr="00EC00ED">
        <w:rPr>
          <w:rFonts w:ascii="Arial" w:hAnsi="Arial" w:cs="Arial"/>
          <w:sz w:val="12"/>
          <w:szCs w:val="12"/>
        </w:rPr>
        <w:t xml:space="preserve"> Colombia Compra Eficiente. Concepto C-297 del 4 de junio de 2020. </w:t>
      </w:r>
    </w:p>
  </w:footnote>
  <w:footnote w:id="24">
    <w:p w14:paraId="0B950FF2" w14:textId="77777777" w:rsidR="00EC00ED" w:rsidRPr="00EC00ED" w:rsidRDefault="00EC00ED" w:rsidP="00EC00ED">
      <w:pPr>
        <w:pStyle w:val="Textonotapie"/>
        <w:ind w:firstLine="708"/>
        <w:jc w:val="both"/>
        <w:rPr>
          <w:rFonts w:ascii="Arial" w:hAnsi="Arial" w:cs="Arial"/>
          <w:sz w:val="12"/>
          <w:szCs w:val="12"/>
        </w:rPr>
      </w:pPr>
      <w:r w:rsidRPr="00EC00ED">
        <w:rPr>
          <w:rStyle w:val="Refdenotaalpie"/>
          <w:rFonts w:ascii="Arial" w:hAnsi="Arial" w:cs="Arial"/>
          <w:sz w:val="12"/>
          <w:szCs w:val="12"/>
        </w:rPr>
        <w:footnoteRef/>
      </w:r>
      <w:r w:rsidRPr="00EC00ED">
        <w:rPr>
          <w:rFonts w:ascii="Arial" w:hAnsi="Arial" w:cs="Arial"/>
          <w:sz w:val="12"/>
          <w:szCs w:val="12"/>
        </w:rPr>
        <w:t xml:space="preserve"> Concepto C-196 de 2020. Radicado de entrada No. 4202013000001559. Radicado de salida No. 2202013000002534.</w:t>
      </w:r>
    </w:p>
    <w:p w14:paraId="70916704" w14:textId="77777777" w:rsidR="00EC00ED" w:rsidRPr="00EC00ED" w:rsidRDefault="00EC00ED" w:rsidP="00EC00ED">
      <w:pPr>
        <w:pStyle w:val="Textonotapie"/>
        <w:jc w:val="both"/>
        <w:rPr>
          <w:rFonts w:ascii="Arial" w:hAnsi="Arial" w:cs="Arial"/>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570BEA"/>
    <w:multiLevelType w:val="multilevel"/>
    <w:tmpl w:val="D834E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090DB1"/>
    <w:multiLevelType w:val="hybridMultilevel"/>
    <w:tmpl w:val="078E2E72"/>
    <w:lvl w:ilvl="0" w:tplc="30687C90">
      <w:start w:val="1"/>
      <w:numFmt w:val="lowerRoman"/>
      <w:lvlText w:val="%1)"/>
      <w:lvlJc w:val="left"/>
      <w:pPr>
        <w:ind w:left="1429"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425033765">
    <w:abstractNumId w:val="3"/>
  </w:num>
  <w:num w:numId="7" w16cid:durableId="880748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5105"/>
    <w:rsid w:val="00127233"/>
    <w:rsid w:val="001E4177"/>
    <w:rsid w:val="00280077"/>
    <w:rsid w:val="002951A0"/>
    <w:rsid w:val="002962BC"/>
    <w:rsid w:val="002A093D"/>
    <w:rsid w:val="002A49AC"/>
    <w:rsid w:val="002A64FD"/>
    <w:rsid w:val="002C7A84"/>
    <w:rsid w:val="003448F4"/>
    <w:rsid w:val="003A779E"/>
    <w:rsid w:val="003D0F4D"/>
    <w:rsid w:val="003E0499"/>
    <w:rsid w:val="003F3941"/>
    <w:rsid w:val="00400548"/>
    <w:rsid w:val="00423EE8"/>
    <w:rsid w:val="004A1847"/>
    <w:rsid w:val="004A305D"/>
    <w:rsid w:val="004F21C4"/>
    <w:rsid w:val="004F685F"/>
    <w:rsid w:val="005566E8"/>
    <w:rsid w:val="00574867"/>
    <w:rsid w:val="005C5CDC"/>
    <w:rsid w:val="005D2A7C"/>
    <w:rsid w:val="005D476C"/>
    <w:rsid w:val="005D78D0"/>
    <w:rsid w:val="00606544"/>
    <w:rsid w:val="006219F8"/>
    <w:rsid w:val="00665D70"/>
    <w:rsid w:val="006739C6"/>
    <w:rsid w:val="00693F0A"/>
    <w:rsid w:val="00706C16"/>
    <w:rsid w:val="00756841"/>
    <w:rsid w:val="007649AB"/>
    <w:rsid w:val="007833AC"/>
    <w:rsid w:val="007B7171"/>
    <w:rsid w:val="007C3DC2"/>
    <w:rsid w:val="007E5497"/>
    <w:rsid w:val="00801555"/>
    <w:rsid w:val="00806F5F"/>
    <w:rsid w:val="00820278"/>
    <w:rsid w:val="008843B6"/>
    <w:rsid w:val="00891928"/>
    <w:rsid w:val="008A446D"/>
    <w:rsid w:val="008F0EA7"/>
    <w:rsid w:val="00923EEF"/>
    <w:rsid w:val="009419F9"/>
    <w:rsid w:val="00952AE6"/>
    <w:rsid w:val="00961B09"/>
    <w:rsid w:val="00965334"/>
    <w:rsid w:val="0097093E"/>
    <w:rsid w:val="009C71FA"/>
    <w:rsid w:val="009C72E7"/>
    <w:rsid w:val="00A17F13"/>
    <w:rsid w:val="00A20739"/>
    <w:rsid w:val="00A33C78"/>
    <w:rsid w:val="00A569D3"/>
    <w:rsid w:val="00AB0ADB"/>
    <w:rsid w:val="00B72CD3"/>
    <w:rsid w:val="00B72FFF"/>
    <w:rsid w:val="00BB4646"/>
    <w:rsid w:val="00BD7F72"/>
    <w:rsid w:val="00C04FB3"/>
    <w:rsid w:val="00C330EB"/>
    <w:rsid w:val="00C754BE"/>
    <w:rsid w:val="00C83ECF"/>
    <w:rsid w:val="00CB6357"/>
    <w:rsid w:val="00CC1B26"/>
    <w:rsid w:val="00CD19A6"/>
    <w:rsid w:val="00D423A2"/>
    <w:rsid w:val="00D63AC2"/>
    <w:rsid w:val="00D7383B"/>
    <w:rsid w:val="00DA231B"/>
    <w:rsid w:val="00DB4F43"/>
    <w:rsid w:val="00DE2B00"/>
    <w:rsid w:val="00E16408"/>
    <w:rsid w:val="00E20894"/>
    <w:rsid w:val="00E245AB"/>
    <w:rsid w:val="00E50AFE"/>
    <w:rsid w:val="00E771DC"/>
    <w:rsid w:val="00E8772A"/>
    <w:rsid w:val="00E90F6B"/>
    <w:rsid w:val="00E92C27"/>
    <w:rsid w:val="00EA0E3D"/>
    <w:rsid w:val="00EC00ED"/>
    <w:rsid w:val="00EE1AA8"/>
    <w:rsid w:val="00F204AB"/>
    <w:rsid w:val="00F31EDC"/>
    <w:rsid w:val="00F32CDD"/>
    <w:rsid w:val="00F5664F"/>
    <w:rsid w:val="00F76AFC"/>
    <w:rsid w:val="00FB5DD1"/>
    <w:rsid w:val="00FC2B5D"/>
    <w:rsid w:val="00FD5245"/>
    <w:rsid w:val="00FF1449"/>
    <w:rsid w:val="203241D4"/>
    <w:rsid w:val="22CB5A06"/>
    <w:rsid w:val="2D01E031"/>
    <w:rsid w:val="365361B3"/>
    <w:rsid w:val="5411EC76"/>
    <w:rsid w:val="54974D71"/>
    <w:rsid w:val="55B39F2E"/>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link w:val="NormalWebCar"/>
    <w:uiPriority w:val="99"/>
    <w:unhideWhenUsed/>
    <w:rsid w:val="00EC00ED"/>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EC00ED"/>
    <w:pPr>
      <w:spacing w:line="240" w:lineRule="exact"/>
    </w:pPr>
    <w:rPr>
      <w:vertAlign w:val="superscript"/>
    </w:rPr>
  </w:style>
  <w:style w:type="character" w:customStyle="1" w:styleId="NormalWebCar">
    <w:name w:val="Normal (Web) Car"/>
    <w:link w:val="NormalWeb"/>
    <w:uiPriority w:val="99"/>
    <w:rsid w:val="00EC00ED"/>
    <w:rPr>
      <w:rFonts w:ascii="Times New Roman" w:hAnsi="Times New Roman" w:cs="Times New Roman"/>
      <w:sz w:val="24"/>
      <w:szCs w:val="24"/>
    </w:rPr>
  </w:style>
  <w:style w:type="paragraph" w:styleId="Revisin">
    <w:name w:val="Revision"/>
    <w:hidden/>
    <w:uiPriority w:val="99"/>
    <w:semiHidden/>
    <w:rsid w:val="005D2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files_2020/02._resolucion_358_de_2023_dt_-_convenios_solidarios.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ntent/circular-unica-externa" TargetMode="External"/><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0B155-A80D-44EA-9E89-098E7683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7D4E493D-2F24-4E69-BC3A-D2B9ACE791D9}">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14280</Words>
  <Characters>78542</Characters>
  <Application>Microsoft Office Word</Application>
  <DocSecurity>0</DocSecurity>
  <Lines>654</Lines>
  <Paragraphs>185</Paragraphs>
  <ScaleCrop>false</ScaleCrop>
  <Company/>
  <LinksUpToDate>false</LinksUpToDate>
  <CharactersWithSpaces>92637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2023-10-20T15:38:00Z</dcterms:created>
  <dcterms:modified xsi:type="dcterms:W3CDTF">2023-10-20T15:38:00Z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