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921F" w14:textId="77777777" w:rsidR="005D0918" w:rsidRPr="00BF17C4" w:rsidRDefault="005D0918" w:rsidP="005D0918">
      <w:pPr>
        <w:spacing w:after="0"/>
        <w:jc w:val="both"/>
        <w:rPr>
          <w:rFonts w:ascii="Arial" w:eastAsia="Calibri" w:hAnsi="Arial" w:cs="Arial"/>
          <w:b/>
          <w:color w:val="000000"/>
          <w:sz w:val="20"/>
          <w:szCs w:val="20"/>
          <w:lang w:val="es-ES"/>
        </w:rPr>
      </w:pPr>
      <w:r w:rsidRPr="00BF17C4">
        <w:rPr>
          <w:rFonts w:ascii="Arial" w:eastAsia="Calibri" w:hAnsi="Arial" w:cs="Arial"/>
          <w:b/>
          <w:color w:val="000000"/>
          <w:sz w:val="20"/>
          <w:szCs w:val="20"/>
          <w:lang w:val="es-ES"/>
        </w:rPr>
        <w:t xml:space="preserve">DECRETO 399 DE 2021 – Información – Capacidad financiera – Capacidad organizacional </w:t>
      </w:r>
    </w:p>
    <w:p w14:paraId="5EF2734C" w14:textId="77777777" w:rsidR="005D0918" w:rsidRPr="00BF17C4" w:rsidRDefault="005D0918" w:rsidP="005D0918">
      <w:pPr>
        <w:spacing w:after="0" w:line="276" w:lineRule="auto"/>
        <w:ind w:firstLine="709"/>
        <w:jc w:val="both"/>
        <w:rPr>
          <w:rFonts w:ascii="Arial" w:eastAsia="Times New Roman" w:hAnsi="Arial" w:cs="Arial"/>
          <w:color w:val="000000"/>
          <w:sz w:val="20"/>
          <w:szCs w:val="20"/>
          <w:lang w:val="es-ES"/>
        </w:rPr>
      </w:pPr>
    </w:p>
    <w:p w14:paraId="163E01C1" w14:textId="234D5E2F" w:rsidR="005D0918" w:rsidRPr="00BF17C4" w:rsidRDefault="005D0918" w:rsidP="005D0918">
      <w:pPr>
        <w:spacing w:after="0"/>
        <w:jc w:val="both"/>
        <w:rPr>
          <w:rFonts w:ascii="Arial" w:eastAsia="Calibri" w:hAnsi="Arial" w:cs="Arial"/>
          <w:color w:val="000000"/>
          <w:sz w:val="20"/>
          <w:szCs w:val="20"/>
          <w:lang w:val="es-ES"/>
        </w:rPr>
      </w:pPr>
      <w:r w:rsidRPr="00BF17C4">
        <w:rPr>
          <w:rFonts w:ascii="Arial" w:eastAsia="Calibri" w:hAnsi="Arial" w:cs="Arial"/>
          <w:color w:val="000000"/>
          <w:sz w:val="20"/>
          <w:szCs w:val="20"/>
          <w:lang w:val="es-ES"/>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de 2021, por una sola vez. En todo caso, aclara </w:t>
      </w:r>
      <w:r w:rsidR="00CA1AEE" w:rsidRPr="00BF17C4">
        <w:rPr>
          <w:rFonts w:ascii="Arial" w:eastAsia="Calibri" w:hAnsi="Arial" w:cs="Arial"/>
          <w:color w:val="000000"/>
          <w:sz w:val="20"/>
          <w:szCs w:val="20"/>
          <w:lang w:val="es-ES"/>
        </w:rPr>
        <w:t>que,</w:t>
      </w:r>
      <w:r w:rsidRPr="00BF17C4">
        <w:rPr>
          <w:rFonts w:ascii="Arial" w:eastAsia="Calibri" w:hAnsi="Arial" w:cs="Arial"/>
          <w:color w:val="000000"/>
          <w:sz w:val="20"/>
          <w:szCs w:val="20"/>
          <w:lang w:val="es-ES"/>
        </w:rPr>
        <w:t xml:space="preserve"> si el proponente tiene registrada la información de dichos años en la cámara de comercio, no deberá presentar esta información.</w:t>
      </w:r>
    </w:p>
    <w:p w14:paraId="63D6061A" w14:textId="77777777" w:rsidR="005D0918" w:rsidRPr="00BF17C4" w:rsidRDefault="005D0918" w:rsidP="005D0918">
      <w:pPr>
        <w:spacing w:after="0" w:line="276" w:lineRule="auto"/>
        <w:ind w:firstLine="709"/>
        <w:jc w:val="both"/>
        <w:rPr>
          <w:rFonts w:ascii="Arial" w:eastAsia="Times New Roman" w:hAnsi="Arial" w:cs="Arial"/>
          <w:color w:val="000000"/>
          <w:sz w:val="20"/>
          <w:szCs w:val="20"/>
          <w:lang w:val="es-ES"/>
        </w:rPr>
      </w:pPr>
    </w:p>
    <w:p w14:paraId="24B50E1B" w14:textId="77777777" w:rsidR="005D0918" w:rsidRPr="00BF17C4" w:rsidRDefault="005D0918" w:rsidP="005D0918">
      <w:pPr>
        <w:spacing w:after="0"/>
        <w:jc w:val="both"/>
        <w:rPr>
          <w:rFonts w:ascii="Arial" w:eastAsia="Calibri" w:hAnsi="Arial" w:cs="Arial"/>
          <w:b/>
          <w:color w:val="000000"/>
          <w:sz w:val="20"/>
          <w:szCs w:val="20"/>
          <w:lang w:val="es-ES"/>
        </w:rPr>
      </w:pPr>
      <w:r w:rsidRPr="00BF17C4">
        <w:rPr>
          <w:rFonts w:ascii="Arial" w:eastAsia="Calibri" w:hAnsi="Arial" w:cs="Arial"/>
          <w:b/>
          <w:color w:val="000000"/>
          <w:sz w:val="20"/>
          <w:szCs w:val="20"/>
          <w:lang w:val="es-ES"/>
        </w:rPr>
        <w:t xml:space="preserve">DECRETO 399 DE 2021 – Indicadores – Capacidad financiera – Capacidad organizacional </w:t>
      </w:r>
    </w:p>
    <w:p w14:paraId="50EAE28C" w14:textId="77777777" w:rsidR="005D0918" w:rsidRPr="00BF17C4" w:rsidRDefault="005D0918" w:rsidP="005D0918">
      <w:pPr>
        <w:spacing w:after="0" w:line="276" w:lineRule="auto"/>
        <w:ind w:firstLine="709"/>
        <w:jc w:val="both"/>
        <w:rPr>
          <w:rFonts w:ascii="Arial" w:eastAsia="Times New Roman" w:hAnsi="Arial" w:cs="Arial"/>
          <w:color w:val="000000"/>
          <w:sz w:val="20"/>
          <w:szCs w:val="20"/>
          <w:lang w:val="es-ES"/>
        </w:rPr>
      </w:pPr>
    </w:p>
    <w:p w14:paraId="5E01EC4D" w14:textId="10F30027" w:rsidR="005D0918" w:rsidRPr="00BF17C4" w:rsidRDefault="005D0918" w:rsidP="005D0918">
      <w:pPr>
        <w:spacing w:after="0"/>
        <w:jc w:val="both"/>
        <w:rPr>
          <w:rFonts w:ascii="Arial" w:eastAsia="Calibri" w:hAnsi="Arial" w:cs="Arial"/>
          <w:color w:val="000000"/>
          <w:sz w:val="20"/>
          <w:szCs w:val="20"/>
          <w:lang w:val="es-ES"/>
        </w:rPr>
      </w:pPr>
      <w:r w:rsidRPr="00BF17C4">
        <w:rPr>
          <w:rFonts w:ascii="Arial" w:eastAsia="Calibri" w:hAnsi="Arial" w:cs="Arial"/>
          <w:color w:val="000000"/>
          <w:sz w:val="20"/>
          <w:szCs w:val="20"/>
          <w:lang w:val="es-ES"/>
        </w:rPr>
        <w:t xml:space="preserve">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00DB76DE" w:rsidRPr="00BF17C4">
        <w:rPr>
          <w:rFonts w:ascii="Arial" w:eastAsia="Calibri" w:hAnsi="Arial" w:cs="Arial"/>
          <w:color w:val="000000"/>
          <w:sz w:val="20"/>
          <w:szCs w:val="20"/>
          <w:lang w:val="es-ES"/>
        </w:rPr>
        <w:t>“</w:t>
      </w:r>
      <w:r w:rsidRPr="00BF17C4">
        <w:rPr>
          <w:rFonts w:ascii="Arial" w:eastAsia="Calibri" w:hAnsi="Arial" w:cs="Arial"/>
          <w:color w:val="000000"/>
          <w:sz w:val="20"/>
          <w:szCs w:val="20"/>
          <w:lang w:val="es-ES"/>
        </w:rPr>
        <w:t>[…]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A1AEE" w:rsidRPr="00BF17C4">
        <w:rPr>
          <w:rFonts w:ascii="Arial" w:eastAsia="Calibri" w:hAnsi="Arial" w:cs="Arial"/>
          <w:color w:val="000000"/>
          <w:sz w:val="20"/>
          <w:szCs w:val="20"/>
          <w:lang w:val="es-ES"/>
        </w:rPr>
        <w:t>”</w:t>
      </w:r>
      <w:r w:rsidRPr="00BF17C4">
        <w:rPr>
          <w:rFonts w:ascii="Arial" w:eastAsia="Calibri" w:hAnsi="Arial" w:cs="Arial"/>
          <w:color w:val="000000"/>
          <w:sz w:val="20"/>
          <w:szCs w:val="20"/>
          <w:lang w:val="es-ES"/>
        </w:rPr>
        <w:t xml:space="preserve">. Para esto, las cámaras de comercio, a partir del 1 de julio de 2021, </w:t>
      </w:r>
      <w:r w:rsidR="00CA1AEE" w:rsidRPr="00BF17C4">
        <w:rPr>
          <w:rFonts w:ascii="Arial" w:eastAsia="Calibri" w:hAnsi="Arial" w:cs="Arial"/>
          <w:color w:val="000000"/>
          <w:sz w:val="20"/>
          <w:szCs w:val="20"/>
          <w:lang w:val="es-ES"/>
        </w:rPr>
        <w:t>“</w:t>
      </w:r>
      <w:r w:rsidRPr="00BF17C4">
        <w:rPr>
          <w:rFonts w:ascii="Arial" w:eastAsia="Calibri" w:hAnsi="Arial" w:cs="Arial"/>
          <w:color w:val="000000"/>
          <w:sz w:val="20"/>
          <w:szCs w:val="20"/>
          <w:lang w:val="es-ES"/>
        </w:rPr>
        <w:t>certificarán la información de que tratan los parágrafos transitorios 1 y 2 del artículo 2.2.1.1.1.5.2. de este Decreto</w:t>
      </w:r>
      <w:r w:rsidR="00CA1AEE" w:rsidRPr="00BF17C4">
        <w:rPr>
          <w:rFonts w:ascii="Arial" w:eastAsia="Calibri" w:hAnsi="Arial" w:cs="Arial"/>
          <w:color w:val="000000"/>
          <w:sz w:val="20"/>
          <w:szCs w:val="20"/>
          <w:lang w:val="es-ES"/>
        </w:rPr>
        <w:t>”</w:t>
      </w:r>
      <w:r w:rsidRPr="00BF17C4">
        <w:rPr>
          <w:rFonts w:ascii="Arial" w:eastAsia="Calibri" w:hAnsi="Arial" w:cs="Arial"/>
          <w:color w:val="000000"/>
          <w:sz w:val="20"/>
          <w:szCs w:val="20"/>
          <w:lang w:val="es-ES"/>
        </w:rPr>
        <w:t xml:space="preserve">.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El segundo parágrafo transitorio establece que </w:t>
      </w:r>
      <w:r w:rsidR="00CA1AEE" w:rsidRPr="00BF17C4">
        <w:rPr>
          <w:rFonts w:ascii="Arial" w:eastAsia="Calibri" w:hAnsi="Arial" w:cs="Arial"/>
          <w:color w:val="000000"/>
          <w:sz w:val="20"/>
          <w:szCs w:val="20"/>
          <w:lang w:val="es-ES"/>
        </w:rPr>
        <w:t>“</w:t>
      </w:r>
      <w:r w:rsidRPr="00BF17C4">
        <w:rPr>
          <w:rFonts w:ascii="Arial" w:eastAsia="Calibri" w:hAnsi="Arial" w:cs="Arial"/>
          <w:color w:val="000000"/>
          <w:sz w:val="20"/>
          <w:szCs w:val="20"/>
          <w:lang w:val="es-ES"/>
        </w:rPr>
        <w:t>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CA1AEE" w:rsidRPr="00BF17C4">
        <w:rPr>
          <w:rFonts w:ascii="Arial" w:eastAsia="Calibri" w:hAnsi="Arial" w:cs="Arial"/>
          <w:color w:val="000000"/>
          <w:sz w:val="20"/>
          <w:szCs w:val="20"/>
          <w:lang w:val="es-ES"/>
        </w:rPr>
        <w:t>”</w:t>
      </w:r>
      <w:r w:rsidRPr="00BF17C4">
        <w:rPr>
          <w:rFonts w:ascii="Arial" w:eastAsia="Calibri" w:hAnsi="Arial" w:cs="Arial"/>
          <w:color w:val="000000"/>
          <w:sz w:val="20"/>
          <w:szCs w:val="20"/>
          <w:lang w:val="es-ES"/>
        </w:rPr>
        <w:t>.</w:t>
      </w:r>
    </w:p>
    <w:p w14:paraId="0AD31ED7" w14:textId="77777777" w:rsidR="005D0918" w:rsidRPr="00BF17C4" w:rsidRDefault="005D0918" w:rsidP="005D0918">
      <w:pPr>
        <w:spacing w:after="0" w:line="276" w:lineRule="auto"/>
        <w:ind w:firstLine="709"/>
        <w:jc w:val="both"/>
        <w:rPr>
          <w:rFonts w:ascii="Arial" w:eastAsia="Times New Roman" w:hAnsi="Arial" w:cs="Arial"/>
          <w:color w:val="000000"/>
          <w:sz w:val="20"/>
          <w:szCs w:val="20"/>
          <w:lang w:val="es-ES"/>
        </w:rPr>
      </w:pPr>
    </w:p>
    <w:p w14:paraId="6052E1EA" w14:textId="1C4ABA41" w:rsidR="005D0918" w:rsidRPr="00BF17C4" w:rsidRDefault="005D0918" w:rsidP="005D0918">
      <w:pPr>
        <w:spacing w:after="0"/>
        <w:jc w:val="both"/>
        <w:rPr>
          <w:rFonts w:ascii="Arial" w:eastAsia="Calibri" w:hAnsi="Arial" w:cs="Arial"/>
          <w:b/>
          <w:color w:val="000000"/>
          <w:sz w:val="20"/>
          <w:szCs w:val="20"/>
          <w:lang w:val="es-ES"/>
        </w:rPr>
      </w:pPr>
      <w:r w:rsidRPr="00BF17C4">
        <w:rPr>
          <w:rFonts w:ascii="Arial" w:eastAsia="Calibri" w:hAnsi="Arial" w:cs="Arial"/>
          <w:b/>
          <w:color w:val="000000"/>
          <w:sz w:val="20"/>
          <w:szCs w:val="20"/>
          <w:lang w:val="es-ES"/>
        </w:rPr>
        <w:t>MEJOR AÑO FISCAL – Decretos 399</w:t>
      </w:r>
      <w:r w:rsidR="009C56CC" w:rsidRPr="00BF17C4">
        <w:rPr>
          <w:rFonts w:ascii="Arial" w:eastAsia="Calibri" w:hAnsi="Arial" w:cs="Arial"/>
          <w:b/>
          <w:color w:val="000000"/>
          <w:sz w:val="20"/>
          <w:szCs w:val="20"/>
          <w:lang w:val="es-ES"/>
        </w:rPr>
        <w:t xml:space="preserve"> y </w:t>
      </w:r>
      <w:r w:rsidRPr="00BF17C4">
        <w:rPr>
          <w:rFonts w:ascii="Arial" w:eastAsia="Calibri" w:hAnsi="Arial" w:cs="Arial"/>
          <w:b/>
          <w:color w:val="000000"/>
          <w:sz w:val="20"/>
          <w:szCs w:val="20"/>
          <w:lang w:val="es-ES"/>
        </w:rPr>
        <w:t>579 de 2021– Capacidad financiera – Capacidad organizacional – Interpretación</w:t>
      </w:r>
    </w:p>
    <w:p w14:paraId="66B1B69B" w14:textId="77777777" w:rsidR="005D0918" w:rsidRPr="00BF17C4" w:rsidRDefault="005D0918" w:rsidP="005D0918">
      <w:pPr>
        <w:spacing w:after="0" w:line="276" w:lineRule="auto"/>
        <w:ind w:firstLine="709"/>
        <w:jc w:val="both"/>
        <w:rPr>
          <w:rFonts w:ascii="Arial" w:eastAsia="Times New Roman" w:hAnsi="Arial" w:cs="Arial"/>
          <w:color w:val="000000"/>
          <w:sz w:val="20"/>
          <w:szCs w:val="20"/>
          <w:lang w:val="es-ES"/>
        </w:rPr>
      </w:pPr>
    </w:p>
    <w:p w14:paraId="4AB74807" w14:textId="5085CA19" w:rsidR="005D0918" w:rsidRPr="00BF17C4" w:rsidRDefault="005D0918" w:rsidP="005D0918">
      <w:pPr>
        <w:spacing w:after="0"/>
        <w:jc w:val="both"/>
        <w:rPr>
          <w:rFonts w:ascii="Arial" w:hAnsi="Arial" w:cs="Arial"/>
          <w:color w:val="000000"/>
          <w:sz w:val="20"/>
          <w:szCs w:val="20"/>
          <w:lang w:val="es-ES"/>
        </w:rPr>
      </w:pPr>
      <w:r w:rsidRPr="00BF17C4">
        <w:rPr>
          <w:rFonts w:ascii="Arial" w:hAnsi="Arial" w:cs="Arial"/>
          <w:color w:val="000000"/>
          <w:sz w:val="20"/>
          <w:szCs w:val="20"/>
          <w:lang w:val="es-ES"/>
        </w:rPr>
        <w:t xml:space="preserve">[…] Por </w:t>
      </w:r>
      <w:r w:rsidR="00DB76DE" w:rsidRPr="00BF17C4">
        <w:rPr>
          <w:rFonts w:ascii="Arial" w:hAnsi="Arial" w:cs="Arial"/>
          <w:color w:val="000000"/>
          <w:sz w:val="20"/>
          <w:szCs w:val="20"/>
          <w:lang w:val="es-ES"/>
        </w:rPr>
        <w:t>“</w:t>
      </w:r>
      <w:r w:rsidRPr="00BF17C4">
        <w:rPr>
          <w:rFonts w:ascii="Arial" w:hAnsi="Arial" w:cs="Arial"/>
          <w:color w:val="000000"/>
          <w:sz w:val="20"/>
          <w:szCs w:val="20"/>
          <w:lang w:val="es-ES"/>
        </w:rPr>
        <w:t>mejor año fiscal</w:t>
      </w:r>
      <w:r w:rsidR="00DB76DE" w:rsidRPr="00BF17C4">
        <w:rPr>
          <w:rFonts w:ascii="Arial" w:hAnsi="Arial" w:cs="Arial"/>
          <w:color w:val="000000"/>
          <w:sz w:val="20"/>
          <w:szCs w:val="20"/>
          <w:lang w:val="es-ES"/>
        </w:rPr>
        <w:t>”</w:t>
      </w:r>
      <w:r w:rsidRPr="00BF17C4">
        <w:rPr>
          <w:rFonts w:ascii="Arial" w:hAnsi="Arial" w:cs="Arial"/>
          <w:color w:val="000000"/>
          <w:sz w:val="20"/>
          <w:szCs w:val="20"/>
          <w:lang w:val="es-ES"/>
        </w:rPr>
        <w:t xml:space="preserve">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003A352F" w:rsidRPr="00BF17C4">
        <w:rPr>
          <w:rFonts w:ascii="Arial" w:hAnsi="Arial" w:cs="Arial"/>
          <w:color w:val="000000"/>
          <w:sz w:val="20"/>
          <w:szCs w:val="20"/>
          <w:lang w:val="es-ES"/>
        </w:rPr>
        <w:t>“</w:t>
      </w:r>
      <w:r w:rsidRPr="00BF17C4">
        <w:rPr>
          <w:rFonts w:ascii="Arial" w:hAnsi="Arial" w:cs="Arial"/>
          <w:color w:val="000000"/>
          <w:sz w:val="20"/>
          <w:szCs w:val="20"/>
          <w:lang w:val="es-ES"/>
        </w:rPr>
        <w:t>[…] las Entidades Estatales evaluarán estos indicadores, teniendo en cuenta el mejor año fiscal que se refleje en el registro de cada proponente</w:t>
      </w:r>
      <w:r w:rsidR="003A352F" w:rsidRPr="00BF17C4">
        <w:rPr>
          <w:rFonts w:ascii="Arial" w:hAnsi="Arial" w:cs="Arial"/>
          <w:color w:val="000000"/>
          <w:sz w:val="20"/>
          <w:szCs w:val="20"/>
          <w:lang w:val="es-ES"/>
        </w:rPr>
        <w:t>”</w:t>
      </w:r>
      <w:r w:rsidRPr="00BF17C4">
        <w:rPr>
          <w:rFonts w:ascii="Arial" w:hAnsi="Arial" w:cs="Arial"/>
          <w:color w:val="000000"/>
          <w:sz w:val="20"/>
          <w:szCs w:val="20"/>
          <w:lang w:val="es-ES"/>
        </w:rPr>
        <w:t>, significa que deben examinar los años certificados en el RUP y escoger para ser evaluado el que refleje mejores indicadores de capacidad financiera y organizacional, que permita al proponente cumplir los requisitos habilitantes de capacidad financiera y capacidad organizacional.</w:t>
      </w:r>
    </w:p>
    <w:p w14:paraId="305BC2C9" w14:textId="77777777" w:rsidR="005D0918" w:rsidRPr="00BF17C4" w:rsidRDefault="005D0918" w:rsidP="005D0918">
      <w:pPr>
        <w:spacing w:after="0"/>
        <w:jc w:val="both"/>
        <w:rPr>
          <w:rFonts w:ascii="Arial" w:hAnsi="Arial" w:cs="Arial"/>
          <w:color w:val="000000"/>
          <w:sz w:val="20"/>
          <w:szCs w:val="20"/>
          <w:lang w:val="es-ES"/>
        </w:rPr>
      </w:pPr>
    </w:p>
    <w:p w14:paraId="12ABEAD2" w14:textId="77777777" w:rsidR="009C56CC" w:rsidRPr="00BF17C4" w:rsidRDefault="009C56CC" w:rsidP="009C56CC">
      <w:pPr>
        <w:jc w:val="both"/>
        <w:rPr>
          <w:rFonts w:ascii="Arial" w:hAnsi="Arial" w:cs="Arial"/>
          <w:b/>
          <w:sz w:val="20"/>
          <w:szCs w:val="20"/>
          <w:lang w:val="es-ES_tradnl"/>
        </w:rPr>
      </w:pPr>
      <w:r w:rsidRPr="00BF17C4">
        <w:rPr>
          <w:rFonts w:ascii="Arial" w:hAnsi="Arial" w:cs="Arial"/>
          <w:b/>
          <w:sz w:val="20"/>
          <w:szCs w:val="20"/>
          <w:lang w:val="es-ES_tradnl"/>
        </w:rPr>
        <w:lastRenderedPageBreak/>
        <w:t xml:space="preserve">DECRETO 1041 DE 2022 – Información – Capacidad financiera – Capacidad organizacional </w:t>
      </w:r>
    </w:p>
    <w:p w14:paraId="685C3F39" w14:textId="77777777" w:rsidR="009C56CC" w:rsidRPr="00BF17C4" w:rsidRDefault="009C56CC" w:rsidP="009C56CC">
      <w:pPr>
        <w:jc w:val="both"/>
        <w:rPr>
          <w:rFonts w:ascii="Arial" w:hAnsi="Arial" w:cs="Arial"/>
          <w:sz w:val="20"/>
          <w:szCs w:val="20"/>
        </w:rPr>
      </w:pPr>
      <w:r w:rsidRPr="00BF17C4">
        <w:rPr>
          <w:rFonts w:ascii="Arial" w:hAnsi="Arial" w:cs="Arial"/>
          <w:sz w:val="20"/>
          <w:szCs w:val="20"/>
        </w:rPr>
        <w:t>[…] el artículo 4 del Decreto 399 de 2021 adicionó dos parágrafos transitorios al artículo 2.2.1.1.1.5.2. del Decreto 1082 de 2015, que a su vez fueron sustituidos posteriormente por el artículo 1 del Decreto 579 del 31 de mayo de 2021. El parágrafo transitorio 1 y 2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35F24BBE" w14:textId="77777777" w:rsidR="009C56CC" w:rsidRPr="00BF17C4" w:rsidRDefault="009C56CC" w:rsidP="009C56CC">
      <w:pPr>
        <w:jc w:val="both"/>
        <w:rPr>
          <w:rFonts w:ascii="Arial" w:hAnsi="Arial" w:cs="Arial"/>
          <w:sz w:val="20"/>
          <w:szCs w:val="20"/>
        </w:rPr>
      </w:pPr>
      <w:r w:rsidRPr="00BF17C4">
        <w:rPr>
          <w:rFonts w:ascii="Arial" w:hAnsi="Arial" w:cs="Arial"/>
          <w:sz w:val="20"/>
          <w:szCs w:val="20"/>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 El segundo parágrafo transitorio establece que “El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2B50904A" w14:textId="77777777" w:rsidR="009C56CC" w:rsidRPr="00BF17C4" w:rsidRDefault="009C56CC" w:rsidP="009C56CC">
      <w:pPr>
        <w:jc w:val="both"/>
        <w:rPr>
          <w:rFonts w:ascii="Arial" w:hAnsi="Arial" w:cs="Arial"/>
          <w:sz w:val="20"/>
          <w:szCs w:val="20"/>
        </w:rPr>
      </w:pPr>
      <w:r w:rsidRPr="00BF17C4">
        <w:rPr>
          <w:rFonts w:ascii="Arial" w:hAnsi="Arial" w:cs="Arial"/>
          <w:sz w:val="20"/>
          <w:szCs w:val="20"/>
        </w:rPr>
        <w:t>Posteriormente, el Decreto 1041 de 2022 extendió las anteriores medidas hasta el año 2023, para que los oferentes aun tengan la facultad de acreditar el mejor indicador financiero y organizacional de los últimos tres años, para contribuir con la reactivación económica.</w:t>
      </w:r>
    </w:p>
    <w:p w14:paraId="40A4F085" w14:textId="77777777" w:rsidR="009C56CC" w:rsidRPr="009C56CC" w:rsidRDefault="009C56CC" w:rsidP="005D0918">
      <w:pPr>
        <w:spacing w:after="0"/>
        <w:jc w:val="both"/>
        <w:rPr>
          <w:rFonts w:ascii="Arial" w:hAnsi="Arial" w:cs="Arial"/>
          <w:color w:val="000000"/>
          <w:sz w:val="20"/>
          <w:szCs w:val="20"/>
        </w:rPr>
      </w:pPr>
    </w:p>
    <w:p w14:paraId="2C8E54D6" w14:textId="77777777" w:rsidR="00F54291" w:rsidRDefault="00F54291" w:rsidP="005D0918">
      <w:pPr>
        <w:spacing w:after="0"/>
        <w:jc w:val="both"/>
        <w:rPr>
          <w:rFonts w:ascii="Arial" w:hAnsi="Arial" w:cs="Arial"/>
          <w:color w:val="000000"/>
          <w:sz w:val="20"/>
          <w:szCs w:val="20"/>
          <w:lang w:val="es-ES"/>
        </w:rPr>
      </w:pPr>
    </w:p>
    <w:p w14:paraId="1923BE33" w14:textId="77777777" w:rsidR="005D0918" w:rsidRDefault="005D0918" w:rsidP="005D0918">
      <w:pPr>
        <w:jc w:val="both"/>
        <w:rPr>
          <w:rFonts w:ascii="Arial" w:hAnsi="Arial" w:cs="Arial"/>
          <w:color w:val="000000"/>
          <w:sz w:val="20"/>
          <w:szCs w:val="20"/>
          <w:lang w:val="es-ES"/>
        </w:rPr>
      </w:pPr>
    </w:p>
    <w:p w14:paraId="0B445C35" w14:textId="77777777" w:rsidR="005D0918" w:rsidRDefault="005D0918" w:rsidP="005D0918">
      <w:pPr>
        <w:spacing w:line="256" w:lineRule="auto"/>
        <w:rPr>
          <w:rFonts w:ascii="Arial" w:hAnsi="Arial" w:cs="Arial"/>
          <w:color w:val="000000"/>
          <w:szCs w:val="24"/>
          <w:lang w:val="es-ES"/>
        </w:rPr>
      </w:pPr>
      <w:r>
        <w:rPr>
          <w:rFonts w:ascii="Arial" w:hAnsi="Arial" w:cs="Arial"/>
          <w:color w:val="000000"/>
          <w:lang w:val="es-ES"/>
        </w:rPr>
        <w:br w:type="page"/>
      </w:r>
    </w:p>
    <w:p w14:paraId="366822D4" w14:textId="77777777" w:rsidR="007409B2" w:rsidRPr="005D0918" w:rsidRDefault="007409B2" w:rsidP="00E245AB">
      <w:pPr>
        <w:spacing w:after="0"/>
        <w:rPr>
          <w:rFonts w:ascii="Arial" w:hAnsi="Arial" w:cs="Arial"/>
          <w:lang w:val="es-ES"/>
        </w:rPr>
      </w:pPr>
    </w:p>
    <w:p w14:paraId="3FE2184B" w14:textId="3CCFDCE0" w:rsidR="00E245AB" w:rsidRPr="00503D73" w:rsidRDefault="00E245AB" w:rsidP="00E245AB">
      <w:pPr>
        <w:spacing w:after="0"/>
        <w:rPr>
          <w:rFonts w:ascii="Arial" w:hAnsi="Arial" w:cs="Arial"/>
        </w:rPr>
      </w:pPr>
      <w:r w:rsidRPr="00503D73">
        <w:rPr>
          <w:rFonts w:ascii="Arial" w:hAnsi="Arial" w:cs="Arial"/>
        </w:rPr>
        <w:t>Bogotá D.C.</w:t>
      </w:r>
      <w:r w:rsidR="005D0918">
        <w:rPr>
          <w:rFonts w:ascii="Arial" w:hAnsi="Arial" w:cs="Arial"/>
        </w:rPr>
        <w:t>, 30 de agosto del 2023</w:t>
      </w:r>
      <w:r w:rsidRPr="00503D73">
        <w:rPr>
          <w:rFonts w:ascii="Arial" w:hAnsi="Arial" w:cs="Arial"/>
        </w:rPr>
        <w:tab/>
      </w:r>
    </w:p>
    <w:p w14:paraId="5FCADBF9" w14:textId="77777777" w:rsidR="00E245AB" w:rsidRDefault="00E245AB" w:rsidP="00E245AB">
      <w:pPr>
        <w:spacing w:after="0"/>
        <w:rPr>
          <w:rFonts w:ascii="Arial" w:hAnsi="Arial" w:cs="Arial"/>
        </w:rPr>
      </w:pPr>
    </w:p>
    <w:p w14:paraId="69A55A53" w14:textId="64876F91" w:rsidR="003D4CA6" w:rsidRPr="00503D73" w:rsidRDefault="00F52839" w:rsidP="003D4CA6">
      <w:pPr>
        <w:spacing w:after="0"/>
        <w:jc w:val="right"/>
        <w:rPr>
          <w:rFonts w:ascii="Arial" w:hAnsi="Arial" w:cs="Arial"/>
        </w:rPr>
      </w:pPr>
      <w:r>
        <w:rPr>
          <w:rFonts w:ascii="Arial" w:hAnsi="Arial" w:cs="Arial"/>
          <w:noProof/>
        </w:rPr>
        <w:drawing>
          <wp:inline distT="0" distB="0" distL="0" distR="0" wp14:anchorId="3AD00BA2" wp14:editId="7341D7E5">
            <wp:extent cx="2965450" cy="738554"/>
            <wp:effectExtent l="0" t="0" r="6350" b="4445"/>
            <wp:docPr id="1712583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83873" name="Imagen 1712583873"/>
                    <pic:cNvPicPr/>
                  </pic:nvPicPr>
                  <pic:blipFill>
                    <a:blip r:embed="rId11">
                      <a:extLst>
                        <a:ext uri="{28A0092B-C50C-407E-A947-70E740481C1C}">
                          <a14:useLocalDpi xmlns:a14="http://schemas.microsoft.com/office/drawing/2010/main" val="0"/>
                        </a:ext>
                      </a:extLst>
                    </a:blip>
                    <a:stretch>
                      <a:fillRect/>
                    </a:stretch>
                  </pic:blipFill>
                  <pic:spPr>
                    <a:xfrm>
                      <a:off x="0" y="0"/>
                      <a:ext cx="2982199" cy="742725"/>
                    </a:xfrm>
                    <a:prstGeom prst="rect">
                      <a:avLst/>
                    </a:prstGeom>
                  </pic:spPr>
                </pic:pic>
              </a:graphicData>
            </a:graphic>
          </wp:inline>
        </w:drawing>
      </w:r>
    </w:p>
    <w:p w14:paraId="1C6C6C0A" w14:textId="77777777" w:rsidR="00766794" w:rsidRPr="00503D73" w:rsidRDefault="00766794" w:rsidP="00E245AB">
      <w:pPr>
        <w:spacing w:after="0"/>
        <w:rPr>
          <w:rFonts w:ascii="Arial" w:hAnsi="Arial" w:cs="Arial"/>
        </w:rPr>
      </w:pPr>
    </w:p>
    <w:p w14:paraId="3A91B230" w14:textId="604010B8" w:rsidR="00766794" w:rsidRPr="00503D73" w:rsidRDefault="00766794" w:rsidP="00766794">
      <w:pPr>
        <w:spacing w:after="0"/>
        <w:rPr>
          <w:rFonts w:ascii="Arial" w:eastAsia="Geomanist Light" w:hAnsi="Arial" w:cs="Arial"/>
          <w:lang w:val="es-MX"/>
        </w:rPr>
      </w:pPr>
      <w:r w:rsidRPr="00503D73">
        <w:rPr>
          <w:rFonts w:ascii="Arial" w:hAnsi="Arial" w:cs="Arial"/>
          <w:lang w:val="es-MX"/>
        </w:rPr>
        <w:t>Señor</w:t>
      </w:r>
      <w:r w:rsidR="00CE3C53" w:rsidRPr="00503D73">
        <w:rPr>
          <w:rFonts w:ascii="Arial" w:hAnsi="Arial" w:cs="Arial"/>
          <w:lang w:val="es-MX"/>
        </w:rPr>
        <w:t>a</w:t>
      </w:r>
    </w:p>
    <w:p w14:paraId="026DA8B1" w14:textId="74CD0361" w:rsidR="00766794" w:rsidRPr="00503D73" w:rsidRDefault="00CE3C53" w:rsidP="00766794">
      <w:pPr>
        <w:spacing w:after="0" w:line="276" w:lineRule="auto"/>
        <w:rPr>
          <w:rFonts w:ascii="Arial" w:hAnsi="Arial" w:cs="Arial"/>
          <w:b/>
          <w:bCs/>
          <w:lang w:val="es-MX"/>
        </w:rPr>
      </w:pPr>
      <w:r w:rsidRPr="00503D73">
        <w:rPr>
          <w:rFonts w:ascii="Arial" w:hAnsi="Arial" w:cs="Arial"/>
          <w:b/>
          <w:bCs/>
          <w:lang w:val="es-MX"/>
        </w:rPr>
        <w:t>Lorena Ortiz</w:t>
      </w:r>
      <w:r w:rsidR="007E0AF2" w:rsidRPr="00503D73">
        <w:rPr>
          <w:rFonts w:ascii="Arial" w:hAnsi="Arial" w:cs="Arial"/>
          <w:b/>
          <w:bCs/>
          <w:lang w:val="es-MX"/>
        </w:rPr>
        <w:t xml:space="preserve"> Rivera</w:t>
      </w:r>
    </w:p>
    <w:p w14:paraId="43ED4C31" w14:textId="7489B313" w:rsidR="00766794" w:rsidRPr="00503D73" w:rsidRDefault="00CE3C53" w:rsidP="00766794">
      <w:pPr>
        <w:spacing w:after="0" w:line="276" w:lineRule="auto"/>
        <w:rPr>
          <w:rFonts w:ascii="Arial" w:hAnsi="Arial" w:cs="Arial"/>
          <w:lang w:val="es-MX"/>
        </w:rPr>
      </w:pPr>
      <w:r w:rsidRPr="00503D73">
        <w:rPr>
          <w:rFonts w:ascii="Arial" w:hAnsi="Arial" w:cs="Arial"/>
          <w:lang w:val="es-MX"/>
        </w:rPr>
        <w:t xml:space="preserve">Medellín, Antioquia </w:t>
      </w:r>
    </w:p>
    <w:p w14:paraId="0190CEFF" w14:textId="77777777" w:rsidR="00766794" w:rsidRPr="00503D73" w:rsidRDefault="00766794" w:rsidP="00766794">
      <w:pPr>
        <w:spacing w:after="0" w:line="276" w:lineRule="auto"/>
        <w:rPr>
          <w:rFonts w:ascii="Arial" w:hAnsi="Arial" w:cs="Arial"/>
          <w:lang w:val="es-MX"/>
        </w:rPr>
      </w:pPr>
    </w:p>
    <w:p w14:paraId="2B61B2ED" w14:textId="77777777" w:rsidR="00766794" w:rsidRPr="00503D73" w:rsidRDefault="00766794" w:rsidP="00766794">
      <w:pPr>
        <w:spacing w:after="0" w:line="276" w:lineRule="auto"/>
        <w:rPr>
          <w:rFonts w:ascii="Arial" w:hAnsi="Arial" w:cs="Arial"/>
          <w:lang w:val="es-MX"/>
        </w:rPr>
      </w:pPr>
    </w:p>
    <w:p w14:paraId="5E1A00F8" w14:textId="5B83CC31" w:rsidR="00766794" w:rsidRPr="00503D73" w:rsidRDefault="00766794" w:rsidP="00766794">
      <w:pPr>
        <w:spacing w:after="0" w:line="276" w:lineRule="auto"/>
        <w:ind w:left="2832"/>
        <w:rPr>
          <w:rFonts w:ascii="Arial" w:eastAsia="Calibri" w:hAnsi="Arial" w:cs="Arial"/>
          <w:b/>
          <w:lang w:val="es-ES"/>
        </w:rPr>
      </w:pPr>
      <w:r w:rsidRPr="00503D73">
        <w:rPr>
          <w:rFonts w:ascii="Arial" w:eastAsia="Calibri" w:hAnsi="Arial" w:cs="Arial"/>
          <w:b/>
          <w:lang w:val="es-ES"/>
        </w:rPr>
        <w:t xml:space="preserve">Concepto </w:t>
      </w:r>
      <w:r w:rsidRPr="00503D73">
        <w:rPr>
          <w:rFonts w:ascii="Arial" w:eastAsia="Calibri" w:hAnsi="Arial" w:cs="Arial"/>
          <w:b/>
          <w:bCs/>
          <w:lang w:val="es-ES"/>
        </w:rPr>
        <w:t>C-</w:t>
      </w:r>
      <w:r w:rsidRPr="00503D73">
        <w:rPr>
          <w:rFonts w:ascii="Arial" w:hAnsi="Arial" w:cs="Arial"/>
        </w:rPr>
        <w:t xml:space="preserve"> </w:t>
      </w:r>
      <w:r w:rsidR="009B41EA" w:rsidRPr="00503D73">
        <w:rPr>
          <w:rFonts w:ascii="Arial" w:eastAsia="Calibri" w:hAnsi="Arial" w:cs="Arial"/>
          <w:b/>
          <w:bCs/>
          <w:lang w:val="es-ES"/>
        </w:rPr>
        <w:t>355</w:t>
      </w:r>
      <w:r w:rsidRPr="00503D73">
        <w:rPr>
          <w:rFonts w:ascii="Arial" w:eastAsia="Calibri" w:hAnsi="Arial" w:cs="Arial"/>
          <w:b/>
          <w:bCs/>
          <w:lang w:val="es-ES"/>
        </w:rPr>
        <w:t xml:space="preserve"> del 2023</w:t>
      </w:r>
    </w:p>
    <w:p w14:paraId="26A40B64" w14:textId="77777777" w:rsidR="00766794" w:rsidRPr="00503D73" w:rsidRDefault="00766794" w:rsidP="00766794">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503D73" w:rsidRPr="00503D73" w14:paraId="6BBD6876" w14:textId="77777777" w:rsidTr="00381D0D">
        <w:trPr>
          <w:jc w:val="right"/>
        </w:trPr>
        <w:tc>
          <w:tcPr>
            <w:tcW w:w="1838" w:type="dxa"/>
          </w:tcPr>
          <w:p w14:paraId="7E55BCAA" w14:textId="77777777" w:rsidR="00766794" w:rsidRPr="00503D73" w:rsidRDefault="00766794" w:rsidP="00381D0D">
            <w:pPr>
              <w:spacing w:line="276" w:lineRule="auto"/>
              <w:jc w:val="center"/>
              <w:rPr>
                <w:rFonts w:ascii="Arial" w:eastAsia="Calibri" w:hAnsi="Arial" w:cs="Arial"/>
                <w:lang w:val="es-ES_tradnl"/>
              </w:rPr>
            </w:pPr>
            <w:r w:rsidRPr="00503D73">
              <w:rPr>
                <w:rFonts w:ascii="Arial" w:eastAsia="Calibri" w:hAnsi="Arial" w:cs="Arial"/>
                <w:b/>
                <w:lang w:val="es-ES_tradnl"/>
              </w:rPr>
              <w:t>Temas:</w:t>
            </w:r>
          </w:p>
        </w:tc>
        <w:tc>
          <w:tcPr>
            <w:tcW w:w="6237" w:type="dxa"/>
          </w:tcPr>
          <w:p w14:paraId="1267E059" w14:textId="34EB514A" w:rsidR="00A97CA3" w:rsidRPr="009C56CC" w:rsidRDefault="00DC7FD2" w:rsidP="00381D0D">
            <w:pPr>
              <w:spacing w:after="120"/>
              <w:contextualSpacing/>
              <w:jc w:val="both"/>
              <w:rPr>
                <w:rFonts w:ascii="Arial" w:hAnsi="Arial" w:cs="Arial"/>
                <w:bCs/>
                <w:lang w:val="es-ES_tradnl"/>
              </w:rPr>
            </w:pPr>
            <w:r w:rsidRPr="00DC7FD2">
              <w:rPr>
                <w:rFonts w:ascii="Arial" w:hAnsi="Arial" w:cs="Arial"/>
                <w:bCs/>
              </w:rPr>
              <w:t xml:space="preserve">DECRETO 399 DE 2021 – Información – Capacidad financiera – Capacidad organizacional </w:t>
            </w:r>
            <w:r>
              <w:rPr>
                <w:rFonts w:ascii="Arial" w:hAnsi="Arial" w:cs="Arial"/>
                <w:bCs/>
              </w:rPr>
              <w:t xml:space="preserve">/ </w:t>
            </w:r>
            <w:r w:rsidRPr="00DC7FD2">
              <w:rPr>
                <w:rFonts w:ascii="Arial" w:hAnsi="Arial" w:cs="Arial"/>
                <w:bCs/>
              </w:rPr>
              <w:t>DECRETO 399 DE 2021 – Indicadores – Capacidad financiera – Capacidad organizacional</w:t>
            </w:r>
            <w:r>
              <w:rPr>
                <w:rFonts w:ascii="Arial" w:hAnsi="Arial" w:cs="Arial"/>
                <w:bCs/>
              </w:rPr>
              <w:t xml:space="preserve"> /</w:t>
            </w:r>
            <w:r w:rsidR="003F62FF">
              <w:rPr>
                <w:rFonts w:ascii="Arial" w:hAnsi="Arial" w:cs="Arial"/>
                <w:bCs/>
              </w:rPr>
              <w:t xml:space="preserve"> </w:t>
            </w:r>
            <w:r w:rsidR="003D4CA6" w:rsidRPr="003D4CA6">
              <w:rPr>
                <w:rFonts w:ascii="Arial" w:hAnsi="Arial" w:cs="Arial"/>
                <w:bCs/>
              </w:rPr>
              <w:t>MEJOR AÑO FISCAL – Decretos 399</w:t>
            </w:r>
            <w:r w:rsidR="009C56CC">
              <w:rPr>
                <w:rFonts w:ascii="Arial" w:hAnsi="Arial" w:cs="Arial"/>
                <w:bCs/>
              </w:rPr>
              <w:t xml:space="preserve"> y </w:t>
            </w:r>
            <w:r w:rsidR="003D4CA6" w:rsidRPr="003D4CA6">
              <w:rPr>
                <w:rFonts w:ascii="Arial" w:hAnsi="Arial" w:cs="Arial"/>
                <w:bCs/>
              </w:rPr>
              <w:t>579 de 202</w:t>
            </w:r>
            <w:r w:rsidR="009C56CC">
              <w:rPr>
                <w:rFonts w:ascii="Arial" w:hAnsi="Arial" w:cs="Arial"/>
                <w:bCs/>
              </w:rPr>
              <w:t xml:space="preserve">1 </w:t>
            </w:r>
            <w:r w:rsidR="003D4CA6" w:rsidRPr="003D4CA6">
              <w:rPr>
                <w:rFonts w:ascii="Arial" w:hAnsi="Arial" w:cs="Arial"/>
                <w:bCs/>
              </w:rPr>
              <w:t>Capacidad financiera – Capacidad organizacional – Interpretación</w:t>
            </w:r>
            <w:r w:rsidR="009C56CC">
              <w:rPr>
                <w:rFonts w:ascii="Arial" w:hAnsi="Arial" w:cs="Arial"/>
                <w:bCs/>
              </w:rPr>
              <w:t xml:space="preserve"> / </w:t>
            </w:r>
            <w:r w:rsidR="009C56CC" w:rsidRPr="009C56CC">
              <w:rPr>
                <w:rFonts w:ascii="Arial" w:hAnsi="Arial" w:cs="Arial"/>
                <w:bCs/>
              </w:rPr>
              <w:t>DECRETO 1041 DE 2022 – Información – Capacidad financiera – Capacidad organizacional</w:t>
            </w:r>
          </w:p>
          <w:p w14:paraId="3A33AE95" w14:textId="4AE8F132" w:rsidR="00DC7FD2" w:rsidRPr="00A97CA3" w:rsidRDefault="003F62FF" w:rsidP="003F62FF">
            <w:pPr>
              <w:tabs>
                <w:tab w:val="left" w:pos="986"/>
              </w:tabs>
              <w:spacing w:after="120"/>
              <w:contextualSpacing/>
              <w:jc w:val="both"/>
              <w:rPr>
                <w:rFonts w:ascii="Arial" w:eastAsia="Calibri" w:hAnsi="Arial" w:cs="Arial"/>
                <w:lang w:val="es-ES" w:eastAsia="es-ES_tradnl"/>
              </w:rPr>
            </w:pPr>
            <w:r>
              <w:rPr>
                <w:rFonts w:ascii="Arial" w:eastAsia="Calibri" w:hAnsi="Arial" w:cs="Arial"/>
                <w:lang w:val="es-ES" w:eastAsia="es-ES_tradnl"/>
              </w:rPr>
              <w:tab/>
            </w:r>
          </w:p>
        </w:tc>
      </w:tr>
      <w:tr w:rsidR="00503D73" w:rsidRPr="00503D73" w14:paraId="324A7B5A" w14:textId="77777777" w:rsidTr="00381D0D">
        <w:trPr>
          <w:jc w:val="right"/>
        </w:trPr>
        <w:tc>
          <w:tcPr>
            <w:tcW w:w="1838" w:type="dxa"/>
          </w:tcPr>
          <w:p w14:paraId="5C5D6B01" w14:textId="77777777" w:rsidR="00766794" w:rsidRPr="00503D73" w:rsidRDefault="00766794" w:rsidP="00381D0D">
            <w:pPr>
              <w:spacing w:line="276" w:lineRule="auto"/>
              <w:jc w:val="center"/>
              <w:rPr>
                <w:rFonts w:ascii="Arial" w:eastAsia="Calibri" w:hAnsi="Arial" w:cs="Arial"/>
                <w:b/>
                <w:lang w:val="es-ES"/>
              </w:rPr>
            </w:pPr>
            <w:r w:rsidRPr="00503D73">
              <w:rPr>
                <w:rFonts w:ascii="Arial" w:eastAsia="Calibri" w:hAnsi="Arial" w:cs="Arial"/>
                <w:b/>
                <w:lang w:val="es-ES"/>
              </w:rPr>
              <w:t>Radicación:</w:t>
            </w:r>
          </w:p>
        </w:tc>
        <w:tc>
          <w:tcPr>
            <w:tcW w:w="6237" w:type="dxa"/>
          </w:tcPr>
          <w:p w14:paraId="06DEF430" w14:textId="7E89C681" w:rsidR="00766794" w:rsidRPr="00503D73" w:rsidRDefault="00766794" w:rsidP="00381D0D">
            <w:pPr>
              <w:spacing w:line="276" w:lineRule="auto"/>
              <w:jc w:val="both"/>
              <w:rPr>
                <w:rFonts w:ascii="Arial" w:eastAsia="Calibri" w:hAnsi="Arial" w:cs="Arial"/>
                <w:lang w:val="es-ES"/>
              </w:rPr>
            </w:pPr>
            <w:r w:rsidRPr="00503D73">
              <w:rPr>
                <w:rFonts w:ascii="Arial" w:eastAsia="Calibri" w:hAnsi="Arial" w:cs="Arial"/>
                <w:lang w:val="es-ES"/>
              </w:rPr>
              <w:t xml:space="preserve">Respuesta a consulta No. </w:t>
            </w:r>
            <w:r w:rsidR="009B41EA" w:rsidRPr="00503D73">
              <w:rPr>
                <w:rFonts w:ascii="Arial" w:eastAsia="Calibri" w:hAnsi="Arial" w:cs="Arial"/>
                <w:lang w:val="es-ES"/>
              </w:rPr>
              <w:t>P20230717013336</w:t>
            </w:r>
          </w:p>
        </w:tc>
      </w:tr>
    </w:tbl>
    <w:p w14:paraId="6E6B0216" w14:textId="77777777" w:rsidR="00766794" w:rsidRPr="00503D73" w:rsidRDefault="00766794" w:rsidP="00766794">
      <w:pPr>
        <w:spacing w:line="276" w:lineRule="auto"/>
        <w:jc w:val="both"/>
        <w:rPr>
          <w:rFonts w:ascii="Arial" w:eastAsia="Calibri" w:hAnsi="Arial" w:cs="Arial"/>
          <w:lang w:val="es-ES_tradnl"/>
        </w:rPr>
      </w:pPr>
    </w:p>
    <w:p w14:paraId="1A3BF065" w14:textId="69A433FE" w:rsidR="00766794" w:rsidRPr="00503D73" w:rsidRDefault="00766794" w:rsidP="00766794">
      <w:pPr>
        <w:spacing w:line="276" w:lineRule="auto"/>
        <w:jc w:val="both"/>
        <w:rPr>
          <w:rFonts w:ascii="Arial" w:eastAsia="Calibri" w:hAnsi="Arial" w:cs="Arial"/>
          <w:lang w:val="es-ES_tradnl"/>
        </w:rPr>
      </w:pPr>
      <w:r w:rsidRPr="00503D73">
        <w:rPr>
          <w:rFonts w:ascii="Arial" w:eastAsia="Calibri" w:hAnsi="Arial" w:cs="Arial"/>
          <w:lang w:val="es-ES_tradnl"/>
        </w:rPr>
        <w:t>Estimad</w:t>
      </w:r>
      <w:r w:rsidR="00CE3C53" w:rsidRPr="00503D73">
        <w:rPr>
          <w:rFonts w:ascii="Arial" w:eastAsia="Calibri" w:hAnsi="Arial" w:cs="Arial"/>
          <w:lang w:val="es-ES_tradnl"/>
        </w:rPr>
        <w:t>a</w:t>
      </w:r>
      <w:r w:rsidRPr="00503D73">
        <w:rPr>
          <w:rFonts w:ascii="Arial" w:eastAsia="Calibri" w:hAnsi="Arial" w:cs="Arial"/>
          <w:lang w:val="es-ES_tradnl"/>
        </w:rPr>
        <w:t xml:space="preserve"> señor</w:t>
      </w:r>
      <w:r w:rsidR="00CE3C53" w:rsidRPr="00503D73">
        <w:rPr>
          <w:rFonts w:ascii="Arial" w:eastAsia="Calibri" w:hAnsi="Arial" w:cs="Arial"/>
          <w:lang w:val="es-ES_tradnl"/>
        </w:rPr>
        <w:t>a</w:t>
      </w:r>
      <w:r w:rsidRPr="00503D73">
        <w:rPr>
          <w:rFonts w:ascii="Arial" w:eastAsia="Calibri" w:hAnsi="Arial" w:cs="Arial"/>
          <w:lang w:val="es-ES_tradnl"/>
        </w:rPr>
        <w:t xml:space="preserve"> </w:t>
      </w:r>
      <w:r w:rsidR="007E0AF2" w:rsidRPr="00503D73">
        <w:rPr>
          <w:rFonts w:ascii="Arial" w:hAnsi="Arial" w:cs="Arial"/>
          <w:lang w:val="es-MX"/>
        </w:rPr>
        <w:t>Ortiz Rivera</w:t>
      </w:r>
      <w:r w:rsidRPr="00503D73">
        <w:rPr>
          <w:rFonts w:ascii="Arial" w:eastAsia="Calibri" w:hAnsi="Arial" w:cs="Arial"/>
          <w:lang w:val="es-ES_tradnl"/>
        </w:rPr>
        <w:t>:</w:t>
      </w:r>
    </w:p>
    <w:p w14:paraId="08820379" w14:textId="7B502503" w:rsidR="00766794" w:rsidRPr="00503D73" w:rsidRDefault="00766794" w:rsidP="00766794">
      <w:pPr>
        <w:spacing w:after="0" w:line="276" w:lineRule="auto"/>
        <w:jc w:val="both"/>
        <w:rPr>
          <w:rFonts w:ascii="Arial" w:eastAsia="Calibri" w:hAnsi="Arial" w:cs="Arial"/>
          <w:lang w:val="es-ES"/>
        </w:rPr>
      </w:pPr>
      <w:r w:rsidRPr="00503D73">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―Colombia Compra Eficiente― responde su consulta del </w:t>
      </w:r>
      <w:r w:rsidR="00F27097" w:rsidRPr="00503D73">
        <w:rPr>
          <w:rFonts w:ascii="Arial" w:eastAsia="Calibri" w:hAnsi="Arial" w:cs="Arial"/>
          <w:lang w:val="es-ES"/>
        </w:rPr>
        <w:t>17 de julio del 2023</w:t>
      </w:r>
      <w:r w:rsidRPr="00503D73">
        <w:rPr>
          <w:rFonts w:ascii="Arial" w:eastAsia="Calibri" w:hAnsi="Arial" w:cs="Arial"/>
          <w:lang w:val="es-ES"/>
        </w:rPr>
        <w:t>.</w:t>
      </w:r>
    </w:p>
    <w:p w14:paraId="7ECBF5F2" w14:textId="77777777" w:rsidR="00766794" w:rsidRPr="00503D73" w:rsidRDefault="00766794" w:rsidP="00766794">
      <w:pPr>
        <w:spacing w:after="0" w:line="276" w:lineRule="auto"/>
        <w:jc w:val="both"/>
        <w:rPr>
          <w:rFonts w:ascii="Arial" w:eastAsia="Calibri" w:hAnsi="Arial" w:cs="Arial"/>
          <w:lang w:val="es-ES"/>
        </w:rPr>
      </w:pPr>
    </w:p>
    <w:p w14:paraId="71A73F92" w14:textId="77777777" w:rsidR="00766794" w:rsidRPr="00503D73" w:rsidRDefault="00766794" w:rsidP="00766794">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503D73">
        <w:rPr>
          <w:rFonts w:ascii="Arial" w:eastAsia="Calibri" w:hAnsi="Arial" w:cs="Arial"/>
          <w:b/>
          <w:lang w:val="es-ES_tradnl"/>
        </w:rPr>
        <w:t xml:space="preserve">Problema planteado </w:t>
      </w:r>
    </w:p>
    <w:p w14:paraId="383EAB37" w14:textId="77777777" w:rsidR="00766794" w:rsidRPr="00503D73" w:rsidRDefault="00766794" w:rsidP="00766794">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573B3B77" w14:textId="0A9DE0F4" w:rsidR="00766794" w:rsidRPr="00503D73" w:rsidRDefault="00766794" w:rsidP="00766794">
      <w:pPr>
        <w:spacing w:after="0" w:line="276" w:lineRule="auto"/>
        <w:jc w:val="both"/>
        <w:rPr>
          <w:rFonts w:ascii="Arial" w:hAnsi="Arial" w:cs="Arial"/>
          <w:lang w:val="es-ES_tradnl"/>
        </w:rPr>
      </w:pPr>
      <w:r w:rsidRPr="00503D73">
        <w:rPr>
          <w:rFonts w:ascii="Arial" w:hAnsi="Arial" w:cs="Arial"/>
          <w:lang w:val="es-ES_tradnl"/>
        </w:rPr>
        <w:t>Respecto</w:t>
      </w:r>
      <w:r w:rsidR="00F93761" w:rsidRPr="00503D73">
        <w:rPr>
          <w:rFonts w:ascii="Arial" w:hAnsi="Arial" w:cs="Arial"/>
          <w:lang w:val="es-ES_tradnl"/>
        </w:rPr>
        <w:t xml:space="preserve"> </w:t>
      </w:r>
      <w:r w:rsidR="00F93761" w:rsidRPr="00B5687D">
        <w:rPr>
          <w:rFonts w:ascii="Arial" w:hAnsi="Arial" w:cs="Arial"/>
          <w:lang w:val="es-ES_tradnl"/>
        </w:rPr>
        <w:t>al mejor año fiscal para evaluar la capacidad financiera y organizacional</w:t>
      </w:r>
      <w:r w:rsidRPr="00503D73">
        <w:rPr>
          <w:rFonts w:ascii="Arial" w:hAnsi="Arial" w:cs="Arial"/>
          <w:lang w:val="es-ES_tradnl"/>
        </w:rPr>
        <w:t xml:space="preserve">, usted realiza la siguiente consulta: </w:t>
      </w:r>
    </w:p>
    <w:p w14:paraId="15163584" w14:textId="77777777" w:rsidR="009178D3" w:rsidRPr="00503D73" w:rsidRDefault="009178D3" w:rsidP="00766794">
      <w:pPr>
        <w:spacing w:after="0" w:line="276" w:lineRule="auto"/>
        <w:jc w:val="both"/>
        <w:rPr>
          <w:rFonts w:ascii="Arial" w:hAnsi="Arial" w:cs="Arial"/>
          <w:lang w:val="es-ES_tradnl"/>
        </w:rPr>
      </w:pPr>
    </w:p>
    <w:p w14:paraId="481E29BA" w14:textId="0213E87A" w:rsidR="009178D3" w:rsidRPr="00503D73" w:rsidRDefault="009178D3" w:rsidP="00C34BA9">
      <w:pPr>
        <w:spacing w:after="0" w:line="240" w:lineRule="auto"/>
        <w:ind w:left="709" w:right="709"/>
        <w:jc w:val="both"/>
        <w:rPr>
          <w:rFonts w:ascii="Arial" w:hAnsi="Arial" w:cs="Arial"/>
          <w:sz w:val="21"/>
          <w:szCs w:val="21"/>
          <w:lang w:val="es-ES_tradnl"/>
        </w:rPr>
      </w:pPr>
      <w:r w:rsidRPr="00503D73">
        <w:rPr>
          <w:rFonts w:ascii="Arial" w:hAnsi="Arial" w:cs="Arial"/>
          <w:sz w:val="21"/>
          <w:szCs w:val="21"/>
          <w:lang w:val="es-ES_tradnl"/>
        </w:rPr>
        <w:t xml:space="preserve">“[…] </w:t>
      </w:r>
      <w:r w:rsidR="00C34BA9" w:rsidRPr="00503D73">
        <w:rPr>
          <w:rFonts w:ascii="Arial" w:hAnsi="Arial" w:cs="Arial"/>
          <w:sz w:val="21"/>
          <w:szCs w:val="21"/>
          <w:lang w:val="es-ES_tradnl"/>
        </w:rPr>
        <w:t xml:space="preserve">¿Es posible que el mejor año fiscal para evaluar la capacidad financiera y organizacional sea diferente, según las condiciones del proponente? Por ejemplo, para evaluar la capacidad financiera (índice de liquidez, endeudamiento, razón de cobertura, etc.,) tenga como base el mejor año fiscal 2021, y para evaluar la capacidad organizacional (rentabilidad sobre el </w:t>
      </w:r>
      <w:r w:rsidR="00C34BA9" w:rsidRPr="00503D73">
        <w:rPr>
          <w:rFonts w:ascii="Arial" w:hAnsi="Arial" w:cs="Arial"/>
          <w:sz w:val="21"/>
          <w:szCs w:val="21"/>
          <w:lang w:val="es-ES_tradnl"/>
        </w:rPr>
        <w:lastRenderedPageBreak/>
        <w:t>patrimonio y rentabilidad sobre el activo) tenga como base el mejor año fiscal 2022. Lo anterior bajo el supuesto de estar en un mismo proceso. […]”</w:t>
      </w:r>
      <w:r w:rsidR="004F1350">
        <w:rPr>
          <w:rFonts w:ascii="Arial" w:hAnsi="Arial" w:cs="Arial"/>
          <w:sz w:val="21"/>
          <w:szCs w:val="21"/>
          <w:lang w:val="es-ES_tradnl"/>
        </w:rPr>
        <w:t xml:space="preserve"> (SIC)</w:t>
      </w:r>
    </w:p>
    <w:p w14:paraId="0465BA6D" w14:textId="77777777" w:rsidR="00E245AB" w:rsidRPr="00503D73" w:rsidRDefault="00E245AB" w:rsidP="00E245AB">
      <w:pPr>
        <w:spacing w:after="0"/>
        <w:rPr>
          <w:rFonts w:ascii="Arial" w:hAnsi="Arial" w:cs="Arial"/>
          <w:lang w:val="es-ES_tradnl"/>
        </w:rPr>
      </w:pPr>
    </w:p>
    <w:p w14:paraId="129C6EC7" w14:textId="77777777" w:rsidR="008729D2" w:rsidRPr="00503D73" w:rsidRDefault="008729D2" w:rsidP="008729D2">
      <w:pPr>
        <w:pStyle w:val="Prrafodelista"/>
        <w:numPr>
          <w:ilvl w:val="0"/>
          <w:numId w:val="6"/>
        </w:numPr>
        <w:tabs>
          <w:tab w:val="left" w:pos="0"/>
          <w:tab w:val="left" w:pos="284"/>
        </w:tabs>
        <w:spacing w:after="0" w:line="276" w:lineRule="auto"/>
        <w:ind w:left="360"/>
        <w:jc w:val="both"/>
        <w:rPr>
          <w:rFonts w:ascii="Arial" w:eastAsia="Calibri" w:hAnsi="Arial" w:cs="Arial"/>
          <w:b/>
          <w:lang w:val="es-ES_tradnl"/>
        </w:rPr>
      </w:pPr>
      <w:r w:rsidRPr="00503D73">
        <w:rPr>
          <w:rFonts w:ascii="Arial" w:eastAsia="Calibri" w:hAnsi="Arial" w:cs="Arial"/>
          <w:b/>
          <w:lang w:val="es-ES_tradnl"/>
        </w:rPr>
        <w:t>Consideraciones</w:t>
      </w:r>
    </w:p>
    <w:p w14:paraId="1652867C" w14:textId="77777777" w:rsidR="008729D2" w:rsidRPr="00503D73" w:rsidRDefault="008729D2" w:rsidP="008729D2">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76FE13BE" w14:textId="77777777" w:rsidR="008729D2" w:rsidRPr="00503D73" w:rsidRDefault="008729D2" w:rsidP="008729D2">
      <w:pPr>
        <w:spacing w:after="120" w:line="276" w:lineRule="auto"/>
        <w:jc w:val="both"/>
        <w:rPr>
          <w:rFonts w:ascii="Arial" w:hAnsi="Arial" w:cs="Arial"/>
          <w:lang w:val="es-ES"/>
        </w:rPr>
      </w:pPr>
      <w:r w:rsidRPr="00503D73">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0" w:name="_Hlk61701014"/>
      <w:bookmarkStart w:id="1" w:name="_Hlk62136649"/>
      <w:r w:rsidRPr="00503D73">
        <w:rPr>
          <w:rFonts w:ascii="Arial" w:hAnsi="Arial" w:cs="Arial"/>
        </w:rPr>
        <w:t xml:space="preserve">. </w:t>
      </w:r>
      <w:r w:rsidRPr="00503D73">
        <w:rPr>
          <w:rFonts w:ascii="Arial" w:hAnsi="Arial" w:cs="Arial"/>
          <w:lang w:val="es-ES"/>
        </w:rPr>
        <w:t xml:space="preserve">Es necesario tener en cuenta que </w:t>
      </w:r>
      <w:bookmarkStart w:id="2" w:name="_Hlk61026958"/>
      <w:r w:rsidRPr="00503D73">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03D73">
        <w:rPr>
          <w:rFonts w:ascii="Arial" w:hAnsi="Arial" w:cs="Arial"/>
        </w:rPr>
        <w:t xml:space="preserve"> de todos los partícipes de la contratación estatal.</w:t>
      </w:r>
      <w:r w:rsidRPr="00503D73">
        <w:rPr>
          <w:rFonts w:ascii="Arial" w:hAnsi="Arial" w:cs="Arial"/>
          <w:lang w:val="es-ES"/>
        </w:rPr>
        <w:t xml:space="preserve"> </w:t>
      </w:r>
      <w:bookmarkEnd w:id="0"/>
      <w:bookmarkEnd w:id="1"/>
      <w:bookmarkEnd w:id="2"/>
    </w:p>
    <w:p w14:paraId="0C4851EB" w14:textId="77777777" w:rsidR="008729D2" w:rsidRPr="00503D73" w:rsidRDefault="008729D2" w:rsidP="008729D2">
      <w:pPr>
        <w:spacing w:after="120" w:line="276" w:lineRule="auto"/>
        <w:ind w:firstLine="708"/>
        <w:jc w:val="both"/>
        <w:rPr>
          <w:rFonts w:ascii="Arial" w:hAnsi="Arial" w:cs="Arial"/>
          <w:lang w:val="es-ES"/>
        </w:rPr>
      </w:pPr>
      <w:r w:rsidRPr="00503D73">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503D73">
        <w:rPr>
          <w:rFonts w:ascii="Arial" w:eastAsia="Calibri" w:hAnsi="Arial" w:cs="Arial"/>
          <w:vertAlign w:val="superscript"/>
          <w:lang w:val="es-ES"/>
        </w:rPr>
        <w:footnoteReference w:id="2"/>
      </w:r>
      <w:r w:rsidRPr="00503D73">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concepto de sus órganos asesores, la solución de estos temas corresponde a la Entidad que suscribió el contrato y, en caso de conflicto, a las autoridades judiciales, fiscales y disciplinarias. </w:t>
      </w:r>
    </w:p>
    <w:p w14:paraId="4D7B5B71" w14:textId="344F1393" w:rsidR="008729D2" w:rsidRPr="00503D73" w:rsidRDefault="008729D2" w:rsidP="008729D2">
      <w:pPr>
        <w:spacing w:before="120" w:after="120" w:line="276" w:lineRule="auto"/>
        <w:ind w:firstLine="709"/>
        <w:jc w:val="both"/>
        <w:rPr>
          <w:rFonts w:ascii="Arial" w:eastAsia="Calibri" w:hAnsi="Arial" w:cs="Arial"/>
          <w:lang w:val="es-ES_tradnl" w:eastAsia="es-MX"/>
        </w:rPr>
      </w:pPr>
      <w:r w:rsidRPr="00503D73">
        <w:rPr>
          <w:rFonts w:ascii="Arial" w:eastAsia="Calibri" w:hAnsi="Arial" w:cs="Arial"/>
          <w:lang w:val="es-MX"/>
        </w:rPr>
        <w:t xml:space="preserve">Sin perjuicio de lo anterior, </w:t>
      </w:r>
      <w:r w:rsidRPr="00503D73">
        <w:rPr>
          <w:rFonts w:ascii="Arial" w:eastAsia="Calibri" w:hAnsi="Arial" w:cs="Arial"/>
          <w:lang w:val="es-ES"/>
        </w:rPr>
        <w:t xml:space="preserve">la Subdirección de Gestión Contractual –dentro de los límites de sus atribuciones, esto es, </w:t>
      </w:r>
      <w:bookmarkStart w:id="3" w:name="_Hlk61025408"/>
      <w:r w:rsidRPr="00503D73">
        <w:rPr>
          <w:rFonts w:ascii="Arial" w:eastAsia="Calibri" w:hAnsi="Arial" w:cs="Arial"/>
          <w:lang w:val="es-ES"/>
        </w:rPr>
        <w:t>haciendo abstracción del caso particular expuesto por el peticionari</w:t>
      </w:r>
      <w:bookmarkEnd w:id="3"/>
      <w:r w:rsidRPr="00503D73">
        <w:rPr>
          <w:rFonts w:ascii="Arial" w:eastAsia="Calibri" w:hAnsi="Arial" w:cs="Arial"/>
          <w:lang w:val="es-ES"/>
        </w:rPr>
        <w:t>o– resolverá la consulta conforme a las normas generales en materia de contratación estatal</w:t>
      </w:r>
      <w:r w:rsidRPr="00503D73">
        <w:rPr>
          <w:rFonts w:ascii="Arial" w:eastAsia="Calibri" w:hAnsi="Arial" w:cs="Arial"/>
          <w:lang w:val="es-ES_tradnl" w:eastAsia="es-MX"/>
        </w:rPr>
        <w:t xml:space="preserve">. Con este objetivo se analizarán los siguientes temas: </w:t>
      </w:r>
      <w:r w:rsidRPr="00503D73">
        <w:rPr>
          <w:rFonts w:ascii="Arial" w:hAnsi="Arial" w:cs="Arial"/>
        </w:rPr>
        <w:t xml:space="preserve">i) </w:t>
      </w:r>
      <w:r w:rsidR="006E46E9" w:rsidRPr="006E46E9">
        <w:rPr>
          <w:rFonts w:ascii="Arial" w:hAnsi="Arial" w:cs="Arial"/>
        </w:rPr>
        <w:t xml:space="preserve">Requisitos </w:t>
      </w:r>
      <w:r w:rsidR="006E46E9" w:rsidRPr="006E46E9">
        <w:rPr>
          <w:rFonts w:ascii="Arial" w:hAnsi="Arial" w:cs="Arial"/>
        </w:rPr>
        <w:lastRenderedPageBreak/>
        <w:t>habilitantes de capacidad financiera y organizacional</w:t>
      </w:r>
      <w:r w:rsidRPr="00503D73">
        <w:rPr>
          <w:rFonts w:ascii="Arial" w:hAnsi="Arial" w:cs="Arial"/>
        </w:rPr>
        <w:t>; y ii) modificaciones introducidas por los Decretos 399 de 2021, 579 de 2021 y 1041 de 2022 respecto a la información contenida en el RUP y delimitación de su verificación dentro del “mejor año fiscal”.</w:t>
      </w:r>
    </w:p>
    <w:p w14:paraId="0D909FE0" w14:textId="1B70CDD7" w:rsidR="005377D6" w:rsidRDefault="008729D2" w:rsidP="005377D6">
      <w:pPr>
        <w:spacing w:after="0" w:line="276" w:lineRule="auto"/>
        <w:ind w:firstLine="709"/>
        <w:jc w:val="both"/>
        <w:rPr>
          <w:rFonts w:ascii="Arial" w:hAnsi="Arial" w:cs="Arial"/>
          <w:noProof/>
          <w:lang w:val="es-ES_tradnl"/>
        </w:rPr>
      </w:pPr>
      <w:r w:rsidRPr="00503D73">
        <w:rPr>
          <w:rFonts w:ascii="Arial" w:eastAsia="Calibri" w:hAnsi="Arial" w:cs="Arial"/>
        </w:rPr>
        <w:t xml:space="preserve"> La Agencia Nacional de Contratación Pública – Colombia Compra Eficiente –en adelante la ANCP-CCE– </w:t>
      </w:r>
      <w:r w:rsidRPr="00503D73">
        <w:rPr>
          <w:rFonts w:ascii="Arial" w:eastAsia="Calibri" w:hAnsi="Arial" w:cs="Arial"/>
          <w:lang w:val="es-ES_tradnl"/>
        </w:rPr>
        <w:t xml:space="preserve">ha impartido lineamientos sobre la </w:t>
      </w:r>
      <w:r w:rsidRPr="00503D73">
        <w:rPr>
          <w:rFonts w:ascii="Arial" w:hAnsi="Arial" w:cs="Arial"/>
          <w:lang w:val="es-ES_tradnl"/>
        </w:rPr>
        <w:t xml:space="preserve">acreditación de los indicadores de capacidad financiera y organizacional de los oferentes mediante el RUP en los conceptos No. 4201912000006798 del 24 de octubre de 2019, C-002 del 12 de febrero de 2020, C-089 del 4 de marzo de 2020, C-099 del 06 de abril de 2020, C-166 del 14 de abril de 2020, C-233 del 16 de abril de 2020, C-326 del 9 de junio de 2020, C-140 del 9 de abril de 2021. Respecto de la reglamentación establecida en los Decretos 399 y 579 de 2021 se pronunció en los Conceptos C-288 de 17 de junio de 2021, C-353 del 19 de julio de 2021, C-366 del 26 de julio de 2021 y C-372 del 28 de julio de 2021, </w:t>
      </w:r>
      <w:r w:rsidRPr="00503D73">
        <w:rPr>
          <w:rFonts w:ascii="Arial" w:hAnsi="Arial" w:cs="Arial"/>
        </w:rPr>
        <w:t>C-406 del 8 de agosto de 2021, C-407 del 25 de agosto de 2021, C-439 de 5 de julio de 2022</w:t>
      </w:r>
      <w:r w:rsidR="00B47834" w:rsidRPr="00503D73">
        <w:rPr>
          <w:rFonts w:ascii="Arial" w:hAnsi="Arial" w:cs="Arial"/>
        </w:rPr>
        <w:t xml:space="preserve">, </w:t>
      </w:r>
      <w:r w:rsidRPr="00503D73">
        <w:rPr>
          <w:rFonts w:ascii="Arial" w:hAnsi="Arial" w:cs="Arial"/>
        </w:rPr>
        <w:t xml:space="preserve">C-831 del 28 de noviembre del </w:t>
      </w:r>
      <w:r w:rsidR="00496C58">
        <w:rPr>
          <w:rFonts w:ascii="Arial" w:hAnsi="Arial" w:cs="Arial"/>
        </w:rPr>
        <w:t>2022</w:t>
      </w:r>
      <w:r w:rsidR="00B47834" w:rsidRPr="00503D73">
        <w:rPr>
          <w:rFonts w:ascii="Arial" w:hAnsi="Arial" w:cs="Arial"/>
        </w:rPr>
        <w:t xml:space="preserve"> y C-</w:t>
      </w:r>
      <w:r w:rsidR="00A35B4D" w:rsidRPr="00503D73">
        <w:rPr>
          <w:rFonts w:ascii="Arial" w:hAnsi="Arial" w:cs="Arial"/>
        </w:rPr>
        <w:t>277 del 14 de julio del 2023</w:t>
      </w:r>
      <w:r w:rsidRPr="00503D73">
        <w:rPr>
          <w:rStyle w:val="Refdenotaalpie"/>
          <w:rFonts w:ascii="Arial" w:hAnsi="Arial" w:cs="Arial"/>
        </w:rPr>
        <w:footnoteReference w:id="3"/>
      </w:r>
      <w:r w:rsidRPr="00503D73">
        <w:rPr>
          <w:rFonts w:ascii="Arial" w:hAnsi="Arial" w:cs="Arial"/>
        </w:rPr>
        <w:t xml:space="preserve">. </w:t>
      </w:r>
      <w:r w:rsidRPr="00503D73">
        <w:rPr>
          <w:rFonts w:ascii="Arial" w:hAnsi="Arial" w:cs="Arial"/>
          <w:lang w:val="es-ES_tradnl"/>
        </w:rPr>
        <w:t>Las tesis propuestas se reiteran a continuación y se complementan en lo que pertinente, teniendo en cuenta el objeto de la consulta.</w:t>
      </w:r>
    </w:p>
    <w:p w14:paraId="6D909F28" w14:textId="77777777" w:rsidR="005377D6" w:rsidRDefault="005377D6" w:rsidP="005377D6">
      <w:pPr>
        <w:spacing w:line="276" w:lineRule="auto"/>
        <w:jc w:val="both"/>
        <w:rPr>
          <w:rFonts w:ascii="Arial" w:eastAsia="Calibri" w:hAnsi="Arial" w:cs="Arial"/>
          <w:b/>
          <w:color w:val="000000"/>
          <w:lang w:val="es-ES_tradnl"/>
        </w:rPr>
      </w:pPr>
    </w:p>
    <w:p w14:paraId="2EE4245B" w14:textId="77777777" w:rsidR="005377D6" w:rsidRDefault="005377D6" w:rsidP="005377D6">
      <w:pPr>
        <w:spacing w:line="276" w:lineRule="auto"/>
        <w:jc w:val="both"/>
        <w:rPr>
          <w:rFonts w:ascii="Arial" w:eastAsia="Calibri" w:hAnsi="Arial" w:cs="Arial"/>
          <w:color w:val="000000"/>
          <w:lang w:val="es-ES"/>
        </w:rPr>
      </w:pPr>
      <w:r>
        <w:rPr>
          <w:rFonts w:ascii="Arial" w:eastAsia="Calibri" w:hAnsi="Arial" w:cs="Arial"/>
          <w:b/>
          <w:color w:val="000000"/>
          <w:lang w:val="es-ES"/>
        </w:rPr>
        <w:t>2.1. R</w:t>
      </w:r>
      <w:r>
        <w:rPr>
          <w:rFonts w:ascii="Arial" w:eastAsia="Calibri" w:hAnsi="Arial" w:cs="Arial"/>
          <w:b/>
          <w:bCs/>
          <w:color w:val="000000"/>
          <w:lang w:val="es-ES"/>
        </w:rPr>
        <w:t>equisitos habilitantes de capacidad financiera y organizacional</w:t>
      </w:r>
      <w:r>
        <w:rPr>
          <w:rFonts w:ascii="Arial" w:eastAsia="Calibri" w:hAnsi="Arial" w:cs="Arial"/>
          <w:color w:val="000000"/>
          <w:lang w:val="es-ES"/>
        </w:rPr>
        <w:t xml:space="preserve"> </w:t>
      </w:r>
    </w:p>
    <w:p w14:paraId="5F3E8851" w14:textId="75D9DB0B" w:rsidR="005377D6" w:rsidRDefault="005377D6" w:rsidP="005377D6">
      <w:pPr>
        <w:spacing w:line="276" w:lineRule="auto"/>
        <w:jc w:val="both"/>
        <w:rPr>
          <w:rFonts w:ascii="Arial" w:eastAsia="Calibri" w:hAnsi="Arial" w:cs="Arial"/>
          <w:color w:val="000000"/>
          <w:lang w:val="es-ES"/>
        </w:rPr>
      </w:pPr>
      <w:r>
        <w:rPr>
          <w:rFonts w:ascii="Arial" w:eastAsia="Calibri" w:hAnsi="Arial" w:cs="Arial"/>
          <w:color w:val="000000"/>
          <w:lang w:val="es-ES"/>
        </w:rPr>
        <w:t>La Ley 1150 de 2007, en el artículo 5, exige el cumplimiento de los requisitos habilitantes en los procesos de selección. Mediante ellos las entidades fijan unos requisitos mínimos que debe tener y acreditar el proponente, para que pueda verificarse su aptitud para participar en el procedimiento de contratación y, si se le adjudica, ejecutar el contrato estatal</w:t>
      </w:r>
      <w:r>
        <w:rPr>
          <w:rFonts w:ascii="Arial" w:eastAsia="Calibri" w:hAnsi="Arial" w:cs="Arial"/>
          <w:color w:val="000000"/>
          <w:vertAlign w:val="superscript"/>
          <w:lang w:val="es-ES"/>
        </w:rPr>
        <w:footnoteReference w:id="4"/>
      </w:r>
      <w:r>
        <w:rPr>
          <w:rFonts w:ascii="Arial" w:eastAsia="Calibri" w:hAnsi="Arial" w:cs="Arial"/>
          <w:color w:val="000000"/>
          <w:lang w:val="es-ES"/>
        </w:rPr>
        <w:t xml:space="preserve">. Dentro de los requisitos habilitantes se destaca la </w:t>
      </w:r>
      <w:r w:rsidR="002E7E5B">
        <w:rPr>
          <w:rFonts w:ascii="Arial" w:eastAsia="Calibri" w:hAnsi="Arial" w:cs="Arial"/>
          <w:color w:val="000000"/>
          <w:lang w:val="es-ES"/>
        </w:rPr>
        <w:t>“</w:t>
      </w:r>
      <w:r>
        <w:rPr>
          <w:rFonts w:ascii="Arial" w:eastAsia="Calibri" w:hAnsi="Arial" w:cs="Arial"/>
          <w:color w:val="000000"/>
          <w:lang w:val="es-ES"/>
        </w:rPr>
        <w:t>capacidad financiera</w:t>
      </w:r>
      <w:r w:rsidR="002E7E5B">
        <w:rPr>
          <w:rFonts w:ascii="Arial" w:eastAsia="Calibri" w:hAnsi="Arial" w:cs="Arial"/>
          <w:color w:val="000000"/>
          <w:lang w:val="es-ES"/>
        </w:rPr>
        <w:t>”</w:t>
      </w:r>
      <w:r>
        <w:rPr>
          <w:rFonts w:ascii="Arial" w:eastAsia="Calibri" w:hAnsi="Arial" w:cs="Arial"/>
          <w:color w:val="000000"/>
          <w:lang w:val="es-ES"/>
        </w:rPr>
        <w:t xml:space="preserve"> y la </w:t>
      </w:r>
      <w:r w:rsidR="002E7E5B">
        <w:rPr>
          <w:rFonts w:ascii="Arial" w:eastAsia="Calibri" w:hAnsi="Arial" w:cs="Arial"/>
          <w:color w:val="000000"/>
          <w:lang w:val="es-ES"/>
        </w:rPr>
        <w:t>“</w:t>
      </w:r>
      <w:r>
        <w:rPr>
          <w:rFonts w:ascii="Arial" w:eastAsia="Calibri" w:hAnsi="Arial" w:cs="Arial"/>
          <w:color w:val="000000"/>
          <w:lang w:val="es-ES"/>
        </w:rPr>
        <w:t>capacidad organizacional</w:t>
      </w:r>
      <w:r w:rsidR="002E7E5B">
        <w:rPr>
          <w:rFonts w:ascii="Arial" w:eastAsia="Calibri" w:hAnsi="Arial" w:cs="Arial"/>
          <w:color w:val="000000"/>
          <w:lang w:val="es-ES"/>
        </w:rPr>
        <w:t>”</w:t>
      </w:r>
      <w:r>
        <w:rPr>
          <w:rFonts w:ascii="Arial" w:eastAsia="Calibri" w:hAnsi="Arial" w:cs="Arial"/>
          <w:color w:val="000000"/>
          <w:lang w:val="es-ES"/>
        </w:rPr>
        <w:t xml:space="preserve">. Cada </w:t>
      </w:r>
      <w:r w:rsidR="00945FCF">
        <w:rPr>
          <w:rFonts w:ascii="Arial" w:eastAsia="Calibri" w:hAnsi="Arial" w:cs="Arial"/>
          <w:color w:val="000000"/>
          <w:lang w:val="es-ES"/>
        </w:rPr>
        <w:t>E</w:t>
      </w:r>
      <w:r>
        <w:rPr>
          <w:rFonts w:ascii="Arial" w:eastAsia="Calibri" w:hAnsi="Arial" w:cs="Arial"/>
          <w:color w:val="000000"/>
          <w:lang w:val="es-ES"/>
        </w:rPr>
        <w:t xml:space="preserve">ntidad estatal, como responsable de la estructuración de su procedimiento de selección, es autónoma para requerir la capacidad financiera y la </w:t>
      </w:r>
      <w:r>
        <w:rPr>
          <w:rFonts w:ascii="Arial" w:eastAsia="Calibri" w:hAnsi="Arial" w:cs="Arial"/>
          <w:color w:val="000000"/>
          <w:lang w:val="es-ES"/>
        </w:rPr>
        <w:lastRenderedPageBreak/>
        <w:t xml:space="preserve">capacidad organizacional necesarias, de acuerdo con la naturaleza del contrato que se pretende suscribir y a su valor. Para esto, la </w:t>
      </w:r>
      <w:r w:rsidR="00E46E51">
        <w:rPr>
          <w:rFonts w:ascii="Arial" w:eastAsia="Calibri" w:hAnsi="Arial" w:cs="Arial"/>
          <w:color w:val="000000"/>
          <w:lang w:val="es-ES"/>
        </w:rPr>
        <w:t>E</w:t>
      </w:r>
      <w:r>
        <w:rPr>
          <w:rFonts w:ascii="Arial" w:eastAsia="Calibri" w:hAnsi="Arial" w:cs="Arial"/>
          <w:color w:val="000000"/>
          <w:lang w:val="es-ES"/>
        </w:rPr>
        <w:t>ntidad, según el artículo 2.2.1.1.1.6.2. del Decreto 1082 de 2015, debe tener en cuenta el estudio del sector y sus componentes, como por ejemplo la identificación de riesgos, así como el precio del bien, obra o servicio a contratar</w:t>
      </w:r>
      <w:r>
        <w:rPr>
          <w:rFonts w:ascii="Arial" w:eastAsia="Calibri" w:hAnsi="Arial" w:cs="Arial"/>
          <w:color w:val="000000"/>
          <w:vertAlign w:val="superscript"/>
          <w:lang w:val="es-ES"/>
        </w:rPr>
        <w:footnoteReference w:id="5"/>
      </w:r>
      <w:r>
        <w:rPr>
          <w:rFonts w:ascii="Arial" w:eastAsia="Calibri" w:hAnsi="Arial" w:cs="Arial"/>
          <w:color w:val="000000"/>
          <w:lang w:val="es-ES"/>
        </w:rPr>
        <w:t>.</w:t>
      </w:r>
    </w:p>
    <w:p w14:paraId="7D007BAA" w14:textId="6AEC39BF" w:rsidR="005377D6" w:rsidRDefault="005377D6" w:rsidP="005377D6">
      <w:pPr>
        <w:spacing w:before="120" w:after="120" w:line="276" w:lineRule="auto"/>
        <w:ind w:firstLine="708"/>
        <w:jc w:val="both"/>
        <w:rPr>
          <w:rFonts w:ascii="Arial" w:eastAsia="Calibri" w:hAnsi="Arial" w:cs="Arial"/>
          <w:color w:val="000000"/>
          <w:lang w:val="es-ES"/>
        </w:rPr>
      </w:pPr>
      <w:r>
        <w:rPr>
          <w:rFonts w:ascii="Arial" w:eastAsia="Calibri" w:hAnsi="Arial" w:cs="Arial"/>
          <w:color w:val="000000"/>
          <w:lang w:val="es-ES"/>
        </w:rPr>
        <w:t xml:space="preserve">La </w:t>
      </w:r>
      <w:r w:rsidR="00E46E51">
        <w:rPr>
          <w:rFonts w:ascii="Arial" w:eastAsia="Calibri" w:hAnsi="Arial" w:cs="Arial"/>
          <w:color w:val="000000"/>
          <w:lang w:val="es-ES"/>
        </w:rPr>
        <w:t>“</w:t>
      </w:r>
      <w:r>
        <w:rPr>
          <w:rFonts w:ascii="Arial" w:eastAsia="Calibri" w:hAnsi="Arial" w:cs="Arial"/>
          <w:color w:val="000000"/>
          <w:lang w:val="es-ES"/>
        </w:rPr>
        <w:t>capacidad financiera</w:t>
      </w:r>
      <w:r w:rsidR="00E46E51">
        <w:rPr>
          <w:rFonts w:ascii="Arial" w:eastAsia="Calibri" w:hAnsi="Arial" w:cs="Arial"/>
          <w:color w:val="000000"/>
          <w:lang w:val="es-ES"/>
        </w:rPr>
        <w:t>”</w:t>
      </w:r>
      <w:r>
        <w:rPr>
          <w:rFonts w:ascii="Arial" w:eastAsia="Calibri" w:hAnsi="Arial" w:cs="Arial"/>
          <w:color w:val="000000"/>
          <w:lang w:val="es-ES"/>
        </w:rPr>
        <w:t xml:space="preserve">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w:t>
      </w:r>
      <w:r w:rsidR="00E46E51">
        <w:rPr>
          <w:rFonts w:ascii="Arial" w:eastAsia="Calibri" w:hAnsi="Arial" w:cs="Arial"/>
          <w:color w:val="000000"/>
          <w:lang w:val="es-ES"/>
        </w:rPr>
        <w:t>“</w:t>
      </w:r>
      <w:r>
        <w:rPr>
          <w:rFonts w:ascii="Arial" w:eastAsia="Calibri" w:hAnsi="Arial" w:cs="Arial"/>
          <w:color w:val="000000"/>
          <w:lang w:val="es-ES"/>
        </w:rPr>
        <w:t>Manual para determinar y verificar los requisitos habilitantes en los procesos de contratación</w:t>
      </w:r>
      <w:r w:rsidR="00E46E51">
        <w:rPr>
          <w:rFonts w:ascii="Arial" w:eastAsia="Calibri" w:hAnsi="Arial" w:cs="Arial"/>
          <w:color w:val="000000"/>
          <w:lang w:val="es-ES"/>
        </w:rPr>
        <w:t>”</w:t>
      </w:r>
      <w:r>
        <w:rPr>
          <w:rFonts w:ascii="Arial" w:eastAsia="Calibri" w:hAnsi="Arial" w:cs="Arial"/>
          <w:color w:val="000000"/>
          <w:lang w:val="es-ES"/>
        </w:rPr>
        <w:t xml:space="preserve">, </w:t>
      </w:r>
      <w:r w:rsidR="00E46E51">
        <w:rPr>
          <w:rFonts w:ascii="Arial" w:eastAsia="Calibri" w:hAnsi="Arial" w:cs="Arial"/>
          <w:color w:val="000000"/>
          <w:lang w:val="es-ES"/>
        </w:rPr>
        <w:t>“</w:t>
      </w:r>
      <w:r>
        <w:rPr>
          <w:rFonts w:ascii="Arial" w:eastAsia="Calibri" w:hAnsi="Arial" w:cs="Arial"/>
          <w:color w:val="000000"/>
          <w:lang w:val="es-ES"/>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E46E51">
        <w:rPr>
          <w:rFonts w:ascii="Arial" w:eastAsia="Calibri" w:hAnsi="Arial" w:cs="Arial"/>
          <w:color w:val="000000"/>
          <w:lang w:val="es-ES"/>
        </w:rPr>
        <w:t>”</w:t>
      </w:r>
      <w:r>
        <w:rPr>
          <w:rFonts w:ascii="Arial" w:eastAsia="Calibri" w:hAnsi="Arial" w:cs="Arial"/>
          <w:color w:val="000000"/>
          <w:vertAlign w:val="superscript"/>
          <w:lang w:val="es-ES"/>
        </w:rPr>
        <w:footnoteReference w:id="6"/>
      </w:r>
      <w:r>
        <w:rPr>
          <w:rFonts w:ascii="Arial" w:eastAsia="Calibri" w:hAnsi="Arial" w:cs="Arial"/>
          <w:color w:val="000000"/>
          <w:lang w:val="es-ES"/>
        </w:rPr>
        <w:t xml:space="preserve">. </w:t>
      </w:r>
    </w:p>
    <w:p w14:paraId="16952CB6" w14:textId="71D687B6" w:rsidR="005377D6" w:rsidRDefault="005377D6" w:rsidP="005377D6">
      <w:pPr>
        <w:spacing w:before="120" w:after="120" w:line="276" w:lineRule="auto"/>
        <w:ind w:firstLine="708"/>
        <w:jc w:val="both"/>
        <w:rPr>
          <w:rFonts w:ascii="Arial" w:eastAsia="Calibri" w:hAnsi="Arial" w:cs="Arial"/>
          <w:color w:val="000000"/>
          <w:lang w:val="es-ES"/>
        </w:rPr>
      </w:pPr>
      <w:r>
        <w:rPr>
          <w:rFonts w:ascii="Arial" w:eastAsia="Calibri" w:hAnsi="Arial" w:cs="Arial"/>
          <w:color w:val="000000"/>
          <w:lang w:val="es-ES"/>
        </w:rPr>
        <w:t xml:space="preserve">La </w:t>
      </w:r>
      <w:r w:rsidR="00E46E51">
        <w:rPr>
          <w:rFonts w:ascii="Arial" w:eastAsia="Calibri" w:hAnsi="Arial" w:cs="Arial"/>
          <w:color w:val="000000"/>
          <w:lang w:val="es-ES"/>
        </w:rPr>
        <w:t>“</w:t>
      </w:r>
      <w:r>
        <w:rPr>
          <w:rFonts w:ascii="Arial" w:eastAsia="Calibri" w:hAnsi="Arial" w:cs="Arial"/>
          <w:color w:val="000000"/>
          <w:lang w:val="es-ES"/>
        </w:rPr>
        <w:t>capacidad organizacional</w:t>
      </w:r>
      <w:r w:rsidR="00E46E51">
        <w:rPr>
          <w:rFonts w:ascii="Arial" w:eastAsia="Calibri" w:hAnsi="Arial" w:cs="Arial"/>
          <w:color w:val="000000"/>
          <w:lang w:val="es-ES"/>
        </w:rPr>
        <w:t>”</w:t>
      </w:r>
      <w:r>
        <w:rPr>
          <w:rFonts w:ascii="Arial" w:eastAsia="Calibri" w:hAnsi="Arial" w:cs="Arial"/>
          <w:color w:val="000000"/>
          <w:lang w:val="es-ES"/>
        </w:rPr>
        <w:t xml:space="preserve">, por su parte, </w:t>
      </w:r>
      <w:r w:rsidR="00E46E51">
        <w:rPr>
          <w:rFonts w:ascii="Arial" w:eastAsia="Calibri" w:hAnsi="Arial" w:cs="Arial"/>
          <w:color w:val="000000"/>
          <w:lang w:val="es-ES"/>
        </w:rPr>
        <w:t>“</w:t>
      </w:r>
      <w:r>
        <w:rPr>
          <w:rFonts w:ascii="Arial" w:eastAsia="Calibri" w:hAnsi="Arial" w:cs="Arial"/>
          <w:color w:val="000000"/>
          <w:lang w:val="es-ES"/>
        </w:rPr>
        <w:t>[…]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00E46E51">
        <w:rPr>
          <w:rFonts w:ascii="Arial" w:eastAsia="Calibri" w:hAnsi="Arial" w:cs="Arial"/>
          <w:color w:val="000000"/>
          <w:lang w:val="es-ES"/>
        </w:rPr>
        <w:t>”</w:t>
      </w:r>
      <w:r>
        <w:rPr>
          <w:rFonts w:ascii="Arial" w:eastAsia="Calibri" w:hAnsi="Arial" w:cs="Arial"/>
          <w:color w:val="000000"/>
          <w:vertAlign w:val="superscript"/>
          <w:lang w:val="es-ES"/>
        </w:rPr>
        <w:footnoteReference w:id="7"/>
      </w:r>
      <w:r>
        <w:rPr>
          <w:rFonts w:ascii="Arial" w:eastAsia="Calibri" w:hAnsi="Arial" w:cs="Arial"/>
          <w:color w:val="000000"/>
          <w:lang w:val="es-ES"/>
        </w:rPr>
        <w:t xml:space="preserve">. </w:t>
      </w:r>
    </w:p>
    <w:p w14:paraId="73E0F0A5" w14:textId="110F230B" w:rsidR="005377D6" w:rsidRDefault="005377D6" w:rsidP="005377D6">
      <w:pPr>
        <w:spacing w:before="120" w:after="120" w:line="276" w:lineRule="auto"/>
        <w:ind w:firstLine="709"/>
        <w:jc w:val="both"/>
        <w:rPr>
          <w:rFonts w:ascii="Arial" w:eastAsia="Calibri" w:hAnsi="Arial" w:cs="Arial"/>
          <w:color w:val="000000"/>
          <w:lang w:val="es-ES"/>
        </w:rPr>
      </w:pPr>
      <w:r>
        <w:rPr>
          <w:rFonts w:ascii="Arial" w:eastAsia="Calibri" w:hAnsi="Arial" w:cs="Arial"/>
          <w:color w:val="000000"/>
          <w:lang w:val="es-ES"/>
        </w:rPr>
        <w:t xml:space="preserve">Respecto de la capacidad financiera, esta debe inscribirse en el RUP con los estados financieros del proponente, suscritos por el representante legal y el revisor fiscal, si cuenta con él. Si es </w:t>
      </w:r>
      <w:proofErr w:type="gramStart"/>
      <w:r>
        <w:rPr>
          <w:rFonts w:ascii="Arial" w:eastAsia="Calibri" w:hAnsi="Arial" w:cs="Arial"/>
          <w:color w:val="000000"/>
          <w:lang w:val="es-ES"/>
        </w:rPr>
        <w:t>una sociedad no obligada a tenerlo</w:t>
      </w:r>
      <w:proofErr w:type="gramEnd"/>
      <w:r>
        <w:rPr>
          <w:rFonts w:ascii="Arial" w:eastAsia="Calibri" w:hAnsi="Arial" w:cs="Arial"/>
          <w:color w:val="000000"/>
          <w:lang w:val="es-ES"/>
        </w:rPr>
        <w:t xml:space="preserve">, estos documentos también deben suscribirse por el auditor o contador. De este modo, lo que se verifica con el RUP es que el proponente tenga los indicadores financieros solicitados por la </w:t>
      </w:r>
      <w:r w:rsidR="00BC5FE7">
        <w:rPr>
          <w:rFonts w:ascii="Arial" w:eastAsia="Calibri" w:hAnsi="Arial" w:cs="Arial"/>
          <w:color w:val="000000"/>
          <w:lang w:val="es-ES"/>
        </w:rPr>
        <w:t>E</w:t>
      </w:r>
      <w:r>
        <w:rPr>
          <w:rFonts w:ascii="Arial" w:eastAsia="Calibri" w:hAnsi="Arial" w:cs="Arial"/>
          <w:color w:val="000000"/>
          <w:lang w:val="es-ES"/>
        </w:rPr>
        <w:t>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177CE26E" w14:textId="0A9DEC52" w:rsidR="005377D6" w:rsidRDefault="005377D6" w:rsidP="005377D6">
      <w:pPr>
        <w:spacing w:line="276" w:lineRule="auto"/>
        <w:ind w:firstLine="708"/>
        <w:jc w:val="both"/>
        <w:rPr>
          <w:rFonts w:ascii="Arial" w:eastAsia="Calibri" w:hAnsi="Arial" w:cs="Arial"/>
          <w:color w:val="000000"/>
          <w:lang w:val="es-ES"/>
        </w:rPr>
      </w:pPr>
      <w:r>
        <w:rPr>
          <w:rFonts w:ascii="Arial" w:eastAsia="Calibri" w:hAnsi="Arial" w:cs="Arial"/>
          <w:color w:val="000000"/>
          <w:lang w:val="es-ES"/>
        </w:rPr>
        <w:lastRenderedPageBreak/>
        <w:t xml:space="preserve">La Agencia Nacional de Contratación Pública – Colombia Compra Eficiente puso a disposición de los interesados el </w:t>
      </w:r>
      <w:r w:rsidR="00087826">
        <w:rPr>
          <w:rFonts w:ascii="Arial" w:eastAsia="Calibri" w:hAnsi="Arial" w:cs="Arial"/>
          <w:color w:val="000000"/>
          <w:lang w:val="es-ES"/>
        </w:rPr>
        <w:t>“</w:t>
      </w:r>
      <w:r>
        <w:rPr>
          <w:rFonts w:ascii="Arial" w:eastAsia="Calibri" w:hAnsi="Arial" w:cs="Arial"/>
          <w:color w:val="000000"/>
          <w:lang w:val="es-ES"/>
        </w:rPr>
        <w:t>Manual para determinar y verificar los requisitos habilitantes en los procesos de contratación</w:t>
      </w:r>
      <w:r w:rsidR="00087826">
        <w:rPr>
          <w:rFonts w:ascii="Arial" w:eastAsia="Calibri" w:hAnsi="Arial" w:cs="Arial"/>
          <w:color w:val="000000"/>
          <w:lang w:val="es-ES"/>
        </w:rPr>
        <w:t>”</w:t>
      </w:r>
      <w:r>
        <w:rPr>
          <w:rFonts w:ascii="Arial" w:eastAsia="Calibri" w:hAnsi="Arial" w:cs="Arial"/>
          <w:color w:val="000000"/>
          <w:lang w:val="es-ES"/>
        </w:rPr>
        <w:t xml:space="preserve">. En dicho Manual se plantean definiciones para cada requisito habilitante y se indican lineamientos orientadores que las </w:t>
      </w:r>
      <w:r w:rsidR="00B66E77">
        <w:rPr>
          <w:rFonts w:ascii="Arial" w:eastAsia="Calibri" w:hAnsi="Arial" w:cs="Arial"/>
          <w:color w:val="000000"/>
          <w:lang w:val="es-ES"/>
        </w:rPr>
        <w:t>E</w:t>
      </w:r>
      <w:r>
        <w:rPr>
          <w:rFonts w:ascii="Arial" w:eastAsia="Calibri" w:hAnsi="Arial" w:cs="Arial"/>
          <w:color w:val="000000"/>
          <w:lang w:val="es-ES"/>
        </w:rPr>
        <w:t>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simplemente operativa, sino que su aplicación se fundamente en el entendimiento del resultado y sus implicaciones para el procedimiento contractual</w:t>
      </w:r>
      <w:r>
        <w:rPr>
          <w:rFonts w:ascii="Arial" w:eastAsia="Calibri" w:hAnsi="Arial" w:cs="Arial"/>
          <w:color w:val="000000"/>
          <w:vertAlign w:val="superscript"/>
          <w:lang w:val="es-ES"/>
        </w:rPr>
        <w:footnoteReference w:id="8"/>
      </w:r>
      <w:r>
        <w:rPr>
          <w:rFonts w:ascii="Arial" w:eastAsia="Calibri" w:hAnsi="Arial" w:cs="Arial"/>
          <w:color w:val="000000"/>
          <w:lang w:val="es-ES"/>
        </w:rPr>
        <w:t>.</w:t>
      </w:r>
    </w:p>
    <w:p w14:paraId="0342285B" w14:textId="1B8592B7" w:rsidR="00E47BF6" w:rsidRPr="00B66E77" w:rsidRDefault="005377D6" w:rsidP="00B66E77">
      <w:pPr>
        <w:spacing w:before="120" w:line="276" w:lineRule="auto"/>
        <w:ind w:firstLine="709"/>
        <w:jc w:val="both"/>
        <w:rPr>
          <w:rFonts w:ascii="Arial" w:eastAsia="Calibri" w:hAnsi="Arial" w:cs="Arial"/>
          <w:color w:val="000000"/>
          <w:lang w:val="es-ES"/>
        </w:rPr>
      </w:pPr>
      <w:r>
        <w:rPr>
          <w:rFonts w:ascii="Arial" w:eastAsia="Calibri" w:hAnsi="Arial" w:cs="Arial"/>
          <w:color w:val="000000"/>
          <w:lang w:val="es-ES"/>
        </w:rPr>
        <w:t>Ahora bien, la capacidad organizacional también se mide a través de indicadores: i) rentabilidad del patrimonio y ii) rentabilidad del activo. Sus resultados deben interpretarse observando el riesgo que un indicador alto o bajo representa para el proceso contractual. Por ende, la entidad debe establecer unos límites dentro de los cuales se garantice que el proponente pueda cumplir el contrato en caso de celebrarlo</w:t>
      </w:r>
      <w:r>
        <w:rPr>
          <w:rFonts w:ascii="Arial" w:eastAsia="Calibri" w:hAnsi="Arial" w:cs="Arial"/>
          <w:color w:val="000000"/>
          <w:vertAlign w:val="superscript"/>
          <w:lang w:val="es-ES"/>
        </w:rPr>
        <w:footnoteReference w:id="9"/>
      </w:r>
      <w:r>
        <w:rPr>
          <w:rFonts w:ascii="Arial" w:eastAsia="Calibri" w:hAnsi="Arial" w:cs="Arial"/>
          <w:color w:val="000000"/>
          <w:lang w:val="es-ES"/>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 lo que sucede tanto en procesos en los que sea necesario aportar el RUP, como en los que están exceptuados de este requisito.</w:t>
      </w:r>
    </w:p>
    <w:p w14:paraId="2814A936" w14:textId="71F947BE" w:rsidR="002E3A7F" w:rsidRPr="00503D73" w:rsidRDefault="002E3A7F" w:rsidP="002E3A7F">
      <w:pPr>
        <w:jc w:val="both"/>
        <w:rPr>
          <w:rFonts w:ascii="Arial" w:hAnsi="Arial" w:cs="Arial"/>
          <w:lang w:val="es-ES_tradnl"/>
        </w:rPr>
      </w:pPr>
      <w:r w:rsidRPr="00503D73">
        <w:rPr>
          <w:rFonts w:ascii="Arial" w:hAnsi="Arial" w:cs="Arial"/>
          <w:b/>
          <w:bCs/>
          <w:lang w:val="es-ES_tradnl"/>
        </w:rPr>
        <w:t>2.2. Modificaciones introducidas por los Decretos 399 de 2021, 579 de 2021 y 1041 de 2022 respecto a la información contenida en el RUP y delimitación de su verificación dentro del “mejor año fiscal”</w:t>
      </w:r>
      <w:r w:rsidRPr="00503D73">
        <w:rPr>
          <w:rFonts w:ascii="Arial" w:hAnsi="Arial" w:cs="Arial"/>
          <w:lang w:val="es-ES_tradnl"/>
        </w:rPr>
        <w:t xml:space="preserve">   </w:t>
      </w:r>
    </w:p>
    <w:p w14:paraId="3BAC41ED" w14:textId="77777777" w:rsidR="002E3A7F" w:rsidRPr="00503D73" w:rsidRDefault="002E3A7F" w:rsidP="002E3A7F">
      <w:pPr>
        <w:spacing w:after="120"/>
        <w:jc w:val="both"/>
        <w:rPr>
          <w:rFonts w:ascii="Arial" w:hAnsi="Arial" w:cs="Arial"/>
          <w:i/>
          <w:iCs/>
          <w:lang w:val="es-ES_tradnl"/>
        </w:rPr>
      </w:pPr>
      <w:r w:rsidRPr="00503D73">
        <w:rPr>
          <w:rFonts w:ascii="Arial" w:hAnsi="Arial" w:cs="Arial"/>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w:t>
      </w:r>
      <w:r w:rsidRPr="00503D73">
        <w:rPr>
          <w:rFonts w:ascii="Arial" w:hAnsi="Arial" w:cs="Arial"/>
          <w:lang w:val="es-ES_tradnl"/>
        </w:rPr>
        <w:lastRenderedPageBreak/>
        <w:t>sentido, se indicó –con la modificación posteriormente introducida por el Decreto 579 de 2021– que a partir del 1 de julio de 2021</w:t>
      </w:r>
      <w:r w:rsidRPr="00503D73">
        <w:rPr>
          <w:rFonts w:ascii="Arial" w:hAnsi="Arial" w:cs="Arial"/>
          <w:vertAlign w:val="superscript"/>
          <w:lang w:val="es-ES_tradnl"/>
        </w:rPr>
        <w:footnoteReference w:id="10"/>
      </w:r>
      <w:r w:rsidRPr="00503D73">
        <w:rPr>
          <w:rFonts w:ascii="Arial" w:hAnsi="Arial" w:cs="Arial"/>
          <w:lang w:val="es-ES_tradnl"/>
        </w:rPr>
        <w:t xml:space="preserve"> las Entidades Estatales deberán tener en cuenta los datos sobre la capacidad financiera y organizacional de los últimos tres años, consignada en el RUP. Así lo justifica textualmente el reglamento mencionado, en sus consideraciones cuando manifiesta que </w:t>
      </w:r>
      <w:r w:rsidRPr="00503D73">
        <w:rPr>
          <w:rFonts w:ascii="Arial" w:hAnsi="Arial" w:cs="Arial"/>
          <w:i/>
          <w:iCs/>
          <w:lang w:val="es-ES_tradnl"/>
        </w:rPr>
        <w:t>“mediante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r w:rsidRPr="00503D73">
        <w:rPr>
          <w:rFonts w:ascii="Arial" w:hAnsi="Arial" w:cs="Arial"/>
          <w:i/>
          <w:iCs/>
        </w:rPr>
        <w:t xml:space="preserve">”. </w:t>
      </w:r>
    </w:p>
    <w:p w14:paraId="5A69FB9C" w14:textId="77777777" w:rsidR="002E3A7F" w:rsidRPr="00503D73" w:rsidRDefault="002E3A7F" w:rsidP="002E3A7F">
      <w:pPr>
        <w:spacing w:after="120"/>
        <w:ind w:firstLine="708"/>
        <w:jc w:val="both"/>
        <w:rPr>
          <w:rFonts w:ascii="Arial" w:hAnsi="Arial" w:cs="Arial"/>
          <w:i/>
          <w:iCs/>
          <w:lang w:val="es-ES_tradnl"/>
        </w:rPr>
      </w:pPr>
      <w:r w:rsidRPr="00503D73">
        <w:rPr>
          <w:rFonts w:ascii="Arial" w:hAnsi="Arial" w:cs="Arial"/>
          <w:lang w:val="es-ES_tradnl"/>
        </w:rPr>
        <w:t>En tal sentido, el artículo 4 del Decreto 399 de 2021 adicionó dos parágrafos transitorios al artículo 2.2.1.1.1.5.2. del Decreto 1082 de 2015, que a su vez fueron sustituidos por el artículo 1 del Decreto 579 del 31 de mayo de 2021</w:t>
      </w:r>
      <w:r w:rsidRPr="00503D73">
        <w:rPr>
          <w:rFonts w:ascii="Arial" w:hAnsi="Arial" w:cs="Arial"/>
          <w:vertAlign w:val="superscript"/>
          <w:lang w:val="es-ES_tradnl"/>
        </w:rPr>
        <w:footnoteReference w:id="11"/>
      </w:r>
      <w:r w:rsidRPr="00503D73">
        <w:rPr>
          <w:rFonts w:ascii="Arial" w:hAnsi="Arial" w:cs="Arial"/>
          <w:lang w:val="es-ES_tradnl"/>
        </w:rPr>
        <w:t xml:space="preserve"> y posteriormente se adicionó un parágrafo transitorio adicional al artículo 2.2.1.1.1.5.2. del Decreto 1082 de 2015 por el artículo 1 del </w:t>
      </w:r>
      <w:r w:rsidRPr="00503D73">
        <w:rPr>
          <w:rFonts w:ascii="Arial" w:hAnsi="Arial" w:cs="Arial"/>
        </w:rPr>
        <w:t>Decreto 1041 de 2022.</w:t>
      </w:r>
    </w:p>
    <w:p w14:paraId="2EE679B2" w14:textId="77777777" w:rsidR="002E3A7F" w:rsidRPr="00503D73" w:rsidRDefault="002E3A7F" w:rsidP="002E3A7F">
      <w:pPr>
        <w:spacing w:after="120"/>
        <w:ind w:firstLine="708"/>
        <w:jc w:val="both"/>
        <w:rPr>
          <w:rFonts w:ascii="Arial" w:hAnsi="Arial" w:cs="Arial"/>
          <w:i/>
          <w:iCs/>
          <w:lang w:val="es-ES_tradnl"/>
        </w:rPr>
      </w:pPr>
      <w:r w:rsidRPr="00503D73">
        <w:rPr>
          <w:rFonts w:ascii="Arial" w:hAnsi="Arial" w:cs="Arial"/>
          <w:lang w:val="es-ES_tradnl"/>
        </w:rPr>
        <w:lastRenderedPageBreak/>
        <w:t>El parágrafo transitorio 1 dispone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todo caso, aclara que, si el proponente tiene registrada la información de dichos años en la cámara de comercio, no deberá presentar esta información.</w:t>
      </w:r>
    </w:p>
    <w:p w14:paraId="5AD77C53" w14:textId="77777777" w:rsidR="002E3A7F" w:rsidRPr="00503D73" w:rsidRDefault="002E3A7F" w:rsidP="002E3A7F">
      <w:pPr>
        <w:spacing w:after="120"/>
        <w:ind w:firstLine="708"/>
        <w:jc w:val="both"/>
        <w:rPr>
          <w:rFonts w:ascii="Arial" w:hAnsi="Arial" w:cs="Arial"/>
          <w:i/>
          <w:lang w:val="es-ES_tradnl"/>
        </w:rPr>
      </w:pPr>
      <w:r w:rsidRPr="00503D73">
        <w:rPr>
          <w:rFonts w:ascii="Arial" w:hAnsi="Arial" w:cs="Arial"/>
          <w:lang w:val="es-ES_tradnl"/>
        </w:rPr>
        <w:t xml:space="preserve">El parágrafo transitorio 2 señala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w:t>
      </w:r>
    </w:p>
    <w:p w14:paraId="17C9741E" w14:textId="77777777" w:rsidR="002E3A7F" w:rsidRPr="00503D73" w:rsidRDefault="002E3A7F" w:rsidP="002E3A7F">
      <w:pPr>
        <w:spacing w:after="120"/>
        <w:ind w:firstLine="708"/>
        <w:jc w:val="both"/>
        <w:rPr>
          <w:rFonts w:ascii="Arial" w:hAnsi="Arial" w:cs="Arial"/>
          <w:i/>
          <w:lang w:val="es-ES_tradnl"/>
        </w:rPr>
      </w:pPr>
      <w:r w:rsidRPr="00503D73">
        <w:rPr>
          <w:rFonts w:ascii="Arial" w:hAnsi="Arial" w:cs="Arial"/>
          <w:lang w:val="es-ES_tradnl"/>
        </w:rPr>
        <w:t xml:space="preserve">En igual sentido, el parágrafo transitorio 3 incluido por el </w:t>
      </w:r>
      <w:r w:rsidRPr="00503D73">
        <w:rPr>
          <w:rFonts w:ascii="Arial" w:hAnsi="Arial" w:cs="Arial"/>
        </w:rPr>
        <w:t xml:space="preserve">Decreto 1041 de 2022 mantuvo la anterior medida para el 2023, permitiendo que para </w:t>
      </w:r>
      <w:r w:rsidRPr="00503D73">
        <w:rPr>
          <w:rFonts w:ascii="Arial" w:hAnsi="Arial" w:cs="Arial"/>
          <w:lang w:val="es-ES_tradnl"/>
        </w:rPr>
        <w:t xml:space="preserve">la inscripción en el RUP o para su renovación, el interesado pueda reportar la información contable y los estados financieros de los tres últimos años fiscales. </w:t>
      </w:r>
    </w:p>
    <w:p w14:paraId="26784EF5" w14:textId="77777777" w:rsidR="002E3A7F" w:rsidRPr="00503D73" w:rsidRDefault="002E3A7F" w:rsidP="002E3A7F">
      <w:pPr>
        <w:spacing w:after="120"/>
        <w:ind w:firstLine="708"/>
        <w:jc w:val="both"/>
        <w:rPr>
          <w:rFonts w:ascii="Arial" w:hAnsi="Arial" w:cs="Arial"/>
          <w:lang w:val="es-ES_tradnl"/>
        </w:rPr>
      </w:pPr>
      <w:r w:rsidRPr="00503D73">
        <w:rPr>
          <w:rFonts w:ascii="Arial" w:hAnsi="Arial" w:cs="Arial"/>
          <w:lang w:val="es-ES_tradnl"/>
        </w:rPr>
        <w:t xml:space="preserve">Por otra parte, el artículo 5 del Decreto 399 de 2021 adicionó dos parágrafos transitorios al artículo 2.2.1.1.1.5.6. del Decreto 1082 de 2015, que regula el contenido del certificado del RUP. El primer parágrafo transitorio, que fue posteriormente sustituido por el artículo 2 del Decreto 579 de 2021, establece que </w:t>
      </w:r>
      <w:r w:rsidRPr="00503D73">
        <w:rPr>
          <w:rFonts w:ascii="Arial" w:hAnsi="Arial" w:cs="Arial"/>
          <w:i/>
          <w:iCs/>
          <w:lang w:val="es-ES_tradnl"/>
        </w:rPr>
        <w:t>“[…]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Pr="00503D73">
        <w:rPr>
          <w:rFonts w:ascii="Arial" w:hAnsi="Arial" w:cs="Arial"/>
          <w:lang w:val="es-ES_tradnl"/>
        </w:rPr>
        <w:t>. Para esto, las cámaras de comercio, a partir del 1 de julio de 2021, “</w:t>
      </w:r>
      <w:r w:rsidRPr="00503D73">
        <w:rPr>
          <w:rFonts w:ascii="Arial" w:hAnsi="Arial" w:cs="Arial"/>
          <w:i/>
          <w:iCs/>
          <w:lang w:val="es-ES_tradnl"/>
        </w:rPr>
        <w:t>certificarán la información de que tratan los parágrafos transitorios 1 y 2 del artículo 2.2.1.1.1.5.2. de este Decreto”.</w:t>
      </w:r>
      <w:r w:rsidRPr="00503D73">
        <w:rPr>
          <w:rFonts w:ascii="Arial" w:hAnsi="Arial" w:cs="Arial"/>
          <w:lang w:val="es-ES_tradnl"/>
        </w:rPr>
        <w:t xml:space="preserve"> Los requisitos e indicadores de la capacidad financiera consagrados en el literal (b) del artículo 2.2.1.1.1.5.6. del Decreto 1082 de 2015 son: i) el índice de liquidez, ii) el índice de endeudamiento y iii) la razón de cobertura de intereses. Los requisitos e indicadores de capacidad organizacional son: i) la rentabilidad del patrimonio y ii) la rentabilidad del activo.</w:t>
      </w:r>
    </w:p>
    <w:p w14:paraId="7079DF59" w14:textId="77777777" w:rsidR="002E3A7F" w:rsidRPr="00503D73" w:rsidRDefault="002E3A7F" w:rsidP="002E3A7F">
      <w:pPr>
        <w:spacing w:after="120"/>
        <w:ind w:firstLine="708"/>
        <w:jc w:val="both"/>
        <w:rPr>
          <w:rFonts w:ascii="Arial" w:hAnsi="Arial" w:cs="Arial"/>
          <w:i/>
          <w:iCs/>
          <w:lang w:val="es-ES_tradnl"/>
        </w:rPr>
      </w:pPr>
      <w:r w:rsidRPr="00503D73">
        <w:rPr>
          <w:rFonts w:ascii="Arial" w:hAnsi="Arial" w:cs="Arial"/>
          <w:lang w:val="es-ES_tradnl"/>
        </w:rPr>
        <w:t xml:space="preserve">En ese orden de ideas, el segundo parágrafo transitorio del artículo 2.2.1.1.1.5.6. del Decreto 1082 de 2015, modificado por el artículo 2 del Decreto 1041 del 21 de junio 2022 dispone que </w:t>
      </w:r>
      <w:r w:rsidRPr="00503D73">
        <w:rPr>
          <w:rFonts w:ascii="Arial" w:hAnsi="Arial" w:cs="Arial"/>
          <w:i/>
          <w:iCs/>
          <w:lang w:val="es-ES_tradnl"/>
        </w:rPr>
        <w:t>“El proponente que cuente con inscripción activa y vigente en el RUP, que reporte la información de la capacidad financiera y organizacional, señalada en los parágrafos transitorios 1, 2 Y 3 del artículo 2.2.1.1.1.5.2 del presente Decreto, deberá presentarla en el formato unificado que las cámaras de comercio dispongan para tal efecto”.</w:t>
      </w:r>
    </w:p>
    <w:p w14:paraId="0E7A4B14" w14:textId="77777777" w:rsidR="002E3A7F" w:rsidRPr="00503D73" w:rsidRDefault="002E3A7F" w:rsidP="002E3A7F">
      <w:pPr>
        <w:spacing w:after="120"/>
        <w:ind w:firstLine="708"/>
        <w:jc w:val="both"/>
        <w:rPr>
          <w:rFonts w:ascii="Arial" w:hAnsi="Arial" w:cs="Arial"/>
          <w:i/>
          <w:lang w:val="es-ES_tradnl"/>
        </w:rPr>
      </w:pPr>
      <w:r w:rsidRPr="00503D73">
        <w:rPr>
          <w:rFonts w:ascii="Arial" w:hAnsi="Arial" w:cs="Arial"/>
          <w:lang w:val="es-ES_tradnl"/>
        </w:rPr>
        <w:t>Como se observa, las normas anteriormente transcritas disponen que:</w:t>
      </w:r>
    </w:p>
    <w:p w14:paraId="049EE78E" w14:textId="77777777" w:rsidR="002E3A7F" w:rsidRPr="00503D73" w:rsidRDefault="002E3A7F" w:rsidP="002E3A7F">
      <w:pPr>
        <w:spacing w:after="120"/>
        <w:ind w:firstLine="708"/>
        <w:jc w:val="both"/>
        <w:rPr>
          <w:rFonts w:ascii="Arial" w:hAnsi="Arial" w:cs="Arial"/>
          <w:i/>
          <w:iCs/>
          <w:lang w:val="es-ES_tradnl"/>
        </w:rPr>
      </w:pPr>
      <w:r w:rsidRPr="00503D73">
        <w:rPr>
          <w:rFonts w:ascii="Arial" w:hAnsi="Arial" w:cs="Arial"/>
          <w:lang w:val="es-ES_tradnl"/>
        </w:rPr>
        <w:lastRenderedPageBreak/>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5F25E948" w14:textId="77777777" w:rsidR="002E3A7F" w:rsidRPr="00503D73" w:rsidRDefault="002E3A7F" w:rsidP="002E3A7F">
      <w:pPr>
        <w:spacing w:after="120"/>
        <w:ind w:firstLine="708"/>
        <w:jc w:val="both"/>
        <w:rPr>
          <w:rFonts w:ascii="Arial" w:hAnsi="Arial" w:cs="Arial"/>
          <w:i/>
          <w:lang w:val="es-ES_tradnl"/>
        </w:rPr>
      </w:pPr>
      <w:r w:rsidRPr="00503D73">
        <w:rPr>
          <w:rFonts w:ascii="Arial" w:hAnsi="Arial" w:cs="Arial"/>
          <w:lang w:val="es-ES_tradnl"/>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4C735FEC" w14:textId="77777777" w:rsidR="002E3A7F" w:rsidRPr="00503D73" w:rsidRDefault="002E3A7F" w:rsidP="002E3A7F">
      <w:pPr>
        <w:spacing w:after="120"/>
        <w:ind w:firstLine="708"/>
        <w:jc w:val="both"/>
        <w:rPr>
          <w:rFonts w:ascii="Arial" w:hAnsi="Arial" w:cs="Arial"/>
          <w:i/>
          <w:lang w:val="es-ES_tradnl"/>
        </w:rPr>
      </w:pPr>
      <w:r w:rsidRPr="00503D73">
        <w:rPr>
          <w:rFonts w:ascii="Arial" w:hAnsi="Arial" w:cs="Arial"/>
          <w:lang w:val="es-ES_tradnl"/>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0133C8BD" w14:textId="77777777" w:rsidR="002E3A7F" w:rsidRPr="00503D73" w:rsidRDefault="002E3A7F" w:rsidP="002E3A7F">
      <w:pPr>
        <w:spacing w:after="120"/>
        <w:ind w:firstLine="708"/>
        <w:jc w:val="both"/>
        <w:rPr>
          <w:rFonts w:ascii="Arial" w:hAnsi="Arial" w:cs="Arial"/>
          <w:i/>
          <w:iCs/>
          <w:lang w:val="es-ES_tradnl"/>
        </w:rPr>
      </w:pPr>
      <w:proofErr w:type="spellStart"/>
      <w:r w:rsidRPr="00503D73">
        <w:rPr>
          <w:rFonts w:ascii="Arial" w:hAnsi="Arial" w:cs="Arial"/>
          <w:lang w:val="es-ES_tradnl"/>
        </w:rPr>
        <w:t>iv</w:t>
      </w:r>
      <w:proofErr w:type="spellEnd"/>
      <w:r w:rsidRPr="00503D73">
        <w:rPr>
          <w:rFonts w:ascii="Arial" w:hAnsi="Arial" w:cs="Arial"/>
          <w:lang w:val="es-ES_tradnl"/>
        </w:rPr>
        <w:t xml:space="preserve">) A partir de la fecha establecida anteriormente, la evaluación de los indicadores de capacidad </w:t>
      </w:r>
      <w:r w:rsidRPr="00503D73">
        <w:rPr>
          <w:rFonts w:ascii="Arial" w:hAnsi="Arial" w:cs="Arial"/>
          <w:i/>
          <w:iCs/>
          <w:lang w:val="es-ES_tradnl"/>
        </w:rPr>
        <w:t>financiera –</w:t>
      </w:r>
      <w:r w:rsidRPr="00503D73">
        <w:rPr>
          <w:rFonts w:ascii="Arial" w:hAnsi="Arial" w:cs="Arial"/>
          <w:lang w:val="es-ES_tradnl"/>
        </w:rPr>
        <w:t xml:space="preserve">índice de liquidez, índice de endeudamiento y </w:t>
      </w:r>
      <w:r w:rsidRPr="00503D73">
        <w:rPr>
          <w:rFonts w:ascii="Arial" w:hAnsi="Arial" w:cs="Arial"/>
          <w:i/>
          <w:iCs/>
          <w:lang w:val="es-ES_tradnl"/>
        </w:rPr>
        <w:t>razón de cobertura de intereses</w:t>
      </w:r>
      <w:r w:rsidRPr="00503D73">
        <w:rPr>
          <w:rFonts w:ascii="Arial" w:hAnsi="Arial" w:cs="Arial"/>
          <w:lang w:val="es-ES_tradnl"/>
        </w:rPr>
        <w:t xml:space="preserve">– y organizacional –rentabilidad del patrimonio y rentabilidad del activo–, se deberá realizar por parte de las entidades estatales “teniendo en cuenta </w:t>
      </w:r>
      <w:r w:rsidRPr="00503D73">
        <w:rPr>
          <w:rFonts w:ascii="Arial" w:hAnsi="Arial" w:cs="Arial"/>
          <w:i/>
          <w:iCs/>
          <w:lang w:val="es-ES_tradnl"/>
        </w:rPr>
        <w:t>el mejor año fiscal que se refleje en el registro</w:t>
      </w:r>
      <w:r w:rsidRPr="00503D73">
        <w:rPr>
          <w:rFonts w:ascii="Arial" w:hAnsi="Arial" w:cs="Arial"/>
          <w:lang w:val="es-ES_tradnl"/>
        </w:rPr>
        <w:t xml:space="preserve"> de cada proponente” (énfasis fuera de texto). </w:t>
      </w:r>
    </w:p>
    <w:p w14:paraId="3AA8B2A2" w14:textId="77777777" w:rsidR="002E3A7F" w:rsidRPr="00503D73" w:rsidRDefault="002E3A7F" w:rsidP="002E3A7F">
      <w:pPr>
        <w:spacing w:after="120"/>
        <w:ind w:firstLine="708"/>
        <w:jc w:val="both"/>
        <w:rPr>
          <w:rFonts w:ascii="Arial" w:hAnsi="Arial" w:cs="Arial"/>
          <w:i/>
          <w:iCs/>
          <w:lang w:val="es-ES_tradnl"/>
        </w:rPr>
      </w:pPr>
      <w:r w:rsidRPr="00503D73">
        <w:rPr>
          <w:rFonts w:ascii="Arial" w:hAnsi="Arial" w:cs="Arial"/>
          <w:lang w:val="es-ES_tradnl"/>
        </w:rPr>
        <w:t>v) Dichas medidas se mantienen hasta el año 2023 en virtud de lo consagrado en el Decreto 1041 de 2022.</w:t>
      </w:r>
    </w:p>
    <w:p w14:paraId="74D9BEA0" w14:textId="77777777" w:rsidR="002E3A7F" w:rsidRPr="00503D73" w:rsidRDefault="002E3A7F" w:rsidP="002E3A7F">
      <w:pPr>
        <w:spacing w:after="120"/>
        <w:ind w:firstLine="708"/>
        <w:jc w:val="both"/>
        <w:rPr>
          <w:rFonts w:ascii="Arial" w:hAnsi="Arial" w:cs="Arial"/>
          <w:i/>
          <w:lang w:val="es-ES_tradnl"/>
        </w:rPr>
      </w:pPr>
      <w:r w:rsidRPr="00503D73">
        <w:rPr>
          <w:rFonts w:ascii="Arial" w:hAnsi="Arial" w:cs="Arial"/>
          <w:lang w:val="es-ES_tradnl"/>
        </w:rPr>
        <w:t xml:space="preserve">Ahora bien, teniendo en cuenta que 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sustituido por el artículo 3 del Decreto 579 de 2021 y reiterado por el </w:t>
      </w:r>
      <w:r w:rsidRPr="00503D73">
        <w:rPr>
          <w:rFonts w:ascii="Arial" w:hAnsi="Arial" w:cs="Arial"/>
        </w:rPr>
        <w:t>Decreto 1041 de 2022</w:t>
      </w:r>
      <w:r w:rsidRPr="00503D73">
        <w:rPr>
          <w:rFonts w:ascii="Arial" w:hAnsi="Arial" w:cs="Arial"/>
          <w:lang w:val="es-ES_tradnl"/>
        </w:rPr>
        <w:t xml:space="preserve">, establece que </w:t>
      </w:r>
      <w:r w:rsidRPr="00503D73">
        <w:rPr>
          <w:rFonts w:ascii="Arial" w:hAnsi="Arial" w:cs="Arial"/>
          <w:i/>
          <w:iCs/>
          <w:lang w:val="es-ES_tradnl"/>
        </w:rPr>
        <w:t xml:space="preserve">“[…] las Entidades Estatales evaluarán estos indicadores, teniendo en cuenta el mejor año fiscal que se refleje en el registro de cada proponente”, </w:t>
      </w:r>
      <w:r w:rsidRPr="00503D73">
        <w:rPr>
          <w:rFonts w:ascii="Arial" w:hAnsi="Arial" w:cs="Arial"/>
          <w:lang w:val="es-ES_tradnl"/>
        </w:rPr>
        <w:t>significa que deben examinar los años certificados en el RUP y escoger para ser evaluado el que refleje mejores indicadores de capacidad financiera y organizacional, que permita al proponente cumplir los requisitos habilitantes de capacidad financiera y organizacional.</w:t>
      </w:r>
    </w:p>
    <w:p w14:paraId="6072FA42" w14:textId="77777777" w:rsidR="002E3A7F" w:rsidRPr="00503D73" w:rsidRDefault="002E3A7F" w:rsidP="002E3A7F">
      <w:pPr>
        <w:tabs>
          <w:tab w:val="left" w:pos="0"/>
        </w:tabs>
        <w:spacing w:after="0"/>
        <w:rPr>
          <w:rFonts w:ascii="Arial" w:hAnsi="Arial" w:cs="Arial"/>
          <w:b/>
          <w:lang w:val="es-ES_tradnl"/>
        </w:rPr>
      </w:pPr>
      <w:r w:rsidRPr="00503D73">
        <w:rPr>
          <w:rFonts w:ascii="Arial" w:hAnsi="Arial" w:cs="Arial"/>
          <w:b/>
          <w:lang w:val="es-ES_tradnl"/>
        </w:rPr>
        <w:t>3. Respuesta</w:t>
      </w:r>
    </w:p>
    <w:p w14:paraId="35F792D0" w14:textId="77777777" w:rsidR="002E3A7F" w:rsidRPr="00503D73" w:rsidRDefault="002E3A7F" w:rsidP="002E3A7F">
      <w:pPr>
        <w:tabs>
          <w:tab w:val="left" w:pos="0"/>
        </w:tabs>
        <w:spacing w:after="0"/>
        <w:rPr>
          <w:rFonts w:ascii="Arial" w:hAnsi="Arial" w:cs="Arial"/>
          <w:b/>
          <w:lang w:val="es-ES_tradnl"/>
        </w:rPr>
      </w:pPr>
    </w:p>
    <w:p w14:paraId="7FCFDCCA" w14:textId="67560192" w:rsidR="00AA3A92" w:rsidRDefault="002E3A7F" w:rsidP="00AA3A92">
      <w:pPr>
        <w:spacing w:after="0" w:line="240" w:lineRule="auto"/>
        <w:ind w:left="709" w:right="709"/>
        <w:jc w:val="both"/>
        <w:rPr>
          <w:rFonts w:ascii="Arial" w:hAnsi="Arial" w:cs="Arial"/>
          <w:sz w:val="21"/>
          <w:szCs w:val="21"/>
          <w:lang w:val="es-ES_tradnl"/>
        </w:rPr>
      </w:pPr>
      <w:r w:rsidRPr="00503D73">
        <w:rPr>
          <w:rFonts w:ascii="Arial" w:hAnsi="Arial" w:cs="Arial"/>
          <w:sz w:val="21"/>
          <w:szCs w:val="21"/>
          <w:lang w:val="es-ES_tradnl"/>
        </w:rPr>
        <w:lastRenderedPageBreak/>
        <w:t>“[…] ¿Es posible que el mejor año fiscal para evaluar la capacidad financiera y organizacional sea diferente, según las condiciones del proponente? Por ejemplo, para evaluar la capacidad financiera (índice de liquidez, endeudamiento, razón de cobertura, etc.,) tenga como base el mejor año fiscal 2021, y para evaluar la capacidad organizacional (rentabilidad sobre el patrimonio y rentabilidad sobre el activo) tenga como base el mejor año fiscal 2022. Lo anterior bajo el supuesto de estar en un mismo proceso. […]”</w:t>
      </w:r>
      <w:r w:rsidR="00E91AFD">
        <w:rPr>
          <w:rFonts w:ascii="Arial" w:hAnsi="Arial" w:cs="Arial"/>
          <w:sz w:val="21"/>
          <w:szCs w:val="21"/>
          <w:lang w:val="es-ES_tradnl"/>
        </w:rPr>
        <w:t xml:space="preserve"> (SIC)</w:t>
      </w:r>
    </w:p>
    <w:p w14:paraId="58FB61C6" w14:textId="77777777" w:rsidR="00AA3A92" w:rsidRDefault="00AA3A92" w:rsidP="00AA3A92">
      <w:pPr>
        <w:spacing w:after="0" w:line="240" w:lineRule="auto"/>
        <w:ind w:left="709" w:right="709"/>
        <w:jc w:val="both"/>
        <w:rPr>
          <w:rFonts w:ascii="Arial" w:hAnsi="Arial" w:cs="Arial"/>
          <w:sz w:val="21"/>
          <w:szCs w:val="21"/>
          <w:lang w:val="es-ES_tradnl"/>
        </w:rPr>
      </w:pPr>
    </w:p>
    <w:p w14:paraId="791C9676" w14:textId="4AC28842" w:rsidR="00685AED" w:rsidRPr="00AA3A92" w:rsidRDefault="00685AED" w:rsidP="00AA3A92">
      <w:pPr>
        <w:spacing w:after="120" w:line="276" w:lineRule="auto"/>
        <w:jc w:val="both"/>
        <w:rPr>
          <w:rFonts w:ascii="Arial" w:hAnsi="Arial" w:cs="Arial"/>
          <w:sz w:val="21"/>
          <w:szCs w:val="21"/>
          <w:lang w:val="es-ES_tradnl"/>
        </w:rPr>
      </w:pPr>
      <w:r w:rsidRPr="00B5687D">
        <w:rPr>
          <w:rFonts w:ascii="Arial" w:hAnsi="Arial" w:cs="Arial"/>
          <w:lang w:val="es-ES_tradnl"/>
        </w:rPr>
        <w:t xml:space="preserve">Conforme a lo </w:t>
      </w:r>
      <w:r w:rsidR="007A28C3" w:rsidRPr="00B5687D">
        <w:rPr>
          <w:rFonts w:ascii="Arial" w:hAnsi="Arial" w:cs="Arial"/>
          <w:lang w:val="es-ES_tradnl"/>
        </w:rPr>
        <w:t>indicado</w:t>
      </w:r>
      <w:r w:rsidRPr="00B5687D">
        <w:rPr>
          <w:rFonts w:ascii="Arial" w:hAnsi="Arial" w:cs="Arial"/>
          <w:lang w:val="es-ES_tradnl"/>
        </w:rPr>
        <w:t xml:space="preserve"> en el presente documento y para dar respuesta a la consulta </w:t>
      </w:r>
      <w:r w:rsidR="001A050E" w:rsidRPr="00503D73">
        <w:rPr>
          <w:rFonts w:ascii="Arial" w:hAnsi="Arial" w:cs="Arial"/>
          <w:lang w:val="es-ES_tradnl"/>
        </w:rPr>
        <w:t xml:space="preserve">elevada </w:t>
      </w:r>
      <w:r w:rsidRPr="00503D73">
        <w:rPr>
          <w:rFonts w:ascii="Arial" w:hAnsi="Arial" w:cs="Arial"/>
          <w:lang w:val="es-ES_tradnl"/>
        </w:rPr>
        <w:t>se hace necesario señalar que con ocasión a las modificaciones transitorias realizadas en los Decretos 399, 579 de 2021 y 1041 de 2022, tendientes a la reactivación económica con ocasión al impacto negativo causado por el COVID 19, se permite que el certificado del -RUP- reporte la información financiera y organizacional del proponente correspondiente a los últimos tres años o al período transcurrido desde su primer cierre fiscal, según el caso, y en tal sentido, al momento de evaluar tales indicadores las Entidades Estatales deberán tener en cuenta “</w:t>
      </w:r>
      <w:r w:rsidRPr="00503D73">
        <w:rPr>
          <w:rFonts w:ascii="Arial" w:hAnsi="Arial" w:cs="Arial"/>
          <w:i/>
          <w:iCs/>
          <w:lang w:val="es-ES_tradnl"/>
        </w:rPr>
        <w:t>el mejor año fiscal</w:t>
      </w:r>
      <w:r w:rsidRPr="00503D73">
        <w:rPr>
          <w:rFonts w:ascii="Arial" w:hAnsi="Arial" w:cs="Arial"/>
          <w:lang w:val="es-ES_tradnl"/>
        </w:rPr>
        <w:t>” que refleje el registro, interpretando esto como el año, que permita al proponente cumplir los requisitos habilitantes de capacidad financiera y organizacional establecido en el pliego de condiciones.</w:t>
      </w:r>
    </w:p>
    <w:p w14:paraId="05E1F006" w14:textId="76A65045" w:rsidR="00946A4B" w:rsidRPr="00503D73" w:rsidRDefault="00DF2195" w:rsidP="00DA1009">
      <w:pPr>
        <w:spacing w:after="120"/>
        <w:ind w:firstLine="708"/>
        <w:jc w:val="both"/>
        <w:rPr>
          <w:rFonts w:ascii="Arial" w:eastAsia="Calibri" w:hAnsi="Arial" w:cs="Arial"/>
          <w:lang w:val="es-ES_tradnl"/>
        </w:rPr>
      </w:pPr>
      <w:r w:rsidRPr="00503D73">
        <w:rPr>
          <w:rFonts w:ascii="Arial" w:hAnsi="Arial" w:cs="Arial"/>
          <w:lang w:val="es-ES_tradnl"/>
        </w:rPr>
        <w:t>Ahora bien</w:t>
      </w:r>
      <w:r w:rsidR="00DA1009" w:rsidRPr="00503D73">
        <w:rPr>
          <w:rFonts w:ascii="Arial" w:hAnsi="Arial" w:cs="Arial"/>
          <w:lang w:val="es-ES_tradnl"/>
        </w:rPr>
        <w:t xml:space="preserve">, </w:t>
      </w:r>
      <w:r w:rsidRPr="00503D73">
        <w:rPr>
          <w:rFonts w:ascii="Arial" w:eastAsia="Calibri" w:hAnsi="Arial" w:cs="Arial"/>
          <w:lang w:val="es-ES_tradnl"/>
        </w:rPr>
        <w:t>ha de precisarse que p</w:t>
      </w:r>
      <w:r w:rsidR="00946A4B" w:rsidRPr="00503D73">
        <w:rPr>
          <w:rFonts w:ascii="Arial" w:eastAsia="Calibri" w:hAnsi="Arial" w:cs="Arial"/>
          <w:lang w:val="es-ES_tradnl"/>
        </w:rPr>
        <w:t xml:space="preserve">or </w:t>
      </w:r>
      <w:r w:rsidRPr="00503D73">
        <w:rPr>
          <w:rFonts w:ascii="Arial" w:eastAsia="Calibri" w:hAnsi="Arial" w:cs="Arial"/>
          <w:lang w:val="es-ES_tradnl"/>
        </w:rPr>
        <w:t>“</w:t>
      </w:r>
      <w:r w:rsidR="00946A4B" w:rsidRPr="00503D73">
        <w:rPr>
          <w:rFonts w:ascii="Arial" w:eastAsia="Calibri" w:hAnsi="Arial" w:cs="Arial"/>
          <w:i/>
          <w:iCs/>
          <w:lang w:val="es-ES_tradnl"/>
        </w:rPr>
        <w:t>mejor año fiscal</w:t>
      </w:r>
      <w:r w:rsidRPr="00503D73">
        <w:rPr>
          <w:rFonts w:ascii="Arial" w:eastAsia="Calibri" w:hAnsi="Arial" w:cs="Arial"/>
          <w:lang w:val="es-ES_tradnl"/>
        </w:rPr>
        <w:t>”</w:t>
      </w:r>
      <w:r w:rsidR="00946A4B" w:rsidRPr="00503D73">
        <w:rPr>
          <w:rFonts w:ascii="Arial" w:eastAsia="Calibri" w:hAnsi="Arial" w:cs="Arial"/>
          <w:lang w:val="es-ES_tradnl"/>
        </w:rPr>
        <w:t xml:space="preserve"> </w:t>
      </w:r>
      <w:r w:rsidR="00D065B2" w:rsidRPr="00503D73">
        <w:rPr>
          <w:rFonts w:ascii="Arial" w:eastAsia="Calibri" w:hAnsi="Arial" w:cs="Arial"/>
          <w:lang w:val="es-ES_tradnl"/>
        </w:rPr>
        <w:t xml:space="preserve">debe </w:t>
      </w:r>
      <w:r w:rsidR="000129B1" w:rsidRPr="00503D73">
        <w:rPr>
          <w:rFonts w:ascii="Arial" w:eastAsia="Calibri" w:hAnsi="Arial" w:cs="Arial"/>
          <w:lang w:val="es-ES_tradnl"/>
        </w:rPr>
        <w:t xml:space="preserve">entenderse como </w:t>
      </w:r>
      <w:r w:rsidR="00946A4B" w:rsidRPr="00503D73">
        <w:rPr>
          <w:rFonts w:ascii="Arial" w:eastAsia="Calibri" w:hAnsi="Arial" w:cs="Arial"/>
          <w:lang w:val="es-ES_tradnl"/>
        </w:rPr>
        <w:t xml:space="preserve">la información relativa </w:t>
      </w:r>
      <w:r w:rsidR="00946A4B" w:rsidRPr="00503D73">
        <w:rPr>
          <w:rFonts w:ascii="Arial" w:eastAsia="Calibri" w:hAnsi="Arial" w:cs="Arial"/>
          <w:i/>
          <w:iCs/>
          <w:lang w:val="es-ES_tradnl"/>
        </w:rPr>
        <w:t>al año apreciada en su conjunto</w:t>
      </w:r>
      <w:r w:rsidR="00946A4B" w:rsidRPr="00503D73">
        <w:rPr>
          <w:rFonts w:ascii="Arial" w:eastAsia="Calibri" w:hAnsi="Arial" w:cs="Arial"/>
          <w:lang w:val="es-ES_tradnl"/>
        </w:rPr>
        <w:t xml:space="preserve">, </w:t>
      </w:r>
      <w:r w:rsidR="009F40A2" w:rsidRPr="00503D73">
        <w:rPr>
          <w:rFonts w:ascii="Arial" w:eastAsia="Calibri" w:hAnsi="Arial" w:cs="Arial"/>
          <w:lang w:val="es-ES_tradnl"/>
        </w:rPr>
        <w:t>es decir</w:t>
      </w:r>
      <w:r w:rsidR="00946A4B" w:rsidRPr="00503D73">
        <w:rPr>
          <w:rFonts w:ascii="Arial" w:eastAsia="Calibri" w:hAnsi="Arial" w:cs="Arial"/>
          <w:lang w:val="es-ES_tradnl"/>
        </w:rPr>
        <w:t>, de manera integral, que permit</w:t>
      </w:r>
      <w:r w:rsidR="007842EE" w:rsidRPr="00503D73">
        <w:rPr>
          <w:rFonts w:ascii="Arial" w:eastAsia="Calibri" w:hAnsi="Arial" w:cs="Arial"/>
          <w:lang w:val="es-ES_tradnl"/>
        </w:rPr>
        <w:t>e</w:t>
      </w:r>
      <w:r w:rsidR="00946A4B" w:rsidRPr="00503D73">
        <w:rPr>
          <w:rFonts w:ascii="Arial" w:eastAsia="Calibri" w:hAnsi="Arial" w:cs="Arial"/>
          <w:lang w:val="es-ES_tradnl"/>
        </w:rPr>
        <w:t xml:space="preserve"> al proponente cumplir los requisitos habilitantes de capacidad financiera y organizacional. Esto significa que </w:t>
      </w:r>
      <w:r w:rsidR="00A84337" w:rsidRPr="00503D73">
        <w:rPr>
          <w:rFonts w:ascii="Arial" w:eastAsia="Calibri" w:hAnsi="Arial" w:cs="Arial"/>
          <w:lang w:val="es-ES_tradnl"/>
        </w:rPr>
        <w:t>las Entidades</w:t>
      </w:r>
      <w:r w:rsidR="00946A4B" w:rsidRPr="00503D73">
        <w:rPr>
          <w:rFonts w:ascii="Arial" w:eastAsia="Calibri" w:hAnsi="Arial" w:cs="Arial"/>
          <w:lang w:val="es-ES_tradnl"/>
        </w:rPr>
        <w:t xml:space="preserve"> deben examinar los años certificados en el RUP y, para la evaluación, escoger el que refleje mejores indicadores de capacidad financiera y organizacional, que permita al proponente cumplir los requisitos habilitantes de capacidad financiera y organizacional.</w:t>
      </w:r>
    </w:p>
    <w:p w14:paraId="2C003F01" w14:textId="3D6E18D1" w:rsidR="00E70688" w:rsidRPr="00503D73" w:rsidRDefault="00964C75" w:rsidP="00946A4B">
      <w:pPr>
        <w:spacing w:before="120" w:line="276" w:lineRule="auto"/>
        <w:ind w:firstLine="709"/>
        <w:jc w:val="both"/>
        <w:rPr>
          <w:rFonts w:ascii="Arial" w:eastAsia="Calibri" w:hAnsi="Arial" w:cs="Arial"/>
          <w:lang w:val="es-ES_tradnl"/>
        </w:rPr>
      </w:pPr>
      <w:r w:rsidRPr="00503D73">
        <w:rPr>
          <w:rFonts w:ascii="Arial" w:eastAsia="Calibri" w:hAnsi="Arial" w:cs="Arial"/>
          <w:lang w:val="es-ES_tradnl"/>
        </w:rPr>
        <w:t>Así las cosas</w:t>
      </w:r>
      <w:r w:rsidR="00946A4B" w:rsidRPr="00503D73">
        <w:rPr>
          <w:rFonts w:ascii="Arial" w:eastAsia="Calibri" w:hAnsi="Arial" w:cs="Arial"/>
          <w:lang w:val="es-ES_tradnl"/>
        </w:rPr>
        <w:t xml:space="preserve">, </w:t>
      </w:r>
      <w:r w:rsidR="00A26F06" w:rsidRPr="00503D73">
        <w:rPr>
          <w:rFonts w:ascii="Arial" w:eastAsia="Calibri" w:hAnsi="Arial" w:cs="Arial"/>
          <w:lang w:val="es-ES_tradnl"/>
        </w:rPr>
        <w:t>de los</w:t>
      </w:r>
      <w:r w:rsidR="00946A4B" w:rsidRPr="00503D73">
        <w:rPr>
          <w:rFonts w:ascii="Arial" w:eastAsia="Calibri" w:hAnsi="Arial" w:cs="Arial"/>
          <w:lang w:val="es-ES_tradnl"/>
        </w:rPr>
        <w:t xml:space="preserve"> parágrafo</w:t>
      </w:r>
      <w:r w:rsidR="00A26F06" w:rsidRPr="00503D73">
        <w:rPr>
          <w:rFonts w:ascii="Arial" w:eastAsia="Calibri" w:hAnsi="Arial" w:cs="Arial"/>
          <w:lang w:val="es-ES_tradnl"/>
        </w:rPr>
        <w:t>s</w:t>
      </w:r>
      <w:r w:rsidR="00946A4B" w:rsidRPr="00503D73">
        <w:rPr>
          <w:rFonts w:ascii="Arial" w:eastAsia="Calibri" w:hAnsi="Arial" w:cs="Arial"/>
          <w:lang w:val="es-ES_tradnl"/>
        </w:rPr>
        <w:t xml:space="preserve"> transitorio</w:t>
      </w:r>
      <w:r w:rsidR="00A26F06" w:rsidRPr="00503D73">
        <w:rPr>
          <w:rFonts w:ascii="Arial" w:eastAsia="Calibri" w:hAnsi="Arial" w:cs="Arial"/>
          <w:lang w:val="es-ES_tradnl"/>
        </w:rPr>
        <w:t>s</w:t>
      </w:r>
      <w:r w:rsidR="00946A4B" w:rsidRPr="00503D73">
        <w:rPr>
          <w:rFonts w:ascii="Arial" w:eastAsia="Calibri" w:hAnsi="Arial" w:cs="Arial"/>
          <w:lang w:val="es-ES_tradnl"/>
        </w:rPr>
        <w:t>, agregado</w:t>
      </w:r>
      <w:r w:rsidR="00A26F06" w:rsidRPr="00503D73">
        <w:rPr>
          <w:rFonts w:ascii="Arial" w:eastAsia="Calibri" w:hAnsi="Arial" w:cs="Arial"/>
          <w:lang w:val="es-ES_tradnl"/>
        </w:rPr>
        <w:t>s</w:t>
      </w:r>
      <w:r w:rsidR="00946A4B" w:rsidRPr="00503D73">
        <w:rPr>
          <w:rFonts w:ascii="Arial" w:eastAsia="Calibri" w:hAnsi="Arial" w:cs="Arial"/>
          <w:lang w:val="es-ES_tradnl"/>
        </w:rPr>
        <w:t xml:space="preserve"> a</w:t>
      </w:r>
      <w:r w:rsidR="00DF06D5" w:rsidRPr="00503D73">
        <w:rPr>
          <w:rFonts w:ascii="Arial" w:eastAsia="Calibri" w:hAnsi="Arial" w:cs="Arial"/>
          <w:lang w:val="es-ES_tradnl"/>
        </w:rPr>
        <w:t xml:space="preserve"> los</w:t>
      </w:r>
      <w:r w:rsidR="00946A4B" w:rsidRPr="00503D73">
        <w:rPr>
          <w:rFonts w:ascii="Arial" w:eastAsia="Calibri" w:hAnsi="Arial" w:cs="Arial"/>
          <w:lang w:val="es-ES_tradnl"/>
        </w:rPr>
        <w:t xml:space="preserve"> artículo</w:t>
      </w:r>
      <w:r w:rsidR="00DF06D5" w:rsidRPr="00503D73">
        <w:rPr>
          <w:rFonts w:ascii="Arial" w:eastAsia="Calibri" w:hAnsi="Arial" w:cs="Arial"/>
          <w:lang w:val="es-ES_tradnl"/>
        </w:rPr>
        <w:t>s</w:t>
      </w:r>
      <w:r w:rsidR="00946A4B" w:rsidRPr="00503D73">
        <w:rPr>
          <w:rFonts w:ascii="Arial" w:eastAsia="Calibri" w:hAnsi="Arial" w:cs="Arial"/>
          <w:lang w:val="es-ES_tradnl"/>
        </w:rPr>
        <w:t xml:space="preserve"> 2.2.1.1.1.6.2.</w:t>
      </w:r>
      <w:r w:rsidR="00DF06D5" w:rsidRPr="00503D73">
        <w:rPr>
          <w:rFonts w:ascii="Arial" w:eastAsia="Calibri" w:hAnsi="Arial" w:cs="Arial"/>
          <w:lang w:val="es-ES_tradnl"/>
        </w:rPr>
        <w:t xml:space="preserve"> y</w:t>
      </w:r>
      <w:r w:rsidR="00DF06D5" w:rsidRPr="00503D73">
        <w:rPr>
          <w:rFonts w:ascii="Arial" w:hAnsi="Arial" w:cs="Arial"/>
          <w:shd w:val="clear" w:color="auto" w:fill="FFFFFF"/>
        </w:rPr>
        <w:t>2.2.1.1.1.5.2.</w:t>
      </w:r>
      <w:r w:rsidR="00AD2873" w:rsidRPr="00503D73">
        <w:rPr>
          <w:rFonts w:ascii="Arial" w:hAnsi="Arial" w:cs="Arial"/>
          <w:shd w:val="clear" w:color="auto" w:fill="FFFFFF"/>
        </w:rPr>
        <w:t xml:space="preserve"> </w:t>
      </w:r>
      <w:r w:rsidR="00946A4B" w:rsidRPr="00503D73">
        <w:rPr>
          <w:rFonts w:ascii="Arial" w:eastAsia="Calibri" w:hAnsi="Arial" w:cs="Arial"/>
          <w:lang w:val="es-ES_tradnl"/>
        </w:rPr>
        <w:t xml:space="preserve">del Decreto 1082 de 2015 </w:t>
      </w:r>
      <w:r w:rsidR="004B2338" w:rsidRPr="00503D73">
        <w:rPr>
          <w:rFonts w:ascii="Arial" w:eastAsia="Calibri" w:hAnsi="Arial" w:cs="Arial"/>
          <w:lang w:val="es-ES_tradnl"/>
        </w:rPr>
        <w:t>mediante</w:t>
      </w:r>
      <w:r w:rsidR="00946A4B" w:rsidRPr="00503D73">
        <w:rPr>
          <w:rFonts w:ascii="Arial" w:eastAsia="Calibri" w:hAnsi="Arial" w:cs="Arial"/>
          <w:lang w:val="es-ES_tradnl"/>
        </w:rPr>
        <w:t xml:space="preserve"> el artículo 6 del Decreto 399 de 2021</w:t>
      </w:r>
      <w:r w:rsidR="00DF06D5" w:rsidRPr="00503D73">
        <w:rPr>
          <w:rFonts w:ascii="Arial" w:eastAsia="Calibri" w:hAnsi="Arial" w:cs="Arial"/>
          <w:lang w:val="es-ES_tradnl"/>
        </w:rPr>
        <w:t xml:space="preserve">, </w:t>
      </w:r>
      <w:r w:rsidR="00946A4B" w:rsidRPr="00503D73">
        <w:rPr>
          <w:rFonts w:ascii="Arial" w:eastAsia="Calibri" w:hAnsi="Arial" w:cs="Arial"/>
          <w:lang w:val="es-ES_tradnl"/>
        </w:rPr>
        <w:t>sustituido por el artículo 3 del Decreto 579 de 2021</w:t>
      </w:r>
      <w:r w:rsidR="00D03460" w:rsidRPr="00503D73">
        <w:rPr>
          <w:rFonts w:ascii="Arial" w:eastAsia="Calibri" w:hAnsi="Arial" w:cs="Arial"/>
          <w:lang w:val="es-ES_tradnl"/>
        </w:rPr>
        <w:t xml:space="preserve"> </w:t>
      </w:r>
      <w:r w:rsidR="00DF06D5" w:rsidRPr="00503D73">
        <w:rPr>
          <w:rFonts w:ascii="Arial" w:eastAsia="Calibri" w:hAnsi="Arial" w:cs="Arial"/>
          <w:lang w:val="es-ES_tradnl"/>
        </w:rPr>
        <w:t xml:space="preserve">y </w:t>
      </w:r>
      <w:r w:rsidR="004B2338" w:rsidRPr="00503D73">
        <w:rPr>
          <w:rFonts w:ascii="Arial" w:eastAsia="Calibri" w:hAnsi="Arial" w:cs="Arial"/>
          <w:lang w:val="es-ES_tradnl"/>
        </w:rPr>
        <w:t>los artículos 1 y 2 d</w:t>
      </w:r>
      <w:r w:rsidR="00DF06D5" w:rsidRPr="00503D73">
        <w:rPr>
          <w:rFonts w:ascii="Arial" w:eastAsia="Calibri" w:hAnsi="Arial" w:cs="Arial"/>
          <w:lang w:val="es-ES_tradnl"/>
        </w:rPr>
        <w:t>el Decreto 1041 del 2022</w:t>
      </w:r>
      <w:r w:rsidR="00946A4B" w:rsidRPr="00503D73">
        <w:rPr>
          <w:rFonts w:ascii="Arial" w:eastAsia="Calibri" w:hAnsi="Arial" w:cs="Arial"/>
          <w:lang w:val="es-ES_tradnl"/>
        </w:rPr>
        <w:t xml:space="preserve">, </w:t>
      </w:r>
      <w:r w:rsidR="00D23C73" w:rsidRPr="00503D73">
        <w:rPr>
          <w:rFonts w:ascii="Arial" w:eastAsia="Calibri" w:hAnsi="Arial" w:cs="Arial"/>
          <w:lang w:val="es-ES_tradnl"/>
        </w:rPr>
        <w:t xml:space="preserve">se requiere </w:t>
      </w:r>
      <w:r w:rsidR="00946A4B" w:rsidRPr="00503D73">
        <w:rPr>
          <w:rFonts w:ascii="Arial" w:eastAsia="Calibri" w:hAnsi="Arial" w:cs="Arial"/>
          <w:lang w:val="es-ES_tradnl"/>
        </w:rPr>
        <w:t xml:space="preserve">que las </w:t>
      </w:r>
      <w:r w:rsidR="00D23C73" w:rsidRPr="00503D73">
        <w:rPr>
          <w:rFonts w:ascii="Arial" w:eastAsia="Calibri" w:hAnsi="Arial" w:cs="Arial"/>
          <w:lang w:val="es-ES_tradnl"/>
        </w:rPr>
        <w:t>E</w:t>
      </w:r>
      <w:r w:rsidR="00946A4B" w:rsidRPr="00503D73">
        <w:rPr>
          <w:rFonts w:ascii="Arial" w:eastAsia="Calibri" w:hAnsi="Arial" w:cs="Arial"/>
          <w:lang w:val="es-ES_tradnl"/>
        </w:rPr>
        <w:t xml:space="preserve">ntidades </w:t>
      </w:r>
      <w:r w:rsidR="00D23C73" w:rsidRPr="00503D73">
        <w:rPr>
          <w:rFonts w:ascii="Arial" w:eastAsia="Calibri" w:hAnsi="Arial" w:cs="Arial"/>
          <w:lang w:val="es-ES_tradnl"/>
        </w:rPr>
        <w:t>E</w:t>
      </w:r>
      <w:r w:rsidR="00946A4B" w:rsidRPr="00503D73">
        <w:rPr>
          <w:rFonts w:ascii="Arial" w:eastAsia="Calibri" w:hAnsi="Arial" w:cs="Arial"/>
          <w:lang w:val="es-ES_tradnl"/>
        </w:rPr>
        <w:t>statales tengan en cuenta el mejor año</w:t>
      </w:r>
      <w:r w:rsidR="00B12ADA" w:rsidRPr="00503D73">
        <w:rPr>
          <w:rFonts w:ascii="Arial" w:eastAsia="Calibri" w:hAnsi="Arial" w:cs="Arial"/>
          <w:lang w:val="es-ES_tradnl"/>
        </w:rPr>
        <w:t xml:space="preserve"> </w:t>
      </w:r>
      <w:r w:rsidR="00946A4B" w:rsidRPr="00503D73">
        <w:rPr>
          <w:rFonts w:ascii="Arial" w:eastAsia="Calibri" w:hAnsi="Arial" w:cs="Arial"/>
          <w:lang w:val="es-ES_tradnl"/>
        </w:rPr>
        <w:t xml:space="preserve">por cada indicador. </w:t>
      </w:r>
      <w:r w:rsidR="007E6569">
        <w:rPr>
          <w:rFonts w:ascii="Arial" w:eastAsia="Calibri" w:hAnsi="Arial" w:cs="Arial"/>
          <w:lang w:val="es-ES_tradnl"/>
        </w:rPr>
        <w:t>En ese orden de ideas</w:t>
      </w:r>
      <w:r w:rsidR="00946A4B" w:rsidRPr="00503D73">
        <w:rPr>
          <w:rFonts w:ascii="Arial" w:eastAsia="Calibri" w:hAnsi="Arial" w:cs="Arial"/>
          <w:lang w:val="es-ES_tradnl"/>
        </w:rPr>
        <w:t xml:space="preserve">, por </w:t>
      </w:r>
      <w:r w:rsidR="00323AF9" w:rsidRPr="00503D73">
        <w:rPr>
          <w:rFonts w:ascii="Arial" w:eastAsia="Calibri" w:hAnsi="Arial" w:cs="Arial"/>
          <w:lang w:val="es-ES_tradnl"/>
        </w:rPr>
        <w:t>“</w:t>
      </w:r>
      <w:r w:rsidR="00946A4B" w:rsidRPr="007E6569">
        <w:rPr>
          <w:rFonts w:ascii="Arial" w:eastAsia="Calibri" w:hAnsi="Arial" w:cs="Arial"/>
          <w:i/>
          <w:iCs/>
          <w:lang w:val="es-ES_tradnl"/>
        </w:rPr>
        <w:t>mejor año</w:t>
      </w:r>
      <w:r w:rsidR="007E6569">
        <w:rPr>
          <w:rFonts w:ascii="Arial" w:eastAsia="Calibri" w:hAnsi="Arial" w:cs="Arial"/>
          <w:lang w:val="es-ES_tradnl"/>
        </w:rPr>
        <w:t xml:space="preserve"> </w:t>
      </w:r>
      <w:r w:rsidR="007E6569" w:rsidRPr="005620B9">
        <w:rPr>
          <w:rFonts w:ascii="Arial" w:eastAsia="Calibri" w:hAnsi="Arial" w:cs="Arial"/>
          <w:i/>
          <w:iCs/>
          <w:lang w:val="es-ES_tradnl"/>
        </w:rPr>
        <w:t>fiscal</w:t>
      </w:r>
      <w:r w:rsidR="00323AF9" w:rsidRPr="00503D73">
        <w:rPr>
          <w:rFonts w:ascii="Arial" w:eastAsia="Calibri" w:hAnsi="Arial" w:cs="Arial"/>
          <w:lang w:val="es-ES_tradnl"/>
        </w:rPr>
        <w:t>”</w:t>
      </w:r>
      <w:r w:rsidR="00946A4B" w:rsidRPr="00503D73">
        <w:rPr>
          <w:rFonts w:ascii="Arial" w:eastAsia="Calibri" w:hAnsi="Arial" w:cs="Arial"/>
          <w:lang w:val="es-ES_tradnl"/>
        </w:rPr>
        <w:t xml:space="preserve"> debe </w:t>
      </w:r>
      <w:r w:rsidR="00841B86">
        <w:rPr>
          <w:rFonts w:ascii="Arial" w:eastAsia="Calibri" w:hAnsi="Arial" w:cs="Arial"/>
          <w:lang w:val="es-ES_tradnl"/>
        </w:rPr>
        <w:t>tomarse</w:t>
      </w:r>
      <w:r w:rsidR="00946A4B" w:rsidRPr="00503D73">
        <w:rPr>
          <w:rFonts w:ascii="Arial" w:eastAsia="Calibri" w:hAnsi="Arial" w:cs="Arial"/>
          <w:lang w:val="es-ES_tradnl"/>
        </w:rPr>
        <w:t xml:space="preserve"> aquel en el que, analizados conjuntamente </w:t>
      </w:r>
      <w:r w:rsidR="00946A4B" w:rsidRPr="00262D79">
        <w:rPr>
          <w:rFonts w:ascii="Arial" w:eastAsia="Calibri" w:hAnsi="Arial" w:cs="Arial"/>
          <w:i/>
          <w:iCs/>
          <w:lang w:val="es-ES_tradnl"/>
        </w:rPr>
        <w:t>todos los indicadores</w:t>
      </w:r>
      <w:r w:rsidR="00946A4B" w:rsidRPr="00503D73">
        <w:rPr>
          <w:rFonts w:ascii="Arial" w:eastAsia="Calibri" w:hAnsi="Arial" w:cs="Arial"/>
          <w:lang w:val="es-ES_tradnl"/>
        </w:rPr>
        <w:t xml:space="preserve"> de capacidad financiera y organizacional, el proponente podría cumplir con dichos requisitos habilitantes</w:t>
      </w:r>
      <w:r w:rsidR="0062127D" w:rsidRPr="00503D73">
        <w:rPr>
          <w:rFonts w:ascii="Arial" w:eastAsia="Calibri" w:hAnsi="Arial" w:cs="Arial"/>
          <w:lang w:val="es-ES_tradnl"/>
        </w:rPr>
        <w:t xml:space="preserve">, esto quiere decir, que no resulta </w:t>
      </w:r>
      <w:r w:rsidR="002A11E0" w:rsidRPr="00503D73">
        <w:rPr>
          <w:rFonts w:ascii="Arial" w:eastAsia="Calibri" w:hAnsi="Arial" w:cs="Arial"/>
          <w:lang w:val="es-ES_tradnl"/>
        </w:rPr>
        <w:t>factible</w:t>
      </w:r>
      <w:r w:rsidR="0062127D" w:rsidRPr="00503D73">
        <w:rPr>
          <w:rFonts w:ascii="Arial" w:eastAsia="Calibri" w:hAnsi="Arial" w:cs="Arial"/>
          <w:lang w:val="es-ES_tradnl"/>
        </w:rPr>
        <w:t xml:space="preserve"> que la Entidad </w:t>
      </w:r>
      <w:r w:rsidR="0095669E">
        <w:rPr>
          <w:rFonts w:ascii="Arial" w:eastAsia="Calibri" w:hAnsi="Arial" w:cs="Arial"/>
          <w:lang w:val="es-ES_tradnl"/>
        </w:rPr>
        <w:t xml:space="preserve">contratante </w:t>
      </w:r>
      <w:r w:rsidR="0062127D" w:rsidRPr="00503D73">
        <w:rPr>
          <w:rFonts w:ascii="Arial" w:eastAsia="Calibri" w:hAnsi="Arial" w:cs="Arial"/>
          <w:lang w:val="es-ES_tradnl"/>
        </w:rPr>
        <w:t xml:space="preserve">al momento de realizar la evaluación </w:t>
      </w:r>
      <w:r w:rsidR="00FB273D">
        <w:rPr>
          <w:rFonts w:ascii="Arial" w:eastAsia="Calibri" w:hAnsi="Arial" w:cs="Arial"/>
          <w:lang w:val="es-ES_tradnl"/>
        </w:rPr>
        <w:t>determine</w:t>
      </w:r>
      <w:r w:rsidR="0062127D" w:rsidRPr="00503D73">
        <w:rPr>
          <w:rFonts w:ascii="Arial" w:eastAsia="Calibri" w:hAnsi="Arial" w:cs="Arial"/>
          <w:lang w:val="es-ES_tradnl"/>
        </w:rPr>
        <w:t xml:space="preserve"> como “</w:t>
      </w:r>
      <w:r w:rsidR="0062127D" w:rsidRPr="00B35C6B">
        <w:rPr>
          <w:rFonts w:ascii="Arial" w:eastAsia="Calibri" w:hAnsi="Arial" w:cs="Arial"/>
          <w:i/>
          <w:iCs/>
          <w:lang w:val="es-ES_tradnl"/>
        </w:rPr>
        <w:t>mejor año</w:t>
      </w:r>
      <w:r w:rsidR="00B35C6B" w:rsidRPr="00B35C6B">
        <w:rPr>
          <w:rFonts w:ascii="Arial" w:eastAsia="Calibri" w:hAnsi="Arial" w:cs="Arial"/>
          <w:i/>
          <w:iCs/>
          <w:lang w:val="es-ES_tradnl"/>
        </w:rPr>
        <w:t xml:space="preserve"> fiscal</w:t>
      </w:r>
      <w:r w:rsidR="0062127D" w:rsidRPr="00503D73">
        <w:rPr>
          <w:rFonts w:ascii="Arial" w:eastAsia="Calibri" w:hAnsi="Arial" w:cs="Arial"/>
          <w:lang w:val="es-ES_tradnl"/>
        </w:rPr>
        <w:t>” los indi</w:t>
      </w:r>
      <w:r w:rsidR="00503D73" w:rsidRPr="00503D73">
        <w:rPr>
          <w:rFonts w:ascii="Arial" w:eastAsia="Calibri" w:hAnsi="Arial" w:cs="Arial"/>
          <w:lang w:val="es-ES_tradnl"/>
        </w:rPr>
        <w:t>cadores de diferentes año</w:t>
      </w:r>
      <w:r w:rsidR="00491993">
        <w:rPr>
          <w:rFonts w:ascii="Arial" w:eastAsia="Calibri" w:hAnsi="Arial" w:cs="Arial"/>
          <w:lang w:val="es-ES_tradnl"/>
        </w:rPr>
        <w:t>s</w:t>
      </w:r>
      <w:r w:rsidR="00E70688">
        <w:rPr>
          <w:rFonts w:ascii="Arial" w:eastAsia="Calibri" w:hAnsi="Arial" w:cs="Arial"/>
          <w:lang w:val="es-ES_tradnl"/>
        </w:rPr>
        <w:t>, para tal efecto</w:t>
      </w:r>
      <w:r w:rsidR="00A5128B">
        <w:rPr>
          <w:rFonts w:ascii="Arial" w:eastAsia="Calibri" w:hAnsi="Arial" w:cs="Arial"/>
          <w:lang w:val="es-ES_tradnl"/>
        </w:rPr>
        <w:t xml:space="preserve">, </w:t>
      </w:r>
      <w:r w:rsidR="00E70688">
        <w:rPr>
          <w:rFonts w:ascii="Arial" w:eastAsia="Calibri" w:hAnsi="Arial" w:cs="Arial"/>
          <w:lang w:val="es-ES_tradnl"/>
        </w:rPr>
        <w:t xml:space="preserve">debe </w:t>
      </w:r>
      <w:r w:rsidR="00AE33E3">
        <w:rPr>
          <w:rFonts w:ascii="Arial" w:eastAsia="Calibri" w:hAnsi="Arial" w:cs="Arial"/>
          <w:lang w:val="es-ES_tradnl"/>
        </w:rPr>
        <w:t xml:space="preserve">elegir aquel año que en su conjunto refleje los </w:t>
      </w:r>
      <w:r w:rsidR="00E70688" w:rsidRPr="00503D73">
        <w:rPr>
          <w:rFonts w:ascii="Arial" w:eastAsia="Calibri" w:hAnsi="Arial" w:cs="Arial"/>
          <w:lang w:val="es-ES_tradnl"/>
        </w:rPr>
        <w:t>mejores indicadores de capacidad financiera y organizacional</w:t>
      </w:r>
      <w:r w:rsidR="00AE33E3">
        <w:rPr>
          <w:rFonts w:ascii="Arial" w:eastAsia="Calibri" w:hAnsi="Arial" w:cs="Arial"/>
          <w:lang w:val="es-ES_tradnl"/>
        </w:rPr>
        <w:t>.</w:t>
      </w:r>
    </w:p>
    <w:p w14:paraId="58B21E66" w14:textId="45006184" w:rsidR="00801DBA" w:rsidRPr="00503D73" w:rsidRDefault="0094704D" w:rsidP="00AD290C">
      <w:pPr>
        <w:spacing w:before="120" w:line="276" w:lineRule="auto"/>
        <w:ind w:firstLine="709"/>
        <w:jc w:val="both"/>
        <w:rPr>
          <w:rFonts w:ascii="Arial" w:eastAsia="Calibri" w:hAnsi="Arial" w:cs="Arial"/>
          <w:lang w:val="es-ES_tradnl"/>
        </w:rPr>
      </w:pPr>
      <w:r w:rsidRPr="00503D73">
        <w:rPr>
          <w:rFonts w:ascii="Arial" w:eastAsia="Calibri" w:hAnsi="Arial" w:cs="Arial"/>
          <w:lang w:val="es-ES_tradnl"/>
        </w:rPr>
        <w:t>Finalmente, e</w:t>
      </w:r>
      <w:r w:rsidR="00946A4B" w:rsidRPr="00503D73">
        <w:rPr>
          <w:rFonts w:ascii="Arial" w:eastAsia="Calibri" w:hAnsi="Arial" w:cs="Arial"/>
          <w:lang w:val="es-ES_tradnl"/>
        </w:rPr>
        <w:t xml:space="preserve">l hecho que la </w:t>
      </w:r>
      <w:r w:rsidR="008F2D2F" w:rsidRPr="00503D73">
        <w:rPr>
          <w:rFonts w:ascii="Arial" w:eastAsia="Calibri" w:hAnsi="Arial" w:cs="Arial"/>
          <w:lang w:val="es-ES_tradnl"/>
        </w:rPr>
        <w:t>E</w:t>
      </w:r>
      <w:r w:rsidR="00946A4B" w:rsidRPr="00503D73">
        <w:rPr>
          <w:rFonts w:ascii="Arial" w:eastAsia="Calibri" w:hAnsi="Arial" w:cs="Arial"/>
          <w:lang w:val="es-ES_tradnl"/>
        </w:rPr>
        <w:t xml:space="preserve">ntidad </w:t>
      </w:r>
      <w:r w:rsidR="008F2D2F" w:rsidRPr="00503D73">
        <w:rPr>
          <w:rFonts w:ascii="Arial" w:eastAsia="Calibri" w:hAnsi="Arial" w:cs="Arial"/>
          <w:lang w:val="es-ES_tradnl"/>
        </w:rPr>
        <w:t>E</w:t>
      </w:r>
      <w:r w:rsidR="00946A4B" w:rsidRPr="00503D73">
        <w:rPr>
          <w:rFonts w:ascii="Arial" w:eastAsia="Calibri" w:hAnsi="Arial" w:cs="Arial"/>
          <w:lang w:val="es-ES_tradnl"/>
        </w:rPr>
        <w:t xml:space="preserve">statal deba evaluar los indicadores de capacidad financiera y organizacional teniendo en cuenta el </w:t>
      </w:r>
      <w:r w:rsidR="008F2D2F" w:rsidRPr="00503D73">
        <w:rPr>
          <w:rFonts w:ascii="Arial" w:eastAsia="Calibri" w:hAnsi="Arial" w:cs="Arial"/>
          <w:lang w:val="es-ES_tradnl"/>
        </w:rPr>
        <w:t>“</w:t>
      </w:r>
      <w:r w:rsidR="00946A4B" w:rsidRPr="00503D73">
        <w:rPr>
          <w:rFonts w:ascii="Arial" w:eastAsia="Calibri" w:hAnsi="Arial" w:cs="Arial"/>
          <w:lang w:val="es-ES_tradnl"/>
        </w:rPr>
        <w:t>mejor año fiscal</w:t>
      </w:r>
      <w:r w:rsidR="008F2D2F" w:rsidRPr="00503D73">
        <w:rPr>
          <w:rFonts w:ascii="Arial" w:eastAsia="Calibri" w:hAnsi="Arial" w:cs="Arial"/>
          <w:lang w:val="es-ES_tradnl"/>
        </w:rPr>
        <w:t>”</w:t>
      </w:r>
      <w:r w:rsidR="00946A4B" w:rsidRPr="00503D73">
        <w:rPr>
          <w:rFonts w:ascii="Arial" w:eastAsia="Calibri" w:hAnsi="Arial" w:cs="Arial"/>
          <w:lang w:val="es-ES_tradnl"/>
        </w:rPr>
        <w:t xml:space="preserve">, no significa que el proponente siempre cumplirá tales requisitos habilitantes, pues, precisamente, ese es el análisis que deberá hacer la </w:t>
      </w:r>
      <w:r w:rsidR="008F2D2F" w:rsidRPr="00503D73">
        <w:rPr>
          <w:rFonts w:ascii="Arial" w:eastAsia="Calibri" w:hAnsi="Arial" w:cs="Arial"/>
          <w:lang w:val="es-ES_tradnl"/>
        </w:rPr>
        <w:t>E</w:t>
      </w:r>
      <w:r w:rsidR="00946A4B" w:rsidRPr="00503D73">
        <w:rPr>
          <w:rFonts w:ascii="Arial" w:eastAsia="Calibri" w:hAnsi="Arial" w:cs="Arial"/>
          <w:lang w:val="es-ES_tradnl"/>
        </w:rPr>
        <w:t xml:space="preserve">ntidad pública con la información disponible en el RUP. </w:t>
      </w:r>
      <w:r w:rsidR="00946A4B" w:rsidRPr="00503D73">
        <w:rPr>
          <w:rFonts w:ascii="Arial" w:eastAsia="Calibri" w:hAnsi="Arial" w:cs="Arial"/>
          <w:lang w:val="es-ES_tradnl"/>
        </w:rPr>
        <w:lastRenderedPageBreak/>
        <w:t xml:space="preserve">En ese sentido, la evaluación conforme </w:t>
      </w:r>
      <w:r w:rsidRPr="00503D73">
        <w:rPr>
          <w:rFonts w:ascii="Arial" w:eastAsia="Calibri" w:hAnsi="Arial" w:cs="Arial"/>
          <w:lang w:val="es-ES_tradnl"/>
        </w:rPr>
        <w:t>“</w:t>
      </w:r>
      <w:r w:rsidR="00946A4B" w:rsidRPr="004D1ECB">
        <w:rPr>
          <w:rFonts w:ascii="Arial" w:eastAsia="Calibri" w:hAnsi="Arial" w:cs="Arial"/>
          <w:i/>
          <w:iCs/>
          <w:lang w:val="es-ES_tradnl"/>
        </w:rPr>
        <w:t>mejor año fiscal</w:t>
      </w:r>
      <w:r w:rsidRPr="00503D73">
        <w:rPr>
          <w:rFonts w:ascii="Arial" w:eastAsia="Calibri" w:hAnsi="Arial" w:cs="Arial"/>
          <w:lang w:val="es-ES_tradnl"/>
        </w:rPr>
        <w:t>”</w:t>
      </w:r>
      <w:r w:rsidR="00946A4B" w:rsidRPr="00503D73">
        <w:rPr>
          <w:rFonts w:ascii="Arial" w:eastAsia="Calibri" w:hAnsi="Arial" w:cs="Arial"/>
          <w:lang w:val="es-ES_tradnl"/>
        </w:rPr>
        <w:t xml:space="preserve"> no supone el cumplimiento de los requisitos habilitantes establecidos en el pliego de condiciones, ya que puede ocurrir que ni incluso con los indicadores de dicho año el proponente no alcance a cumplir los indicadores establecidos por la </w:t>
      </w:r>
      <w:r w:rsidR="006E7E74" w:rsidRPr="00503D73">
        <w:rPr>
          <w:rFonts w:ascii="Arial" w:eastAsia="Calibri" w:hAnsi="Arial" w:cs="Arial"/>
          <w:lang w:val="es-ES_tradnl"/>
        </w:rPr>
        <w:t>E</w:t>
      </w:r>
      <w:r w:rsidR="00946A4B" w:rsidRPr="00503D73">
        <w:rPr>
          <w:rFonts w:ascii="Arial" w:eastAsia="Calibri" w:hAnsi="Arial" w:cs="Arial"/>
          <w:lang w:val="es-ES_tradnl"/>
        </w:rPr>
        <w:t xml:space="preserve">ntidad para el respectivo proceso. </w:t>
      </w:r>
    </w:p>
    <w:p w14:paraId="00F14513" w14:textId="77777777" w:rsidR="00CC0136" w:rsidRPr="00503D73" w:rsidRDefault="00CC0136" w:rsidP="00CC0136">
      <w:pPr>
        <w:spacing w:line="276" w:lineRule="auto"/>
        <w:jc w:val="both"/>
        <w:rPr>
          <w:rFonts w:ascii="Arial" w:hAnsi="Arial" w:cs="Arial"/>
        </w:rPr>
      </w:pPr>
      <w:r w:rsidRPr="00503D73">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42F3AB04" w14:textId="77777777" w:rsidR="00CC0136" w:rsidRPr="00503D73" w:rsidRDefault="00CC0136" w:rsidP="00CC0136">
      <w:pPr>
        <w:spacing w:before="120" w:after="0" w:line="276" w:lineRule="auto"/>
        <w:jc w:val="both"/>
        <w:rPr>
          <w:rFonts w:ascii="Arial" w:eastAsia="Times New Roman" w:hAnsi="Arial" w:cs="Arial"/>
          <w:szCs w:val="24"/>
          <w:lang w:eastAsia="es-ES_tradnl"/>
        </w:rPr>
      </w:pPr>
      <w:r w:rsidRPr="00503D73">
        <w:rPr>
          <w:rFonts w:ascii="Arial" w:hAnsi="Arial" w:cs="Arial"/>
          <w:lang w:val="es-ES_tradnl"/>
        </w:rPr>
        <w:t>Atentamente,</w:t>
      </w:r>
    </w:p>
    <w:p w14:paraId="4F5B2BDE" w14:textId="2AE54047" w:rsidR="00F3785E" w:rsidRPr="00503D73" w:rsidRDefault="00824E8B" w:rsidP="00F3785E">
      <w:pPr>
        <w:spacing w:before="240" w:after="0" w:line="276" w:lineRule="auto"/>
        <w:jc w:val="center"/>
        <w:rPr>
          <w:rFonts w:ascii="Arial" w:eastAsia="Times New Roman" w:hAnsi="Arial" w:cs="Arial"/>
          <w:lang w:val="es-ES" w:eastAsia="es-CO"/>
        </w:rPr>
      </w:pPr>
      <w:bookmarkStart w:id="4" w:name="_Hlk115432332"/>
      <w:r>
        <w:rPr>
          <w:rFonts w:ascii="Arial" w:hAnsi="Arial" w:cs="Arial"/>
          <w:noProof/>
          <w:lang w:val="es-ES_tradnl"/>
        </w:rPr>
        <w:drawing>
          <wp:inline distT="0" distB="0" distL="0" distR="0" wp14:anchorId="37DF9B64" wp14:editId="18591CA1">
            <wp:extent cx="3155950" cy="1212850"/>
            <wp:effectExtent l="0" t="0" r="6350" b="6350"/>
            <wp:docPr id="53597924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5950" cy="1212850"/>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503D73" w:rsidRPr="00503D73" w14:paraId="05E8538B" w14:textId="77777777" w:rsidTr="00381D0D">
        <w:trPr>
          <w:trHeight w:val="315"/>
        </w:trPr>
        <w:tc>
          <w:tcPr>
            <w:tcW w:w="812" w:type="dxa"/>
            <w:vAlign w:val="center"/>
            <w:hideMark/>
          </w:tcPr>
          <w:p w14:paraId="77AEBC49" w14:textId="77777777" w:rsidR="00F3785E" w:rsidRPr="00503D73" w:rsidRDefault="00F3785E" w:rsidP="00381D0D">
            <w:pPr>
              <w:rPr>
                <w:rFonts w:ascii="Arial" w:eastAsia="Times New Roman" w:hAnsi="Arial" w:cs="Arial"/>
                <w:sz w:val="14"/>
                <w:szCs w:val="14"/>
                <w:lang w:val="es-ES" w:eastAsia="es-ES"/>
              </w:rPr>
            </w:pPr>
            <w:r w:rsidRPr="00503D73">
              <w:rPr>
                <w:rFonts w:ascii="Arial" w:eastAsia="Times New Roman" w:hAnsi="Arial" w:cs="Arial"/>
                <w:sz w:val="14"/>
                <w:szCs w:val="14"/>
                <w:lang w:val="es-ES" w:eastAsia="es-ES"/>
              </w:rPr>
              <w:t>Elaboró:</w:t>
            </w:r>
          </w:p>
        </w:tc>
        <w:tc>
          <w:tcPr>
            <w:tcW w:w="5284" w:type="dxa"/>
            <w:tcBorders>
              <w:top w:val="nil"/>
              <w:left w:val="nil"/>
              <w:bottom w:val="dotted" w:sz="4" w:space="0" w:color="7F7F7F" w:themeColor="text1" w:themeTint="80"/>
              <w:right w:val="nil"/>
            </w:tcBorders>
            <w:vAlign w:val="center"/>
            <w:hideMark/>
          </w:tcPr>
          <w:p w14:paraId="057A3828" w14:textId="77777777" w:rsidR="00F3785E" w:rsidRPr="00503D73" w:rsidRDefault="00F3785E" w:rsidP="00381D0D">
            <w:pPr>
              <w:jc w:val="both"/>
              <w:rPr>
                <w:rFonts w:ascii="Arial" w:eastAsia="Times New Roman" w:hAnsi="Arial" w:cs="Arial"/>
                <w:sz w:val="14"/>
                <w:szCs w:val="14"/>
                <w:lang w:val="es-ES" w:eastAsia="es-ES"/>
              </w:rPr>
            </w:pPr>
            <w:r w:rsidRPr="00503D73">
              <w:rPr>
                <w:rFonts w:ascii="Arial" w:eastAsia="Times New Roman" w:hAnsi="Arial" w:cs="Arial"/>
                <w:sz w:val="14"/>
                <w:szCs w:val="14"/>
                <w:lang w:val="es-ES" w:eastAsia="es-ES"/>
              </w:rPr>
              <w:t>Ana María Ortiz Ballesteros</w:t>
            </w:r>
          </w:p>
          <w:p w14:paraId="3CC8FEEB" w14:textId="77777777" w:rsidR="00F3785E" w:rsidRPr="00503D73" w:rsidRDefault="00F3785E" w:rsidP="00381D0D">
            <w:pPr>
              <w:jc w:val="both"/>
              <w:rPr>
                <w:rFonts w:ascii="Arial" w:eastAsia="Times New Roman" w:hAnsi="Arial" w:cs="Arial"/>
                <w:sz w:val="14"/>
                <w:szCs w:val="14"/>
                <w:lang w:val="es-ES" w:eastAsia="es-ES"/>
              </w:rPr>
            </w:pPr>
            <w:r w:rsidRPr="00503D73">
              <w:rPr>
                <w:rFonts w:ascii="Arial" w:eastAsia="Times New Roman" w:hAnsi="Arial" w:cs="Arial"/>
                <w:sz w:val="14"/>
                <w:szCs w:val="14"/>
                <w:lang w:val="es-ES" w:eastAsia="es-ES"/>
              </w:rPr>
              <w:t>Contratista de la Subdirección de Gestión Contractual</w:t>
            </w:r>
          </w:p>
        </w:tc>
      </w:tr>
      <w:tr w:rsidR="00503D73" w:rsidRPr="00503D73" w14:paraId="3B1102B4" w14:textId="77777777" w:rsidTr="00381D0D">
        <w:trPr>
          <w:trHeight w:val="330"/>
        </w:trPr>
        <w:tc>
          <w:tcPr>
            <w:tcW w:w="812" w:type="dxa"/>
            <w:vAlign w:val="center"/>
            <w:hideMark/>
          </w:tcPr>
          <w:p w14:paraId="3CD9AAA0" w14:textId="77777777" w:rsidR="00F3785E" w:rsidRPr="00503D73" w:rsidRDefault="00F3785E" w:rsidP="00381D0D">
            <w:pPr>
              <w:rPr>
                <w:rFonts w:ascii="Arial" w:eastAsia="Times New Roman" w:hAnsi="Arial" w:cs="Arial"/>
                <w:sz w:val="14"/>
                <w:szCs w:val="14"/>
                <w:lang w:val="es-ES" w:eastAsia="es-ES"/>
              </w:rPr>
            </w:pPr>
            <w:r w:rsidRPr="00503D73">
              <w:rPr>
                <w:rFonts w:ascii="Arial" w:eastAsia="Times New Roman" w:hAnsi="Arial" w:cs="Arial"/>
                <w:sz w:val="14"/>
                <w:szCs w:val="14"/>
                <w:lang w:val="es-ES" w:eastAsia="es-ES"/>
              </w:rPr>
              <w:t>Revisó: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05739FA2" w14:textId="77777777" w:rsidR="00F3785E" w:rsidRPr="00503D73" w:rsidRDefault="00F3785E" w:rsidP="00381D0D">
            <w:pPr>
              <w:rPr>
                <w:rFonts w:ascii="Arial" w:eastAsia="Times New Roman" w:hAnsi="Arial" w:cs="Arial"/>
                <w:sz w:val="14"/>
                <w:szCs w:val="14"/>
                <w:lang w:val="es-ES" w:eastAsia="es-CO"/>
              </w:rPr>
            </w:pPr>
            <w:r w:rsidRPr="00503D73">
              <w:rPr>
                <w:rFonts w:ascii="Arial" w:eastAsia="Times New Roman" w:hAnsi="Arial" w:cs="Arial"/>
                <w:sz w:val="14"/>
                <w:szCs w:val="14"/>
                <w:lang w:val="es-ES" w:eastAsia="es-CO"/>
              </w:rPr>
              <w:t>Ximena Ríos López</w:t>
            </w:r>
          </w:p>
          <w:p w14:paraId="3FBFC5B8" w14:textId="77777777" w:rsidR="00F3785E" w:rsidRPr="00503D73" w:rsidRDefault="00F3785E" w:rsidP="00381D0D">
            <w:pPr>
              <w:rPr>
                <w:rFonts w:ascii="Arial" w:eastAsia="Times New Roman" w:hAnsi="Arial" w:cs="Arial"/>
                <w:sz w:val="14"/>
                <w:szCs w:val="14"/>
                <w:lang w:val="es-ES" w:eastAsia="es-ES"/>
              </w:rPr>
            </w:pPr>
            <w:r w:rsidRPr="00503D73">
              <w:rPr>
                <w:rFonts w:ascii="Arial" w:eastAsia="Times New Roman" w:hAnsi="Arial" w:cs="Arial"/>
                <w:sz w:val="14"/>
                <w:szCs w:val="14"/>
                <w:lang w:val="es-ES" w:eastAsia="es-CO"/>
              </w:rPr>
              <w:t>Gestor T1 ‒ 11 de la Subdirección de Gestión Contractual</w:t>
            </w:r>
          </w:p>
        </w:tc>
      </w:tr>
      <w:tr w:rsidR="00503D73" w:rsidRPr="00503D73" w14:paraId="60BD314A" w14:textId="77777777" w:rsidTr="00381D0D">
        <w:trPr>
          <w:trHeight w:val="178"/>
        </w:trPr>
        <w:tc>
          <w:tcPr>
            <w:tcW w:w="812" w:type="dxa"/>
            <w:vAlign w:val="center"/>
            <w:hideMark/>
          </w:tcPr>
          <w:p w14:paraId="16A18B96" w14:textId="77777777" w:rsidR="00F3785E" w:rsidRPr="00503D73" w:rsidRDefault="00F3785E" w:rsidP="00381D0D">
            <w:pPr>
              <w:rPr>
                <w:rFonts w:ascii="Arial" w:eastAsia="Times New Roman" w:hAnsi="Arial" w:cs="Arial"/>
                <w:sz w:val="14"/>
                <w:szCs w:val="14"/>
                <w:lang w:val="es-ES" w:eastAsia="es-ES"/>
              </w:rPr>
            </w:pPr>
            <w:r w:rsidRPr="00503D73">
              <w:rPr>
                <w:rFonts w:ascii="Arial" w:eastAsia="Times New Roman" w:hAnsi="Arial" w:cs="Arial"/>
                <w:sz w:val="14"/>
                <w:szCs w:val="14"/>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4E74A4F3" w14:textId="77777777" w:rsidR="00F3785E" w:rsidRPr="00503D73" w:rsidRDefault="00F3785E" w:rsidP="00381D0D">
            <w:pPr>
              <w:textAlignment w:val="baseline"/>
              <w:rPr>
                <w:rFonts w:ascii="Arial" w:eastAsia="Times New Roman" w:hAnsi="Arial" w:cs="Arial"/>
                <w:sz w:val="14"/>
                <w:szCs w:val="14"/>
                <w:lang w:val="es-ES" w:eastAsia="es-CO"/>
              </w:rPr>
            </w:pPr>
            <w:bookmarkStart w:id="5" w:name="_Hlk116036152"/>
            <w:r w:rsidRPr="00503D73">
              <w:rPr>
                <w:rFonts w:ascii="Arial" w:eastAsia="Times New Roman" w:hAnsi="Arial" w:cs="Arial"/>
                <w:sz w:val="14"/>
                <w:szCs w:val="14"/>
                <w:lang w:val="es-ES" w:eastAsia="es-CO"/>
              </w:rPr>
              <w:t>Nohelia del Carmen Zawady Palacio</w:t>
            </w:r>
          </w:p>
          <w:p w14:paraId="6BE8E59A" w14:textId="77777777" w:rsidR="00F3785E" w:rsidRPr="00503D73" w:rsidRDefault="00F3785E" w:rsidP="00381D0D">
            <w:pPr>
              <w:rPr>
                <w:rFonts w:ascii="Arial" w:eastAsia="Times New Roman" w:hAnsi="Arial" w:cs="Arial"/>
                <w:sz w:val="14"/>
                <w:szCs w:val="14"/>
                <w:lang w:val="es-ES" w:eastAsia="es-ES"/>
              </w:rPr>
            </w:pPr>
            <w:r w:rsidRPr="00503D73">
              <w:rPr>
                <w:rFonts w:ascii="Arial" w:eastAsia="Times New Roman" w:hAnsi="Arial" w:cs="Arial"/>
                <w:sz w:val="14"/>
                <w:szCs w:val="14"/>
                <w:lang w:val="es-ES" w:eastAsia="es-ES"/>
              </w:rPr>
              <w:t xml:space="preserve">Subdirectora de Gestión Contractual </w:t>
            </w:r>
            <w:bookmarkEnd w:id="5"/>
            <w:r w:rsidRPr="00503D73">
              <w:rPr>
                <w:rFonts w:ascii="Arial" w:eastAsia="Times New Roman" w:hAnsi="Arial" w:cs="Arial"/>
                <w:sz w:val="14"/>
                <w:szCs w:val="14"/>
                <w:lang w:val="es-ES" w:eastAsia="es-ES"/>
              </w:rPr>
              <w:t>ANCP – CCE</w:t>
            </w:r>
          </w:p>
        </w:tc>
      </w:tr>
      <w:bookmarkEnd w:id="4"/>
    </w:tbl>
    <w:p w14:paraId="1DF87959" w14:textId="77777777" w:rsidR="008729D2" w:rsidRPr="00503D73" w:rsidRDefault="008729D2" w:rsidP="00E245AB">
      <w:pPr>
        <w:spacing w:after="0"/>
        <w:rPr>
          <w:rFonts w:ascii="Arial" w:hAnsi="Arial" w:cs="Arial"/>
          <w:lang w:val="es-ES"/>
        </w:rPr>
      </w:pPr>
    </w:p>
    <w:sectPr w:rsidR="008729D2" w:rsidRPr="00503D73" w:rsidSect="00923EEF">
      <w:headerReference w:type="default" r:id="rId13"/>
      <w:footerReference w:type="default" r:id="rId14"/>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A05B" w14:textId="77777777" w:rsidR="00D0661D" w:rsidRDefault="00D0661D" w:rsidP="004A1847">
      <w:pPr>
        <w:spacing w:after="0" w:line="240" w:lineRule="auto"/>
      </w:pPr>
      <w:r>
        <w:separator/>
      </w:r>
    </w:p>
  </w:endnote>
  <w:endnote w:type="continuationSeparator" w:id="0">
    <w:p w14:paraId="1DA09D1E" w14:textId="77777777" w:rsidR="00D0661D" w:rsidRDefault="00D0661D" w:rsidP="004A1847">
      <w:pPr>
        <w:spacing w:after="0" w:line="240" w:lineRule="auto"/>
      </w:pPr>
      <w:r>
        <w:continuationSeparator/>
      </w:r>
    </w:p>
  </w:endnote>
  <w:endnote w:type="continuationNotice" w:id="1">
    <w:p w14:paraId="7AE6DFB8" w14:textId="77777777" w:rsidR="00D0661D" w:rsidRDefault="00D06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A339" w14:textId="77777777" w:rsidR="00D0661D" w:rsidRDefault="00D0661D" w:rsidP="004A1847">
      <w:pPr>
        <w:spacing w:after="0" w:line="240" w:lineRule="auto"/>
      </w:pPr>
      <w:r>
        <w:separator/>
      </w:r>
    </w:p>
  </w:footnote>
  <w:footnote w:type="continuationSeparator" w:id="0">
    <w:p w14:paraId="11E496D2" w14:textId="77777777" w:rsidR="00D0661D" w:rsidRDefault="00D0661D" w:rsidP="004A1847">
      <w:pPr>
        <w:spacing w:after="0" w:line="240" w:lineRule="auto"/>
      </w:pPr>
      <w:r>
        <w:continuationSeparator/>
      </w:r>
    </w:p>
  </w:footnote>
  <w:footnote w:type="continuationNotice" w:id="1">
    <w:p w14:paraId="45928A8D" w14:textId="77777777" w:rsidR="00D0661D" w:rsidRDefault="00D0661D">
      <w:pPr>
        <w:spacing w:after="0" w:line="240" w:lineRule="auto"/>
      </w:pPr>
    </w:p>
  </w:footnote>
  <w:footnote w:id="2">
    <w:p w14:paraId="68618492" w14:textId="77777777" w:rsidR="008729D2" w:rsidRPr="00000EFD" w:rsidRDefault="008729D2" w:rsidP="008729D2">
      <w:pPr>
        <w:pStyle w:val="Textonotapie"/>
        <w:ind w:firstLine="708"/>
        <w:jc w:val="both"/>
        <w:rPr>
          <w:rFonts w:ascii="Arial" w:hAnsi="Arial" w:cs="Arial"/>
          <w:sz w:val="18"/>
          <w:szCs w:val="18"/>
        </w:rPr>
      </w:pPr>
      <w:r w:rsidRPr="00000EFD">
        <w:rPr>
          <w:rStyle w:val="Refdenotaalpie"/>
          <w:rFonts w:ascii="Arial" w:hAnsi="Arial" w:cs="Arial"/>
          <w:sz w:val="18"/>
          <w:szCs w:val="18"/>
        </w:rPr>
        <w:footnoteRef/>
      </w:r>
      <w:r w:rsidRPr="00000EFD">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00EFD">
        <w:rPr>
          <w:rFonts w:ascii="Arial" w:hAnsi="Arial" w:cs="Arial"/>
          <w:i/>
          <w:iCs/>
          <w:sz w:val="18"/>
          <w:szCs w:val="18"/>
        </w:rPr>
        <w:t xml:space="preserve">ibidem </w:t>
      </w:r>
      <w:r w:rsidRPr="00000EFD">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0027B793" w14:textId="77777777" w:rsidR="008729D2" w:rsidRPr="004B6D51" w:rsidRDefault="008729D2" w:rsidP="008729D2">
      <w:pPr>
        <w:pStyle w:val="Textonotapie"/>
        <w:ind w:firstLine="708"/>
        <w:jc w:val="both"/>
        <w:rPr>
          <w:rFonts w:ascii="Arial" w:hAnsi="Arial" w:cs="Arial"/>
          <w:sz w:val="18"/>
          <w:szCs w:val="18"/>
          <w:lang w:val="es-ES"/>
        </w:rPr>
      </w:pPr>
    </w:p>
  </w:footnote>
  <w:footnote w:id="3">
    <w:p w14:paraId="0EBA3069" w14:textId="77777777" w:rsidR="008729D2" w:rsidRPr="002E7E5B" w:rsidRDefault="008729D2" w:rsidP="008729D2">
      <w:pPr>
        <w:pStyle w:val="Textonotapie"/>
        <w:ind w:firstLine="708"/>
        <w:jc w:val="both"/>
        <w:rPr>
          <w:rFonts w:ascii="Arial" w:hAnsi="Arial" w:cs="Arial"/>
          <w:sz w:val="18"/>
          <w:szCs w:val="18"/>
        </w:rPr>
      </w:pPr>
      <w:r w:rsidRPr="002E7E5B">
        <w:rPr>
          <w:rStyle w:val="Refdenotaalpie"/>
          <w:rFonts w:ascii="Arial" w:hAnsi="Arial" w:cs="Arial"/>
          <w:sz w:val="18"/>
          <w:szCs w:val="18"/>
        </w:rPr>
        <w:footnoteRef/>
      </w:r>
      <w:r w:rsidRPr="002E7E5B">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2E7E5B">
          <w:rPr>
            <w:rStyle w:val="Hipervnculo"/>
            <w:rFonts w:ascii="Arial" w:hAnsi="Arial" w:cs="Arial"/>
            <w:color w:val="auto"/>
            <w:sz w:val="18"/>
            <w:szCs w:val="18"/>
          </w:rPr>
          <w:t>https://relatoria.colombiacompra.gov.co/busqueda/conceptos</w:t>
        </w:r>
      </w:hyperlink>
      <w:r w:rsidRPr="002E7E5B">
        <w:rPr>
          <w:rStyle w:val="Hipervnculo"/>
          <w:rFonts w:ascii="Arial" w:hAnsi="Arial" w:cs="Arial"/>
          <w:color w:val="auto"/>
          <w:sz w:val="18"/>
          <w:szCs w:val="18"/>
        </w:rPr>
        <w:t xml:space="preserve">. </w:t>
      </w:r>
      <w:r w:rsidRPr="002E7E5B">
        <w:rPr>
          <w:rFonts w:ascii="Arial" w:hAnsi="Arial" w:cs="Arial"/>
          <w:sz w:val="18"/>
          <w:szCs w:val="18"/>
          <w:shd w:val="clear" w:color="auto" w:fill="E6E6E6"/>
        </w:rPr>
        <w:t xml:space="preserve"> </w:t>
      </w:r>
    </w:p>
  </w:footnote>
  <w:footnote w:id="4">
    <w:p w14:paraId="0C0C1A31" w14:textId="041D4EB9" w:rsidR="005377D6" w:rsidRPr="002E7E5B" w:rsidRDefault="005377D6" w:rsidP="005377D6">
      <w:pPr>
        <w:pStyle w:val="Textonotapie"/>
        <w:ind w:firstLine="709"/>
        <w:jc w:val="both"/>
        <w:rPr>
          <w:rFonts w:ascii="Arial" w:hAnsi="Arial" w:cs="Arial"/>
          <w:sz w:val="18"/>
          <w:szCs w:val="18"/>
        </w:rPr>
      </w:pPr>
      <w:r w:rsidRPr="002E7E5B">
        <w:rPr>
          <w:rStyle w:val="Refdenotaalpie"/>
          <w:rFonts w:ascii="Arial" w:hAnsi="Arial" w:cs="Arial"/>
          <w:sz w:val="18"/>
          <w:szCs w:val="18"/>
        </w:rPr>
        <w:footnoteRef/>
      </w:r>
      <w:r w:rsidRPr="002E7E5B">
        <w:rPr>
          <w:rFonts w:ascii="Arial" w:hAnsi="Arial" w:cs="Arial"/>
          <w:sz w:val="18"/>
          <w:szCs w:val="18"/>
        </w:rPr>
        <w:t xml:space="preserve"> Ley 1150 de 2007: </w:t>
      </w:r>
      <w:r w:rsidR="00E03778">
        <w:rPr>
          <w:rFonts w:ascii="Arial" w:hAnsi="Arial" w:cs="Arial"/>
          <w:sz w:val="18"/>
          <w:szCs w:val="18"/>
        </w:rPr>
        <w:t>“</w:t>
      </w:r>
      <w:r w:rsidRPr="002E7E5B">
        <w:rPr>
          <w:rFonts w:ascii="Arial" w:hAnsi="Arial" w:cs="Arial"/>
          <w:sz w:val="18"/>
          <w:szCs w:val="18"/>
        </w:rPr>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7557170" w14:textId="40D8F8B1" w:rsidR="005377D6" w:rsidRPr="002E7E5B" w:rsidRDefault="00733F04" w:rsidP="005377D6">
      <w:pPr>
        <w:pStyle w:val="Textonotapie"/>
        <w:ind w:firstLine="709"/>
        <w:jc w:val="both"/>
        <w:rPr>
          <w:rFonts w:ascii="Arial" w:hAnsi="Arial" w:cs="Arial"/>
          <w:sz w:val="18"/>
          <w:szCs w:val="18"/>
        </w:rPr>
      </w:pPr>
      <w:r>
        <w:rPr>
          <w:rFonts w:ascii="Arial" w:hAnsi="Arial" w:cs="Arial"/>
          <w:sz w:val="18"/>
          <w:szCs w:val="18"/>
        </w:rPr>
        <w:t>“</w:t>
      </w:r>
      <w:r w:rsidR="005377D6" w:rsidRPr="002E7E5B">
        <w:rPr>
          <w:rFonts w:ascii="Arial" w:hAnsi="Arial" w:cs="Arial"/>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0F4F9E5" w14:textId="3BC67341" w:rsidR="005377D6" w:rsidRPr="00147356" w:rsidRDefault="00733F04" w:rsidP="00147356">
      <w:pPr>
        <w:pStyle w:val="Textonotapie"/>
        <w:ind w:firstLine="709"/>
        <w:jc w:val="both"/>
        <w:rPr>
          <w:rFonts w:ascii="Arial" w:hAnsi="Arial" w:cs="Arial"/>
          <w:sz w:val="18"/>
          <w:szCs w:val="18"/>
        </w:rPr>
      </w:pPr>
      <w:r>
        <w:rPr>
          <w:rFonts w:ascii="Arial" w:hAnsi="Arial" w:cs="Arial"/>
          <w:sz w:val="18"/>
          <w:szCs w:val="18"/>
        </w:rPr>
        <w:t>“</w:t>
      </w:r>
      <w:r w:rsidR="005377D6" w:rsidRPr="002E7E5B">
        <w:rPr>
          <w:rFonts w:ascii="Arial" w:hAnsi="Arial" w:cs="Arial"/>
          <w:sz w:val="18"/>
          <w:szCs w:val="18"/>
        </w:rPr>
        <w:t>[...]</w:t>
      </w:r>
      <w:r>
        <w:rPr>
          <w:rFonts w:ascii="Arial" w:hAnsi="Arial" w:cs="Arial"/>
          <w:sz w:val="18"/>
          <w:szCs w:val="18"/>
        </w:rPr>
        <w:t>”</w:t>
      </w:r>
      <w:r w:rsidR="005377D6" w:rsidRPr="002E7E5B">
        <w:rPr>
          <w:rFonts w:ascii="Arial" w:hAnsi="Arial" w:cs="Arial"/>
          <w:sz w:val="18"/>
          <w:szCs w:val="18"/>
        </w:rPr>
        <w:t>.</w:t>
      </w:r>
    </w:p>
  </w:footnote>
  <w:footnote w:id="5">
    <w:p w14:paraId="1FA23A5D" w14:textId="662977AC" w:rsidR="005377D6" w:rsidRPr="0095228C" w:rsidRDefault="005377D6" w:rsidP="0095228C">
      <w:pPr>
        <w:pStyle w:val="Textonotapie"/>
        <w:ind w:firstLine="709"/>
        <w:jc w:val="both"/>
        <w:rPr>
          <w:rFonts w:ascii="Arial" w:hAnsi="Arial" w:cs="Arial"/>
          <w:sz w:val="18"/>
          <w:szCs w:val="18"/>
        </w:rPr>
      </w:pPr>
      <w:r w:rsidRPr="0095228C">
        <w:rPr>
          <w:rStyle w:val="Refdenotaalpie"/>
          <w:rFonts w:ascii="Arial" w:hAnsi="Arial" w:cs="Arial"/>
          <w:sz w:val="18"/>
          <w:szCs w:val="18"/>
        </w:rPr>
        <w:footnoteRef/>
      </w:r>
      <w:r w:rsidRPr="0095228C">
        <w:rPr>
          <w:rFonts w:ascii="Arial" w:hAnsi="Arial" w:cs="Arial"/>
          <w:sz w:val="18"/>
          <w:szCs w:val="18"/>
        </w:rPr>
        <w:t xml:space="preserve"> Decreto 1082 de 2015: </w:t>
      </w:r>
      <w:r w:rsidR="00087826">
        <w:rPr>
          <w:rFonts w:ascii="Arial" w:hAnsi="Arial" w:cs="Arial"/>
          <w:sz w:val="18"/>
          <w:szCs w:val="18"/>
        </w:rPr>
        <w:t>“</w:t>
      </w:r>
      <w:r w:rsidRPr="0095228C">
        <w:rPr>
          <w:rFonts w:ascii="Arial" w:hAnsi="Arial" w:cs="Arial"/>
          <w:sz w:val="18"/>
          <w:szCs w:val="18"/>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00087826">
        <w:rPr>
          <w:rFonts w:ascii="Arial" w:hAnsi="Arial" w:cs="Arial"/>
          <w:sz w:val="18"/>
          <w:szCs w:val="18"/>
        </w:rPr>
        <w:t>”</w:t>
      </w:r>
      <w:r w:rsidRPr="0095228C">
        <w:rPr>
          <w:rFonts w:ascii="Arial" w:hAnsi="Arial" w:cs="Arial"/>
          <w:sz w:val="18"/>
          <w:szCs w:val="18"/>
        </w:rPr>
        <w:t>.</w:t>
      </w:r>
    </w:p>
  </w:footnote>
  <w:footnote w:id="6">
    <w:p w14:paraId="2DA5C885" w14:textId="77777777" w:rsidR="005377D6" w:rsidRPr="0095228C" w:rsidRDefault="005377D6" w:rsidP="005377D6">
      <w:pPr>
        <w:pStyle w:val="Textonotapie"/>
        <w:ind w:firstLine="709"/>
        <w:jc w:val="both"/>
        <w:rPr>
          <w:rFonts w:ascii="Arial" w:hAnsi="Arial" w:cs="Arial"/>
          <w:sz w:val="18"/>
          <w:szCs w:val="18"/>
          <w:lang w:val="es-ES"/>
        </w:rPr>
      </w:pPr>
      <w:r w:rsidRPr="0095228C">
        <w:rPr>
          <w:rStyle w:val="Refdenotaalpie"/>
          <w:rFonts w:ascii="Arial" w:hAnsi="Arial" w:cs="Arial"/>
          <w:sz w:val="18"/>
          <w:szCs w:val="18"/>
        </w:rPr>
        <w:footnoteRef/>
      </w:r>
      <w:r w:rsidRPr="0095228C">
        <w:rPr>
          <w:rFonts w:ascii="Arial" w:hAnsi="Arial" w:cs="Arial"/>
          <w:sz w:val="18"/>
          <w:szCs w:val="18"/>
        </w:rPr>
        <w:t xml:space="preserve"> </w:t>
      </w:r>
      <w:r w:rsidRPr="0095228C">
        <w:rPr>
          <w:rFonts w:ascii="Arial" w:hAnsi="Arial" w:cs="Arial"/>
          <w:sz w:val="18"/>
          <w:szCs w:val="18"/>
          <w:lang w:val="es-ES"/>
        </w:rPr>
        <w:t>Disponible en:</w:t>
      </w:r>
    </w:p>
    <w:p w14:paraId="4C0A5BC6" w14:textId="77777777" w:rsidR="005377D6" w:rsidRPr="0095228C" w:rsidRDefault="005377D6" w:rsidP="005377D6">
      <w:pPr>
        <w:pStyle w:val="Textonotapie"/>
        <w:ind w:firstLine="709"/>
        <w:jc w:val="both"/>
        <w:rPr>
          <w:rFonts w:ascii="Arial" w:hAnsi="Arial" w:cs="Arial"/>
          <w:sz w:val="18"/>
          <w:szCs w:val="18"/>
          <w:lang w:val="es-ES"/>
        </w:rPr>
      </w:pPr>
      <w:r w:rsidRPr="0095228C">
        <w:rPr>
          <w:rFonts w:ascii="Arial" w:hAnsi="Arial" w:cs="Arial"/>
          <w:sz w:val="18"/>
          <w:szCs w:val="18"/>
          <w:lang w:val="es-ES"/>
        </w:rPr>
        <w:t>https://www.colombiacompra.gov.co/sites/cce_public/files/cce_documents/cce_manual_requisitos_habilitantes.pdf</w:t>
      </w:r>
    </w:p>
  </w:footnote>
  <w:footnote w:id="7">
    <w:p w14:paraId="09DBA206" w14:textId="77777777" w:rsidR="005377D6" w:rsidRDefault="005377D6" w:rsidP="005377D6">
      <w:pPr>
        <w:pStyle w:val="Textonotapie"/>
        <w:ind w:firstLine="709"/>
        <w:jc w:val="both"/>
        <w:rPr>
          <w:rFonts w:ascii="Arial" w:hAnsi="Arial" w:cs="Arial"/>
          <w:sz w:val="19"/>
          <w:szCs w:val="19"/>
          <w:lang w:val="es-ES"/>
        </w:rPr>
      </w:pPr>
      <w:r w:rsidRPr="0095228C">
        <w:rPr>
          <w:rStyle w:val="Refdenotaalpie"/>
          <w:rFonts w:ascii="Arial" w:hAnsi="Arial" w:cs="Arial"/>
          <w:sz w:val="18"/>
          <w:szCs w:val="18"/>
        </w:rPr>
        <w:footnoteRef/>
      </w:r>
      <w:r w:rsidRPr="0095228C">
        <w:rPr>
          <w:rFonts w:ascii="Arial" w:hAnsi="Arial" w:cs="Arial"/>
          <w:sz w:val="18"/>
          <w:szCs w:val="18"/>
        </w:rPr>
        <w:t xml:space="preserve"> </w:t>
      </w:r>
      <w:r w:rsidRPr="0095228C">
        <w:rPr>
          <w:rFonts w:ascii="Arial" w:hAnsi="Arial" w:cs="Arial"/>
          <w:sz w:val="18"/>
          <w:szCs w:val="18"/>
          <w:lang w:val="es-ES"/>
        </w:rPr>
        <w:t>Ibíd.</w:t>
      </w:r>
    </w:p>
  </w:footnote>
  <w:footnote w:id="8">
    <w:p w14:paraId="361522FD" w14:textId="424D7ECD" w:rsidR="005377D6" w:rsidRPr="00DF2297" w:rsidRDefault="005377D6" w:rsidP="005377D6">
      <w:pPr>
        <w:pStyle w:val="Textonotapie"/>
        <w:ind w:firstLine="709"/>
        <w:jc w:val="both"/>
        <w:rPr>
          <w:rFonts w:ascii="Arial" w:hAnsi="Arial" w:cs="Arial"/>
          <w:sz w:val="18"/>
          <w:szCs w:val="18"/>
        </w:rPr>
      </w:pPr>
      <w:r w:rsidRPr="00DF2297">
        <w:rPr>
          <w:rStyle w:val="Refdenotaalpie"/>
          <w:rFonts w:ascii="Arial" w:hAnsi="Arial" w:cs="Arial"/>
          <w:sz w:val="18"/>
          <w:szCs w:val="18"/>
        </w:rPr>
        <w:footnoteRef/>
      </w:r>
      <w:r w:rsidRPr="00DF2297">
        <w:rPr>
          <w:rFonts w:ascii="Arial" w:hAnsi="Arial" w:cs="Arial"/>
          <w:sz w:val="18"/>
          <w:szCs w:val="18"/>
        </w:rPr>
        <w:t xml:space="preserve"> El Manual señala que: </w:t>
      </w:r>
      <w:r w:rsidR="00DF2297">
        <w:rPr>
          <w:rFonts w:ascii="Arial" w:hAnsi="Arial" w:cs="Arial"/>
          <w:sz w:val="18"/>
          <w:szCs w:val="18"/>
        </w:rPr>
        <w:t>“</w:t>
      </w:r>
      <w:r w:rsidRPr="00DF2297">
        <w:rPr>
          <w:rFonts w:ascii="Arial" w:hAnsi="Arial" w:cs="Arial"/>
          <w:sz w:val="18"/>
          <w:szCs w:val="18"/>
        </w:rPr>
        <w:t>[...] En atención a la naturaleza del contrato a suscribir y de su valor, plazo y forma de pago, la Entidad Estatal debe hacer uso de los indicadores que considere adecuados respecto al objeto del Proceso de Contratación.</w:t>
      </w:r>
    </w:p>
    <w:p w14:paraId="63EC137B" w14:textId="3FCAC7A8" w:rsidR="005377D6" w:rsidRPr="00DF2297" w:rsidRDefault="00DF2297" w:rsidP="005377D6">
      <w:pPr>
        <w:pStyle w:val="Textonotapie"/>
        <w:ind w:firstLine="708"/>
        <w:jc w:val="both"/>
        <w:rPr>
          <w:rFonts w:ascii="Arial" w:hAnsi="Arial" w:cs="Arial"/>
          <w:sz w:val="18"/>
          <w:szCs w:val="18"/>
        </w:rPr>
      </w:pPr>
      <w:r>
        <w:rPr>
          <w:rFonts w:ascii="Arial" w:hAnsi="Arial" w:cs="Arial"/>
          <w:sz w:val="18"/>
          <w:szCs w:val="18"/>
        </w:rPr>
        <w:t>“</w:t>
      </w:r>
      <w:r w:rsidR="005377D6" w:rsidRPr="00DF2297">
        <w:rPr>
          <w:rFonts w:ascii="Arial" w:hAnsi="Arial" w:cs="Arial"/>
          <w:sz w:val="18"/>
          <w:szCs w:val="18"/>
        </w:rPr>
        <w:t>Las Entidades Estatales no deben limitarse a determinar y aplicar de forma mecánica fórmulas financieras para determinar los indicadores. Deben conocer cada indicador, sus fórmulas de cálculo y su interpretación</w:t>
      </w:r>
      <w:r>
        <w:rPr>
          <w:rFonts w:ascii="Arial" w:hAnsi="Arial" w:cs="Arial"/>
          <w:sz w:val="18"/>
          <w:szCs w:val="18"/>
        </w:rPr>
        <w:t>”</w:t>
      </w:r>
      <w:r w:rsidR="005377D6" w:rsidRPr="00DF2297">
        <w:rPr>
          <w:rFonts w:ascii="Arial" w:hAnsi="Arial" w:cs="Arial"/>
          <w:sz w:val="18"/>
          <w:szCs w:val="18"/>
        </w:rPr>
        <w:t>.</w:t>
      </w:r>
    </w:p>
  </w:footnote>
  <w:footnote w:id="9">
    <w:p w14:paraId="0ABFFD9B" w14:textId="045152A1" w:rsidR="005377D6" w:rsidRDefault="005377D6" w:rsidP="005377D6">
      <w:pPr>
        <w:pStyle w:val="Textonotapie"/>
        <w:ind w:firstLine="709"/>
        <w:jc w:val="both"/>
        <w:rPr>
          <w:rFonts w:ascii="Arial" w:hAnsi="Arial" w:cs="Arial"/>
          <w:sz w:val="19"/>
          <w:szCs w:val="19"/>
          <w:lang w:val="es-ES"/>
        </w:rPr>
      </w:pPr>
      <w:r w:rsidRPr="00DF2297">
        <w:rPr>
          <w:rStyle w:val="Refdenotaalpie"/>
          <w:rFonts w:ascii="Arial" w:hAnsi="Arial" w:cs="Arial"/>
          <w:sz w:val="18"/>
          <w:szCs w:val="18"/>
        </w:rPr>
        <w:footnoteRef/>
      </w:r>
      <w:r w:rsidRPr="00DF2297">
        <w:rPr>
          <w:rFonts w:ascii="Arial" w:hAnsi="Arial" w:cs="Arial"/>
          <w:sz w:val="18"/>
          <w:szCs w:val="18"/>
        </w:rPr>
        <w:t xml:space="preserve"> Al respecto, el Manual indica: </w:t>
      </w:r>
      <w:r w:rsidR="00DF2297">
        <w:rPr>
          <w:rFonts w:ascii="Arial" w:hAnsi="Arial" w:cs="Arial"/>
          <w:sz w:val="18"/>
          <w:szCs w:val="18"/>
        </w:rPr>
        <w:t>“</w:t>
      </w:r>
      <w:r w:rsidRPr="00DF2297">
        <w:rPr>
          <w:rFonts w:ascii="Arial" w:hAnsi="Arial" w:cs="Arial"/>
          <w:sz w:val="18"/>
          <w:szCs w:val="18"/>
        </w:rPr>
        <w:t>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r w:rsidR="00DF2297">
        <w:rPr>
          <w:rFonts w:ascii="Arial" w:hAnsi="Arial" w:cs="Arial"/>
          <w:sz w:val="18"/>
          <w:szCs w:val="18"/>
        </w:rPr>
        <w:t>”</w:t>
      </w:r>
      <w:r w:rsidRPr="00DF2297">
        <w:rPr>
          <w:rFonts w:ascii="Arial" w:hAnsi="Arial" w:cs="Arial"/>
          <w:sz w:val="18"/>
          <w:szCs w:val="18"/>
        </w:rPr>
        <w:t>.</w:t>
      </w:r>
    </w:p>
  </w:footnote>
  <w:footnote w:id="10">
    <w:p w14:paraId="02BE0D4A" w14:textId="5965E65A" w:rsidR="002E3A7F" w:rsidRPr="001E5666" w:rsidRDefault="002E3A7F" w:rsidP="002E3A7F">
      <w:pPr>
        <w:pStyle w:val="Textonotapie"/>
        <w:ind w:firstLine="709"/>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En efecto</w:t>
      </w:r>
      <w:r w:rsidRPr="001E5666">
        <w:rPr>
          <w:rFonts w:ascii="Arial" w:hAnsi="Arial" w:cs="Arial"/>
          <w:sz w:val="18"/>
          <w:szCs w:val="18"/>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1E5666">
        <w:rPr>
          <w:rFonts w:ascii="Arial" w:hAnsi="Arial" w:cs="Arial"/>
          <w:i/>
          <w:iCs/>
          <w:sz w:val="18"/>
          <w:szCs w:val="18"/>
          <w:lang w:val="es-ES"/>
        </w:rPr>
        <w:t>julio</w:t>
      </w:r>
      <w:r w:rsidRPr="001E5666">
        <w:rPr>
          <w:rFonts w:ascii="Arial" w:hAnsi="Arial" w:cs="Arial"/>
          <w:sz w:val="18"/>
          <w:szCs w:val="18"/>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11">
    <w:p w14:paraId="17663E4D" w14:textId="77777777" w:rsidR="002E3A7F" w:rsidRPr="001E5666" w:rsidRDefault="002E3A7F" w:rsidP="002E3A7F">
      <w:pPr>
        <w:pStyle w:val="Textonotapie"/>
        <w:ind w:firstLine="709"/>
        <w:jc w:val="both"/>
        <w:rPr>
          <w:rFonts w:ascii="Arial" w:hAnsi="Arial" w:cs="Arial"/>
          <w:sz w:val="18"/>
          <w:szCs w:val="18"/>
          <w:lang w:val="es-ES"/>
        </w:rPr>
      </w:pPr>
      <w:r w:rsidRPr="001E5666">
        <w:rPr>
          <w:rStyle w:val="Refdenotaalpie"/>
          <w:rFonts w:ascii="Arial" w:hAnsi="Arial" w:cs="Arial"/>
          <w:sz w:val="18"/>
          <w:szCs w:val="18"/>
        </w:rPr>
        <w:footnoteRef/>
      </w:r>
      <w:r w:rsidRPr="001E5666">
        <w:rPr>
          <w:rFonts w:ascii="Arial" w:hAnsi="Arial" w:cs="Arial"/>
          <w:sz w:val="18"/>
          <w:szCs w:val="18"/>
        </w:rPr>
        <w:t xml:space="preserve"> </w:t>
      </w:r>
      <w:r>
        <w:rPr>
          <w:rFonts w:ascii="Arial" w:hAnsi="Arial" w:cs="Arial"/>
          <w:sz w:val="18"/>
          <w:szCs w:val="18"/>
          <w:lang w:val="es-ES"/>
        </w:rPr>
        <w:t>“</w:t>
      </w:r>
      <w:r w:rsidRPr="001E5666">
        <w:rPr>
          <w:rFonts w:ascii="Arial" w:hAnsi="Arial" w:cs="Arial"/>
          <w:sz w:val="18"/>
          <w:szCs w:val="18"/>
          <w:lang w:val="es-ES"/>
        </w:rPr>
        <w:t>Artículo 1.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4870C3E6" w14:textId="77777777" w:rsidR="002E3A7F" w:rsidRPr="001E5666" w:rsidRDefault="002E3A7F" w:rsidP="002E3A7F">
      <w:pPr>
        <w:pStyle w:val="Textonotapie"/>
        <w:ind w:firstLine="709"/>
        <w:jc w:val="both"/>
        <w:rPr>
          <w:rFonts w:ascii="Arial" w:hAnsi="Arial" w:cs="Arial"/>
          <w:sz w:val="18"/>
          <w:szCs w:val="18"/>
          <w:lang w:val="es-ES"/>
        </w:rPr>
      </w:pPr>
      <w:r>
        <w:rPr>
          <w:rFonts w:ascii="Arial" w:eastAsia="Calibri" w:hAnsi="Arial" w:cs="Arial"/>
          <w:i/>
          <w:iCs/>
          <w:color w:val="000000"/>
          <w:sz w:val="18"/>
          <w:szCs w:val="18"/>
          <w:lang w:val="es-ES_tradnl"/>
        </w:rPr>
        <w:t>“</w:t>
      </w:r>
      <w:r w:rsidRPr="001E5666">
        <w:rPr>
          <w:rFonts w:ascii="Arial" w:hAnsi="Arial" w:cs="Arial"/>
          <w:sz w:val="18"/>
          <w:szCs w:val="18"/>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291823AD" w14:textId="77777777" w:rsidR="002E3A7F" w:rsidRPr="001E5666" w:rsidRDefault="002E3A7F" w:rsidP="002E3A7F">
      <w:pPr>
        <w:pStyle w:val="Textonotapie"/>
        <w:ind w:firstLine="709"/>
        <w:jc w:val="both"/>
        <w:rPr>
          <w:rFonts w:ascii="Arial" w:hAnsi="Arial" w:cs="Arial"/>
          <w:sz w:val="18"/>
          <w:szCs w:val="18"/>
          <w:lang w:val="es-ES"/>
        </w:rPr>
      </w:pPr>
      <w:r w:rsidRPr="001E5666">
        <w:rPr>
          <w:rFonts w:ascii="Arial" w:hAnsi="Arial" w:cs="Arial"/>
          <w:sz w:val="18"/>
          <w:szCs w:val="18"/>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E1D6483" w14:textId="77777777" w:rsidR="002E3A7F" w:rsidRPr="001E5666" w:rsidRDefault="002E3A7F" w:rsidP="002E3A7F">
      <w:pPr>
        <w:pStyle w:val="Textonotapie"/>
        <w:ind w:firstLine="709"/>
        <w:jc w:val="both"/>
        <w:rPr>
          <w:rFonts w:ascii="Arial" w:hAnsi="Arial" w:cs="Arial"/>
          <w:sz w:val="18"/>
          <w:szCs w:val="18"/>
          <w:lang w:val="es-ES"/>
        </w:rPr>
      </w:pPr>
      <w:r w:rsidRPr="001E5666">
        <w:rPr>
          <w:rFonts w:ascii="Arial" w:hAnsi="Arial" w:cs="Arial"/>
          <w:sz w:val="18"/>
          <w:szCs w:val="18"/>
          <w:lang w:val="es-ES"/>
        </w:rPr>
        <w:t>El proponente con inscripción activa y vigente que no tenga la información de la capacidad financiera y organizacional de los años 2018 y/o 2019 inscrita en el Registro Único de Proponentes, durante el mes de junio de 2021, podrá reportar por única vez, mediante una solicitud de actualización, únicamente la información contable correspondiente a estos años, sin costo alguno.</w:t>
      </w:r>
    </w:p>
    <w:p w14:paraId="68A5C610" w14:textId="77777777" w:rsidR="002E3A7F" w:rsidRPr="001E5666" w:rsidRDefault="002E3A7F" w:rsidP="002E3A7F">
      <w:pPr>
        <w:pStyle w:val="Textonotapie"/>
        <w:ind w:firstLine="709"/>
        <w:jc w:val="both"/>
        <w:rPr>
          <w:rFonts w:ascii="Arial" w:hAnsi="Arial" w:cs="Arial"/>
          <w:sz w:val="18"/>
          <w:szCs w:val="18"/>
          <w:lang w:val="es-ES"/>
        </w:rPr>
      </w:pPr>
      <w:r w:rsidRPr="001E5666">
        <w:rPr>
          <w:rFonts w:ascii="Arial" w:hAnsi="Arial" w:cs="Arial"/>
          <w:sz w:val="18"/>
          <w:szCs w:val="18"/>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3AAC30CD" w14:textId="77777777" w:rsidR="002E3A7F" w:rsidRPr="001E5666" w:rsidRDefault="002E3A7F" w:rsidP="002E3A7F">
      <w:pPr>
        <w:pStyle w:val="Textonotapie"/>
        <w:ind w:firstLine="709"/>
        <w:jc w:val="both"/>
        <w:rPr>
          <w:rFonts w:ascii="Arial" w:hAnsi="Arial" w:cs="Arial"/>
          <w:sz w:val="18"/>
          <w:szCs w:val="18"/>
          <w:lang w:val="es-ES"/>
        </w:rPr>
      </w:pPr>
      <w:r w:rsidRPr="001E5666">
        <w:rPr>
          <w:rFonts w:ascii="Arial" w:hAnsi="Arial" w:cs="Arial"/>
          <w:sz w:val="18"/>
          <w:szCs w:val="18"/>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7AD8EBE8" w14:textId="77777777" w:rsidR="002E3A7F" w:rsidRPr="001E5666" w:rsidRDefault="002E3A7F" w:rsidP="002E3A7F">
      <w:pPr>
        <w:pStyle w:val="Textonotapie"/>
        <w:ind w:firstLine="709"/>
        <w:jc w:val="both"/>
        <w:rPr>
          <w:rFonts w:ascii="Arial" w:hAnsi="Arial" w:cs="Arial"/>
          <w:sz w:val="18"/>
          <w:szCs w:val="18"/>
          <w:lang w:val="es-ES"/>
        </w:rPr>
      </w:pPr>
      <w:r w:rsidRPr="001E5666">
        <w:rPr>
          <w:rFonts w:ascii="Arial" w:hAnsi="Arial" w:cs="Arial"/>
          <w:sz w:val="18"/>
          <w:szCs w:val="18"/>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6EDF0F66" w14:textId="77777777" w:rsidR="002E3A7F" w:rsidRPr="001E5666" w:rsidRDefault="002E3A7F" w:rsidP="002E3A7F">
      <w:pPr>
        <w:pStyle w:val="Textonotapie"/>
        <w:ind w:firstLine="709"/>
        <w:jc w:val="both"/>
        <w:rPr>
          <w:rFonts w:ascii="Arial" w:hAnsi="Arial" w:cs="Arial"/>
          <w:sz w:val="18"/>
          <w:szCs w:val="18"/>
          <w:lang w:val="es-CO"/>
        </w:rPr>
      </w:pPr>
      <w:r w:rsidRPr="001E5666">
        <w:rPr>
          <w:rFonts w:ascii="Arial" w:hAnsi="Arial" w:cs="Arial"/>
          <w:sz w:val="18"/>
          <w:szCs w:val="18"/>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r>
        <w:rPr>
          <w:rFonts w:ascii="Arial" w:hAnsi="Arial" w:cs="Arial"/>
          <w:sz w:val="18"/>
          <w:szCs w:val="18"/>
          <w:lang w:val="es-ES"/>
        </w:rPr>
        <w:t>”</w:t>
      </w:r>
      <w:r w:rsidRPr="004B6D51">
        <w:rPr>
          <w:rFonts w:ascii="Arial" w:hAnsi="Arial" w:cs="Arial"/>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35996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2A1B"/>
    <w:rsid w:val="000129B1"/>
    <w:rsid w:val="00032926"/>
    <w:rsid w:val="00087826"/>
    <w:rsid w:val="000A6179"/>
    <w:rsid w:val="000A683E"/>
    <w:rsid w:val="000B19B9"/>
    <w:rsid w:val="000D0334"/>
    <w:rsid w:val="000F6486"/>
    <w:rsid w:val="00116A66"/>
    <w:rsid w:val="00125105"/>
    <w:rsid w:val="00127233"/>
    <w:rsid w:val="00147356"/>
    <w:rsid w:val="001A050E"/>
    <w:rsid w:val="001C2E9A"/>
    <w:rsid w:val="001C409B"/>
    <w:rsid w:val="001D5B56"/>
    <w:rsid w:val="001E4177"/>
    <w:rsid w:val="00214BF8"/>
    <w:rsid w:val="00236A10"/>
    <w:rsid w:val="00262D79"/>
    <w:rsid w:val="00267CD3"/>
    <w:rsid w:val="00284FDF"/>
    <w:rsid w:val="002951A0"/>
    <w:rsid w:val="002962BC"/>
    <w:rsid w:val="002A093D"/>
    <w:rsid w:val="002A11E0"/>
    <w:rsid w:val="002A49AC"/>
    <w:rsid w:val="002A64FD"/>
    <w:rsid w:val="002C1393"/>
    <w:rsid w:val="002C7A84"/>
    <w:rsid w:val="002E36F1"/>
    <w:rsid w:val="002E3A7F"/>
    <w:rsid w:val="002E796E"/>
    <w:rsid w:val="002E7E5B"/>
    <w:rsid w:val="00323AF9"/>
    <w:rsid w:val="003448F4"/>
    <w:rsid w:val="00382716"/>
    <w:rsid w:val="003A352F"/>
    <w:rsid w:val="003A779E"/>
    <w:rsid w:val="003D0D96"/>
    <w:rsid w:val="003D0F4D"/>
    <w:rsid w:val="003D4CA6"/>
    <w:rsid w:val="003E0499"/>
    <w:rsid w:val="003E246F"/>
    <w:rsid w:val="003E5056"/>
    <w:rsid w:val="003F3941"/>
    <w:rsid w:val="003F62FF"/>
    <w:rsid w:val="00400548"/>
    <w:rsid w:val="00442537"/>
    <w:rsid w:val="00455AB7"/>
    <w:rsid w:val="00491993"/>
    <w:rsid w:val="00493953"/>
    <w:rsid w:val="00496C58"/>
    <w:rsid w:val="004A1603"/>
    <w:rsid w:val="004A1847"/>
    <w:rsid w:val="004A305D"/>
    <w:rsid w:val="004B2338"/>
    <w:rsid w:val="004B26EE"/>
    <w:rsid w:val="004C0805"/>
    <w:rsid w:val="004C4BF8"/>
    <w:rsid w:val="004D1ECB"/>
    <w:rsid w:val="004F1350"/>
    <w:rsid w:val="004F21C4"/>
    <w:rsid w:val="004F685F"/>
    <w:rsid w:val="00503D73"/>
    <w:rsid w:val="00514EAD"/>
    <w:rsid w:val="005377D6"/>
    <w:rsid w:val="005566E8"/>
    <w:rsid w:val="00560417"/>
    <w:rsid w:val="005620B9"/>
    <w:rsid w:val="00574867"/>
    <w:rsid w:val="005C5CDC"/>
    <w:rsid w:val="005D0918"/>
    <w:rsid w:val="005D476C"/>
    <w:rsid w:val="005E58BA"/>
    <w:rsid w:val="00614B0D"/>
    <w:rsid w:val="0062127D"/>
    <w:rsid w:val="006219F8"/>
    <w:rsid w:val="006449C9"/>
    <w:rsid w:val="00652649"/>
    <w:rsid w:val="00665D70"/>
    <w:rsid w:val="00685AED"/>
    <w:rsid w:val="006B679D"/>
    <w:rsid w:val="006B7734"/>
    <w:rsid w:val="006E46E9"/>
    <w:rsid w:val="006E7E74"/>
    <w:rsid w:val="00706C16"/>
    <w:rsid w:val="00733F04"/>
    <w:rsid w:val="007409B2"/>
    <w:rsid w:val="0074450E"/>
    <w:rsid w:val="00753F3A"/>
    <w:rsid w:val="00756841"/>
    <w:rsid w:val="007649AB"/>
    <w:rsid w:val="00766794"/>
    <w:rsid w:val="007833AC"/>
    <w:rsid w:val="007842EE"/>
    <w:rsid w:val="007A28C3"/>
    <w:rsid w:val="007A2ECB"/>
    <w:rsid w:val="007B7171"/>
    <w:rsid w:val="007C3DC2"/>
    <w:rsid w:val="007E0AF2"/>
    <w:rsid w:val="007E48CD"/>
    <w:rsid w:val="007E5497"/>
    <w:rsid w:val="007E6569"/>
    <w:rsid w:val="00801DBA"/>
    <w:rsid w:val="00806F5F"/>
    <w:rsid w:val="00820278"/>
    <w:rsid w:val="00824E8B"/>
    <w:rsid w:val="00841B86"/>
    <w:rsid w:val="008729D2"/>
    <w:rsid w:val="00874086"/>
    <w:rsid w:val="008843B6"/>
    <w:rsid w:val="00891928"/>
    <w:rsid w:val="008A446D"/>
    <w:rsid w:val="008B380D"/>
    <w:rsid w:val="008F0EA7"/>
    <w:rsid w:val="008F2D2F"/>
    <w:rsid w:val="009178D3"/>
    <w:rsid w:val="00923EEF"/>
    <w:rsid w:val="009419F9"/>
    <w:rsid w:val="00945FCF"/>
    <w:rsid w:val="00946A4B"/>
    <w:rsid w:val="0094704D"/>
    <w:rsid w:val="0095228C"/>
    <w:rsid w:val="009554C7"/>
    <w:rsid w:val="0095669E"/>
    <w:rsid w:val="00961B09"/>
    <w:rsid w:val="00964C75"/>
    <w:rsid w:val="00965334"/>
    <w:rsid w:val="0097093E"/>
    <w:rsid w:val="009A45A7"/>
    <w:rsid w:val="009B3972"/>
    <w:rsid w:val="009B41EA"/>
    <w:rsid w:val="009C56CC"/>
    <w:rsid w:val="009C71FA"/>
    <w:rsid w:val="009C72E7"/>
    <w:rsid w:val="009E222D"/>
    <w:rsid w:val="009F2FC1"/>
    <w:rsid w:val="009F40A2"/>
    <w:rsid w:val="00A04635"/>
    <w:rsid w:val="00A17F13"/>
    <w:rsid w:val="00A20739"/>
    <w:rsid w:val="00A26F06"/>
    <w:rsid w:val="00A33C78"/>
    <w:rsid w:val="00A35B4D"/>
    <w:rsid w:val="00A5128B"/>
    <w:rsid w:val="00A559EE"/>
    <w:rsid w:val="00A84337"/>
    <w:rsid w:val="00A932E3"/>
    <w:rsid w:val="00A97CA3"/>
    <w:rsid w:val="00AA3A92"/>
    <w:rsid w:val="00AB0ADB"/>
    <w:rsid w:val="00AD2873"/>
    <w:rsid w:val="00AD290C"/>
    <w:rsid w:val="00AE33E3"/>
    <w:rsid w:val="00B04835"/>
    <w:rsid w:val="00B12ADA"/>
    <w:rsid w:val="00B13C3A"/>
    <w:rsid w:val="00B27C93"/>
    <w:rsid w:val="00B35C6B"/>
    <w:rsid w:val="00B47834"/>
    <w:rsid w:val="00B5687D"/>
    <w:rsid w:val="00B659E2"/>
    <w:rsid w:val="00B66E77"/>
    <w:rsid w:val="00B72CD3"/>
    <w:rsid w:val="00B72FFF"/>
    <w:rsid w:val="00B87EF2"/>
    <w:rsid w:val="00B965AC"/>
    <w:rsid w:val="00BA0A91"/>
    <w:rsid w:val="00BA5973"/>
    <w:rsid w:val="00BC5FE7"/>
    <w:rsid w:val="00BD7B99"/>
    <w:rsid w:val="00BD7F72"/>
    <w:rsid w:val="00BE0FAA"/>
    <w:rsid w:val="00BF17C4"/>
    <w:rsid w:val="00C04FB3"/>
    <w:rsid w:val="00C330EB"/>
    <w:rsid w:val="00C34BA9"/>
    <w:rsid w:val="00C36B65"/>
    <w:rsid w:val="00C37F63"/>
    <w:rsid w:val="00C55442"/>
    <w:rsid w:val="00C62764"/>
    <w:rsid w:val="00C754BE"/>
    <w:rsid w:val="00CA1AEE"/>
    <w:rsid w:val="00CB6357"/>
    <w:rsid w:val="00CC0136"/>
    <w:rsid w:val="00CC1B26"/>
    <w:rsid w:val="00CE3C53"/>
    <w:rsid w:val="00D03460"/>
    <w:rsid w:val="00D065B2"/>
    <w:rsid w:val="00D0661D"/>
    <w:rsid w:val="00D23C73"/>
    <w:rsid w:val="00D423A2"/>
    <w:rsid w:val="00D63AC2"/>
    <w:rsid w:val="00D7383B"/>
    <w:rsid w:val="00DA1009"/>
    <w:rsid w:val="00DA231B"/>
    <w:rsid w:val="00DB76DE"/>
    <w:rsid w:val="00DC7FD2"/>
    <w:rsid w:val="00DD3D39"/>
    <w:rsid w:val="00DD6DD6"/>
    <w:rsid w:val="00DE0122"/>
    <w:rsid w:val="00DF06D5"/>
    <w:rsid w:val="00DF2195"/>
    <w:rsid w:val="00DF2297"/>
    <w:rsid w:val="00E03778"/>
    <w:rsid w:val="00E16408"/>
    <w:rsid w:val="00E20894"/>
    <w:rsid w:val="00E245AB"/>
    <w:rsid w:val="00E46E51"/>
    <w:rsid w:val="00E47BF6"/>
    <w:rsid w:val="00E50AFE"/>
    <w:rsid w:val="00E70688"/>
    <w:rsid w:val="00E771DC"/>
    <w:rsid w:val="00E8772A"/>
    <w:rsid w:val="00E87E29"/>
    <w:rsid w:val="00E90F6B"/>
    <w:rsid w:val="00E91AFD"/>
    <w:rsid w:val="00E9276E"/>
    <w:rsid w:val="00E92C27"/>
    <w:rsid w:val="00EA0E3D"/>
    <w:rsid w:val="00ED0281"/>
    <w:rsid w:val="00EE1AA8"/>
    <w:rsid w:val="00EE5256"/>
    <w:rsid w:val="00F1591D"/>
    <w:rsid w:val="00F204AB"/>
    <w:rsid w:val="00F27097"/>
    <w:rsid w:val="00F31EDC"/>
    <w:rsid w:val="00F3785E"/>
    <w:rsid w:val="00F52839"/>
    <w:rsid w:val="00F54291"/>
    <w:rsid w:val="00F5664F"/>
    <w:rsid w:val="00F60225"/>
    <w:rsid w:val="00F60B0E"/>
    <w:rsid w:val="00F76AFC"/>
    <w:rsid w:val="00F93761"/>
    <w:rsid w:val="00FB273D"/>
    <w:rsid w:val="00FB5DD1"/>
    <w:rsid w:val="00FC2B5D"/>
    <w:rsid w:val="00FE5A2A"/>
    <w:rsid w:val="00FF1449"/>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66794"/>
    <w:rPr>
      <w:rFonts w:ascii="Geomanist Light" w:hAnsi="Geomanist Light"/>
      <w:lang w:val="es-ES"/>
    </w:rPr>
  </w:style>
  <w:style w:type="paragraph" w:customStyle="1" w:styleId="Appelnotedebasde">
    <w:name w:val="Appel note de bas de..."/>
    <w:basedOn w:val="Normal"/>
    <w:link w:val="Refdenotaalpie"/>
    <w:uiPriority w:val="99"/>
    <w:rsid w:val="008729D2"/>
    <w:pPr>
      <w:spacing w:line="240" w:lineRule="exact"/>
    </w:pPr>
    <w:rPr>
      <w:vertAlign w:val="superscript"/>
    </w:rPr>
  </w:style>
  <w:style w:type="paragraph" w:styleId="NormalWeb">
    <w:name w:val="Normal (Web)"/>
    <w:basedOn w:val="Normal"/>
    <w:link w:val="NormalWebCar"/>
    <w:uiPriority w:val="99"/>
    <w:unhideWhenUsed/>
    <w:rsid w:val="002E3A7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2E3A7F"/>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B659E2"/>
    <w:rPr>
      <w:sz w:val="16"/>
      <w:szCs w:val="16"/>
    </w:rPr>
  </w:style>
  <w:style w:type="paragraph" w:styleId="Textocomentario">
    <w:name w:val="annotation text"/>
    <w:basedOn w:val="Normal"/>
    <w:link w:val="TextocomentarioCar"/>
    <w:uiPriority w:val="99"/>
    <w:unhideWhenUsed/>
    <w:rsid w:val="00B659E2"/>
    <w:pPr>
      <w:spacing w:line="240" w:lineRule="auto"/>
    </w:pPr>
    <w:rPr>
      <w:sz w:val="20"/>
      <w:szCs w:val="20"/>
    </w:rPr>
  </w:style>
  <w:style w:type="character" w:customStyle="1" w:styleId="TextocomentarioCar">
    <w:name w:val="Texto comentario Car"/>
    <w:basedOn w:val="Fuentedeprrafopredeter"/>
    <w:link w:val="Textocomentario"/>
    <w:uiPriority w:val="99"/>
    <w:rsid w:val="00B659E2"/>
    <w:rPr>
      <w:sz w:val="20"/>
      <w:szCs w:val="20"/>
    </w:rPr>
  </w:style>
  <w:style w:type="paragraph" w:styleId="Asuntodelcomentario">
    <w:name w:val="annotation subject"/>
    <w:basedOn w:val="Textocomentario"/>
    <w:next w:val="Textocomentario"/>
    <w:link w:val="AsuntodelcomentarioCar"/>
    <w:uiPriority w:val="99"/>
    <w:semiHidden/>
    <w:unhideWhenUsed/>
    <w:rsid w:val="00B659E2"/>
    <w:rPr>
      <w:b/>
      <w:bCs/>
    </w:rPr>
  </w:style>
  <w:style w:type="character" w:customStyle="1" w:styleId="AsuntodelcomentarioCar">
    <w:name w:val="Asunto del comentario Car"/>
    <w:basedOn w:val="TextocomentarioCar"/>
    <w:link w:val="Asuntodelcomentario"/>
    <w:uiPriority w:val="99"/>
    <w:semiHidden/>
    <w:rsid w:val="00B659E2"/>
    <w:rPr>
      <w:b/>
      <w:bCs/>
      <w:sz w:val="20"/>
      <w:szCs w:val="20"/>
    </w:rPr>
  </w:style>
  <w:style w:type="paragraph" w:styleId="Revisin">
    <w:name w:val="Revision"/>
    <w:hidden/>
    <w:uiPriority w:val="99"/>
    <w:semiHidden/>
    <w:rsid w:val="00B65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1308">
      <w:bodyDiv w:val="1"/>
      <w:marLeft w:val="0"/>
      <w:marRight w:val="0"/>
      <w:marTop w:val="0"/>
      <w:marBottom w:val="0"/>
      <w:divBdr>
        <w:top w:val="none" w:sz="0" w:space="0" w:color="auto"/>
        <w:left w:val="none" w:sz="0" w:space="0" w:color="auto"/>
        <w:bottom w:val="none" w:sz="0" w:space="0" w:color="auto"/>
        <w:right w:val="none" w:sz="0" w:space="0" w:color="auto"/>
      </w:divBdr>
    </w:div>
    <w:div w:id="582371843">
      <w:bodyDiv w:val="1"/>
      <w:marLeft w:val="0"/>
      <w:marRight w:val="0"/>
      <w:marTop w:val="0"/>
      <w:marBottom w:val="0"/>
      <w:divBdr>
        <w:top w:val="none" w:sz="0" w:space="0" w:color="auto"/>
        <w:left w:val="none" w:sz="0" w:space="0" w:color="auto"/>
        <w:bottom w:val="none" w:sz="0" w:space="0" w:color="auto"/>
        <w:right w:val="none" w:sz="0" w:space="0" w:color="auto"/>
      </w:divBdr>
      <w:divsChild>
        <w:div w:id="2084640907">
          <w:marLeft w:val="0"/>
          <w:marRight w:val="0"/>
          <w:marTop w:val="0"/>
          <w:marBottom w:val="0"/>
          <w:divBdr>
            <w:top w:val="none" w:sz="0" w:space="0" w:color="auto"/>
            <w:left w:val="none" w:sz="0" w:space="0" w:color="auto"/>
            <w:bottom w:val="none" w:sz="0" w:space="0" w:color="auto"/>
            <w:right w:val="none" w:sz="0" w:space="0" w:color="auto"/>
          </w:divBdr>
        </w:div>
      </w:divsChild>
    </w:div>
    <w:div w:id="889923320">
      <w:bodyDiv w:val="1"/>
      <w:marLeft w:val="0"/>
      <w:marRight w:val="0"/>
      <w:marTop w:val="0"/>
      <w:marBottom w:val="0"/>
      <w:divBdr>
        <w:top w:val="none" w:sz="0" w:space="0" w:color="auto"/>
        <w:left w:val="none" w:sz="0" w:space="0" w:color="auto"/>
        <w:bottom w:val="none" w:sz="0" w:space="0" w:color="auto"/>
        <w:right w:val="none" w:sz="0" w:space="0" w:color="auto"/>
      </w:divBdr>
    </w:div>
    <w:div w:id="1077244183">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09ACAC7A-4299-4327-913D-C25C5E0469F1}">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918ACDC1-C9A1-441A-B80C-246FB3953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4383</Words>
  <Characters>24110</Characters>
  <Application>Microsoft Office Word</Application>
  <DocSecurity>0</DocSecurity>
  <Lines>200</Lines>
  <Paragraphs>56</Paragraphs>
  <ScaleCrop>false</ScaleCrop>
  <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Kelmis Yimara Bruges Alvarado</cp:lastModifiedBy>
  <cp:revision>2</cp:revision>
  <cp:lastPrinted>2023-01-10T21:18:00Z</cp:lastPrinted>
  <dcterms:created xsi:type="dcterms:W3CDTF">2023-10-20T16:37:00Z</dcterms:created>
  <dcterms:modified xsi:type="dcterms:W3CDTF">2023-10-20T16:37:00Z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