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DC88" w14:textId="77777777" w:rsidR="00F7207C" w:rsidRPr="00B4248B" w:rsidRDefault="00F7207C" w:rsidP="00F7207C">
      <w:pPr>
        <w:spacing w:after="0" w:line="240" w:lineRule="auto"/>
        <w:jc w:val="right"/>
        <w:rPr>
          <w:rFonts w:ascii="Century Gothic" w:eastAsia="Century Gothic" w:hAnsi="Century Gothic" w:cs="Century Gothic"/>
          <w:b/>
          <w:bCs/>
          <w:sz w:val="14"/>
          <w:szCs w:val="14"/>
          <w:lang w:val="es-ES" w:eastAsia="es-ES_tradnl"/>
        </w:rPr>
      </w:pPr>
      <w:bookmarkStart w:id="0" w:name="_Hlk143780582"/>
      <w:bookmarkStart w:id="1" w:name="_Hlk28946138"/>
      <w:bookmarkStart w:id="2" w:name="_Hlk29548183"/>
      <w:r w:rsidRPr="00B4248B">
        <w:rPr>
          <w:rFonts w:ascii="Century Gothic" w:eastAsia="Century Gothic" w:hAnsi="Century Gothic" w:cs="Century Gothic"/>
          <w:sz w:val="14"/>
          <w:szCs w:val="14"/>
          <w:lang w:val="es-ES" w:eastAsia="es-ES"/>
        </w:rPr>
        <w:t>CCE-DES-FM-17</w:t>
      </w:r>
      <w:bookmarkEnd w:id="1"/>
      <w:bookmarkEnd w:id="2"/>
    </w:p>
    <w:p w14:paraId="559F0EF8" w14:textId="77777777" w:rsidR="00F7207C" w:rsidRPr="0086151A" w:rsidRDefault="00F7207C" w:rsidP="00F7207C">
      <w:pPr>
        <w:spacing w:after="0" w:line="240" w:lineRule="auto"/>
        <w:contextualSpacing/>
        <w:jc w:val="both"/>
        <w:rPr>
          <w:rFonts w:ascii="Century Gothic" w:eastAsia="Century Gothic" w:hAnsi="Century Gothic" w:cs="Century Gothic"/>
          <w:b/>
          <w:bCs/>
          <w:sz w:val="20"/>
          <w:szCs w:val="20"/>
          <w:lang w:eastAsia="es-ES_tradnl"/>
        </w:rPr>
      </w:pPr>
    </w:p>
    <w:p w14:paraId="520E1776" w14:textId="77777777" w:rsidR="00F7207C" w:rsidRPr="00F7207C" w:rsidRDefault="00F7207C" w:rsidP="00F7207C">
      <w:pPr>
        <w:spacing w:after="0" w:line="240" w:lineRule="auto"/>
        <w:contextualSpacing/>
        <w:jc w:val="both"/>
        <w:rPr>
          <w:rFonts w:ascii="Century Gothic" w:eastAsia="Calibri" w:hAnsi="Century Gothic" w:cs="Arial"/>
          <w:b/>
          <w:lang w:val="es-MX"/>
        </w:rPr>
      </w:pPr>
      <w:r w:rsidRPr="00F7207C">
        <w:rPr>
          <w:rFonts w:ascii="Century Gothic" w:eastAsia="Calibri" w:hAnsi="Century Gothic" w:cs="Arial"/>
          <w:b/>
          <w:lang w:val="es-MX"/>
        </w:rPr>
        <w:t xml:space="preserve">LEY 1955 DE 2019 – Artículo 229 – Finalidad </w:t>
      </w:r>
    </w:p>
    <w:p w14:paraId="01A6DBC5"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val="es-ES" w:eastAsia="es-ES_tradnl"/>
        </w:rPr>
      </w:pPr>
    </w:p>
    <w:p w14:paraId="7949B622" w14:textId="77777777" w:rsidR="00F7207C" w:rsidRPr="0086151A" w:rsidRDefault="00F7207C" w:rsidP="00F7207C">
      <w:pPr>
        <w:spacing w:after="0" w:line="240" w:lineRule="auto"/>
        <w:contextualSpacing/>
        <w:jc w:val="both"/>
        <w:rPr>
          <w:rFonts w:ascii="Century Gothic" w:eastAsia="Calibri" w:hAnsi="Century Gothic" w:cs="Arial"/>
          <w:bCs/>
          <w:sz w:val="20"/>
          <w:szCs w:val="20"/>
          <w:lang w:val="es-ES_tradnl" w:eastAsia="es-ES_tradnl"/>
        </w:rPr>
      </w:pPr>
      <w:r w:rsidRPr="0086151A">
        <w:rPr>
          <w:rFonts w:ascii="Century Gothic" w:eastAsia="Calibri" w:hAnsi="Century Gothic" w:cs="Arial"/>
          <w:bCs/>
          <w:sz w:val="20"/>
          <w:szCs w:val="20"/>
          <w:lang w:val="es-ES_tradnl" w:eastAsia="es-ES_tradnl"/>
        </w:rPr>
        <w:t xml:space="preserve">La contratación pública o sistema de compra pública se concibe como un mercado compuesto por la oferta de particulares, preferentemente, y la demanda de las Entidades Públicas de bienes y servicios. En este mercado de la compra pública se crean incentivos para fomentar el desarrollo de determinado tipo de proveedores, como ocurre con los incentivos a las Mipymes, a los emprendimientos y empresas de mujeres, entre otros. En esa orientación, el artículo 229 de la Ley 1955 de 2019, </w:t>
      </w:r>
      <w:r w:rsidRPr="0086151A">
        <w:rPr>
          <w:rFonts w:ascii="Century Gothic" w:eastAsia="Calibri" w:hAnsi="Century Gothic" w:cs="Arial"/>
          <w:sz w:val="20"/>
          <w:szCs w:val="20"/>
          <w:lang w:val="es-ES_tradnl"/>
        </w:rPr>
        <w:t>“</w:t>
      </w:r>
      <w:r w:rsidRPr="0086151A">
        <w:rPr>
          <w:rFonts w:ascii="Century Gothic" w:eastAsia="Calibri" w:hAnsi="Century Gothic" w:cs="Arial"/>
          <w:bCs/>
          <w:sz w:val="20"/>
          <w:szCs w:val="20"/>
          <w:lang w:val="es-ES_tradnl" w:eastAsia="es-ES_tradnl"/>
        </w:rPr>
        <w:t>Por el cual se expide el Plan Nacional de Desarrollo 2018-2022</w:t>
      </w:r>
      <w:r w:rsidRPr="0086151A">
        <w:rPr>
          <w:rFonts w:ascii="Century Gothic" w:eastAsia="Calibri" w:hAnsi="Century Gothic" w:cs="Arial"/>
          <w:sz w:val="20"/>
          <w:szCs w:val="20"/>
          <w:lang w:val="es-ES_tradnl"/>
        </w:rPr>
        <w:t>”</w:t>
      </w:r>
      <w:r w:rsidRPr="0086151A">
        <w:rPr>
          <w:rFonts w:ascii="Century Gothic" w:eastAsia="Calibri" w:hAnsi="Century Gothic" w:cs="Arial"/>
          <w:bCs/>
          <w:sz w:val="20"/>
          <w:szCs w:val="20"/>
          <w:lang w:val="es-ES_tradnl" w:eastAsia="es-ES_tradnl"/>
        </w:rPr>
        <w:t>, dispuso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w:t>
      </w:r>
    </w:p>
    <w:p w14:paraId="1BDD1E95" w14:textId="77777777" w:rsidR="00F7207C" w:rsidRPr="0086151A" w:rsidRDefault="00F7207C" w:rsidP="00F7207C">
      <w:pPr>
        <w:spacing w:after="0" w:line="240" w:lineRule="auto"/>
        <w:contextualSpacing/>
        <w:jc w:val="both"/>
        <w:rPr>
          <w:rFonts w:ascii="Century Gothic" w:eastAsia="Calibri" w:hAnsi="Century Gothic" w:cs="Arial"/>
          <w:bCs/>
          <w:sz w:val="20"/>
          <w:szCs w:val="20"/>
          <w:lang w:val="es-ES_tradnl" w:eastAsia="es-ES_tradnl"/>
        </w:rPr>
      </w:pPr>
    </w:p>
    <w:p w14:paraId="0CEAEC42" w14:textId="77777777" w:rsidR="00F7207C" w:rsidRPr="00F7207C" w:rsidRDefault="00F7207C" w:rsidP="00F7207C">
      <w:pPr>
        <w:spacing w:after="0" w:line="240" w:lineRule="auto"/>
        <w:contextualSpacing/>
        <w:jc w:val="both"/>
        <w:rPr>
          <w:rFonts w:ascii="Century Gothic" w:eastAsia="Calibri" w:hAnsi="Century Gothic" w:cs="Arial"/>
          <w:b/>
          <w:lang w:val="es-MX"/>
        </w:rPr>
      </w:pPr>
      <w:r w:rsidRPr="00F7207C">
        <w:rPr>
          <w:rFonts w:ascii="Century Gothic" w:eastAsia="Times New Roman" w:hAnsi="Century Gothic" w:cs="Arial"/>
          <w:b/>
          <w:lang w:val="es-ES" w:eastAsia="es-ES_tradnl"/>
        </w:rPr>
        <w:t xml:space="preserve">LEY 2046 DE 2020 </w:t>
      </w:r>
      <w:r w:rsidRPr="00F7207C">
        <w:rPr>
          <w:rFonts w:ascii="Century Gothic" w:eastAsia="Calibri" w:hAnsi="Century Gothic" w:cs="Arial"/>
          <w:b/>
          <w:lang w:val="es-MX"/>
        </w:rPr>
        <w:t>– Finalidad – Ámbito de aplicación - Compra pública de alimentos</w:t>
      </w:r>
    </w:p>
    <w:p w14:paraId="2B76674F" w14:textId="77777777" w:rsidR="00F7207C" w:rsidRPr="0086151A" w:rsidRDefault="00F7207C" w:rsidP="00F7207C">
      <w:pPr>
        <w:spacing w:after="0" w:line="240" w:lineRule="auto"/>
        <w:contextualSpacing/>
        <w:jc w:val="both"/>
        <w:rPr>
          <w:rFonts w:ascii="Century Gothic" w:eastAsia="Calibri" w:hAnsi="Century Gothic" w:cs="Arial"/>
          <w:b/>
          <w:sz w:val="20"/>
          <w:szCs w:val="20"/>
          <w:lang w:val="es-MX"/>
        </w:rPr>
      </w:pPr>
    </w:p>
    <w:p w14:paraId="7866188A" w14:textId="77777777" w:rsidR="00F7207C" w:rsidRPr="0086151A" w:rsidRDefault="00F7207C" w:rsidP="00F7207C">
      <w:pPr>
        <w:spacing w:after="0" w:line="240" w:lineRule="auto"/>
        <w:contextualSpacing/>
        <w:jc w:val="both"/>
        <w:rPr>
          <w:rFonts w:ascii="Century Gothic" w:eastAsia="Calibri" w:hAnsi="Century Gothic" w:cs="Arial"/>
          <w:sz w:val="20"/>
          <w:szCs w:val="20"/>
          <w:lang w:val="es-ES_tradnl"/>
        </w:rPr>
      </w:pPr>
      <w:r w:rsidRPr="0086151A">
        <w:rPr>
          <w:rFonts w:ascii="Century Gothic" w:eastAsia="Calibri" w:hAnsi="Century Gothic" w:cs="Arial"/>
          <w:sz w:val="20"/>
          <w:szCs w:val="20"/>
        </w:rPr>
        <w:t xml:space="preserve">[…] se expidió la Ley 2046 del 6 de agosto de 2020, </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Por la cual se establecen mecanismos para promover la participación de pequeños productores locales agropecuarios y de la agricultura campesina, familiar y comunitaria en los mercados de compras públicas de alimentos</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 xml:space="preserve">. </w:t>
      </w:r>
      <w:r w:rsidRPr="0086151A">
        <w:rPr>
          <w:rFonts w:ascii="Century Gothic" w:eastAsia="Calibri" w:hAnsi="Century Gothic" w:cs="Arial"/>
          <w:sz w:val="20"/>
          <w:szCs w:val="20"/>
          <w:lang w:val="es-ES_tradnl"/>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 al cual se hará referencia más adelante.</w:t>
      </w:r>
    </w:p>
    <w:p w14:paraId="7FC853F9" w14:textId="77777777" w:rsidR="00F7207C" w:rsidRPr="0086151A" w:rsidRDefault="00F7207C" w:rsidP="00F7207C">
      <w:pPr>
        <w:spacing w:after="0" w:line="240" w:lineRule="auto"/>
        <w:contextualSpacing/>
        <w:jc w:val="both"/>
        <w:rPr>
          <w:rFonts w:ascii="Century Gothic" w:eastAsia="Calibri" w:hAnsi="Century Gothic" w:cs="Arial"/>
          <w:sz w:val="20"/>
          <w:szCs w:val="20"/>
          <w:lang w:val="es-ES_tradnl"/>
        </w:rPr>
      </w:pPr>
    </w:p>
    <w:p w14:paraId="434A82C0"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Calibri" w:hAnsi="Century Gothic" w:cs="Arial"/>
          <w:sz w:val="20"/>
          <w:szCs w:val="20"/>
          <w:lang w:val="es-ES_tradnl"/>
        </w:rPr>
        <w:t>En este contexto, de acuerdo con el artículo 1, el objeto de la ley “</w:t>
      </w:r>
      <w:r w:rsidRPr="0086151A">
        <w:rPr>
          <w:rFonts w:ascii="Century Gothic" w:eastAsia="Times New Roman" w:hAnsi="Century Gothic" w:cs="Arial"/>
          <w:sz w:val="20"/>
          <w:szCs w:val="20"/>
          <w:lang w:eastAsia="es-ES_tradnl"/>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w:t>
      </w:r>
    </w:p>
    <w:p w14:paraId="1C86CD01"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p>
    <w:p w14:paraId="7A735D40"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Times New Roman" w:hAnsi="Century Gothic" w:cs="Arial"/>
          <w:sz w:val="20"/>
          <w:szCs w:val="20"/>
          <w:lang w:eastAsia="es-ES_tradnl"/>
        </w:rPr>
        <w:t>[…]</w:t>
      </w:r>
    </w:p>
    <w:p w14:paraId="36CD61CD"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p>
    <w:p w14:paraId="002DD190"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Times New Roman" w:hAnsi="Century Gothic" w:cs="Arial"/>
          <w:sz w:val="20"/>
          <w:szCs w:val="20"/>
          <w:lang w:eastAsia="es-ES_tradnl"/>
        </w:rPr>
        <w:t xml:space="preserve">En cuanto al campo de aplicación, el artículo 3 </w:t>
      </w:r>
      <w:r w:rsidRPr="0086151A">
        <w:rPr>
          <w:rFonts w:ascii="Century Gothic" w:eastAsia="Times New Roman" w:hAnsi="Century Gothic" w:cs="Arial"/>
          <w:i/>
          <w:iCs/>
          <w:sz w:val="20"/>
          <w:szCs w:val="20"/>
          <w:lang w:eastAsia="es-ES_tradnl"/>
        </w:rPr>
        <w:t>ibidem</w:t>
      </w:r>
      <w:r w:rsidRPr="0086151A">
        <w:rPr>
          <w:rFonts w:ascii="Century Gothic" w:eastAsia="Times New Roman" w:hAnsi="Century Gothic" w:cs="Arial"/>
          <w:sz w:val="20"/>
          <w:szCs w:val="20"/>
          <w:lang w:eastAsia="es-ES_tradnl"/>
        </w:rPr>
        <w:t xml:space="preserve"> prescribe lo siguiente: “Las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 Por lo demás, también dispone en su inciso segundo que </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 xml:space="preserve">Las disposiciones contempladas en la presente ley también aplicarán para entidades privadas que suscriban contratos con el Estado y que, en desarrollo de las labores o actividades desplegadas en el marco de aquellos, demanden </w:t>
      </w:r>
      <w:r w:rsidRPr="0086151A">
        <w:rPr>
          <w:rFonts w:ascii="Century Gothic" w:eastAsia="Times New Roman" w:hAnsi="Century Gothic" w:cs="Arial"/>
          <w:sz w:val="20"/>
          <w:szCs w:val="20"/>
          <w:lang w:eastAsia="es-ES_tradnl"/>
        </w:rPr>
        <w:lastRenderedPageBreak/>
        <w:t>de forma directa o a través de interpuesta persona alimentos para abastecimiento o para suministro de productos de origen agropecuario</w:t>
      </w:r>
      <w:r w:rsidRPr="0086151A">
        <w:rPr>
          <w:rFonts w:ascii="Century Gothic" w:eastAsia="Calibri" w:hAnsi="Century Gothic" w:cs="Arial"/>
          <w:sz w:val="20"/>
          <w:szCs w:val="20"/>
          <w:lang w:val="es-ES_tradnl"/>
        </w:rPr>
        <w:t>”</w:t>
      </w:r>
      <w:r w:rsidRPr="0086151A">
        <w:rPr>
          <w:rFonts w:ascii="Century Gothic" w:eastAsia="Times New Roman" w:hAnsi="Century Gothic" w:cs="Arial"/>
          <w:sz w:val="20"/>
          <w:szCs w:val="20"/>
          <w:lang w:eastAsia="es-ES_tradnl"/>
        </w:rPr>
        <w:t xml:space="preserve">. </w:t>
      </w:r>
    </w:p>
    <w:p w14:paraId="78CD3DDA"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p>
    <w:p w14:paraId="74CACB68" w14:textId="77777777" w:rsidR="00F7207C" w:rsidRPr="00F7207C" w:rsidRDefault="00F7207C" w:rsidP="00F7207C">
      <w:pPr>
        <w:spacing w:after="0" w:line="240" w:lineRule="auto"/>
        <w:contextualSpacing/>
        <w:jc w:val="both"/>
        <w:rPr>
          <w:rFonts w:ascii="Century Gothic" w:eastAsia="Times New Roman" w:hAnsi="Century Gothic" w:cs="Arial"/>
          <w:b/>
          <w:lang w:eastAsia="es-ES_tradnl"/>
        </w:rPr>
      </w:pPr>
      <w:r w:rsidRPr="00F7207C">
        <w:rPr>
          <w:rFonts w:ascii="Century Gothic" w:eastAsia="Times New Roman" w:hAnsi="Century Gothic" w:cs="Arial"/>
          <w:b/>
          <w:lang w:eastAsia="es-ES_tradnl"/>
        </w:rPr>
        <w:t xml:space="preserve">LEY 2046 DE 2020 – Artículo 7 – Incentivos contractuales – Puntajes adicionales – Promoción de la compra pública de alimentos </w:t>
      </w:r>
    </w:p>
    <w:p w14:paraId="22EA3CB5"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p>
    <w:p w14:paraId="0F27C333"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Times New Roman" w:hAnsi="Century Gothic" w:cs="Arial"/>
          <w:sz w:val="20"/>
          <w:szCs w:val="20"/>
          <w:lang w:eastAsia="es-ES_tradnl"/>
        </w:rPr>
        <w:t xml:space="preserve">[…] la mayor pretensión de esta Ley fue lo regulado en el artículo 7, el cual estable los porcentajes mínimos de compra local a pequeños productores y productores de la agricultura campesina, familiar y comunitaria. En tal sentido, establece las siguientes reglas: </w:t>
      </w:r>
      <w:r w:rsidRPr="0086151A">
        <w:rPr>
          <w:rFonts w:ascii="Century Gothic" w:eastAsia="Times New Roman" w:hAnsi="Century Gothic" w:cs="Arial"/>
          <w:i/>
          <w:iCs/>
          <w:sz w:val="20"/>
          <w:szCs w:val="20"/>
          <w:lang w:eastAsia="es-ES_tradnl"/>
        </w:rPr>
        <w:t>i)</w:t>
      </w:r>
      <w:r w:rsidRPr="0086151A">
        <w:rPr>
          <w:rFonts w:ascii="Century Gothic" w:eastAsia="Times New Roman" w:hAnsi="Century Gothic" w:cs="Arial"/>
          <w:sz w:val="20"/>
          <w:szCs w:val="20"/>
          <w:lang w:eastAsia="es-ES_tradnl"/>
        </w:rPr>
        <w:t xml:space="preserve"> Las entidades que están sujetas al ámbito de aplicación de esta ley tienen la obligación de adquirir alimentos comprados a pequeños productores a</w:t>
      </w:r>
      <w:r w:rsidRPr="0086151A">
        <w:rPr>
          <w:rFonts w:ascii="Century Gothic" w:eastAsia="Times New Roman" w:hAnsi="Century Gothic" w:cs="Arial"/>
          <w:sz w:val="20"/>
          <w:szCs w:val="20"/>
        </w:rPr>
        <w:t>gropecuarios locales y/o a productores de la Agricultura Campesina, Familiar o Comunitaria locales y sus organizaciones en un porcentaje mínimo del treinta por ciento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w:t>
      </w:r>
      <w:r w:rsidRPr="0086151A">
        <w:rPr>
          <w:rFonts w:ascii="Century Gothic" w:eastAsia="Times New Roman" w:hAnsi="Century Gothic" w:cs="Arial"/>
          <w:sz w:val="20"/>
          <w:szCs w:val="20"/>
          <w:lang w:eastAsia="es-ES_tradnl"/>
        </w:rPr>
        <w:t xml:space="preserve"> </w:t>
      </w:r>
      <w:r w:rsidRPr="0086151A">
        <w:rPr>
          <w:rFonts w:ascii="Century Gothic" w:eastAsia="Times New Roman" w:hAnsi="Century Gothic" w:cs="Arial"/>
          <w:i/>
          <w:iCs/>
          <w:sz w:val="20"/>
          <w:szCs w:val="20"/>
        </w:rPr>
        <w:t>ii)</w:t>
      </w:r>
      <w:r w:rsidRPr="0086151A">
        <w:rPr>
          <w:rFonts w:ascii="Century Gothic" w:eastAsia="Times New Roman" w:hAnsi="Century Gothic" w:cs="Arial"/>
          <w:sz w:val="20"/>
          <w:szCs w:val="20"/>
        </w:rPr>
        <w:t xml:space="preserve"> También deben establecer en su Pliego de Condiciones un puntaje mínimo del diez por ciento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w:t>
      </w:r>
      <w:r w:rsidRPr="0086151A">
        <w:rPr>
          <w:rFonts w:ascii="Century Gothic" w:eastAsia="Times New Roman" w:hAnsi="Century Gothic" w:cs="Arial"/>
          <w:i/>
          <w:iCs/>
          <w:sz w:val="20"/>
          <w:szCs w:val="20"/>
        </w:rPr>
        <w:t>iii)</w:t>
      </w:r>
      <w:r w:rsidRPr="0086151A">
        <w:rPr>
          <w:rFonts w:ascii="Century Gothic" w:eastAsia="Times New Roman" w:hAnsi="Century Gothic" w:cs="Arial"/>
          <w:sz w:val="20"/>
          <w:szCs w:val="20"/>
        </w:rPr>
        <w:t xml:space="preserve">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r w:rsidRPr="0086151A">
        <w:rPr>
          <w:rFonts w:ascii="Century Gothic" w:eastAsia="Times New Roman" w:hAnsi="Century Gothic" w:cs="Arial"/>
          <w:sz w:val="20"/>
          <w:szCs w:val="20"/>
          <w:lang w:eastAsia="es-ES_tradnl"/>
        </w:rPr>
        <w:t xml:space="preserve"> </w:t>
      </w:r>
      <w:r w:rsidRPr="0086151A">
        <w:rPr>
          <w:rFonts w:ascii="Century Gothic" w:eastAsia="Times New Roman" w:hAnsi="Century Gothic" w:cs="Arial"/>
          <w:i/>
          <w:iCs/>
          <w:sz w:val="20"/>
          <w:szCs w:val="20"/>
        </w:rPr>
        <w:t>iv)</w:t>
      </w:r>
      <w:r w:rsidRPr="0086151A">
        <w:rPr>
          <w:rFonts w:ascii="Century Gothic" w:eastAsia="Times New Roman" w:hAnsi="Century Gothic" w:cs="Arial"/>
          <w:sz w:val="20"/>
          <w:szCs w:val="20"/>
        </w:rPr>
        <w:t xml:space="preserve">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  </w:t>
      </w:r>
    </w:p>
    <w:p w14:paraId="03782E08"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348AACB8" w14:textId="77777777" w:rsidR="00F7207C" w:rsidRPr="00F7207C" w:rsidRDefault="00F7207C" w:rsidP="00F7207C">
      <w:pPr>
        <w:widowControl w:val="0"/>
        <w:autoSpaceDE w:val="0"/>
        <w:autoSpaceDN w:val="0"/>
        <w:spacing w:after="0" w:line="240" w:lineRule="auto"/>
        <w:contextualSpacing/>
        <w:jc w:val="both"/>
        <w:rPr>
          <w:rFonts w:ascii="Century Gothic" w:eastAsia="Times New Roman" w:hAnsi="Century Gothic" w:cs="Arial"/>
          <w:b/>
        </w:rPr>
      </w:pPr>
      <w:r w:rsidRPr="00F7207C">
        <w:rPr>
          <w:rFonts w:ascii="Century Gothic" w:eastAsia="Times New Roman" w:hAnsi="Century Gothic" w:cs="Arial"/>
          <w:b/>
        </w:rPr>
        <w:t>DECRETO 248 DE 2021 – Decreto 1071 de 2015 – Marco General - Mínimo de Compras públicas de alimentos</w:t>
      </w:r>
    </w:p>
    <w:p w14:paraId="4710D115"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6B31DBFB" w14:textId="77777777" w:rsidR="00F7207C" w:rsidRPr="0086151A" w:rsidRDefault="00F7207C" w:rsidP="00F7207C">
      <w:pPr>
        <w:spacing w:after="0" w:line="240" w:lineRule="auto"/>
        <w:contextualSpacing/>
        <w:jc w:val="both"/>
        <w:rPr>
          <w:rFonts w:ascii="Century Gothic" w:eastAsia="Times New Roman" w:hAnsi="Century Gothic" w:cs="Arial"/>
          <w:sz w:val="20"/>
          <w:szCs w:val="20"/>
          <w:lang w:eastAsia="es-ES_tradnl"/>
        </w:rPr>
      </w:pPr>
      <w:r w:rsidRPr="0086151A">
        <w:rPr>
          <w:rFonts w:ascii="Century Gothic" w:eastAsia="Calibri" w:hAnsi="Century Gothic" w:cs="Arial"/>
          <w:bCs/>
          <w:sz w:val="20"/>
          <w:szCs w:val="20"/>
          <w:lang w:val="es-ES_tradnl" w:eastAsia="es-ES_tradnl"/>
        </w:rPr>
        <w:t xml:space="preserve">[…] es importante señalar que el artículo 2.20.1.1.3. del Decreto 1071 de 2015 dispuso que las </w:t>
      </w:r>
      <w:r w:rsidRPr="0086151A">
        <w:rPr>
          <w:rFonts w:ascii="Century Gothic" w:eastAsia="Times New Roman" w:hAnsi="Century Gothic" w:cs="Arial"/>
          <w:sz w:val="20"/>
          <w:szCs w:val="20"/>
          <w:lang w:eastAsia="es-ES_tradnl"/>
        </w:rPr>
        <w:t xml:space="preserve">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el deber de 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w:t>
      </w:r>
    </w:p>
    <w:p w14:paraId="72D125B7"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5CA0CF4C" w14:textId="77777777" w:rsidR="00F7207C" w:rsidRPr="00F7207C" w:rsidRDefault="00F7207C" w:rsidP="00F7207C">
      <w:pPr>
        <w:widowControl w:val="0"/>
        <w:autoSpaceDE w:val="0"/>
        <w:autoSpaceDN w:val="0"/>
        <w:spacing w:after="0" w:line="240" w:lineRule="auto"/>
        <w:contextualSpacing/>
        <w:jc w:val="both"/>
        <w:rPr>
          <w:rFonts w:ascii="Century Gothic" w:eastAsia="Times New Roman" w:hAnsi="Century Gothic" w:cs="Arial"/>
          <w:b/>
        </w:rPr>
      </w:pPr>
      <w:r w:rsidRPr="00F7207C">
        <w:rPr>
          <w:rFonts w:ascii="Century Gothic" w:eastAsia="Times New Roman" w:hAnsi="Century Gothic" w:cs="Arial"/>
          <w:b/>
        </w:rPr>
        <w:t xml:space="preserve">DECRETO 248 DE 2021 – Decreto 1071 de 2015 – Modalidades y objeto contractual </w:t>
      </w:r>
    </w:p>
    <w:p w14:paraId="203D6D27"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6F914323" w14:textId="77777777" w:rsidR="00F7207C" w:rsidRPr="0086151A" w:rsidRDefault="00F7207C" w:rsidP="00F7207C">
      <w:pPr>
        <w:spacing w:after="0" w:line="240" w:lineRule="auto"/>
        <w:contextualSpacing/>
        <w:jc w:val="both"/>
        <w:rPr>
          <w:rFonts w:ascii="Century Gothic" w:eastAsia="Times New Roman" w:hAnsi="Century Gothic" w:cs="Arial"/>
          <w:iCs/>
          <w:sz w:val="20"/>
          <w:szCs w:val="20"/>
          <w:lang w:eastAsia="es-ES_tradnl"/>
        </w:rPr>
      </w:pPr>
      <w:r w:rsidRPr="0086151A">
        <w:rPr>
          <w:rFonts w:ascii="Century Gothic" w:eastAsia="Times New Roman" w:hAnsi="Century Gothic" w:cs="Arial"/>
          <w:iCs/>
          <w:sz w:val="20"/>
          <w:szCs w:val="20"/>
          <w:lang w:eastAsia="es-ES_tradnl"/>
        </w:rPr>
        <w:lastRenderedPageBreak/>
        <w:t xml:space="preserve">En la exposición de motivos, la referencia a la actualidad de los programas de complementación alimentaria de algunas entidades como Instituto Colombiano de Bienestar Familiar, El Ministerio de Educación Nacional, la Unidad de Servicios Penitenciarios y Carcelarios, las Fuerza Militares, ANH, la red hospitalaria pública  tanto en el nivel central como en el nivel municipal, gobernaciones, alcaldías, entre otros, aclara en parte la decisión de por qué no se establecen unas modalidades de selección específicas para el objeto de la Ley 2046 de 2020, entendiendo que “contratan a operadores o contratistas  por medio de las licitaciones  públicas  u otras modalidades de selección establecidas en el Estatuto General de Contratación y </w:t>
      </w:r>
      <w:r w:rsidRPr="0086151A">
        <w:rPr>
          <w:rFonts w:ascii="Century Gothic" w:eastAsia="Times New Roman" w:hAnsi="Century Gothic" w:cs="Arial"/>
          <w:i/>
          <w:sz w:val="20"/>
          <w:szCs w:val="20"/>
          <w:lang w:eastAsia="es-ES_tradnl"/>
        </w:rPr>
        <w:t>realizan la compra  de alimentos y la distribución de las raciones de alimentos en sus diferentes modalidades contratación de acuerdo con sus lineamientos técnicos</w:t>
      </w:r>
      <w:r w:rsidRPr="0086151A">
        <w:rPr>
          <w:rFonts w:ascii="Century Gothic" w:eastAsia="Times New Roman" w:hAnsi="Century Gothic" w:cs="Arial"/>
          <w:iCs/>
          <w:sz w:val="20"/>
          <w:szCs w:val="20"/>
          <w:lang w:eastAsia="es-ES_tradnl"/>
        </w:rPr>
        <w:t xml:space="preserve">”. </w:t>
      </w:r>
    </w:p>
    <w:p w14:paraId="32C98AFB" w14:textId="77777777" w:rsidR="00F7207C" w:rsidRPr="0086151A" w:rsidRDefault="00F7207C" w:rsidP="00F7207C">
      <w:pPr>
        <w:spacing w:after="0" w:line="240" w:lineRule="auto"/>
        <w:contextualSpacing/>
        <w:jc w:val="both"/>
        <w:rPr>
          <w:rFonts w:ascii="Century Gothic" w:eastAsia="Times New Roman" w:hAnsi="Century Gothic" w:cs="Arial"/>
          <w:sz w:val="20"/>
          <w:szCs w:val="20"/>
        </w:rPr>
      </w:pPr>
    </w:p>
    <w:p w14:paraId="78E57CFF" w14:textId="77777777" w:rsidR="00F7207C" w:rsidRPr="0086151A" w:rsidRDefault="00F7207C" w:rsidP="00F7207C">
      <w:pPr>
        <w:spacing w:after="0" w:line="240" w:lineRule="auto"/>
        <w:contextualSpacing/>
        <w:jc w:val="both"/>
        <w:rPr>
          <w:rFonts w:ascii="Century Gothic" w:eastAsia="Times New Roman" w:hAnsi="Century Gothic" w:cs="Arial"/>
          <w:iCs/>
          <w:sz w:val="20"/>
          <w:szCs w:val="20"/>
          <w:lang w:eastAsia="es-ES_tradnl"/>
        </w:rPr>
      </w:pPr>
      <w:r w:rsidRPr="0086151A">
        <w:rPr>
          <w:rFonts w:ascii="Century Gothic" w:eastAsia="Times New Roman" w:hAnsi="Century Gothic" w:cs="Arial"/>
          <w:iCs/>
          <w:sz w:val="20"/>
          <w:szCs w:val="20"/>
          <w:lang w:eastAsia="es-ES_tradnl"/>
        </w:rPr>
        <w:t>En segundo lugar, de la redacción del artículo objeto de estudio es posible concluir que, de acuerdo con la Ley 2046 de 2020 y el Decreto 248 de 2021, será el objeto contractual lo que resulte determinante para identificar los contratos que deban cumplir con los parámetros de selección, requisitos habilitantes, incentivos, evaluaciones, mínimos de compra pública de alimentos, entre otros. En consonancia, cuando el contrato tenga como objeto la adquisición, suministro y entrega de alimentos en cualquiera de sus formas de atención, se encuentran obligadas a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sin que se excluya alguna de las modalidades de selección dispuestas en el artículo 2 de la Ley 1150 de 2007.</w:t>
      </w:r>
    </w:p>
    <w:p w14:paraId="16F93D39"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72AE6D79" w14:textId="77777777" w:rsidR="00F7207C" w:rsidRPr="00F7207C" w:rsidRDefault="00F7207C" w:rsidP="00F7207C">
      <w:pPr>
        <w:widowControl w:val="0"/>
        <w:autoSpaceDE w:val="0"/>
        <w:autoSpaceDN w:val="0"/>
        <w:spacing w:after="0" w:line="240" w:lineRule="auto"/>
        <w:contextualSpacing/>
        <w:jc w:val="both"/>
        <w:rPr>
          <w:rFonts w:ascii="Century Gothic" w:eastAsia="Times New Roman" w:hAnsi="Century Gothic" w:cs="Arial"/>
          <w:b/>
        </w:rPr>
      </w:pPr>
      <w:r w:rsidRPr="00F7207C">
        <w:rPr>
          <w:rFonts w:ascii="Century Gothic" w:eastAsia="Times New Roman" w:hAnsi="Century Gothic" w:cs="Arial"/>
          <w:b/>
        </w:rPr>
        <w:t>DECRETO 248 DE 2021 – Decreto 1071 de 2015 – Contrato de promesa de proveeduría – naturaleza dual – requisito habilitante – factor de evaluación</w:t>
      </w:r>
    </w:p>
    <w:p w14:paraId="28AABCE2" w14:textId="77777777" w:rsidR="00F7207C" w:rsidRPr="0086151A" w:rsidRDefault="00F7207C" w:rsidP="00F7207C">
      <w:pPr>
        <w:widowControl w:val="0"/>
        <w:autoSpaceDE w:val="0"/>
        <w:autoSpaceDN w:val="0"/>
        <w:spacing w:after="0" w:line="240" w:lineRule="auto"/>
        <w:contextualSpacing/>
        <w:jc w:val="both"/>
        <w:rPr>
          <w:rFonts w:ascii="Century Gothic" w:eastAsia="Times New Roman" w:hAnsi="Century Gothic" w:cs="Arial"/>
          <w:b/>
          <w:sz w:val="20"/>
          <w:szCs w:val="20"/>
        </w:rPr>
      </w:pPr>
    </w:p>
    <w:p w14:paraId="391D02BE" w14:textId="77777777" w:rsidR="00F7207C" w:rsidRPr="0086151A"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r w:rsidRPr="0086151A">
        <w:rPr>
          <w:rFonts w:ascii="Century Gothic" w:eastAsia="Calibri" w:hAnsi="Century Gothic" w:cs="Arial"/>
          <w:bCs/>
          <w:sz w:val="20"/>
          <w:szCs w:val="20"/>
          <w:lang w:val="es-ES_tradnl" w:eastAsia="es-CO"/>
        </w:rPr>
        <w:t xml:space="preserve">[…] </w:t>
      </w:r>
      <w:r w:rsidRPr="0086151A">
        <w:rPr>
          <w:rFonts w:ascii="Century Gothic" w:eastAsia="Times New Roman" w:hAnsi="Century Gothic" w:cs="Arial"/>
          <w:sz w:val="20"/>
          <w:szCs w:val="20"/>
          <w:lang w:eastAsia="es-CO"/>
        </w:rPr>
        <w:t xml:space="preserve">A partir de la interpretación del Decreto 248 de 2021, que modifica el Decreto 1071 de 2015, </w:t>
      </w:r>
      <w:r w:rsidRPr="0086151A">
        <w:rPr>
          <w:rFonts w:ascii="Century Gothic" w:eastAsia="Times New Roman" w:hAnsi="Century Gothic" w:cs="Arial"/>
          <w:bCs/>
          <w:sz w:val="20"/>
          <w:szCs w:val="20"/>
          <w:lang w:eastAsia="es-CO"/>
        </w:rPr>
        <w:t xml:space="preserve">se deriva que el contrato de promesa de proveeduría tiene una naturaleza dual, pues no solo es un requisito habilitante en los procesos para </w:t>
      </w:r>
      <w:r w:rsidRPr="0086151A">
        <w:rPr>
          <w:rFonts w:ascii="Century Gothic" w:eastAsia="Times New Roman" w:hAnsi="Century Gothic" w:cs="Arial"/>
          <w:sz w:val="20"/>
          <w:szCs w:val="20"/>
          <w:lang w:eastAsia="es-CO"/>
        </w:rPr>
        <w:t xml:space="preserve">la adquisición, suministro y entrega de alimentos, sino que también </w:t>
      </w:r>
      <w:r w:rsidRPr="0086151A">
        <w:rPr>
          <w:rFonts w:ascii="Century Gothic" w:eastAsia="Times New Roman" w:hAnsi="Century Gothic" w:cs="Arial"/>
          <w:bCs/>
          <w:sz w:val="20"/>
          <w:szCs w:val="20"/>
          <w:lang w:eastAsia="es-CO"/>
        </w:rPr>
        <w:t xml:space="preserve">es documento necesario para acreditar uno de los puntajes adicionales previstos en el reglamento citado. </w:t>
      </w:r>
      <w:r w:rsidRPr="0086151A">
        <w:rPr>
          <w:rFonts w:ascii="Century Gothic" w:eastAsia="Times New Roman" w:hAnsi="Century Gothic" w:cs="Arial"/>
          <w:bCs/>
          <w:i/>
          <w:iCs/>
          <w:sz w:val="20"/>
          <w:szCs w:val="20"/>
          <w:lang w:eastAsia="es-CO"/>
        </w:rPr>
        <w:t>Por un lado</w:t>
      </w:r>
      <w:r w:rsidRPr="0086151A">
        <w:rPr>
          <w:rFonts w:ascii="Century Gothic" w:eastAsia="Times New Roman" w:hAnsi="Century Gothic" w:cs="Arial"/>
          <w:bCs/>
          <w:sz w:val="20"/>
          <w:szCs w:val="20"/>
          <w:lang w:eastAsia="es-CO"/>
        </w:rPr>
        <w:t xml:space="preserve">, de acuerdo con el artículo 2.20.1.1.4, la suscripción de este contrato </w:t>
      </w:r>
      <w:r w:rsidRPr="0086151A">
        <w:rPr>
          <w:rFonts w:ascii="Century Gothic" w:eastAsia="Times New Roman" w:hAnsi="Century Gothic" w:cs="Arial"/>
          <w:sz w:val="20"/>
          <w:szCs w:val="20"/>
          <w:lang w:eastAsia="es-CO"/>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Pr="0086151A">
        <w:rPr>
          <w:rFonts w:ascii="Century Gothic" w:eastAsia="Times New Roman" w:hAnsi="Century Gothic" w:cs="Arial"/>
          <w:bCs/>
          <w:sz w:val="20"/>
          <w:szCs w:val="20"/>
          <w:lang w:eastAsia="es-CO"/>
        </w:rPr>
        <w:t xml:space="preserve">congruente con el artículo 7 de la Ley 2046 de 2021 y el artículo </w:t>
      </w:r>
      <w:r w:rsidRPr="0086151A">
        <w:rPr>
          <w:rFonts w:ascii="Century Gothic" w:eastAsia="Calibri" w:hAnsi="Century Gothic" w:cs="Arial"/>
          <w:bCs/>
          <w:sz w:val="20"/>
          <w:szCs w:val="20"/>
          <w:lang w:val="es-ES_tradnl" w:eastAsia="es-CO"/>
        </w:rPr>
        <w:t xml:space="preserve">2.20.1.1.3. del Decreto 1071 de 2015, en la medida que </w:t>
      </w:r>
      <w:r w:rsidRPr="0086151A">
        <w:rPr>
          <w:rFonts w:ascii="Century Gothic" w:eastAsia="Times New Roman" w:hAnsi="Century Gothic" w:cs="Arial"/>
          <w:sz w:val="20"/>
          <w:szCs w:val="20"/>
          <w:lang w:eastAsia="es-CO"/>
        </w:rPr>
        <w:t>un porcentaje mínimo del treinta por ciento (30%) del valor total de los recursos del presupuesto de cada entidad deben destinarse a la compra de alimentos a los sujetos mencionados.</w:t>
      </w:r>
    </w:p>
    <w:p w14:paraId="28FF084B" w14:textId="77777777" w:rsidR="00F7207C" w:rsidRPr="0086151A" w:rsidRDefault="00F7207C" w:rsidP="00F7207C">
      <w:pPr>
        <w:shd w:val="clear" w:color="auto" w:fill="FFFFFF"/>
        <w:spacing w:after="0" w:line="240" w:lineRule="auto"/>
        <w:contextualSpacing/>
        <w:jc w:val="both"/>
        <w:rPr>
          <w:rFonts w:ascii="Century Gothic" w:eastAsia="Times New Roman" w:hAnsi="Century Gothic" w:cs="Arial"/>
          <w:bCs/>
          <w:i/>
          <w:iCs/>
          <w:sz w:val="20"/>
          <w:szCs w:val="20"/>
          <w:lang w:eastAsia="es-CO"/>
        </w:rPr>
      </w:pPr>
    </w:p>
    <w:p w14:paraId="5AEDF3D8" w14:textId="77777777" w:rsidR="00F7207C" w:rsidRPr="0086151A" w:rsidRDefault="00F7207C" w:rsidP="00F7207C">
      <w:pPr>
        <w:shd w:val="clear" w:color="auto" w:fill="FFFFFF"/>
        <w:spacing w:after="0" w:line="240" w:lineRule="auto"/>
        <w:contextualSpacing/>
        <w:jc w:val="both"/>
        <w:rPr>
          <w:rFonts w:ascii="Century Gothic" w:eastAsia="Times New Roman" w:hAnsi="Century Gothic" w:cs="Arial"/>
          <w:sz w:val="20"/>
          <w:szCs w:val="20"/>
          <w:lang w:eastAsia="es-CO"/>
        </w:rPr>
      </w:pPr>
      <w:r w:rsidRPr="0086151A">
        <w:rPr>
          <w:rFonts w:ascii="Century Gothic" w:eastAsia="Times New Roman" w:hAnsi="Century Gothic" w:cs="Arial"/>
          <w:bCs/>
          <w:i/>
          <w:iCs/>
          <w:sz w:val="20"/>
          <w:szCs w:val="20"/>
          <w:lang w:eastAsia="es-CO"/>
        </w:rPr>
        <w:t>Por otra parte</w:t>
      </w:r>
      <w:r w:rsidRPr="0086151A">
        <w:rPr>
          <w:rFonts w:ascii="Century Gothic" w:eastAsia="Times New Roman" w:hAnsi="Century Gothic" w:cs="Arial"/>
          <w:bCs/>
          <w:sz w:val="20"/>
          <w:szCs w:val="20"/>
          <w:lang w:eastAsia="es-CO"/>
        </w:rPr>
        <w:t xml:space="preserve">, también es documento necesario para acreditar un factor de evaluación. Lo anterior en la medida que el reglamento otorga un puntaje mínimo del diez por ciento (10%) del total de los puntos, los cuales son asignados proporcionalmente a los proveedores que presenten este tipo de contratos comprometiéndose con las Entidades Públicas con la </w:t>
      </w:r>
      <w:r w:rsidRPr="0086151A">
        <w:rPr>
          <w:rFonts w:ascii="Century Gothic" w:eastAsia="Times New Roman" w:hAnsi="Century Gothic" w:cs="Arial"/>
          <w:bCs/>
          <w:sz w:val="20"/>
          <w:szCs w:val="20"/>
          <w:lang w:eastAsia="es-CO"/>
        </w:rPr>
        <w:lastRenderedPageBreak/>
        <w:t>adquisición de productos provenientes de pequeños productores locales o productores locales de la agricultura campesina, familiar o comunitaria y/o sus organizaciones, en una proporción mayor al mínimo exigido por la entidad.</w:t>
      </w:r>
    </w:p>
    <w:p w14:paraId="75B0940F" w14:textId="77777777" w:rsidR="00F7207C" w:rsidRPr="0086151A" w:rsidRDefault="00F7207C" w:rsidP="00F7207C">
      <w:pPr>
        <w:shd w:val="clear" w:color="auto" w:fill="FFFFFF"/>
        <w:spacing w:after="0" w:line="240" w:lineRule="auto"/>
        <w:contextualSpacing/>
        <w:jc w:val="both"/>
        <w:rPr>
          <w:rFonts w:ascii="Century Gothic" w:eastAsia="Arial MT" w:hAnsi="Century Gothic" w:cs="Arial"/>
          <w:noProof/>
          <w:sz w:val="20"/>
          <w:szCs w:val="20"/>
        </w:rPr>
      </w:pPr>
    </w:p>
    <w:p w14:paraId="122D078D" w14:textId="77777777" w:rsidR="00F7207C" w:rsidRPr="00F7207C" w:rsidRDefault="00F7207C" w:rsidP="00F7207C">
      <w:pPr>
        <w:widowControl w:val="0"/>
        <w:autoSpaceDE w:val="0"/>
        <w:autoSpaceDN w:val="0"/>
        <w:spacing w:after="0" w:line="240" w:lineRule="auto"/>
        <w:contextualSpacing/>
        <w:jc w:val="both"/>
        <w:rPr>
          <w:rFonts w:ascii="Century Gothic" w:eastAsia="Arial MT" w:hAnsi="Century Gothic" w:cs="Arial"/>
          <w:noProof/>
          <w:lang w:val="es-ES"/>
        </w:rPr>
      </w:pPr>
      <w:r w:rsidRPr="00F7207C">
        <w:rPr>
          <w:rFonts w:ascii="Century Gothic" w:eastAsia="Times New Roman" w:hAnsi="Century Gothic" w:cs="Arial"/>
          <w:b/>
        </w:rPr>
        <w:t>DECRETO 248 DE 2021 – Decreto 1071 de 2015 – Reglamento – Incentivos contractuales – Puntajes obligatorios – Puntajes facultativos – condiciones</w:t>
      </w:r>
    </w:p>
    <w:p w14:paraId="648768B0" w14:textId="77777777" w:rsidR="00F7207C" w:rsidRPr="0086151A" w:rsidRDefault="00F7207C" w:rsidP="00F7207C">
      <w:pPr>
        <w:widowControl w:val="0"/>
        <w:autoSpaceDE w:val="0"/>
        <w:autoSpaceDN w:val="0"/>
        <w:spacing w:after="0" w:line="240" w:lineRule="auto"/>
        <w:ind w:left="4825"/>
        <w:contextualSpacing/>
        <w:rPr>
          <w:rFonts w:ascii="Century Gothic" w:eastAsia="Arial MT" w:hAnsi="Century Gothic" w:cs="Arial"/>
          <w:noProof/>
          <w:sz w:val="20"/>
          <w:szCs w:val="20"/>
          <w:lang w:val="es-ES"/>
        </w:rPr>
      </w:pPr>
    </w:p>
    <w:p w14:paraId="39C8182E" w14:textId="77777777" w:rsidR="00F7207C" w:rsidRPr="0086151A"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r w:rsidRPr="0086151A">
        <w:rPr>
          <w:rFonts w:ascii="Century Gothic" w:eastAsia="Times New Roman" w:hAnsi="Century Gothic" w:cs="Arial"/>
          <w:sz w:val="20"/>
          <w:szCs w:val="20"/>
          <w:lang w:eastAsia="es-CO"/>
        </w:rPr>
        <w:t xml:space="preserve">Ahora bien, respecto a los puntajes previstos en los artículos </w:t>
      </w:r>
      <w:r w:rsidRPr="0086151A">
        <w:rPr>
          <w:rFonts w:ascii="Century Gothic" w:eastAsia="Times New Roman" w:hAnsi="Century Gothic" w:cs="Arial"/>
          <w:bCs/>
          <w:sz w:val="20"/>
          <w:szCs w:val="20"/>
          <w:lang w:eastAsia="es-CO"/>
        </w:rPr>
        <w:t>2.20.1.2.1, 2.20.1.2.2</w:t>
      </w:r>
      <w:r w:rsidRPr="0086151A">
        <w:rPr>
          <w:rFonts w:ascii="Century Gothic" w:eastAsia="Times New Roman" w:hAnsi="Century Gothic" w:cs="Arial"/>
          <w:sz w:val="20"/>
          <w:szCs w:val="20"/>
          <w:lang w:eastAsia="es-CO"/>
        </w:rPr>
        <w:t xml:space="preserve"> y 2.20.1.2.3 de</w:t>
      </w:r>
      <w:r w:rsidRPr="0086151A">
        <w:rPr>
          <w:rFonts w:ascii="Century Gothic" w:eastAsia="Times New Roman" w:hAnsi="Century Gothic" w:cs="Arial"/>
          <w:bCs/>
          <w:sz w:val="20"/>
          <w:szCs w:val="20"/>
          <w:lang w:eastAsia="es-CO"/>
        </w:rPr>
        <w:t xml:space="preserv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w:t>
      </w:r>
      <w:r w:rsidRPr="0086151A">
        <w:rPr>
          <w:rFonts w:ascii="Century Gothic" w:eastAsia="Times New Roman" w:hAnsi="Century Gothic" w:cs="Arial"/>
          <w:bCs/>
          <w:i/>
          <w:iCs/>
          <w:sz w:val="20"/>
          <w:szCs w:val="20"/>
          <w:lang w:eastAsia="es-CO"/>
        </w:rPr>
        <w:t>productores agropecuarios nacionales</w:t>
      </w:r>
      <w:r w:rsidRPr="0086151A">
        <w:rPr>
          <w:rFonts w:ascii="Century Gothic" w:eastAsia="Times New Roman" w:hAnsi="Century Gothic" w:cs="Arial"/>
          <w:bCs/>
          <w:sz w:val="20"/>
          <w:szCs w:val="20"/>
          <w:lang w:eastAsia="es-CO"/>
        </w:rPr>
        <w:t xml:space="preserve">, los cuales están definidos en el literal d) del artículo 2.20.1.1.1 </w:t>
      </w:r>
      <w:r w:rsidRPr="0086151A">
        <w:rPr>
          <w:rFonts w:ascii="Century Gothic" w:eastAsia="Times New Roman" w:hAnsi="Century Gothic" w:cs="Arial"/>
          <w:bCs/>
          <w:i/>
          <w:iCs/>
          <w:sz w:val="20"/>
          <w:szCs w:val="20"/>
          <w:lang w:eastAsia="es-CO"/>
        </w:rPr>
        <w:t xml:space="preserve">ibidem </w:t>
      </w:r>
      <w:r w:rsidRPr="0086151A">
        <w:rPr>
          <w:rFonts w:ascii="Century Gothic" w:eastAsia="Times New Roman" w:hAnsi="Century Gothic" w:cs="Arial"/>
          <w:bCs/>
          <w:sz w:val="20"/>
          <w:szCs w:val="20"/>
          <w:lang w:eastAsia="es-CO"/>
        </w:rPr>
        <w:t xml:space="preserve">como las personas cuyo sistema de producción se encuentra ubicado en el territorio nacional. </w:t>
      </w:r>
    </w:p>
    <w:p w14:paraId="4C547A4C" w14:textId="77777777" w:rsidR="00F7207C"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p>
    <w:p w14:paraId="5FE48A6D" w14:textId="77777777" w:rsidR="00F7207C" w:rsidRPr="0086151A"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r w:rsidRPr="0086151A">
        <w:rPr>
          <w:rFonts w:ascii="Century Gothic" w:eastAsia="Times New Roman" w:hAnsi="Century Gothic" w:cs="Arial"/>
          <w:bCs/>
          <w:sz w:val="20"/>
          <w:szCs w:val="20"/>
          <w:lang w:eastAsia="es-CO"/>
        </w:rPr>
        <w:t>Conforme a los artículos 2.20.1.2.1 y 2.20.1.2.2 del reglamento, estos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5D9F691D" w14:textId="77777777" w:rsidR="00F7207C"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p>
    <w:p w14:paraId="2A31D7F4" w14:textId="34CA2204" w:rsidR="00F7207C" w:rsidRPr="00F7207C" w:rsidRDefault="00F7207C" w:rsidP="00F7207C">
      <w:pPr>
        <w:shd w:val="clear" w:color="auto" w:fill="FFFFFF"/>
        <w:spacing w:after="0" w:line="240" w:lineRule="auto"/>
        <w:contextualSpacing/>
        <w:jc w:val="both"/>
        <w:rPr>
          <w:rFonts w:ascii="Century Gothic" w:eastAsia="Times New Roman" w:hAnsi="Century Gothic" w:cs="Arial"/>
          <w:bCs/>
          <w:sz w:val="20"/>
          <w:szCs w:val="20"/>
          <w:lang w:eastAsia="es-CO"/>
        </w:rPr>
      </w:pPr>
      <w:r w:rsidRPr="0086151A">
        <w:rPr>
          <w:rFonts w:ascii="Century Gothic" w:eastAsia="Times New Roman" w:hAnsi="Century Gothic" w:cs="Arial"/>
          <w:bCs/>
          <w:sz w:val="20"/>
          <w:szCs w:val="20"/>
          <w:lang w:eastAsia="es-CO"/>
        </w:rPr>
        <w:t xml:space="preserve">En contraste, el puntaje del artículo </w:t>
      </w:r>
      <w:r w:rsidRPr="0086151A">
        <w:rPr>
          <w:rFonts w:ascii="Century Gothic" w:eastAsia="Times New Roman" w:hAnsi="Century Gothic" w:cs="Arial"/>
          <w:sz w:val="20"/>
          <w:szCs w:val="20"/>
          <w:lang w:eastAsia="es-CO"/>
        </w:rPr>
        <w:t>2.20.1.2.3 de</w:t>
      </w:r>
      <w:r w:rsidRPr="0086151A">
        <w:rPr>
          <w:rFonts w:ascii="Century Gothic" w:eastAsia="Times New Roman" w:hAnsi="Century Gothic" w:cs="Arial"/>
          <w:bCs/>
          <w:sz w:val="20"/>
          <w:szCs w:val="20"/>
          <w:lang w:eastAsia="es-CO"/>
        </w:rPr>
        <w:t xml:space="preserve">l Decreto 1071 de 2015 aplica a los </w:t>
      </w:r>
      <w:r w:rsidRPr="0086151A">
        <w:rPr>
          <w:rFonts w:ascii="Century Gothic" w:eastAsia="Times New Roman" w:hAnsi="Century Gothic" w:cs="Arial"/>
          <w:bCs/>
          <w:i/>
          <w:iCs/>
          <w:sz w:val="20"/>
          <w:szCs w:val="20"/>
          <w:lang w:eastAsia="es-CO"/>
        </w:rPr>
        <w:t>pequeños productores agropecuarios locales o productores locales de la Agricultura Campesina, Familiar o Comunitaria Local y/o sus organizaciones</w:t>
      </w:r>
      <w:r w:rsidRPr="0086151A">
        <w:rPr>
          <w:rFonts w:ascii="Century Gothic" w:eastAsia="Times New Roman" w:hAnsi="Century Gothic" w:cs="Arial"/>
          <w:bCs/>
          <w:sz w:val="20"/>
          <w:szCs w:val="20"/>
          <w:lang w:eastAsia="es-CO"/>
        </w:rPr>
        <w:t xml:space="preserve">. De acuerdo con el artículo 2.1.2.2.8 </w:t>
      </w:r>
      <w:r w:rsidRPr="0086151A">
        <w:rPr>
          <w:rFonts w:ascii="Century Gothic" w:eastAsia="Times New Roman" w:hAnsi="Century Gothic" w:cs="Arial"/>
          <w:bCs/>
          <w:i/>
          <w:iCs/>
          <w:sz w:val="20"/>
          <w:szCs w:val="20"/>
          <w:lang w:eastAsia="es-CO"/>
        </w:rPr>
        <w:t>ibidem</w:t>
      </w:r>
      <w:r w:rsidRPr="0086151A">
        <w:rPr>
          <w:rFonts w:ascii="Century Gothic" w:eastAsia="Times New Roman" w:hAnsi="Century Gothic" w:cs="Arial"/>
          <w:bCs/>
          <w:sz w:val="20"/>
          <w:szCs w:val="20"/>
          <w:lang w:eastAsia="es-CO"/>
        </w:rPr>
        <w:t>, los “pequeños productores” son las personas naturales que posean activos totales no superiores a los doscientos ochenta y cuatro (284) SMMLV, en el momento de la respectiva operación de crédito. Por su parte, de acuerdo con el parágrafo 1 del artículo 2.20.1.2.3 del reglamento, los “productores agropecuarios locales” son las personas cuyo sistema de producción se encuentra ubicado en la vereda, o el municipio, o el departamento o la región en donde la entidad contratante requiere la entrega de los alimentos, esto es donde se van a consumir.</w:t>
      </w:r>
      <w:r>
        <w:rPr>
          <w:rFonts w:ascii="Century Gothic" w:hAnsi="Century Gothic"/>
        </w:rPr>
        <w:br w:type="page"/>
      </w:r>
    </w:p>
    <w:p w14:paraId="3FE2184B" w14:textId="12DC583D" w:rsidR="00E245AB" w:rsidRPr="00322A85" w:rsidRDefault="00E245AB" w:rsidP="000F0604">
      <w:pPr>
        <w:spacing w:after="0" w:line="240" w:lineRule="auto"/>
        <w:rPr>
          <w:rFonts w:ascii="Century Gothic" w:hAnsi="Century Gothic"/>
        </w:rPr>
      </w:pPr>
      <w:r w:rsidRPr="00322A85">
        <w:rPr>
          <w:rFonts w:ascii="Century Gothic" w:hAnsi="Century Gothic"/>
        </w:rPr>
        <w:lastRenderedPageBreak/>
        <w:t xml:space="preserve">Bogotá D.C., </w:t>
      </w:r>
      <w:r w:rsidR="001A3330">
        <w:rPr>
          <w:rFonts w:ascii="Century Gothic" w:hAnsi="Century Gothic"/>
        </w:rPr>
        <w:t>06 Octubre de 2023.</w:t>
      </w:r>
    </w:p>
    <w:p w14:paraId="57029A19" w14:textId="4F9B0F2F" w:rsidR="00BA0831" w:rsidRPr="00BA0831" w:rsidRDefault="004269F8" w:rsidP="004269F8">
      <w:pPr>
        <w:spacing w:after="0" w:line="240" w:lineRule="auto"/>
        <w:jc w:val="right"/>
        <w:rPr>
          <w:rFonts w:ascii="Century Gothic" w:eastAsia="Century Gothic" w:hAnsi="Century Gothic" w:cs="Century Gothic"/>
          <w:noProof/>
          <w:lang w:eastAsia="es-ES_tradnl"/>
        </w:rPr>
      </w:pPr>
      <w:r w:rsidRPr="004269F8">
        <w:rPr>
          <w:rFonts w:ascii="Century Gothic" w:eastAsia="Century Gothic" w:hAnsi="Century Gothic" w:cs="Century Gothic"/>
          <w:noProof/>
          <w:lang w:eastAsia="es-ES_tradnl"/>
        </w:rPr>
        <w:drawing>
          <wp:inline distT="0" distB="0" distL="0" distR="0" wp14:anchorId="0AA256F1" wp14:editId="6BC89835">
            <wp:extent cx="3089267" cy="879894"/>
            <wp:effectExtent l="0" t="0" r="0" b="0"/>
            <wp:docPr id="75329207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92079" name="Imagen 1" descr="Texto&#10;&#10;Descripción generada automáticamente"/>
                    <pic:cNvPicPr/>
                  </pic:nvPicPr>
                  <pic:blipFill>
                    <a:blip r:embed="rId10"/>
                    <a:stretch>
                      <a:fillRect/>
                    </a:stretch>
                  </pic:blipFill>
                  <pic:spPr>
                    <a:xfrm>
                      <a:off x="0" y="0"/>
                      <a:ext cx="3093472" cy="881092"/>
                    </a:xfrm>
                    <a:prstGeom prst="rect">
                      <a:avLst/>
                    </a:prstGeom>
                  </pic:spPr>
                </pic:pic>
              </a:graphicData>
            </a:graphic>
          </wp:inline>
        </w:drawing>
      </w:r>
    </w:p>
    <w:p w14:paraId="19DE8D65" w14:textId="77777777" w:rsidR="00BA0831" w:rsidRPr="00BA0831" w:rsidRDefault="00BA0831" w:rsidP="000F0604">
      <w:pPr>
        <w:spacing w:after="0" w:line="240" w:lineRule="auto"/>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Señor</w:t>
      </w:r>
    </w:p>
    <w:p w14:paraId="09E32D24" w14:textId="77777777" w:rsidR="00BA0831" w:rsidRPr="00BA0831" w:rsidRDefault="00BA0831" w:rsidP="000F0604">
      <w:pPr>
        <w:spacing w:after="0" w:line="240" w:lineRule="auto"/>
        <w:rPr>
          <w:rFonts w:ascii="Century Gothic" w:eastAsia="Century Gothic" w:hAnsi="Century Gothic" w:cs="Century Gothic"/>
          <w:b/>
          <w:bCs/>
          <w:lang w:val="es-ES" w:eastAsia="es-ES_tradnl"/>
        </w:rPr>
      </w:pPr>
      <w:r w:rsidRPr="00BA0831">
        <w:rPr>
          <w:rFonts w:ascii="Century Gothic" w:eastAsia="Century Gothic" w:hAnsi="Century Gothic" w:cs="Century Gothic"/>
          <w:b/>
          <w:bCs/>
          <w:lang w:val="es-ES" w:eastAsia="es-ES_tradnl"/>
        </w:rPr>
        <w:t>Joaquin Alberto Gámez González</w:t>
      </w:r>
    </w:p>
    <w:p w14:paraId="6B47828F" w14:textId="77777777" w:rsidR="00BA0831" w:rsidRPr="00BA0831" w:rsidRDefault="00BA0831" w:rsidP="000F0604">
      <w:pPr>
        <w:spacing w:after="0" w:line="240" w:lineRule="auto"/>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 xml:space="preserve">Bogotá D.C. </w:t>
      </w:r>
    </w:p>
    <w:p w14:paraId="3168A8E7" w14:textId="77777777" w:rsidR="00BA0831" w:rsidRPr="00BA0831" w:rsidRDefault="00BA0831" w:rsidP="000F0604">
      <w:pPr>
        <w:spacing w:after="0" w:line="240" w:lineRule="auto"/>
        <w:rPr>
          <w:rFonts w:ascii="Century Gothic" w:eastAsia="Century Gothic" w:hAnsi="Century Gothic" w:cs="Century Gothic"/>
          <w:lang w:val="es-ES" w:eastAsia="es-ES_tradnl"/>
        </w:rPr>
      </w:pPr>
    </w:p>
    <w:p w14:paraId="172470A0" w14:textId="77777777" w:rsidR="00BA0831" w:rsidRPr="00BA0831" w:rsidRDefault="00BA0831" w:rsidP="000F0604">
      <w:pPr>
        <w:spacing w:after="0" w:line="240" w:lineRule="auto"/>
        <w:rPr>
          <w:rFonts w:ascii="Century Gothic" w:eastAsia="Century Gothic" w:hAnsi="Century Gothic" w:cs="Century Gothic"/>
          <w:lang w:val="es-ES" w:eastAsia="es-ES_tradnl"/>
        </w:rPr>
      </w:pPr>
    </w:p>
    <w:p w14:paraId="6C016145" w14:textId="77777777" w:rsidR="00BA0831" w:rsidRPr="00BA0831" w:rsidRDefault="00BA0831" w:rsidP="000F0604">
      <w:pPr>
        <w:spacing w:after="0" w:line="240" w:lineRule="auto"/>
        <w:ind w:left="2694"/>
        <w:rPr>
          <w:rFonts w:ascii="Century Gothic" w:eastAsia="Century Gothic" w:hAnsi="Century Gothic" w:cs="Century Gothic"/>
          <w:b/>
          <w:bCs/>
          <w:lang w:val="es-ES" w:eastAsia="es-ES_tradnl"/>
        </w:rPr>
      </w:pPr>
      <w:r w:rsidRPr="00BA0831">
        <w:rPr>
          <w:rFonts w:ascii="Century Gothic" w:eastAsia="Century Gothic" w:hAnsi="Century Gothic" w:cs="Century Gothic"/>
          <w:b/>
          <w:bCs/>
          <w:lang w:val="es-ES" w:eastAsia="es-ES_tradnl"/>
        </w:rPr>
        <w:t>Concepto C-410 de 2023</w:t>
      </w:r>
    </w:p>
    <w:p w14:paraId="0BFD8849" w14:textId="77777777" w:rsidR="00BA0831" w:rsidRPr="00BA0831" w:rsidRDefault="00BA0831" w:rsidP="000F0604">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A0831" w:rsidRPr="00BA0831" w14:paraId="72E7D331" w14:textId="77777777" w:rsidTr="00746204">
        <w:trPr>
          <w:jc w:val="right"/>
        </w:trPr>
        <w:tc>
          <w:tcPr>
            <w:tcW w:w="1838" w:type="dxa"/>
          </w:tcPr>
          <w:p w14:paraId="18620182" w14:textId="77777777" w:rsidR="00BA0831" w:rsidRPr="00BA0831" w:rsidRDefault="00BA0831" w:rsidP="000F0604">
            <w:pPr>
              <w:jc w:val="center"/>
              <w:rPr>
                <w:rFonts w:ascii="Century Gothic" w:eastAsia="Century Gothic" w:hAnsi="Century Gothic" w:cs="Century Gothic"/>
                <w:lang w:val="es-ES" w:eastAsia="es-ES_tradnl"/>
              </w:rPr>
            </w:pPr>
            <w:r w:rsidRPr="00BA0831">
              <w:rPr>
                <w:rFonts w:ascii="Century Gothic" w:eastAsia="Century Gothic" w:hAnsi="Century Gothic" w:cs="Century Gothic"/>
                <w:b/>
                <w:bCs/>
                <w:lang w:val="es-ES" w:eastAsia="es-ES_tradnl"/>
              </w:rPr>
              <w:t>Temas:</w:t>
            </w:r>
          </w:p>
        </w:tc>
        <w:tc>
          <w:tcPr>
            <w:tcW w:w="6237" w:type="dxa"/>
          </w:tcPr>
          <w:p w14:paraId="02E0996B" w14:textId="7D6E2490" w:rsidR="00BA0831" w:rsidRPr="00BA0831" w:rsidRDefault="00BA0831" w:rsidP="000F0604">
            <w:pPr>
              <w:widowControl w:val="0"/>
              <w:jc w:val="both"/>
              <w:rPr>
                <w:rFonts w:ascii="Century Gothic" w:eastAsia="Times New Roman" w:hAnsi="Century Gothic"/>
                <w:b/>
                <w:lang w:val="es-ES"/>
              </w:rPr>
            </w:pPr>
            <w:r w:rsidRPr="00BA0831">
              <w:rPr>
                <w:rFonts w:ascii="Century Gothic" w:eastAsia="Calibri" w:hAnsi="Century Gothic"/>
                <w:lang w:val="es-MX"/>
              </w:rPr>
              <w:t xml:space="preserve">LEY 1955 DE 2019 – Artículo 229 – Finalidad / </w:t>
            </w:r>
            <w:r w:rsidRPr="00BA0831">
              <w:rPr>
                <w:rFonts w:ascii="Century Gothic" w:eastAsia="Times New Roman" w:hAnsi="Century Gothic"/>
                <w:lang w:val="es-ES" w:eastAsia="es-ES_tradnl"/>
              </w:rPr>
              <w:t xml:space="preserve">LEY 2046 DE 2020 </w:t>
            </w:r>
            <w:r w:rsidRPr="00BA0831">
              <w:rPr>
                <w:rFonts w:ascii="Century Gothic" w:eastAsia="Calibri" w:hAnsi="Century Gothic"/>
                <w:lang w:val="es-MX"/>
              </w:rPr>
              <w:t xml:space="preserve">– Finalidad – Ámbito de aplicación - Compra pública de alimentos / </w:t>
            </w:r>
            <w:r w:rsidRPr="00BA0831">
              <w:rPr>
                <w:rFonts w:ascii="Century Gothic" w:eastAsia="Times New Roman" w:hAnsi="Century Gothic"/>
                <w:lang w:eastAsia="es-ES_tradnl"/>
              </w:rPr>
              <w:t xml:space="preserve">LEY 2046 DE 2020 – Artículo 7 – Incentivos contractuales – Puntajes adicionales – Promoción de la compra pública de alimentos / </w:t>
            </w:r>
            <w:r w:rsidRPr="00BA0831">
              <w:rPr>
                <w:rFonts w:ascii="Century Gothic" w:eastAsia="Times New Roman" w:hAnsi="Century Gothic"/>
              </w:rPr>
              <w:t>DECRETO 248 DE 2021 – Decreto 1071 de 2015 – Marco General - Mínimo de Compras públicas de alimentos / DECRETO 248 DE 2021 – Decreto 1071 de 2015 – Modalidades y objeto contractual / DECRETO 248 DE 2021 – Decreto 1071 de 2015 – Contrato de promesa de proveeduría – naturaleza dual – requisito habilitante – factor de evaluación / DECRETO 248 DE 2021 – Decreto 1071 de 2015 – Reglamento – Incentivos contractuales – Puntajes obligatorios – Puntajes facultativos – condiciones.</w:t>
            </w:r>
          </w:p>
          <w:p w14:paraId="7D6A5264" w14:textId="77777777" w:rsidR="00BA0831" w:rsidRPr="00BA0831" w:rsidRDefault="00BA0831" w:rsidP="000F0604">
            <w:pPr>
              <w:jc w:val="both"/>
              <w:rPr>
                <w:rFonts w:ascii="Century Gothic" w:eastAsia="Century Gothic" w:hAnsi="Century Gothic" w:cs="Century Gothic"/>
                <w:lang w:val="es-ES" w:eastAsia="es-ES_tradnl"/>
              </w:rPr>
            </w:pPr>
          </w:p>
        </w:tc>
      </w:tr>
      <w:tr w:rsidR="00BA0831" w:rsidRPr="00BA0831" w14:paraId="040194B9" w14:textId="77777777" w:rsidTr="00746204">
        <w:trPr>
          <w:jc w:val="right"/>
        </w:trPr>
        <w:tc>
          <w:tcPr>
            <w:tcW w:w="1838" w:type="dxa"/>
          </w:tcPr>
          <w:p w14:paraId="429E024D" w14:textId="77777777" w:rsidR="00BA0831" w:rsidRPr="00BA0831" w:rsidRDefault="00BA0831" w:rsidP="000F0604">
            <w:pPr>
              <w:jc w:val="center"/>
              <w:rPr>
                <w:rFonts w:ascii="Century Gothic" w:eastAsia="Century Gothic" w:hAnsi="Century Gothic" w:cs="Century Gothic"/>
                <w:b/>
                <w:bCs/>
                <w:lang w:val="es-ES" w:eastAsia="es-ES_tradnl"/>
              </w:rPr>
            </w:pPr>
            <w:r w:rsidRPr="00BA0831">
              <w:rPr>
                <w:rFonts w:ascii="Century Gothic" w:eastAsia="Century Gothic" w:hAnsi="Century Gothic" w:cs="Century Gothic"/>
                <w:b/>
                <w:bCs/>
                <w:lang w:val="es-ES" w:eastAsia="es-ES_tradnl"/>
              </w:rPr>
              <w:t>Radicación:</w:t>
            </w:r>
          </w:p>
        </w:tc>
        <w:tc>
          <w:tcPr>
            <w:tcW w:w="6237" w:type="dxa"/>
          </w:tcPr>
          <w:p w14:paraId="42CB156B" w14:textId="77777777" w:rsidR="00BA0831" w:rsidRPr="00BA0831" w:rsidRDefault="00BA0831" w:rsidP="000F0604">
            <w:pPr>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 xml:space="preserve">Respuesta a consulta </w:t>
            </w:r>
            <w:r w:rsidRPr="00BA0831">
              <w:rPr>
                <w:rFonts w:ascii="Century Gothic" w:eastAsia="Times New Roman" w:hAnsi="Century Gothic" w:cs="Calibri"/>
                <w:lang w:eastAsia="es-ES_tradnl"/>
              </w:rPr>
              <w:t>P20230825014516</w:t>
            </w:r>
          </w:p>
        </w:tc>
      </w:tr>
    </w:tbl>
    <w:p w14:paraId="4BB3316F" w14:textId="77777777" w:rsidR="00BA0831" w:rsidRPr="00BA0831" w:rsidRDefault="00BA0831" w:rsidP="000F0604">
      <w:pPr>
        <w:spacing w:after="0" w:line="240" w:lineRule="auto"/>
        <w:jc w:val="both"/>
        <w:rPr>
          <w:rFonts w:ascii="Century Gothic" w:eastAsia="Century Gothic" w:hAnsi="Century Gothic" w:cs="Century Gothic"/>
          <w:lang w:val="es-ES" w:eastAsia="es-ES_tradnl"/>
        </w:rPr>
      </w:pPr>
    </w:p>
    <w:p w14:paraId="347C39F4" w14:textId="77777777" w:rsidR="00BA0831" w:rsidRPr="00BA0831" w:rsidRDefault="00BA0831" w:rsidP="000F0604">
      <w:pPr>
        <w:spacing w:after="0" w:line="240" w:lineRule="auto"/>
        <w:jc w:val="both"/>
        <w:rPr>
          <w:rFonts w:ascii="Century Gothic" w:eastAsia="Century Gothic" w:hAnsi="Century Gothic" w:cs="Century Gothic"/>
          <w:lang w:val="es-ES" w:eastAsia="es-ES_tradnl"/>
        </w:rPr>
      </w:pPr>
    </w:p>
    <w:p w14:paraId="1CC81C2F" w14:textId="77777777" w:rsidR="00BA0831" w:rsidRPr="00BA0831" w:rsidRDefault="00BA0831" w:rsidP="000F0604">
      <w:pPr>
        <w:spacing w:after="0" w:line="276" w:lineRule="auto"/>
        <w:contextualSpacing/>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Estimado señor Gámez González:</w:t>
      </w:r>
    </w:p>
    <w:p w14:paraId="43EE090C" w14:textId="77777777" w:rsidR="00BA0831" w:rsidRPr="00BA0831" w:rsidRDefault="00BA0831" w:rsidP="000F0604">
      <w:pPr>
        <w:spacing w:after="0" w:line="276" w:lineRule="auto"/>
        <w:contextualSpacing/>
        <w:jc w:val="both"/>
        <w:rPr>
          <w:rFonts w:ascii="Century Gothic" w:eastAsia="Century Gothic" w:hAnsi="Century Gothic" w:cs="Century Gothic"/>
          <w:lang w:val="es-ES" w:eastAsia="es-ES_tradnl"/>
        </w:rPr>
      </w:pPr>
    </w:p>
    <w:p w14:paraId="1DDDE043" w14:textId="77777777" w:rsidR="00BA0831" w:rsidRPr="00BA0831" w:rsidRDefault="00BA0831" w:rsidP="000F0604">
      <w:pPr>
        <w:spacing w:after="0" w:line="276" w:lineRule="auto"/>
        <w:contextualSpacing/>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BA0831">
        <w:rPr>
          <w:rFonts w:ascii="Century Gothic" w:eastAsia="Century Gothic" w:hAnsi="Century Gothic" w:cs="Century Gothic"/>
          <w:lang w:eastAsia="es-ES_tradnl"/>
        </w:rPr>
        <w:t>, así como lo establecido en la Resolución 1707 de 2018 expedida por esta Entidad</w:t>
      </w:r>
      <w:r w:rsidRPr="00BA0831">
        <w:rPr>
          <w:rFonts w:ascii="Century Gothic" w:eastAsia="Century Gothic" w:hAnsi="Century Gothic" w:cs="Century Gothic"/>
          <w:lang w:val="es-ES" w:eastAsia="es-ES_tradnl"/>
        </w:rPr>
        <w:t>, la Agencia Nacional de Contratación Pública ― Colombia Compra Eficiente responde su consulta del 25 de agosto de 2023.</w:t>
      </w:r>
    </w:p>
    <w:p w14:paraId="63F12814" w14:textId="77777777" w:rsidR="00BA0831" w:rsidRPr="00BA0831" w:rsidRDefault="00BA0831" w:rsidP="000F0604">
      <w:pPr>
        <w:spacing w:after="0" w:line="276" w:lineRule="auto"/>
        <w:contextualSpacing/>
        <w:jc w:val="both"/>
        <w:rPr>
          <w:rFonts w:ascii="Century Gothic" w:eastAsia="Century Gothic" w:hAnsi="Century Gothic" w:cs="Century Gothic"/>
          <w:b/>
          <w:bCs/>
          <w:lang w:val="es-ES" w:eastAsia="es-ES_tradnl"/>
        </w:rPr>
      </w:pPr>
    </w:p>
    <w:p w14:paraId="359B7AE2" w14:textId="77777777" w:rsidR="00BA0831" w:rsidRPr="00BA0831" w:rsidRDefault="00BA0831" w:rsidP="000F0604">
      <w:pPr>
        <w:numPr>
          <w:ilvl w:val="0"/>
          <w:numId w:val="17"/>
        </w:numPr>
        <w:tabs>
          <w:tab w:val="left" w:pos="142"/>
          <w:tab w:val="left" w:pos="284"/>
        </w:tabs>
        <w:spacing w:after="0" w:line="276" w:lineRule="auto"/>
        <w:ind w:left="0" w:firstLine="0"/>
        <w:contextualSpacing/>
        <w:jc w:val="both"/>
        <w:rPr>
          <w:rFonts w:ascii="Century Gothic" w:eastAsia="Century Gothic" w:hAnsi="Century Gothic" w:cs="Century Gothic"/>
          <w:b/>
          <w:bCs/>
          <w:lang w:val="es-ES"/>
        </w:rPr>
      </w:pPr>
      <w:r w:rsidRPr="00BA0831">
        <w:rPr>
          <w:rFonts w:ascii="Century Gothic" w:eastAsia="Century Gothic" w:hAnsi="Century Gothic" w:cs="Century Gothic"/>
          <w:b/>
          <w:bCs/>
          <w:lang w:val="es-ES"/>
        </w:rPr>
        <w:t xml:space="preserve">Problema planteado </w:t>
      </w:r>
    </w:p>
    <w:p w14:paraId="28C5EDFE" w14:textId="77777777" w:rsidR="00BA0831" w:rsidRPr="00BA0831" w:rsidRDefault="00BA0831" w:rsidP="000F0604">
      <w:pPr>
        <w:tabs>
          <w:tab w:val="left" w:pos="426"/>
        </w:tabs>
        <w:spacing w:after="0" w:line="276" w:lineRule="auto"/>
        <w:contextualSpacing/>
        <w:jc w:val="both"/>
        <w:rPr>
          <w:rFonts w:ascii="Century Gothic" w:eastAsia="Century Gothic" w:hAnsi="Century Gothic" w:cs="Century Gothic"/>
          <w:b/>
          <w:bCs/>
          <w:lang w:val="es-ES" w:eastAsia="es-ES_tradnl"/>
        </w:rPr>
      </w:pPr>
    </w:p>
    <w:p w14:paraId="4C480476" w14:textId="77777777" w:rsidR="00BA0831" w:rsidRPr="00BA0831" w:rsidRDefault="00BA0831" w:rsidP="000F0604">
      <w:pPr>
        <w:autoSpaceDE w:val="0"/>
        <w:autoSpaceDN w:val="0"/>
        <w:adjustRightInd w:val="0"/>
        <w:spacing w:after="0" w:line="276" w:lineRule="auto"/>
        <w:contextualSpacing/>
        <w:jc w:val="both"/>
        <w:rPr>
          <w:rFonts w:ascii="Century Gothic" w:eastAsia="Calibri" w:hAnsi="Century Gothic" w:cs="Arial"/>
          <w:bCs/>
          <w:lang w:val="es-ES_tradnl" w:eastAsia="es-ES_tradnl"/>
        </w:rPr>
      </w:pPr>
      <w:r w:rsidRPr="00BA0831">
        <w:rPr>
          <w:rFonts w:ascii="Century Gothic" w:eastAsia="Calibri" w:hAnsi="Century Gothic" w:cs="Arial"/>
          <w:bCs/>
          <w:lang w:val="es-ES_tradnl" w:eastAsia="es-ES_tradnl"/>
        </w:rPr>
        <w:lastRenderedPageBreak/>
        <w:t xml:space="preserve">Usted realiza las siguientes preguntas en relación con los artículos 2.20.1.1.3. y 2.20.1.2.3. del Decreto 248 de 2021: </w:t>
      </w:r>
    </w:p>
    <w:p w14:paraId="01DFFEE2" w14:textId="77777777" w:rsidR="00BA0831" w:rsidRPr="00BA0831" w:rsidRDefault="00BA0831" w:rsidP="000F0604">
      <w:pPr>
        <w:spacing w:after="0" w:line="276" w:lineRule="auto"/>
        <w:contextualSpacing/>
        <w:jc w:val="both"/>
        <w:rPr>
          <w:rFonts w:ascii="Century Gothic" w:eastAsia="Century Gothic" w:hAnsi="Century Gothic" w:cs="Century Gothic"/>
          <w:lang w:val="es-ES" w:eastAsia="es-ES_tradnl"/>
        </w:rPr>
      </w:pPr>
    </w:p>
    <w:p w14:paraId="0941D9AE"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“en contexto de lo dispuesto por el DECRETO 248 DE 2021, "proveeduría con los pequeños productores y/o productores de la Agricultura Campesina, Familiar o Comunitaria locales y sus organizaciones" y para dar respuesta a muchos veedores con relación a este tema pregunto.</w:t>
      </w:r>
    </w:p>
    <w:p w14:paraId="3E4896D2"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01CEC003"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73A8F373"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3390841B"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2) que se debe entender por compras locales? y según decreto 248 de 2021 son las surtidas directamente en el territorio donde se ejecuta el contrato?</w:t>
      </w:r>
    </w:p>
    <w:p w14:paraId="4A28DDFE"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1CD93F7A"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5564FBDE"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1E1F579B"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4) las compras que se realizan en el orden nacional en donde los productos agrícolas y/o pecuarios son transformados por la industria para un producto final que se va a consumir, no se entienden como homologación de compras locales, y si no es así que debe hacer el operador cuando es difícil encontrar un producto que tenga materias primas de los pequeños productores del territorio.?</w:t>
      </w:r>
    </w:p>
    <w:p w14:paraId="337094A0"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01028443"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5898B26A" w14:textId="77777777" w:rsidR="00BA0831" w:rsidRPr="000F0604" w:rsidRDefault="00BA0831" w:rsidP="000F0604">
      <w:pPr>
        <w:spacing w:after="0" w:line="276" w:lineRule="auto"/>
        <w:jc w:val="both"/>
        <w:rPr>
          <w:rFonts w:ascii="Century Gothic" w:eastAsia="Century Gothic" w:hAnsi="Century Gothic" w:cs="Century Gothic"/>
          <w:lang w:val="es-ES" w:eastAsia="es-ES_tradnl"/>
        </w:rPr>
      </w:pPr>
    </w:p>
    <w:p w14:paraId="75016F90" w14:textId="77777777" w:rsidR="00BA0831" w:rsidRPr="000F0604" w:rsidRDefault="00BA0831" w:rsidP="000F0604">
      <w:pPr>
        <w:numPr>
          <w:ilvl w:val="0"/>
          <w:numId w:val="17"/>
        </w:numPr>
        <w:tabs>
          <w:tab w:val="left" w:pos="284"/>
        </w:tabs>
        <w:spacing w:after="0" w:line="276" w:lineRule="auto"/>
        <w:ind w:left="0" w:firstLine="0"/>
        <w:jc w:val="both"/>
        <w:rPr>
          <w:rFonts w:ascii="Century Gothic" w:eastAsia="Century Gothic" w:hAnsi="Century Gothic" w:cs="Century Gothic"/>
          <w:b/>
          <w:bCs/>
          <w:lang w:val="es-ES"/>
        </w:rPr>
      </w:pPr>
      <w:r w:rsidRPr="000F0604">
        <w:rPr>
          <w:rFonts w:ascii="Century Gothic" w:eastAsia="Century Gothic" w:hAnsi="Century Gothic" w:cs="Century Gothic"/>
          <w:b/>
          <w:bCs/>
          <w:lang w:val="es-ES"/>
        </w:rPr>
        <w:t>Consideraciones</w:t>
      </w:r>
    </w:p>
    <w:p w14:paraId="5321D18F" w14:textId="77777777" w:rsidR="00BA0831" w:rsidRPr="000F0604" w:rsidRDefault="00BA0831" w:rsidP="000F0604">
      <w:pPr>
        <w:tabs>
          <w:tab w:val="left" w:pos="284"/>
        </w:tabs>
        <w:spacing w:after="0" w:line="276" w:lineRule="auto"/>
        <w:jc w:val="both"/>
        <w:rPr>
          <w:rFonts w:ascii="Century Gothic" w:eastAsia="Century Gothic" w:hAnsi="Century Gothic" w:cs="Century Gothic"/>
          <w:b/>
          <w:bCs/>
          <w:lang w:val="es-ES"/>
        </w:rPr>
      </w:pPr>
    </w:p>
    <w:p w14:paraId="53714AAB" w14:textId="77777777" w:rsidR="00BA0831" w:rsidRPr="000F0604" w:rsidRDefault="00BA0831" w:rsidP="000F0604">
      <w:pPr>
        <w:spacing w:after="120" w:line="276" w:lineRule="auto"/>
        <w:jc w:val="both"/>
        <w:rPr>
          <w:rFonts w:ascii="Century Gothic" w:eastAsia="Century Gothic" w:hAnsi="Century Gothic" w:cs="Century Gothic"/>
          <w:lang w:val="es-ES" w:eastAsia="es-ES_tradnl"/>
        </w:rPr>
      </w:pPr>
      <w:r w:rsidRPr="000F0604">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0F0604">
        <w:rPr>
          <w:rFonts w:ascii="Century Gothic" w:eastAsia="Century Gothic" w:hAnsi="Century Gothic" w:cs="Century Gothic"/>
          <w:lang w:eastAsia="es-ES_tradnl"/>
        </w:rPr>
        <w:t xml:space="preserve">. </w:t>
      </w:r>
      <w:r w:rsidRPr="000F0604">
        <w:rPr>
          <w:rFonts w:ascii="Century Gothic" w:eastAsia="Century Gothic" w:hAnsi="Century Gothic" w:cs="Century Gothic"/>
          <w:lang w:val="es-ES" w:eastAsia="es-ES_tradnl"/>
        </w:rPr>
        <w:t xml:space="preserve">Es necesario tener en cuenta que </w:t>
      </w:r>
      <w:bookmarkStart w:id="5" w:name="_Hlk61026958"/>
      <w:r w:rsidRPr="000F0604">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F0604">
        <w:rPr>
          <w:rFonts w:ascii="Century Gothic" w:eastAsia="Century Gothic" w:hAnsi="Century Gothic" w:cs="Century Gothic"/>
          <w:lang w:eastAsia="es-ES_tradnl"/>
        </w:rPr>
        <w:t xml:space="preserve"> de todos los partícipes de la contratación estatal.</w:t>
      </w:r>
    </w:p>
    <w:p w14:paraId="3C4A554B" w14:textId="77777777" w:rsidR="00BA0831" w:rsidRPr="000F0604" w:rsidRDefault="00BA0831" w:rsidP="000F0604">
      <w:pPr>
        <w:spacing w:after="120" w:line="276" w:lineRule="auto"/>
        <w:ind w:firstLine="708"/>
        <w:jc w:val="both"/>
        <w:rPr>
          <w:rFonts w:ascii="Century Gothic" w:eastAsia="Century Gothic" w:hAnsi="Century Gothic" w:cs="Century Gothic"/>
          <w:lang w:val="es-ES" w:eastAsia="es-ES_tradnl"/>
        </w:rPr>
      </w:pPr>
      <w:r w:rsidRPr="000F0604">
        <w:rPr>
          <w:rFonts w:ascii="Century Gothic" w:eastAsia="Century Gothic" w:hAnsi="Century Gothic" w:cs="Century Gothic"/>
          <w:lang w:val="es-ES"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0F0604">
        <w:rPr>
          <w:rFonts w:ascii="Century Gothic" w:eastAsia="Century Gothic" w:hAnsi="Century Gothic" w:cs="Century Gothic"/>
          <w:lang w:val="es-ES" w:eastAsia="es-ES_tradnl"/>
        </w:rPr>
        <w:lastRenderedPageBreak/>
        <w:t>contratación pública</w:t>
      </w:r>
      <w:r w:rsidRPr="000F0604">
        <w:rPr>
          <w:rFonts w:ascii="Century Gothic" w:eastAsia="Century Gothic" w:hAnsi="Century Gothic" w:cs="Century Gothic"/>
          <w:vertAlign w:val="superscript"/>
          <w:lang w:val="es-ES" w:eastAsia="es-ES_tradnl"/>
        </w:rPr>
        <w:footnoteReference w:id="2"/>
      </w:r>
      <w:r w:rsidRPr="000F0604">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0F0604">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0AB6E98D" w14:textId="77777777" w:rsidR="00BA0831" w:rsidRPr="000F0604" w:rsidRDefault="00BA0831" w:rsidP="000F0604">
      <w:pPr>
        <w:spacing w:after="120" w:line="276" w:lineRule="auto"/>
        <w:ind w:firstLine="709"/>
        <w:jc w:val="both"/>
        <w:rPr>
          <w:rFonts w:ascii="Century Gothic" w:eastAsia="Calibri" w:hAnsi="Century Gothic" w:cs="Arial"/>
          <w:lang w:val="es-ES_tradnl" w:eastAsia="es-ES_tradnl"/>
        </w:rPr>
      </w:pPr>
      <w:r w:rsidRPr="000F0604">
        <w:rPr>
          <w:rFonts w:ascii="Century Gothic" w:eastAsia="Century Gothic" w:hAnsi="Century Gothic" w:cs="Century Gothic"/>
          <w:lang w:eastAsia="es-ES_tradnl"/>
        </w:rPr>
        <w:t>Sin perjuicio de lo anterior, la Subdirección – dentro de los límites de sus atribuciones – resolverá las consultas expuestas en los numerales 2° y 4° de su escrito</w:t>
      </w:r>
      <w:r w:rsidRPr="000F0604">
        <w:rPr>
          <w:rFonts w:ascii="Century Gothic" w:eastAsia="Century Gothic" w:hAnsi="Century Gothic" w:cs="Century Gothic"/>
          <w:vertAlign w:val="superscript"/>
          <w:lang w:eastAsia="es-ES_tradnl"/>
        </w:rPr>
        <w:footnoteReference w:id="3"/>
      </w:r>
      <w:r w:rsidRPr="000F0604">
        <w:rPr>
          <w:rFonts w:ascii="Century Gothic" w:eastAsia="Century Gothic" w:hAnsi="Century Gothic" w:cs="Century Gothic"/>
          <w:lang w:eastAsia="es-ES_tradnl"/>
        </w:rPr>
        <w:t xml:space="preserve">, conforme a las normas generales en materia de contratación estatal. Con este objetivo se analizarán </w:t>
      </w:r>
      <w:r w:rsidRPr="000F0604">
        <w:rPr>
          <w:rFonts w:ascii="Century Gothic" w:eastAsia="Century Gothic" w:hAnsi="Century Gothic" w:cs="Century Gothic"/>
          <w:lang w:val="es-ES" w:eastAsia="es-ES_tradnl"/>
        </w:rPr>
        <w:t xml:space="preserve">los siguientes temas: </w:t>
      </w:r>
      <w:r w:rsidRPr="000F0604">
        <w:rPr>
          <w:rFonts w:ascii="Century Gothic" w:eastAsia="Calibri" w:hAnsi="Century Gothic" w:cs="Arial"/>
          <w:lang w:val="es-ES_tradnl" w:eastAsia="es-ES_tradnl"/>
        </w:rPr>
        <w:t xml:space="preserve">i) Contexto y finalidad de los incentivos y estímulos regulados el artículo 229 de la Ley 1955 de 2019 y en la Ley 2046 de 2020; ii) alcance del Decreto 248 de 2021, que modifica el Decreto 1071 de 2015, respecto a la promoción de la compra pública de alimentos y los incentivos contractuales y; iii) mínimo de compras públicas del total del presupuesto de la entidad, especial énfasis respecto de las modalidades y objeto al cual aplica lo reglado en el Decreto 248 de 2021.  </w:t>
      </w:r>
    </w:p>
    <w:p w14:paraId="262A8EC1" w14:textId="77777777" w:rsidR="00BA0831" w:rsidRPr="000F0604" w:rsidRDefault="00BA0831" w:rsidP="000F0604">
      <w:pPr>
        <w:tabs>
          <w:tab w:val="left" w:pos="426"/>
        </w:tabs>
        <w:spacing w:before="120" w:after="0" w:line="276" w:lineRule="auto"/>
        <w:jc w:val="both"/>
        <w:rPr>
          <w:rFonts w:ascii="Century Gothic" w:eastAsia="Century Gothic" w:hAnsi="Century Gothic" w:cs="Century Gothic"/>
          <w:lang w:val="es-ES" w:eastAsia="es-ES_tradnl"/>
        </w:rPr>
      </w:pPr>
      <w:r w:rsidRPr="000F0604">
        <w:rPr>
          <w:rFonts w:ascii="Century Gothic" w:eastAsia="Century Gothic" w:hAnsi="Century Gothic" w:cs="Century Gothic"/>
          <w:lang w:val="es-ES" w:eastAsia="es-ES_tradnl"/>
        </w:rPr>
        <w:tab/>
      </w:r>
      <w:r w:rsidRPr="000F0604">
        <w:rPr>
          <w:rFonts w:ascii="Century Gothic" w:eastAsia="Century Gothic" w:hAnsi="Century Gothic" w:cs="Century Gothic"/>
          <w:lang w:val="es-ES" w:eastAsia="es-ES_tradnl"/>
        </w:rPr>
        <w:tab/>
        <w:t>La Agencia Nacional de Contratación Pública – Colombia Compra Eficiente, en los conceptos C</w:t>
      </w:r>
      <w:r w:rsidRPr="000F0604">
        <w:rPr>
          <w:rFonts w:ascii="Century Gothic" w:eastAsia="Calibri" w:hAnsi="Century Gothic" w:cs="Arial"/>
          <w:lang w:val="es-ES_tradnl" w:eastAsia="es-ES_tradnl"/>
        </w:rPr>
        <w:t>-301 de 19 de junio de 2022, C-810 del 25 de noviembre de 2022</w:t>
      </w:r>
      <w:r w:rsidRPr="000F0604">
        <w:rPr>
          <w:rFonts w:ascii="Century Gothic" w:eastAsia="Times New Roman" w:hAnsi="Century Gothic" w:cs="Arial"/>
          <w:lang w:eastAsia="es-ES_tradnl"/>
        </w:rPr>
        <w:t>, C-976 del 28 de diciembre de 2022, C-026 del 16 de marzo de 2023, C-162 del 6 de junio de 2023, entre otros</w:t>
      </w:r>
      <w:r w:rsidRPr="000F0604">
        <w:rPr>
          <w:rFonts w:ascii="Century Gothic" w:eastAsia="Century Gothic" w:hAnsi="Century Gothic" w:cs="Century Gothic"/>
          <w:vertAlign w:val="superscript"/>
          <w:lang w:val="es-ES" w:eastAsia="es-ES_tradnl"/>
        </w:rPr>
        <w:footnoteReference w:id="4"/>
      </w:r>
      <w:r w:rsidRPr="000F0604">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49B3555C" w14:textId="77777777" w:rsidR="00BA0831" w:rsidRPr="000F0604" w:rsidRDefault="00BA0831" w:rsidP="000F0604">
      <w:pPr>
        <w:tabs>
          <w:tab w:val="left" w:pos="426"/>
        </w:tabs>
        <w:spacing w:after="0" w:line="276" w:lineRule="auto"/>
        <w:jc w:val="both"/>
        <w:rPr>
          <w:rFonts w:ascii="Century Gothic" w:eastAsia="Century Gothic" w:hAnsi="Century Gothic" w:cs="Century Gothic"/>
          <w:lang w:val="es-ES" w:eastAsia="es-ES_tradnl"/>
        </w:rPr>
      </w:pPr>
    </w:p>
    <w:p w14:paraId="7FDE7CB1" w14:textId="77777777" w:rsidR="00BA0831" w:rsidRPr="000F0604" w:rsidRDefault="00BA0831" w:rsidP="000F0604">
      <w:pPr>
        <w:spacing w:after="0" w:line="276" w:lineRule="auto"/>
        <w:jc w:val="both"/>
        <w:rPr>
          <w:rFonts w:ascii="Century Gothic" w:eastAsia="Calibri" w:hAnsi="Century Gothic" w:cs="Arial"/>
          <w:b/>
          <w:bCs/>
          <w:lang w:val="es-ES_tradnl" w:eastAsia="es-ES_tradnl"/>
        </w:rPr>
      </w:pPr>
      <w:r w:rsidRPr="000F0604">
        <w:rPr>
          <w:rFonts w:ascii="Century Gothic" w:eastAsia="Calibri" w:hAnsi="Century Gothic" w:cs="Arial"/>
          <w:b/>
          <w:bCs/>
          <w:lang w:val="es-ES_tradnl" w:eastAsia="es-ES_tradnl"/>
        </w:rPr>
        <w:lastRenderedPageBreak/>
        <w:t xml:space="preserve">2.1. </w:t>
      </w:r>
      <w:r w:rsidRPr="000F0604">
        <w:rPr>
          <w:rFonts w:ascii="Century Gothic" w:eastAsia="Calibri" w:hAnsi="Century Gothic" w:cs="Arial"/>
          <w:b/>
          <w:lang w:val="es-ES_tradnl" w:eastAsia="es-ES_tradnl"/>
        </w:rPr>
        <w:t xml:space="preserve">Contexto y finalidad de los incentivos </w:t>
      </w:r>
      <w:bookmarkStart w:id="6" w:name="_Hlk103323403"/>
      <w:r w:rsidRPr="000F0604">
        <w:rPr>
          <w:rFonts w:ascii="Century Gothic" w:eastAsia="Calibri" w:hAnsi="Century Gothic" w:cs="Arial"/>
          <w:b/>
          <w:lang w:val="es-ES_tradnl" w:eastAsia="es-ES_tradnl"/>
        </w:rPr>
        <w:t>regulados en el artículo 229 de la Ley 1955 de 2019 y en la Ley 2046 de 2020</w:t>
      </w:r>
      <w:bookmarkEnd w:id="6"/>
      <w:r w:rsidRPr="000F0604">
        <w:rPr>
          <w:rFonts w:ascii="Century Gothic" w:eastAsia="Calibri" w:hAnsi="Century Gothic" w:cs="Arial"/>
          <w:b/>
          <w:lang w:val="es-ES_tradnl" w:eastAsia="es-ES_tradnl"/>
        </w:rPr>
        <w:t xml:space="preserve"> </w:t>
      </w:r>
    </w:p>
    <w:p w14:paraId="15627D14" w14:textId="77777777" w:rsidR="00BA0831" w:rsidRPr="000F0604" w:rsidRDefault="00BA0831" w:rsidP="000F0604">
      <w:pPr>
        <w:spacing w:after="0" w:line="276" w:lineRule="auto"/>
        <w:jc w:val="both"/>
        <w:rPr>
          <w:rFonts w:ascii="Century Gothic" w:eastAsia="Calibri" w:hAnsi="Century Gothic" w:cs="Arial"/>
          <w:b/>
          <w:bCs/>
          <w:lang w:val="es-ES_tradnl" w:eastAsia="es-ES_tradnl"/>
        </w:rPr>
      </w:pPr>
    </w:p>
    <w:p w14:paraId="7E651598" w14:textId="77777777" w:rsidR="00BA0831" w:rsidRPr="000F0604" w:rsidRDefault="00BA0831" w:rsidP="000F0604">
      <w:pPr>
        <w:spacing w:after="0" w:line="276" w:lineRule="auto"/>
        <w:jc w:val="both"/>
        <w:rPr>
          <w:rFonts w:ascii="Century Gothic" w:eastAsia="Calibri" w:hAnsi="Century Gothic" w:cs="Arial"/>
          <w:bCs/>
          <w:lang w:val="es-ES_tradnl" w:eastAsia="es-ES_tradnl"/>
        </w:rPr>
      </w:pPr>
      <w:r w:rsidRPr="000F0604">
        <w:rPr>
          <w:rFonts w:ascii="Century Gothic" w:eastAsia="Calibri" w:hAnsi="Century Gothic" w:cs="Arial"/>
          <w:bCs/>
          <w:lang w:val="es-ES_tradnl" w:eastAsia="es-ES_tradnl"/>
        </w:rPr>
        <w:t>La contratación pública o sistema de compra pública se concibe como un mercado compuesto por la oferta de particulares, preferentemente, y la demanda de las Entidades Públicas de bienes y servicios</w:t>
      </w:r>
      <w:r w:rsidRPr="000F0604">
        <w:rPr>
          <w:rFonts w:ascii="Century Gothic" w:eastAsia="Calibri" w:hAnsi="Century Gothic" w:cs="Arial"/>
          <w:bCs/>
          <w:vertAlign w:val="superscript"/>
          <w:lang w:val="es-ES_tradnl" w:eastAsia="es-ES_tradnl"/>
        </w:rPr>
        <w:footnoteReference w:id="5"/>
      </w:r>
      <w:r w:rsidRPr="000F0604">
        <w:rPr>
          <w:rFonts w:ascii="Century Gothic" w:eastAsia="Calibri" w:hAnsi="Century Gothic" w:cs="Arial"/>
          <w:bCs/>
          <w:lang w:val="es-ES_tradnl" w:eastAsia="es-ES_tradnl"/>
        </w:rPr>
        <w:t xml:space="preserve">. En este mercado de la compra pública se crean incentivos para fomentar el desarrollo de determinado tipo de proveedores, como ocurre con los incentivos a las Mipymes, a los emprendimientos y empresas de mujeres, entre otros. En esa orientación, el artículo 229 de la Ley 1955 de 2019, </w:t>
      </w:r>
      <w:r w:rsidRPr="000F0604">
        <w:rPr>
          <w:rFonts w:ascii="Century Gothic" w:eastAsia="Calibri" w:hAnsi="Century Gothic" w:cs="Arial"/>
          <w:lang w:val="es-ES_tradnl"/>
        </w:rPr>
        <w:t>“</w:t>
      </w:r>
      <w:r w:rsidRPr="000F0604">
        <w:rPr>
          <w:rFonts w:ascii="Century Gothic" w:eastAsia="Calibri" w:hAnsi="Century Gothic" w:cs="Arial"/>
          <w:bCs/>
          <w:lang w:val="es-ES_tradnl" w:eastAsia="es-ES_tradnl"/>
        </w:rPr>
        <w:t>Por el cual se expide el Plan Nacional de Desarrollo 2018-2022</w:t>
      </w:r>
      <w:r w:rsidRPr="000F0604">
        <w:rPr>
          <w:rFonts w:ascii="Century Gothic" w:eastAsia="Calibri" w:hAnsi="Century Gothic" w:cs="Arial"/>
          <w:lang w:val="es-ES_tradnl"/>
        </w:rPr>
        <w:t>”</w:t>
      </w:r>
      <w:r w:rsidRPr="000F0604">
        <w:rPr>
          <w:rFonts w:ascii="Century Gothic" w:eastAsia="Calibri" w:hAnsi="Century Gothic" w:cs="Arial"/>
          <w:bCs/>
          <w:lang w:val="es-ES_tradnl" w:eastAsia="es-ES_tradnl"/>
        </w:rPr>
        <w:t xml:space="preserve">, dispuso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 En lo pertinente, la norma dispone que: </w:t>
      </w:r>
    </w:p>
    <w:p w14:paraId="06FA644E" w14:textId="77777777" w:rsidR="00BA0831" w:rsidRPr="000F0604" w:rsidRDefault="00BA0831" w:rsidP="000F0604">
      <w:pPr>
        <w:spacing w:after="0" w:line="276" w:lineRule="auto"/>
        <w:jc w:val="both"/>
        <w:rPr>
          <w:rFonts w:ascii="Century Gothic" w:eastAsia="Calibri" w:hAnsi="Century Gothic" w:cs="Arial"/>
          <w:b/>
          <w:bCs/>
          <w:lang w:val="es-ES_tradnl" w:eastAsia="es-ES_tradnl"/>
        </w:rPr>
      </w:pPr>
    </w:p>
    <w:p w14:paraId="4EE6B005"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r w:rsidRPr="00BA0831">
        <w:rPr>
          <w:rFonts w:ascii="Century Gothic" w:eastAsia="Times New Roman" w:hAnsi="Century Gothic" w:cs="Arial"/>
          <w:sz w:val="20"/>
          <w:szCs w:val="20"/>
          <w:lang w:eastAsia="es-CO"/>
        </w:rPr>
        <w:t>“Las entidades públicas descentralizadas del orden nacional y las entidades territoriales 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 El Gobierno nacional en un plazo máximo de no más de tres (3) meses establecerá el esquema de puntajes adicionales, previo análisis de la Agencia de Contratación Colombia Compra Eficiente.</w:t>
      </w:r>
    </w:p>
    <w:p w14:paraId="02FB85B0"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rPr>
      </w:pPr>
    </w:p>
    <w:p w14:paraId="06446A90"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r w:rsidRPr="00BA0831">
        <w:rPr>
          <w:rFonts w:ascii="Century Gothic" w:eastAsia="Times New Roman" w:hAnsi="Century Gothic" w:cs="Arial"/>
          <w:sz w:val="20"/>
          <w:szCs w:val="20"/>
          <w:lang w:eastAsia="es-CO"/>
        </w:rPr>
        <w:t>Sin perjuicio de lo anterior, las entidades públicas contratantes deberán adquirir hasta el cuarenta por ciento (40%) de alimentos procesados o sin procesar, en donde los insumos y los productos hayan sido adquiridos de productores agropecuarios locales.</w:t>
      </w:r>
    </w:p>
    <w:p w14:paraId="09B8BD95"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p>
    <w:p w14:paraId="0F4DA822"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r w:rsidRPr="00BA0831">
        <w:rPr>
          <w:rFonts w:ascii="Century Gothic" w:eastAsia="Times New Roman" w:hAnsi="Century Gothic" w:cs="Arial"/>
          <w:sz w:val="20"/>
          <w:szCs w:val="20"/>
          <w:lang w:eastAsia="es-CO"/>
        </w:rPr>
        <w:t>Adicionalmente, podrá establecerse un diez por ciento (10%) de puntaje adicional, a los proveedores que realicen el suministro que se pretenda contratar vinculando pequeños productores.</w:t>
      </w:r>
    </w:p>
    <w:p w14:paraId="3137CE9D"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p>
    <w:p w14:paraId="44FE1AB3" w14:textId="77777777" w:rsidR="00BA0831" w:rsidRPr="00BA0831" w:rsidRDefault="00BA0831" w:rsidP="000F0604">
      <w:pPr>
        <w:spacing w:after="0" w:line="240" w:lineRule="auto"/>
        <w:ind w:left="709" w:right="709"/>
        <w:contextualSpacing/>
        <w:jc w:val="both"/>
        <w:rPr>
          <w:rFonts w:ascii="Century Gothic" w:eastAsia="Times New Roman" w:hAnsi="Century Gothic" w:cs="Arial"/>
          <w:sz w:val="20"/>
          <w:szCs w:val="20"/>
          <w:lang w:eastAsia="es-CO"/>
        </w:rPr>
      </w:pPr>
      <w:r w:rsidRPr="00BA0831">
        <w:rPr>
          <w:rFonts w:ascii="Century Gothic" w:eastAsia="Times New Roman" w:hAnsi="Century Gothic" w:cs="Arial"/>
          <w:sz w:val="20"/>
          <w:szCs w:val="20"/>
          <w:lang w:eastAsia="es-CO"/>
        </w:rPr>
        <w:t>[…]</w:t>
      </w:r>
      <w:r w:rsidRPr="00BA0831">
        <w:rPr>
          <w:rFonts w:ascii="Century Gothic" w:eastAsia="Times New Roman" w:hAnsi="Century Gothic" w:cs="Arial"/>
          <w:bCs/>
          <w:sz w:val="20"/>
          <w:szCs w:val="20"/>
          <w:lang w:val="es-ES_tradnl" w:eastAsia="es-CO"/>
        </w:rPr>
        <w:t>”.</w:t>
      </w:r>
    </w:p>
    <w:p w14:paraId="635331AC" w14:textId="77777777" w:rsidR="00BA0831" w:rsidRPr="00BA0831" w:rsidRDefault="00BA0831" w:rsidP="000F0604">
      <w:pPr>
        <w:spacing w:after="0" w:line="276" w:lineRule="auto"/>
        <w:jc w:val="both"/>
        <w:rPr>
          <w:rFonts w:ascii="Century Gothic" w:eastAsia="Calibri" w:hAnsi="Century Gothic" w:cs="Arial"/>
          <w:b/>
          <w:bCs/>
          <w:szCs w:val="24"/>
          <w:lang w:eastAsia="es-ES_tradnl"/>
        </w:rPr>
      </w:pPr>
    </w:p>
    <w:p w14:paraId="09A57BDD" w14:textId="77777777" w:rsidR="00BA0831" w:rsidRPr="00BA0831" w:rsidRDefault="00BA0831" w:rsidP="000F0604">
      <w:pPr>
        <w:spacing w:after="120" w:line="276" w:lineRule="auto"/>
        <w:ind w:firstLine="708"/>
        <w:jc w:val="both"/>
        <w:rPr>
          <w:rFonts w:ascii="Century Gothic" w:eastAsia="Calibri" w:hAnsi="Century Gothic" w:cs="Arial"/>
          <w:lang w:val="es-ES_tradnl"/>
        </w:rPr>
      </w:pPr>
      <w:r w:rsidRPr="00BA0831">
        <w:rPr>
          <w:rFonts w:ascii="Century Gothic" w:eastAsia="Calibri" w:hAnsi="Century Gothic" w:cs="Arial"/>
        </w:rPr>
        <w:t xml:space="preserve">Posteriormente, también se expidió la Ley 2046 del 6 de agosto de 2020, </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Por la cual se establecen mecanismos para promover la participación de pequeños productores locales agropecuarios y de la agricultura campesina, familiar y comunitaria en los mercados de compras públicas de alimentos</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 xml:space="preserve">. </w:t>
      </w:r>
      <w:r w:rsidRPr="00BA0831">
        <w:rPr>
          <w:rFonts w:ascii="Century Gothic" w:eastAsia="Calibri" w:hAnsi="Century Gothic" w:cs="Arial"/>
          <w:lang w:val="es-ES_tradnl"/>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 al cual se hará referencia más adelante.</w:t>
      </w:r>
    </w:p>
    <w:p w14:paraId="2C8D81BD" w14:textId="77777777" w:rsidR="00BA0831" w:rsidRPr="00BA0831" w:rsidRDefault="00BA0831" w:rsidP="000F0604">
      <w:pPr>
        <w:spacing w:after="120" w:line="276" w:lineRule="auto"/>
        <w:ind w:firstLine="708"/>
        <w:jc w:val="both"/>
        <w:rPr>
          <w:rFonts w:ascii="Century Gothic" w:eastAsia="Times New Roman" w:hAnsi="Century Gothic" w:cs="Arial"/>
          <w:lang w:eastAsia="es-ES_tradnl"/>
        </w:rPr>
      </w:pPr>
      <w:r w:rsidRPr="00BA0831">
        <w:rPr>
          <w:rFonts w:ascii="Century Gothic" w:eastAsia="Calibri" w:hAnsi="Century Gothic" w:cs="Arial"/>
          <w:lang w:val="es-ES_tradnl"/>
        </w:rPr>
        <w:t>La exposición de motivos de la citada Ley explicó, entre otras cosas, lo siguiente: “</w:t>
      </w:r>
      <w:r w:rsidRPr="00BA0831">
        <w:rPr>
          <w:rFonts w:ascii="Century Gothic" w:eastAsia="Times New Roman" w:hAnsi="Century Gothic" w:cs="Arial"/>
          <w:lang w:eastAsia="es-ES_tradnl"/>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Pr="00BA0831">
        <w:rPr>
          <w:rFonts w:ascii="Century Gothic" w:eastAsia="Calibri" w:hAnsi="Century Gothic" w:cs="Arial"/>
          <w:lang w:val="es-ES_tradnl"/>
        </w:rPr>
        <w:t>”</w:t>
      </w:r>
      <w:r w:rsidRPr="00BA0831">
        <w:rPr>
          <w:rFonts w:ascii="Century Gothic" w:eastAsia="Calibri" w:hAnsi="Century Gothic" w:cs="Arial"/>
          <w:vertAlign w:val="superscript"/>
          <w:lang w:val="es-ES_tradnl"/>
        </w:rPr>
        <w:footnoteReference w:id="6"/>
      </w:r>
      <w:r w:rsidRPr="00BA0831">
        <w:rPr>
          <w:rFonts w:ascii="Century Gothic" w:eastAsia="Times New Roman" w:hAnsi="Century Gothic" w:cs="Arial"/>
          <w:lang w:eastAsia="es-ES_tradnl"/>
        </w:rPr>
        <w:t xml:space="preserve">. Por lo demás, también agrega que </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w:t>
      </w:r>
      <w:r w:rsidRPr="00BA0831">
        <w:rPr>
          <w:rFonts w:ascii="Century Gothic" w:eastAsia="Calibri" w:hAnsi="Century Gothic" w:cs="Arial"/>
          <w:vertAlign w:val="superscript"/>
          <w:lang w:val="es-ES_tradnl"/>
        </w:rPr>
        <w:footnoteReference w:id="7"/>
      </w:r>
      <w:r w:rsidRPr="00BA0831">
        <w:rPr>
          <w:rFonts w:ascii="Century Gothic" w:eastAsia="Times New Roman" w:hAnsi="Century Gothic" w:cs="Arial"/>
          <w:lang w:eastAsia="es-ES_tradnl"/>
        </w:rPr>
        <w:t xml:space="preserve">. De este modo, la Ley 2046 de 2020 pretende la creación de incentivos que beneficien a la agricultura en el territorio nacional.  </w:t>
      </w:r>
    </w:p>
    <w:p w14:paraId="4BB6E8D4" w14:textId="77777777" w:rsidR="00BA0831" w:rsidRPr="00BA0831" w:rsidRDefault="00BA0831" w:rsidP="000F0604">
      <w:pPr>
        <w:spacing w:after="120" w:line="276" w:lineRule="auto"/>
        <w:ind w:firstLine="709"/>
        <w:jc w:val="both"/>
        <w:rPr>
          <w:rFonts w:ascii="Century Gothic" w:eastAsia="Times New Roman" w:hAnsi="Century Gothic" w:cs="Arial"/>
          <w:lang w:eastAsia="es-ES_tradnl"/>
        </w:rPr>
      </w:pPr>
      <w:r w:rsidRPr="00BA0831">
        <w:rPr>
          <w:rFonts w:ascii="Century Gothic" w:eastAsia="Calibri" w:hAnsi="Century Gothic" w:cs="Arial"/>
          <w:lang w:val="es-ES_tradnl"/>
        </w:rPr>
        <w:t>En este contexto, de acuerdo con el artículo 1, el objeto de la ley “</w:t>
      </w:r>
      <w:r w:rsidRPr="00BA0831">
        <w:rPr>
          <w:rFonts w:ascii="Century Gothic" w:eastAsia="Times New Roman" w:hAnsi="Century Gothic" w:cs="Arial"/>
          <w:lang w:eastAsia="es-ES_tradnl"/>
        </w:rPr>
        <w:t xml:space="preserve">[…]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w:t>
      </w:r>
      <w:r w:rsidRPr="00BA0831">
        <w:rPr>
          <w:rFonts w:ascii="Century Gothic" w:eastAsia="Times New Roman" w:hAnsi="Century Gothic" w:cs="Arial"/>
          <w:lang w:eastAsia="es-ES_tradnl"/>
        </w:rPr>
        <w:lastRenderedPageBreak/>
        <w:t>Campesina, Familiar y Comunitaria, o de sus organizaciones legalmente constituidas</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w:t>
      </w:r>
    </w:p>
    <w:p w14:paraId="430EFD8F" w14:textId="77777777" w:rsidR="00BA0831" w:rsidRPr="00BA0831" w:rsidRDefault="00BA0831" w:rsidP="000F0604">
      <w:pPr>
        <w:spacing w:after="120" w:line="276" w:lineRule="auto"/>
        <w:ind w:firstLine="709"/>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En cuanto al campo de aplicación, el artículo 3 </w:t>
      </w:r>
      <w:r w:rsidRPr="00BA0831">
        <w:rPr>
          <w:rFonts w:ascii="Century Gothic" w:eastAsia="Times New Roman" w:hAnsi="Century Gothic" w:cs="Arial"/>
          <w:i/>
          <w:iCs/>
          <w:lang w:eastAsia="es-ES_tradnl"/>
        </w:rPr>
        <w:t>ibidem</w:t>
      </w:r>
      <w:r w:rsidRPr="00BA0831">
        <w:rPr>
          <w:rFonts w:ascii="Century Gothic" w:eastAsia="Times New Roman" w:hAnsi="Century Gothic" w:cs="Arial"/>
          <w:lang w:eastAsia="es-ES_tradnl"/>
        </w:rPr>
        <w:t xml:space="preserve"> prescribe lo siguiente: “Las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 Por lo demás, también dispone en su inciso segundo que </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Pr="00BA0831">
        <w:rPr>
          <w:rFonts w:ascii="Century Gothic" w:eastAsia="Calibri" w:hAnsi="Century Gothic" w:cs="Arial"/>
          <w:lang w:val="es-ES_tradnl"/>
        </w:rPr>
        <w:t>”</w:t>
      </w:r>
      <w:r w:rsidRPr="00BA0831">
        <w:rPr>
          <w:rFonts w:ascii="Century Gothic" w:eastAsia="Times New Roman" w:hAnsi="Century Gothic" w:cs="Arial"/>
          <w:lang w:eastAsia="es-ES_tradnl"/>
        </w:rPr>
        <w:t xml:space="preserve">. </w:t>
      </w:r>
    </w:p>
    <w:p w14:paraId="31222A0C" w14:textId="77777777" w:rsidR="00BA0831" w:rsidRPr="00BA0831" w:rsidRDefault="00BA0831" w:rsidP="000F0604">
      <w:pPr>
        <w:spacing w:after="120" w:line="276" w:lineRule="auto"/>
        <w:ind w:firstLine="709"/>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En efecto, este ámbito de aplicación no se limita a las entidades sujetas a la Ley 80 de 1993, sino que se extiende a otro tipo de Entidades Públicas de los distintos órdenes, las sociedades de economía mixta, entidades privadas que administren recursos públicos, así como los demás sujetos mencionados en la norma. En esta línea, dispone unas reglas a las que deberán sujetarse en aras de garantizar el bienestar y el fomento de la agricultura en el país. </w:t>
      </w:r>
    </w:p>
    <w:p w14:paraId="06B3D2B3" w14:textId="77777777" w:rsidR="00BA0831" w:rsidRPr="00BA0831" w:rsidRDefault="00BA0831" w:rsidP="000F0604">
      <w:pPr>
        <w:spacing w:after="120" w:line="276" w:lineRule="auto"/>
        <w:ind w:firstLine="709"/>
        <w:jc w:val="both"/>
        <w:rPr>
          <w:rFonts w:ascii="Century Gothic" w:eastAsia="Times New Roman" w:hAnsi="Century Gothic" w:cs="Arial"/>
        </w:rPr>
      </w:pPr>
      <w:r w:rsidRPr="00BA0831">
        <w:rPr>
          <w:rFonts w:ascii="Century Gothic" w:eastAsia="Times New Roman" w:hAnsi="Century Gothic" w:cs="Arial"/>
          <w:lang w:eastAsia="es-ES_tradnl"/>
        </w:rPr>
        <w:t xml:space="preserve">El artículo 4 de la Ley 2046 de 2020 también define algunos términos y establece unas siglas para el entendimiento e interpretación de las reglas contenidas en este cuerpo normativo. El artículo 5 crea la Mesa Técnica Nacional de Compras Públicas Locales de Alimentos, y el artículo 6 obliga al Gobierno Nacional a diseñar e implementar planes, programas y acciones pedagógicas y de seguimiento para capacitar alcaldías, gobernaciones y participantes de los espacios territoriales de articulación definidos por Mesa Técnica Nacional de Compras Públicas Locales de Alimentos, </w:t>
      </w:r>
      <w:r w:rsidRPr="00BA0831">
        <w:rPr>
          <w:rFonts w:ascii="Century Gothic" w:eastAsia="Times New Roman" w:hAnsi="Century Gothic" w:cs="Arial"/>
        </w:rPr>
        <w:t xml:space="preserve">así como a pequeños productores y productores de la Agricultura Campesina, Familiar o Comunitaria y organizaciones en los diferentes ejes temáticos indicados en la norma. </w:t>
      </w:r>
    </w:p>
    <w:p w14:paraId="3BA6C351" w14:textId="77777777" w:rsidR="00BA0831" w:rsidRPr="00BA0831" w:rsidRDefault="00BA0831" w:rsidP="000F0604">
      <w:pPr>
        <w:spacing w:after="120" w:line="276" w:lineRule="auto"/>
        <w:ind w:firstLine="709"/>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Sin embargo, la mayor pretensión de esta Ley fue lo regulado en el artículo 7, el cual estable los porcentajes mínimos de compra local a pequeños productores y productores de la agricultura campesina, familiar y comunitaria. En tal sentido, establece las siguientes reglas: </w:t>
      </w:r>
    </w:p>
    <w:p w14:paraId="079FCD4D" w14:textId="77777777" w:rsidR="00BA0831" w:rsidRPr="00BA0831" w:rsidRDefault="00BA0831" w:rsidP="000F0604">
      <w:pPr>
        <w:spacing w:after="120" w:line="276" w:lineRule="auto"/>
        <w:ind w:firstLine="709"/>
        <w:jc w:val="both"/>
        <w:rPr>
          <w:rFonts w:ascii="Century Gothic" w:eastAsia="Times New Roman" w:hAnsi="Century Gothic" w:cs="Arial"/>
        </w:rPr>
      </w:pPr>
      <w:r w:rsidRPr="00BA0831">
        <w:rPr>
          <w:rFonts w:ascii="Century Gothic" w:eastAsia="Times New Roman" w:hAnsi="Century Gothic" w:cs="Arial"/>
          <w:i/>
          <w:iCs/>
          <w:lang w:eastAsia="es-ES_tradnl"/>
        </w:rPr>
        <w:lastRenderedPageBreak/>
        <w:t>i)</w:t>
      </w:r>
      <w:r w:rsidRPr="00BA0831">
        <w:rPr>
          <w:rFonts w:ascii="Century Gothic" w:eastAsia="Times New Roman" w:hAnsi="Century Gothic" w:cs="Arial"/>
          <w:lang w:eastAsia="es-ES_tradnl"/>
        </w:rPr>
        <w:t xml:space="preserve"> Las entidades que están sujetas al ámbito de aplicación de esta ley tienen la obligación de adquirir alimentos comprados a pequeños productores a</w:t>
      </w:r>
      <w:r w:rsidRPr="00BA0831">
        <w:rPr>
          <w:rFonts w:ascii="Century Gothic" w:eastAsia="Times New Roman" w:hAnsi="Century Gothic" w:cs="Arial"/>
        </w:rPr>
        <w:t>gropecuarios locales y/o a productores de la Agricultura Campesina, Familiar o Comunitaria locales y sus organizaciones en un porcentaje mínimo del treinta por ciento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w:t>
      </w:r>
    </w:p>
    <w:p w14:paraId="1893B268" w14:textId="77777777" w:rsidR="00BA0831" w:rsidRPr="00BA0831" w:rsidRDefault="00BA0831" w:rsidP="000F0604">
      <w:pPr>
        <w:spacing w:after="120" w:line="276" w:lineRule="auto"/>
        <w:ind w:firstLine="709"/>
        <w:jc w:val="both"/>
        <w:rPr>
          <w:rFonts w:ascii="Century Gothic" w:eastAsia="Times New Roman" w:hAnsi="Century Gothic" w:cs="Arial"/>
        </w:rPr>
      </w:pPr>
      <w:r w:rsidRPr="00BA0831">
        <w:rPr>
          <w:rFonts w:ascii="Century Gothic" w:eastAsia="Times New Roman" w:hAnsi="Century Gothic" w:cs="Arial"/>
          <w:i/>
          <w:iCs/>
        </w:rPr>
        <w:t>ii)</w:t>
      </w:r>
      <w:r w:rsidRPr="00BA0831">
        <w:rPr>
          <w:rFonts w:ascii="Century Gothic" w:eastAsia="Times New Roman" w:hAnsi="Century Gothic" w:cs="Arial"/>
        </w:rPr>
        <w:t xml:space="preserve"> También deben establecer en su Pliego de Condiciones un puntaje mínimo del diez por ciento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w:t>
      </w:r>
    </w:p>
    <w:p w14:paraId="752FF26E" w14:textId="77777777" w:rsidR="00BA0831" w:rsidRPr="00BA0831" w:rsidRDefault="00BA0831" w:rsidP="000F0604">
      <w:pPr>
        <w:spacing w:after="120" w:line="276" w:lineRule="auto"/>
        <w:ind w:firstLine="709"/>
        <w:jc w:val="both"/>
        <w:rPr>
          <w:rFonts w:ascii="Century Gothic" w:eastAsia="Times New Roman" w:hAnsi="Century Gothic" w:cs="Arial"/>
        </w:rPr>
      </w:pPr>
      <w:r w:rsidRPr="00BA0831">
        <w:rPr>
          <w:rFonts w:ascii="Century Gothic" w:eastAsia="Times New Roman" w:hAnsi="Century Gothic" w:cs="Arial"/>
          <w:i/>
          <w:iCs/>
        </w:rPr>
        <w:t>iii)</w:t>
      </w:r>
      <w:r w:rsidRPr="00BA0831">
        <w:rPr>
          <w:rFonts w:ascii="Century Gothic" w:eastAsia="Times New Roman" w:hAnsi="Century Gothic" w:cs="Arial"/>
        </w:rPr>
        <w:t xml:space="preserve">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4B745E12" w14:textId="77777777" w:rsidR="00BA0831" w:rsidRPr="00BA0831" w:rsidRDefault="00BA0831" w:rsidP="000F0604">
      <w:pPr>
        <w:spacing w:after="120" w:line="276" w:lineRule="auto"/>
        <w:ind w:firstLine="709"/>
        <w:jc w:val="both"/>
        <w:rPr>
          <w:rFonts w:ascii="Century Gothic" w:eastAsia="Times New Roman" w:hAnsi="Century Gothic" w:cs="Arial"/>
        </w:rPr>
      </w:pPr>
      <w:r w:rsidRPr="00BA0831">
        <w:rPr>
          <w:rFonts w:ascii="Century Gothic" w:eastAsia="Times New Roman" w:hAnsi="Century Gothic" w:cs="Arial"/>
          <w:i/>
          <w:iCs/>
        </w:rPr>
        <w:t>iv)</w:t>
      </w:r>
      <w:r w:rsidRPr="00BA0831">
        <w:rPr>
          <w:rFonts w:ascii="Century Gothic" w:eastAsia="Times New Roman" w:hAnsi="Century Gothic" w:cs="Arial"/>
        </w:rPr>
        <w:t xml:space="preserve">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w:t>
      </w:r>
      <w:r w:rsidRPr="00BA0831">
        <w:rPr>
          <w:rFonts w:ascii="Century Gothic" w:eastAsia="Times New Roman" w:hAnsi="Century Gothic" w:cs="Arial"/>
          <w:vertAlign w:val="superscript"/>
        </w:rPr>
        <w:footnoteReference w:id="8"/>
      </w:r>
      <w:r w:rsidRPr="00BA0831">
        <w:rPr>
          <w:rFonts w:ascii="Century Gothic" w:eastAsia="Times New Roman" w:hAnsi="Century Gothic" w:cs="Arial"/>
        </w:rPr>
        <w:t xml:space="preserve">.  </w:t>
      </w:r>
    </w:p>
    <w:p w14:paraId="4A49B8F9" w14:textId="77777777" w:rsidR="00BA0831" w:rsidRPr="00BA0831" w:rsidRDefault="00BA0831" w:rsidP="000F0604">
      <w:pPr>
        <w:spacing w:after="0" w:line="276" w:lineRule="auto"/>
        <w:ind w:firstLine="709"/>
        <w:jc w:val="both"/>
        <w:rPr>
          <w:rFonts w:ascii="Century Gothic" w:eastAsia="Times New Roman" w:hAnsi="Century Gothic" w:cs="Arial"/>
        </w:rPr>
      </w:pPr>
      <w:r w:rsidRPr="00BA0831">
        <w:rPr>
          <w:rFonts w:ascii="Century Gothic" w:eastAsia="Times New Roman" w:hAnsi="Century Gothic" w:cs="Arial"/>
        </w:rPr>
        <w:lastRenderedPageBreak/>
        <w:t xml:space="preserve">Seguidamente, los demás artículos de la Ley 2046 de 2020 tratan temas varios como: i) diseño y adecuación de minutas alimentarias y menú –artículo 8–, ii) especificaciones técnicas de los productos –artículo 9–, iii) pago de las compras realizadas a productores de la agricultura campesina, familiar y comunitaria –artículo 10–, iv) sistema público de información alimentaria de pequeños productores locales y de productores de la agricultura campesina, familiar y comunitaria y sus organizaciones –artículo 11–, v) informes de cumplimiento al Congreso de la República –artículo 12– y vi) mecanismos de monitoreo y vigilancia –artículo 13–. </w:t>
      </w:r>
    </w:p>
    <w:p w14:paraId="0949F988" w14:textId="77777777" w:rsidR="00BA0831" w:rsidRPr="00BA0831" w:rsidRDefault="00BA0831" w:rsidP="000F0604">
      <w:pPr>
        <w:tabs>
          <w:tab w:val="left" w:pos="709"/>
        </w:tabs>
        <w:spacing w:after="0" w:line="276" w:lineRule="auto"/>
        <w:jc w:val="both"/>
        <w:rPr>
          <w:rFonts w:ascii="Century Gothic" w:eastAsia="Calibri" w:hAnsi="Century Gothic" w:cs="Arial"/>
          <w:b/>
          <w:bCs/>
          <w:lang w:eastAsia="es-ES_tradnl"/>
        </w:rPr>
      </w:pPr>
    </w:p>
    <w:p w14:paraId="75F69E69" w14:textId="77777777" w:rsidR="00BA0831" w:rsidRPr="00BA0831" w:rsidRDefault="00BA0831" w:rsidP="000F0604">
      <w:pPr>
        <w:spacing w:after="0" w:line="276" w:lineRule="auto"/>
        <w:jc w:val="both"/>
        <w:rPr>
          <w:rFonts w:ascii="Century Gothic" w:eastAsia="Calibri" w:hAnsi="Century Gothic" w:cs="Arial"/>
          <w:lang w:val="es-ES_tradnl" w:eastAsia="es-ES_tradnl"/>
        </w:rPr>
      </w:pPr>
      <w:r w:rsidRPr="00BA0831">
        <w:rPr>
          <w:rFonts w:ascii="Century Gothic" w:eastAsia="Calibri" w:hAnsi="Century Gothic" w:cs="Arial"/>
          <w:b/>
          <w:bCs/>
          <w:szCs w:val="24"/>
          <w:lang w:val="es-ES_tradnl" w:eastAsia="es-ES_tradnl"/>
        </w:rPr>
        <w:t>2.2. Alcance del Decreto 248 de 2021, que modifica el Decreto 1071 de 2015, respecto a la promoción de la compra pública de alimentos y los incentivos contractuales</w:t>
      </w:r>
      <w:r w:rsidRPr="00BA0831" w:rsidDel="00C3758F">
        <w:rPr>
          <w:rFonts w:ascii="Century Gothic" w:eastAsia="Calibri" w:hAnsi="Century Gothic" w:cs="Arial"/>
          <w:b/>
          <w:bCs/>
          <w:szCs w:val="24"/>
          <w:lang w:val="es-ES_tradnl" w:eastAsia="es-ES_tradnl"/>
        </w:rPr>
        <w:t xml:space="preserve"> </w:t>
      </w:r>
    </w:p>
    <w:p w14:paraId="11281157" w14:textId="77777777" w:rsidR="00BA0831" w:rsidRPr="00BA0831" w:rsidRDefault="00BA0831" w:rsidP="000F0604">
      <w:pPr>
        <w:spacing w:after="0" w:line="276" w:lineRule="auto"/>
        <w:jc w:val="both"/>
        <w:rPr>
          <w:rFonts w:ascii="Century Gothic" w:eastAsia="Calibri" w:hAnsi="Century Gothic" w:cs="Arial"/>
          <w:b/>
          <w:bCs/>
          <w:szCs w:val="24"/>
          <w:lang w:val="es-ES_tradnl" w:eastAsia="es-ES_tradnl"/>
        </w:rPr>
      </w:pPr>
    </w:p>
    <w:p w14:paraId="492DFF5C" w14:textId="77777777" w:rsidR="00BA0831" w:rsidRPr="00BA0831" w:rsidRDefault="00BA0831" w:rsidP="000F0604">
      <w:pPr>
        <w:spacing w:after="0" w:line="276" w:lineRule="auto"/>
        <w:jc w:val="both"/>
        <w:rPr>
          <w:rFonts w:ascii="Century Gothic" w:eastAsia="Times New Roman" w:hAnsi="Century Gothic" w:cs="Arial"/>
          <w:bCs/>
          <w:shd w:val="clear" w:color="auto" w:fill="FFFFFF"/>
          <w:lang w:eastAsia="es-ES_tradnl"/>
        </w:rPr>
      </w:pPr>
      <w:r w:rsidRPr="00BA0831">
        <w:rPr>
          <w:rFonts w:ascii="Century Gothic" w:eastAsia="Calibri" w:hAnsi="Century Gothic" w:cs="Arial"/>
          <w:bCs/>
          <w:lang w:val="es-ES_tradnl" w:eastAsia="es-ES_tradnl"/>
        </w:rPr>
        <w:lastRenderedPageBreak/>
        <w:t>En el marco de la Ley 2046 de 2020, se expidió el Decreto 248 del 9 de marzo de 2021, “</w:t>
      </w:r>
      <w:r w:rsidRPr="00BA0831">
        <w:rPr>
          <w:rFonts w:ascii="Century Gothic" w:eastAsia="Times New Roman" w:hAnsi="Century Gothic" w:cs="Arial"/>
          <w:bCs/>
          <w:shd w:val="clear" w:color="auto" w:fill="FFFFFF"/>
          <w:lang w:eastAsia="es-ES_tradnl"/>
        </w:rPr>
        <w:t>Por el cual se adiciona la Parte 20 al Libro 2 del Decreto 1071 de 2015, Decreto Único Reglamentario del Sector Administrativo Agropecuario, Pesquero y de Desarrollo Rural, relacionado con las compras públicas de alimentos</w:t>
      </w:r>
      <w:r w:rsidRPr="00BA0831">
        <w:rPr>
          <w:rFonts w:ascii="Century Gothic" w:eastAsia="Calibri" w:hAnsi="Century Gothic" w:cs="Arial"/>
          <w:lang w:val="es-ES_tradnl"/>
        </w:rPr>
        <w:t>”</w:t>
      </w:r>
      <w:r w:rsidRPr="00BA0831">
        <w:rPr>
          <w:rFonts w:ascii="Century Gothic" w:eastAsia="Times New Roman" w:hAnsi="Century Gothic" w:cs="Arial"/>
          <w:bCs/>
          <w:shd w:val="clear" w:color="auto" w:fill="FFFFFF"/>
          <w:lang w:eastAsia="es-ES_tradnl"/>
        </w:rPr>
        <w:t xml:space="preserve">. En la memoria justificativa de este decreto se expresó: </w:t>
      </w:r>
    </w:p>
    <w:p w14:paraId="04AA5493" w14:textId="77777777" w:rsidR="00BA0831" w:rsidRPr="00BA0831" w:rsidRDefault="00BA0831" w:rsidP="000F0604">
      <w:pPr>
        <w:spacing w:after="0" w:line="276" w:lineRule="auto"/>
        <w:jc w:val="both"/>
        <w:rPr>
          <w:rFonts w:ascii="Century Gothic" w:eastAsia="Times New Roman" w:hAnsi="Century Gothic" w:cs="Arial"/>
          <w:bCs/>
          <w:shd w:val="clear" w:color="auto" w:fill="FFFFFF"/>
          <w:lang w:eastAsia="es-ES_tradnl"/>
        </w:rPr>
      </w:pPr>
    </w:p>
    <w:p w14:paraId="157B5150" w14:textId="77777777" w:rsidR="00BA0831" w:rsidRPr="00BA0831" w:rsidRDefault="00BA0831" w:rsidP="000F0604">
      <w:pPr>
        <w:spacing w:after="0" w:line="240" w:lineRule="auto"/>
        <w:ind w:left="709" w:right="709"/>
        <w:contextualSpacing/>
        <w:jc w:val="both"/>
        <w:rPr>
          <w:rFonts w:ascii="Century Gothic" w:eastAsia="Calibri" w:hAnsi="Century Gothic" w:cs="Arial"/>
          <w:bCs/>
          <w:sz w:val="20"/>
          <w:szCs w:val="20"/>
          <w:lang w:val="es-ES_tradnl" w:eastAsia="es-ES_tradnl"/>
        </w:rPr>
      </w:pPr>
      <w:r w:rsidRPr="00BA0831">
        <w:rPr>
          <w:rFonts w:ascii="Century Gothic" w:eastAsia="Times New Roman" w:hAnsi="Century Gothic" w:cs="Arial"/>
          <w:bCs/>
          <w:sz w:val="20"/>
          <w:szCs w:val="20"/>
          <w:lang w:val="es-ES_tradnl" w:eastAsia="es-ES_tradnl"/>
        </w:rPr>
        <w:t>“</w:t>
      </w:r>
      <w:r w:rsidRPr="00BA0831">
        <w:rPr>
          <w:rFonts w:ascii="Century Gothic" w:eastAsia="Times New Roman" w:hAnsi="Century Gothic" w:cs="Arial"/>
          <w:bCs/>
          <w:sz w:val="20"/>
          <w:szCs w:val="20"/>
          <w:shd w:val="clear" w:color="auto" w:fill="FFFFFF"/>
          <w:lang w:eastAsia="es-ES_tradnl"/>
        </w:rPr>
        <w:t>La importancia de las compras públicas locales para el desarrollo territorial fue también resaltada en la Reforma Rural Integral –RRI, planteada en el Acuerdo Final Para la Terminación del Conflicto y Construcción de una Paz Estable y Duradera suscrito entre el Gobierno Nacional y las Fuerzas Armadas Revolucionarias de Colombia –FARC. En la RRI, en su numeral 1.3.3.4. plantea la formulación e implementación del Plan Nacional para la Promoción de la Comercialización de la Producción de la Economía Campesina, Familiar y Comunitaria, que contiene, una seria de medidas para estimular el mercadeo de los productos campesinos, ordenando entre otras, el diseño e implementación progresiva de un mecanismo de compras públicas para atender la demanda de las entidades y programas institucionales, que de manera descentralizada, que fomente la producción local para apoyar la comercialización y absorción de la producción de la economía campesina familiar y comunitaria</w:t>
      </w:r>
      <w:r w:rsidRPr="00BA0831">
        <w:rPr>
          <w:rFonts w:ascii="Century Gothic" w:eastAsia="Times New Roman" w:hAnsi="Century Gothic" w:cs="Arial"/>
          <w:bCs/>
          <w:sz w:val="20"/>
          <w:szCs w:val="20"/>
          <w:lang w:val="es-ES_tradnl" w:eastAsia="es-ES_tradnl"/>
        </w:rPr>
        <w:t>”</w:t>
      </w:r>
      <w:r w:rsidRPr="00BA0831">
        <w:rPr>
          <w:rFonts w:ascii="Century Gothic" w:eastAsia="Times New Roman" w:hAnsi="Century Gothic" w:cs="Arial"/>
          <w:bCs/>
          <w:sz w:val="20"/>
          <w:szCs w:val="20"/>
          <w:shd w:val="clear" w:color="auto" w:fill="FFFFFF"/>
          <w:vertAlign w:val="superscript"/>
          <w:lang w:eastAsia="es-ES_tradnl"/>
        </w:rPr>
        <w:footnoteReference w:id="9"/>
      </w:r>
      <w:r w:rsidRPr="00BA0831">
        <w:rPr>
          <w:rFonts w:ascii="Century Gothic" w:eastAsia="Times New Roman" w:hAnsi="Century Gothic" w:cs="Arial"/>
          <w:bCs/>
          <w:sz w:val="20"/>
          <w:szCs w:val="20"/>
          <w:shd w:val="clear" w:color="auto" w:fill="FFFFFF"/>
          <w:lang w:eastAsia="es-ES_tradnl"/>
        </w:rPr>
        <w:t xml:space="preserve">. </w:t>
      </w:r>
    </w:p>
    <w:p w14:paraId="36EB2F99" w14:textId="77777777" w:rsidR="00BA0831" w:rsidRPr="00BA0831" w:rsidRDefault="00BA0831" w:rsidP="000F0604">
      <w:pPr>
        <w:spacing w:after="0" w:line="276" w:lineRule="auto"/>
        <w:jc w:val="both"/>
        <w:rPr>
          <w:rFonts w:ascii="Century Gothic" w:eastAsia="Calibri" w:hAnsi="Century Gothic" w:cs="Arial"/>
          <w:bCs/>
          <w:szCs w:val="24"/>
          <w:lang w:val="es-ES_tradnl" w:eastAsia="es-ES_tradnl"/>
        </w:rPr>
      </w:pPr>
    </w:p>
    <w:p w14:paraId="778DC9A2" w14:textId="77777777" w:rsidR="00BA0831" w:rsidRPr="00BA0831" w:rsidRDefault="00BA0831" w:rsidP="000F0604">
      <w:pPr>
        <w:spacing w:after="120" w:line="276" w:lineRule="auto"/>
        <w:jc w:val="both"/>
        <w:rPr>
          <w:rFonts w:ascii="Century Gothic" w:eastAsia="Calibri" w:hAnsi="Century Gothic" w:cs="Arial"/>
          <w:bCs/>
          <w:lang w:val="es-ES_tradnl" w:eastAsia="es-ES_tradnl"/>
        </w:rPr>
      </w:pPr>
      <w:r w:rsidRPr="00BA0831">
        <w:rPr>
          <w:rFonts w:ascii="Century Gothic" w:eastAsia="Calibri" w:hAnsi="Century Gothic" w:cs="Arial"/>
          <w:bCs/>
          <w:szCs w:val="24"/>
          <w:lang w:val="es-ES_tradnl" w:eastAsia="es-ES_tradnl"/>
        </w:rPr>
        <w:tab/>
      </w:r>
      <w:r w:rsidRPr="00BA0831">
        <w:rPr>
          <w:rFonts w:ascii="Century Gothic" w:eastAsia="Calibri" w:hAnsi="Century Gothic" w:cs="Arial"/>
          <w:bCs/>
          <w:lang w:val="es-ES_tradnl" w:eastAsia="es-ES_tradnl"/>
        </w:rPr>
        <w:t xml:space="preserve">Este reglamento adiciona la Parte 20 del Libro 2 del Decreto 1071 de 2015, el cual desarrolla el sistema de compra pública de alimentos. También detalla varios aspectos como las definiciones, el mínimo de compras públicas de alimentos y suministros, los puntajes adicionales obligatorios dentro de los Procesos de Contratación y los puntajes adicionales facultativos, entre otros. </w:t>
      </w:r>
    </w:p>
    <w:p w14:paraId="76E7BFC8" w14:textId="77777777" w:rsidR="00F07AA4" w:rsidRDefault="00BA0831" w:rsidP="000F0604">
      <w:pPr>
        <w:spacing w:after="120" w:line="276" w:lineRule="auto"/>
        <w:jc w:val="both"/>
        <w:rPr>
          <w:rFonts w:ascii="Century Gothic" w:eastAsia="Times New Roman" w:hAnsi="Century Gothic" w:cs="Arial"/>
          <w:lang w:eastAsia="es-ES_tradnl"/>
        </w:rPr>
      </w:pPr>
      <w:r w:rsidRPr="00BA0831">
        <w:rPr>
          <w:rFonts w:ascii="Century Gothic" w:eastAsia="Calibri" w:hAnsi="Century Gothic" w:cs="Arial"/>
          <w:bCs/>
          <w:lang w:val="es-ES_tradnl" w:eastAsia="es-ES_tradnl"/>
        </w:rPr>
        <w:tab/>
        <w:t xml:space="preserve">Dentro de estas reglas, es importante señalar que el artículo 2.20.1.1.3. del Decreto 1071 de 2015 dispuso que las </w:t>
      </w:r>
      <w:r w:rsidRPr="00BA0831">
        <w:rPr>
          <w:rFonts w:ascii="Century Gothic" w:eastAsia="Times New Roman" w:hAnsi="Century Gothic" w:cs="Arial"/>
          <w:lang w:eastAsia="es-ES_tradnl"/>
        </w:rPr>
        <w:t xml:space="preserve">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el deber de adquirir alimentos comprados a pequeños productores agropecuarios locales y/o a productores de la Agricultura Campesina, Familiar o Comunitaria locales y sus organizaciones, en un porcentaje mínimo del treinta por </w:t>
      </w:r>
      <w:r w:rsidRPr="00BA0831">
        <w:rPr>
          <w:rFonts w:ascii="Century Gothic" w:eastAsia="Times New Roman" w:hAnsi="Century Gothic" w:cs="Arial"/>
          <w:lang w:eastAsia="es-ES_tradnl"/>
        </w:rPr>
        <w:lastRenderedPageBreak/>
        <w:t xml:space="preserve">ciento (30%) del valor total de los recursos del presupuesto de cada entidad destinados a la compra de alimentos. </w:t>
      </w:r>
    </w:p>
    <w:p w14:paraId="157D4FE1" w14:textId="1125EC52" w:rsidR="00BA0831" w:rsidRPr="00BA0831" w:rsidRDefault="00BA0831" w:rsidP="000F0604">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Asimismo, dispone que en el evento que la oferta de alimentos producidos por pequeños productores y/o productores de la Agricultura Campesina, Familiar o Comunitaria local sea inferior al treinta por ciento (30%), las entidades deben informar de esta situación a la Secretaría Técnica de la Mesa Técnica Nacional de Compras Públicas Locales en el término máximo de cinco (5) días hábiles siguientes una vez advertida la situación. Recibida la comunicación de parte de la entidad contratante, la Secretaría Técnica de la Mesa tendrá cinco (5) días hábiles para realizar las gestiones necesarias para otorgar un listado de pequeños productores y/o productores de la Agricultura Campesina, Familiar o Comunitaria no locales a quienes puede acudir para suplir el porcentaje restante.</w:t>
      </w:r>
    </w:p>
    <w:p w14:paraId="036E2051" w14:textId="77777777" w:rsidR="00BA0831" w:rsidRPr="00BA0831" w:rsidRDefault="00BA0831" w:rsidP="000F0604">
      <w:pPr>
        <w:spacing w:after="120" w:line="276" w:lineRule="auto"/>
        <w:jc w:val="both"/>
        <w:rPr>
          <w:rFonts w:ascii="Century Gothic" w:eastAsia="Times New Roman" w:hAnsi="Century Gothic" w:cs="Arial"/>
          <w:bCs/>
          <w:lang w:eastAsia="es-ES_tradnl"/>
        </w:rPr>
      </w:pPr>
      <w:r w:rsidRPr="00BA0831">
        <w:rPr>
          <w:rFonts w:ascii="Century Gothic" w:eastAsia="Times New Roman" w:hAnsi="Century Gothic" w:cs="Arial"/>
          <w:lang w:eastAsia="es-ES_tradnl"/>
        </w:rPr>
        <w:tab/>
        <w:t xml:space="preserve">En este punto, resulta pertinente señalar que el artículo </w:t>
      </w:r>
      <w:r w:rsidRPr="00BA0831">
        <w:rPr>
          <w:rFonts w:ascii="Century Gothic" w:eastAsia="Times New Roman" w:hAnsi="Century Gothic" w:cs="Arial"/>
          <w:bCs/>
          <w:lang w:eastAsia="es-ES_tradnl"/>
        </w:rPr>
        <w:t xml:space="preserve">2.20.1.1.3. </w:t>
      </w:r>
      <w:r w:rsidRPr="00BA0831">
        <w:rPr>
          <w:rFonts w:ascii="Century Gothic" w:eastAsia="Times New Roman" w:hAnsi="Century Gothic" w:cs="Arial"/>
          <w:bCs/>
          <w:i/>
          <w:iCs/>
          <w:lang w:eastAsia="es-ES_tradnl"/>
        </w:rPr>
        <w:t>ibidem</w:t>
      </w:r>
      <w:r w:rsidRPr="00BA0831">
        <w:rPr>
          <w:rFonts w:ascii="Century Gothic" w:eastAsia="Times New Roman" w:hAnsi="Century Gothic" w:cs="Arial"/>
          <w:bCs/>
          <w:lang w:eastAsia="es-ES_tradnl"/>
        </w:rPr>
        <w:t xml:space="preserve"> debe interpretarse de forma sistemática con la Ley 2046 de 2020, la cual como se señaló en el acápite anterior, busca establecer una serie de instrumentos tendientes a que en todos los programas de adquisición, suministro y distribución de alimentos con cargo a recursos públicos se promueva la participación de pequeños productores locales agropecuarios cuyos sistemas productivos pertenezcan a la Agricultura Campesina, Familiar y Comunitaria, o de sus organizaciones legalmente constituidas y los artículos 64 y 65 de la Constitución Política de Colombia. </w:t>
      </w:r>
    </w:p>
    <w:p w14:paraId="32DA7208" w14:textId="77777777" w:rsidR="00BA0831" w:rsidRPr="00BA0831" w:rsidRDefault="00BA0831" w:rsidP="000F0604">
      <w:pPr>
        <w:spacing w:after="120" w:line="276" w:lineRule="auto"/>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ab/>
        <w:t xml:space="preserve">Adicionalmente, el Decreto 248 de 2021 trae consigo un esquema de puntajes adicionales obligatorios que se específica en el artículo 2.20.1.2.1. En aquel, se señala que las Entidades Públicas descentralizadas del orden nacional y las entidades territoriales, cada vez que requieran productos de origen agropecuario para atender la demanda de los programas institucionales de servicios de alimentación definidos en el decreto, asignarán los siguientes puntajes adicionales en las modalidades de selección previstas en el artículo 2º de la Ley 1150 de 2007, en las que se otorguen puntajes a los oferentes dentro de sus procedimientos, cuando los oferentes presenten uno o más contratos de proveeduría suscritos con productores agropecuarios nacionales: </w:t>
      </w:r>
      <w:r w:rsidRPr="00BA0831">
        <w:rPr>
          <w:rFonts w:ascii="Century Gothic" w:eastAsia="Times New Roman" w:hAnsi="Century Gothic" w:cs="Arial"/>
          <w:i/>
          <w:iCs/>
          <w:lang w:eastAsia="es-ES_tradnl"/>
        </w:rPr>
        <w:t>(i)</w:t>
      </w:r>
      <w:r w:rsidRPr="00BA0831">
        <w:rPr>
          <w:rFonts w:ascii="Century Gothic" w:eastAsia="Times New Roman" w:hAnsi="Century Gothic" w:cs="Arial"/>
          <w:lang w:eastAsia="es-ES_tradnl"/>
        </w:rPr>
        <w:t xml:space="preserve"> </w:t>
      </w:r>
      <w:r w:rsidRPr="00BA0831">
        <w:rPr>
          <w:rFonts w:ascii="Century Gothic" w:eastAsia="Times New Roman" w:hAnsi="Century Gothic" w:cs="Arial"/>
          <w:i/>
          <w:iCs/>
          <w:lang w:eastAsia="es-ES_tradnl"/>
        </w:rPr>
        <w:t>Cuota Parafiscal</w:t>
      </w:r>
      <w:r w:rsidRPr="00BA0831">
        <w:rPr>
          <w:rFonts w:ascii="Century Gothic" w:eastAsia="Times New Roman" w:hAnsi="Century Gothic" w:cs="Arial"/>
          <w:lang w:eastAsia="es-ES_tradnl"/>
        </w:rPr>
        <w:t xml:space="preserve"> (asignación del 6% de los puntos al oferente cuya mayoría de proveedores esté a paz y salvo con el pago de la respectiva cuota parafiscal, en caso de que cuenten con el fondo parafiscal) y </w:t>
      </w:r>
      <w:r w:rsidRPr="00BA0831">
        <w:rPr>
          <w:rFonts w:ascii="Century Gothic" w:eastAsia="Times New Roman" w:hAnsi="Century Gothic" w:cs="Arial"/>
          <w:i/>
          <w:iCs/>
          <w:lang w:eastAsia="es-ES_tradnl"/>
        </w:rPr>
        <w:t xml:space="preserve">(ii) Proveedor Directo </w:t>
      </w:r>
      <w:r w:rsidRPr="00BA0831">
        <w:rPr>
          <w:rFonts w:ascii="Century Gothic" w:eastAsia="Times New Roman" w:hAnsi="Century Gothic" w:cs="Arial"/>
          <w:lang w:eastAsia="es-ES_tradnl"/>
        </w:rPr>
        <w:t xml:space="preserve">(asignación del 6% adicional al oferente que también tenga la calidad de pequeño productor </w:t>
      </w:r>
      <w:r w:rsidRPr="00BA0831">
        <w:rPr>
          <w:rFonts w:ascii="Century Gothic" w:eastAsia="Times New Roman" w:hAnsi="Century Gothic" w:cs="Arial"/>
          <w:lang w:eastAsia="es-ES_tradnl"/>
        </w:rPr>
        <w:lastRenderedPageBreak/>
        <w:t>y/o productor de la Agricultura Campesina, Familiar y Comunitaria y/o sus organizaciones).</w:t>
      </w:r>
    </w:p>
    <w:p w14:paraId="01557600" w14:textId="77777777" w:rsidR="00BA0831" w:rsidRPr="00BA0831" w:rsidRDefault="00BA0831" w:rsidP="000F0604">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Con todo, a través del artículo 2.20.1.2.2. se establecen unos puntajes adicionales facultativos que habrán de tener en cuenta las Entidades Públicas descentralizadas del orden nacional y las entidades territoriales cada vez que requieran productos de origen agropecuario para atender la demanda de los programas institucionales de servicios de alimentación, siempre que los oferentes presenten uno o más contratos de proveeduría suscritos con productores agropecuarios nacionales: </w:t>
      </w:r>
      <w:r w:rsidRPr="00BA0831">
        <w:rPr>
          <w:rFonts w:ascii="Century Gothic" w:eastAsia="Times New Roman" w:hAnsi="Century Gothic" w:cs="Arial"/>
          <w:i/>
          <w:iCs/>
          <w:lang w:eastAsia="es-ES_tradnl"/>
        </w:rPr>
        <w:t>(i) Zonificación de Aptitud Productiva</w:t>
      </w:r>
      <w:r w:rsidRPr="00BA0831">
        <w:rPr>
          <w:rFonts w:ascii="Century Gothic" w:eastAsia="Times New Roman" w:hAnsi="Century Gothic" w:cs="Arial"/>
          <w:lang w:eastAsia="es-ES_tradnl"/>
        </w:rPr>
        <w:t xml:space="preserve"> (asignación del 6% de los puntos al oferente cuyos proveedores de productos agropecuarios desarrollen su actividad económica en los municipios identificados con aptitud productiva o mayor índice de desempeño productivo) y </w:t>
      </w:r>
      <w:r w:rsidRPr="00BA0831">
        <w:rPr>
          <w:rFonts w:ascii="Century Gothic" w:eastAsia="Times New Roman" w:hAnsi="Century Gothic" w:cs="Arial"/>
          <w:i/>
          <w:iCs/>
          <w:lang w:eastAsia="es-ES_tradnl"/>
        </w:rPr>
        <w:t>(ii) Usuarios del Sistema de Extensión Agropecuaria</w:t>
      </w:r>
      <w:r w:rsidRPr="00BA0831">
        <w:rPr>
          <w:rFonts w:ascii="Century Gothic" w:eastAsia="Times New Roman" w:hAnsi="Century Gothic" w:cs="Arial"/>
          <w:lang w:eastAsia="es-ES_tradnl"/>
        </w:rPr>
        <w:t xml:space="preserve"> (asignación del 6% de los puntos al oferente cuyos proveedores de servicios agropecuarios sean usuarios del servicio público de extensión agropecuaria enmarcado en la Ley 1876 de 2017).</w:t>
      </w:r>
    </w:p>
    <w:p w14:paraId="469C905A" w14:textId="77777777" w:rsidR="00BA0831" w:rsidRPr="00BA0831" w:rsidRDefault="00BA0831" w:rsidP="000F0604">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Incluso, el artículo </w:t>
      </w:r>
      <w:r w:rsidRPr="00BA0831">
        <w:rPr>
          <w:rFonts w:ascii="Century Gothic" w:eastAsia="Times New Roman" w:hAnsi="Century Gothic" w:cs="Arial"/>
          <w:i/>
          <w:iCs/>
          <w:lang w:eastAsia="es-ES_tradnl"/>
        </w:rPr>
        <w:t>2.20.1.2.3.</w:t>
      </w:r>
      <w:r w:rsidRPr="00BA0831">
        <w:rPr>
          <w:rFonts w:ascii="Century Gothic" w:eastAsia="Times New Roman" w:hAnsi="Century Gothic" w:cs="Arial"/>
          <w:lang w:eastAsia="es-ES_tradnl"/>
        </w:rPr>
        <w:t xml:space="preserve"> determina un puntaje adicional al pequeño productor agropecuario local o productor local de la Agricultura Campesina, Familiar o Comunitaria Local y/o sus organizaciones, consistente en un porcentaje mínimo del diez por ciento (10%) del total de los puntos, adicional a los puntajes de los anteriores artículos, 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p>
    <w:p w14:paraId="7F5AA8EE" w14:textId="77777777" w:rsidR="00BA0831" w:rsidRPr="00BA0831" w:rsidRDefault="00BA0831" w:rsidP="000F0604">
      <w:pPr>
        <w:spacing w:after="120" w:line="276" w:lineRule="auto"/>
        <w:ind w:firstLine="708"/>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 xml:space="preserve">Ahora bien, teniendo en cuenta esta promoción de compra pública de alimentos, el artículo </w:t>
      </w:r>
      <w:r w:rsidRPr="00BA0831">
        <w:rPr>
          <w:rFonts w:ascii="Century Gothic" w:eastAsia="Times New Roman" w:hAnsi="Century Gothic" w:cs="Arial"/>
          <w:bCs/>
          <w:lang w:eastAsia="es-ES_tradnl"/>
        </w:rPr>
        <w:t>2.20.1.1.4. regula el contrato de promesa de proveeduría</w:t>
      </w:r>
      <w:r w:rsidRPr="00BA0831">
        <w:rPr>
          <w:rFonts w:ascii="Century Gothic" w:eastAsia="Times New Roman" w:hAnsi="Century Gothic" w:cs="Arial"/>
          <w:bCs/>
          <w:vertAlign w:val="superscript"/>
          <w:lang w:eastAsia="es-ES_tradnl"/>
        </w:rPr>
        <w:footnoteReference w:id="10"/>
      </w:r>
      <w:r w:rsidRPr="00BA0831">
        <w:rPr>
          <w:rFonts w:ascii="Century Gothic" w:eastAsia="Times New Roman" w:hAnsi="Century Gothic" w:cs="Arial"/>
          <w:bCs/>
          <w:lang w:eastAsia="es-ES_tradnl"/>
        </w:rPr>
        <w:t xml:space="preserve">. La </w:t>
      </w:r>
      <w:r w:rsidRPr="00BA0831">
        <w:rPr>
          <w:rFonts w:ascii="Century Gothic" w:eastAsia="Times New Roman" w:hAnsi="Century Gothic" w:cs="Arial"/>
          <w:bCs/>
          <w:lang w:eastAsia="es-ES_tradnl"/>
        </w:rPr>
        <w:lastRenderedPageBreak/>
        <w:t>norma prescribe que l</w:t>
      </w:r>
      <w:r w:rsidRPr="00BA0831">
        <w:rPr>
          <w:rFonts w:ascii="Century Gothic" w:eastAsia="Times New Roman" w:hAnsi="Century Gothic" w:cs="Arial"/>
          <w:lang w:eastAsia="es-ES_tradnl"/>
        </w:rPr>
        <w:t>as entidades que contraten con recursos públicos la adquisición, suministro y entrega de alimentos en cualquiera de sus modalidades de atención, deben solicitar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La promesa de contrato de proveeduría debe constar por escrito. En tal sentido, este artículo dispone que cuando se presenta la promesa de contrato de proveeduría, la entidad debe verificar que el contrato de proveeduría se haya celebrado con los pequeños productores y/o productores de la Agricultura Campesina, Familiar o Comunitaria locales y sus organizaciones.</w:t>
      </w:r>
    </w:p>
    <w:p w14:paraId="540FAEC4" w14:textId="77777777" w:rsidR="00BA0831" w:rsidRPr="00BA0831" w:rsidRDefault="00BA0831" w:rsidP="000F0604">
      <w:pPr>
        <w:spacing w:after="0" w:line="276" w:lineRule="auto"/>
        <w:jc w:val="both"/>
        <w:rPr>
          <w:rFonts w:ascii="Century Gothic" w:eastAsia="Times New Roman" w:hAnsi="Century Gothic" w:cs="Arial"/>
          <w:lang w:eastAsia="es-ES_tradnl"/>
        </w:rPr>
      </w:pPr>
      <w:r w:rsidRPr="00BA0831">
        <w:rPr>
          <w:rFonts w:ascii="Century Gothic" w:eastAsia="Times New Roman" w:hAnsi="Century Gothic" w:cs="Arial"/>
          <w:lang w:eastAsia="es-ES_tradnl"/>
        </w:rPr>
        <w:tab/>
        <w:t>Para entender si este contrato de promesa de proveeduría es un requisito habilitante o un factor de evaluación dentro de las diferentes modalidades contractuales, es necesaria una interpretación sistemática</w:t>
      </w:r>
      <w:r w:rsidRPr="00BA0831">
        <w:rPr>
          <w:rFonts w:ascii="Century Gothic" w:eastAsia="Times New Roman" w:hAnsi="Century Gothic" w:cs="Arial"/>
          <w:vertAlign w:val="superscript"/>
          <w:lang w:eastAsia="es-ES_tradnl"/>
        </w:rPr>
        <w:footnoteReference w:id="11"/>
      </w:r>
      <w:r w:rsidRPr="00BA0831">
        <w:rPr>
          <w:rFonts w:ascii="Century Gothic" w:eastAsia="Times New Roman" w:hAnsi="Century Gothic" w:cs="Arial"/>
          <w:lang w:eastAsia="es-ES_tradnl"/>
        </w:rPr>
        <w:t xml:space="preserve"> con el artículo 2.20.1.2.3 </w:t>
      </w:r>
      <w:r w:rsidRPr="00BA0831">
        <w:rPr>
          <w:rFonts w:ascii="Century Gothic" w:eastAsia="Times New Roman" w:hAnsi="Century Gothic" w:cs="Arial"/>
          <w:i/>
          <w:iCs/>
          <w:lang w:eastAsia="es-ES_tradnl"/>
        </w:rPr>
        <w:t>ibidem</w:t>
      </w:r>
      <w:r w:rsidRPr="00BA0831">
        <w:rPr>
          <w:rFonts w:ascii="Century Gothic" w:eastAsia="Times New Roman" w:hAnsi="Century Gothic" w:cs="Arial"/>
          <w:lang w:eastAsia="es-ES_tradnl"/>
        </w:rPr>
        <w:t xml:space="preserve"> que establece uno de los puntajes adicionales que se regulan en este Decreto, cuyo tenor literal prescribe lo siguiente: </w:t>
      </w:r>
    </w:p>
    <w:p w14:paraId="78B07C3A" w14:textId="77777777" w:rsidR="00BA0831" w:rsidRPr="00BA0831" w:rsidRDefault="00BA0831" w:rsidP="000F0604">
      <w:pPr>
        <w:spacing w:after="0" w:line="276" w:lineRule="auto"/>
        <w:jc w:val="both"/>
        <w:rPr>
          <w:rFonts w:ascii="Century Gothic" w:eastAsia="Times New Roman" w:hAnsi="Century Gothic" w:cs="Arial"/>
          <w:lang w:eastAsia="es-ES_tradnl"/>
        </w:rPr>
      </w:pPr>
    </w:p>
    <w:p w14:paraId="259AB3E9" w14:textId="77777777" w:rsidR="00BA0831" w:rsidRPr="00BA0831" w:rsidRDefault="00BA0831" w:rsidP="000F0604">
      <w:pPr>
        <w:shd w:val="clear" w:color="auto" w:fill="FFFFFF"/>
        <w:spacing w:after="0" w:line="240" w:lineRule="auto"/>
        <w:ind w:left="709" w:right="709"/>
        <w:jc w:val="both"/>
        <w:rPr>
          <w:rFonts w:ascii="Century Gothic" w:eastAsia="Times New Roman" w:hAnsi="Century Gothic" w:cs="Arial"/>
          <w:sz w:val="20"/>
          <w:szCs w:val="20"/>
          <w:lang w:eastAsia="es-CO"/>
        </w:rPr>
      </w:pPr>
      <w:r w:rsidRPr="00BA0831">
        <w:rPr>
          <w:rFonts w:ascii="Century Gothic" w:eastAsia="Times New Roman" w:hAnsi="Century Gothic" w:cs="Arial"/>
          <w:bCs/>
          <w:sz w:val="20"/>
          <w:szCs w:val="20"/>
          <w:lang w:val="es-ES_tradnl" w:eastAsia="es-CO"/>
        </w:rPr>
        <w:t>“</w:t>
      </w:r>
      <w:r w:rsidRPr="00BA0831">
        <w:rPr>
          <w:rFonts w:ascii="Century Gothic" w:eastAsia="Times New Roman" w:hAnsi="Century Gothic" w:cs="Arial"/>
          <w:sz w:val="20"/>
          <w:szCs w:val="20"/>
          <w:lang w:eastAsia="es-CO"/>
        </w:rPr>
        <w:t xml:space="preserve">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asignarán un puntaje mínimo del 10% del total de los puntos, en las modalidades de selección previstas en el artículo 2° de la Ley 1150 de 2007, en las que se </w:t>
      </w:r>
      <w:r w:rsidRPr="00BA0831">
        <w:rPr>
          <w:rFonts w:ascii="Century Gothic" w:eastAsia="Times New Roman" w:hAnsi="Century Gothic" w:cs="Arial"/>
          <w:sz w:val="20"/>
          <w:szCs w:val="20"/>
          <w:lang w:eastAsia="es-CO"/>
        </w:rPr>
        <w:lastRenderedPageBreak/>
        <w:t xml:space="preserve">otorguen puntajes a los oferentes dentro de sus procedimientos, adicional a los puntajes de los artículos 2.20.1.2.1 y 2.20.1.2.2 del presente Título, </w:t>
      </w:r>
      <w:r w:rsidRPr="00BA0831">
        <w:rPr>
          <w:rFonts w:ascii="Century Gothic" w:eastAsia="Times New Roman" w:hAnsi="Century Gothic" w:cs="Arial"/>
          <w:i/>
          <w:sz w:val="20"/>
          <w:szCs w:val="20"/>
          <w:lang w:eastAsia="es-CO"/>
        </w:rPr>
        <w:t>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r w:rsidRPr="00BA0831">
        <w:rPr>
          <w:rFonts w:ascii="Century Gothic" w:eastAsia="Times New Roman" w:hAnsi="Century Gothic" w:cs="Arial"/>
          <w:bCs/>
          <w:sz w:val="20"/>
          <w:szCs w:val="20"/>
          <w:lang w:val="es-ES_tradnl" w:eastAsia="es-CO"/>
        </w:rPr>
        <w:t>”</w:t>
      </w:r>
      <w:r w:rsidRPr="00BA0831">
        <w:rPr>
          <w:rFonts w:ascii="Century Gothic" w:eastAsia="Times New Roman" w:hAnsi="Century Gothic" w:cs="Arial"/>
          <w:iCs/>
          <w:sz w:val="20"/>
          <w:szCs w:val="20"/>
          <w:lang w:eastAsia="es-CO"/>
        </w:rPr>
        <w:t>.</w:t>
      </w:r>
      <w:r w:rsidRPr="00BA0831">
        <w:rPr>
          <w:rFonts w:ascii="Century Gothic" w:eastAsia="Times New Roman" w:hAnsi="Century Gothic" w:cs="Arial"/>
          <w:sz w:val="20"/>
          <w:szCs w:val="20"/>
          <w:lang w:eastAsia="es-CO"/>
        </w:rPr>
        <w:t xml:space="preserve"> (Énfasis fuera de texto) </w:t>
      </w:r>
    </w:p>
    <w:p w14:paraId="3AF4A86B" w14:textId="77777777" w:rsidR="00BA0831" w:rsidRPr="00BA0831" w:rsidRDefault="00BA0831" w:rsidP="000F0604">
      <w:pPr>
        <w:shd w:val="clear" w:color="auto" w:fill="FFFFFF"/>
        <w:spacing w:after="0" w:line="276" w:lineRule="auto"/>
        <w:ind w:left="709" w:right="709"/>
        <w:jc w:val="both"/>
        <w:rPr>
          <w:rFonts w:ascii="Century Gothic" w:eastAsia="Times New Roman" w:hAnsi="Century Gothic" w:cs="Arial"/>
          <w:lang w:eastAsia="es-CO"/>
        </w:rPr>
      </w:pPr>
    </w:p>
    <w:p w14:paraId="56EDE23E" w14:textId="77777777" w:rsidR="00BA0831" w:rsidRPr="00BA0831" w:rsidRDefault="00BA0831" w:rsidP="000F0604">
      <w:pPr>
        <w:shd w:val="clear" w:color="auto" w:fill="FFFFFF"/>
        <w:spacing w:after="120" w:line="276" w:lineRule="auto"/>
        <w:jc w:val="both"/>
        <w:rPr>
          <w:rFonts w:ascii="Century Gothic" w:eastAsia="Times New Roman" w:hAnsi="Century Gothic" w:cs="Arial"/>
          <w:bCs/>
          <w:lang w:eastAsia="es-CO"/>
        </w:rPr>
      </w:pPr>
      <w:r w:rsidRPr="00BA0831">
        <w:rPr>
          <w:rFonts w:ascii="Century Gothic" w:eastAsia="Times New Roman" w:hAnsi="Century Gothic" w:cs="Arial"/>
          <w:sz w:val="21"/>
          <w:szCs w:val="21"/>
          <w:lang w:eastAsia="es-CO"/>
        </w:rPr>
        <w:tab/>
      </w:r>
      <w:r w:rsidRPr="00BA0831">
        <w:rPr>
          <w:rFonts w:ascii="Century Gothic" w:eastAsia="Times New Roman" w:hAnsi="Century Gothic" w:cs="Arial"/>
          <w:lang w:eastAsia="es-CO"/>
        </w:rPr>
        <w:t xml:space="preserve">A partir de la interpretación del Decreto 248 de 2021, que modifica el Decreto 1071 de 2015, </w:t>
      </w:r>
      <w:r w:rsidRPr="00BA0831">
        <w:rPr>
          <w:rFonts w:ascii="Century Gothic" w:eastAsia="Times New Roman" w:hAnsi="Century Gothic" w:cs="Arial"/>
          <w:bCs/>
          <w:lang w:eastAsia="es-CO"/>
        </w:rPr>
        <w:t xml:space="preserve">se deriva que el contrato de promesa de proveeduría tiene una naturaleza dual, pues no solo es un requisito habilitante en los procesos para </w:t>
      </w:r>
      <w:r w:rsidRPr="00BA0831">
        <w:rPr>
          <w:rFonts w:ascii="Century Gothic" w:eastAsia="Times New Roman" w:hAnsi="Century Gothic" w:cs="Arial"/>
          <w:lang w:eastAsia="es-CO"/>
        </w:rPr>
        <w:t xml:space="preserve">la adquisición, suministro y entrega de alimentos, sino que también </w:t>
      </w:r>
      <w:r w:rsidRPr="00BA0831">
        <w:rPr>
          <w:rFonts w:ascii="Century Gothic" w:eastAsia="Times New Roman" w:hAnsi="Century Gothic" w:cs="Arial"/>
          <w:bCs/>
          <w:lang w:eastAsia="es-CO"/>
        </w:rPr>
        <w:t xml:space="preserve">es documento necesario para acreditar uno de los puntajes adicionales previstos en el reglamento citado. </w:t>
      </w:r>
      <w:r w:rsidRPr="00BA0831">
        <w:rPr>
          <w:rFonts w:ascii="Century Gothic" w:eastAsia="Times New Roman" w:hAnsi="Century Gothic" w:cs="Arial"/>
          <w:bCs/>
          <w:i/>
          <w:iCs/>
          <w:lang w:eastAsia="es-CO"/>
        </w:rPr>
        <w:t>Por un lado</w:t>
      </w:r>
      <w:r w:rsidRPr="00BA0831">
        <w:rPr>
          <w:rFonts w:ascii="Century Gothic" w:eastAsia="Times New Roman" w:hAnsi="Century Gothic" w:cs="Arial"/>
          <w:bCs/>
          <w:lang w:eastAsia="es-CO"/>
        </w:rPr>
        <w:t xml:space="preserve">, de acuerdo con el artículo 2.20.1.1.4, la suscripción de este contrato </w:t>
      </w:r>
      <w:r w:rsidRPr="00BA0831">
        <w:rPr>
          <w:rFonts w:ascii="Century Gothic" w:eastAsia="Times New Roman" w:hAnsi="Century Gothic" w:cs="Arial"/>
          <w:lang w:eastAsia="es-CO"/>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Pr="00BA0831">
        <w:rPr>
          <w:rFonts w:ascii="Century Gothic" w:eastAsia="Times New Roman" w:hAnsi="Century Gothic" w:cs="Arial"/>
          <w:bCs/>
          <w:lang w:eastAsia="es-CO"/>
        </w:rPr>
        <w:t xml:space="preserve">congruente con el artículo 7 de la Ley 2046 de 2021 y el artículo </w:t>
      </w:r>
      <w:r w:rsidRPr="00BA0831">
        <w:rPr>
          <w:rFonts w:ascii="Century Gothic" w:eastAsia="Calibri" w:hAnsi="Century Gothic" w:cs="Arial"/>
          <w:bCs/>
          <w:lang w:val="es-ES_tradnl" w:eastAsia="es-CO"/>
        </w:rPr>
        <w:t xml:space="preserve">2.20.1.1.3. del Decreto 1071 de 2015, en la medida que </w:t>
      </w:r>
      <w:r w:rsidRPr="00BA0831">
        <w:rPr>
          <w:rFonts w:ascii="Century Gothic" w:eastAsia="Times New Roman" w:hAnsi="Century Gothic" w:cs="Arial"/>
          <w:lang w:eastAsia="es-CO"/>
        </w:rPr>
        <w:t>un porcentaje mínimo del treinta por ciento (30%) del valor total de los recursos del presupuesto de cada entidad deben destinarse a la compra de alimentos a los sujetos mencionados.</w:t>
      </w:r>
    </w:p>
    <w:p w14:paraId="7F0D4866" w14:textId="77777777" w:rsidR="00BA0831" w:rsidRPr="00BA0831" w:rsidRDefault="00BA0831" w:rsidP="000F0604">
      <w:pPr>
        <w:shd w:val="clear" w:color="auto" w:fill="FFFFFF"/>
        <w:spacing w:after="120" w:line="276" w:lineRule="auto"/>
        <w:ind w:firstLine="708"/>
        <w:jc w:val="both"/>
        <w:rPr>
          <w:rFonts w:ascii="Century Gothic" w:eastAsia="Times New Roman" w:hAnsi="Century Gothic" w:cs="Arial"/>
          <w:sz w:val="21"/>
          <w:szCs w:val="21"/>
          <w:lang w:eastAsia="es-CO"/>
        </w:rPr>
      </w:pPr>
      <w:bookmarkStart w:id="8" w:name="_Hlk103351152"/>
      <w:r w:rsidRPr="00BA0831">
        <w:rPr>
          <w:rFonts w:ascii="Century Gothic" w:eastAsia="Times New Roman" w:hAnsi="Century Gothic" w:cs="Arial"/>
          <w:bCs/>
          <w:i/>
          <w:iCs/>
          <w:lang w:eastAsia="es-CO"/>
        </w:rPr>
        <w:t>Por otra parte</w:t>
      </w:r>
      <w:r w:rsidRPr="00BA0831">
        <w:rPr>
          <w:rFonts w:ascii="Century Gothic" w:eastAsia="Times New Roman" w:hAnsi="Century Gothic" w:cs="Arial"/>
          <w:bCs/>
          <w:lang w:eastAsia="es-CO"/>
        </w:rPr>
        <w:t>, también es documento necesario para acreditar un factor de evaluación. Lo anterior en la medida que el reglamento otorga un puntaje mínimo del diez por ciento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bookmarkEnd w:id="8"/>
    <w:p w14:paraId="3B9F7621" w14:textId="77777777" w:rsidR="00BA0831" w:rsidRPr="00BA0831" w:rsidRDefault="00BA0831" w:rsidP="000F0604">
      <w:pPr>
        <w:shd w:val="clear" w:color="auto" w:fill="FFFFFF"/>
        <w:spacing w:after="120" w:line="276" w:lineRule="auto"/>
        <w:jc w:val="both"/>
        <w:rPr>
          <w:rFonts w:ascii="Century Gothic" w:eastAsia="Times New Roman" w:hAnsi="Century Gothic" w:cs="Arial"/>
          <w:bCs/>
          <w:lang w:eastAsia="es-CO"/>
        </w:rPr>
      </w:pPr>
      <w:r w:rsidRPr="00BA0831">
        <w:rPr>
          <w:rFonts w:ascii="Century Gothic" w:eastAsia="Times New Roman" w:hAnsi="Century Gothic" w:cs="Arial"/>
          <w:lang w:eastAsia="es-CO"/>
        </w:rPr>
        <w:tab/>
        <w:t xml:space="preserve">Ahora bien, </w:t>
      </w:r>
      <w:bookmarkStart w:id="9" w:name="_Hlk103351414"/>
      <w:r w:rsidRPr="00BA0831">
        <w:rPr>
          <w:rFonts w:ascii="Century Gothic" w:eastAsia="Times New Roman" w:hAnsi="Century Gothic" w:cs="Arial"/>
          <w:lang w:eastAsia="es-CO"/>
        </w:rPr>
        <w:t xml:space="preserve">respecto a los puntajes previstos en los artículos </w:t>
      </w:r>
      <w:r w:rsidRPr="00BA0831">
        <w:rPr>
          <w:rFonts w:ascii="Century Gothic" w:eastAsia="Times New Roman" w:hAnsi="Century Gothic" w:cs="Arial"/>
          <w:bCs/>
          <w:lang w:eastAsia="es-CO"/>
        </w:rPr>
        <w:t>2.20.1.2.1, 2.20.1.2.2</w:t>
      </w:r>
      <w:r w:rsidRPr="00BA0831">
        <w:rPr>
          <w:rFonts w:ascii="Century Gothic" w:eastAsia="Times New Roman" w:hAnsi="Century Gothic" w:cs="Arial"/>
          <w:lang w:eastAsia="es-CO"/>
        </w:rPr>
        <w:t xml:space="preserve"> y 2.20.1.2.3 de</w:t>
      </w:r>
      <w:r w:rsidRPr="00BA0831">
        <w:rPr>
          <w:rFonts w:ascii="Century Gothic" w:eastAsia="Times New Roman" w:hAnsi="Century Gothic" w:cs="Arial"/>
          <w:bCs/>
          <w:lang w:eastAsia="es-CO"/>
        </w:rPr>
        <w:t xml:space="preserv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w:t>
      </w:r>
      <w:r w:rsidRPr="00BA0831">
        <w:rPr>
          <w:rFonts w:ascii="Century Gothic" w:eastAsia="Times New Roman" w:hAnsi="Century Gothic" w:cs="Arial"/>
          <w:bCs/>
          <w:i/>
          <w:iCs/>
          <w:lang w:eastAsia="es-CO"/>
        </w:rPr>
        <w:lastRenderedPageBreak/>
        <w:t>productores agropecuarios nacionales</w:t>
      </w:r>
      <w:r w:rsidRPr="00BA0831">
        <w:rPr>
          <w:rFonts w:ascii="Century Gothic" w:eastAsia="Times New Roman" w:hAnsi="Century Gothic" w:cs="Arial"/>
          <w:bCs/>
          <w:lang w:eastAsia="es-CO"/>
        </w:rPr>
        <w:t xml:space="preserve">, los cuales están definidos en el literal d) del artículo 2.20.1.1.1 </w:t>
      </w:r>
      <w:r w:rsidRPr="00BA0831">
        <w:rPr>
          <w:rFonts w:ascii="Century Gothic" w:eastAsia="Times New Roman" w:hAnsi="Century Gothic" w:cs="Arial"/>
          <w:bCs/>
          <w:i/>
          <w:iCs/>
          <w:lang w:eastAsia="es-CO"/>
        </w:rPr>
        <w:t xml:space="preserve">ibidem </w:t>
      </w:r>
      <w:r w:rsidRPr="00BA0831">
        <w:rPr>
          <w:rFonts w:ascii="Century Gothic" w:eastAsia="Times New Roman" w:hAnsi="Century Gothic" w:cs="Arial"/>
          <w:bCs/>
          <w:lang w:eastAsia="es-CO"/>
        </w:rPr>
        <w:t xml:space="preserve">como las personas cuyo sistema de producción se encuentra ubicado en el territorio nacional. </w:t>
      </w:r>
    </w:p>
    <w:p w14:paraId="6F839A3D" w14:textId="77777777" w:rsidR="00BA0831" w:rsidRPr="00BA0831" w:rsidRDefault="00BA0831" w:rsidP="000F0604">
      <w:pPr>
        <w:shd w:val="clear" w:color="auto" w:fill="FFFFFF"/>
        <w:spacing w:after="120" w:line="276" w:lineRule="auto"/>
        <w:ind w:firstLine="708"/>
        <w:jc w:val="both"/>
        <w:rPr>
          <w:rFonts w:ascii="Century Gothic" w:eastAsia="Times New Roman" w:hAnsi="Century Gothic" w:cs="Arial"/>
          <w:bCs/>
          <w:lang w:eastAsia="es-CO"/>
        </w:rPr>
      </w:pPr>
      <w:r w:rsidRPr="00BA0831">
        <w:rPr>
          <w:rFonts w:ascii="Century Gothic" w:eastAsia="Times New Roman" w:hAnsi="Century Gothic" w:cs="Arial"/>
          <w:bCs/>
          <w:lang w:eastAsia="es-CO"/>
        </w:rPr>
        <w:t>Conforme a los artículos 2.20.1.2.1 y 2.20.1.2.2 del reglamento, estos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26C11697" w14:textId="77777777" w:rsidR="00BA0831" w:rsidRPr="00BA0831" w:rsidRDefault="00BA0831" w:rsidP="000F0604">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En contraste, el puntaje del artículo </w:t>
      </w:r>
      <w:r w:rsidRPr="00BA0831">
        <w:rPr>
          <w:rFonts w:ascii="Century Gothic" w:eastAsia="Times New Roman" w:hAnsi="Century Gothic" w:cs="Arial"/>
          <w:lang w:eastAsia="es-CO"/>
        </w:rPr>
        <w:t>2.20.1.2.3 de</w:t>
      </w:r>
      <w:r w:rsidRPr="00BA0831">
        <w:rPr>
          <w:rFonts w:ascii="Century Gothic" w:eastAsia="Times New Roman" w:hAnsi="Century Gothic" w:cs="Arial"/>
          <w:bCs/>
          <w:lang w:eastAsia="es-CO"/>
        </w:rPr>
        <w:t xml:space="preserve">l Decreto 1071 de 2015 aplica a los </w:t>
      </w:r>
      <w:r w:rsidRPr="00BA0831">
        <w:rPr>
          <w:rFonts w:ascii="Century Gothic" w:eastAsia="Times New Roman" w:hAnsi="Century Gothic" w:cs="Arial"/>
          <w:bCs/>
          <w:i/>
          <w:iCs/>
          <w:lang w:eastAsia="es-CO"/>
        </w:rPr>
        <w:t>pequeños productores agropecuarios locales o productores locales de la Agricultura Campesina, Familiar o Comunitaria Local y/o sus organizaciones</w:t>
      </w:r>
      <w:r w:rsidRPr="00BA0831">
        <w:rPr>
          <w:rFonts w:ascii="Century Gothic" w:eastAsia="Times New Roman" w:hAnsi="Century Gothic" w:cs="Arial"/>
          <w:bCs/>
          <w:lang w:eastAsia="es-CO"/>
        </w:rPr>
        <w:t xml:space="preserve">. De acuerdo con el artículo 2.1.2.2.8 </w:t>
      </w:r>
      <w:r w:rsidRPr="00BA0831">
        <w:rPr>
          <w:rFonts w:ascii="Century Gothic" w:eastAsia="Times New Roman" w:hAnsi="Century Gothic" w:cs="Arial"/>
          <w:bCs/>
          <w:i/>
          <w:iCs/>
          <w:lang w:eastAsia="es-CO"/>
        </w:rPr>
        <w:t>ibidem</w:t>
      </w:r>
      <w:r w:rsidRPr="00BA0831">
        <w:rPr>
          <w:rFonts w:ascii="Century Gothic" w:eastAsia="Times New Roman" w:hAnsi="Century Gothic" w:cs="Arial"/>
          <w:bCs/>
          <w:lang w:eastAsia="es-CO"/>
        </w:rPr>
        <w:t>, los “pequeños productores” son las personas naturales que posean activos totales no superiores a los doscientos ochenta y cuatro (284) SMMLV, en el momento de la respectiva operación de crédito. Por su parte, de acuerdo con el parágrafo 1 del artículo 2.20.1.2.3 del reglamento, los “productores agropecuarios locales” son las personas cuyo sistema de producción se encuentra ubicado en la vereda, o el municipio, o el departamento o la región en donde la entidad contratante requiere la entrega de los alimentos, esto es donde se van a consumir.</w:t>
      </w:r>
    </w:p>
    <w:p w14:paraId="588C5F38" w14:textId="77777777" w:rsidR="00BA0831" w:rsidRPr="00BA0831" w:rsidRDefault="00BA0831" w:rsidP="000F0604">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Igualmente, 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 Por lo demás, en congruencia con el parágrafo 2 del artículo 2.20.1.2.3 del Decreto 1071 de 2015, el parágrafo 2 del artículo </w:t>
      </w:r>
      <w:r w:rsidRPr="00BA0831">
        <w:rPr>
          <w:rFonts w:ascii="Century Gothic" w:eastAsia="Times New Roman" w:hAnsi="Century Gothic" w:cs="Arial"/>
          <w:bCs/>
          <w:lang w:eastAsia="es-CO"/>
        </w:rPr>
        <w:lastRenderedPageBreak/>
        <w:t xml:space="preserve">2.20.1.2.1 </w:t>
      </w:r>
      <w:r w:rsidRPr="00BA0831">
        <w:rPr>
          <w:rFonts w:ascii="Century Gothic" w:eastAsia="Times New Roman" w:hAnsi="Century Gothic" w:cs="Arial"/>
          <w:bCs/>
          <w:i/>
          <w:iCs/>
          <w:lang w:eastAsia="es-CO"/>
        </w:rPr>
        <w:t>ibidem</w:t>
      </w:r>
      <w:r w:rsidRPr="00BA0831">
        <w:rPr>
          <w:rFonts w:ascii="Century Gothic" w:eastAsia="Times New Roman" w:hAnsi="Century Gothic" w:cs="Arial"/>
          <w:bCs/>
          <w:lang w:eastAsia="es-CO"/>
        </w:rPr>
        <w:t xml:space="preserve"> dispone que “[…]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1C2DC24F" w14:textId="77777777" w:rsidR="00BA0831" w:rsidRPr="00BA0831" w:rsidRDefault="00BA0831" w:rsidP="000F0604">
      <w:pPr>
        <w:shd w:val="clear" w:color="auto" w:fill="FFFFFF"/>
        <w:spacing w:after="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Tratándose del puntaje adicional para los pequeños productores agropecuarios locales o productores locales de la Agricultura Campesina, Familiar o Comunitaria Local y/o sus organizaciones, el parágrafo 3 del artículo 2.20.1.2.3 del reglamento citado también dispone que “Para acreditar la calidad de productor agropecuario local, se deberá allegar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 lo anterior se desprende que ninguna de las normas citadas establece una equivalencia entre el productor agropecuario nacional y el local, pues cada calidad se demuestra conforme al marco normativo previsto en el decreto.</w:t>
      </w:r>
      <w:bookmarkEnd w:id="9"/>
      <w:r w:rsidRPr="00BA0831">
        <w:rPr>
          <w:rFonts w:ascii="Century Gothic" w:eastAsia="Times New Roman" w:hAnsi="Century Gothic" w:cs="Arial"/>
          <w:bCs/>
          <w:lang w:eastAsia="es-CO"/>
        </w:rPr>
        <w:t xml:space="preserve"> </w:t>
      </w:r>
    </w:p>
    <w:p w14:paraId="228417CF" w14:textId="77777777" w:rsidR="00BA0831" w:rsidRPr="00BA0831" w:rsidRDefault="00BA0831" w:rsidP="000F0604">
      <w:pPr>
        <w:shd w:val="clear" w:color="auto" w:fill="FFFFFF"/>
        <w:spacing w:after="0" w:line="276" w:lineRule="auto"/>
        <w:ind w:firstLine="709"/>
        <w:jc w:val="both"/>
        <w:rPr>
          <w:rFonts w:ascii="Century Gothic" w:eastAsia="Times New Roman" w:hAnsi="Century Gothic" w:cs="Arial"/>
          <w:bCs/>
          <w:lang w:eastAsia="es-CO"/>
        </w:rPr>
      </w:pPr>
    </w:p>
    <w:p w14:paraId="40922223" w14:textId="77777777" w:rsidR="00BA0831" w:rsidRPr="00BA0831" w:rsidRDefault="00BA0831" w:rsidP="000F0604">
      <w:pPr>
        <w:spacing w:after="0" w:line="276" w:lineRule="auto"/>
        <w:jc w:val="both"/>
        <w:rPr>
          <w:rFonts w:ascii="Century Gothic" w:eastAsia="Calibri" w:hAnsi="Century Gothic" w:cs="Arial"/>
          <w:b/>
          <w:bCs/>
          <w:szCs w:val="24"/>
          <w:lang w:val="es-ES_tradnl" w:eastAsia="es-ES_tradnl"/>
        </w:rPr>
      </w:pPr>
      <w:r w:rsidRPr="00BA0831">
        <w:rPr>
          <w:rFonts w:ascii="Century Gothic" w:eastAsia="Calibri" w:hAnsi="Century Gothic" w:cs="Arial"/>
          <w:b/>
          <w:bCs/>
          <w:szCs w:val="24"/>
          <w:lang w:val="es-ES_tradnl" w:eastAsia="es-ES_tradnl"/>
        </w:rPr>
        <w:t>2.3. Mínimo de compras públicas del total del presupuesto de la entidad. Modalidades y objeto al cual aplica lo reglado en el Decreto 248 de 2021</w:t>
      </w:r>
    </w:p>
    <w:p w14:paraId="41346C8F" w14:textId="77777777" w:rsidR="00BA0831" w:rsidRPr="00BA0831" w:rsidRDefault="00BA0831" w:rsidP="000F0604">
      <w:pPr>
        <w:spacing w:after="0" w:line="276" w:lineRule="auto"/>
        <w:jc w:val="both"/>
        <w:rPr>
          <w:rFonts w:ascii="Century Gothic" w:eastAsia="Calibri" w:hAnsi="Century Gothic" w:cs="Arial"/>
          <w:b/>
          <w:bCs/>
          <w:szCs w:val="24"/>
          <w:lang w:val="es-ES_tradnl" w:eastAsia="es-ES_tradnl"/>
        </w:rPr>
      </w:pPr>
    </w:p>
    <w:p w14:paraId="13358D9B" w14:textId="77777777" w:rsidR="00BA0831" w:rsidRPr="00BA0831" w:rsidRDefault="00BA0831" w:rsidP="000F0604">
      <w:pPr>
        <w:spacing w:after="120" w:line="276" w:lineRule="auto"/>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El </w:t>
      </w:r>
      <w:bookmarkStart w:id="10" w:name="_Hlk147487176"/>
      <w:r w:rsidRPr="00BA0831">
        <w:rPr>
          <w:rFonts w:ascii="Century Gothic" w:eastAsia="Times New Roman" w:hAnsi="Century Gothic" w:cs="Arial"/>
          <w:bCs/>
          <w:lang w:eastAsia="es-CO"/>
        </w:rPr>
        <w:t xml:space="preserve">artículo 2.20.1.1.3. del Decreto 248 de 2021 consagra que “las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la obligación de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w:t>
      </w:r>
      <w:bookmarkEnd w:id="10"/>
      <w:r w:rsidRPr="00BA0831">
        <w:rPr>
          <w:rFonts w:ascii="Century Gothic" w:eastAsia="Times New Roman" w:hAnsi="Century Gothic" w:cs="Arial"/>
          <w:bCs/>
          <w:lang w:eastAsia="es-CO"/>
        </w:rPr>
        <w:t xml:space="preserve">La citada norma se pude analizar desde diferentes puntos de vista, los cuales se proceden a exponer.  </w:t>
      </w:r>
    </w:p>
    <w:p w14:paraId="08863D1E" w14:textId="77777777" w:rsidR="00BA0831" w:rsidRPr="00BA0831" w:rsidRDefault="00BA0831" w:rsidP="000F0604">
      <w:pPr>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En primer lugar, las Entidades Públicas del nivel nacional, departamental, distrital, municipal, sociedades de economía mixta y entidades privadas que manejen recursos públicos, </w:t>
      </w:r>
      <w:r w:rsidRPr="00BA0831">
        <w:rPr>
          <w:rFonts w:ascii="Century Gothic" w:eastAsia="Times New Roman" w:hAnsi="Century Gothic" w:cs="Arial"/>
          <w:bCs/>
          <w:lang w:eastAsia="es-ES_tradnl"/>
        </w:rPr>
        <w:t xml:space="preserve">en el marco del principio de planeación, el cual </w:t>
      </w:r>
      <w:r w:rsidRPr="00BA0831">
        <w:rPr>
          <w:rFonts w:ascii="Century Gothic" w:eastAsia="Times New Roman" w:hAnsi="Century Gothic" w:cs="Arial"/>
          <w:shd w:val="clear" w:color="auto" w:fill="FFFFFF"/>
          <w:lang w:val="es-ES" w:eastAsia="es-ES_tradnl"/>
        </w:rPr>
        <w:t xml:space="preserve">exige </w:t>
      </w:r>
      <w:r w:rsidRPr="00BA0831">
        <w:rPr>
          <w:rFonts w:ascii="Century Gothic" w:eastAsia="Times New Roman" w:hAnsi="Century Gothic" w:cs="Arial"/>
          <w:shd w:val="clear" w:color="auto" w:fill="FFFFFF"/>
          <w:lang w:val="es-ES" w:eastAsia="es-ES_tradnl"/>
        </w:rPr>
        <w:lastRenderedPageBreak/>
        <w:t xml:space="preserve">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deben definir los bienes y servicios que necesitan proveer, y de esta forma, planificar la forma en la cual van a cumplir con el porcentaje mínimo establecido en el marco normativo antes expuesto para la compra de alimentos a productores locales. </w:t>
      </w:r>
      <w:r w:rsidRPr="00BA0831">
        <w:rPr>
          <w:rFonts w:ascii="Century Gothic" w:eastAsia="Times New Roman" w:hAnsi="Century Gothic" w:cs="Arial"/>
          <w:bCs/>
          <w:lang w:eastAsia="es-CO"/>
        </w:rPr>
        <w:t>Así las cosas, todas las entidades definidas en el articulado deberán ajustar y estructurar en el Plan Anual de Adquisiciones el rubro presupuestal necesario para atender la demanda de adquisición, suministro y entrega de alimentos en cualquiera de sus modalidades o en el marco de programas institucionales de servicios de alimentación, de tal manera que un treinta por ciento (30%), como mínimo, del total de ese rubro presupuestal se destine a la contratación para la compra de alimentos a pequeños productores locales.</w:t>
      </w:r>
    </w:p>
    <w:p w14:paraId="54BEBD71" w14:textId="77777777" w:rsidR="007B39F6" w:rsidRDefault="00BA0831" w:rsidP="000F0604">
      <w:pPr>
        <w:spacing w:after="120" w:line="276" w:lineRule="auto"/>
        <w:ind w:firstLine="709"/>
        <w:jc w:val="both"/>
        <w:rPr>
          <w:rFonts w:ascii="Century Gothic" w:eastAsia="SimSun" w:hAnsi="Century Gothic" w:cs="Arial"/>
          <w:i/>
          <w:iCs/>
          <w:lang w:eastAsia="zh-CN"/>
        </w:rPr>
      </w:pPr>
      <w:r w:rsidRPr="00BA0831">
        <w:rPr>
          <w:rFonts w:ascii="Century Gothic" w:eastAsia="Times New Roman" w:hAnsi="Century Gothic" w:cs="Arial"/>
          <w:bCs/>
          <w:lang w:eastAsia="es-CO"/>
        </w:rPr>
        <w:t>Lo anterior tiene su génesis en las experiencias desarrolladas en la región. En la exposición de motivos</w:t>
      </w:r>
      <w:r w:rsidRPr="00BA0831">
        <w:rPr>
          <w:rFonts w:ascii="Century Gothic" w:eastAsia="Times New Roman" w:hAnsi="Century Gothic" w:cs="Arial"/>
          <w:bCs/>
          <w:vertAlign w:val="superscript"/>
          <w:lang w:eastAsia="es-CO"/>
        </w:rPr>
        <w:footnoteReference w:id="12"/>
      </w:r>
      <w:r w:rsidRPr="00BA0831">
        <w:rPr>
          <w:rFonts w:ascii="Century Gothic" w:eastAsia="Times New Roman" w:hAnsi="Century Gothic" w:cs="Arial"/>
          <w:bCs/>
          <w:lang w:eastAsia="es-CO"/>
        </w:rPr>
        <w:t xml:space="preserve"> se indicó que: </w:t>
      </w:r>
      <w:r w:rsidRPr="00BA0831">
        <w:rPr>
          <w:rFonts w:ascii="Century Gothic" w:eastAsia="Times New Roman" w:hAnsi="Century Gothic" w:cs="Arial"/>
          <w:bCs/>
          <w:lang w:eastAsia="es-ES_tradnl"/>
        </w:rPr>
        <w:t>“</w:t>
      </w:r>
      <w:r w:rsidRPr="00BA0831">
        <w:rPr>
          <w:rFonts w:ascii="Century Gothic" w:eastAsia="SimSun" w:hAnsi="Century Gothic" w:cs="Arial"/>
          <w:lang w:eastAsia="zh-CN"/>
        </w:rPr>
        <w:t>Las experiencias desarrolladas en la región de compras públicas a pequeños productores rurales, han mostrado que cuando los Estados deciden a quienes se les debe comprar los alimentos si los recursos son públicos, el impacto que se genera puede ser significativo. Se promueve el empleo y la generación de ingresos en poblaciones especialmente vulnerables, se impulsa el desarrollo local al lograr insertar a las comunidades en procesos económicos y sociales estables, se contribuye a una redistribución efectiva de la riqueza al generar un flujo continuo de recursos, y a la vez se impacta positivamente las políticas públicas encaminadas a garantizar la seguridad alimentaria y superar la pobreza</w:t>
      </w:r>
      <w:r w:rsidRPr="00BA0831">
        <w:rPr>
          <w:rFonts w:ascii="Century Gothic" w:eastAsia="Times New Roman" w:hAnsi="Century Gothic" w:cs="Arial"/>
          <w:bCs/>
          <w:lang w:eastAsia="es-CO"/>
        </w:rPr>
        <w:t>”</w:t>
      </w:r>
      <w:r w:rsidRPr="00BA0831">
        <w:rPr>
          <w:rFonts w:ascii="Century Gothic" w:eastAsia="SimSun" w:hAnsi="Century Gothic" w:cs="Arial"/>
          <w:i/>
          <w:iCs/>
          <w:lang w:eastAsia="zh-CN"/>
        </w:rPr>
        <w:t>.</w:t>
      </w:r>
      <w:r w:rsidRPr="00BA0831">
        <w:rPr>
          <w:rFonts w:ascii="Century Gothic" w:eastAsia="SimSun" w:hAnsi="Century Gothic" w:cs="Arial"/>
          <w:i/>
          <w:iCs/>
          <w:vertAlign w:val="superscript"/>
          <w:lang w:eastAsia="zh-CN"/>
        </w:rPr>
        <w:footnoteReference w:id="13"/>
      </w:r>
      <w:r w:rsidRPr="00BA0831">
        <w:rPr>
          <w:rFonts w:ascii="Century Gothic" w:eastAsia="SimSun" w:hAnsi="Century Gothic" w:cs="Arial"/>
          <w:i/>
          <w:iCs/>
          <w:lang w:eastAsia="zh-CN"/>
        </w:rPr>
        <w:t xml:space="preserve"> </w:t>
      </w:r>
    </w:p>
    <w:p w14:paraId="20E35828" w14:textId="5328868D" w:rsidR="00BA0831" w:rsidRPr="00BA0831" w:rsidRDefault="00BA0831" w:rsidP="000F0604">
      <w:pPr>
        <w:spacing w:after="120" w:line="276" w:lineRule="auto"/>
        <w:ind w:firstLine="709"/>
        <w:jc w:val="both"/>
        <w:rPr>
          <w:rFonts w:ascii="Century Gothic" w:eastAsia="Times New Roman" w:hAnsi="Century Gothic" w:cs="Arial"/>
          <w:lang w:eastAsia="es-ES_tradnl"/>
        </w:rPr>
      </w:pPr>
      <w:r w:rsidRPr="00BA0831">
        <w:rPr>
          <w:rFonts w:ascii="Century Gothic" w:eastAsia="Times New Roman" w:hAnsi="Century Gothic" w:cs="Arial"/>
          <w:bCs/>
          <w:lang w:eastAsia="es-CO"/>
        </w:rPr>
        <w:t xml:space="preserve">En ese contexto, el Gobierno Nacional identificó la necesidad de generar acciones afirmativas que permitieran el fortalecimiento de las capacidades sociales, económicas y políticas de </w:t>
      </w:r>
      <w:r w:rsidRPr="00BA0831">
        <w:rPr>
          <w:rFonts w:ascii="Century Gothic" w:eastAsia="SimSun" w:hAnsi="Century Gothic" w:cs="Arial"/>
          <w:lang w:val="es-MX" w:eastAsia="zh-CN"/>
        </w:rPr>
        <w:t>las familias, comunidades y organizaciones de la agricultura campesina, familiar  y comunitaria ACFC</w:t>
      </w:r>
      <w:r w:rsidRPr="00BA0831">
        <w:rPr>
          <w:rFonts w:ascii="Century Gothic" w:eastAsia="Times New Roman" w:hAnsi="Century Gothic" w:cs="Arial"/>
          <w:bCs/>
          <w:lang w:eastAsia="es-CO"/>
        </w:rPr>
        <w:t xml:space="preserve"> y expidió el 29 de diciembre de 2017 la Resolución 464 de 2017 </w:t>
      </w:r>
      <w:r w:rsidRPr="00BA0831">
        <w:rPr>
          <w:rFonts w:ascii="Century Gothic" w:eastAsia="Times New Roman" w:hAnsi="Century Gothic" w:cs="Arial"/>
          <w:bCs/>
          <w:lang w:eastAsia="es-ES_tradnl"/>
        </w:rPr>
        <w:t>“</w:t>
      </w:r>
      <w:r w:rsidRPr="00BA0831">
        <w:rPr>
          <w:rFonts w:ascii="Century Gothic" w:eastAsia="SimSun" w:hAnsi="Century Gothic" w:cs="Arial"/>
          <w:lang w:val="es-MX" w:eastAsia="zh-CN"/>
        </w:rPr>
        <w:t xml:space="preserve">Por la cual se adoptan los Lineamientos estratégicos de política pública para la agricultura campesina, familiar y comunitaria”. En dicha Resolución, una de las acciones que se propusieron fue la </w:t>
      </w:r>
      <w:r w:rsidRPr="00BA0831">
        <w:rPr>
          <w:rFonts w:ascii="Century Gothic" w:eastAsia="SimSun" w:hAnsi="Century Gothic" w:cs="Arial"/>
          <w:lang w:val="es-MX" w:eastAsia="zh-CN"/>
        </w:rPr>
        <w:lastRenderedPageBreak/>
        <w:t>de: “</w:t>
      </w:r>
      <w:r w:rsidRPr="00BA0831">
        <w:rPr>
          <w:rFonts w:ascii="Century Gothic" w:eastAsia="Times New Roman" w:hAnsi="Century Gothic" w:cs="Arial"/>
          <w:lang w:eastAsia="es-ES_tradnl"/>
        </w:rPr>
        <w:t xml:space="preserve">Definir en los contratos un porcentaje mínimo de compras públicas locales agroalimentarias a la ACFC del municipio o la subregión”. </w:t>
      </w:r>
    </w:p>
    <w:p w14:paraId="4CB9A91B" w14:textId="77777777" w:rsidR="00BA0831" w:rsidRPr="00BA0831" w:rsidRDefault="00BA0831" w:rsidP="000F0604">
      <w:pPr>
        <w:spacing w:after="120" w:line="276" w:lineRule="auto"/>
        <w:ind w:firstLine="709"/>
        <w:jc w:val="both"/>
        <w:rPr>
          <w:rFonts w:ascii="Century Gothic" w:eastAsia="Times New Roman" w:hAnsi="Century Gothic" w:cs="Arial"/>
          <w:iCs/>
          <w:lang w:eastAsia="es-ES_tradnl"/>
        </w:rPr>
      </w:pPr>
      <w:r w:rsidRPr="00BA0831">
        <w:rPr>
          <w:rFonts w:ascii="Century Gothic" w:eastAsia="Times New Roman" w:hAnsi="Century Gothic" w:cs="Arial"/>
          <w:iCs/>
          <w:lang w:eastAsia="es-ES_tradnl"/>
        </w:rPr>
        <w:t xml:space="preserve">En la exposición de motivos, la referencia a la actualidad de los programas de complementación alimentaria de algunas entidades como Instituto Colombiano de Bienestar Familiar, El Ministerio de Educación Nacional, la Unidad de Servicios Penitenciarios y Carcelarios, las Fuerza Militares, ANH, la red hospitalaria pública  tanto en el nivel central como en el nivel municipal, gobernaciones, alcaldías, entre otros, aclara en parte la decisión de por qué no se establecen unas modalidades de selección específicas para el objeto de la Ley 2046 de 2020, entendiendo que “contratan a operadores o contratistas  por medio de las licitaciones  públicas  u otras modalidades de selección establecidas en el Estatuto General de Contratación y </w:t>
      </w:r>
      <w:r w:rsidRPr="00BA0831">
        <w:rPr>
          <w:rFonts w:ascii="Century Gothic" w:eastAsia="Times New Roman" w:hAnsi="Century Gothic" w:cs="Arial"/>
          <w:i/>
          <w:lang w:eastAsia="es-ES_tradnl"/>
        </w:rPr>
        <w:t>realizan la compra  de alimentos y la distribución de las raciones de alimentos en sus diferentes modalidades contratación de acuerdo con sus lineamientos técnicos</w:t>
      </w:r>
      <w:r w:rsidRPr="00BA0831">
        <w:rPr>
          <w:rFonts w:ascii="Century Gothic" w:eastAsia="Times New Roman" w:hAnsi="Century Gothic" w:cs="Arial"/>
          <w:iCs/>
          <w:lang w:eastAsia="es-ES_tradnl"/>
        </w:rPr>
        <w:t xml:space="preserve">”. </w:t>
      </w:r>
    </w:p>
    <w:p w14:paraId="099961F4" w14:textId="77777777" w:rsidR="00BA0831" w:rsidRPr="00BA0831" w:rsidRDefault="00BA0831" w:rsidP="000F0604">
      <w:pPr>
        <w:spacing w:after="120" w:line="276" w:lineRule="auto"/>
        <w:ind w:firstLine="709"/>
        <w:jc w:val="both"/>
        <w:rPr>
          <w:rFonts w:ascii="Century Gothic" w:eastAsia="Times New Roman" w:hAnsi="Century Gothic" w:cs="Arial"/>
          <w:iCs/>
          <w:lang w:eastAsia="es-ES_tradnl"/>
        </w:rPr>
      </w:pPr>
      <w:r w:rsidRPr="00BA0831">
        <w:rPr>
          <w:rFonts w:ascii="Century Gothic" w:eastAsia="Times New Roman" w:hAnsi="Century Gothic" w:cs="Arial"/>
          <w:iCs/>
          <w:lang w:eastAsia="es-ES_tradnl"/>
        </w:rPr>
        <w:t xml:space="preserve">En segundo lugar, de </w:t>
      </w:r>
      <w:bookmarkStart w:id="11" w:name="_Hlk147487234"/>
      <w:r w:rsidRPr="00BA0831">
        <w:rPr>
          <w:rFonts w:ascii="Century Gothic" w:eastAsia="Times New Roman" w:hAnsi="Century Gothic" w:cs="Arial"/>
          <w:iCs/>
          <w:lang w:eastAsia="es-ES_tradnl"/>
        </w:rPr>
        <w:t>la redacción del artículo objeto de estudio es posible concluir que, de acuerdo con la Ley 2046 de 2020 y el Decreto 248 de 2021, será el objeto contractual lo que resulte determinante para identificar los contratos que deban cumplir con los parámetros de selección, requisitos habilitantes, incentivos, evaluaciones, mínimos de compra pública de alimentos, entre otros. En consonancia, cuando el contrato tenga como objeto la adquisición, suministro y entrega de alimentos en cualquiera de sus formas de atención, se encuentran obligadas a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sin que se excluya alguna de las modalidades de selección dispuestas en el artículo 2 de la Ley 1150 de 2007.</w:t>
      </w:r>
    </w:p>
    <w:p w14:paraId="5C4F8BC1" w14:textId="77777777" w:rsidR="00BA0831" w:rsidRPr="00BA0831" w:rsidRDefault="00BA0831" w:rsidP="000F0604">
      <w:pPr>
        <w:spacing w:after="120" w:line="276" w:lineRule="auto"/>
        <w:ind w:firstLine="709"/>
        <w:jc w:val="both"/>
        <w:rPr>
          <w:rFonts w:ascii="Century Gothic" w:eastAsia="Times New Roman" w:hAnsi="Century Gothic" w:cs="Arial"/>
          <w:bCs/>
          <w:lang w:eastAsia="es-ES_tradnl"/>
        </w:rPr>
      </w:pPr>
      <w:r w:rsidRPr="00BA0831">
        <w:rPr>
          <w:rFonts w:ascii="Century Gothic" w:eastAsia="Times New Roman" w:hAnsi="Century Gothic" w:cs="Arial"/>
          <w:iCs/>
          <w:lang w:eastAsia="es-ES_tradnl"/>
        </w:rPr>
        <w:t xml:space="preserve">Sobre el particular, es necesario indicar que, </w:t>
      </w:r>
      <w:r w:rsidRPr="00BA0831">
        <w:rPr>
          <w:rFonts w:ascii="Century Gothic" w:eastAsia="Times New Roman" w:hAnsi="Century Gothic" w:cs="Arial"/>
          <w:bCs/>
          <w:lang w:eastAsia="es-ES_tradnl"/>
        </w:rPr>
        <w:t xml:space="preserve">dado que la intención del legislador fue la de incentivar la compra de productos agropecuarios locales, a través de la incorporación de la obligación para las entidades enunciadas en el artículo 3 de la Ley 2046 de 2020 de adquirir localmente alimentos comprados a pequeños productores agropecuarios locales y/o a productores de la Agricultura Campesina, Familiar o Comunitaria locales y sus </w:t>
      </w:r>
      <w:bookmarkStart w:id="12" w:name="_Hlk147484706"/>
      <w:r w:rsidRPr="00BA0831">
        <w:rPr>
          <w:rFonts w:ascii="Century Gothic" w:eastAsia="Times New Roman" w:hAnsi="Century Gothic" w:cs="Arial"/>
          <w:bCs/>
          <w:lang w:eastAsia="es-ES_tradnl"/>
        </w:rPr>
        <w:t xml:space="preserve">organizaciones, en un porcentaje mínimo del treinta por ciento (30%) del valor total de los recursos del presupuesto de cada entidad destinados a la compra de alimentos, no es dable que se tengan en cuenta para determinar el cumplimiento del mandato contratos cuyo objeto </w:t>
      </w:r>
      <w:r w:rsidRPr="00BA0831">
        <w:rPr>
          <w:rFonts w:ascii="Century Gothic" w:eastAsia="Times New Roman" w:hAnsi="Century Gothic" w:cs="Arial"/>
          <w:bCs/>
          <w:lang w:eastAsia="es-ES_tradnl"/>
        </w:rPr>
        <w:lastRenderedPageBreak/>
        <w:t xml:space="preserve">sea distinto al de </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adquisición, suministro y entrega</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 xml:space="preserve"> de productos agropecuarios, toda vez que si se tienen en cuenta contratos en donde exista el componente de </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alimento</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 xml:space="preserve"> por fuera de los verbos citados, que tengan como fin el de suplir una necesidad correlacionada no se atendería el sentido de la norma aplicable a la materia. </w:t>
      </w:r>
    </w:p>
    <w:p w14:paraId="72B15B34" w14:textId="77777777" w:rsidR="00BA0831" w:rsidRPr="00BA0831" w:rsidRDefault="00BA0831" w:rsidP="000F0604">
      <w:pPr>
        <w:spacing w:after="120" w:line="276" w:lineRule="auto"/>
        <w:ind w:firstLine="709"/>
        <w:jc w:val="both"/>
        <w:rPr>
          <w:rFonts w:ascii="Century Gothic" w:eastAsia="Times New Roman" w:hAnsi="Century Gothic" w:cs="Arial"/>
          <w:bCs/>
          <w:lang w:eastAsia="es-ES_tradnl"/>
        </w:rPr>
      </w:pPr>
      <w:r w:rsidRPr="00BA0831">
        <w:rPr>
          <w:rFonts w:ascii="Century Gothic" w:eastAsia="Times New Roman" w:hAnsi="Century Gothic" w:cs="Arial"/>
          <w:bCs/>
          <w:lang w:eastAsia="es-ES_tradnl"/>
        </w:rPr>
        <w:t>Para un mejor entendimiento, a modo ilustrativo, se propone como ejemplo el contrato de arrendamiento de bien inmueble para almacenamiento de alimentos, en el caso propuesto no se estaría cumpliendo con la participación de pequeños productores locales y productores locales agropecuarios que tengan como sistema productivo la agricultura campesina, familiar y comunitaria. Por lo que necesariamente, los contratos a los que se refiere el artículo objeto de la consulta deben ser aquellos en los cuales se requiera contratar la adquisición, suministro y entrega de alimentos en cualquiera de sus formas de atención.</w:t>
      </w:r>
    </w:p>
    <w:p w14:paraId="1904CFE8"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 xml:space="preserve">Particularmente, la Ley 2046 de 2020 en su objeto hace referencia al propósito de que sean establecidas condiciones e instrumentos de abastecimiento alimentario para que todos los </w:t>
      </w:r>
      <w:r w:rsidRPr="00BA0831">
        <w:rPr>
          <w:rFonts w:ascii="Century Gothic" w:eastAsia="Calibri" w:hAnsi="Century Gothic" w:cs="Arial"/>
          <w:i/>
          <w:iCs/>
          <w:lang w:val="es-MX"/>
        </w:rPr>
        <w:t>programas públicos</w:t>
      </w:r>
      <w:r w:rsidRPr="00BA0831">
        <w:rPr>
          <w:rFonts w:ascii="Century Gothic" w:eastAsia="Calibri" w:hAnsi="Century Gothic" w:cs="Arial"/>
          <w:lang w:val="es-MX"/>
        </w:rPr>
        <w:t xml:space="preserve"> de suministro y distribución de alimentos promuevan la participación de pequeños productores locales. De hecho, entre las definiciones del artículo 4º para dar aplicación a la ley se incluyó el concepto de “zona geográfica para la compra pública local de alimentos”, de donde surge la noción sobre la extensión del territorio dentro de la cual se producen, comercializan y consumen alimentos primarios y transformados, provenientes de pequeños productores agropecuarios y productores cuyos sistemas productivos pertenezcan a la Agricultura Campesina, Familiar y Comunitaria, o de su organizaciones y destinados a los </w:t>
      </w:r>
      <w:r w:rsidRPr="00BA0831">
        <w:rPr>
          <w:rFonts w:ascii="Century Gothic" w:eastAsia="Calibri" w:hAnsi="Century Gothic" w:cs="Arial"/>
          <w:i/>
          <w:iCs/>
          <w:lang w:val="es-MX"/>
        </w:rPr>
        <w:t>programas institucionales</w:t>
      </w:r>
      <w:r w:rsidRPr="00BA0831">
        <w:rPr>
          <w:rFonts w:ascii="Century Gothic" w:eastAsia="Calibri" w:hAnsi="Century Gothic" w:cs="Arial"/>
          <w:lang w:val="es-MX"/>
        </w:rPr>
        <w:t xml:space="preserve"> de los sujetos de que trata el artículo 3º de la ley. Esto se refuerza en el artículo 7º sobre porcentajes mínimos de compra local a pequeños productores y productores de la agricultura campesina, familiar y comunitaria, pues allí se menciona que todas las entidades incluirán en sus contratos la obligación por parte de sus contratistas que ejecuten u operen los </w:t>
      </w:r>
      <w:r w:rsidRPr="00BA0831">
        <w:rPr>
          <w:rFonts w:ascii="Century Gothic" w:eastAsia="Calibri" w:hAnsi="Century Gothic" w:cs="Arial"/>
          <w:i/>
          <w:iCs/>
          <w:lang w:val="es-MX"/>
        </w:rPr>
        <w:t>programas institucionales</w:t>
      </w:r>
      <w:r w:rsidRPr="00BA0831">
        <w:rPr>
          <w:rFonts w:ascii="Century Gothic" w:eastAsia="Calibri" w:hAnsi="Century Gothic" w:cs="Arial"/>
          <w:lang w:val="es-MX"/>
        </w:rPr>
        <w:t xml:space="preserve"> en que se adquieran alimentos, la obligación de estos de participar en los espacios de articulación que defina la Mesa Técnica Nacional de Compras Públicas Locales de Alimentos.</w:t>
      </w:r>
    </w:p>
    <w:p w14:paraId="68A8AE0D" w14:textId="77777777" w:rsidR="00BA0831" w:rsidRPr="00BA0831" w:rsidRDefault="00BA0831" w:rsidP="000F0604">
      <w:pPr>
        <w:spacing w:after="120" w:line="276" w:lineRule="auto"/>
        <w:ind w:firstLine="708"/>
        <w:jc w:val="both"/>
        <w:rPr>
          <w:rFonts w:ascii="Century Gothic" w:eastAsia="Calibri" w:hAnsi="Century Gothic" w:cs="Arial"/>
        </w:rPr>
      </w:pPr>
      <w:r w:rsidRPr="00BA0831">
        <w:rPr>
          <w:rFonts w:ascii="Century Gothic" w:eastAsia="Calibri" w:hAnsi="Century Gothic" w:cs="Arial"/>
        </w:rPr>
        <w:t xml:space="preserve">En ese orden, sin perjuicio de señalar que resulta confusa e indeterminada la expresión “incluye todas aquellas necesidades institucionales de las entidades donde se requiera adquirir alimentos”, lo cierto es que el propio Decreto 248 de 2021 incorpora expresamente en el artículo 2.20.1.1.1. como una de las principales </w:t>
      </w:r>
      <w:r w:rsidRPr="00BA0831">
        <w:rPr>
          <w:rFonts w:ascii="Century Gothic" w:eastAsia="Calibri" w:hAnsi="Century Gothic" w:cs="Arial"/>
        </w:rPr>
        <w:lastRenderedPageBreak/>
        <w:t xml:space="preserve">definiciones para lograr su cabal aplicación los denominados </w:t>
      </w:r>
      <w:r w:rsidRPr="00BA0831">
        <w:rPr>
          <w:rFonts w:ascii="Century Gothic" w:eastAsia="Calibri" w:hAnsi="Century Gothic" w:cs="Arial"/>
          <w:i/>
          <w:iCs/>
        </w:rPr>
        <w:t>“programas institucionales de servicios de alimentación”</w:t>
      </w:r>
      <w:r w:rsidRPr="00BA0831">
        <w:rPr>
          <w:rFonts w:ascii="Century Gothic" w:eastAsia="Calibri" w:hAnsi="Century Gothic" w:cs="Arial"/>
        </w:rPr>
        <w:t xml:space="preserve"> como aquellos que se realizan con cargo a los recursos propios o cofinanciados por fuentes de recursos provenientes de cualquier sistema presupuestal de las entidades públicas descentralizadas del orden nacional o territorial, y que se dirigen a atender la demanda de alimentos, bien sea por su misionalidad y/o la necesidad funcional de las entidades. Dicho de otro modo, su fuerza obligatoria cobija tanto a las entidades que contraten con recursos públicos la adquisición, suministro y entrega de alimentos en cualquiera de sus modalidades como aquellas que también lo hagan en el marco de programas institucionales de servicios de alimentación.</w:t>
      </w:r>
    </w:p>
    <w:p w14:paraId="2A2A2076"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Por otra parte, es claro que el Decreto 248 de 2021 acoge todas las modalidades de selección previstas en el artículo 2º de la Ley 1150 de 2007. En especial, interesa apuntar que los artículos 2.20.1.2.1 a 2.20.1.2.3. que conforman el capítulo 2 sobre esquemas de puntajes adicionales obligatorios y facultativos reconocen la asignación de unos puntajes específicos por parte de las entidades públicas descentralizadas del orden nacional y las entidades territoriales, cuando requieran productos de origen agropecuario para atender la demanda de los programas institucionales, a los oferentes que cumplan unas determinadas condiciones dentro de sus respectivos procedimientos contractuales.</w:t>
      </w:r>
    </w:p>
    <w:p w14:paraId="2D2C0C63"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Del mismo modo, a partir de lo dispuesto en los artículos 229 de la Ley 1955 de 2019 y 5 de la Ley 2046 de 2020, resulta de recibo afirmar que la calificación diferenciada en materia de compras públicas de alimentos incluye alimentos procesados o sin procesar, siempre que los insumos y los productos hayan sido adquiridos de productores agropecuarios locales (origen agropecuario) y cumplan con las especificaciones técnicas exigidas por la Mesa Técnica Nacional de Compras Públicas Locales de Alimentos en coordinación con el Instituto Nacional de Vigilancia de Medicamentos y Alimentos -INVIMA- en materia de normatividad sanitaria vigente y características excluyentes a la producción proveniente de pequeños productores locales y productores de la Agricultura Campesina, Familiar y Comunitaria y sus organizaciones.</w:t>
      </w:r>
    </w:p>
    <w:p w14:paraId="0DE3EA50" w14:textId="77777777" w:rsidR="00BA0831" w:rsidRPr="00BA0831" w:rsidRDefault="00BA0831" w:rsidP="000F0604">
      <w:pPr>
        <w:spacing w:after="0" w:line="276" w:lineRule="auto"/>
        <w:ind w:firstLine="709"/>
        <w:jc w:val="both"/>
        <w:rPr>
          <w:rFonts w:ascii="Century Gothic" w:eastAsia="Calibri" w:hAnsi="Century Gothic" w:cs="Arial"/>
        </w:rPr>
      </w:pPr>
      <w:r w:rsidRPr="00BA0831">
        <w:rPr>
          <w:rFonts w:ascii="Century Gothic" w:eastAsia="Calibri" w:hAnsi="Century Gothic" w:cs="Arial"/>
          <w:lang w:val="es-MX"/>
        </w:rPr>
        <w:t xml:space="preserve">El literal c) del artículo 2.20.1.1.1. del Decreto 248 de 2021 define “productos agropecuarios” como aquellos productos cosechados, recolectados, seleccionados, lavados e incluso empacados, y aquellos que por sus características naturales conservan sus calidades aptas para la comercialización y el consumo durante un plazo inferior a treinta (30) días, o que precisan condiciones de temperatura regulada, de comercialización y de transporte o que no sean </w:t>
      </w:r>
      <w:r w:rsidRPr="00BA0831">
        <w:rPr>
          <w:rFonts w:ascii="Century Gothic" w:eastAsia="Calibri" w:hAnsi="Century Gothic" w:cs="Arial"/>
          <w:lang w:val="es-MX"/>
        </w:rPr>
        <w:lastRenderedPageBreak/>
        <w:t>perecederos; así como aquellos cuya transformación alimenticia de diferentes niveles de complejidad que utilizan como insumo principal bienes agrícolas o pecuarios en fresco de origen nacional, entre los que se incluyen los productos que han sido objeto de procesos de post cosecha, como pelado, picado, despulpado o congelado, entre otros.</w:t>
      </w:r>
    </w:p>
    <w:p w14:paraId="7BA0C950" w14:textId="77777777" w:rsidR="00BA0831" w:rsidRPr="00BA0831" w:rsidRDefault="00BA0831" w:rsidP="000F0604">
      <w:pPr>
        <w:spacing w:after="0" w:line="276" w:lineRule="auto"/>
        <w:jc w:val="both"/>
        <w:rPr>
          <w:rFonts w:ascii="Century Gothic" w:eastAsia="Century Gothic" w:hAnsi="Century Gothic" w:cs="Century Gothic"/>
          <w:b/>
          <w:bCs/>
          <w:lang w:val="es-ES" w:eastAsia="es-ES_tradnl"/>
        </w:rPr>
      </w:pPr>
      <w:bookmarkStart w:id="13" w:name="_Hlk117695077"/>
      <w:bookmarkEnd w:id="11"/>
      <w:bookmarkEnd w:id="12"/>
    </w:p>
    <w:p w14:paraId="6258027D" w14:textId="77777777" w:rsidR="00BA0831" w:rsidRPr="00BA0831" w:rsidRDefault="00BA0831" w:rsidP="000F0604">
      <w:pPr>
        <w:spacing w:after="0" w:line="276" w:lineRule="auto"/>
        <w:jc w:val="both"/>
        <w:rPr>
          <w:rFonts w:ascii="Century Gothic" w:eastAsia="Century Gothic" w:hAnsi="Century Gothic" w:cs="Century Gothic"/>
          <w:b/>
          <w:bCs/>
          <w:lang w:val="es-ES" w:eastAsia="es-ES_tradnl"/>
        </w:rPr>
      </w:pPr>
      <w:r w:rsidRPr="00BA0831">
        <w:rPr>
          <w:rFonts w:ascii="Century Gothic" w:eastAsia="Century Gothic" w:hAnsi="Century Gothic" w:cs="Century Gothic"/>
          <w:b/>
          <w:bCs/>
          <w:lang w:val="es-ES" w:eastAsia="es-ES_tradnl"/>
        </w:rPr>
        <w:t>3. Respuesta</w:t>
      </w:r>
    </w:p>
    <w:p w14:paraId="65645C23" w14:textId="77777777" w:rsidR="00BA0831" w:rsidRPr="00BA0831" w:rsidRDefault="00BA0831" w:rsidP="000F0604">
      <w:pPr>
        <w:spacing w:after="0" w:line="276" w:lineRule="auto"/>
        <w:jc w:val="both"/>
        <w:rPr>
          <w:rFonts w:ascii="Century Gothic" w:eastAsia="Century Gothic" w:hAnsi="Century Gothic" w:cs="Century Gothic"/>
          <w:lang w:val="es-ES" w:eastAsia="es-ES_tradnl"/>
        </w:rPr>
      </w:pPr>
    </w:p>
    <w:p w14:paraId="562F85AD"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“en contexto de lo dispuesto por el DECRETO 248 DE 2021, "proveeduría con los pequeños productores y/o productores de la Agricultura Campesina, Familiar o Comunitaria locales y sus organizaciones" y para dar respuesta a muchos veedores con relación a este tema pregunto.</w:t>
      </w:r>
    </w:p>
    <w:p w14:paraId="78282B51"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3812AABA"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3F2C756A"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27A1472A"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2) que se debe entender por compras locales? y según decreto 248 de 2021 son las surtidas directamente en el territorio donde se ejecuta el contrato?</w:t>
      </w:r>
    </w:p>
    <w:p w14:paraId="7133E00F"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6E279C6D"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00A900E8" w14:textId="77777777" w:rsidR="00BA0831" w:rsidRPr="000F0604" w:rsidRDefault="00BA0831" w:rsidP="000F0604">
      <w:pPr>
        <w:spacing w:after="0" w:line="276" w:lineRule="auto"/>
        <w:ind w:left="709" w:right="709"/>
        <w:jc w:val="both"/>
        <w:rPr>
          <w:rFonts w:ascii="Century Gothic" w:eastAsia="Century Gothic" w:hAnsi="Century Gothic" w:cs="Century Gothic"/>
          <w:lang w:eastAsia="es-ES_tradnl"/>
        </w:rPr>
      </w:pPr>
    </w:p>
    <w:p w14:paraId="6E9468C5" w14:textId="77777777" w:rsidR="00BA0831" w:rsidRPr="00BA0831" w:rsidRDefault="00BA0831" w:rsidP="000F0604">
      <w:pPr>
        <w:spacing w:after="120" w:line="276" w:lineRule="auto"/>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w:t>
      </w:r>
    </w:p>
    <w:p w14:paraId="4E843904" w14:textId="77777777" w:rsidR="00BA0831" w:rsidRPr="00BA0831" w:rsidRDefault="00BA0831" w:rsidP="000F0604">
      <w:pPr>
        <w:shd w:val="clear" w:color="auto" w:fill="FFFFFF"/>
        <w:spacing w:after="120" w:line="276" w:lineRule="auto"/>
        <w:ind w:firstLine="708"/>
        <w:jc w:val="both"/>
        <w:rPr>
          <w:rFonts w:ascii="Century Gothic" w:eastAsia="Times New Roman" w:hAnsi="Century Gothic" w:cs="Arial"/>
          <w:bCs/>
          <w:lang w:eastAsia="es-CO"/>
        </w:rPr>
      </w:pPr>
      <w:r w:rsidRPr="00BA0831">
        <w:rPr>
          <w:rFonts w:ascii="Century Gothic" w:eastAsia="Century Gothic" w:hAnsi="Century Gothic" w:cs="Century Gothic"/>
          <w:lang w:val="es-ES" w:eastAsia="es-CO"/>
        </w:rPr>
        <w:t xml:space="preserve">Sin perjuicio de lo anterior, de conformidad con las consideraciones expuestas en este concepto, es posible señalar que, </w:t>
      </w:r>
      <w:r w:rsidRPr="00BA0831">
        <w:rPr>
          <w:rFonts w:ascii="Century Gothic" w:eastAsia="Times New Roman" w:hAnsi="Century Gothic" w:cs="Arial"/>
          <w:bCs/>
          <w:lang w:eastAsia="es-CO"/>
        </w:rPr>
        <w:t xml:space="preserve">conforme a los artículos 2.20.1.2.1 y 2.20.1.2.2 del reglamento, los </w:t>
      </w:r>
      <w:r w:rsidRPr="00BA0831">
        <w:rPr>
          <w:rFonts w:ascii="Century Gothic" w:eastAsia="Times New Roman" w:hAnsi="Century Gothic" w:cs="Arial"/>
          <w:bCs/>
          <w:i/>
          <w:iCs/>
          <w:lang w:eastAsia="es-CO"/>
        </w:rPr>
        <w:t>productores agropecuarios nacionales</w:t>
      </w:r>
      <w:r w:rsidRPr="00BA0831">
        <w:rPr>
          <w:rFonts w:ascii="Century Gothic" w:eastAsia="Times New Roman" w:hAnsi="Century Gothic" w:cs="Arial"/>
          <w:bCs/>
          <w:lang w:eastAsia="es-CO"/>
        </w:rPr>
        <w:t xml:space="preserve">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418C1F9A" w14:textId="77777777" w:rsidR="00BA0831" w:rsidRPr="00BA0831" w:rsidRDefault="00BA0831" w:rsidP="000F0604">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En contraste, el puntaje del artículo </w:t>
      </w:r>
      <w:r w:rsidRPr="00BA0831">
        <w:rPr>
          <w:rFonts w:ascii="Century Gothic" w:eastAsia="Times New Roman" w:hAnsi="Century Gothic" w:cs="Arial"/>
          <w:lang w:eastAsia="es-CO"/>
        </w:rPr>
        <w:t>2.20.1.2.3 de</w:t>
      </w:r>
      <w:r w:rsidRPr="00BA0831">
        <w:rPr>
          <w:rFonts w:ascii="Century Gothic" w:eastAsia="Times New Roman" w:hAnsi="Century Gothic" w:cs="Arial"/>
          <w:bCs/>
          <w:lang w:eastAsia="es-CO"/>
        </w:rPr>
        <w:t xml:space="preserve">l Decreto 1071 de 2015 aplica a los </w:t>
      </w:r>
      <w:r w:rsidRPr="00BA0831">
        <w:rPr>
          <w:rFonts w:ascii="Century Gothic" w:eastAsia="Times New Roman" w:hAnsi="Century Gothic" w:cs="Arial"/>
          <w:bCs/>
          <w:i/>
          <w:iCs/>
          <w:lang w:eastAsia="es-CO"/>
        </w:rPr>
        <w:t>pequeños productores agropecuarios locales o productores locales de la Agricultura Campesina, Familiar o Comunitaria Local y/o sus organizaciones</w:t>
      </w:r>
      <w:r w:rsidRPr="00BA0831">
        <w:rPr>
          <w:rFonts w:ascii="Century Gothic" w:eastAsia="Times New Roman" w:hAnsi="Century Gothic" w:cs="Arial"/>
          <w:bCs/>
          <w:lang w:eastAsia="es-CO"/>
        </w:rPr>
        <w:t xml:space="preserve">. De acuerdo con el artículo 2.1.2.2.8 </w:t>
      </w:r>
      <w:r w:rsidRPr="00BA0831">
        <w:rPr>
          <w:rFonts w:ascii="Century Gothic" w:eastAsia="Times New Roman" w:hAnsi="Century Gothic" w:cs="Arial"/>
          <w:bCs/>
          <w:i/>
          <w:iCs/>
          <w:lang w:eastAsia="es-CO"/>
        </w:rPr>
        <w:t>ibidem</w:t>
      </w:r>
      <w:r w:rsidRPr="00BA0831">
        <w:rPr>
          <w:rFonts w:ascii="Century Gothic" w:eastAsia="Times New Roman" w:hAnsi="Century Gothic" w:cs="Arial"/>
          <w:bCs/>
          <w:lang w:eastAsia="es-CO"/>
        </w:rPr>
        <w:t xml:space="preserve">, los “pequeños productores” son las </w:t>
      </w:r>
      <w:r w:rsidRPr="00BA0831">
        <w:rPr>
          <w:rFonts w:ascii="Century Gothic" w:eastAsia="Times New Roman" w:hAnsi="Century Gothic" w:cs="Arial"/>
          <w:bCs/>
          <w:lang w:eastAsia="es-CO"/>
        </w:rPr>
        <w:lastRenderedPageBreak/>
        <w:t>personas naturales que posean activos totales no superiores a los doscientos ochenta y cuatro (284) SMMLV, en el momento de la respectiva operación de crédito. Por su parte, de acuerdo con el parágrafo 1 del artículo 2.20.1.2.3 del reglamento, los “productores agropecuarios locales” son las personas cuyo sistema de producción se encuentra ubicado en la vereda, o el municipio, o el departamento o la región en donde la entidad contratante requiere la entrega de los alimentos, esto es donde se van a consumir.</w:t>
      </w:r>
    </w:p>
    <w:p w14:paraId="0B99F332" w14:textId="77777777" w:rsidR="00CC4302" w:rsidRDefault="00BA0831" w:rsidP="000F0604">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Igualmente, 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w:t>
      </w:r>
    </w:p>
    <w:p w14:paraId="37A525EC" w14:textId="78DB2EA9" w:rsidR="00BA0831" w:rsidRPr="00BA0831" w:rsidRDefault="00BA0831" w:rsidP="000F0604">
      <w:pPr>
        <w:shd w:val="clear" w:color="auto" w:fill="FFFFFF"/>
        <w:spacing w:after="12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 Por lo demás, en congruencia con el parágrafo 2 del artículo 2.20.1.2.3 del Decreto 1071 de 2015, el parágrafo 2 del artículo 2.20.1.2.1 </w:t>
      </w:r>
      <w:r w:rsidRPr="00BA0831">
        <w:rPr>
          <w:rFonts w:ascii="Century Gothic" w:eastAsia="Times New Roman" w:hAnsi="Century Gothic" w:cs="Arial"/>
          <w:bCs/>
          <w:i/>
          <w:iCs/>
          <w:lang w:eastAsia="es-CO"/>
        </w:rPr>
        <w:t>ibidem</w:t>
      </w:r>
      <w:r w:rsidRPr="00BA0831">
        <w:rPr>
          <w:rFonts w:ascii="Century Gothic" w:eastAsia="Times New Roman" w:hAnsi="Century Gothic" w:cs="Arial"/>
          <w:bCs/>
          <w:lang w:eastAsia="es-CO"/>
        </w:rPr>
        <w:t xml:space="preserve"> dispone que “[…]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55AC9371" w14:textId="77777777" w:rsidR="00BA0831" w:rsidRPr="00BA0831" w:rsidRDefault="00BA0831" w:rsidP="000F0604">
      <w:pPr>
        <w:shd w:val="clear" w:color="auto" w:fill="FFFFFF"/>
        <w:spacing w:after="0" w:line="276" w:lineRule="auto"/>
        <w:ind w:firstLine="709"/>
        <w:jc w:val="both"/>
        <w:rPr>
          <w:rFonts w:ascii="Century Gothic" w:eastAsia="Times New Roman" w:hAnsi="Century Gothic" w:cs="Arial"/>
          <w:bCs/>
          <w:lang w:eastAsia="es-CO"/>
        </w:rPr>
      </w:pPr>
      <w:r w:rsidRPr="00BA0831">
        <w:rPr>
          <w:rFonts w:ascii="Century Gothic" w:eastAsia="Times New Roman" w:hAnsi="Century Gothic" w:cs="Arial"/>
          <w:bCs/>
          <w:lang w:eastAsia="es-CO"/>
        </w:rPr>
        <w:t xml:space="preserve">Tratándose del puntaje adicional para los pequeños productores agropecuarios locales o productores locales de la Agricultura Campesina, Familiar o Comunitaria Local y/o sus organizaciones, el parágrafo 3 del artículo 2.20.1.2.3 del reglamento citado también dispone que “Para acreditar la calidad de productor agropecuario local, se deberá allegar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w:t>
      </w:r>
      <w:r w:rsidRPr="00BA0831">
        <w:rPr>
          <w:rFonts w:ascii="Century Gothic" w:eastAsia="Times New Roman" w:hAnsi="Century Gothic" w:cs="Arial"/>
          <w:bCs/>
          <w:lang w:eastAsia="es-CO"/>
        </w:rPr>
        <w:lastRenderedPageBreak/>
        <w:t xml:space="preserve">de ubicación donde se encuentra el sistema de producción del proveedor de los productos agropecuarios” De lo anterior se desprende que ninguna de las normas citadas establece una equivalencia entre el productor agropecuario nacional y el local, pues cada calidad se demuestra conforme al marco normativo previsto en el decreto. </w:t>
      </w:r>
    </w:p>
    <w:p w14:paraId="58A1458B" w14:textId="77777777" w:rsidR="00BA0831" w:rsidRPr="000F0604" w:rsidRDefault="00BA0831" w:rsidP="000F0604">
      <w:pPr>
        <w:spacing w:after="0" w:line="276" w:lineRule="auto"/>
        <w:ind w:left="709" w:right="709"/>
        <w:jc w:val="both"/>
        <w:rPr>
          <w:rFonts w:ascii="Century Gothic" w:eastAsia="Century Gothic" w:hAnsi="Century Gothic" w:cs="Century Gothic"/>
          <w:lang w:eastAsia="es-ES_tradnl"/>
        </w:rPr>
      </w:pPr>
    </w:p>
    <w:p w14:paraId="3DF5CA20"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“4) las compras que se realizan en el orden nacional en donde los productos agrícolas y/o pecuarios son transformados por la industria para un producto final que se va a consumir, no se entienden como homologación de compras locales, y si no es así que debe hacer el operador cuando es difícil encontrar un producto que tenga materias primas de los pequeños productores del territorio.?</w:t>
      </w:r>
    </w:p>
    <w:p w14:paraId="1958054B"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p>
    <w:p w14:paraId="60CFD5A7" w14:textId="77777777" w:rsidR="00BA0831" w:rsidRPr="00BA0831" w:rsidRDefault="00BA0831" w:rsidP="000F0604">
      <w:pPr>
        <w:spacing w:after="0" w:line="240" w:lineRule="auto"/>
        <w:ind w:left="709" w:right="709"/>
        <w:jc w:val="both"/>
        <w:rPr>
          <w:rFonts w:ascii="Century Gothic" w:eastAsia="Century Gothic" w:hAnsi="Century Gothic" w:cs="Century Gothic"/>
          <w:sz w:val="20"/>
          <w:szCs w:val="20"/>
          <w:lang w:eastAsia="es-ES_tradnl"/>
        </w:rPr>
      </w:pPr>
      <w:r w:rsidRPr="00BA0831">
        <w:rPr>
          <w:rFonts w:ascii="Century Gothic" w:eastAsia="Century Gothic" w:hAnsi="Century Gothic" w:cs="Century Gothic"/>
          <w:sz w:val="20"/>
          <w:szCs w:val="20"/>
          <w:lang w:eastAsia="es-ES_tradnl"/>
        </w:rPr>
        <w:t>[…]”.</w:t>
      </w:r>
    </w:p>
    <w:p w14:paraId="2044457B" w14:textId="77777777" w:rsidR="00BA0831" w:rsidRPr="00BA0831" w:rsidRDefault="00BA0831" w:rsidP="000F0604">
      <w:pPr>
        <w:shd w:val="clear" w:color="auto" w:fill="FFFFFF"/>
        <w:spacing w:after="0" w:line="276" w:lineRule="auto"/>
        <w:ind w:firstLine="709"/>
        <w:jc w:val="both"/>
        <w:rPr>
          <w:rFonts w:ascii="Century Gothic" w:eastAsia="Times New Roman" w:hAnsi="Century Gothic" w:cs="Arial"/>
          <w:bCs/>
          <w:lang w:eastAsia="es-CO"/>
        </w:rPr>
      </w:pPr>
    </w:p>
    <w:p w14:paraId="762A430B" w14:textId="77777777" w:rsidR="00BA0831" w:rsidRPr="00BA0831" w:rsidRDefault="00BA0831" w:rsidP="000F0604">
      <w:pPr>
        <w:spacing w:after="120" w:line="276" w:lineRule="auto"/>
        <w:jc w:val="both"/>
        <w:rPr>
          <w:rFonts w:ascii="Century Gothic" w:eastAsia="Times New Roman" w:hAnsi="Century Gothic" w:cs="Arial"/>
          <w:iCs/>
          <w:lang w:eastAsia="es-ES_tradnl"/>
        </w:rPr>
      </w:pPr>
      <w:r w:rsidRPr="00BA0831">
        <w:rPr>
          <w:rFonts w:ascii="Century Gothic" w:eastAsia="Times New Roman" w:hAnsi="Century Gothic" w:cs="Arial"/>
          <w:iCs/>
          <w:sz w:val="24"/>
          <w:szCs w:val="24"/>
          <w:lang w:eastAsia="es-ES_tradnl"/>
        </w:rPr>
        <w:t>De l</w:t>
      </w:r>
      <w:r w:rsidRPr="00BA0831">
        <w:rPr>
          <w:rFonts w:ascii="Century Gothic" w:eastAsia="Times New Roman" w:hAnsi="Century Gothic" w:cs="Arial"/>
          <w:iCs/>
          <w:lang w:eastAsia="es-ES_tradnl"/>
        </w:rPr>
        <w:t>a redacción del artículo</w:t>
      </w:r>
      <w:r w:rsidRPr="00BA0831">
        <w:rPr>
          <w:rFonts w:ascii="Century Gothic" w:eastAsia="Times New Roman" w:hAnsi="Century Gothic" w:cs="Arial"/>
          <w:bCs/>
          <w:lang w:eastAsia="es-CO"/>
        </w:rPr>
        <w:t xml:space="preserve"> 2.20.1.1.3. del Decreto 248 de 2021</w:t>
      </w:r>
      <w:r w:rsidRPr="00BA0831">
        <w:rPr>
          <w:rFonts w:ascii="Century Gothic" w:eastAsia="Times New Roman" w:hAnsi="Century Gothic" w:cs="Arial"/>
          <w:iCs/>
          <w:lang w:eastAsia="es-ES_tradnl"/>
        </w:rPr>
        <w:t>es posible concluir que, de acuerdo con la Ley 2046 de 2020 y el Decreto 248 de 2021, será el objeto contractual lo que resulte determinante para identificar los contratos que deban cumplir con los parámetros de selección, requisitos habilitantes, incentivos, evaluaciones, mínimos de compra pública de alimentos, entre otros. En consonancia, cuando el contrato tenga como objeto la adquisición, suministro y entrega de alimentos en cualquiera de sus formas de atención, se encuentran obligadas a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sin que se excluya alguna de las modalidades de selección dispuestas en el artículo 2 de la Ley 1150 de 2007.</w:t>
      </w:r>
    </w:p>
    <w:p w14:paraId="3A88D676" w14:textId="77777777" w:rsidR="00283156" w:rsidRDefault="00BA0831" w:rsidP="000F0604">
      <w:pPr>
        <w:spacing w:after="120" w:line="276" w:lineRule="auto"/>
        <w:ind w:firstLine="709"/>
        <w:jc w:val="both"/>
        <w:rPr>
          <w:rFonts w:ascii="Century Gothic" w:eastAsia="Times New Roman" w:hAnsi="Century Gothic" w:cs="Arial"/>
          <w:bCs/>
          <w:lang w:eastAsia="es-ES_tradnl"/>
        </w:rPr>
      </w:pPr>
      <w:r w:rsidRPr="00BA0831">
        <w:rPr>
          <w:rFonts w:ascii="Century Gothic" w:eastAsia="Times New Roman" w:hAnsi="Century Gothic" w:cs="Arial"/>
          <w:iCs/>
          <w:lang w:eastAsia="es-ES_tradnl"/>
        </w:rPr>
        <w:t xml:space="preserve">Sobre el particular, es necesario indicar que, </w:t>
      </w:r>
      <w:r w:rsidRPr="00BA0831">
        <w:rPr>
          <w:rFonts w:ascii="Century Gothic" w:eastAsia="Times New Roman" w:hAnsi="Century Gothic" w:cs="Arial"/>
          <w:bCs/>
          <w:lang w:eastAsia="es-ES_tradnl"/>
        </w:rPr>
        <w:t xml:space="preserve">dado que la intención del legislador fue la de incentivar la compra de productos agropecuarios locales, a través de la incorporación de la obligación para las entidades enunciadas en el artículo 3 de la Ley 2046 de 2020 de adquirir localmente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 no es dable que se tengan en cuenta para determinar el cumplimiento del mandato contratos cuyo objeto sea distinto al de </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adquisición, suministro y entrega</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 xml:space="preserve"> de productos agropecuarios, toda vez que si se tienen en cuenta contratos en donde exista el componente de </w:t>
      </w:r>
      <w:r w:rsidRPr="00BA0831">
        <w:rPr>
          <w:rFonts w:ascii="Century Gothic" w:eastAsia="Times New Roman" w:hAnsi="Century Gothic" w:cs="Arial"/>
          <w:iCs/>
          <w:lang w:eastAsia="es-ES_tradnl"/>
        </w:rPr>
        <w:lastRenderedPageBreak/>
        <w:t>“</w:t>
      </w:r>
      <w:r w:rsidRPr="00BA0831">
        <w:rPr>
          <w:rFonts w:ascii="Century Gothic" w:eastAsia="Times New Roman" w:hAnsi="Century Gothic" w:cs="Arial"/>
          <w:bCs/>
          <w:lang w:eastAsia="es-ES_tradnl"/>
        </w:rPr>
        <w:t>alimento</w:t>
      </w:r>
      <w:r w:rsidRPr="00BA0831">
        <w:rPr>
          <w:rFonts w:ascii="Century Gothic" w:eastAsia="Times New Roman" w:hAnsi="Century Gothic" w:cs="Arial"/>
          <w:iCs/>
          <w:lang w:eastAsia="es-ES_tradnl"/>
        </w:rPr>
        <w:t>”</w:t>
      </w:r>
      <w:r w:rsidRPr="00BA0831">
        <w:rPr>
          <w:rFonts w:ascii="Century Gothic" w:eastAsia="Times New Roman" w:hAnsi="Century Gothic" w:cs="Arial"/>
          <w:bCs/>
          <w:lang w:eastAsia="es-ES_tradnl"/>
        </w:rPr>
        <w:t xml:space="preserve"> por fuera de los verbos citados, que tengan como fin el de suplir una necesidad correlacionada no se atendería el sentido de la norma aplicable a la materia.</w:t>
      </w:r>
    </w:p>
    <w:p w14:paraId="4E5AE226" w14:textId="62784200" w:rsidR="00BA0831" w:rsidRPr="00BA0831" w:rsidRDefault="00BA0831" w:rsidP="000F0604">
      <w:pPr>
        <w:spacing w:after="120" w:line="276" w:lineRule="auto"/>
        <w:ind w:firstLine="709"/>
        <w:jc w:val="both"/>
        <w:rPr>
          <w:rFonts w:ascii="Century Gothic" w:eastAsia="Times New Roman" w:hAnsi="Century Gothic" w:cs="Arial"/>
          <w:bCs/>
          <w:lang w:eastAsia="es-ES_tradnl"/>
        </w:rPr>
      </w:pPr>
      <w:r w:rsidRPr="00BA0831">
        <w:rPr>
          <w:rFonts w:ascii="Century Gothic" w:eastAsia="Times New Roman" w:hAnsi="Century Gothic" w:cs="Arial"/>
          <w:bCs/>
          <w:lang w:eastAsia="es-ES_tradnl"/>
        </w:rPr>
        <w:t xml:space="preserve"> Para un mejor entendimiento, a modo ilustrativo, se propone como ejemplo el contrato de arrendamiento de bien inmueble para almacenamiento de alimentos, en el caso propuesto no se estaría cumpliendo con la participación de pequeños productores locales y productores locales agropecuarios que tengan como sistema productivo la agricultura campesina, familiar y comunitaria. Por lo que necesariamente, los contratos a los que se refiere el artículo objeto de la consulta deben ser aquellos en los cuales se requiera contratar la adquisición, suministro y entrega de alimentos en cualquiera de sus formas de atención.</w:t>
      </w:r>
    </w:p>
    <w:p w14:paraId="0FA2AE0A"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 xml:space="preserve">Particularmente, la Ley 2046 de 2020 en su objeto hace referencia al propósito de que sean establecidas condiciones e instrumentos de abastecimiento alimentario para que todos los </w:t>
      </w:r>
      <w:r w:rsidRPr="00BA0831">
        <w:rPr>
          <w:rFonts w:ascii="Century Gothic" w:eastAsia="Calibri" w:hAnsi="Century Gothic" w:cs="Arial"/>
          <w:i/>
          <w:iCs/>
          <w:lang w:val="es-MX"/>
        </w:rPr>
        <w:t>programas públicos</w:t>
      </w:r>
      <w:r w:rsidRPr="00BA0831">
        <w:rPr>
          <w:rFonts w:ascii="Century Gothic" w:eastAsia="Calibri" w:hAnsi="Century Gothic" w:cs="Arial"/>
          <w:lang w:val="es-MX"/>
        </w:rPr>
        <w:t xml:space="preserve"> de suministro y distribución de alimentos promuevan la participación de pequeños productores locales. De hecho, entre las definiciones del artículo 4º para dar aplicación a la ley se incluyó el concepto de “zona geográfica para la compra pública local de alimentos”, de donde surge la noción sobre la extensión del territorio dentro de la cual se producen, comercializan y consumen alimentos primarios y transformados, provenientes de pequeños productores agropecuarios y productores cuyos sistemas productivos pertenezcan a la Agricultura Campesina, Familiar y Comunitaria, o de su organizaciones y destinados a los </w:t>
      </w:r>
      <w:r w:rsidRPr="00BA0831">
        <w:rPr>
          <w:rFonts w:ascii="Century Gothic" w:eastAsia="Calibri" w:hAnsi="Century Gothic" w:cs="Arial"/>
          <w:i/>
          <w:iCs/>
          <w:lang w:val="es-MX"/>
        </w:rPr>
        <w:t>programas institucionales</w:t>
      </w:r>
      <w:r w:rsidRPr="00BA0831">
        <w:rPr>
          <w:rFonts w:ascii="Century Gothic" w:eastAsia="Calibri" w:hAnsi="Century Gothic" w:cs="Arial"/>
          <w:lang w:val="es-MX"/>
        </w:rPr>
        <w:t xml:space="preserve"> de los sujetos de que trata el artículo 3º de la ley. Esto se refuerza en el artículo 7º sobre porcentajes mínimos de compra local a pequeños productores y productores de la agricultura campesina, familiar y comunitaria, pues allí se menciona que todas las entidades incluirán en sus contratos la obligación por parte de sus contratistas que ejecuten u operen los </w:t>
      </w:r>
      <w:r w:rsidRPr="00BA0831">
        <w:rPr>
          <w:rFonts w:ascii="Century Gothic" w:eastAsia="Calibri" w:hAnsi="Century Gothic" w:cs="Arial"/>
          <w:i/>
          <w:iCs/>
          <w:lang w:val="es-MX"/>
        </w:rPr>
        <w:t>programas institucionales</w:t>
      </w:r>
      <w:r w:rsidRPr="00BA0831">
        <w:rPr>
          <w:rFonts w:ascii="Century Gothic" w:eastAsia="Calibri" w:hAnsi="Century Gothic" w:cs="Arial"/>
          <w:lang w:val="es-MX"/>
        </w:rPr>
        <w:t xml:space="preserve"> en que se adquieran alimentos, la obligación de estos de participar en los espacios de articulación que defina la Mesa Técnica Nacional de Compras Públicas Locales de Alimentos.</w:t>
      </w:r>
    </w:p>
    <w:p w14:paraId="6EFB6E20" w14:textId="77777777" w:rsidR="00BA0831" w:rsidRPr="00BA0831" w:rsidRDefault="00BA0831" w:rsidP="000F0604">
      <w:pPr>
        <w:spacing w:after="120" w:line="276" w:lineRule="auto"/>
        <w:ind w:firstLine="708"/>
        <w:jc w:val="both"/>
        <w:rPr>
          <w:rFonts w:ascii="Century Gothic" w:eastAsia="Calibri" w:hAnsi="Century Gothic" w:cs="Arial"/>
        </w:rPr>
      </w:pPr>
      <w:r w:rsidRPr="00BA0831">
        <w:rPr>
          <w:rFonts w:ascii="Century Gothic" w:eastAsia="Calibri" w:hAnsi="Century Gothic" w:cs="Arial"/>
        </w:rPr>
        <w:t xml:space="preserve">En ese orden, sin perjuicio de señalar que resulta confusa e indeterminada la expresión “incluye todas aquellas necesidades institucionales de las entidades donde se requiera adquirir alimentos”, lo cierto es que el propio Decreto 248 de 2021 incorpora expresamente en el artículo 2.20.1.1.1. como una de las principales definiciones para lograr su cabal aplicación los denominados </w:t>
      </w:r>
      <w:r w:rsidRPr="00BA0831">
        <w:rPr>
          <w:rFonts w:ascii="Century Gothic" w:eastAsia="Calibri" w:hAnsi="Century Gothic" w:cs="Arial"/>
          <w:i/>
          <w:iCs/>
        </w:rPr>
        <w:t>“programas institucionales de servicios de alimentación”</w:t>
      </w:r>
      <w:r w:rsidRPr="00BA0831">
        <w:rPr>
          <w:rFonts w:ascii="Century Gothic" w:eastAsia="Calibri" w:hAnsi="Century Gothic" w:cs="Arial"/>
        </w:rPr>
        <w:t xml:space="preserve"> como aquellos que se realizan con </w:t>
      </w:r>
      <w:r w:rsidRPr="00BA0831">
        <w:rPr>
          <w:rFonts w:ascii="Century Gothic" w:eastAsia="Calibri" w:hAnsi="Century Gothic" w:cs="Arial"/>
        </w:rPr>
        <w:lastRenderedPageBreak/>
        <w:t>cargo a los recursos propios o cofinanciados por fuentes de recursos provenientes de cualquier sistema presupuestal de las entidades públicas descentralizadas del orden nacional o territorial, y que se dirigen a atender la demanda de alimentos, bien sea por su misionalidad y/o la necesidad funcional de las entidades. Dicho de otro modo, su fuerza obligatoria cobija tanto a las entidades que contraten con recursos públicos la adquisición, suministro y entrega de alimentos en cualquiera de sus modalidades como aquellas que también lo hagan en el marco de programas institucionales de servicios de alimentación.</w:t>
      </w:r>
    </w:p>
    <w:p w14:paraId="3EBCC02E"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Por otra parte, es claro que el Decreto 248 de 2021 acoge todas las modalidades de selección previstas en el artículo 2º de la Ley 1150 de 2007. En especial, interesa apuntar que los artículos 2.20.1.2.1 a 2.20.1.2.3. que conforman el capítulo 2 sobre esquemas de puntajes adicionales obligatorios y facultativos reconocen la asignación de unos puntajes específicos por parte de las entidades públicas descentralizadas del orden nacional y las entidades territoriales, cuando requieran productos de origen agropecuario para atender la demanda de los programas institucionales, a los oferentes que cumplan unas determinadas condiciones dentro de sus respectivos procedimientos contractuales.</w:t>
      </w:r>
    </w:p>
    <w:p w14:paraId="6A25769B" w14:textId="77777777" w:rsidR="00BA0831" w:rsidRPr="00BA0831" w:rsidRDefault="00BA0831" w:rsidP="000F0604">
      <w:pPr>
        <w:spacing w:after="120" w:line="276" w:lineRule="auto"/>
        <w:ind w:firstLine="708"/>
        <w:jc w:val="both"/>
        <w:rPr>
          <w:rFonts w:ascii="Century Gothic" w:eastAsia="Calibri" w:hAnsi="Century Gothic" w:cs="Arial"/>
          <w:lang w:val="es-MX"/>
        </w:rPr>
      </w:pPr>
      <w:r w:rsidRPr="00BA0831">
        <w:rPr>
          <w:rFonts w:ascii="Century Gothic" w:eastAsia="Calibri" w:hAnsi="Century Gothic" w:cs="Arial"/>
          <w:lang w:val="es-MX"/>
        </w:rPr>
        <w:t>Del mismo modo, a partir de lo dispuesto en los artículos 229 de la Ley 1955 de 2019 y 5 de la Ley 2046 de 2020, resulta de recibo afirmar que la calificación diferenciada en materia de compras públicas de alimentos incluye alimentos procesados o sin procesar, siempre que los insumos y los productos hayan sido adquiridos de productores agropecuarios locales (origen agropecuario) y cumplan con las especificaciones técnicas exigidas por la Mesa Técnica Nacional de Compras Públicas Locales de Alimentos en coordinación con el Instituto Nacional de Vigilancia de Medicamentos y Alimentos -INVIMA- en materia de normatividad sanitaria vigente y características excluyentes a la producción proveniente de pequeños productores locales y productores de la Agricultura Campesina, Familiar y Comunitaria y sus organizaciones.</w:t>
      </w:r>
    </w:p>
    <w:p w14:paraId="3A44069B" w14:textId="77777777" w:rsidR="00BA0831" w:rsidRPr="00BA0831" w:rsidRDefault="00BA0831" w:rsidP="000F0604">
      <w:pPr>
        <w:spacing w:after="0" w:line="276" w:lineRule="auto"/>
        <w:ind w:firstLine="709"/>
        <w:jc w:val="both"/>
        <w:rPr>
          <w:rFonts w:ascii="Century Gothic" w:eastAsia="Calibri" w:hAnsi="Century Gothic" w:cs="Arial"/>
        </w:rPr>
      </w:pPr>
      <w:r w:rsidRPr="00BA0831">
        <w:rPr>
          <w:rFonts w:ascii="Century Gothic" w:eastAsia="Calibri" w:hAnsi="Century Gothic" w:cs="Arial"/>
          <w:lang w:val="es-MX"/>
        </w:rPr>
        <w:t xml:space="preserve">El literal c) del artículo 2.20.1.1.1. del Decreto 248 de 2021 define “productos agropecuarios” como aquellos productos cosechados, recolectados, seleccionados, lavados e incluso empacados, y aquellos que por sus características naturales conservan sus calidades aptas para la comercialización y el consumo durante un plazo inferior a treinta (30) días, o que precisan condiciones de temperatura regulada, de comercialización y de transporte o que no sean perecederos; así como aquellos cuya transformación alimenticia de diferentes niveles de complejidad que utilizan como insumo principal bienes agrícolas o </w:t>
      </w:r>
      <w:r w:rsidRPr="00BA0831">
        <w:rPr>
          <w:rFonts w:ascii="Century Gothic" w:eastAsia="Calibri" w:hAnsi="Century Gothic" w:cs="Arial"/>
          <w:lang w:val="es-MX"/>
        </w:rPr>
        <w:lastRenderedPageBreak/>
        <w:t>pecuarios en fresco de origen nacional, entre los que se incluyen los productos que han sido objeto de procesos de post cosecha, como pelado, picado, despulpado o congelado, entre otros.</w:t>
      </w:r>
    </w:p>
    <w:p w14:paraId="5EBE2A2B" w14:textId="77777777" w:rsidR="00BA0831" w:rsidRPr="00BA0831" w:rsidRDefault="00BA0831" w:rsidP="000F0604">
      <w:pPr>
        <w:spacing w:after="0" w:line="276" w:lineRule="auto"/>
        <w:jc w:val="both"/>
        <w:rPr>
          <w:rFonts w:ascii="Century Gothic" w:eastAsia="Century Gothic" w:hAnsi="Century Gothic" w:cs="Century Gothic"/>
          <w:lang w:eastAsia="es-ES_tradnl"/>
        </w:rPr>
      </w:pPr>
    </w:p>
    <w:p w14:paraId="4064A6DC" w14:textId="77777777" w:rsidR="00BA0831" w:rsidRPr="00BA0831" w:rsidRDefault="00BA0831" w:rsidP="000F0604">
      <w:pPr>
        <w:spacing w:after="0" w:line="276" w:lineRule="auto"/>
        <w:jc w:val="both"/>
        <w:rPr>
          <w:rFonts w:ascii="Century Gothic" w:eastAsia="Century Gothic" w:hAnsi="Century Gothic" w:cs="Century Gothic"/>
          <w:lang w:val="es-ES" w:eastAsia="es-ES_tradnl"/>
        </w:rPr>
      </w:pPr>
      <w:r w:rsidRPr="00BA0831">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0622DB2" w14:textId="77777777" w:rsidR="00BA0831" w:rsidRPr="00BA0831" w:rsidRDefault="00BA0831" w:rsidP="000F0604">
      <w:pPr>
        <w:spacing w:after="0" w:line="276" w:lineRule="auto"/>
        <w:jc w:val="both"/>
        <w:rPr>
          <w:rFonts w:ascii="Century Gothic" w:eastAsia="Century Gothic" w:hAnsi="Century Gothic" w:cs="Century Gothic"/>
          <w:lang w:val="es-ES" w:eastAsia="es-CO"/>
        </w:rPr>
      </w:pPr>
    </w:p>
    <w:p w14:paraId="017FF576" w14:textId="77777777" w:rsidR="00BA0831" w:rsidRPr="00BA0831" w:rsidRDefault="00BA0831" w:rsidP="000F0604">
      <w:pPr>
        <w:spacing w:after="0" w:line="276" w:lineRule="auto"/>
        <w:jc w:val="both"/>
        <w:rPr>
          <w:rFonts w:ascii="Century Gothic" w:eastAsia="Century Gothic" w:hAnsi="Century Gothic" w:cs="Century Gothic"/>
          <w:lang w:val="es-ES" w:eastAsia="es-CO"/>
        </w:rPr>
      </w:pPr>
      <w:r w:rsidRPr="00BA0831">
        <w:rPr>
          <w:rFonts w:ascii="Century Gothic" w:eastAsia="Century Gothic" w:hAnsi="Century Gothic" w:cs="Century Gothic"/>
          <w:lang w:val="es-ES" w:eastAsia="es-CO"/>
        </w:rPr>
        <w:t>Atentamente,</w:t>
      </w:r>
    </w:p>
    <w:p w14:paraId="24F863A5" w14:textId="006DDFDF" w:rsidR="00BA0831" w:rsidRPr="00BA0831" w:rsidRDefault="00270641" w:rsidP="00BA0831">
      <w:pPr>
        <w:spacing w:after="0" w:line="240" w:lineRule="auto"/>
        <w:jc w:val="center"/>
        <w:rPr>
          <w:rFonts w:ascii="Century Gothic" w:eastAsia="Century Gothic" w:hAnsi="Century Gothic" w:cs="Century Gothic"/>
          <w:lang w:val="es-ES" w:eastAsia="es-CO"/>
        </w:rPr>
      </w:pPr>
      <w:r>
        <w:rPr>
          <w:noProof/>
        </w:rPr>
        <w:drawing>
          <wp:inline distT="0" distB="0" distL="0" distR="0" wp14:anchorId="12321AD2" wp14:editId="273BB598">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6813781F" w14:textId="77777777" w:rsidR="00BA0831" w:rsidRPr="00BA0831" w:rsidRDefault="00BA0831" w:rsidP="00BA0831">
      <w:pPr>
        <w:spacing w:after="0" w:line="240" w:lineRule="auto"/>
        <w:rPr>
          <w:rFonts w:ascii="Century Gothic" w:eastAsia="Century Gothic" w:hAnsi="Century Gothic" w:cs="Century Gothic"/>
          <w:sz w:val="24"/>
          <w:szCs w:val="24"/>
          <w:lang w:eastAsia="es-ES_tradnl"/>
        </w:rPr>
      </w:pP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BA0831" w:rsidRPr="00BA0831" w14:paraId="7112E52B" w14:textId="77777777" w:rsidTr="00746204">
        <w:trPr>
          <w:trHeight w:val="286"/>
        </w:trPr>
        <w:tc>
          <w:tcPr>
            <w:tcW w:w="817" w:type="dxa"/>
            <w:vAlign w:val="center"/>
          </w:tcPr>
          <w:p w14:paraId="4DF43808" w14:textId="77777777"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2D166951" w14:textId="7BDDC8E6" w:rsidR="00BA0831" w:rsidRPr="00BA0831" w:rsidRDefault="00BA0831" w:rsidP="00BA0831">
            <w:pPr>
              <w:textAlignment w:val="baseline"/>
              <w:rPr>
                <w:rFonts w:ascii="Century Gothic" w:eastAsia="Century Gothic" w:hAnsi="Century Gothic" w:cs="Century Gothic"/>
                <w:sz w:val="18"/>
                <w:szCs w:val="18"/>
                <w:lang w:eastAsia="es-CO"/>
              </w:rPr>
            </w:pPr>
            <w:r w:rsidRPr="00BA0831">
              <w:rPr>
                <w:rFonts w:ascii="Century Gothic" w:eastAsia="Century Gothic" w:hAnsi="Century Gothic" w:cs="Century Gothic"/>
                <w:sz w:val="16"/>
                <w:szCs w:val="16"/>
                <w:lang w:eastAsia="es-CO"/>
              </w:rPr>
              <w:t>Diana Lucia Saavedra Castañeda</w:t>
            </w:r>
          </w:p>
          <w:p w14:paraId="4FD31D2B" w14:textId="358232F5" w:rsidR="00BA0831" w:rsidRPr="00BA0831" w:rsidRDefault="00BA0831" w:rsidP="00BA0831">
            <w:pPr>
              <w:textAlignment w:val="baseline"/>
              <w:rPr>
                <w:rFonts w:ascii="Century Gothic" w:eastAsia="Century Gothic" w:hAnsi="Century Gothic" w:cs="Century Gothic"/>
                <w:sz w:val="18"/>
                <w:szCs w:val="18"/>
                <w:lang w:eastAsia="es-CO"/>
              </w:rPr>
            </w:pPr>
            <w:r w:rsidRPr="00BA0831">
              <w:rPr>
                <w:rFonts w:ascii="Century Gothic" w:eastAsia="Century Gothic" w:hAnsi="Century Gothic" w:cs="Century Gothic"/>
                <w:sz w:val="16"/>
                <w:szCs w:val="16"/>
                <w:lang w:eastAsia="es-CO"/>
              </w:rPr>
              <w:t>Contratista de la Subdirección de Gestión Contractual</w:t>
            </w:r>
          </w:p>
        </w:tc>
      </w:tr>
      <w:tr w:rsidR="00BA0831" w:rsidRPr="00BA0831" w14:paraId="12542216" w14:textId="77777777" w:rsidTr="00746204">
        <w:trPr>
          <w:trHeight w:val="286"/>
        </w:trPr>
        <w:tc>
          <w:tcPr>
            <w:tcW w:w="817" w:type="dxa"/>
            <w:vAlign w:val="center"/>
          </w:tcPr>
          <w:p w14:paraId="7CEE87B2" w14:textId="77777777"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65D8B937" w14:textId="5506AB13" w:rsidR="00BA0831" w:rsidRPr="00BA0831" w:rsidRDefault="00BA0831" w:rsidP="00BA0831">
            <w:pPr>
              <w:textAlignment w:val="baseline"/>
              <w:rPr>
                <w:rFonts w:ascii="Times New Roman" w:eastAsia="Century Gothic" w:hAnsi="Times New Roman" w:cs="Times New Roman"/>
                <w:sz w:val="16"/>
                <w:szCs w:val="16"/>
                <w:lang w:eastAsia="es-CO"/>
              </w:rPr>
            </w:pPr>
            <w:r w:rsidRPr="00BA0831">
              <w:rPr>
                <w:rFonts w:ascii="Century Gothic" w:eastAsia="Century Gothic" w:hAnsi="Century Gothic" w:cs="Century Gothic"/>
                <w:sz w:val="16"/>
                <w:szCs w:val="16"/>
                <w:lang w:eastAsia="es-CO"/>
              </w:rPr>
              <w:t>Diana Carolina Armenta Celis</w:t>
            </w:r>
          </w:p>
          <w:p w14:paraId="46464F11" w14:textId="5EE9C0C3"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Contratista de la Subdirección de Gestión Contractual</w:t>
            </w:r>
          </w:p>
        </w:tc>
      </w:tr>
      <w:tr w:rsidR="00BA0831" w:rsidRPr="00BA0831" w14:paraId="1193229D" w14:textId="77777777" w:rsidTr="00746204">
        <w:trPr>
          <w:trHeight w:val="299"/>
        </w:trPr>
        <w:tc>
          <w:tcPr>
            <w:tcW w:w="817" w:type="dxa"/>
            <w:vAlign w:val="center"/>
          </w:tcPr>
          <w:p w14:paraId="40AC507A" w14:textId="77777777"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2D9831C9" w14:textId="77777777"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Nohelia Del Carmen Zawady Palacio</w:t>
            </w:r>
          </w:p>
          <w:p w14:paraId="42BAC137" w14:textId="77777777" w:rsidR="00BA0831" w:rsidRPr="00BA0831" w:rsidRDefault="00BA0831" w:rsidP="00BA0831">
            <w:pPr>
              <w:rPr>
                <w:rFonts w:ascii="Century Gothic" w:eastAsia="Century Gothic" w:hAnsi="Century Gothic" w:cs="Century Gothic"/>
                <w:sz w:val="16"/>
                <w:szCs w:val="16"/>
                <w:lang w:eastAsia="es-ES_tradnl"/>
              </w:rPr>
            </w:pPr>
            <w:r w:rsidRPr="00BA0831">
              <w:rPr>
                <w:rFonts w:ascii="Century Gothic" w:eastAsia="Century Gothic" w:hAnsi="Century Gothic" w:cs="Century Gothic"/>
                <w:sz w:val="16"/>
                <w:szCs w:val="16"/>
                <w:lang w:eastAsia="es-ES_tradnl"/>
              </w:rPr>
              <w:t xml:space="preserve">Subdirectora de Gestión Contractual ANCP – CCE </w:t>
            </w:r>
          </w:p>
        </w:tc>
      </w:tr>
    </w:tbl>
    <w:p w14:paraId="54A3AD63" w14:textId="77777777" w:rsidR="00BA0831" w:rsidRPr="00BA0831" w:rsidRDefault="00BA0831" w:rsidP="00BA0831">
      <w:pPr>
        <w:tabs>
          <w:tab w:val="left" w:pos="3795"/>
        </w:tabs>
        <w:spacing w:after="0" w:line="240" w:lineRule="auto"/>
        <w:rPr>
          <w:rFonts w:ascii="Century Gothic" w:eastAsia="Century Gothic" w:hAnsi="Century Gothic" w:cs="Century Gothic"/>
          <w:sz w:val="24"/>
          <w:szCs w:val="24"/>
          <w:lang w:val="es-ES" w:eastAsia="es-ES_tradnl"/>
        </w:rPr>
      </w:pPr>
    </w:p>
    <w:p w14:paraId="263F8C54" w14:textId="77777777" w:rsidR="00BA0831" w:rsidRPr="00BA0831" w:rsidRDefault="00BA0831" w:rsidP="00BA0831">
      <w:pPr>
        <w:spacing w:after="0" w:line="240" w:lineRule="auto"/>
        <w:rPr>
          <w:rFonts w:ascii="Century Gothic" w:eastAsia="Century Gothic" w:hAnsi="Century Gothic" w:cs="Century Gothic"/>
          <w:sz w:val="24"/>
          <w:szCs w:val="24"/>
          <w:lang w:eastAsia="es-ES_tradnl"/>
        </w:rPr>
      </w:pPr>
    </w:p>
    <w:bookmarkEnd w:id="13"/>
    <w:p w14:paraId="6EF7326D" w14:textId="77777777" w:rsidR="00BA0831" w:rsidRPr="00BA0831" w:rsidRDefault="00BA0831" w:rsidP="00BA0831">
      <w:pPr>
        <w:spacing w:after="0" w:line="240" w:lineRule="auto"/>
        <w:rPr>
          <w:rFonts w:ascii="Century Gothic" w:eastAsia="Century Gothic" w:hAnsi="Century Gothic" w:cs="Century Gothic"/>
          <w:sz w:val="24"/>
          <w:szCs w:val="24"/>
          <w:lang w:eastAsia="es-ES_tradnl"/>
        </w:rPr>
      </w:pPr>
    </w:p>
    <w:bookmarkEnd w:id="0"/>
    <w:p w14:paraId="01329F0B" w14:textId="77777777" w:rsidR="00BA0831" w:rsidRPr="00322A85" w:rsidRDefault="00BA0831" w:rsidP="00E245AB">
      <w:pPr>
        <w:spacing w:after="0"/>
        <w:rPr>
          <w:rFonts w:ascii="Century Gothic" w:hAnsi="Century Gothic"/>
        </w:rPr>
      </w:pPr>
    </w:p>
    <w:sectPr w:rsidR="00BA0831"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FC12" w14:textId="77777777" w:rsidR="004B165E" w:rsidRDefault="004B165E" w:rsidP="004A1847">
      <w:pPr>
        <w:spacing w:after="0" w:line="240" w:lineRule="auto"/>
      </w:pPr>
      <w:r>
        <w:separator/>
      </w:r>
    </w:p>
  </w:endnote>
  <w:endnote w:type="continuationSeparator" w:id="0">
    <w:p w14:paraId="20D089F3" w14:textId="77777777" w:rsidR="004B165E" w:rsidRDefault="004B165E" w:rsidP="004A1847">
      <w:pPr>
        <w:spacing w:after="0" w:line="240" w:lineRule="auto"/>
      </w:pPr>
      <w:r>
        <w:continuationSeparator/>
      </w:r>
    </w:p>
  </w:endnote>
  <w:endnote w:type="continuationNotice" w:id="1">
    <w:p w14:paraId="37D0A509" w14:textId="77777777" w:rsidR="004B165E" w:rsidRDefault="004B1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E2FE" w14:textId="77777777" w:rsidR="004B165E" w:rsidRDefault="004B165E" w:rsidP="004A1847">
      <w:pPr>
        <w:spacing w:after="0" w:line="240" w:lineRule="auto"/>
      </w:pPr>
      <w:r>
        <w:separator/>
      </w:r>
    </w:p>
  </w:footnote>
  <w:footnote w:type="continuationSeparator" w:id="0">
    <w:p w14:paraId="1CD5D308" w14:textId="77777777" w:rsidR="004B165E" w:rsidRDefault="004B165E" w:rsidP="004A1847">
      <w:pPr>
        <w:spacing w:after="0" w:line="240" w:lineRule="auto"/>
      </w:pPr>
      <w:r>
        <w:continuationSeparator/>
      </w:r>
    </w:p>
  </w:footnote>
  <w:footnote w:type="continuationNotice" w:id="1">
    <w:p w14:paraId="6E968785" w14:textId="77777777" w:rsidR="004B165E" w:rsidRDefault="004B165E">
      <w:pPr>
        <w:spacing w:after="0" w:line="240" w:lineRule="auto"/>
      </w:pPr>
    </w:p>
  </w:footnote>
  <w:footnote w:id="2">
    <w:p w14:paraId="036F2C53" w14:textId="19C49319" w:rsidR="00BA0831" w:rsidRPr="009D641A" w:rsidRDefault="00BA0831" w:rsidP="00282A7D">
      <w:pPr>
        <w:pStyle w:val="Textonotapie"/>
        <w:ind w:firstLine="708"/>
        <w:contextualSpacing/>
        <w:jc w:val="both"/>
        <w:rPr>
          <w:rFonts w:ascii="Century Gothic" w:eastAsia="Calibri" w:hAnsi="Century Gothic" w:cs="Arial"/>
          <w:sz w:val="16"/>
          <w:szCs w:val="16"/>
          <w:lang w:val="es-ES" w:eastAsia="es-ES_tradnl"/>
        </w:rPr>
      </w:pPr>
      <w:r w:rsidRPr="009D641A">
        <w:rPr>
          <w:rFonts w:ascii="Century Gothic" w:eastAsia="Calibri" w:hAnsi="Century Gothic" w:cs="Arial"/>
          <w:sz w:val="16"/>
          <w:szCs w:val="16"/>
          <w:vertAlign w:val="superscript"/>
          <w:lang w:val="es-ES" w:eastAsia="es-ES_tradnl"/>
        </w:rPr>
        <w:footnoteRef/>
      </w:r>
      <w:r w:rsidRPr="009D641A">
        <w:rPr>
          <w:rFonts w:ascii="Century Gothic" w:eastAsia="Calibri" w:hAnsi="Century Gothic" w:cs="Arial"/>
          <w:sz w:val="16"/>
          <w:szCs w:val="16"/>
          <w:lang w:val="es-ES" w:eastAsia="es-ES_tradnl"/>
        </w:rPr>
        <w:t xml:space="preserve"> La Agencia Nacional de Contratación Pública </w:t>
      </w:r>
      <w:r w:rsidRPr="009D641A">
        <w:rPr>
          <w:rFonts w:ascii="Arial" w:eastAsia="Calibri" w:hAnsi="Arial" w:cs="Arial"/>
          <w:sz w:val="16"/>
          <w:szCs w:val="16"/>
          <w:lang w:val="es-ES" w:eastAsia="es-ES_tradnl"/>
        </w:rPr>
        <w:t>‒</w:t>
      </w:r>
      <w:r w:rsidRPr="009D641A">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9D641A">
        <w:rPr>
          <w:rFonts w:ascii="Century Gothic" w:eastAsia="Calibri" w:hAnsi="Century Gothic" w:cs="Century Gothic"/>
          <w:sz w:val="16"/>
          <w:szCs w:val="16"/>
          <w:lang w:val="es-ES" w:eastAsia="es-ES_tradnl"/>
        </w:rPr>
        <w:t>í</w:t>
      </w:r>
      <w:r w:rsidRPr="009D641A">
        <w:rPr>
          <w:rFonts w:ascii="Century Gothic" w:eastAsia="Calibri" w:hAnsi="Century Gothic" w:cs="Arial"/>
          <w:sz w:val="16"/>
          <w:szCs w:val="16"/>
          <w:lang w:val="es-ES" w:eastAsia="es-ES_tradnl"/>
        </w:rPr>
        <w:t>tica de compras y contrataci</w:t>
      </w:r>
      <w:r w:rsidRPr="009D641A">
        <w:rPr>
          <w:rFonts w:ascii="Century Gothic" w:eastAsia="Calibri" w:hAnsi="Century Gothic" w:cs="Century Gothic"/>
          <w:sz w:val="16"/>
          <w:szCs w:val="16"/>
          <w:lang w:val="es-ES" w:eastAsia="es-ES_tradnl"/>
        </w:rPr>
        <w:t>ó</w:t>
      </w:r>
      <w:r w:rsidRPr="009D641A">
        <w:rPr>
          <w:rFonts w:ascii="Century Gothic" w:eastAsia="Calibri" w:hAnsi="Century Gothic" w:cs="Arial"/>
          <w:sz w:val="16"/>
          <w:szCs w:val="16"/>
          <w:lang w:val="es-ES" w:eastAsia="es-ES_tradnl"/>
        </w:rPr>
        <w:t xml:space="preserve">n del Estado. Para tales fines, como </w:t>
      </w:r>
      <w:r w:rsidRPr="009D641A">
        <w:rPr>
          <w:rFonts w:ascii="Century Gothic" w:eastAsia="Calibri" w:hAnsi="Century Gothic" w:cs="Century Gothic"/>
          <w:sz w:val="16"/>
          <w:szCs w:val="16"/>
          <w:lang w:val="es-ES" w:eastAsia="es-ES_tradnl"/>
        </w:rPr>
        <w:t>ó</w:t>
      </w:r>
      <w:r w:rsidRPr="009D641A">
        <w:rPr>
          <w:rFonts w:ascii="Century Gothic" w:eastAsia="Calibri" w:hAnsi="Century Gothic" w:cs="Arial"/>
          <w:sz w:val="16"/>
          <w:szCs w:val="16"/>
          <w:lang w:val="es-ES" w:eastAsia="es-ES_tradnl"/>
        </w:rPr>
        <w:t>rgano t</w:t>
      </w:r>
      <w:r w:rsidRPr="009D641A">
        <w:rPr>
          <w:rFonts w:ascii="Century Gothic" w:eastAsia="Calibri" w:hAnsi="Century Gothic" w:cs="Century Gothic"/>
          <w:sz w:val="16"/>
          <w:szCs w:val="16"/>
          <w:lang w:val="es-ES" w:eastAsia="es-ES_tradnl"/>
        </w:rPr>
        <w:t>é</w:t>
      </w:r>
      <w:r w:rsidRPr="009D641A">
        <w:rPr>
          <w:rFonts w:ascii="Century Gothic" w:eastAsia="Calibri" w:hAnsi="Century Gothic" w:cs="Arial"/>
          <w:sz w:val="16"/>
          <w:szCs w:val="16"/>
          <w:lang w:val="es-ES" w:eastAsia="es-ES_tradnl"/>
        </w:rPr>
        <w:t>cnico especializado, le corresponde formular pol</w:t>
      </w:r>
      <w:r w:rsidRPr="009D641A">
        <w:rPr>
          <w:rFonts w:ascii="Century Gothic" w:eastAsia="Calibri" w:hAnsi="Century Gothic" w:cs="Century Gothic"/>
          <w:sz w:val="16"/>
          <w:szCs w:val="16"/>
          <w:lang w:val="es-ES" w:eastAsia="es-ES_tradnl"/>
        </w:rPr>
        <w:t>í</w:t>
      </w:r>
      <w:r w:rsidRPr="009D641A">
        <w:rPr>
          <w:rFonts w:ascii="Century Gothic" w:eastAsia="Calibri" w:hAnsi="Century Gothic" w:cs="Arial"/>
          <w:sz w:val="16"/>
          <w:szCs w:val="16"/>
          <w:lang w:val="es-ES" w:eastAsia="es-ES_tradnl"/>
        </w:rPr>
        <w:t>ticas p</w:t>
      </w:r>
      <w:r w:rsidRPr="009D641A">
        <w:rPr>
          <w:rFonts w:ascii="Century Gothic" w:eastAsia="Calibri" w:hAnsi="Century Gothic" w:cs="Century Gothic"/>
          <w:sz w:val="16"/>
          <w:szCs w:val="16"/>
          <w:lang w:val="es-ES" w:eastAsia="es-ES_tradnl"/>
        </w:rPr>
        <w:t>ú</w:t>
      </w:r>
      <w:r w:rsidRPr="009D641A">
        <w:rPr>
          <w:rFonts w:ascii="Century Gothic" w:eastAsia="Calibri" w:hAnsi="Century Gothic" w:cs="Arial"/>
          <w:sz w:val="16"/>
          <w:szCs w:val="16"/>
          <w:lang w:val="es-ES" w:eastAsia="es-ES_tradnl"/>
        </w:rPr>
        <w:t>blicas y normas y unificar los procesos de contrataci</w:t>
      </w:r>
      <w:r w:rsidRPr="009D641A">
        <w:rPr>
          <w:rFonts w:ascii="Century Gothic" w:eastAsia="Calibri" w:hAnsi="Century Gothic" w:cs="Century Gothic"/>
          <w:sz w:val="16"/>
          <w:szCs w:val="16"/>
          <w:lang w:val="es-ES" w:eastAsia="es-ES_tradnl"/>
        </w:rPr>
        <w:t>ó</w:t>
      </w:r>
      <w:r w:rsidRPr="009D641A">
        <w:rPr>
          <w:rFonts w:ascii="Century Gothic" w:eastAsia="Calibri" w:hAnsi="Century Gothic" w:cs="Arial"/>
          <w:sz w:val="16"/>
          <w:szCs w:val="16"/>
          <w:lang w:val="es-ES" w:eastAsia="es-ES_tradnl"/>
        </w:rPr>
        <w:t>n estatal, con el fin de lograr una mayor eficiencia, transparencia y optimizaci</w:t>
      </w:r>
      <w:r w:rsidRPr="009D641A">
        <w:rPr>
          <w:rFonts w:ascii="Century Gothic" w:eastAsia="Calibri" w:hAnsi="Century Gothic" w:cs="Century Gothic"/>
          <w:sz w:val="16"/>
          <w:szCs w:val="16"/>
          <w:lang w:val="es-ES" w:eastAsia="es-ES_tradnl"/>
        </w:rPr>
        <w:t>ó</w:t>
      </w:r>
      <w:r w:rsidRPr="009D641A">
        <w:rPr>
          <w:rFonts w:ascii="Century Gothic" w:eastAsia="Calibri" w:hAnsi="Century Gothic" w:cs="Arial"/>
          <w:sz w:val="16"/>
          <w:szCs w:val="16"/>
          <w:lang w:val="es-ES" w:eastAsia="es-ES_tradnl"/>
        </w:rPr>
        <w:t>n de los recursos del Estado. El art</w:t>
      </w:r>
      <w:r w:rsidRPr="009D641A">
        <w:rPr>
          <w:rFonts w:ascii="Century Gothic" w:eastAsia="Calibri" w:hAnsi="Century Gothic" w:cs="Century Gothic"/>
          <w:sz w:val="16"/>
          <w:szCs w:val="16"/>
          <w:lang w:val="es-ES" w:eastAsia="es-ES_tradnl"/>
        </w:rPr>
        <w:t>í</w:t>
      </w:r>
      <w:r w:rsidRPr="009D641A">
        <w:rPr>
          <w:rFonts w:ascii="Century Gothic" w:eastAsia="Calibri" w:hAnsi="Century Gothic" w:cs="Arial"/>
          <w:sz w:val="16"/>
          <w:szCs w:val="16"/>
          <w:lang w:val="es-ES" w:eastAsia="es-ES_tradnl"/>
        </w:rPr>
        <w:t>culo 3 ibidem se</w:t>
      </w:r>
      <w:r w:rsidRPr="009D641A">
        <w:rPr>
          <w:rFonts w:ascii="Century Gothic" w:eastAsia="Calibri" w:hAnsi="Century Gothic" w:cs="Century Gothic"/>
          <w:sz w:val="16"/>
          <w:szCs w:val="16"/>
          <w:lang w:val="es-ES" w:eastAsia="es-ES_tradnl"/>
        </w:rPr>
        <w:t>ñ</w:t>
      </w:r>
      <w:r w:rsidRPr="009D641A">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5419790" w14:textId="57778852" w:rsidR="00BA0831" w:rsidRPr="009D641A" w:rsidRDefault="00BA0831" w:rsidP="00282A7D">
      <w:pPr>
        <w:pStyle w:val="Textonotapie"/>
        <w:ind w:firstLine="708"/>
        <w:contextualSpacing/>
        <w:jc w:val="both"/>
        <w:rPr>
          <w:rFonts w:ascii="Century Gothic" w:hAnsi="Century Gothic" w:cs="Segoe UI"/>
          <w:color w:val="242424"/>
          <w:sz w:val="16"/>
          <w:szCs w:val="16"/>
          <w:shd w:val="clear" w:color="auto" w:fill="FFFFFF"/>
        </w:rPr>
      </w:pPr>
      <w:r w:rsidRPr="009D641A">
        <w:rPr>
          <w:rStyle w:val="Refdenotaalpie"/>
          <w:rFonts w:ascii="Century Gothic" w:hAnsi="Century Gothic"/>
          <w:sz w:val="16"/>
          <w:szCs w:val="16"/>
        </w:rPr>
        <w:footnoteRef/>
      </w:r>
      <w:r w:rsidRPr="009D641A">
        <w:rPr>
          <w:rFonts w:ascii="Century Gothic" w:hAnsi="Century Gothic"/>
          <w:sz w:val="16"/>
          <w:szCs w:val="16"/>
        </w:rPr>
        <w:t xml:space="preserve"> Los numerales 1, 3 y 5 de su escrito no se refieren al alcance de alguna norma que rija la contratación de las entidades públicas sino a la resolución de una problemática que desborda nuestra competencia conforme le fue expuesto en el oficio con radicado de salida No. R</w:t>
      </w:r>
      <w:r w:rsidRPr="009D641A">
        <w:rPr>
          <w:rFonts w:ascii="Century Gothic" w:hAnsi="Century Gothic" w:cs="Segoe UI"/>
          <w:color w:val="242424"/>
          <w:sz w:val="16"/>
          <w:szCs w:val="16"/>
          <w:shd w:val="clear" w:color="auto" w:fill="FFFFFF"/>
        </w:rPr>
        <w:t xml:space="preserve">S20230831009354 del 30 de agosto de 2023. </w:t>
      </w:r>
    </w:p>
  </w:footnote>
  <w:footnote w:id="4">
    <w:p w14:paraId="065F4BD0" w14:textId="2898F3ED" w:rsidR="00BA0831" w:rsidRPr="009D641A" w:rsidRDefault="00BA0831" w:rsidP="00282A7D">
      <w:pPr>
        <w:pStyle w:val="Textonotapie"/>
        <w:ind w:firstLine="708"/>
        <w:contextualSpacing/>
        <w:jc w:val="both"/>
        <w:rPr>
          <w:rFonts w:ascii="Century Gothic" w:hAnsi="Century Gothic" w:cs="Arial"/>
          <w:sz w:val="16"/>
          <w:szCs w:val="16"/>
          <w:shd w:val="clear" w:color="auto" w:fill="E6E6E6"/>
        </w:rPr>
      </w:pPr>
      <w:r w:rsidRPr="009D641A">
        <w:rPr>
          <w:rFonts w:ascii="Century Gothic" w:hAnsi="Century Gothic" w:cs="Arial"/>
          <w:sz w:val="16"/>
          <w:szCs w:val="16"/>
          <w:vertAlign w:val="superscript"/>
        </w:rPr>
        <w:footnoteRef/>
      </w:r>
      <w:r w:rsidRPr="009D641A">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D641A">
          <w:rPr>
            <w:rStyle w:val="Hipervnculo"/>
            <w:rFonts w:ascii="Century Gothic" w:hAnsi="Century Gothic" w:cs="Arial"/>
            <w:sz w:val="16"/>
            <w:szCs w:val="16"/>
          </w:rPr>
          <w:t>https://relatoria.colombiacompra.gov.co/busqueda/conceptos</w:t>
        </w:r>
      </w:hyperlink>
      <w:r w:rsidRPr="009D641A">
        <w:rPr>
          <w:rFonts w:ascii="Century Gothic" w:hAnsi="Century Gothic" w:cs="Arial"/>
          <w:sz w:val="16"/>
          <w:szCs w:val="16"/>
          <w:shd w:val="clear" w:color="auto" w:fill="E6E6E6"/>
        </w:rPr>
        <w:t xml:space="preserve"> </w:t>
      </w:r>
    </w:p>
  </w:footnote>
  <w:footnote w:id="5">
    <w:p w14:paraId="4D940250" w14:textId="23348B60" w:rsidR="00BA0831" w:rsidRPr="009D641A" w:rsidRDefault="00BA0831" w:rsidP="00282A7D">
      <w:pPr>
        <w:pStyle w:val="Textonotapie"/>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Al respecto, Barreto Moreno señala: </w:t>
      </w:r>
      <w:r w:rsidRPr="009D641A">
        <w:rPr>
          <w:rFonts w:ascii="Century Gothic" w:hAnsi="Century Gothic" w:cs="Arial"/>
          <w:color w:val="000000"/>
          <w:sz w:val="16"/>
          <w:szCs w:val="16"/>
          <w:lang w:val="es-ES_tradnl"/>
        </w:rPr>
        <w:t>“</w:t>
      </w:r>
      <w:r w:rsidRPr="009D641A">
        <w:rPr>
          <w:rFonts w:ascii="Century Gothic" w:hAnsi="Century Gothic" w:cs="Arial"/>
          <w:sz w:val="16"/>
          <w:szCs w:val="16"/>
        </w:rPr>
        <w:t>La contratación pública, conocida actualmente con mayor precisión técnica como sistema de compra pública, es un mercado donde confluye oferta y demanda de bienes y servicios; la primera esencialmente en cabeza del particular y la segunda, decididamente realizada por entidades públicas</w:t>
      </w:r>
      <w:r w:rsidRPr="009D641A">
        <w:rPr>
          <w:rFonts w:ascii="Century Gothic" w:hAnsi="Century Gothic" w:cs="Arial"/>
          <w:color w:val="000000"/>
          <w:sz w:val="16"/>
          <w:szCs w:val="16"/>
          <w:lang w:val="es-ES_tradnl"/>
        </w:rPr>
        <w:t>”.</w:t>
      </w:r>
      <w:r w:rsidRPr="009D641A">
        <w:rPr>
          <w:rFonts w:ascii="Century Gothic" w:hAnsi="Century Gothic" w:cs="Arial"/>
          <w:sz w:val="16"/>
          <w:szCs w:val="16"/>
        </w:rPr>
        <w:t xml:space="preserve"> (BARRETO MORENO, Alejandro. El derecho de la compra pública. Bogotá: Legis y Universidad de la Sabana, 2019. p. 19). </w:t>
      </w:r>
    </w:p>
  </w:footnote>
  <w:footnote w:id="6">
    <w:p w14:paraId="5261D031" w14:textId="59A393E5" w:rsidR="00BA0831" w:rsidRPr="009D641A" w:rsidRDefault="00BA0831" w:rsidP="00282A7D">
      <w:pPr>
        <w:pStyle w:val="Textonotapie"/>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CÁMARA DE REPRESENTANTES. Gaceta 686 del Congreso de la República. Exposición de motivos del Proyecto de Ley 139 de 2018. Bogotá, D. C., jueves, 13 de septiembre de 2018. </w:t>
      </w:r>
    </w:p>
  </w:footnote>
  <w:footnote w:id="7">
    <w:p w14:paraId="053D4C57" w14:textId="08E13EEA" w:rsidR="00BA0831" w:rsidRPr="009D641A" w:rsidRDefault="00BA0831" w:rsidP="00282A7D">
      <w:pPr>
        <w:pStyle w:val="Textonotapie"/>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Ibíd. </w:t>
      </w:r>
    </w:p>
  </w:footnote>
  <w:footnote w:id="8">
    <w:p w14:paraId="1BA6672C" w14:textId="77777777" w:rsidR="00BA0831" w:rsidRPr="009D641A" w:rsidRDefault="00BA0831" w:rsidP="00BA0831">
      <w:pPr>
        <w:pStyle w:val="NormalWeb"/>
        <w:spacing w:before="0" w:beforeAutospacing="0" w:after="0" w:afterAutospacing="0"/>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w:t>
      </w:r>
      <w:bookmarkStart w:id="7" w:name="7"/>
      <w:r w:rsidRPr="009D641A">
        <w:rPr>
          <w:rFonts w:ascii="Century Gothic" w:hAnsi="Century Gothic" w:cs="Arial"/>
          <w:sz w:val="16"/>
          <w:szCs w:val="16"/>
        </w:rPr>
        <w:t>“</w:t>
      </w:r>
      <w:r w:rsidRPr="009D641A">
        <w:rPr>
          <w:rFonts w:ascii="Century Gothic" w:hAnsi="Century Gothic" w:cs="Arial"/>
          <w:bCs/>
          <w:sz w:val="16"/>
          <w:szCs w:val="16"/>
        </w:rPr>
        <w:t>Artículo 7.</w:t>
      </w:r>
      <w:bookmarkEnd w:id="7"/>
      <w:r w:rsidRPr="009D641A">
        <w:rPr>
          <w:rFonts w:ascii="Century Gothic" w:hAnsi="Century Gothic" w:cs="Arial"/>
          <w:sz w:val="16"/>
          <w:szCs w:val="16"/>
        </w:rPr>
        <w:t xml:space="preserve"> Porcentajes mínimos de compra local a pequeños productores y productores de la agricultura campesina, familiar y comunitaria. A partir de la entrada en vigencia de la presente ley:</w:t>
      </w:r>
    </w:p>
    <w:p w14:paraId="59D0B3FC"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a) Las Entidades a que hace referencia el artículo </w:t>
      </w:r>
      <w:hyperlink r:id="rId2" w:anchor="3" w:history="1">
        <w:r w:rsidRPr="009D641A">
          <w:rPr>
            <w:rFonts w:ascii="Century Gothic" w:hAnsi="Century Gothic" w:cs="Arial"/>
            <w:sz w:val="16"/>
            <w:szCs w:val="16"/>
            <w:u w:val="single"/>
          </w:rPr>
          <w:t>3</w:t>
        </w:r>
      </w:hyperlink>
      <w:r w:rsidRPr="009D641A">
        <w:rPr>
          <w:rFonts w:ascii="Century Gothic" w:hAnsi="Century Gothic" w:cs="Arial"/>
          <w:sz w:val="16"/>
          <w:szCs w:val="16"/>
        </w:rPr>
        <w:t> de la presente ley, que contraten con recursos públicos la adquisición, suministro y entrega de alimentos en cualquiera de sus modalidades de atención, están en la obligación de adquirir localmente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w:t>
      </w:r>
    </w:p>
    <w:p w14:paraId="3695C2CF"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Públicas quien certificará dicha situación y realizará las gestiones necesarias para otorgar un listado de pequeños productores y/o productores de la Agricultura Campesina, Familiar o Comunitaria no locales a quienes puede acudir para suplir el porcentaje restante.</w:t>
      </w:r>
    </w:p>
    <w:p w14:paraId="2A5F4722"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b) Las entidades compradoras de alimentos a que hace referencia el artículo 3º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w:t>
      </w:r>
    </w:p>
    <w:p w14:paraId="2438A537"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Estas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2C26FBDC"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c) Todas las entidades a que se refiere el presente artículo, 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6E98E855"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sz w:val="16"/>
          <w:szCs w:val="16"/>
        </w:rPr>
        <w:t>d) La entidad pública establecerá en sus estudios previos, la zona geográfica para la compra pública local de alimentos a pequeños productores agropecuarios y/o a productores de la Agricultura Campesina, Familiar o Comunitaria locales o sus organizaciones, con base en los siguientes criterios: (1) cobertura geográfica de la oferta institucional de la entidad; (2)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14:paraId="7B15F4AB"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bCs/>
          <w:sz w:val="16"/>
          <w:szCs w:val="16"/>
        </w:rPr>
        <w:t>PARÁGRAFO 1o.</w:t>
      </w:r>
      <w:r w:rsidRPr="009D641A">
        <w:rPr>
          <w:rFonts w:ascii="Century Gothic" w:hAnsi="Century Gothic" w:cs="Arial"/>
          <w:sz w:val="16"/>
          <w:szCs w:val="16"/>
        </w:rPr>
        <w:t> Las entidades públicas velarán por el adecuado cumplimiento de las obligaciones consagradas en el presente artículo en lo referente a la adquisición de alimentos a pequeños productores locales y productores locales de la Agricultura Campesina, Familiar o Comunitaria, o sus organizaciones.</w:t>
      </w:r>
    </w:p>
    <w:p w14:paraId="145844A0" w14:textId="77777777" w:rsidR="00BA0831" w:rsidRPr="009D641A" w:rsidRDefault="00BA0831" w:rsidP="00BA0831">
      <w:pPr>
        <w:ind w:firstLine="708"/>
        <w:contextualSpacing/>
        <w:jc w:val="both"/>
        <w:rPr>
          <w:rFonts w:ascii="Century Gothic" w:hAnsi="Century Gothic" w:cs="Arial"/>
          <w:sz w:val="16"/>
          <w:szCs w:val="16"/>
        </w:rPr>
      </w:pPr>
      <w:r w:rsidRPr="009D641A">
        <w:rPr>
          <w:rFonts w:ascii="Century Gothic" w:hAnsi="Century Gothic" w:cs="Arial"/>
          <w:bCs/>
          <w:sz w:val="16"/>
          <w:szCs w:val="16"/>
        </w:rPr>
        <w:t>PARÁGRAFO 2o.</w:t>
      </w:r>
      <w:r w:rsidRPr="009D641A">
        <w:rPr>
          <w:rFonts w:ascii="Century Gothic" w:hAnsi="Century Gothic" w:cs="Arial"/>
          <w:sz w:val="16"/>
          <w:szCs w:val="16"/>
        </w:rPr>
        <w:t> Todas las entidades descritas en el artículo 3 de la presente ley que desarrollen actividades misionales en las Zomac, tendrán como prioridad la adquisición de alimentos provenientes de cada una de las Zomac en donde se encuentran ejerciendo sus actividades”.</w:t>
      </w:r>
    </w:p>
    <w:p w14:paraId="194D7562" w14:textId="77777777" w:rsidR="00BA0831" w:rsidRPr="009D641A" w:rsidRDefault="00BA0831" w:rsidP="00BA0831">
      <w:pPr>
        <w:pStyle w:val="Textonotapie"/>
        <w:contextualSpacing/>
        <w:jc w:val="both"/>
        <w:rPr>
          <w:rFonts w:ascii="Century Gothic" w:hAnsi="Century Gothic" w:cs="Arial"/>
          <w:sz w:val="16"/>
          <w:szCs w:val="16"/>
          <w:lang w:val="es-CO"/>
        </w:rPr>
      </w:pPr>
    </w:p>
  </w:footnote>
  <w:footnote w:id="9">
    <w:p w14:paraId="612813EC" w14:textId="5703993F" w:rsidR="00BA0831" w:rsidRPr="009D641A" w:rsidRDefault="00BA0831" w:rsidP="00282A7D">
      <w:pPr>
        <w:pStyle w:val="Textonotapie"/>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MINISTERIO DE AGRICULTURA Y DESARROLLO RURAL. Memoria justificativa del Decreto 248 de 2021. Disponible en línea: </w:t>
      </w:r>
      <w:hyperlink r:id="rId3" w:anchor="search=compra%20p%C3%BAblica%20de%20alimentos" w:history="1">
        <w:r w:rsidRPr="009D641A">
          <w:rPr>
            <w:rStyle w:val="Hipervnculo"/>
            <w:rFonts w:ascii="Century Gothic" w:eastAsiaTheme="majorEastAsia" w:hAnsi="Century Gothic" w:cs="Arial"/>
            <w:sz w:val="16"/>
            <w:szCs w:val="16"/>
          </w:rPr>
          <w:t>https://www.minagricultura.gov.co/Normatividad/Proyectos%20Normativos/Decreto%20Compras%20P%C3%BAblicas%20Alimentos.pdf#search=compra%20p%C3%BAblica%20de%20alimentos</w:t>
        </w:r>
      </w:hyperlink>
      <w:r w:rsidRPr="009D641A">
        <w:rPr>
          <w:rFonts w:ascii="Century Gothic" w:hAnsi="Century Gothic" w:cs="Arial"/>
          <w:sz w:val="16"/>
          <w:szCs w:val="16"/>
        </w:rPr>
        <w:t xml:space="preserve">. </w:t>
      </w:r>
    </w:p>
  </w:footnote>
  <w:footnote w:id="10">
    <w:p w14:paraId="59912923" w14:textId="77777777" w:rsidR="00BA0831" w:rsidRPr="009D641A" w:rsidRDefault="00BA0831" w:rsidP="00BA0831">
      <w:pPr>
        <w:pStyle w:val="NormalWeb"/>
        <w:shd w:val="clear" w:color="auto" w:fill="FFFFFF"/>
        <w:spacing w:before="0" w:beforeAutospacing="0" w:after="0" w:afterAutospacing="0"/>
        <w:ind w:firstLine="708"/>
        <w:contextualSpacing/>
        <w:jc w:val="both"/>
        <w:rPr>
          <w:rFonts w:ascii="Century Gothic" w:hAnsi="Century Gothic" w:cs="Arial"/>
          <w:sz w:val="16"/>
          <w:szCs w:val="16"/>
          <w:lang w:eastAsia="en-US"/>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w:t>
      </w:r>
      <w:r w:rsidRPr="009D641A">
        <w:rPr>
          <w:rFonts w:ascii="Century Gothic" w:hAnsi="Century Gothic" w:cs="Arial"/>
          <w:bCs/>
          <w:sz w:val="16"/>
          <w:szCs w:val="16"/>
        </w:rPr>
        <w:t>Artículo 2.20.1.1.4. Promesa de contrato de proveeduría.</w:t>
      </w:r>
      <w:r w:rsidRPr="009D641A">
        <w:rPr>
          <w:rFonts w:ascii="Century Gothic" w:hAnsi="Century Gothic" w:cs="Arial"/>
          <w:sz w:val="16"/>
          <w:szCs w:val="16"/>
        </w:rPr>
        <w:t> Las entidades que contraten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dando cumplimiento a la normatividad de protección de datos personales vigente.</w:t>
      </w:r>
    </w:p>
    <w:p w14:paraId="30E40CD7" w14:textId="77777777" w:rsidR="00BA0831" w:rsidRPr="009D641A" w:rsidRDefault="00BA0831" w:rsidP="00BA0831">
      <w:pPr>
        <w:pStyle w:val="NormalWeb"/>
        <w:shd w:val="clear" w:color="auto" w:fill="FFFFFF"/>
        <w:spacing w:before="0" w:beforeAutospacing="0" w:after="0" w:afterAutospacing="0"/>
        <w:ind w:firstLine="708"/>
        <w:contextualSpacing/>
        <w:jc w:val="both"/>
        <w:rPr>
          <w:rFonts w:ascii="Century Gothic" w:hAnsi="Century Gothic" w:cs="Arial"/>
          <w:sz w:val="16"/>
          <w:szCs w:val="16"/>
        </w:rPr>
      </w:pPr>
      <w:r w:rsidRPr="009D641A">
        <w:rPr>
          <w:rFonts w:ascii="Century Gothic" w:hAnsi="Century Gothic" w:cs="Arial"/>
          <w:sz w:val="16"/>
          <w:szCs w:val="16"/>
        </w:rPr>
        <w:t xml:space="preserve"> La promesa de contrato de proveeduría de que trata el presente artículo deberá constar por escrito y tener como mínimo el siguiente contenido: identificación del productor y del oferente, producto y variedad(es) del producto agropecuario que se requiere, cantidad (unidades o peso), de compra del proponente .al productor, fecha y lugar de entrega de los productos agropecuarios; condiciones de embalaje o empaque de estos; y la intención de la compra de productos agropecuarios.</w:t>
      </w:r>
    </w:p>
    <w:p w14:paraId="5E16D90F" w14:textId="489CD828" w:rsidR="00BA0831" w:rsidRPr="009D641A" w:rsidRDefault="00BA0831" w:rsidP="00282A7D">
      <w:pPr>
        <w:pStyle w:val="NormalWeb"/>
        <w:shd w:val="clear" w:color="auto" w:fill="FFFFFF"/>
        <w:spacing w:before="0" w:beforeAutospacing="0" w:after="0" w:afterAutospacing="0"/>
        <w:ind w:firstLine="708"/>
        <w:contextualSpacing/>
        <w:jc w:val="both"/>
        <w:rPr>
          <w:rFonts w:ascii="Century Gothic" w:hAnsi="Century Gothic" w:cs="Arial"/>
          <w:sz w:val="16"/>
          <w:szCs w:val="16"/>
        </w:rPr>
      </w:pPr>
      <w:r w:rsidRPr="009D641A">
        <w:rPr>
          <w:rFonts w:ascii="Century Gothic" w:hAnsi="Century Gothic" w:cs="Arial"/>
          <w:sz w:val="16"/>
          <w:szCs w:val="16"/>
        </w:rPr>
        <w:t xml:space="preserve"> </w:t>
      </w:r>
      <w:r w:rsidRPr="009D641A">
        <w:rPr>
          <w:rFonts w:ascii="Century Gothic" w:hAnsi="Century Gothic" w:cs="Arial"/>
          <w:bCs/>
          <w:sz w:val="16"/>
          <w:szCs w:val="16"/>
        </w:rPr>
        <w:t>Parágrafo.</w:t>
      </w:r>
      <w:r w:rsidR="00EC5BF1" w:rsidRPr="009D641A">
        <w:rPr>
          <w:rFonts w:ascii="Century Gothic" w:hAnsi="Century Gothic" w:cs="Arial"/>
          <w:sz w:val="16"/>
          <w:szCs w:val="16"/>
        </w:rPr>
        <w:t xml:space="preserve"> </w:t>
      </w:r>
      <w:r w:rsidRPr="009D641A">
        <w:rPr>
          <w:rFonts w:ascii="Century Gothic" w:hAnsi="Century Gothic" w:cs="Arial"/>
          <w:sz w:val="16"/>
          <w:szCs w:val="16"/>
        </w:rPr>
        <w:t>En caso de presentarse promesa de contrato de proveeduría, la entidad contratante deberá verificar como requisito de ejecución que el contratista haya celebrado el contrato de proveeduría con los pequeños productores y/o productores de la Agricultura Campesina, Familiar o Comunitaria locales y sus organizaciones”.</w:t>
      </w:r>
    </w:p>
  </w:footnote>
  <w:footnote w:id="11">
    <w:p w14:paraId="2D9208BD" w14:textId="77777777" w:rsidR="00BA0831" w:rsidRPr="009D641A" w:rsidRDefault="00BA0831" w:rsidP="00BA0831">
      <w:pPr>
        <w:pStyle w:val="Textonotapie"/>
        <w:ind w:firstLine="708"/>
        <w:contextualSpacing/>
        <w:jc w:val="both"/>
        <w:rPr>
          <w:rFonts w:ascii="Century Gothic" w:hAnsi="Century Gothic" w:cs="Arial"/>
          <w:sz w:val="16"/>
          <w:szCs w:val="16"/>
          <w:lang w:val="es-CO"/>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w:t>
      </w:r>
      <w:r w:rsidRPr="009D641A">
        <w:rPr>
          <w:rFonts w:ascii="Century Gothic" w:hAnsi="Century Gothic" w:cs="Arial"/>
          <w:sz w:val="16"/>
          <w:szCs w:val="16"/>
          <w:lang w:val="es-CO"/>
        </w:rPr>
        <w:t xml:space="preserve">Riccardo Guastini señala sobre la interpretación sistemática lo siguiente: </w:t>
      </w:r>
      <w:r w:rsidRPr="009D641A">
        <w:rPr>
          <w:rFonts w:ascii="Century Gothic" w:hAnsi="Century Gothic" w:cs="Arial"/>
          <w:sz w:val="16"/>
          <w:szCs w:val="16"/>
        </w:rPr>
        <w:t>“</w:t>
      </w:r>
      <w:r w:rsidRPr="009D641A">
        <w:rPr>
          <w:rFonts w:ascii="Century Gothic" w:hAnsi="Century Gothic" w:cs="Arial"/>
          <w:sz w:val="16"/>
          <w:szCs w:val="16"/>
          <w:lang w:val="es-CO"/>
        </w:rPr>
        <w:t xml:space="preserve">Grosso modo, se llama sistemática toda interpretación que deduzca el significado de una disposición de su colocación en el “sistema” del derecho: unas veces en el sistema jurídico en su conjunto, más frecuentemente, en su subsistema del sistema jurídico total, es decir, en el conjunto de disposiciones que disciplinan una determinada materia o una determinada institución. El sistema jurídico y los subsistemas que lo componen se conciben generalmente como conjuntos de normas coherentes (carentes de contradicciones o antinomias) y completos (carentes de lagunas). </w:t>
      </w:r>
    </w:p>
    <w:p w14:paraId="24A34A62" w14:textId="0473AE96" w:rsidR="00BA0831" w:rsidRPr="009D641A" w:rsidRDefault="00BA0831" w:rsidP="00282A7D">
      <w:pPr>
        <w:pStyle w:val="Textonotapie"/>
        <w:ind w:firstLine="708"/>
        <w:contextualSpacing/>
        <w:jc w:val="both"/>
        <w:rPr>
          <w:rFonts w:ascii="Century Gothic" w:hAnsi="Century Gothic" w:cs="Arial"/>
          <w:sz w:val="16"/>
          <w:szCs w:val="16"/>
          <w:lang w:val="es-CO"/>
        </w:rPr>
      </w:pPr>
      <w:r w:rsidRPr="009D641A">
        <w:rPr>
          <w:rFonts w:ascii="Century Gothic" w:hAnsi="Century Gothic" w:cs="Arial"/>
          <w:sz w:val="16"/>
          <w:szCs w:val="16"/>
        </w:rPr>
        <w:t xml:space="preserve"> </w:t>
      </w:r>
      <w:r w:rsidRPr="009D641A">
        <w:rPr>
          <w:rFonts w:ascii="Century Gothic" w:hAnsi="Century Gothic" w:cs="Arial"/>
          <w:sz w:val="16"/>
          <w:szCs w:val="16"/>
          <w:lang w:val="es-CO"/>
        </w:rPr>
        <w:t xml:space="preserve">En la práctica, se hace interpretación sistemática siempre que, para decidir el significado de una disposición, no se atiende a la disposición aisladamente considerada, sino al contexto en el que esté situada. Tal contexto puede ser más o menos amplio: los demás apartados de un mismo artículo, el resto de los artículos en una misma ley, hasta llegar incluso a la totalidad de las disposiciones que componen el sistema jurídico” (GUASTINI, Riccardo. Estudios sobre la interpretación jurídica. México: UNAM, 1999. p. 43).  </w:t>
      </w:r>
    </w:p>
  </w:footnote>
  <w:footnote w:id="12">
    <w:p w14:paraId="0D60985F" w14:textId="29970A2C" w:rsidR="00BA0831" w:rsidRPr="009D641A" w:rsidRDefault="00BA0831" w:rsidP="00282A7D">
      <w:pPr>
        <w:pStyle w:val="Textonotapie"/>
        <w:ind w:firstLine="708"/>
        <w:contextualSpacing/>
        <w:jc w:val="both"/>
        <w:rPr>
          <w:rFonts w:ascii="Century Gothic" w:hAnsi="Century Gothic" w:cs="Arial"/>
          <w:sz w:val="16"/>
          <w:szCs w:val="16"/>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CÁMARA DE REPRESENTANTES. Gaceta 686 del Congreso de la República. Exposición de motivos del Proyecto de Ley 139 de 2018. Bogotá, D. C., jueves, 13 de septiembre de 2018.</w:t>
      </w:r>
    </w:p>
  </w:footnote>
  <w:footnote w:id="13">
    <w:p w14:paraId="4DC2297C" w14:textId="77777777" w:rsidR="00BA0831" w:rsidRPr="009D641A" w:rsidRDefault="00BA0831" w:rsidP="00BA0831">
      <w:pPr>
        <w:pStyle w:val="Textonotapie"/>
        <w:ind w:firstLine="708"/>
        <w:contextualSpacing/>
        <w:jc w:val="both"/>
        <w:rPr>
          <w:rFonts w:ascii="Century Gothic" w:hAnsi="Century Gothic" w:cs="Arial"/>
          <w:sz w:val="16"/>
          <w:szCs w:val="16"/>
          <w:lang w:val="es-ES"/>
        </w:rPr>
      </w:pPr>
      <w:r w:rsidRPr="009D641A">
        <w:rPr>
          <w:rStyle w:val="Refdenotaalpie"/>
          <w:rFonts w:ascii="Century Gothic" w:hAnsi="Century Gothic" w:cs="Arial"/>
          <w:sz w:val="16"/>
          <w:szCs w:val="16"/>
        </w:rPr>
        <w:footnoteRef/>
      </w:r>
      <w:r w:rsidRPr="009D641A">
        <w:rPr>
          <w:rFonts w:ascii="Century Gothic" w:hAnsi="Century Gothic" w:cs="Arial"/>
          <w:sz w:val="16"/>
          <w:szCs w:val="16"/>
        </w:rPr>
        <w:t xml:space="preserve"> </w:t>
      </w:r>
      <w:r w:rsidRPr="009D641A">
        <w:rPr>
          <w:rFonts w:ascii="Century Gothic" w:hAnsi="Century Gothic" w:cs="Arial"/>
          <w:sz w:val="16"/>
          <w:szCs w:val="16"/>
          <w:lang w:val="es-ES"/>
        </w:rPr>
        <w:t>Fragmento extraído del documento “Recomendaciones para una política de compras públicas de alimentos inclusiva de la agricultura familiar. Colombia noviembre de 2016. Organización de las Naciones Unidas para la Alimentación y la agricultura”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541529">
    <w:abstractNumId w:val="7"/>
  </w:num>
  <w:num w:numId="2" w16cid:durableId="593366707">
    <w:abstractNumId w:val="3"/>
  </w:num>
  <w:num w:numId="3" w16cid:durableId="655647508">
    <w:abstractNumId w:val="5"/>
  </w:num>
  <w:num w:numId="4" w16cid:durableId="487013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970226">
    <w:abstractNumId w:val="3"/>
  </w:num>
  <w:num w:numId="6" w16cid:durableId="963343605">
    <w:abstractNumId w:val="13"/>
  </w:num>
  <w:num w:numId="7" w16cid:durableId="444079855">
    <w:abstractNumId w:val="6"/>
  </w:num>
  <w:num w:numId="8" w16cid:durableId="912933646">
    <w:abstractNumId w:val="12"/>
  </w:num>
  <w:num w:numId="9" w16cid:durableId="884372112">
    <w:abstractNumId w:val="8"/>
  </w:num>
  <w:num w:numId="10" w16cid:durableId="679160853">
    <w:abstractNumId w:val="11"/>
  </w:num>
  <w:num w:numId="11" w16cid:durableId="1936673964">
    <w:abstractNumId w:val="9"/>
  </w:num>
  <w:num w:numId="12" w16cid:durableId="44453709">
    <w:abstractNumId w:val="2"/>
  </w:num>
  <w:num w:numId="13" w16cid:durableId="762066406">
    <w:abstractNumId w:val="4"/>
  </w:num>
  <w:num w:numId="14" w16cid:durableId="78530087">
    <w:abstractNumId w:val="14"/>
  </w:num>
  <w:num w:numId="15" w16cid:durableId="131943520">
    <w:abstractNumId w:val="10"/>
  </w:num>
  <w:num w:numId="16" w16cid:durableId="1720127614">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0604"/>
    <w:rsid w:val="000F6486"/>
    <w:rsid w:val="00125105"/>
    <w:rsid w:val="00127233"/>
    <w:rsid w:val="00142CEF"/>
    <w:rsid w:val="001A3330"/>
    <w:rsid w:val="001E4177"/>
    <w:rsid w:val="001F7DC6"/>
    <w:rsid w:val="002421BB"/>
    <w:rsid w:val="00270641"/>
    <w:rsid w:val="002707A2"/>
    <w:rsid w:val="00282A7D"/>
    <w:rsid w:val="00283156"/>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6575"/>
    <w:rsid w:val="004269F8"/>
    <w:rsid w:val="0042722E"/>
    <w:rsid w:val="004A1847"/>
    <w:rsid w:val="004A305D"/>
    <w:rsid w:val="004B165E"/>
    <w:rsid w:val="004F21C4"/>
    <w:rsid w:val="004F685F"/>
    <w:rsid w:val="005566E8"/>
    <w:rsid w:val="005673D3"/>
    <w:rsid w:val="00574867"/>
    <w:rsid w:val="00591460"/>
    <w:rsid w:val="005A2340"/>
    <w:rsid w:val="005C3777"/>
    <w:rsid w:val="005C5CDC"/>
    <w:rsid w:val="005D476C"/>
    <w:rsid w:val="006219F8"/>
    <w:rsid w:val="00665D70"/>
    <w:rsid w:val="006900D9"/>
    <w:rsid w:val="006F4FF4"/>
    <w:rsid w:val="00706C16"/>
    <w:rsid w:val="00756841"/>
    <w:rsid w:val="007649AB"/>
    <w:rsid w:val="00771D0C"/>
    <w:rsid w:val="007833AC"/>
    <w:rsid w:val="007845D3"/>
    <w:rsid w:val="007B268C"/>
    <w:rsid w:val="007B39F6"/>
    <w:rsid w:val="007B7171"/>
    <w:rsid w:val="007C3DC2"/>
    <w:rsid w:val="007E5497"/>
    <w:rsid w:val="00806F5F"/>
    <w:rsid w:val="00820278"/>
    <w:rsid w:val="008568B3"/>
    <w:rsid w:val="008843B6"/>
    <w:rsid w:val="00891928"/>
    <w:rsid w:val="008A446D"/>
    <w:rsid w:val="008B7480"/>
    <w:rsid w:val="008D180B"/>
    <w:rsid w:val="008F0EA7"/>
    <w:rsid w:val="00923EEF"/>
    <w:rsid w:val="009419F9"/>
    <w:rsid w:val="00961B09"/>
    <w:rsid w:val="00965334"/>
    <w:rsid w:val="0097093E"/>
    <w:rsid w:val="009A6976"/>
    <w:rsid w:val="009C71FA"/>
    <w:rsid w:val="009C72E7"/>
    <w:rsid w:val="009D641A"/>
    <w:rsid w:val="009F3A13"/>
    <w:rsid w:val="00A122D3"/>
    <w:rsid w:val="00A17F13"/>
    <w:rsid w:val="00A20739"/>
    <w:rsid w:val="00A33C78"/>
    <w:rsid w:val="00AB02C6"/>
    <w:rsid w:val="00AB0ADB"/>
    <w:rsid w:val="00B44A2F"/>
    <w:rsid w:val="00B72CD3"/>
    <w:rsid w:val="00B72FFF"/>
    <w:rsid w:val="00B757F2"/>
    <w:rsid w:val="00B92C5C"/>
    <w:rsid w:val="00BA0831"/>
    <w:rsid w:val="00BC3D36"/>
    <w:rsid w:val="00BD7F72"/>
    <w:rsid w:val="00C04FB3"/>
    <w:rsid w:val="00C330EB"/>
    <w:rsid w:val="00C60398"/>
    <w:rsid w:val="00C633A0"/>
    <w:rsid w:val="00C754BE"/>
    <w:rsid w:val="00C76B1C"/>
    <w:rsid w:val="00CB6357"/>
    <w:rsid w:val="00CB79E4"/>
    <w:rsid w:val="00CC1B26"/>
    <w:rsid w:val="00CC4302"/>
    <w:rsid w:val="00D423A2"/>
    <w:rsid w:val="00D63AC2"/>
    <w:rsid w:val="00D7383B"/>
    <w:rsid w:val="00DA231B"/>
    <w:rsid w:val="00DE3C6B"/>
    <w:rsid w:val="00DF5254"/>
    <w:rsid w:val="00E16408"/>
    <w:rsid w:val="00E20894"/>
    <w:rsid w:val="00E245AB"/>
    <w:rsid w:val="00E2764C"/>
    <w:rsid w:val="00E27F2E"/>
    <w:rsid w:val="00E50AFE"/>
    <w:rsid w:val="00E63661"/>
    <w:rsid w:val="00E771DC"/>
    <w:rsid w:val="00E8772A"/>
    <w:rsid w:val="00E90F6B"/>
    <w:rsid w:val="00E92C27"/>
    <w:rsid w:val="00E97D30"/>
    <w:rsid w:val="00EA0E3D"/>
    <w:rsid w:val="00EC5BF1"/>
    <w:rsid w:val="00EE1AA8"/>
    <w:rsid w:val="00F07AA4"/>
    <w:rsid w:val="00F31EDC"/>
    <w:rsid w:val="00F462B3"/>
    <w:rsid w:val="00F5664F"/>
    <w:rsid w:val="00F666C4"/>
    <w:rsid w:val="00F7207C"/>
    <w:rsid w:val="00F76AFC"/>
    <w:rsid w:val="00F80F18"/>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BA083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BA0831"/>
    <w:pPr>
      <w:spacing w:line="240" w:lineRule="exact"/>
    </w:pPr>
    <w:rPr>
      <w:vertAlign w:val="superscript"/>
    </w:rPr>
  </w:style>
  <w:style w:type="character" w:customStyle="1" w:styleId="NormalWebCar">
    <w:name w:val="Normal (Web) Car"/>
    <w:link w:val="NormalWeb"/>
    <w:uiPriority w:val="99"/>
    <w:rsid w:val="00BA083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minagricultura.gov.co/Normatividad/Proyectos%20Normativos/Decreto%20Compras%20P%C3%BAblicas%20Alimentos.pdf" TargetMode="External"/><Relationship Id="rId2" Type="http://schemas.openxmlformats.org/officeDocument/2006/relationships/hyperlink" Target="http://www.secretariasenado.gov.co/senado/basedoc/ley_2046_2020.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6CC7276C-EE4E-4355-AB58-459A27335275}"/>
</file>

<file path=docProps/app.xml><?xml version="1.0" encoding="utf-8"?>
<Properties xmlns="http://schemas.openxmlformats.org/officeDocument/2006/extended-properties" xmlns:vt="http://schemas.openxmlformats.org/officeDocument/2006/docPropsVTypes">
  <Template>Normal</Template>
  <TotalTime>11</TotalTime>
  <Pages>29</Pages>
  <Words>10664</Words>
  <Characters>58657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5</cp:revision>
  <cp:lastPrinted>2023-01-10T21:18:00Z</cp:lastPrinted>
  <dcterms:created xsi:type="dcterms:W3CDTF">2023-10-06T23:34:00Z</dcterms:created>
  <dcterms:modified xsi:type="dcterms:W3CDTF">2023-10-06T23:36:00Z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