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2FCA" w14:textId="77777777" w:rsidR="00DF5EA3" w:rsidRPr="00563492" w:rsidRDefault="00DF5EA3" w:rsidP="000E4544">
      <w:pPr>
        <w:spacing w:after="0" w:line="240" w:lineRule="auto"/>
        <w:jc w:val="both"/>
        <w:rPr>
          <w:rFonts w:ascii="Arial" w:hAnsi="Arial" w:cs="Arial"/>
          <w:sz w:val="20"/>
          <w:szCs w:val="20"/>
          <w:lang w:val="es-MX"/>
        </w:rPr>
      </w:pPr>
      <w:bookmarkStart w:id="0" w:name="_Hlk77082508"/>
      <w:bookmarkStart w:id="1" w:name="_Hlk143780582"/>
    </w:p>
    <w:p w14:paraId="2F5E0411" w14:textId="5BC429F3" w:rsidR="000E4544" w:rsidRPr="00563492" w:rsidRDefault="000E4544" w:rsidP="000E4544">
      <w:pPr>
        <w:spacing w:after="0" w:line="240" w:lineRule="auto"/>
        <w:jc w:val="both"/>
        <w:rPr>
          <w:rFonts w:ascii="Arial" w:eastAsia="Calibri" w:hAnsi="Arial" w:cs="Arial"/>
          <w:b/>
          <w:color w:val="000000"/>
          <w:sz w:val="20"/>
          <w:szCs w:val="20"/>
          <w:lang w:val="es-MX"/>
        </w:rPr>
      </w:pPr>
      <w:r w:rsidRPr="00563492">
        <w:rPr>
          <w:rFonts w:ascii="Arial" w:eastAsia="Calibri" w:hAnsi="Arial" w:cs="Arial"/>
          <w:b/>
          <w:color w:val="000000"/>
          <w:sz w:val="20"/>
          <w:szCs w:val="20"/>
          <w:lang w:val="es-MX"/>
        </w:rPr>
        <w:t xml:space="preserve">FONDOS MIXTOS DE LA CULTURA Y LAS ARTES – </w:t>
      </w:r>
      <w:r w:rsidRPr="00563492">
        <w:rPr>
          <w:rFonts w:ascii="Arial" w:eastAsia="Calibri" w:hAnsi="Arial" w:cs="Arial"/>
          <w:bCs/>
          <w:color w:val="000000"/>
          <w:sz w:val="20"/>
          <w:szCs w:val="20"/>
          <w:lang w:val="es-MX"/>
        </w:rPr>
        <w:t>Naturaleza jurídic</w:t>
      </w:r>
      <w:r w:rsidR="00881CE9" w:rsidRPr="00563492">
        <w:rPr>
          <w:rFonts w:ascii="Arial" w:eastAsia="Calibri" w:hAnsi="Arial" w:cs="Arial"/>
          <w:bCs/>
          <w:color w:val="000000"/>
          <w:sz w:val="20"/>
          <w:szCs w:val="20"/>
          <w:lang w:val="es-MX"/>
        </w:rPr>
        <w:t>a-Régimen de contratación</w:t>
      </w:r>
      <w:r w:rsidR="00881CE9" w:rsidRPr="00563492">
        <w:rPr>
          <w:rFonts w:ascii="Arial" w:eastAsia="Calibri" w:hAnsi="Arial" w:cs="Arial"/>
          <w:b/>
          <w:color w:val="000000"/>
          <w:sz w:val="20"/>
          <w:szCs w:val="20"/>
          <w:lang w:val="es-MX"/>
        </w:rPr>
        <w:t xml:space="preserve"> </w:t>
      </w:r>
    </w:p>
    <w:bookmarkEnd w:id="0"/>
    <w:p w14:paraId="44CEC8C8"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p>
    <w:p w14:paraId="4BF97ADF"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El artículo 63 de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bookmarkStart w:id="2" w:name="_Hlk77083940"/>
      <w:r w:rsidRPr="00563492">
        <w:rPr>
          <w:rFonts w:ascii="Arial" w:eastAsia="Calibri" w:hAnsi="Arial" w:cs="Arial"/>
          <w:sz w:val="20"/>
          <w:szCs w:val="20"/>
          <w:lang w:val="es-MX"/>
        </w:rPr>
        <w:t xml:space="preserve"> </w:t>
      </w:r>
      <w:r w:rsidRPr="00563492">
        <w:rPr>
          <w:rFonts w:ascii="Arial" w:eastAsia="Calibri" w:hAnsi="Arial" w:cs="Arial"/>
          <w:bCs/>
          <w:color w:val="000000"/>
          <w:sz w:val="20"/>
          <w:szCs w:val="20"/>
          <w:lang w:val="es-MX"/>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3F36B08B" w14:textId="3398C682" w:rsidR="00881CE9"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w:t>
      </w:r>
    </w:p>
    <w:bookmarkEnd w:id="2"/>
    <w:p w14:paraId="33468F0B"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 […]</w:t>
      </w:r>
    </w:p>
    <w:p w14:paraId="34EA6918"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p>
    <w:p w14:paraId="5498EF1C" w14:textId="46323B84" w:rsidR="000E4544" w:rsidRPr="00563492" w:rsidRDefault="000E4544" w:rsidP="000E4544">
      <w:pPr>
        <w:spacing w:after="0" w:line="240" w:lineRule="auto"/>
        <w:jc w:val="both"/>
        <w:rPr>
          <w:rFonts w:ascii="Arial" w:eastAsia="Calibri" w:hAnsi="Arial" w:cs="Arial"/>
          <w:b/>
          <w:color w:val="000000"/>
          <w:sz w:val="20"/>
          <w:szCs w:val="20"/>
          <w:lang w:val="es-MX"/>
        </w:rPr>
      </w:pPr>
      <w:r w:rsidRPr="00563492">
        <w:rPr>
          <w:rFonts w:ascii="Arial" w:eastAsia="Calibri" w:hAnsi="Arial" w:cs="Arial"/>
          <w:bCs/>
          <w:color w:val="000000"/>
          <w:sz w:val="20"/>
          <w:szCs w:val="20"/>
          <w:lang w:val="es-MX"/>
        </w:rPr>
        <w:t xml:space="preserve">Así pues, los fondos mixtos para la promoción de la cultura y de las artes son personas jurídicas sin ánimo de lucro, regidas por el derecho privado principalmente; hacen parte de la estructura de la Administración, como </w:t>
      </w:r>
      <w:r w:rsidR="00036B03" w:rsidRPr="00563492">
        <w:rPr>
          <w:rFonts w:ascii="Arial" w:eastAsia="Calibri" w:hAnsi="Arial" w:cs="Arial"/>
          <w:bCs/>
          <w:color w:val="000000"/>
          <w:sz w:val="20"/>
          <w:szCs w:val="20"/>
          <w:lang w:val="es-MX"/>
        </w:rPr>
        <w:t>E</w:t>
      </w:r>
      <w:r w:rsidRPr="00563492">
        <w:rPr>
          <w:rFonts w:ascii="Arial" w:eastAsia="Calibri" w:hAnsi="Arial" w:cs="Arial"/>
          <w:bCs/>
          <w:color w:val="000000"/>
          <w:sz w:val="20"/>
          <w:szCs w:val="20"/>
          <w:lang w:val="es-MX"/>
        </w:rPr>
        <w:t>ntidades descentralizadas indirectas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bookmarkStart w:id="3" w:name="_Hlk77090286"/>
    </w:p>
    <w:bookmarkEnd w:id="3"/>
    <w:p w14:paraId="2002CB71" w14:textId="18695651" w:rsidR="000E4544" w:rsidRPr="00563492" w:rsidRDefault="00881CE9" w:rsidP="000E4544">
      <w:pPr>
        <w:spacing w:after="0" w:line="240" w:lineRule="auto"/>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w:t>
      </w:r>
    </w:p>
    <w:p w14:paraId="26437349"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 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533169EE" w14:textId="77777777" w:rsidR="00460C3E" w:rsidRPr="00563492" w:rsidRDefault="00460C3E" w:rsidP="000E4544">
      <w:pPr>
        <w:spacing w:after="0" w:line="240" w:lineRule="auto"/>
        <w:jc w:val="both"/>
        <w:rPr>
          <w:rFonts w:ascii="Arial" w:eastAsia="Calibri" w:hAnsi="Arial" w:cs="Arial"/>
          <w:bCs/>
          <w:color w:val="000000"/>
          <w:sz w:val="20"/>
          <w:szCs w:val="20"/>
          <w:lang w:val="es-MX"/>
        </w:rPr>
      </w:pPr>
    </w:p>
    <w:p w14:paraId="4E5F236C" w14:textId="348D5EA8" w:rsidR="00460C3E" w:rsidRPr="00563492" w:rsidRDefault="00460C3E" w:rsidP="00460C3E">
      <w:pPr>
        <w:spacing w:after="0" w:line="240" w:lineRule="auto"/>
        <w:jc w:val="both"/>
        <w:rPr>
          <w:rFonts w:ascii="Arial" w:eastAsia="Calibri" w:hAnsi="Arial" w:cs="Arial"/>
          <w:bCs/>
          <w:color w:val="000000"/>
          <w:sz w:val="20"/>
          <w:szCs w:val="20"/>
          <w:lang w:val="es-MX"/>
        </w:rPr>
      </w:pPr>
      <w:r w:rsidRPr="00563492">
        <w:rPr>
          <w:rFonts w:ascii="Arial" w:eastAsia="Calibri" w:hAnsi="Arial" w:cs="Arial"/>
          <w:b/>
          <w:color w:val="000000"/>
          <w:sz w:val="20"/>
          <w:szCs w:val="20"/>
          <w:lang w:val="es-MX"/>
        </w:rPr>
        <w:t xml:space="preserve">FONDOS MIXTOS DE LA CULTURA Y LAS ARTES – </w:t>
      </w:r>
      <w:r w:rsidRPr="00563492">
        <w:rPr>
          <w:rFonts w:ascii="Arial" w:eastAsia="Calibri" w:hAnsi="Arial" w:cs="Arial"/>
          <w:bCs/>
          <w:color w:val="000000"/>
          <w:sz w:val="20"/>
          <w:szCs w:val="20"/>
          <w:lang w:val="es-MX"/>
        </w:rPr>
        <w:t>Suscripción de convenios interadministrativos</w:t>
      </w:r>
    </w:p>
    <w:p w14:paraId="5FDFBD56" w14:textId="77777777" w:rsidR="00460C3E" w:rsidRPr="00563492" w:rsidRDefault="00460C3E" w:rsidP="00460C3E">
      <w:pPr>
        <w:spacing w:after="0" w:line="240" w:lineRule="auto"/>
        <w:jc w:val="both"/>
        <w:rPr>
          <w:rFonts w:ascii="Arial" w:eastAsia="Calibri" w:hAnsi="Arial" w:cs="Arial"/>
          <w:bCs/>
          <w:color w:val="000000"/>
          <w:sz w:val="20"/>
          <w:szCs w:val="20"/>
          <w:lang w:val="es-MX"/>
        </w:rPr>
      </w:pPr>
    </w:p>
    <w:p w14:paraId="32DECE63" w14:textId="16C21619" w:rsidR="00460C3E" w:rsidRPr="00563492" w:rsidRDefault="00460C3E" w:rsidP="00460C3E">
      <w:pPr>
        <w:spacing w:after="0" w:line="240" w:lineRule="auto"/>
        <w:jc w:val="both"/>
        <w:rPr>
          <w:rFonts w:ascii="Arial" w:eastAsia="Calibri" w:hAnsi="Arial" w:cs="Arial"/>
          <w:color w:val="000000"/>
          <w:sz w:val="20"/>
          <w:szCs w:val="20"/>
          <w:lang w:val="es-MX"/>
        </w:rPr>
      </w:pPr>
      <w:r w:rsidRPr="00563492">
        <w:rPr>
          <w:rFonts w:ascii="Arial" w:eastAsia="Calibri" w:hAnsi="Arial" w:cs="Arial"/>
          <w:bCs/>
          <w:color w:val="000000"/>
          <w:sz w:val="20"/>
          <w:szCs w:val="20"/>
          <w:lang w:val="es-MX"/>
        </w:rPr>
        <w:t xml:space="preserve">[…] </w:t>
      </w:r>
      <w:r w:rsidRPr="00563492">
        <w:rPr>
          <w:rFonts w:ascii="Arial" w:eastAsia="Calibri" w:hAnsi="Arial" w:cs="Arial"/>
          <w:color w:val="000000"/>
          <w:sz w:val="20"/>
          <w:szCs w:val="20"/>
          <w:lang w:val="es-MX"/>
        </w:rPr>
        <w:t xml:space="preserve">Así pues, conforme a lo expuesto en el acápite anterior, los fondos mixtos al ser </w:t>
      </w:r>
      <w:r w:rsidR="00C95BA7" w:rsidRPr="00563492">
        <w:rPr>
          <w:rFonts w:ascii="Arial" w:eastAsia="Calibri" w:hAnsi="Arial" w:cs="Arial"/>
          <w:color w:val="000000"/>
          <w:sz w:val="20"/>
          <w:szCs w:val="20"/>
          <w:lang w:val="es-MX"/>
        </w:rPr>
        <w:t>E</w:t>
      </w:r>
      <w:r w:rsidRPr="00563492">
        <w:rPr>
          <w:rFonts w:ascii="Arial" w:eastAsia="Calibri" w:hAnsi="Arial" w:cs="Arial"/>
          <w:color w:val="000000"/>
          <w:sz w:val="20"/>
          <w:szCs w:val="20"/>
          <w:lang w:val="es-MX"/>
        </w:rPr>
        <w:t xml:space="preserve">ntidades descentralizadas indirectas tienen la calidad de entidades públicas, independientemente del porcentaje de participación pública que involucren, razón por la cual tienen la posibilidad de suscribir convenios y contratos interadministrativos con otras </w:t>
      </w:r>
      <w:r w:rsidR="00AB6371" w:rsidRPr="00563492">
        <w:rPr>
          <w:rFonts w:ascii="Arial" w:eastAsia="Calibri" w:hAnsi="Arial" w:cs="Arial"/>
          <w:color w:val="000000"/>
          <w:sz w:val="20"/>
          <w:szCs w:val="20"/>
          <w:lang w:val="es-MX"/>
        </w:rPr>
        <w:t>E</w:t>
      </w:r>
      <w:r w:rsidRPr="00563492">
        <w:rPr>
          <w:rFonts w:ascii="Arial" w:eastAsia="Calibri" w:hAnsi="Arial" w:cs="Arial"/>
          <w:color w:val="000000"/>
          <w:sz w:val="20"/>
          <w:szCs w:val="20"/>
          <w:lang w:val="es-MX"/>
        </w:rPr>
        <w:t>ntidades públicas sin importar su régimen de contratación.</w:t>
      </w:r>
    </w:p>
    <w:p w14:paraId="04AA8B12"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p>
    <w:p w14:paraId="1DA5D2F6" w14:textId="77777777" w:rsidR="000E4544"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
          <w:color w:val="000000"/>
          <w:sz w:val="20"/>
          <w:szCs w:val="20"/>
          <w:lang w:val="es-MX"/>
        </w:rPr>
        <w:t xml:space="preserve">CONTRATOS Y CONVENIOS INTERADMINISTRATIVOS – </w:t>
      </w:r>
      <w:r w:rsidRPr="00563492">
        <w:rPr>
          <w:rFonts w:ascii="Arial" w:eastAsia="Calibri" w:hAnsi="Arial" w:cs="Arial"/>
          <w:bCs/>
          <w:color w:val="000000"/>
          <w:sz w:val="20"/>
          <w:szCs w:val="20"/>
          <w:lang w:val="es-MX"/>
        </w:rPr>
        <w:t xml:space="preserve">Definición – Criterio orgánico </w:t>
      </w:r>
    </w:p>
    <w:p w14:paraId="7D9ADB4A" w14:textId="77777777" w:rsidR="000E4544" w:rsidRPr="00563492" w:rsidRDefault="000E4544" w:rsidP="000E4544">
      <w:pPr>
        <w:spacing w:after="0" w:line="240" w:lineRule="auto"/>
        <w:rPr>
          <w:rFonts w:ascii="Arial" w:eastAsia="Calibri" w:hAnsi="Arial" w:cs="Arial"/>
          <w:bCs/>
          <w:color w:val="000000"/>
          <w:sz w:val="20"/>
          <w:szCs w:val="20"/>
          <w:lang w:val="es-MX"/>
        </w:rPr>
      </w:pPr>
    </w:p>
    <w:p w14:paraId="38DBA15E" w14:textId="4A58148E" w:rsidR="000E4544" w:rsidRPr="00563492" w:rsidRDefault="000E4544" w:rsidP="000E4544">
      <w:pPr>
        <w:spacing w:after="0" w:line="240" w:lineRule="auto"/>
        <w:jc w:val="both"/>
        <w:rPr>
          <w:rFonts w:ascii="Arial" w:eastAsia="Calibri" w:hAnsi="Arial" w:cs="Arial"/>
          <w:bCs/>
          <w:color w:val="000000"/>
          <w:sz w:val="20"/>
          <w:szCs w:val="20"/>
          <w:lang w:val="es-MX"/>
        </w:rPr>
      </w:pPr>
      <w:r w:rsidRPr="00563492">
        <w:rPr>
          <w:rFonts w:ascii="Arial" w:eastAsia="Calibri" w:hAnsi="Arial" w:cs="Arial"/>
          <w:bCs/>
          <w:color w:val="000000"/>
          <w:sz w:val="20"/>
          <w:szCs w:val="20"/>
          <w:lang w:val="es-MX"/>
        </w:rPr>
        <w:t xml:space="preserve">[…] el Decreto 1082 de 2015, </w:t>
      </w:r>
      <w:r w:rsidR="00060C8D" w:rsidRPr="00563492">
        <w:rPr>
          <w:rFonts w:ascii="Arial" w:eastAsia="Calibri" w:hAnsi="Arial" w:cs="Arial"/>
          <w:bCs/>
          <w:color w:val="000000"/>
          <w:sz w:val="20"/>
          <w:szCs w:val="20"/>
          <w:lang w:val="es-MX"/>
        </w:rPr>
        <w:t>“</w:t>
      </w:r>
      <w:r w:rsidRPr="00563492">
        <w:rPr>
          <w:rFonts w:ascii="Arial" w:eastAsia="Calibri" w:hAnsi="Arial" w:cs="Arial"/>
          <w:bCs/>
          <w:color w:val="000000"/>
          <w:sz w:val="20"/>
          <w:szCs w:val="20"/>
          <w:lang w:val="es-MX"/>
        </w:rPr>
        <w:t>Por medio del cual se expide el Decreto único reglamentario del sector administrativo de planeación nacional</w:t>
      </w:r>
      <w:r w:rsidR="00060C8D" w:rsidRPr="00563492">
        <w:rPr>
          <w:rFonts w:ascii="Arial" w:eastAsia="Calibri" w:hAnsi="Arial" w:cs="Arial"/>
          <w:bCs/>
          <w:color w:val="000000"/>
          <w:sz w:val="20"/>
          <w:szCs w:val="20"/>
          <w:lang w:val="es-MX"/>
        </w:rPr>
        <w:t>”</w:t>
      </w:r>
      <w:r w:rsidRPr="00563492">
        <w:rPr>
          <w:rFonts w:ascii="Arial" w:eastAsia="Calibri" w:hAnsi="Arial" w:cs="Arial"/>
          <w:bCs/>
          <w:color w:val="000000"/>
          <w:sz w:val="20"/>
          <w:szCs w:val="20"/>
          <w:lang w:val="es-MX"/>
        </w:rPr>
        <w:t xml:space="preserve">, calificó a los convenios o contratos interadministrativos como aquella contratación entre entidades estatales. De esta manera, los convenios o contratos </w:t>
      </w:r>
      <w:r w:rsidRPr="00563492">
        <w:rPr>
          <w:rFonts w:ascii="Arial" w:eastAsia="Calibri" w:hAnsi="Arial" w:cs="Arial"/>
          <w:bCs/>
          <w:color w:val="000000"/>
          <w:sz w:val="20"/>
          <w:szCs w:val="20"/>
          <w:lang w:val="es-MX"/>
        </w:rPr>
        <w:lastRenderedPageBreak/>
        <w:t>interadministrativos, nominados así en la Ley 80 de 1993 están determinados por un criterio orgánico o subjetivo, pues es necesario que los extremos de la relación contractual sean entidades estatales.</w:t>
      </w:r>
    </w:p>
    <w:p w14:paraId="4F489A8D" w14:textId="77777777" w:rsidR="000E4544" w:rsidRPr="00563492" w:rsidRDefault="000E4544" w:rsidP="00E47D99">
      <w:pPr>
        <w:spacing w:line="240" w:lineRule="auto"/>
        <w:contextualSpacing/>
        <w:jc w:val="both"/>
        <w:rPr>
          <w:rFonts w:ascii="Arial" w:eastAsia="Calibri" w:hAnsi="Arial" w:cs="Arial"/>
          <w:b/>
          <w:sz w:val="20"/>
          <w:szCs w:val="20"/>
          <w:lang w:val="es-ES_tradnl" w:eastAsia="es-ES_tradnl"/>
        </w:rPr>
      </w:pPr>
    </w:p>
    <w:p w14:paraId="322762B8" w14:textId="54E81280" w:rsidR="00E47D99" w:rsidRPr="00563492" w:rsidRDefault="00E47D99" w:rsidP="00E47D99">
      <w:pPr>
        <w:spacing w:line="240" w:lineRule="auto"/>
        <w:contextualSpacing/>
        <w:jc w:val="both"/>
        <w:rPr>
          <w:rFonts w:ascii="Arial" w:eastAsia="Calibri" w:hAnsi="Arial" w:cs="Arial"/>
          <w:b/>
          <w:sz w:val="20"/>
          <w:szCs w:val="20"/>
          <w:lang w:val="es-ES_tradnl" w:eastAsia="es-ES_tradnl"/>
        </w:rPr>
      </w:pPr>
      <w:r w:rsidRPr="00563492">
        <w:rPr>
          <w:rFonts w:ascii="Arial" w:eastAsia="Calibri" w:hAnsi="Arial" w:cs="Arial"/>
          <w:b/>
          <w:sz w:val="20"/>
          <w:szCs w:val="20"/>
          <w:lang w:val="es-ES_tradnl" w:eastAsia="es-ES_tradnl"/>
        </w:rPr>
        <w:t xml:space="preserve">DOCUMENTOS TIPO – </w:t>
      </w:r>
      <w:r w:rsidR="00445F1F" w:rsidRPr="00563492">
        <w:rPr>
          <w:rFonts w:ascii="Arial" w:eastAsia="Calibri" w:hAnsi="Arial" w:cs="Arial"/>
          <w:b/>
          <w:sz w:val="20"/>
          <w:szCs w:val="20"/>
          <w:lang w:val="es-ES_tradnl" w:eastAsia="es-ES_tradnl"/>
        </w:rPr>
        <w:t>Fundamento normativo – Obligatoriedad – Ámbito de aplicación – Entidades sometidas – Ley 2022 de 2020</w:t>
      </w:r>
    </w:p>
    <w:p w14:paraId="247E3B82" w14:textId="77777777" w:rsidR="00445F1F" w:rsidRPr="00563492" w:rsidRDefault="00445F1F" w:rsidP="00E47D99">
      <w:pPr>
        <w:spacing w:line="240" w:lineRule="auto"/>
        <w:contextualSpacing/>
        <w:jc w:val="both"/>
        <w:rPr>
          <w:rFonts w:ascii="Arial" w:eastAsia="Calibri" w:hAnsi="Arial" w:cs="Arial"/>
          <w:sz w:val="20"/>
          <w:szCs w:val="20"/>
          <w:lang w:val="es-ES_tradnl" w:eastAsia="es-ES"/>
        </w:rPr>
      </w:pPr>
    </w:p>
    <w:p w14:paraId="2254296D" w14:textId="7FBB24D5" w:rsidR="00E06D12" w:rsidRPr="00563492" w:rsidRDefault="00E47D99" w:rsidP="00E47D99">
      <w:pPr>
        <w:spacing w:line="240" w:lineRule="auto"/>
        <w:contextualSpacing/>
        <w:jc w:val="both"/>
        <w:rPr>
          <w:rFonts w:ascii="Arial" w:eastAsia="Calibri" w:hAnsi="Arial" w:cs="Arial"/>
          <w:sz w:val="20"/>
          <w:szCs w:val="20"/>
          <w:lang w:val="es-ES_tradnl"/>
        </w:rPr>
      </w:pPr>
      <w:r w:rsidRPr="00563492">
        <w:rPr>
          <w:rFonts w:ascii="Arial" w:eastAsia="Calibri" w:hAnsi="Arial" w:cs="Arial"/>
          <w:sz w:val="20"/>
          <w:szCs w:val="20"/>
          <w:lang w:val="es-ES_tradnl" w:eastAsia="es-ES"/>
        </w:rPr>
        <w:t xml:space="preserve">Posteriormente,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563492">
        <w:rPr>
          <w:rFonts w:ascii="Arial" w:eastAsia="Calibri" w:hAnsi="Arial" w:cs="Arial"/>
          <w:bCs/>
          <w:sz w:val="20"/>
          <w:szCs w:val="20"/>
          <w:lang w:val="es-ES_tradnl" w:eastAsia="es-ES_tradnl"/>
        </w:rPr>
        <w:t>EGCAP</w:t>
      </w:r>
      <w:r w:rsidRPr="00563492">
        <w:rPr>
          <w:rFonts w:ascii="Arial" w:eastAsia="Calibri" w:hAnsi="Arial" w:cs="Arial"/>
          <w:sz w:val="20"/>
          <w:szCs w:val="20"/>
          <w:lang w:val="es-ES_tradnl" w:eastAsia="es-ES"/>
        </w:rPr>
        <w:t xml:space="preserve">, se atribuyó a la </w:t>
      </w:r>
      <w:r w:rsidRPr="00563492">
        <w:rPr>
          <w:rFonts w:ascii="Arial" w:eastAsia="Calibri" w:hAnsi="Arial" w:cs="Arial"/>
          <w:sz w:val="20"/>
          <w:szCs w:val="20"/>
          <w:lang w:val="es-ES_tradnl"/>
        </w:rPr>
        <w:t>Agencia Nacional de Contratación Pública – Colombia Compra Eficiente la competencia para su expedición.</w:t>
      </w:r>
    </w:p>
    <w:p w14:paraId="08B7552F" w14:textId="77777777" w:rsidR="00E47D99" w:rsidRPr="00563492" w:rsidRDefault="00E47D99" w:rsidP="00E47D99">
      <w:pPr>
        <w:spacing w:line="240" w:lineRule="auto"/>
        <w:contextualSpacing/>
        <w:jc w:val="both"/>
        <w:rPr>
          <w:rFonts w:ascii="Arial" w:eastAsia="Calibri" w:hAnsi="Arial" w:cs="Arial"/>
          <w:sz w:val="20"/>
          <w:szCs w:val="20"/>
          <w:lang w:val="es-ES_tradnl" w:eastAsia="es-ES_tradnl"/>
        </w:rPr>
      </w:pPr>
      <w:r w:rsidRPr="00563492">
        <w:rPr>
          <w:rFonts w:ascii="Arial" w:eastAsia="Times New Roman" w:hAnsi="Arial" w:cs="Arial"/>
          <w:sz w:val="20"/>
          <w:szCs w:val="20"/>
          <w:lang w:val="es-ES_tradnl" w:eastAsia="es-ES_tradnl"/>
        </w:rPr>
        <w:t>[…]</w:t>
      </w:r>
    </w:p>
    <w:p w14:paraId="7C4BA6E4" w14:textId="51F7F7ED" w:rsidR="00E47D99" w:rsidRPr="00563492" w:rsidRDefault="00E47D99" w:rsidP="00E47D99">
      <w:pPr>
        <w:shd w:val="clear" w:color="auto" w:fill="FFFFFF"/>
        <w:spacing w:after="0" w:line="240" w:lineRule="auto"/>
        <w:jc w:val="both"/>
        <w:textAlignment w:val="baseline"/>
        <w:rPr>
          <w:rFonts w:ascii="Arial" w:eastAsia="Calibri" w:hAnsi="Arial" w:cs="Arial"/>
          <w:sz w:val="20"/>
          <w:szCs w:val="20"/>
          <w:lang w:eastAsia="en-GB"/>
        </w:rPr>
      </w:pPr>
      <w:r w:rsidRPr="00563492">
        <w:rPr>
          <w:rFonts w:ascii="Arial" w:eastAsia="Calibri" w:hAnsi="Arial" w:cs="Arial"/>
          <w:sz w:val="20"/>
          <w:szCs w:val="20"/>
          <w:lang w:eastAsia="es-ES_tradnl"/>
        </w:rPr>
        <w:t xml:space="preserve">De acuerdo con lo expuesto, </w:t>
      </w:r>
      <w:r w:rsidRPr="00563492">
        <w:rPr>
          <w:rFonts w:ascii="Arial" w:eastAsia="Calibri" w:hAnsi="Arial" w:cs="Arial"/>
          <w:sz w:val="20"/>
          <w:szCs w:val="20"/>
          <w:bdr w:val="none" w:sz="0" w:space="0" w:color="auto" w:frame="1"/>
          <w:lang w:eastAsia="es-ES_tradnl"/>
        </w:rPr>
        <w:t xml:space="preserve">los documentos tipo adoptados son obligatorios para las </w:t>
      </w:r>
      <w:r w:rsidR="00BC3FDE" w:rsidRPr="00563492">
        <w:rPr>
          <w:rFonts w:ascii="Arial" w:eastAsia="Calibri" w:hAnsi="Arial" w:cs="Arial"/>
          <w:sz w:val="20"/>
          <w:szCs w:val="20"/>
          <w:bdr w:val="none" w:sz="0" w:space="0" w:color="auto" w:frame="1"/>
          <w:lang w:eastAsia="es-ES_tradnl"/>
        </w:rPr>
        <w:t>E</w:t>
      </w:r>
      <w:r w:rsidRPr="00563492">
        <w:rPr>
          <w:rFonts w:ascii="Arial" w:eastAsia="Calibri" w:hAnsi="Arial" w:cs="Arial"/>
          <w:sz w:val="20"/>
          <w:szCs w:val="20"/>
          <w:bdr w:val="none" w:sz="0" w:space="0" w:color="auto" w:frame="1"/>
          <w:lang w:eastAsia="es-ES_tradnl"/>
        </w:rPr>
        <w:t xml:space="preserve">ntidades </w:t>
      </w:r>
      <w:r w:rsidR="00BC3FDE" w:rsidRPr="00563492">
        <w:rPr>
          <w:rFonts w:ascii="Arial" w:eastAsia="Calibri" w:hAnsi="Arial" w:cs="Arial"/>
          <w:sz w:val="20"/>
          <w:szCs w:val="20"/>
          <w:bdr w:val="none" w:sz="0" w:space="0" w:color="auto" w:frame="1"/>
          <w:lang w:eastAsia="es-ES_tradnl"/>
        </w:rPr>
        <w:t>E</w:t>
      </w:r>
      <w:r w:rsidRPr="00563492">
        <w:rPr>
          <w:rFonts w:ascii="Arial" w:eastAsia="Calibri" w:hAnsi="Arial" w:cs="Arial"/>
          <w:sz w:val="20"/>
          <w:szCs w:val="20"/>
          <w:bdr w:val="none" w:sz="0" w:space="0" w:color="auto" w:frame="1"/>
          <w:lang w:eastAsia="es-ES_tradnl"/>
        </w:rPr>
        <w:t xml:space="preserve">statales regidas por el </w:t>
      </w:r>
      <w:r w:rsidRPr="00563492">
        <w:rPr>
          <w:rFonts w:ascii="Arial" w:eastAsia="Calibri" w:hAnsi="Arial" w:cs="Arial"/>
          <w:bCs/>
          <w:sz w:val="20"/>
          <w:szCs w:val="20"/>
          <w:lang w:val="es-ES_tradnl" w:eastAsia="es-ES_tradnl"/>
        </w:rPr>
        <w:t>EGCAP</w:t>
      </w:r>
      <w:r w:rsidRPr="00563492">
        <w:rPr>
          <w:rFonts w:ascii="Arial" w:eastAsia="Calibri" w:hAnsi="Arial"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563492">
        <w:rPr>
          <w:rFonts w:ascii="Arial" w:eastAsia="Calibri" w:hAnsi="Arial" w:cs="Arial"/>
          <w:sz w:val="20"/>
          <w:szCs w:val="20"/>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p w14:paraId="7D4E6938" w14:textId="77777777" w:rsidR="00E47D99" w:rsidRPr="00563492" w:rsidRDefault="00E47D99" w:rsidP="00E47D99">
      <w:pPr>
        <w:spacing w:line="240" w:lineRule="auto"/>
        <w:contextualSpacing/>
        <w:jc w:val="both"/>
        <w:rPr>
          <w:rFonts w:ascii="Arial" w:eastAsia="Calibri" w:hAnsi="Arial" w:cs="Arial"/>
          <w:b/>
          <w:sz w:val="20"/>
          <w:szCs w:val="20"/>
          <w:lang w:eastAsia="es-ES_tradnl"/>
        </w:rPr>
      </w:pPr>
    </w:p>
    <w:p w14:paraId="442774DE" w14:textId="77777777" w:rsidR="00E47D99" w:rsidRPr="00563492" w:rsidRDefault="00E47D99" w:rsidP="00E47D99">
      <w:pPr>
        <w:spacing w:line="240" w:lineRule="auto"/>
        <w:contextualSpacing/>
        <w:jc w:val="both"/>
        <w:rPr>
          <w:rFonts w:ascii="Arial" w:eastAsia="Calibri" w:hAnsi="Arial" w:cs="Arial"/>
          <w:b/>
          <w:sz w:val="20"/>
          <w:szCs w:val="20"/>
          <w:lang w:val="es-ES_tradnl" w:eastAsia="es-ES_tradnl"/>
        </w:rPr>
      </w:pPr>
      <w:r w:rsidRPr="00563492">
        <w:rPr>
          <w:rFonts w:ascii="Arial" w:eastAsia="Calibri" w:hAnsi="Arial" w:cs="Arial"/>
          <w:b/>
          <w:sz w:val="20"/>
          <w:szCs w:val="20"/>
          <w:lang w:val="es-ES_tradnl" w:eastAsia="es-ES_tradnl"/>
        </w:rPr>
        <w:t xml:space="preserve">LEY 2195 DE 2022 – Artículo 56 – Ámbito de aplicación </w:t>
      </w:r>
    </w:p>
    <w:p w14:paraId="38BB354D" w14:textId="77777777" w:rsidR="00E47D99" w:rsidRPr="00563492" w:rsidRDefault="00E47D99" w:rsidP="00E47D99">
      <w:pPr>
        <w:spacing w:line="240" w:lineRule="auto"/>
        <w:contextualSpacing/>
        <w:jc w:val="both"/>
        <w:rPr>
          <w:rFonts w:ascii="Arial" w:eastAsia="Calibri" w:hAnsi="Arial" w:cs="Arial"/>
          <w:bCs/>
          <w:sz w:val="20"/>
          <w:szCs w:val="20"/>
          <w:lang w:val="es-ES_tradnl" w:eastAsia="es-ES_tradnl"/>
        </w:rPr>
      </w:pPr>
    </w:p>
    <w:p w14:paraId="00F89DD9" w14:textId="77777777" w:rsidR="00E47D99" w:rsidRPr="00563492" w:rsidRDefault="00E47D99" w:rsidP="00E47D99">
      <w:pPr>
        <w:spacing w:line="240" w:lineRule="auto"/>
        <w:contextualSpacing/>
        <w:jc w:val="both"/>
        <w:rPr>
          <w:rFonts w:ascii="Arial" w:eastAsia="Calibri" w:hAnsi="Arial" w:cs="Arial"/>
          <w:bCs/>
          <w:sz w:val="20"/>
          <w:szCs w:val="20"/>
          <w:lang w:val="es-ES_tradnl" w:eastAsia="es-ES_tradnl"/>
        </w:rPr>
      </w:pPr>
      <w:r w:rsidRPr="00563492">
        <w:rPr>
          <w:rFonts w:ascii="Arial" w:eastAsia="Calibri" w:hAnsi="Arial"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5CCC3D43" w14:textId="77777777" w:rsidR="00E47D99" w:rsidRPr="00563492" w:rsidRDefault="00E47D99" w:rsidP="00E47D99">
      <w:pPr>
        <w:spacing w:line="240" w:lineRule="auto"/>
        <w:contextualSpacing/>
        <w:jc w:val="both"/>
        <w:rPr>
          <w:rFonts w:ascii="Arial" w:eastAsia="Calibri" w:hAnsi="Arial" w:cs="Arial"/>
          <w:sz w:val="20"/>
          <w:szCs w:val="20"/>
          <w:lang w:val="es-ES_tradnl" w:eastAsia="es-ES_tradnl"/>
        </w:rPr>
      </w:pPr>
      <w:r w:rsidRPr="00563492">
        <w:rPr>
          <w:rFonts w:ascii="Arial" w:eastAsia="Times New Roman" w:hAnsi="Arial" w:cs="Arial"/>
          <w:sz w:val="20"/>
          <w:szCs w:val="20"/>
          <w:lang w:val="es-ES_tradnl" w:eastAsia="es-ES_tradnl"/>
        </w:rPr>
        <w:t>[…]</w:t>
      </w:r>
    </w:p>
    <w:p w14:paraId="22570C5C" w14:textId="77777777" w:rsidR="00E47D99" w:rsidRPr="00563492" w:rsidRDefault="00E47D99" w:rsidP="00E47D99">
      <w:pPr>
        <w:spacing w:line="240" w:lineRule="auto"/>
        <w:contextualSpacing/>
        <w:jc w:val="both"/>
        <w:rPr>
          <w:rFonts w:ascii="Arial" w:eastAsia="Calibri" w:hAnsi="Arial" w:cs="Arial"/>
          <w:sz w:val="20"/>
          <w:szCs w:val="20"/>
          <w:lang w:val="es-ES_tradnl" w:eastAsia="es-ES_tradnl"/>
        </w:rPr>
      </w:pPr>
      <w:r w:rsidRPr="00563492">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w:t>
      </w:r>
      <w:r w:rsidRPr="00563492">
        <w:rPr>
          <w:rFonts w:ascii="Arial" w:eastAsia="Times New Roman" w:hAnsi="Arial" w:cs="Arial"/>
          <w:sz w:val="20"/>
          <w:szCs w:val="20"/>
          <w:lang w:val="es-ES_tradnl" w:eastAsia="es-ES_tradnl"/>
        </w:rPr>
        <w:t>[…]</w:t>
      </w:r>
    </w:p>
    <w:p w14:paraId="0081DC46" w14:textId="77777777" w:rsidR="00E47D99" w:rsidRPr="00563492" w:rsidRDefault="00E47D99" w:rsidP="00E47D99">
      <w:pPr>
        <w:spacing w:line="240" w:lineRule="auto"/>
        <w:contextualSpacing/>
        <w:jc w:val="both"/>
        <w:rPr>
          <w:rFonts w:ascii="Arial" w:eastAsia="Calibri" w:hAnsi="Arial" w:cs="Arial"/>
          <w:b/>
          <w:sz w:val="20"/>
          <w:szCs w:val="20"/>
          <w:lang w:val="es-ES_tradnl" w:eastAsia="es-ES_tradnl"/>
        </w:rPr>
      </w:pPr>
    </w:p>
    <w:p w14:paraId="10EC1B69" w14:textId="77777777" w:rsidR="00E47D99" w:rsidRPr="00563492" w:rsidRDefault="00E47D99" w:rsidP="00E47D99">
      <w:pPr>
        <w:spacing w:line="240" w:lineRule="auto"/>
        <w:contextualSpacing/>
        <w:jc w:val="both"/>
        <w:rPr>
          <w:rFonts w:ascii="Arial" w:eastAsia="Calibri" w:hAnsi="Arial" w:cs="Arial"/>
          <w:b/>
          <w:sz w:val="20"/>
          <w:szCs w:val="20"/>
          <w:lang w:val="es-ES_tradnl" w:eastAsia="es-ES_tradnl"/>
        </w:rPr>
      </w:pPr>
      <w:r w:rsidRPr="00563492">
        <w:rPr>
          <w:rFonts w:ascii="Arial" w:eastAsia="Calibri" w:hAnsi="Arial" w:cs="Arial"/>
          <w:b/>
          <w:sz w:val="20"/>
          <w:szCs w:val="20"/>
          <w:lang w:val="es-ES_tradnl" w:eastAsia="es-ES_tradnl"/>
        </w:rPr>
        <w:t xml:space="preserve">LEY 2195 DE 2022 – Artículo 56 – Finalidad </w:t>
      </w:r>
    </w:p>
    <w:p w14:paraId="4CE4448A" w14:textId="77777777" w:rsidR="00E47D99" w:rsidRPr="00563492" w:rsidRDefault="00E47D99" w:rsidP="00E47D99">
      <w:pPr>
        <w:spacing w:line="240" w:lineRule="auto"/>
        <w:contextualSpacing/>
        <w:jc w:val="both"/>
        <w:rPr>
          <w:rFonts w:ascii="Arial" w:eastAsia="Times New Roman" w:hAnsi="Arial" w:cs="Arial"/>
          <w:sz w:val="20"/>
          <w:szCs w:val="20"/>
          <w:lang w:val="es-ES_tradnl" w:eastAsia="es-ES_tradnl"/>
        </w:rPr>
      </w:pPr>
    </w:p>
    <w:p w14:paraId="6C264CB7" w14:textId="77777777" w:rsidR="00E47D99" w:rsidRPr="00563492" w:rsidRDefault="00E47D99" w:rsidP="00E47D99">
      <w:pPr>
        <w:spacing w:after="0" w:line="240" w:lineRule="auto"/>
        <w:contextualSpacing/>
        <w:jc w:val="both"/>
        <w:rPr>
          <w:rStyle w:val="markedcontent"/>
          <w:rFonts w:ascii="Arial" w:hAnsi="Arial" w:cs="Arial"/>
          <w:sz w:val="20"/>
          <w:szCs w:val="20"/>
        </w:rPr>
      </w:pPr>
      <w:r w:rsidRPr="00563492">
        <w:rPr>
          <w:rFonts w:ascii="Arial" w:eastAsia="Times New Roman" w:hAnsi="Arial" w:cs="Arial"/>
          <w:sz w:val="20"/>
          <w:szCs w:val="20"/>
          <w:lang w:val="es-ES_tradnl" w:eastAsia="es-ES_tradnl"/>
        </w:rPr>
        <w:t xml:space="preserve">[…] </w:t>
      </w:r>
      <w:r w:rsidRPr="00563492">
        <w:rPr>
          <w:rFonts w:ascii="Arial" w:eastAsia="Calibri" w:hAnsi="Arial" w:cs="Arial"/>
          <w:sz w:val="20"/>
          <w:szCs w:val="20"/>
          <w:lang w:val="es-ES_tradnl" w:eastAsia="es-ES_tradnl"/>
        </w:rPr>
        <w:t xml:space="preserve">la adición del articulado en mención tiene como fin </w:t>
      </w:r>
      <w:r w:rsidRPr="00563492">
        <w:rPr>
          <w:rStyle w:val="markedcontent"/>
          <w:rFonts w:ascii="Arial" w:hAnsi="Arial" w:cs="Arial"/>
          <w:sz w:val="20"/>
          <w:szCs w:val="20"/>
        </w:rPr>
        <w:t xml:space="preserve">“Extender la </w:t>
      </w:r>
      <w:r w:rsidRPr="00563492">
        <w:rPr>
          <w:rStyle w:val="markedcontent"/>
          <w:rFonts w:ascii="Arial" w:hAnsi="Arial" w:cs="Arial"/>
          <w:i/>
          <w:sz w:val="20"/>
          <w:szCs w:val="20"/>
        </w:rPr>
        <w:t>obligatoriedad de la aplicación del régimen de contratación estatal y pliegos tipo, cuando se celebran convenios interadministrativos</w:t>
      </w:r>
      <w:r w:rsidRPr="00563492">
        <w:rPr>
          <w:rStyle w:val="markedcontent"/>
          <w:rFonts w:ascii="Arial" w:hAnsi="Arial" w:cs="Arial"/>
          <w:sz w:val="20"/>
          <w:szCs w:val="20"/>
        </w:rPr>
        <w:t xml:space="preserve"> con una entidad que tiene régimen de contratación privada </w:t>
      </w:r>
      <w:r w:rsidRPr="00563492">
        <w:rPr>
          <w:rStyle w:val="markedcontent"/>
          <w:rFonts w:ascii="Arial" w:hAnsi="Arial" w:cs="Arial"/>
          <w:i/>
          <w:sz w:val="20"/>
          <w:szCs w:val="20"/>
        </w:rPr>
        <w:t>con el fin de evitar la contratación directa con recursos del estado y proveer de mayores garantías al proceso</w:t>
      </w:r>
      <w:r w:rsidRPr="00563492">
        <w:rPr>
          <w:rStyle w:val="markedcontent"/>
          <w:rFonts w:ascii="Arial" w:hAnsi="Arial" w:cs="Arial"/>
          <w:sz w:val="20"/>
          <w:szCs w:val="20"/>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145A0444" w14:textId="77777777" w:rsidR="00E47D99" w:rsidRPr="00563492" w:rsidRDefault="00E47D99" w:rsidP="00E47D99">
      <w:pPr>
        <w:tabs>
          <w:tab w:val="left" w:pos="0"/>
        </w:tabs>
        <w:spacing w:after="0" w:line="240" w:lineRule="auto"/>
        <w:jc w:val="both"/>
        <w:rPr>
          <w:rFonts w:ascii="Arial" w:eastAsia="Calibri" w:hAnsi="Arial" w:cs="Arial"/>
          <w:bCs/>
          <w:sz w:val="20"/>
          <w:szCs w:val="20"/>
          <w:lang w:val="es-ES_tradnl" w:eastAsia="es-ES_tradnl"/>
        </w:rPr>
      </w:pPr>
    </w:p>
    <w:p w14:paraId="5C625AE0" w14:textId="77777777" w:rsidR="00E47D99" w:rsidRPr="00563492" w:rsidRDefault="00E47D99" w:rsidP="00E47D99">
      <w:pPr>
        <w:tabs>
          <w:tab w:val="left" w:pos="0"/>
        </w:tabs>
        <w:spacing w:after="0" w:line="240" w:lineRule="auto"/>
        <w:jc w:val="both"/>
        <w:rPr>
          <w:rFonts w:ascii="Arial" w:eastAsia="Calibri" w:hAnsi="Arial" w:cs="Arial"/>
          <w:bCs/>
          <w:sz w:val="20"/>
          <w:szCs w:val="20"/>
          <w:lang w:val="es-ES_tradnl" w:eastAsia="es-ES_tradnl"/>
        </w:rPr>
      </w:pPr>
      <w:r w:rsidRPr="00563492">
        <w:rPr>
          <w:rFonts w:ascii="Arial" w:eastAsia="Calibri" w:hAnsi="Arial"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563492">
        <w:rPr>
          <w:rFonts w:ascii="Arial" w:eastAsia="Times New Roman" w:hAnsi="Arial" w:cs="Arial"/>
          <w:sz w:val="20"/>
          <w:szCs w:val="20"/>
          <w:lang w:val="es-ES_tradnl" w:eastAsia="es-ES_tradnl"/>
        </w:rPr>
        <w:t xml:space="preserve">[…] </w:t>
      </w:r>
      <w:r w:rsidRPr="00563492">
        <w:rPr>
          <w:rFonts w:ascii="Arial" w:eastAsia="Calibri" w:hAnsi="Arial"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5E9015D3" w14:textId="77777777" w:rsidR="00A41B76" w:rsidRPr="00563492" w:rsidRDefault="00A41B76" w:rsidP="00E245AB">
      <w:pPr>
        <w:spacing w:after="0"/>
        <w:rPr>
          <w:rFonts w:ascii="Arial" w:hAnsi="Arial" w:cs="Arial"/>
          <w:sz w:val="20"/>
          <w:szCs w:val="20"/>
          <w:lang w:val="es-ES_tradnl"/>
        </w:rPr>
      </w:pPr>
    </w:p>
    <w:p w14:paraId="186237F7" w14:textId="77777777" w:rsidR="006B3721" w:rsidRPr="00563492" w:rsidRDefault="006B3721" w:rsidP="00E245AB">
      <w:pPr>
        <w:spacing w:after="0"/>
        <w:rPr>
          <w:rFonts w:ascii="Arial" w:hAnsi="Arial" w:cs="Arial"/>
          <w:sz w:val="20"/>
          <w:szCs w:val="20"/>
        </w:rPr>
      </w:pPr>
    </w:p>
    <w:p w14:paraId="1150A709" w14:textId="77777777" w:rsidR="006B3721" w:rsidRPr="00563492" w:rsidRDefault="006B3721" w:rsidP="00E245AB">
      <w:pPr>
        <w:spacing w:after="0"/>
        <w:rPr>
          <w:rFonts w:ascii="Arial" w:hAnsi="Arial" w:cs="Arial"/>
        </w:rPr>
      </w:pPr>
    </w:p>
    <w:p w14:paraId="449DEA0C" w14:textId="77777777" w:rsidR="006B3721" w:rsidRPr="00563492" w:rsidRDefault="006B3721" w:rsidP="00E245AB">
      <w:pPr>
        <w:spacing w:after="0"/>
        <w:rPr>
          <w:rFonts w:ascii="Arial" w:hAnsi="Arial" w:cs="Arial"/>
        </w:rPr>
      </w:pPr>
    </w:p>
    <w:p w14:paraId="26456FA9" w14:textId="77777777" w:rsidR="006B3721" w:rsidRPr="00563492" w:rsidRDefault="006B3721" w:rsidP="00E245AB">
      <w:pPr>
        <w:spacing w:after="0"/>
        <w:rPr>
          <w:rFonts w:ascii="Arial" w:hAnsi="Arial" w:cs="Arial"/>
        </w:rPr>
      </w:pPr>
    </w:p>
    <w:p w14:paraId="402DF118" w14:textId="77777777" w:rsidR="006B3721" w:rsidRPr="00563492" w:rsidRDefault="006B3721" w:rsidP="00E245AB">
      <w:pPr>
        <w:spacing w:after="0"/>
        <w:rPr>
          <w:rFonts w:ascii="Arial" w:hAnsi="Arial" w:cs="Arial"/>
        </w:rPr>
      </w:pPr>
    </w:p>
    <w:p w14:paraId="7E8E280D" w14:textId="77777777" w:rsidR="006B3721" w:rsidRPr="00563492" w:rsidRDefault="006B3721" w:rsidP="00E245AB">
      <w:pPr>
        <w:spacing w:after="0"/>
        <w:rPr>
          <w:rFonts w:ascii="Arial" w:hAnsi="Arial" w:cs="Arial"/>
        </w:rPr>
      </w:pPr>
    </w:p>
    <w:p w14:paraId="4DCFC8F4" w14:textId="77777777" w:rsidR="006B3721" w:rsidRPr="00563492" w:rsidRDefault="006B3721" w:rsidP="00E245AB">
      <w:pPr>
        <w:spacing w:after="0"/>
        <w:rPr>
          <w:rFonts w:ascii="Arial" w:hAnsi="Arial" w:cs="Arial"/>
        </w:rPr>
      </w:pPr>
    </w:p>
    <w:p w14:paraId="06B50037" w14:textId="77777777" w:rsidR="006B3721" w:rsidRPr="00563492" w:rsidRDefault="006B3721" w:rsidP="00E245AB">
      <w:pPr>
        <w:spacing w:after="0"/>
        <w:rPr>
          <w:rFonts w:ascii="Arial" w:hAnsi="Arial" w:cs="Arial"/>
        </w:rPr>
      </w:pPr>
    </w:p>
    <w:p w14:paraId="3087BB8A" w14:textId="77777777" w:rsidR="00EF0AC0" w:rsidRPr="00563492" w:rsidRDefault="00EF0AC0" w:rsidP="00E245AB">
      <w:pPr>
        <w:spacing w:after="0"/>
        <w:rPr>
          <w:rFonts w:ascii="Arial" w:hAnsi="Arial" w:cs="Arial"/>
        </w:rPr>
      </w:pPr>
    </w:p>
    <w:p w14:paraId="053D7619" w14:textId="77777777" w:rsidR="00EF0AC0" w:rsidRPr="00563492" w:rsidRDefault="00EF0AC0" w:rsidP="00E245AB">
      <w:pPr>
        <w:spacing w:after="0"/>
        <w:rPr>
          <w:rFonts w:ascii="Arial" w:hAnsi="Arial" w:cs="Arial"/>
        </w:rPr>
      </w:pPr>
    </w:p>
    <w:p w14:paraId="6AC8B434" w14:textId="77777777" w:rsidR="00EF0AC0" w:rsidRPr="00563492" w:rsidRDefault="00EF0AC0" w:rsidP="00E245AB">
      <w:pPr>
        <w:spacing w:after="0"/>
        <w:rPr>
          <w:rFonts w:ascii="Arial" w:hAnsi="Arial" w:cs="Arial"/>
        </w:rPr>
      </w:pPr>
    </w:p>
    <w:p w14:paraId="53B5F174" w14:textId="77777777" w:rsidR="00EF0AC0" w:rsidRPr="00563492" w:rsidRDefault="00EF0AC0" w:rsidP="00E245AB">
      <w:pPr>
        <w:spacing w:after="0"/>
        <w:rPr>
          <w:rFonts w:ascii="Arial" w:hAnsi="Arial" w:cs="Arial"/>
        </w:rPr>
      </w:pPr>
    </w:p>
    <w:p w14:paraId="4FBF5F72" w14:textId="77777777" w:rsidR="00EF0AC0" w:rsidRPr="00563492" w:rsidRDefault="00EF0AC0" w:rsidP="00E245AB">
      <w:pPr>
        <w:spacing w:after="0"/>
        <w:rPr>
          <w:rFonts w:ascii="Arial" w:hAnsi="Arial" w:cs="Arial"/>
        </w:rPr>
      </w:pPr>
    </w:p>
    <w:p w14:paraId="3E518893" w14:textId="77777777" w:rsidR="00EF0AC0" w:rsidRPr="00563492" w:rsidRDefault="00EF0AC0" w:rsidP="00E245AB">
      <w:pPr>
        <w:spacing w:after="0"/>
        <w:rPr>
          <w:rFonts w:ascii="Arial" w:hAnsi="Arial" w:cs="Arial"/>
        </w:rPr>
      </w:pPr>
    </w:p>
    <w:p w14:paraId="0C3761A2" w14:textId="77777777" w:rsidR="00EF0AC0" w:rsidRPr="00563492" w:rsidRDefault="00EF0AC0" w:rsidP="00E245AB">
      <w:pPr>
        <w:spacing w:after="0"/>
        <w:rPr>
          <w:rFonts w:ascii="Arial" w:hAnsi="Arial" w:cs="Arial"/>
        </w:rPr>
      </w:pPr>
    </w:p>
    <w:p w14:paraId="613F730E" w14:textId="77777777" w:rsidR="00EF0AC0" w:rsidRPr="00563492" w:rsidRDefault="00EF0AC0" w:rsidP="00E245AB">
      <w:pPr>
        <w:spacing w:after="0"/>
        <w:rPr>
          <w:rFonts w:ascii="Arial" w:hAnsi="Arial" w:cs="Arial"/>
        </w:rPr>
      </w:pPr>
    </w:p>
    <w:p w14:paraId="2AC3626C" w14:textId="77777777" w:rsidR="00EF0AC0" w:rsidRPr="00563492" w:rsidRDefault="00EF0AC0" w:rsidP="00E245AB">
      <w:pPr>
        <w:spacing w:after="0"/>
        <w:rPr>
          <w:rFonts w:ascii="Arial" w:hAnsi="Arial" w:cs="Arial"/>
        </w:rPr>
      </w:pPr>
    </w:p>
    <w:p w14:paraId="31ABC47E" w14:textId="77777777" w:rsidR="00EF0AC0" w:rsidRPr="00563492" w:rsidRDefault="00EF0AC0" w:rsidP="00E245AB">
      <w:pPr>
        <w:spacing w:after="0"/>
        <w:rPr>
          <w:rFonts w:ascii="Arial" w:hAnsi="Arial" w:cs="Arial"/>
        </w:rPr>
      </w:pPr>
    </w:p>
    <w:p w14:paraId="170E5094" w14:textId="77777777" w:rsidR="00EF0AC0" w:rsidRPr="00563492" w:rsidRDefault="00EF0AC0" w:rsidP="00E245AB">
      <w:pPr>
        <w:spacing w:after="0"/>
        <w:rPr>
          <w:rFonts w:ascii="Arial" w:hAnsi="Arial" w:cs="Arial"/>
        </w:rPr>
      </w:pPr>
    </w:p>
    <w:p w14:paraId="7F07799C" w14:textId="77777777" w:rsidR="00EF0AC0" w:rsidRPr="00563492" w:rsidRDefault="00EF0AC0" w:rsidP="00E245AB">
      <w:pPr>
        <w:spacing w:after="0"/>
        <w:rPr>
          <w:rFonts w:ascii="Arial" w:hAnsi="Arial" w:cs="Arial"/>
        </w:rPr>
      </w:pPr>
    </w:p>
    <w:p w14:paraId="62B1F86F" w14:textId="77777777" w:rsidR="00EF0AC0" w:rsidRPr="00563492" w:rsidRDefault="00EF0AC0" w:rsidP="00E245AB">
      <w:pPr>
        <w:spacing w:after="0"/>
        <w:rPr>
          <w:rFonts w:ascii="Arial" w:hAnsi="Arial" w:cs="Arial"/>
        </w:rPr>
      </w:pPr>
    </w:p>
    <w:p w14:paraId="241B19B5" w14:textId="77777777" w:rsidR="00EF0AC0" w:rsidRPr="00563492" w:rsidRDefault="00EF0AC0" w:rsidP="00E245AB">
      <w:pPr>
        <w:spacing w:after="0"/>
        <w:rPr>
          <w:rFonts w:ascii="Arial" w:hAnsi="Arial" w:cs="Arial"/>
        </w:rPr>
      </w:pPr>
    </w:p>
    <w:p w14:paraId="67B14207" w14:textId="77777777" w:rsidR="00EF0AC0" w:rsidRPr="00563492" w:rsidRDefault="00EF0AC0" w:rsidP="00E245AB">
      <w:pPr>
        <w:spacing w:after="0"/>
        <w:rPr>
          <w:rFonts w:ascii="Arial" w:hAnsi="Arial" w:cs="Arial"/>
        </w:rPr>
      </w:pPr>
    </w:p>
    <w:p w14:paraId="0A4BE690" w14:textId="77777777" w:rsidR="00EF0AC0" w:rsidRPr="00563492" w:rsidRDefault="00EF0AC0" w:rsidP="00E245AB">
      <w:pPr>
        <w:spacing w:after="0"/>
        <w:rPr>
          <w:rFonts w:ascii="Arial" w:hAnsi="Arial" w:cs="Arial"/>
        </w:rPr>
      </w:pPr>
    </w:p>
    <w:p w14:paraId="46D06992" w14:textId="77777777" w:rsidR="00EF0AC0" w:rsidRPr="00563492" w:rsidRDefault="00EF0AC0" w:rsidP="00E245AB">
      <w:pPr>
        <w:spacing w:after="0"/>
        <w:rPr>
          <w:rFonts w:ascii="Arial" w:hAnsi="Arial" w:cs="Arial"/>
        </w:rPr>
      </w:pPr>
    </w:p>
    <w:p w14:paraId="12403CFF" w14:textId="77777777" w:rsidR="00EF0AC0" w:rsidRPr="00563492" w:rsidRDefault="00EF0AC0" w:rsidP="00E245AB">
      <w:pPr>
        <w:spacing w:after="0"/>
        <w:rPr>
          <w:rFonts w:ascii="Arial" w:hAnsi="Arial" w:cs="Arial"/>
        </w:rPr>
      </w:pPr>
    </w:p>
    <w:p w14:paraId="2A08B959" w14:textId="77777777" w:rsidR="00EF0AC0" w:rsidRPr="00563492" w:rsidRDefault="00EF0AC0" w:rsidP="00E245AB">
      <w:pPr>
        <w:spacing w:after="0"/>
        <w:rPr>
          <w:rFonts w:ascii="Arial" w:hAnsi="Arial" w:cs="Arial"/>
        </w:rPr>
      </w:pPr>
    </w:p>
    <w:p w14:paraId="5AC777BD" w14:textId="77777777" w:rsidR="00EF0AC0" w:rsidRPr="00563492" w:rsidRDefault="00EF0AC0" w:rsidP="00E245AB">
      <w:pPr>
        <w:spacing w:after="0"/>
        <w:rPr>
          <w:rFonts w:ascii="Arial" w:hAnsi="Arial" w:cs="Arial"/>
        </w:rPr>
      </w:pPr>
    </w:p>
    <w:p w14:paraId="6AB95CC0" w14:textId="77777777" w:rsidR="00EF0AC0" w:rsidRPr="00563492" w:rsidRDefault="00EF0AC0" w:rsidP="00E245AB">
      <w:pPr>
        <w:spacing w:after="0"/>
        <w:rPr>
          <w:rFonts w:ascii="Arial" w:hAnsi="Arial" w:cs="Arial"/>
        </w:rPr>
      </w:pPr>
    </w:p>
    <w:p w14:paraId="6859CABD" w14:textId="77777777" w:rsidR="00EF0AC0" w:rsidRPr="00563492" w:rsidRDefault="00EF0AC0" w:rsidP="00E245AB">
      <w:pPr>
        <w:spacing w:after="0"/>
        <w:rPr>
          <w:rFonts w:ascii="Arial" w:hAnsi="Arial" w:cs="Arial"/>
        </w:rPr>
      </w:pPr>
    </w:p>
    <w:p w14:paraId="17C461AC" w14:textId="77777777" w:rsidR="00EF0AC0" w:rsidRPr="00563492" w:rsidRDefault="00EF0AC0" w:rsidP="00E245AB">
      <w:pPr>
        <w:spacing w:after="0"/>
        <w:rPr>
          <w:rFonts w:ascii="Arial" w:hAnsi="Arial" w:cs="Arial"/>
        </w:rPr>
      </w:pPr>
    </w:p>
    <w:p w14:paraId="33281EF2" w14:textId="77777777" w:rsidR="00EF0AC0" w:rsidRPr="00563492" w:rsidRDefault="00EF0AC0" w:rsidP="00E245AB">
      <w:pPr>
        <w:spacing w:after="0"/>
        <w:rPr>
          <w:rFonts w:ascii="Arial" w:hAnsi="Arial" w:cs="Arial"/>
        </w:rPr>
      </w:pPr>
    </w:p>
    <w:p w14:paraId="5A01A1EF" w14:textId="77777777" w:rsidR="00EF0AC0" w:rsidRPr="00563492" w:rsidRDefault="00EF0AC0" w:rsidP="00E245AB">
      <w:pPr>
        <w:spacing w:after="0"/>
        <w:rPr>
          <w:rFonts w:ascii="Arial" w:hAnsi="Arial" w:cs="Arial"/>
        </w:rPr>
      </w:pPr>
    </w:p>
    <w:p w14:paraId="36C0CD90" w14:textId="77777777" w:rsidR="00EF0AC0" w:rsidRPr="00563492" w:rsidRDefault="00EF0AC0" w:rsidP="00E245AB">
      <w:pPr>
        <w:spacing w:after="0"/>
        <w:rPr>
          <w:rFonts w:ascii="Arial" w:hAnsi="Arial" w:cs="Arial"/>
        </w:rPr>
      </w:pPr>
    </w:p>
    <w:p w14:paraId="5AE1D1FE" w14:textId="77777777" w:rsidR="00EF0AC0" w:rsidRPr="00563492" w:rsidRDefault="00EF0AC0" w:rsidP="00E245AB">
      <w:pPr>
        <w:spacing w:after="0"/>
        <w:rPr>
          <w:rFonts w:ascii="Arial" w:hAnsi="Arial" w:cs="Arial"/>
        </w:rPr>
      </w:pPr>
    </w:p>
    <w:p w14:paraId="107E1BD3" w14:textId="77777777" w:rsidR="00EF0AC0" w:rsidRPr="00563492" w:rsidRDefault="00EF0AC0" w:rsidP="00E245AB">
      <w:pPr>
        <w:spacing w:after="0"/>
        <w:rPr>
          <w:rFonts w:ascii="Arial" w:hAnsi="Arial" w:cs="Arial"/>
        </w:rPr>
      </w:pPr>
    </w:p>
    <w:p w14:paraId="3FE2184B" w14:textId="1576B9E6" w:rsidR="00E245AB" w:rsidRPr="00563492" w:rsidRDefault="00E245AB" w:rsidP="00E245AB">
      <w:pPr>
        <w:spacing w:after="0"/>
        <w:rPr>
          <w:rFonts w:ascii="Arial" w:hAnsi="Arial" w:cs="Arial"/>
        </w:rPr>
      </w:pPr>
      <w:r w:rsidRPr="00563492">
        <w:rPr>
          <w:rFonts w:ascii="Arial" w:hAnsi="Arial" w:cs="Arial"/>
        </w:rPr>
        <w:t xml:space="preserve">Bogotá D.C., </w:t>
      </w:r>
      <w:r w:rsidR="00C47F50" w:rsidRPr="00563492">
        <w:rPr>
          <w:rFonts w:ascii="Arial" w:hAnsi="Arial" w:cs="Arial"/>
        </w:rPr>
        <w:t>12 de septiembre del 2023</w:t>
      </w:r>
    </w:p>
    <w:p w14:paraId="5FCADBF9" w14:textId="77777777" w:rsidR="00E245AB" w:rsidRPr="00563492" w:rsidRDefault="00E245AB" w:rsidP="00E245AB">
      <w:pPr>
        <w:spacing w:after="0"/>
        <w:rPr>
          <w:rFonts w:ascii="Arial" w:hAnsi="Arial" w:cs="Arial"/>
        </w:rPr>
      </w:pPr>
    </w:p>
    <w:p w14:paraId="0267AFB4" w14:textId="0404CD9B" w:rsidR="00C47F50" w:rsidRPr="00563492" w:rsidRDefault="00424F79" w:rsidP="00424F79">
      <w:pPr>
        <w:spacing w:after="0"/>
        <w:jc w:val="right"/>
        <w:rPr>
          <w:rFonts w:ascii="Arial" w:hAnsi="Arial" w:cs="Arial"/>
        </w:rPr>
      </w:pPr>
      <w:r w:rsidRPr="00563492">
        <w:rPr>
          <w:rFonts w:ascii="Arial" w:hAnsi="Arial" w:cs="Arial"/>
          <w:noProof/>
        </w:rPr>
        <w:drawing>
          <wp:inline distT="0" distB="0" distL="0" distR="0" wp14:anchorId="47506283" wp14:editId="5612466F">
            <wp:extent cx="3394075" cy="834887"/>
            <wp:effectExtent l="0" t="0" r="0" b="3810"/>
            <wp:docPr id="828894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944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00148" cy="836381"/>
                    </a:xfrm>
                    <a:prstGeom prst="rect">
                      <a:avLst/>
                    </a:prstGeom>
                  </pic:spPr>
                </pic:pic>
              </a:graphicData>
            </a:graphic>
          </wp:inline>
        </w:drawing>
      </w:r>
    </w:p>
    <w:p w14:paraId="3C270810" w14:textId="200BAB3A" w:rsidR="001D20D4" w:rsidRPr="00563492" w:rsidRDefault="001D20D4" w:rsidP="001D20D4">
      <w:pPr>
        <w:spacing w:after="0"/>
        <w:rPr>
          <w:rFonts w:ascii="Arial" w:eastAsia="Geomanist Light" w:hAnsi="Arial" w:cs="Arial"/>
          <w:lang w:val="es-MX"/>
        </w:rPr>
      </w:pPr>
      <w:r w:rsidRPr="00563492">
        <w:rPr>
          <w:rFonts w:ascii="Arial" w:hAnsi="Arial" w:cs="Arial"/>
          <w:lang w:val="es-MX"/>
        </w:rPr>
        <w:t>Señor</w:t>
      </w:r>
    </w:p>
    <w:p w14:paraId="406D18E4" w14:textId="2E1B3452" w:rsidR="001D20D4" w:rsidRPr="00563492" w:rsidRDefault="001D20D4" w:rsidP="001D20D4">
      <w:pPr>
        <w:spacing w:after="0" w:line="276" w:lineRule="auto"/>
        <w:rPr>
          <w:rFonts w:ascii="Arial" w:hAnsi="Arial" w:cs="Arial"/>
          <w:b/>
          <w:bCs/>
          <w:lang w:val="es-MX"/>
        </w:rPr>
      </w:pPr>
      <w:r w:rsidRPr="00563492">
        <w:rPr>
          <w:rFonts w:ascii="Arial" w:hAnsi="Arial" w:cs="Arial"/>
          <w:b/>
          <w:bCs/>
          <w:lang w:val="es-MX"/>
        </w:rPr>
        <w:t xml:space="preserve">Anónimo </w:t>
      </w:r>
    </w:p>
    <w:p w14:paraId="3460BCD1" w14:textId="405BB831" w:rsidR="001D20D4" w:rsidRPr="00563492" w:rsidRDefault="001D20D4" w:rsidP="001D20D4">
      <w:pPr>
        <w:spacing w:after="0" w:line="276" w:lineRule="auto"/>
        <w:rPr>
          <w:rFonts w:ascii="Arial" w:hAnsi="Arial" w:cs="Arial"/>
          <w:lang w:val="es-MX"/>
        </w:rPr>
      </w:pPr>
      <w:r w:rsidRPr="00563492">
        <w:rPr>
          <w:rFonts w:ascii="Arial" w:hAnsi="Arial" w:cs="Arial"/>
          <w:lang w:val="es-MX"/>
        </w:rPr>
        <w:t>Ciudad</w:t>
      </w:r>
    </w:p>
    <w:p w14:paraId="5834C1EA" w14:textId="77777777" w:rsidR="001D20D4" w:rsidRPr="00563492" w:rsidRDefault="001D20D4" w:rsidP="001D20D4">
      <w:pPr>
        <w:spacing w:after="0" w:line="276" w:lineRule="auto"/>
        <w:rPr>
          <w:rFonts w:ascii="Arial" w:hAnsi="Arial" w:cs="Arial"/>
          <w:lang w:val="es-MX"/>
        </w:rPr>
      </w:pPr>
    </w:p>
    <w:p w14:paraId="7B00236B" w14:textId="0D2CC610" w:rsidR="001D20D4" w:rsidRPr="00563492" w:rsidRDefault="001D20D4" w:rsidP="001D20D4">
      <w:pPr>
        <w:spacing w:after="0" w:line="276" w:lineRule="auto"/>
        <w:ind w:left="2832"/>
        <w:rPr>
          <w:rFonts w:ascii="Arial" w:eastAsia="Calibri" w:hAnsi="Arial" w:cs="Arial"/>
          <w:b/>
          <w:lang w:val="es-ES"/>
        </w:rPr>
      </w:pPr>
      <w:r w:rsidRPr="00563492">
        <w:rPr>
          <w:rFonts w:ascii="Arial" w:eastAsia="Calibri" w:hAnsi="Arial" w:cs="Arial"/>
          <w:b/>
          <w:lang w:val="es-ES"/>
        </w:rPr>
        <w:t xml:space="preserve">Concepto </w:t>
      </w:r>
      <w:r w:rsidR="00070FA8" w:rsidRPr="00563492">
        <w:rPr>
          <w:rFonts w:ascii="Arial" w:eastAsia="Calibri" w:hAnsi="Arial" w:cs="Arial"/>
          <w:b/>
          <w:bCs/>
          <w:lang w:val="es-ES"/>
        </w:rPr>
        <w:t>C</w:t>
      </w:r>
      <w:r w:rsidR="00EF0AC0" w:rsidRPr="00563492">
        <w:rPr>
          <w:rFonts w:ascii="Arial" w:eastAsia="Calibri" w:hAnsi="Arial" w:cs="Arial"/>
          <w:b/>
          <w:bCs/>
          <w:lang w:val="es-ES"/>
        </w:rPr>
        <w:t>–</w:t>
      </w:r>
      <w:r w:rsidR="00070FA8" w:rsidRPr="00563492">
        <w:rPr>
          <w:rFonts w:ascii="Arial" w:eastAsia="Calibri" w:hAnsi="Arial" w:cs="Arial"/>
          <w:b/>
          <w:bCs/>
          <w:lang w:val="es-ES"/>
        </w:rPr>
        <w:t xml:space="preserve">360 </w:t>
      </w:r>
      <w:r w:rsidRPr="00563492">
        <w:rPr>
          <w:rFonts w:ascii="Arial" w:eastAsia="Calibri" w:hAnsi="Arial" w:cs="Arial"/>
          <w:b/>
          <w:bCs/>
          <w:lang w:val="es-ES"/>
        </w:rPr>
        <w:t>del 2023</w:t>
      </w:r>
    </w:p>
    <w:p w14:paraId="4F5BB1E9" w14:textId="77777777" w:rsidR="001D20D4" w:rsidRPr="00563492" w:rsidRDefault="001D20D4" w:rsidP="001D20D4">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D20D4" w:rsidRPr="00563492" w14:paraId="4A3D62E0" w14:textId="77777777" w:rsidTr="006443D7">
        <w:trPr>
          <w:jc w:val="right"/>
        </w:trPr>
        <w:tc>
          <w:tcPr>
            <w:tcW w:w="1838" w:type="dxa"/>
          </w:tcPr>
          <w:p w14:paraId="0BC5232C" w14:textId="77777777" w:rsidR="001D20D4" w:rsidRPr="00563492" w:rsidRDefault="001D20D4" w:rsidP="006443D7">
            <w:pPr>
              <w:spacing w:line="276" w:lineRule="auto"/>
              <w:jc w:val="center"/>
              <w:rPr>
                <w:rFonts w:ascii="Arial" w:eastAsia="Calibri" w:hAnsi="Arial" w:cs="Arial"/>
                <w:lang w:val="es-ES_tradnl"/>
              </w:rPr>
            </w:pPr>
            <w:r w:rsidRPr="00563492">
              <w:rPr>
                <w:rFonts w:ascii="Arial" w:eastAsia="Calibri" w:hAnsi="Arial" w:cs="Arial"/>
                <w:b/>
                <w:lang w:val="es-ES_tradnl"/>
              </w:rPr>
              <w:t>Temas:</w:t>
            </w:r>
          </w:p>
        </w:tc>
        <w:tc>
          <w:tcPr>
            <w:tcW w:w="6237" w:type="dxa"/>
          </w:tcPr>
          <w:p w14:paraId="31E5716E" w14:textId="0AC07B8B" w:rsidR="001D20D4" w:rsidRPr="00563492" w:rsidRDefault="00EF0AC0" w:rsidP="003A31B8">
            <w:pPr>
              <w:tabs>
                <w:tab w:val="left" w:pos="986"/>
              </w:tabs>
              <w:spacing w:after="120"/>
              <w:jc w:val="both"/>
              <w:rPr>
                <w:rFonts w:ascii="Arial" w:eastAsia="Calibri" w:hAnsi="Arial" w:cs="Arial"/>
                <w:lang w:val="es-ES_tradnl" w:eastAsia="es-ES_tradnl"/>
              </w:rPr>
            </w:pPr>
            <w:r w:rsidRPr="00563492">
              <w:rPr>
                <w:rFonts w:ascii="Arial" w:eastAsia="Calibri" w:hAnsi="Arial" w:cs="Arial"/>
                <w:bCs/>
                <w:color w:val="000000" w:themeColor="text1"/>
              </w:rPr>
              <w:t xml:space="preserve">FONDOS MIXTOS PARA LA PROMOCIÓN DE LA CULTURA Y LAS ARTES – Naturaleza jurídica – Régimen de contratación– Suscripción de convenios interadministrativos </w:t>
            </w:r>
            <w:r w:rsidR="00DF69FA" w:rsidRPr="00563492">
              <w:rPr>
                <w:rFonts w:ascii="Arial" w:eastAsia="Calibri" w:hAnsi="Arial" w:cs="Arial"/>
                <w:bCs/>
                <w:lang w:val="es-ES_tradnl" w:eastAsia="es-ES_tradnl"/>
              </w:rPr>
              <w:t xml:space="preserve">/ </w:t>
            </w:r>
            <w:r w:rsidR="00FC493E" w:rsidRPr="00563492">
              <w:rPr>
                <w:rFonts w:ascii="Arial" w:eastAsia="Calibri" w:hAnsi="Arial" w:cs="Arial"/>
                <w:bCs/>
                <w:lang w:val="es-ES_tradnl" w:eastAsia="es-ES_tradnl"/>
              </w:rPr>
              <w:t xml:space="preserve">CONTRATOS O CONVENIOS INTERADMINISTRATIVOS – Definición – Criterio orgánico / CONTRATOS Y CONVENIOS INTERADMINISTRATIVOS – Diferencias – Similitudes / DOCUMENTOS TIPO – Fundamento normativo – Obligatoriedad – Ámbito de aplicación – Entidades sometidas </w:t>
            </w:r>
            <w:r w:rsidR="00E47D99" w:rsidRPr="00563492">
              <w:rPr>
                <w:rFonts w:ascii="Arial" w:eastAsia="Times New Roman" w:hAnsi="Arial" w:cs="Arial"/>
                <w:bCs/>
                <w:lang w:val="es-MX" w:eastAsia="es-ES_tradnl"/>
              </w:rPr>
              <w:t>– Ley 2022 de 2020 / LEY 2195 DE 2022 – Artículo 56 – Ámbito de aplicación / LEY 2195 DE 2022 – Artículo 56 – Finalidad</w:t>
            </w:r>
          </w:p>
        </w:tc>
      </w:tr>
      <w:tr w:rsidR="001D20D4" w:rsidRPr="00563492" w14:paraId="4CD3A1CE" w14:textId="77777777" w:rsidTr="006443D7">
        <w:trPr>
          <w:jc w:val="right"/>
        </w:trPr>
        <w:tc>
          <w:tcPr>
            <w:tcW w:w="1838" w:type="dxa"/>
          </w:tcPr>
          <w:p w14:paraId="30070404" w14:textId="77777777" w:rsidR="001D20D4" w:rsidRPr="00563492" w:rsidRDefault="001D20D4" w:rsidP="006443D7">
            <w:pPr>
              <w:spacing w:line="276" w:lineRule="auto"/>
              <w:jc w:val="center"/>
              <w:rPr>
                <w:rFonts w:ascii="Arial" w:eastAsia="Calibri" w:hAnsi="Arial" w:cs="Arial"/>
                <w:b/>
                <w:lang w:val="es-ES"/>
              </w:rPr>
            </w:pPr>
            <w:r w:rsidRPr="00563492">
              <w:rPr>
                <w:rFonts w:ascii="Arial" w:eastAsia="Calibri" w:hAnsi="Arial" w:cs="Arial"/>
                <w:b/>
                <w:lang w:val="es-ES"/>
              </w:rPr>
              <w:t>Radicación:</w:t>
            </w:r>
          </w:p>
        </w:tc>
        <w:tc>
          <w:tcPr>
            <w:tcW w:w="6237" w:type="dxa"/>
          </w:tcPr>
          <w:p w14:paraId="1831E2B9" w14:textId="740C3C00" w:rsidR="001D20D4" w:rsidRPr="00563492" w:rsidRDefault="001D20D4" w:rsidP="006443D7">
            <w:pPr>
              <w:spacing w:line="276" w:lineRule="auto"/>
              <w:jc w:val="both"/>
              <w:rPr>
                <w:rFonts w:ascii="Arial" w:eastAsia="Calibri" w:hAnsi="Arial" w:cs="Arial"/>
                <w:lang w:val="es-ES"/>
              </w:rPr>
            </w:pPr>
            <w:r w:rsidRPr="00563492">
              <w:rPr>
                <w:rFonts w:ascii="Arial" w:eastAsia="Calibri" w:hAnsi="Arial" w:cs="Arial"/>
                <w:lang w:val="es-ES"/>
              </w:rPr>
              <w:t xml:space="preserve">Respuesta a consulta No. </w:t>
            </w:r>
            <w:r w:rsidRPr="00563492">
              <w:rPr>
                <w:rFonts w:ascii="Arial" w:eastAsia="Calibri" w:hAnsi="Arial" w:cs="Arial"/>
                <w:lang w:val="es-MX"/>
              </w:rPr>
              <w:t>P20230729013767.</w:t>
            </w:r>
          </w:p>
        </w:tc>
      </w:tr>
    </w:tbl>
    <w:p w14:paraId="6DF34A6D" w14:textId="77777777" w:rsidR="001D20D4" w:rsidRPr="00563492" w:rsidRDefault="001D20D4" w:rsidP="001D20D4">
      <w:pPr>
        <w:spacing w:line="276" w:lineRule="auto"/>
        <w:jc w:val="both"/>
        <w:rPr>
          <w:rFonts w:ascii="Arial" w:eastAsia="Calibri" w:hAnsi="Arial" w:cs="Arial"/>
          <w:lang w:val="es-ES_tradnl"/>
        </w:rPr>
      </w:pPr>
    </w:p>
    <w:p w14:paraId="297B3BB3" w14:textId="08F98983" w:rsidR="001D20D4" w:rsidRPr="00563492" w:rsidRDefault="001D20D4" w:rsidP="001D20D4">
      <w:pPr>
        <w:spacing w:line="276" w:lineRule="auto"/>
        <w:jc w:val="both"/>
        <w:rPr>
          <w:rFonts w:ascii="Arial" w:eastAsia="Calibri" w:hAnsi="Arial" w:cs="Arial"/>
          <w:lang w:val="es-ES_tradnl"/>
        </w:rPr>
      </w:pPr>
      <w:r w:rsidRPr="00563492">
        <w:rPr>
          <w:rFonts w:ascii="Arial" w:eastAsia="Calibri" w:hAnsi="Arial" w:cs="Arial"/>
          <w:lang w:val="es-ES_tradnl"/>
        </w:rPr>
        <w:t>Estimado:</w:t>
      </w:r>
    </w:p>
    <w:p w14:paraId="77ADFE7E" w14:textId="330ED06F" w:rsidR="001D20D4" w:rsidRPr="00563492" w:rsidRDefault="001D20D4" w:rsidP="001D20D4">
      <w:pPr>
        <w:spacing w:after="0" w:line="276" w:lineRule="auto"/>
        <w:jc w:val="both"/>
        <w:rPr>
          <w:rFonts w:ascii="Arial" w:eastAsia="Calibri" w:hAnsi="Arial" w:cs="Arial"/>
          <w:lang w:val="es-ES"/>
        </w:rPr>
      </w:pPr>
      <w:r w:rsidRPr="00563492">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―Colombia Compra Eficiente― responde su consulta del </w:t>
      </w:r>
      <w:r w:rsidR="00412536" w:rsidRPr="00563492">
        <w:rPr>
          <w:rFonts w:ascii="Arial" w:eastAsia="Calibri" w:hAnsi="Arial" w:cs="Arial"/>
          <w:lang w:val="es-ES"/>
        </w:rPr>
        <w:t>29 de julio del 2023</w:t>
      </w:r>
      <w:r w:rsidRPr="00563492">
        <w:rPr>
          <w:rFonts w:ascii="Arial" w:eastAsia="Calibri" w:hAnsi="Arial" w:cs="Arial"/>
          <w:lang w:val="es-ES"/>
        </w:rPr>
        <w:t>.</w:t>
      </w:r>
    </w:p>
    <w:p w14:paraId="69091804" w14:textId="77777777" w:rsidR="001D20D4" w:rsidRPr="00563492" w:rsidRDefault="001D20D4" w:rsidP="001D20D4">
      <w:pPr>
        <w:spacing w:after="0" w:line="276" w:lineRule="auto"/>
        <w:jc w:val="both"/>
        <w:rPr>
          <w:rFonts w:ascii="Arial" w:eastAsia="Calibri" w:hAnsi="Arial" w:cs="Arial"/>
          <w:lang w:val="es-ES"/>
        </w:rPr>
      </w:pPr>
    </w:p>
    <w:p w14:paraId="1CEB2F31" w14:textId="77777777" w:rsidR="001D20D4" w:rsidRPr="00563492" w:rsidRDefault="001D20D4" w:rsidP="001D20D4">
      <w:pPr>
        <w:pStyle w:val="Prrafodelista"/>
        <w:numPr>
          <w:ilvl w:val="0"/>
          <w:numId w:val="16"/>
        </w:numPr>
        <w:tabs>
          <w:tab w:val="left" w:pos="0"/>
          <w:tab w:val="left" w:pos="142"/>
          <w:tab w:val="left" w:pos="284"/>
        </w:tabs>
        <w:spacing w:after="0" w:line="276" w:lineRule="auto"/>
        <w:ind w:left="0" w:firstLine="0"/>
        <w:jc w:val="both"/>
        <w:rPr>
          <w:rFonts w:ascii="Arial" w:eastAsia="Calibri" w:hAnsi="Arial" w:cs="Arial"/>
          <w:b/>
          <w:lang w:val="es-ES_tradnl"/>
        </w:rPr>
      </w:pPr>
      <w:r w:rsidRPr="00563492">
        <w:rPr>
          <w:rFonts w:ascii="Arial" w:eastAsia="Calibri" w:hAnsi="Arial" w:cs="Arial"/>
          <w:b/>
          <w:lang w:val="es-ES_tradnl"/>
        </w:rPr>
        <w:t xml:space="preserve">Problema planteado </w:t>
      </w:r>
    </w:p>
    <w:p w14:paraId="057E2732" w14:textId="77777777" w:rsidR="001D20D4" w:rsidRPr="00563492" w:rsidRDefault="001D20D4" w:rsidP="001D20D4">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37D268D4" w14:textId="32F6B2BF" w:rsidR="009139E9" w:rsidRPr="00563492" w:rsidRDefault="001D20D4" w:rsidP="00A17EF2">
      <w:pPr>
        <w:spacing w:after="0" w:line="276" w:lineRule="auto"/>
        <w:jc w:val="both"/>
        <w:rPr>
          <w:rFonts w:ascii="Arial" w:eastAsia="Calibri" w:hAnsi="Arial" w:cs="Arial"/>
          <w:sz w:val="21"/>
          <w:szCs w:val="21"/>
          <w:lang w:val="es-ES"/>
        </w:rPr>
      </w:pPr>
      <w:r w:rsidRPr="00563492">
        <w:rPr>
          <w:rFonts w:ascii="Arial" w:hAnsi="Arial" w:cs="Arial"/>
          <w:lang w:val="es-ES_tradnl"/>
        </w:rPr>
        <w:t>Respecto a</w:t>
      </w:r>
      <w:r w:rsidR="009139E9" w:rsidRPr="00563492">
        <w:rPr>
          <w:rFonts w:ascii="Arial" w:hAnsi="Arial" w:cs="Arial"/>
          <w:lang w:val="es-ES_tradnl"/>
        </w:rPr>
        <w:t xml:space="preserve"> los fondos mixtos y la</w:t>
      </w:r>
      <w:r w:rsidR="00500B06" w:rsidRPr="00563492">
        <w:rPr>
          <w:rFonts w:ascii="Arial" w:hAnsi="Arial" w:cs="Arial"/>
          <w:lang w:val="es-ES_tradnl"/>
        </w:rPr>
        <w:t xml:space="preserve"> </w:t>
      </w:r>
      <w:r w:rsidR="009139E9" w:rsidRPr="00563492">
        <w:rPr>
          <w:rFonts w:ascii="Arial" w:hAnsi="Arial" w:cs="Arial"/>
          <w:lang w:val="es-ES_tradnl"/>
        </w:rPr>
        <w:t>contratación directa de infraestructura de transporte</w:t>
      </w:r>
      <w:r w:rsidRPr="00563492">
        <w:rPr>
          <w:rFonts w:ascii="Arial" w:hAnsi="Arial" w:cs="Arial"/>
          <w:lang w:val="es-ES_tradnl"/>
        </w:rPr>
        <w:t xml:space="preserve">, usted realiza la siguiente consulta: </w:t>
      </w:r>
      <w:r w:rsidR="009139E9" w:rsidRPr="00563492">
        <w:rPr>
          <w:rFonts w:ascii="Arial" w:eastAsia="Calibri" w:hAnsi="Arial" w:cs="Arial"/>
          <w:i/>
          <w:iCs/>
          <w:sz w:val="21"/>
          <w:szCs w:val="21"/>
          <w:lang w:val="es-ES"/>
        </w:rPr>
        <w:t>“[…] 1. ¿Es viable contratar con un fondo mixto cuyos socios son un resguardo/clan indígena?; 2. ¿Se puede contratar de forma directa con un fondo mixto obras de infraestructura de transporte sin la aplicación de un pliego tipo? […]”</w:t>
      </w:r>
      <w:r w:rsidR="00256B11" w:rsidRPr="00563492">
        <w:rPr>
          <w:rFonts w:ascii="Arial" w:eastAsia="Calibri" w:hAnsi="Arial" w:cs="Arial"/>
          <w:i/>
          <w:iCs/>
          <w:sz w:val="21"/>
          <w:szCs w:val="21"/>
          <w:lang w:val="es-ES"/>
        </w:rPr>
        <w:t>.</w:t>
      </w:r>
    </w:p>
    <w:p w14:paraId="039DB4A7" w14:textId="77777777" w:rsidR="001D20D4" w:rsidRPr="00563492" w:rsidRDefault="001D20D4" w:rsidP="001D20D4">
      <w:pPr>
        <w:spacing w:after="0"/>
        <w:rPr>
          <w:rFonts w:ascii="Arial" w:hAnsi="Arial" w:cs="Arial"/>
          <w:lang w:val="es-ES_tradnl"/>
        </w:rPr>
      </w:pPr>
    </w:p>
    <w:p w14:paraId="54281A79" w14:textId="77777777" w:rsidR="001D20D4" w:rsidRPr="00563492" w:rsidRDefault="001D20D4" w:rsidP="001D20D4">
      <w:pPr>
        <w:pStyle w:val="Prrafodelista"/>
        <w:numPr>
          <w:ilvl w:val="0"/>
          <w:numId w:val="16"/>
        </w:numPr>
        <w:tabs>
          <w:tab w:val="left" w:pos="0"/>
          <w:tab w:val="left" w:pos="284"/>
        </w:tabs>
        <w:spacing w:after="0" w:line="276" w:lineRule="auto"/>
        <w:ind w:left="360"/>
        <w:jc w:val="both"/>
        <w:rPr>
          <w:rFonts w:ascii="Arial" w:eastAsia="Calibri" w:hAnsi="Arial" w:cs="Arial"/>
          <w:b/>
          <w:lang w:val="es-ES_tradnl"/>
        </w:rPr>
      </w:pPr>
      <w:r w:rsidRPr="00563492">
        <w:rPr>
          <w:rFonts w:ascii="Arial" w:eastAsia="Calibri" w:hAnsi="Arial" w:cs="Arial"/>
          <w:b/>
          <w:lang w:val="es-ES_tradnl"/>
        </w:rPr>
        <w:t>Consideraciones</w:t>
      </w:r>
    </w:p>
    <w:p w14:paraId="218C6974" w14:textId="77777777" w:rsidR="001D20D4" w:rsidRPr="00563492" w:rsidRDefault="001D20D4" w:rsidP="001D20D4">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22B64449" w14:textId="77777777" w:rsidR="001D20D4" w:rsidRPr="00563492" w:rsidRDefault="001D20D4" w:rsidP="001D20D4">
      <w:pPr>
        <w:spacing w:after="120" w:line="276" w:lineRule="auto"/>
        <w:jc w:val="both"/>
        <w:rPr>
          <w:rFonts w:ascii="Arial" w:hAnsi="Arial" w:cs="Arial"/>
          <w:lang w:val="es-ES"/>
        </w:rPr>
      </w:pPr>
      <w:r w:rsidRPr="00563492">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563492">
        <w:rPr>
          <w:rFonts w:ascii="Arial" w:hAnsi="Arial" w:cs="Arial"/>
        </w:rPr>
        <w:t xml:space="preserve">. </w:t>
      </w:r>
      <w:r w:rsidRPr="00563492">
        <w:rPr>
          <w:rFonts w:ascii="Arial" w:hAnsi="Arial" w:cs="Arial"/>
          <w:lang w:val="es-ES"/>
        </w:rPr>
        <w:t xml:space="preserve">Es necesario tener en cuenta que </w:t>
      </w:r>
      <w:bookmarkStart w:id="6" w:name="_Hlk61026958"/>
      <w:r w:rsidRPr="00563492">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63492">
        <w:rPr>
          <w:rFonts w:ascii="Arial" w:hAnsi="Arial" w:cs="Arial"/>
        </w:rPr>
        <w:t xml:space="preserve"> de todos los partícipes de la contratación estatal.</w:t>
      </w:r>
      <w:r w:rsidRPr="00563492">
        <w:rPr>
          <w:rFonts w:ascii="Arial" w:hAnsi="Arial" w:cs="Arial"/>
          <w:lang w:val="es-ES"/>
        </w:rPr>
        <w:t xml:space="preserve"> </w:t>
      </w:r>
      <w:bookmarkEnd w:id="4"/>
      <w:bookmarkEnd w:id="5"/>
      <w:bookmarkEnd w:id="6"/>
    </w:p>
    <w:p w14:paraId="45666063" w14:textId="77777777" w:rsidR="001D20D4" w:rsidRPr="00563492" w:rsidRDefault="001D20D4" w:rsidP="001D20D4">
      <w:pPr>
        <w:spacing w:after="120" w:line="276" w:lineRule="auto"/>
        <w:ind w:firstLine="708"/>
        <w:jc w:val="both"/>
        <w:rPr>
          <w:rFonts w:ascii="Arial" w:hAnsi="Arial" w:cs="Arial"/>
          <w:lang w:val="es-ES"/>
        </w:rPr>
      </w:pPr>
      <w:r w:rsidRPr="00563492">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63492">
        <w:rPr>
          <w:rFonts w:ascii="Arial" w:eastAsia="Calibri" w:hAnsi="Arial" w:cs="Arial"/>
          <w:vertAlign w:val="superscript"/>
          <w:lang w:val="es-ES"/>
        </w:rPr>
        <w:footnoteReference w:id="2"/>
      </w:r>
      <w:r w:rsidRPr="00563492">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038C94D4" w14:textId="10D2D5A8" w:rsidR="001D20D4" w:rsidRPr="00563492" w:rsidRDefault="001D20D4" w:rsidP="001D20D4">
      <w:pPr>
        <w:spacing w:before="120" w:after="120" w:line="276" w:lineRule="auto"/>
        <w:ind w:firstLine="709"/>
        <w:jc w:val="both"/>
        <w:rPr>
          <w:rFonts w:ascii="Arial" w:hAnsi="Arial" w:cs="Arial"/>
          <w:lang w:val="es-ES"/>
        </w:rPr>
      </w:pPr>
      <w:r w:rsidRPr="69840CAF">
        <w:rPr>
          <w:rFonts w:ascii="Arial" w:eastAsia="Calibri" w:hAnsi="Arial" w:cs="Arial"/>
          <w:lang w:val="es-MX"/>
        </w:rPr>
        <w:t xml:space="preserve">Sin perjuicio de lo anterior, </w:t>
      </w:r>
      <w:r w:rsidRPr="69840CAF">
        <w:rPr>
          <w:rFonts w:ascii="Arial" w:eastAsia="Calibri" w:hAnsi="Arial" w:cs="Arial"/>
          <w:lang w:val="es-ES"/>
        </w:rPr>
        <w:t xml:space="preserve">la Subdirección de Gestión Contractual –dentro de los límites de sus atribuciones, esto es, </w:t>
      </w:r>
      <w:bookmarkStart w:id="7" w:name="_Hlk61025408"/>
      <w:r w:rsidRPr="69840CAF">
        <w:rPr>
          <w:rFonts w:ascii="Arial" w:eastAsia="Calibri" w:hAnsi="Arial" w:cs="Arial"/>
          <w:lang w:val="es-ES"/>
        </w:rPr>
        <w:t>haciendo abstracción del caso particular expuesto por el peticionari</w:t>
      </w:r>
      <w:bookmarkEnd w:id="7"/>
      <w:r w:rsidRPr="69840CAF">
        <w:rPr>
          <w:rFonts w:ascii="Arial" w:eastAsia="Calibri" w:hAnsi="Arial" w:cs="Arial"/>
          <w:lang w:val="es-ES"/>
        </w:rPr>
        <w:t>o– resolverá la consulta conforme a las normas generales en materia de contratación estatal</w:t>
      </w:r>
      <w:r w:rsidRPr="69840CAF">
        <w:rPr>
          <w:rFonts w:ascii="Arial" w:eastAsia="Calibri" w:hAnsi="Arial" w:cs="Arial"/>
          <w:lang w:val="es-ES" w:eastAsia="es-MX"/>
        </w:rPr>
        <w:t xml:space="preserve">. Con este objetivo se analizarán los siguientes temas: </w:t>
      </w:r>
      <w:r w:rsidRPr="69840CAF">
        <w:rPr>
          <w:rFonts w:ascii="Arial" w:hAnsi="Arial" w:cs="Arial"/>
        </w:rPr>
        <w:t xml:space="preserve">i) </w:t>
      </w:r>
      <w:r w:rsidR="00947EE5" w:rsidRPr="69840CAF">
        <w:rPr>
          <w:rFonts w:ascii="Arial" w:hAnsi="Arial" w:cs="Arial"/>
        </w:rPr>
        <w:t xml:space="preserve">Naturaleza jurídica de los fondos mixtos de promoción de la cultura y las artes; ii) Marco normativo de los contratos o convenios interadministrativos; iii) </w:t>
      </w:r>
      <w:r w:rsidR="00854381" w:rsidRPr="69840CAF">
        <w:rPr>
          <w:rFonts w:ascii="Arial" w:hAnsi="Arial" w:cs="Arial"/>
        </w:rPr>
        <w:t xml:space="preserve">Fundamento normativo y ámbito de aplicación de los documentos tipo; iv) </w:t>
      </w:r>
      <w:r w:rsidR="000E4544" w:rsidRPr="69840CAF">
        <w:rPr>
          <w:rFonts w:ascii="Arial" w:hAnsi="Arial" w:cs="Arial"/>
        </w:rPr>
        <w:t>Alcance del artículo 56 de la Ley 2195 de 2022 frente a la implementación obligatoria del Estatuto General de Contratación de la Administración Pública y de los documentos tipo en la celebración de convenios o contratos interadministrativos; y</w:t>
      </w:r>
      <w:r w:rsidR="20ACE791" w:rsidRPr="69840CAF">
        <w:rPr>
          <w:rFonts w:ascii="Arial" w:hAnsi="Arial" w:cs="Arial"/>
        </w:rPr>
        <w:t xml:space="preserve"> </w:t>
      </w:r>
      <w:r w:rsidR="000E4544" w:rsidRPr="69840CAF">
        <w:rPr>
          <w:rFonts w:ascii="Arial" w:hAnsi="Arial" w:cs="Arial"/>
        </w:rPr>
        <w:t>v) Aplicación prevalente del Estatuto General de Contratación de la Administración Pública en los contratos celebrados con entidades exceptuadas. Aparente tensión con el literal c) del artículo 2, numeral 4, de la Ley 1150 de 2007.</w:t>
      </w:r>
    </w:p>
    <w:p w14:paraId="43363AD8" w14:textId="2402D333" w:rsidR="001D20D4" w:rsidRPr="00563492" w:rsidRDefault="001D20D4" w:rsidP="00A17EF2">
      <w:pPr>
        <w:spacing w:after="120" w:line="276" w:lineRule="auto"/>
        <w:ind w:firstLine="709"/>
        <w:jc w:val="both"/>
        <w:rPr>
          <w:rFonts w:ascii="Arial" w:hAnsi="Arial" w:cs="Arial"/>
          <w:lang w:val="es-ES_tradnl"/>
        </w:rPr>
      </w:pPr>
      <w:r w:rsidRPr="00563492">
        <w:rPr>
          <w:rFonts w:ascii="Arial" w:eastAsia="Calibri" w:hAnsi="Arial" w:cs="Arial"/>
        </w:rPr>
        <w:t xml:space="preserve"> La Agencia Nacional de Contratación Pública – Colombia Compra Eficiente –en adelante la ANCP-CCE– </w:t>
      </w:r>
      <w:r w:rsidR="00C24EF2" w:rsidRPr="00563492">
        <w:rPr>
          <w:rFonts w:ascii="Arial" w:eastAsia="Times New Roman" w:hAnsi="Arial" w:cs="Arial"/>
          <w:lang w:val="es-MX" w:eastAsia="es-ES_tradnl"/>
        </w:rPr>
        <w:t xml:space="preserve">analizó </w:t>
      </w:r>
      <w:r w:rsidR="00315382" w:rsidRPr="00563492">
        <w:rPr>
          <w:rFonts w:ascii="Arial" w:eastAsia="Calibri" w:hAnsi="Arial" w:cs="Arial"/>
          <w:color w:val="000000"/>
          <w:lang w:val="es-ES"/>
        </w:rPr>
        <w:t>la naturaleza jurídica de los fondos mixtos para la promoción de la cultura y de las artes, y los convenios o contratos interadministrativos y su regulación, en las consultas con radicados 4201913000007595 del 7 de noviembre de 2019, 4202012000000237, C-055 del 15 de enero de 2020, C-086 del 16 de marzo de 2020, C–101 del 13 de marzo de 2020, C-347 de 23 de julio de 2021 y C-910 del 27 de diciembre del 2022</w:t>
      </w:r>
      <w:r w:rsidRPr="00563492">
        <w:rPr>
          <w:rStyle w:val="Refdenotaalpie"/>
          <w:rFonts w:ascii="Arial" w:hAnsi="Arial" w:cs="Arial"/>
        </w:rPr>
        <w:footnoteReference w:id="3"/>
      </w:r>
      <w:r w:rsidRPr="00563492">
        <w:rPr>
          <w:rFonts w:ascii="Arial" w:hAnsi="Arial" w:cs="Arial"/>
        </w:rPr>
        <w:t xml:space="preserve">. </w:t>
      </w:r>
    </w:p>
    <w:p w14:paraId="57A71E1D" w14:textId="2E8A1392" w:rsidR="00D92A5C" w:rsidRPr="00563492" w:rsidRDefault="008F750B" w:rsidP="00A17EF2">
      <w:pPr>
        <w:spacing w:after="0" w:line="276" w:lineRule="auto"/>
        <w:ind w:firstLine="709"/>
        <w:jc w:val="both"/>
        <w:rPr>
          <w:rFonts w:ascii="Arial" w:hAnsi="Arial" w:cs="Arial"/>
          <w:lang w:val="es-ES_tradnl"/>
        </w:rPr>
      </w:pPr>
      <w:r w:rsidRPr="00563492">
        <w:rPr>
          <w:rFonts w:ascii="Arial" w:eastAsia="Times New Roman" w:hAnsi="Arial" w:cs="Arial"/>
          <w:lang w:val="es-ES_tradnl" w:eastAsia="es-ES_tradnl"/>
        </w:rPr>
        <w:t xml:space="preserve">Igualmente, la Agencia se ha pronunciado sobre </w:t>
      </w:r>
      <w:r w:rsidRPr="00563492">
        <w:rPr>
          <w:rFonts w:ascii="Arial" w:eastAsia="Times New Roman" w:hAnsi="Arial" w:cs="Arial"/>
          <w:lang w:eastAsia="es-ES_tradnl"/>
        </w:rPr>
        <w:t>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y C-</w:t>
      </w:r>
      <w:r w:rsidR="003B311A" w:rsidRPr="00563492">
        <w:rPr>
          <w:rFonts w:ascii="Arial" w:eastAsia="Calibri" w:hAnsi="Arial" w:cs="Arial"/>
          <w:lang w:val="es-ES_tradnl" w:eastAsia="es-MX"/>
        </w:rPr>
        <w:t xml:space="preserve">042 del </w:t>
      </w:r>
      <w:r w:rsidR="008F01CE" w:rsidRPr="00563492">
        <w:rPr>
          <w:rFonts w:ascii="Arial" w:eastAsia="Calibri" w:hAnsi="Arial" w:cs="Arial"/>
          <w:lang w:val="es-ES_tradnl" w:eastAsia="es-MX"/>
        </w:rPr>
        <w:t>29 de marzo del 2023.</w:t>
      </w:r>
      <w:r w:rsidR="00925350" w:rsidRPr="00563492">
        <w:rPr>
          <w:rFonts w:ascii="Arial" w:hAnsi="Arial" w:cs="Arial"/>
          <w:lang w:val="es-ES_tradnl"/>
        </w:rPr>
        <w:t xml:space="preserve"> Las tesis propuestas se reiteran a continuación y se complementan en lo que pertinente, teniendo en cuenta el objeto de la consulta.</w:t>
      </w:r>
    </w:p>
    <w:p w14:paraId="7BD7DD44" w14:textId="77777777" w:rsidR="00A17EF2" w:rsidRPr="00563492" w:rsidRDefault="00A17EF2" w:rsidP="00A17EF2">
      <w:pPr>
        <w:spacing w:after="0" w:line="276" w:lineRule="auto"/>
        <w:ind w:firstLine="709"/>
        <w:jc w:val="both"/>
        <w:rPr>
          <w:rFonts w:ascii="Arial" w:hAnsi="Arial" w:cs="Arial"/>
          <w:lang w:val="es-ES_tradnl"/>
        </w:rPr>
      </w:pPr>
    </w:p>
    <w:p w14:paraId="460D2B28" w14:textId="77777777" w:rsidR="00BC741C" w:rsidRPr="00563492" w:rsidRDefault="00BC741C" w:rsidP="003A31B8">
      <w:pPr>
        <w:tabs>
          <w:tab w:val="left" w:pos="426"/>
        </w:tabs>
        <w:spacing w:after="0" w:line="276" w:lineRule="auto"/>
        <w:jc w:val="both"/>
        <w:rPr>
          <w:rFonts w:ascii="Arial" w:hAnsi="Arial" w:cs="Arial"/>
          <w:b/>
          <w:bCs/>
          <w:color w:val="000000" w:themeColor="text1"/>
          <w:lang w:val="es-ES"/>
        </w:rPr>
      </w:pPr>
      <w:r w:rsidRPr="00563492">
        <w:rPr>
          <w:rFonts w:ascii="Arial" w:eastAsia="Calibri" w:hAnsi="Arial" w:cs="Arial"/>
          <w:b/>
          <w:color w:val="000000" w:themeColor="text1"/>
        </w:rPr>
        <w:t xml:space="preserve">2.1. Naturaleza jurídica de los </w:t>
      </w:r>
      <w:r w:rsidRPr="00563492">
        <w:rPr>
          <w:rFonts w:ascii="Arial" w:hAnsi="Arial" w:cs="Arial"/>
          <w:b/>
          <w:bCs/>
          <w:color w:val="000000" w:themeColor="text1"/>
          <w:lang w:val="es-ES"/>
        </w:rPr>
        <w:t>fondos mixtos de promoción de la cultura y las artes</w:t>
      </w:r>
    </w:p>
    <w:p w14:paraId="023D6F82" w14:textId="77777777" w:rsidR="00BC741C" w:rsidRPr="00563492" w:rsidRDefault="00BC741C" w:rsidP="003A31B8">
      <w:pPr>
        <w:widowControl w:val="0"/>
        <w:autoSpaceDE w:val="0"/>
        <w:autoSpaceDN w:val="0"/>
        <w:spacing w:after="0" w:line="276" w:lineRule="auto"/>
        <w:jc w:val="both"/>
        <w:rPr>
          <w:rFonts w:ascii="Arial" w:hAnsi="Arial" w:cs="Arial"/>
          <w:color w:val="000000" w:themeColor="text1"/>
          <w:lang w:val="es-ES"/>
        </w:rPr>
      </w:pPr>
    </w:p>
    <w:p w14:paraId="09EB76C4" w14:textId="77777777" w:rsidR="00BC741C" w:rsidRPr="00563492" w:rsidRDefault="00BC741C" w:rsidP="00BC741C">
      <w:pPr>
        <w:widowControl w:val="0"/>
        <w:autoSpaceDE w:val="0"/>
        <w:autoSpaceDN w:val="0"/>
        <w:spacing w:after="120" w:line="276" w:lineRule="auto"/>
        <w:jc w:val="both"/>
        <w:rPr>
          <w:rFonts w:ascii="Arial" w:hAnsi="Arial" w:cs="Arial"/>
          <w:color w:val="000000" w:themeColor="text1"/>
          <w:lang w:val="es-ES"/>
        </w:rPr>
      </w:pPr>
      <w:r w:rsidRPr="00563492">
        <w:rPr>
          <w:rFonts w:ascii="Arial" w:hAnsi="Arial" w:cs="Arial"/>
          <w:color w:val="000000" w:themeColor="text1"/>
          <w:lang w:val="es-ES"/>
        </w:rPr>
        <w:t xml:space="preserve">En desarrollo de los artículos 70, 71 y 72 de la Constitución Política, relativos al deber del Estado de promover, fomentar y proteger la cultura, el arte, la ciencia, la tecnología y el patrimonio cultural de la Nación, el legislador expidió la </w:t>
      </w:r>
      <w:bookmarkStart w:id="8" w:name="_Hlk77082315"/>
      <w:r w:rsidRPr="00563492">
        <w:rPr>
          <w:rFonts w:ascii="Arial" w:hAnsi="Arial" w:cs="Arial"/>
          <w:color w:val="000000" w:themeColor="text1"/>
          <w:lang w:val="es-ES"/>
        </w:rPr>
        <w:t xml:space="preserve">Ley 397 de 1997 </w:t>
      </w:r>
      <w:bookmarkEnd w:id="8"/>
      <w:r w:rsidRPr="00563492">
        <w:rPr>
          <w:rFonts w:ascii="Arial" w:hAnsi="Arial" w:cs="Arial"/>
          <w:color w:val="000000" w:themeColor="text1"/>
          <w:lang w:val="es-ES"/>
        </w:rPr>
        <w:t>por la cual se dictaron normas sobre patrimonio cultural, fomentos y estímulos a la cultura y acerca de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 autonomía</w:t>
      </w:r>
      <w:r w:rsidRPr="00563492">
        <w:rPr>
          <w:rFonts w:ascii="Arial" w:hAnsi="Arial" w:cs="Arial"/>
          <w:color w:val="000000" w:themeColor="text1"/>
          <w:vertAlign w:val="superscript"/>
          <w:lang w:val="es-ES"/>
        </w:rPr>
        <w:footnoteReference w:id="4"/>
      </w:r>
      <w:r w:rsidRPr="00563492">
        <w:rPr>
          <w:rFonts w:ascii="Arial" w:hAnsi="Arial" w:cs="Arial"/>
          <w:color w:val="000000" w:themeColor="text1"/>
          <w:lang w:val="es-ES"/>
        </w:rPr>
        <w:t xml:space="preserve">.  </w:t>
      </w:r>
    </w:p>
    <w:p w14:paraId="2937FAF3" w14:textId="77777777" w:rsidR="00BC741C" w:rsidRPr="00563492" w:rsidRDefault="00BC741C" w:rsidP="00BC741C">
      <w:pPr>
        <w:widowControl w:val="0"/>
        <w:autoSpaceDE w:val="0"/>
        <w:autoSpaceDN w:val="0"/>
        <w:spacing w:after="120" w:line="276" w:lineRule="auto"/>
        <w:ind w:firstLine="708"/>
        <w:jc w:val="both"/>
        <w:rPr>
          <w:rFonts w:ascii="Arial" w:hAnsi="Arial" w:cs="Arial"/>
          <w:color w:val="000000" w:themeColor="text1"/>
          <w:lang w:val="es-ES"/>
        </w:rPr>
      </w:pPr>
      <w:r w:rsidRPr="00563492">
        <w:rPr>
          <w:rFonts w:ascii="Arial" w:hAnsi="Arial" w:cs="Arial"/>
          <w:color w:val="000000" w:themeColor="text1"/>
          <w:lang w:val="es-ES"/>
        </w:rPr>
        <w:t xml:space="preserve">Este sistema está conformado por el Ministerio de Cultura, los concejos municipales, distritales y departamentales de cultura, </w:t>
      </w:r>
      <w:bookmarkStart w:id="9" w:name="_Hlk74756138"/>
      <w:r w:rsidRPr="00563492">
        <w:rPr>
          <w:rFonts w:ascii="Arial" w:hAnsi="Arial" w:cs="Arial"/>
          <w:color w:val="000000" w:themeColor="text1"/>
          <w:lang w:val="es-ES"/>
        </w:rPr>
        <w:t xml:space="preserve">los fondos mixtos de promoción de la cultura y de las artes </w:t>
      </w:r>
      <w:bookmarkEnd w:id="9"/>
      <w:r w:rsidRPr="00563492">
        <w:rPr>
          <w:rFonts w:ascii="Arial" w:hAnsi="Arial" w:cs="Arial"/>
          <w:color w:val="000000" w:themeColor="text1"/>
          <w:lang w:val="es-ES"/>
        </w:rPr>
        <w:t xml:space="preserve">y, en general por las entidades públicas y privadas que desarrollen, financien, fomenten o ejecuten actividades culturales. </w:t>
      </w:r>
    </w:p>
    <w:p w14:paraId="63A2FA28" w14:textId="77777777" w:rsidR="00BC741C" w:rsidRPr="00563492" w:rsidRDefault="00BC741C" w:rsidP="00BC741C">
      <w:pPr>
        <w:widowControl w:val="0"/>
        <w:autoSpaceDE w:val="0"/>
        <w:autoSpaceDN w:val="0"/>
        <w:spacing w:after="120" w:line="276" w:lineRule="auto"/>
        <w:ind w:firstLine="708"/>
        <w:jc w:val="both"/>
        <w:rPr>
          <w:rFonts w:ascii="Arial" w:hAnsi="Arial" w:cs="Arial"/>
          <w:color w:val="000000" w:themeColor="text1"/>
          <w:lang w:val="es-ES"/>
        </w:rPr>
      </w:pPr>
      <w:bookmarkStart w:id="10" w:name="_Hlk74855276"/>
      <w:bookmarkStart w:id="11" w:name="_Hlk77082342"/>
      <w:r w:rsidRPr="00563492">
        <w:rPr>
          <w:rFonts w:ascii="Arial" w:hAnsi="Arial" w:cs="Arial"/>
          <w:color w:val="000000" w:themeColor="text1"/>
          <w:lang w:val="es-ES"/>
        </w:rPr>
        <w:t>El artículo 63 d</w:t>
      </w:r>
      <w:bookmarkEnd w:id="10"/>
      <w:r w:rsidRPr="00563492">
        <w:rPr>
          <w:rFonts w:ascii="Arial" w:hAnsi="Arial" w:cs="Arial"/>
          <w:color w:val="000000" w:themeColor="text1"/>
          <w:lang w:val="es-ES"/>
        </w:rPr>
        <w:t xml:space="preserve">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7E63C2D5" w14:textId="77777777" w:rsidR="00BC741C" w:rsidRPr="00563492" w:rsidRDefault="00BC741C" w:rsidP="00BC741C">
      <w:pPr>
        <w:widowControl w:val="0"/>
        <w:autoSpaceDE w:val="0"/>
        <w:autoSpaceDN w:val="0"/>
        <w:spacing w:after="120" w:line="276" w:lineRule="auto"/>
        <w:ind w:firstLine="708"/>
        <w:jc w:val="both"/>
        <w:rPr>
          <w:rFonts w:ascii="Arial" w:hAnsi="Arial" w:cs="Arial"/>
          <w:color w:val="000000" w:themeColor="text1"/>
          <w:lang w:val="es-ES"/>
        </w:rPr>
      </w:pPr>
      <w:r w:rsidRPr="00563492">
        <w:rPr>
          <w:rFonts w:ascii="Arial" w:hAnsi="Arial" w:cs="Arial"/>
          <w:color w:val="000000" w:themeColor="text1"/>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bookmarkEnd w:id="11"/>
    <w:p w14:paraId="543655EC" w14:textId="77777777" w:rsidR="00BC741C" w:rsidRPr="00563492" w:rsidRDefault="00BC741C" w:rsidP="00BC741C">
      <w:pPr>
        <w:widowControl w:val="0"/>
        <w:autoSpaceDE w:val="0"/>
        <w:autoSpaceDN w:val="0"/>
        <w:spacing w:after="120" w:line="276" w:lineRule="auto"/>
        <w:ind w:firstLine="708"/>
        <w:jc w:val="both"/>
        <w:rPr>
          <w:rFonts w:ascii="Arial" w:hAnsi="Arial" w:cs="Arial"/>
          <w:color w:val="000000" w:themeColor="text1"/>
          <w:lang w:val="es-ES"/>
        </w:rPr>
      </w:pPr>
      <w:r w:rsidRPr="00563492">
        <w:rPr>
          <w:rFonts w:ascii="Arial" w:hAnsi="Arial" w:cs="Arial"/>
          <w:color w:val="000000" w:themeColor="text1"/>
          <w:lang w:val="es-ES"/>
        </w:rPr>
        <w:t>La Corte Constitucional, al estudiar la constitucionalidad del artículo 63 de la Ley 397 de 1997</w:t>
      </w:r>
      <w:r w:rsidRPr="00563492">
        <w:rPr>
          <w:rFonts w:ascii="Arial" w:hAnsi="Arial" w:cs="Arial"/>
          <w:color w:val="000000" w:themeColor="text1"/>
          <w:vertAlign w:val="superscript"/>
          <w:lang w:val="es-ES"/>
        </w:rPr>
        <w:footnoteReference w:id="5"/>
      </w:r>
      <w:r w:rsidRPr="00563492">
        <w:rPr>
          <w:rFonts w:ascii="Arial" w:hAnsi="Arial" w:cs="Arial"/>
          <w:color w:val="000000" w:themeColor="text1"/>
          <w:lang w:val="es-ES"/>
        </w:rPr>
        <w:t>, lo encontró ajustado a la Constitución Política, por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438B11FB" w14:textId="77777777" w:rsidR="00BC741C" w:rsidRPr="00563492" w:rsidRDefault="00BC741C" w:rsidP="003A31B8">
      <w:pPr>
        <w:widowControl w:val="0"/>
        <w:autoSpaceDE w:val="0"/>
        <w:autoSpaceDN w:val="0"/>
        <w:spacing w:after="0" w:line="276" w:lineRule="auto"/>
        <w:ind w:firstLine="708"/>
        <w:jc w:val="both"/>
        <w:rPr>
          <w:rFonts w:ascii="Arial" w:hAnsi="Arial" w:cs="Arial"/>
          <w:color w:val="000000" w:themeColor="text1"/>
          <w:lang w:val="es-ES"/>
        </w:rPr>
      </w:pPr>
      <w:r w:rsidRPr="00563492">
        <w:rPr>
          <w:rFonts w:ascii="Arial" w:hAnsi="Arial" w:cs="Arial"/>
          <w:color w:val="000000" w:themeColor="text1"/>
          <w:lang w:val="es-ES"/>
        </w:rPr>
        <w:t xml:space="preserve">La Corte Constitucional también los diferenció de los fondos cuenta creados por el legislador como un mecanismo de manejo de recursos públicos para el cumplimiento de un fin específico y que son administrados por un ente público bajo el régimen aplicable a este último. Al respecto, el Alto Tribunal consideró lo siguiente: </w:t>
      </w:r>
    </w:p>
    <w:p w14:paraId="493D9C74" w14:textId="29CC1435" w:rsidR="00BC741C" w:rsidRPr="00563492" w:rsidRDefault="00BC741C" w:rsidP="003A31B8">
      <w:pPr>
        <w:widowControl w:val="0"/>
        <w:tabs>
          <w:tab w:val="left" w:pos="2197"/>
        </w:tabs>
        <w:autoSpaceDE w:val="0"/>
        <w:autoSpaceDN w:val="0"/>
        <w:spacing w:after="0" w:line="276" w:lineRule="auto"/>
        <w:jc w:val="both"/>
        <w:rPr>
          <w:rFonts w:ascii="Arial" w:hAnsi="Arial" w:cs="Arial"/>
          <w:color w:val="000000" w:themeColor="text1"/>
          <w:sz w:val="21"/>
          <w:szCs w:val="21"/>
          <w:lang w:val="es-ES"/>
        </w:rPr>
      </w:pPr>
      <w:r w:rsidRPr="00563492">
        <w:rPr>
          <w:rFonts w:ascii="Arial" w:hAnsi="Arial" w:cs="Arial"/>
          <w:color w:val="000000" w:themeColor="text1"/>
          <w:sz w:val="21"/>
          <w:szCs w:val="21"/>
          <w:lang w:val="es-ES"/>
        </w:rPr>
        <w:t xml:space="preserve"> </w:t>
      </w:r>
    </w:p>
    <w:p w14:paraId="5BA7F8E9" w14:textId="1D587B79" w:rsidR="00BC741C" w:rsidRPr="00563492" w:rsidRDefault="004278A8" w:rsidP="004278A8">
      <w:pPr>
        <w:spacing w:after="0" w:line="240" w:lineRule="auto"/>
        <w:ind w:left="709" w:right="709"/>
        <w:jc w:val="both"/>
        <w:rPr>
          <w:rFonts w:ascii="Arial" w:hAnsi="Arial" w:cs="Arial"/>
          <w:color w:val="000000" w:themeColor="text1"/>
          <w:sz w:val="20"/>
          <w:szCs w:val="20"/>
        </w:rPr>
      </w:pPr>
      <w:r w:rsidRPr="00563492">
        <w:rPr>
          <w:rFonts w:ascii="Arial" w:hAnsi="Arial" w:cs="Arial"/>
          <w:color w:val="000000" w:themeColor="text1"/>
          <w:sz w:val="20"/>
          <w:szCs w:val="20"/>
        </w:rPr>
        <w:t>“</w:t>
      </w:r>
      <w:r w:rsidR="00BC741C" w:rsidRPr="00563492">
        <w:rPr>
          <w:rFonts w:ascii="Arial" w:hAnsi="Arial" w:cs="Arial"/>
          <w:color w:val="000000" w:themeColor="text1"/>
          <w:sz w:val="20"/>
          <w:szCs w:val="20"/>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 Cultura.</w:t>
      </w:r>
    </w:p>
    <w:p w14:paraId="5B778997" w14:textId="77777777" w:rsidR="004278A8" w:rsidRPr="00563492" w:rsidRDefault="004278A8" w:rsidP="003A31B8">
      <w:pPr>
        <w:spacing w:after="0" w:line="240" w:lineRule="auto"/>
        <w:ind w:left="709" w:right="709"/>
        <w:jc w:val="both"/>
        <w:rPr>
          <w:rFonts w:ascii="Arial" w:hAnsi="Arial" w:cs="Arial"/>
          <w:color w:val="000000" w:themeColor="text1"/>
          <w:sz w:val="20"/>
          <w:szCs w:val="20"/>
        </w:rPr>
      </w:pPr>
    </w:p>
    <w:p w14:paraId="185C7B3E" w14:textId="1A6C3815" w:rsidR="00BC741C" w:rsidRPr="00563492" w:rsidRDefault="00BC741C" w:rsidP="003A31B8">
      <w:pPr>
        <w:spacing w:after="0" w:line="240" w:lineRule="auto"/>
        <w:ind w:left="709" w:right="709"/>
        <w:jc w:val="both"/>
        <w:rPr>
          <w:rFonts w:ascii="Arial" w:hAnsi="Arial" w:cs="Arial"/>
          <w:color w:val="000000" w:themeColor="text1"/>
          <w:sz w:val="20"/>
          <w:szCs w:val="20"/>
        </w:rPr>
      </w:pPr>
      <w:r w:rsidRPr="00563492">
        <w:rPr>
          <w:rFonts w:ascii="Arial" w:hAnsi="Arial" w:cs="Arial"/>
          <w:color w:val="000000" w:themeColor="text1"/>
          <w:sz w:val="20"/>
          <w:szCs w:val="20"/>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 jurídica</w:t>
      </w:r>
      <w:r w:rsidR="004278A8" w:rsidRPr="00563492">
        <w:rPr>
          <w:rFonts w:ascii="Arial" w:hAnsi="Arial" w:cs="Arial"/>
          <w:color w:val="000000" w:themeColor="text1"/>
          <w:sz w:val="20"/>
          <w:szCs w:val="20"/>
        </w:rPr>
        <w:t>”</w:t>
      </w:r>
      <w:r w:rsidRPr="00563492">
        <w:rPr>
          <w:rFonts w:ascii="Arial" w:hAnsi="Arial" w:cs="Arial"/>
          <w:color w:val="000000" w:themeColor="text1"/>
          <w:sz w:val="20"/>
          <w:szCs w:val="20"/>
          <w:vertAlign w:val="superscript"/>
        </w:rPr>
        <w:footnoteReference w:id="6"/>
      </w:r>
      <w:r w:rsidRPr="00563492">
        <w:rPr>
          <w:rFonts w:ascii="Arial" w:hAnsi="Arial" w:cs="Arial"/>
          <w:color w:val="000000" w:themeColor="text1"/>
          <w:sz w:val="20"/>
          <w:szCs w:val="20"/>
        </w:rPr>
        <w:t xml:space="preserve">. </w:t>
      </w:r>
    </w:p>
    <w:p w14:paraId="72787BDE" w14:textId="77777777" w:rsidR="004278A8" w:rsidRPr="00563492" w:rsidRDefault="004278A8" w:rsidP="00BC741C">
      <w:pPr>
        <w:widowControl w:val="0"/>
        <w:autoSpaceDE w:val="0"/>
        <w:autoSpaceDN w:val="0"/>
        <w:spacing w:line="276" w:lineRule="auto"/>
        <w:ind w:firstLine="709"/>
        <w:jc w:val="both"/>
        <w:rPr>
          <w:rFonts w:ascii="Arial" w:hAnsi="Arial" w:cs="Arial"/>
          <w:color w:val="000000" w:themeColor="text1"/>
          <w:lang w:val="es-ES"/>
        </w:rPr>
      </w:pPr>
    </w:p>
    <w:p w14:paraId="619CD102" w14:textId="216673E2" w:rsidR="00BC741C" w:rsidRPr="00563492" w:rsidRDefault="00BC741C" w:rsidP="00BC741C">
      <w:pPr>
        <w:widowControl w:val="0"/>
        <w:autoSpaceDE w:val="0"/>
        <w:autoSpaceDN w:val="0"/>
        <w:spacing w:line="276" w:lineRule="auto"/>
        <w:ind w:firstLine="709"/>
        <w:jc w:val="both"/>
        <w:rPr>
          <w:rFonts w:ascii="Arial" w:hAnsi="Arial" w:cs="Arial"/>
          <w:color w:val="000000" w:themeColor="text1"/>
          <w:lang w:val="es-ES"/>
        </w:rPr>
      </w:pPr>
      <w:r w:rsidRPr="00563492">
        <w:rPr>
          <w:rFonts w:ascii="Arial" w:hAnsi="Arial" w:cs="Arial"/>
          <w:color w:val="000000" w:themeColor="text1"/>
          <w:lang w:val="es-ES"/>
        </w:rPr>
        <w:t xml:space="preserve">Debe señalarse que 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3D6D42AA" w14:textId="27C0D88E" w:rsidR="00BC741C" w:rsidRPr="00563492" w:rsidRDefault="004278A8" w:rsidP="004278A8">
      <w:pPr>
        <w:widowControl w:val="0"/>
        <w:autoSpaceDE w:val="0"/>
        <w:autoSpaceDN w:val="0"/>
        <w:spacing w:after="0" w:line="240" w:lineRule="auto"/>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w:t>
      </w:r>
      <w:r w:rsidR="00BC741C" w:rsidRPr="00563492">
        <w:rPr>
          <w:rFonts w:ascii="Arial" w:hAnsi="Arial" w:cs="Arial"/>
          <w:color w:val="000000" w:themeColor="text1"/>
          <w:sz w:val="20"/>
          <w:szCs w:val="20"/>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7A7C8D04" w14:textId="77777777" w:rsidR="004278A8" w:rsidRPr="00563492" w:rsidRDefault="004278A8" w:rsidP="003A31B8">
      <w:pPr>
        <w:widowControl w:val="0"/>
        <w:autoSpaceDE w:val="0"/>
        <w:autoSpaceDN w:val="0"/>
        <w:spacing w:after="0" w:line="240" w:lineRule="auto"/>
        <w:ind w:left="709" w:right="709"/>
        <w:jc w:val="both"/>
        <w:rPr>
          <w:rFonts w:ascii="Arial" w:hAnsi="Arial" w:cs="Arial"/>
          <w:color w:val="000000" w:themeColor="text1"/>
          <w:sz w:val="20"/>
          <w:szCs w:val="20"/>
          <w:lang w:val="es-ES"/>
        </w:rPr>
      </w:pPr>
    </w:p>
    <w:p w14:paraId="4BA54F97" w14:textId="77777777" w:rsidR="00BC741C" w:rsidRPr="00563492" w:rsidRDefault="00BC741C" w:rsidP="003A31B8">
      <w:pPr>
        <w:widowControl w:val="0"/>
        <w:autoSpaceDE w:val="0"/>
        <w:autoSpaceDN w:val="0"/>
        <w:spacing w:after="0" w:line="240" w:lineRule="auto"/>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 xml:space="preserve">Artículo 2.2.2.2. Fondos Mixtos de Territorios Indígenas. Los Fondos Mixtos de los Territorios Indígenas sólo podrán crearse cuando se expida la Ley de Ordenamiento Territorial a que se refiere el artículo 329 de la Constitución Política. </w:t>
      </w:r>
    </w:p>
    <w:p w14:paraId="003AA515" w14:textId="77777777" w:rsidR="004278A8" w:rsidRPr="00563492" w:rsidRDefault="004278A8" w:rsidP="004278A8">
      <w:pPr>
        <w:widowControl w:val="0"/>
        <w:autoSpaceDE w:val="0"/>
        <w:autoSpaceDN w:val="0"/>
        <w:spacing w:after="0" w:line="240" w:lineRule="auto"/>
        <w:ind w:left="709" w:right="709"/>
        <w:jc w:val="both"/>
        <w:rPr>
          <w:rFonts w:ascii="Arial" w:hAnsi="Arial" w:cs="Arial"/>
          <w:color w:val="000000" w:themeColor="text1"/>
          <w:sz w:val="20"/>
          <w:szCs w:val="20"/>
          <w:lang w:val="es-ES"/>
        </w:rPr>
      </w:pPr>
    </w:p>
    <w:p w14:paraId="1B11452D" w14:textId="7B943824" w:rsidR="00BC741C" w:rsidRPr="00563492" w:rsidRDefault="00BC741C" w:rsidP="003A31B8">
      <w:pPr>
        <w:widowControl w:val="0"/>
        <w:autoSpaceDE w:val="0"/>
        <w:autoSpaceDN w:val="0"/>
        <w:spacing w:after="0" w:line="240" w:lineRule="auto"/>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w:t>
      </w:r>
    </w:p>
    <w:p w14:paraId="6ADA5B5C" w14:textId="77777777" w:rsidR="004278A8" w:rsidRPr="00563492" w:rsidRDefault="004278A8" w:rsidP="004278A8">
      <w:pPr>
        <w:widowControl w:val="0"/>
        <w:autoSpaceDE w:val="0"/>
        <w:autoSpaceDN w:val="0"/>
        <w:spacing w:after="0" w:line="240" w:lineRule="auto"/>
        <w:ind w:left="709" w:right="709"/>
        <w:jc w:val="both"/>
        <w:rPr>
          <w:rFonts w:ascii="Arial" w:hAnsi="Arial" w:cs="Arial"/>
          <w:color w:val="000000" w:themeColor="text1"/>
          <w:sz w:val="20"/>
          <w:szCs w:val="20"/>
          <w:lang w:val="es-ES"/>
        </w:rPr>
      </w:pPr>
    </w:p>
    <w:p w14:paraId="5248AA61" w14:textId="5909DFC5" w:rsidR="00BC741C" w:rsidRPr="00563492" w:rsidRDefault="00BC741C" w:rsidP="003A31B8">
      <w:pPr>
        <w:widowControl w:val="0"/>
        <w:autoSpaceDE w:val="0"/>
        <w:autoSpaceDN w:val="0"/>
        <w:spacing w:after="0" w:line="240" w:lineRule="auto"/>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r w:rsidR="004278A8" w:rsidRPr="00563492">
        <w:rPr>
          <w:rFonts w:ascii="Arial" w:hAnsi="Arial" w:cs="Arial"/>
          <w:color w:val="000000" w:themeColor="text1"/>
          <w:sz w:val="20"/>
          <w:szCs w:val="20"/>
          <w:lang w:val="es-ES"/>
        </w:rPr>
        <w:t>"</w:t>
      </w:r>
      <w:r w:rsidRPr="00563492">
        <w:rPr>
          <w:rFonts w:ascii="Arial" w:hAnsi="Arial" w:cs="Arial"/>
          <w:color w:val="000000" w:themeColor="text1"/>
          <w:sz w:val="20"/>
          <w:szCs w:val="20"/>
          <w:lang w:val="es-ES"/>
        </w:rPr>
        <w:t>.</w:t>
      </w:r>
    </w:p>
    <w:p w14:paraId="37C6B152" w14:textId="77777777" w:rsidR="004278A8" w:rsidRPr="00563492" w:rsidRDefault="004278A8" w:rsidP="003A31B8">
      <w:pPr>
        <w:widowControl w:val="0"/>
        <w:autoSpaceDE w:val="0"/>
        <w:autoSpaceDN w:val="0"/>
        <w:spacing w:after="0" w:line="276" w:lineRule="auto"/>
        <w:ind w:firstLine="709"/>
        <w:jc w:val="both"/>
        <w:rPr>
          <w:rFonts w:ascii="Arial" w:hAnsi="Arial" w:cs="Arial"/>
          <w:color w:val="000000" w:themeColor="text1"/>
          <w:lang w:val="es-ES"/>
        </w:rPr>
      </w:pPr>
      <w:bookmarkStart w:id="12" w:name="_Hlk77948933"/>
      <w:bookmarkStart w:id="13" w:name="_Hlk77082747"/>
    </w:p>
    <w:p w14:paraId="1DE20F45" w14:textId="460B3A41" w:rsidR="00BC741C" w:rsidRPr="00563492" w:rsidRDefault="00BC741C" w:rsidP="00BC741C">
      <w:pPr>
        <w:widowControl w:val="0"/>
        <w:autoSpaceDE w:val="0"/>
        <w:autoSpaceDN w:val="0"/>
        <w:spacing w:after="120" w:line="276" w:lineRule="auto"/>
        <w:ind w:firstLine="709"/>
        <w:jc w:val="both"/>
        <w:rPr>
          <w:rFonts w:ascii="Arial" w:hAnsi="Arial" w:cs="Arial"/>
          <w:color w:val="000000" w:themeColor="text1"/>
          <w:lang w:val="es-ES"/>
        </w:rPr>
      </w:pPr>
      <w:r w:rsidRPr="00563492">
        <w:rPr>
          <w:rFonts w:ascii="Arial" w:hAnsi="Arial" w:cs="Arial"/>
          <w:color w:val="000000" w:themeColor="text1"/>
          <w:lang w:val="es-ES"/>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w:t>
      </w:r>
    </w:p>
    <w:p w14:paraId="04709A52" w14:textId="77777777" w:rsidR="00BC741C" w:rsidRPr="00563492" w:rsidRDefault="00BC741C" w:rsidP="00BC741C">
      <w:pPr>
        <w:widowControl w:val="0"/>
        <w:autoSpaceDE w:val="0"/>
        <w:autoSpaceDN w:val="0"/>
        <w:spacing w:line="276" w:lineRule="auto"/>
        <w:ind w:firstLine="709"/>
        <w:jc w:val="both"/>
        <w:rPr>
          <w:rFonts w:ascii="Arial" w:hAnsi="Arial" w:cs="Arial"/>
          <w:color w:val="000000" w:themeColor="text1"/>
          <w:lang w:val="es-ES"/>
        </w:rPr>
      </w:pPr>
      <w:bookmarkStart w:id="14" w:name="_Hlk77082647"/>
      <w:bookmarkEnd w:id="12"/>
      <w:r w:rsidRPr="00563492">
        <w:rPr>
          <w:rFonts w:ascii="Arial" w:hAnsi="Arial" w:cs="Arial"/>
          <w:color w:val="000000" w:themeColor="text1"/>
          <w:lang w:val="es-ES"/>
        </w:rPr>
        <w:t xml:space="preserve">La Corte Constitucional, en la sentencia C-230 de 1995, al estudiar la naturaleza jurídica de los fondos para la promoción de la cultura y de las artes, a pesar de su naturaleza mixta y su sometimiento al derecho privado, ha establecido que estos constituyen entidades descentralizadas indirectas o de segundo orden de conformidad con el artículo 96 de la Ley 489 de 1998. </w:t>
      </w:r>
      <w:bookmarkEnd w:id="13"/>
      <w:r w:rsidRPr="00563492">
        <w:rPr>
          <w:rFonts w:ascii="Arial" w:hAnsi="Arial" w:cs="Arial"/>
          <w:color w:val="000000" w:themeColor="text1"/>
          <w:lang w:val="es-ES"/>
        </w:rPr>
        <w:t xml:space="preserve">En relación con ese punto, esa Corporación sostuvo: </w:t>
      </w:r>
    </w:p>
    <w:bookmarkEnd w:id="14"/>
    <w:p w14:paraId="2A2A9407" w14:textId="3EF825D6" w:rsidR="00BC741C" w:rsidRPr="00563492" w:rsidRDefault="00BC741C" w:rsidP="00BC741C">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001E9A91" w14:textId="77777777" w:rsidR="004278A8" w:rsidRPr="00563492" w:rsidRDefault="004278A8" w:rsidP="003A31B8">
      <w:pPr>
        <w:widowControl w:val="0"/>
        <w:autoSpaceDE w:val="0"/>
        <w:autoSpaceDN w:val="0"/>
        <w:spacing w:after="0"/>
        <w:ind w:left="709" w:right="709"/>
        <w:jc w:val="both"/>
        <w:rPr>
          <w:rFonts w:ascii="Arial" w:hAnsi="Arial" w:cs="Arial"/>
          <w:color w:val="000000" w:themeColor="text1"/>
          <w:sz w:val="20"/>
          <w:szCs w:val="20"/>
          <w:lang w:val="es-ES"/>
        </w:rPr>
      </w:pPr>
    </w:p>
    <w:p w14:paraId="72D3A7BE" w14:textId="77777777" w:rsidR="00BC741C" w:rsidRPr="00563492" w:rsidRDefault="00BC741C" w:rsidP="003A31B8">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 xml:space="preserve">La ley 80 de 1993 sometió a las corporaciones y fundaciones, en las cuales el Estado tenga una participación mayoritaria (art. 2o., ord. 1o, lit. a.), a las reglas principios de la contratación de la administración pública y para ello las reconoció en el literal a) del ordinal 1 del art. 2 de dicha ley como entidades estatales. </w:t>
      </w:r>
    </w:p>
    <w:p w14:paraId="3CD708A7" w14:textId="77777777" w:rsidR="00BC741C" w:rsidRPr="00563492" w:rsidRDefault="00BC741C" w:rsidP="003A31B8">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w:t>
      </w:r>
    </w:p>
    <w:p w14:paraId="148F7886" w14:textId="77777777" w:rsidR="00BC741C" w:rsidRPr="00563492" w:rsidRDefault="00BC741C" w:rsidP="003A31B8">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5F0F6001" w14:textId="77777777" w:rsidR="00BC741C" w:rsidRPr="00563492" w:rsidRDefault="00BC741C" w:rsidP="003A31B8">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w:t>
      </w:r>
    </w:p>
    <w:p w14:paraId="7C2FC07F" w14:textId="662AD89C" w:rsidR="00BC741C" w:rsidRPr="00563492" w:rsidRDefault="00BC741C" w:rsidP="00BC741C">
      <w:pPr>
        <w:widowControl w:val="0"/>
        <w:autoSpaceDE w:val="0"/>
        <w:autoSpaceDN w:val="0"/>
        <w:spacing w:after="0"/>
        <w:ind w:left="709" w:right="709"/>
        <w:jc w:val="both"/>
        <w:rPr>
          <w:rFonts w:ascii="Arial" w:hAnsi="Arial" w:cs="Arial"/>
          <w:color w:val="000000" w:themeColor="text1"/>
          <w:sz w:val="20"/>
          <w:szCs w:val="20"/>
          <w:lang w:val="es-ES"/>
        </w:rPr>
      </w:pPr>
      <w:r w:rsidRPr="00563492">
        <w:rPr>
          <w:rFonts w:ascii="Arial" w:hAnsi="Arial" w:cs="Arial"/>
          <w:color w:val="000000" w:themeColor="text1"/>
          <w:sz w:val="20"/>
          <w:szCs w:val="20"/>
          <w:lang w:val="es-ES"/>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 entrega a título de aporte o participación bienes o recursos públicos”</w:t>
      </w:r>
      <w:r w:rsidRPr="00563492">
        <w:rPr>
          <w:rFonts w:ascii="Arial" w:hAnsi="Arial" w:cs="Arial"/>
          <w:color w:val="000000" w:themeColor="text1"/>
          <w:sz w:val="20"/>
          <w:szCs w:val="20"/>
          <w:vertAlign w:val="superscript"/>
          <w:lang w:val="es-ES"/>
        </w:rPr>
        <w:footnoteReference w:id="7"/>
      </w:r>
      <w:r w:rsidRPr="00563492">
        <w:rPr>
          <w:rFonts w:ascii="Arial" w:hAnsi="Arial" w:cs="Arial"/>
          <w:color w:val="000000" w:themeColor="text1"/>
          <w:sz w:val="20"/>
          <w:szCs w:val="20"/>
          <w:lang w:val="es-ES"/>
        </w:rPr>
        <w:t>.</w:t>
      </w:r>
    </w:p>
    <w:p w14:paraId="3AC35982" w14:textId="77777777" w:rsidR="00BC741C" w:rsidRPr="00563492" w:rsidRDefault="00BC741C" w:rsidP="003A31B8">
      <w:pPr>
        <w:widowControl w:val="0"/>
        <w:autoSpaceDE w:val="0"/>
        <w:autoSpaceDN w:val="0"/>
        <w:spacing w:after="0"/>
        <w:ind w:left="709" w:right="709"/>
        <w:jc w:val="both"/>
        <w:rPr>
          <w:rFonts w:ascii="Arial" w:hAnsi="Arial" w:cs="Arial"/>
          <w:color w:val="000000" w:themeColor="text1"/>
          <w:sz w:val="20"/>
          <w:szCs w:val="20"/>
          <w:lang w:val="es-ES"/>
        </w:rPr>
      </w:pPr>
    </w:p>
    <w:p w14:paraId="37531890" w14:textId="77777777" w:rsidR="00BC741C" w:rsidRPr="00563492" w:rsidRDefault="00BC741C" w:rsidP="00BC741C">
      <w:pPr>
        <w:widowControl w:val="0"/>
        <w:autoSpaceDE w:val="0"/>
        <w:autoSpaceDN w:val="0"/>
        <w:spacing w:after="120" w:line="276" w:lineRule="auto"/>
        <w:ind w:firstLine="709"/>
        <w:jc w:val="both"/>
        <w:rPr>
          <w:rFonts w:ascii="Arial" w:hAnsi="Arial" w:cs="Arial"/>
          <w:color w:val="000000" w:themeColor="text1"/>
          <w:lang w:val="es-ES"/>
        </w:rPr>
      </w:pPr>
      <w:bookmarkStart w:id="15" w:name="_Hlk77948965"/>
      <w:bookmarkStart w:id="16" w:name="_Hlk77084284"/>
      <w:r w:rsidRPr="00563492">
        <w:rPr>
          <w:rFonts w:ascii="Arial" w:hAnsi="Arial" w:cs="Arial"/>
          <w:color w:val="000000" w:themeColor="text1"/>
          <w:lang w:val="es-ES"/>
        </w:rPr>
        <w:t>Así pues, los fondos mixtos para la promoción de la cultura y de las artes son personas jurídicas sin ánimo de lucro, regidas por el derecho privado principalmente; hacen parte de la estructura de la Administración, como entidades descentralizadas indirectas</w:t>
      </w:r>
      <w:r w:rsidRPr="00563492">
        <w:rPr>
          <w:rStyle w:val="Refdenotaalpie"/>
          <w:rFonts w:ascii="Arial" w:hAnsi="Arial" w:cs="Arial"/>
        </w:rPr>
        <w:footnoteReference w:id="8"/>
      </w:r>
      <w:r w:rsidRPr="00563492">
        <w:rPr>
          <w:rFonts w:ascii="Arial" w:hAnsi="Arial" w:cs="Arial"/>
          <w:color w:val="000000" w:themeColor="text1"/>
          <w:lang w:val="es-ES"/>
        </w:rPr>
        <w:t xml:space="preserve">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bookmarkEnd w:id="15"/>
    <w:p w14:paraId="09E21DFD" w14:textId="77777777" w:rsidR="00BC741C" w:rsidRPr="00563492" w:rsidRDefault="00BC741C" w:rsidP="00BC741C">
      <w:pPr>
        <w:widowControl w:val="0"/>
        <w:autoSpaceDE w:val="0"/>
        <w:autoSpaceDN w:val="0"/>
        <w:spacing w:after="120" w:line="276" w:lineRule="auto"/>
        <w:ind w:firstLine="709"/>
        <w:jc w:val="both"/>
        <w:rPr>
          <w:rFonts w:ascii="Arial" w:hAnsi="Arial" w:cs="Arial"/>
          <w:color w:val="000000" w:themeColor="text1"/>
          <w:lang w:val="es-ES"/>
        </w:rPr>
      </w:pPr>
      <w:r w:rsidRPr="00563492">
        <w:rPr>
          <w:rFonts w:ascii="Arial" w:hAnsi="Arial" w:cs="Arial"/>
          <w:color w:val="000000" w:themeColor="text1"/>
          <w:lang w:val="es-ES"/>
        </w:rPr>
        <w:t xml:space="preserve"> </w:t>
      </w:r>
      <w:bookmarkStart w:id="17" w:name="_Hlk77949006"/>
      <w:bookmarkEnd w:id="16"/>
      <w:r w:rsidRPr="00563492">
        <w:rPr>
          <w:rFonts w:ascii="Arial" w:hAnsi="Arial" w:cs="Arial"/>
          <w:color w:val="000000" w:themeColor="text1"/>
          <w:lang w:val="es-ES" w:eastAsia="es-ES" w:bidi="es-ES"/>
        </w:rPr>
        <w:t>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w:t>
      </w:r>
      <w:r w:rsidRPr="00563492">
        <w:rPr>
          <w:rFonts w:ascii="Arial" w:hAnsi="Arial" w:cs="Arial"/>
          <w:color w:val="000000" w:themeColor="text1"/>
          <w:vertAlign w:val="superscript"/>
          <w:lang w:val="es-ES" w:eastAsia="es-ES" w:bidi="es-ES"/>
        </w:rPr>
        <w:footnoteReference w:id="9"/>
      </w:r>
      <w:r w:rsidRPr="00563492">
        <w:rPr>
          <w:rFonts w:ascii="Arial" w:hAnsi="Arial" w:cs="Arial"/>
          <w:color w:val="000000" w:themeColor="text1"/>
          <w:lang w:val="es-ES" w:eastAsia="es-ES" w:bidi="es-ES"/>
        </w:rPr>
        <w:t>, de conformidad con el artículo 13 de la Ley 1150 de 2007</w:t>
      </w:r>
      <w:r w:rsidRPr="00563492">
        <w:rPr>
          <w:rFonts w:ascii="Arial" w:hAnsi="Arial" w:cs="Arial"/>
          <w:color w:val="000000" w:themeColor="text1"/>
          <w:vertAlign w:val="superscript"/>
          <w:lang w:val="es-ES" w:eastAsia="es-ES" w:bidi="es-ES"/>
        </w:rPr>
        <w:footnoteReference w:id="10"/>
      </w:r>
      <w:r w:rsidRPr="00563492">
        <w:rPr>
          <w:rFonts w:ascii="Arial" w:hAnsi="Arial" w:cs="Arial"/>
          <w:color w:val="000000" w:themeColor="text1"/>
          <w:lang w:val="es-ES" w:eastAsia="es-ES" w:bidi="es-ES"/>
        </w:rPr>
        <w:t xml:space="preserve">. </w:t>
      </w:r>
    </w:p>
    <w:bookmarkEnd w:id="17"/>
    <w:p w14:paraId="42A525F0" w14:textId="77777777" w:rsidR="00BC741C" w:rsidRPr="00563492" w:rsidRDefault="00BC741C" w:rsidP="00BC741C">
      <w:pPr>
        <w:widowControl w:val="0"/>
        <w:autoSpaceDE w:val="0"/>
        <w:autoSpaceDN w:val="0"/>
        <w:spacing w:after="120" w:line="276" w:lineRule="auto"/>
        <w:ind w:firstLine="709"/>
        <w:jc w:val="both"/>
        <w:rPr>
          <w:rFonts w:ascii="Arial" w:hAnsi="Arial" w:cs="Arial"/>
          <w:color w:val="000000" w:themeColor="text1"/>
          <w:lang w:val="es-ES"/>
        </w:rPr>
      </w:pPr>
      <w:r w:rsidRPr="00563492">
        <w:rPr>
          <w:rFonts w:ascii="Arial" w:hAnsi="Arial" w:cs="Arial"/>
          <w:color w:val="000000" w:themeColor="text1"/>
          <w:lang w:val="es-ES"/>
        </w:rPr>
        <w:t>La jurisprudencia del Consejo de Estado se ha pronunciado sobre la imbricación de ordenamientos que confluyen en el régimen contractual de las entidades excluidas del Estatuto General de Contratación de la Administración Pública y ha considerado que el régimen sustantivo del contrato ―derecho privado― no desvanece el sometimiento de la Administración al principio de legalidad y a los principios constitucionales.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563492">
        <w:rPr>
          <w:rFonts w:ascii="Arial" w:hAnsi="Arial" w:cs="Arial"/>
          <w:color w:val="000000" w:themeColor="text1"/>
          <w:vertAlign w:val="superscript"/>
          <w:lang w:val="es-ES"/>
        </w:rPr>
        <w:footnoteReference w:id="11"/>
      </w:r>
      <w:r w:rsidRPr="00563492">
        <w:rPr>
          <w:rFonts w:ascii="Arial" w:hAnsi="Arial" w:cs="Arial"/>
          <w:color w:val="000000" w:themeColor="text1"/>
          <w:lang w:val="es-ES"/>
        </w:rPr>
        <w:t xml:space="preserve">.     </w:t>
      </w:r>
    </w:p>
    <w:p w14:paraId="54AD3669" w14:textId="77777777" w:rsidR="00BC741C" w:rsidRPr="00563492" w:rsidRDefault="00BC741C" w:rsidP="00DC6545">
      <w:pPr>
        <w:widowControl w:val="0"/>
        <w:autoSpaceDE w:val="0"/>
        <w:autoSpaceDN w:val="0"/>
        <w:spacing w:after="0" w:line="276" w:lineRule="auto"/>
        <w:ind w:firstLine="709"/>
        <w:jc w:val="both"/>
        <w:rPr>
          <w:rFonts w:ascii="Arial" w:hAnsi="Arial" w:cs="Arial"/>
          <w:color w:val="000000" w:themeColor="text1"/>
          <w:lang w:val="es-ES"/>
        </w:rPr>
      </w:pPr>
      <w:bookmarkStart w:id="18" w:name="_Hlk77949048"/>
      <w:r w:rsidRPr="00563492">
        <w:rPr>
          <w:rFonts w:ascii="Arial" w:hAnsi="Arial" w:cs="Arial"/>
          <w:color w:val="000000" w:themeColor="text1"/>
          <w:lang w:val="es-ES"/>
        </w:rPr>
        <w:t xml:space="preserve">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68525AB9" w14:textId="77777777" w:rsidR="00DC6545" w:rsidRPr="00563492" w:rsidRDefault="00DC6545" w:rsidP="003A31B8">
      <w:pPr>
        <w:widowControl w:val="0"/>
        <w:autoSpaceDE w:val="0"/>
        <w:autoSpaceDN w:val="0"/>
        <w:spacing w:after="0" w:line="276" w:lineRule="auto"/>
        <w:ind w:firstLine="709"/>
        <w:jc w:val="both"/>
        <w:rPr>
          <w:rFonts w:ascii="Arial" w:hAnsi="Arial" w:cs="Arial"/>
          <w:color w:val="000000" w:themeColor="text1"/>
          <w:lang w:val="es-ES"/>
        </w:rPr>
      </w:pPr>
    </w:p>
    <w:p w14:paraId="4FE3A2A3" w14:textId="23F3D83D" w:rsidR="00DC6545" w:rsidRPr="00563492" w:rsidRDefault="00DC6545" w:rsidP="00DC6545">
      <w:pPr>
        <w:spacing w:after="0" w:line="276" w:lineRule="auto"/>
        <w:contextualSpacing/>
        <w:jc w:val="both"/>
        <w:rPr>
          <w:rFonts w:ascii="Arial" w:eastAsia="Arial" w:hAnsi="Arial" w:cs="Arial"/>
          <w:b/>
          <w:bCs/>
          <w:lang w:val="es-ES_tradnl" w:eastAsia="es-ES_tradnl"/>
        </w:rPr>
      </w:pPr>
      <w:r w:rsidRPr="00563492">
        <w:rPr>
          <w:rFonts w:ascii="Arial" w:eastAsia="Arial" w:hAnsi="Arial" w:cs="Arial"/>
          <w:b/>
          <w:bCs/>
          <w:lang w:val="es-ES_tradnl" w:eastAsia="es-ES_tradnl"/>
        </w:rPr>
        <w:t xml:space="preserve">2.2. </w:t>
      </w:r>
      <w:bookmarkStart w:id="19" w:name="_Hlk145440662"/>
      <w:r w:rsidRPr="00563492">
        <w:rPr>
          <w:rFonts w:ascii="Arial" w:eastAsia="Arial" w:hAnsi="Arial" w:cs="Arial"/>
          <w:b/>
          <w:bCs/>
          <w:lang w:val="es-ES_tradnl" w:eastAsia="es-ES_tradnl"/>
        </w:rPr>
        <w:t xml:space="preserve">Marco normativo de los contratos o convenios interadministrativos </w:t>
      </w:r>
      <w:bookmarkEnd w:id="19"/>
    </w:p>
    <w:p w14:paraId="6AE318F6" w14:textId="77777777" w:rsidR="00DC6545" w:rsidRPr="00563492" w:rsidRDefault="00DC6545" w:rsidP="00DC6545">
      <w:pPr>
        <w:spacing w:after="0" w:line="276" w:lineRule="auto"/>
        <w:contextualSpacing/>
        <w:jc w:val="both"/>
        <w:rPr>
          <w:rFonts w:ascii="Arial" w:eastAsia="Arial" w:hAnsi="Arial" w:cs="Arial"/>
          <w:b/>
          <w:bCs/>
          <w:lang w:val="es-ES_tradnl" w:eastAsia="es-ES_tradnl"/>
        </w:rPr>
      </w:pPr>
    </w:p>
    <w:p w14:paraId="254175BA" w14:textId="7D47EAD0" w:rsidR="00DC6545" w:rsidRPr="00563492" w:rsidRDefault="00DC6545" w:rsidP="00DC6545">
      <w:pPr>
        <w:spacing w:after="0" w:line="276" w:lineRule="auto"/>
        <w:jc w:val="both"/>
        <w:rPr>
          <w:rFonts w:ascii="Arial" w:eastAsiaTheme="minorEastAsia" w:hAnsi="Arial" w:cs="Arial"/>
          <w:lang w:eastAsia="es-CO"/>
        </w:rPr>
      </w:pPr>
      <w:bookmarkStart w:id="20" w:name="_Hlk78820161"/>
      <w:r w:rsidRPr="00563492">
        <w:rPr>
          <w:rFonts w:ascii="Arial" w:eastAsiaTheme="minorEastAsia" w:hAnsi="Arial" w:cs="Arial"/>
          <w:lang w:eastAsia="es-CO"/>
        </w:rPr>
        <w:t xml:space="preserve">La tipología del contrato o convenio interadministrativo fue creada en la Ley 80 de 1993, y el Decreto 1082 de 2015 la califica como aquella contratación entre </w:t>
      </w:r>
      <w:r w:rsidR="00574B02">
        <w:rPr>
          <w:rFonts w:ascii="Arial" w:eastAsiaTheme="minorEastAsia" w:hAnsi="Arial" w:cs="Arial"/>
          <w:lang w:eastAsia="es-CO"/>
        </w:rPr>
        <w:t>E</w:t>
      </w:r>
      <w:r w:rsidRPr="00563492">
        <w:rPr>
          <w:rFonts w:ascii="Arial" w:eastAsiaTheme="minorEastAsia" w:hAnsi="Arial" w:cs="Arial"/>
          <w:lang w:eastAsia="es-CO"/>
        </w:rPr>
        <w:t xml:space="preserve">ntidades </w:t>
      </w:r>
      <w:r w:rsidR="00574B02">
        <w:rPr>
          <w:rFonts w:ascii="Arial" w:eastAsiaTheme="minorEastAsia" w:hAnsi="Arial" w:cs="Arial"/>
          <w:lang w:eastAsia="es-CO"/>
        </w:rPr>
        <w:t>E</w:t>
      </w:r>
      <w:r w:rsidRPr="00563492">
        <w:rPr>
          <w:rFonts w:ascii="Arial" w:eastAsiaTheme="minorEastAsia" w:hAnsi="Arial" w:cs="Arial"/>
          <w:lang w:eastAsia="es-CO"/>
        </w:rPr>
        <w:t>statales</w:t>
      </w:r>
      <w:r w:rsidRPr="00563492">
        <w:rPr>
          <w:rFonts w:ascii="Arial" w:eastAsiaTheme="minorEastAsia" w:hAnsi="Arial" w:cs="Arial"/>
          <w:vertAlign w:val="superscript"/>
          <w:lang w:eastAsia="es-CO"/>
        </w:rPr>
        <w:footnoteReference w:id="12"/>
      </w:r>
      <w:r w:rsidRPr="00563492">
        <w:rPr>
          <w:rFonts w:ascii="Arial" w:eastAsiaTheme="minorEastAsia" w:hAnsi="Arial" w:cs="Arial"/>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63492">
        <w:rPr>
          <w:rFonts w:ascii="Arial" w:eastAsiaTheme="minorEastAsia" w:hAnsi="Arial" w:cs="Arial"/>
          <w:spacing w:val="-6"/>
          <w:lang w:eastAsia="es-CO"/>
        </w:rPr>
        <w:t xml:space="preserve"> </w:t>
      </w:r>
      <w:r w:rsidRPr="00563492">
        <w:rPr>
          <w:rFonts w:ascii="Arial" w:eastAsiaTheme="minorEastAsia" w:hAnsi="Arial" w:cs="Arial"/>
          <w:lang w:eastAsia="es-CO"/>
        </w:rPr>
        <w:t>estatales.</w:t>
      </w:r>
    </w:p>
    <w:p w14:paraId="5B4E2AD3" w14:textId="2EE30CE3" w:rsidR="00DC6545" w:rsidRPr="00563492" w:rsidRDefault="00DC6545" w:rsidP="00DC6545">
      <w:pPr>
        <w:spacing w:before="117" w:after="0" w:line="276" w:lineRule="auto"/>
        <w:ind w:firstLine="707"/>
        <w:jc w:val="both"/>
        <w:rPr>
          <w:rFonts w:ascii="Arial" w:eastAsiaTheme="minorEastAsia" w:hAnsi="Arial" w:cs="Arial"/>
          <w:lang w:eastAsia="es-CO"/>
        </w:rPr>
      </w:pPr>
      <w:bookmarkStart w:id="22" w:name="_Hlk78820654"/>
      <w:bookmarkEnd w:id="20"/>
      <w:r w:rsidRPr="00563492">
        <w:rPr>
          <w:rFonts w:ascii="Arial" w:eastAsiaTheme="minorEastAsia" w:hAnsi="Arial" w:cs="Arial"/>
          <w:lang w:eastAsia="es-CO"/>
        </w:rPr>
        <w:t xml:space="preserve">Si bien los contratos o convenios interadministrativos están previstos en la Ley 80 de 1993, en la Ley 1150 de 2007 y en el Decreto en el 1082 de 2015, no quiere decir que solo puedan celebrarse entre </w:t>
      </w:r>
      <w:r w:rsidR="00C01161">
        <w:rPr>
          <w:rFonts w:ascii="Arial" w:eastAsiaTheme="minorEastAsia" w:hAnsi="Arial" w:cs="Arial"/>
          <w:lang w:eastAsia="es-CO"/>
        </w:rPr>
        <w:t>E</w:t>
      </w:r>
      <w:r w:rsidRPr="00563492">
        <w:rPr>
          <w:rFonts w:ascii="Arial" w:eastAsiaTheme="minorEastAsia" w:hAnsi="Arial" w:cs="Arial"/>
          <w:lang w:eastAsia="es-CO"/>
        </w:rPr>
        <w:t xml:space="preserve">ntidades </w:t>
      </w:r>
      <w:r w:rsidR="00C01161">
        <w:rPr>
          <w:rFonts w:ascii="Arial" w:eastAsiaTheme="minorEastAsia" w:hAnsi="Arial" w:cs="Arial"/>
          <w:lang w:eastAsia="es-CO"/>
        </w:rPr>
        <w:t>E</w:t>
      </w:r>
      <w:r w:rsidRPr="00563492">
        <w:rPr>
          <w:rFonts w:ascii="Arial" w:eastAsiaTheme="minorEastAsia" w:hAnsi="Arial" w:cs="Arial"/>
          <w:lang w:eastAsia="es-CO"/>
        </w:rPr>
        <w:t xml:space="preserve">statales que apliquen el régimen de contratación allí previsto, pues bien puede una </w:t>
      </w:r>
      <w:r w:rsidR="00C01161">
        <w:rPr>
          <w:rFonts w:ascii="Arial" w:eastAsiaTheme="minorEastAsia" w:hAnsi="Arial" w:cs="Arial"/>
          <w:lang w:eastAsia="es-CO"/>
        </w:rPr>
        <w:t>E</w:t>
      </w:r>
      <w:r w:rsidRPr="00563492">
        <w:rPr>
          <w:rFonts w:ascii="Arial" w:eastAsiaTheme="minorEastAsia" w:hAnsi="Arial" w:cs="Arial"/>
          <w:lang w:eastAsia="es-CO"/>
        </w:rPr>
        <w:t xml:space="preserve">ntidad </w:t>
      </w:r>
      <w:r w:rsidR="00C01161">
        <w:rPr>
          <w:rFonts w:ascii="Arial" w:eastAsiaTheme="minorEastAsia" w:hAnsi="Arial" w:cs="Arial"/>
          <w:lang w:eastAsia="es-CO"/>
        </w:rPr>
        <w:t>E</w:t>
      </w:r>
      <w:r w:rsidRPr="00563492">
        <w:rPr>
          <w:rFonts w:ascii="Arial" w:eastAsiaTheme="minorEastAsia" w:hAnsi="Arial" w:cs="Arial"/>
          <w:lang w:eastAsia="es-CO"/>
        </w:rPr>
        <w:t>statal sometida a la Ley 80 de 1993 celebrar esta clase de convenios con una entidad estatal de régimen especial y no por ello dejará de ser un contrato o convenio interadministrativo.</w:t>
      </w:r>
    </w:p>
    <w:bookmarkEnd w:id="22"/>
    <w:p w14:paraId="60CDBAB7" w14:textId="77777777" w:rsidR="00DC6545" w:rsidRPr="00563492" w:rsidRDefault="00DC6545" w:rsidP="00DC6545">
      <w:pPr>
        <w:spacing w:before="121" w:after="0" w:line="276" w:lineRule="auto"/>
        <w:ind w:firstLine="707"/>
        <w:jc w:val="both"/>
        <w:rPr>
          <w:rFonts w:ascii="Arial" w:eastAsiaTheme="minorEastAsia" w:hAnsi="Arial" w:cs="Arial"/>
          <w:lang w:eastAsia="es-CO"/>
        </w:rPr>
      </w:pPr>
      <w:r w:rsidRPr="00563492">
        <w:rPr>
          <w:rFonts w:ascii="Arial" w:eastAsiaTheme="minorEastAsia" w:hAnsi="Arial" w:cs="Arial"/>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63492">
        <w:rPr>
          <w:rFonts w:ascii="Arial" w:eastAsiaTheme="minorEastAsia" w:hAnsi="Arial" w:cs="Arial"/>
          <w:vertAlign w:val="superscript"/>
          <w:lang w:eastAsia="es-CO"/>
        </w:rPr>
        <w:footnoteReference w:id="13"/>
      </w:r>
      <w:r w:rsidRPr="00563492">
        <w:rPr>
          <w:rFonts w:ascii="Arial" w:eastAsiaTheme="minorEastAsia" w:hAnsi="Arial" w:cs="Arial"/>
          <w:lang w:eastAsia="es-CO"/>
        </w:rPr>
        <w:t>. Nótese que, en este caso, lo que cambia es la modalidad de selección y no la naturaleza de contrato</w:t>
      </w:r>
      <w:r w:rsidRPr="00563492">
        <w:rPr>
          <w:rFonts w:ascii="Arial" w:eastAsiaTheme="minorEastAsia" w:hAnsi="Arial" w:cs="Arial"/>
          <w:spacing w:val="-18"/>
          <w:lang w:eastAsia="es-CO"/>
        </w:rPr>
        <w:t xml:space="preserve"> </w:t>
      </w:r>
      <w:r w:rsidRPr="00563492">
        <w:rPr>
          <w:rFonts w:ascii="Arial" w:eastAsiaTheme="minorEastAsia" w:hAnsi="Arial" w:cs="Arial"/>
          <w:lang w:eastAsia="es-CO"/>
        </w:rPr>
        <w:t>interadministrativo.</w:t>
      </w:r>
    </w:p>
    <w:p w14:paraId="4F80E50F" w14:textId="77777777" w:rsidR="00DC6545" w:rsidRPr="00563492" w:rsidRDefault="00DC6545" w:rsidP="00DC6545">
      <w:pPr>
        <w:spacing w:before="114" w:after="0" w:line="276" w:lineRule="auto"/>
        <w:ind w:firstLine="707"/>
        <w:jc w:val="both"/>
        <w:rPr>
          <w:rFonts w:ascii="Arial" w:eastAsiaTheme="minorEastAsia" w:hAnsi="Arial" w:cs="Arial"/>
          <w:lang w:eastAsia="es-CO"/>
        </w:rPr>
      </w:pPr>
      <w:r w:rsidRPr="00563492">
        <w:rPr>
          <w:rFonts w:ascii="Arial" w:eastAsiaTheme="minorEastAsia" w:hAnsi="Arial" w:cs="Arial"/>
          <w:lang w:eastAsia="es-CO"/>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63492">
        <w:rPr>
          <w:rFonts w:ascii="Arial" w:eastAsiaTheme="minorEastAsia" w:hAnsi="Arial" w:cs="Arial"/>
          <w:spacing w:val="-13"/>
          <w:lang w:eastAsia="es-CO"/>
        </w:rPr>
        <w:t xml:space="preserve"> </w:t>
      </w:r>
      <w:r w:rsidRPr="00563492">
        <w:rPr>
          <w:rFonts w:ascii="Arial" w:eastAsiaTheme="minorEastAsia" w:hAnsi="Arial" w:cs="Arial"/>
          <w:lang w:eastAsia="es-CO"/>
        </w:rPr>
        <w:t>que:</w:t>
      </w:r>
    </w:p>
    <w:p w14:paraId="1EE03D7A" w14:textId="77777777" w:rsidR="00DC6545" w:rsidRPr="00563492" w:rsidRDefault="00DC6545" w:rsidP="00DC6545">
      <w:pPr>
        <w:spacing w:after="0" w:line="276" w:lineRule="auto"/>
        <w:ind w:firstLine="707"/>
        <w:jc w:val="both"/>
        <w:rPr>
          <w:rFonts w:ascii="Arial" w:eastAsiaTheme="minorEastAsia" w:hAnsi="Arial" w:cs="Arial"/>
          <w:lang w:eastAsia="es-CO"/>
        </w:rPr>
      </w:pPr>
    </w:p>
    <w:p w14:paraId="1BA340AC" w14:textId="77777777" w:rsidR="00DC6545" w:rsidRPr="00563492" w:rsidRDefault="00DC6545" w:rsidP="00DC6545">
      <w:pPr>
        <w:spacing w:after="0" w:line="240" w:lineRule="auto"/>
        <w:ind w:left="709" w:right="709"/>
        <w:jc w:val="both"/>
        <w:rPr>
          <w:rFonts w:ascii="Arial" w:hAnsi="Arial" w:cs="Arial"/>
          <w:sz w:val="21"/>
        </w:rPr>
      </w:pPr>
      <w:r w:rsidRPr="00563492">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63492">
        <w:rPr>
          <w:rFonts w:ascii="Arial" w:hAnsi="Arial" w:cs="Arial"/>
          <w:sz w:val="21"/>
          <w:vertAlign w:val="superscript"/>
        </w:rPr>
        <w:footnoteReference w:id="14"/>
      </w:r>
      <w:r w:rsidRPr="00563492">
        <w:rPr>
          <w:rFonts w:ascii="Arial" w:hAnsi="Arial" w:cs="Arial"/>
          <w:sz w:val="21"/>
        </w:rPr>
        <w:t>.</w:t>
      </w:r>
    </w:p>
    <w:p w14:paraId="60F4C7AC" w14:textId="77777777" w:rsidR="00DC6545" w:rsidRPr="00563492" w:rsidRDefault="00DC6545" w:rsidP="00DC6545">
      <w:pPr>
        <w:spacing w:after="0"/>
        <w:ind w:left="709" w:right="709"/>
        <w:jc w:val="both"/>
        <w:rPr>
          <w:rFonts w:ascii="Arial" w:hAnsi="Arial" w:cs="Arial"/>
        </w:rPr>
      </w:pPr>
    </w:p>
    <w:p w14:paraId="299CEC60" w14:textId="77777777" w:rsidR="00DC6545" w:rsidRPr="00563492" w:rsidRDefault="00DC6545" w:rsidP="00DC6545">
      <w:pPr>
        <w:spacing w:after="0" w:line="276" w:lineRule="auto"/>
        <w:ind w:firstLine="707"/>
        <w:jc w:val="both"/>
        <w:rPr>
          <w:rFonts w:ascii="Arial" w:eastAsiaTheme="minorEastAsia" w:hAnsi="Arial" w:cs="Arial"/>
          <w:lang w:eastAsia="es-CO"/>
        </w:rPr>
      </w:pPr>
      <w:r w:rsidRPr="00563492">
        <w:rPr>
          <w:rFonts w:ascii="Arial" w:eastAsiaTheme="minorEastAsia" w:hAnsi="Arial"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424DF05" w14:textId="77777777" w:rsidR="00DC6545" w:rsidRPr="00563492" w:rsidRDefault="00DC6545" w:rsidP="00DC6545">
      <w:pPr>
        <w:spacing w:before="119" w:after="0" w:line="276" w:lineRule="auto"/>
        <w:ind w:firstLine="707"/>
        <w:jc w:val="both"/>
        <w:rPr>
          <w:rFonts w:ascii="Arial" w:eastAsiaTheme="minorEastAsia" w:hAnsi="Arial" w:cs="Arial"/>
          <w:lang w:eastAsia="es-CO"/>
        </w:rPr>
      </w:pPr>
      <w:r w:rsidRPr="00563492">
        <w:rPr>
          <w:rFonts w:ascii="Arial" w:eastAsiaTheme="minorEastAsia" w:hAnsi="Arial" w:cs="Arial"/>
          <w:lang w:eastAsia="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w:t>
      </w:r>
      <w:r w:rsidRPr="00563492">
        <w:rPr>
          <w:rFonts w:ascii="Arial" w:eastAsiaTheme="minorEastAsia" w:hAnsi="Arial" w:cs="Arial"/>
          <w:spacing w:val="-3"/>
          <w:lang w:eastAsia="es-CO"/>
        </w:rPr>
        <w:t xml:space="preserve"> </w:t>
      </w:r>
      <w:r w:rsidRPr="00563492">
        <w:rPr>
          <w:rFonts w:ascii="Arial" w:eastAsiaTheme="minorEastAsia" w:hAnsi="Arial" w:cs="Arial"/>
          <w:lang w:eastAsia="es-CO"/>
        </w:rPr>
        <w:t>estatales.</w:t>
      </w:r>
    </w:p>
    <w:p w14:paraId="158C6284" w14:textId="77777777" w:rsidR="00DC6545" w:rsidRPr="00563492" w:rsidRDefault="00DC6545" w:rsidP="00DC6545">
      <w:pPr>
        <w:spacing w:before="120" w:after="0" w:line="276" w:lineRule="auto"/>
        <w:ind w:firstLine="709"/>
        <w:jc w:val="both"/>
        <w:rPr>
          <w:rFonts w:ascii="Arial" w:eastAsiaTheme="minorEastAsia" w:hAnsi="Arial" w:cs="Arial"/>
          <w:lang w:eastAsia="es-CO"/>
        </w:rPr>
      </w:pPr>
      <w:r w:rsidRPr="00563492">
        <w:rPr>
          <w:rFonts w:ascii="Arial" w:eastAsiaTheme="minorEastAsia" w:hAnsi="Arial" w:cs="Arial"/>
          <w:lang w:eastAsia="es-CO"/>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63492">
        <w:rPr>
          <w:rFonts w:ascii="Arial" w:eastAsiaTheme="minorEastAsia" w:hAnsi="Arial" w:cs="Arial"/>
          <w:spacing w:val="-4"/>
          <w:lang w:eastAsia="es-CO"/>
        </w:rPr>
        <w:t xml:space="preserve"> </w:t>
      </w:r>
      <w:r w:rsidRPr="00563492">
        <w:rPr>
          <w:rFonts w:ascii="Arial" w:eastAsiaTheme="minorEastAsia" w:hAnsi="Arial" w:cs="Arial"/>
          <w:lang w:eastAsia="es-CO"/>
        </w:rPr>
        <w:t>estatales.</w:t>
      </w:r>
    </w:p>
    <w:p w14:paraId="45AC0F0F" w14:textId="2720E9D9" w:rsidR="00DC6545" w:rsidRPr="00563492" w:rsidRDefault="00DC6545" w:rsidP="003A31B8">
      <w:pPr>
        <w:spacing w:before="122" w:after="120" w:line="276" w:lineRule="auto"/>
        <w:ind w:firstLine="709"/>
        <w:jc w:val="both"/>
        <w:rPr>
          <w:rFonts w:ascii="Arial" w:eastAsiaTheme="minorEastAsia" w:hAnsi="Arial" w:cs="Arial"/>
          <w:lang w:eastAsia="es-CO"/>
        </w:rPr>
      </w:pPr>
      <w:r w:rsidRPr="00563492">
        <w:rPr>
          <w:rFonts w:ascii="Arial" w:eastAsiaTheme="minorEastAsia" w:hAnsi="Arial" w:cs="Arial"/>
          <w:lang w:eastAsia="es-CO"/>
        </w:rPr>
        <w:t>Es conveniente destacar que</w:t>
      </w:r>
      <w:r w:rsidR="00951AE1" w:rsidRPr="00563492">
        <w:rPr>
          <w:rFonts w:ascii="Arial" w:eastAsiaTheme="minorEastAsia" w:hAnsi="Arial" w:cs="Arial"/>
          <w:lang w:eastAsia="es-CO"/>
        </w:rPr>
        <w:t>,</w:t>
      </w:r>
      <w:r w:rsidRPr="00563492">
        <w:rPr>
          <w:rFonts w:ascii="Arial" w:eastAsiaTheme="minorEastAsia" w:hAnsi="Arial" w:cs="Arial"/>
          <w:lang w:eastAsia="es-CO"/>
        </w:rPr>
        <w:t xml:space="preserve"> el Decreto 1082 de 2015 dispone que los convenios o contratos interadministrativos, así denominados en su artículo 2.2.1.2.1.4.4, se contratan directamente, por lo que representan figuras similares en la medida en que concurran entidades estatales en el acuerdo de voluntades. </w:t>
      </w:r>
      <w:r w:rsidR="003D1BE0" w:rsidRPr="00563492">
        <w:rPr>
          <w:rFonts w:ascii="Arial" w:eastAsiaTheme="minorEastAsia" w:hAnsi="Arial" w:cs="Arial"/>
          <w:lang w:eastAsia="es-CO"/>
        </w:rPr>
        <w:t>De acuerdo con lo di</w:t>
      </w:r>
      <w:r w:rsidR="003C2BB2" w:rsidRPr="00563492">
        <w:rPr>
          <w:rFonts w:ascii="Arial" w:eastAsiaTheme="minorEastAsia" w:hAnsi="Arial" w:cs="Arial"/>
          <w:lang w:eastAsia="es-CO"/>
        </w:rPr>
        <w:t>s</w:t>
      </w:r>
      <w:r w:rsidR="003D1BE0" w:rsidRPr="00563492">
        <w:rPr>
          <w:rFonts w:ascii="Arial" w:eastAsiaTheme="minorEastAsia" w:hAnsi="Arial" w:cs="Arial"/>
          <w:lang w:eastAsia="es-CO"/>
        </w:rPr>
        <w:t>puesto en esta disposición</w:t>
      </w:r>
      <w:r w:rsidRPr="00563492">
        <w:rPr>
          <w:rFonts w:ascii="Arial" w:eastAsiaTheme="minorEastAsia" w:hAnsi="Arial" w:cs="Arial"/>
          <w:lang w:eastAsia="es-CO"/>
        </w:rPr>
        <w:t xml:space="preserve">, </w:t>
      </w:r>
      <w:r w:rsidR="003D1BE0" w:rsidRPr="00563492">
        <w:rPr>
          <w:rFonts w:ascii="Arial" w:eastAsiaTheme="minorEastAsia" w:hAnsi="Arial" w:cs="Arial"/>
          <w:lang w:eastAsia="es-CO"/>
        </w:rPr>
        <w:t xml:space="preserve">en </w:t>
      </w:r>
      <w:r w:rsidR="00CB1D54" w:rsidRPr="00563492">
        <w:rPr>
          <w:rFonts w:ascii="Arial" w:eastAsiaTheme="minorEastAsia" w:hAnsi="Arial" w:cs="Arial"/>
          <w:lang w:eastAsia="es-CO"/>
        </w:rPr>
        <w:t xml:space="preserve">principio, </w:t>
      </w:r>
      <w:r w:rsidRPr="00563492">
        <w:rPr>
          <w:rFonts w:ascii="Arial" w:eastAsiaTheme="minorEastAsia" w:hAnsi="Arial" w:cs="Arial"/>
          <w:lang w:eastAsia="es-CO"/>
        </w:rPr>
        <w:t>no existen mayores diferencias entre convenio y contrato,</w:t>
      </w:r>
      <w:r w:rsidR="00CB1D54" w:rsidRPr="00563492">
        <w:rPr>
          <w:rFonts w:ascii="Arial" w:eastAsiaTheme="minorEastAsia" w:hAnsi="Arial" w:cs="Arial"/>
          <w:lang w:eastAsia="es-CO"/>
        </w:rPr>
        <w:t xml:space="preserve"> e incluso,</w:t>
      </w:r>
      <w:r w:rsidRPr="00563492">
        <w:rPr>
          <w:rFonts w:ascii="Arial" w:eastAsiaTheme="minorEastAsia" w:hAnsi="Arial" w:cs="Arial"/>
          <w:lang w:eastAsia="es-CO"/>
        </w:rPr>
        <w:t xml:space="preserve"> dando aplicación al derecho privado y a la definición contenida en el Código Civil, </w:t>
      </w:r>
      <w:r w:rsidR="003C2BB2" w:rsidRPr="00563492">
        <w:rPr>
          <w:rFonts w:ascii="Arial" w:eastAsiaTheme="minorEastAsia" w:hAnsi="Arial" w:cs="Arial"/>
          <w:lang w:eastAsia="es-CO"/>
        </w:rPr>
        <w:t xml:space="preserve">podría </w:t>
      </w:r>
      <w:r w:rsidRPr="00563492">
        <w:rPr>
          <w:rFonts w:ascii="Arial" w:eastAsiaTheme="minorEastAsia" w:hAnsi="Arial" w:cs="Arial"/>
          <w:lang w:eastAsia="es-CO"/>
        </w:rPr>
        <w:t>afirmarse que se trata de figuras equivalentes.</w:t>
      </w:r>
    </w:p>
    <w:p w14:paraId="74CA999F" w14:textId="09EB3991" w:rsidR="00DC6545" w:rsidRPr="00563492" w:rsidRDefault="003C2BB2" w:rsidP="00DC6545">
      <w:pPr>
        <w:spacing w:after="0" w:line="276" w:lineRule="auto"/>
        <w:ind w:firstLine="708"/>
        <w:jc w:val="both"/>
        <w:rPr>
          <w:rFonts w:ascii="Arial" w:eastAsiaTheme="minorEastAsia" w:hAnsi="Arial" w:cs="Arial"/>
          <w:lang w:eastAsia="es-CO"/>
        </w:rPr>
      </w:pPr>
      <w:r w:rsidRPr="00563492">
        <w:rPr>
          <w:rFonts w:ascii="Arial" w:eastAsiaTheme="minorEastAsia" w:hAnsi="Arial" w:cs="Arial"/>
          <w:lang w:eastAsia="es-CO"/>
        </w:rPr>
        <w:t>Lo anterior teniendo en que</w:t>
      </w:r>
      <w:r w:rsidR="00DC6545" w:rsidRPr="00563492">
        <w:rPr>
          <w:rFonts w:ascii="Arial" w:eastAsiaTheme="minorEastAsia" w:hAnsi="Arial" w:cs="Arial"/>
          <w:lang w:eastAsia="es-CO"/>
        </w:rPr>
        <w:t>,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00DC6545" w:rsidRPr="00563492">
        <w:rPr>
          <w:rFonts w:ascii="Arial" w:eastAsiaTheme="minorEastAsia" w:hAnsi="Arial" w:cs="Arial"/>
          <w:spacing w:val="-4"/>
          <w:lang w:eastAsia="es-CO"/>
        </w:rPr>
        <w:t xml:space="preserve"> </w:t>
      </w:r>
      <w:r w:rsidR="00DC6545" w:rsidRPr="00563492">
        <w:rPr>
          <w:rFonts w:ascii="Arial" w:eastAsiaTheme="minorEastAsia" w:hAnsi="Arial" w:cs="Arial"/>
          <w:lang w:eastAsia="es-CO"/>
        </w:rPr>
        <w:t>[…]”</w:t>
      </w:r>
      <w:r w:rsidR="00DC6545" w:rsidRPr="00563492">
        <w:rPr>
          <w:rFonts w:ascii="Arial" w:eastAsiaTheme="minorEastAsia" w:hAnsi="Arial" w:cs="Arial"/>
          <w:vertAlign w:val="superscript"/>
          <w:lang w:eastAsia="es-CO"/>
        </w:rPr>
        <w:footnoteReference w:id="15"/>
      </w:r>
      <w:r w:rsidR="00DC6545" w:rsidRPr="00563492">
        <w:rPr>
          <w:rFonts w:ascii="Arial" w:eastAsiaTheme="minorEastAsia" w:hAnsi="Arial" w:cs="Arial"/>
          <w:lang w:eastAsia="es-CO"/>
        </w:rPr>
        <w:t>.</w:t>
      </w:r>
    </w:p>
    <w:p w14:paraId="1B746D8A" w14:textId="341A3E1D" w:rsidR="00DC6545" w:rsidRPr="00563492" w:rsidRDefault="00D54BA7" w:rsidP="00DC6545">
      <w:pPr>
        <w:snapToGrid w:val="0"/>
        <w:spacing w:before="120" w:after="0" w:line="276" w:lineRule="auto"/>
        <w:ind w:firstLine="709"/>
        <w:jc w:val="both"/>
        <w:rPr>
          <w:rFonts w:ascii="Arial" w:eastAsia="Calibri" w:hAnsi="Arial" w:cs="Arial"/>
          <w:bCs/>
          <w:color w:val="000000" w:themeColor="text1"/>
          <w:lang w:bidi="es-ES"/>
        </w:rPr>
      </w:pPr>
      <w:r w:rsidRPr="00563492">
        <w:rPr>
          <w:rFonts w:ascii="Arial" w:eastAsia="Calibri" w:hAnsi="Arial" w:cs="Arial"/>
          <w:bCs/>
          <w:color w:val="000000" w:themeColor="text1"/>
          <w:lang w:bidi="es-ES"/>
        </w:rPr>
        <w:t>Sin embargo, s</w:t>
      </w:r>
      <w:r w:rsidR="00DC6545" w:rsidRPr="00563492">
        <w:rPr>
          <w:rFonts w:ascii="Arial" w:eastAsia="Calibri" w:hAnsi="Arial" w:cs="Arial"/>
          <w:bCs/>
          <w:color w:val="000000" w:themeColor="text1"/>
          <w:lang w:bidi="es-ES"/>
        </w:rPr>
        <w:t>i bien tanto los contratos como convenios comparten características comunes explicadas en los párrafos precedentes, difieren en cuanto a ciertos aspectos esenciales</w:t>
      </w:r>
      <w:r w:rsidR="00DC6545" w:rsidRPr="00563492">
        <w:rPr>
          <w:rFonts w:ascii="Arial" w:eastAsia="Calibri" w:hAnsi="Arial" w:cs="Arial"/>
          <w:color w:val="000000" w:themeColor="text1"/>
          <w:lang w:bidi="es-ES"/>
        </w:rPr>
        <w:t xml:space="preserve">. </w:t>
      </w:r>
      <w:r w:rsidR="00DC6545" w:rsidRPr="00563492">
        <w:rPr>
          <w:rFonts w:ascii="Arial" w:eastAsia="Calibri" w:hAnsi="Arial" w:cs="Arial"/>
          <w:bCs/>
          <w:color w:val="000000" w:themeColor="text1"/>
          <w:lang w:bidi="es-ES"/>
        </w:rPr>
        <w:t xml:space="preserve">Así, mientras que el </w:t>
      </w:r>
      <w:r w:rsidR="00DC6545" w:rsidRPr="00563492">
        <w:rPr>
          <w:rFonts w:ascii="Arial" w:eastAsia="Calibri" w:hAnsi="Arial" w:cs="Arial"/>
          <w:bCs/>
          <w:i/>
          <w:iCs/>
          <w:color w:val="000000" w:themeColor="text1"/>
          <w:lang w:bidi="es-ES"/>
        </w:rPr>
        <w:t>contrato interadministrativo</w:t>
      </w:r>
      <w:r w:rsidR="00DC6545" w:rsidRPr="00563492">
        <w:rPr>
          <w:rFonts w:ascii="Arial" w:eastAsia="Calibri" w:hAnsi="Arial" w:cs="Arial"/>
          <w:bCs/>
          <w:color w:val="000000" w:themeColor="text1"/>
          <w:lang w:bidi="es-ES"/>
        </w:rPr>
        <w:t xml:space="preserve"> se caracteriza por su naturaleza onerosa, patrimonial y se conforma por intereses básicamente contrapuestos, los </w:t>
      </w:r>
      <w:r w:rsidR="00DC6545" w:rsidRPr="00563492">
        <w:rPr>
          <w:rFonts w:ascii="Arial" w:eastAsia="Calibri" w:hAnsi="Arial" w:cs="Arial"/>
          <w:bCs/>
          <w:i/>
          <w:iCs/>
          <w:color w:val="000000" w:themeColor="text1"/>
          <w:lang w:bidi="es-ES"/>
        </w:rPr>
        <w:t>convenios interadministrativos</w:t>
      </w:r>
      <w:r w:rsidR="00DC6545" w:rsidRPr="00563492">
        <w:rPr>
          <w:rFonts w:ascii="Arial" w:eastAsia="Calibri" w:hAnsi="Arial" w:cs="Arial"/>
          <w:bCs/>
          <w:color w:val="000000" w:themeColor="text1"/>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5C9AF583" w14:textId="77777777" w:rsidR="00DC6545" w:rsidRPr="00563492" w:rsidRDefault="00DC6545" w:rsidP="00DC6545">
      <w:pPr>
        <w:spacing w:beforeLines="120" w:before="288" w:afterLines="120" w:after="288" w:line="276" w:lineRule="auto"/>
        <w:ind w:firstLine="708"/>
        <w:contextualSpacing/>
        <w:rPr>
          <w:rFonts w:ascii="Arial" w:eastAsia="Calibri" w:hAnsi="Arial" w:cs="Arial"/>
          <w:bCs/>
          <w:color w:val="000000" w:themeColor="text1"/>
          <w:lang w:bidi="es-ES"/>
        </w:rPr>
      </w:pPr>
    </w:p>
    <w:p w14:paraId="3FC98D23" w14:textId="77777777" w:rsidR="00DC6545" w:rsidRPr="00563492" w:rsidRDefault="00DC6545" w:rsidP="00DC6545">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563492">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32385CCB" w14:textId="77777777" w:rsidR="00DC6545" w:rsidRPr="00563492" w:rsidRDefault="00DC6545" w:rsidP="00DC6545">
      <w:pPr>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374CB2DC" w14:textId="77777777" w:rsidR="00DC6545" w:rsidRPr="00563492" w:rsidRDefault="00DC6545" w:rsidP="00DC6545">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563492">
        <w:rPr>
          <w:rFonts w:ascii="Arial" w:eastAsia="Calibri" w:hAnsi="Arial" w:cs="Arial"/>
          <w:bCs/>
          <w:color w:val="000000" w:themeColor="text1"/>
          <w:sz w:val="21"/>
          <w:lang w:bidi="es-ES"/>
        </w:rPr>
        <w:t>Ahora, dada la naturaleza jurídica explicada de los convenios interadministrativos</w:t>
      </w:r>
      <w:r w:rsidRPr="00563492">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563492">
        <w:rPr>
          <w:rFonts w:ascii="Arial" w:eastAsia="Calibri" w:hAnsi="Arial" w:cs="Arial"/>
          <w:bCs/>
          <w:color w:val="000000" w:themeColor="text1"/>
          <w:sz w:val="21"/>
          <w:lang w:bidi="es-ES"/>
        </w:rPr>
        <w:t>.</w:t>
      </w:r>
      <w:r w:rsidRPr="00563492">
        <w:rPr>
          <w:rFonts w:ascii="Arial" w:eastAsia="Calibri" w:hAnsi="Arial" w:cs="Arial"/>
          <w:bCs/>
          <w:color w:val="000000" w:themeColor="text1"/>
          <w:sz w:val="21"/>
          <w:szCs w:val="21"/>
          <w:vertAlign w:val="superscript"/>
          <w:lang w:bidi="es-ES"/>
        </w:rPr>
        <w:footnoteReference w:id="16"/>
      </w:r>
      <w:r w:rsidRPr="00563492">
        <w:rPr>
          <w:rFonts w:ascii="Arial" w:eastAsia="Calibri" w:hAnsi="Arial" w:cs="Arial"/>
          <w:bCs/>
          <w:color w:val="000000" w:themeColor="text1"/>
          <w:sz w:val="21"/>
          <w:lang w:bidi="es-ES"/>
        </w:rPr>
        <w:t xml:space="preserve"> (Cursiva fuera del texto original) </w:t>
      </w:r>
    </w:p>
    <w:p w14:paraId="147676F8" w14:textId="77777777" w:rsidR="00DC6545" w:rsidRPr="00563492" w:rsidRDefault="00DC6545" w:rsidP="00DC6545">
      <w:pPr>
        <w:tabs>
          <w:tab w:val="left" w:pos="426"/>
        </w:tabs>
        <w:spacing w:after="0" w:line="276" w:lineRule="auto"/>
        <w:jc w:val="both"/>
        <w:rPr>
          <w:rFonts w:ascii="Arial" w:eastAsia="Calibri" w:hAnsi="Arial" w:cs="Arial"/>
          <w:color w:val="000000" w:themeColor="text1"/>
          <w:lang w:eastAsia="en-GB"/>
        </w:rPr>
      </w:pPr>
    </w:p>
    <w:p w14:paraId="1FBEC1CA" w14:textId="77777777" w:rsidR="00DC6545" w:rsidRPr="00563492" w:rsidRDefault="00DC6545" w:rsidP="00DC6545">
      <w:pPr>
        <w:tabs>
          <w:tab w:val="left" w:pos="426"/>
        </w:tabs>
        <w:spacing w:after="120" w:line="276" w:lineRule="auto"/>
        <w:jc w:val="both"/>
        <w:rPr>
          <w:rFonts w:ascii="Arial" w:eastAsia="Calibri" w:hAnsi="Arial" w:cs="Arial"/>
          <w:color w:val="000000" w:themeColor="text1"/>
          <w:lang w:eastAsia="en-GB"/>
        </w:rPr>
      </w:pPr>
      <w:r w:rsidRPr="00563492">
        <w:rPr>
          <w:rFonts w:ascii="Arial" w:eastAsia="Calibri" w:hAnsi="Arial" w:cs="Arial"/>
          <w:color w:val="000000" w:themeColor="text1"/>
          <w:lang w:eastAsia="en-GB"/>
        </w:rPr>
        <w:tab/>
      </w:r>
      <w:r w:rsidRPr="00563492">
        <w:rPr>
          <w:rFonts w:ascii="Arial" w:eastAsia="Calibri" w:hAnsi="Arial" w:cs="Arial"/>
          <w:color w:val="000000" w:themeColor="text1"/>
          <w:lang w:eastAsia="en-GB"/>
        </w:rPr>
        <w:tab/>
        <w:t>De hecho, la distinción también se plantea en el ámbito del derecho privado con la referencia a los contratos de contraprestación y de colaboración</w:t>
      </w:r>
      <w:r w:rsidRPr="00563492">
        <w:rPr>
          <w:rFonts w:ascii="Arial" w:eastAsia="Calibri" w:hAnsi="Arial" w:cs="Arial"/>
          <w:color w:val="000000" w:themeColor="text1"/>
          <w:vertAlign w:val="superscript"/>
          <w:lang w:eastAsia="en-GB"/>
        </w:rPr>
        <w:footnoteReference w:id="17"/>
      </w:r>
      <w:r w:rsidRPr="00563492">
        <w:rPr>
          <w:rFonts w:ascii="Arial" w:eastAsia="Calibri" w:hAnsi="Arial"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563492">
        <w:rPr>
          <w:rFonts w:ascii="Arial" w:eastAsia="Calibri" w:hAnsi="Arial" w:cs="Arial"/>
          <w:color w:val="000000" w:themeColor="text1"/>
          <w:vertAlign w:val="superscript"/>
          <w:lang w:eastAsia="en-GB"/>
        </w:rPr>
        <w:footnoteReference w:id="18"/>
      </w:r>
      <w:r w:rsidRPr="00563492">
        <w:rPr>
          <w:rFonts w:ascii="Arial" w:eastAsia="Calibri" w:hAnsi="Arial" w:cs="Arial"/>
          <w:color w:val="000000" w:themeColor="text1"/>
          <w:lang w:eastAsia="en-GB"/>
        </w:rPr>
        <w:t xml:space="preserve">. </w:t>
      </w:r>
    </w:p>
    <w:p w14:paraId="741D36F9" w14:textId="77777777" w:rsidR="00DC6545" w:rsidRPr="00563492" w:rsidRDefault="00DC6545" w:rsidP="00DC6545">
      <w:pPr>
        <w:spacing w:after="120" w:line="276" w:lineRule="auto"/>
        <w:ind w:firstLine="709"/>
        <w:jc w:val="both"/>
        <w:rPr>
          <w:rFonts w:ascii="Arial" w:eastAsiaTheme="minorEastAsia" w:hAnsi="Arial" w:cs="Arial"/>
          <w:lang w:eastAsia="es-CO"/>
        </w:rPr>
      </w:pPr>
      <w:r w:rsidRPr="00563492">
        <w:rPr>
          <w:rFonts w:ascii="Arial" w:eastAsiaTheme="minorEastAsia" w:hAnsi="Arial" w:cs="Arial"/>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1FD2F16F" w14:textId="77777777" w:rsidR="00DC6545" w:rsidRPr="00563492" w:rsidRDefault="00DC6545" w:rsidP="003A31B8">
      <w:pPr>
        <w:spacing w:after="120" w:line="276" w:lineRule="auto"/>
        <w:ind w:firstLine="709"/>
        <w:jc w:val="both"/>
        <w:rPr>
          <w:rFonts w:ascii="Arial" w:eastAsiaTheme="minorEastAsia" w:hAnsi="Arial" w:cs="Arial"/>
          <w:lang w:eastAsia="es-CO"/>
        </w:rPr>
      </w:pPr>
      <w:r w:rsidRPr="00563492">
        <w:rPr>
          <w:rFonts w:ascii="Arial" w:eastAsiaTheme="minorEastAsia" w:hAnsi="Arial" w:cs="Arial"/>
          <w:lang w:eastAsia="es-CO"/>
        </w:rPr>
        <w:t xml:space="preserve">Aunque ni la Ley 489 de 1998 ni la Ley 142 de 1994 tipifican la existencia de empresas de servicios públicos solidarias, cooperativas o comunitarias, de acuerdo con la Sentencia de la Corte Constitucional C-736 de 2007, con ponencia del Magistrado Marco Gerardo Monroy Cabra, es necesario tener en cuenta que las empresas de servicios públicos oficiales y mixtas o privadas en las cuales haya cualquier porcentaje de participación pública, son entidades descentralizadas que conforman la estructura de la rama ejecutiva del poder público. Por tanto, en la medida que concurran con otra entidad en la celebración de negocio jurídico, la tipología corresponderá a un convenio o contrato interadministrativo, el cual puede contener como objeto la ejecución de actividades de obra de agua potable y saneamiento básico, sin más requisitos ni restricciones que los previstos en la ley y reglamento. En caso de que por el criterio orgánico no exista una relación interadministrativa, por regla general el contrato será de obra y se someterá reglas de los demás procedimientos con pluralidad de oferentes del artículo 2 de la Ley 1150 de 2007, pues la contratación directa se reserva a los contratos o convenios del precitado artículo 2.2.1.2.1.4.4 del Decreto 1082 de 2015, sin perjuicio de las demás causales previstas en el ordenamiento jurídico. En ambos casos, es importante determinar si aplican los documentos tipo, tema que se analizará a continuación.  </w:t>
      </w:r>
    </w:p>
    <w:p w14:paraId="74898A50" w14:textId="4876876E" w:rsidR="00DC6545" w:rsidRPr="00563492" w:rsidRDefault="00E802C7" w:rsidP="003A31B8">
      <w:pPr>
        <w:widowControl w:val="0"/>
        <w:autoSpaceDE w:val="0"/>
        <w:autoSpaceDN w:val="0"/>
        <w:spacing w:line="276" w:lineRule="auto"/>
        <w:jc w:val="both"/>
        <w:rPr>
          <w:rFonts w:ascii="Arial" w:hAnsi="Arial" w:cs="Arial"/>
          <w:color w:val="000000" w:themeColor="text1"/>
          <w:lang w:val="es-ES"/>
        </w:rPr>
      </w:pPr>
      <w:r w:rsidRPr="00563492">
        <w:rPr>
          <w:rFonts w:ascii="Arial" w:hAnsi="Arial" w:cs="Arial"/>
          <w:color w:val="000000" w:themeColor="text1"/>
          <w:lang w:val="es-ES"/>
        </w:rPr>
        <w:tab/>
        <w:t>De esta manera, los convenios o contratos celebrado</w:t>
      </w:r>
      <w:r w:rsidR="00BE7CDA" w:rsidRPr="00563492">
        <w:rPr>
          <w:rFonts w:ascii="Arial" w:hAnsi="Arial" w:cs="Arial"/>
          <w:color w:val="000000" w:themeColor="text1"/>
          <w:lang w:val="es-ES"/>
        </w:rPr>
        <w:t>s</w:t>
      </w:r>
      <w:r w:rsidR="00DE044C" w:rsidRPr="00563492">
        <w:rPr>
          <w:rFonts w:ascii="Arial" w:hAnsi="Arial" w:cs="Arial"/>
          <w:color w:val="000000" w:themeColor="text1"/>
          <w:lang w:val="es-ES"/>
        </w:rPr>
        <w:t xml:space="preserve"> por entidades estatales</w:t>
      </w:r>
      <w:r w:rsidRPr="00563492">
        <w:rPr>
          <w:rFonts w:ascii="Arial" w:hAnsi="Arial" w:cs="Arial"/>
          <w:color w:val="000000" w:themeColor="text1"/>
          <w:lang w:val="es-ES"/>
        </w:rPr>
        <w:t xml:space="preserve"> </w:t>
      </w:r>
      <w:r w:rsidR="00DE044C" w:rsidRPr="00563492">
        <w:rPr>
          <w:rFonts w:ascii="Arial" w:hAnsi="Arial" w:cs="Arial"/>
          <w:color w:val="000000" w:themeColor="text1"/>
          <w:lang w:val="es-ES"/>
        </w:rPr>
        <w:t>con</w:t>
      </w:r>
      <w:r w:rsidRPr="00563492">
        <w:rPr>
          <w:rFonts w:ascii="Arial" w:hAnsi="Arial" w:cs="Arial"/>
          <w:color w:val="000000" w:themeColor="text1"/>
          <w:lang w:val="es-ES"/>
        </w:rPr>
        <w:t xml:space="preserve"> los fondos mixtos</w:t>
      </w:r>
      <w:r w:rsidR="00DE044C" w:rsidRPr="00563492">
        <w:rPr>
          <w:rFonts w:ascii="Arial" w:hAnsi="Arial" w:cs="Arial"/>
          <w:color w:val="000000" w:themeColor="text1"/>
          <w:lang w:val="es-ES"/>
        </w:rPr>
        <w:t xml:space="preserve"> </w:t>
      </w:r>
      <w:r w:rsidRPr="00563492">
        <w:rPr>
          <w:rFonts w:ascii="Arial" w:hAnsi="Arial" w:cs="Arial"/>
          <w:color w:val="000000" w:themeColor="text1"/>
          <w:lang w:val="es-ES"/>
        </w:rPr>
        <w:t>explicad</w:t>
      </w:r>
      <w:r w:rsidR="00DE044C" w:rsidRPr="00563492">
        <w:rPr>
          <w:rFonts w:ascii="Arial" w:hAnsi="Arial" w:cs="Arial"/>
          <w:color w:val="000000" w:themeColor="text1"/>
          <w:lang w:val="es-ES"/>
        </w:rPr>
        <w:t>os</w:t>
      </w:r>
      <w:r w:rsidRPr="00563492">
        <w:rPr>
          <w:rFonts w:ascii="Arial" w:hAnsi="Arial" w:cs="Arial"/>
          <w:color w:val="000000" w:themeColor="text1"/>
          <w:lang w:val="es-ES"/>
        </w:rPr>
        <w:t xml:space="preserve"> </w:t>
      </w:r>
      <w:r w:rsidRPr="00563492">
        <w:rPr>
          <w:rFonts w:ascii="Arial" w:hAnsi="Arial" w:cs="Arial"/>
          <w:i/>
          <w:iCs/>
          <w:color w:val="000000" w:themeColor="text1"/>
          <w:lang w:val="es-ES"/>
        </w:rPr>
        <w:t>ut supra,</w:t>
      </w:r>
      <w:r w:rsidR="009A1525" w:rsidRPr="00563492">
        <w:rPr>
          <w:rFonts w:ascii="Arial" w:hAnsi="Arial" w:cs="Arial"/>
          <w:i/>
          <w:iCs/>
          <w:color w:val="000000" w:themeColor="text1"/>
          <w:lang w:val="es-ES"/>
        </w:rPr>
        <w:t xml:space="preserve"> </w:t>
      </w:r>
      <w:r w:rsidR="006249F2" w:rsidRPr="00563492">
        <w:rPr>
          <w:rFonts w:ascii="Arial" w:hAnsi="Arial" w:cs="Arial"/>
          <w:color w:val="000000" w:themeColor="text1"/>
          <w:lang w:val="es-ES"/>
        </w:rPr>
        <w:t xml:space="preserve">tienen el </w:t>
      </w:r>
      <w:proofErr w:type="gramStart"/>
      <w:r w:rsidR="006249F2" w:rsidRPr="00563492">
        <w:rPr>
          <w:rFonts w:ascii="Arial" w:hAnsi="Arial" w:cs="Arial"/>
          <w:color w:val="000000" w:themeColor="text1"/>
          <w:lang w:val="es-ES"/>
        </w:rPr>
        <w:t>carácter interadministrativos</w:t>
      </w:r>
      <w:proofErr w:type="gramEnd"/>
      <w:r w:rsidR="006249F2" w:rsidRPr="00563492">
        <w:rPr>
          <w:rFonts w:ascii="Arial" w:hAnsi="Arial" w:cs="Arial"/>
          <w:color w:val="000000" w:themeColor="text1"/>
          <w:lang w:val="es-ES"/>
        </w:rPr>
        <w:t>, comoquiera que est</w:t>
      </w:r>
      <w:r w:rsidR="00DE044C" w:rsidRPr="00563492">
        <w:rPr>
          <w:rFonts w:ascii="Arial" w:hAnsi="Arial" w:cs="Arial"/>
          <w:color w:val="000000" w:themeColor="text1"/>
          <w:lang w:val="es-ES"/>
        </w:rPr>
        <w:t xml:space="preserve">as </w:t>
      </w:r>
      <w:r w:rsidR="00AC3E8A" w:rsidRPr="00563492">
        <w:rPr>
          <w:rFonts w:ascii="Arial" w:hAnsi="Arial" w:cs="Arial"/>
          <w:color w:val="000000" w:themeColor="text1"/>
          <w:lang w:val="es-ES"/>
        </w:rPr>
        <w:t>fondos tienen carácter de entidades descentralizadas</w:t>
      </w:r>
      <w:r w:rsidR="00A0568F" w:rsidRPr="00563492">
        <w:rPr>
          <w:rFonts w:ascii="Arial" w:hAnsi="Arial" w:cs="Arial"/>
          <w:color w:val="000000" w:themeColor="text1"/>
          <w:lang w:val="es-ES"/>
        </w:rPr>
        <w:t xml:space="preserve">. En ese sentido, este tipo de entidades tienen la posibilidad de </w:t>
      </w:r>
      <w:r w:rsidR="00C6295B" w:rsidRPr="00563492">
        <w:rPr>
          <w:rFonts w:ascii="Arial" w:hAnsi="Arial" w:cs="Arial"/>
          <w:color w:val="000000" w:themeColor="text1"/>
          <w:lang w:val="es-ES"/>
        </w:rPr>
        <w:t xml:space="preserve">contratar de manera directa con entidades estatales de conformidad con lo dispuesto en el </w:t>
      </w:r>
      <w:r w:rsidR="00C309A3" w:rsidRPr="00563492">
        <w:rPr>
          <w:rFonts w:ascii="Arial" w:hAnsi="Arial" w:cs="Arial"/>
          <w:color w:val="000000" w:themeColor="text1"/>
          <w:lang w:val="es-ES"/>
        </w:rPr>
        <w:t>artículo 2, numeral 4, literal c) de la Ley 1150 de 2007</w:t>
      </w:r>
      <w:r w:rsidR="00F53A08" w:rsidRPr="00563492">
        <w:rPr>
          <w:rFonts w:ascii="Arial" w:hAnsi="Arial" w:cs="Arial"/>
          <w:color w:val="000000" w:themeColor="text1"/>
          <w:lang w:val="es-ES"/>
        </w:rPr>
        <w:t xml:space="preserve">. No obstante, tratándose de objetos que abarquen actividades cobijadas por lo documentos tipo </w:t>
      </w:r>
      <w:r w:rsidR="00DD3BC3" w:rsidRPr="00563492">
        <w:rPr>
          <w:rFonts w:ascii="Arial" w:hAnsi="Arial" w:cs="Arial"/>
          <w:color w:val="000000" w:themeColor="text1"/>
          <w:lang w:val="es-ES"/>
        </w:rPr>
        <w:t xml:space="preserve">expedidos por esta Agencia, tal contratación se enfrenta a ciertas particularidades que se abordarán en los siguientes numerales. </w:t>
      </w:r>
      <w:r w:rsidR="00C309A3" w:rsidRPr="00563492">
        <w:rPr>
          <w:rFonts w:ascii="Arial" w:hAnsi="Arial" w:cs="Arial"/>
          <w:color w:val="000000" w:themeColor="text1"/>
          <w:lang w:val="es-ES"/>
        </w:rPr>
        <w:t xml:space="preserve"> </w:t>
      </w:r>
      <w:r w:rsidR="006249F2" w:rsidRPr="00563492">
        <w:rPr>
          <w:rFonts w:ascii="Arial" w:hAnsi="Arial" w:cs="Arial"/>
          <w:color w:val="000000" w:themeColor="text1"/>
          <w:lang w:val="es-ES"/>
        </w:rPr>
        <w:t xml:space="preserve"> </w:t>
      </w:r>
      <w:r w:rsidR="00BE7CDA" w:rsidRPr="00563492">
        <w:rPr>
          <w:rFonts w:ascii="Arial" w:hAnsi="Arial" w:cs="Arial"/>
          <w:i/>
          <w:iCs/>
          <w:color w:val="000000" w:themeColor="text1"/>
          <w:lang w:val="es-ES"/>
        </w:rPr>
        <w:t xml:space="preserve"> </w:t>
      </w:r>
      <w:r w:rsidRPr="00563492">
        <w:rPr>
          <w:rFonts w:ascii="Arial" w:hAnsi="Arial" w:cs="Arial"/>
          <w:i/>
          <w:iCs/>
          <w:color w:val="000000" w:themeColor="text1"/>
          <w:lang w:val="es-ES"/>
        </w:rPr>
        <w:t xml:space="preserve"> </w:t>
      </w:r>
    </w:p>
    <w:bookmarkEnd w:id="18"/>
    <w:p w14:paraId="5DE03572" w14:textId="34C99A92" w:rsidR="00AD1622" w:rsidRPr="00563492" w:rsidRDefault="00AD1622" w:rsidP="00AD1622">
      <w:pPr>
        <w:spacing w:line="276" w:lineRule="auto"/>
        <w:contextualSpacing/>
        <w:jc w:val="both"/>
        <w:rPr>
          <w:rFonts w:ascii="Arial" w:eastAsia="Arial" w:hAnsi="Arial" w:cs="Arial"/>
          <w:b/>
          <w:bCs/>
          <w:lang w:val="es-ES_tradnl" w:eastAsia="es-ES_tradnl"/>
        </w:rPr>
      </w:pPr>
      <w:r w:rsidRPr="00563492">
        <w:rPr>
          <w:rFonts w:ascii="Arial" w:eastAsia="Arial" w:hAnsi="Arial" w:cs="Arial"/>
          <w:b/>
          <w:bCs/>
          <w:lang w:val="es-ES_tradnl" w:eastAsia="es-ES_tradnl"/>
        </w:rPr>
        <w:t xml:space="preserve">2.3. </w:t>
      </w:r>
      <w:bookmarkStart w:id="24" w:name="_Hlk110852287"/>
      <w:r w:rsidRPr="00563492">
        <w:rPr>
          <w:rFonts w:ascii="Arial" w:eastAsia="Arial" w:hAnsi="Arial" w:cs="Arial"/>
          <w:b/>
          <w:bCs/>
          <w:lang w:val="es-ES_tradnl" w:eastAsia="es-ES_tradnl"/>
        </w:rPr>
        <w:t xml:space="preserve">Fundamento normativo y ámbito de aplicación de los documentos tipo </w:t>
      </w:r>
      <w:bookmarkEnd w:id="24"/>
    </w:p>
    <w:p w14:paraId="7D6F4C1F" w14:textId="77777777" w:rsidR="00AD1622" w:rsidRPr="00563492" w:rsidRDefault="00AD1622" w:rsidP="00AD1622">
      <w:pPr>
        <w:spacing w:line="276" w:lineRule="auto"/>
        <w:contextualSpacing/>
        <w:jc w:val="both"/>
        <w:rPr>
          <w:rFonts w:ascii="Arial" w:eastAsia="Arial" w:hAnsi="Arial" w:cs="Arial"/>
          <w:b/>
          <w:bCs/>
          <w:lang w:val="es-ES_tradnl" w:eastAsia="es-ES_tradnl"/>
        </w:rPr>
      </w:pPr>
    </w:p>
    <w:p w14:paraId="31C84F2D" w14:textId="77777777" w:rsidR="00AD1622" w:rsidRPr="00563492" w:rsidRDefault="00AD1622" w:rsidP="00AD1622">
      <w:pPr>
        <w:spacing w:after="120" w:line="276" w:lineRule="auto"/>
        <w:jc w:val="both"/>
        <w:rPr>
          <w:rFonts w:ascii="Arial" w:eastAsia="Calibri" w:hAnsi="Arial" w:cs="Arial"/>
          <w:lang w:val="es-ES_tradnl" w:eastAsia="es-ES_tradnl"/>
        </w:rPr>
      </w:pPr>
      <w:r w:rsidRPr="00563492">
        <w:rPr>
          <w:rFonts w:ascii="Arial" w:eastAsia="Calibri" w:hAnsi="Arial" w:cs="Arial"/>
          <w:lang w:val="es-ES_tradnl" w:eastAsia="es-ES_tradnl"/>
        </w:rPr>
        <w:t>La adopción de los documentos tipo obligatorios en el ordenamiento jurídico colombiano se incluyó por primera vez en el parágrafo 3 del artículo 2 de la Ley 1150 de 2007</w:t>
      </w:r>
      <w:r w:rsidRPr="00563492">
        <w:rPr>
          <w:rFonts w:ascii="Arial" w:eastAsia="Calibri" w:hAnsi="Arial" w:cs="Arial"/>
          <w:vertAlign w:val="superscript"/>
          <w:lang w:val="es-ES_tradnl" w:eastAsia="es-ES_tradnl"/>
        </w:rPr>
        <w:footnoteReference w:id="19"/>
      </w:r>
      <w:r w:rsidRPr="00563492">
        <w:rPr>
          <w:rFonts w:ascii="Arial" w:eastAsia="Calibri" w:hAnsi="Arial" w:cs="Arial"/>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6C924C62" w14:textId="77777777" w:rsidR="00AD1622" w:rsidRPr="00563492" w:rsidRDefault="00AD1622" w:rsidP="00AD1622">
      <w:pPr>
        <w:spacing w:after="120" w:line="276" w:lineRule="auto"/>
        <w:ind w:firstLine="709"/>
        <w:jc w:val="both"/>
        <w:rPr>
          <w:rFonts w:ascii="Arial" w:eastAsia="Calibri" w:hAnsi="Arial" w:cs="Arial"/>
          <w:lang w:val="es-ES_tradnl" w:eastAsia="es-ES_tradnl"/>
        </w:rPr>
      </w:pPr>
      <w:r w:rsidRPr="00563492">
        <w:rPr>
          <w:rFonts w:ascii="Arial" w:eastAsia="Calibri" w:hAnsi="Arial"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563492">
        <w:rPr>
          <w:rFonts w:ascii="Arial" w:eastAsia="Calibri" w:hAnsi="Arial" w:cs="Arial"/>
          <w:bCs/>
          <w:lang w:val="es-ES_tradnl" w:eastAsia="es-ES_tradnl"/>
        </w:rPr>
        <w:t xml:space="preserve">EGCAP en </w:t>
      </w:r>
      <w:r w:rsidRPr="00563492">
        <w:rPr>
          <w:rFonts w:ascii="Arial" w:eastAsia="Calibri" w:hAnsi="Arial" w:cs="Arial"/>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r w:rsidRPr="00563492">
        <w:rPr>
          <w:rFonts w:ascii="Arial" w:eastAsia="Calibri" w:hAnsi="Arial" w:cs="Arial"/>
          <w:vertAlign w:val="superscript"/>
          <w:lang w:val="es-ES_tradnl" w:eastAsia="es-ES_tradnl"/>
        </w:rPr>
        <w:footnoteReference w:id="20"/>
      </w:r>
      <w:r w:rsidRPr="00563492">
        <w:rPr>
          <w:rFonts w:ascii="Arial" w:eastAsia="Calibri" w:hAnsi="Arial" w:cs="Arial"/>
          <w:lang w:val="es-ES_tradnl" w:eastAsia="es-ES_tradnl"/>
        </w:rPr>
        <w:t>.</w:t>
      </w:r>
    </w:p>
    <w:p w14:paraId="4389400A" w14:textId="77777777" w:rsidR="00AD1622" w:rsidRPr="00563492" w:rsidRDefault="00AD1622" w:rsidP="00AD1622">
      <w:pPr>
        <w:spacing w:before="120" w:after="120" w:line="276" w:lineRule="auto"/>
        <w:jc w:val="both"/>
        <w:rPr>
          <w:rFonts w:ascii="Arial" w:eastAsia="Calibri" w:hAnsi="Arial" w:cs="Arial"/>
          <w:lang w:val="es-ES_tradnl" w:eastAsia="es-ES_tradnl"/>
        </w:rPr>
      </w:pPr>
      <w:r w:rsidRPr="00563492">
        <w:rPr>
          <w:rFonts w:ascii="Arial" w:eastAsia="Calibri" w:hAnsi="Arial" w:cs="Arial"/>
          <w:lang w:val="es-ES_tradnl" w:eastAsia="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036AA3F7" w14:textId="77777777" w:rsidR="00AD1622" w:rsidRPr="00563492" w:rsidRDefault="00AD1622" w:rsidP="00AD1622">
      <w:pPr>
        <w:spacing w:before="120" w:after="120" w:line="276" w:lineRule="auto"/>
        <w:jc w:val="both"/>
        <w:rPr>
          <w:rFonts w:ascii="Arial" w:eastAsia="Calibri" w:hAnsi="Arial" w:cs="Arial"/>
          <w:lang w:val="es-ES_tradnl" w:eastAsia="es-ES_tradnl"/>
        </w:rPr>
      </w:pPr>
      <w:r w:rsidRPr="00563492">
        <w:rPr>
          <w:rFonts w:ascii="Arial" w:eastAsia="Calibri" w:hAnsi="Arial" w:cs="Arial"/>
          <w:lang w:val="es-ES_tradnl" w:eastAsia="es-ES_tradnl"/>
        </w:rPr>
        <w:tab/>
      </w:r>
      <w:bookmarkStart w:id="25" w:name="_Hlk113022874"/>
      <w:r w:rsidRPr="00563492">
        <w:rPr>
          <w:rFonts w:ascii="Arial" w:eastAsia="Calibri" w:hAnsi="Arial" w:cs="Arial"/>
          <w:lang w:val="es-ES_tradnl" w:eastAsia="es-ES_tradnl"/>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w:t>
      </w:r>
      <w:r w:rsidRPr="00563492">
        <w:rPr>
          <w:rFonts w:ascii="Arial" w:eastAsia="Calibri" w:hAnsi="Arial" w:cs="Arial"/>
          <w:bCs/>
          <w:lang w:val="es-ES_tradnl" w:eastAsia="es-ES_tradnl"/>
        </w:rPr>
        <w:t>EGCAP</w:t>
      </w:r>
      <w:r w:rsidRPr="00563492">
        <w:rPr>
          <w:rFonts w:ascii="Arial" w:eastAsia="Calibri" w:hAnsi="Arial" w:cs="Arial"/>
          <w:lang w:val="es-ES_tradnl" w:eastAsia="es-ES_tradnl"/>
        </w:rPr>
        <w:t>;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25"/>
    <w:p w14:paraId="2D20F686" w14:textId="77777777" w:rsidR="00AD1622" w:rsidRPr="00563492" w:rsidRDefault="00AD1622" w:rsidP="00AD1622">
      <w:pPr>
        <w:spacing w:before="120" w:after="120" w:line="276" w:lineRule="auto"/>
        <w:jc w:val="both"/>
        <w:rPr>
          <w:rFonts w:ascii="Arial" w:eastAsia="Calibri" w:hAnsi="Arial" w:cs="Arial"/>
          <w:lang w:val="es-ES_tradnl" w:eastAsia="es-ES_tradnl"/>
        </w:rPr>
      </w:pPr>
      <w:r w:rsidRPr="00563492">
        <w:rPr>
          <w:rFonts w:ascii="Arial" w:eastAsia="Calibri" w:hAnsi="Arial" w:cs="Arial"/>
          <w:lang w:val="es-ES_tradnl" w:eastAsia="es-ES_tradnl"/>
        </w:rPr>
        <w:tab/>
        <w:t xml:space="preserve">Esta norma fue estudiada por la Corte Constitucional en la sentencia C-119 de 2020. Al respecto, el Alto Tribunal indicó que la adopción de los documentos tipo no afectaba la autonomía de las entidades territoriales, en cuanto la estandarización se predicaba únicamente de los requisitos habilitantes </w:t>
      </w:r>
      <w:bookmarkStart w:id="26" w:name="_Hlk48665985"/>
      <w:r w:rsidRPr="00563492">
        <w:rPr>
          <w:rFonts w:ascii="Arial" w:eastAsia="Calibri" w:hAnsi="Arial"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26"/>
      <w:r w:rsidRPr="00563492">
        <w:rPr>
          <w:rFonts w:ascii="Arial" w:eastAsia="Calibri" w:hAnsi="Arial" w:cs="Arial"/>
          <w:lang w:val="es-ES_tradnl" w:eastAsia="es-ES_tradnl"/>
        </w:rPr>
        <w:t>. De igual manera, se establece que esta autonomía se garantiza con la identificación autónoma de sus necesidades y la configuración de los elementos del contrato</w:t>
      </w:r>
      <w:r w:rsidRPr="00563492">
        <w:rPr>
          <w:rFonts w:ascii="Arial" w:eastAsia="Calibri" w:hAnsi="Arial" w:cs="Arial"/>
          <w:vertAlign w:val="superscript"/>
          <w:lang w:val="es-ES_tradnl" w:eastAsia="es-ES_tradnl"/>
        </w:rPr>
        <w:footnoteReference w:id="21"/>
      </w:r>
      <w:r w:rsidRPr="00563492">
        <w:rPr>
          <w:rFonts w:ascii="Arial" w:eastAsia="Calibri" w:hAnsi="Arial" w:cs="Arial"/>
          <w:lang w:val="es-ES_tradnl" w:eastAsia="es-ES_tradnl"/>
        </w:rPr>
        <w:t>.</w:t>
      </w:r>
    </w:p>
    <w:p w14:paraId="649E4A92" w14:textId="77777777" w:rsidR="00AD1622" w:rsidRPr="00563492" w:rsidRDefault="00AD1622" w:rsidP="00AD1622">
      <w:pPr>
        <w:spacing w:before="120" w:after="120" w:line="276" w:lineRule="auto"/>
        <w:jc w:val="both"/>
        <w:rPr>
          <w:rFonts w:ascii="Arial" w:eastAsia="Calibri" w:hAnsi="Arial" w:cs="Arial"/>
          <w:lang w:val="es-ES_tradnl" w:eastAsia="es-ES_tradnl"/>
        </w:rPr>
      </w:pPr>
      <w:r w:rsidRPr="00563492">
        <w:rPr>
          <w:rFonts w:ascii="Arial" w:eastAsia="Calibri" w:hAnsi="Arial"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79F9F5A" w14:textId="77777777" w:rsidR="00AD1622" w:rsidRPr="00563492" w:rsidRDefault="00AD1622" w:rsidP="00AD1622">
      <w:pPr>
        <w:spacing w:before="120" w:after="120" w:line="276" w:lineRule="auto"/>
        <w:ind w:firstLine="709"/>
        <w:jc w:val="both"/>
        <w:rPr>
          <w:rFonts w:ascii="Arial" w:eastAsia="Calibri" w:hAnsi="Arial" w:cs="Arial"/>
          <w:lang w:val="es-ES_tradnl" w:eastAsia="es-ES"/>
        </w:rPr>
      </w:pPr>
      <w:bookmarkStart w:id="27" w:name="_Hlk113022941"/>
      <w:r w:rsidRPr="00563492">
        <w:rPr>
          <w:rFonts w:ascii="Arial" w:eastAsia="Calibri" w:hAnsi="Arial" w:cs="Arial"/>
          <w:lang w:val="es-ES_tradnl" w:eastAsia="es-ES"/>
        </w:rPr>
        <w:t>Posteriormente, se expidió la Ley 2022 de 2020, norma que modificó el contenido del parágrafo 7 del artículo 2 de la Ley 1150 de 2007, que había sido adicionado por la Ley 1882 de 2018</w:t>
      </w:r>
      <w:r w:rsidRPr="00563492">
        <w:rPr>
          <w:rFonts w:ascii="Arial" w:eastAsia="Calibri" w:hAnsi="Arial" w:cs="Arial"/>
          <w:vertAlign w:val="superscript"/>
          <w:lang w:val="es-ES_tradnl" w:eastAsia="es-ES"/>
        </w:rPr>
        <w:footnoteReference w:id="22"/>
      </w:r>
      <w:r w:rsidRPr="00563492">
        <w:rPr>
          <w:rFonts w:ascii="Arial" w:eastAsia="Calibri" w:hAnsi="Arial" w:cs="Arial"/>
          <w:lang w:val="es-ES_tradnl" w:eastAsia="es-ES"/>
        </w:rPr>
        <w:t xml:space="preserve">. Con esta modificación, si bien se mantuvo el mandato de aplicación obligatoria de los documentos tipo por parte de las entidades sometidas al </w:t>
      </w:r>
      <w:r w:rsidRPr="00563492">
        <w:rPr>
          <w:rFonts w:ascii="Arial" w:eastAsia="Calibri" w:hAnsi="Arial" w:cs="Arial"/>
          <w:bCs/>
          <w:lang w:val="es-ES_tradnl" w:eastAsia="es-ES_tradnl"/>
        </w:rPr>
        <w:t>EGCAP</w:t>
      </w:r>
      <w:r w:rsidRPr="00563492">
        <w:rPr>
          <w:rFonts w:ascii="Arial" w:eastAsia="Calibri" w:hAnsi="Arial" w:cs="Arial"/>
          <w:lang w:val="es-ES_tradnl" w:eastAsia="es-ES"/>
        </w:rPr>
        <w:t xml:space="preserve">, se atribuyó a la </w:t>
      </w:r>
      <w:r w:rsidRPr="00563492">
        <w:rPr>
          <w:rFonts w:ascii="Arial" w:eastAsia="Calibri" w:hAnsi="Arial" w:cs="Arial"/>
          <w:lang w:val="es-ES_tradnl"/>
        </w:rPr>
        <w:t xml:space="preserve">Agencia Nacional de Contratación Pública – Colombia Compra Eficiente la competencia para su expedición. </w:t>
      </w:r>
      <w:r w:rsidRPr="00563492">
        <w:rPr>
          <w:rFonts w:ascii="Arial" w:eastAsia="Calibri" w:hAnsi="Arial"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Pr="00563492">
        <w:rPr>
          <w:rFonts w:ascii="Arial" w:eastAsia="Calibri" w:hAnsi="Arial" w:cs="Arial"/>
          <w:i/>
          <w:iCs/>
          <w:lang w:val="es-ES_tradnl" w:eastAsia="es-ES"/>
        </w:rPr>
        <w:t>“Por la cual se adopta el procedimiento para implementar los documentos tipo y se define el sistema para su revisión”.</w:t>
      </w:r>
      <w:r w:rsidRPr="00563492">
        <w:rPr>
          <w:rFonts w:ascii="Arial" w:eastAsia="Calibri" w:hAnsi="Arial" w:cs="Arial"/>
          <w:lang w:val="es-ES_tradnl" w:eastAsia="es-ES"/>
        </w:rPr>
        <w:t xml:space="preserve"> </w:t>
      </w:r>
    </w:p>
    <w:p w14:paraId="31B11125" w14:textId="77777777" w:rsidR="00AD1622" w:rsidRPr="00563492" w:rsidRDefault="00AD1622" w:rsidP="00AD1622">
      <w:pPr>
        <w:shd w:val="clear" w:color="auto" w:fill="FFFFFF"/>
        <w:spacing w:after="0" w:line="276" w:lineRule="auto"/>
        <w:ind w:firstLine="709"/>
        <w:jc w:val="both"/>
        <w:textAlignment w:val="baseline"/>
        <w:rPr>
          <w:rFonts w:ascii="Arial" w:eastAsia="Calibri" w:hAnsi="Arial" w:cs="Arial"/>
          <w:lang w:eastAsia="en-GB"/>
        </w:rPr>
      </w:pPr>
      <w:r w:rsidRPr="00563492">
        <w:rPr>
          <w:rFonts w:ascii="Arial" w:eastAsia="Calibri" w:hAnsi="Arial" w:cs="Arial"/>
          <w:lang w:eastAsia="es-ES_tradnl"/>
        </w:rPr>
        <w:t xml:space="preserve">De acuerdo con lo expuesto, </w:t>
      </w:r>
      <w:r w:rsidRPr="00563492">
        <w:rPr>
          <w:rFonts w:ascii="Arial" w:eastAsia="Calibri" w:hAnsi="Arial" w:cs="Arial"/>
          <w:bdr w:val="none" w:sz="0" w:space="0" w:color="auto" w:frame="1"/>
          <w:lang w:eastAsia="es-ES_tradnl"/>
        </w:rPr>
        <w:t xml:space="preserve">los documentos tipo adoptados son obligatorios para las entidades estatales regidas por el </w:t>
      </w:r>
      <w:r w:rsidRPr="00563492">
        <w:rPr>
          <w:rFonts w:ascii="Arial" w:eastAsia="Calibri" w:hAnsi="Arial" w:cs="Arial"/>
          <w:bCs/>
          <w:lang w:val="es-ES_tradnl" w:eastAsia="es-ES_tradnl"/>
        </w:rPr>
        <w:t>EGCAP</w:t>
      </w:r>
      <w:r w:rsidRPr="00563492">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563492">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27"/>
    <w:p w14:paraId="70EB7CEC" w14:textId="77777777" w:rsidR="00AD1622" w:rsidRPr="00563492" w:rsidRDefault="00AD1622" w:rsidP="00AD1622">
      <w:pPr>
        <w:tabs>
          <w:tab w:val="left" w:pos="0"/>
        </w:tabs>
        <w:spacing w:line="276" w:lineRule="auto"/>
        <w:contextualSpacing/>
        <w:jc w:val="both"/>
        <w:rPr>
          <w:rFonts w:ascii="Arial" w:eastAsia="Calibri" w:hAnsi="Arial" w:cs="Arial"/>
          <w:b/>
          <w:lang w:val="es-ES_tradnl" w:eastAsia="es-ES_tradnl"/>
        </w:rPr>
      </w:pPr>
      <w:r w:rsidRPr="00563492">
        <w:rPr>
          <w:rFonts w:ascii="Arial" w:eastAsia="Calibri" w:hAnsi="Arial" w:cs="Arial"/>
          <w:lang w:eastAsia="en-GB"/>
        </w:rPr>
        <w:t xml:space="preserve"> </w:t>
      </w:r>
    </w:p>
    <w:p w14:paraId="15246AB0" w14:textId="4EB367C2" w:rsidR="00AD1622" w:rsidRPr="00563492" w:rsidRDefault="00AD1622" w:rsidP="00AD1622">
      <w:pPr>
        <w:tabs>
          <w:tab w:val="left" w:pos="0"/>
        </w:tabs>
        <w:spacing w:line="276" w:lineRule="auto"/>
        <w:contextualSpacing/>
        <w:jc w:val="both"/>
        <w:rPr>
          <w:rFonts w:ascii="Arial" w:eastAsia="Calibri" w:hAnsi="Arial" w:cs="Arial"/>
          <w:b/>
          <w:lang w:val="es-ES_tradnl" w:eastAsia="es-ES_tradnl"/>
        </w:rPr>
      </w:pPr>
      <w:r w:rsidRPr="00563492">
        <w:rPr>
          <w:rFonts w:ascii="Arial" w:eastAsia="Calibri" w:hAnsi="Arial" w:cs="Arial"/>
          <w:b/>
          <w:lang w:val="es-ES_tradnl" w:eastAsia="es-ES_tradnl"/>
        </w:rPr>
        <w:t xml:space="preserve">2.4. </w:t>
      </w:r>
      <w:bookmarkStart w:id="28" w:name="_Hlk145440732"/>
      <w:bookmarkStart w:id="29" w:name="_Hlk95322387"/>
      <w:r w:rsidRPr="00563492">
        <w:rPr>
          <w:rFonts w:ascii="Arial" w:eastAsia="Calibri" w:hAnsi="Arial" w:cs="Arial"/>
          <w:b/>
          <w:lang w:val="es-ES_tradnl"/>
        </w:rPr>
        <w:t xml:space="preserve">Alcance del artículo 56 de la Ley 2195 de 2022 frente a la implementación obligatoria del </w:t>
      </w:r>
      <w:r w:rsidRPr="00563492">
        <w:rPr>
          <w:rFonts w:ascii="Arial" w:eastAsia="Calibri" w:hAnsi="Arial" w:cs="Arial"/>
          <w:b/>
          <w:lang w:val="es-ES_tradnl" w:eastAsia="es-ES_tradnl"/>
        </w:rPr>
        <w:t xml:space="preserve">Estatuto General de Contratación de la Administración Pública </w:t>
      </w:r>
      <w:r w:rsidRPr="00563492">
        <w:rPr>
          <w:rFonts w:ascii="Arial" w:eastAsia="Calibri" w:hAnsi="Arial" w:cs="Arial"/>
          <w:b/>
          <w:lang w:val="es-ES_tradnl"/>
        </w:rPr>
        <w:t xml:space="preserve">y de los documentos tipo en la celebración de convenios o contratos interadministrativos </w:t>
      </w:r>
      <w:bookmarkEnd w:id="28"/>
    </w:p>
    <w:bookmarkEnd w:id="29"/>
    <w:p w14:paraId="311DACA4" w14:textId="77777777" w:rsidR="00AD1622" w:rsidRPr="00563492" w:rsidRDefault="00AD1622" w:rsidP="00AD1622">
      <w:pPr>
        <w:tabs>
          <w:tab w:val="left" w:pos="0"/>
        </w:tabs>
        <w:spacing w:line="276" w:lineRule="auto"/>
        <w:contextualSpacing/>
        <w:jc w:val="both"/>
        <w:rPr>
          <w:rFonts w:ascii="Arial" w:eastAsia="Calibri" w:hAnsi="Arial" w:cs="Arial"/>
          <w:bCs/>
          <w:lang w:val="es-ES_tradnl" w:eastAsia="es-ES_tradnl"/>
        </w:rPr>
      </w:pPr>
    </w:p>
    <w:p w14:paraId="5A74ED16" w14:textId="1A6540DE" w:rsidR="00AD1622" w:rsidRPr="00563492" w:rsidRDefault="00AD1622" w:rsidP="00AD1622">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w:t>
      </w:r>
      <w:r w:rsidR="00DE2E3C"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ntidades </w:t>
      </w:r>
      <w:r w:rsidR="00DE2E3C"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statales sometidas al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52B85935" w14:textId="77777777" w:rsidR="00AD1622" w:rsidRPr="00563492" w:rsidRDefault="00AD1622" w:rsidP="00AD1622">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
          <w:lang w:val="es-ES_tradnl" w:eastAsia="es-ES_tradnl"/>
        </w:rPr>
        <w:tab/>
      </w:r>
      <w:bookmarkStart w:id="30" w:name="_Hlk113023000"/>
      <w:r w:rsidRPr="00563492">
        <w:rPr>
          <w:rFonts w:ascii="Arial" w:eastAsia="Calibri" w:hAnsi="Arial" w:cs="Arial"/>
          <w:bCs/>
          <w:lang w:val="es-ES_tradnl" w:eastAsia="es-ES_tradnl"/>
        </w:rPr>
        <w:t xml:space="preserve">En este contexto, se expidió la Ley 2195 de 2022, </w:t>
      </w:r>
      <w:r w:rsidRPr="00563492">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Pr="00563492">
        <w:rPr>
          <w:rFonts w:ascii="Arial" w:eastAsia="Calibri" w:hAnsi="Arial" w:cs="Arial"/>
          <w:bCs/>
          <w:lang w:val="es-ES_tradnl" w:eastAsia="es-ES_tradnl"/>
        </w:rPr>
        <w:t xml:space="preserve">. Según su artículo 1°, este cuerpo normativo </w:t>
      </w:r>
      <w:r w:rsidRPr="00563492">
        <w:rPr>
          <w:rFonts w:ascii="Arial" w:eastAsia="Calibri" w:hAnsi="Arial" w:cs="Arial"/>
          <w:lang w:val="es-ES_tradnl" w:eastAsia="es-ES_tradnl"/>
        </w:rPr>
        <w:t>“</w:t>
      </w:r>
      <w:r w:rsidRPr="00563492">
        <w:rPr>
          <w:rFonts w:ascii="Arial" w:eastAsia="Times New Roman" w:hAnsi="Arial" w:cs="Arial"/>
          <w:lang w:val="es-ES_tradnl" w:eastAsia="es-ES_tradnl"/>
        </w:rPr>
        <w:t xml:space="preserve">[…] </w:t>
      </w:r>
      <w:r w:rsidRPr="00563492">
        <w:rPr>
          <w:rFonts w:ascii="Arial" w:eastAsia="Calibri" w:hAnsi="Arial" w:cs="Arial"/>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w:t>
      </w:r>
      <w:r w:rsidRPr="00563492">
        <w:rPr>
          <w:rFonts w:ascii="Arial" w:eastAsia="Calibri" w:hAnsi="Arial" w:cs="Arial"/>
          <w:i/>
          <w:iCs/>
          <w:lang w:val="es-ES_tradnl" w:eastAsia="es-ES_tradnl"/>
        </w:rPr>
        <w:t>Disposiciones en materia contractual para la moralización y la transparencia</w:t>
      </w:r>
      <w:r w:rsidRPr="00563492">
        <w:rPr>
          <w:rFonts w:ascii="Arial" w:eastAsia="Calibri" w:hAnsi="Arial" w:cs="Arial"/>
          <w:lang w:val="es-ES_tradnl" w:eastAsia="es-ES_tradnl"/>
        </w:rPr>
        <w:t xml:space="preserve">”, se </w:t>
      </w:r>
      <w:r w:rsidRPr="00563492">
        <w:rPr>
          <w:rFonts w:ascii="Arial" w:eastAsia="Calibri" w:hAnsi="Arial" w:cs="Arial"/>
          <w:bCs/>
          <w:lang w:val="es-ES_tradnl" w:eastAsia="es-ES_tradnl"/>
        </w:rPr>
        <w:t xml:space="preserve">destaca el artículo 56, norma sobre la que versa la presente consulta. </w:t>
      </w:r>
    </w:p>
    <w:p w14:paraId="05431588" w14:textId="77777777" w:rsidR="00AD1622" w:rsidRPr="00563492" w:rsidRDefault="00AD1622" w:rsidP="00AD1622">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Para comenzar el análisis del contenido de la referida disposición, es pertinente iniciar estudiando su trámite legislativo. Al respecto, el Proyecto de Ley No. 341 de 2020</w:t>
      </w:r>
      <w:r w:rsidRPr="00563492">
        <w:rPr>
          <w:rStyle w:val="Refdenotaalpie"/>
          <w:rFonts w:ascii="Arial" w:eastAsia="Calibri" w:hAnsi="Arial" w:cs="Arial"/>
          <w:bCs/>
          <w:lang w:val="es-ES_tradnl" w:eastAsia="es-ES_tradnl"/>
        </w:rPr>
        <w:footnoteReference w:id="23"/>
      </w:r>
      <w:r w:rsidRPr="00563492">
        <w:rPr>
          <w:rFonts w:ascii="Arial" w:eastAsia="Calibri" w:hAnsi="Arial"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No.369 de 2021</w:t>
      </w:r>
      <w:r w:rsidRPr="00563492">
        <w:rPr>
          <w:rStyle w:val="Refdenotaalpie"/>
          <w:rFonts w:ascii="Arial" w:eastAsia="Calibri" w:hAnsi="Arial" w:cs="Arial"/>
          <w:bCs/>
          <w:lang w:val="es-ES_tradnl" w:eastAsia="es-ES_tradnl"/>
        </w:rPr>
        <w:footnoteReference w:id="24"/>
      </w:r>
      <w:r w:rsidRPr="00563492">
        <w:rPr>
          <w:rFonts w:ascii="Arial" w:eastAsia="Calibri" w:hAnsi="Arial" w:cs="Arial"/>
          <w:bCs/>
          <w:lang w:val="es-ES_tradnl" w:eastAsia="es-ES_tradnl"/>
        </w:rPr>
        <w:t xml:space="preserve"> y a continuación conciliado por ambas cámaras el 16 y 15 de diciembre de 2021, respectivamente.</w:t>
      </w:r>
    </w:p>
    <w:p w14:paraId="799DBC9F" w14:textId="77777777" w:rsidR="00AD1622" w:rsidRPr="00563492" w:rsidRDefault="00AD1622" w:rsidP="00AD1622">
      <w:pPr>
        <w:tabs>
          <w:tab w:val="left" w:pos="0"/>
        </w:tabs>
        <w:spacing w:after="120" w:line="276" w:lineRule="auto"/>
        <w:jc w:val="both"/>
        <w:rPr>
          <w:rFonts w:ascii="Arial" w:eastAsia="Calibri" w:hAnsi="Arial" w:cs="Arial"/>
          <w:lang w:val="es-ES_tradnl" w:eastAsia="es-ES_tradnl"/>
        </w:rPr>
      </w:pPr>
      <w:r w:rsidRPr="00563492">
        <w:rPr>
          <w:rFonts w:ascii="Arial" w:eastAsia="Calibri" w:hAnsi="Arial"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563492">
        <w:rPr>
          <w:rFonts w:ascii="Arial" w:eastAsia="Calibri" w:hAnsi="Arial" w:cs="Arial"/>
          <w:lang w:val="es-ES_tradnl" w:eastAsia="es-ES_tradnl"/>
        </w:rPr>
        <w:t xml:space="preserve">en audiencia pública realizada por la </w:t>
      </w:r>
      <w:r w:rsidRPr="00563492">
        <w:rPr>
          <w:rStyle w:val="markedcontent"/>
          <w:rFonts w:ascii="Arial" w:hAnsi="Arial" w:cs="Arial"/>
        </w:rPr>
        <w:t xml:space="preserve">Comisión Primera del Senado </w:t>
      </w:r>
      <w:r w:rsidRPr="00563492">
        <w:rPr>
          <w:rFonts w:ascii="Arial" w:eastAsia="Calibri" w:hAnsi="Arial" w:cs="Arial"/>
          <w:lang w:val="es-ES_tradnl" w:eastAsia="es-ES_tradnl"/>
        </w:rPr>
        <w:t xml:space="preserve">el día </w:t>
      </w:r>
      <w:r w:rsidRPr="00563492">
        <w:rPr>
          <w:rStyle w:val="markedcontent"/>
          <w:rFonts w:ascii="Arial" w:hAnsi="Arial" w:cs="Arial"/>
        </w:rPr>
        <w:t xml:space="preserve">14 de diciembre de 2020, </w:t>
      </w:r>
      <w:r w:rsidRPr="00563492">
        <w:rPr>
          <w:rFonts w:ascii="Arial" w:eastAsia="Calibri" w:hAnsi="Arial" w:cs="Arial"/>
          <w:bCs/>
          <w:lang w:val="es-ES_tradnl" w:eastAsia="es-ES_tradnl"/>
        </w:rPr>
        <w:t xml:space="preserve">se incluyeron disposiciones en el proyecto de Ley relacionadas por ejemplo con: </w:t>
      </w:r>
      <w:r w:rsidRPr="00563492">
        <w:rPr>
          <w:rFonts w:ascii="Arial" w:eastAsia="Calibri" w:hAnsi="Arial"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563492">
        <w:rPr>
          <w:rStyle w:val="Refdenotaalpie"/>
          <w:rFonts w:ascii="Arial" w:eastAsia="Calibri" w:hAnsi="Arial" w:cs="Arial"/>
          <w:lang w:val="es-ES_tradnl" w:eastAsia="es-ES_tradnl"/>
        </w:rPr>
        <w:footnoteReference w:id="25"/>
      </w:r>
      <w:r w:rsidRPr="00563492">
        <w:rPr>
          <w:rFonts w:ascii="Arial" w:eastAsia="Calibri" w:hAnsi="Arial" w:cs="Arial"/>
          <w:lang w:val="es-ES_tradnl" w:eastAsia="es-ES_tradnl"/>
        </w:rPr>
        <w:t>.</w:t>
      </w:r>
    </w:p>
    <w:p w14:paraId="335A2523" w14:textId="77777777" w:rsidR="00AD1622" w:rsidRPr="00563492" w:rsidRDefault="00AD1622" w:rsidP="005D4023">
      <w:pPr>
        <w:spacing w:after="0" w:line="276" w:lineRule="auto"/>
        <w:jc w:val="both"/>
        <w:rPr>
          <w:rFonts w:ascii="Arial" w:eastAsia="Calibri" w:hAnsi="Arial" w:cs="Arial"/>
          <w:lang w:val="es-ES" w:eastAsia="es-ES"/>
        </w:rPr>
      </w:pPr>
      <w:r w:rsidRPr="00563492">
        <w:rPr>
          <w:rFonts w:ascii="Arial" w:eastAsia="Calibri" w:hAnsi="Arial" w:cs="Arial"/>
          <w:bCs/>
          <w:lang w:val="es-ES_tradnl" w:eastAsia="es-ES_tradnl"/>
        </w:rPr>
        <w:tab/>
      </w:r>
      <w:r w:rsidRPr="00563492">
        <w:rPr>
          <w:rFonts w:ascii="Arial" w:eastAsia="Calibri" w:hAnsi="Arial" w:cs="Arial"/>
          <w:lang w:val="es-ES" w:eastAsia="es-ES"/>
        </w:rPr>
        <w:t xml:space="preserve">En ese orden de ideas, se incorporó en el informe para primer debate legislativo el artículo 85, denominado </w:t>
      </w:r>
      <w:r w:rsidRPr="00563492">
        <w:rPr>
          <w:rFonts w:ascii="Arial" w:eastAsia="Calibri" w:hAnsi="Arial" w:cs="Arial"/>
          <w:i/>
          <w:lang w:val="es-ES" w:eastAsia="es-ES"/>
        </w:rPr>
        <w:t>“Aplicación del Régimen de Contratación Pública en Entidades del Régimen Privado o Especial”,</w:t>
      </w:r>
      <w:r w:rsidRPr="00563492">
        <w:rPr>
          <w:rFonts w:ascii="Arial" w:eastAsia="Calibri" w:hAnsi="Arial" w:cs="Arial"/>
          <w:lang w:val="es-ES" w:eastAsia="es-ES"/>
        </w:rPr>
        <w:t xml:space="preserve"> que disponía: </w:t>
      </w:r>
    </w:p>
    <w:p w14:paraId="244F6F7B" w14:textId="77777777" w:rsidR="00AD1622" w:rsidRPr="00563492" w:rsidRDefault="00AD1622" w:rsidP="007F3F19">
      <w:pPr>
        <w:spacing w:after="0" w:line="240" w:lineRule="auto"/>
        <w:jc w:val="both"/>
        <w:rPr>
          <w:rFonts w:ascii="Arial" w:eastAsia="Calibri" w:hAnsi="Arial" w:cs="Arial"/>
          <w:lang w:val="es-ES" w:eastAsia="es-ES"/>
        </w:rPr>
      </w:pPr>
    </w:p>
    <w:p w14:paraId="16748B44" w14:textId="77777777" w:rsidR="00AD1622" w:rsidRPr="00563492" w:rsidRDefault="00AD1622" w:rsidP="00AD1622">
      <w:pPr>
        <w:tabs>
          <w:tab w:val="left" w:pos="0"/>
        </w:tabs>
        <w:spacing w:after="120" w:line="240" w:lineRule="auto"/>
        <w:ind w:left="709" w:right="709"/>
        <w:jc w:val="both"/>
        <w:rPr>
          <w:rFonts w:ascii="Arial" w:eastAsia="Calibri" w:hAnsi="Arial" w:cs="Arial"/>
          <w:bCs/>
          <w:sz w:val="21"/>
          <w:szCs w:val="21"/>
          <w:lang w:val="es-ES_tradnl" w:eastAsia="es-ES_tradnl"/>
        </w:rPr>
      </w:pPr>
      <w:r w:rsidRPr="00563492">
        <w:rPr>
          <w:rFonts w:ascii="Arial" w:eastAsia="Calibri" w:hAnsi="Arial"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100F716B" w14:textId="0532F277" w:rsidR="00AD1622" w:rsidRPr="00563492" w:rsidRDefault="00AD1622" w:rsidP="007F3F19">
      <w:pPr>
        <w:spacing w:after="0" w:line="240" w:lineRule="auto"/>
        <w:ind w:left="709" w:right="709"/>
        <w:jc w:val="both"/>
        <w:rPr>
          <w:rFonts w:ascii="Arial" w:eastAsia="Calibri" w:hAnsi="Arial" w:cs="Arial"/>
          <w:sz w:val="21"/>
          <w:szCs w:val="21"/>
          <w:lang w:val="es-ES" w:eastAsia="es-ES"/>
        </w:rPr>
      </w:pPr>
      <w:r w:rsidRPr="00563492">
        <w:rPr>
          <w:rFonts w:ascii="Arial" w:eastAsia="Calibri" w:hAnsi="Arial" w:cs="Arial"/>
          <w:sz w:val="21"/>
          <w:szCs w:val="21"/>
          <w:lang w:val="es-ES" w:eastAsia="es-ES"/>
        </w:rPr>
        <w:t>Parágrafo</w:t>
      </w:r>
      <w:r w:rsidR="007F3F19" w:rsidRPr="00563492">
        <w:rPr>
          <w:rFonts w:ascii="Arial" w:eastAsia="Calibri" w:hAnsi="Arial" w:cs="Arial"/>
          <w:sz w:val="21"/>
          <w:szCs w:val="21"/>
          <w:lang w:val="es-ES" w:eastAsia="es-ES"/>
        </w:rPr>
        <w:t>.</w:t>
      </w:r>
      <w:r w:rsidRPr="00563492">
        <w:rPr>
          <w:rFonts w:ascii="Arial" w:eastAsia="Calibri" w:hAnsi="Arial" w:cs="Arial"/>
          <w:sz w:val="21"/>
          <w:szCs w:val="21"/>
          <w:lang w:val="es-ES" w:eastAsia="es-ES"/>
        </w:rPr>
        <w:t xml:space="preserve">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563492">
        <w:rPr>
          <w:rStyle w:val="Refdenotaalpie"/>
          <w:rFonts w:ascii="Arial" w:eastAsia="Calibri" w:hAnsi="Arial" w:cs="Arial"/>
          <w:sz w:val="21"/>
          <w:szCs w:val="21"/>
          <w:lang w:val="es-ES" w:eastAsia="es-ES"/>
        </w:rPr>
        <w:footnoteReference w:id="26"/>
      </w:r>
    </w:p>
    <w:p w14:paraId="3B7ED4D0" w14:textId="77777777" w:rsidR="00AD1622" w:rsidRPr="00563492" w:rsidRDefault="00AD1622" w:rsidP="007F3F19">
      <w:pPr>
        <w:spacing w:after="0" w:line="240" w:lineRule="auto"/>
        <w:ind w:left="709" w:right="709"/>
        <w:jc w:val="both"/>
        <w:rPr>
          <w:rFonts w:ascii="Arial" w:eastAsia="Calibri" w:hAnsi="Arial" w:cs="Arial"/>
          <w:sz w:val="21"/>
          <w:szCs w:val="21"/>
          <w:lang w:val="es-ES" w:eastAsia="es-ES"/>
        </w:rPr>
      </w:pPr>
    </w:p>
    <w:p w14:paraId="0BB6F938" w14:textId="77777777" w:rsidR="00AD1622" w:rsidRPr="00563492" w:rsidRDefault="00AD1622" w:rsidP="00AD1622">
      <w:pPr>
        <w:tabs>
          <w:tab w:val="left" w:pos="0"/>
        </w:tabs>
        <w:spacing w:line="276" w:lineRule="auto"/>
        <w:jc w:val="both"/>
        <w:rPr>
          <w:rStyle w:val="markedcontent"/>
          <w:rFonts w:ascii="Arial" w:hAnsi="Arial" w:cs="Arial"/>
        </w:rPr>
      </w:pPr>
      <w:r w:rsidRPr="00563492">
        <w:rPr>
          <w:rFonts w:ascii="Arial" w:eastAsia="Calibri" w:hAnsi="Arial" w:cs="Arial"/>
          <w:bCs/>
          <w:lang w:val="es-ES_tradnl" w:eastAsia="es-ES_tradnl"/>
        </w:rPr>
        <w:tab/>
      </w:r>
      <w:r w:rsidRPr="00563492">
        <w:rPr>
          <w:rFonts w:ascii="Arial" w:eastAsia="Calibri" w:hAnsi="Arial" w:cs="Arial"/>
          <w:lang w:val="es-ES_tradnl" w:eastAsia="es-ES_tradnl"/>
        </w:rPr>
        <w:t xml:space="preserve">Conforme a lo expuesto en el pliego de modificaciones al proyecto de Ley, la adición del articulado en mención tiene como fin </w:t>
      </w:r>
      <w:r w:rsidRPr="00563492">
        <w:rPr>
          <w:rStyle w:val="markedcontent"/>
          <w:rFonts w:ascii="Arial" w:hAnsi="Arial" w:cs="Arial"/>
        </w:rPr>
        <w:t xml:space="preserve">“Extender la </w:t>
      </w:r>
      <w:r w:rsidRPr="00563492">
        <w:rPr>
          <w:rStyle w:val="markedcontent"/>
          <w:rFonts w:ascii="Arial" w:hAnsi="Arial" w:cs="Arial"/>
          <w:i/>
        </w:rPr>
        <w:t>obligatoriedad de la aplicación del régimen de contratación estatal y pliegos tipo, cuando se celebran convenios interadministrativos</w:t>
      </w:r>
      <w:r w:rsidRPr="00563492">
        <w:rPr>
          <w:rStyle w:val="markedcontent"/>
          <w:rFonts w:ascii="Arial" w:hAnsi="Arial" w:cs="Arial"/>
        </w:rPr>
        <w:t xml:space="preserve"> con una entidad que tiene régimen de contratación privada </w:t>
      </w:r>
      <w:r w:rsidRPr="00563492">
        <w:rPr>
          <w:rStyle w:val="markedcontent"/>
          <w:rFonts w:ascii="Arial" w:hAnsi="Arial" w:cs="Arial"/>
          <w:i/>
        </w:rPr>
        <w:t>con el fin de evitar la contratación directa con recursos del estado y proveer de mayores garantías al proceso</w:t>
      </w:r>
      <w:r w:rsidRPr="00563492">
        <w:rPr>
          <w:rStyle w:val="markedcontent"/>
          <w:rFonts w:ascii="Arial" w:hAnsi="Arial" w:cs="Arial"/>
        </w:rPr>
        <w:t>”</w:t>
      </w:r>
      <w:r w:rsidRPr="00563492">
        <w:rPr>
          <w:rStyle w:val="Refdenotaalpie"/>
          <w:rFonts w:ascii="Arial" w:hAnsi="Arial" w:cs="Arial"/>
        </w:rPr>
        <w:footnoteReference w:id="27"/>
      </w:r>
      <w:r w:rsidRPr="00563492">
        <w:rPr>
          <w:rStyle w:val="markedcontent"/>
          <w:rFonts w:ascii="Arial" w:hAnsi="Arial" w:cs="Arial"/>
        </w:rPr>
        <w:t xml:space="preserve">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0583A207" w14:textId="77777777" w:rsidR="00AD1622" w:rsidRPr="00563492" w:rsidRDefault="00AD1622" w:rsidP="00AD1622">
      <w:pPr>
        <w:tabs>
          <w:tab w:val="left" w:pos="0"/>
        </w:tabs>
        <w:spacing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Sin embargo, para segunda ponencia del Senado</w:t>
      </w:r>
      <w:r w:rsidRPr="00563492">
        <w:rPr>
          <w:rStyle w:val="Refdenotaalpie"/>
          <w:rFonts w:ascii="Arial" w:eastAsia="Calibri" w:hAnsi="Arial" w:cs="Arial"/>
          <w:bCs/>
          <w:lang w:val="es-ES_tradnl" w:eastAsia="es-ES_tradnl"/>
        </w:rPr>
        <w:footnoteReference w:id="28"/>
      </w:r>
      <w:r w:rsidRPr="00563492">
        <w:rPr>
          <w:rFonts w:ascii="Arial" w:eastAsia="Calibri" w:hAnsi="Arial"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25EBA15D" w14:textId="77777777" w:rsidR="00AD1622" w:rsidRPr="00563492" w:rsidRDefault="00AD1622" w:rsidP="00AD1622">
      <w:pPr>
        <w:tabs>
          <w:tab w:val="left" w:pos="0"/>
        </w:tabs>
        <w:spacing w:line="240" w:lineRule="auto"/>
        <w:ind w:left="709" w:right="709"/>
        <w:jc w:val="both"/>
        <w:rPr>
          <w:rStyle w:val="markedcontent"/>
          <w:rFonts w:ascii="Arial" w:hAnsi="Arial" w:cs="Arial"/>
          <w:sz w:val="21"/>
          <w:szCs w:val="21"/>
        </w:rPr>
      </w:pPr>
      <w:r w:rsidRPr="00563492">
        <w:rPr>
          <w:rStyle w:val="markedcontent"/>
          <w:rFonts w:ascii="Arial" w:hAnsi="Arial"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5B9A36D0" w14:textId="77777777" w:rsidR="00AD1622" w:rsidRPr="00563492" w:rsidRDefault="00AD1622" w:rsidP="00AD1622">
      <w:pPr>
        <w:tabs>
          <w:tab w:val="left" w:pos="0"/>
        </w:tabs>
        <w:spacing w:line="240" w:lineRule="auto"/>
        <w:ind w:left="709" w:right="709"/>
        <w:jc w:val="both"/>
        <w:rPr>
          <w:rFonts w:ascii="Arial" w:eastAsia="Calibri" w:hAnsi="Arial" w:cs="Arial"/>
          <w:bCs/>
          <w:sz w:val="21"/>
          <w:szCs w:val="21"/>
          <w:lang w:val="es-ES_tradnl" w:eastAsia="es-ES_tradnl"/>
        </w:rPr>
      </w:pPr>
      <w:r w:rsidRPr="00563492">
        <w:rPr>
          <w:rStyle w:val="markedcontent"/>
          <w:rFonts w:ascii="Arial" w:hAnsi="Arial"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563492">
        <w:rPr>
          <w:rStyle w:val="Refdenotaalpie"/>
          <w:rFonts w:ascii="Arial" w:hAnsi="Arial" w:cs="Arial"/>
          <w:sz w:val="21"/>
          <w:szCs w:val="21"/>
        </w:rPr>
        <w:t xml:space="preserve"> </w:t>
      </w:r>
      <w:r w:rsidRPr="00563492">
        <w:rPr>
          <w:rStyle w:val="Refdenotaalpie"/>
          <w:rFonts w:ascii="Arial" w:hAnsi="Arial" w:cs="Arial"/>
          <w:sz w:val="21"/>
          <w:szCs w:val="21"/>
        </w:rPr>
        <w:footnoteReference w:id="29"/>
      </w:r>
    </w:p>
    <w:p w14:paraId="4635B516" w14:textId="77777777" w:rsidR="00AD1622" w:rsidRPr="00563492" w:rsidRDefault="00AD1622" w:rsidP="00AD1622">
      <w:pPr>
        <w:tabs>
          <w:tab w:val="left" w:pos="0"/>
        </w:tabs>
        <w:spacing w:after="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r>
      <w:r w:rsidRPr="00563492">
        <w:rPr>
          <w:rFonts w:ascii="Arial" w:eastAsia="Calibri" w:hAnsi="Arial" w:cs="Arial"/>
          <w:lang w:val="es-ES_tradnl" w:eastAsia="es-ES_tradnl"/>
        </w:rPr>
        <w:t>La mencionada disposición pasó el debate en Cámara de Representantes con algunos ajustes en la redacción del artículo</w:t>
      </w:r>
      <w:r w:rsidRPr="00563492">
        <w:rPr>
          <w:rStyle w:val="Refdenotaalpie"/>
          <w:rFonts w:ascii="Arial" w:eastAsia="Calibri" w:hAnsi="Arial" w:cs="Arial"/>
          <w:lang w:val="es-ES_tradnl" w:eastAsia="es-ES_tradnl"/>
        </w:rPr>
        <w:footnoteReference w:id="30"/>
      </w:r>
      <w:r w:rsidRPr="00563492">
        <w:rPr>
          <w:rFonts w:ascii="Arial" w:eastAsia="Calibri" w:hAnsi="Arial"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30"/>
      <w:r w:rsidRPr="00563492">
        <w:rPr>
          <w:rFonts w:ascii="Arial" w:eastAsia="Calibri" w:hAnsi="Arial"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563492">
        <w:rPr>
          <w:rStyle w:val="Refdenotaalpie"/>
          <w:rFonts w:ascii="Arial" w:eastAsia="Times New Roman" w:hAnsi="Arial" w:cs="Arial"/>
          <w:lang w:val="es-ES_tradnl" w:eastAsia="es-ES_tradnl"/>
        </w:rPr>
        <w:footnoteReference w:id="31"/>
      </w:r>
      <w:r w:rsidRPr="00563492">
        <w:rPr>
          <w:rFonts w:ascii="Arial" w:eastAsia="Calibri" w:hAnsi="Arial" w:cs="Arial"/>
          <w:lang w:val="es-ES_tradnl" w:eastAsia="es-ES_tradnl"/>
        </w:rPr>
        <w:t xml:space="preserve"> prescribiendo la redacción de la norma hoy día vigente, en los siguientes términos:</w:t>
      </w:r>
      <w:r w:rsidRPr="00563492">
        <w:rPr>
          <w:rFonts w:ascii="Arial" w:eastAsia="Calibri" w:hAnsi="Arial" w:cs="Arial"/>
          <w:bCs/>
          <w:lang w:val="es-ES_tradnl" w:eastAsia="es-ES_tradnl"/>
        </w:rPr>
        <w:t xml:space="preserve"> </w:t>
      </w:r>
    </w:p>
    <w:p w14:paraId="1570D992" w14:textId="77777777" w:rsidR="00AD1622" w:rsidRPr="00563492" w:rsidRDefault="00AD1622" w:rsidP="00AD1622">
      <w:pPr>
        <w:tabs>
          <w:tab w:val="left" w:pos="0"/>
        </w:tabs>
        <w:spacing w:after="0" w:line="276" w:lineRule="auto"/>
        <w:jc w:val="both"/>
        <w:rPr>
          <w:rFonts w:ascii="Arial" w:eastAsia="Calibri" w:hAnsi="Arial" w:cs="Arial"/>
          <w:bCs/>
          <w:lang w:val="es-ES_tradnl" w:eastAsia="es-ES_tradnl"/>
        </w:rPr>
      </w:pPr>
    </w:p>
    <w:p w14:paraId="255781F2" w14:textId="77777777" w:rsidR="00AD1622" w:rsidRPr="00563492" w:rsidRDefault="00AD1622" w:rsidP="00AD1622">
      <w:pPr>
        <w:tabs>
          <w:tab w:val="left" w:pos="0"/>
        </w:tabs>
        <w:spacing w:line="240" w:lineRule="auto"/>
        <w:ind w:left="709" w:right="709"/>
        <w:contextualSpacing/>
        <w:jc w:val="both"/>
        <w:rPr>
          <w:rFonts w:ascii="Arial" w:eastAsia="Times New Roman" w:hAnsi="Arial" w:cs="Arial"/>
          <w:sz w:val="21"/>
          <w:szCs w:val="21"/>
          <w:lang w:val="es-ES_tradnl" w:eastAsia="es-ES_tradnl"/>
        </w:rPr>
      </w:pPr>
      <w:r w:rsidRPr="00563492">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2920D477" w14:textId="77777777" w:rsidR="00AD1622" w:rsidRPr="00563492" w:rsidRDefault="00AD1622" w:rsidP="00AD1622">
      <w:pPr>
        <w:tabs>
          <w:tab w:val="left" w:pos="0"/>
        </w:tabs>
        <w:spacing w:line="240" w:lineRule="auto"/>
        <w:ind w:left="709" w:right="709"/>
        <w:contextualSpacing/>
        <w:jc w:val="both"/>
        <w:rPr>
          <w:rFonts w:ascii="Arial" w:eastAsia="Times New Roman" w:hAnsi="Arial" w:cs="Arial"/>
          <w:sz w:val="21"/>
          <w:szCs w:val="21"/>
          <w:lang w:val="es-ES_tradnl" w:eastAsia="es-ES_tradnl"/>
        </w:rPr>
      </w:pPr>
    </w:p>
    <w:p w14:paraId="6B83B1DE" w14:textId="77777777" w:rsidR="00AD1622" w:rsidRPr="00563492" w:rsidRDefault="00AD1622" w:rsidP="00AD1622">
      <w:pPr>
        <w:tabs>
          <w:tab w:val="left" w:pos="0"/>
        </w:tabs>
        <w:spacing w:line="240" w:lineRule="auto"/>
        <w:ind w:left="709" w:right="709"/>
        <w:contextualSpacing/>
        <w:jc w:val="both"/>
        <w:rPr>
          <w:rFonts w:ascii="Arial" w:eastAsia="Times New Roman" w:hAnsi="Arial" w:cs="Arial"/>
          <w:sz w:val="21"/>
          <w:szCs w:val="21"/>
          <w:lang w:val="es-ES_tradnl" w:eastAsia="es-ES_tradnl"/>
        </w:rPr>
      </w:pPr>
      <w:r w:rsidRPr="00563492">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64B8D48" w14:textId="77777777" w:rsidR="00AD1622" w:rsidRPr="00563492" w:rsidRDefault="00AD1622" w:rsidP="00AD1622">
      <w:pPr>
        <w:tabs>
          <w:tab w:val="left" w:pos="0"/>
        </w:tabs>
        <w:spacing w:line="240" w:lineRule="auto"/>
        <w:ind w:left="709" w:right="709"/>
        <w:contextualSpacing/>
        <w:jc w:val="both"/>
        <w:rPr>
          <w:rFonts w:ascii="Arial" w:eastAsia="Times New Roman" w:hAnsi="Arial" w:cs="Arial"/>
          <w:sz w:val="21"/>
          <w:szCs w:val="21"/>
          <w:lang w:val="es-ES_tradnl" w:eastAsia="es-ES_tradnl"/>
        </w:rPr>
      </w:pPr>
    </w:p>
    <w:p w14:paraId="0B77D1E9" w14:textId="77777777" w:rsidR="00AD1622" w:rsidRPr="00563492" w:rsidRDefault="00AD1622" w:rsidP="00AD1622">
      <w:pPr>
        <w:tabs>
          <w:tab w:val="left" w:pos="0"/>
        </w:tabs>
        <w:spacing w:line="240" w:lineRule="auto"/>
        <w:ind w:left="709" w:right="709"/>
        <w:contextualSpacing/>
        <w:jc w:val="both"/>
        <w:rPr>
          <w:rFonts w:ascii="Arial" w:eastAsia="Calibri" w:hAnsi="Arial" w:cs="Arial"/>
          <w:bCs/>
          <w:sz w:val="21"/>
          <w:szCs w:val="21"/>
          <w:lang w:val="es-ES_tradnl" w:eastAsia="es-ES_tradnl"/>
        </w:rPr>
      </w:pPr>
      <w:r w:rsidRPr="00563492">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0EBC8774" w14:textId="77777777" w:rsidR="00AD1622" w:rsidRPr="00563492" w:rsidRDefault="00AD1622" w:rsidP="00AD1622">
      <w:pPr>
        <w:tabs>
          <w:tab w:val="left" w:pos="0"/>
        </w:tabs>
        <w:spacing w:line="276" w:lineRule="auto"/>
        <w:contextualSpacing/>
        <w:jc w:val="both"/>
        <w:rPr>
          <w:rFonts w:ascii="Arial" w:eastAsia="Calibri" w:hAnsi="Arial" w:cs="Arial"/>
          <w:bCs/>
          <w:lang w:val="es-ES_tradnl" w:eastAsia="es-ES_tradnl"/>
        </w:rPr>
      </w:pPr>
    </w:p>
    <w:p w14:paraId="71A51C45"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663A6692"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697DD145"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r>
      <w:r w:rsidRPr="00563492">
        <w:rPr>
          <w:rFonts w:ascii="Arial" w:eastAsia="Calibri" w:hAnsi="Arial"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563492">
        <w:rPr>
          <w:rFonts w:ascii="Arial" w:eastAsia="Calibri" w:hAnsi="Arial" w:cs="Arial"/>
          <w:bCs/>
          <w:lang w:val="es-ES_tradnl" w:eastAsia="es-ES_tradnl"/>
        </w:rPr>
        <w:t>desde esta perspectiva, no pudiera</w:t>
      </w:r>
      <w:r w:rsidRPr="00563492">
        <w:rPr>
          <w:rFonts w:ascii="Arial" w:eastAsia="Calibri" w:hAnsi="Arial"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563492">
        <w:rPr>
          <w:rFonts w:ascii="Arial" w:eastAsia="Calibri" w:hAnsi="Arial" w:cs="Arial"/>
          <w:bCs/>
          <w:lang w:val="es-ES_tradnl" w:eastAsia="es-ES_tradnl"/>
        </w:rPr>
        <w:t xml:space="preserve"> </w:t>
      </w:r>
      <w:r w:rsidRPr="00563492">
        <w:rPr>
          <w:rFonts w:ascii="Arial" w:eastAsia="Calibri" w:hAnsi="Arial" w:cs="Arial"/>
          <w:lang w:val="es-ES_tradnl" w:eastAsia="es-ES_tradnl"/>
        </w:rPr>
        <w:t xml:space="preserve">la obligatoriedad de utilizar documentos pliego tipo </w:t>
      </w:r>
      <w:r w:rsidRPr="00563492">
        <w:rPr>
          <w:rFonts w:ascii="Arial" w:eastAsia="Calibri" w:hAnsi="Arial" w:cs="Arial"/>
          <w:bCs/>
          <w:lang w:val="es-ES_tradnl" w:eastAsia="es-ES_tradnl"/>
        </w:rPr>
        <w:t xml:space="preserve">se extiende </w:t>
      </w:r>
      <w:r w:rsidRPr="00563492">
        <w:rPr>
          <w:rFonts w:ascii="Arial" w:eastAsia="Calibri" w:hAnsi="Arial" w:cs="Arial"/>
          <w:lang w:val="es-ES_tradnl" w:eastAsia="es-ES_tradnl"/>
        </w:rPr>
        <w:t xml:space="preserve">en los convenios o contratos interadministrativos o de cualquier otra índole, </w:t>
      </w:r>
      <w:r w:rsidRPr="00563492">
        <w:rPr>
          <w:rFonts w:ascii="Arial" w:eastAsia="Calibri" w:hAnsi="Arial" w:cs="Arial"/>
          <w:bCs/>
          <w:lang w:val="es-ES_tradnl" w:eastAsia="es-ES_tradnl"/>
        </w:rPr>
        <w:t>y</w:t>
      </w:r>
      <w:r w:rsidRPr="00563492">
        <w:rPr>
          <w:rFonts w:ascii="Arial" w:eastAsia="Calibri" w:hAnsi="Arial" w:cs="Arial"/>
          <w:lang w:val="es-ES_tradnl" w:eastAsia="es-ES_tradnl"/>
        </w:rPr>
        <w:t>a las diferentes modalidades de selección de los Procesos de Contratación adelantados por entidades sometidas al EGCAP</w:t>
      </w:r>
      <w:r w:rsidRPr="00563492">
        <w:rPr>
          <w:rFonts w:ascii="Arial" w:eastAsia="Calibri" w:hAnsi="Arial" w:cs="Arial"/>
          <w:bCs/>
          <w:lang w:val="es-ES_tradnl" w:eastAsia="es-ES_tradnl"/>
        </w:rPr>
        <w:t>.</w:t>
      </w:r>
    </w:p>
    <w:p w14:paraId="1AD222EE"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Antes de la expedición del artículo 56 </w:t>
      </w:r>
      <w:r w:rsidRPr="00563492">
        <w:rPr>
          <w:rFonts w:ascii="Arial" w:eastAsia="Calibri" w:hAnsi="Arial" w:cs="Arial"/>
          <w:bCs/>
          <w:i/>
          <w:iCs/>
          <w:lang w:val="es-ES_tradnl" w:eastAsia="es-ES_tradnl"/>
        </w:rPr>
        <w:t>ibídem</w:t>
      </w:r>
      <w:r w:rsidRPr="00563492">
        <w:rPr>
          <w:rFonts w:ascii="Arial" w:eastAsia="Calibri" w:hAnsi="Arial" w:cs="Arial"/>
          <w:bCs/>
          <w:lang w:val="es-ES_tradnl" w:eastAsia="es-ES_tradnl"/>
        </w:rPr>
        <w:t>, la Ley 2022 de 2020 ya había establecido el mandato de aplicación obligatoria de los documentos tipo para las entidades estatales sometidas al EGCAP, atribuyendo a esta Agencia la competencia para expedirlos. Esta norma imperativa debía observarse siempre y cuando el objeto contratar este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14:paraId="0A92B64B"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r>
      <w:r w:rsidRPr="00563492">
        <w:rPr>
          <w:rFonts w:ascii="Arial" w:eastAsia="Calibri" w:hAnsi="Arial" w:cs="Arial"/>
          <w:lang w:val="es-ES_tradnl" w:eastAsia="es-ES_tradnl"/>
        </w:rPr>
        <w:t>Ahora,</w:t>
      </w:r>
      <w:r w:rsidRPr="00563492">
        <w:rPr>
          <w:rFonts w:ascii="Arial" w:eastAsia="Calibri" w:hAnsi="Arial" w:cs="Arial"/>
          <w:bCs/>
          <w:lang w:val="es-ES_tradnl" w:eastAsia="es-ES_tradnl"/>
        </w:rPr>
        <w:t xml:space="preserve"> con la entrada en vigencia del artículo 56 de la Ley 2195 de 2022, la aplicación de documentos pliego tipo resulta ser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31" w:name="_Hlk109963698"/>
      <w:r w:rsidRPr="00563492">
        <w:rPr>
          <w:rFonts w:ascii="Arial" w:eastAsia="Calibri" w:hAnsi="Arial"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563492">
        <w:rPr>
          <w:rFonts w:ascii="Arial" w:eastAsia="Calibri" w:hAnsi="Arial" w:cs="Arial"/>
          <w:bCs/>
          <w:strike/>
          <w:lang w:val="es-ES_tradnl" w:eastAsia="es-ES_tradnl"/>
        </w:rPr>
        <w:t xml:space="preserve"> </w:t>
      </w:r>
      <w:bookmarkEnd w:id="31"/>
    </w:p>
    <w:p w14:paraId="396806B5" w14:textId="41F56078" w:rsidR="00AD1622" w:rsidRPr="00563492" w:rsidRDefault="00AD1622" w:rsidP="00F27A23">
      <w:pPr>
        <w:spacing w:after="120" w:line="276" w:lineRule="auto"/>
        <w:ind w:firstLine="708"/>
        <w:jc w:val="both"/>
        <w:rPr>
          <w:rFonts w:ascii="Arial" w:eastAsia="Calibri" w:hAnsi="Arial" w:cs="Arial"/>
          <w:lang w:val="es-ES" w:eastAsia="es-ES"/>
        </w:rPr>
      </w:pPr>
      <w:r w:rsidRPr="00563492">
        <w:rPr>
          <w:rFonts w:ascii="Arial" w:hAnsi="Arial" w:cs="Arial"/>
        </w:rPr>
        <w:t xml:space="preserve">Esta Agencia ha considerado, como se mencionó en precedencia que </w:t>
      </w:r>
      <w:r w:rsidRPr="00563492">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563492">
        <w:rPr>
          <w:rFonts w:ascii="Arial" w:eastAsia="Calibri" w:hAnsi="Arial" w:cs="Arial"/>
          <w:vertAlign w:val="superscript"/>
          <w:lang w:val="es-ES" w:eastAsia="es-ES"/>
        </w:rPr>
        <w:footnoteReference w:id="32"/>
      </w:r>
      <w:r w:rsidRPr="00563492">
        <w:rPr>
          <w:rFonts w:ascii="Arial" w:eastAsia="Calibri" w:hAnsi="Arial" w:cs="Arial"/>
          <w:lang w:val="es-ES" w:eastAsia="es-ES"/>
        </w:rPr>
        <w:t xml:space="preserve">, ahora deberán tenerse en cuenta las siguientes reglas: i) </w:t>
      </w:r>
      <w:r w:rsidRPr="00563492">
        <w:rPr>
          <w:rFonts w:ascii="Arial" w:eastAsia="Calibri" w:hAnsi="Arial" w:cs="Arial"/>
          <w:i/>
          <w:lang w:val="es-ES" w:eastAsia="es-ES"/>
        </w:rPr>
        <w:t xml:space="preserve">en el caso de </w:t>
      </w:r>
      <w:bookmarkStart w:id="33" w:name="_Hlk145317303"/>
      <w:r w:rsidRPr="00563492">
        <w:rPr>
          <w:rFonts w:ascii="Arial" w:eastAsia="Calibri" w:hAnsi="Arial" w:cs="Arial"/>
          <w:i/>
          <w:lang w:val="es-ES" w:eastAsia="es-ES"/>
        </w:rPr>
        <w:t>los convenios interadministrativos o de cualquier otra índole</w:t>
      </w:r>
      <w:bookmarkEnd w:id="33"/>
      <w:r w:rsidRPr="00563492">
        <w:rPr>
          <w:rFonts w:ascii="Arial" w:eastAsia="Calibri" w:hAnsi="Arial" w:cs="Arial"/>
          <w:i/>
          <w:lang w:val="es-ES" w:eastAsia="es-ES"/>
        </w:rPr>
        <w:t>:</w:t>
      </w:r>
      <w:r w:rsidRPr="00563492">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563492">
        <w:rPr>
          <w:rFonts w:ascii="Arial" w:eastAsia="Calibri" w:hAnsi="Arial" w:cs="Arial"/>
          <w:i/>
          <w:lang w:val="es-ES" w:eastAsia="es-ES"/>
        </w:rPr>
        <w:t>en el caso de los contratos interadministrativos</w:t>
      </w:r>
      <w:r w:rsidRPr="00563492">
        <w:rPr>
          <w:rFonts w:ascii="Arial" w:eastAsia="Calibri" w:hAnsi="Arial" w:cs="Arial"/>
          <w:lang w:val="es-ES" w:eastAsia="es-ES"/>
        </w:rPr>
        <w:t xml:space="preserve"> </w:t>
      </w:r>
      <w:r w:rsidRPr="00563492">
        <w:rPr>
          <w:rFonts w:ascii="Arial" w:eastAsia="Calibri" w:hAnsi="Arial" w:cs="Arial"/>
          <w:i/>
          <w:lang w:val="es-ES" w:eastAsia="es-ES"/>
        </w:rPr>
        <w:t>o de cualquier otra índole</w:t>
      </w:r>
      <w:r w:rsidRPr="00563492">
        <w:rPr>
          <w:rFonts w:ascii="Arial" w:eastAsia="Calibri" w:hAnsi="Arial" w:cs="Arial"/>
          <w:lang w:val="es-ES" w:eastAsia="es-ES"/>
        </w:rPr>
        <w:t xml:space="preserve">: </w:t>
      </w:r>
      <w:r w:rsidRPr="00563492">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563492">
        <w:rPr>
          <w:rFonts w:ascii="Arial" w:eastAsia="Calibri" w:hAnsi="Arial" w:cs="Arial"/>
          <w:lang w:val="es-ES" w:eastAsia="es-ES"/>
        </w:rPr>
        <w:t>entidad sometida al EGCAP.</w:t>
      </w:r>
    </w:p>
    <w:p w14:paraId="66D60EB7" w14:textId="77777777"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 </w:t>
      </w:r>
      <w:bookmarkStart w:id="34" w:name="_Hlk113023365"/>
      <w:r w:rsidRPr="00563492">
        <w:rPr>
          <w:rFonts w:ascii="Arial" w:eastAsia="Calibri" w:hAnsi="Arial" w:cs="Arial"/>
          <w:bCs/>
          <w:lang w:val="es-ES_tradnl" w:eastAsia="es-ES_tradnl"/>
        </w:rPr>
        <w:t xml:space="preserve">El segundo inciso de la norma bajo estudio usa la expresión </w:t>
      </w:r>
      <w:r w:rsidRPr="00563492">
        <w:rPr>
          <w:rFonts w:ascii="Arial" w:eastAsia="Calibri" w:hAnsi="Arial" w:cs="Arial"/>
          <w:lang w:val="es-ES_tradnl" w:eastAsia="es-ES_tradnl"/>
        </w:rPr>
        <w:t>“</w:t>
      </w:r>
      <w:r w:rsidRPr="00563492">
        <w:rPr>
          <w:rFonts w:ascii="Arial" w:eastAsia="Times New Roman" w:hAnsi="Arial" w:cs="Arial"/>
          <w:lang w:eastAsia="es-ES_tradnl"/>
        </w:rPr>
        <w:t xml:space="preserve">los procedimientos de selección y </w:t>
      </w:r>
      <w:r w:rsidRPr="00563492">
        <w:rPr>
          <w:rFonts w:ascii="Arial" w:eastAsia="Times New Roman" w:hAnsi="Arial" w:cs="Arial"/>
          <w:i/>
          <w:iCs/>
          <w:lang w:eastAsia="es-ES_tradnl"/>
        </w:rPr>
        <w:t>contratos que realicen en desarrollo de los anteriores negocios jurídicos</w:t>
      </w:r>
      <w:r w:rsidRPr="00563492">
        <w:rPr>
          <w:rFonts w:ascii="Arial" w:eastAsia="Calibri" w:hAnsi="Arial" w:cs="Arial"/>
          <w:lang w:val="es-ES_tradnl" w:eastAsia="es-ES_tradnl"/>
        </w:rPr>
        <w:t>”</w:t>
      </w:r>
      <w:r w:rsidRPr="00563492">
        <w:rPr>
          <w:rFonts w:ascii="Arial" w:eastAsia="Times New Roman" w:hAnsi="Arial" w:cs="Arial"/>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563492">
        <w:rPr>
          <w:rFonts w:ascii="Arial" w:eastAsia="Times New Roman" w:hAnsi="Arial" w:cs="Arial"/>
          <w:i/>
          <w:iCs/>
          <w:lang w:eastAsia="es-ES_tradnl"/>
        </w:rPr>
        <w:t>desarrollar</w:t>
      </w:r>
      <w:r w:rsidRPr="00563492">
        <w:rPr>
          <w:rFonts w:ascii="Arial" w:eastAsia="Times New Roman" w:hAnsi="Arial"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3CFF6ED4" w14:textId="33501446" w:rsidR="00AD1622"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r w:rsidR="003B2020" w:rsidRPr="00563492">
        <w:rPr>
          <w:rFonts w:ascii="Arial" w:eastAsia="Calibri" w:hAnsi="Arial" w:cs="Arial"/>
          <w:bCs/>
          <w:lang w:val="es-ES_tradnl" w:eastAsia="es-ES_tradnl"/>
        </w:rPr>
        <w:t>.</w:t>
      </w:r>
    </w:p>
    <w:bookmarkEnd w:id="34"/>
    <w:p w14:paraId="467BDE5D" w14:textId="7A034FBF" w:rsidR="006E41AD" w:rsidRPr="00563492" w:rsidRDefault="00AD1622" w:rsidP="00F27A23">
      <w:pPr>
        <w:tabs>
          <w:tab w:val="left" w:pos="0"/>
        </w:tabs>
        <w:spacing w:after="120" w:line="276" w:lineRule="auto"/>
        <w:jc w:val="both"/>
        <w:rPr>
          <w:rFonts w:ascii="Arial" w:eastAsia="Calibri" w:hAnsi="Arial" w:cs="Arial"/>
          <w:bCs/>
          <w:lang w:val="es-ES_tradnl" w:eastAsia="es-ES_tradnl"/>
        </w:rPr>
      </w:pPr>
      <w:r w:rsidRPr="00563492">
        <w:rPr>
          <w:rFonts w:ascii="Arial" w:eastAsia="Times New Roman" w:hAnsi="Arial" w:cs="Arial"/>
          <w:lang w:eastAsia="es-ES_tradnl"/>
        </w:rPr>
        <w:tab/>
      </w:r>
      <w:bookmarkStart w:id="35" w:name="_Hlk113023433"/>
      <w:r w:rsidRPr="00563492">
        <w:rPr>
          <w:rFonts w:ascii="Arial" w:eastAsia="Calibri" w:hAnsi="Arial" w:cs="Arial"/>
          <w:bCs/>
          <w:lang w:val="es-ES_tradnl" w:eastAsia="es-ES_tradnl"/>
        </w:rPr>
        <w:t xml:space="preserve">De esto se desprende que el propósito del legislador con la expedición de la norma </w:t>
      </w:r>
      <w:r w:rsidR="00A04A89" w:rsidRPr="00563492">
        <w:rPr>
          <w:rFonts w:ascii="Arial" w:eastAsia="Calibri" w:hAnsi="Arial" w:cs="Arial"/>
          <w:bCs/>
          <w:lang w:val="es-ES_tradnl" w:eastAsia="es-ES_tradnl"/>
        </w:rPr>
        <w:t xml:space="preserve">en </w:t>
      </w:r>
      <w:proofErr w:type="gramStart"/>
      <w:r w:rsidR="00A04A89" w:rsidRPr="00563492">
        <w:rPr>
          <w:rFonts w:ascii="Arial" w:eastAsia="Calibri" w:hAnsi="Arial" w:cs="Arial"/>
          <w:bCs/>
          <w:lang w:val="es-ES_tradnl" w:eastAsia="es-ES_tradnl"/>
        </w:rPr>
        <w:t>comento</w:t>
      </w:r>
      <w:r w:rsidRPr="00563492">
        <w:rPr>
          <w:rFonts w:ascii="Arial" w:eastAsia="Calibri" w:hAnsi="Arial" w:cs="Arial"/>
          <w:bCs/>
          <w:lang w:val="es-ES_tradnl" w:eastAsia="es-ES_tradnl"/>
        </w:rPr>
        <w:t>,</w:t>
      </w:r>
      <w:proofErr w:type="gramEnd"/>
      <w:r w:rsidRPr="00563492">
        <w:rPr>
          <w:rFonts w:ascii="Arial" w:eastAsia="Calibri" w:hAnsi="Arial" w:cs="Arial"/>
          <w:bCs/>
          <w:lang w:val="es-ES_tradnl" w:eastAsia="es-ES_tradnl"/>
        </w:rPr>
        <w:t xml:space="preserve"> es que las </w:t>
      </w:r>
      <w:r w:rsidR="00D13E59"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ntidades </w:t>
      </w:r>
      <w:r w:rsidR="00D13E59"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statales que tienen como régimen contractual el EGCAP no puedan eludir su aplicación, ni la de los documentos tipo que resulten obligatorios, celebrando convenios o contratos con </w:t>
      </w:r>
      <w:r w:rsidR="00A04A89"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ntidades exceptuadas o particulares sometidos al derecho privado, haciendo prevalecer el régimen de las </w:t>
      </w:r>
      <w:r w:rsidR="00A04A89" w:rsidRPr="00563492">
        <w:rPr>
          <w:rFonts w:ascii="Arial" w:eastAsia="Calibri" w:hAnsi="Arial" w:cs="Arial"/>
          <w:bCs/>
          <w:lang w:val="es-ES_tradnl" w:eastAsia="es-ES_tradnl"/>
        </w:rPr>
        <w:t>e</w:t>
      </w:r>
      <w:r w:rsidRPr="00563492">
        <w:rPr>
          <w:rFonts w:ascii="Arial" w:eastAsia="Calibri" w:hAnsi="Arial" w:cs="Arial"/>
          <w:bCs/>
          <w:lang w:val="es-ES_tradnl" w:eastAsia="es-ES_tradnl"/>
        </w:rPr>
        <w:t xml:space="preserve">ntidades no sometidas, con el fin inaplicar los documentos tipo y el EGCAP. </w:t>
      </w:r>
      <w:bookmarkEnd w:id="35"/>
    </w:p>
    <w:p w14:paraId="229ABE41" w14:textId="2B02FE86" w:rsidR="00AD1622" w:rsidRPr="00563492" w:rsidRDefault="006E41AD" w:rsidP="00BA3058">
      <w:pPr>
        <w:tabs>
          <w:tab w:val="left" w:pos="0"/>
        </w:tabs>
        <w:spacing w:after="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r>
      <w:r w:rsidR="00AD1622" w:rsidRPr="00563492">
        <w:rPr>
          <w:rFonts w:ascii="Arial" w:eastAsia="Calibri" w:hAnsi="Arial" w:cs="Arial"/>
          <w:bCs/>
          <w:lang w:val="es-ES_tradnl" w:eastAsia="es-ES_tradnl"/>
        </w:rPr>
        <w:t xml:space="preserve">Por tanto, el hecho de que la norma esté dirigida a las </w:t>
      </w:r>
      <w:r w:rsidR="00A66E68" w:rsidRPr="00563492">
        <w:rPr>
          <w:rFonts w:ascii="Arial" w:eastAsia="Calibri" w:hAnsi="Arial" w:cs="Arial"/>
          <w:bCs/>
          <w:lang w:val="es-ES_tradnl" w:eastAsia="es-ES_tradnl"/>
        </w:rPr>
        <w:t>E</w:t>
      </w:r>
      <w:r w:rsidR="00AD1622" w:rsidRPr="00563492">
        <w:rPr>
          <w:rFonts w:ascii="Arial" w:eastAsia="Calibri" w:hAnsi="Arial" w:cs="Arial"/>
          <w:bCs/>
          <w:lang w:val="es-ES_tradnl" w:eastAsia="es-ES_tradnl"/>
        </w:rPr>
        <w:t>ntidades sometidas al EGCAP,</w:t>
      </w:r>
      <w:r w:rsidR="00A66E68" w:rsidRPr="00563492">
        <w:rPr>
          <w:rFonts w:ascii="Arial" w:eastAsia="Calibri" w:hAnsi="Arial" w:cs="Arial"/>
          <w:bCs/>
          <w:lang w:val="es-ES_tradnl" w:eastAsia="es-ES_tradnl"/>
        </w:rPr>
        <w:t xml:space="preserve"> </w:t>
      </w:r>
      <w:r w:rsidR="00AD1622" w:rsidRPr="00563492">
        <w:rPr>
          <w:rFonts w:ascii="Arial" w:eastAsia="Calibri" w:hAnsi="Arial" w:cs="Arial"/>
          <w:bCs/>
          <w:lang w:val="es-ES_tradnl" w:eastAsia="es-ES_tradnl"/>
        </w:rPr>
        <w:t xml:space="preserve">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w:t>
      </w:r>
      <w:r w:rsidR="00D13E59" w:rsidRPr="00563492">
        <w:rPr>
          <w:rFonts w:ascii="Arial" w:eastAsia="Calibri" w:hAnsi="Arial" w:cs="Arial"/>
          <w:bCs/>
          <w:lang w:val="es-ES_tradnl" w:eastAsia="es-ES_tradnl"/>
        </w:rPr>
        <w:t>E</w:t>
      </w:r>
      <w:r w:rsidR="00AD1622" w:rsidRPr="00563492">
        <w:rPr>
          <w:rFonts w:ascii="Arial" w:eastAsia="Calibri" w:hAnsi="Arial" w:cs="Arial"/>
          <w:bCs/>
          <w:lang w:val="es-ES_tradnl" w:eastAsia="es-ES_tradnl"/>
        </w:rPr>
        <w:t xml:space="preserv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6D049A2A" w14:textId="77777777" w:rsidR="00BA3058" w:rsidRPr="00563492" w:rsidRDefault="00BA3058" w:rsidP="003A31B8">
      <w:pPr>
        <w:tabs>
          <w:tab w:val="left" w:pos="0"/>
        </w:tabs>
        <w:spacing w:after="0" w:line="276" w:lineRule="auto"/>
        <w:jc w:val="both"/>
        <w:rPr>
          <w:rFonts w:ascii="Arial" w:eastAsia="Calibri" w:hAnsi="Arial" w:cs="Arial"/>
          <w:bCs/>
          <w:lang w:val="es-ES_tradnl" w:eastAsia="es-ES_tradnl"/>
        </w:rPr>
      </w:pPr>
    </w:p>
    <w:p w14:paraId="224906A7" w14:textId="0F77E737" w:rsidR="00BA3058" w:rsidRPr="00563492" w:rsidRDefault="00BA3058" w:rsidP="00BA3058">
      <w:pPr>
        <w:spacing w:after="0" w:line="276" w:lineRule="auto"/>
        <w:jc w:val="both"/>
        <w:rPr>
          <w:rFonts w:ascii="Arial" w:eastAsia="Calibri" w:hAnsi="Arial" w:cs="Arial"/>
          <w:lang w:val="es-ES" w:eastAsia="es-ES"/>
        </w:rPr>
      </w:pPr>
      <w:r w:rsidRPr="00563492">
        <w:rPr>
          <w:rFonts w:ascii="Arial" w:eastAsia="Calibri" w:hAnsi="Arial" w:cs="Arial"/>
          <w:b/>
          <w:lang w:val="es-ES_tradnl" w:eastAsia="es-ES_tradnl"/>
        </w:rPr>
        <w:t xml:space="preserve">2.5. </w:t>
      </w:r>
      <w:bookmarkStart w:id="36" w:name="_Hlk145440764"/>
      <w:r w:rsidRPr="00563492">
        <w:rPr>
          <w:rFonts w:ascii="Arial" w:eastAsia="Calibri" w:hAnsi="Arial" w:cs="Arial"/>
          <w:b/>
          <w:lang w:val="es-ES" w:eastAsia="es-ES"/>
        </w:rPr>
        <w:t xml:space="preserve">Aplicación prevalente del Estatuto General de Contratación de la Administración Pública en los contratos celebrados con entidades exceptuadas. Aparente tensión con el literal c) del artículo 2, numeral 4, de la Ley 1150 de 2007 </w:t>
      </w:r>
    </w:p>
    <w:bookmarkEnd w:id="36"/>
    <w:p w14:paraId="6691066A" w14:textId="77777777" w:rsidR="00BA3058" w:rsidRPr="00563492" w:rsidRDefault="00BA3058" w:rsidP="00BA3058">
      <w:pPr>
        <w:tabs>
          <w:tab w:val="left" w:pos="0"/>
        </w:tabs>
        <w:spacing w:after="0" w:line="276" w:lineRule="auto"/>
        <w:contextualSpacing/>
        <w:jc w:val="both"/>
        <w:rPr>
          <w:rFonts w:ascii="Arial" w:eastAsia="Calibri" w:hAnsi="Arial" w:cs="Arial"/>
          <w:bCs/>
          <w:szCs w:val="24"/>
          <w:lang w:val="es-ES_tradnl" w:eastAsia="es-ES_tradnl"/>
        </w:rPr>
      </w:pPr>
    </w:p>
    <w:p w14:paraId="64AFF0DD" w14:textId="77777777" w:rsidR="00BA3058" w:rsidRPr="00563492" w:rsidRDefault="00BA3058" w:rsidP="00FF78FC">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aplicadas a lo dispuesto en esta última norma, se entendía que debía aplicarse el EGCAP y los documentos tipo. </w:t>
      </w:r>
    </w:p>
    <w:p w14:paraId="4CB83EC1" w14:textId="77777777" w:rsidR="00BA3058" w:rsidRPr="00563492" w:rsidRDefault="00BA3058" w:rsidP="00BA3058">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14:paraId="534C3E3D" w14:textId="77777777" w:rsidR="00BA3058" w:rsidRPr="00563492" w:rsidRDefault="00BA3058" w:rsidP="00BA3058">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2EFC98FB" w14:textId="77777777" w:rsidR="00BA3058" w:rsidRPr="00563492" w:rsidRDefault="00BA3058" w:rsidP="00BA3058">
      <w:pPr>
        <w:tabs>
          <w:tab w:val="left" w:pos="0"/>
        </w:tabs>
        <w:spacing w:after="12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2B85A176" w14:textId="77777777" w:rsidR="00BA3058" w:rsidRPr="00563492" w:rsidRDefault="00BA3058" w:rsidP="00BA3058">
      <w:pPr>
        <w:tabs>
          <w:tab w:val="left" w:pos="0"/>
        </w:tabs>
        <w:spacing w:after="0" w:line="276" w:lineRule="auto"/>
        <w:jc w:val="both"/>
        <w:rPr>
          <w:rFonts w:ascii="Arial" w:eastAsia="Calibri" w:hAnsi="Arial" w:cs="Arial"/>
          <w:bCs/>
          <w:lang w:val="es-ES_tradnl" w:eastAsia="es-ES_tradnl"/>
        </w:rPr>
      </w:pPr>
      <w:r w:rsidRPr="00563492">
        <w:rPr>
          <w:rFonts w:ascii="Arial" w:eastAsia="Calibri" w:hAnsi="Arial" w:cs="Arial"/>
          <w:bCs/>
          <w:lang w:val="es-ES_tradnl" w:eastAsia="es-ES_tradnl"/>
        </w:rPr>
        <w:tab/>
        <w:t xml:space="preserve">Conforme a lo explicado en el acápite anterior, </w:t>
      </w:r>
      <w:bookmarkStart w:id="37" w:name="_Hlk113023497"/>
      <w:r w:rsidRPr="00563492">
        <w:rPr>
          <w:rFonts w:ascii="Arial" w:eastAsia="Calibri" w:hAnsi="Arial"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563492">
        <w:rPr>
          <w:rFonts w:ascii="Arial" w:eastAsia="Times New Roman" w:hAnsi="Arial"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563492">
        <w:rPr>
          <w:rFonts w:ascii="Arial" w:eastAsia="Calibri" w:hAnsi="Arial" w:cs="Arial"/>
          <w:bCs/>
          <w:lang w:val="es-ES_tradnl" w:eastAsia="es-ES_tradnl"/>
        </w:rPr>
        <w:t>entidad sometida al EGCAP.</w:t>
      </w:r>
    </w:p>
    <w:bookmarkEnd w:id="37"/>
    <w:p w14:paraId="25817B49" w14:textId="77777777" w:rsidR="00AD1622" w:rsidRPr="00563492" w:rsidRDefault="00AD1622" w:rsidP="00AD1622">
      <w:pPr>
        <w:tabs>
          <w:tab w:val="left" w:pos="0"/>
        </w:tabs>
        <w:spacing w:after="0" w:line="276" w:lineRule="auto"/>
        <w:jc w:val="both"/>
        <w:rPr>
          <w:rFonts w:ascii="Arial" w:eastAsia="Calibri" w:hAnsi="Arial" w:cs="Arial"/>
          <w:bCs/>
          <w:lang w:val="es-ES_tradnl" w:eastAsia="es-ES_tradnl"/>
        </w:rPr>
      </w:pPr>
    </w:p>
    <w:p w14:paraId="14720F6B" w14:textId="5746E2EA" w:rsidR="00292E17" w:rsidRPr="00563492" w:rsidRDefault="00292E17" w:rsidP="00AD1622">
      <w:pPr>
        <w:tabs>
          <w:tab w:val="left" w:pos="0"/>
        </w:tabs>
        <w:spacing w:after="0" w:line="276" w:lineRule="auto"/>
        <w:jc w:val="both"/>
        <w:rPr>
          <w:rFonts w:ascii="Arial" w:eastAsia="Calibri" w:hAnsi="Arial" w:cs="Arial"/>
          <w:b/>
          <w:lang w:val="es-ES_tradnl" w:eastAsia="es-ES_tradnl"/>
        </w:rPr>
      </w:pPr>
      <w:r w:rsidRPr="00563492">
        <w:rPr>
          <w:rFonts w:ascii="Arial" w:eastAsia="Calibri" w:hAnsi="Arial" w:cs="Arial"/>
          <w:b/>
          <w:lang w:val="es-ES_tradnl" w:eastAsia="es-ES_tradnl"/>
        </w:rPr>
        <w:t>3. Respuesta</w:t>
      </w:r>
    </w:p>
    <w:p w14:paraId="5B639FFE" w14:textId="77777777" w:rsidR="001D20D4" w:rsidRPr="00563492" w:rsidRDefault="001D20D4" w:rsidP="00E245AB">
      <w:pPr>
        <w:spacing w:after="0"/>
        <w:rPr>
          <w:rFonts w:ascii="Arial" w:hAnsi="Arial" w:cs="Arial"/>
          <w:lang w:val="es-ES_tradnl"/>
        </w:rPr>
      </w:pPr>
    </w:p>
    <w:p w14:paraId="1677C3C1" w14:textId="77777777" w:rsidR="007A52B2" w:rsidRPr="00563492" w:rsidRDefault="007A52B2" w:rsidP="007A52B2">
      <w:pPr>
        <w:spacing w:after="0" w:line="240" w:lineRule="auto"/>
        <w:ind w:left="709" w:right="709"/>
        <w:jc w:val="both"/>
        <w:rPr>
          <w:rFonts w:ascii="Arial" w:eastAsia="Calibri" w:hAnsi="Arial" w:cs="Arial"/>
          <w:sz w:val="21"/>
          <w:szCs w:val="21"/>
          <w:lang w:val="es-ES"/>
        </w:rPr>
      </w:pPr>
      <w:r w:rsidRPr="00563492">
        <w:rPr>
          <w:rFonts w:ascii="Arial" w:eastAsia="Calibri" w:hAnsi="Arial" w:cs="Arial"/>
          <w:sz w:val="21"/>
          <w:szCs w:val="21"/>
          <w:lang w:val="es-ES"/>
        </w:rPr>
        <w:t>“[…] 1. ¿Es viable contratar con un fondo mixto cuyos socios son un resguardo/clan indígena?; 2. ¿Se puede contratar de forma directa con un fondo mixto obras de infraestructura de transporte sin la aplicación de un pliego tipo? […]”</w:t>
      </w:r>
    </w:p>
    <w:p w14:paraId="1AA57DFB" w14:textId="77777777" w:rsidR="001D20D4" w:rsidRPr="00563492" w:rsidRDefault="001D20D4" w:rsidP="00E245AB">
      <w:pPr>
        <w:spacing w:after="0"/>
        <w:rPr>
          <w:rFonts w:ascii="Arial" w:hAnsi="Arial" w:cs="Arial"/>
        </w:rPr>
      </w:pPr>
    </w:p>
    <w:p w14:paraId="134ED5D0" w14:textId="33D85A26" w:rsidR="00831B27" w:rsidRPr="00563492" w:rsidRDefault="00D07681" w:rsidP="003A31B8">
      <w:pPr>
        <w:spacing w:after="120" w:line="276" w:lineRule="auto"/>
        <w:jc w:val="both"/>
        <w:rPr>
          <w:rFonts w:ascii="Arial" w:hAnsi="Arial" w:cs="Arial"/>
        </w:rPr>
      </w:pPr>
      <w:r w:rsidRPr="00563492">
        <w:rPr>
          <w:rFonts w:ascii="Arial" w:hAnsi="Arial" w:cs="Arial"/>
        </w:rPr>
        <w:t xml:space="preserve">De acuerdo con lo explicado </w:t>
      </w:r>
      <w:r w:rsidRPr="00563492">
        <w:rPr>
          <w:rFonts w:ascii="Arial" w:hAnsi="Arial" w:cs="Arial"/>
          <w:i/>
          <w:iCs/>
        </w:rPr>
        <w:t>supra</w:t>
      </w:r>
      <w:r w:rsidRPr="00563492">
        <w:rPr>
          <w:rFonts w:ascii="Arial" w:hAnsi="Arial" w:cs="Arial"/>
        </w:rPr>
        <w:t>, en virtud de lo dispuesto en los artículos 3, numeral 5° y 11, numeral 8° del Decreto Ley 4170 de 2011, la Agencia Nacional de Contratación Pública –Colombia Compra Eficiente</w:t>
      </w:r>
      <w:r w:rsidR="00A32166" w:rsidRPr="00563492">
        <w:rPr>
          <w:rFonts w:ascii="Arial" w:hAnsi="Arial" w:cs="Arial"/>
        </w:rPr>
        <w:t>–</w:t>
      </w:r>
      <w:r w:rsidR="000B30AD" w:rsidRPr="00563492">
        <w:rPr>
          <w:rFonts w:ascii="Arial" w:hAnsi="Arial" w:cs="Arial"/>
        </w:rPr>
        <w:t xml:space="preserve"> </w:t>
      </w:r>
      <w:r w:rsidRPr="00563492">
        <w:rPr>
          <w:rFonts w:ascii="Arial" w:hAnsi="Arial" w:cs="Arial"/>
        </w:rPr>
        <w:t>resuelve las consultas sobre los asuntos de su competencia, esto es, sobre las temáticas de la contratación estatal y compras</w:t>
      </w:r>
      <w:r w:rsidR="00C56B72" w:rsidRPr="00563492">
        <w:rPr>
          <w:rFonts w:ascii="Arial" w:hAnsi="Arial" w:cs="Arial"/>
        </w:rPr>
        <w:t xml:space="preserve">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10C88D27" w14:textId="290447CF" w:rsidR="000B30AD" w:rsidRPr="00563492" w:rsidRDefault="00B30368" w:rsidP="004F0805">
      <w:pPr>
        <w:spacing w:after="120" w:line="276" w:lineRule="auto"/>
        <w:jc w:val="both"/>
        <w:rPr>
          <w:rFonts w:ascii="Arial" w:hAnsi="Arial" w:cs="Arial"/>
        </w:rPr>
      </w:pPr>
      <w:r w:rsidRPr="00563492">
        <w:rPr>
          <w:rFonts w:ascii="Arial" w:hAnsi="Arial" w:cs="Arial"/>
        </w:rPr>
        <w:tab/>
        <w:t xml:space="preserve">Conforme a lo expuesto, es posible que los </w:t>
      </w:r>
      <w:r w:rsidR="00CA24F3" w:rsidRPr="00563492">
        <w:rPr>
          <w:rFonts w:ascii="Arial" w:hAnsi="Arial" w:cs="Arial"/>
        </w:rPr>
        <w:t xml:space="preserve">fondos mixtos de promoción de la cultura y de las artes celebren </w:t>
      </w:r>
      <w:r w:rsidR="00F41280" w:rsidRPr="00563492">
        <w:rPr>
          <w:rFonts w:ascii="Arial" w:hAnsi="Arial" w:cs="Arial"/>
        </w:rPr>
        <w:t xml:space="preserve">contratos estatales, de acuerdo con su objeto social y la capacidad jurídica con la cuenten, con sujeción al régimen de derecho privado establecido por el artículo 63 de la Ley 397 de 1993. </w:t>
      </w:r>
      <w:r w:rsidR="00C87A82" w:rsidRPr="00563492">
        <w:rPr>
          <w:rFonts w:ascii="Arial" w:hAnsi="Arial" w:cs="Arial"/>
        </w:rPr>
        <w:t>Sin embargo, c</w:t>
      </w:r>
      <w:r w:rsidR="00F41280" w:rsidRPr="00563492">
        <w:rPr>
          <w:rFonts w:ascii="Arial" w:hAnsi="Arial" w:cs="Arial"/>
        </w:rPr>
        <w:t xml:space="preserve">omoquiera que estos </w:t>
      </w:r>
      <w:r w:rsidR="004F0805" w:rsidRPr="00563492">
        <w:rPr>
          <w:rFonts w:ascii="Arial" w:hAnsi="Arial" w:cs="Arial"/>
        </w:rPr>
        <w:t>fondos mixtos tienen la naturaleza jurídica de entidades descentralizadas,</w:t>
      </w:r>
      <w:r w:rsidR="00D62AAA" w:rsidRPr="00563492">
        <w:rPr>
          <w:rFonts w:ascii="Arial" w:hAnsi="Arial" w:cs="Arial"/>
        </w:rPr>
        <w:t xml:space="preserve"> lo</w:t>
      </w:r>
      <w:r w:rsidR="00676740" w:rsidRPr="00563492">
        <w:rPr>
          <w:rFonts w:ascii="Arial" w:hAnsi="Arial" w:cs="Arial"/>
        </w:rPr>
        <w:t>s</w:t>
      </w:r>
      <w:r w:rsidR="00D62AAA" w:rsidRPr="00563492">
        <w:rPr>
          <w:rFonts w:ascii="Arial" w:hAnsi="Arial" w:cs="Arial"/>
        </w:rPr>
        <w:t xml:space="preserve"> contratos o convenios que celebren con otras entidades estatales tienen la naturaleza de interadministrativos</w:t>
      </w:r>
      <w:r w:rsidR="00723DC0" w:rsidRPr="00563492">
        <w:rPr>
          <w:rFonts w:ascii="Arial" w:hAnsi="Arial" w:cs="Arial"/>
        </w:rPr>
        <w:t>, por lo que</w:t>
      </w:r>
      <w:r w:rsidR="0032031E" w:rsidRPr="00563492">
        <w:rPr>
          <w:rFonts w:ascii="Arial" w:hAnsi="Arial" w:cs="Arial"/>
        </w:rPr>
        <w:t>, en principio, podrían contratar con Entidades Estatales sujetas al Estatuto General de Con</w:t>
      </w:r>
      <w:r w:rsidR="00E20AD9" w:rsidRPr="00563492">
        <w:rPr>
          <w:rFonts w:ascii="Arial" w:hAnsi="Arial" w:cs="Arial"/>
        </w:rPr>
        <w:t>tratación de la Administración Pública, acudiendo a la c</w:t>
      </w:r>
      <w:r w:rsidR="00A83EE6" w:rsidRPr="00563492">
        <w:rPr>
          <w:rFonts w:ascii="Arial" w:hAnsi="Arial" w:cs="Arial"/>
        </w:rPr>
        <w:t xml:space="preserve">ausal de contratación directa prevista en el literal c) del numeral 4, artículo 2, de la Ley 1150 de 2007. </w:t>
      </w:r>
      <w:r w:rsidR="00D62AAA" w:rsidRPr="00563492">
        <w:rPr>
          <w:rFonts w:ascii="Arial" w:hAnsi="Arial" w:cs="Arial"/>
        </w:rPr>
        <w:t xml:space="preserve"> </w:t>
      </w:r>
      <w:r w:rsidR="004F0805" w:rsidRPr="00563492">
        <w:rPr>
          <w:rFonts w:ascii="Arial" w:hAnsi="Arial" w:cs="Arial"/>
        </w:rPr>
        <w:t xml:space="preserve"> </w:t>
      </w:r>
    </w:p>
    <w:p w14:paraId="05EBFC33" w14:textId="247FC2BC" w:rsidR="00986086" w:rsidRPr="00563492" w:rsidRDefault="002B270B" w:rsidP="003A31B8">
      <w:pPr>
        <w:spacing w:after="120" w:line="276" w:lineRule="auto"/>
        <w:jc w:val="both"/>
        <w:rPr>
          <w:rFonts w:ascii="Arial" w:eastAsia="Calibri" w:hAnsi="Arial" w:cs="Arial"/>
          <w:bCs/>
          <w:lang w:val="es-ES_tradnl" w:eastAsia="es-ES_tradnl"/>
        </w:rPr>
      </w:pPr>
      <w:r w:rsidRPr="00563492">
        <w:rPr>
          <w:rFonts w:ascii="Arial" w:hAnsi="Arial" w:cs="Arial"/>
        </w:rPr>
        <w:tab/>
        <w:t xml:space="preserve">Sin perjuicio de lo anterior, </w:t>
      </w:r>
      <w:r w:rsidR="000703E2" w:rsidRPr="00563492">
        <w:rPr>
          <w:rFonts w:ascii="Arial" w:hAnsi="Arial" w:cs="Arial"/>
        </w:rPr>
        <w:t>la celebración de</w:t>
      </w:r>
      <w:r w:rsidRPr="00563492">
        <w:rPr>
          <w:rFonts w:ascii="Arial" w:hAnsi="Arial" w:cs="Arial"/>
        </w:rPr>
        <w:t xml:space="preserve"> convenios</w:t>
      </w:r>
      <w:r w:rsidR="00071C00" w:rsidRPr="00563492">
        <w:rPr>
          <w:rFonts w:ascii="Arial" w:hAnsi="Arial" w:cs="Arial"/>
        </w:rPr>
        <w:t xml:space="preserve"> o contratos</w:t>
      </w:r>
      <w:r w:rsidRPr="00563492">
        <w:rPr>
          <w:rFonts w:ascii="Arial" w:hAnsi="Arial" w:cs="Arial"/>
        </w:rPr>
        <w:t xml:space="preserve"> interadministrativos</w:t>
      </w:r>
      <w:r w:rsidR="00FD4C90" w:rsidRPr="00563492">
        <w:rPr>
          <w:rFonts w:ascii="Arial" w:hAnsi="Arial" w:cs="Arial"/>
        </w:rPr>
        <w:t xml:space="preserve"> entre Entidades Estatales sometidas al Estatuto General de Contratación de la Administración Pública </w:t>
      </w:r>
      <w:r w:rsidR="006E36DC" w:rsidRPr="00563492">
        <w:rPr>
          <w:rFonts w:ascii="Arial" w:hAnsi="Arial" w:cs="Arial"/>
        </w:rPr>
        <w:t>y los aludidos fondos mixtos,</w:t>
      </w:r>
      <w:r w:rsidRPr="00563492">
        <w:rPr>
          <w:rFonts w:ascii="Arial" w:hAnsi="Arial" w:cs="Arial"/>
        </w:rPr>
        <w:t xml:space="preserve"> </w:t>
      </w:r>
      <w:r w:rsidR="00071C00" w:rsidRPr="00563492">
        <w:rPr>
          <w:rFonts w:ascii="Arial" w:hAnsi="Arial" w:cs="Arial"/>
        </w:rPr>
        <w:t xml:space="preserve">de </w:t>
      </w:r>
      <w:r w:rsidR="0012743A" w:rsidRPr="00563492">
        <w:rPr>
          <w:rFonts w:ascii="Arial" w:hAnsi="Arial" w:cs="Arial"/>
        </w:rPr>
        <w:t xml:space="preserve">los que se </w:t>
      </w:r>
      <w:r w:rsidR="00071C00" w:rsidRPr="00563492">
        <w:rPr>
          <w:rFonts w:ascii="Arial" w:hAnsi="Arial" w:cs="Arial"/>
        </w:rPr>
        <w:t xml:space="preserve">derive la </w:t>
      </w:r>
      <w:r w:rsidR="00E52901" w:rsidRPr="00563492">
        <w:rPr>
          <w:rFonts w:ascii="Arial" w:hAnsi="Arial" w:cs="Arial"/>
        </w:rPr>
        <w:t>ejecución d</w:t>
      </w:r>
      <w:r w:rsidR="009903F4" w:rsidRPr="00563492">
        <w:rPr>
          <w:rFonts w:ascii="Arial" w:hAnsi="Arial" w:cs="Arial"/>
        </w:rPr>
        <w:t xml:space="preserve">e </w:t>
      </w:r>
      <w:r w:rsidR="0012743A" w:rsidRPr="00563492">
        <w:rPr>
          <w:rFonts w:ascii="Arial" w:hAnsi="Arial" w:cs="Arial"/>
        </w:rPr>
        <w:t xml:space="preserve">objetos </w:t>
      </w:r>
      <w:r w:rsidR="00A32166" w:rsidRPr="00563492">
        <w:rPr>
          <w:rFonts w:ascii="Arial" w:hAnsi="Arial" w:cs="Arial"/>
        </w:rPr>
        <w:t xml:space="preserve">contractuales </w:t>
      </w:r>
      <w:r w:rsidR="0012743A" w:rsidRPr="00563492">
        <w:rPr>
          <w:rFonts w:ascii="Arial" w:hAnsi="Arial" w:cs="Arial"/>
        </w:rPr>
        <w:t>cobijad</w:t>
      </w:r>
      <w:r w:rsidR="00A32166" w:rsidRPr="00563492">
        <w:rPr>
          <w:rFonts w:ascii="Arial" w:hAnsi="Arial" w:cs="Arial"/>
        </w:rPr>
        <w:t>o</w:t>
      </w:r>
      <w:r w:rsidR="0012743A" w:rsidRPr="00563492">
        <w:rPr>
          <w:rFonts w:ascii="Arial" w:hAnsi="Arial" w:cs="Arial"/>
        </w:rPr>
        <w:t>s por los documentos tipo</w:t>
      </w:r>
      <w:r w:rsidR="00E25585" w:rsidRPr="00563492">
        <w:rPr>
          <w:rFonts w:ascii="Arial" w:hAnsi="Arial" w:cs="Arial"/>
        </w:rPr>
        <w:t xml:space="preserve"> expedidos por la Agencia Nacional de Contratación</w:t>
      </w:r>
      <w:r w:rsidR="00A32166" w:rsidRPr="00563492">
        <w:rPr>
          <w:rFonts w:ascii="Arial" w:hAnsi="Arial" w:cs="Arial"/>
        </w:rPr>
        <w:t xml:space="preserve"> </w:t>
      </w:r>
      <w:r w:rsidR="00E25585" w:rsidRPr="00563492">
        <w:rPr>
          <w:rFonts w:ascii="Arial" w:hAnsi="Arial" w:cs="Arial"/>
        </w:rPr>
        <w:t xml:space="preserve">Pública </w:t>
      </w:r>
      <w:r w:rsidR="000A4344" w:rsidRPr="00563492">
        <w:rPr>
          <w:rFonts w:ascii="Arial" w:hAnsi="Arial" w:cs="Arial"/>
        </w:rPr>
        <w:t>–</w:t>
      </w:r>
      <w:r w:rsidR="00E25585" w:rsidRPr="00563492">
        <w:rPr>
          <w:rFonts w:ascii="Arial" w:hAnsi="Arial" w:cs="Arial"/>
        </w:rPr>
        <w:t>Colombia Compra Eficiente–</w:t>
      </w:r>
      <w:r w:rsidR="000A4344" w:rsidRPr="00563492">
        <w:rPr>
          <w:rFonts w:ascii="Arial" w:hAnsi="Arial" w:cs="Arial"/>
        </w:rPr>
        <w:t xml:space="preserve"> en virtud de la</w:t>
      </w:r>
      <w:r w:rsidR="00A32166" w:rsidRPr="00563492">
        <w:rPr>
          <w:rFonts w:ascii="Arial" w:hAnsi="Arial" w:cs="Arial"/>
        </w:rPr>
        <w:t xml:space="preserve"> competencia</w:t>
      </w:r>
      <w:r w:rsidR="000A4344" w:rsidRPr="00563492">
        <w:rPr>
          <w:rFonts w:ascii="Arial" w:hAnsi="Arial" w:cs="Arial"/>
        </w:rPr>
        <w:t xml:space="preserve"> Ley 2022 de 2020</w:t>
      </w:r>
      <w:r w:rsidR="00A32166" w:rsidRPr="00563492">
        <w:rPr>
          <w:rFonts w:ascii="Arial" w:hAnsi="Arial" w:cs="Arial"/>
        </w:rPr>
        <w:t>,</w:t>
      </w:r>
      <w:r w:rsidR="000703E2" w:rsidRPr="00563492">
        <w:rPr>
          <w:rFonts w:ascii="Arial" w:hAnsi="Arial" w:cs="Arial"/>
        </w:rPr>
        <w:t xml:space="preserve"> </w:t>
      </w:r>
      <w:r w:rsidR="005B4A22" w:rsidRPr="00563492">
        <w:rPr>
          <w:rFonts w:ascii="Arial" w:hAnsi="Arial" w:cs="Arial"/>
        </w:rPr>
        <w:t xml:space="preserve">se encuentra sometida a lo </w:t>
      </w:r>
      <w:r w:rsidR="003D4900" w:rsidRPr="00563492">
        <w:rPr>
          <w:rFonts w:ascii="Arial" w:hAnsi="Arial" w:cs="Arial"/>
        </w:rPr>
        <w:t xml:space="preserve">dispuesto en el artículo 56 de la Ley 2195 de 2022. </w:t>
      </w:r>
      <w:r w:rsidR="001A39F1" w:rsidRPr="00563492">
        <w:rPr>
          <w:rFonts w:ascii="Arial" w:hAnsi="Arial" w:cs="Arial"/>
        </w:rPr>
        <w:t>E</w:t>
      </w:r>
      <w:r w:rsidR="00A5709B" w:rsidRPr="00563492">
        <w:rPr>
          <w:rFonts w:ascii="Arial" w:hAnsi="Arial" w:cs="Arial"/>
        </w:rPr>
        <w:t>sto supone que, sin perjuicio</w:t>
      </w:r>
      <w:r w:rsidR="00986086" w:rsidRPr="00563492">
        <w:rPr>
          <w:rFonts w:ascii="Arial" w:hAnsi="Arial" w:cs="Arial"/>
        </w:rPr>
        <w:t xml:space="preserve"> de la referida causal de contratación directa, este tipo de convenios,</w:t>
      </w:r>
      <w:r w:rsidR="001A39F1" w:rsidRPr="00563492">
        <w:rPr>
          <w:rFonts w:ascii="Arial" w:hAnsi="Arial" w:cs="Arial"/>
        </w:rPr>
        <w:t xml:space="preserve"> </w:t>
      </w:r>
      <w:r w:rsidR="00986086" w:rsidRPr="00563492">
        <w:rPr>
          <w:rFonts w:ascii="Arial" w:eastAsia="Calibri" w:hAnsi="Arial" w:cs="Arial"/>
          <w:bCs/>
          <w:lang w:val="es-ES_tradnl" w:eastAsia="es-ES_tradnl"/>
        </w:rPr>
        <w:t xml:space="preserve">en los casos en los que el objeto que se pretende contratar esté cobijado por algún documento tipo, esto </w:t>
      </w:r>
      <w:r w:rsidR="00986086" w:rsidRPr="00563492">
        <w:rPr>
          <w:rFonts w:ascii="Arial" w:eastAsia="Times New Roman" w:hAnsi="Arial" w:cs="Arial"/>
          <w:lang w:eastAsia="es-ES_tradnl"/>
        </w:rPr>
        <w:t>implica</w:t>
      </w:r>
      <w:r w:rsidR="00595800" w:rsidRPr="00563492">
        <w:rPr>
          <w:rFonts w:ascii="Arial" w:eastAsia="Times New Roman" w:hAnsi="Arial" w:cs="Arial"/>
          <w:lang w:eastAsia="es-ES_tradnl"/>
        </w:rPr>
        <w:t xml:space="preserve"> para</w:t>
      </w:r>
      <w:r w:rsidR="00986086" w:rsidRPr="00563492">
        <w:rPr>
          <w:rFonts w:ascii="Arial" w:eastAsia="Times New Roman" w:hAnsi="Arial" w:cs="Arial"/>
          <w:lang w:eastAsia="es-ES_tradnl"/>
        </w:rPr>
        <w:t xml:space="preserve"> que la Entidad Estatal exceptuada </w:t>
      </w:r>
      <w:r w:rsidR="00595800" w:rsidRPr="00563492">
        <w:rPr>
          <w:rFonts w:ascii="Arial" w:eastAsia="Times New Roman" w:hAnsi="Arial" w:cs="Arial"/>
          <w:lang w:eastAsia="es-ES_tradnl"/>
        </w:rPr>
        <w:t xml:space="preserve">pueda desarrollar tal </w:t>
      </w:r>
      <w:r w:rsidR="00986086" w:rsidRPr="00563492">
        <w:rPr>
          <w:rFonts w:ascii="Arial" w:eastAsia="Times New Roman" w:hAnsi="Arial" w:cs="Arial"/>
          <w:lang w:eastAsia="es-ES_tradnl"/>
        </w:rPr>
        <w:t xml:space="preserve">contrato, debe someterse a un proceso de selección en el que se apliquen documentos tipo expedidos por esta Agencia a cargo de la </w:t>
      </w:r>
      <w:r w:rsidR="00986086" w:rsidRPr="00563492">
        <w:rPr>
          <w:rFonts w:ascii="Arial" w:eastAsia="Calibri" w:hAnsi="Arial" w:cs="Arial"/>
          <w:bCs/>
          <w:lang w:val="es-ES_tradnl" w:eastAsia="es-ES_tradnl"/>
        </w:rPr>
        <w:t>entidad sometida al E</w:t>
      </w:r>
      <w:r w:rsidR="00BD5AF4" w:rsidRPr="00563492">
        <w:rPr>
          <w:rFonts w:ascii="Arial" w:eastAsia="Calibri" w:hAnsi="Arial" w:cs="Arial"/>
          <w:bCs/>
          <w:lang w:val="es-ES_tradnl" w:eastAsia="es-ES_tradnl"/>
        </w:rPr>
        <w:t xml:space="preserve">statuto </w:t>
      </w:r>
      <w:r w:rsidR="00986086" w:rsidRPr="00563492">
        <w:rPr>
          <w:rFonts w:ascii="Arial" w:eastAsia="Calibri" w:hAnsi="Arial" w:cs="Arial"/>
          <w:bCs/>
          <w:lang w:val="es-ES_tradnl" w:eastAsia="es-ES_tradnl"/>
        </w:rPr>
        <w:t>G</w:t>
      </w:r>
      <w:r w:rsidR="00BD5AF4" w:rsidRPr="00563492">
        <w:rPr>
          <w:rFonts w:ascii="Arial" w:eastAsia="Calibri" w:hAnsi="Arial" w:cs="Arial"/>
          <w:bCs/>
          <w:lang w:val="es-ES_tradnl" w:eastAsia="es-ES_tradnl"/>
        </w:rPr>
        <w:t xml:space="preserve">eneral de </w:t>
      </w:r>
      <w:r w:rsidR="00986086" w:rsidRPr="00563492">
        <w:rPr>
          <w:rFonts w:ascii="Arial" w:eastAsia="Calibri" w:hAnsi="Arial" w:cs="Arial"/>
          <w:bCs/>
          <w:lang w:val="es-ES_tradnl" w:eastAsia="es-ES_tradnl"/>
        </w:rPr>
        <w:t>C</w:t>
      </w:r>
      <w:r w:rsidR="00BD5AF4" w:rsidRPr="00563492">
        <w:rPr>
          <w:rFonts w:ascii="Arial" w:eastAsia="Calibri" w:hAnsi="Arial" w:cs="Arial"/>
          <w:bCs/>
          <w:lang w:val="es-ES_tradnl" w:eastAsia="es-ES_tradnl"/>
        </w:rPr>
        <w:t xml:space="preserve">ontratación de la </w:t>
      </w:r>
      <w:r w:rsidR="00986086" w:rsidRPr="00563492">
        <w:rPr>
          <w:rFonts w:ascii="Arial" w:eastAsia="Calibri" w:hAnsi="Arial" w:cs="Arial"/>
          <w:bCs/>
          <w:lang w:val="es-ES_tradnl" w:eastAsia="es-ES_tradnl"/>
        </w:rPr>
        <w:t>A</w:t>
      </w:r>
      <w:r w:rsidR="00BD5AF4" w:rsidRPr="00563492">
        <w:rPr>
          <w:rFonts w:ascii="Arial" w:eastAsia="Calibri" w:hAnsi="Arial" w:cs="Arial"/>
          <w:bCs/>
          <w:lang w:val="es-ES_tradnl" w:eastAsia="es-ES_tradnl"/>
        </w:rPr>
        <w:t xml:space="preserve">dministración </w:t>
      </w:r>
      <w:r w:rsidR="00986086" w:rsidRPr="00563492">
        <w:rPr>
          <w:rFonts w:ascii="Arial" w:eastAsia="Calibri" w:hAnsi="Arial" w:cs="Arial"/>
          <w:bCs/>
          <w:lang w:val="es-ES_tradnl" w:eastAsia="es-ES_tradnl"/>
        </w:rPr>
        <w:t>P</w:t>
      </w:r>
      <w:r w:rsidR="00BD5AF4" w:rsidRPr="00563492">
        <w:rPr>
          <w:rFonts w:ascii="Arial" w:eastAsia="Calibri" w:hAnsi="Arial" w:cs="Arial"/>
          <w:bCs/>
          <w:lang w:val="es-ES_tradnl" w:eastAsia="es-ES_tradnl"/>
        </w:rPr>
        <w:t>ública</w:t>
      </w:r>
      <w:r w:rsidR="00986086" w:rsidRPr="00563492">
        <w:rPr>
          <w:rFonts w:ascii="Arial" w:eastAsia="Calibri" w:hAnsi="Arial" w:cs="Arial"/>
          <w:bCs/>
          <w:lang w:val="es-ES_tradnl" w:eastAsia="es-ES_tradnl"/>
        </w:rPr>
        <w:t>.</w:t>
      </w:r>
    </w:p>
    <w:bookmarkEnd w:id="1"/>
    <w:p w14:paraId="1D2B7B62" w14:textId="281F2454" w:rsidR="002B2263" w:rsidRPr="00563492" w:rsidRDefault="002B2263" w:rsidP="000E31D3">
      <w:pPr>
        <w:spacing w:after="120" w:line="276" w:lineRule="auto"/>
        <w:jc w:val="both"/>
        <w:rPr>
          <w:rFonts w:ascii="Arial" w:hAnsi="Arial" w:cs="Arial"/>
          <w:lang w:val="es-ES_tradnl"/>
        </w:rPr>
      </w:pPr>
      <w:r w:rsidRPr="00563492">
        <w:rPr>
          <w:rFonts w:ascii="Arial" w:eastAsia="Arial" w:hAnsi="Arial" w:cs="Arial"/>
          <w:lang w:val="es-MX" w:eastAsia="es-ES_tradnl"/>
        </w:rPr>
        <w:t>Este concepto tiene el alcance previsto en el artículo 28 del Código de Procedimiento Administrativo y de lo Contencioso Administrativo</w:t>
      </w:r>
      <w:r w:rsidR="008423B6" w:rsidRPr="00563492">
        <w:rPr>
          <w:rFonts w:ascii="Arial" w:eastAsia="Calibri" w:hAnsi="Arial" w:cs="Arial"/>
          <w:lang w:val="es-MX"/>
        </w:rPr>
        <w:t>.</w:t>
      </w:r>
    </w:p>
    <w:p w14:paraId="282918BF" w14:textId="77777777" w:rsidR="002B2263" w:rsidRPr="00563492" w:rsidRDefault="002B2263" w:rsidP="002B2263">
      <w:pPr>
        <w:shd w:val="clear" w:color="auto" w:fill="FFFFFF" w:themeFill="background1"/>
        <w:spacing w:before="240" w:after="120" w:line="276" w:lineRule="auto"/>
        <w:ind w:right="51"/>
        <w:jc w:val="both"/>
        <w:rPr>
          <w:rFonts w:ascii="Arial" w:eastAsia="Calibri" w:hAnsi="Arial" w:cs="Arial"/>
        </w:rPr>
      </w:pPr>
      <w:r w:rsidRPr="00563492">
        <w:rPr>
          <w:rFonts w:ascii="Arial" w:eastAsia="Times New Roman" w:hAnsi="Arial" w:cs="Arial"/>
          <w:lang w:val="es-ES" w:eastAsia="es-CO"/>
        </w:rPr>
        <w:t>Atentamente,</w:t>
      </w:r>
      <w:bookmarkStart w:id="38" w:name="_Hlk115432332"/>
    </w:p>
    <w:p w14:paraId="4BA72F6D" w14:textId="11924B5B" w:rsidR="002B2263" w:rsidRPr="00563492" w:rsidRDefault="00E52A58" w:rsidP="002B2263">
      <w:pPr>
        <w:spacing w:before="240" w:after="0" w:line="276" w:lineRule="auto"/>
        <w:jc w:val="center"/>
        <w:rPr>
          <w:rFonts w:ascii="Arial" w:eastAsia="Times New Roman" w:hAnsi="Arial" w:cs="Arial"/>
          <w:lang w:val="es-ES" w:eastAsia="es-CO"/>
        </w:rPr>
      </w:pPr>
      <w:r>
        <w:rPr>
          <w:rFonts w:ascii="Arial" w:hAnsi="Arial" w:cs="Arial"/>
          <w:noProof/>
          <w:lang w:val="es-ES_tradnl"/>
        </w:rPr>
        <w:drawing>
          <wp:inline distT="0" distB="0" distL="0" distR="0" wp14:anchorId="3461A652" wp14:editId="21365D79">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2B2263" w:rsidRPr="00563492" w14:paraId="3DCDA432" w14:textId="77777777" w:rsidTr="006443D7">
        <w:trPr>
          <w:trHeight w:val="315"/>
        </w:trPr>
        <w:tc>
          <w:tcPr>
            <w:tcW w:w="812" w:type="dxa"/>
            <w:vAlign w:val="center"/>
            <w:hideMark/>
          </w:tcPr>
          <w:p w14:paraId="67D352D8" w14:textId="77777777" w:rsidR="002B2263" w:rsidRPr="00563492" w:rsidRDefault="002B2263" w:rsidP="006443D7">
            <w:pPr>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311E180A" w14:textId="77777777" w:rsidR="002B2263" w:rsidRPr="00563492" w:rsidRDefault="002B2263" w:rsidP="006443D7">
            <w:pPr>
              <w:jc w:val="both"/>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Ana María Ortiz Ballesteros</w:t>
            </w:r>
          </w:p>
          <w:p w14:paraId="6A8CFCDD" w14:textId="77777777" w:rsidR="002B2263" w:rsidRPr="00563492" w:rsidRDefault="002B2263" w:rsidP="006443D7">
            <w:pPr>
              <w:jc w:val="both"/>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Contratista de la Subdirección de Gestión Contractual</w:t>
            </w:r>
          </w:p>
        </w:tc>
      </w:tr>
      <w:tr w:rsidR="002B2263" w:rsidRPr="00563492" w14:paraId="6E2E1EC0" w14:textId="77777777" w:rsidTr="006443D7">
        <w:trPr>
          <w:trHeight w:val="330"/>
        </w:trPr>
        <w:tc>
          <w:tcPr>
            <w:tcW w:w="812" w:type="dxa"/>
            <w:vAlign w:val="center"/>
            <w:hideMark/>
          </w:tcPr>
          <w:p w14:paraId="1520D9F3" w14:textId="77777777" w:rsidR="002B2263" w:rsidRPr="00563492" w:rsidRDefault="002B2263" w:rsidP="006443D7">
            <w:pPr>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7A7591EC" w14:textId="77777777" w:rsidR="005843BF" w:rsidRPr="00563492" w:rsidRDefault="005843BF" w:rsidP="005843BF">
            <w:pPr>
              <w:jc w:val="both"/>
              <w:rPr>
                <w:rFonts w:ascii="Arial" w:eastAsia="Calibri" w:hAnsi="Arial" w:cs="Arial"/>
                <w:sz w:val="14"/>
                <w:szCs w:val="14"/>
                <w:lang w:val="es-MX" w:eastAsia="es-ES"/>
              </w:rPr>
            </w:pPr>
            <w:r w:rsidRPr="00563492">
              <w:rPr>
                <w:rFonts w:ascii="Arial" w:eastAsia="Calibri" w:hAnsi="Arial" w:cs="Arial"/>
                <w:sz w:val="14"/>
                <w:szCs w:val="14"/>
                <w:lang w:val="es-MX" w:eastAsia="es-ES"/>
              </w:rPr>
              <w:t xml:space="preserve">Alejandro Sarmiento Cantillo </w:t>
            </w:r>
          </w:p>
          <w:p w14:paraId="045FE703" w14:textId="5A5131C1" w:rsidR="002B2263" w:rsidRPr="00563492" w:rsidRDefault="00590D83" w:rsidP="005843BF">
            <w:pPr>
              <w:rPr>
                <w:rFonts w:ascii="Arial" w:eastAsia="Times New Roman" w:hAnsi="Arial" w:cs="Arial"/>
                <w:sz w:val="14"/>
                <w:szCs w:val="14"/>
                <w:lang w:val="es-ES" w:eastAsia="es-ES"/>
              </w:rPr>
            </w:pPr>
            <w:r w:rsidRPr="00563492">
              <w:rPr>
                <w:rFonts w:ascii="Arial" w:eastAsia="Calibri" w:hAnsi="Arial" w:cs="Arial"/>
                <w:sz w:val="14"/>
                <w:szCs w:val="14"/>
                <w:lang w:val="es-MX" w:eastAsia="es-ES"/>
              </w:rPr>
              <w:t>Gestor T1 ‒ 15 de la Subdirección de Gestión Contractual</w:t>
            </w:r>
          </w:p>
        </w:tc>
      </w:tr>
      <w:tr w:rsidR="002B2263" w:rsidRPr="00563492" w14:paraId="1AC5C1AD" w14:textId="77777777" w:rsidTr="006443D7">
        <w:trPr>
          <w:trHeight w:val="178"/>
        </w:trPr>
        <w:tc>
          <w:tcPr>
            <w:tcW w:w="812" w:type="dxa"/>
            <w:vAlign w:val="center"/>
            <w:hideMark/>
          </w:tcPr>
          <w:p w14:paraId="7A5EA295" w14:textId="77777777" w:rsidR="002B2263" w:rsidRPr="00563492" w:rsidRDefault="002B2263" w:rsidP="006443D7">
            <w:pPr>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1B9031A1" w14:textId="77777777" w:rsidR="002B2263" w:rsidRPr="00563492" w:rsidRDefault="002B2263" w:rsidP="006443D7">
            <w:pPr>
              <w:textAlignment w:val="baseline"/>
              <w:rPr>
                <w:rFonts w:ascii="Arial" w:eastAsia="Times New Roman" w:hAnsi="Arial" w:cs="Arial"/>
                <w:sz w:val="14"/>
                <w:szCs w:val="14"/>
                <w:lang w:val="es-ES" w:eastAsia="es-CO"/>
              </w:rPr>
            </w:pPr>
            <w:bookmarkStart w:id="39" w:name="_Hlk116036152"/>
            <w:r w:rsidRPr="00563492">
              <w:rPr>
                <w:rFonts w:ascii="Arial" w:eastAsia="Times New Roman" w:hAnsi="Arial" w:cs="Arial"/>
                <w:sz w:val="14"/>
                <w:szCs w:val="14"/>
                <w:lang w:val="es-ES" w:eastAsia="es-CO"/>
              </w:rPr>
              <w:t>Nohelia del Carmen Zawady Palacio</w:t>
            </w:r>
          </w:p>
          <w:p w14:paraId="05CCBEF0" w14:textId="77777777" w:rsidR="002B2263" w:rsidRPr="00563492" w:rsidRDefault="002B2263" w:rsidP="006443D7">
            <w:pPr>
              <w:rPr>
                <w:rFonts w:ascii="Arial" w:eastAsia="Times New Roman" w:hAnsi="Arial" w:cs="Arial"/>
                <w:sz w:val="14"/>
                <w:szCs w:val="14"/>
                <w:lang w:val="es-ES" w:eastAsia="es-ES"/>
              </w:rPr>
            </w:pPr>
            <w:r w:rsidRPr="00563492">
              <w:rPr>
                <w:rFonts w:ascii="Arial" w:eastAsia="Times New Roman" w:hAnsi="Arial" w:cs="Arial"/>
                <w:sz w:val="14"/>
                <w:szCs w:val="14"/>
                <w:lang w:val="es-ES" w:eastAsia="es-ES"/>
              </w:rPr>
              <w:t xml:space="preserve">Subdirectora de Gestión Contractual </w:t>
            </w:r>
            <w:bookmarkEnd w:id="39"/>
            <w:r w:rsidRPr="00563492">
              <w:rPr>
                <w:rFonts w:ascii="Arial" w:eastAsia="Times New Roman" w:hAnsi="Arial" w:cs="Arial"/>
                <w:sz w:val="14"/>
                <w:szCs w:val="14"/>
                <w:lang w:val="es-ES" w:eastAsia="es-ES"/>
              </w:rPr>
              <w:t>ANCP – CCE</w:t>
            </w:r>
          </w:p>
        </w:tc>
      </w:tr>
      <w:bookmarkEnd w:id="38"/>
    </w:tbl>
    <w:p w14:paraId="2FA3BE13" w14:textId="77777777" w:rsidR="002B2263" w:rsidRPr="00563492" w:rsidRDefault="002B2263" w:rsidP="002B2263">
      <w:pPr>
        <w:spacing w:after="0"/>
        <w:rPr>
          <w:rFonts w:ascii="Arial" w:hAnsi="Arial" w:cs="Arial"/>
          <w:lang w:val="es-ES"/>
        </w:rPr>
      </w:pPr>
    </w:p>
    <w:p w14:paraId="637F13E7" w14:textId="77777777" w:rsidR="002B2263" w:rsidRPr="00563492" w:rsidRDefault="002B2263" w:rsidP="002B2263">
      <w:pPr>
        <w:tabs>
          <w:tab w:val="left" w:pos="1839"/>
        </w:tabs>
        <w:rPr>
          <w:rFonts w:ascii="Arial" w:hAnsi="Arial" w:cs="Arial"/>
          <w:lang w:val="es-ES"/>
        </w:rPr>
      </w:pPr>
    </w:p>
    <w:sectPr w:rsidR="002B2263" w:rsidRPr="00563492"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1E0F" w14:textId="77777777" w:rsidR="00737C20" w:rsidRDefault="00737C20" w:rsidP="004A1847">
      <w:pPr>
        <w:spacing w:after="0" w:line="240" w:lineRule="auto"/>
      </w:pPr>
      <w:r>
        <w:separator/>
      </w:r>
    </w:p>
  </w:endnote>
  <w:endnote w:type="continuationSeparator" w:id="0">
    <w:p w14:paraId="26CB41D1" w14:textId="77777777" w:rsidR="00737C20" w:rsidRDefault="00737C20" w:rsidP="004A1847">
      <w:pPr>
        <w:spacing w:after="0" w:line="240" w:lineRule="auto"/>
      </w:pPr>
      <w:r>
        <w:continuationSeparator/>
      </w:r>
    </w:p>
  </w:endnote>
  <w:endnote w:type="continuationNotice" w:id="1">
    <w:p w14:paraId="0A1710CE" w14:textId="77777777" w:rsidR="00737C20" w:rsidRDefault="00737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1246" w14:textId="77777777" w:rsidR="00737C20" w:rsidRDefault="00737C20" w:rsidP="004A1847">
      <w:pPr>
        <w:spacing w:after="0" w:line="240" w:lineRule="auto"/>
      </w:pPr>
      <w:r>
        <w:separator/>
      </w:r>
    </w:p>
  </w:footnote>
  <w:footnote w:type="continuationSeparator" w:id="0">
    <w:p w14:paraId="7C5DBC3D" w14:textId="77777777" w:rsidR="00737C20" w:rsidRDefault="00737C20" w:rsidP="004A1847">
      <w:pPr>
        <w:spacing w:after="0" w:line="240" w:lineRule="auto"/>
      </w:pPr>
      <w:r>
        <w:continuationSeparator/>
      </w:r>
    </w:p>
  </w:footnote>
  <w:footnote w:type="continuationNotice" w:id="1">
    <w:p w14:paraId="570B06BE" w14:textId="77777777" w:rsidR="00737C20" w:rsidRDefault="00737C20">
      <w:pPr>
        <w:spacing w:after="0" w:line="240" w:lineRule="auto"/>
      </w:pPr>
    </w:p>
  </w:footnote>
  <w:footnote w:id="2">
    <w:p w14:paraId="4407F836" w14:textId="2747935B" w:rsidR="001D20D4" w:rsidRPr="00140CFE" w:rsidRDefault="001D20D4" w:rsidP="00E6420A">
      <w:pPr>
        <w:pStyle w:val="Textonotapie"/>
        <w:ind w:firstLine="708"/>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40CFE">
        <w:rPr>
          <w:rFonts w:ascii="Arial" w:hAnsi="Arial" w:cs="Arial"/>
          <w:i/>
          <w:iCs/>
          <w:sz w:val="18"/>
          <w:szCs w:val="18"/>
        </w:rPr>
        <w:t xml:space="preserve">ibidem </w:t>
      </w:r>
      <w:r w:rsidRPr="00140CFE">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r w:rsidR="000E4920" w:rsidRPr="00140CFE">
        <w:rPr>
          <w:rFonts w:ascii="Arial" w:hAnsi="Arial" w:cs="Arial"/>
          <w:sz w:val="18"/>
          <w:szCs w:val="18"/>
        </w:rPr>
        <w:t>.</w:t>
      </w:r>
    </w:p>
  </w:footnote>
  <w:footnote w:id="3">
    <w:p w14:paraId="00C9F59B" w14:textId="77777777" w:rsidR="001D20D4" w:rsidRPr="00140CFE" w:rsidRDefault="001D20D4" w:rsidP="00E6420A">
      <w:pPr>
        <w:pStyle w:val="Textonotapie"/>
        <w:ind w:firstLine="708"/>
        <w:jc w:val="both"/>
        <w:rPr>
          <w:rFonts w:ascii="Arial" w:hAnsi="Arial" w:cs="Arial"/>
          <w:sz w:val="18"/>
          <w:szCs w:val="18"/>
          <w:shd w:val="clear" w:color="auto" w:fill="E6E6E6"/>
        </w:rPr>
      </w:pPr>
      <w:r w:rsidRPr="00140CFE">
        <w:rPr>
          <w:rStyle w:val="Refdenotaalpie"/>
          <w:rFonts w:ascii="Arial" w:hAnsi="Arial" w:cs="Arial"/>
          <w:sz w:val="18"/>
          <w:szCs w:val="18"/>
        </w:rPr>
        <w:footnoteRef/>
      </w:r>
      <w:r w:rsidRPr="00140CFE">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40CFE">
          <w:rPr>
            <w:rStyle w:val="Hipervnculo"/>
            <w:rFonts w:ascii="Arial" w:hAnsi="Arial" w:cs="Arial"/>
            <w:color w:val="auto"/>
            <w:sz w:val="18"/>
            <w:szCs w:val="18"/>
          </w:rPr>
          <w:t>https://relatoria.colombiacompra.gov.co/busqueda/conceptos</w:t>
        </w:r>
      </w:hyperlink>
      <w:r w:rsidRPr="00140CFE">
        <w:rPr>
          <w:rStyle w:val="Hipervnculo"/>
          <w:rFonts w:ascii="Arial" w:hAnsi="Arial" w:cs="Arial"/>
          <w:color w:val="auto"/>
          <w:sz w:val="18"/>
          <w:szCs w:val="18"/>
        </w:rPr>
        <w:t xml:space="preserve">. </w:t>
      </w:r>
      <w:r w:rsidRPr="00140CFE">
        <w:rPr>
          <w:rFonts w:ascii="Arial" w:hAnsi="Arial" w:cs="Arial"/>
          <w:sz w:val="18"/>
          <w:szCs w:val="18"/>
          <w:shd w:val="clear" w:color="auto" w:fill="E6E6E6"/>
        </w:rPr>
        <w:t xml:space="preserve"> </w:t>
      </w:r>
    </w:p>
    <w:p w14:paraId="57CEDD41" w14:textId="77777777" w:rsidR="004278A8" w:rsidRPr="00140CFE" w:rsidRDefault="004278A8" w:rsidP="00E6420A">
      <w:pPr>
        <w:pStyle w:val="Textonotapie"/>
        <w:ind w:firstLine="708"/>
        <w:jc w:val="both"/>
        <w:rPr>
          <w:rFonts w:ascii="Arial" w:hAnsi="Arial" w:cs="Arial"/>
          <w:sz w:val="18"/>
          <w:szCs w:val="18"/>
        </w:rPr>
      </w:pPr>
    </w:p>
  </w:footnote>
  <w:footnote w:id="4">
    <w:p w14:paraId="140D4C43"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w:t>
      </w:r>
      <w:r w:rsidRPr="003A31B8">
        <w:rPr>
          <w:rFonts w:ascii="Arial" w:hAnsi="Arial" w:cs="Arial"/>
          <w:iCs/>
          <w:color w:val="000000" w:themeColor="text1"/>
          <w:sz w:val="18"/>
          <w:szCs w:val="18"/>
        </w:rPr>
        <w:t>Artículo 57 de la Ley 397 de 1997.</w:t>
      </w:r>
    </w:p>
    <w:p w14:paraId="5D337251"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p>
  </w:footnote>
  <w:footnote w:id="5">
    <w:p w14:paraId="19B56E50" w14:textId="77777777" w:rsidR="00BC741C" w:rsidRPr="003A31B8" w:rsidRDefault="00BC741C" w:rsidP="00BC741C">
      <w:pPr>
        <w:pStyle w:val="Textonotapie"/>
        <w:ind w:firstLine="709"/>
        <w:jc w:val="both"/>
        <w:rPr>
          <w:rFonts w:ascii="Arial" w:hAnsi="Arial" w:cs="Arial"/>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Sentencia C-671 de 1999. M.P. Alfredo Beltrán Sierra.</w:t>
      </w:r>
    </w:p>
    <w:p w14:paraId="6055A137"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p>
  </w:footnote>
  <w:footnote w:id="6">
    <w:p w14:paraId="5016B6FC"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Corte Constitucional. </w:t>
      </w:r>
      <w:r w:rsidRPr="003A31B8">
        <w:rPr>
          <w:rFonts w:ascii="Arial" w:hAnsi="Arial" w:cs="Arial"/>
          <w:iCs/>
          <w:color w:val="000000" w:themeColor="text1"/>
          <w:sz w:val="18"/>
          <w:szCs w:val="18"/>
        </w:rPr>
        <w:t>Sentencia C-617 de 2012, M.P. Luis Ernesto Vargas Silva.</w:t>
      </w:r>
    </w:p>
  </w:footnote>
  <w:footnote w:id="7">
    <w:p w14:paraId="1276D2FE" w14:textId="77777777" w:rsidR="00BC741C" w:rsidRPr="003A31B8" w:rsidRDefault="00BC741C" w:rsidP="00BC741C">
      <w:pPr>
        <w:pStyle w:val="Textonotapie"/>
        <w:ind w:firstLine="709"/>
        <w:jc w:val="both"/>
        <w:rPr>
          <w:rFonts w:ascii="Arial" w:hAnsi="Arial" w:cs="Arial"/>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Corte Constitucional. Sentencia C-230 de 1995. M.P. Antonio Barrera Carbonell.</w:t>
      </w:r>
    </w:p>
    <w:p w14:paraId="73890DE5" w14:textId="77777777" w:rsidR="00BC741C" w:rsidRPr="003A31B8" w:rsidRDefault="00BC741C" w:rsidP="00BC741C">
      <w:pPr>
        <w:pStyle w:val="Textonotapie"/>
        <w:jc w:val="both"/>
        <w:rPr>
          <w:rFonts w:ascii="Arial" w:hAnsi="Arial" w:cs="Arial"/>
          <w:color w:val="000000" w:themeColor="text1"/>
          <w:sz w:val="18"/>
          <w:szCs w:val="18"/>
          <w:lang w:val="es-CO"/>
        </w:rPr>
      </w:pPr>
    </w:p>
  </w:footnote>
  <w:footnote w:id="8">
    <w:p w14:paraId="6BE71029" w14:textId="77777777" w:rsidR="00BC741C" w:rsidRPr="003A31B8" w:rsidRDefault="00BC741C" w:rsidP="00BC741C">
      <w:pPr>
        <w:pStyle w:val="Textonotapie"/>
        <w:ind w:firstLine="709"/>
        <w:jc w:val="both"/>
        <w:rPr>
          <w:rFonts w:ascii="Arial" w:hAnsi="Arial" w:cs="Arial"/>
          <w:iCs/>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iCs/>
          <w:color w:val="000000" w:themeColor="text1"/>
          <w:sz w:val="18"/>
          <w:szCs w:val="18"/>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 Civil. Concepto del 16 de febrero de 2016, rad. 2015-00110-00(2259). C.P. Álvaro Namén Vargas.</w:t>
      </w:r>
    </w:p>
    <w:p w14:paraId="1A63EC68"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p>
  </w:footnote>
  <w:footnote w:id="9">
    <w:p w14:paraId="067120D6" w14:textId="77777777" w:rsidR="00BC741C" w:rsidRPr="003A31B8" w:rsidRDefault="00BC741C" w:rsidP="00BC741C">
      <w:pPr>
        <w:pStyle w:val="Textonotapie"/>
        <w:ind w:firstLine="709"/>
        <w:jc w:val="both"/>
        <w:rPr>
          <w:rFonts w:ascii="Arial" w:hAnsi="Arial" w:cs="Arial"/>
          <w:iCs/>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iCs/>
          <w:color w:val="000000" w:themeColor="text1"/>
          <w:sz w:val="18"/>
          <w:szCs w:val="18"/>
        </w:rPr>
        <w:t xml:space="preserve"> Definición legal que hoy puede encontrarse en el artículo 3 del CPACA.</w:t>
      </w:r>
    </w:p>
    <w:p w14:paraId="3D05570F" w14:textId="77777777" w:rsidR="00BC741C" w:rsidRPr="003A31B8" w:rsidRDefault="00BC741C" w:rsidP="00BC741C">
      <w:pPr>
        <w:pStyle w:val="Textonotapie"/>
        <w:ind w:firstLine="709"/>
        <w:jc w:val="both"/>
        <w:rPr>
          <w:rFonts w:ascii="Arial" w:hAnsi="Arial" w:cs="Arial"/>
          <w:iCs/>
          <w:color w:val="000000" w:themeColor="text1"/>
          <w:sz w:val="18"/>
          <w:szCs w:val="18"/>
        </w:rPr>
      </w:pPr>
    </w:p>
  </w:footnote>
  <w:footnote w:id="10">
    <w:p w14:paraId="10E99F76" w14:textId="762DE046" w:rsidR="00BC741C" w:rsidRPr="003A31B8" w:rsidRDefault="00BC741C" w:rsidP="00BC741C">
      <w:pPr>
        <w:pStyle w:val="Textonotapie"/>
        <w:ind w:firstLine="709"/>
        <w:jc w:val="both"/>
        <w:rPr>
          <w:rFonts w:ascii="Arial" w:hAnsi="Arial" w:cs="Arial"/>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w:t>
      </w:r>
      <w:r w:rsidR="000E4920" w:rsidRPr="003A31B8">
        <w:rPr>
          <w:rFonts w:ascii="Arial" w:hAnsi="Arial" w:cs="Arial"/>
          <w:color w:val="000000" w:themeColor="text1"/>
          <w:sz w:val="18"/>
          <w:szCs w:val="18"/>
        </w:rPr>
        <w:t>“</w:t>
      </w:r>
      <w:r w:rsidRPr="003A31B8">
        <w:rPr>
          <w:rFonts w:ascii="Arial" w:hAnsi="Arial" w:cs="Arial"/>
          <w:color w:val="000000" w:themeColor="text1"/>
          <w:sz w:val="18"/>
          <w:szCs w:val="18"/>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D973081" w14:textId="77777777" w:rsidR="00BC741C" w:rsidRPr="003A31B8" w:rsidRDefault="00BC741C" w:rsidP="00BC741C">
      <w:pPr>
        <w:pStyle w:val="Textonotapie"/>
        <w:ind w:firstLine="709"/>
        <w:jc w:val="both"/>
        <w:rPr>
          <w:rFonts w:ascii="Arial" w:hAnsi="Arial" w:cs="Arial"/>
          <w:color w:val="000000" w:themeColor="text1"/>
          <w:sz w:val="18"/>
          <w:szCs w:val="18"/>
          <w:lang w:val="es-CO"/>
        </w:rPr>
      </w:pPr>
    </w:p>
  </w:footnote>
  <w:footnote w:id="11">
    <w:p w14:paraId="5C2CBF5F" w14:textId="77777777" w:rsidR="00BC741C" w:rsidRPr="003A31B8" w:rsidRDefault="00BC741C" w:rsidP="00BC741C">
      <w:pPr>
        <w:pStyle w:val="Textonotapie"/>
        <w:ind w:firstLine="709"/>
        <w:jc w:val="both"/>
        <w:rPr>
          <w:rFonts w:ascii="Arial" w:hAnsi="Arial" w:cs="Arial"/>
          <w:iCs/>
          <w:color w:val="000000" w:themeColor="text1"/>
          <w:sz w:val="18"/>
          <w:szCs w:val="18"/>
        </w:rPr>
      </w:pPr>
      <w:r w:rsidRPr="003A31B8">
        <w:rPr>
          <w:rStyle w:val="Refdenotaalpie"/>
          <w:rFonts w:ascii="Arial" w:hAnsi="Arial" w:cs="Arial"/>
          <w:color w:val="000000" w:themeColor="text1"/>
          <w:sz w:val="18"/>
          <w:szCs w:val="18"/>
        </w:rPr>
        <w:footnoteRef/>
      </w:r>
      <w:r w:rsidRPr="003A31B8">
        <w:rPr>
          <w:rFonts w:ascii="Arial" w:hAnsi="Arial" w:cs="Arial"/>
          <w:color w:val="000000" w:themeColor="text1"/>
          <w:sz w:val="18"/>
          <w:szCs w:val="18"/>
        </w:rPr>
        <w:t xml:space="preserve"> </w:t>
      </w:r>
      <w:r w:rsidRPr="003A31B8">
        <w:rPr>
          <w:rFonts w:ascii="Arial" w:hAnsi="Arial" w:cs="Arial"/>
          <w:iCs/>
          <w:color w:val="000000" w:themeColor="text1"/>
          <w:sz w:val="18"/>
          <w:szCs w:val="18"/>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p w14:paraId="3BB678C0" w14:textId="77777777" w:rsidR="00BC741C" w:rsidRPr="003A31B8" w:rsidRDefault="00BC741C" w:rsidP="00BC741C">
      <w:pPr>
        <w:pStyle w:val="Textonotapie"/>
        <w:ind w:firstLine="709"/>
        <w:jc w:val="both"/>
        <w:rPr>
          <w:rFonts w:ascii="Arial" w:hAnsi="Arial" w:cs="Arial"/>
          <w:color w:val="000000" w:themeColor="text1"/>
          <w:sz w:val="18"/>
          <w:szCs w:val="18"/>
        </w:rPr>
      </w:pPr>
    </w:p>
  </w:footnote>
  <w:footnote w:id="12">
    <w:p w14:paraId="7A84F647" w14:textId="77777777" w:rsidR="00DC6545" w:rsidRPr="003A31B8" w:rsidRDefault="00DC6545" w:rsidP="00DC6545">
      <w:pPr>
        <w:spacing w:after="0"/>
        <w:ind w:firstLine="709"/>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Decreto 1082 de 2015: “Artículo </w:t>
      </w:r>
      <w:bookmarkStart w:id="21" w:name="_Hlk132977831"/>
      <w:r w:rsidRPr="003A31B8">
        <w:rPr>
          <w:rFonts w:ascii="Arial" w:hAnsi="Arial" w:cs="Arial"/>
          <w:sz w:val="18"/>
          <w:szCs w:val="18"/>
        </w:rPr>
        <w:t>2.2.1.2.1.4.4</w:t>
      </w:r>
      <w:bookmarkEnd w:id="21"/>
      <w:r w:rsidRPr="003A31B8">
        <w:rPr>
          <w:rFonts w:ascii="Arial" w:hAnsi="Arial" w:cs="Arial"/>
          <w:sz w:val="18"/>
          <w:szCs w:val="18"/>
        </w:rPr>
        <w:t>. Convenios o contratos interadministrativos. La modalidad de selección para la contratación entre Entidades Estatales es la contratación directa; y en consecuencia, le es aplicable lo establecido en el artículo 2.2.1.2.1.4.1 del presente decreto.</w:t>
      </w:r>
    </w:p>
    <w:p w14:paraId="59E90285" w14:textId="77777777" w:rsidR="00DC6545" w:rsidRPr="003A31B8" w:rsidRDefault="00DC6545" w:rsidP="00DC6545">
      <w:pPr>
        <w:spacing w:after="0"/>
        <w:ind w:firstLine="709"/>
        <w:jc w:val="both"/>
        <w:rPr>
          <w:rFonts w:ascii="Arial" w:hAnsi="Arial" w:cs="Arial"/>
          <w:sz w:val="18"/>
          <w:szCs w:val="18"/>
        </w:rPr>
      </w:pPr>
      <w:r w:rsidRPr="003A31B8">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A31B8">
        <w:rPr>
          <w:rFonts w:ascii="Arial" w:hAnsi="Arial" w:cs="Arial"/>
          <w:spacing w:val="-1"/>
          <w:sz w:val="18"/>
          <w:szCs w:val="18"/>
        </w:rPr>
        <w:t xml:space="preserve"> </w:t>
      </w:r>
      <w:r w:rsidRPr="003A31B8">
        <w:rPr>
          <w:rFonts w:ascii="Arial" w:hAnsi="Arial" w:cs="Arial"/>
          <w:sz w:val="18"/>
          <w:szCs w:val="18"/>
        </w:rPr>
        <w:t>Estatales”.</w:t>
      </w:r>
    </w:p>
  </w:footnote>
  <w:footnote w:id="13">
    <w:p w14:paraId="5B12848D" w14:textId="77777777" w:rsidR="00DC6545" w:rsidRPr="003A31B8" w:rsidRDefault="00DC6545" w:rsidP="00DC6545">
      <w:pPr>
        <w:spacing w:after="0"/>
        <w:ind w:firstLine="709"/>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A31B8">
        <w:rPr>
          <w:rFonts w:ascii="Arial" w:hAnsi="Arial" w:cs="Arial"/>
          <w:spacing w:val="-6"/>
          <w:sz w:val="18"/>
          <w:szCs w:val="18"/>
        </w:rPr>
        <w:t xml:space="preserve"> </w:t>
      </w:r>
      <w:r w:rsidRPr="003A31B8">
        <w:rPr>
          <w:rFonts w:ascii="Arial" w:hAnsi="Arial" w:cs="Arial"/>
          <w:sz w:val="18"/>
          <w:szCs w:val="18"/>
        </w:rPr>
        <w:t>artículo”.</w:t>
      </w:r>
    </w:p>
    <w:p w14:paraId="70740610" w14:textId="77777777" w:rsidR="00DC6545" w:rsidRPr="003A31B8" w:rsidRDefault="00DC6545" w:rsidP="00DC6545">
      <w:pPr>
        <w:spacing w:after="0"/>
        <w:ind w:firstLine="709"/>
        <w:jc w:val="both"/>
        <w:rPr>
          <w:rFonts w:ascii="Arial" w:hAnsi="Arial" w:cs="Arial"/>
          <w:sz w:val="18"/>
          <w:szCs w:val="18"/>
        </w:rPr>
      </w:pPr>
    </w:p>
  </w:footnote>
  <w:footnote w:id="14">
    <w:p w14:paraId="2E1982C8" w14:textId="77777777" w:rsidR="00DC6545" w:rsidRPr="003A31B8" w:rsidRDefault="00DC6545" w:rsidP="00DC6545">
      <w:pPr>
        <w:spacing w:after="0"/>
        <w:ind w:firstLine="709"/>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position w:val="7"/>
          <w:sz w:val="18"/>
          <w:szCs w:val="18"/>
        </w:rPr>
        <w:t xml:space="preserve"> </w:t>
      </w:r>
      <w:r w:rsidRPr="003A31B8">
        <w:rPr>
          <w:rFonts w:ascii="Arial" w:hAnsi="Arial" w:cs="Arial"/>
          <w:sz w:val="18"/>
          <w:szCs w:val="18"/>
        </w:rPr>
        <w:t>Consejo de Estado. Sección Tercera. Sentencia del 23 de junio de 2010. Radicación No. 66001-23-31-000-1998-00261-01(17.860). Consejero Ponente: Mauricio Fajardo Gómez.</w:t>
      </w:r>
    </w:p>
  </w:footnote>
  <w:footnote w:id="15">
    <w:p w14:paraId="23BB0CF2" w14:textId="77777777" w:rsidR="00DC6545" w:rsidRPr="003A31B8" w:rsidRDefault="00DC6545" w:rsidP="00DC6545">
      <w:pPr>
        <w:spacing w:after="0"/>
        <w:ind w:firstLine="709"/>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Consejo de Estado. Sección Tercera. Subsección C. Sentencia del 11 de diciembre de 2019. Exp. 46.986. C.P. Jaime Enrique Rodríguez Navas.</w:t>
      </w:r>
    </w:p>
  </w:footnote>
  <w:footnote w:id="16">
    <w:p w14:paraId="59EC7508" w14:textId="77777777" w:rsidR="00DC6545" w:rsidRPr="003A31B8" w:rsidRDefault="00DC6545" w:rsidP="00DC6545">
      <w:pPr>
        <w:pStyle w:val="Textonotapie"/>
        <w:ind w:firstLine="708"/>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CONSEJO DE ESTADO. Sala de Consulta y Servicio Civil. Concepto 26 de julio de 2016. Exp. 2.257. C.P. Álvaro Namén Vargas. </w:t>
      </w:r>
      <w:r w:rsidRPr="003A31B8">
        <w:rPr>
          <w:rFonts w:ascii="Arial" w:hAnsi="Arial" w:cs="Arial"/>
          <w:sz w:val="18"/>
          <w:szCs w:val="18"/>
          <w:lang w:val="es-CO"/>
        </w:rPr>
        <w:t>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17">
    <w:p w14:paraId="5F529AEE" w14:textId="77777777" w:rsidR="00DC6545" w:rsidRPr="003A31B8" w:rsidRDefault="00DC6545" w:rsidP="00DC6545">
      <w:pPr>
        <w:pStyle w:val="Textonotapie"/>
        <w:spacing w:after="120"/>
        <w:ind w:firstLine="709"/>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Por ejemplo, </w:t>
      </w:r>
      <w:bookmarkStart w:id="23" w:name="_Hlk131016907"/>
      <w:r w:rsidRPr="003A31B8">
        <w:rPr>
          <w:rFonts w:ascii="Arial" w:hAnsi="Arial" w:cs="Arial"/>
          <w:sz w:val="18"/>
          <w:szCs w:val="18"/>
        </w:rPr>
        <w:t xml:space="preserve">Peña Nossa </w:t>
      </w:r>
      <w:bookmarkEnd w:id="23"/>
      <w:r w:rsidRPr="003A31B8">
        <w:rPr>
          <w:rFonts w:ascii="Arial" w:hAnsi="Arial" w:cs="Arial"/>
          <w:sz w:val="18"/>
          <w:szCs w:val="18"/>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7F0E934B" w14:textId="77777777" w:rsidR="00DC6545" w:rsidRPr="003A31B8" w:rsidRDefault="00DC6545" w:rsidP="00DC6545">
      <w:pPr>
        <w:pStyle w:val="Textonotapie"/>
        <w:ind w:firstLine="708"/>
        <w:jc w:val="both"/>
        <w:rPr>
          <w:rFonts w:ascii="Arial" w:hAnsi="Arial" w:cs="Arial"/>
          <w:sz w:val="18"/>
          <w:szCs w:val="18"/>
        </w:rPr>
      </w:pPr>
      <w:r w:rsidRPr="003A31B8">
        <w:rPr>
          <w:rFonts w:ascii="Arial" w:hAnsi="Arial" w:cs="Arial"/>
          <w:sz w:val="18"/>
          <w:szCs w:val="18"/>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3A31B8">
        <w:rPr>
          <w:rFonts w:ascii="Arial" w:hAnsi="Arial" w:cs="Arial"/>
          <w:i/>
          <w:sz w:val="18"/>
          <w:szCs w:val="18"/>
        </w:rPr>
        <w:t>joint venture,</w:t>
      </w:r>
      <w:r w:rsidRPr="003A31B8">
        <w:rPr>
          <w:rFonts w:ascii="Arial" w:hAnsi="Arial" w:cs="Arial"/>
          <w:sz w:val="18"/>
          <w:szCs w:val="18"/>
        </w:rPr>
        <w:t xml:space="preserve"> etc.” (Cfr. </w:t>
      </w:r>
      <w:r w:rsidRPr="003A31B8">
        <w:rPr>
          <w:rFonts w:ascii="Arial" w:hAnsi="Arial" w:cs="Arial"/>
          <w:sz w:val="18"/>
          <w:szCs w:val="18"/>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3A31B8">
        <w:rPr>
          <w:rFonts w:ascii="Arial" w:hAnsi="Arial" w:cs="Arial"/>
          <w:sz w:val="18"/>
          <w:szCs w:val="18"/>
        </w:rPr>
        <w:t xml:space="preserve">  </w:t>
      </w:r>
    </w:p>
    <w:p w14:paraId="6D35A798" w14:textId="77777777" w:rsidR="00DC6545" w:rsidRPr="003A31B8" w:rsidRDefault="00DC6545" w:rsidP="00DC6545">
      <w:pPr>
        <w:pStyle w:val="Textonotapie"/>
        <w:ind w:firstLine="708"/>
        <w:jc w:val="both"/>
        <w:rPr>
          <w:rFonts w:ascii="Arial" w:hAnsi="Arial" w:cs="Arial"/>
          <w:sz w:val="18"/>
          <w:szCs w:val="18"/>
        </w:rPr>
      </w:pPr>
    </w:p>
  </w:footnote>
  <w:footnote w:id="18">
    <w:p w14:paraId="3E6B5C18" w14:textId="77777777" w:rsidR="00DC6545" w:rsidRPr="003A31B8" w:rsidRDefault="00DC6545" w:rsidP="003A31B8">
      <w:pPr>
        <w:pStyle w:val="Textonotapie"/>
        <w:ind w:firstLine="708"/>
        <w:jc w:val="both"/>
        <w:rPr>
          <w:rFonts w:ascii="Arial" w:hAnsi="Arial" w:cs="Arial"/>
          <w:sz w:val="18"/>
          <w:szCs w:val="18"/>
        </w:rPr>
      </w:pPr>
      <w:r w:rsidRPr="003A31B8">
        <w:rPr>
          <w:rStyle w:val="Refdenotaalpie"/>
          <w:rFonts w:ascii="Arial" w:hAnsi="Arial" w:cs="Arial"/>
          <w:sz w:val="18"/>
          <w:szCs w:val="18"/>
        </w:rPr>
        <w:footnoteRef/>
      </w:r>
      <w:r w:rsidRPr="003A31B8">
        <w:rPr>
          <w:rFonts w:ascii="Arial" w:hAnsi="Arial" w:cs="Arial"/>
          <w:sz w:val="18"/>
          <w:szCs w:val="18"/>
        </w:rPr>
        <w:t xml:space="preserve"> PLANIOL, Marcel &amp; RIPERT, Jeorge. Tratado práctico de derecho civil francés. Tomo VI. La Habana: Cultural SA, 1940. p. 24. </w:t>
      </w:r>
    </w:p>
  </w:footnote>
  <w:footnote w:id="19">
    <w:p w14:paraId="736377C8" w14:textId="77777777" w:rsidR="00AD1622" w:rsidRPr="00140CFE" w:rsidRDefault="00AD1622" w:rsidP="00E6420A">
      <w:pPr>
        <w:pStyle w:val="Textonotapie"/>
        <w:ind w:firstLine="709"/>
        <w:contextualSpacing/>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A1E1161" w14:textId="77777777" w:rsidR="0045700E" w:rsidRPr="00140CFE" w:rsidRDefault="0045700E" w:rsidP="00E6420A">
      <w:pPr>
        <w:pStyle w:val="Textonotapie"/>
        <w:ind w:firstLine="709"/>
        <w:contextualSpacing/>
        <w:jc w:val="both"/>
        <w:rPr>
          <w:rFonts w:ascii="Arial" w:hAnsi="Arial" w:cs="Arial"/>
          <w:sz w:val="18"/>
          <w:szCs w:val="18"/>
          <w:lang w:val="es-CO"/>
        </w:rPr>
      </w:pPr>
    </w:p>
  </w:footnote>
  <w:footnote w:id="20">
    <w:p w14:paraId="49F732CF" w14:textId="77777777" w:rsidR="00AD1622" w:rsidRPr="00140CFE" w:rsidRDefault="00AD1622" w:rsidP="00E6420A">
      <w:pPr>
        <w:pStyle w:val="Textonotapie"/>
        <w:ind w:firstLine="709"/>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w:t>
      </w:r>
      <w:r w:rsidRPr="00140CFE">
        <w:rPr>
          <w:rFonts w:ascii="Arial" w:hAnsi="Arial" w:cs="Arial"/>
          <w:sz w:val="18"/>
          <w:szCs w:val="18"/>
          <w:lang w:val="es-CO"/>
        </w:rPr>
        <w:t xml:space="preserve">Ley 1882 de 2018: “Artículo 4. </w:t>
      </w:r>
      <w:r w:rsidRPr="00140CFE">
        <w:rPr>
          <w:rFonts w:ascii="Arial" w:hAnsi="Arial" w:cs="Arial"/>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B65127B" w14:textId="77777777" w:rsidR="00AD1622" w:rsidRPr="00140CFE" w:rsidRDefault="00AD1622" w:rsidP="00E6420A">
      <w:pPr>
        <w:pStyle w:val="Textonotapie"/>
        <w:ind w:firstLine="709"/>
        <w:jc w:val="both"/>
        <w:rPr>
          <w:rFonts w:ascii="Arial" w:hAnsi="Arial" w:cs="Arial"/>
          <w:sz w:val="18"/>
          <w:szCs w:val="18"/>
          <w:lang w:val="es-CO"/>
        </w:rPr>
      </w:pPr>
      <w:r w:rsidRPr="00140CFE">
        <w:rPr>
          <w:rFonts w:ascii="Arial" w:hAnsi="Arial" w:cs="Arial"/>
          <w:sz w:val="18"/>
          <w:szCs w:val="18"/>
          <w:lang w:val="es-CO"/>
        </w:rPr>
        <w:t>La facultad de adoptar documentos tipo la tendrá el Gobierno nacional, cuando lo considere necesario, en relación con otros contratos o procesos de selección.</w:t>
      </w:r>
    </w:p>
    <w:p w14:paraId="5F82C602" w14:textId="77777777" w:rsidR="00AD1622" w:rsidRPr="00140CFE" w:rsidRDefault="00AD1622" w:rsidP="00E6420A">
      <w:pPr>
        <w:pStyle w:val="Textonotapie"/>
        <w:ind w:firstLine="709"/>
        <w:contextualSpacing/>
        <w:jc w:val="both"/>
        <w:rPr>
          <w:rFonts w:ascii="Arial" w:hAnsi="Arial" w:cs="Arial"/>
          <w:sz w:val="18"/>
          <w:szCs w:val="18"/>
          <w:lang w:val="es-CO"/>
        </w:rPr>
      </w:pPr>
      <w:r w:rsidRPr="00140CFE">
        <w:rPr>
          <w:rFonts w:ascii="Arial" w:hAnsi="Arial" w:cs="Arial"/>
          <w:sz w:val="18"/>
          <w:szCs w:val="18"/>
          <w:lang w:val="es-CO"/>
        </w:rPr>
        <w:t>Los pliegos tipo se adoptarán por categorías de acuerdo con la cuantía de la contratación, según la reglamentación que expida el Gobierno nacional”.</w:t>
      </w:r>
    </w:p>
    <w:p w14:paraId="057E9C3B" w14:textId="77777777" w:rsidR="0045700E" w:rsidRPr="00140CFE" w:rsidRDefault="0045700E" w:rsidP="00E6420A">
      <w:pPr>
        <w:pStyle w:val="Textonotapie"/>
        <w:ind w:firstLine="709"/>
        <w:contextualSpacing/>
        <w:jc w:val="both"/>
        <w:rPr>
          <w:rFonts w:ascii="Arial" w:hAnsi="Arial" w:cs="Arial"/>
          <w:sz w:val="18"/>
          <w:szCs w:val="18"/>
          <w:lang w:val="es-CO"/>
        </w:rPr>
      </w:pPr>
    </w:p>
  </w:footnote>
  <w:footnote w:id="21">
    <w:p w14:paraId="36F325F3" w14:textId="2BFA29A9" w:rsidR="00AD1622" w:rsidRDefault="00AD1622" w:rsidP="00E6420A">
      <w:pPr>
        <w:pStyle w:val="Textonotapie"/>
        <w:ind w:firstLine="709"/>
        <w:contextualSpacing/>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CORTE CONSTITUCIONAL, </w:t>
      </w:r>
      <w:r w:rsidR="00EF7349" w:rsidRPr="00140CFE">
        <w:rPr>
          <w:rFonts w:ascii="Arial" w:hAnsi="Arial" w:cs="Arial"/>
          <w:sz w:val="18"/>
          <w:szCs w:val="18"/>
        </w:rPr>
        <w:t>S</w:t>
      </w:r>
      <w:r w:rsidRPr="00140CFE">
        <w:rPr>
          <w:rFonts w:ascii="Arial" w:hAnsi="Arial" w:cs="Arial"/>
          <w:sz w:val="18"/>
          <w:szCs w:val="18"/>
        </w:rPr>
        <w:t>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65420150" w14:textId="77777777" w:rsidR="00715A51" w:rsidRPr="00140CFE" w:rsidRDefault="00715A51" w:rsidP="00E6420A">
      <w:pPr>
        <w:pStyle w:val="Textonotapie"/>
        <w:ind w:firstLine="709"/>
        <w:contextualSpacing/>
        <w:jc w:val="both"/>
        <w:rPr>
          <w:rFonts w:ascii="Arial" w:hAnsi="Arial" w:cs="Arial"/>
          <w:sz w:val="18"/>
          <w:szCs w:val="18"/>
        </w:rPr>
      </w:pPr>
    </w:p>
  </w:footnote>
  <w:footnote w:id="22">
    <w:p w14:paraId="2903B259"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Style w:val="Refdenotaalpie"/>
          <w:rFonts w:ascii="Arial" w:eastAsiaTheme="majorEastAsia" w:hAnsi="Arial" w:cs="Arial"/>
          <w:sz w:val="18"/>
          <w:szCs w:val="18"/>
        </w:rPr>
        <w:footnoteRef/>
      </w:r>
      <w:r w:rsidRPr="00140CFE">
        <w:rPr>
          <w:rFonts w:ascii="Arial" w:hAnsi="Arial" w:cs="Arial"/>
          <w:sz w:val="18"/>
          <w:szCs w:val="18"/>
        </w:rPr>
        <w:t xml:space="preserve"> Ley 2022 de 2020: “</w:t>
      </w:r>
      <w:r w:rsidRPr="00140CFE">
        <w:rPr>
          <w:rStyle w:val="Textoennegrita"/>
          <w:rFonts w:ascii="Arial" w:hAnsi="Arial" w:cs="Arial"/>
          <w:b w:val="0"/>
          <w:bCs w:val="0"/>
          <w:sz w:val="18"/>
          <w:szCs w:val="18"/>
        </w:rPr>
        <w:t>Artículo 1º.</w:t>
      </w:r>
      <w:r w:rsidRPr="00140CFE">
        <w:rPr>
          <w:rFonts w:ascii="Arial" w:hAnsi="Arial" w:cs="Arial"/>
          <w:sz w:val="18"/>
          <w:szCs w:val="18"/>
        </w:rPr>
        <w:t> Modifíquese el artículo 4º de la Ley 1882 de 2018, el cual quedará así:</w:t>
      </w:r>
    </w:p>
    <w:p w14:paraId="0DDDB65C"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Style w:val="Textoennegrita"/>
          <w:rFonts w:ascii="Arial" w:hAnsi="Arial" w:cs="Arial"/>
          <w:b w:val="0"/>
          <w:bCs w:val="0"/>
          <w:sz w:val="18"/>
          <w:szCs w:val="18"/>
        </w:rPr>
        <w:t>“Artículo 4º</w:t>
      </w:r>
      <w:r w:rsidRPr="00140CFE">
        <w:rPr>
          <w:rStyle w:val="Textoennegrita"/>
          <w:rFonts w:ascii="Arial" w:hAnsi="Arial" w:cs="Arial"/>
          <w:sz w:val="18"/>
          <w:szCs w:val="18"/>
        </w:rPr>
        <w:t>.</w:t>
      </w:r>
      <w:r w:rsidRPr="00140CFE">
        <w:rPr>
          <w:rFonts w:ascii="Arial" w:hAnsi="Arial" w:cs="Arial"/>
          <w:sz w:val="18"/>
          <w:szCs w:val="18"/>
        </w:rPr>
        <w:t> Adiciónese el siguiente parágrafo al artículo 2º de la Ley 1150 de 2007.</w:t>
      </w:r>
    </w:p>
    <w:p w14:paraId="0DA9997A"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Style w:val="Textoennegrita"/>
          <w:rFonts w:ascii="Arial" w:hAnsi="Arial" w:cs="Arial"/>
          <w:sz w:val="18"/>
          <w:szCs w:val="18"/>
        </w:rPr>
        <w:t>“</w:t>
      </w:r>
      <w:r w:rsidRPr="00140CFE">
        <w:rPr>
          <w:rStyle w:val="Textoennegrita"/>
          <w:rFonts w:ascii="Arial" w:hAnsi="Arial" w:cs="Arial"/>
          <w:b w:val="0"/>
          <w:bCs w:val="0"/>
          <w:sz w:val="18"/>
          <w:szCs w:val="18"/>
        </w:rPr>
        <w:t>Parágrafo 7º.</w:t>
      </w:r>
      <w:r w:rsidRPr="00140CFE">
        <w:rPr>
          <w:rFonts w:ascii="Arial" w:hAnsi="Arial" w:cs="Arial"/>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E719DAF"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Fonts w:ascii="Arial" w:hAnsi="Arial" w:cs="Arial"/>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7BB1D8A"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Fonts w:ascii="Arial" w:hAnsi="Arial" w:cs="Arial"/>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068FE3D"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Fonts w:ascii="Arial" w:hAnsi="Arial" w:cs="Arial"/>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6EE5275" w14:textId="77777777" w:rsidR="00AD1622" w:rsidRPr="00140CFE" w:rsidRDefault="00AD1622" w:rsidP="00E6420A">
      <w:pPr>
        <w:pStyle w:val="NormalWeb"/>
        <w:spacing w:before="0" w:beforeAutospacing="0" w:after="0" w:afterAutospacing="0"/>
        <w:ind w:firstLine="708"/>
        <w:contextualSpacing/>
        <w:jc w:val="both"/>
        <w:rPr>
          <w:rFonts w:ascii="Arial" w:hAnsi="Arial" w:cs="Arial"/>
          <w:sz w:val="18"/>
          <w:szCs w:val="18"/>
        </w:rPr>
      </w:pPr>
      <w:r w:rsidRPr="00140CFE">
        <w:rPr>
          <w:rFonts w:ascii="Arial" w:hAnsi="Arial" w:cs="Arial"/>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23">
    <w:p w14:paraId="5FDE4CB6" w14:textId="0A7D77B7"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CONGRESO DE LA REPÚBLICA., Gaceta legislativa No.</w:t>
      </w:r>
      <w:r w:rsidR="00DE7028" w:rsidRPr="00140CFE">
        <w:rPr>
          <w:rFonts w:ascii="Arial" w:hAnsi="Arial" w:cs="Arial"/>
          <w:sz w:val="18"/>
          <w:szCs w:val="18"/>
        </w:rPr>
        <w:t xml:space="preserve"> </w:t>
      </w:r>
      <w:r w:rsidRPr="00140CFE">
        <w:rPr>
          <w:rFonts w:ascii="Arial" w:hAnsi="Arial" w:cs="Arial"/>
          <w:sz w:val="18"/>
          <w:szCs w:val="18"/>
        </w:rPr>
        <w:t>1249 de 4 de noviembre de 2020 – Senado.</w:t>
      </w:r>
    </w:p>
  </w:footnote>
  <w:footnote w:id="24">
    <w:p w14:paraId="6E31C5C5" w14:textId="78900F15"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CONGRESO DE LA REPÚBLICA., </w:t>
      </w:r>
      <w:r w:rsidRPr="00140CFE">
        <w:rPr>
          <w:rFonts w:ascii="Arial" w:hAnsi="Arial" w:cs="Arial"/>
          <w:sz w:val="18"/>
          <w:szCs w:val="18"/>
          <w:lang w:val="es-CO"/>
        </w:rPr>
        <w:t>Gaceta legislativa No.</w:t>
      </w:r>
      <w:r w:rsidR="00DE7028" w:rsidRPr="00140CFE">
        <w:rPr>
          <w:rFonts w:ascii="Arial" w:hAnsi="Arial" w:cs="Arial"/>
          <w:sz w:val="18"/>
          <w:szCs w:val="18"/>
          <w:lang w:val="es-CO"/>
        </w:rPr>
        <w:t xml:space="preserve"> </w:t>
      </w:r>
      <w:r w:rsidRPr="00140CFE">
        <w:rPr>
          <w:rFonts w:ascii="Arial" w:hAnsi="Arial" w:cs="Arial"/>
          <w:sz w:val="18"/>
          <w:szCs w:val="18"/>
          <w:lang w:val="es-CO"/>
        </w:rPr>
        <w:t>1677 de 23 de noviembre de 2021 – Cámara de Representantes.</w:t>
      </w:r>
    </w:p>
  </w:footnote>
  <w:footnote w:id="25">
    <w:p w14:paraId="067D06BD" w14:textId="77777777" w:rsidR="00AD1622" w:rsidRPr="00140CFE" w:rsidRDefault="00AD1622" w:rsidP="00E6420A">
      <w:pPr>
        <w:pStyle w:val="Textonotapie"/>
        <w:ind w:firstLine="708"/>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w:t>
      </w:r>
      <w:r w:rsidRPr="00140CFE">
        <w:rPr>
          <w:rFonts w:ascii="Arial" w:hAnsi="Arial" w:cs="Arial"/>
          <w:sz w:val="18"/>
          <w:szCs w:val="18"/>
          <w:lang w:val="es-CO"/>
        </w:rPr>
        <w:t xml:space="preserve">Intervención realizada por </w:t>
      </w:r>
      <w:r w:rsidRPr="00140CFE">
        <w:rPr>
          <w:rFonts w:ascii="Arial" w:eastAsia="Calibri" w:hAnsi="Arial"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140CFE">
        <w:rPr>
          <w:rFonts w:ascii="Arial" w:hAnsi="Arial" w:cs="Arial"/>
          <w:sz w:val="18"/>
          <w:szCs w:val="18"/>
        </w:rPr>
        <w:t>Senado del Congreso de la República.</w:t>
      </w:r>
    </w:p>
    <w:p w14:paraId="7BC03120" w14:textId="77777777" w:rsidR="007F3F19" w:rsidRPr="00140CFE" w:rsidRDefault="007F3F19" w:rsidP="00E6420A">
      <w:pPr>
        <w:pStyle w:val="Textonotapie"/>
        <w:ind w:firstLine="708"/>
        <w:jc w:val="both"/>
        <w:rPr>
          <w:rFonts w:ascii="Arial" w:hAnsi="Arial" w:cs="Arial"/>
          <w:sz w:val="18"/>
          <w:szCs w:val="18"/>
          <w:lang w:val="es-CO"/>
        </w:rPr>
      </w:pPr>
    </w:p>
  </w:footnote>
  <w:footnote w:id="26">
    <w:p w14:paraId="057830FE" w14:textId="77777777" w:rsidR="00AD1622" w:rsidRDefault="00AD1622" w:rsidP="00E6420A">
      <w:pPr>
        <w:pStyle w:val="Textonotapie"/>
        <w:ind w:firstLine="708"/>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Ver articulado propuesto en el informe de ponencia para primer debate del </w:t>
      </w:r>
      <w:r w:rsidRPr="00140CFE">
        <w:rPr>
          <w:rFonts w:ascii="Arial" w:eastAsia="Calibri" w:hAnsi="Arial" w:cs="Arial"/>
          <w:sz w:val="18"/>
          <w:szCs w:val="18"/>
          <w:lang w:val="es-ES_tradnl" w:eastAsia="es-ES_tradnl"/>
        </w:rPr>
        <w:t>Proyecto de Ley No. 341 de 2020</w:t>
      </w:r>
      <w:r w:rsidRPr="00140CFE">
        <w:rPr>
          <w:rFonts w:ascii="Arial" w:hAnsi="Arial" w:cs="Arial"/>
          <w:sz w:val="18"/>
          <w:szCs w:val="18"/>
        </w:rPr>
        <w:t xml:space="preserve">del </w:t>
      </w:r>
      <w:r w:rsidRPr="00140CFE">
        <w:rPr>
          <w:rFonts w:ascii="Arial" w:eastAsia="Calibri" w:hAnsi="Arial" w:cs="Arial"/>
          <w:sz w:val="18"/>
          <w:szCs w:val="18"/>
          <w:lang w:val="es-ES_tradnl" w:eastAsia="es-ES_tradnl"/>
        </w:rPr>
        <w:t xml:space="preserve">gaceta legislativa No. 274 del 13 de abril de 2021 - </w:t>
      </w:r>
      <w:r w:rsidRPr="00140CFE">
        <w:rPr>
          <w:rFonts w:ascii="Arial" w:hAnsi="Arial" w:cs="Arial"/>
          <w:sz w:val="18"/>
          <w:szCs w:val="18"/>
        </w:rPr>
        <w:t>Senado del Congreso de la República.</w:t>
      </w:r>
    </w:p>
    <w:p w14:paraId="1695E1AE" w14:textId="77777777" w:rsidR="001A0A03" w:rsidRPr="00140CFE" w:rsidRDefault="001A0A03" w:rsidP="00E6420A">
      <w:pPr>
        <w:pStyle w:val="Textonotapie"/>
        <w:ind w:firstLine="708"/>
        <w:jc w:val="both"/>
        <w:rPr>
          <w:rFonts w:ascii="Arial" w:hAnsi="Arial" w:cs="Arial"/>
          <w:sz w:val="18"/>
          <w:szCs w:val="18"/>
          <w:lang w:val="es-CO"/>
        </w:rPr>
      </w:pPr>
    </w:p>
  </w:footnote>
  <w:footnote w:id="27">
    <w:p w14:paraId="6EFC39D1" w14:textId="77777777" w:rsidR="00AD1622" w:rsidRPr="00140CFE" w:rsidRDefault="00AD1622" w:rsidP="00E6420A">
      <w:pPr>
        <w:pStyle w:val="Textonotapie"/>
        <w:ind w:firstLine="708"/>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Ver aparte de pliego de modificaciones en el informe de ponencia para primer debate del </w:t>
      </w:r>
      <w:r w:rsidRPr="00140CFE">
        <w:rPr>
          <w:rFonts w:ascii="Arial" w:eastAsia="Calibri" w:hAnsi="Arial" w:cs="Arial"/>
          <w:sz w:val="18"/>
          <w:szCs w:val="18"/>
          <w:lang w:val="es-ES_tradnl" w:eastAsia="es-ES_tradnl"/>
        </w:rPr>
        <w:t>Proyecto de Ley No. 341 de 2020</w:t>
      </w:r>
      <w:r w:rsidRPr="00140CFE">
        <w:rPr>
          <w:rFonts w:ascii="Arial" w:hAnsi="Arial" w:cs="Arial"/>
          <w:sz w:val="18"/>
          <w:szCs w:val="18"/>
        </w:rPr>
        <w:t xml:space="preserve">del </w:t>
      </w:r>
      <w:r w:rsidRPr="00140CFE">
        <w:rPr>
          <w:rFonts w:ascii="Arial" w:eastAsia="Calibri" w:hAnsi="Arial" w:cs="Arial"/>
          <w:sz w:val="18"/>
          <w:szCs w:val="18"/>
          <w:lang w:val="es-ES_tradnl" w:eastAsia="es-ES_tradnl"/>
        </w:rPr>
        <w:t xml:space="preserve">gaceta legislativa No. 274 del 13 de abril de 2021 - </w:t>
      </w:r>
      <w:r w:rsidRPr="00140CFE">
        <w:rPr>
          <w:rFonts w:ascii="Arial" w:hAnsi="Arial" w:cs="Arial"/>
          <w:sz w:val="18"/>
          <w:szCs w:val="18"/>
        </w:rPr>
        <w:t>Senado del Congreso de la República.</w:t>
      </w:r>
    </w:p>
    <w:p w14:paraId="5D42F3F2" w14:textId="77777777" w:rsidR="00AD1622" w:rsidRPr="00140CFE" w:rsidRDefault="00AD1622" w:rsidP="00E6420A">
      <w:pPr>
        <w:pStyle w:val="Textonotapie"/>
        <w:ind w:firstLine="708"/>
        <w:jc w:val="both"/>
        <w:rPr>
          <w:rFonts w:ascii="Arial" w:hAnsi="Arial" w:cs="Arial"/>
          <w:sz w:val="18"/>
          <w:szCs w:val="18"/>
          <w:lang w:val="es-CO"/>
        </w:rPr>
      </w:pPr>
    </w:p>
  </w:footnote>
  <w:footnote w:id="28">
    <w:p w14:paraId="6C956FD7" w14:textId="77777777"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CONGRESO DE LA REPÚBLICA., Gaceta legislativa No. 1160 del 9 de septiembre de 2021</w:t>
      </w:r>
      <w:r w:rsidRPr="00140CFE">
        <w:rPr>
          <w:rFonts w:ascii="Arial" w:eastAsia="Calibri" w:hAnsi="Arial" w:cs="Arial"/>
          <w:sz w:val="18"/>
          <w:szCs w:val="18"/>
          <w:lang w:val="es-ES_tradnl" w:eastAsia="es-ES_tradnl"/>
        </w:rPr>
        <w:t xml:space="preserve">- </w:t>
      </w:r>
      <w:r w:rsidRPr="00140CFE">
        <w:rPr>
          <w:rFonts w:ascii="Arial" w:hAnsi="Arial" w:cs="Arial"/>
          <w:sz w:val="18"/>
          <w:szCs w:val="18"/>
        </w:rPr>
        <w:t>Senado.</w:t>
      </w:r>
    </w:p>
  </w:footnote>
  <w:footnote w:id="29">
    <w:p w14:paraId="14375D61" w14:textId="77777777"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CONGRESO DE LA REPÚBLICA., </w:t>
      </w:r>
      <w:r w:rsidRPr="00140CFE">
        <w:rPr>
          <w:rFonts w:ascii="Arial" w:hAnsi="Arial" w:cs="Arial"/>
          <w:sz w:val="18"/>
          <w:szCs w:val="18"/>
          <w:lang w:val="es-CO"/>
        </w:rPr>
        <w:t>Gaceta legislativa No. 1589 del 9 de noviembre de 2021 – Senado.</w:t>
      </w:r>
    </w:p>
  </w:footnote>
  <w:footnote w:id="30">
    <w:p w14:paraId="23FE8DA9" w14:textId="77777777"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w:t>
      </w:r>
      <w:r w:rsidRPr="00140CFE">
        <w:rPr>
          <w:rFonts w:ascii="Arial" w:hAnsi="Arial"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31">
    <w:p w14:paraId="778D463C" w14:textId="77777777" w:rsidR="00AD1622" w:rsidRPr="00140CFE" w:rsidRDefault="00AD1622" w:rsidP="00E6420A">
      <w:pPr>
        <w:pStyle w:val="Textonotapie"/>
        <w:ind w:firstLine="708"/>
        <w:jc w:val="both"/>
        <w:rPr>
          <w:rFonts w:ascii="Arial" w:hAnsi="Arial" w:cs="Arial"/>
          <w:sz w:val="18"/>
          <w:szCs w:val="18"/>
          <w:lang w:val="es-CO"/>
        </w:rPr>
      </w:pPr>
      <w:r w:rsidRPr="00140CFE">
        <w:rPr>
          <w:rStyle w:val="Refdenotaalpie"/>
          <w:rFonts w:ascii="Arial" w:hAnsi="Arial" w:cs="Arial"/>
          <w:sz w:val="18"/>
          <w:szCs w:val="18"/>
        </w:rPr>
        <w:footnoteRef/>
      </w:r>
      <w:r w:rsidRPr="00140CFE">
        <w:rPr>
          <w:rFonts w:ascii="Arial" w:hAnsi="Arial" w:cs="Arial"/>
          <w:sz w:val="18"/>
          <w:szCs w:val="18"/>
        </w:rPr>
        <w:t xml:space="preserve"> CONGRESO DE LA REPÚBLICA., Gacetas</w:t>
      </w:r>
      <w:r w:rsidRPr="00140CFE">
        <w:rPr>
          <w:rFonts w:ascii="Arial" w:hAnsi="Arial" w:cs="Arial"/>
          <w:sz w:val="18"/>
          <w:szCs w:val="18"/>
          <w:lang w:val="es-CO"/>
        </w:rPr>
        <w:t xml:space="preserve"> legislativas No. 1860 y 1861 de 2021, de Cámara de Representantes y Senado, respectivamente.</w:t>
      </w:r>
    </w:p>
  </w:footnote>
  <w:footnote w:id="32">
    <w:p w14:paraId="01CC74B2" w14:textId="77777777" w:rsidR="00AD1622" w:rsidRPr="00140CFE" w:rsidRDefault="00AD1622" w:rsidP="00E6420A">
      <w:pPr>
        <w:pStyle w:val="Textonotapie"/>
        <w:ind w:firstLine="708"/>
        <w:contextualSpacing/>
        <w:jc w:val="both"/>
        <w:rPr>
          <w:rFonts w:ascii="Arial" w:hAnsi="Arial" w:cs="Arial"/>
          <w:sz w:val="18"/>
          <w:szCs w:val="18"/>
        </w:rPr>
      </w:pPr>
      <w:r w:rsidRPr="00140CFE">
        <w:rPr>
          <w:rStyle w:val="Refdenotaalpie"/>
          <w:rFonts w:ascii="Arial" w:hAnsi="Arial" w:cs="Arial"/>
          <w:sz w:val="18"/>
          <w:szCs w:val="18"/>
        </w:rPr>
        <w:footnoteRef/>
      </w:r>
      <w:r w:rsidRPr="00140CFE">
        <w:rPr>
          <w:rFonts w:ascii="Arial" w:hAnsi="Arial" w:cs="Arial"/>
          <w:sz w:val="18"/>
          <w:szCs w:val="18"/>
        </w:rPr>
        <w:t xml:space="preserve"> </w:t>
      </w:r>
      <w:bookmarkStart w:id="32" w:name="2"/>
      <w:r w:rsidRPr="00140CFE">
        <w:rPr>
          <w:rFonts w:ascii="Arial" w:hAnsi="Arial" w:cs="Arial"/>
          <w:sz w:val="18"/>
          <w:szCs w:val="18"/>
        </w:rPr>
        <w:t>“Artículo 2o. De las modalidades de selección.</w:t>
      </w:r>
      <w:bookmarkEnd w:id="32"/>
      <w:r w:rsidRPr="00140CFE">
        <w:rPr>
          <w:rFonts w:ascii="Arial" w:hAnsi="Arial" w:cs="Arial"/>
          <w:sz w:val="18"/>
          <w:szCs w:val="18"/>
        </w:rPr>
        <w:t> La escogencia del contratista se efectuará con arreglo a las modalidades de selección de licitación pública, selección abreviada, concurso de méritos y contratación directa, con base en las siguientes reglas:</w:t>
      </w:r>
    </w:p>
    <w:p w14:paraId="1BA57EBF" w14:textId="77777777" w:rsidR="00AD1622" w:rsidRPr="00140CFE" w:rsidRDefault="00AD1622" w:rsidP="00E6420A">
      <w:pPr>
        <w:pStyle w:val="Textonotapie"/>
        <w:ind w:firstLine="708"/>
        <w:contextualSpacing/>
        <w:jc w:val="both"/>
        <w:rPr>
          <w:rFonts w:ascii="Arial" w:hAnsi="Arial" w:cs="Arial"/>
          <w:sz w:val="18"/>
          <w:szCs w:val="18"/>
        </w:rPr>
      </w:pPr>
      <w:r w:rsidRPr="00140CFE">
        <w:rPr>
          <w:rFonts w:ascii="Arial" w:hAnsi="Arial" w:cs="Arial"/>
          <w:sz w:val="18"/>
          <w:szCs w:val="18"/>
        </w:rPr>
        <w:t>[…]</w:t>
      </w:r>
    </w:p>
    <w:p w14:paraId="36FC3411" w14:textId="77777777" w:rsidR="00AD1622" w:rsidRPr="00140CFE" w:rsidRDefault="00AD1622" w:rsidP="00E6420A">
      <w:pPr>
        <w:pStyle w:val="Textonotapie"/>
        <w:ind w:firstLine="708"/>
        <w:contextualSpacing/>
        <w:jc w:val="both"/>
        <w:rPr>
          <w:rFonts w:ascii="Arial" w:hAnsi="Arial" w:cs="Arial"/>
          <w:sz w:val="18"/>
          <w:szCs w:val="18"/>
        </w:rPr>
      </w:pPr>
      <w:r w:rsidRPr="00140CFE">
        <w:rPr>
          <w:rFonts w:ascii="Arial" w:hAnsi="Arial" w:cs="Arial"/>
          <w:sz w:val="18"/>
          <w:szCs w:val="18"/>
        </w:rPr>
        <w:t>“4. </w:t>
      </w:r>
      <w:r w:rsidRPr="00140CFE">
        <w:rPr>
          <w:rStyle w:val="baj"/>
          <w:rFonts w:ascii="Arial" w:hAnsi="Arial" w:cs="Arial"/>
          <w:sz w:val="18"/>
          <w:szCs w:val="18"/>
        </w:rPr>
        <w:t>Contratación directa. </w:t>
      </w:r>
      <w:r w:rsidRPr="00140CFE">
        <w:rPr>
          <w:rFonts w:ascii="Arial" w:hAnsi="Arial" w:cs="Arial"/>
          <w:sz w:val="18"/>
          <w:szCs w:val="18"/>
        </w:rPr>
        <w:t>La modalidad de selección de contratación directa solamente procederá en los siguientes casos:</w:t>
      </w:r>
    </w:p>
    <w:p w14:paraId="04663005" w14:textId="77777777" w:rsidR="00AD1622" w:rsidRPr="00140CFE" w:rsidRDefault="00AD1622" w:rsidP="00E6420A">
      <w:pPr>
        <w:pStyle w:val="Textonotapie"/>
        <w:ind w:firstLine="708"/>
        <w:contextualSpacing/>
        <w:jc w:val="both"/>
        <w:rPr>
          <w:rFonts w:ascii="Arial" w:hAnsi="Arial" w:cs="Arial"/>
          <w:sz w:val="18"/>
          <w:szCs w:val="18"/>
        </w:rPr>
      </w:pPr>
      <w:r w:rsidRPr="00140CFE">
        <w:rPr>
          <w:rFonts w:ascii="Arial" w:hAnsi="Arial" w:cs="Arial"/>
          <w:sz w:val="18"/>
          <w:szCs w:val="18"/>
        </w:rPr>
        <w:t>[…]</w:t>
      </w:r>
    </w:p>
    <w:p w14:paraId="5F4CDA00" w14:textId="77777777" w:rsidR="00AD1622" w:rsidRPr="00140CFE" w:rsidRDefault="00AD1622" w:rsidP="00E6420A">
      <w:pPr>
        <w:pStyle w:val="Textonotapie"/>
        <w:ind w:firstLine="708"/>
        <w:contextualSpacing/>
        <w:jc w:val="both"/>
        <w:rPr>
          <w:rFonts w:ascii="Arial" w:hAnsi="Arial" w:cs="Arial"/>
          <w:sz w:val="18"/>
          <w:szCs w:val="18"/>
        </w:rPr>
      </w:pPr>
      <w:r w:rsidRPr="00140CFE">
        <w:rPr>
          <w:rFonts w:ascii="Arial" w:hAnsi="Arial" w:cs="Arial"/>
          <w:sz w:val="18"/>
          <w:szCs w:val="18"/>
        </w:rPr>
        <w:t>“C. […]</w:t>
      </w:r>
    </w:p>
    <w:p w14:paraId="225415F5" w14:textId="77777777" w:rsidR="00AD1622" w:rsidRPr="00140CFE" w:rsidRDefault="00AD1622" w:rsidP="00E6420A">
      <w:pPr>
        <w:pStyle w:val="Textonotapie"/>
        <w:ind w:firstLine="708"/>
        <w:contextualSpacing/>
        <w:jc w:val="both"/>
        <w:rPr>
          <w:rFonts w:ascii="Arial" w:hAnsi="Arial" w:cs="Arial"/>
          <w:sz w:val="18"/>
          <w:szCs w:val="18"/>
        </w:rPr>
      </w:pPr>
      <w:r w:rsidRPr="00140CFE">
        <w:rPr>
          <w:rFonts w:ascii="Arial" w:hAnsi="Arial" w:cs="Arial"/>
          <w:sz w:val="18"/>
          <w:szCs w:val="18"/>
        </w:rPr>
        <w:t>“Inciso 2o. modificado por el artículo </w:t>
      </w:r>
      <w:hyperlink r:id="rId2" w:anchor="95" w:history="1">
        <w:r w:rsidRPr="00140CFE">
          <w:rPr>
            <w:rStyle w:val="Hipervnculo"/>
            <w:rFonts w:ascii="Arial" w:hAnsi="Arial" w:cs="Arial"/>
            <w:color w:val="auto"/>
            <w:sz w:val="18"/>
            <w:szCs w:val="18"/>
          </w:rPr>
          <w:t>95</w:t>
        </w:r>
      </w:hyperlink>
      <w:r w:rsidRPr="00140CFE">
        <w:rPr>
          <w:rFonts w:ascii="Arial" w:hAnsi="Arial" w:cs="Arial"/>
          <w:sz w:val="18"/>
          <w:szCs w:val="18"/>
        </w:rPr>
        <w:t> de la Ley 1474 de 2011–</w:t>
      </w:r>
      <w:r w:rsidRPr="00140CFE" w:rsidDel="002C5C6D">
        <w:rPr>
          <w:rFonts w:ascii="Arial" w:hAnsi="Arial" w:cs="Arial"/>
          <w:sz w:val="18"/>
          <w:szCs w:val="18"/>
        </w:rPr>
        <w:t xml:space="preserve"> </w:t>
      </w:r>
      <w:r w:rsidRPr="00140CFE">
        <w:rPr>
          <w:rFonts w:ascii="Arial" w:hAnsi="Arial" w:cs="Arial"/>
          <w:sz w:val="18"/>
          <w:szCs w:val="18"/>
        </w:rPr>
        <w:t xml:space="preserve"> En aquellos eventos en que el régimen aplicable a la contratación de la entidad ejecutora no sea el de la Ley </w:t>
      </w:r>
      <w:hyperlink r:id="rId3" w:anchor="1" w:history="1">
        <w:r w:rsidRPr="00140CFE">
          <w:rPr>
            <w:rStyle w:val="Hipervnculo"/>
            <w:rFonts w:ascii="Arial" w:hAnsi="Arial" w:cs="Arial"/>
            <w:color w:val="auto"/>
            <w:sz w:val="18"/>
            <w:szCs w:val="18"/>
          </w:rPr>
          <w:t>80</w:t>
        </w:r>
      </w:hyperlink>
      <w:r w:rsidRPr="00140CFE">
        <w:rPr>
          <w:rFonts w:ascii="Arial" w:hAnsi="Arial" w:cs="Arial"/>
          <w:sz w:val="18"/>
          <w:szCs w:val="18"/>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20817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14B9"/>
    <w:rsid w:val="0002608A"/>
    <w:rsid w:val="00036B03"/>
    <w:rsid w:val="00051B45"/>
    <w:rsid w:val="00057EA1"/>
    <w:rsid w:val="00060C8D"/>
    <w:rsid w:val="00061B2A"/>
    <w:rsid w:val="000703E2"/>
    <w:rsid w:val="00070FA8"/>
    <w:rsid w:val="000719EB"/>
    <w:rsid w:val="00071C00"/>
    <w:rsid w:val="00082362"/>
    <w:rsid w:val="00082A7B"/>
    <w:rsid w:val="00085853"/>
    <w:rsid w:val="00093F96"/>
    <w:rsid w:val="000956E4"/>
    <w:rsid w:val="000A0DB9"/>
    <w:rsid w:val="000A1168"/>
    <w:rsid w:val="000A4344"/>
    <w:rsid w:val="000A683E"/>
    <w:rsid w:val="000B0D31"/>
    <w:rsid w:val="000B19B9"/>
    <w:rsid w:val="000B30AD"/>
    <w:rsid w:val="000D0334"/>
    <w:rsid w:val="000D3B0F"/>
    <w:rsid w:val="000E2864"/>
    <w:rsid w:val="000E31D3"/>
    <w:rsid w:val="000E4544"/>
    <w:rsid w:val="000E4920"/>
    <w:rsid w:val="000F3258"/>
    <w:rsid w:val="000F6486"/>
    <w:rsid w:val="00106E9D"/>
    <w:rsid w:val="00125105"/>
    <w:rsid w:val="00127233"/>
    <w:rsid w:val="0012743A"/>
    <w:rsid w:val="00130C9E"/>
    <w:rsid w:val="00140CFE"/>
    <w:rsid w:val="0014128D"/>
    <w:rsid w:val="00152A84"/>
    <w:rsid w:val="00157D76"/>
    <w:rsid w:val="00160920"/>
    <w:rsid w:val="00183E51"/>
    <w:rsid w:val="001A0A03"/>
    <w:rsid w:val="001A39F1"/>
    <w:rsid w:val="001B4543"/>
    <w:rsid w:val="001D20D4"/>
    <w:rsid w:val="001D52EA"/>
    <w:rsid w:val="001E4177"/>
    <w:rsid w:val="001F5522"/>
    <w:rsid w:val="001F7DC6"/>
    <w:rsid w:val="002038E5"/>
    <w:rsid w:val="002317A7"/>
    <w:rsid w:val="00240B9B"/>
    <w:rsid w:val="002421BB"/>
    <w:rsid w:val="00256B11"/>
    <w:rsid w:val="002707A2"/>
    <w:rsid w:val="00270E12"/>
    <w:rsid w:val="002828C4"/>
    <w:rsid w:val="00292E17"/>
    <w:rsid w:val="002951A0"/>
    <w:rsid w:val="002962BC"/>
    <w:rsid w:val="00297EFD"/>
    <w:rsid w:val="002A093D"/>
    <w:rsid w:val="002A0DD0"/>
    <w:rsid w:val="002A49AC"/>
    <w:rsid w:val="002A64FD"/>
    <w:rsid w:val="002B2263"/>
    <w:rsid w:val="002B244F"/>
    <w:rsid w:val="002B270B"/>
    <w:rsid w:val="002C4CFD"/>
    <w:rsid w:val="002C7A84"/>
    <w:rsid w:val="002E4FD9"/>
    <w:rsid w:val="002F6A68"/>
    <w:rsid w:val="0030239B"/>
    <w:rsid w:val="00305B11"/>
    <w:rsid w:val="00315382"/>
    <w:rsid w:val="0032031E"/>
    <w:rsid w:val="00322A85"/>
    <w:rsid w:val="0033006E"/>
    <w:rsid w:val="003448F4"/>
    <w:rsid w:val="00353BAB"/>
    <w:rsid w:val="003542DE"/>
    <w:rsid w:val="00374F5E"/>
    <w:rsid w:val="00376560"/>
    <w:rsid w:val="00377E3E"/>
    <w:rsid w:val="0038567B"/>
    <w:rsid w:val="003A31B8"/>
    <w:rsid w:val="003A3759"/>
    <w:rsid w:val="003A779E"/>
    <w:rsid w:val="003B2020"/>
    <w:rsid w:val="003B311A"/>
    <w:rsid w:val="003B7F39"/>
    <w:rsid w:val="003C2BB2"/>
    <w:rsid w:val="003D0F4D"/>
    <w:rsid w:val="003D1BE0"/>
    <w:rsid w:val="003D4900"/>
    <w:rsid w:val="003D5B0D"/>
    <w:rsid w:val="003E0499"/>
    <w:rsid w:val="003E145E"/>
    <w:rsid w:val="003E5AB8"/>
    <w:rsid w:val="003E7560"/>
    <w:rsid w:val="003F3941"/>
    <w:rsid w:val="00401FE3"/>
    <w:rsid w:val="00404BBF"/>
    <w:rsid w:val="00406575"/>
    <w:rsid w:val="00410C67"/>
    <w:rsid w:val="00412536"/>
    <w:rsid w:val="00424F79"/>
    <w:rsid w:val="0042722E"/>
    <w:rsid w:val="004278A8"/>
    <w:rsid w:val="00437923"/>
    <w:rsid w:val="00445F1F"/>
    <w:rsid w:val="0045700E"/>
    <w:rsid w:val="00460C3E"/>
    <w:rsid w:val="004A1847"/>
    <w:rsid w:val="004A305D"/>
    <w:rsid w:val="004B201C"/>
    <w:rsid w:val="004D0EC4"/>
    <w:rsid w:val="004D2847"/>
    <w:rsid w:val="004D77A5"/>
    <w:rsid w:val="004E3010"/>
    <w:rsid w:val="004F0805"/>
    <w:rsid w:val="004F21C4"/>
    <w:rsid w:val="004F344D"/>
    <w:rsid w:val="004F685F"/>
    <w:rsid w:val="00500B06"/>
    <w:rsid w:val="00502593"/>
    <w:rsid w:val="00522CA6"/>
    <w:rsid w:val="005230E8"/>
    <w:rsid w:val="00541672"/>
    <w:rsid w:val="005566E8"/>
    <w:rsid w:val="005604B3"/>
    <w:rsid w:val="00563492"/>
    <w:rsid w:val="00573828"/>
    <w:rsid w:val="00574867"/>
    <w:rsid w:val="00574B02"/>
    <w:rsid w:val="005843BF"/>
    <w:rsid w:val="00590D83"/>
    <w:rsid w:val="00591460"/>
    <w:rsid w:val="00594D84"/>
    <w:rsid w:val="005950E0"/>
    <w:rsid w:val="00595800"/>
    <w:rsid w:val="00595D32"/>
    <w:rsid w:val="00597832"/>
    <w:rsid w:val="005A2340"/>
    <w:rsid w:val="005A26B1"/>
    <w:rsid w:val="005A69F5"/>
    <w:rsid w:val="005B2740"/>
    <w:rsid w:val="005B3962"/>
    <w:rsid w:val="005B4A22"/>
    <w:rsid w:val="005B5FB7"/>
    <w:rsid w:val="005C3777"/>
    <w:rsid w:val="005C5CDC"/>
    <w:rsid w:val="005D4023"/>
    <w:rsid w:val="005D476C"/>
    <w:rsid w:val="005D56E8"/>
    <w:rsid w:val="005F6255"/>
    <w:rsid w:val="00601542"/>
    <w:rsid w:val="006219F8"/>
    <w:rsid w:val="006249F2"/>
    <w:rsid w:val="006443D7"/>
    <w:rsid w:val="00665D70"/>
    <w:rsid w:val="00676740"/>
    <w:rsid w:val="006900D9"/>
    <w:rsid w:val="006A7CB3"/>
    <w:rsid w:val="006B3721"/>
    <w:rsid w:val="006D0FCD"/>
    <w:rsid w:val="006E36DC"/>
    <w:rsid w:val="006E41AD"/>
    <w:rsid w:val="0070280B"/>
    <w:rsid w:val="00706C16"/>
    <w:rsid w:val="00715A51"/>
    <w:rsid w:val="00720AC4"/>
    <w:rsid w:val="00723DC0"/>
    <w:rsid w:val="00737C20"/>
    <w:rsid w:val="0074116E"/>
    <w:rsid w:val="00751F4F"/>
    <w:rsid w:val="00756841"/>
    <w:rsid w:val="007649AB"/>
    <w:rsid w:val="00770B6A"/>
    <w:rsid w:val="00771D0C"/>
    <w:rsid w:val="00775891"/>
    <w:rsid w:val="00777D5F"/>
    <w:rsid w:val="007833AC"/>
    <w:rsid w:val="00794CCF"/>
    <w:rsid w:val="007A52B2"/>
    <w:rsid w:val="007B268C"/>
    <w:rsid w:val="007B7171"/>
    <w:rsid w:val="007C3DC2"/>
    <w:rsid w:val="007E5497"/>
    <w:rsid w:val="007F1896"/>
    <w:rsid w:val="007F3F19"/>
    <w:rsid w:val="007F748F"/>
    <w:rsid w:val="00806F5F"/>
    <w:rsid w:val="0081326E"/>
    <w:rsid w:val="00820278"/>
    <w:rsid w:val="00825FFE"/>
    <w:rsid w:val="00831B27"/>
    <w:rsid w:val="00837B1B"/>
    <w:rsid w:val="008423B6"/>
    <w:rsid w:val="00854381"/>
    <w:rsid w:val="00881CE9"/>
    <w:rsid w:val="008843B6"/>
    <w:rsid w:val="00891928"/>
    <w:rsid w:val="0089337A"/>
    <w:rsid w:val="008A446D"/>
    <w:rsid w:val="008D180B"/>
    <w:rsid w:val="008E2AC8"/>
    <w:rsid w:val="008F01CE"/>
    <w:rsid w:val="008F0EA7"/>
    <w:rsid w:val="008F750B"/>
    <w:rsid w:val="00907E28"/>
    <w:rsid w:val="009139E9"/>
    <w:rsid w:val="00923EEF"/>
    <w:rsid w:val="00925350"/>
    <w:rsid w:val="009301CB"/>
    <w:rsid w:val="009338C0"/>
    <w:rsid w:val="00934C0F"/>
    <w:rsid w:val="009419F9"/>
    <w:rsid w:val="009471E6"/>
    <w:rsid w:val="00947EE5"/>
    <w:rsid w:val="00951AE1"/>
    <w:rsid w:val="0095668F"/>
    <w:rsid w:val="00961B09"/>
    <w:rsid w:val="00965334"/>
    <w:rsid w:val="0097093E"/>
    <w:rsid w:val="00972EB2"/>
    <w:rsid w:val="009764D2"/>
    <w:rsid w:val="00980360"/>
    <w:rsid w:val="009848DC"/>
    <w:rsid w:val="00986086"/>
    <w:rsid w:val="009903F4"/>
    <w:rsid w:val="009947FC"/>
    <w:rsid w:val="00996B84"/>
    <w:rsid w:val="009A1525"/>
    <w:rsid w:val="009C71FA"/>
    <w:rsid w:val="009C72E7"/>
    <w:rsid w:val="009D34FA"/>
    <w:rsid w:val="009F2E93"/>
    <w:rsid w:val="009F3A13"/>
    <w:rsid w:val="009F56B6"/>
    <w:rsid w:val="00A00520"/>
    <w:rsid w:val="00A04A89"/>
    <w:rsid w:val="00A0568F"/>
    <w:rsid w:val="00A122D3"/>
    <w:rsid w:val="00A17EF2"/>
    <w:rsid w:val="00A17F13"/>
    <w:rsid w:val="00A20739"/>
    <w:rsid w:val="00A32166"/>
    <w:rsid w:val="00A3254A"/>
    <w:rsid w:val="00A33C78"/>
    <w:rsid w:val="00A41B76"/>
    <w:rsid w:val="00A450A9"/>
    <w:rsid w:val="00A45709"/>
    <w:rsid w:val="00A5709B"/>
    <w:rsid w:val="00A66E68"/>
    <w:rsid w:val="00A70A1C"/>
    <w:rsid w:val="00A83EE6"/>
    <w:rsid w:val="00AA1913"/>
    <w:rsid w:val="00AB02C6"/>
    <w:rsid w:val="00AB0ADB"/>
    <w:rsid w:val="00AB6371"/>
    <w:rsid w:val="00AC3E8A"/>
    <w:rsid w:val="00AD1622"/>
    <w:rsid w:val="00B111F2"/>
    <w:rsid w:val="00B124A9"/>
    <w:rsid w:val="00B1314C"/>
    <w:rsid w:val="00B15316"/>
    <w:rsid w:val="00B30368"/>
    <w:rsid w:val="00B376AF"/>
    <w:rsid w:val="00B42BFF"/>
    <w:rsid w:val="00B47DB5"/>
    <w:rsid w:val="00B55F59"/>
    <w:rsid w:val="00B72CD3"/>
    <w:rsid w:val="00B72FFF"/>
    <w:rsid w:val="00B76653"/>
    <w:rsid w:val="00B81A2E"/>
    <w:rsid w:val="00B87DCD"/>
    <w:rsid w:val="00BA3058"/>
    <w:rsid w:val="00BA6863"/>
    <w:rsid w:val="00BC3D36"/>
    <w:rsid w:val="00BC3FDE"/>
    <w:rsid w:val="00BC741C"/>
    <w:rsid w:val="00BD5AF4"/>
    <w:rsid w:val="00BD7F72"/>
    <w:rsid w:val="00BE1F59"/>
    <w:rsid w:val="00BE7CDA"/>
    <w:rsid w:val="00C00F85"/>
    <w:rsid w:val="00C01161"/>
    <w:rsid w:val="00C04FB3"/>
    <w:rsid w:val="00C24EF2"/>
    <w:rsid w:val="00C27142"/>
    <w:rsid w:val="00C309A3"/>
    <w:rsid w:val="00C330EB"/>
    <w:rsid w:val="00C45988"/>
    <w:rsid w:val="00C47F50"/>
    <w:rsid w:val="00C56B72"/>
    <w:rsid w:val="00C6295B"/>
    <w:rsid w:val="00C73FB8"/>
    <w:rsid w:val="00C754BE"/>
    <w:rsid w:val="00C76B1C"/>
    <w:rsid w:val="00C83707"/>
    <w:rsid w:val="00C87A82"/>
    <w:rsid w:val="00C92C7C"/>
    <w:rsid w:val="00C95BA7"/>
    <w:rsid w:val="00CA24F3"/>
    <w:rsid w:val="00CA4A36"/>
    <w:rsid w:val="00CB165E"/>
    <w:rsid w:val="00CB1D54"/>
    <w:rsid w:val="00CB6357"/>
    <w:rsid w:val="00CC1B26"/>
    <w:rsid w:val="00CD0250"/>
    <w:rsid w:val="00CF1539"/>
    <w:rsid w:val="00CF729A"/>
    <w:rsid w:val="00D05735"/>
    <w:rsid w:val="00D07681"/>
    <w:rsid w:val="00D077C7"/>
    <w:rsid w:val="00D11D40"/>
    <w:rsid w:val="00D13E59"/>
    <w:rsid w:val="00D1468B"/>
    <w:rsid w:val="00D21B25"/>
    <w:rsid w:val="00D423A2"/>
    <w:rsid w:val="00D52D42"/>
    <w:rsid w:val="00D54BA7"/>
    <w:rsid w:val="00D62AAA"/>
    <w:rsid w:val="00D63AC2"/>
    <w:rsid w:val="00D72A3E"/>
    <w:rsid w:val="00D7383B"/>
    <w:rsid w:val="00D763F4"/>
    <w:rsid w:val="00D800FA"/>
    <w:rsid w:val="00D9003C"/>
    <w:rsid w:val="00D92A5C"/>
    <w:rsid w:val="00D95B7E"/>
    <w:rsid w:val="00DA1C38"/>
    <w:rsid w:val="00DA231B"/>
    <w:rsid w:val="00DA561D"/>
    <w:rsid w:val="00DC6545"/>
    <w:rsid w:val="00DD0301"/>
    <w:rsid w:val="00DD1AD3"/>
    <w:rsid w:val="00DD1CFD"/>
    <w:rsid w:val="00DD3BC3"/>
    <w:rsid w:val="00DE044C"/>
    <w:rsid w:val="00DE2E3C"/>
    <w:rsid w:val="00DE7028"/>
    <w:rsid w:val="00DF5254"/>
    <w:rsid w:val="00DF5EA3"/>
    <w:rsid w:val="00DF69FA"/>
    <w:rsid w:val="00DF7581"/>
    <w:rsid w:val="00E069B0"/>
    <w:rsid w:val="00E06D12"/>
    <w:rsid w:val="00E16408"/>
    <w:rsid w:val="00E205AB"/>
    <w:rsid w:val="00E20894"/>
    <w:rsid w:val="00E20AD9"/>
    <w:rsid w:val="00E20CD3"/>
    <w:rsid w:val="00E221D3"/>
    <w:rsid w:val="00E245AB"/>
    <w:rsid w:val="00E25585"/>
    <w:rsid w:val="00E2764C"/>
    <w:rsid w:val="00E27F2E"/>
    <w:rsid w:val="00E47D99"/>
    <w:rsid w:val="00E50AFE"/>
    <w:rsid w:val="00E52901"/>
    <w:rsid w:val="00E52A58"/>
    <w:rsid w:val="00E61FD3"/>
    <w:rsid w:val="00E62A22"/>
    <w:rsid w:val="00E6420A"/>
    <w:rsid w:val="00E73003"/>
    <w:rsid w:val="00E771DC"/>
    <w:rsid w:val="00E802C7"/>
    <w:rsid w:val="00E8772A"/>
    <w:rsid w:val="00E90F6B"/>
    <w:rsid w:val="00E92544"/>
    <w:rsid w:val="00E92C27"/>
    <w:rsid w:val="00E93367"/>
    <w:rsid w:val="00E97D30"/>
    <w:rsid w:val="00EA0E3D"/>
    <w:rsid w:val="00EB06B0"/>
    <w:rsid w:val="00EB5516"/>
    <w:rsid w:val="00EB5BB6"/>
    <w:rsid w:val="00ED5DC3"/>
    <w:rsid w:val="00EE1AA8"/>
    <w:rsid w:val="00EF0AC0"/>
    <w:rsid w:val="00EF7349"/>
    <w:rsid w:val="00F11B92"/>
    <w:rsid w:val="00F27A23"/>
    <w:rsid w:val="00F31EDC"/>
    <w:rsid w:val="00F36DBA"/>
    <w:rsid w:val="00F41280"/>
    <w:rsid w:val="00F462B3"/>
    <w:rsid w:val="00F53A08"/>
    <w:rsid w:val="00F5664F"/>
    <w:rsid w:val="00F579EB"/>
    <w:rsid w:val="00F658C0"/>
    <w:rsid w:val="00F666C4"/>
    <w:rsid w:val="00F748C8"/>
    <w:rsid w:val="00F76AFC"/>
    <w:rsid w:val="00F839E0"/>
    <w:rsid w:val="00FB5DD1"/>
    <w:rsid w:val="00FC2B5D"/>
    <w:rsid w:val="00FC2D71"/>
    <w:rsid w:val="00FC493E"/>
    <w:rsid w:val="00FD3989"/>
    <w:rsid w:val="00FD3CDE"/>
    <w:rsid w:val="00FD4C90"/>
    <w:rsid w:val="00FE5F1F"/>
    <w:rsid w:val="00FF1449"/>
    <w:rsid w:val="00FF78FC"/>
    <w:rsid w:val="20ACE791"/>
    <w:rsid w:val="69840CA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33BC3E6-5318-4E73-984F-5DC6B357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A686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20D4"/>
    <w:rPr>
      <w:rFonts w:ascii="Geomanist Light" w:hAnsi="Geomanist Light"/>
      <w:lang w:val="es-ES"/>
    </w:rPr>
  </w:style>
  <w:style w:type="character" w:styleId="Textoennegrita">
    <w:name w:val="Strong"/>
    <w:basedOn w:val="Fuentedeprrafopredeter"/>
    <w:uiPriority w:val="22"/>
    <w:qFormat/>
    <w:rsid w:val="00AD1622"/>
    <w:rPr>
      <w:b/>
      <w:bCs/>
    </w:rPr>
  </w:style>
  <w:style w:type="character" w:customStyle="1" w:styleId="NormalWebCar">
    <w:name w:val="Normal (Web) Car"/>
    <w:link w:val="NormalWeb"/>
    <w:uiPriority w:val="99"/>
    <w:rsid w:val="00AD1622"/>
    <w:rPr>
      <w:rFonts w:ascii="Times New Roman" w:eastAsia="Times New Roman" w:hAnsi="Times New Roman" w:cs="Times New Roman"/>
      <w:sz w:val="24"/>
      <w:szCs w:val="24"/>
      <w:lang w:eastAsia="es-CO"/>
    </w:rPr>
  </w:style>
  <w:style w:type="character" w:customStyle="1" w:styleId="baj">
    <w:name w:val="b_aj"/>
    <w:basedOn w:val="Fuentedeprrafopredeter"/>
    <w:rsid w:val="00AD1622"/>
  </w:style>
  <w:style w:type="character" w:customStyle="1" w:styleId="markedcontent">
    <w:name w:val="markedcontent"/>
    <w:basedOn w:val="Fuentedeprrafopredeter"/>
    <w:rsid w:val="00AD1622"/>
  </w:style>
  <w:style w:type="character" w:styleId="Refdecomentario">
    <w:name w:val="annotation reference"/>
    <w:basedOn w:val="Fuentedeprrafopredeter"/>
    <w:uiPriority w:val="99"/>
    <w:semiHidden/>
    <w:unhideWhenUsed/>
    <w:rsid w:val="00EF0AC0"/>
    <w:rPr>
      <w:sz w:val="16"/>
      <w:szCs w:val="16"/>
    </w:rPr>
  </w:style>
  <w:style w:type="paragraph" w:styleId="Textocomentario">
    <w:name w:val="annotation text"/>
    <w:basedOn w:val="Normal"/>
    <w:link w:val="TextocomentarioCar"/>
    <w:uiPriority w:val="99"/>
    <w:unhideWhenUsed/>
    <w:rsid w:val="00EF0AC0"/>
    <w:pPr>
      <w:spacing w:line="240" w:lineRule="auto"/>
    </w:pPr>
    <w:rPr>
      <w:sz w:val="20"/>
      <w:szCs w:val="20"/>
    </w:rPr>
  </w:style>
  <w:style w:type="character" w:customStyle="1" w:styleId="TextocomentarioCar">
    <w:name w:val="Texto comentario Car"/>
    <w:basedOn w:val="Fuentedeprrafopredeter"/>
    <w:link w:val="Textocomentario"/>
    <w:uiPriority w:val="99"/>
    <w:rsid w:val="00EF0AC0"/>
    <w:rPr>
      <w:sz w:val="20"/>
      <w:szCs w:val="20"/>
    </w:rPr>
  </w:style>
  <w:style w:type="paragraph" w:styleId="Asuntodelcomentario">
    <w:name w:val="annotation subject"/>
    <w:basedOn w:val="Textocomentario"/>
    <w:next w:val="Textocomentario"/>
    <w:link w:val="AsuntodelcomentarioCar"/>
    <w:uiPriority w:val="99"/>
    <w:semiHidden/>
    <w:unhideWhenUsed/>
    <w:rsid w:val="00EF0AC0"/>
    <w:rPr>
      <w:b/>
      <w:bCs/>
    </w:rPr>
  </w:style>
  <w:style w:type="character" w:customStyle="1" w:styleId="AsuntodelcomentarioCar">
    <w:name w:val="Asunto del comentario Car"/>
    <w:basedOn w:val="TextocomentarioCar"/>
    <w:link w:val="Asuntodelcomentario"/>
    <w:uiPriority w:val="99"/>
    <w:semiHidden/>
    <w:rsid w:val="00EF0A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33995412">
      <w:bodyDiv w:val="1"/>
      <w:marLeft w:val="0"/>
      <w:marRight w:val="0"/>
      <w:marTop w:val="0"/>
      <w:marBottom w:val="0"/>
      <w:divBdr>
        <w:top w:val="none" w:sz="0" w:space="0" w:color="auto"/>
        <w:left w:val="none" w:sz="0" w:space="0" w:color="auto"/>
        <w:bottom w:val="none" w:sz="0" w:space="0" w:color="auto"/>
        <w:right w:val="none" w:sz="0" w:space="0" w:color="auto"/>
      </w:divBdr>
      <w:divsChild>
        <w:div w:id="1430862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2.html"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138C2CC-54E5-4845-A452-E90C24D16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10647</Words>
  <Characters>58559</Characters>
  <Application>Microsoft Office Word</Application>
  <DocSecurity>0</DocSecurity>
  <Lines>487</Lines>
  <Paragraphs>138</Paragraphs>
  <ScaleCrop>false</ScaleCrop>
  <Company/>
  <LinksUpToDate>false</LinksUpToDate>
  <CharactersWithSpaces>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2023-01-10T18:18:00Z</cp:lastPrinted>
  <dcterms:created xsi:type="dcterms:W3CDTF">2023-10-20T16:53:00Z</dcterms:created>
  <dcterms:modified xsi:type="dcterms:W3CDTF">2023-10-20T16:53:00Z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