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0DBE" w14:textId="6E5D2267" w:rsidR="00950DF7" w:rsidRPr="00C24BA8" w:rsidRDefault="70551974" w:rsidP="00F304EA">
      <w:pPr>
        <w:jc w:val="right"/>
        <w:rPr>
          <w:rFonts w:ascii="Century Gothic" w:eastAsia="Calibri" w:hAnsi="Century Gothic" w:cs="Arial"/>
          <w:b/>
          <w:bCs/>
          <w:sz w:val="20"/>
          <w:szCs w:val="20"/>
          <w:lang w:val="es-ES"/>
        </w:rPr>
      </w:pPr>
      <w:bookmarkStart w:id="0" w:name="_Hlk28946138"/>
      <w:bookmarkStart w:id="1" w:name="_Hlk29548183"/>
      <w:r w:rsidRPr="00C24BA8">
        <w:rPr>
          <w:rFonts w:ascii="Century Gothic" w:hAnsi="Century Gothic" w:cs="Arial"/>
          <w:sz w:val="16"/>
          <w:szCs w:val="16"/>
          <w:lang w:val="es-ES" w:eastAsia="es-ES"/>
        </w:rPr>
        <w:t>CCE-DES-FM-17</w:t>
      </w:r>
      <w:bookmarkEnd w:id="0"/>
      <w:bookmarkEnd w:id="1"/>
    </w:p>
    <w:p w14:paraId="5B235355" w14:textId="77777777" w:rsidR="0078570C" w:rsidRPr="00C24BA8" w:rsidRDefault="0078570C" w:rsidP="0078570C">
      <w:pPr>
        <w:rPr>
          <w:rFonts w:ascii="Century Gothic" w:hAnsi="Century Gothic" w:cs="Arial"/>
          <w:b/>
          <w:sz w:val="22"/>
          <w:szCs w:val="22"/>
          <w:lang w:val="es-ES_tradnl" w:eastAsia="en-US"/>
        </w:rPr>
      </w:pPr>
      <w:r w:rsidRPr="00C24BA8">
        <w:rPr>
          <w:rFonts w:ascii="Century Gothic" w:hAnsi="Century Gothic" w:cs="Arial"/>
          <w:b/>
          <w:sz w:val="22"/>
          <w:szCs w:val="22"/>
          <w:lang w:val="es-ES_tradnl" w:eastAsia="en-US"/>
        </w:rPr>
        <w:t xml:space="preserve">PRINCIPIO DE SELECCIÓN OBJETIVA – Noción – Normativa – Requisitos habilitantes – Requisitos ponderables </w:t>
      </w:r>
    </w:p>
    <w:p w14:paraId="7540D6BE" w14:textId="474F6820" w:rsidR="0078570C" w:rsidRPr="00C24BA8" w:rsidRDefault="0078570C" w:rsidP="0078570C">
      <w:pPr>
        <w:spacing w:before="120"/>
        <w:ind w:right="51"/>
        <w:jc w:val="both"/>
        <w:rPr>
          <w:rFonts w:ascii="Century Gothic" w:hAnsi="Century Gothic" w:cs="Arial"/>
          <w:bCs/>
          <w:sz w:val="22"/>
          <w:szCs w:val="22"/>
          <w:lang w:eastAsia="en-US"/>
        </w:rPr>
      </w:pPr>
      <w:r w:rsidRPr="00C24BA8">
        <w:rPr>
          <w:rFonts w:ascii="Century Gothic" w:hAnsi="Century Gothic" w:cs="Arial"/>
          <w:bCs/>
          <w:sz w:val="22"/>
          <w:szCs w:val="22"/>
          <w:lang w:val="es-ES_tradnl" w:eastAsia="en-US"/>
        </w:rPr>
        <w:t xml:space="preserve">Uno de los principios transversales de los procedimientos de selección es el de selección objetiva. Se trata del postulado que exige que la escogencia de la oferta ganadora se debe fundamentar en factores objetivos, de carácter técnico, jurídico y financiero, y no en criterios subjetivos, como el afecto, la amistad, el ánimo de ayuda, el interés personal, etc. </w:t>
      </w:r>
      <w:r w:rsidRPr="00C24BA8">
        <w:rPr>
          <w:rFonts w:ascii="Century Gothic" w:hAnsi="Century Gothic" w:cs="Arial"/>
          <w:bCs/>
          <w:sz w:val="22"/>
          <w:szCs w:val="22"/>
          <w:lang w:eastAsia="en-US"/>
        </w:rPr>
        <w:t xml:space="preserve">Si bien dentro de la historia de la contratación pública en Colombia, se vislumbran antecedentes normativos que consagraban dicho principio, en la actualidad la disposición legal que lo prevé de manera más clara y contundente es el artículo 5 de la Ley 1150 de 2007, modificado por el artículo 88 de la Ley 1474 de 2011. De acuerdo con esta norma y conforme con lo expresado en el concepto C–166 del 23 de abril de 2021, puede decirse que el deber de selección objetiva supone que las entidades escojan en los procesos de selección el </w:t>
      </w:r>
      <w:r w:rsidR="00906AF6">
        <w:rPr>
          <w:rFonts w:ascii="Century Gothic" w:hAnsi="Century Gothic" w:cs="Arial"/>
          <w:bCs/>
          <w:sz w:val="22"/>
          <w:szCs w:val="22"/>
          <w:lang w:eastAsia="en-US"/>
        </w:rPr>
        <w:t>“</w:t>
      </w:r>
      <w:r w:rsidRPr="00C24BA8">
        <w:rPr>
          <w:rFonts w:ascii="Century Gothic" w:hAnsi="Century Gothic" w:cs="Arial"/>
          <w:bCs/>
          <w:sz w:val="22"/>
          <w:szCs w:val="22"/>
          <w:lang w:eastAsia="en-US"/>
        </w:rPr>
        <w:t>[…] ofrecimiento más favorable a la entidad y a los fines que ella busca […]</w:t>
      </w:r>
      <w:r w:rsidR="00906AF6">
        <w:rPr>
          <w:rFonts w:ascii="Century Gothic" w:hAnsi="Century Gothic" w:cs="Arial"/>
          <w:bCs/>
          <w:sz w:val="22"/>
          <w:szCs w:val="22"/>
          <w:lang w:eastAsia="en-US"/>
        </w:rPr>
        <w:t>”</w:t>
      </w:r>
      <w:r w:rsidRPr="00C24BA8">
        <w:rPr>
          <w:rFonts w:ascii="Century Gothic" w:hAnsi="Century Gothic" w:cs="Arial"/>
          <w:bCs/>
          <w:sz w:val="22"/>
          <w:szCs w:val="22"/>
          <w:lang w:eastAsia="en-US"/>
        </w:rPr>
        <w:t xml:space="preserve">. Tal favorabilidad debe determinarse a partir de criterios que pueden variar, de acuerdo con el objeto contractual o la modalidad de selección aplicable, los cuales, en todo caso, para que la selección sea objetiva, deben estar señalados en el pliego de condiciones o documento equivalente. […] el artículo 5 de la Ley 1150 de 2007 define los parámetros conforme a los cuales deben exigirse y evaluarse los factores que no otorgan puntaje o requisitos habilitantes, como también aquellos que deben tenerse en cuenta para la exigencia y evaluación de los factores de escogencia o calificación, técnicos y económicos, los cuales inciden en la comparación de las ofertas. Por ello, la doctrina define los requisitos o factores ponderables como […] aquellas condiciones de la oferta y no de quien la presenta, que sí entrarán a ser evaluadas por la Administración y </w:t>
      </w:r>
      <w:proofErr w:type="gramStart"/>
      <w:r w:rsidRPr="00C24BA8">
        <w:rPr>
          <w:rFonts w:ascii="Century Gothic" w:hAnsi="Century Gothic" w:cs="Arial"/>
          <w:bCs/>
          <w:sz w:val="22"/>
          <w:szCs w:val="22"/>
          <w:lang w:eastAsia="en-US"/>
        </w:rPr>
        <w:t>que</w:t>
      </w:r>
      <w:proofErr w:type="gramEnd"/>
      <w:r w:rsidRPr="00C24BA8">
        <w:rPr>
          <w:rFonts w:ascii="Century Gothic" w:hAnsi="Century Gothic" w:cs="Arial"/>
          <w:bCs/>
          <w:sz w:val="22"/>
          <w:szCs w:val="22"/>
          <w:lang w:eastAsia="en-US"/>
        </w:rPr>
        <w:t xml:space="preserve"> en consecuencia, darán lugar a la escogencia objetiva de la mejor propuesta para la entidad</w:t>
      </w:r>
      <w:r w:rsidR="00906AF6">
        <w:rPr>
          <w:rFonts w:ascii="Century Gothic" w:hAnsi="Century Gothic" w:cs="Arial"/>
          <w:bCs/>
          <w:sz w:val="22"/>
          <w:szCs w:val="22"/>
          <w:lang w:eastAsia="en-US"/>
        </w:rPr>
        <w:t>”</w:t>
      </w:r>
      <w:r w:rsidRPr="00C24BA8">
        <w:rPr>
          <w:rFonts w:ascii="Century Gothic" w:hAnsi="Century Gothic" w:cs="Arial"/>
          <w:bCs/>
          <w:sz w:val="22"/>
          <w:szCs w:val="22"/>
          <w:lang w:eastAsia="en-US"/>
        </w:rPr>
        <w:t xml:space="preserve">. Todas estas categorías designan los </w:t>
      </w:r>
      <w:r w:rsidR="00906AF6">
        <w:rPr>
          <w:rFonts w:ascii="Century Gothic" w:hAnsi="Century Gothic" w:cs="Arial"/>
          <w:bCs/>
          <w:sz w:val="22"/>
          <w:szCs w:val="22"/>
          <w:lang w:eastAsia="en-US"/>
        </w:rPr>
        <w:t>“</w:t>
      </w:r>
      <w:r w:rsidRPr="00C24BA8">
        <w:rPr>
          <w:rFonts w:ascii="Century Gothic" w:hAnsi="Century Gothic" w:cs="Arial"/>
          <w:bCs/>
          <w:sz w:val="22"/>
          <w:szCs w:val="22"/>
          <w:lang w:eastAsia="en-US"/>
        </w:rPr>
        <w:t>[…] factores a los cuales cabe otorgarles puntajes o que pueden ser ponderados, precisamente, pues estos son los factores que en últimas permiten una comparación de ofertas y una diferenciación entre ellas</w:t>
      </w:r>
      <w:r w:rsidR="00906AF6">
        <w:rPr>
          <w:rFonts w:ascii="Century Gothic" w:hAnsi="Century Gothic" w:cs="Arial"/>
          <w:bCs/>
          <w:sz w:val="22"/>
          <w:szCs w:val="22"/>
          <w:lang w:eastAsia="en-US"/>
        </w:rPr>
        <w:t>”</w:t>
      </w:r>
      <w:r w:rsidRPr="00C24BA8">
        <w:rPr>
          <w:rFonts w:ascii="Century Gothic" w:hAnsi="Century Gothic" w:cs="Arial"/>
          <w:bCs/>
          <w:sz w:val="22"/>
          <w:szCs w:val="22"/>
          <w:lang w:eastAsia="en-US"/>
        </w:rPr>
        <w:t xml:space="preserve">. </w:t>
      </w:r>
    </w:p>
    <w:p w14:paraId="537B2252" w14:textId="77777777" w:rsidR="0078570C" w:rsidRPr="00C24BA8" w:rsidRDefault="0078570C" w:rsidP="0078570C">
      <w:pPr>
        <w:jc w:val="both"/>
        <w:rPr>
          <w:rFonts w:ascii="Century Gothic" w:hAnsi="Century Gothic" w:cs="Arial"/>
          <w:b/>
          <w:sz w:val="22"/>
          <w:szCs w:val="22"/>
          <w:lang w:eastAsia="en-US"/>
        </w:rPr>
      </w:pPr>
    </w:p>
    <w:p w14:paraId="35E081D3" w14:textId="77777777" w:rsidR="0078570C" w:rsidRPr="00C24BA8" w:rsidRDefault="0078570C" w:rsidP="0078570C">
      <w:pPr>
        <w:jc w:val="both"/>
        <w:rPr>
          <w:rFonts w:ascii="Century Gothic" w:hAnsi="Century Gothic" w:cs="Arial"/>
          <w:b/>
          <w:sz w:val="22"/>
          <w:szCs w:val="22"/>
          <w:lang w:eastAsia="en-US"/>
        </w:rPr>
      </w:pPr>
      <w:r w:rsidRPr="00C24BA8">
        <w:rPr>
          <w:rFonts w:ascii="Century Gothic" w:hAnsi="Century Gothic" w:cs="Arial"/>
          <w:b/>
          <w:sz w:val="22"/>
          <w:szCs w:val="22"/>
          <w:lang w:eastAsia="en-US"/>
        </w:rPr>
        <w:t xml:space="preserve">REQUISITOS PONDERABLES – Asignación de puntaje </w:t>
      </w:r>
    </w:p>
    <w:p w14:paraId="00E153EC" w14:textId="77777777" w:rsidR="0078570C" w:rsidRPr="00C24BA8" w:rsidRDefault="0078570C" w:rsidP="0078570C">
      <w:pPr>
        <w:jc w:val="both"/>
        <w:rPr>
          <w:rFonts w:ascii="Century Gothic" w:hAnsi="Century Gothic" w:cs="Arial"/>
          <w:bCs/>
          <w:sz w:val="22"/>
          <w:szCs w:val="22"/>
          <w:lang w:eastAsia="en-US"/>
        </w:rPr>
      </w:pPr>
    </w:p>
    <w:p w14:paraId="5F5D3729" w14:textId="77777777" w:rsidR="0078570C" w:rsidRPr="00C24BA8" w:rsidRDefault="0078570C" w:rsidP="0078570C">
      <w:pPr>
        <w:jc w:val="both"/>
        <w:rPr>
          <w:rFonts w:ascii="Century Gothic" w:hAnsi="Century Gothic" w:cs="Arial"/>
          <w:bCs/>
          <w:sz w:val="22"/>
          <w:szCs w:val="22"/>
          <w:lang w:eastAsia="en-US"/>
        </w:rPr>
      </w:pPr>
      <w:r w:rsidRPr="00C24BA8">
        <w:rPr>
          <w:rFonts w:ascii="Century Gothic" w:hAnsi="Century Gothic" w:cs="Arial"/>
          <w:bCs/>
          <w:sz w:val="22"/>
          <w:szCs w:val="22"/>
          <w:lang w:eastAsia="en-US"/>
        </w:rPr>
        <w:t xml:space="preserve">[…] las diferentes categorías a las que hace referencia el artículo 5 de la Ley 1150 de 2007, cuando alude a los factores que, a diferencia de los requisitos habilitantes, determinan la oferta más favorable para la entidad, y que, por lo tanto, hacen que una oferta sea mejor que otra, pese a tener que cumplir todas ellas los requisitos habilitantes. Es frente a aquellos factores, que determinan comparativamente que una oferta sea mejor que otra, que la entidad concibe el otorgamiento de puntajes, como mecanismos para ponderar y comparar los ofrecimientos, con el fin de determinar objetivamente la oferta más favorable, aplicando para ello las reglas establecidas en el pliego o documento equivalente para la ponderación de las ofertas. </w:t>
      </w:r>
    </w:p>
    <w:p w14:paraId="161A031B" w14:textId="77777777" w:rsidR="0078570C" w:rsidRPr="00C24BA8" w:rsidRDefault="0078570C" w:rsidP="0078570C">
      <w:pPr>
        <w:jc w:val="both"/>
        <w:rPr>
          <w:rFonts w:ascii="Century Gothic" w:hAnsi="Century Gothic" w:cs="Arial"/>
          <w:bCs/>
          <w:sz w:val="22"/>
          <w:szCs w:val="22"/>
          <w:lang w:eastAsia="en-US"/>
        </w:rPr>
      </w:pPr>
    </w:p>
    <w:p w14:paraId="7EF5CE43" w14:textId="40F65EA4" w:rsidR="0078570C" w:rsidRPr="00C24BA8" w:rsidRDefault="0078570C" w:rsidP="0078570C">
      <w:pPr>
        <w:jc w:val="both"/>
        <w:rPr>
          <w:rFonts w:ascii="Century Gothic" w:hAnsi="Century Gothic" w:cs="Arial"/>
          <w:bCs/>
          <w:sz w:val="22"/>
          <w:szCs w:val="22"/>
          <w:lang w:eastAsia="en-US"/>
        </w:rPr>
      </w:pPr>
      <w:r w:rsidRPr="00C24BA8">
        <w:rPr>
          <w:rFonts w:ascii="Century Gothic" w:hAnsi="Century Gothic" w:cs="Arial"/>
          <w:bCs/>
          <w:sz w:val="22"/>
          <w:szCs w:val="22"/>
          <w:lang w:eastAsia="en-US"/>
        </w:rPr>
        <w:t xml:space="preserve">En ese sentido, la asignación de puntaje es un mecanismo mediante el cual las entidades ponderan los factores de calificación </w:t>
      </w:r>
      <w:r w:rsidRPr="00C24BA8">
        <w:rPr>
          <w:rFonts w:ascii="Arial" w:hAnsi="Arial" w:cs="Arial"/>
          <w:bCs/>
          <w:sz w:val="22"/>
          <w:szCs w:val="22"/>
          <w:lang w:eastAsia="en-US"/>
        </w:rPr>
        <w:t>ꟷ</w:t>
      </w:r>
      <w:r w:rsidRPr="00C24BA8">
        <w:rPr>
          <w:rFonts w:ascii="Century Gothic" w:hAnsi="Century Gothic" w:cs="Arial"/>
          <w:bCs/>
          <w:i/>
          <w:sz w:val="22"/>
          <w:szCs w:val="22"/>
          <w:lang w:eastAsia="en-US"/>
        </w:rPr>
        <w:t>v.g.</w:t>
      </w:r>
      <w:r w:rsidRPr="00C24BA8">
        <w:rPr>
          <w:rFonts w:ascii="Century Gothic" w:hAnsi="Century Gothic" w:cs="Arial"/>
          <w:bCs/>
          <w:sz w:val="22"/>
          <w:szCs w:val="22"/>
          <w:lang w:eastAsia="en-US"/>
        </w:rPr>
        <w:t xml:space="preserve"> técnicos, de calidad y precio, etc.</w:t>
      </w:r>
      <w:r w:rsidRPr="00C24BA8">
        <w:rPr>
          <w:rFonts w:ascii="Arial" w:hAnsi="Arial" w:cs="Arial"/>
          <w:bCs/>
          <w:sz w:val="22"/>
          <w:szCs w:val="22"/>
          <w:lang w:eastAsia="en-US"/>
        </w:rPr>
        <w:t>ꟷ</w:t>
      </w:r>
      <w:r w:rsidRPr="00C24BA8">
        <w:rPr>
          <w:rFonts w:ascii="Century Gothic" w:hAnsi="Century Gothic" w:cs="Arial"/>
          <w:bCs/>
          <w:sz w:val="22"/>
          <w:szCs w:val="22"/>
          <w:lang w:eastAsia="en-US"/>
        </w:rPr>
        <w:t xml:space="preserve"> en un determinado proceso de selección, como se desprende del literal a) del numeral 2 del artículo 5 de la Ley 1150 de 2007, en el que, expresamente, se alude al puntaje. Es necesario destacar que las reglas para establecer la oferta más favorable conforme al artículo 5 de la Ley 1150 de 2007, se encuentran reglamentadas en el artículo 2.2.1.1.2.2.2 del Decreto 1082 de 2015. Este artículo desarrolla los mecanismos de ponderación previstos en los literales a) y b) del artículo 5.2 de la Ley 1150 de 2007, disponiendo unas pautas para la ponderación de los elementos de calidad y precio que representen la mejor relación de costo-beneficio. Conforme a este artículo, la oferta más favorable en estos casos debe determinarse ponderando en las ofertas: i) las condiciones técnicas y económicas mínimas; </w:t>
      </w:r>
      <w:proofErr w:type="spellStart"/>
      <w:r w:rsidRPr="00C24BA8">
        <w:rPr>
          <w:rFonts w:ascii="Century Gothic" w:hAnsi="Century Gothic" w:cs="Arial"/>
          <w:bCs/>
          <w:sz w:val="22"/>
          <w:szCs w:val="22"/>
          <w:lang w:eastAsia="en-US"/>
        </w:rPr>
        <w:t>ii</w:t>
      </w:r>
      <w:proofErr w:type="spellEnd"/>
      <w:r w:rsidRPr="00C24BA8">
        <w:rPr>
          <w:rFonts w:ascii="Century Gothic" w:hAnsi="Century Gothic" w:cs="Arial"/>
          <w:bCs/>
          <w:sz w:val="22"/>
          <w:szCs w:val="22"/>
          <w:lang w:eastAsia="en-US"/>
        </w:rPr>
        <w:t xml:space="preserve">) las condiciones técnicas adicionales que representan ventajas de calidad o de funcionamiento; </w:t>
      </w:r>
      <w:proofErr w:type="spellStart"/>
      <w:r w:rsidRPr="00C24BA8">
        <w:rPr>
          <w:rFonts w:ascii="Century Gothic" w:hAnsi="Century Gothic" w:cs="Arial"/>
          <w:bCs/>
          <w:sz w:val="22"/>
          <w:szCs w:val="22"/>
          <w:lang w:eastAsia="en-US"/>
        </w:rPr>
        <w:t>iii</w:t>
      </w:r>
      <w:proofErr w:type="spellEnd"/>
      <w:r w:rsidRPr="00C24BA8">
        <w:rPr>
          <w:rFonts w:ascii="Century Gothic" w:hAnsi="Century Gothic" w:cs="Arial"/>
          <w:bCs/>
          <w:sz w:val="22"/>
          <w:szCs w:val="22"/>
          <w:lang w:eastAsia="en-US"/>
        </w:rPr>
        <w:t xml:space="preserve">) las condiciones económicas adicionales que representen ventajas en términos de economía, eficiencia y eficacia; y </w:t>
      </w:r>
      <w:proofErr w:type="spellStart"/>
      <w:r w:rsidRPr="00C24BA8">
        <w:rPr>
          <w:rFonts w:ascii="Century Gothic" w:hAnsi="Century Gothic" w:cs="Arial"/>
          <w:bCs/>
          <w:sz w:val="22"/>
          <w:szCs w:val="22"/>
          <w:lang w:eastAsia="en-US"/>
        </w:rPr>
        <w:t>iv</w:t>
      </w:r>
      <w:proofErr w:type="spellEnd"/>
      <w:r w:rsidRPr="00C24BA8">
        <w:rPr>
          <w:rFonts w:ascii="Century Gothic" w:hAnsi="Century Gothic" w:cs="Arial"/>
          <w:bCs/>
          <w:sz w:val="22"/>
          <w:szCs w:val="22"/>
          <w:lang w:eastAsia="en-US"/>
        </w:rPr>
        <w:t xml:space="preserve">) el valor en dinero que la entidad estatal asigna a cada ofrecimiento técnico o económico adicional. Teniendo en cuenta estos elementos, la entidad estatal debe calcular la relación costo-beneficio de cada oferta </w:t>
      </w:r>
      <w:r w:rsidR="00906AF6">
        <w:rPr>
          <w:rFonts w:ascii="Century Gothic" w:hAnsi="Century Gothic" w:cs="Arial"/>
          <w:bCs/>
          <w:sz w:val="22"/>
          <w:szCs w:val="22"/>
          <w:lang w:eastAsia="en-US"/>
        </w:rPr>
        <w:t>“</w:t>
      </w:r>
      <w:r w:rsidRPr="00C24BA8">
        <w:rPr>
          <w:rFonts w:ascii="Century Gothic" w:hAnsi="Century Gothic" w:cs="Arial"/>
          <w:bCs/>
          <w:sz w:val="22"/>
          <w:szCs w:val="22"/>
          <w:lang w:eastAsia="en-US"/>
        </w:rPr>
        <w:t>[…]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 […]</w:t>
      </w:r>
      <w:r w:rsidR="00906AF6">
        <w:rPr>
          <w:rFonts w:ascii="Century Gothic" w:hAnsi="Century Gothic" w:cs="Arial"/>
          <w:bCs/>
          <w:sz w:val="22"/>
          <w:szCs w:val="22"/>
          <w:lang w:eastAsia="en-US"/>
        </w:rPr>
        <w:t>”</w:t>
      </w:r>
      <w:r w:rsidRPr="00C24BA8">
        <w:rPr>
          <w:rFonts w:ascii="Century Gothic" w:hAnsi="Century Gothic" w:cs="Arial"/>
          <w:bCs/>
          <w:sz w:val="22"/>
          <w:szCs w:val="22"/>
          <w:lang w:eastAsia="en-US"/>
        </w:rPr>
        <w:t>.</w:t>
      </w:r>
    </w:p>
    <w:p w14:paraId="36F6EE08" w14:textId="77777777" w:rsidR="0078570C" w:rsidRPr="00C24BA8" w:rsidRDefault="0078570C" w:rsidP="0078570C">
      <w:pPr>
        <w:jc w:val="both"/>
        <w:rPr>
          <w:rFonts w:ascii="Century Gothic" w:hAnsi="Century Gothic" w:cs="Arial"/>
          <w:bCs/>
          <w:sz w:val="22"/>
          <w:szCs w:val="22"/>
          <w:lang w:eastAsia="en-US"/>
        </w:rPr>
      </w:pPr>
    </w:p>
    <w:p w14:paraId="3A166EF7" w14:textId="77777777" w:rsidR="0078570C" w:rsidRPr="00C24BA8" w:rsidRDefault="0078570C" w:rsidP="0078570C">
      <w:pPr>
        <w:jc w:val="both"/>
        <w:rPr>
          <w:rFonts w:ascii="Century Gothic" w:hAnsi="Century Gothic" w:cs="Arial"/>
          <w:bCs/>
          <w:sz w:val="22"/>
          <w:szCs w:val="22"/>
          <w:lang w:eastAsia="en-US"/>
        </w:rPr>
      </w:pPr>
    </w:p>
    <w:p w14:paraId="09ABCD34" w14:textId="77777777" w:rsidR="0078570C" w:rsidRPr="00C24BA8" w:rsidRDefault="0078570C" w:rsidP="0078570C">
      <w:pPr>
        <w:jc w:val="both"/>
        <w:rPr>
          <w:rFonts w:ascii="Century Gothic" w:hAnsi="Century Gothic" w:cs="Arial"/>
          <w:b/>
          <w:sz w:val="22"/>
          <w:szCs w:val="22"/>
          <w:lang w:eastAsia="en-US"/>
        </w:rPr>
      </w:pPr>
      <w:r w:rsidRPr="00C24BA8">
        <w:rPr>
          <w:rFonts w:ascii="Century Gothic" w:hAnsi="Century Gothic" w:cs="Arial"/>
          <w:b/>
          <w:sz w:val="22"/>
          <w:szCs w:val="22"/>
          <w:lang w:eastAsia="en-US"/>
        </w:rPr>
        <w:t xml:space="preserve">DEBER DE SELECCIÓN OBJETIVA </w:t>
      </w:r>
    </w:p>
    <w:p w14:paraId="1EEC04B5" w14:textId="77777777" w:rsidR="0078570C" w:rsidRPr="00C24BA8" w:rsidRDefault="0078570C" w:rsidP="0078570C">
      <w:pPr>
        <w:jc w:val="both"/>
        <w:rPr>
          <w:rFonts w:ascii="Century Gothic" w:hAnsi="Century Gothic" w:cs="Arial"/>
          <w:bCs/>
          <w:sz w:val="22"/>
          <w:szCs w:val="22"/>
          <w:lang w:eastAsia="en-US"/>
        </w:rPr>
      </w:pPr>
    </w:p>
    <w:p w14:paraId="5F7D4BCC" w14:textId="77777777" w:rsidR="0078570C" w:rsidRPr="00C24BA8" w:rsidRDefault="0078570C" w:rsidP="0078570C">
      <w:pPr>
        <w:spacing w:before="120"/>
        <w:jc w:val="both"/>
        <w:rPr>
          <w:rFonts w:ascii="Century Gothic" w:hAnsi="Century Gothic" w:cs="Arial"/>
          <w:bCs/>
          <w:sz w:val="22"/>
          <w:szCs w:val="22"/>
          <w:lang w:eastAsia="en-US"/>
        </w:rPr>
      </w:pPr>
      <w:r w:rsidRPr="00C24BA8">
        <w:rPr>
          <w:rFonts w:ascii="Century Gothic" w:hAnsi="Century Gothic" w:cs="Arial"/>
          <w:bCs/>
          <w:sz w:val="22"/>
          <w:szCs w:val="22"/>
          <w:lang w:eastAsia="en-US"/>
        </w:rPr>
        <w:t>[…] el deber de selección objetiva está ligado a la determinación del ofrecimiento más favorable, cuyo contenido debe ser precisado a partir de las diferentes alternativas del artículo 5 de la Ley 1150 de 2007, reglamentado por el artículo 2.2.1.1.2.2.2 del Decreto 1082 de 2015, que, en todo caso, deben reflejarse en el pliego de condiciones o documento equivalente para el respectivo proceso de selección. Estas disposiciones establecen que en los procesos de selección deben evaluarse, fuera de los requisitos habilitantes, los factores de calificación, valoración o evaluación. Estos pueden ponderarse mediante la asignación de puntaje, por lo que la norma se refiere a factores que no otorgan puntaje para diferenciar los requisitos habilitantes de los mencionados factores de calificación. Lo anterior, bajo el entendido que son estos últimos los que determinan la oferta más favorable para la entidad y la que, en consecuencia, debe elegirse.</w:t>
      </w:r>
    </w:p>
    <w:p w14:paraId="64D1CC37" w14:textId="0BC418D8" w:rsidR="0078570C" w:rsidRPr="00C24BA8" w:rsidRDefault="0078570C" w:rsidP="0078570C">
      <w:pPr>
        <w:spacing w:before="120"/>
        <w:jc w:val="both"/>
        <w:rPr>
          <w:rFonts w:ascii="Century Gothic" w:hAnsi="Century Gothic" w:cs="Arial"/>
          <w:bCs/>
          <w:sz w:val="22"/>
          <w:szCs w:val="22"/>
          <w:lang w:eastAsia="en-US"/>
        </w:rPr>
      </w:pPr>
      <w:r w:rsidRPr="00C24BA8">
        <w:rPr>
          <w:rFonts w:ascii="Century Gothic" w:hAnsi="Century Gothic" w:cs="Arial"/>
          <w:bCs/>
          <w:sz w:val="22"/>
          <w:szCs w:val="22"/>
          <w:lang w:eastAsia="en-US"/>
        </w:rPr>
        <w:t xml:space="preserve">Además del artículo 5 de la Ley 1150 de 2007, el deber de selección objetiva y su carácter vinculante encuentre fundamento en varios apartados de la Ley 80 de 1993, como: i) el primer inciso del artículo 21, que obliga a las entidades estatales a tener en cuenta la selección objetiva, al garantizar la participación de los oferentes </w:t>
      </w:r>
      <w:r w:rsidRPr="00C24BA8">
        <w:rPr>
          <w:rFonts w:ascii="Century Gothic" w:hAnsi="Century Gothic" w:cs="Arial"/>
          <w:bCs/>
          <w:sz w:val="22"/>
          <w:szCs w:val="22"/>
          <w:lang w:eastAsia="en-US"/>
        </w:rPr>
        <w:lastRenderedPageBreak/>
        <w:t xml:space="preserve">de bienes y servicios de origen nacional, </w:t>
      </w:r>
      <w:proofErr w:type="spellStart"/>
      <w:r w:rsidRPr="00C24BA8">
        <w:rPr>
          <w:rFonts w:ascii="Century Gothic" w:hAnsi="Century Gothic" w:cs="Arial"/>
          <w:bCs/>
          <w:sz w:val="22"/>
          <w:szCs w:val="22"/>
          <w:lang w:eastAsia="en-US"/>
        </w:rPr>
        <w:t>ii</w:t>
      </w:r>
      <w:proofErr w:type="spellEnd"/>
      <w:r w:rsidRPr="00C24BA8">
        <w:rPr>
          <w:rFonts w:ascii="Century Gothic" w:hAnsi="Century Gothic" w:cs="Arial"/>
          <w:bCs/>
          <w:sz w:val="22"/>
          <w:szCs w:val="22"/>
          <w:lang w:eastAsia="en-US"/>
        </w:rPr>
        <w:t xml:space="preserve">) el artículo 24, numeral 5º, literal a), que manda que en los pliegos de condiciones se indiquen </w:t>
      </w:r>
      <w:r w:rsidR="00906AF6">
        <w:rPr>
          <w:rFonts w:ascii="Century Gothic" w:hAnsi="Century Gothic" w:cs="Arial"/>
          <w:bCs/>
          <w:sz w:val="22"/>
          <w:szCs w:val="22"/>
          <w:lang w:eastAsia="en-US"/>
        </w:rPr>
        <w:t>“</w:t>
      </w:r>
      <w:r w:rsidRPr="00C24BA8">
        <w:rPr>
          <w:rFonts w:ascii="Century Gothic" w:hAnsi="Century Gothic" w:cs="Arial"/>
          <w:bCs/>
          <w:sz w:val="22"/>
          <w:szCs w:val="22"/>
          <w:lang w:eastAsia="en-US"/>
        </w:rPr>
        <w:t>[…] los requisitos objetivos necesarios para participar en el correspondiente proceso de selección</w:t>
      </w:r>
      <w:r w:rsidR="00906AF6">
        <w:rPr>
          <w:rFonts w:ascii="Century Gothic" w:hAnsi="Century Gothic" w:cs="Arial"/>
          <w:bCs/>
          <w:sz w:val="22"/>
          <w:szCs w:val="22"/>
          <w:lang w:eastAsia="en-US"/>
        </w:rPr>
        <w:t>”</w:t>
      </w:r>
      <w:r w:rsidRPr="00C24BA8">
        <w:rPr>
          <w:rFonts w:ascii="Century Gothic" w:hAnsi="Century Gothic" w:cs="Arial"/>
          <w:bCs/>
          <w:sz w:val="22"/>
          <w:szCs w:val="22"/>
          <w:lang w:eastAsia="en-US"/>
        </w:rPr>
        <w:t xml:space="preserve">, </w:t>
      </w:r>
      <w:proofErr w:type="spellStart"/>
      <w:r w:rsidRPr="00C24BA8">
        <w:rPr>
          <w:rFonts w:ascii="Century Gothic" w:hAnsi="Century Gothic" w:cs="Arial"/>
          <w:bCs/>
          <w:sz w:val="22"/>
          <w:szCs w:val="22"/>
          <w:lang w:eastAsia="en-US"/>
        </w:rPr>
        <w:t>iii</w:t>
      </w:r>
      <w:proofErr w:type="spellEnd"/>
      <w:r w:rsidRPr="00C24BA8">
        <w:rPr>
          <w:rFonts w:ascii="Century Gothic" w:hAnsi="Century Gothic" w:cs="Arial"/>
          <w:bCs/>
          <w:sz w:val="22"/>
          <w:szCs w:val="22"/>
          <w:lang w:eastAsia="en-US"/>
        </w:rPr>
        <w:t xml:space="preserve">) el artículo 24, numeral 5º, literal b), que establece que en los pliegos de condiciones se deben definir </w:t>
      </w:r>
      <w:r w:rsidR="00906AF6">
        <w:rPr>
          <w:rFonts w:ascii="Century Gothic" w:hAnsi="Century Gothic" w:cs="Arial"/>
          <w:bCs/>
          <w:sz w:val="22"/>
          <w:szCs w:val="22"/>
          <w:lang w:eastAsia="en-US"/>
        </w:rPr>
        <w:t>“</w:t>
      </w:r>
      <w:r w:rsidRPr="00C24BA8">
        <w:rPr>
          <w:rFonts w:ascii="Century Gothic" w:hAnsi="Century Gothic" w:cs="Arial"/>
          <w:bCs/>
          <w:sz w:val="22"/>
          <w:szCs w:val="22"/>
          <w:lang w:eastAsia="en-US"/>
        </w:rPr>
        <w:t>[…] reglas objetivas, justas, claras y completas que permitan la confección de ofrecimientos de la misma índole, aseguren una escogencia objetiva y eviten la declaratoria de desierta de la licitación</w:t>
      </w:r>
      <w:r w:rsidR="00906AF6">
        <w:rPr>
          <w:rFonts w:ascii="Century Gothic" w:hAnsi="Century Gothic" w:cs="Arial"/>
          <w:bCs/>
          <w:sz w:val="22"/>
          <w:szCs w:val="22"/>
          <w:lang w:eastAsia="en-US"/>
        </w:rPr>
        <w:t>”</w:t>
      </w:r>
      <w:r w:rsidRPr="00C24BA8">
        <w:rPr>
          <w:rFonts w:ascii="Century Gothic" w:hAnsi="Century Gothic" w:cs="Arial"/>
          <w:bCs/>
          <w:sz w:val="22"/>
          <w:szCs w:val="22"/>
          <w:lang w:eastAsia="en-US"/>
        </w:rPr>
        <w:t xml:space="preserve">, </w:t>
      </w:r>
      <w:proofErr w:type="spellStart"/>
      <w:r w:rsidRPr="00C24BA8">
        <w:rPr>
          <w:rFonts w:ascii="Century Gothic" w:hAnsi="Century Gothic" w:cs="Arial"/>
          <w:bCs/>
          <w:sz w:val="22"/>
          <w:szCs w:val="22"/>
          <w:lang w:eastAsia="en-US"/>
        </w:rPr>
        <w:t>iv</w:t>
      </w:r>
      <w:proofErr w:type="spellEnd"/>
      <w:r w:rsidRPr="00C24BA8">
        <w:rPr>
          <w:rFonts w:ascii="Century Gothic" w:hAnsi="Century Gothic" w:cs="Arial"/>
          <w:bCs/>
          <w:sz w:val="22"/>
          <w:szCs w:val="22"/>
          <w:lang w:eastAsia="en-US"/>
        </w:rPr>
        <w:t xml:space="preserve">) el artículo 24, numeral 8º, según el cual </w:t>
      </w:r>
      <w:r w:rsidR="00906AF6">
        <w:rPr>
          <w:rFonts w:ascii="Century Gothic" w:hAnsi="Century Gothic" w:cs="Arial"/>
          <w:bCs/>
          <w:sz w:val="22"/>
          <w:szCs w:val="22"/>
          <w:lang w:eastAsia="en-US"/>
        </w:rPr>
        <w:t>“</w:t>
      </w:r>
      <w:r w:rsidRPr="00C24BA8">
        <w:rPr>
          <w:rFonts w:ascii="Century Gothic" w:hAnsi="Century Gothic" w:cs="Arial"/>
          <w:bCs/>
          <w:sz w:val="22"/>
          <w:szCs w:val="22"/>
          <w:lang w:eastAsia="en-US"/>
        </w:rPr>
        <w:t>Las autoridades no actuarán con desviación o abuso de poder y ejercerán sus competencias exclusivamente para los fines previstos en la ley. Igualmente, les será prohibido eludir los procedimientos de selección objetiva y los demás requisitos previstos en el presente estatuto</w:t>
      </w:r>
      <w:r w:rsidR="00906AF6">
        <w:rPr>
          <w:rFonts w:ascii="Century Gothic" w:hAnsi="Century Gothic" w:cs="Arial"/>
          <w:bCs/>
          <w:sz w:val="22"/>
          <w:szCs w:val="22"/>
          <w:lang w:eastAsia="en-US"/>
        </w:rPr>
        <w:t>”</w:t>
      </w:r>
      <w:r w:rsidRPr="00C24BA8">
        <w:rPr>
          <w:rFonts w:ascii="Century Gothic" w:hAnsi="Century Gothic" w:cs="Arial"/>
          <w:bCs/>
          <w:sz w:val="22"/>
          <w:szCs w:val="22"/>
          <w:lang w:eastAsia="en-US"/>
        </w:rPr>
        <w:t xml:space="preserve">, v) el segundo inciso del parágrafo 3º del artículo 24, que exige tener en cuenta la selección objetiva de la entidad veedora para el procedimiento de venta de bienes de las entidades estatales por el sistema de martillo; vi) el numeral 18 del artículo 25, el cual señala que </w:t>
      </w:r>
      <w:r w:rsidR="00906AF6">
        <w:rPr>
          <w:rFonts w:ascii="Century Gothic" w:hAnsi="Century Gothic" w:cs="Arial"/>
          <w:bCs/>
          <w:sz w:val="22"/>
          <w:szCs w:val="22"/>
          <w:lang w:eastAsia="en-US"/>
        </w:rPr>
        <w:t>“</w:t>
      </w:r>
      <w:r w:rsidRPr="00C24BA8">
        <w:rPr>
          <w:rFonts w:ascii="Century Gothic" w:hAnsi="Century Gothic" w:cs="Arial"/>
          <w:bCs/>
          <w:sz w:val="22"/>
          <w:szCs w:val="22"/>
          <w:lang w:eastAsia="en-US"/>
        </w:rPr>
        <w:t>La declaratoria de desierta de la licitación únicamente procederá por motivos o causas que impidan la escogencia objetiva</w:t>
      </w:r>
      <w:r w:rsidR="00906AF6">
        <w:rPr>
          <w:rFonts w:ascii="Century Gothic" w:hAnsi="Century Gothic" w:cs="Arial"/>
          <w:bCs/>
          <w:sz w:val="22"/>
          <w:szCs w:val="22"/>
          <w:lang w:eastAsia="en-US"/>
        </w:rPr>
        <w:t>”</w:t>
      </w:r>
      <w:r w:rsidRPr="00C24BA8">
        <w:rPr>
          <w:rFonts w:ascii="Century Gothic" w:hAnsi="Century Gothic" w:cs="Arial"/>
          <w:bCs/>
          <w:sz w:val="22"/>
          <w:szCs w:val="22"/>
          <w:lang w:eastAsia="en-US"/>
        </w:rPr>
        <w:t xml:space="preserve">, </w:t>
      </w:r>
      <w:proofErr w:type="spellStart"/>
      <w:r w:rsidRPr="00C24BA8">
        <w:rPr>
          <w:rFonts w:ascii="Century Gothic" w:hAnsi="Century Gothic" w:cs="Arial"/>
          <w:bCs/>
          <w:sz w:val="22"/>
          <w:szCs w:val="22"/>
          <w:lang w:eastAsia="en-US"/>
        </w:rPr>
        <w:t>vii</w:t>
      </w:r>
      <w:proofErr w:type="spellEnd"/>
      <w:r w:rsidRPr="00C24BA8">
        <w:rPr>
          <w:rFonts w:ascii="Century Gothic" w:hAnsi="Century Gothic" w:cs="Arial"/>
          <w:bCs/>
          <w:sz w:val="22"/>
          <w:szCs w:val="22"/>
          <w:lang w:eastAsia="en-US"/>
        </w:rPr>
        <w:t xml:space="preserve">) el numeral 2 del artículo 30, que dispone que </w:t>
      </w:r>
      <w:r w:rsidR="00906AF6">
        <w:rPr>
          <w:rFonts w:ascii="Century Gothic" w:hAnsi="Century Gothic" w:cs="Arial"/>
          <w:bCs/>
          <w:sz w:val="22"/>
          <w:szCs w:val="22"/>
          <w:lang w:eastAsia="en-US"/>
        </w:rPr>
        <w:t>“</w:t>
      </w:r>
      <w:r w:rsidRPr="00C24BA8">
        <w:rPr>
          <w:rFonts w:ascii="Century Gothic" w:hAnsi="Century Gothic" w:cs="Arial"/>
          <w:bCs/>
          <w:sz w:val="22"/>
          <w:szCs w:val="22"/>
          <w:lang w:eastAsia="en-US"/>
        </w:rPr>
        <w:t>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w:t>
      </w:r>
      <w:r w:rsidR="00906AF6">
        <w:rPr>
          <w:rFonts w:ascii="Century Gothic" w:hAnsi="Century Gothic" w:cs="Arial"/>
          <w:bCs/>
          <w:sz w:val="22"/>
          <w:szCs w:val="22"/>
          <w:lang w:eastAsia="en-US"/>
        </w:rPr>
        <w:t>”</w:t>
      </w:r>
      <w:r w:rsidRPr="00C24BA8">
        <w:rPr>
          <w:rFonts w:ascii="Century Gothic" w:hAnsi="Century Gothic" w:cs="Arial"/>
          <w:bCs/>
          <w:sz w:val="22"/>
          <w:szCs w:val="22"/>
          <w:lang w:eastAsia="en-US"/>
        </w:rPr>
        <w:t xml:space="preserve">, </w:t>
      </w:r>
      <w:proofErr w:type="spellStart"/>
      <w:r w:rsidRPr="00C24BA8">
        <w:rPr>
          <w:rFonts w:ascii="Century Gothic" w:hAnsi="Century Gothic" w:cs="Arial"/>
          <w:bCs/>
          <w:sz w:val="22"/>
          <w:szCs w:val="22"/>
          <w:lang w:eastAsia="en-US"/>
        </w:rPr>
        <w:t>viii</w:t>
      </w:r>
      <w:proofErr w:type="spellEnd"/>
      <w:r w:rsidRPr="00C24BA8">
        <w:rPr>
          <w:rFonts w:ascii="Century Gothic" w:hAnsi="Century Gothic" w:cs="Arial"/>
          <w:bCs/>
          <w:sz w:val="22"/>
          <w:szCs w:val="22"/>
          <w:lang w:eastAsia="en-US"/>
        </w:rPr>
        <w:t xml:space="preserve">) el inciso final del artículo 38, que obliga a las entidades estatales que tengan como objeto la prestación de servicios y actividades de telecomunicaciones a respetar el principio de selección objetiva, y </w:t>
      </w:r>
      <w:proofErr w:type="spellStart"/>
      <w:r w:rsidRPr="00C24BA8">
        <w:rPr>
          <w:rFonts w:ascii="Century Gothic" w:hAnsi="Century Gothic" w:cs="Arial"/>
          <w:bCs/>
          <w:sz w:val="22"/>
          <w:szCs w:val="22"/>
          <w:lang w:eastAsia="en-US"/>
        </w:rPr>
        <w:t>ix</w:t>
      </w:r>
      <w:proofErr w:type="spellEnd"/>
      <w:r w:rsidRPr="00C24BA8">
        <w:rPr>
          <w:rFonts w:ascii="Century Gothic" w:hAnsi="Century Gothic" w:cs="Arial"/>
          <w:bCs/>
          <w:sz w:val="22"/>
          <w:szCs w:val="22"/>
          <w:lang w:eastAsia="en-US"/>
        </w:rPr>
        <w:t xml:space="preserve">) el segundo inciso del artículo 76, que ordena cumplir también con dicho principio a las entidades que tengan por objeto la exploración, explotación y comercialización de recursos naturales renovables y no renovables. </w:t>
      </w:r>
    </w:p>
    <w:p w14:paraId="5F944487" w14:textId="77777777" w:rsidR="0078570C" w:rsidRPr="00C24BA8" w:rsidRDefault="0078570C" w:rsidP="0078570C">
      <w:pPr>
        <w:jc w:val="both"/>
        <w:rPr>
          <w:rFonts w:ascii="Century Gothic" w:hAnsi="Century Gothic" w:cs="Arial"/>
          <w:bCs/>
          <w:sz w:val="22"/>
          <w:szCs w:val="22"/>
          <w:lang w:eastAsia="en-US"/>
        </w:rPr>
      </w:pPr>
    </w:p>
    <w:p w14:paraId="5615D41F" w14:textId="77777777" w:rsidR="0078570C" w:rsidRPr="00C24BA8" w:rsidRDefault="0078570C" w:rsidP="0078570C">
      <w:pPr>
        <w:jc w:val="both"/>
        <w:rPr>
          <w:rFonts w:ascii="Century Gothic" w:hAnsi="Century Gothic" w:cs="Arial"/>
          <w:b/>
          <w:sz w:val="22"/>
          <w:szCs w:val="22"/>
          <w:lang w:eastAsia="en-US"/>
        </w:rPr>
      </w:pPr>
      <w:r w:rsidRPr="00C24BA8">
        <w:rPr>
          <w:rFonts w:ascii="Century Gothic" w:hAnsi="Century Gothic" w:cs="Arial"/>
          <w:b/>
          <w:sz w:val="22"/>
          <w:szCs w:val="22"/>
          <w:lang w:eastAsia="en-US"/>
        </w:rPr>
        <w:t xml:space="preserve">SUBSANABILIDAD – Alcance – procedencia </w:t>
      </w:r>
    </w:p>
    <w:p w14:paraId="1E778460" w14:textId="77777777" w:rsidR="0078570C" w:rsidRPr="00C24BA8" w:rsidRDefault="0078570C" w:rsidP="0078570C">
      <w:pPr>
        <w:jc w:val="both"/>
        <w:rPr>
          <w:rFonts w:ascii="Century Gothic" w:hAnsi="Century Gothic" w:cs="Arial"/>
          <w:sz w:val="22"/>
          <w:szCs w:val="22"/>
          <w:lang w:val="es-ES_tradnl" w:eastAsia="en-US"/>
        </w:rPr>
      </w:pPr>
    </w:p>
    <w:p w14:paraId="6A1E2BEB" w14:textId="77777777" w:rsidR="0078570C" w:rsidRPr="00C24BA8" w:rsidRDefault="0078570C" w:rsidP="0078570C">
      <w:pPr>
        <w:jc w:val="both"/>
        <w:rPr>
          <w:rFonts w:ascii="Century Gothic" w:hAnsi="Century Gothic" w:cs="Arial"/>
          <w:bCs/>
          <w:sz w:val="22"/>
          <w:szCs w:val="22"/>
          <w:lang w:eastAsia="en-US"/>
        </w:rPr>
      </w:pPr>
      <w:r w:rsidRPr="00C24BA8">
        <w:rPr>
          <w:rFonts w:ascii="Century Gothic" w:hAnsi="Century Gothic" w:cs="Arial"/>
          <w:bCs/>
          <w:sz w:val="22"/>
          <w:szCs w:val="22"/>
          <w:lang w:eastAsia="en-US"/>
        </w:rPr>
        <w:t xml:space="preserve">Por regla general, i) la falta de entrega o </w:t>
      </w:r>
      <w:proofErr w:type="spellStart"/>
      <w:r w:rsidRPr="00C24BA8">
        <w:rPr>
          <w:rFonts w:ascii="Century Gothic" w:hAnsi="Century Gothic" w:cs="Arial"/>
          <w:bCs/>
          <w:sz w:val="22"/>
          <w:szCs w:val="22"/>
          <w:lang w:eastAsia="en-US"/>
        </w:rPr>
        <w:t>ii</w:t>
      </w:r>
      <w:proofErr w:type="spellEnd"/>
      <w:r w:rsidRPr="00C24BA8">
        <w:rPr>
          <w:rFonts w:ascii="Century Gothic" w:hAnsi="Century Gothic" w:cs="Arial"/>
          <w:bCs/>
          <w:sz w:val="22"/>
          <w:szCs w:val="22"/>
          <w:lang w:eastAsia="en-US"/>
        </w:rPr>
        <w:t xml:space="preserve">) los defectos, de los requisitos habilitantes, son subsanables. La excepción se encuentra en los casos, previstos en la ley, que limitan la </w:t>
      </w:r>
      <w:proofErr w:type="spellStart"/>
      <w:r w:rsidRPr="00C24BA8">
        <w:rPr>
          <w:rFonts w:ascii="Century Gothic" w:hAnsi="Century Gothic" w:cs="Arial"/>
          <w:bCs/>
          <w:sz w:val="22"/>
          <w:szCs w:val="22"/>
          <w:lang w:eastAsia="en-US"/>
        </w:rPr>
        <w:t>subsanabilidad</w:t>
      </w:r>
      <w:proofErr w:type="spellEnd"/>
      <w:r w:rsidRPr="00C24BA8">
        <w:rPr>
          <w:rFonts w:ascii="Century Gothic" w:hAnsi="Century Gothic" w:cs="Arial"/>
          <w:bCs/>
          <w:sz w:val="22"/>
          <w:szCs w:val="22"/>
          <w:lang w:eastAsia="en-US"/>
        </w:rPr>
        <w:t xml:space="preserve">, es decir, en la prohibición de permitir la entrega de la garantía de seriedad de la oferta que no fue aportada con la propuesta y de valer la acreditación de circunstancias ocurridas con posterioridad al cierre del proceso. De modo que, el límite para el ejercicio del derecho a subsanar los requisitos habilitantes y para el deber de las entidades públicas de permitir su ejercicio está definido en la ley, lo que indica que las situaciones en las cuales está restringido fueron previstas por el legislador de forma expresa. […] la </w:t>
      </w:r>
      <w:proofErr w:type="spellStart"/>
      <w:r w:rsidRPr="00C24BA8">
        <w:rPr>
          <w:rFonts w:ascii="Century Gothic" w:hAnsi="Century Gothic" w:cs="Arial"/>
          <w:bCs/>
          <w:sz w:val="22"/>
          <w:szCs w:val="22"/>
          <w:lang w:eastAsia="en-US"/>
        </w:rPr>
        <w:t>subsanabilidad</w:t>
      </w:r>
      <w:proofErr w:type="spellEnd"/>
      <w:r w:rsidRPr="00C24BA8">
        <w:rPr>
          <w:rFonts w:ascii="Century Gothic" w:hAnsi="Century Gothic" w:cs="Arial"/>
          <w:bCs/>
          <w:sz w:val="22"/>
          <w:szCs w:val="22"/>
          <w:lang w:eastAsia="en-US"/>
        </w:rPr>
        <w:t xml:space="preserve"> procede sobre todos aquellos requisitos que no otorguen puntaje, siempre que no se trate de entregar la garantía de seriedad de la oferta no aportada antes del cierre del procedimiento de selección, y bajo la condición de que no se acrediten hechos ocurridos con posterioridad a dicho momento. </w:t>
      </w:r>
    </w:p>
    <w:p w14:paraId="4130B046" w14:textId="77777777" w:rsidR="00033BA4" w:rsidRPr="00C24BA8" w:rsidRDefault="00033BA4" w:rsidP="0078570C">
      <w:pPr>
        <w:jc w:val="both"/>
        <w:rPr>
          <w:rFonts w:ascii="Century Gothic" w:hAnsi="Century Gothic" w:cs="Arial"/>
          <w:bCs/>
          <w:sz w:val="22"/>
          <w:szCs w:val="22"/>
          <w:lang w:eastAsia="en-US"/>
        </w:rPr>
      </w:pPr>
    </w:p>
    <w:p w14:paraId="69077446" w14:textId="77777777" w:rsidR="00033BA4" w:rsidRDefault="00033BA4" w:rsidP="00033BA4">
      <w:pPr>
        <w:tabs>
          <w:tab w:val="left" w:pos="426"/>
        </w:tabs>
        <w:jc w:val="both"/>
        <w:rPr>
          <w:rFonts w:ascii="Century Gothic" w:eastAsia="Calibri" w:hAnsi="Century Gothic" w:cs="Arial"/>
          <w:b/>
          <w:bCs/>
          <w:color w:val="000000" w:themeColor="text1"/>
          <w:sz w:val="20"/>
          <w:szCs w:val="20"/>
          <w:lang w:val="es-ES" w:eastAsia="es-CO"/>
        </w:rPr>
      </w:pPr>
      <w:r w:rsidRPr="00C24BA8">
        <w:rPr>
          <w:rFonts w:ascii="Century Gothic" w:eastAsia="Calibri" w:hAnsi="Century Gothic" w:cs="Arial"/>
          <w:b/>
          <w:bCs/>
          <w:color w:val="000000" w:themeColor="text1"/>
          <w:sz w:val="20"/>
          <w:szCs w:val="20"/>
          <w:lang w:val="es-ES" w:eastAsia="es-CO"/>
        </w:rPr>
        <w:t>PERSONAS EN CONDICIÓN DE DISCAPACIDAD – Decreto 392 de 2018 – Desarrollo normativo</w:t>
      </w:r>
    </w:p>
    <w:p w14:paraId="36D0A9D2" w14:textId="77777777" w:rsidR="00906AF6" w:rsidRPr="00C24BA8" w:rsidRDefault="00906AF6" w:rsidP="00033BA4">
      <w:pPr>
        <w:tabs>
          <w:tab w:val="left" w:pos="426"/>
        </w:tabs>
        <w:jc w:val="both"/>
        <w:rPr>
          <w:rFonts w:ascii="Century Gothic" w:eastAsia="Calibri" w:hAnsi="Century Gothic" w:cs="Arial"/>
          <w:b/>
          <w:bCs/>
          <w:color w:val="000000" w:themeColor="text1"/>
          <w:sz w:val="20"/>
          <w:szCs w:val="20"/>
          <w:lang w:val="es-ES" w:eastAsia="es-CO"/>
        </w:rPr>
      </w:pPr>
    </w:p>
    <w:p w14:paraId="5E048575" w14:textId="11903200" w:rsidR="00033BA4" w:rsidRDefault="00033BA4" w:rsidP="00033BA4">
      <w:pPr>
        <w:tabs>
          <w:tab w:val="left" w:pos="426"/>
        </w:tabs>
        <w:jc w:val="both"/>
        <w:rPr>
          <w:rFonts w:ascii="Century Gothic" w:hAnsi="Century Gothic" w:cs="Arial"/>
          <w:color w:val="000000" w:themeColor="text1"/>
          <w:sz w:val="20"/>
          <w:szCs w:val="20"/>
          <w:lang w:val="es-MX"/>
        </w:rPr>
      </w:pPr>
      <w:r w:rsidRPr="00C24BA8">
        <w:rPr>
          <w:rFonts w:ascii="Century Gothic" w:hAnsi="Century Gothic" w:cs="Arial"/>
          <w:color w:val="000000" w:themeColor="text1"/>
          <w:sz w:val="20"/>
          <w:szCs w:val="20"/>
          <w:lang w:val="es-MX"/>
        </w:rPr>
        <w:t xml:space="preserve">En cumplimiento de lo anterior, el Gobierno Nacional, ejerciendo su facultad reglamentaria, expidió el Decreto 392 del 2018, </w:t>
      </w:r>
      <w:r w:rsidR="00906AF6">
        <w:rPr>
          <w:rFonts w:ascii="Century Gothic" w:hAnsi="Century Gothic" w:cs="Arial"/>
          <w:color w:val="000000" w:themeColor="text1"/>
          <w:sz w:val="20"/>
          <w:szCs w:val="20"/>
          <w:lang w:val="es-MX"/>
        </w:rPr>
        <w:t>“</w:t>
      </w:r>
      <w:r w:rsidRPr="00C24BA8">
        <w:rPr>
          <w:rFonts w:ascii="Century Gothic" w:hAnsi="Century Gothic" w:cs="Arial"/>
          <w:color w:val="000000" w:themeColor="text1"/>
          <w:sz w:val="20"/>
          <w:szCs w:val="20"/>
          <w:lang w:val="es-MX"/>
        </w:rPr>
        <w:t>Por el cual se reglamentan los numerales 1 y 8 del artículo 13 de la Ley 1618 de 2013, sobre incentivos en Procesos de Contratación en favor de personas con discapacidad</w:t>
      </w:r>
      <w:r w:rsidR="00906AF6">
        <w:rPr>
          <w:rFonts w:ascii="Century Gothic" w:hAnsi="Century Gothic" w:cs="Arial"/>
          <w:color w:val="000000" w:themeColor="text1"/>
          <w:sz w:val="20"/>
          <w:szCs w:val="20"/>
          <w:lang w:val="es-MX"/>
        </w:rPr>
        <w:t>”</w:t>
      </w:r>
      <w:r w:rsidRPr="00C24BA8">
        <w:rPr>
          <w:rFonts w:ascii="Century Gothic" w:hAnsi="Century Gothic" w:cs="Arial"/>
          <w:color w:val="000000" w:themeColor="text1"/>
          <w:sz w:val="20"/>
          <w:szCs w:val="20"/>
          <w:lang w:val="es-MX"/>
        </w:rPr>
        <w:t>. Este Decreto adicionó el artículo 2.2.1.2.4.6 al Decreto Único Reglamentario 1082 de 2015, estableciendo un puntaje adicional del uno por ciento (1%) para proponentes en los procesos de licitaciones públicas y concurso de méritos que tuvieran vinculados a trabajadores con discapacidad</w:t>
      </w:r>
    </w:p>
    <w:p w14:paraId="44504D00" w14:textId="77777777" w:rsidR="00906AF6" w:rsidRPr="00C24BA8" w:rsidRDefault="00906AF6" w:rsidP="00033BA4">
      <w:pPr>
        <w:tabs>
          <w:tab w:val="left" w:pos="426"/>
        </w:tabs>
        <w:jc w:val="both"/>
        <w:rPr>
          <w:rFonts w:ascii="Century Gothic" w:eastAsia="Calibri" w:hAnsi="Century Gothic" w:cs="Arial"/>
          <w:b/>
          <w:bCs/>
          <w:color w:val="000000" w:themeColor="text1"/>
          <w:sz w:val="20"/>
          <w:szCs w:val="20"/>
          <w:lang w:val="es-ES" w:eastAsia="es-CO"/>
        </w:rPr>
      </w:pPr>
    </w:p>
    <w:p w14:paraId="6E80C626" w14:textId="77777777" w:rsidR="00033BA4" w:rsidRDefault="00033BA4" w:rsidP="00033BA4">
      <w:pPr>
        <w:tabs>
          <w:tab w:val="left" w:pos="426"/>
        </w:tabs>
        <w:jc w:val="both"/>
        <w:rPr>
          <w:rFonts w:ascii="Century Gothic" w:hAnsi="Century Gothic" w:cs="Arial"/>
          <w:b/>
          <w:bCs/>
          <w:color w:val="000000"/>
          <w:sz w:val="20"/>
          <w:szCs w:val="20"/>
          <w:shd w:val="clear" w:color="auto" w:fill="FFFFFF"/>
          <w:lang w:val="es-MX" w:eastAsia="es-MX"/>
        </w:rPr>
      </w:pPr>
      <w:r w:rsidRPr="00C24BA8">
        <w:rPr>
          <w:rFonts w:ascii="Century Gothic" w:hAnsi="Century Gothic" w:cs="Arial"/>
          <w:b/>
          <w:bCs/>
          <w:color w:val="000000"/>
          <w:sz w:val="20"/>
          <w:szCs w:val="20"/>
          <w:shd w:val="clear" w:color="auto" w:fill="FFFFFF"/>
          <w:lang w:val="es-MX" w:eastAsia="es-MX"/>
        </w:rPr>
        <w:t>PERSONAS EN CONDICIÓN DE DISCAPACIDAD – Puntaje adicional – Fundamento normativo</w:t>
      </w:r>
    </w:p>
    <w:p w14:paraId="3A50716A" w14:textId="77777777" w:rsidR="00906AF6" w:rsidRPr="00C24BA8" w:rsidRDefault="00906AF6" w:rsidP="00033BA4">
      <w:pPr>
        <w:tabs>
          <w:tab w:val="left" w:pos="426"/>
        </w:tabs>
        <w:jc w:val="both"/>
        <w:rPr>
          <w:rFonts w:ascii="Century Gothic" w:hAnsi="Century Gothic" w:cs="Arial"/>
          <w:b/>
          <w:bCs/>
          <w:color w:val="000000"/>
          <w:sz w:val="20"/>
          <w:szCs w:val="20"/>
          <w:shd w:val="clear" w:color="auto" w:fill="FFFFFF"/>
          <w:lang w:val="es-MX" w:eastAsia="es-MX"/>
        </w:rPr>
      </w:pPr>
    </w:p>
    <w:p w14:paraId="5D3E882E" w14:textId="77777777" w:rsidR="00033BA4" w:rsidRPr="00C24BA8" w:rsidRDefault="00033BA4" w:rsidP="00033BA4">
      <w:pPr>
        <w:spacing w:after="120"/>
        <w:jc w:val="both"/>
        <w:rPr>
          <w:rFonts w:ascii="Century Gothic" w:eastAsia="Calibri" w:hAnsi="Century Gothic" w:cs="Arial"/>
          <w:color w:val="000000" w:themeColor="text1"/>
          <w:sz w:val="20"/>
          <w:szCs w:val="20"/>
          <w:lang w:val="es-ES_tradnl" w:eastAsia="es-CO"/>
        </w:rPr>
      </w:pPr>
      <w:r w:rsidRPr="00C24BA8">
        <w:rPr>
          <w:rFonts w:ascii="Century Gothic" w:eastAsia="Calibri" w:hAnsi="Century Gothic" w:cs="Arial"/>
          <w:color w:val="000000" w:themeColor="text1"/>
          <w:sz w:val="20"/>
          <w:szCs w:val="20"/>
          <w:lang w:val="es-ES_tradnl" w:eastAsia="es-CO"/>
        </w:rPr>
        <w:t xml:space="preserve">En primer lugar, la persona natural, el representante legal de la persona jurídica o su revisor fiscal, según el caso, deberá expedir un certificado en el que debe constar el número de trabajadores vinculados a la planta de personal al momento en que cierre el proceso de selección. </w:t>
      </w:r>
      <w:r w:rsidRPr="00C24BA8">
        <w:rPr>
          <w:rFonts w:ascii="Century Gothic" w:hAnsi="Century Gothic" w:cs="Arial"/>
          <w:color w:val="000000"/>
          <w:sz w:val="20"/>
          <w:szCs w:val="20"/>
          <w:lang w:eastAsia="es-MX"/>
        </w:rPr>
        <w:t xml:space="preserve">Por su parte, cuando se trate de </w:t>
      </w:r>
      <w:r w:rsidRPr="00C24BA8">
        <w:rPr>
          <w:rFonts w:ascii="Century Gothic" w:hAnsi="Century Gothic" w:cs="Arial"/>
          <w:i/>
          <w:iCs/>
          <w:color w:val="000000"/>
          <w:sz w:val="20"/>
          <w:szCs w:val="20"/>
          <w:lang w:eastAsia="es-MX"/>
        </w:rPr>
        <w:t>proponentes plurales</w:t>
      </w:r>
      <w:r w:rsidRPr="00C24BA8">
        <w:rPr>
          <w:rFonts w:ascii="Century Gothic" w:hAnsi="Century Gothic" w:cs="Arial"/>
          <w:color w:val="000000"/>
          <w:sz w:val="20"/>
          <w:szCs w:val="20"/>
          <w:lang w:eastAsia="es-MX"/>
        </w:rPr>
        <w:t xml:space="preserve">, esto es, consorcio o unión temporal, la acreditación de requisito corresponderá a los integrantes en la forma antes enunciada. Por ende, deben certificar el número de trabajadores vinculados a la planta de personal, según se trate de persona natural o persona jurídica. </w:t>
      </w:r>
      <w:r w:rsidRPr="00C24BA8">
        <w:rPr>
          <w:rFonts w:ascii="Century Gothic" w:eastAsia="Calibri" w:hAnsi="Century Gothic" w:cs="Arial"/>
          <w:color w:val="000000" w:themeColor="text1"/>
          <w:sz w:val="20"/>
          <w:szCs w:val="20"/>
          <w:lang w:val="es-ES_tradnl" w:eastAsia="es-CO"/>
        </w:rPr>
        <w:t>En segundo lugar, para acreditar que se cumple con el número mínimo de trabajadores con discapacidad exigido, se empleará un certificado expedido por el Ministerio de Trabajo, el cual debe estar vigente al cierre del respectivo proceso.</w:t>
      </w:r>
    </w:p>
    <w:p w14:paraId="57DA33F0" w14:textId="42FB2799" w:rsidR="00033BA4" w:rsidRPr="00C24BA8" w:rsidRDefault="00033BA4" w:rsidP="00033BA4">
      <w:pPr>
        <w:jc w:val="both"/>
        <w:rPr>
          <w:rFonts w:ascii="Century Gothic" w:hAnsi="Century Gothic" w:cs="Arial"/>
          <w:bCs/>
          <w:sz w:val="22"/>
          <w:szCs w:val="22"/>
          <w:lang w:eastAsia="en-US"/>
        </w:rPr>
      </w:pPr>
      <w:r w:rsidRPr="00C24BA8">
        <w:rPr>
          <w:rFonts w:ascii="Century Gothic" w:eastAsia="Calibri" w:hAnsi="Century Gothic" w:cs="Arial"/>
          <w:color w:val="000000" w:themeColor="text1"/>
          <w:sz w:val="20"/>
          <w:szCs w:val="20"/>
          <w:lang w:val="es-ES_tradnl" w:eastAsia="es-CO"/>
        </w:rPr>
        <w:t>Se precisa que ambos certificados son necesarios, pues acreditan requisitos diferentes: el certificado emitido por el proponente relaciona el número total de trabajadores vinculados a la planta de personal hasta la fecha del cierre del proceso; mientras que en el certificado emitido por el Ministerio de Trabajo se acredita el número de personas con discapacidad. Esto permitirá, conjuntamente, determinar si se cumple con el rango necesario que habilite al proponente a acceder al beneficio.</w:t>
      </w:r>
    </w:p>
    <w:p w14:paraId="672FCDF0" w14:textId="77777777" w:rsidR="00950DF7" w:rsidRPr="00C24BA8" w:rsidRDefault="00950DF7" w:rsidP="00F304EA">
      <w:pPr>
        <w:jc w:val="both"/>
        <w:rPr>
          <w:rFonts w:ascii="Century Gothic" w:eastAsia="Calibri" w:hAnsi="Century Gothic" w:cs="Arial"/>
          <w:b/>
          <w:bCs/>
          <w:sz w:val="20"/>
          <w:szCs w:val="20"/>
          <w:lang w:val="es-ES_tradnl" w:eastAsia="en-US"/>
        </w:rPr>
      </w:pPr>
    </w:p>
    <w:p w14:paraId="59507FD2" w14:textId="77777777" w:rsidR="00950DF7" w:rsidRPr="00C24BA8" w:rsidRDefault="00950DF7" w:rsidP="00F304EA">
      <w:pPr>
        <w:jc w:val="both"/>
        <w:rPr>
          <w:rFonts w:ascii="Century Gothic" w:eastAsia="Calibri" w:hAnsi="Century Gothic" w:cs="Arial"/>
          <w:b/>
          <w:sz w:val="22"/>
          <w:lang w:val="es-ES_tradnl"/>
        </w:rPr>
      </w:pPr>
    </w:p>
    <w:p w14:paraId="0044883D" w14:textId="77777777" w:rsidR="00950DF7" w:rsidRPr="00C24BA8" w:rsidRDefault="00950DF7" w:rsidP="00F304EA">
      <w:pPr>
        <w:spacing w:line="276" w:lineRule="auto"/>
        <w:jc w:val="both"/>
        <w:rPr>
          <w:rFonts w:ascii="Century Gothic" w:hAnsi="Century Gothic" w:cs="Arial"/>
          <w:noProof/>
          <w:sz w:val="22"/>
          <w:lang w:val="es-ES_tradnl"/>
        </w:rPr>
      </w:pPr>
    </w:p>
    <w:p w14:paraId="602B43AE" w14:textId="77777777" w:rsidR="00950DF7" w:rsidRPr="00C24BA8" w:rsidRDefault="00950DF7" w:rsidP="00F304EA">
      <w:pPr>
        <w:spacing w:line="276" w:lineRule="auto"/>
        <w:jc w:val="both"/>
        <w:rPr>
          <w:rFonts w:ascii="Century Gothic" w:hAnsi="Century Gothic" w:cs="Arial"/>
          <w:noProof/>
          <w:sz w:val="22"/>
          <w:lang w:val="es-ES_tradnl"/>
        </w:rPr>
      </w:pPr>
    </w:p>
    <w:p w14:paraId="76D05AE7" w14:textId="77777777" w:rsidR="00950DF7" w:rsidRPr="00C24BA8" w:rsidRDefault="00950DF7" w:rsidP="00F304EA">
      <w:pPr>
        <w:spacing w:line="276" w:lineRule="auto"/>
        <w:jc w:val="both"/>
        <w:rPr>
          <w:rFonts w:ascii="Century Gothic" w:hAnsi="Century Gothic" w:cs="Arial"/>
          <w:noProof/>
          <w:sz w:val="22"/>
          <w:lang w:val="es-ES_tradnl"/>
        </w:rPr>
      </w:pPr>
    </w:p>
    <w:p w14:paraId="323C3F56" w14:textId="77777777" w:rsidR="00950DF7" w:rsidRPr="00C24BA8" w:rsidRDefault="00950DF7" w:rsidP="00F304EA">
      <w:pPr>
        <w:spacing w:line="276" w:lineRule="auto"/>
        <w:jc w:val="both"/>
        <w:rPr>
          <w:rFonts w:ascii="Century Gothic" w:hAnsi="Century Gothic" w:cs="Arial"/>
          <w:noProof/>
          <w:sz w:val="22"/>
          <w:lang w:val="es-ES_tradnl"/>
        </w:rPr>
      </w:pPr>
    </w:p>
    <w:p w14:paraId="4C56A3FA" w14:textId="77777777" w:rsidR="00950DF7" w:rsidRPr="00C24BA8" w:rsidRDefault="00950DF7" w:rsidP="00F304EA">
      <w:pPr>
        <w:spacing w:line="276" w:lineRule="auto"/>
        <w:jc w:val="both"/>
        <w:rPr>
          <w:rFonts w:ascii="Century Gothic" w:hAnsi="Century Gothic" w:cs="Arial"/>
          <w:noProof/>
          <w:sz w:val="22"/>
          <w:lang w:val="es-ES_tradnl"/>
        </w:rPr>
      </w:pPr>
    </w:p>
    <w:p w14:paraId="32DD9094" w14:textId="77777777" w:rsidR="00950DF7" w:rsidRPr="00C24BA8" w:rsidRDefault="00950DF7" w:rsidP="00F304EA">
      <w:pPr>
        <w:spacing w:line="276" w:lineRule="auto"/>
        <w:jc w:val="both"/>
        <w:rPr>
          <w:rFonts w:ascii="Century Gothic" w:hAnsi="Century Gothic" w:cs="Arial"/>
          <w:noProof/>
          <w:sz w:val="22"/>
          <w:lang w:val="es-ES_tradnl"/>
        </w:rPr>
      </w:pPr>
    </w:p>
    <w:p w14:paraId="5D92A4CD" w14:textId="77777777" w:rsidR="00603258" w:rsidRPr="00C24BA8" w:rsidRDefault="00603258" w:rsidP="00F304EA">
      <w:pPr>
        <w:spacing w:line="276" w:lineRule="auto"/>
        <w:jc w:val="both"/>
        <w:rPr>
          <w:rFonts w:ascii="Century Gothic" w:hAnsi="Century Gothic" w:cs="Arial"/>
          <w:noProof/>
          <w:sz w:val="22"/>
          <w:lang w:val="es-ES_tradnl"/>
        </w:rPr>
      </w:pPr>
    </w:p>
    <w:p w14:paraId="6439606E" w14:textId="77777777" w:rsidR="00941D0A" w:rsidRPr="00C24BA8" w:rsidRDefault="00941D0A" w:rsidP="00F304EA">
      <w:pPr>
        <w:spacing w:line="276" w:lineRule="auto"/>
        <w:jc w:val="both"/>
        <w:rPr>
          <w:rFonts w:ascii="Century Gothic" w:hAnsi="Century Gothic" w:cs="Arial"/>
          <w:noProof/>
          <w:sz w:val="22"/>
          <w:lang w:val="es-ES_tradnl"/>
        </w:rPr>
      </w:pPr>
    </w:p>
    <w:p w14:paraId="00575D5E" w14:textId="77777777" w:rsidR="00941D0A" w:rsidRPr="00C24BA8" w:rsidRDefault="00941D0A" w:rsidP="00F304EA">
      <w:pPr>
        <w:spacing w:line="276" w:lineRule="auto"/>
        <w:jc w:val="both"/>
        <w:rPr>
          <w:rFonts w:ascii="Century Gothic" w:hAnsi="Century Gothic" w:cs="Arial"/>
          <w:noProof/>
          <w:sz w:val="22"/>
          <w:lang w:val="es-ES_tradnl"/>
        </w:rPr>
      </w:pPr>
    </w:p>
    <w:p w14:paraId="14BD5863" w14:textId="77777777" w:rsidR="00941D0A" w:rsidRPr="00C24BA8" w:rsidRDefault="00941D0A" w:rsidP="00F304EA">
      <w:pPr>
        <w:spacing w:line="276" w:lineRule="auto"/>
        <w:jc w:val="both"/>
        <w:rPr>
          <w:rFonts w:ascii="Century Gothic" w:hAnsi="Century Gothic" w:cs="Arial"/>
          <w:noProof/>
          <w:sz w:val="22"/>
          <w:lang w:val="es-ES_tradnl"/>
        </w:rPr>
      </w:pPr>
    </w:p>
    <w:p w14:paraId="4807BBD7" w14:textId="77777777" w:rsidR="00941D0A" w:rsidRPr="00C24BA8" w:rsidRDefault="00941D0A" w:rsidP="00F304EA">
      <w:pPr>
        <w:spacing w:line="276" w:lineRule="auto"/>
        <w:jc w:val="both"/>
        <w:rPr>
          <w:rFonts w:ascii="Century Gothic" w:hAnsi="Century Gothic" w:cs="Arial"/>
          <w:noProof/>
          <w:sz w:val="22"/>
          <w:lang w:val="es-ES_tradnl"/>
        </w:rPr>
      </w:pPr>
    </w:p>
    <w:p w14:paraId="72511FEE" w14:textId="77777777" w:rsidR="00941D0A" w:rsidRPr="00C24BA8" w:rsidRDefault="00941D0A" w:rsidP="00F304EA">
      <w:pPr>
        <w:spacing w:line="276" w:lineRule="auto"/>
        <w:jc w:val="both"/>
        <w:rPr>
          <w:rFonts w:ascii="Century Gothic" w:hAnsi="Century Gothic" w:cs="Arial"/>
          <w:noProof/>
          <w:sz w:val="22"/>
          <w:lang w:val="es-ES_tradnl"/>
        </w:rPr>
      </w:pPr>
    </w:p>
    <w:p w14:paraId="3025AAE6" w14:textId="77777777" w:rsidR="004E4FED" w:rsidRPr="00C24BA8" w:rsidRDefault="004E4FED">
      <w:pPr>
        <w:spacing w:after="160" w:line="259" w:lineRule="auto"/>
        <w:rPr>
          <w:rFonts w:ascii="Century Gothic" w:hAnsi="Century Gothic" w:cs="Arial"/>
          <w:sz w:val="22"/>
          <w:szCs w:val="22"/>
          <w:shd w:val="clear" w:color="auto" w:fill="E6E6E6"/>
          <w:lang w:val="es-MX" w:eastAsia="es-CO"/>
        </w:rPr>
      </w:pPr>
      <w:r w:rsidRPr="00C24BA8">
        <w:rPr>
          <w:rFonts w:ascii="Century Gothic" w:hAnsi="Century Gothic" w:cs="Arial"/>
          <w:sz w:val="22"/>
          <w:szCs w:val="22"/>
          <w:shd w:val="clear" w:color="auto" w:fill="E6E6E6"/>
          <w:lang w:val="es-MX" w:eastAsia="es-CO"/>
        </w:rPr>
        <w:br w:type="page"/>
      </w:r>
    </w:p>
    <w:p w14:paraId="465E5F34" w14:textId="27A0D2C6" w:rsidR="00AC68B8" w:rsidRPr="00C24BA8" w:rsidRDefault="00AC68B8" w:rsidP="004E4FED">
      <w:pPr>
        <w:rPr>
          <w:rFonts w:ascii="Century Gothic" w:hAnsi="Century Gothic" w:cs="Arial"/>
          <w:sz w:val="22"/>
          <w:szCs w:val="22"/>
        </w:rPr>
      </w:pPr>
      <w:r w:rsidRPr="00AC68B8">
        <w:rPr>
          <w:rFonts w:ascii="Century Gothic" w:hAnsi="Century Gothic" w:cs="Arial"/>
          <w:sz w:val="22"/>
          <w:szCs w:val="22"/>
        </w:rPr>
        <w:lastRenderedPageBreak/>
        <w:t xml:space="preserve">Bogotá D.C., 23 </w:t>
      </w:r>
      <w:r>
        <w:rPr>
          <w:rFonts w:ascii="Century Gothic" w:hAnsi="Century Gothic" w:cs="Arial"/>
          <w:sz w:val="22"/>
          <w:szCs w:val="22"/>
        </w:rPr>
        <w:t xml:space="preserve">de </w:t>
      </w:r>
      <w:proofErr w:type="gramStart"/>
      <w:r w:rsidRPr="00AC68B8">
        <w:rPr>
          <w:rFonts w:ascii="Century Gothic" w:hAnsi="Century Gothic" w:cs="Arial"/>
          <w:sz w:val="22"/>
          <w:szCs w:val="22"/>
        </w:rPr>
        <w:t>Octubre</w:t>
      </w:r>
      <w:proofErr w:type="gramEnd"/>
      <w:r w:rsidRPr="00AC68B8">
        <w:rPr>
          <w:rFonts w:ascii="Century Gothic" w:hAnsi="Century Gothic" w:cs="Arial"/>
          <w:sz w:val="22"/>
          <w:szCs w:val="22"/>
        </w:rPr>
        <w:t xml:space="preserve"> de 2023</w:t>
      </w:r>
    </w:p>
    <w:p w14:paraId="7F292B94" w14:textId="25599AF4" w:rsidR="00950DF7" w:rsidRPr="00C24BA8" w:rsidRDefault="00950DF7" w:rsidP="00AC68B8">
      <w:pPr>
        <w:jc w:val="right"/>
        <w:rPr>
          <w:rFonts w:ascii="Century Gothic" w:hAnsi="Century Gothic" w:cs="Arial"/>
          <w:noProof/>
          <w:sz w:val="22"/>
          <w:szCs w:val="22"/>
          <w:lang w:val="es-ES_tradnl"/>
        </w:rPr>
      </w:pPr>
    </w:p>
    <w:p w14:paraId="3F8B4981" w14:textId="77777777" w:rsidR="001F6387" w:rsidRPr="000B3BF1" w:rsidRDefault="001F6387" w:rsidP="001F6387">
      <w:pPr>
        <w:jc w:val="both"/>
        <w:rPr>
          <w:rFonts w:ascii="Century Gothic" w:eastAsia="Calibri" w:hAnsi="Century Gothic" w:cs="Arial"/>
          <w:sz w:val="22"/>
          <w:szCs w:val="22"/>
          <w:lang w:val="es-ES"/>
        </w:rPr>
      </w:pPr>
      <w:r w:rsidRPr="000B3BF1">
        <w:rPr>
          <w:rFonts w:ascii="Century Gothic" w:eastAsia="Calibri" w:hAnsi="Century Gothic" w:cs="Arial"/>
          <w:sz w:val="22"/>
          <w:szCs w:val="22"/>
          <w:lang w:val="es-ES"/>
        </w:rPr>
        <w:t>Señor</w:t>
      </w:r>
    </w:p>
    <w:p w14:paraId="5D8FB6FF" w14:textId="77777777" w:rsidR="001F6387" w:rsidRPr="000B3BF1" w:rsidRDefault="001F6387" w:rsidP="001F6387">
      <w:pPr>
        <w:rPr>
          <w:rFonts w:ascii="Century Gothic" w:eastAsia="Calibri" w:hAnsi="Century Gothic" w:cs="Arial"/>
          <w:b/>
          <w:bCs/>
          <w:sz w:val="22"/>
          <w:szCs w:val="22"/>
          <w:lang w:val="es-ES"/>
        </w:rPr>
      </w:pPr>
      <w:r w:rsidRPr="000B3BF1">
        <w:rPr>
          <w:rFonts w:ascii="Century Gothic" w:eastAsia="Calibri" w:hAnsi="Century Gothic" w:cs="Arial"/>
          <w:b/>
          <w:bCs/>
          <w:sz w:val="22"/>
          <w:szCs w:val="22"/>
          <w:lang w:val="es-ES"/>
        </w:rPr>
        <w:t xml:space="preserve">Favio </w:t>
      </w:r>
      <w:proofErr w:type="spellStart"/>
      <w:r w:rsidRPr="000B3BF1">
        <w:rPr>
          <w:rFonts w:ascii="Century Gothic" w:eastAsia="Calibri" w:hAnsi="Century Gothic" w:cs="Arial"/>
          <w:b/>
          <w:bCs/>
          <w:sz w:val="22"/>
          <w:szCs w:val="22"/>
          <w:lang w:val="es-ES"/>
        </w:rPr>
        <w:t>Roney</w:t>
      </w:r>
      <w:proofErr w:type="spellEnd"/>
      <w:r w:rsidRPr="000B3BF1">
        <w:rPr>
          <w:rFonts w:ascii="Century Gothic" w:eastAsia="Calibri" w:hAnsi="Century Gothic" w:cs="Arial"/>
          <w:b/>
          <w:bCs/>
          <w:sz w:val="22"/>
          <w:szCs w:val="22"/>
          <w:lang w:val="es-ES"/>
        </w:rPr>
        <w:t xml:space="preserve"> Caicedo</w:t>
      </w:r>
    </w:p>
    <w:p w14:paraId="6D6C4C5F" w14:textId="77777777" w:rsidR="001F6387" w:rsidRPr="000B3BF1" w:rsidRDefault="001F6387" w:rsidP="001F6387">
      <w:pPr>
        <w:rPr>
          <w:rFonts w:ascii="Century Gothic" w:eastAsia="Calibri" w:hAnsi="Century Gothic" w:cs="Arial"/>
          <w:sz w:val="22"/>
          <w:szCs w:val="22"/>
          <w:lang w:val="es-ES_tradnl"/>
        </w:rPr>
      </w:pPr>
      <w:r w:rsidRPr="000B3BF1">
        <w:rPr>
          <w:rFonts w:ascii="Century Gothic" w:eastAsia="Calibri" w:hAnsi="Century Gothic" w:cs="Arial"/>
          <w:bCs/>
          <w:sz w:val="22"/>
          <w:szCs w:val="22"/>
          <w:lang w:val="es-ES_tradnl"/>
        </w:rPr>
        <w:t>Ciudad</w:t>
      </w:r>
    </w:p>
    <w:p w14:paraId="6EBABC63" w14:textId="68218144" w:rsidR="001F6387" w:rsidRPr="000B3BF1" w:rsidRDefault="00AC68B8" w:rsidP="00AC68B8">
      <w:pPr>
        <w:jc w:val="right"/>
        <w:rPr>
          <w:rFonts w:ascii="Century Gothic" w:eastAsia="Calibri" w:hAnsi="Century Gothic" w:cs="Arial"/>
          <w:sz w:val="22"/>
          <w:szCs w:val="22"/>
          <w:lang w:val="es-ES_tradnl"/>
        </w:rPr>
      </w:pPr>
      <w:r w:rsidRPr="00AC68B8">
        <w:rPr>
          <w:rFonts w:ascii="Century Gothic" w:hAnsi="Century Gothic" w:cs="Arial"/>
          <w:noProof/>
          <w:sz w:val="22"/>
          <w:szCs w:val="22"/>
          <w:lang w:val="es-ES_tradnl"/>
        </w:rPr>
        <w:drawing>
          <wp:inline distT="0" distB="0" distL="0" distR="0" wp14:anchorId="2DCFDAEA" wp14:editId="1A0E0FF6">
            <wp:extent cx="2717799" cy="741733"/>
            <wp:effectExtent l="0" t="0" r="6985" b="1270"/>
            <wp:docPr id="7983945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394547" name=""/>
                    <pic:cNvPicPr/>
                  </pic:nvPicPr>
                  <pic:blipFill>
                    <a:blip r:embed="rId11"/>
                    <a:stretch>
                      <a:fillRect/>
                    </a:stretch>
                  </pic:blipFill>
                  <pic:spPr>
                    <a:xfrm>
                      <a:off x="0" y="0"/>
                      <a:ext cx="2731013" cy="745339"/>
                    </a:xfrm>
                    <a:prstGeom prst="rect">
                      <a:avLst/>
                    </a:prstGeom>
                  </pic:spPr>
                </pic:pic>
              </a:graphicData>
            </a:graphic>
          </wp:inline>
        </w:drawing>
      </w:r>
    </w:p>
    <w:p w14:paraId="57DCC965" w14:textId="77777777" w:rsidR="00AC68B8" w:rsidRDefault="00AC68B8" w:rsidP="001F6387">
      <w:pPr>
        <w:spacing w:line="276" w:lineRule="auto"/>
        <w:ind w:left="2694"/>
        <w:rPr>
          <w:rFonts w:ascii="Century Gothic" w:eastAsia="Calibri" w:hAnsi="Century Gothic" w:cs="Arial"/>
          <w:b/>
          <w:bCs/>
          <w:sz w:val="22"/>
          <w:szCs w:val="22"/>
          <w:lang w:val="es-ES"/>
        </w:rPr>
      </w:pPr>
    </w:p>
    <w:p w14:paraId="0CDA271E" w14:textId="1EAC6CF6" w:rsidR="001F6387" w:rsidRPr="000B3BF1" w:rsidRDefault="001F6387" w:rsidP="001F6387">
      <w:pPr>
        <w:spacing w:line="276" w:lineRule="auto"/>
        <w:ind w:left="2694"/>
        <w:rPr>
          <w:rFonts w:ascii="Century Gothic" w:eastAsia="Calibri" w:hAnsi="Century Gothic" w:cs="Arial"/>
          <w:b/>
          <w:bCs/>
          <w:sz w:val="22"/>
          <w:szCs w:val="22"/>
          <w:lang w:val="es-ES"/>
        </w:rPr>
      </w:pPr>
      <w:r w:rsidRPr="000B3BF1">
        <w:rPr>
          <w:rFonts w:ascii="Century Gothic" w:eastAsia="Calibri" w:hAnsi="Century Gothic" w:cs="Arial"/>
          <w:b/>
          <w:bCs/>
          <w:sz w:val="22"/>
          <w:szCs w:val="22"/>
          <w:lang w:val="es-ES"/>
        </w:rPr>
        <w:t>Concepto C-356 de 2023</w:t>
      </w:r>
    </w:p>
    <w:p w14:paraId="281B54D6" w14:textId="77777777" w:rsidR="001F6387" w:rsidRPr="000B3BF1" w:rsidRDefault="001F6387" w:rsidP="001F6387">
      <w:pPr>
        <w:spacing w:line="276" w:lineRule="auto"/>
        <w:jc w:val="both"/>
        <w:rPr>
          <w:rFonts w:ascii="Century Gothic" w:eastAsia="Calibri" w:hAnsi="Century Gothic" w:cs="Arial"/>
          <w:color w:val="000000" w:themeColor="text1"/>
          <w:sz w:val="22"/>
          <w:szCs w:val="22"/>
          <w:lang w:val="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1F6387" w:rsidRPr="000B3BF1" w14:paraId="7DCD575B" w14:textId="77777777" w:rsidTr="001F6387">
        <w:trPr>
          <w:trHeight w:val="103"/>
          <w:jc w:val="right"/>
        </w:trPr>
        <w:tc>
          <w:tcPr>
            <w:tcW w:w="1838" w:type="dxa"/>
          </w:tcPr>
          <w:p w14:paraId="3B924C4A" w14:textId="77777777" w:rsidR="001F6387" w:rsidRPr="000B3BF1" w:rsidRDefault="001F6387" w:rsidP="008975ED">
            <w:pPr>
              <w:spacing w:line="276" w:lineRule="auto"/>
              <w:jc w:val="center"/>
              <w:rPr>
                <w:rFonts w:ascii="Century Gothic" w:eastAsia="Calibri" w:hAnsi="Century Gothic" w:cs="Arial"/>
                <w:color w:val="000000" w:themeColor="text1"/>
                <w:sz w:val="22"/>
                <w:szCs w:val="22"/>
                <w:lang w:val="es-ES_tradnl"/>
              </w:rPr>
            </w:pPr>
            <w:r w:rsidRPr="000B3BF1">
              <w:rPr>
                <w:rFonts w:ascii="Century Gothic" w:eastAsia="Calibri" w:hAnsi="Century Gothic" w:cs="Arial"/>
                <w:b/>
                <w:color w:val="000000" w:themeColor="text1"/>
                <w:sz w:val="22"/>
                <w:szCs w:val="22"/>
                <w:lang w:val="es-ES_tradnl"/>
              </w:rPr>
              <w:t>Temas:</w:t>
            </w:r>
          </w:p>
        </w:tc>
        <w:tc>
          <w:tcPr>
            <w:tcW w:w="6237" w:type="dxa"/>
          </w:tcPr>
          <w:p w14:paraId="768595B6" w14:textId="77777777" w:rsidR="001F6387" w:rsidRPr="000B3BF1" w:rsidRDefault="001F6387" w:rsidP="008975ED">
            <w:pPr>
              <w:spacing w:line="276" w:lineRule="auto"/>
              <w:jc w:val="both"/>
              <w:rPr>
                <w:rFonts w:ascii="Century Gothic" w:hAnsi="Century Gothic" w:cs="Arial"/>
                <w:color w:val="000000" w:themeColor="text1"/>
                <w:sz w:val="22"/>
                <w:szCs w:val="22"/>
                <w:lang w:val="es-ES_tradnl"/>
              </w:rPr>
            </w:pPr>
            <w:r w:rsidRPr="000B3BF1">
              <w:rPr>
                <w:rFonts w:ascii="Century Gothic" w:hAnsi="Century Gothic" w:cs="Arial"/>
                <w:bCs/>
                <w:color w:val="000000" w:themeColor="text1"/>
                <w:sz w:val="22"/>
                <w:szCs w:val="22"/>
                <w:lang w:val="es-ES_tradnl"/>
              </w:rPr>
              <w:t xml:space="preserve">PRINCIPIO DE SELECCIÓN OBJETIVA – Noción – Normativa – Requisitos habilitantes – Requisitos ponderables / </w:t>
            </w:r>
            <w:r w:rsidRPr="000B3BF1">
              <w:rPr>
                <w:rFonts w:ascii="Century Gothic" w:hAnsi="Century Gothic" w:cs="Arial"/>
                <w:bCs/>
                <w:color w:val="000000" w:themeColor="text1"/>
                <w:sz w:val="22"/>
                <w:szCs w:val="22"/>
              </w:rPr>
              <w:t xml:space="preserve">REQUISITOS PONDERABLES – Asignación de puntaje / DEBER DE SELECCIÓN OBJETIVA / SUBSANABILIDAD – Alcance – procedencia/ </w:t>
            </w:r>
            <w:r w:rsidRPr="000B3BF1">
              <w:rPr>
                <w:rFonts w:ascii="Century Gothic" w:eastAsia="Calibri" w:hAnsi="Century Gothic" w:cs="Arial"/>
                <w:color w:val="000000" w:themeColor="text1"/>
                <w:sz w:val="22"/>
                <w:szCs w:val="22"/>
              </w:rPr>
              <w:t xml:space="preserve">PERSONAS EN CONDICIÓN DE DISCAPACIDAD – Decreto 392 de 2018 – Desarrollo normativo </w:t>
            </w:r>
            <w:r w:rsidRPr="000B3BF1">
              <w:rPr>
                <w:rFonts w:ascii="Century Gothic" w:eastAsia="Calibri" w:hAnsi="Century Gothic" w:cs="Arial"/>
                <w:color w:val="000000" w:themeColor="text1"/>
                <w:sz w:val="22"/>
                <w:szCs w:val="22"/>
                <w:lang w:val="es-ES_tradnl"/>
              </w:rPr>
              <w:t>/ PERSONAS EN CONDICIÓN DE DISCAPACIDAD – Puntaje adicional – Fundamento normativo</w:t>
            </w:r>
          </w:p>
        </w:tc>
      </w:tr>
      <w:tr w:rsidR="001F6387" w:rsidRPr="000B3BF1" w14:paraId="628F48AA" w14:textId="77777777" w:rsidTr="008975ED">
        <w:trPr>
          <w:jc w:val="right"/>
        </w:trPr>
        <w:tc>
          <w:tcPr>
            <w:tcW w:w="1838" w:type="dxa"/>
          </w:tcPr>
          <w:p w14:paraId="499D4228" w14:textId="77777777" w:rsidR="001F6387" w:rsidRPr="000B3BF1" w:rsidRDefault="001F6387" w:rsidP="008975ED">
            <w:pPr>
              <w:spacing w:before="120"/>
              <w:jc w:val="center"/>
              <w:rPr>
                <w:rFonts w:ascii="Century Gothic" w:eastAsia="Calibri" w:hAnsi="Century Gothic" w:cs="Arial"/>
                <w:b/>
                <w:color w:val="000000" w:themeColor="text1"/>
                <w:sz w:val="22"/>
                <w:szCs w:val="22"/>
                <w:lang w:val="es-ES"/>
              </w:rPr>
            </w:pPr>
            <w:r w:rsidRPr="000B3BF1">
              <w:rPr>
                <w:rFonts w:ascii="Century Gothic" w:eastAsia="Calibri" w:hAnsi="Century Gothic" w:cs="Arial"/>
                <w:b/>
                <w:color w:val="000000" w:themeColor="text1"/>
                <w:sz w:val="22"/>
                <w:szCs w:val="22"/>
                <w:lang w:val="es-ES"/>
              </w:rPr>
              <w:t>Radicación:</w:t>
            </w:r>
          </w:p>
        </w:tc>
        <w:tc>
          <w:tcPr>
            <w:tcW w:w="6237" w:type="dxa"/>
          </w:tcPr>
          <w:p w14:paraId="30FFDB5D" w14:textId="77777777" w:rsidR="001F6387" w:rsidRPr="000B3BF1" w:rsidRDefault="001F6387" w:rsidP="008975ED">
            <w:pPr>
              <w:spacing w:before="120" w:line="276" w:lineRule="auto"/>
              <w:jc w:val="both"/>
              <w:rPr>
                <w:rFonts w:ascii="Century Gothic" w:eastAsia="Calibri" w:hAnsi="Century Gothic" w:cs="Arial"/>
                <w:color w:val="000000" w:themeColor="text1"/>
                <w:sz w:val="22"/>
                <w:szCs w:val="22"/>
                <w:lang w:val="es-ES"/>
              </w:rPr>
            </w:pPr>
            <w:r w:rsidRPr="000B3BF1">
              <w:rPr>
                <w:rFonts w:ascii="Century Gothic" w:eastAsia="Calibri" w:hAnsi="Century Gothic" w:cs="Arial"/>
                <w:color w:val="000000" w:themeColor="text1"/>
                <w:sz w:val="22"/>
                <w:szCs w:val="22"/>
                <w:lang w:val="es-ES"/>
              </w:rPr>
              <w:t>Respuesta a consulta P20230908014988</w:t>
            </w:r>
          </w:p>
        </w:tc>
      </w:tr>
    </w:tbl>
    <w:p w14:paraId="2DE37F58" w14:textId="77777777" w:rsidR="001F6387" w:rsidRPr="000B3BF1" w:rsidRDefault="001F6387" w:rsidP="001F6387">
      <w:pPr>
        <w:jc w:val="both"/>
        <w:rPr>
          <w:rFonts w:ascii="Century Gothic" w:eastAsia="Calibri" w:hAnsi="Century Gothic" w:cs="Arial"/>
          <w:color w:val="000000" w:themeColor="text1"/>
          <w:sz w:val="22"/>
          <w:szCs w:val="22"/>
          <w:lang w:val="es-ES_tradnl"/>
        </w:rPr>
      </w:pPr>
    </w:p>
    <w:p w14:paraId="0B9927CB" w14:textId="77777777" w:rsidR="001F6387" w:rsidRPr="000B3BF1" w:rsidRDefault="001F6387" w:rsidP="001F6387">
      <w:pPr>
        <w:jc w:val="both"/>
        <w:rPr>
          <w:rFonts w:ascii="Century Gothic" w:eastAsia="Calibri" w:hAnsi="Century Gothic" w:cs="Arial"/>
          <w:bCs/>
          <w:color w:val="000000" w:themeColor="text1"/>
          <w:sz w:val="22"/>
          <w:szCs w:val="22"/>
          <w:lang w:val="es-ES_tradnl"/>
        </w:rPr>
      </w:pPr>
      <w:r w:rsidRPr="000B3BF1">
        <w:rPr>
          <w:rFonts w:ascii="Century Gothic" w:eastAsia="Calibri" w:hAnsi="Century Gothic" w:cs="Arial"/>
          <w:color w:val="000000" w:themeColor="text1"/>
          <w:sz w:val="22"/>
          <w:szCs w:val="22"/>
          <w:lang w:val="es-ES_tradnl"/>
        </w:rPr>
        <w:t xml:space="preserve">Estimado señor </w:t>
      </w:r>
      <w:r w:rsidRPr="000B3BF1">
        <w:rPr>
          <w:rFonts w:ascii="Century Gothic" w:eastAsia="Calibri" w:hAnsi="Century Gothic" w:cs="Arial"/>
          <w:bCs/>
          <w:color w:val="000000" w:themeColor="text1"/>
          <w:sz w:val="22"/>
          <w:szCs w:val="22"/>
          <w:lang w:val="es-ES_tradnl"/>
        </w:rPr>
        <w:t>Caicedo:</w:t>
      </w:r>
    </w:p>
    <w:p w14:paraId="0D983B8A" w14:textId="77777777" w:rsidR="001F6387" w:rsidRPr="000B3BF1" w:rsidRDefault="001F6387" w:rsidP="001F6387">
      <w:pPr>
        <w:spacing w:line="276" w:lineRule="auto"/>
        <w:jc w:val="both"/>
        <w:rPr>
          <w:rFonts w:ascii="Century Gothic" w:eastAsia="Calibri" w:hAnsi="Century Gothic" w:cs="Arial"/>
          <w:color w:val="000000" w:themeColor="text1"/>
          <w:sz w:val="22"/>
          <w:szCs w:val="22"/>
          <w:lang w:val="es-ES"/>
        </w:rPr>
      </w:pPr>
      <w:r w:rsidRPr="000B3BF1">
        <w:rPr>
          <w:rFonts w:ascii="Century Gothic" w:eastAsia="Calibri" w:hAnsi="Century Gothic" w:cs="Arial"/>
          <w:color w:val="000000" w:themeColor="text1"/>
          <w:sz w:val="22"/>
          <w:szCs w:val="22"/>
          <w:lang w:val="es-ES"/>
        </w:rPr>
        <w:t>En ejercicio de la competencia otorgada por el numeral 8° del artículo 11 y el numeral 5° del artículo 3 del Decreto Ley 4170 de 2011</w:t>
      </w:r>
      <w:r w:rsidRPr="000B3BF1">
        <w:rPr>
          <w:rFonts w:ascii="Century Gothic" w:eastAsia="Calibri" w:hAnsi="Century Gothic" w:cs="Arial"/>
          <w:color w:val="000000" w:themeColor="text1"/>
          <w:sz w:val="22"/>
          <w:szCs w:val="22"/>
        </w:rPr>
        <w:t xml:space="preserve">, </w:t>
      </w:r>
      <w:r w:rsidRPr="000B3BF1">
        <w:rPr>
          <w:rFonts w:ascii="Century Gothic" w:hAnsi="Century Gothic" w:cs="Arial"/>
          <w:color w:val="000000" w:themeColor="text1"/>
          <w:sz w:val="22"/>
          <w:szCs w:val="22"/>
        </w:rPr>
        <w:t>así como lo establecido en la Resolución 1707 de 2018 expedida por esta Entidad</w:t>
      </w:r>
      <w:r w:rsidRPr="000B3BF1">
        <w:rPr>
          <w:rFonts w:ascii="Century Gothic" w:eastAsia="Calibri" w:hAnsi="Century Gothic" w:cs="Arial"/>
          <w:color w:val="000000" w:themeColor="text1"/>
          <w:sz w:val="22"/>
          <w:szCs w:val="22"/>
          <w:lang w:val="es-ES"/>
        </w:rPr>
        <w:t>, la Agencia Nacional de Contratación Pública ― Colombia Compra Eficiente responde su consulta del 21 de septiembre de 2022.</w:t>
      </w:r>
    </w:p>
    <w:p w14:paraId="2430D7BB" w14:textId="77777777" w:rsidR="001F6387" w:rsidRPr="000B3BF1" w:rsidRDefault="001F6387" w:rsidP="001F6387">
      <w:pPr>
        <w:pStyle w:val="Prrafodelista"/>
        <w:numPr>
          <w:ilvl w:val="0"/>
          <w:numId w:val="1"/>
        </w:numPr>
        <w:tabs>
          <w:tab w:val="left" w:pos="0"/>
          <w:tab w:val="left" w:pos="142"/>
          <w:tab w:val="left" w:pos="284"/>
        </w:tabs>
        <w:spacing w:line="276" w:lineRule="auto"/>
        <w:ind w:left="0" w:firstLine="0"/>
        <w:jc w:val="both"/>
        <w:rPr>
          <w:rFonts w:ascii="Century Gothic" w:eastAsia="Calibri" w:hAnsi="Century Gothic" w:cs="Arial"/>
          <w:b/>
          <w:color w:val="000000" w:themeColor="text1"/>
          <w:sz w:val="22"/>
          <w:szCs w:val="20"/>
          <w:lang w:val="es-ES_tradnl"/>
        </w:rPr>
      </w:pPr>
      <w:r w:rsidRPr="000B3BF1">
        <w:rPr>
          <w:rFonts w:ascii="Century Gothic" w:eastAsia="Calibri" w:hAnsi="Century Gothic" w:cs="Arial"/>
          <w:b/>
          <w:color w:val="000000" w:themeColor="text1"/>
          <w:sz w:val="22"/>
          <w:szCs w:val="20"/>
          <w:lang w:val="es-ES_tradnl"/>
        </w:rPr>
        <w:t xml:space="preserve">Problema planteado </w:t>
      </w:r>
    </w:p>
    <w:p w14:paraId="00D0D610" w14:textId="77777777" w:rsidR="001F6387" w:rsidRPr="000B3BF1" w:rsidRDefault="001F6387" w:rsidP="001F6387">
      <w:pPr>
        <w:jc w:val="both"/>
        <w:rPr>
          <w:rFonts w:ascii="Century Gothic" w:hAnsi="Century Gothic" w:cs="Arial"/>
          <w:color w:val="000000" w:themeColor="text1"/>
          <w:sz w:val="22"/>
          <w:szCs w:val="22"/>
        </w:rPr>
      </w:pPr>
    </w:p>
    <w:p w14:paraId="66B0CEF8" w14:textId="77777777" w:rsidR="001F6387" w:rsidRPr="000B3BF1" w:rsidRDefault="001F6387" w:rsidP="001F6387">
      <w:pPr>
        <w:jc w:val="both"/>
        <w:rPr>
          <w:rFonts w:ascii="Century Gothic" w:hAnsi="Century Gothic" w:cs="Arial"/>
          <w:color w:val="000000" w:themeColor="text1"/>
          <w:sz w:val="22"/>
          <w:szCs w:val="22"/>
        </w:rPr>
      </w:pPr>
      <w:r w:rsidRPr="000B3BF1">
        <w:rPr>
          <w:rFonts w:ascii="Century Gothic" w:hAnsi="Century Gothic" w:cs="Arial"/>
          <w:color w:val="000000" w:themeColor="text1"/>
          <w:sz w:val="22"/>
          <w:szCs w:val="22"/>
        </w:rPr>
        <w:t xml:space="preserve">Usted formula la siguiente consulta: </w:t>
      </w:r>
    </w:p>
    <w:p w14:paraId="2800F1EA" w14:textId="77777777" w:rsidR="001F6387" w:rsidRPr="00906AF6" w:rsidRDefault="001F6387" w:rsidP="001F6387">
      <w:pPr>
        <w:jc w:val="both"/>
        <w:rPr>
          <w:rFonts w:ascii="Century Gothic" w:hAnsi="Century Gothic" w:cs="Arial"/>
          <w:color w:val="000000" w:themeColor="text1"/>
          <w:sz w:val="21"/>
          <w:szCs w:val="21"/>
          <w:lang w:val="es-ES_tradnl"/>
        </w:rPr>
      </w:pPr>
    </w:p>
    <w:p w14:paraId="474D5993" w14:textId="77777777" w:rsidR="001F6387" w:rsidRPr="00906AF6" w:rsidRDefault="001F6387" w:rsidP="001F6387">
      <w:pPr>
        <w:ind w:left="709" w:right="709"/>
        <w:jc w:val="both"/>
        <w:rPr>
          <w:rFonts w:ascii="Century Gothic" w:hAnsi="Century Gothic" w:cs="Arial"/>
          <w:color w:val="000000" w:themeColor="text1"/>
          <w:sz w:val="20"/>
          <w:szCs w:val="20"/>
        </w:rPr>
      </w:pPr>
      <w:r w:rsidRPr="00906AF6">
        <w:rPr>
          <w:rFonts w:ascii="Century Gothic" w:hAnsi="Century Gothic" w:cs="Arial"/>
          <w:color w:val="000000" w:themeColor="text1"/>
          <w:sz w:val="20"/>
          <w:szCs w:val="20"/>
        </w:rPr>
        <w:t xml:space="preserve">“1. Si en una oferta (licitación pública, selección abreviada, menor cuantía) no se adjuntan al momento del cierre de la misma, certificados como son el COPNIA, El </w:t>
      </w:r>
      <w:proofErr w:type="spellStart"/>
      <w:r w:rsidRPr="00906AF6">
        <w:rPr>
          <w:rFonts w:ascii="Century Gothic" w:hAnsi="Century Gothic" w:cs="Arial"/>
          <w:color w:val="000000" w:themeColor="text1"/>
          <w:sz w:val="20"/>
          <w:szCs w:val="20"/>
        </w:rPr>
        <w:t>Redam</w:t>
      </w:r>
      <w:proofErr w:type="spellEnd"/>
      <w:r w:rsidRPr="00906AF6">
        <w:rPr>
          <w:rFonts w:ascii="Century Gothic" w:hAnsi="Century Gothic" w:cs="Arial"/>
          <w:color w:val="000000" w:themeColor="text1"/>
          <w:sz w:val="20"/>
          <w:szCs w:val="20"/>
        </w:rPr>
        <w:t xml:space="preserve"> y Vigencia de antecedentes del contador. Estás pueden ser subsanadas dentro de la fecha estipulada de subsanación con certificados expedidos con fecha posterior al cierre de la oferta? y (sic) lo anterior no puede ser interpretado por la entidad como si el oferente estaría mejorando la </w:t>
      </w:r>
      <w:proofErr w:type="gramStart"/>
      <w:r w:rsidRPr="00906AF6">
        <w:rPr>
          <w:rFonts w:ascii="Century Gothic" w:hAnsi="Century Gothic" w:cs="Arial"/>
          <w:color w:val="000000" w:themeColor="text1"/>
          <w:sz w:val="20"/>
          <w:szCs w:val="20"/>
        </w:rPr>
        <w:t>propuesta?.</w:t>
      </w:r>
      <w:proofErr w:type="gramEnd"/>
    </w:p>
    <w:p w14:paraId="7D7245C0" w14:textId="77777777" w:rsidR="001F6387" w:rsidRPr="00906AF6" w:rsidRDefault="001F6387" w:rsidP="001F6387">
      <w:pPr>
        <w:ind w:left="709" w:right="709"/>
        <w:jc w:val="both"/>
        <w:rPr>
          <w:rFonts w:ascii="Century Gothic" w:hAnsi="Century Gothic" w:cs="Arial"/>
          <w:color w:val="000000" w:themeColor="text1"/>
          <w:sz w:val="20"/>
          <w:szCs w:val="20"/>
        </w:rPr>
      </w:pPr>
    </w:p>
    <w:p w14:paraId="23EABF6D" w14:textId="77777777" w:rsidR="001F6387" w:rsidRDefault="001F6387" w:rsidP="001F6387">
      <w:pPr>
        <w:ind w:left="709" w:right="709"/>
        <w:jc w:val="both"/>
        <w:rPr>
          <w:rFonts w:ascii="Century Gothic" w:hAnsi="Century Gothic" w:cs="Arial"/>
          <w:color w:val="000000" w:themeColor="text1"/>
          <w:sz w:val="20"/>
          <w:szCs w:val="20"/>
        </w:rPr>
      </w:pPr>
      <w:r w:rsidRPr="00906AF6">
        <w:rPr>
          <w:rFonts w:ascii="Century Gothic" w:hAnsi="Century Gothic" w:cs="Arial"/>
          <w:color w:val="000000" w:themeColor="text1"/>
          <w:sz w:val="20"/>
          <w:szCs w:val="20"/>
        </w:rPr>
        <w:lastRenderedPageBreak/>
        <w:t xml:space="preserve">2. Un proceso de selección abreviada de una entidad estatal puede dentro de sus requisitos otorgar puntaje adicional por el criterio de discapacidad ?, (sic) Teniendo en cuenta que la ley establece que </w:t>
      </w:r>
      <w:proofErr w:type="gramStart"/>
      <w:r w:rsidRPr="00906AF6">
        <w:rPr>
          <w:rFonts w:ascii="Century Gothic" w:hAnsi="Century Gothic" w:cs="Arial"/>
          <w:color w:val="000000" w:themeColor="text1"/>
          <w:sz w:val="20"/>
          <w:szCs w:val="20"/>
        </w:rPr>
        <w:t>éste</w:t>
      </w:r>
      <w:proofErr w:type="gramEnd"/>
      <w:r w:rsidRPr="00906AF6">
        <w:rPr>
          <w:rFonts w:ascii="Century Gothic" w:hAnsi="Century Gothic" w:cs="Arial"/>
          <w:color w:val="000000" w:themeColor="text1"/>
          <w:sz w:val="20"/>
          <w:szCs w:val="20"/>
        </w:rPr>
        <w:t xml:space="preserve"> puntaje es un requisito dentro de procesos de licitación pública y concurso de méritos, pero no estipula nada para procesos de selección abreviada”</w:t>
      </w:r>
      <w:r>
        <w:rPr>
          <w:rFonts w:ascii="Century Gothic" w:hAnsi="Century Gothic" w:cs="Arial"/>
          <w:color w:val="000000" w:themeColor="text1"/>
          <w:sz w:val="20"/>
          <w:szCs w:val="20"/>
        </w:rPr>
        <w:t>.</w:t>
      </w:r>
      <w:r w:rsidRPr="00906AF6">
        <w:rPr>
          <w:rFonts w:ascii="Century Gothic" w:hAnsi="Century Gothic" w:cs="Arial"/>
          <w:color w:val="000000" w:themeColor="text1"/>
          <w:sz w:val="20"/>
          <w:szCs w:val="20"/>
        </w:rPr>
        <w:t xml:space="preserve"> </w:t>
      </w:r>
    </w:p>
    <w:p w14:paraId="7FBE88FE" w14:textId="77777777" w:rsidR="001F6387" w:rsidRPr="00906AF6" w:rsidRDefault="001F6387" w:rsidP="001F6387">
      <w:pPr>
        <w:ind w:left="709" w:right="709"/>
        <w:jc w:val="both"/>
        <w:rPr>
          <w:rFonts w:ascii="Century Gothic" w:hAnsi="Century Gothic" w:cs="Arial"/>
          <w:color w:val="000000" w:themeColor="text1"/>
          <w:sz w:val="20"/>
          <w:szCs w:val="20"/>
        </w:rPr>
      </w:pPr>
    </w:p>
    <w:p w14:paraId="4B9A74A7" w14:textId="77777777" w:rsidR="001F6387" w:rsidRPr="000B3BF1" w:rsidRDefault="001F6387" w:rsidP="001F6387">
      <w:pPr>
        <w:pStyle w:val="Prrafodelista"/>
        <w:numPr>
          <w:ilvl w:val="0"/>
          <w:numId w:val="1"/>
        </w:numPr>
        <w:tabs>
          <w:tab w:val="left" w:pos="0"/>
          <w:tab w:val="left" w:pos="284"/>
        </w:tabs>
        <w:ind w:left="0" w:firstLine="0"/>
        <w:contextualSpacing w:val="0"/>
        <w:jc w:val="both"/>
        <w:rPr>
          <w:rFonts w:ascii="Century Gothic" w:eastAsia="Calibri" w:hAnsi="Century Gothic" w:cs="Arial"/>
          <w:b/>
          <w:color w:val="000000" w:themeColor="text1"/>
          <w:sz w:val="22"/>
          <w:szCs w:val="20"/>
          <w:lang w:val="es-ES_tradnl"/>
        </w:rPr>
      </w:pPr>
      <w:r w:rsidRPr="000B3BF1">
        <w:rPr>
          <w:rFonts w:ascii="Century Gothic" w:eastAsia="Calibri" w:hAnsi="Century Gothic" w:cs="Arial"/>
          <w:b/>
          <w:color w:val="000000" w:themeColor="text1"/>
          <w:sz w:val="22"/>
          <w:szCs w:val="20"/>
          <w:lang w:val="es-ES_tradnl"/>
        </w:rPr>
        <w:t>Consideraciones</w:t>
      </w:r>
    </w:p>
    <w:p w14:paraId="7F7A1896" w14:textId="77777777" w:rsidR="001F6387" w:rsidRPr="000B3BF1" w:rsidRDefault="001F6387" w:rsidP="001F6387">
      <w:pPr>
        <w:pStyle w:val="Prrafodelista"/>
        <w:tabs>
          <w:tab w:val="left" w:pos="0"/>
          <w:tab w:val="left" w:pos="284"/>
        </w:tabs>
        <w:ind w:left="0"/>
        <w:contextualSpacing w:val="0"/>
        <w:jc w:val="both"/>
        <w:rPr>
          <w:rFonts w:ascii="Century Gothic" w:eastAsia="Calibri" w:hAnsi="Century Gothic" w:cs="Arial"/>
          <w:b/>
          <w:color w:val="000000" w:themeColor="text1"/>
          <w:sz w:val="22"/>
          <w:szCs w:val="20"/>
          <w:lang w:val="es-ES_tradnl"/>
        </w:rPr>
      </w:pPr>
    </w:p>
    <w:p w14:paraId="0A0E1E3E" w14:textId="77777777" w:rsidR="001F6387" w:rsidRPr="000B3BF1" w:rsidRDefault="001F6387" w:rsidP="001F6387">
      <w:pPr>
        <w:spacing w:after="120" w:line="276" w:lineRule="auto"/>
        <w:jc w:val="both"/>
        <w:rPr>
          <w:rFonts w:ascii="Century Gothic" w:hAnsi="Century Gothic" w:cs="Arial"/>
          <w:color w:val="000000" w:themeColor="text1"/>
          <w:sz w:val="22"/>
          <w:szCs w:val="22"/>
          <w:lang w:val="es-ES"/>
        </w:rPr>
      </w:pPr>
      <w:r w:rsidRPr="000B3BF1">
        <w:rPr>
          <w:rFonts w:ascii="Century Gothic" w:hAnsi="Century Gothic" w:cs="Arial"/>
          <w:color w:val="000000" w:themeColor="text1"/>
          <w:sz w:val="22"/>
          <w:szCs w:val="22"/>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2" w:name="_Hlk61701014"/>
      <w:bookmarkStart w:id="3" w:name="_Hlk62136649"/>
      <w:r w:rsidRPr="000B3BF1">
        <w:rPr>
          <w:rFonts w:ascii="Century Gothic" w:hAnsi="Century Gothic" w:cs="Arial"/>
          <w:color w:val="000000" w:themeColor="text1"/>
          <w:sz w:val="22"/>
          <w:szCs w:val="22"/>
          <w:shd w:val="clear" w:color="auto" w:fill="E6E6E6"/>
        </w:rPr>
        <w:t xml:space="preserve"> </w:t>
      </w:r>
      <w:r w:rsidRPr="000B3BF1">
        <w:rPr>
          <w:rFonts w:ascii="Century Gothic" w:hAnsi="Century Gothic" w:cs="Arial"/>
          <w:color w:val="000000" w:themeColor="text1"/>
          <w:sz w:val="22"/>
          <w:szCs w:val="22"/>
          <w:lang w:val="es-ES"/>
        </w:rPr>
        <w:t xml:space="preserve">Es necesario tener en cuenta que </w:t>
      </w:r>
      <w:bookmarkStart w:id="4" w:name="_Hlk61026958"/>
      <w:r w:rsidRPr="000B3BF1">
        <w:rPr>
          <w:rFonts w:ascii="Century Gothic" w:hAnsi="Century Gothic" w:cs="Arial"/>
          <w:color w:val="000000" w:themeColor="text1"/>
          <w:sz w:val="22"/>
          <w:szCs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0B3BF1">
        <w:rPr>
          <w:rFonts w:ascii="Century Gothic" w:hAnsi="Century Gothic" w:cs="Arial"/>
          <w:color w:val="000000" w:themeColor="text1"/>
          <w:sz w:val="22"/>
          <w:szCs w:val="22"/>
        </w:rPr>
        <w:t xml:space="preserve"> de todos los partícipes de la contratación estatal.</w:t>
      </w:r>
    </w:p>
    <w:p w14:paraId="5AAAEBCA" w14:textId="77777777" w:rsidR="001F6387" w:rsidRPr="000B3BF1" w:rsidRDefault="001F6387" w:rsidP="001F6387">
      <w:pPr>
        <w:spacing w:after="120" w:line="276" w:lineRule="auto"/>
        <w:ind w:firstLine="708"/>
        <w:jc w:val="both"/>
        <w:rPr>
          <w:rFonts w:ascii="Century Gothic" w:hAnsi="Century Gothic" w:cs="Arial"/>
          <w:color w:val="000000" w:themeColor="text1"/>
          <w:sz w:val="22"/>
          <w:szCs w:val="22"/>
          <w:lang w:val="es-ES"/>
        </w:rPr>
      </w:pPr>
      <w:r w:rsidRPr="000B3BF1">
        <w:rPr>
          <w:rFonts w:ascii="Century Gothic" w:hAnsi="Century Gothic" w:cs="Arial"/>
          <w:color w:val="000000" w:themeColor="text1"/>
          <w:sz w:val="22"/>
          <w:szCs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0B3BF1">
        <w:rPr>
          <w:rFonts w:ascii="Century Gothic" w:hAnsi="Century Gothic" w:cs="Arial"/>
          <w:color w:val="000000" w:themeColor="text1"/>
          <w:sz w:val="22"/>
          <w:szCs w:val="22"/>
          <w:vertAlign w:val="superscript"/>
          <w:lang w:val="es-ES"/>
        </w:rPr>
        <w:footnoteReference w:id="2"/>
      </w:r>
      <w:r w:rsidRPr="000B3BF1">
        <w:rPr>
          <w:rFonts w:ascii="Century Gothic" w:hAnsi="Century Gothic" w:cs="Arial"/>
          <w:color w:val="000000" w:themeColor="text1"/>
          <w:sz w:val="22"/>
          <w:szCs w:val="22"/>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4"/>
      <w:r w:rsidRPr="000B3BF1">
        <w:rPr>
          <w:rFonts w:ascii="Century Gothic" w:hAnsi="Century Gothic" w:cs="Arial"/>
          <w:color w:val="000000" w:themeColor="text1"/>
          <w:sz w:val="22"/>
          <w:szCs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2"/>
    </w:p>
    <w:bookmarkEnd w:id="3"/>
    <w:p w14:paraId="6A249838" w14:textId="77777777" w:rsidR="001F6387" w:rsidRPr="000B3BF1" w:rsidRDefault="001F6387" w:rsidP="001F6387">
      <w:pPr>
        <w:tabs>
          <w:tab w:val="left" w:pos="426"/>
        </w:tabs>
        <w:spacing w:before="120" w:after="120" w:line="276" w:lineRule="auto"/>
        <w:jc w:val="both"/>
        <w:rPr>
          <w:rFonts w:ascii="Century Gothic" w:hAnsi="Century Gothic" w:cs="Arial"/>
          <w:bCs/>
          <w:color w:val="000000" w:themeColor="text1"/>
          <w:sz w:val="22"/>
          <w:szCs w:val="22"/>
          <w:lang w:val="es-ES"/>
        </w:rPr>
      </w:pPr>
      <w:r w:rsidRPr="000B3BF1">
        <w:rPr>
          <w:rFonts w:ascii="Century Gothic" w:hAnsi="Century Gothic" w:cs="Arial"/>
          <w:color w:val="000000" w:themeColor="text1"/>
          <w:sz w:val="22"/>
          <w:szCs w:val="22"/>
        </w:rPr>
        <w:tab/>
      </w:r>
      <w:r w:rsidRPr="000B3BF1">
        <w:rPr>
          <w:rFonts w:ascii="Century Gothic" w:hAnsi="Century Gothic" w:cs="Arial"/>
          <w:color w:val="000000" w:themeColor="text1"/>
          <w:sz w:val="22"/>
          <w:szCs w:val="22"/>
        </w:rPr>
        <w:tab/>
        <w:t xml:space="preserve">Sin perjuicio de lo anterior, la Subdirección –dentro de los límites de sus atribuciones, esto es, haciendo abstracción del caso particular expuesto por el </w:t>
      </w:r>
      <w:r w:rsidRPr="000B3BF1">
        <w:rPr>
          <w:rFonts w:ascii="Century Gothic" w:hAnsi="Century Gothic" w:cs="Arial"/>
          <w:color w:val="000000" w:themeColor="text1"/>
          <w:sz w:val="22"/>
          <w:szCs w:val="22"/>
        </w:rPr>
        <w:lastRenderedPageBreak/>
        <w:t xml:space="preserve">peticionario– resolverá la consulta conforme a las normas generales en materia de contratación estatal. Con este objetivo se analizarán </w:t>
      </w:r>
      <w:r w:rsidRPr="000B3BF1">
        <w:rPr>
          <w:rFonts w:ascii="Century Gothic" w:eastAsia="Calibri" w:hAnsi="Century Gothic" w:cs="Arial"/>
          <w:color w:val="000000" w:themeColor="text1"/>
          <w:sz w:val="22"/>
          <w:szCs w:val="22"/>
          <w:lang w:val="es-ES"/>
        </w:rPr>
        <w:t>los siguientes temas</w:t>
      </w:r>
      <w:r w:rsidRPr="000B3BF1">
        <w:rPr>
          <w:rFonts w:ascii="Century Gothic" w:hAnsi="Century Gothic" w:cs="Arial"/>
          <w:color w:val="000000" w:themeColor="text1"/>
          <w:sz w:val="22"/>
          <w:szCs w:val="22"/>
          <w:lang w:val="es-ES"/>
        </w:rPr>
        <w:t xml:space="preserve">: </w:t>
      </w:r>
      <w:r w:rsidRPr="000B3BF1">
        <w:rPr>
          <w:rFonts w:ascii="Century Gothic" w:hAnsi="Century Gothic" w:cs="Arial"/>
          <w:color w:val="000000" w:themeColor="text1"/>
          <w:sz w:val="22"/>
          <w:szCs w:val="22"/>
          <w:lang w:val="es-ES_tradnl"/>
        </w:rPr>
        <w:t xml:space="preserve">i) Principio de selección objetiva en la contratación estatal, como fundamento de la </w:t>
      </w:r>
      <w:proofErr w:type="spellStart"/>
      <w:r w:rsidRPr="000B3BF1">
        <w:rPr>
          <w:rFonts w:ascii="Century Gothic" w:hAnsi="Century Gothic" w:cs="Arial"/>
          <w:color w:val="000000" w:themeColor="text1"/>
          <w:sz w:val="22"/>
          <w:szCs w:val="22"/>
          <w:lang w:val="es-ES_tradnl"/>
        </w:rPr>
        <w:t>subsanabiliidad</w:t>
      </w:r>
      <w:proofErr w:type="spellEnd"/>
      <w:r w:rsidRPr="000B3BF1">
        <w:rPr>
          <w:rFonts w:ascii="Century Gothic" w:hAnsi="Century Gothic" w:cs="Arial"/>
          <w:color w:val="000000" w:themeColor="text1"/>
          <w:sz w:val="22"/>
          <w:szCs w:val="22"/>
          <w:lang w:val="es-ES_tradnl"/>
        </w:rPr>
        <w:t xml:space="preserve"> en los procedimientos de selección en punto a la determinación de los elementos que puedan catalogarse como subsanables, </w:t>
      </w:r>
      <w:proofErr w:type="spellStart"/>
      <w:r w:rsidRPr="000B3BF1">
        <w:rPr>
          <w:rFonts w:ascii="Century Gothic" w:hAnsi="Century Gothic" w:cs="Arial"/>
          <w:color w:val="000000" w:themeColor="text1"/>
          <w:sz w:val="22"/>
          <w:szCs w:val="22"/>
          <w:lang w:val="es-ES"/>
        </w:rPr>
        <w:t>ii</w:t>
      </w:r>
      <w:proofErr w:type="spellEnd"/>
      <w:r w:rsidRPr="000B3BF1">
        <w:rPr>
          <w:rFonts w:ascii="Century Gothic" w:hAnsi="Century Gothic" w:cs="Arial"/>
          <w:color w:val="000000" w:themeColor="text1"/>
          <w:sz w:val="22"/>
          <w:szCs w:val="22"/>
          <w:lang w:val="es-ES"/>
        </w:rPr>
        <w:t xml:space="preserve">) </w:t>
      </w:r>
      <w:r w:rsidRPr="000B3BF1">
        <w:rPr>
          <w:rFonts w:ascii="Century Gothic" w:eastAsia="Calibri" w:hAnsi="Century Gothic" w:cs="Arial"/>
          <w:bCs/>
          <w:color w:val="000000" w:themeColor="text1"/>
          <w:sz w:val="22"/>
          <w:szCs w:val="22"/>
        </w:rPr>
        <w:t>Desarrollo normativo de los incentivos en procesos de contratación estatal para favorecer a personas con discapacidad.</w:t>
      </w:r>
    </w:p>
    <w:p w14:paraId="18F09581" w14:textId="77777777" w:rsidR="001F6387" w:rsidRPr="000B3BF1" w:rsidRDefault="001F6387" w:rsidP="001F6387">
      <w:pPr>
        <w:spacing w:line="276" w:lineRule="auto"/>
        <w:ind w:firstLine="709"/>
        <w:jc w:val="both"/>
        <w:rPr>
          <w:rFonts w:ascii="Century Gothic" w:eastAsia="Calibri" w:hAnsi="Century Gothic" w:cs="Arial"/>
          <w:color w:val="000000" w:themeColor="text1"/>
          <w:sz w:val="22"/>
          <w:szCs w:val="22"/>
          <w:lang w:val="es-ES"/>
        </w:rPr>
      </w:pPr>
      <w:r w:rsidRPr="000B3BF1">
        <w:rPr>
          <w:rFonts w:ascii="Century Gothic" w:eastAsia="Calibri" w:hAnsi="Century Gothic" w:cs="Arial"/>
          <w:color w:val="000000" w:themeColor="text1"/>
          <w:sz w:val="22"/>
          <w:szCs w:val="22"/>
          <w:lang w:val="es-ES"/>
        </w:rPr>
        <w:t xml:space="preserve">La Agencia Nacional de Contratación Pública – Colombia Compra Eficiente, en los conceptos </w:t>
      </w:r>
      <w:r w:rsidRPr="000B3BF1">
        <w:rPr>
          <w:rFonts w:ascii="Century Gothic" w:hAnsi="Century Gothic" w:cs="Arial"/>
          <w:color w:val="000000" w:themeColor="text1"/>
          <w:sz w:val="22"/>
          <w:szCs w:val="22"/>
          <w:lang w:val="es-ES_tradnl"/>
        </w:rPr>
        <w:t xml:space="preserve">Nro. 4201913000006471 del 28 de octubre de 2019, 4201912000006711 del 12 de noviembre de 2019 y 4201912000006496 del 15 de noviembre de 2019, y en los conceptos C-573 del 27 de agosto del 2020, C-640 del 21 de octubre del 2020, C-140 del 25 de marzo del 2021, C-166 del 2021, C-568 del 11 de octubre del 2021 y C-144 del 22 de marzo del 2022, analizó el régimen de </w:t>
      </w:r>
      <w:proofErr w:type="spellStart"/>
      <w:r w:rsidRPr="000B3BF1">
        <w:rPr>
          <w:rFonts w:ascii="Century Gothic" w:hAnsi="Century Gothic" w:cs="Arial"/>
          <w:color w:val="000000" w:themeColor="text1"/>
          <w:sz w:val="22"/>
          <w:szCs w:val="22"/>
          <w:lang w:val="es-ES_tradnl"/>
        </w:rPr>
        <w:t>subsanabilidad</w:t>
      </w:r>
      <w:proofErr w:type="spellEnd"/>
      <w:r w:rsidRPr="000B3BF1">
        <w:rPr>
          <w:rFonts w:ascii="Century Gothic" w:hAnsi="Century Gothic" w:cs="Arial"/>
          <w:color w:val="000000" w:themeColor="text1"/>
          <w:sz w:val="22"/>
          <w:szCs w:val="22"/>
          <w:lang w:val="es-ES_tradnl"/>
        </w:rPr>
        <w:t xml:space="preserve"> de las ofertas en los procedimientos de selección contractual</w:t>
      </w:r>
      <w:r w:rsidRPr="000B3BF1">
        <w:rPr>
          <w:rFonts w:ascii="Century Gothic" w:eastAsia="Calibri" w:hAnsi="Century Gothic" w:cs="Arial"/>
          <w:color w:val="000000" w:themeColor="text1"/>
          <w:sz w:val="22"/>
          <w:szCs w:val="22"/>
          <w:lang w:val="es-ES"/>
        </w:rPr>
        <w:t xml:space="preserve">. Así mismo, mediante el concepto el C-377 de 9 de junio de 2020, C-567 de 10 de septiembre de 2020 y C-153 del 2 de junio de 2023 la Agencia sentó su posición sobre </w:t>
      </w:r>
      <w:r w:rsidRPr="000B3BF1">
        <w:rPr>
          <w:rFonts w:ascii="Century Gothic" w:eastAsia="Calibri" w:hAnsi="Century Gothic" w:cs="Arial"/>
          <w:color w:val="000000" w:themeColor="text1"/>
          <w:sz w:val="22"/>
          <w:szCs w:val="22"/>
          <w:lang w:val="es-MX"/>
        </w:rPr>
        <w:t xml:space="preserve">los requisitos para acreditar el personal en situación de discapacidad y la aplicación de incentivos contractuales </w:t>
      </w:r>
      <w:r w:rsidRPr="000B3BF1">
        <w:rPr>
          <w:rStyle w:val="Refdenotaalpie"/>
          <w:rFonts w:ascii="Century Gothic" w:eastAsia="Calibri" w:hAnsi="Century Gothic" w:cs="Arial"/>
          <w:color w:val="000000" w:themeColor="text1"/>
          <w:sz w:val="22"/>
          <w:szCs w:val="22"/>
        </w:rPr>
        <w:footnoteReference w:id="3"/>
      </w:r>
      <w:r w:rsidRPr="000B3BF1">
        <w:rPr>
          <w:rFonts w:ascii="Century Gothic" w:eastAsia="Calibri" w:hAnsi="Century Gothic" w:cs="Arial"/>
          <w:color w:val="000000" w:themeColor="text1"/>
          <w:sz w:val="22"/>
          <w:szCs w:val="22"/>
          <w:lang w:val="es-ES"/>
        </w:rPr>
        <w:t xml:space="preserve">. Las tesis expuestas en estos conceptos se reiteran a continuación y se complementan en lo pertinente, teniendo en cuenta los interrogantes planteados. </w:t>
      </w:r>
    </w:p>
    <w:p w14:paraId="60A444B0" w14:textId="77777777" w:rsidR="001F6387" w:rsidRPr="000B3BF1" w:rsidRDefault="001F6387" w:rsidP="001F6387">
      <w:pPr>
        <w:spacing w:line="276" w:lineRule="auto"/>
        <w:ind w:firstLine="709"/>
        <w:jc w:val="both"/>
        <w:rPr>
          <w:rFonts w:ascii="Century Gothic" w:eastAsia="Calibri" w:hAnsi="Century Gothic" w:cs="Arial"/>
          <w:color w:val="000000" w:themeColor="text1"/>
          <w:sz w:val="22"/>
          <w:szCs w:val="22"/>
          <w:lang w:val="es-ES"/>
        </w:rPr>
      </w:pPr>
    </w:p>
    <w:p w14:paraId="18EBF113" w14:textId="77777777" w:rsidR="001F6387" w:rsidRPr="000B3BF1" w:rsidRDefault="001F6387" w:rsidP="001F6387">
      <w:pPr>
        <w:spacing w:line="276" w:lineRule="auto"/>
        <w:ind w:right="709"/>
        <w:rPr>
          <w:rFonts w:ascii="Century Gothic" w:hAnsi="Century Gothic" w:cs="Arial"/>
          <w:b/>
          <w:bCs/>
          <w:color w:val="000000" w:themeColor="text1"/>
          <w:sz w:val="22"/>
          <w:szCs w:val="22"/>
        </w:rPr>
      </w:pPr>
      <w:r w:rsidRPr="000B3BF1">
        <w:rPr>
          <w:rFonts w:ascii="Century Gothic" w:eastAsia="Calibri" w:hAnsi="Century Gothic" w:cs="Arial"/>
          <w:b/>
          <w:bCs/>
          <w:color w:val="000000" w:themeColor="text1"/>
          <w:sz w:val="22"/>
          <w:szCs w:val="22"/>
          <w:lang w:eastAsia="en-GB"/>
        </w:rPr>
        <w:t xml:space="preserve">2.1. </w:t>
      </w:r>
      <w:r w:rsidRPr="000B3BF1">
        <w:rPr>
          <w:rFonts w:ascii="Century Gothic" w:hAnsi="Century Gothic" w:cs="Arial"/>
          <w:b/>
          <w:bCs/>
          <w:color w:val="000000" w:themeColor="text1"/>
          <w:sz w:val="22"/>
          <w:szCs w:val="22"/>
        </w:rPr>
        <w:t xml:space="preserve">Principio de selección objetiva en la contratación estatal </w:t>
      </w:r>
    </w:p>
    <w:p w14:paraId="2E8C3747" w14:textId="77777777" w:rsidR="001F6387" w:rsidRPr="000B3BF1" w:rsidRDefault="001F6387" w:rsidP="001F6387">
      <w:pPr>
        <w:spacing w:line="276" w:lineRule="auto"/>
        <w:ind w:right="49"/>
        <w:jc w:val="both"/>
        <w:rPr>
          <w:rFonts w:ascii="Century Gothic" w:hAnsi="Century Gothic" w:cs="Arial"/>
          <w:bCs/>
          <w:color w:val="000000" w:themeColor="text1"/>
          <w:sz w:val="22"/>
          <w:szCs w:val="22"/>
          <w:lang w:val="es-ES_tradnl"/>
        </w:rPr>
      </w:pPr>
      <w:r w:rsidRPr="000B3BF1">
        <w:rPr>
          <w:rFonts w:ascii="Century Gothic" w:hAnsi="Century Gothic" w:cs="Arial"/>
          <w:bCs/>
          <w:color w:val="000000" w:themeColor="text1"/>
          <w:sz w:val="22"/>
          <w:szCs w:val="22"/>
          <w:lang w:val="es-ES_tradnl"/>
        </w:rPr>
        <w:t xml:space="preserve">Uno de los principios transversales de los procedimientos de selección es el de selección objetiva. Se trata del postulado que exige que la escogencia de la oferta ganadora se debe fundamentar en factores objetivos, de carácter técnico, jurídico y financiero, y no en criterios subjetivos, como el afecto, la amistad, el ánimo de ayuda, el interés personal, etc. </w:t>
      </w:r>
    </w:p>
    <w:p w14:paraId="54315C4F" w14:textId="77777777" w:rsidR="001F6387" w:rsidRPr="000B3BF1" w:rsidRDefault="001F6387" w:rsidP="001F6387">
      <w:pPr>
        <w:spacing w:before="120" w:line="276" w:lineRule="auto"/>
        <w:ind w:right="51" w:firstLine="709"/>
        <w:jc w:val="both"/>
        <w:rPr>
          <w:rFonts w:ascii="Century Gothic" w:hAnsi="Century Gothic" w:cs="Arial"/>
          <w:bCs/>
          <w:color w:val="000000" w:themeColor="text1"/>
          <w:sz w:val="22"/>
          <w:szCs w:val="22"/>
        </w:rPr>
      </w:pPr>
      <w:r w:rsidRPr="000B3BF1">
        <w:rPr>
          <w:rFonts w:ascii="Century Gothic" w:hAnsi="Century Gothic" w:cs="Arial"/>
          <w:bCs/>
          <w:color w:val="000000" w:themeColor="text1"/>
          <w:sz w:val="22"/>
          <w:szCs w:val="22"/>
        </w:rPr>
        <w:t>Si bien dentro de la historia de la contratación pública en Colombia, se vislumbran antecedentes normativos que consagraban dicho principio</w:t>
      </w:r>
      <w:r w:rsidRPr="000B3BF1">
        <w:rPr>
          <w:rFonts w:ascii="Century Gothic" w:hAnsi="Century Gothic" w:cs="Arial"/>
          <w:bCs/>
          <w:color w:val="000000" w:themeColor="text1"/>
          <w:sz w:val="22"/>
          <w:szCs w:val="22"/>
          <w:vertAlign w:val="superscript"/>
        </w:rPr>
        <w:footnoteReference w:id="4"/>
      </w:r>
      <w:r w:rsidRPr="000B3BF1">
        <w:rPr>
          <w:rFonts w:ascii="Century Gothic" w:hAnsi="Century Gothic" w:cs="Arial"/>
          <w:bCs/>
          <w:color w:val="000000" w:themeColor="text1"/>
          <w:sz w:val="22"/>
          <w:szCs w:val="22"/>
        </w:rPr>
        <w:t xml:space="preserve">, en la </w:t>
      </w:r>
      <w:r w:rsidRPr="000B3BF1">
        <w:rPr>
          <w:rFonts w:ascii="Century Gothic" w:hAnsi="Century Gothic" w:cs="Arial"/>
          <w:bCs/>
          <w:color w:val="000000" w:themeColor="text1"/>
          <w:sz w:val="22"/>
          <w:szCs w:val="22"/>
        </w:rPr>
        <w:lastRenderedPageBreak/>
        <w:t xml:space="preserve">actualidad la disposición legal que lo prevé de manera más clara y contundente es el artículo 5 de la Ley 1150 de 2007, modificado por el artículo 88 de la Ley 1474 de 2011. De acuerdo con esta norma y conforme con lo expresado en el concepto C–166 del 23 de abril de 2021, puede decirse que el deber de selección objetiva supone que las entidades escojan en los procesos de selección el “[…] ofrecimiento más favorable a la entidad y a los fines que ella busca […]”. Tal favorabilidad debe determinarse a partir de criterios que pueden variar, de acuerdo con el objeto contractual o la modalidad de selección aplicable, los cuales, en todo caso, para que la selección sea objetiva, deben estar señalados en el pliego de condiciones o documento equivalente. </w:t>
      </w:r>
    </w:p>
    <w:p w14:paraId="04AF216A" w14:textId="77777777" w:rsidR="001F6387" w:rsidRPr="000B3BF1" w:rsidRDefault="001F6387" w:rsidP="001F6387">
      <w:pPr>
        <w:spacing w:before="120" w:line="276" w:lineRule="auto"/>
        <w:ind w:right="51" w:firstLine="709"/>
        <w:jc w:val="both"/>
        <w:rPr>
          <w:rFonts w:ascii="Century Gothic" w:hAnsi="Century Gothic" w:cs="Arial"/>
          <w:bCs/>
          <w:color w:val="000000" w:themeColor="text1"/>
          <w:sz w:val="22"/>
          <w:szCs w:val="22"/>
        </w:rPr>
      </w:pPr>
      <w:bookmarkStart w:id="5" w:name="_1fob9te" w:colFirst="0" w:colLast="0"/>
      <w:bookmarkEnd w:id="5"/>
      <w:r w:rsidRPr="000B3BF1">
        <w:rPr>
          <w:rFonts w:ascii="Century Gothic" w:hAnsi="Century Gothic" w:cs="Arial"/>
          <w:bCs/>
          <w:color w:val="000000" w:themeColor="text1"/>
          <w:sz w:val="22"/>
          <w:szCs w:val="22"/>
        </w:rPr>
        <w:t>Al respecto, el numeral 1 del artículo 5 de la Ley 1150 de 2007 se refiere a algunos requisitos exigibles en la generalidad de los procesos de selección adelantados conforme al EGCAP, tales como la capacidad jurídica, las condiciones de experiencia, la capacidad financiera y de organización, denominados requisitos habilitantes, los cuales –en principio, salvo expresa disposición legal– no otorgan puntaje. Lo anterior comoquiera que estos no se refieren a la oferta misma sino a la idoneidad del oferente para asumir adecuadamente la ejecución del contrato</w:t>
      </w:r>
      <w:r w:rsidRPr="000B3BF1">
        <w:rPr>
          <w:rFonts w:ascii="Century Gothic" w:hAnsi="Century Gothic" w:cs="Arial"/>
          <w:bCs/>
          <w:color w:val="000000" w:themeColor="text1"/>
          <w:sz w:val="22"/>
          <w:szCs w:val="22"/>
          <w:vertAlign w:val="superscript"/>
        </w:rPr>
        <w:footnoteReference w:id="5"/>
      </w:r>
      <w:r w:rsidRPr="000B3BF1">
        <w:rPr>
          <w:rFonts w:ascii="Century Gothic" w:hAnsi="Century Gothic" w:cs="Arial"/>
          <w:bCs/>
          <w:color w:val="000000" w:themeColor="text1"/>
          <w:sz w:val="22"/>
          <w:szCs w:val="22"/>
        </w:rPr>
        <w:t xml:space="preserve">. Los oferentes que cumplan estos requisitos habilitantes son considerados idóneos para ejecutar el objeto contractual, de manera que sus ofertas pueden ser consideradas en la evaluación dirigida a determinar cuál es la más favorable para la entidad y a los fines de la contratación. En este sentido, los requisitos </w:t>
      </w:r>
      <w:r w:rsidRPr="000B3BF1">
        <w:rPr>
          <w:rFonts w:ascii="Century Gothic" w:hAnsi="Century Gothic" w:cs="Arial"/>
          <w:bCs/>
          <w:i/>
          <w:color w:val="000000" w:themeColor="text1"/>
          <w:sz w:val="22"/>
          <w:szCs w:val="22"/>
        </w:rPr>
        <w:t xml:space="preserve">habilitantes </w:t>
      </w:r>
      <w:r w:rsidRPr="000B3BF1">
        <w:rPr>
          <w:rFonts w:ascii="Century Gothic" w:hAnsi="Century Gothic" w:cs="Arial"/>
          <w:bCs/>
          <w:color w:val="000000" w:themeColor="text1"/>
          <w:sz w:val="22"/>
          <w:szCs w:val="22"/>
        </w:rPr>
        <w:t>son aquellos que deben cumplir en igualdad de condiciones los proponentes, haciendo que estos se habiliten en el procedimiento de selección y sean susceptibles de ser seleccionados como futuros contratistas.</w:t>
      </w:r>
    </w:p>
    <w:p w14:paraId="4DA18366" w14:textId="77777777" w:rsidR="001F6387" w:rsidRPr="000B3BF1" w:rsidRDefault="001F6387" w:rsidP="001F6387">
      <w:pPr>
        <w:spacing w:before="120" w:line="276" w:lineRule="auto"/>
        <w:ind w:right="51" w:firstLine="709"/>
        <w:jc w:val="both"/>
        <w:rPr>
          <w:rFonts w:ascii="Century Gothic" w:hAnsi="Century Gothic" w:cs="Arial"/>
          <w:bCs/>
          <w:color w:val="000000" w:themeColor="text1"/>
          <w:sz w:val="22"/>
          <w:szCs w:val="22"/>
        </w:rPr>
      </w:pPr>
      <w:r w:rsidRPr="000B3BF1">
        <w:rPr>
          <w:rFonts w:ascii="Century Gothic" w:hAnsi="Century Gothic" w:cs="Arial"/>
          <w:bCs/>
          <w:color w:val="000000" w:themeColor="text1"/>
          <w:sz w:val="22"/>
          <w:szCs w:val="22"/>
        </w:rPr>
        <w:t xml:space="preserve">En contraposición a los requisitos habilitantes, el artículo 5 de la Ley 1150 de 2007 regula los factores dirigidos a determinar cuál es la propuesta, comparativamente, más favorable. En ese sentido, el inciso primero dispone los factores de escogencia y calificación que deben indicarse en los pliegos de condiciones o documentos equivalentes. El numeral 2 de esta norma establece que la oferta más favorable es aquella que resulte ser la más ventajosa para la </w:t>
      </w:r>
      <w:r w:rsidRPr="000B3BF1">
        <w:rPr>
          <w:rFonts w:ascii="Century Gothic" w:hAnsi="Century Gothic" w:cs="Arial"/>
          <w:bCs/>
          <w:color w:val="000000" w:themeColor="text1"/>
          <w:sz w:val="22"/>
          <w:szCs w:val="22"/>
        </w:rPr>
        <w:lastRenderedPageBreak/>
        <w:t xml:space="preserve">entidad, una vez se realice la ponderación precisa y detallada de los factores técnicos y económicos de escogencia, de acuerdo con los parámetros establecidos en los pliegos de condiciones o equivalentes, que permiten la comparación de ofertas. Este numeral 2 se divide en dos literales, cada uno de los cuales hace referencia a los mecanismos por los que pueden optar las entidades para ponderar los elementos de calidad y precio de las ofertas. El literal a) alude a la ponderación de los referidos elementos mediante puntajes o fórmulas, mientras que el literal b) se refiere la elección de la oferta que represente la mejor relación costo-beneficio para la entidad. </w:t>
      </w:r>
    </w:p>
    <w:p w14:paraId="483ABA1E" w14:textId="77777777" w:rsidR="001F6387" w:rsidRPr="000B3BF1" w:rsidRDefault="001F6387" w:rsidP="001F6387">
      <w:pPr>
        <w:spacing w:before="120" w:line="276" w:lineRule="auto"/>
        <w:ind w:right="51" w:firstLine="709"/>
        <w:jc w:val="both"/>
        <w:rPr>
          <w:rFonts w:ascii="Century Gothic" w:hAnsi="Century Gothic" w:cs="Arial"/>
          <w:bCs/>
          <w:color w:val="000000" w:themeColor="text1"/>
          <w:sz w:val="22"/>
          <w:szCs w:val="22"/>
        </w:rPr>
      </w:pPr>
      <w:r w:rsidRPr="000B3BF1">
        <w:rPr>
          <w:rFonts w:ascii="Century Gothic" w:hAnsi="Century Gothic" w:cs="Arial"/>
          <w:bCs/>
          <w:color w:val="000000" w:themeColor="text1"/>
          <w:sz w:val="22"/>
          <w:szCs w:val="22"/>
        </w:rPr>
        <w:t>Por su parte, el numeral 3 establece que en los procesos de selección de bienes y servicios de características técnicas uniformes y de común utilización el único factor de evaluación consiste en el menor precio. Por último, el numeral 4, referente a los procedimientos para la selección de consultores, señala que deben usarse factores de calificación, para valorar los aspectos técnicos de la oferta, permitiendo que entre ellos se pondere la experiencia.</w:t>
      </w:r>
    </w:p>
    <w:p w14:paraId="1002F77B" w14:textId="77777777" w:rsidR="001F6387" w:rsidRPr="000B3BF1" w:rsidRDefault="001F6387" w:rsidP="001F6387">
      <w:pPr>
        <w:spacing w:before="120" w:line="276" w:lineRule="auto"/>
        <w:ind w:right="51" w:firstLine="709"/>
        <w:jc w:val="both"/>
        <w:rPr>
          <w:rFonts w:ascii="Century Gothic" w:hAnsi="Century Gothic" w:cs="Arial"/>
          <w:bCs/>
          <w:color w:val="000000" w:themeColor="text1"/>
          <w:sz w:val="22"/>
          <w:szCs w:val="22"/>
        </w:rPr>
      </w:pPr>
      <w:r w:rsidRPr="000B3BF1">
        <w:rPr>
          <w:rFonts w:ascii="Century Gothic" w:hAnsi="Century Gothic" w:cs="Arial"/>
          <w:bCs/>
          <w:color w:val="000000" w:themeColor="text1"/>
          <w:sz w:val="22"/>
          <w:szCs w:val="22"/>
        </w:rPr>
        <w:t xml:space="preserve">De acuerdo con lo expresado, se concluye que el artículo 5 de la Ley 1150 de 2007 define los parámetros conforme a los cuales deben exigirse y evaluarse los factores que no otorgan puntaje o requisitos habilitantes, como también aquellos que deben tenerse en cuenta para la exigencia y evaluación de los factores de escogencia o calificación, técnicos y económicos, los cuales inciden en la comparación de las ofertas. Por ello, la doctrina define los requisitos o factores ponderables como “[…] aquellas condiciones de la oferta y no de quien la presenta, que sí entrarán a ser evaluadas por la Administración y </w:t>
      </w:r>
      <w:proofErr w:type="gramStart"/>
      <w:r w:rsidRPr="000B3BF1">
        <w:rPr>
          <w:rFonts w:ascii="Century Gothic" w:hAnsi="Century Gothic" w:cs="Arial"/>
          <w:bCs/>
          <w:color w:val="000000" w:themeColor="text1"/>
          <w:sz w:val="22"/>
          <w:szCs w:val="22"/>
        </w:rPr>
        <w:t>que</w:t>
      </w:r>
      <w:proofErr w:type="gramEnd"/>
      <w:r w:rsidRPr="000B3BF1">
        <w:rPr>
          <w:rFonts w:ascii="Century Gothic" w:hAnsi="Century Gothic" w:cs="Arial"/>
          <w:bCs/>
          <w:color w:val="000000" w:themeColor="text1"/>
          <w:sz w:val="22"/>
          <w:szCs w:val="22"/>
        </w:rPr>
        <w:t xml:space="preserve"> en consecuencia, darán lugar a la escogencia objetiva de la mejor propuesta para la entidad”</w:t>
      </w:r>
      <w:r w:rsidRPr="000B3BF1">
        <w:rPr>
          <w:rFonts w:ascii="Century Gothic" w:hAnsi="Century Gothic" w:cs="Arial"/>
          <w:bCs/>
          <w:color w:val="000000" w:themeColor="text1"/>
          <w:sz w:val="22"/>
          <w:szCs w:val="22"/>
          <w:vertAlign w:val="superscript"/>
        </w:rPr>
        <w:footnoteReference w:id="6"/>
      </w:r>
      <w:r w:rsidRPr="000B3BF1">
        <w:rPr>
          <w:rFonts w:ascii="Century Gothic" w:hAnsi="Century Gothic" w:cs="Arial"/>
          <w:bCs/>
          <w:color w:val="000000" w:themeColor="text1"/>
          <w:sz w:val="22"/>
          <w:szCs w:val="22"/>
        </w:rPr>
        <w:t>. Todas estas categorías designan los “[…] factores a los cuales cabe otorgarles puntajes o que pueden ser ponderados, precisamente, pues estos son los factores que en últimas permiten una comparación de ofertas y una diferenciación entre ellas”</w:t>
      </w:r>
      <w:r w:rsidRPr="000B3BF1">
        <w:rPr>
          <w:rFonts w:ascii="Century Gothic" w:hAnsi="Century Gothic" w:cs="Arial"/>
          <w:bCs/>
          <w:color w:val="000000" w:themeColor="text1"/>
          <w:sz w:val="22"/>
          <w:szCs w:val="22"/>
          <w:vertAlign w:val="superscript"/>
        </w:rPr>
        <w:footnoteReference w:id="7"/>
      </w:r>
      <w:r w:rsidRPr="000B3BF1">
        <w:rPr>
          <w:rFonts w:ascii="Century Gothic" w:hAnsi="Century Gothic" w:cs="Arial"/>
          <w:bCs/>
          <w:color w:val="000000" w:themeColor="text1"/>
          <w:sz w:val="22"/>
          <w:szCs w:val="22"/>
        </w:rPr>
        <w:t xml:space="preserve">. </w:t>
      </w:r>
    </w:p>
    <w:p w14:paraId="5CDCD058" w14:textId="77777777" w:rsidR="001F6387" w:rsidRPr="000B3BF1" w:rsidRDefault="001F6387" w:rsidP="001F6387">
      <w:pPr>
        <w:spacing w:before="120" w:line="276" w:lineRule="auto"/>
        <w:ind w:right="51" w:firstLine="709"/>
        <w:jc w:val="both"/>
        <w:rPr>
          <w:rFonts w:ascii="Century Gothic" w:hAnsi="Century Gothic" w:cs="Arial"/>
          <w:bCs/>
          <w:color w:val="000000" w:themeColor="text1"/>
          <w:sz w:val="22"/>
          <w:szCs w:val="22"/>
        </w:rPr>
      </w:pPr>
      <w:r w:rsidRPr="000B3BF1">
        <w:rPr>
          <w:rFonts w:ascii="Century Gothic" w:hAnsi="Century Gothic" w:cs="Arial"/>
          <w:bCs/>
          <w:color w:val="000000" w:themeColor="text1"/>
          <w:sz w:val="22"/>
          <w:szCs w:val="22"/>
        </w:rPr>
        <w:t>Sobre la escogencia de la oferta más favorable a los intereses de la entidad y la evaluación de los factores exigidos en un caso concreto para el efecto, la doctrina explica que:</w:t>
      </w:r>
    </w:p>
    <w:p w14:paraId="1E31B5AF" w14:textId="77777777" w:rsidR="001F6387" w:rsidRPr="00E11F53" w:rsidRDefault="001F6387" w:rsidP="001F6387">
      <w:pPr>
        <w:ind w:right="49"/>
        <w:jc w:val="both"/>
        <w:rPr>
          <w:rFonts w:ascii="Century Gothic" w:hAnsi="Century Gothic" w:cs="Arial"/>
          <w:bCs/>
          <w:color w:val="000000" w:themeColor="text1"/>
          <w:sz w:val="20"/>
          <w:szCs w:val="20"/>
        </w:rPr>
      </w:pPr>
    </w:p>
    <w:p w14:paraId="7413BBC2" w14:textId="77777777" w:rsidR="001F6387" w:rsidRPr="00E11F53" w:rsidRDefault="001F6387" w:rsidP="001F6387">
      <w:pPr>
        <w:ind w:left="709" w:right="709"/>
        <w:jc w:val="both"/>
        <w:rPr>
          <w:rFonts w:ascii="Century Gothic" w:hAnsi="Century Gothic" w:cs="Arial"/>
          <w:bCs/>
          <w:color w:val="000000" w:themeColor="text1"/>
          <w:sz w:val="20"/>
          <w:szCs w:val="20"/>
        </w:rPr>
      </w:pPr>
      <w:r w:rsidRPr="00E11F53">
        <w:rPr>
          <w:rFonts w:ascii="Century Gothic" w:hAnsi="Century Gothic" w:cs="Arial"/>
          <w:bCs/>
          <w:color w:val="000000" w:themeColor="text1"/>
          <w:sz w:val="20"/>
          <w:szCs w:val="20"/>
        </w:rPr>
        <w:lastRenderedPageBreak/>
        <w:t xml:space="preserve">“De acuerdo con ese entendimiento, el numeral 2 del artículo 5.° de la Ley  1150 de 2007, modificado por el artículo 88 de la Ley 1474 de 2011, comienza por señalar que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Es decir que los factores de ponderación o de evaluación son los que en realidad determinan la propuesta que mejor satisface las necesidades de la Administración y no simplemente cuál de los proponentes es el más idóneo en la ejecución del contrato, pues, se insiste, todo oferente que supere los requisitos mínimos habilitantes se entiende que es suficientemente idóneo para la ejecución del objeto contractual. </w:t>
      </w:r>
    </w:p>
    <w:p w14:paraId="341702BB" w14:textId="77777777" w:rsidR="001F6387" w:rsidRDefault="001F6387" w:rsidP="001F6387">
      <w:pPr>
        <w:ind w:left="709" w:right="709"/>
        <w:jc w:val="both"/>
        <w:rPr>
          <w:rFonts w:ascii="Century Gothic" w:hAnsi="Century Gothic" w:cs="Arial"/>
          <w:bCs/>
          <w:color w:val="000000" w:themeColor="text1"/>
          <w:sz w:val="20"/>
          <w:szCs w:val="20"/>
        </w:rPr>
      </w:pPr>
    </w:p>
    <w:p w14:paraId="71D08025" w14:textId="77777777" w:rsidR="001F6387" w:rsidRPr="00E11F53" w:rsidRDefault="001F6387" w:rsidP="001F6387">
      <w:pPr>
        <w:ind w:left="709" w:right="709"/>
        <w:jc w:val="both"/>
        <w:rPr>
          <w:rFonts w:ascii="Century Gothic" w:hAnsi="Century Gothic" w:cs="Arial"/>
          <w:bCs/>
          <w:color w:val="000000" w:themeColor="text1"/>
          <w:sz w:val="20"/>
          <w:szCs w:val="20"/>
        </w:rPr>
      </w:pPr>
      <w:r w:rsidRPr="00E11F53">
        <w:rPr>
          <w:rFonts w:ascii="Century Gothic" w:hAnsi="Century Gothic" w:cs="Arial"/>
          <w:bCs/>
          <w:color w:val="000000" w:themeColor="text1"/>
          <w:sz w:val="20"/>
          <w:szCs w:val="20"/>
        </w:rPr>
        <w:t xml:space="preserve">De nuevo, aquí es preciso señalar que es el pliego de condiciones el que debe determinar cuáles son esos factores que en cada caso concreto permiten hacer una comparación entre las ofertas presentadas y, con base en ello, determinar cuál es la más favorable para la Administración Pública. </w:t>
      </w:r>
    </w:p>
    <w:p w14:paraId="66D0FED4" w14:textId="77777777" w:rsidR="001F6387" w:rsidRDefault="001F6387" w:rsidP="001F6387">
      <w:pPr>
        <w:ind w:left="709" w:right="709"/>
        <w:jc w:val="both"/>
        <w:rPr>
          <w:rFonts w:ascii="Century Gothic" w:hAnsi="Century Gothic" w:cs="Arial"/>
          <w:bCs/>
          <w:color w:val="000000" w:themeColor="text1"/>
          <w:sz w:val="20"/>
          <w:szCs w:val="20"/>
        </w:rPr>
      </w:pPr>
    </w:p>
    <w:p w14:paraId="7ACD00BA" w14:textId="77777777" w:rsidR="001F6387" w:rsidRDefault="001F6387" w:rsidP="001F6387">
      <w:pPr>
        <w:ind w:left="709" w:right="709"/>
        <w:jc w:val="both"/>
        <w:rPr>
          <w:rFonts w:ascii="Century Gothic" w:hAnsi="Century Gothic" w:cs="Arial"/>
          <w:bCs/>
          <w:color w:val="000000" w:themeColor="text1"/>
          <w:sz w:val="20"/>
          <w:szCs w:val="20"/>
        </w:rPr>
      </w:pPr>
      <w:r w:rsidRPr="00E11F53">
        <w:rPr>
          <w:rFonts w:ascii="Century Gothic" w:hAnsi="Century Gothic" w:cs="Arial"/>
          <w:bCs/>
          <w:color w:val="000000" w:themeColor="text1"/>
          <w:sz w:val="20"/>
          <w:szCs w:val="20"/>
        </w:rPr>
        <w:t>[…]Una siguiente conclusión que se deriva de la norma parcialmente transcrita consiste en que los pliegos de condiciones deben determinar dos situaciones por separado: 1. cuáles serán los factores o requisitos que serán evaluados por la Administración y 2. cuáles son los criterios para asignar puntaje a cada uno de los factores de evaluación y, con base en ello, poder hacer la comparación entre las ofertas y concluir cuál de ellas es la más ventajosa para la entidad estatal”</w:t>
      </w:r>
      <w:r w:rsidRPr="00E11F53">
        <w:rPr>
          <w:rFonts w:ascii="Century Gothic" w:hAnsi="Century Gothic" w:cs="Arial"/>
          <w:bCs/>
          <w:color w:val="000000" w:themeColor="text1"/>
          <w:sz w:val="20"/>
          <w:szCs w:val="20"/>
          <w:vertAlign w:val="superscript"/>
        </w:rPr>
        <w:footnoteReference w:id="8"/>
      </w:r>
      <w:r w:rsidRPr="00E11F53">
        <w:rPr>
          <w:rFonts w:ascii="Century Gothic" w:hAnsi="Century Gothic" w:cs="Arial"/>
          <w:bCs/>
          <w:color w:val="000000" w:themeColor="text1"/>
          <w:sz w:val="20"/>
          <w:szCs w:val="20"/>
        </w:rPr>
        <w:t>.</w:t>
      </w:r>
    </w:p>
    <w:p w14:paraId="25A1C720" w14:textId="77777777" w:rsidR="001F6387" w:rsidRPr="00E11F53" w:rsidRDefault="001F6387" w:rsidP="001F6387">
      <w:pPr>
        <w:ind w:left="709" w:right="709"/>
        <w:jc w:val="both"/>
        <w:rPr>
          <w:rFonts w:ascii="Century Gothic" w:hAnsi="Century Gothic" w:cs="Arial"/>
          <w:bCs/>
          <w:color w:val="000000" w:themeColor="text1"/>
          <w:sz w:val="20"/>
          <w:szCs w:val="20"/>
        </w:rPr>
      </w:pPr>
    </w:p>
    <w:p w14:paraId="4A60CB4D" w14:textId="77777777" w:rsidR="001F6387" w:rsidRPr="000B3BF1" w:rsidRDefault="001F6387" w:rsidP="001F6387">
      <w:pPr>
        <w:spacing w:line="276" w:lineRule="auto"/>
        <w:ind w:firstLine="709"/>
        <w:jc w:val="both"/>
        <w:rPr>
          <w:rFonts w:ascii="Century Gothic" w:hAnsi="Century Gothic" w:cs="Arial"/>
          <w:bCs/>
          <w:color w:val="000000" w:themeColor="text1"/>
          <w:sz w:val="22"/>
          <w:szCs w:val="22"/>
        </w:rPr>
      </w:pPr>
      <w:r w:rsidRPr="000B3BF1">
        <w:rPr>
          <w:rFonts w:ascii="Century Gothic" w:hAnsi="Century Gothic" w:cs="Arial"/>
          <w:bCs/>
          <w:color w:val="000000" w:themeColor="text1"/>
          <w:sz w:val="22"/>
          <w:szCs w:val="22"/>
        </w:rPr>
        <w:t xml:space="preserve">De acuerdo con lo anterior, es posible asimilar las diferentes categorías a las que hace referencia el artículo 5 de la Ley 1150 de 2007, cuando alude a los factores que, a diferencia de los requisitos habilitantes, determinan la oferta más favorable para la entidad, y que, por lo tanto, hacen que una oferta sea mejor que otra, pese a tener que cumplir todas ellas los requisitos habilitantes. Es frente a aquellos factores, que determinan comparativamente que una oferta sea mejor que otra, que la entidad concibe el otorgamiento de puntajes, como mecanismos para ponderar y comparar los ofrecimientos, con el fin de determinar objetivamente la oferta más favorable, aplicando para ello las reglas establecidas en el pliego o documento equivalente para la ponderación de las ofertas. </w:t>
      </w:r>
    </w:p>
    <w:p w14:paraId="7E64170B" w14:textId="77777777" w:rsidR="001F6387" w:rsidRPr="000B3BF1" w:rsidRDefault="001F6387" w:rsidP="001F6387">
      <w:pPr>
        <w:spacing w:before="120" w:line="276" w:lineRule="auto"/>
        <w:ind w:firstLine="709"/>
        <w:jc w:val="both"/>
        <w:rPr>
          <w:rFonts w:ascii="Century Gothic" w:hAnsi="Century Gothic" w:cs="Arial"/>
          <w:bCs/>
          <w:color w:val="000000" w:themeColor="text1"/>
          <w:sz w:val="22"/>
          <w:szCs w:val="22"/>
        </w:rPr>
      </w:pPr>
      <w:r w:rsidRPr="000B3BF1">
        <w:rPr>
          <w:rFonts w:ascii="Century Gothic" w:hAnsi="Century Gothic" w:cs="Arial"/>
          <w:bCs/>
          <w:color w:val="000000" w:themeColor="text1"/>
          <w:sz w:val="22"/>
          <w:szCs w:val="22"/>
        </w:rPr>
        <w:tab/>
        <w:t xml:space="preserve">En ese sentido, la asignación de puntaje es un mecanismo mediante el cual las entidades ponderan los factores de calificación </w:t>
      </w:r>
      <w:r w:rsidRPr="000B3BF1">
        <w:rPr>
          <w:rFonts w:ascii="Arial" w:hAnsi="Arial" w:cs="Arial"/>
          <w:bCs/>
          <w:color w:val="000000" w:themeColor="text1"/>
          <w:sz w:val="22"/>
          <w:szCs w:val="22"/>
        </w:rPr>
        <w:t>ꟷ</w:t>
      </w:r>
      <w:r w:rsidRPr="000B3BF1">
        <w:rPr>
          <w:rFonts w:ascii="Century Gothic" w:hAnsi="Century Gothic" w:cs="Arial"/>
          <w:bCs/>
          <w:i/>
          <w:color w:val="000000" w:themeColor="text1"/>
          <w:sz w:val="22"/>
          <w:szCs w:val="22"/>
        </w:rPr>
        <w:t>v.g.</w:t>
      </w:r>
      <w:r w:rsidRPr="000B3BF1">
        <w:rPr>
          <w:rFonts w:ascii="Century Gothic" w:hAnsi="Century Gothic" w:cs="Arial"/>
          <w:bCs/>
          <w:color w:val="000000" w:themeColor="text1"/>
          <w:sz w:val="22"/>
          <w:szCs w:val="22"/>
        </w:rPr>
        <w:t xml:space="preserve"> técnicos, de calidad y precio, etc.</w:t>
      </w:r>
      <w:r w:rsidRPr="000B3BF1">
        <w:rPr>
          <w:rFonts w:ascii="Arial" w:hAnsi="Arial" w:cs="Arial"/>
          <w:bCs/>
          <w:color w:val="000000" w:themeColor="text1"/>
          <w:sz w:val="22"/>
          <w:szCs w:val="22"/>
        </w:rPr>
        <w:t>ꟷ</w:t>
      </w:r>
      <w:r w:rsidRPr="000B3BF1">
        <w:rPr>
          <w:rFonts w:ascii="Century Gothic" w:hAnsi="Century Gothic" w:cs="Arial"/>
          <w:bCs/>
          <w:color w:val="000000" w:themeColor="text1"/>
          <w:sz w:val="22"/>
          <w:szCs w:val="22"/>
        </w:rPr>
        <w:t xml:space="preserve"> en un determinado proceso de selecci</w:t>
      </w:r>
      <w:r w:rsidRPr="000B3BF1">
        <w:rPr>
          <w:rFonts w:ascii="Century Gothic" w:hAnsi="Century Gothic" w:cs="Century Gothic"/>
          <w:bCs/>
          <w:color w:val="000000" w:themeColor="text1"/>
          <w:sz w:val="22"/>
          <w:szCs w:val="22"/>
        </w:rPr>
        <w:t>ó</w:t>
      </w:r>
      <w:r w:rsidRPr="000B3BF1">
        <w:rPr>
          <w:rFonts w:ascii="Century Gothic" w:hAnsi="Century Gothic" w:cs="Arial"/>
          <w:bCs/>
          <w:color w:val="000000" w:themeColor="text1"/>
          <w:sz w:val="22"/>
          <w:szCs w:val="22"/>
        </w:rPr>
        <w:t>n, como se desprende del literal a) del numeral 2 del art</w:t>
      </w:r>
      <w:r w:rsidRPr="000B3BF1">
        <w:rPr>
          <w:rFonts w:ascii="Century Gothic" w:hAnsi="Century Gothic" w:cs="Century Gothic"/>
          <w:bCs/>
          <w:color w:val="000000" w:themeColor="text1"/>
          <w:sz w:val="22"/>
          <w:szCs w:val="22"/>
        </w:rPr>
        <w:t>í</w:t>
      </w:r>
      <w:r w:rsidRPr="000B3BF1">
        <w:rPr>
          <w:rFonts w:ascii="Century Gothic" w:hAnsi="Century Gothic" w:cs="Arial"/>
          <w:bCs/>
          <w:color w:val="000000" w:themeColor="text1"/>
          <w:sz w:val="22"/>
          <w:szCs w:val="22"/>
        </w:rPr>
        <w:t xml:space="preserve">culo 5 de la Ley 1150 de 2007, en el que, expresamente, se alude al puntaje. Es necesario destacar que las reglas para </w:t>
      </w:r>
      <w:r w:rsidRPr="000B3BF1">
        <w:rPr>
          <w:rFonts w:ascii="Century Gothic" w:hAnsi="Century Gothic" w:cs="Arial"/>
          <w:bCs/>
          <w:color w:val="000000" w:themeColor="text1"/>
          <w:sz w:val="22"/>
          <w:szCs w:val="22"/>
        </w:rPr>
        <w:lastRenderedPageBreak/>
        <w:t xml:space="preserve">establecer la oferta más favorable conforme al artículo 5 de la Ley 1150 de 2007, se encuentran reglamentadas en el artículo 2.2.1.1.2.2.2 del Decreto 1082 de 2015. Este artículo desarrolla los mecanismos de ponderación previstos en los literales a) y b) del artículo 5.2 de la Ley 1150 de 2007, disponiendo unas pautas para la ponderación de los elementos de calidad y precio que representen la mejor relación de costo-beneficio. Conforme a este artículo, la oferta más favorable en estos casos debe determinarse ponderando en las ofertas: i) las condiciones técnicas y económicas mínimas; </w:t>
      </w:r>
      <w:proofErr w:type="spellStart"/>
      <w:r w:rsidRPr="000B3BF1">
        <w:rPr>
          <w:rFonts w:ascii="Century Gothic" w:hAnsi="Century Gothic" w:cs="Arial"/>
          <w:bCs/>
          <w:color w:val="000000" w:themeColor="text1"/>
          <w:sz w:val="22"/>
          <w:szCs w:val="22"/>
        </w:rPr>
        <w:t>ii</w:t>
      </w:r>
      <w:proofErr w:type="spellEnd"/>
      <w:r w:rsidRPr="000B3BF1">
        <w:rPr>
          <w:rFonts w:ascii="Century Gothic" w:hAnsi="Century Gothic" w:cs="Arial"/>
          <w:bCs/>
          <w:color w:val="000000" w:themeColor="text1"/>
          <w:sz w:val="22"/>
          <w:szCs w:val="22"/>
        </w:rPr>
        <w:t xml:space="preserve">) las condiciones técnicas adicionales que representan ventajas de calidad o de funcionamiento; </w:t>
      </w:r>
      <w:proofErr w:type="spellStart"/>
      <w:r w:rsidRPr="000B3BF1">
        <w:rPr>
          <w:rFonts w:ascii="Century Gothic" w:hAnsi="Century Gothic" w:cs="Arial"/>
          <w:bCs/>
          <w:color w:val="000000" w:themeColor="text1"/>
          <w:sz w:val="22"/>
          <w:szCs w:val="22"/>
        </w:rPr>
        <w:t>iii</w:t>
      </w:r>
      <w:proofErr w:type="spellEnd"/>
      <w:r w:rsidRPr="000B3BF1">
        <w:rPr>
          <w:rFonts w:ascii="Century Gothic" w:hAnsi="Century Gothic" w:cs="Arial"/>
          <w:bCs/>
          <w:color w:val="000000" w:themeColor="text1"/>
          <w:sz w:val="22"/>
          <w:szCs w:val="22"/>
        </w:rPr>
        <w:t xml:space="preserve">) las condiciones económicas adicionales que representen ventajas en términos de economía, eficiencia y eficacia; y </w:t>
      </w:r>
      <w:proofErr w:type="spellStart"/>
      <w:r w:rsidRPr="000B3BF1">
        <w:rPr>
          <w:rFonts w:ascii="Century Gothic" w:hAnsi="Century Gothic" w:cs="Arial"/>
          <w:bCs/>
          <w:color w:val="000000" w:themeColor="text1"/>
          <w:sz w:val="22"/>
          <w:szCs w:val="22"/>
        </w:rPr>
        <w:t>iv</w:t>
      </w:r>
      <w:proofErr w:type="spellEnd"/>
      <w:r w:rsidRPr="000B3BF1">
        <w:rPr>
          <w:rFonts w:ascii="Century Gothic" w:hAnsi="Century Gothic" w:cs="Arial"/>
          <w:bCs/>
          <w:color w:val="000000" w:themeColor="text1"/>
          <w:sz w:val="22"/>
          <w:szCs w:val="22"/>
        </w:rPr>
        <w:t>) el valor en dinero que la entidad estatal asigna a cada ofrecimiento técnico o económico adicional. Teniendo en cuenta estos elementos, la entidad estatal debe calcular la relación costo-beneficio de cada oferta “[…]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 […]”</w:t>
      </w:r>
      <w:r w:rsidRPr="000B3BF1">
        <w:rPr>
          <w:rFonts w:ascii="Century Gothic" w:hAnsi="Century Gothic" w:cs="Arial"/>
          <w:bCs/>
          <w:color w:val="000000" w:themeColor="text1"/>
          <w:sz w:val="22"/>
          <w:szCs w:val="22"/>
          <w:vertAlign w:val="superscript"/>
        </w:rPr>
        <w:footnoteReference w:id="9"/>
      </w:r>
      <w:r w:rsidRPr="000B3BF1">
        <w:rPr>
          <w:rFonts w:ascii="Century Gothic" w:hAnsi="Century Gothic" w:cs="Arial"/>
          <w:bCs/>
          <w:color w:val="000000" w:themeColor="text1"/>
          <w:sz w:val="22"/>
          <w:szCs w:val="22"/>
        </w:rPr>
        <w:t>.</w:t>
      </w:r>
    </w:p>
    <w:p w14:paraId="60D50B89" w14:textId="77777777" w:rsidR="001F6387" w:rsidRPr="000B3BF1" w:rsidRDefault="001F6387" w:rsidP="001F6387">
      <w:pPr>
        <w:spacing w:before="120" w:line="276" w:lineRule="auto"/>
        <w:ind w:firstLine="709"/>
        <w:jc w:val="both"/>
        <w:rPr>
          <w:rFonts w:ascii="Century Gothic" w:hAnsi="Century Gothic" w:cs="Arial"/>
          <w:bCs/>
          <w:color w:val="000000" w:themeColor="text1"/>
          <w:sz w:val="22"/>
          <w:szCs w:val="22"/>
        </w:rPr>
      </w:pPr>
      <w:r w:rsidRPr="000B3BF1">
        <w:rPr>
          <w:rFonts w:ascii="Century Gothic" w:hAnsi="Century Gothic" w:cs="Arial"/>
          <w:bCs/>
          <w:color w:val="000000" w:themeColor="text1"/>
          <w:sz w:val="22"/>
          <w:szCs w:val="22"/>
        </w:rPr>
        <w:t xml:space="preserve">En este orden de ideas, el deber de selección objetiva está ligado a la determinación del ofrecimiento más favorable, cuyo contenido debe ser precisado a partir de las diferentes alternativas del artículo 5 de la Ley 1150 de 2007, reglamentado por el artículo 2.2.1.1.2.2.2 del Decreto 1082 de 2015, que, en todo caso, deben reflejarse en el pliego de condiciones o documento equivalente para el respectivo proceso de selección. Estas disposiciones establecen que en los procesos de selección deben evaluarse, fuera de los requisitos habilitantes, los factores de calificación, valoración o evaluación. Estos pueden ponderarse </w:t>
      </w:r>
      <w:r w:rsidRPr="000B3BF1">
        <w:rPr>
          <w:rFonts w:ascii="Century Gothic" w:hAnsi="Century Gothic" w:cs="Arial"/>
          <w:bCs/>
          <w:color w:val="000000" w:themeColor="text1"/>
          <w:sz w:val="22"/>
          <w:szCs w:val="22"/>
        </w:rPr>
        <w:lastRenderedPageBreak/>
        <w:t>mediante la asignación de puntaje, por lo que la norma se refiere a factores que no otorgan puntaje para diferenciar los requisitos habilitantes de los mencionados factores de calificación. Lo anterior, bajo el entendido que son estos últimos los que determinan la oferta más favorable para la entidad y la que, en consecuencia, debe elegirse.</w:t>
      </w:r>
    </w:p>
    <w:p w14:paraId="6828816D" w14:textId="77777777" w:rsidR="001F6387" w:rsidRPr="000B3BF1" w:rsidRDefault="001F6387" w:rsidP="001F6387">
      <w:pPr>
        <w:spacing w:before="120" w:line="276" w:lineRule="auto"/>
        <w:ind w:firstLine="709"/>
        <w:jc w:val="both"/>
        <w:rPr>
          <w:rFonts w:ascii="Century Gothic" w:hAnsi="Century Gothic" w:cs="Arial"/>
          <w:bCs/>
          <w:color w:val="000000" w:themeColor="text1"/>
          <w:sz w:val="22"/>
          <w:szCs w:val="22"/>
        </w:rPr>
      </w:pPr>
      <w:r w:rsidRPr="000B3BF1">
        <w:rPr>
          <w:rFonts w:ascii="Century Gothic" w:hAnsi="Century Gothic" w:cs="Arial"/>
          <w:bCs/>
          <w:color w:val="000000" w:themeColor="text1"/>
          <w:sz w:val="22"/>
          <w:szCs w:val="22"/>
        </w:rPr>
        <w:t xml:space="preserve">Además del artículo 5 de la Ley 1150 de 2007, el deber de selección objetiva y su carácter vinculante encuentre fundamento en varios apartados de la Ley 80 de 1993, como: i) el primer inciso del artículo 21, que obliga a las entidades estatales a tener en cuenta la selección objetiva, al garantizar la participación de los oferentes de bienes y servicios de origen nacional, </w:t>
      </w:r>
      <w:proofErr w:type="spellStart"/>
      <w:r w:rsidRPr="000B3BF1">
        <w:rPr>
          <w:rFonts w:ascii="Century Gothic" w:hAnsi="Century Gothic" w:cs="Arial"/>
          <w:bCs/>
          <w:color w:val="000000" w:themeColor="text1"/>
          <w:sz w:val="22"/>
          <w:szCs w:val="22"/>
        </w:rPr>
        <w:t>ii</w:t>
      </w:r>
      <w:proofErr w:type="spellEnd"/>
      <w:r w:rsidRPr="000B3BF1">
        <w:rPr>
          <w:rFonts w:ascii="Century Gothic" w:hAnsi="Century Gothic" w:cs="Arial"/>
          <w:bCs/>
          <w:color w:val="000000" w:themeColor="text1"/>
          <w:sz w:val="22"/>
          <w:szCs w:val="22"/>
        </w:rPr>
        <w:t xml:space="preserve">) el artículo 24, numeral 5º, literal a), que manda que en los pliegos de condiciones se indiquen “[…] los requisitos objetivos necesarios para participar en el correspondiente proceso de selección”, </w:t>
      </w:r>
      <w:proofErr w:type="spellStart"/>
      <w:r w:rsidRPr="000B3BF1">
        <w:rPr>
          <w:rFonts w:ascii="Century Gothic" w:hAnsi="Century Gothic" w:cs="Arial"/>
          <w:bCs/>
          <w:color w:val="000000" w:themeColor="text1"/>
          <w:sz w:val="22"/>
          <w:szCs w:val="22"/>
        </w:rPr>
        <w:t>iii</w:t>
      </w:r>
      <w:proofErr w:type="spellEnd"/>
      <w:r w:rsidRPr="000B3BF1">
        <w:rPr>
          <w:rFonts w:ascii="Century Gothic" w:hAnsi="Century Gothic" w:cs="Arial"/>
          <w:bCs/>
          <w:color w:val="000000" w:themeColor="text1"/>
          <w:sz w:val="22"/>
          <w:szCs w:val="22"/>
        </w:rPr>
        <w:t xml:space="preserve">) el artículo 24, numeral 5º, literal b), que establece que en los pliegos de condiciones se deben definir “[…] reglas objetivas, justas, claras y completas que permitan la confección de ofrecimientos de la misma índole, aseguren una escogencia objetiva y eviten la declaratoria de desierta de la licitación”, </w:t>
      </w:r>
      <w:proofErr w:type="spellStart"/>
      <w:r w:rsidRPr="000B3BF1">
        <w:rPr>
          <w:rFonts w:ascii="Century Gothic" w:hAnsi="Century Gothic" w:cs="Arial"/>
          <w:bCs/>
          <w:color w:val="000000" w:themeColor="text1"/>
          <w:sz w:val="22"/>
          <w:szCs w:val="22"/>
        </w:rPr>
        <w:t>iv</w:t>
      </w:r>
      <w:proofErr w:type="spellEnd"/>
      <w:r w:rsidRPr="000B3BF1">
        <w:rPr>
          <w:rFonts w:ascii="Century Gothic" w:hAnsi="Century Gothic" w:cs="Arial"/>
          <w:bCs/>
          <w:color w:val="000000" w:themeColor="text1"/>
          <w:sz w:val="22"/>
          <w:szCs w:val="22"/>
        </w:rPr>
        <w:t xml:space="preserve">) 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v) el segundo inciso del parágrafo 3º del artículo 24, que exige tener en cuenta la selección objetiva de la entidad veedora para el procedimiento de venta de bienes de las entidades estatales por el sistema de martillo; vi) el numeral 18 del artículo 25, el cual señala que “La declaratoria de desierta de la licitación únicamente procederá por motivos o causas que impidan la escogencia objetiva”, </w:t>
      </w:r>
      <w:proofErr w:type="spellStart"/>
      <w:r w:rsidRPr="000B3BF1">
        <w:rPr>
          <w:rFonts w:ascii="Century Gothic" w:hAnsi="Century Gothic" w:cs="Arial"/>
          <w:bCs/>
          <w:color w:val="000000" w:themeColor="text1"/>
          <w:sz w:val="22"/>
          <w:szCs w:val="22"/>
        </w:rPr>
        <w:t>vii</w:t>
      </w:r>
      <w:proofErr w:type="spellEnd"/>
      <w:r w:rsidRPr="000B3BF1">
        <w:rPr>
          <w:rFonts w:ascii="Century Gothic" w:hAnsi="Century Gothic" w:cs="Arial"/>
          <w:bCs/>
          <w:color w:val="000000" w:themeColor="text1"/>
          <w:sz w:val="22"/>
          <w:szCs w:val="22"/>
        </w:rPr>
        <w:t xml:space="preserve">) el numeral 2 del artículo 30, que dispone que “La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 </w:t>
      </w:r>
      <w:proofErr w:type="spellStart"/>
      <w:r w:rsidRPr="000B3BF1">
        <w:rPr>
          <w:rFonts w:ascii="Century Gothic" w:hAnsi="Century Gothic" w:cs="Arial"/>
          <w:bCs/>
          <w:color w:val="000000" w:themeColor="text1"/>
          <w:sz w:val="22"/>
          <w:szCs w:val="22"/>
        </w:rPr>
        <w:t>viii</w:t>
      </w:r>
      <w:proofErr w:type="spellEnd"/>
      <w:r w:rsidRPr="000B3BF1">
        <w:rPr>
          <w:rFonts w:ascii="Century Gothic" w:hAnsi="Century Gothic" w:cs="Arial"/>
          <w:bCs/>
          <w:color w:val="000000" w:themeColor="text1"/>
          <w:sz w:val="22"/>
          <w:szCs w:val="22"/>
        </w:rPr>
        <w:t xml:space="preserve">) el inciso final del artículo 38, que obliga a las entidades estatales que tengan como objeto la prestación de servicios y actividades de telecomunicaciones a respetar el principio de selección objetiva, y </w:t>
      </w:r>
      <w:proofErr w:type="spellStart"/>
      <w:r w:rsidRPr="000B3BF1">
        <w:rPr>
          <w:rFonts w:ascii="Century Gothic" w:hAnsi="Century Gothic" w:cs="Arial"/>
          <w:bCs/>
          <w:color w:val="000000" w:themeColor="text1"/>
          <w:sz w:val="22"/>
          <w:szCs w:val="22"/>
        </w:rPr>
        <w:t>ix</w:t>
      </w:r>
      <w:proofErr w:type="spellEnd"/>
      <w:r w:rsidRPr="000B3BF1">
        <w:rPr>
          <w:rFonts w:ascii="Century Gothic" w:hAnsi="Century Gothic" w:cs="Arial"/>
          <w:bCs/>
          <w:color w:val="000000" w:themeColor="text1"/>
          <w:sz w:val="22"/>
          <w:szCs w:val="22"/>
        </w:rPr>
        <w:t xml:space="preserve">) el segundo inciso del artículo 76, que ordena cumplir también con dicho principio a las entidades que tengan por objeto la exploración, explotación y comercialización de recursos naturales renovables y no renovables. </w:t>
      </w:r>
    </w:p>
    <w:p w14:paraId="74FA19B2" w14:textId="77777777" w:rsidR="001F6387" w:rsidRPr="000B3BF1" w:rsidRDefault="001F6387" w:rsidP="001F6387">
      <w:pPr>
        <w:spacing w:before="120" w:line="276" w:lineRule="auto"/>
        <w:ind w:firstLine="709"/>
        <w:jc w:val="both"/>
        <w:rPr>
          <w:rFonts w:ascii="Century Gothic" w:hAnsi="Century Gothic" w:cs="Arial"/>
          <w:bCs/>
          <w:color w:val="000000" w:themeColor="text1"/>
          <w:sz w:val="22"/>
          <w:szCs w:val="22"/>
        </w:rPr>
      </w:pPr>
      <w:r w:rsidRPr="000B3BF1">
        <w:rPr>
          <w:rFonts w:ascii="Century Gothic" w:hAnsi="Century Gothic" w:cs="Arial"/>
          <w:bCs/>
          <w:color w:val="000000" w:themeColor="text1"/>
          <w:sz w:val="22"/>
          <w:szCs w:val="22"/>
        </w:rPr>
        <w:lastRenderedPageBreak/>
        <w:t xml:space="preserve">Por su parte, a nivel reglamentario, el Decreto 1082 de 2015 también hace referencia a la selección objetiva como postulado esencial al interior de los procedimientos de selección. Así se infiere de enunciados como: i) el numeral 4º del artículo 2.2.1.1.2.1.3., que indica que dentro de la información del pliego de condiciones se deben definir “Las condiciones de costo y/o calidad que la Entidad Estatal debe tener en cuenta para la selección objetiva, de acuerdo con la modalidad de selección del contratista”; o </w:t>
      </w:r>
      <w:proofErr w:type="spellStart"/>
      <w:r w:rsidRPr="000B3BF1">
        <w:rPr>
          <w:rFonts w:ascii="Century Gothic" w:hAnsi="Century Gothic" w:cs="Arial"/>
          <w:bCs/>
          <w:color w:val="000000" w:themeColor="text1"/>
          <w:sz w:val="22"/>
          <w:szCs w:val="22"/>
        </w:rPr>
        <w:t>ii</w:t>
      </w:r>
      <w:proofErr w:type="spellEnd"/>
      <w:r w:rsidRPr="000B3BF1">
        <w:rPr>
          <w:rFonts w:ascii="Century Gothic" w:hAnsi="Century Gothic" w:cs="Arial"/>
          <w:bCs/>
          <w:color w:val="000000" w:themeColor="text1"/>
          <w:sz w:val="22"/>
          <w:szCs w:val="22"/>
        </w:rPr>
        <w:t>) el numeral 8º del artículo 2.2.1.2.1.3.13., que establece como obligación del jurado calificador en los concursos de méritos para la selección de consultores de diseño, planos, anteproyectos y proyectos arquitectónicos, “Manifestar a la Entidad Estatal promotora la declaratoria de desierto el concurso de arquitectura, en caso que se presente el impedimento de la escogencia objetiva de que trata el numeral 18 del artículo 25 de la Ley 80 de 1993”.</w:t>
      </w:r>
    </w:p>
    <w:p w14:paraId="39B8BF78" w14:textId="77777777" w:rsidR="001F6387" w:rsidRPr="000B3BF1" w:rsidRDefault="001F6387" w:rsidP="001F6387">
      <w:pPr>
        <w:spacing w:before="120" w:line="276" w:lineRule="auto"/>
        <w:ind w:firstLine="709"/>
        <w:jc w:val="both"/>
        <w:rPr>
          <w:rFonts w:ascii="Century Gothic" w:hAnsi="Century Gothic" w:cs="Arial"/>
          <w:bCs/>
          <w:color w:val="000000" w:themeColor="text1"/>
          <w:sz w:val="22"/>
          <w:szCs w:val="22"/>
        </w:rPr>
      </w:pPr>
      <w:r w:rsidRPr="000B3BF1">
        <w:rPr>
          <w:rFonts w:ascii="Century Gothic" w:hAnsi="Century Gothic" w:cs="Arial"/>
          <w:bCs/>
          <w:color w:val="000000" w:themeColor="text1"/>
          <w:sz w:val="22"/>
          <w:szCs w:val="22"/>
        </w:rPr>
        <w:t>A su turno, la jurisprudencia también ha reconocido la preponderancia de este deber en la etapa precontractual, indicando que su garantía es imprescindible para satisfacer adecuadamente las necesidades de la sociedad a través del contrato. A este respecto, la Sección Tercera del Consejo de Estado ha dicho:</w:t>
      </w:r>
    </w:p>
    <w:p w14:paraId="7F963788" w14:textId="77777777" w:rsidR="001F6387" w:rsidRDefault="001F6387" w:rsidP="001F6387">
      <w:pPr>
        <w:ind w:left="709" w:right="709"/>
        <w:jc w:val="both"/>
        <w:rPr>
          <w:rFonts w:ascii="Century Gothic" w:hAnsi="Century Gothic" w:cs="Arial"/>
          <w:bCs/>
          <w:color w:val="000000" w:themeColor="text1"/>
          <w:sz w:val="20"/>
          <w:szCs w:val="20"/>
        </w:rPr>
      </w:pPr>
      <w:r w:rsidRPr="00E11F53">
        <w:rPr>
          <w:rFonts w:ascii="Century Gothic" w:hAnsi="Century Gothic" w:cs="Arial"/>
          <w:bCs/>
          <w:color w:val="000000" w:themeColor="text1"/>
          <w:sz w:val="20"/>
          <w:szCs w:val="20"/>
        </w:rPr>
        <w:t>“[…]la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r w:rsidRPr="00E11F53">
        <w:rPr>
          <w:rFonts w:ascii="Century Gothic" w:hAnsi="Century Gothic" w:cs="Arial"/>
          <w:bCs/>
          <w:color w:val="000000" w:themeColor="text1"/>
          <w:sz w:val="20"/>
          <w:szCs w:val="20"/>
          <w:vertAlign w:val="superscript"/>
        </w:rPr>
        <w:footnoteReference w:id="10"/>
      </w:r>
      <w:r w:rsidRPr="00E11F53">
        <w:rPr>
          <w:rFonts w:ascii="Century Gothic" w:hAnsi="Century Gothic" w:cs="Arial"/>
          <w:bCs/>
          <w:color w:val="000000" w:themeColor="text1"/>
          <w:sz w:val="20"/>
          <w:szCs w:val="20"/>
        </w:rPr>
        <w:t xml:space="preserve">. </w:t>
      </w:r>
    </w:p>
    <w:p w14:paraId="40DD4D8C" w14:textId="77777777" w:rsidR="001F6387" w:rsidRPr="00E11F53" w:rsidRDefault="001F6387" w:rsidP="001F6387">
      <w:pPr>
        <w:ind w:left="709" w:right="709"/>
        <w:jc w:val="both"/>
        <w:rPr>
          <w:rFonts w:ascii="Century Gothic" w:hAnsi="Century Gothic" w:cs="Arial"/>
          <w:bCs/>
          <w:color w:val="000000" w:themeColor="text1"/>
          <w:sz w:val="20"/>
          <w:szCs w:val="20"/>
        </w:rPr>
      </w:pPr>
    </w:p>
    <w:p w14:paraId="04F4D87E" w14:textId="77777777" w:rsidR="001F6387" w:rsidRPr="000B3BF1" w:rsidRDefault="001F6387" w:rsidP="001F6387">
      <w:pPr>
        <w:tabs>
          <w:tab w:val="left" w:pos="7938"/>
        </w:tabs>
        <w:spacing w:line="276" w:lineRule="auto"/>
        <w:ind w:firstLine="709"/>
        <w:jc w:val="both"/>
        <w:rPr>
          <w:rFonts w:ascii="Century Gothic" w:hAnsi="Century Gothic" w:cs="Arial"/>
          <w:bCs/>
          <w:color w:val="000000" w:themeColor="text1"/>
          <w:sz w:val="22"/>
          <w:szCs w:val="22"/>
        </w:rPr>
      </w:pPr>
      <w:r w:rsidRPr="000B3BF1">
        <w:rPr>
          <w:rFonts w:ascii="Century Gothic" w:hAnsi="Century Gothic" w:cs="Arial"/>
          <w:bCs/>
          <w:color w:val="000000" w:themeColor="text1"/>
          <w:sz w:val="22"/>
          <w:szCs w:val="22"/>
        </w:rPr>
        <w:t>Igualmente, ha señalado que “el 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w:t>
      </w:r>
      <w:r w:rsidRPr="000B3BF1">
        <w:rPr>
          <w:rFonts w:ascii="Century Gothic" w:hAnsi="Century Gothic" w:cs="Arial"/>
          <w:bCs/>
          <w:color w:val="000000" w:themeColor="text1"/>
          <w:sz w:val="22"/>
          <w:szCs w:val="22"/>
          <w:vertAlign w:val="superscript"/>
        </w:rPr>
        <w:footnoteReference w:id="11"/>
      </w:r>
      <w:r w:rsidRPr="000B3BF1">
        <w:rPr>
          <w:rFonts w:ascii="Century Gothic" w:hAnsi="Century Gothic" w:cs="Arial"/>
          <w:bCs/>
          <w:color w:val="000000" w:themeColor="text1"/>
          <w:sz w:val="22"/>
          <w:szCs w:val="22"/>
        </w:rPr>
        <w:t>.</w:t>
      </w:r>
    </w:p>
    <w:p w14:paraId="40220B14" w14:textId="77777777" w:rsidR="001F6387" w:rsidRPr="000B3BF1" w:rsidRDefault="001F6387" w:rsidP="001F6387">
      <w:pPr>
        <w:tabs>
          <w:tab w:val="left" w:pos="7938"/>
        </w:tabs>
        <w:spacing w:before="120" w:line="276" w:lineRule="auto"/>
        <w:ind w:firstLine="709"/>
        <w:jc w:val="both"/>
        <w:rPr>
          <w:rFonts w:ascii="Century Gothic" w:hAnsi="Century Gothic" w:cs="Arial"/>
          <w:bCs/>
          <w:color w:val="000000" w:themeColor="text1"/>
          <w:sz w:val="22"/>
          <w:szCs w:val="22"/>
        </w:rPr>
      </w:pPr>
      <w:r w:rsidRPr="000B3BF1">
        <w:rPr>
          <w:rFonts w:ascii="Century Gothic" w:hAnsi="Century Gothic" w:cs="Arial"/>
          <w:bCs/>
          <w:color w:val="000000" w:themeColor="text1"/>
          <w:sz w:val="22"/>
          <w:szCs w:val="22"/>
        </w:rPr>
        <w:lastRenderedPageBreak/>
        <w:t>Ahora bien, para garantizar el principio de selección objetiva, también es necesario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entidades estatales de permitir la subsanación de los requisitos de participación, bajo las condiciones indicadas en la ley, antes de tomar la decisión de rechazar las propuestas que hayan omitido la observancia de los requisitos habilitantes. Esta decisión, por regla general –salvo en los casos específicos previstos en la ley, como el de la imposibilidad de subsanar la no entrega de la garantía de seriedad de la oferta o de acreditar circunstancias ocurridas con posterioridad al cierre del procedimiento de selección (art. 5, par. 1º y 3º, Ley 1150 de 2007)– solo puede tomarse si, previamente, se ha permitido que los proponentes completen o corrijan la información relacionada con los requisitos que no asignan puntaje, como mecanismo para hacer prevalecer el derecho sustancial sobre las formalidades. Esta regla se explica a continuación.</w:t>
      </w:r>
    </w:p>
    <w:p w14:paraId="750FC5AB" w14:textId="77777777" w:rsidR="001F6387" w:rsidRPr="000B3BF1" w:rsidRDefault="001F6387" w:rsidP="001F6387">
      <w:pPr>
        <w:spacing w:before="120" w:line="276" w:lineRule="auto"/>
        <w:ind w:firstLine="709"/>
        <w:jc w:val="both"/>
        <w:rPr>
          <w:rFonts w:ascii="Century Gothic" w:hAnsi="Century Gothic" w:cs="Arial"/>
          <w:bCs/>
          <w:color w:val="000000" w:themeColor="text1"/>
          <w:sz w:val="22"/>
          <w:szCs w:val="22"/>
        </w:rPr>
      </w:pPr>
      <w:r w:rsidRPr="000B3BF1">
        <w:rPr>
          <w:rFonts w:ascii="Century Gothic" w:hAnsi="Century Gothic" w:cs="Arial"/>
          <w:bCs/>
          <w:color w:val="000000" w:themeColor="text1"/>
          <w:sz w:val="22"/>
          <w:szCs w:val="22"/>
        </w:rPr>
        <w:t xml:space="preserve">De esta temática es igualmente medular traer como insumo normativo para el análisis una ley que modificó parcialmente una de las reglas antes anunciadas, como lo fue la Ley 1882 de 2018, con la que se introdujo cambios y ajustes para fortalecer la contratación pública. El artículo 5 modificó el parágrafo 1º del artículo 5 de la Ley 1150 de 2007, cuyo texto reformado es el siguiente: </w:t>
      </w:r>
    </w:p>
    <w:p w14:paraId="791F354B" w14:textId="77777777" w:rsidR="001F6387" w:rsidRPr="00E11F53" w:rsidRDefault="001F6387" w:rsidP="001F6387">
      <w:pPr>
        <w:ind w:left="709" w:right="709"/>
        <w:jc w:val="both"/>
        <w:rPr>
          <w:rFonts w:ascii="Century Gothic" w:hAnsi="Century Gothic" w:cs="Arial"/>
          <w:bCs/>
          <w:color w:val="000000" w:themeColor="text1"/>
          <w:sz w:val="20"/>
          <w:szCs w:val="20"/>
        </w:rPr>
      </w:pPr>
      <w:r w:rsidRPr="00E11F53">
        <w:rPr>
          <w:rFonts w:ascii="Century Gothic" w:hAnsi="Century Gothic" w:cs="Arial"/>
          <w:bCs/>
          <w:color w:val="000000" w:themeColor="text1"/>
          <w:sz w:val="20"/>
          <w:szCs w:val="20"/>
        </w:rPr>
        <w:t xml:space="preserve">“Artículo 5°. De la selección objetiva. </w:t>
      </w:r>
    </w:p>
    <w:p w14:paraId="3D4C67F8" w14:textId="77777777" w:rsidR="001F6387" w:rsidRPr="00E11F53" w:rsidRDefault="001F6387" w:rsidP="001F6387">
      <w:pPr>
        <w:ind w:left="709" w:right="709"/>
        <w:jc w:val="both"/>
        <w:rPr>
          <w:rFonts w:ascii="Century Gothic" w:hAnsi="Century Gothic" w:cs="Arial"/>
          <w:bCs/>
          <w:color w:val="000000" w:themeColor="text1"/>
          <w:sz w:val="20"/>
          <w:szCs w:val="20"/>
        </w:rPr>
      </w:pPr>
      <w:r w:rsidRPr="00E11F53">
        <w:rPr>
          <w:rFonts w:ascii="Century Gothic" w:hAnsi="Century Gothic" w:cs="Arial"/>
          <w:bCs/>
          <w:color w:val="000000" w:themeColor="text1"/>
          <w:sz w:val="20"/>
          <w:szCs w:val="20"/>
        </w:rPr>
        <w:t xml:space="preserve">(... ) </w:t>
      </w:r>
    </w:p>
    <w:p w14:paraId="373D7A53" w14:textId="77777777" w:rsidR="001F6387" w:rsidRPr="00E11F53" w:rsidRDefault="001F6387" w:rsidP="001F6387">
      <w:pPr>
        <w:tabs>
          <w:tab w:val="left" w:pos="4990"/>
        </w:tabs>
        <w:ind w:left="709" w:right="709"/>
        <w:jc w:val="both"/>
        <w:rPr>
          <w:rFonts w:ascii="Century Gothic" w:hAnsi="Century Gothic" w:cs="Arial"/>
          <w:bCs/>
          <w:color w:val="000000" w:themeColor="text1"/>
          <w:sz w:val="20"/>
          <w:szCs w:val="20"/>
        </w:rPr>
      </w:pPr>
    </w:p>
    <w:p w14:paraId="4C8A84D7" w14:textId="77777777" w:rsidR="001F6387" w:rsidRDefault="001F6387" w:rsidP="001F6387">
      <w:pPr>
        <w:ind w:left="709" w:right="709"/>
        <w:jc w:val="both"/>
        <w:rPr>
          <w:rFonts w:ascii="Century Gothic" w:hAnsi="Century Gothic" w:cs="Arial"/>
          <w:bCs/>
          <w:color w:val="000000" w:themeColor="text1"/>
          <w:sz w:val="20"/>
          <w:szCs w:val="20"/>
        </w:rPr>
      </w:pPr>
      <w:r w:rsidRPr="00E11F53">
        <w:rPr>
          <w:rFonts w:ascii="Century Gothic" w:hAnsi="Century Gothic" w:cs="Arial"/>
          <w:bCs/>
          <w:color w:val="000000" w:themeColor="text1"/>
          <w:sz w:val="20"/>
          <w:szCs w:val="20"/>
        </w:rPr>
        <w:t>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w:t>
      </w:r>
      <w:r w:rsidRPr="00E11F53">
        <w:rPr>
          <w:rFonts w:ascii="Century Gothic" w:hAnsi="Century Gothic" w:cs="Arial"/>
          <w:bCs/>
          <w:i/>
          <w:color w:val="000000" w:themeColor="text1"/>
          <w:sz w:val="20"/>
          <w:szCs w:val="20"/>
        </w:rPr>
        <w:t>.</w:t>
      </w:r>
      <w:r w:rsidRPr="00E11F53">
        <w:rPr>
          <w:rFonts w:ascii="Century Gothic" w:hAnsi="Century Gothic" w:cs="Arial"/>
          <w:bCs/>
          <w:color w:val="000000" w:themeColor="text1"/>
          <w:sz w:val="20"/>
          <w:szCs w:val="20"/>
        </w:rPr>
        <w:t xml:space="preserve"> </w:t>
      </w:r>
    </w:p>
    <w:p w14:paraId="7916F8E7" w14:textId="77777777" w:rsidR="001F6387" w:rsidRPr="00E11F53" w:rsidRDefault="001F6387" w:rsidP="001F6387">
      <w:pPr>
        <w:ind w:left="709" w:right="709"/>
        <w:jc w:val="both"/>
        <w:rPr>
          <w:rFonts w:ascii="Century Gothic" w:hAnsi="Century Gothic" w:cs="Arial"/>
          <w:bCs/>
          <w:color w:val="000000" w:themeColor="text1"/>
          <w:sz w:val="20"/>
          <w:szCs w:val="20"/>
        </w:rPr>
      </w:pPr>
    </w:p>
    <w:p w14:paraId="0157BD18" w14:textId="77777777" w:rsidR="001F6387" w:rsidRPr="000B3BF1" w:rsidRDefault="001F6387" w:rsidP="001F6387">
      <w:pPr>
        <w:spacing w:line="276" w:lineRule="auto"/>
        <w:ind w:firstLine="709"/>
        <w:jc w:val="both"/>
        <w:rPr>
          <w:rFonts w:ascii="Century Gothic" w:hAnsi="Century Gothic" w:cs="Arial"/>
          <w:bCs/>
          <w:color w:val="000000" w:themeColor="text1"/>
          <w:sz w:val="22"/>
          <w:szCs w:val="22"/>
        </w:rPr>
      </w:pPr>
      <w:r w:rsidRPr="000B3BF1">
        <w:rPr>
          <w:rFonts w:ascii="Century Gothic" w:hAnsi="Century Gothic" w:cs="Arial"/>
          <w:bCs/>
          <w:color w:val="000000" w:themeColor="text1"/>
          <w:sz w:val="22"/>
          <w:szCs w:val="22"/>
        </w:rPr>
        <w:t xml:space="preserve">Como puede observarse, esta norma: i) mantiene el criterio de la Ley 80 de 1993, relativo a que todo lo que no sea necesario para la comparación de propuestas no es título suficiente para su rechazo; </w:t>
      </w:r>
      <w:proofErr w:type="spellStart"/>
      <w:r w:rsidRPr="000B3BF1">
        <w:rPr>
          <w:rFonts w:ascii="Century Gothic" w:hAnsi="Century Gothic" w:cs="Arial"/>
          <w:bCs/>
          <w:color w:val="000000" w:themeColor="text1"/>
          <w:sz w:val="22"/>
          <w:szCs w:val="22"/>
        </w:rPr>
        <w:t>ii</w:t>
      </w:r>
      <w:proofErr w:type="spellEnd"/>
      <w:r w:rsidRPr="000B3BF1">
        <w:rPr>
          <w:rFonts w:ascii="Century Gothic" w:hAnsi="Century Gothic" w:cs="Arial"/>
          <w:bCs/>
          <w:color w:val="000000" w:themeColor="text1"/>
          <w:sz w:val="22"/>
          <w:szCs w:val="22"/>
        </w:rPr>
        <w:t xml:space="preserve">) conserva el criterio aclaratorio </w:t>
      </w:r>
      <w:r w:rsidRPr="000B3BF1">
        <w:rPr>
          <w:rFonts w:ascii="Century Gothic" w:hAnsi="Century Gothic" w:cs="Arial"/>
          <w:bCs/>
          <w:color w:val="000000" w:themeColor="text1"/>
          <w:sz w:val="22"/>
          <w:szCs w:val="22"/>
        </w:rPr>
        <w:lastRenderedPageBreak/>
        <w:t xml:space="preserve">de la Ley 1150 de 2007, según el cual todo lo que no afecte la asignación de puntaje puede subsanarse e </w:t>
      </w:r>
      <w:proofErr w:type="spellStart"/>
      <w:r w:rsidRPr="000B3BF1">
        <w:rPr>
          <w:rFonts w:ascii="Century Gothic" w:hAnsi="Century Gothic" w:cs="Arial"/>
          <w:bCs/>
          <w:color w:val="000000" w:themeColor="text1"/>
          <w:sz w:val="22"/>
          <w:szCs w:val="22"/>
        </w:rPr>
        <w:t>iii</w:t>
      </w:r>
      <w:proofErr w:type="spellEnd"/>
      <w:r w:rsidRPr="000B3BF1">
        <w:rPr>
          <w:rFonts w:ascii="Century Gothic" w:hAnsi="Century Gothic" w:cs="Arial"/>
          <w:bCs/>
          <w:color w:val="000000" w:themeColor="text1"/>
          <w:sz w:val="22"/>
          <w:szCs w:val="22"/>
        </w:rPr>
        <w:t xml:space="preserve">) introduce modificaciones en relación con cuatro aspectos que se analizarán a continuación: </w:t>
      </w:r>
    </w:p>
    <w:p w14:paraId="1DFDE8E9" w14:textId="77777777" w:rsidR="001F6387" w:rsidRPr="000B3BF1" w:rsidRDefault="001F6387" w:rsidP="001F6387">
      <w:pPr>
        <w:spacing w:before="120" w:line="276" w:lineRule="auto"/>
        <w:ind w:firstLine="709"/>
        <w:jc w:val="both"/>
        <w:rPr>
          <w:rFonts w:ascii="Century Gothic" w:hAnsi="Century Gothic" w:cs="Arial"/>
          <w:bCs/>
          <w:color w:val="000000" w:themeColor="text1"/>
          <w:sz w:val="22"/>
          <w:szCs w:val="22"/>
        </w:rPr>
      </w:pPr>
      <w:r w:rsidRPr="000B3BF1">
        <w:rPr>
          <w:rFonts w:ascii="Century Gothic" w:hAnsi="Century Gothic" w:cs="Arial"/>
          <w:bCs/>
          <w:color w:val="000000" w:themeColor="text1"/>
          <w:sz w:val="22"/>
          <w:szCs w:val="22"/>
        </w:rPr>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w:t>
      </w:r>
      <w:r w:rsidRPr="000B3BF1">
        <w:rPr>
          <w:rFonts w:ascii="Century Gothic" w:hAnsi="Century Gothic" w:cs="Arial"/>
          <w:bCs/>
          <w:color w:val="000000" w:themeColor="text1"/>
          <w:sz w:val="22"/>
          <w:szCs w:val="22"/>
          <w:vertAlign w:val="superscript"/>
        </w:rPr>
        <w:footnoteReference w:id="12"/>
      </w:r>
      <w:r w:rsidRPr="000B3BF1">
        <w:rPr>
          <w:rFonts w:ascii="Century Gothic" w:hAnsi="Century Gothic" w:cs="Arial"/>
          <w:bCs/>
          <w:color w:val="000000" w:themeColor="text1"/>
          <w:sz w:val="22"/>
          <w:szCs w:val="22"/>
        </w:rPr>
        <w:t xml:space="preserve">; en el último los documentos o requisitos subsanables deben solicitarse hasta el momento previo a su realización. </w:t>
      </w:r>
    </w:p>
    <w:p w14:paraId="30DCE60C" w14:textId="77777777" w:rsidR="001F6387" w:rsidRPr="000B3BF1" w:rsidRDefault="001F6387" w:rsidP="001F6387">
      <w:pPr>
        <w:spacing w:line="276" w:lineRule="auto"/>
        <w:ind w:right="49" w:firstLine="708"/>
        <w:jc w:val="both"/>
        <w:rPr>
          <w:rFonts w:ascii="Century Gothic" w:hAnsi="Century Gothic" w:cs="Arial"/>
          <w:bCs/>
          <w:color w:val="000000" w:themeColor="text1"/>
          <w:sz w:val="22"/>
          <w:szCs w:val="22"/>
        </w:rPr>
      </w:pPr>
      <w:r w:rsidRPr="000B3BF1">
        <w:rPr>
          <w:rFonts w:ascii="Century Gothic" w:hAnsi="Century Gothic" w:cs="Arial"/>
          <w:bCs/>
          <w:color w:val="000000" w:themeColor="text1"/>
          <w:sz w:val="22"/>
          <w:szCs w:val="22"/>
        </w:rPr>
        <w:t xml:space="preserve">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“deberán ser solicitados por las entidades estatales y deberán ser entregados por los proponentes hasta el término de traslado del informe de evaluación que corresponda a cada modalidad de selección”. </w:t>
      </w:r>
    </w:p>
    <w:p w14:paraId="25723091" w14:textId="77777777" w:rsidR="001F6387" w:rsidRPr="000B3BF1" w:rsidRDefault="001F6387" w:rsidP="001F6387">
      <w:pPr>
        <w:spacing w:before="120" w:line="276" w:lineRule="auto"/>
        <w:ind w:firstLine="709"/>
        <w:jc w:val="both"/>
        <w:rPr>
          <w:rFonts w:ascii="Century Gothic" w:hAnsi="Century Gothic" w:cs="Arial"/>
          <w:bCs/>
          <w:color w:val="000000" w:themeColor="text1"/>
          <w:sz w:val="22"/>
          <w:szCs w:val="22"/>
        </w:rPr>
      </w:pPr>
      <w:r w:rsidRPr="000B3BF1">
        <w:rPr>
          <w:rFonts w:ascii="Century Gothic" w:hAnsi="Century Gothic" w:cs="Arial"/>
          <w:bCs/>
          <w:color w:val="000000" w:themeColor="text1"/>
          <w:sz w:val="22"/>
          <w:szCs w:val="22"/>
        </w:rPr>
        <w:t xml:space="preserve">No obstante, de la lectura de este aparte podrían, en la práctica, presentarse dos interpretaciones que dan lugar a dos formas de proceder en los procesos de selección, en lo que se refiere a la </w:t>
      </w:r>
      <w:proofErr w:type="spellStart"/>
      <w:r w:rsidRPr="000B3BF1">
        <w:rPr>
          <w:rFonts w:ascii="Century Gothic" w:hAnsi="Century Gothic" w:cs="Arial"/>
          <w:bCs/>
          <w:color w:val="000000" w:themeColor="text1"/>
          <w:sz w:val="22"/>
          <w:szCs w:val="22"/>
        </w:rPr>
        <w:t>subsanabilidad</w:t>
      </w:r>
      <w:proofErr w:type="spellEnd"/>
      <w:r w:rsidRPr="000B3BF1">
        <w:rPr>
          <w:rFonts w:ascii="Century Gothic" w:hAnsi="Century Gothic" w:cs="Arial"/>
          <w:bCs/>
          <w:color w:val="000000" w:themeColor="text1"/>
          <w:sz w:val="22"/>
          <w:szCs w:val="22"/>
        </w:rPr>
        <w:t xml:space="preserve"> de las ofertas. </w:t>
      </w:r>
      <w:r w:rsidRPr="000B3BF1">
        <w:rPr>
          <w:rFonts w:ascii="Century Gothic" w:hAnsi="Century Gothic" w:cs="Arial"/>
          <w:bCs/>
          <w:i/>
          <w:color w:val="000000" w:themeColor="text1"/>
          <w:sz w:val="22"/>
          <w:szCs w:val="22"/>
        </w:rPr>
        <w:t>Primera</w:t>
      </w:r>
      <w:r w:rsidRPr="000B3BF1">
        <w:rPr>
          <w:rFonts w:ascii="Century Gothic" w:hAnsi="Century Gothic" w:cs="Arial"/>
          <w:bCs/>
          <w:color w:val="000000" w:themeColor="text1"/>
          <w:sz w:val="22"/>
          <w:szCs w:val="22"/>
        </w:rPr>
        <w:t xml:space="preserve">, que la posibilidad de los oferentes para subsanar es el término del traslado del informe de evaluación, ya que en este documento es donde la Administración establece los requisitos o documentos omitidos que los oferentes deben subsanar, so pena de rechazo; </w:t>
      </w:r>
      <w:r w:rsidRPr="000B3BF1">
        <w:rPr>
          <w:rFonts w:ascii="Century Gothic" w:hAnsi="Century Gothic" w:cs="Arial"/>
          <w:bCs/>
          <w:i/>
          <w:color w:val="000000" w:themeColor="text1"/>
          <w:sz w:val="22"/>
          <w:szCs w:val="22"/>
        </w:rPr>
        <w:t>segunda</w:t>
      </w:r>
      <w:r w:rsidRPr="000B3BF1">
        <w:rPr>
          <w:rFonts w:ascii="Century Gothic" w:hAnsi="Century Gothic" w:cs="Arial"/>
          <w:bCs/>
          <w:color w:val="000000" w:themeColor="text1"/>
          <w:sz w:val="22"/>
          <w:szCs w:val="22"/>
        </w:rPr>
        <w:t xml:space="preserve">, que el término del traslado del informe de evaluación es el límite para la subsanación de ofertas, pero no el único momento para hacerlo. De acuerdo con esta primera interpretación, el informe de evaluación se convierte en la oportunidad que aprovecha la Administración para comunicarles a los oferentes qué documentos o requisitos omitieron y deben subsanar y, consecuentemente, el término del traslado es la oportunidad del proponente para cumplir con lo solicitado.  La segunda interpretación permitiría que la Administración requiera al oferente durante el proceso de evaluación de las propuestas, tan pronto advierta que hace falta un documento o requisito que se </w:t>
      </w:r>
      <w:r w:rsidRPr="000B3BF1">
        <w:rPr>
          <w:rFonts w:ascii="Century Gothic" w:hAnsi="Century Gothic" w:cs="Arial"/>
          <w:bCs/>
          <w:color w:val="000000" w:themeColor="text1"/>
          <w:sz w:val="22"/>
          <w:szCs w:val="22"/>
        </w:rPr>
        <w:lastRenderedPageBreak/>
        <w:t>puede subsanar. En este caso la subsanación se lleva a cabo con anterioridad a la publicación del informe de evaluación, de manera que una vez se publique el informe ya se encuentren subsanadas las propuestas, sin perjuicio del término límite que concedió la ley.</w:t>
      </w:r>
    </w:p>
    <w:p w14:paraId="28BDF079" w14:textId="77777777" w:rsidR="001F6387" w:rsidRPr="000B3BF1" w:rsidRDefault="001F6387" w:rsidP="001F6387">
      <w:pPr>
        <w:spacing w:before="120" w:line="276" w:lineRule="auto"/>
        <w:ind w:firstLine="709"/>
        <w:jc w:val="both"/>
        <w:rPr>
          <w:rFonts w:ascii="Century Gothic" w:hAnsi="Century Gothic" w:cs="Arial"/>
          <w:bCs/>
          <w:color w:val="000000" w:themeColor="text1"/>
          <w:sz w:val="22"/>
          <w:szCs w:val="22"/>
        </w:rPr>
      </w:pPr>
      <w:r w:rsidRPr="000B3BF1">
        <w:rPr>
          <w:rFonts w:ascii="Century Gothic" w:hAnsi="Century Gothic" w:cs="Arial"/>
          <w:bCs/>
          <w:color w:val="000000" w:themeColor="text1"/>
          <w:sz w:val="22"/>
          <w:szCs w:val="22"/>
        </w:rPr>
        <w:t xml:space="preserve">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w:t>
      </w:r>
    </w:p>
    <w:p w14:paraId="19BF2039" w14:textId="77777777" w:rsidR="001F6387" w:rsidRPr="000B3BF1" w:rsidRDefault="001F6387" w:rsidP="001F6387">
      <w:pPr>
        <w:spacing w:before="120" w:line="276" w:lineRule="auto"/>
        <w:ind w:firstLine="709"/>
        <w:jc w:val="both"/>
        <w:rPr>
          <w:rFonts w:ascii="Century Gothic" w:hAnsi="Century Gothic" w:cs="Arial"/>
          <w:bCs/>
          <w:color w:val="000000" w:themeColor="text1"/>
          <w:sz w:val="22"/>
          <w:szCs w:val="22"/>
        </w:rPr>
      </w:pPr>
      <w:r w:rsidRPr="000B3BF1">
        <w:rPr>
          <w:rFonts w:ascii="Century Gothic" w:hAnsi="Century Gothic" w:cs="Arial"/>
          <w:bCs/>
          <w:color w:val="000000" w:themeColor="text1"/>
          <w:sz w:val="22"/>
          <w:szCs w:val="22"/>
        </w:rPr>
        <w:t>El segundo cambio importante de la Ley 1882 de 2018 fue la introducción de un criterio material, directamente relacionado con los aspectos subsanables: “los proponentes no podrán acreditar circunstancias ocurridas con posterioridad al cierre del proceso”</w:t>
      </w:r>
      <w:r w:rsidRPr="000B3BF1">
        <w:rPr>
          <w:rFonts w:ascii="Century Gothic" w:hAnsi="Century Gothic" w:cs="Arial"/>
          <w:bCs/>
          <w:i/>
          <w:color w:val="000000" w:themeColor="text1"/>
          <w:sz w:val="22"/>
          <w:szCs w:val="22"/>
        </w:rPr>
        <w:t>.</w:t>
      </w:r>
      <w:r w:rsidRPr="000B3BF1">
        <w:rPr>
          <w:rFonts w:ascii="Century Gothic" w:hAnsi="Century Gothic" w:cs="Arial"/>
          <w:bCs/>
          <w:color w:val="000000" w:themeColor="text1"/>
          <w:sz w:val="22"/>
          <w:szCs w:val="22"/>
        </w:rPr>
        <w:t xml:space="preserve"> Lo anterior ofrece dos aspectos que merecen clarificación: </w:t>
      </w:r>
      <w:r w:rsidRPr="000B3BF1">
        <w:rPr>
          <w:rFonts w:ascii="Century Gothic" w:hAnsi="Century Gothic" w:cs="Arial"/>
          <w:bCs/>
          <w:i/>
          <w:color w:val="000000" w:themeColor="text1"/>
          <w:sz w:val="22"/>
          <w:szCs w:val="22"/>
        </w:rPr>
        <w:t>primero</w:t>
      </w:r>
      <w:r w:rsidRPr="000B3BF1">
        <w:rPr>
          <w:rFonts w:ascii="Century Gothic" w:hAnsi="Century Gothic" w:cs="Arial"/>
          <w:bCs/>
          <w:color w:val="000000" w:themeColor="text1"/>
          <w:sz w:val="22"/>
          <w:szCs w:val="22"/>
        </w:rPr>
        <w:t xml:space="preserve">, qué debe entenderse por circunstancias ocurridas con posterioridad; y </w:t>
      </w:r>
      <w:r w:rsidRPr="000B3BF1">
        <w:rPr>
          <w:rFonts w:ascii="Century Gothic" w:hAnsi="Century Gothic" w:cs="Arial"/>
          <w:bCs/>
          <w:i/>
          <w:color w:val="000000" w:themeColor="text1"/>
          <w:sz w:val="22"/>
          <w:szCs w:val="22"/>
        </w:rPr>
        <w:t>segundo</w:t>
      </w:r>
      <w:r w:rsidRPr="000B3BF1">
        <w:rPr>
          <w:rFonts w:ascii="Century Gothic" w:hAnsi="Century Gothic" w:cs="Arial"/>
          <w:bCs/>
          <w:color w:val="000000" w:themeColor="text1"/>
          <w:sz w:val="22"/>
          <w:szCs w:val="22"/>
        </w:rPr>
        <w:t>, qué es el cierre del proceso. La Sala de Consulta y Servicio Civil del Consejo de Estado ya había tenido la oportunidad de precisar estas expresiones, a propósito de un concepto en el que se refirió al artículo 10 del derogado Decreto 2474 de 2008</w:t>
      </w:r>
      <w:r w:rsidRPr="000B3BF1">
        <w:rPr>
          <w:rFonts w:ascii="Century Gothic" w:hAnsi="Century Gothic" w:cs="Arial"/>
          <w:bCs/>
          <w:color w:val="000000" w:themeColor="text1"/>
          <w:sz w:val="22"/>
          <w:szCs w:val="22"/>
          <w:vertAlign w:val="superscript"/>
        </w:rPr>
        <w:footnoteReference w:id="13"/>
      </w:r>
      <w:r w:rsidRPr="000B3BF1">
        <w:rPr>
          <w:rFonts w:ascii="Century Gothic" w:hAnsi="Century Gothic" w:cs="Arial"/>
          <w:bCs/>
          <w:color w:val="000000" w:themeColor="text1"/>
          <w:sz w:val="22"/>
          <w:szCs w:val="22"/>
        </w:rPr>
        <w:t xml:space="preserve">, que había determinado que en ningún caso la entidad podía </w:t>
      </w:r>
      <w:r w:rsidRPr="000B3BF1">
        <w:rPr>
          <w:rFonts w:ascii="Century Gothic" w:hAnsi="Century Gothic" w:cs="Arial"/>
          <w:bCs/>
          <w:color w:val="000000" w:themeColor="text1"/>
          <w:sz w:val="22"/>
          <w:szCs w:val="22"/>
        </w:rPr>
        <w:lastRenderedPageBreak/>
        <w:t xml:space="preserve">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 en los siguientes términos: </w:t>
      </w:r>
    </w:p>
    <w:p w14:paraId="5443E6C3" w14:textId="77777777" w:rsidR="001F6387" w:rsidRDefault="001F6387" w:rsidP="001F6387">
      <w:pPr>
        <w:ind w:left="709" w:right="709"/>
        <w:jc w:val="both"/>
        <w:rPr>
          <w:rFonts w:ascii="Century Gothic" w:hAnsi="Century Gothic" w:cs="Arial"/>
          <w:bCs/>
          <w:color w:val="000000" w:themeColor="text1"/>
          <w:sz w:val="21"/>
          <w:szCs w:val="21"/>
        </w:rPr>
      </w:pPr>
    </w:p>
    <w:p w14:paraId="4BF8A3F0" w14:textId="77777777" w:rsidR="001F6387" w:rsidRPr="00E11F53" w:rsidRDefault="001F6387" w:rsidP="001F6387">
      <w:pPr>
        <w:ind w:left="709" w:right="709"/>
        <w:jc w:val="both"/>
        <w:rPr>
          <w:rFonts w:ascii="Century Gothic" w:hAnsi="Century Gothic" w:cs="Arial"/>
          <w:bCs/>
          <w:color w:val="000000" w:themeColor="text1"/>
          <w:sz w:val="20"/>
          <w:szCs w:val="20"/>
        </w:rPr>
      </w:pPr>
      <w:r w:rsidRPr="00E11F53">
        <w:rPr>
          <w:rFonts w:ascii="Century Gothic" w:hAnsi="Century Gothic" w:cs="Arial"/>
          <w:bCs/>
          <w:color w:val="000000" w:themeColor="text1"/>
          <w:sz w:val="20"/>
          <w:szCs w:val="20"/>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w:t>
      </w:r>
      <w:r w:rsidRPr="00E11F53">
        <w:rPr>
          <w:rFonts w:ascii="Century Gothic" w:hAnsi="Century Gothic" w:cs="Arial"/>
          <w:bCs/>
          <w:color w:val="000000" w:themeColor="text1"/>
          <w:sz w:val="20"/>
          <w:szCs w:val="20"/>
          <w:vertAlign w:val="superscript"/>
        </w:rPr>
        <w:footnoteReference w:id="14"/>
      </w:r>
      <w:r w:rsidRPr="00E11F53">
        <w:rPr>
          <w:rFonts w:ascii="Century Gothic" w:hAnsi="Century Gothic" w:cs="Arial"/>
          <w:bCs/>
          <w:color w:val="000000" w:themeColor="text1"/>
          <w:sz w:val="20"/>
          <w:szCs w:val="20"/>
        </w:rPr>
        <w:t>.</w:t>
      </w:r>
    </w:p>
    <w:p w14:paraId="1CB60F4C" w14:textId="77777777" w:rsidR="001F6387" w:rsidRPr="00906AF6" w:rsidRDefault="001F6387" w:rsidP="001F6387">
      <w:pPr>
        <w:ind w:right="709"/>
        <w:jc w:val="both"/>
        <w:rPr>
          <w:rFonts w:ascii="Century Gothic" w:hAnsi="Century Gothic" w:cs="Arial"/>
          <w:bCs/>
          <w:color w:val="000000" w:themeColor="text1"/>
        </w:rPr>
      </w:pPr>
    </w:p>
    <w:p w14:paraId="0F7599AC" w14:textId="77777777" w:rsidR="001F6387" w:rsidRPr="000B3BF1" w:rsidRDefault="001F6387" w:rsidP="001F6387">
      <w:pPr>
        <w:spacing w:line="276" w:lineRule="auto"/>
        <w:ind w:firstLine="709"/>
        <w:jc w:val="both"/>
        <w:rPr>
          <w:rFonts w:ascii="Century Gothic" w:hAnsi="Century Gothic" w:cs="Arial"/>
          <w:bCs/>
          <w:color w:val="000000" w:themeColor="text1"/>
          <w:sz w:val="22"/>
          <w:szCs w:val="22"/>
        </w:rPr>
      </w:pPr>
      <w:r w:rsidRPr="000B3BF1">
        <w:rPr>
          <w:rFonts w:ascii="Century Gothic" w:hAnsi="Century Gothic" w:cs="Arial"/>
          <w:bCs/>
          <w:color w:val="000000" w:themeColor="text1"/>
          <w:sz w:val="22"/>
          <w:szCs w:val="22"/>
        </w:rPr>
        <w:t xml:space="preserve">De conformidad con el artículo 5 de la Ley 1882 de 2018, lo subsanable es la prueba de todas las circunstancias ocurridas antes del vencimiento del término para presentar las ofertas; eso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2D9524C4" w14:textId="77777777" w:rsidR="001F6387" w:rsidRPr="000B3BF1" w:rsidRDefault="001F6387" w:rsidP="001F6387">
      <w:pPr>
        <w:spacing w:before="120" w:line="276" w:lineRule="auto"/>
        <w:ind w:firstLine="709"/>
        <w:jc w:val="both"/>
        <w:rPr>
          <w:rFonts w:ascii="Century Gothic" w:hAnsi="Century Gothic" w:cs="Arial"/>
          <w:bCs/>
          <w:color w:val="000000" w:themeColor="text1"/>
          <w:sz w:val="22"/>
          <w:szCs w:val="22"/>
        </w:rPr>
      </w:pPr>
      <w:r w:rsidRPr="000B3BF1">
        <w:rPr>
          <w:rFonts w:ascii="Century Gothic" w:hAnsi="Century Gothic" w:cs="Arial"/>
          <w:bCs/>
          <w:color w:val="000000" w:themeColor="text1"/>
          <w:sz w:val="22"/>
          <w:szCs w:val="22"/>
        </w:rPr>
        <w:t xml:space="preserve">Un mejor entendimiento del significado de la expresión “circunstancias ocurridas con posterioridad al cierre del proceso” lleva necesariamente a distinguir </w:t>
      </w:r>
      <w:r w:rsidRPr="000B3BF1">
        <w:rPr>
          <w:rFonts w:ascii="Century Gothic" w:hAnsi="Century Gothic" w:cs="Arial"/>
          <w:bCs/>
          <w:color w:val="000000" w:themeColor="text1"/>
          <w:sz w:val="22"/>
          <w:szCs w:val="22"/>
        </w:rPr>
        <w:lastRenderedPageBreak/>
        <w:t xml:space="preserve">entre la prueba de un hecho y el hecho mismo. En el caso de la </w:t>
      </w:r>
      <w:proofErr w:type="spellStart"/>
      <w:r w:rsidRPr="000B3BF1">
        <w:rPr>
          <w:rFonts w:ascii="Century Gothic" w:hAnsi="Century Gothic" w:cs="Arial"/>
          <w:bCs/>
          <w:color w:val="000000" w:themeColor="text1"/>
          <w:sz w:val="22"/>
          <w:szCs w:val="22"/>
        </w:rPr>
        <w:t>subsanabilidad</w:t>
      </w:r>
      <w:proofErr w:type="spellEnd"/>
      <w:r w:rsidRPr="000B3BF1">
        <w:rPr>
          <w:rFonts w:ascii="Century Gothic" w:hAnsi="Century Gothic" w:cs="Arial"/>
          <w:bCs/>
          <w:color w:val="000000" w:themeColor="text1"/>
          <w:sz w:val="22"/>
          <w:szCs w:val="22"/>
        </w:rPr>
        <w:t xml:space="preserve">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w:t>
      </w:r>
    </w:p>
    <w:p w14:paraId="4DB03F68" w14:textId="77777777" w:rsidR="001F6387" w:rsidRPr="000B3BF1" w:rsidRDefault="001F6387" w:rsidP="001F6387">
      <w:pPr>
        <w:spacing w:before="120" w:line="276" w:lineRule="auto"/>
        <w:ind w:firstLine="709"/>
        <w:jc w:val="both"/>
        <w:rPr>
          <w:rFonts w:ascii="Century Gothic" w:hAnsi="Century Gothic" w:cs="Arial"/>
          <w:bCs/>
          <w:color w:val="000000" w:themeColor="text1"/>
          <w:sz w:val="22"/>
          <w:szCs w:val="22"/>
        </w:rPr>
      </w:pPr>
      <w:r w:rsidRPr="000B3BF1">
        <w:rPr>
          <w:rFonts w:ascii="Century Gothic" w:hAnsi="Century Gothic" w:cs="Arial"/>
          <w:bCs/>
          <w:color w:val="000000" w:themeColor="text1"/>
          <w:sz w:val="22"/>
          <w:szCs w:val="22"/>
        </w:rPr>
        <w:t xml:space="preserve">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w:t>
      </w:r>
      <w:proofErr w:type="spellStart"/>
      <w:r w:rsidRPr="000B3BF1">
        <w:rPr>
          <w:rFonts w:ascii="Century Gothic" w:hAnsi="Century Gothic" w:cs="Arial"/>
          <w:bCs/>
          <w:color w:val="000000" w:themeColor="text1"/>
          <w:sz w:val="22"/>
          <w:szCs w:val="22"/>
        </w:rPr>
        <w:t>ii</w:t>
      </w:r>
      <w:proofErr w:type="spellEnd"/>
      <w:r w:rsidRPr="000B3BF1">
        <w:rPr>
          <w:rFonts w:ascii="Century Gothic" w:hAnsi="Century Gothic" w:cs="Arial"/>
          <w:bCs/>
          <w:color w:val="000000" w:themeColor="text1"/>
          <w:sz w:val="22"/>
          <w:szCs w:val="22"/>
        </w:rPr>
        <w:t>) si un oferente presentó la propuesta sin aportar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0B3BF1">
        <w:rPr>
          <w:rFonts w:ascii="Century Gothic" w:hAnsi="Century Gothic" w:cs="Arial"/>
          <w:bCs/>
          <w:color w:val="000000" w:themeColor="text1"/>
          <w:sz w:val="22"/>
          <w:szCs w:val="22"/>
          <w:vertAlign w:val="superscript"/>
        </w:rPr>
        <w:footnoteReference w:id="15"/>
      </w:r>
      <w:r w:rsidRPr="000B3BF1">
        <w:rPr>
          <w:rFonts w:ascii="Century Gothic" w:hAnsi="Century Gothic" w:cs="Arial"/>
          <w:bCs/>
          <w:color w:val="000000" w:themeColor="text1"/>
          <w:sz w:val="22"/>
          <w:szCs w:val="22"/>
        </w:rPr>
        <w:t xml:space="preserve">; </w:t>
      </w:r>
      <w:proofErr w:type="spellStart"/>
      <w:r w:rsidRPr="000B3BF1">
        <w:rPr>
          <w:rFonts w:ascii="Century Gothic" w:hAnsi="Century Gothic" w:cs="Arial"/>
          <w:bCs/>
          <w:color w:val="000000" w:themeColor="text1"/>
          <w:sz w:val="22"/>
          <w:szCs w:val="22"/>
        </w:rPr>
        <w:t>iii</w:t>
      </w:r>
      <w:proofErr w:type="spellEnd"/>
      <w:r w:rsidRPr="000B3BF1">
        <w:rPr>
          <w:rFonts w:ascii="Century Gothic" w:hAnsi="Century Gothic" w:cs="Arial"/>
          <w:bCs/>
          <w:color w:val="000000" w:themeColor="text1"/>
          <w:sz w:val="22"/>
          <w:szCs w:val="22"/>
        </w:rPr>
        <w:t>) si un oferente no anexó el certificado de existencia y representación legal, el documento aportado con posterioridad debe dar cuenta de que la sociedad existe desde antes del cierre del proceso</w:t>
      </w:r>
      <w:r w:rsidRPr="000B3BF1">
        <w:rPr>
          <w:rFonts w:ascii="Century Gothic" w:hAnsi="Century Gothic" w:cs="Arial"/>
          <w:bCs/>
          <w:color w:val="000000" w:themeColor="text1"/>
          <w:sz w:val="22"/>
          <w:szCs w:val="22"/>
          <w:vertAlign w:val="superscript"/>
        </w:rPr>
        <w:footnoteReference w:id="16"/>
      </w:r>
      <w:r w:rsidRPr="000B3BF1">
        <w:rPr>
          <w:rFonts w:ascii="Century Gothic" w:hAnsi="Century Gothic" w:cs="Arial"/>
          <w:bCs/>
          <w:color w:val="000000" w:themeColor="text1"/>
          <w:sz w:val="22"/>
          <w:szCs w:val="22"/>
        </w:rPr>
        <w:t xml:space="preserve">; </w:t>
      </w:r>
      <w:proofErr w:type="spellStart"/>
      <w:r w:rsidRPr="000B3BF1">
        <w:rPr>
          <w:rFonts w:ascii="Century Gothic" w:hAnsi="Century Gothic" w:cs="Arial"/>
          <w:bCs/>
          <w:color w:val="000000" w:themeColor="text1"/>
          <w:sz w:val="22"/>
          <w:szCs w:val="22"/>
        </w:rPr>
        <w:t>iv</w:t>
      </w:r>
      <w:proofErr w:type="spellEnd"/>
      <w:r w:rsidRPr="000B3BF1">
        <w:rPr>
          <w:rFonts w:ascii="Century Gothic" w:hAnsi="Century Gothic" w:cs="Arial"/>
          <w:bCs/>
          <w:color w:val="000000" w:themeColor="text1"/>
          <w:sz w:val="22"/>
          <w:szCs w:val="22"/>
        </w:rPr>
        <w:t xml:space="preserve">) si un oferente olvidó adjuntar un certificado que demuestra un título universitario, el documento, aunque tenga fecha posterior al cierre del proceso, debe acreditar que el título académico se obtuvo con anterioridad al cierre del proceso; v) si un oferente no aportó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se entienda que acreditó una circunstancia ocurrida con posterioridad al cierre del proceso. </w:t>
      </w:r>
    </w:p>
    <w:p w14:paraId="7D7D4834" w14:textId="77777777" w:rsidR="001F6387" w:rsidRPr="000B3BF1" w:rsidRDefault="001F6387" w:rsidP="001F6387">
      <w:pPr>
        <w:spacing w:before="120" w:line="276" w:lineRule="auto"/>
        <w:ind w:firstLine="709"/>
        <w:jc w:val="both"/>
        <w:rPr>
          <w:rFonts w:ascii="Century Gothic" w:hAnsi="Century Gothic" w:cs="Arial"/>
          <w:bCs/>
          <w:color w:val="000000" w:themeColor="text1"/>
          <w:sz w:val="22"/>
          <w:szCs w:val="22"/>
        </w:rPr>
      </w:pPr>
      <w:r w:rsidRPr="000B3BF1">
        <w:rPr>
          <w:rFonts w:ascii="Century Gothic" w:hAnsi="Century Gothic" w:cs="Arial"/>
          <w:bCs/>
          <w:color w:val="000000" w:themeColor="text1"/>
          <w:sz w:val="22"/>
          <w:szCs w:val="22"/>
        </w:rPr>
        <w:t xml:space="preserve">Lo anterior quiere decir que no es la prueba –usualmente un documento– lo que debe ser anterior al cierre del proceso, sino el hecho que ella acredita, es decir, ante la solicitud de la Administración de subsanar un requisito, el documento podría estar fechado con posterioridad al vencimiento del término para recibir propuestas, siempre y cuando el hecho que acredite haya ocurrido antes, esto es, que no sea una circunstancia ocurrida con posterioridad al cierre del proceso. Es por ello que el Consejo de Estado sostiene que “lo que se subsana es la prueba y no la condición habilitante o un elemento de la propuesta (...) lo que se puede remediar es la prueba y no el requisito: La posibilidad debe recaer exclusivamente sobre </w:t>
      </w:r>
      <w:r w:rsidRPr="000B3BF1">
        <w:rPr>
          <w:rFonts w:ascii="Century Gothic" w:hAnsi="Century Gothic" w:cs="Arial"/>
          <w:bCs/>
          <w:color w:val="000000" w:themeColor="text1"/>
          <w:sz w:val="22"/>
          <w:szCs w:val="22"/>
        </w:rPr>
        <w:lastRenderedPageBreak/>
        <w:t>circunstancias acaecidas antes del cierre del respectivo proceso, esto es, del vencimiento del plazo para presentar ofertas”</w:t>
      </w:r>
      <w:r w:rsidRPr="000B3BF1">
        <w:rPr>
          <w:rFonts w:ascii="Century Gothic" w:hAnsi="Century Gothic" w:cs="Arial"/>
          <w:bCs/>
          <w:color w:val="000000" w:themeColor="text1"/>
          <w:sz w:val="22"/>
          <w:szCs w:val="22"/>
          <w:vertAlign w:val="superscript"/>
        </w:rPr>
        <w:footnoteReference w:id="17"/>
      </w:r>
      <w:r w:rsidRPr="000B3BF1">
        <w:rPr>
          <w:rFonts w:ascii="Century Gothic" w:hAnsi="Century Gothic" w:cs="Arial"/>
          <w:bCs/>
          <w:color w:val="000000" w:themeColor="text1"/>
          <w:sz w:val="22"/>
          <w:szCs w:val="22"/>
        </w:rPr>
        <w:t xml:space="preserve">. </w:t>
      </w:r>
    </w:p>
    <w:p w14:paraId="4A47E169" w14:textId="77777777" w:rsidR="001F6387" w:rsidRPr="000B3BF1" w:rsidRDefault="001F6387" w:rsidP="001F6387">
      <w:pPr>
        <w:spacing w:before="120" w:line="276" w:lineRule="auto"/>
        <w:ind w:firstLine="709"/>
        <w:jc w:val="both"/>
        <w:rPr>
          <w:rFonts w:ascii="Century Gothic" w:hAnsi="Century Gothic" w:cs="Arial"/>
          <w:bCs/>
          <w:color w:val="000000" w:themeColor="text1"/>
          <w:sz w:val="22"/>
          <w:szCs w:val="22"/>
        </w:rPr>
      </w:pPr>
      <w:r w:rsidRPr="000B3BF1">
        <w:rPr>
          <w:rFonts w:ascii="Century Gothic" w:hAnsi="Century Gothic" w:cs="Arial"/>
          <w:bCs/>
          <w:color w:val="000000" w:themeColor="text1"/>
          <w:sz w:val="22"/>
          <w:szCs w:val="22"/>
        </w:rPr>
        <w:t xml:space="preserve">La anterior tesis fue reiterada por esta Subdirección en los conceptos 4201912000007418 del 30 de octubre de 2019 y 4201912000008198, en el que indicó que las certificaciones de experiencia que no otorgaran puntaje podían aportarse corregidos o incluso, en reemplazo de las que no cumplieran el requisito habilitante, siempre que en los documentos aportados en la etapa de </w:t>
      </w:r>
      <w:proofErr w:type="spellStart"/>
      <w:r w:rsidRPr="000B3BF1">
        <w:rPr>
          <w:rFonts w:ascii="Century Gothic" w:hAnsi="Century Gothic" w:cs="Arial"/>
          <w:bCs/>
          <w:color w:val="000000" w:themeColor="text1"/>
          <w:sz w:val="22"/>
          <w:szCs w:val="22"/>
        </w:rPr>
        <w:t>subsanabilidad</w:t>
      </w:r>
      <w:proofErr w:type="spellEnd"/>
      <w:r w:rsidRPr="000B3BF1">
        <w:rPr>
          <w:rFonts w:ascii="Century Gothic" w:hAnsi="Century Gothic" w:cs="Arial"/>
          <w:bCs/>
          <w:color w:val="000000" w:themeColor="text1"/>
          <w:sz w:val="22"/>
          <w:szCs w:val="22"/>
        </w:rPr>
        <w:t xml:space="preserve"> no se acreditara experiencia adquirida con posterioridad al cierre del procedimiento de selección. Por tanto, señaló que “[…] el oferente podrá acreditar su experiencia con certificaciones de contratos diferentes a los inicialmente aportados, siempre que acrediten la experiencia adquirida antes del cierre del proceso”, pero que “Si las certificaciones prueban que la experiencia del proponente se adquirió con posterioridad al cierre del proceso no se podrá aportar, porque esto implicaría una mejora, adición o complemento de la oferta”. </w:t>
      </w:r>
    </w:p>
    <w:p w14:paraId="429F4FFD" w14:textId="77777777" w:rsidR="001F6387" w:rsidRPr="000B3BF1" w:rsidRDefault="001F6387" w:rsidP="001F6387">
      <w:pPr>
        <w:spacing w:before="120" w:line="276" w:lineRule="auto"/>
        <w:ind w:firstLine="709"/>
        <w:jc w:val="both"/>
        <w:rPr>
          <w:rFonts w:ascii="Century Gothic" w:hAnsi="Century Gothic" w:cs="Arial"/>
          <w:bCs/>
          <w:color w:val="000000" w:themeColor="text1"/>
          <w:sz w:val="22"/>
          <w:szCs w:val="22"/>
        </w:rPr>
      </w:pPr>
      <w:r w:rsidRPr="000B3BF1">
        <w:rPr>
          <w:rFonts w:ascii="Century Gothic" w:hAnsi="Century Gothic" w:cs="Arial"/>
          <w:bCs/>
          <w:color w:val="000000" w:themeColor="text1"/>
          <w:sz w:val="22"/>
          <w:szCs w:val="22"/>
        </w:rPr>
        <w:t xml:space="preserve">De igual manera, la postura de esta Subdirección, según la cual la </w:t>
      </w:r>
      <w:proofErr w:type="spellStart"/>
      <w:r w:rsidRPr="000B3BF1">
        <w:rPr>
          <w:rFonts w:ascii="Century Gothic" w:hAnsi="Century Gothic" w:cs="Arial"/>
          <w:bCs/>
          <w:color w:val="000000" w:themeColor="text1"/>
          <w:sz w:val="22"/>
          <w:szCs w:val="22"/>
        </w:rPr>
        <w:t>subsanabilidad</w:t>
      </w:r>
      <w:proofErr w:type="spellEnd"/>
      <w:r w:rsidRPr="000B3BF1">
        <w:rPr>
          <w:rFonts w:ascii="Century Gothic" w:hAnsi="Century Gothic" w:cs="Arial"/>
          <w:bCs/>
          <w:color w:val="000000" w:themeColor="text1"/>
          <w:sz w:val="22"/>
          <w:szCs w:val="22"/>
        </w:rPr>
        <w:t xml:space="preserve"> procede sobre todos aquellos requisitos que no otorguen puntaje, siempre que no se trate de entregar la garantía de seriedad de la oferta no aportada antes del cierre del procedimiento de selección, y bajo la condición de que no se acrediten hechos ocurridos con posterioridad a dicho momento, fue reiterada en 2201913000008048 del 28 de octubre de 2019 –que indicó que no era posible, so pretexto de subsanar, modificar el porcentaje de participación en un consorcio o unión temporal, porque esto comportaba cambiar la oferta, acreditando circunstancias posteriores al cierre–; 2201913000008850 del 29 de noviembre de 2019 –en el que sostuvo que un proponente podría subsanar la experiencia, en tanto requisito habilitante, o sea, que no otorgara puntaje, aportando nuevas certificaciones, siempre que con ellas no se probara una experiencia que no se tenía antes del cierre–; 2201913000009373 del 17 de diciembre de 2019 –en el cual se expresó que la carta de conformación de un consorcio es un documento subsanable, bajo la condición de que el documento aportado permita constatar que el consorcio se conformó antes del vencimiento del término para la presentación de las propuestas–; 2201913000008049 del 28 de octubre de 2019 –en el que se reiteró que no es posible variar el porcentaje de participación en una unión temporal, porque implicaría una modificación de la oferta y la acreditación de un aspecto que es posterior al cierre del procedimiento de selección–. </w:t>
      </w:r>
    </w:p>
    <w:p w14:paraId="74CC6464" w14:textId="77777777" w:rsidR="001F6387" w:rsidRPr="000B3BF1" w:rsidRDefault="001F6387" w:rsidP="001F6387">
      <w:pPr>
        <w:spacing w:before="120" w:line="276" w:lineRule="auto"/>
        <w:ind w:firstLine="709"/>
        <w:jc w:val="both"/>
        <w:rPr>
          <w:rFonts w:ascii="Century Gothic" w:hAnsi="Century Gothic" w:cs="Arial"/>
          <w:bCs/>
          <w:color w:val="000000" w:themeColor="text1"/>
          <w:sz w:val="22"/>
          <w:szCs w:val="22"/>
        </w:rPr>
      </w:pPr>
      <w:r w:rsidRPr="000B3BF1">
        <w:rPr>
          <w:rFonts w:ascii="Century Gothic" w:hAnsi="Century Gothic" w:cs="Arial"/>
          <w:bCs/>
          <w:color w:val="000000" w:themeColor="text1"/>
          <w:sz w:val="22"/>
          <w:szCs w:val="22"/>
        </w:rPr>
        <w:lastRenderedPageBreak/>
        <w:t xml:space="preserve">Visto lo anterior, una vez verificada la ausencia de requisitos y/o documentos de la oferta, para saber si se puede subsanar, la Administración se debe preguntar, en primer lugar, si lo que hace falta es un documento o información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w:t>
      </w:r>
    </w:p>
    <w:p w14:paraId="6034351B" w14:textId="77777777" w:rsidR="001F6387" w:rsidRPr="000B3BF1" w:rsidRDefault="001F6387" w:rsidP="001F6387">
      <w:pPr>
        <w:spacing w:before="120" w:line="276" w:lineRule="auto"/>
        <w:ind w:firstLine="709"/>
        <w:jc w:val="both"/>
        <w:rPr>
          <w:rFonts w:ascii="Century Gothic" w:hAnsi="Century Gothic" w:cs="Arial"/>
          <w:bCs/>
          <w:color w:val="000000" w:themeColor="text1"/>
          <w:sz w:val="22"/>
          <w:szCs w:val="22"/>
        </w:rPr>
      </w:pPr>
      <w:r w:rsidRPr="000B3BF1">
        <w:rPr>
          <w:rFonts w:ascii="Century Gothic" w:hAnsi="Century Gothic" w:cs="Arial"/>
          <w:bCs/>
          <w:color w:val="000000" w:themeColor="text1"/>
          <w:sz w:val="22"/>
          <w:szCs w:val="22"/>
        </w:rPr>
        <w:t>Finalmente, el parágrafo 3 del artículo 5 de la Ley 1882 de 2018 determinó, de manera expresa, que “la no entrega de la garantía de seriedad junto con la propuesta no será subsanable y será causal de rechazo de la misma”, dejando claro que se trata de un documento de obligatoria presentación junto con la propuesta y que materializa los principios de seriedad e irrevocabilidad de la oferta.</w:t>
      </w:r>
    </w:p>
    <w:p w14:paraId="4DE6327C" w14:textId="77777777" w:rsidR="001F6387" w:rsidRPr="000B3BF1" w:rsidRDefault="001F6387" w:rsidP="001F6387">
      <w:pPr>
        <w:tabs>
          <w:tab w:val="left" w:pos="426"/>
        </w:tabs>
        <w:spacing w:line="276" w:lineRule="auto"/>
        <w:jc w:val="both"/>
        <w:rPr>
          <w:rFonts w:ascii="Century Gothic" w:hAnsi="Century Gothic" w:cs="Arial"/>
          <w:color w:val="000000" w:themeColor="text1"/>
          <w:sz w:val="22"/>
          <w:szCs w:val="22"/>
          <w:lang w:val="es-ES"/>
        </w:rPr>
      </w:pPr>
    </w:p>
    <w:p w14:paraId="132BAB8C" w14:textId="77777777" w:rsidR="001F6387" w:rsidRPr="000B3BF1" w:rsidRDefault="001F6387" w:rsidP="001F6387">
      <w:pPr>
        <w:tabs>
          <w:tab w:val="left" w:pos="426"/>
        </w:tabs>
        <w:spacing w:line="276" w:lineRule="auto"/>
        <w:jc w:val="both"/>
        <w:rPr>
          <w:rFonts w:ascii="Century Gothic" w:hAnsi="Century Gothic" w:cs="Arial"/>
          <w:color w:val="000000" w:themeColor="text1"/>
          <w:sz w:val="22"/>
          <w:szCs w:val="22"/>
          <w:lang w:val="es-ES"/>
        </w:rPr>
      </w:pPr>
    </w:p>
    <w:p w14:paraId="0D60CDF0" w14:textId="77777777" w:rsidR="001F6387" w:rsidRPr="000B3BF1" w:rsidRDefault="001F6387" w:rsidP="001F6387">
      <w:pPr>
        <w:spacing w:line="276" w:lineRule="auto"/>
        <w:jc w:val="both"/>
        <w:rPr>
          <w:rFonts w:ascii="Century Gothic" w:eastAsia="Calibri" w:hAnsi="Century Gothic" w:cs="Arial"/>
          <w:color w:val="000000" w:themeColor="text1"/>
          <w:sz w:val="22"/>
          <w:szCs w:val="22"/>
          <w:lang w:val="es-ES_tradnl" w:eastAsia="es-CO"/>
        </w:rPr>
      </w:pPr>
      <w:r w:rsidRPr="000B3BF1">
        <w:rPr>
          <w:rFonts w:ascii="Century Gothic" w:eastAsia="Calibri" w:hAnsi="Century Gothic" w:cs="Arial"/>
          <w:b/>
          <w:color w:val="000000" w:themeColor="text1"/>
          <w:sz w:val="22"/>
          <w:szCs w:val="22"/>
        </w:rPr>
        <w:t xml:space="preserve">2.2. </w:t>
      </w:r>
      <w:bookmarkStart w:id="6" w:name="_Hlk117695077"/>
      <w:r w:rsidRPr="000B3BF1">
        <w:rPr>
          <w:rFonts w:ascii="Century Gothic" w:eastAsia="Calibri" w:hAnsi="Century Gothic" w:cs="Arial"/>
          <w:b/>
          <w:color w:val="000000" w:themeColor="text1"/>
          <w:sz w:val="22"/>
          <w:szCs w:val="22"/>
          <w:lang w:val="es-MX" w:eastAsia="en-GB"/>
        </w:rPr>
        <w:t>Desarrollo normativo de los incentivos en procesos de contratación estatal para favorecer a personas con discapacidad</w:t>
      </w:r>
      <w:r w:rsidRPr="000B3BF1">
        <w:rPr>
          <w:rFonts w:ascii="Century Gothic" w:eastAsia="Calibri" w:hAnsi="Century Gothic" w:cs="Arial"/>
          <w:b/>
          <w:color w:val="000000" w:themeColor="text1"/>
          <w:sz w:val="22"/>
          <w:szCs w:val="22"/>
          <w:lang w:val="es-ES_tradnl" w:eastAsia="en-GB"/>
        </w:rPr>
        <w:t xml:space="preserve"> </w:t>
      </w:r>
    </w:p>
    <w:p w14:paraId="55C92CE1" w14:textId="77777777" w:rsidR="001F6387" w:rsidRPr="000B3BF1" w:rsidRDefault="001F6387" w:rsidP="001F6387">
      <w:pPr>
        <w:spacing w:line="276" w:lineRule="auto"/>
        <w:jc w:val="both"/>
        <w:rPr>
          <w:rFonts w:ascii="Century Gothic" w:hAnsi="Century Gothic" w:cs="Arial"/>
          <w:color w:val="000000" w:themeColor="text1"/>
          <w:sz w:val="22"/>
          <w:szCs w:val="22"/>
          <w:lang w:val="es-MX"/>
        </w:rPr>
      </w:pPr>
      <w:r w:rsidRPr="000B3BF1">
        <w:rPr>
          <w:rFonts w:ascii="Century Gothic" w:hAnsi="Century Gothic" w:cs="Arial"/>
          <w:color w:val="000000" w:themeColor="text1"/>
          <w:sz w:val="22"/>
          <w:szCs w:val="22"/>
          <w:lang w:val="es-MX"/>
        </w:rPr>
        <w:t xml:space="preserve">Con el propósito de hacer posible la igualdad material y efectiva de las personas en condición de discapacidad, el legislador expidió la Ley 1618 de 2013. Esta norma establece disposiciones para garantizar el pleno ejercicio de los derechos de las mencionadas personas, mediante la adopción de medidas de equidad y de acciones afirmativas que promuevan su inclusión en diferentes ámbitos de la economía y la sociedad. </w:t>
      </w:r>
    </w:p>
    <w:p w14:paraId="21CB9286" w14:textId="77777777" w:rsidR="001F6387" w:rsidRPr="000B3BF1" w:rsidRDefault="001F6387" w:rsidP="001F6387">
      <w:pPr>
        <w:spacing w:before="120" w:line="276" w:lineRule="auto"/>
        <w:ind w:firstLine="709"/>
        <w:jc w:val="both"/>
        <w:rPr>
          <w:rFonts w:ascii="Century Gothic" w:hAnsi="Century Gothic" w:cs="Arial"/>
          <w:color w:val="000000" w:themeColor="text1"/>
          <w:sz w:val="22"/>
          <w:szCs w:val="22"/>
          <w:lang w:val="es-MX" w:eastAsia="es-CO"/>
        </w:rPr>
      </w:pPr>
      <w:r w:rsidRPr="000B3BF1">
        <w:rPr>
          <w:rFonts w:ascii="Century Gothic" w:hAnsi="Century Gothic" w:cs="Arial"/>
          <w:color w:val="000000" w:themeColor="text1"/>
          <w:sz w:val="22"/>
          <w:szCs w:val="22"/>
          <w:lang w:val="es-MX"/>
        </w:rPr>
        <w:t>Como expresión de la finalidad antes enunciada y en aras de garantizar el derecho al trabajo en términos de igualdad material de oportunidades para las personas en condición de discapacidad, el artículo 13 de Ley 1618 de 2013 estableció acciones afirmativas en el marco del sistema de compras públicas. Adicionalmente, ordenó al Gobierno Nacional expedir el decreto reglamentario que determinara una puntuación adicional y un sistema</w:t>
      </w:r>
      <w:r w:rsidRPr="000B3BF1">
        <w:rPr>
          <w:rFonts w:ascii="Century Gothic" w:hAnsi="Century Gothic" w:cs="Arial"/>
          <w:color w:val="000000" w:themeColor="text1"/>
          <w:sz w:val="22"/>
          <w:szCs w:val="22"/>
          <w:lang w:val="es-MX" w:eastAsia="es-CO"/>
        </w:rPr>
        <w:t xml:space="preserve"> de preferencias en los procesos de contratación estatal. El artículo en mención prescribe lo siguiente: </w:t>
      </w:r>
    </w:p>
    <w:p w14:paraId="19C0EFE8" w14:textId="77777777" w:rsidR="001F6387" w:rsidRPr="00906AF6" w:rsidRDefault="001F6387" w:rsidP="001F6387">
      <w:pPr>
        <w:tabs>
          <w:tab w:val="left" w:pos="426"/>
        </w:tabs>
        <w:spacing w:line="276" w:lineRule="auto"/>
        <w:jc w:val="both"/>
        <w:rPr>
          <w:rFonts w:ascii="Century Gothic" w:hAnsi="Century Gothic" w:cs="Arial"/>
          <w:color w:val="000000" w:themeColor="text1"/>
          <w:lang w:val="es-MX" w:eastAsia="es-CO"/>
        </w:rPr>
      </w:pPr>
    </w:p>
    <w:p w14:paraId="19C046DD" w14:textId="77777777" w:rsidR="001F6387" w:rsidRPr="00906AF6" w:rsidRDefault="001F6387" w:rsidP="001F6387">
      <w:pPr>
        <w:ind w:left="709" w:right="709"/>
        <w:jc w:val="both"/>
        <w:rPr>
          <w:rFonts w:ascii="Century Gothic" w:eastAsia="Calibri" w:hAnsi="Century Gothic" w:cs="Arial"/>
          <w:color w:val="000000" w:themeColor="text1"/>
          <w:sz w:val="20"/>
          <w:szCs w:val="20"/>
          <w:lang w:val="es-MX" w:eastAsia="es-CO"/>
        </w:rPr>
      </w:pPr>
      <w:r w:rsidRPr="00906AF6">
        <w:rPr>
          <w:rFonts w:ascii="Century Gothic" w:eastAsia="Calibri" w:hAnsi="Century Gothic" w:cs="Arial"/>
          <w:color w:val="000000" w:themeColor="text1"/>
          <w:sz w:val="20"/>
          <w:szCs w:val="20"/>
          <w:lang w:val="es-MX" w:eastAsia="es-CO"/>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w:t>
      </w:r>
      <w:r w:rsidRPr="00906AF6">
        <w:rPr>
          <w:rFonts w:ascii="Century Gothic" w:eastAsia="Calibri" w:hAnsi="Century Gothic" w:cs="Arial"/>
          <w:color w:val="000000" w:themeColor="text1"/>
          <w:sz w:val="20"/>
          <w:szCs w:val="20"/>
          <w:lang w:val="es-MX" w:eastAsia="es-CO"/>
        </w:rPr>
        <w:lastRenderedPageBreak/>
        <w:t xml:space="preserve">la Ley 1346 de 2009, el Ministerio de Trabajo o quien haga sus veces y demás entidades competentes establecerán entre otras, las siguientes medidas: </w:t>
      </w:r>
    </w:p>
    <w:p w14:paraId="006B4CE1" w14:textId="77777777" w:rsidR="001F6387" w:rsidRPr="00906AF6" w:rsidRDefault="001F6387" w:rsidP="001F6387">
      <w:pPr>
        <w:ind w:left="709" w:right="709"/>
        <w:jc w:val="both"/>
        <w:rPr>
          <w:rFonts w:ascii="Century Gothic" w:eastAsia="Calibri" w:hAnsi="Century Gothic" w:cs="Arial"/>
          <w:color w:val="000000" w:themeColor="text1"/>
          <w:sz w:val="20"/>
          <w:szCs w:val="20"/>
          <w:lang w:val="es-MX" w:eastAsia="es-CO"/>
        </w:rPr>
      </w:pPr>
      <w:r w:rsidRPr="00906AF6">
        <w:rPr>
          <w:rFonts w:ascii="Century Gothic" w:eastAsia="Calibri" w:hAnsi="Century Gothic" w:cs="Arial"/>
          <w:color w:val="000000" w:themeColor="text1"/>
          <w:sz w:val="20"/>
          <w:szCs w:val="20"/>
          <w:lang w:val="es-MX" w:eastAsia="es-CO"/>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2F70F6E2" w14:textId="77777777" w:rsidR="001F6387" w:rsidRPr="00906AF6" w:rsidRDefault="001F6387" w:rsidP="001F6387">
      <w:pPr>
        <w:ind w:left="709" w:right="709"/>
        <w:jc w:val="both"/>
        <w:rPr>
          <w:rFonts w:ascii="Century Gothic" w:eastAsia="Calibri" w:hAnsi="Century Gothic" w:cs="Arial"/>
          <w:color w:val="000000" w:themeColor="text1"/>
          <w:sz w:val="20"/>
          <w:szCs w:val="20"/>
          <w:lang w:val="es-MX" w:eastAsia="es-CO"/>
        </w:rPr>
      </w:pPr>
      <w:r w:rsidRPr="00906AF6">
        <w:rPr>
          <w:rFonts w:ascii="Century Gothic" w:eastAsia="Calibri" w:hAnsi="Century Gothic" w:cs="Arial"/>
          <w:color w:val="000000" w:themeColor="text1"/>
          <w:sz w:val="20"/>
          <w:szCs w:val="20"/>
          <w:lang w:val="es-MX" w:eastAsia="es-CO"/>
        </w:rPr>
        <w:t>[…]</w:t>
      </w:r>
    </w:p>
    <w:p w14:paraId="1BBBF6D9" w14:textId="77777777" w:rsidR="001F6387" w:rsidRPr="00906AF6" w:rsidRDefault="001F6387" w:rsidP="001F6387">
      <w:pPr>
        <w:ind w:left="708" w:right="709"/>
        <w:jc w:val="both"/>
        <w:rPr>
          <w:rFonts w:ascii="Century Gothic" w:eastAsia="Calibri" w:hAnsi="Century Gothic" w:cs="Arial"/>
          <w:color w:val="000000" w:themeColor="text1"/>
          <w:sz w:val="20"/>
          <w:szCs w:val="20"/>
          <w:lang w:val="es-MX" w:eastAsia="es-CO"/>
        </w:rPr>
      </w:pPr>
      <w:r w:rsidRPr="00906AF6">
        <w:rPr>
          <w:rFonts w:ascii="Century Gothic" w:eastAsia="Calibri" w:hAnsi="Century Gothic" w:cs="Arial"/>
          <w:color w:val="000000" w:themeColor="text1"/>
          <w:sz w:val="20"/>
          <w:szCs w:val="20"/>
          <w:lang w:val="es-MX" w:eastAsia="es-CO"/>
        </w:rPr>
        <w:t xml:space="preserve">8. Los </w:t>
      </w:r>
      <w:proofErr w:type="gramStart"/>
      <w:r w:rsidRPr="00906AF6">
        <w:rPr>
          <w:rFonts w:ascii="Century Gothic" w:eastAsia="Calibri" w:hAnsi="Century Gothic" w:cs="Arial"/>
          <w:color w:val="000000" w:themeColor="text1"/>
          <w:sz w:val="20"/>
          <w:szCs w:val="20"/>
          <w:lang w:val="es-MX" w:eastAsia="es-CO"/>
        </w:rPr>
        <w:t>gobiernos nacional</w:t>
      </w:r>
      <w:proofErr w:type="gramEnd"/>
      <w:r w:rsidRPr="00906AF6">
        <w:rPr>
          <w:rFonts w:ascii="Century Gothic" w:eastAsia="Calibri" w:hAnsi="Century Gothic" w:cs="Arial"/>
          <w:color w:val="000000" w:themeColor="text1"/>
          <w:sz w:val="20"/>
          <w:szCs w:val="20"/>
          <w:lang w:val="es-MX" w:eastAsia="es-CO"/>
        </w:rPr>
        <w:t>, departamentales, distritales y municipales, deberán fijar mediante decreto reglamentario, en los procesos de selección de los contratistas y proveedores, un sistema de preferencias a favor de las personas con discapacidad”.</w:t>
      </w:r>
    </w:p>
    <w:p w14:paraId="14F9B166" w14:textId="77777777" w:rsidR="001F6387" w:rsidRPr="00906AF6" w:rsidRDefault="001F6387" w:rsidP="001F6387">
      <w:pPr>
        <w:tabs>
          <w:tab w:val="left" w:pos="426"/>
        </w:tabs>
        <w:jc w:val="both"/>
        <w:rPr>
          <w:rFonts w:ascii="Century Gothic" w:hAnsi="Century Gothic"/>
          <w:color w:val="000000" w:themeColor="text1"/>
          <w:sz w:val="17"/>
          <w:szCs w:val="18"/>
          <w:lang w:val="es-MX"/>
        </w:rPr>
      </w:pPr>
    </w:p>
    <w:p w14:paraId="4A17479F" w14:textId="77777777" w:rsidR="001F6387" w:rsidRPr="000B3BF1" w:rsidRDefault="001F6387" w:rsidP="001F6387">
      <w:pPr>
        <w:tabs>
          <w:tab w:val="left" w:pos="426"/>
        </w:tabs>
        <w:spacing w:line="276" w:lineRule="auto"/>
        <w:ind w:firstLine="709"/>
        <w:jc w:val="both"/>
        <w:rPr>
          <w:rFonts w:ascii="Century Gothic" w:hAnsi="Century Gothic" w:cs="Arial"/>
          <w:color w:val="000000" w:themeColor="text1"/>
          <w:sz w:val="22"/>
          <w:szCs w:val="22"/>
          <w:lang w:val="es-MX"/>
        </w:rPr>
      </w:pPr>
      <w:r w:rsidRPr="000B3BF1">
        <w:rPr>
          <w:rFonts w:ascii="Century Gothic" w:hAnsi="Century Gothic" w:cs="Arial"/>
          <w:color w:val="000000" w:themeColor="text1"/>
          <w:sz w:val="22"/>
          <w:szCs w:val="22"/>
          <w:lang w:val="es-MX"/>
        </w:rPr>
        <w:t xml:space="preserve">En cumplimiento de lo anterior, el Gobierno Nacional, ejerciendo su facultad reglamentaria, expidió el Decreto 392 del 2018, “Por el cual se reglamentan los numerales 1 y 8 del artículo 13 de la Ley 1618 de 2013, sobre incentivos en Procesos de Contratación en favor de personas con discapacidad”. Este Decreto adicionó el artículo 2.2.1.2.4.6 al Decreto Único Reglamentario 1082 de 2015, estableciendo un puntaje adicional del uno por ciento (1%) para proponentes en los procesos de licitaciones públicas y concurso de méritos que tuvieran vinculados a trabajadores con discapacidad, de acuerdo con los requisitos previstos en el mismo. Dicha norma señala: </w:t>
      </w:r>
    </w:p>
    <w:p w14:paraId="7A236B5F" w14:textId="77777777" w:rsidR="001F6387" w:rsidRPr="00906AF6" w:rsidRDefault="001F6387" w:rsidP="001F6387">
      <w:pPr>
        <w:spacing w:after="120"/>
        <w:ind w:left="709" w:right="709"/>
        <w:jc w:val="both"/>
        <w:rPr>
          <w:rFonts w:ascii="Century Gothic" w:eastAsia="Calibri" w:hAnsi="Century Gothic" w:cs="Arial"/>
          <w:i/>
          <w:iCs/>
          <w:color w:val="000000" w:themeColor="text1"/>
          <w:sz w:val="20"/>
          <w:szCs w:val="20"/>
          <w:lang w:val="es-MX" w:eastAsia="es-CO"/>
        </w:rPr>
      </w:pPr>
      <w:r w:rsidRPr="00906AF6">
        <w:rPr>
          <w:rFonts w:ascii="Century Gothic" w:hAnsi="Century Gothic" w:cs="Arial"/>
          <w:bCs/>
          <w:color w:val="000000" w:themeColor="text1"/>
          <w:sz w:val="20"/>
          <w:szCs w:val="20"/>
          <w:lang w:val="es-MX" w:eastAsia="es-CO"/>
        </w:rPr>
        <w:t>“Artículo 2.2.1.2.4.2.6. Puntaje adicional para proponentes con trabajadores con discapacidad</w:t>
      </w:r>
      <w:r w:rsidRPr="00906AF6">
        <w:rPr>
          <w:rFonts w:ascii="Century Gothic" w:hAnsi="Century Gothic" w:cs="Arial"/>
          <w:color w:val="000000" w:themeColor="text1"/>
          <w:sz w:val="20"/>
          <w:szCs w:val="20"/>
          <w:lang w:val="es-MX" w:eastAsia="es-CO"/>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3BDB247B" w14:textId="77777777" w:rsidR="001F6387" w:rsidRPr="00906AF6" w:rsidRDefault="001F6387" w:rsidP="001F6387">
      <w:pPr>
        <w:spacing w:after="120"/>
        <w:ind w:left="709" w:right="709"/>
        <w:jc w:val="both"/>
        <w:rPr>
          <w:rFonts w:ascii="Century Gothic" w:hAnsi="Century Gothic" w:cs="Arial"/>
          <w:color w:val="000000" w:themeColor="text1"/>
          <w:sz w:val="20"/>
          <w:szCs w:val="20"/>
          <w:lang w:val="es-MX" w:eastAsia="es-CO"/>
        </w:rPr>
      </w:pPr>
      <w:r w:rsidRPr="00906AF6">
        <w:rPr>
          <w:rFonts w:ascii="Century Gothic" w:hAnsi="Century Gothic" w:cs="Arial"/>
          <w:color w:val="000000" w:themeColor="text1"/>
          <w:sz w:val="20"/>
          <w:szCs w:val="20"/>
          <w:lang w:val="es-MX" w:eastAsia="es-CO"/>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61135E05" w14:textId="77777777" w:rsidR="001F6387" w:rsidRPr="00906AF6" w:rsidRDefault="001F6387" w:rsidP="001F6387">
      <w:pPr>
        <w:spacing w:after="120"/>
        <w:ind w:left="709" w:right="709"/>
        <w:jc w:val="both"/>
        <w:rPr>
          <w:rFonts w:ascii="Century Gothic" w:hAnsi="Century Gothic" w:cs="Arial"/>
          <w:color w:val="000000" w:themeColor="text1"/>
          <w:sz w:val="20"/>
          <w:szCs w:val="20"/>
          <w:lang w:val="es-MX" w:eastAsia="es-CO"/>
        </w:rPr>
      </w:pPr>
      <w:r w:rsidRPr="00906AF6">
        <w:rPr>
          <w:rFonts w:ascii="Century Gothic" w:hAnsi="Century Gothic" w:cs="Arial"/>
          <w:color w:val="000000" w:themeColor="text1"/>
          <w:sz w:val="20"/>
          <w:szCs w:val="20"/>
          <w:lang w:val="es-MX" w:eastAsia="es-CO"/>
        </w:rPr>
        <w:t xml:space="preserve">2. Acreditar el número mínimo de personas con discapacidad en su planta de personal, de conformidad con lo señalado en el </w:t>
      </w:r>
      <w:r w:rsidRPr="00906AF6">
        <w:rPr>
          <w:rFonts w:ascii="Century Gothic" w:hAnsi="Century Gothic" w:cs="Arial"/>
          <w:color w:val="000000" w:themeColor="text1"/>
          <w:sz w:val="20"/>
          <w:szCs w:val="20"/>
          <w:u w:val="single"/>
          <w:lang w:val="es-MX" w:eastAsia="es-CO"/>
        </w:rPr>
        <w:t>certificado expedido por el Ministerio de Trabajo</w:t>
      </w:r>
      <w:r w:rsidRPr="00906AF6">
        <w:rPr>
          <w:rFonts w:ascii="Century Gothic" w:hAnsi="Century Gothic" w:cs="Arial"/>
          <w:color w:val="000000" w:themeColor="text1"/>
          <w:sz w:val="20"/>
          <w:szCs w:val="20"/>
          <w:lang w:val="es-MX" w:eastAsia="es-CO"/>
        </w:rPr>
        <w:t>, el cual deberá estar vigente a la fecha de cierre del proceso de selección. Verificados los anteriores requisitos, se asignará el 1%, a quienes acrediten el número mínimo de trabajadores con discapacidad, señalados a continuación:</w:t>
      </w:r>
    </w:p>
    <w:tbl>
      <w:tblPr>
        <w:tblW w:w="613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2742"/>
      </w:tblGrid>
      <w:tr w:rsidR="001F6387" w:rsidRPr="00906AF6" w14:paraId="283EFE46" w14:textId="77777777" w:rsidTr="008975ED">
        <w:trPr>
          <w:trHeight w:val="210"/>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3F0ACFC4" w14:textId="77777777" w:rsidR="001F6387" w:rsidRPr="00906AF6" w:rsidRDefault="001F6387" w:rsidP="008975ED">
            <w:pPr>
              <w:jc w:val="center"/>
              <w:rPr>
                <w:rFonts w:ascii="Century Gothic" w:hAnsi="Century Gothic" w:cs="Arial"/>
                <w:b/>
                <w:bCs/>
                <w:color w:val="000000" w:themeColor="text1"/>
                <w:sz w:val="18"/>
                <w:szCs w:val="18"/>
                <w:lang w:val="es-MX" w:eastAsia="es-CO"/>
              </w:rPr>
            </w:pPr>
            <w:r w:rsidRPr="00906AF6">
              <w:rPr>
                <w:rFonts w:ascii="Century Gothic" w:hAnsi="Century Gothic" w:cs="Arial"/>
                <w:b/>
                <w:bCs/>
                <w:color w:val="000000" w:themeColor="text1"/>
                <w:sz w:val="18"/>
                <w:szCs w:val="18"/>
                <w:lang w:val="es-MX" w:eastAsia="es-CO"/>
              </w:rPr>
              <w:lastRenderedPageBreak/>
              <w:t>Número total de trabajadores de la planta de personal del proponente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1CD165E7" w14:textId="77777777" w:rsidR="001F6387" w:rsidRPr="00906AF6" w:rsidRDefault="001F6387" w:rsidP="008975ED">
            <w:pPr>
              <w:jc w:val="center"/>
              <w:rPr>
                <w:rFonts w:ascii="Century Gothic" w:hAnsi="Century Gothic" w:cs="Arial"/>
                <w:b/>
                <w:bCs/>
                <w:color w:val="000000" w:themeColor="text1"/>
                <w:sz w:val="18"/>
                <w:szCs w:val="18"/>
                <w:lang w:val="es-MX" w:eastAsia="es-CO"/>
              </w:rPr>
            </w:pPr>
            <w:r w:rsidRPr="00906AF6">
              <w:rPr>
                <w:rFonts w:ascii="Century Gothic" w:hAnsi="Century Gothic" w:cs="Arial"/>
                <w:b/>
                <w:bCs/>
                <w:color w:val="000000" w:themeColor="text1"/>
                <w:sz w:val="18"/>
                <w:szCs w:val="18"/>
                <w:lang w:val="es-MX" w:eastAsia="es-CO"/>
              </w:rPr>
              <w:t>Número mínimo de trabajadores con discapacidad exigido </w:t>
            </w:r>
          </w:p>
        </w:tc>
      </w:tr>
      <w:tr w:rsidR="001F6387" w:rsidRPr="00906AF6" w14:paraId="5920F46B" w14:textId="77777777" w:rsidTr="008975ED">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13AD957B" w14:textId="77777777" w:rsidR="001F6387" w:rsidRPr="00906AF6" w:rsidRDefault="001F6387" w:rsidP="008975ED">
            <w:pPr>
              <w:rPr>
                <w:rFonts w:ascii="Century Gothic" w:hAnsi="Century Gothic" w:cs="Arial"/>
                <w:color w:val="000000" w:themeColor="text1"/>
                <w:sz w:val="18"/>
                <w:szCs w:val="18"/>
                <w:lang w:val="es-MX" w:eastAsia="es-CO"/>
              </w:rPr>
            </w:pPr>
            <w:r w:rsidRPr="00906AF6">
              <w:rPr>
                <w:rFonts w:ascii="Century Gothic" w:hAnsi="Century Gothic" w:cs="Arial"/>
                <w:color w:val="000000" w:themeColor="text1"/>
                <w:sz w:val="18"/>
                <w:szCs w:val="18"/>
                <w:lang w:val="es-MX" w:eastAsia="es-CO"/>
              </w:rPr>
              <w:t>Entre 1 y 30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054C3F31" w14:textId="77777777" w:rsidR="001F6387" w:rsidRPr="00906AF6" w:rsidRDefault="001F6387" w:rsidP="008975ED">
            <w:pPr>
              <w:jc w:val="center"/>
              <w:rPr>
                <w:rFonts w:ascii="Century Gothic" w:hAnsi="Century Gothic" w:cs="Arial"/>
                <w:color w:val="000000" w:themeColor="text1"/>
                <w:sz w:val="18"/>
                <w:szCs w:val="18"/>
                <w:lang w:val="es-MX" w:eastAsia="es-CO"/>
              </w:rPr>
            </w:pPr>
            <w:r w:rsidRPr="00906AF6">
              <w:rPr>
                <w:rFonts w:ascii="Century Gothic" w:hAnsi="Century Gothic" w:cs="Arial"/>
                <w:color w:val="000000" w:themeColor="text1"/>
                <w:sz w:val="18"/>
                <w:szCs w:val="18"/>
                <w:lang w:val="es-MX" w:eastAsia="es-CO"/>
              </w:rPr>
              <w:t>1 </w:t>
            </w:r>
          </w:p>
        </w:tc>
      </w:tr>
      <w:tr w:rsidR="001F6387" w:rsidRPr="00906AF6" w14:paraId="14F00B9E" w14:textId="77777777" w:rsidTr="008975ED">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604DA0DC" w14:textId="77777777" w:rsidR="001F6387" w:rsidRPr="00906AF6" w:rsidRDefault="001F6387" w:rsidP="008975ED">
            <w:pPr>
              <w:rPr>
                <w:rFonts w:ascii="Century Gothic" w:hAnsi="Century Gothic" w:cs="Arial"/>
                <w:color w:val="000000" w:themeColor="text1"/>
                <w:sz w:val="18"/>
                <w:szCs w:val="18"/>
                <w:lang w:val="es-MX" w:eastAsia="es-CO"/>
              </w:rPr>
            </w:pPr>
            <w:r w:rsidRPr="00906AF6">
              <w:rPr>
                <w:rFonts w:ascii="Century Gothic" w:hAnsi="Century Gothic" w:cs="Arial"/>
                <w:color w:val="000000" w:themeColor="text1"/>
                <w:sz w:val="18"/>
                <w:szCs w:val="18"/>
                <w:lang w:val="es-MX" w:eastAsia="es-CO"/>
              </w:rPr>
              <w:t>Entre 31 y 100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1D20F8A8" w14:textId="77777777" w:rsidR="001F6387" w:rsidRPr="00906AF6" w:rsidRDefault="001F6387" w:rsidP="008975ED">
            <w:pPr>
              <w:jc w:val="center"/>
              <w:rPr>
                <w:rFonts w:ascii="Century Gothic" w:hAnsi="Century Gothic" w:cs="Arial"/>
                <w:color w:val="000000" w:themeColor="text1"/>
                <w:sz w:val="18"/>
                <w:szCs w:val="18"/>
                <w:lang w:val="es-MX" w:eastAsia="es-CO"/>
              </w:rPr>
            </w:pPr>
            <w:r w:rsidRPr="00906AF6">
              <w:rPr>
                <w:rFonts w:ascii="Century Gothic" w:hAnsi="Century Gothic" w:cs="Arial"/>
                <w:color w:val="000000" w:themeColor="text1"/>
                <w:sz w:val="18"/>
                <w:szCs w:val="18"/>
                <w:lang w:val="es-MX" w:eastAsia="es-CO"/>
              </w:rPr>
              <w:t>2 </w:t>
            </w:r>
          </w:p>
        </w:tc>
      </w:tr>
      <w:tr w:rsidR="001F6387" w:rsidRPr="00906AF6" w14:paraId="6D2C89D8" w14:textId="77777777" w:rsidTr="008975ED">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57FA63EB" w14:textId="77777777" w:rsidR="001F6387" w:rsidRPr="00906AF6" w:rsidRDefault="001F6387" w:rsidP="008975ED">
            <w:pPr>
              <w:rPr>
                <w:rFonts w:ascii="Century Gothic" w:hAnsi="Century Gothic" w:cs="Arial"/>
                <w:color w:val="000000" w:themeColor="text1"/>
                <w:sz w:val="18"/>
                <w:szCs w:val="18"/>
                <w:lang w:val="es-MX" w:eastAsia="es-CO"/>
              </w:rPr>
            </w:pPr>
            <w:r w:rsidRPr="00906AF6">
              <w:rPr>
                <w:rFonts w:ascii="Century Gothic" w:hAnsi="Century Gothic" w:cs="Arial"/>
                <w:color w:val="000000" w:themeColor="text1"/>
                <w:sz w:val="18"/>
                <w:szCs w:val="18"/>
                <w:lang w:val="es-MX" w:eastAsia="es-CO"/>
              </w:rPr>
              <w:t>Entre 101 y 150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3BD81F10" w14:textId="77777777" w:rsidR="001F6387" w:rsidRPr="00906AF6" w:rsidRDefault="001F6387" w:rsidP="008975ED">
            <w:pPr>
              <w:jc w:val="center"/>
              <w:rPr>
                <w:rFonts w:ascii="Century Gothic" w:hAnsi="Century Gothic" w:cs="Arial"/>
                <w:color w:val="000000" w:themeColor="text1"/>
                <w:sz w:val="18"/>
                <w:szCs w:val="18"/>
                <w:lang w:val="es-MX" w:eastAsia="es-CO"/>
              </w:rPr>
            </w:pPr>
            <w:r w:rsidRPr="00906AF6">
              <w:rPr>
                <w:rFonts w:ascii="Century Gothic" w:hAnsi="Century Gothic" w:cs="Arial"/>
                <w:color w:val="000000" w:themeColor="text1"/>
                <w:sz w:val="18"/>
                <w:szCs w:val="18"/>
                <w:lang w:val="es-MX" w:eastAsia="es-CO"/>
              </w:rPr>
              <w:t>3 </w:t>
            </w:r>
          </w:p>
        </w:tc>
      </w:tr>
      <w:tr w:rsidR="001F6387" w:rsidRPr="00906AF6" w14:paraId="7E671411" w14:textId="77777777" w:rsidTr="008975ED">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60B105EC" w14:textId="77777777" w:rsidR="001F6387" w:rsidRPr="00906AF6" w:rsidRDefault="001F6387" w:rsidP="008975ED">
            <w:pPr>
              <w:rPr>
                <w:rFonts w:ascii="Century Gothic" w:hAnsi="Century Gothic" w:cs="Arial"/>
                <w:color w:val="000000" w:themeColor="text1"/>
                <w:sz w:val="18"/>
                <w:szCs w:val="18"/>
                <w:lang w:val="es-MX" w:eastAsia="es-CO"/>
              </w:rPr>
            </w:pPr>
            <w:r w:rsidRPr="00906AF6">
              <w:rPr>
                <w:rFonts w:ascii="Century Gothic" w:hAnsi="Century Gothic" w:cs="Arial"/>
                <w:color w:val="000000" w:themeColor="text1"/>
                <w:sz w:val="18"/>
                <w:szCs w:val="18"/>
                <w:lang w:val="es-MX" w:eastAsia="es-CO"/>
              </w:rPr>
              <w:t>Entre 151 y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023D22A7" w14:textId="77777777" w:rsidR="001F6387" w:rsidRPr="00906AF6" w:rsidRDefault="001F6387" w:rsidP="008975ED">
            <w:pPr>
              <w:jc w:val="center"/>
              <w:rPr>
                <w:rFonts w:ascii="Century Gothic" w:hAnsi="Century Gothic" w:cs="Arial"/>
                <w:color w:val="000000" w:themeColor="text1"/>
                <w:sz w:val="18"/>
                <w:szCs w:val="18"/>
                <w:lang w:val="es-MX" w:eastAsia="es-CO"/>
              </w:rPr>
            </w:pPr>
            <w:r w:rsidRPr="00906AF6">
              <w:rPr>
                <w:rFonts w:ascii="Century Gothic" w:hAnsi="Century Gothic" w:cs="Arial"/>
                <w:color w:val="000000" w:themeColor="text1"/>
                <w:sz w:val="18"/>
                <w:szCs w:val="18"/>
                <w:lang w:val="es-MX" w:eastAsia="es-CO"/>
              </w:rPr>
              <w:t>4 </w:t>
            </w:r>
          </w:p>
        </w:tc>
      </w:tr>
      <w:tr w:rsidR="001F6387" w:rsidRPr="00906AF6" w14:paraId="2C92B06B" w14:textId="77777777" w:rsidTr="008975ED">
        <w:trPr>
          <w:trHeight w:val="99"/>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5379C13E" w14:textId="77777777" w:rsidR="001F6387" w:rsidRPr="00906AF6" w:rsidRDefault="001F6387" w:rsidP="008975ED">
            <w:pPr>
              <w:rPr>
                <w:rFonts w:ascii="Century Gothic" w:hAnsi="Century Gothic" w:cs="Arial"/>
                <w:color w:val="000000" w:themeColor="text1"/>
                <w:sz w:val="18"/>
                <w:szCs w:val="18"/>
                <w:lang w:val="es-MX" w:eastAsia="es-CO"/>
              </w:rPr>
            </w:pPr>
            <w:r w:rsidRPr="00906AF6">
              <w:rPr>
                <w:rFonts w:ascii="Century Gothic" w:hAnsi="Century Gothic" w:cs="Arial"/>
                <w:color w:val="000000" w:themeColor="text1"/>
                <w:sz w:val="18"/>
                <w:szCs w:val="18"/>
                <w:lang w:val="es-MX" w:eastAsia="es-CO"/>
              </w:rPr>
              <w:t>Más de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00F75C0B" w14:textId="77777777" w:rsidR="001F6387" w:rsidRPr="00906AF6" w:rsidRDefault="001F6387" w:rsidP="008975ED">
            <w:pPr>
              <w:jc w:val="center"/>
              <w:rPr>
                <w:rFonts w:ascii="Century Gothic" w:hAnsi="Century Gothic" w:cs="Arial"/>
                <w:color w:val="000000" w:themeColor="text1"/>
                <w:sz w:val="18"/>
                <w:szCs w:val="18"/>
                <w:lang w:val="es-MX" w:eastAsia="es-CO"/>
              </w:rPr>
            </w:pPr>
            <w:r w:rsidRPr="00906AF6">
              <w:rPr>
                <w:rFonts w:ascii="Century Gothic" w:hAnsi="Century Gothic" w:cs="Arial"/>
                <w:color w:val="000000" w:themeColor="text1"/>
                <w:sz w:val="18"/>
                <w:szCs w:val="18"/>
                <w:lang w:val="es-MX" w:eastAsia="es-CO"/>
              </w:rPr>
              <w:t>5 </w:t>
            </w:r>
          </w:p>
        </w:tc>
      </w:tr>
    </w:tbl>
    <w:p w14:paraId="1286C8F9" w14:textId="77777777" w:rsidR="001F6387" w:rsidRPr="00906AF6" w:rsidRDefault="001F6387" w:rsidP="001F6387">
      <w:pPr>
        <w:tabs>
          <w:tab w:val="left" w:pos="426"/>
        </w:tabs>
        <w:ind w:left="697" w:right="709"/>
        <w:jc w:val="both"/>
        <w:rPr>
          <w:rFonts w:ascii="Century Gothic" w:hAnsi="Century Gothic" w:cs="Arial"/>
          <w:color w:val="000000" w:themeColor="text1"/>
          <w:sz w:val="18"/>
          <w:szCs w:val="18"/>
          <w:lang w:val="es-MX" w:eastAsia="es-CO"/>
        </w:rPr>
      </w:pPr>
    </w:p>
    <w:p w14:paraId="57D8BE1A" w14:textId="77777777" w:rsidR="001F6387" w:rsidRPr="00906AF6" w:rsidRDefault="001F6387" w:rsidP="001F6387">
      <w:pPr>
        <w:tabs>
          <w:tab w:val="left" w:pos="426"/>
        </w:tabs>
        <w:ind w:left="697" w:right="709"/>
        <w:jc w:val="both"/>
        <w:rPr>
          <w:rFonts w:ascii="Century Gothic" w:hAnsi="Century Gothic" w:cs="Arial"/>
          <w:color w:val="000000" w:themeColor="text1"/>
          <w:sz w:val="20"/>
          <w:szCs w:val="20"/>
          <w:lang w:val="es-MX" w:eastAsia="es-CO"/>
        </w:rPr>
      </w:pPr>
      <w:r w:rsidRPr="00906AF6">
        <w:rPr>
          <w:rFonts w:ascii="Century Gothic" w:hAnsi="Century Gothic" w:cs="Arial"/>
          <w:color w:val="000000" w:themeColor="text1"/>
          <w:sz w:val="20"/>
          <w:szCs w:val="20"/>
          <w:lang w:val="es-MX" w:eastAsia="es-CO"/>
        </w:rPr>
        <w:t>Parágrafo.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3101D223" w14:textId="77777777" w:rsidR="001F6387" w:rsidRPr="000B3BF1" w:rsidRDefault="001F6387" w:rsidP="001F6387">
      <w:pPr>
        <w:spacing w:line="276" w:lineRule="auto"/>
        <w:ind w:firstLine="567"/>
        <w:jc w:val="both"/>
        <w:rPr>
          <w:rFonts w:ascii="Century Gothic" w:hAnsi="Century Gothic" w:cs="Arial"/>
          <w:color w:val="000000" w:themeColor="text1"/>
          <w:sz w:val="22"/>
          <w:szCs w:val="22"/>
          <w:lang w:val="es-ES"/>
        </w:rPr>
      </w:pPr>
      <w:r w:rsidRPr="000B3BF1">
        <w:rPr>
          <w:rFonts w:ascii="Century Gothic" w:hAnsi="Century Gothic" w:cs="Arial"/>
          <w:color w:val="000000" w:themeColor="text1"/>
          <w:sz w:val="22"/>
          <w:szCs w:val="22"/>
          <w:lang w:val="es-MX"/>
        </w:rPr>
        <w:t xml:space="preserve">La normativa antes mencionada determinó que en los referidos </w:t>
      </w:r>
      <w:proofErr w:type="gramStart"/>
      <w:r w:rsidRPr="000B3BF1">
        <w:rPr>
          <w:rFonts w:ascii="Century Gothic" w:hAnsi="Century Gothic" w:cs="Arial"/>
          <w:color w:val="000000" w:themeColor="text1"/>
          <w:sz w:val="22"/>
          <w:szCs w:val="22"/>
          <w:lang w:val="es-MX"/>
        </w:rPr>
        <w:t>procesos  de</w:t>
      </w:r>
      <w:proofErr w:type="gramEnd"/>
      <w:r w:rsidRPr="000B3BF1">
        <w:rPr>
          <w:rFonts w:ascii="Century Gothic" w:hAnsi="Century Gothic" w:cs="Arial"/>
          <w:color w:val="000000" w:themeColor="text1"/>
          <w:sz w:val="22"/>
          <w:szCs w:val="22"/>
          <w:lang w:val="es-MX"/>
        </w:rPr>
        <w:t xml:space="preserve"> licitaciones públicas y concursos de mérito se otorgaría el uno por ciento (1%) de los puntos establecidos en el pliego de condiciones a aquellos proponentes que acreditaran: i) el número total de trabajadores vinculados a la planta de personal; y, </w:t>
      </w:r>
      <w:proofErr w:type="spellStart"/>
      <w:r w:rsidRPr="000B3BF1">
        <w:rPr>
          <w:rFonts w:ascii="Century Gothic" w:hAnsi="Century Gothic" w:cs="Arial"/>
          <w:color w:val="000000" w:themeColor="text1"/>
          <w:sz w:val="22"/>
          <w:szCs w:val="22"/>
          <w:lang w:val="es-MX"/>
        </w:rPr>
        <w:t>ii</w:t>
      </w:r>
      <w:proofErr w:type="spellEnd"/>
      <w:r w:rsidRPr="000B3BF1">
        <w:rPr>
          <w:rFonts w:ascii="Century Gothic" w:hAnsi="Century Gothic" w:cs="Arial"/>
          <w:color w:val="000000" w:themeColor="text1"/>
          <w:sz w:val="22"/>
          <w:szCs w:val="22"/>
          <w:lang w:val="es-MX"/>
        </w:rPr>
        <w:t>) la vinculación de, por lo menos, el número mínimo exigido de trabajadores con discapacidad</w:t>
      </w:r>
      <w:r w:rsidRPr="000B3BF1">
        <w:rPr>
          <w:rFonts w:ascii="Century Gothic" w:hAnsi="Century Gothic" w:cs="Arial"/>
          <w:color w:val="000000" w:themeColor="text1"/>
          <w:sz w:val="22"/>
          <w:szCs w:val="22"/>
          <w:lang w:val="es-ES"/>
        </w:rPr>
        <w:t xml:space="preserve">. </w:t>
      </w:r>
    </w:p>
    <w:p w14:paraId="2DE74D0D" w14:textId="77777777" w:rsidR="001F6387" w:rsidRPr="000B3BF1" w:rsidRDefault="001F6387" w:rsidP="001F6387">
      <w:pPr>
        <w:spacing w:after="120" w:line="276" w:lineRule="auto"/>
        <w:ind w:firstLine="709"/>
        <w:jc w:val="both"/>
        <w:rPr>
          <w:rFonts w:ascii="Century Gothic" w:eastAsia="Calibri" w:hAnsi="Century Gothic" w:cs="Arial"/>
          <w:color w:val="000000" w:themeColor="text1"/>
          <w:sz w:val="22"/>
          <w:szCs w:val="22"/>
          <w:lang w:val="es-ES_tradnl" w:eastAsia="es-CO"/>
        </w:rPr>
      </w:pPr>
      <w:r w:rsidRPr="000B3BF1">
        <w:rPr>
          <w:rFonts w:ascii="Century Gothic" w:eastAsia="Calibri" w:hAnsi="Century Gothic" w:cs="Arial"/>
          <w:color w:val="000000" w:themeColor="text1"/>
          <w:sz w:val="22"/>
          <w:szCs w:val="22"/>
          <w:lang w:val="es-ES_tradnl" w:eastAsia="es-CO"/>
        </w:rPr>
        <w:t xml:space="preserve">Como se mencionó en el acápite anterior, el Decreto 392 de 2018 prescribe que, para alcanzar los incentivos por vinculación de personas con discapacidad, el proponente debe certificar el número total de trabajadores de su planta de personal y el número total de trabajadores con discapacidad pertenecientes a esta. Con esa finalidad, es necesario atender a las características de cada participante para determinar los mecanismos para acreditación de estos requisitos. </w:t>
      </w:r>
    </w:p>
    <w:p w14:paraId="1D83B860" w14:textId="77777777" w:rsidR="001F6387" w:rsidRPr="000B3BF1" w:rsidRDefault="001F6387" w:rsidP="001F6387">
      <w:pPr>
        <w:spacing w:after="120" w:line="276" w:lineRule="auto"/>
        <w:ind w:firstLine="709"/>
        <w:jc w:val="both"/>
        <w:rPr>
          <w:rFonts w:ascii="Century Gothic" w:eastAsia="Calibri" w:hAnsi="Century Gothic" w:cs="Arial"/>
          <w:color w:val="000000" w:themeColor="text1"/>
          <w:sz w:val="22"/>
          <w:szCs w:val="22"/>
          <w:lang w:val="es-ES_tradnl" w:eastAsia="es-CO"/>
        </w:rPr>
      </w:pPr>
      <w:r w:rsidRPr="000B3BF1">
        <w:rPr>
          <w:rFonts w:ascii="Century Gothic" w:eastAsia="Calibri" w:hAnsi="Century Gothic" w:cs="Arial"/>
          <w:color w:val="000000" w:themeColor="text1"/>
          <w:sz w:val="22"/>
          <w:szCs w:val="22"/>
          <w:lang w:val="es-ES_tradnl" w:eastAsia="es-CO"/>
        </w:rPr>
        <w:t xml:space="preserve">En primer lugar, la persona natural, el representante legal de la persona jurídica o su revisor fiscal, según el caso, deberá expedir un certificado en el que debe constar el número de trabajadores vinculados a la planta de personal al momento en que cierre el proceso de selección. </w:t>
      </w:r>
      <w:r w:rsidRPr="000B3BF1">
        <w:rPr>
          <w:rFonts w:ascii="Century Gothic" w:hAnsi="Century Gothic" w:cs="Arial"/>
          <w:color w:val="000000" w:themeColor="text1"/>
          <w:sz w:val="22"/>
          <w:szCs w:val="22"/>
          <w:lang w:eastAsia="es-MX"/>
        </w:rPr>
        <w:t xml:space="preserve">Por su parte, cuando se trate de </w:t>
      </w:r>
      <w:r w:rsidRPr="000B3BF1">
        <w:rPr>
          <w:rFonts w:ascii="Century Gothic" w:hAnsi="Century Gothic" w:cs="Arial"/>
          <w:i/>
          <w:iCs/>
          <w:color w:val="000000" w:themeColor="text1"/>
          <w:sz w:val="22"/>
          <w:szCs w:val="22"/>
          <w:lang w:eastAsia="es-MX"/>
        </w:rPr>
        <w:t>proponentes plurales</w:t>
      </w:r>
      <w:r w:rsidRPr="000B3BF1">
        <w:rPr>
          <w:rFonts w:ascii="Century Gothic" w:hAnsi="Century Gothic" w:cs="Arial"/>
          <w:color w:val="000000" w:themeColor="text1"/>
          <w:sz w:val="22"/>
          <w:szCs w:val="22"/>
          <w:lang w:eastAsia="es-MX"/>
        </w:rPr>
        <w:t xml:space="preserve">, esto es, consorcio o unión temporal, la acreditación de requisito corresponderá a los integrantes en la forma antes enunciada. Por ende, deben certificar el número de trabajadores vinculados a la planta de personal, según se trate de persona natural o persona jurídica. </w:t>
      </w:r>
      <w:r w:rsidRPr="000B3BF1">
        <w:rPr>
          <w:rFonts w:ascii="Century Gothic" w:eastAsia="Calibri" w:hAnsi="Century Gothic" w:cs="Arial"/>
          <w:color w:val="000000" w:themeColor="text1"/>
          <w:sz w:val="22"/>
          <w:szCs w:val="22"/>
          <w:lang w:val="es-ES_tradnl" w:eastAsia="es-CO"/>
        </w:rPr>
        <w:t>En segundo lugar, para acreditar que se cumple con el número mínimo de trabajadores con discapacidad exigido, se empleará un certificado expedido por el Ministerio de Trabajo, el cual debe estar vigente al cierre del respectivo proceso.</w:t>
      </w:r>
    </w:p>
    <w:p w14:paraId="61450DBE" w14:textId="77777777" w:rsidR="001F6387" w:rsidRPr="000B3BF1" w:rsidRDefault="001F6387" w:rsidP="001F6387">
      <w:pPr>
        <w:spacing w:after="120" w:line="276" w:lineRule="auto"/>
        <w:ind w:firstLine="709"/>
        <w:jc w:val="both"/>
        <w:rPr>
          <w:rFonts w:ascii="Century Gothic" w:eastAsia="Calibri" w:hAnsi="Century Gothic" w:cs="Arial"/>
          <w:color w:val="000000" w:themeColor="text1"/>
          <w:sz w:val="22"/>
          <w:szCs w:val="22"/>
          <w:lang w:val="es-ES_tradnl" w:eastAsia="es-CO"/>
        </w:rPr>
      </w:pPr>
      <w:r w:rsidRPr="000B3BF1">
        <w:rPr>
          <w:rFonts w:ascii="Century Gothic" w:eastAsia="Calibri" w:hAnsi="Century Gothic" w:cs="Arial"/>
          <w:color w:val="000000" w:themeColor="text1"/>
          <w:sz w:val="22"/>
          <w:szCs w:val="22"/>
          <w:lang w:val="es-ES_tradnl" w:eastAsia="es-CO"/>
        </w:rPr>
        <w:t xml:space="preserve">Se precisa que ambos certificados son necesarios, pues acreditan requisitos diferentes: el certificado emitido por el proponente relaciona el número total de trabajadores vinculados a la planta de personal hasta la fecha del cierre del </w:t>
      </w:r>
      <w:r w:rsidRPr="000B3BF1">
        <w:rPr>
          <w:rFonts w:ascii="Century Gothic" w:eastAsia="Calibri" w:hAnsi="Century Gothic" w:cs="Arial"/>
          <w:color w:val="000000" w:themeColor="text1"/>
          <w:sz w:val="22"/>
          <w:szCs w:val="22"/>
          <w:lang w:val="es-ES_tradnl" w:eastAsia="es-CO"/>
        </w:rPr>
        <w:lastRenderedPageBreak/>
        <w:t>proceso; mientras que en el certificado emitido por el Ministerio de Trabajo se acredita el número de personas con discapacidad. Esto permitirá, conjuntamente, determinar si se cumple con el rango necesario que habilite al proponente a acceder al beneficio.</w:t>
      </w:r>
    </w:p>
    <w:p w14:paraId="312D2E2E" w14:textId="77777777" w:rsidR="001F6387" w:rsidRPr="000B3BF1" w:rsidRDefault="001F6387" w:rsidP="001F6387">
      <w:pPr>
        <w:spacing w:line="276" w:lineRule="auto"/>
        <w:ind w:firstLine="709"/>
        <w:jc w:val="both"/>
        <w:rPr>
          <w:rFonts w:ascii="Century Gothic" w:hAnsi="Century Gothic" w:cs="Arial"/>
          <w:color w:val="000000" w:themeColor="text1"/>
          <w:sz w:val="22"/>
          <w:szCs w:val="22"/>
          <w:lang w:val="es-ES" w:eastAsia="es-CO"/>
        </w:rPr>
      </w:pPr>
      <w:r w:rsidRPr="000B3BF1">
        <w:rPr>
          <w:rFonts w:ascii="Century Gothic" w:eastAsia="Calibri" w:hAnsi="Century Gothic" w:cs="Arial"/>
          <w:color w:val="000000" w:themeColor="text1"/>
          <w:sz w:val="22"/>
          <w:szCs w:val="22"/>
          <w:lang w:val="es-ES" w:eastAsia="en-GB"/>
        </w:rPr>
        <w:t>Ahora bien, el parágrafo del artículo 2.2.1.2.4.6 del Decreto 1082 de 2015, adicionado por el artículo primero del Decreto 392</w:t>
      </w:r>
      <w:r w:rsidRPr="000B3BF1">
        <w:rPr>
          <w:rFonts w:ascii="Century Gothic" w:hAnsi="Century Gothic" w:cs="Arial"/>
          <w:color w:val="000000" w:themeColor="text1"/>
          <w:sz w:val="22"/>
          <w:szCs w:val="22"/>
          <w:lang w:val="es-ES" w:eastAsia="es-CO"/>
        </w:rPr>
        <w:t xml:space="preserve"> de 2018, condicionó la postulación de los proponentes plurales. Para que la oferta presentada por proponentes plurales obtenga el puntaje adicional por vinculación de trabajadores con discapacidad, deberá tomarse en cuenta la acreditación del integrante que aporte como mínimo el cuarenta por ciento (40%) de la experiencia requerida en el proceso de contratación. Para tal efecto, esta Subdirección ya ha mencionado en anteriores oportunidades que: </w:t>
      </w:r>
    </w:p>
    <w:p w14:paraId="2D5173BA" w14:textId="77777777" w:rsidR="001F6387" w:rsidRDefault="001F6387" w:rsidP="001F6387">
      <w:pPr>
        <w:shd w:val="clear" w:color="auto" w:fill="FFFFFF"/>
        <w:ind w:left="709" w:right="709"/>
        <w:jc w:val="both"/>
        <w:rPr>
          <w:rFonts w:ascii="Century Gothic" w:eastAsia="Calibri" w:hAnsi="Century Gothic" w:cs="Arial"/>
          <w:color w:val="000000" w:themeColor="text1"/>
          <w:sz w:val="20"/>
          <w:szCs w:val="20"/>
          <w:lang w:val="es-ES" w:eastAsia="es-CO"/>
        </w:rPr>
      </w:pPr>
      <w:r w:rsidRPr="00906AF6">
        <w:rPr>
          <w:rFonts w:ascii="Century Gothic" w:eastAsia="Calibri" w:hAnsi="Century Gothic" w:cs="Arial"/>
          <w:color w:val="000000" w:themeColor="text1"/>
          <w:sz w:val="20"/>
          <w:szCs w:val="20"/>
          <w:lang w:val="es-ES" w:eastAsia="es-CO"/>
        </w:rPr>
        <w:t>“[…] cuando el numeral 1 señala “la planta de personal del proponente o sus integrantes”, esta debe ser entendida de acuerdo con el tipo de proponente que se presente al proceso de selección. Así, “proponente” se refiere tanto a las personas naturales o jurídicas que se presentan individualmente, como a las estructuras plurales, trátese de consorcio o unión temporal. De allí que la expresión “o sus integrantes”, califica el proponente y se refiere, exclusivamente, a los integrantes de las estructuras plurales enunciadas”.</w:t>
      </w:r>
      <w:r w:rsidRPr="00906AF6">
        <w:rPr>
          <w:rFonts w:ascii="Century Gothic" w:eastAsia="Calibri" w:hAnsi="Century Gothic" w:cs="Arial"/>
          <w:color w:val="000000" w:themeColor="text1"/>
          <w:sz w:val="20"/>
          <w:szCs w:val="20"/>
          <w:vertAlign w:val="superscript"/>
          <w:lang w:val="es-ES" w:eastAsia="es-CO"/>
        </w:rPr>
        <w:footnoteReference w:id="18"/>
      </w:r>
    </w:p>
    <w:p w14:paraId="28D17852" w14:textId="77777777" w:rsidR="001F6387" w:rsidRPr="00906AF6" w:rsidRDefault="001F6387" w:rsidP="001F6387">
      <w:pPr>
        <w:shd w:val="clear" w:color="auto" w:fill="FFFFFF"/>
        <w:ind w:left="709" w:right="709"/>
        <w:jc w:val="both"/>
        <w:rPr>
          <w:rFonts w:ascii="Century Gothic" w:eastAsia="Calibri" w:hAnsi="Century Gothic" w:cs="Arial"/>
          <w:color w:val="000000" w:themeColor="text1"/>
          <w:sz w:val="20"/>
          <w:szCs w:val="20"/>
          <w:lang w:val="es-ES" w:eastAsia="es-CO"/>
        </w:rPr>
      </w:pPr>
    </w:p>
    <w:p w14:paraId="07019BCA" w14:textId="77777777" w:rsidR="001F6387" w:rsidRPr="000B3BF1" w:rsidRDefault="001F6387" w:rsidP="001F6387">
      <w:pPr>
        <w:spacing w:after="120" w:line="276" w:lineRule="auto"/>
        <w:ind w:firstLine="709"/>
        <w:jc w:val="both"/>
        <w:rPr>
          <w:rFonts w:ascii="Century Gothic" w:hAnsi="Century Gothic" w:cs="Arial"/>
          <w:color w:val="000000" w:themeColor="text1"/>
          <w:sz w:val="22"/>
          <w:szCs w:val="22"/>
          <w:lang w:eastAsia="es-MX"/>
        </w:rPr>
      </w:pPr>
      <w:r w:rsidRPr="000B3BF1">
        <w:rPr>
          <w:rFonts w:ascii="Century Gothic" w:hAnsi="Century Gothic" w:cs="Arial"/>
          <w:color w:val="000000" w:themeColor="text1"/>
          <w:sz w:val="22"/>
          <w:szCs w:val="22"/>
          <w:lang w:eastAsia="es-MX"/>
        </w:rPr>
        <w:t xml:space="preserve">Por lo anterior es necesario tener en cuenta que esta condición es propia de la persona que pretende acreditar la obtención del puntaje de acuerdo con su naturaleza jurídica. En efecto, cuando el numeral 1 del artículo </w:t>
      </w:r>
      <w:r w:rsidRPr="000B3BF1">
        <w:rPr>
          <w:rFonts w:ascii="Century Gothic" w:eastAsia="Calibri" w:hAnsi="Century Gothic" w:cs="Arial"/>
          <w:color w:val="000000" w:themeColor="text1"/>
          <w:sz w:val="22"/>
          <w:szCs w:val="22"/>
          <w:lang w:val="es-ES" w:eastAsia="es-MX"/>
        </w:rPr>
        <w:t>2.2.1.2.4.2.6 del Decreto 1082 de 2015 se refiere a</w:t>
      </w:r>
      <w:r w:rsidRPr="000B3BF1">
        <w:rPr>
          <w:rFonts w:ascii="Century Gothic" w:hAnsi="Century Gothic" w:cs="Arial"/>
          <w:color w:val="000000" w:themeColor="text1"/>
          <w:sz w:val="22"/>
          <w:szCs w:val="22"/>
          <w:lang w:eastAsia="es-MX"/>
        </w:rPr>
        <w:t xml:space="preserve"> “la planta de personal del proponente o sus integrantes”, esta expresión debe entenderse de acuerdo con el tipo de oferente. Así, la expresión “proponente” se refiere a las personas naturales o jurídicas que se presentan individual o colectivamente, en este último caso con independencia de que formen un consorcio, una unión temporal o suscriban una promesa de sociedad futura. De allí que la expresión “o sus integrantes”, califica el oferente y se refiere también a los integrantes de las estructuras plurales mencionadas.</w:t>
      </w:r>
    </w:p>
    <w:p w14:paraId="63C2381F" w14:textId="77777777" w:rsidR="001F6387" w:rsidRPr="000B3BF1" w:rsidRDefault="001F6387" w:rsidP="001F6387">
      <w:pPr>
        <w:spacing w:after="120" w:line="276" w:lineRule="auto"/>
        <w:ind w:firstLine="709"/>
        <w:jc w:val="both"/>
        <w:rPr>
          <w:rFonts w:ascii="Century Gothic" w:hAnsi="Century Gothic" w:cs="Arial"/>
          <w:color w:val="000000" w:themeColor="text1"/>
          <w:sz w:val="22"/>
          <w:szCs w:val="22"/>
          <w:lang w:eastAsia="es-MX"/>
        </w:rPr>
      </w:pPr>
      <w:r w:rsidRPr="000B3BF1">
        <w:rPr>
          <w:rFonts w:ascii="Century Gothic" w:hAnsi="Century Gothic" w:cs="Arial"/>
          <w:color w:val="000000" w:themeColor="text1"/>
          <w:sz w:val="22"/>
          <w:szCs w:val="22"/>
          <w:lang w:eastAsia="es-MX"/>
        </w:rPr>
        <w:t xml:space="preserve">La forma de asignar el puntaje por vinculación de trabajadores en condición de discapacidad se establece como factor de calificación adicional a los criterios económicos y técnicos fijados por la entidad en los pliegos de condiciones. Por lo tanto, cuando el proponente acredite que en la planta de personal de la empresa tiene contratadas personas con discapacidad y presente los documentos respectivos para acreditar tal condición, el órgano que dirige el procedimiento de selección deberá realizar una operación aritmética sobre el valor total de los </w:t>
      </w:r>
      <w:r w:rsidRPr="000B3BF1">
        <w:rPr>
          <w:rFonts w:ascii="Century Gothic" w:hAnsi="Century Gothic" w:cs="Arial"/>
          <w:color w:val="000000" w:themeColor="text1"/>
          <w:sz w:val="22"/>
          <w:szCs w:val="22"/>
          <w:lang w:eastAsia="es-MX"/>
        </w:rPr>
        <w:lastRenderedPageBreak/>
        <w:t>puntos establecidos como factores de calificación para verificar qué resultado corresponde al 1%, puntaje que deberá otorgar al oferente como incentivo por acreditar la condición de su equipo de trabajo en estado de discapacidad en los términos del reglamento.</w:t>
      </w:r>
    </w:p>
    <w:p w14:paraId="2CEFEFC1" w14:textId="77777777" w:rsidR="001F6387" w:rsidRPr="000B3BF1" w:rsidRDefault="001F6387" w:rsidP="001F6387">
      <w:pPr>
        <w:spacing w:line="276" w:lineRule="auto"/>
        <w:ind w:firstLine="567"/>
        <w:jc w:val="both"/>
        <w:rPr>
          <w:rFonts w:ascii="Century Gothic" w:hAnsi="Century Gothic" w:cs="Arial"/>
          <w:color w:val="000000" w:themeColor="text1"/>
          <w:sz w:val="22"/>
          <w:szCs w:val="22"/>
          <w:lang w:val="es-ES"/>
        </w:rPr>
      </w:pPr>
      <w:r w:rsidRPr="000B3BF1">
        <w:rPr>
          <w:rFonts w:ascii="Century Gothic" w:hAnsi="Century Gothic" w:cs="Arial"/>
          <w:color w:val="000000" w:themeColor="text1"/>
          <w:sz w:val="22"/>
          <w:szCs w:val="22"/>
          <w:lang w:val="es-ES"/>
        </w:rPr>
        <w:t xml:space="preserve">Sin perjuicio de lo anterior, si bien el puntaje regulado por el </w:t>
      </w:r>
      <w:r w:rsidRPr="000B3BF1">
        <w:rPr>
          <w:rFonts w:ascii="Century Gothic" w:eastAsia="Calibri" w:hAnsi="Century Gothic" w:cs="Arial"/>
          <w:color w:val="000000" w:themeColor="text1"/>
          <w:sz w:val="22"/>
          <w:szCs w:val="22"/>
          <w:lang w:val="es-ES" w:eastAsia="es-MX"/>
        </w:rPr>
        <w:t>2.2.1.2.4.2.6 no resulta aplicable a procesos de selección abreviada de menor cuantía, en este tipo de procedimientos, las entidades estatales tienen la posibilidad de ponderar la relación calidad-precio de los ofrecimientos, implementando criterios sociales, conforme a lo estipulado en el artículo 2.2.1.1.2.2.2. del Decreto 1082 de 2015, recientemente modificado por el Decreto 142 de 2023</w:t>
      </w:r>
      <w:r w:rsidRPr="000B3BF1">
        <w:rPr>
          <w:rStyle w:val="Refdenotaalpie"/>
          <w:rFonts w:ascii="Century Gothic" w:eastAsia="Calibri" w:hAnsi="Century Gothic" w:cs="Arial"/>
          <w:color w:val="000000" w:themeColor="text1"/>
          <w:sz w:val="22"/>
          <w:szCs w:val="22"/>
          <w:lang w:val="es-ES" w:eastAsia="es-MX"/>
        </w:rPr>
        <w:footnoteReference w:id="19"/>
      </w:r>
      <w:r w:rsidRPr="000B3BF1">
        <w:rPr>
          <w:rFonts w:ascii="Century Gothic" w:eastAsia="Calibri" w:hAnsi="Century Gothic" w:cs="Arial"/>
          <w:color w:val="000000" w:themeColor="text1"/>
          <w:sz w:val="22"/>
          <w:szCs w:val="22"/>
          <w:lang w:val="es-ES" w:eastAsia="es-MX"/>
        </w:rPr>
        <w:t xml:space="preserve">.  De hecho, el segundo inciso del parágrafo del artículo en cita indica que </w:t>
      </w:r>
      <w:r w:rsidRPr="000B3BF1">
        <w:rPr>
          <w:rFonts w:ascii="Century Gothic" w:eastAsia="Calibri" w:hAnsi="Century Gothic" w:cs="Arial"/>
          <w:i/>
          <w:iCs/>
          <w:color w:val="000000" w:themeColor="text1"/>
          <w:sz w:val="22"/>
          <w:szCs w:val="22"/>
          <w:lang w:val="es-ES" w:eastAsia="es-MX"/>
        </w:rPr>
        <w:t xml:space="preserve">“Los criterios sociales se referirán, </w:t>
      </w:r>
      <w:r w:rsidRPr="000B3BF1">
        <w:rPr>
          <w:rFonts w:ascii="Century Gothic" w:eastAsia="Calibri" w:hAnsi="Century Gothic" w:cs="Arial"/>
          <w:i/>
          <w:iCs/>
          <w:color w:val="000000" w:themeColor="text1"/>
          <w:sz w:val="22"/>
          <w:szCs w:val="22"/>
          <w:lang w:val="es-ES" w:eastAsia="es-MX"/>
        </w:rPr>
        <w:lastRenderedPageBreak/>
        <w:t>entre otras, a las siguientes finalidades: fomento de la integración social de personas con discapacidad […]”</w:t>
      </w:r>
      <w:r w:rsidRPr="000B3BF1">
        <w:rPr>
          <w:rFonts w:ascii="Century Gothic" w:eastAsia="Calibri" w:hAnsi="Century Gothic" w:cs="Arial"/>
          <w:color w:val="000000" w:themeColor="text1"/>
          <w:sz w:val="22"/>
          <w:szCs w:val="22"/>
          <w:lang w:val="es-ES" w:eastAsia="es-MX"/>
        </w:rPr>
        <w:t>. En todo caso, la implementación de este tipo de criterios está sometida a la autonomía de las entidades estatales contratantes, quienes podrán implementarlos cuando lo encuentren justificado en virtud de su relacionamiento con el objeto del contrato y según las reglas que se incluyan en los pliegos de condiciones.</w:t>
      </w:r>
    </w:p>
    <w:p w14:paraId="0BCD8793" w14:textId="77777777" w:rsidR="001F6387" w:rsidRPr="000B3BF1" w:rsidRDefault="001F6387" w:rsidP="001F6387">
      <w:pPr>
        <w:spacing w:line="276" w:lineRule="auto"/>
        <w:contextualSpacing/>
        <w:jc w:val="both"/>
        <w:rPr>
          <w:rFonts w:ascii="Century Gothic" w:eastAsia="Calibri" w:hAnsi="Century Gothic" w:cs="Arial"/>
          <w:b/>
          <w:color w:val="000000" w:themeColor="text1"/>
          <w:sz w:val="22"/>
          <w:szCs w:val="22"/>
          <w:lang w:val="es-ES_tradnl"/>
        </w:rPr>
      </w:pPr>
    </w:p>
    <w:p w14:paraId="66D6B850" w14:textId="77777777" w:rsidR="001F6387" w:rsidRPr="000B3BF1" w:rsidRDefault="001F6387" w:rsidP="001F6387">
      <w:pPr>
        <w:tabs>
          <w:tab w:val="left" w:pos="0"/>
        </w:tabs>
        <w:jc w:val="both"/>
        <w:rPr>
          <w:rFonts w:ascii="Century Gothic" w:eastAsia="Calibri" w:hAnsi="Century Gothic" w:cs="Arial"/>
          <w:b/>
          <w:color w:val="000000" w:themeColor="text1"/>
          <w:sz w:val="22"/>
          <w:szCs w:val="22"/>
          <w:lang w:val="es-ES_tradnl"/>
        </w:rPr>
      </w:pPr>
      <w:r w:rsidRPr="000B3BF1">
        <w:rPr>
          <w:rFonts w:ascii="Century Gothic" w:eastAsia="Calibri" w:hAnsi="Century Gothic" w:cs="Arial"/>
          <w:b/>
          <w:color w:val="000000" w:themeColor="text1"/>
          <w:sz w:val="22"/>
          <w:szCs w:val="22"/>
          <w:lang w:val="es-ES_tradnl"/>
        </w:rPr>
        <w:t>3. Respuesta</w:t>
      </w:r>
    </w:p>
    <w:p w14:paraId="5669D1D1" w14:textId="77777777" w:rsidR="001F6387" w:rsidRDefault="001F6387" w:rsidP="001F6387">
      <w:pPr>
        <w:ind w:left="709" w:right="709"/>
        <w:jc w:val="both"/>
        <w:rPr>
          <w:rFonts w:ascii="Century Gothic" w:hAnsi="Century Gothic" w:cs="Arial"/>
          <w:color w:val="000000" w:themeColor="text1"/>
          <w:sz w:val="20"/>
          <w:szCs w:val="20"/>
        </w:rPr>
      </w:pPr>
    </w:p>
    <w:p w14:paraId="34A32953" w14:textId="77777777" w:rsidR="001F6387" w:rsidRPr="00906AF6" w:rsidRDefault="001F6387" w:rsidP="001F6387">
      <w:pPr>
        <w:ind w:left="709" w:right="709"/>
        <w:jc w:val="both"/>
        <w:rPr>
          <w:rFonts w:ascii="Century Gothic" w:hAnsi="Century Gothic" w:cs="Arial"/>
          <w:color w:val="000000" w:themeColor="text1"/>
          <w:sz w:val="20"/>
          <w:szCs w:val="20"/>
        </w:rPr>
      </w:pPr>
      <w:r w:rsidRPr="00906AF6">
        <w:rPr>
          <w:rFonts w:ascii="Century Gothic" w:hAnsi="Century Gothic" w:cs="Arial"/>
          <w:color w:val="000000" w:themeColor="text1"/>
          <w:sz w:val="20"/>
          <w:szCs w:val="20"/>
        </w:rPr>
        <w:t xml:space="preserve">“(…) 1. Si en una oferta (licitación pública, selección abreviada, menor cuantía) no se adjuntan al momento del cierre de la misma, certificados como son el COPNIA, El </w:t>
      </w:r>
      <w:proofErr w:type="spellStart"/>
      <w:r w:rsidRPr="00906AF6">
        <w:rPr>
          <w:rFonts w:ascii="Century Gothic" w:hAnsi="Century Gothic" w:cs="Arial"/>
          <w:color w:val="000000" w:themeColor="text1"/>
          <w:sz w:val="20"/>
          <w:szCs w:val="20"/>
        </w:rPr>
        <w:t>Redam</w:t>
      </w:r>
      <w:proofErr w:type="spellEnd"/>
      <w:r w:rsidRPr="00906AF6">
        <w:rPr>
          <w:rFonts w:ascii="Century Gothic" w:hAnsi="Century Gothic" w:cs="Arial"/>
          <w:color w:val="000000" w:themeColor="text1"/>
          <w:sz w:val="20"/>
          <w:szCs w:val="20"/>
        </w:rPr>
        <w:t xml:space="preserve"> y Vigencia de antecedentes del contador. </w:t>
      </w:r>
      <w:proofErr w:type="gramStart"/>
      <w:r w:rsidRPr="00906AF6">
        <w:rPr>
          <w:rFonts w:ascii="Century Gothic" w:hAnsi="Century Gothic" w:cs="Arial"/>
          <w:color w:val="000000" w:themeColor="text1"/>
          <w:sz w:val="20"/>
          <w:szCs w:val="20"/>
        </w:rPr>
        <w:t>Estás pueden ser subsanadas dentro de la fecha estipulada de subsanación con certificados expedidos con fecha posterior al cierre de la oferta?</w:t>
      </w:r>
      <w:proofErr w:type="gramEnd"/>
      <w:r w:rsidRPr="00906AF6">
        <w:rPr>
          <w:rFonts w:ascii="Century Gothic" w:hAnsi="Century Gothic" w:cs="Arial"/>
          <w:color w:val="000000" w:themeColor="text1"/>
          <w:sz w:val="20"/>
          <w:szCs w:val="20"/>
        </w:rPr>
        <w:t xml:space="preserve"> y (sic) lo anterior no puede ser interpretado por la entidad como si el oferente estaría mejorando la propuesta?</w:t>
      </w:r>
      <w:r>
        <w:rPr>
          <w:rFonts w:ascii="Century Gothic" w:hAnsi="Century Gothic" w:cs="Arial"/>
          <w:color w:val="000000" w:themeColor="text1"/>
          <w:sz w:val="20"/>
          <w:szCs w:val="20"/>
        </w:rPr>
        <w:t>”</w:t>
      </w:r>
      <w:r w:rsidRPr="00906AF6">
        <w:rPr>
          <w:rFonts w:ascii="Century Gothic" w:hAnsi="Century Gothic" w:cs="Arial"/>
          <w:color w:val="000000" w:themeColor="text1"/>
          <w:sz w:val="20"/>
          <w:szCs w:val="20"/>
        </w:rPr>
        <w:t>.</w:t>
      </w:r>
    </w:p>
    <w:p w14:paraId="72752C4B" w14:textId="77777777" w:rsidR="001F6387" w:rsidRPr="00906AF6" w:rsidRDefault="001F6387" w:rsidP="001F6387">
      <w:pPr>
        <w:ind w:left="709" w:right="709"/>
        <w:jc w:val="both"/>
        <w:rPr>
          <w:rFonts w:ascii="Century Gothic" w:eastAsia="Calibri" w:hAnsi="Century Gothic" w:cs="Arial"/>
          <w:color w:val="000000" w:themeColor="text1"/>
          <w:sz w:val="21"/>
          <w:szCs w:val="21"/>
        </w:rPr>
      </w:pPr>
    </w:p>
    <w:p w14:paraId="14311C9B" w14:textId="77777777" w:rsidR="001F6387" w:rsidRPr="000B3BF1" w:rsidRDefault="001F6387" w:rsidP="001F6387">
      <w:pPr>
        <w:spacing w:after="120" w:line="276" w:lineRule="auto"/>
        <w:jc w:val="both"/>
        <w:rPr>
          <w:rFonts w:ascii="Century Gothic" w:hAnsi="Century Gothic" w:cs="Arial"/>
          <w:color w:val="000000" w:themeColor="text1"/>
          <w:sz w:val="22"/>
          <w:szCs w:val="22"/>
          <w:lang w:val="es-ES"/>
        </w:rPr>
      </w:pPr>
      <w:r w:rsidRPr="000B3BF1">
        <w:rPr>
          <w:rFonts w:ascii="Century Gothic" w:hAnsi="Century Gothic" w:cs="Arial"/>
          <w:color w:val="000000" w:themeColor="text1"/>
          <w:sz w:val="22"/>
          <w:szCs w:val="22"/>
          <w:lang w:val="es-ES"/>
        </w:rPr>
        <w:t xml:space="preserve">En ejercicio de las competencias establecidas en los artículos 3, numeral 5° y 11, numeral 8° del Decreto 4170 de 2011, la Agencia Nacional de Contratación Pública – Colombia Compra Eficiente solo tiene competencia para responder solicitudes sobre la aplicación de normas de carácter general en materia de compras y contratación pública. En ese sentido, esta Agencia no tiene competencia para </w:t>
      </w:r>
      <w:r w:rsidRPr="000B3BF1">
        <w:rPr>
          <w:rFonts w:ascii="Century Gothic" w:hAnsi="Century Gothic" w:cs="Arial"/>
          <w:color w:val="000000" w:themeColor="text1"/>
          <w:sz w:val="22"/>
          <w:szCs w:val="22"/>
        </w:rPr>
        <w:t>brindar asesorías, ni señalar la evaluación que deben realizar las entidades públicas en la evaluación propia de las distintas etapas de un proceso de contratación.</w:t>
      </w:r>
      <w:r w:rsidRPr="000B3BF1">
        <w:rPr>
          <w:rFonts w:ascii="Century Gothic" w:hAnsi="Century Gothic" w:cs="Arial"/>
          <w:color w:val="000000" w:themeColor="text1"/>
          <w:sz w:val="22"/>
          <w:szCs w:val="22"/>
          <w:lang w:val="es-ES"/>
        </w:rPr>
        <w:t xml:space="preserve"> </w:t>
      </w:r>
    </w:p>
    <w:p w14:paraId="3B231464" w14:textId="77777777" w:rsidR="001F6387" w:rsidRPr="000B3BF1" w:rsidRDefault="001F6387" w:rsidP="001F6387">
      <w:pPr>
        <w:spacing w:after="120" w:line="276" w:lineRule="auto"/>
        <w:ind w:firstLine="708"/>
        <w:jc w:val="both"/>
        <w:rPr>
          <w:rFonts w:ascii="Century Gothic" w:hAnsi="Century Gothic" w:cs="Arial"/>
          <w:bCs/>
          <w:color w:val="000000" w:themeColor="text1"/>
          <w:sz w:val="22"/>
          <w:szCs w:val="22"/>
        </w:rPr>
      </w:pPr>
      <w:r w:rsidRPr="000B3BF1">
        <w:rPr>
          <w:rFonts w:ascii="Century Gothic" w:hAnsi="Century Gothic" w:cs="Arial"/>
          <w:color w:val="000000" w:themeColor="text1"/>
          <w:sz w:val="22"/>
          <w:szCs w:val="22"/>
          <w:lang w:val="es-ES_tradnl"/>
        </w:rPr>
        <w:t xml:space="preserve">Sin perjuicio de lo anterior, de conformidad con las consideraciones expuestas en este concepto, frente al primer interrogante se indica que, es posible señalar que </w:t>
      </w:r>
      <w:r w:rsidRPr="000B3BF1">
        <w:rPr>
          <w:rFonts w:ascii="Century Gothic" w:hAnsi="Century Gothic" w:cs="Arial"/>
          <w:bCs/>
          <w:color w:val="000000" w:themeColor="text1"/>
          <w:sz w:val="22"/>
          <w:szCs w:val="22"/>
        </w:rPr>
        <w:t>una vez verificada la ausencia de requisitos y/o documentos de la oferta, para saber si se puede subsanar, la Administración se debe preguntar, en primer lugar, si lo que hace falta es un documento o información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Con dicha afirmación, es que se puede establecer si lo presentado en el trámite para corregir la oferta mejora la misma, o si es un documento que demuestra una condición previamente consolidada.</w:t>
      </w:r>
    </w:p>
    <w:p w14:paraId="4BD20F01" w14:textId="77777777" w:rsidR="001F6387" w:rsidRPr="00906AF6" w:rsidRDefault="001F6387" w:rsidP="001F6387">
      <w:pPr>
        <w:ind w:left="709" w:right="709"/>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w:t>
      </w:r>
      <w:r w:rsidRPr="00906AF6">
        <w:rPr>
          <w:rFonts w:ascii="Century Gothic" w:hAnsi="Century Gothic" w:cs="Arial"/>
          <w:color w:val="000000" w:themeColor="text1"/>
          <w:sz w:val="20"/>
          <w:szCs w:val="20"/>
        </w:rPr>
        <w:t xml:space="preserve">2. </w:t>
      </w:r>
      <w:proofErr w:type="gramStart"/>
      <w:r w:rsidRPr="00906AF6">
        <w:rPr>
          <w:rFonts w:ascii="Century Gothic" w:hAnsi="Century Gothic" w:cs="Arial"/>
          <w:color w:val="000000" w:themeColor="text1"/>
          <w:sz w:val="20"/>
          <w:szCs w:val="20"/>
        </w:rPr>
        <w:t>Un proceso de selección abreviada de una entidad estatal puede dentro de sus requisitos otorgar puntaje adicional por el criterio de discapacidad ?</w:t>
      </w:r>
      <w:proofErr w:type="gramEnd"/>
      <w:r w:rsidRPr="00906AF6">
        <w:rPr>
          <w:rFonts w:ascii="Century Gothic" w:hAnsi="Century Gothic" w:cs="Arial"/>
          <w:color w:val="000000" w:themeColor="text1"/>
          <w:sz w:val="20"/>
          <w:szCs w:val="20"/>
        </w:rPr>
        <w:t xml:space="preserve">, </w:t>
      </w:r>
      <w:r w:rsidRPr="00906AF6">
        <w:rPr>
          <w:rFonts w:ascii="Century Gothic" w:hAnsi="Century Gothic" w:cs="Arial"/>
          <w:color w:val="000000" w:themeColor="text1"/>
          <w:sz w:val="20"/>
          <w:szCs w:val="20"/>
        </w:rPr>
        <w:lastRenderedPageBreak/>
        <w:t xml:space="preserve">(sic) Teniendo en cuenta que la ley establece que éste puntaje es un requisito dentro de procesos de licitación pública y concurso de méritos, pero no estipula nada para procesos de selección abreviada. (…)” </w:t>
      </w:r>
    </w:p>
    <w:p w14:paraId="54966890" w14:textId="77777777" w:rsidR="001F6387" w:rsidRDefault="001F6387" w:rsidP="001F6387">
      <w:pPr>
        <w:spacing w:line="276" w:lineRule="auto"/>
        <w:ind w:firstLine="708"/>
        <w:jc w:val="both"/>
        <w:rPr>
          <w:rFonts w:ascii="Century Gothic" w:hAnsi="Century Gothic" w:cs="Arial"/>
          <w:bCs/>
          <w:color w:val="000000" w:themeColor="text1"/>
        </w:rPr>
      </w:pPr>
    </w:p>
    <w:p w14:paraId="293635EE" w14:textId="77777777" w:rsidR="001F6387" w:rsidRPr="000B3BF1" w:rsidRDefault="001F6387" w:rsidP="001F6387">
      <w:pPr>
        <w:spacing w:after="120" w:line="276" w:lineRule="auto"/>
        <w:ind w:firstLine="708"/>
        <w:jc w:val="both"/>
        <w:rPr>
          <w:rFonts w:ascii="Century Gothic" w:hAnsi="Century Gothic" w:cs="Arial"/>
          <w:bCs/>
          <w:color w:val="000000" w:themeColor="text1"/>
          <w:sz w:val="22"/>
          <w:szCs w:val="22"/>
        </w:rPr>
      </w:pPr>
      <w:r w:rsidRPr="000B3BF1">
        <w:rPr>
          <w:rFonts w:ascii="Century Gothic" w:hAnsi="Century Gothic" w:cs="Arial"/>
          <w:bCs/>
          <w:color w:val="000000" w:themeColor="text1"/>
          <w:sz w:val="22"/>
          <w:szCs w:val="22"/>
        </w:rPr>
        <w:t xml:space="preserve">Por otra parte, en lo que tiene que ver con el segundo punto de su consulta resulta claro que la situación bajo análisis se encuentra expresamente reglamentada en el Decreto 392 de 2018, que sin dubitación alguna solo señala esta exigencia mínima para unos específicos procesos contractuales, estableciendo que para alcanzar los incentivos por vinculación de personas con discapacidad, el proponente debe certificar el número total de trabajadores de su planta de personal y el número total de trabajadores con discapacidad pertenecientes a esta. Lo previo, pues la norma se encargó que asignar este apoyo a nivel normativo disponiéndolo como un mínimo en los procedimientos contractuales, de cara a dar la prevalencia del caso a la población discriminada positivamente, previa su estricta identificación. </w:t>
      </w:r>
    </w:p>
    <w:p w14:paraId="1FBFA83B" w14:textId="77777777" w:rsidR="001F6387" w:rsidRPr="000B3BF1" w:rsidRDefault="001F6387" w:rsidP="001F6387">
      <w:pPr>
        <w:spacing w:after="120" w:line="276" w:lineRule="auto"/>
        <w:ind w:firstLine="708"/>
        <w:jc w:val="both"/>
        <w:rPr>
          <w:rFonts w:ascii="Century Gothic" w:hAnsi="Century Gothic" w:cs="Arial"/>
          <w:bCs/>
          <w:color w:val="000000" w:themeColor="text1"/>
          <w:sz w:val="22"/>
          <w:szCs w:val="22"/>
        </w:rPr>
      </w:pPr>
      <w:r w:rsidRPr="000B3BF1">
        <w:rPr>
          <w:rFonts w:ascii="Century Gothic" w:hAnsi="Century Gothic" w:cs="Arial"/>
          <w:bCs/>
          <w:color w:val="000000" w:themeColor="text1"/>
          <w:sz w:val="22"/>
          <w:szCs w:val="22"/>
        </w:rPr>
        <w:t xml:space="preserve">Por tanto, a las voces de la norma, dicho mandato solo se hizo específico respecto de los mencionados procesos contractuales de licitación pública y concurso de méritos, estando excluidos del ámbito de aplicación del puntaje regulado por el artículo </w:t>
      </w:r>
      <w:r w:rsidRPr="000B3BF1">
        <w:rPr>
          <w:rFonts w:ascii="Century Gothic" w:eastAsia="Calibri" w:hAnsi="Century Gothic" w:cs="Arial"/>
          <w:color w:val="000000" w:themeColor="text1"/>
          <w:sz w:val="22"/>
          <w:szCs w:val="22"/>
          <w:lang w:val="es-ES" w:eastAsia="es-MX"/>
        </w:rPr>
        <w:t xml:space="preserve">2.2.1.2.4.2.6. </w:t>
      </w:r>
      <w:r w:rsidRPr="000B3BF1">
        <w:rPr>
          <w:rFonts w:ascii="Century Gothic" w:hAnsi="Century Gothic" w:cs="Arial"/>
          <w:bCs/>
          <w:color w:val="000000" w:themeColor="text1"/>
          <w:sz w:val="22"/>
          <w:szCs w:val="22"/>
        </w:rPr>
        <w:t xml:space="preserve">los procesos de selección abreviada de menor cuantía. No obstante, de acuerdo con lo expuesto, en torno al artículo 2.2.1.1.2.2.2 del Decreto 1082 de 2015, adicionado por el Decreto 142 de 2023, en los procesos de selección abreviada de menor cuantía las entidades tienen la posibilidad de implementar factores de evaluación que ponderen la calidad de los ofrecimientos valorando criterios sociales asociados al objeto del contrato, mecanismo a través del cual podría considerarse valido fomentar el empleo de personas con discapacidad. </w:t>
      </w:r>
    </w:p>
    <w:p w14:paraId="16A59ED3" w14:textId="77777777" w:rsidR="001F6387" w:rsidRPr="000B3BF1" w:rsidRDefault="001F6387" w:rsidP="001F6387">
      <w:pPr>
        <w:spacing w:line="276" w:lineRule="auto"/>
        <w:jc w:val="both"/>
        <w:rPr>
          <w:rFonts w:ascii="Century Gothic" w:hAnsi="Century Gothic" w:cs="Arial"/>
          <w:color w:val="000000" w:themeColor="text1"/>
          <w:sz w:val="22"/>
          <w:szCs w:val="22"/>
          <w:lang w:val="es-ES_tradnl"/>
        </w:rPr>
      </w:pPr>
      <w:r w:rsidRPr="000B3BF1">
        <w:rPr>
          <w:rFonts w:ascii="Century Gothic" w:hAnsi="Century Gothic" w:cs="Arial"/>
          <w:color w:val="000000" w:themeColor="text1"/>
          <w:sz w:val="22"/>
          <w:szCs w:val="22"/>
          <w:lang w:val="es-ES_tradnl"/>
        </w:rPr>
        <w:t>Este concepto tiene el alcance previsto en el artículo 28 del Código de Procedimiento Administrativo y de lo Contencioso Administrativo.</w:t>
      </w:r>
    </w:p>
    <w:p w14:paraId="6ACAD1C0" w14:textId="77777777" w:rsidR="001F6387" w:rsidRPr="00906AF6" w:rsidRDefault="001F6387" w:rsidP="001F6387">
      <w:pPr>
        <w:pStyle w:val="NormalWeb"/>
        <w:spacing w:before="0" w:beforeAutospacing="0" w:after="0" w:afterAutospacing="0" w:line="276" w:lineRule="auto"/>
        <w:jc w:val="both"/>
        <w:rPr>
          <w:rFonts w:ascii="Century Gothic" w:hAnsi="Century Gothic" w:cs="Arial"/>
          <w:color w:val="000000" w:themeColor="text1"/>
          <w:sz w:val="22"/>
          <w:szCs w:val="22"/>
          <w:lang w:val="es-ES_tradnl"/>
        </w:rPr>
      </w:pPr>
    </w:p>
    <w:p w14:paraId="01DDAF6F" w14:textId="77777777" w:rsidR="001F6387" w:rsidRPr="00906AF6" w:rsidRDefault="001F6387" w:rsidP="001F6387">
      <w:pPr>
        <w:pStyle w:val="NormalWeb"/>
        <w:spacing w:before="0" w:beforeAutospacing="0" w:after="0" w:afterAutospacing="0" w:line="276" w:lineRule="auto"/>
        <w:jc w:val="both"/>
        <w:rPr>
          <w:rFonts w:ascii="Century Gothic" w:hAnsi="Century Gothic" w:cs="Arial"/>
          <w:color w:val="000000" w:themeColor="text1"/>
          <w:sz w:val="22"/>
          <w:szCs w:val="22"/>
          <w:lang w:val="es-ES_tradnl"/>
        </w:rPr>
      </w:pPr>
      <w:r w:rsidRPr="00906AF6">
        <w:rPr>
          <w:rFonts w:ascii="Century Gothic" w:hAnsi="Century Gothic" w:cs="Arial"/>
          <w:color w:val="000000" w:themeColor="text1"/>
          <w:sz w:val="22"/>
          <w:szCs w:val="22"/>
          <w:lang w:val="es-ES_tradnl"/>
        </w:rPr>
        <w:t>Atentamente,</w:t>
      </w:r>
    </w:p>
    <w:bookmarkEnd w:id="6"/>
    <w:p w14:paraId="309FF264" w14:textId="1EF1F8F7" w:rsidR="001F6387" w:rsidRPr="00906AF6" w:rsidRDefault="00AC68B8" w:rsidP="001F6387">
      <w:pPr>
        <w:spacing w:line="276" w:lineRule="auto"/>
        <w:jc w:val="center"/>
        <w:rPr>
          <w:rFonts w:ascii="Century Gothic" w:hAnsi="Century Gothic" w:cs="Arial"/>
          <w:color w:val="000000" w:themeColor="text1"/>
          <w:lang w:val="es-ES_tradnl" w:eastAsia="es-CO"/>
        </w:rPr>
      </w:pPr>
      <w:r>
        <w:rPr>
          <w:noProof/>
        </w:rPr>
        <w:drawing>
          <wp:inline distT="0" distB="0" distL="0" distR="0" wp14:anchorId="43E8E310" wp14:editId="585BB3A7">
            <wp:extent cx="3152381" cy="1209524"/>
            <wp:effectExtent l="0" t="0" r="0" b="0"/>
            <wp:docPr id="13780912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91289" name=""/>
                    <pic:cNvPicPr/>
                  </pic:nvPicPr>
                  <pic:blipFill>
                    <a:blip r:embed="rId12"/>
                    <a:stretch>
                      <a:fillRect/>
                    </a:stretch>
                  </pic:blipFill>
                  <pic:spPr>
                    <a:xfrm>
                      <a:off x="0" y="0"/>
                      <a:ext cx="3152381" cy="1209524"/>
                    </a:xfrm>
                    <a:prstGeom prst="rect">
                      <a:avLst/>
                    </a:prstGeom>
                  </pic:spPr>
                </pic:pic>
              </a:graphicData>
            </a:graphic>
          </wp:inline>
        </w:drawing>
      </w:r>
    </w:p>
    <w:tbl>
      <w:tblPr>
        <w:tblStyle w:val="Tablaconcuadrcula"/>
        <w:tblW w:w="0" w:type="auto"/>
        <w:tblLook w:val="04A0" w:firstRow="1" w:lastRow="0" w:firstColumn="1" w:lastColumn="0" w:noHBand="0" w:noVBand="1"/>
      </w:tblPr>
      <w:tblGrid>
        <w:gridCol w:w="855"/>
        <w:gridCol w:w="4957"/>
      </w:tblGrid>
      <w:tr w:rsidR="001F6387" w:rsidRPr="00906AF6" w14:paraId="70889BBA" w14:textId="77777777" w:rsidTr="008975ED">
        <w:trPr>
          <w:trHeight w:val="315"/>
        </w:trPr>
        <w:tc>
          <w:tcPr>
            <w:tcW w:w="855" w:type="dxa"/>
            <w:tcBorders>
              <w:top w:val="nil"/>
              <w:left w:val="nil"/>
              <w:bottom w:val="nil"/>
              <w:right w:val="nil"/>
            </w:tcBorders>
            <w:vAlign w:val="center"/>
            <w:hideMark/>
          </w:tcPr>
          <w:p w14:paraId="0322C199" w14:textId="77777777" w:rsidR="001F6387" w:rsidRPr="00906AF6" w:rsidRDefault="001F6387" w:rsidP="008975ED">
            <w:pPr>
              <w:rPr>
                <w:rFonts w:ascii="Century Gothic" w:hAnsi="Century Gothic" w:cs="Arial"/>
                <w:color w:val="000000" w:themeColor="text1"/>
                <w:sz w:val="16"/>
                <w:szCs w:val="16"/>
                <w:lang w:val="es-ES" w:eastAsia="es-ES"/>
              </w:rPr>
            </w:pPr>
            <w:r w:rsidRPr="00906AF6">
              <w:rPr>
                <w:rFonts w:ascii="Century Gothic" w:hAnsi="Century Gothic" w:cs="Arial"/>
                <w:color w:val="000000" w:themeColor="text1"/>
                <w:sz w:val="16"/>
                <w:szCs w:val="16"/>
                <w:lang w:val="es-ES" w:eastAsia="es-ES"/>
              </w:rPr>
              <w:t>Elaboró:</w:t>
            </w:r>
          </w:p>
        </w:tc>
        <w:tc>
          <w:tcPr>
            <w:tcW w:w="4957" w:type="dxa"/>
            <w:tcBorders>
              <w:top w:val="nil"/>
              <w:left w:val="nil"/>
              <w:bottom w:val="dotted" w:sz="4" w:space="0" w:color="7F7F7F" w:themeColor="text1" w:themeTint="80"/>
              <w:right w:val="nil"/>
            </w:tcBorders>
            <w:vAlign w:val="center"/>
            <w:hideMark/>
          </w:tcPr>
          <w:p w14:paraId="6769B7D6" w14:textId="77777777" w:rsidR="001F6387" w:rsidRPr="00906AF6" w:rsidRDefault="001F6387" w:rsidP="008975ED">
            <w:pPr>
              <w:rPr>
                <w:rFonts w:ascii="Century Gothic" w:eastAsia="Calibri" w:hAnsi="Century Gothic" w:cs="Arial"/>
                <w:color w:val="000000" w:themeColor="text1"/>
                <w:sz w:val="16"/>
                <w:szCs w:val="16"/>
                <w:lang w:val="es-ES_tradnl" w:eastAsia="es-ES"/>
              </w:rPr>
            </w:pPr>
            <w:r w:rsidRPr="00906AF6">
              <w:rPr>
                <w:rFonts w:ascii="Century Gothic" w:eastAsia="Calibri" w:hAnsi="Century Gothic" w:cs="Arial"/>
                <w:color w:val="000000" w:themeColor="text1"/>
                <w:sz w:val="16"/>
                <w:szCs w:val="16"/>
                <w:lang w:val="es-ES_tradnl" w:eastAsia="es-ES"/>
              </w:rPr>
              <w:t>Jorge Mario Payares Villa</w:t>
            </w:r>
          </w:p>
          <w:p w14:paraId="5DBE81DB" w14:textId="77777777" w:rsidR="001F6387" w:rsidRPr="00906AF6" w:rsidRDefault="001F6387" w:rsidP="008975ED">
            <w:pPr>
              <w:rPr>
                <w:rFonts w:ascii="Century Gothic" w:hAnsi="Century Gothic" w:cs="Arial"/>
                <w:color w:val="000000" w:themeColor="text1"/>
                <w:sz w:val="16"/>
                <w:szCs w:val="16"/>
                <w:lang w:val="es-ES" w:eastAsia="es-ES"/>
              </w:rPr>
            </w:pPr>
            <w:r w:rsidRPr="00906AF6">
              <w:rPr>
                <w:rFonts w:ascii="Century Gothic" w:eastAsia="Calibri" w:hAnsi="Century Gothic" w:cs="Arial"/>
                <w:color w:val="000000" w:themeColor="text1"/>
                <w:sz w:val="16"/>
                <w:szCs w:val="16"/>
                <w:lang w:val="es-ES_tradnl" w:eastAsia="es-ES"/>
              </w:rPr>
              <w:t xml:space="preserve">Contratista </w:t>
            </w:r>
            <w:r w:rsidRPr="00906AF6">
              <w:rPr>
                <w:rFonts w:ascii="Century Gothic" w:hAnsi="Century Gothic" w:cs="Arial"/>
                <w:color w:val="000000" w:themeColor="text1"/>
                <w:sz w:val="16"/>
                <w:szCs w:val="16"/>
                <w:lang w:val="es-ES" w:eastAsia="es-ES"/>
              </w:rPr>
              <w:t>de la Subdirección de Gestión Contractual</w:t>
            </w:r>
          </w:p>
        </w:tc>
      </w:tr>
      <w:tr w:rsidR="001F6387" w:rsidRPr="00906AF6" w14:paraId="6C85C12B" w14:textId="77777777" w:rsidTr="008975ED">
        <w:trPr>
          <w:trHeight w:val="330"/>
        </w:trPr>
        <w:tc>
          <w:tcPr>
            <w:tcW w:w="855" w:type="dxa"/>
            <w:tcBorders>
              <w:top w:val="nil"/>
              <w:left w:val="nil"/>
              <w:bottom w:val="nil"/>
              <w:right w:val="nil"/>
            </w:tcBorders>
            <w:vAlign w:val="center"/>
            <w:hideMark/>
          </w:tcPr>
          <w:p w14:paraId="43CB215C" w14:textId="77777777" w:rsidR="001F6387" w:rsidRPr="00906AF6" w:rsidRDefault="001F6387" w:rsidP="008975ED">
            <w:pPr>
              <w:rPr>
                <w:rFonts w:ascii="Century Gothic" w:hAnsi="Century Gothic" w:cs="Arial"/>
                <w:color w:val="000000" w:themeColor="text1"/>
                <w:sz w:val="16"/>
                <w:szCs w:val="16"/>
                <w:lang w:val="es-ES" w:eastAsia="es-ES"/>
              </w:rPr>
            </w:pPr>
            <w:r w:rsidRPr="00906AF6">
              <w:rPr>
                <w:rFonts w:ascii="Century Gothic" w:hAnsi="Century Gothic" w:cs="Arial"/>
                <w:color w:val="000000" w:themeColor="text1"/>
                <w:sz w:val="16"/>
                <w:szCs w:val="16"/>
                <w:lang w:val="es-ES" w:eastAsia="es-ES"/>
              </w:rPr>
              <w:lastRenderedPageBreak/>
              <w:t>Revisó:</w:t>
            </w:r>
          </w:p>
        </w:tc>
        <w:tc>
          <w:tcPr>
            <w:tcW w:w="4957" w:type="dxa"/>
            <w:tcBorders>
              <w:top w:val="dotted" w:sz="4" w:space="0" w:color="7F7F7F" w:themeColor="text1" w:themeTint="80"/>
              <w:left w:val="nil"/>
              <w:bottom w:val="dotted" w:sz="4" w:space="0" w:color="7F7F7F" w:themeColor="text1" w:themeTint="80"/>
              <w:right w:val="nil"/>
            </w:tcBorders>
            <w:vAlign w:val="center"/>
            <w:hideMark/>
          </w:tcPr>
          <w:p w14:paraId="62CBAAC0" w14:textId="77777777" w:rsidR="001F6387" w:rsidRPr="00906AF6" w:rsidRDefault="001F6387" w:rsidP="008975ED">
            <w:pPr>
              <w:rPr>
                <w:rFonts w:ascii="Century Gothic" w:eastAsia="Calibri" w:hAnsi="Century Gothic" w:cs="Arial"/>
                <w:color w:val="000000" w:themeColor="text1"/>
                <w:sz w:val="16"/>
                <w:szCs w:val="16"/>
                <w:lang w:val="es-ES_tradnl" w:eastAsia="es-ES"/>
              </w:rPr>
            </w:pPr>
            <w:r w:rsidRPr="00906AF6">
              <w:rPr>
                <w:rFonts w:ascii="Century Gothic" w:eastAsia="Calibri" w:hAnsi="Century Gothic" w:cs="Arial"/>
                <w:color w:val="000000" w:themeColor="text1"/>
                <w:sz w:val="16"/>
                <w:szCs w:val="16"/>
                <w:lang w:val="es-ES_tradnl" w:eastAsia="es-ES"/>
              </w:rPr>
              <w:t>Alejandro Sarmiento Cantillo</w:t>
            </w:r>
          </w:p>
          <w:p w14:paraId="3A6269E8" w14:textId="77777777" w:rsidR="001F6387" w:rsidRPr="00906AF6" w:rsidRDefault="001F6387" w:rsidP="008975ED">
            <w:pPr>
              <w:rPr>
                <w:rFonts w:ascii="Century Gothic" w:hAnsi="Century Gothic" w:cs="Arial"/>
                <w:color w:val="000000" w:themeColor="text1"/>
                <w:sz w:val="16"/>
                <w:szCs w:val="16"/>
                <w:lang w:val="es-ES" w:eastAsia="es-ES"/>
              </w:rPr>
            </w:pPr>
            <w:r w:rsidRPr="00906AF6">
              <w:rPr>
                <w:rFonts w:ascii="Century Gothic" w:eastAsia="Calibri" w:hAnsi="Century Gothic" w:cs="Arial"/>
                <w:color w:val="000000" w:themeColor="text1"/>
                <w:sz w:val="16"/>
                <w:szCs w:val="16"/>
                <w:lang w:val="es-ES" w:eastAsia="es-ES"/>
              </w:rPr>
              <w:t xml:space="preserve">Gestor T1-15 </w:t>
            </w:r>
            <w:r w:rsidRPr="00906AF6">
              <w:rPr>
                <w:rFonts w:ascii="Century Gothic" w:hAnsi="Century Gothic" w:cs="Arial"/>
                <w:color w:val="000000" w:themeColor="text1"/>
                <w:sz w:val="16"/>
                <w:szCs w:val="16"/>
                <w:lang w:val="es-ES" w:eastAsia="es-ES"/>
              </w:rPr>
              <w:t>de la Subdirección de Gestión Contractual</w:t>
            </w:r>
          </w:p>
        </w:tc>
      </w:tr>
      <w:tr w:rsidR="001F6387" w:rsidRPr="00906AF6" w14:paraId="3A14346A" w14:textId="77777777" w:rsidTr="008975ED">
        <w:trPr>
          <w:trHeight w:val="300"/>
        </w:trPr>
        <w:tc>
          <w:tcPr>
            <w:tcW w:w="855" w:type="dxa"/>
            <w:tcBorders>
              <w:top w:val="nil"/>
              <w:left w:val="nil"/>
              <w:bottom w:val="nil"/>
              <w:right w:val="nil"/>
            </w:tcBorders>
            <w:vAlign w:val="center"/>
          </w:tcPr>
          <w:p w14:paraId="6250914B" w14:textId="77777777" w:rsidR="001F6387" w:rsidRPr="00906AF6" w:rsidRDefault="001F6387" w:rsidP="008975ED">
            <w:pPr>
              <w:rPr>
                <w:rFonts w:ascii="Century Gothic" w:hAnsi="Century Gothic" w:cs="Arial"/>
                <w:color w:val="000000" w:themeColor="text1"/>
                <w:sz w:val="16"/>
                <w:szCs w:val="16"/>
                <w:lang w:val="es-ES" w:eastAsia="es-ES"/>
              </w:rPr>
            </w:pPr>
            <w:r w:rsidRPr="00906AF6">
              <w:rPr>
                <w:rFonts w:ascii="Century Gothic" w:hAnsi="Century Gothic" w:cs="Arial"/>
                <w:color w:val="000000" w:themeColor="text1"/>
                <w:sz w:val="16"/>
                <w:szCs w:val="16"/>
                <w:lang w:val="es-ES" w:eastAsia="es-ES"/>
              </w:rPr>
              <w:t>Aprobó:</w:t>
            </w:r>
          </w:p>
        </w:tc>
        <w:tc>
          <w:tcPr>
            <w:tcW w:w="4957" w:type="dxa"/>
            <w:tcBorders>
              <w:top w:val="dotted" w:sz="4" w:space="0" w:color="7F7F7F" w:themeColor="text1" w:themeTint="80"/>
              <w:left w:val="nil"/>
              <w:bottom w:val="dotted" w:sz="4" w:space="0" w:color="7F7F7F" w:themeColor="text1" w:themeTint="80"/>
              <w:right w:val="nil"/>
            </w:tcBorders>
            <w:vAlign w:val="center"/>
          </w:tcPr>
          <w:p w14:paraId="47E2E20E" w14:textId="77777777" w:rsidR="001F6387" w:rsidRPr="00906AF6" w:rsidRDefault="001F6387" w:rsidP="008975ED">
            <w:pPr>
              <w:rPr>
                <w:rFonts w:ascii="Century Gothic" w:eastAsia="Calibri" w:hAnsi="Century Gothic" w:cs="Arial"/>
                <w:color w:val="000000" w:themeColor="text1"/>
                <w:sz w:val="16"/>
                <w:szCs w:val="16"/>
                <w:lang w:val="pt-BR" w:eastAsia="es-ES"/>
              </w:rPr>
            </w:pPr>
            <w:proofErr w:type="spellStart"/>
            <w:r w:rsidRPr="00906AF6">
              <w:rPr>
                <w:rFonts w:ascii="Century Gothic" w:eastAsia="Calibri" w:hAnsi="Century Gothic" w:cs="Arial"/>
                <w:color w:val="000000" w:themeColor="text1"/>
                <w:sz w:val="16"/>
                <w:szCs w:val="16"/>
                <w:lang w:val="pt-BR" w:eastAsia="es-ES"/>
              </w:rPr>
              <w:t>Nohelia</w:t>
            </w:r>
            <w:proofErr w:type="spellEnd"/>
            <w:r w:rsidRPr="00906AF6">
              <w:rPr>
                <w:rFonts w:ascii="Century Gothic" w:eastAsia="Calibri" w:hAnsi="Century Gothic" w:cs="Arial"/>
                <w:color w:val="000000" w:themeColor="text1"/>
                <w:sz w:val="16"/>
                <w:szCs w:val="16"/>
                <w:lang w:val="pt-BR" w:eastAsia="es-ES"/>
              </w:rPr>
              <w:t xml:space="preserve"> </w:t>
            </w:r>
            <w:proofErr w:type="spellStart"/>
            <w:r w:rsidRPr="00906AF6">
              <w:rPr>
                <w:rFonts w:ascii="Century Gothic" w:eastAsia="Calibri" w:hAnsi="Century Gothic" w:cs="Arial"/>
                <w:color w:val="000000" w:themeColor="text1"/>
                <w:sz w:val="16"/>
                <w:szCs w:val="16"/>
                <w:lang w:val="pt-BR" w:eastAsia="es-ES"/>
              </w:rPr>
              <w:t>del</w:t>
            </w:r>
            <w:proofErr w:type="spellEnd"/>
            <w:r w:rsidRPr="00906AF6">
              <w:rPr>
                <w:rFonts w:ascii="Century Gothic" w:eastAsia="Calibri" w:hAnsi="Century Gothic" w:cs="Arial"/>
                <w:color w:val="000000" w:themeColor="text1"/>
                <w:sz w:val="16"/>
                <w:szCs w:val="16"/>
                <w:lang w:val="pt-BR" w:eastAsia="es-ES"/>
              </w:rPr>
              <w:t xml:space="preserve"> Carmen </w:t>
            </w:r>
            <w:proofErr w:type="spellStart"/>
            <w:r w:rsidRPr="00906AF6">
              <w:rPr>
                <w:rFonts w:ascii="Century Gothic" w:eastAsia="Calibri" w:hAnsi="Century Gothic" w:cs="Arial"/>
                <w:color w:val="000000" w:themeColor="text1"/>
                <w:sz w:val="16"/>
                <w:szCs w:val="16"/>
                <w:lang w:val="pt-BR" w:eastAsia="es-ES"/>
              </w:rPr>
              <w:t>Zawady</w:t>
            </w:r>
            <w:proofErr w:type="spellEnd"/>
            <w:r w:rsidRPr="00906AF6">
              <w:rPr>
                <w:rFonts w:ascii="Century Gothic" w:eastAsia="Calibri" w:hAnsi="Century Gothic" w:cs="Arial"/>
                <w:color w:val="000000" w:themeColor="text1"/>
                <w:sz w:val="16"/>
                <w:szCs w:val="16"/>
                <w:lang w:val="pt-BR" w:eastAsia="es-ES"/>
              </w:rPr>
              <w:t xml:space="preserve"> Palacio</w:t>
            </w:r>
          </w:p>
          <w:p w14:paraId="66071DEF" w14:textId="77777777" w:rsidR="001F6387" w:rsidRPr="00906AF6" w:rsidRDefault="001F6387" w:rsidP="008975ED">
            <w:pPr>
              <w:rPr>
                <w:rFonts w:ascii="Century Gothic" w:eastAsia="Calibri" w:hAnsi="Century Gothic" w:cs="Arial"/>
                <w:color w:val="000000" w:themeColor="text1"/>
                <w:sz w:val="16"/>
                <w:szCs w:val="16"/>
                <w:lang w:val="pt-BR" w:eastAsia="es-ES"/>
              </w:rPr>
            </w:pPr>
            <w:r w:rsidRPr="00906AF6">
              <w:rPr>
                <w:rFonts w:ascii="Century Gothic" w:eastAsia="Calibri" w:hAnsi="Century Gothic" w:cs="Arial"/>
                <w:color w:val="000000" w:themeColor="text1"/>
                <w:sz w:val="16"/>
                <w:szCs w:val="16"/>
                <w:lang w:eastAsia="es-ES"/>
              </w:rPr>
              <w:t>Subdirectora</w:t>
            </w:r>
            <w:r w:rsidRPr="00906AF6">
              <w:rPr>
                <w:rFonts w:ascii="Century Gothic" w:eastAsia="Calibri" w:hAnsi="Century Gothic" w:cs="Arial"/>
                <w:color w:val="000000" w:themeColor="text1"/>
                <w:sz w:val="16"/>
                <w:szCs w:val="16"/>
                <w:lang w:val="pt-BR" w:eastAsia="es-ES"/>
              </w:rPr>
              <w:t xml:space="preserve"> de Gestión </w:t>
            </w:r>
            <w:proofErr w:type="spellStart"/>
            <w:r w:rsidRPr="00906AF6">
              <w:rPr>
                <w:rFonts w:ascii="Century Gothic" w:eastAsia="Calibri" w:hAnsi="Century Gothic" w:cs="Arial"/>
                <w:color w:val="000000" w:themeColor="text1"/>
                <w:sz w:val="16"/>
                <w:szCs w:val="16"/>
                <w:lang w:val="pt-BR" w:eastAsia="es-ES"/>
              </w:rPr>
              <w:t>Contractual</w:t>
            </w:r>
            <w:proofErr w:type="spellEnd"/>
            <w:r w:rsidRPr="00906AF6">
              <w:rPr>
                <w:rFonts w:ascii="Century Gothic" w:eastAsia="Calibri" w:hAnsi="Century Gothic" w:cs="Arial"/>
                <w:color w:val="000000" w:themeColor="text1"/>
                <w:sz w:val="16"/>
                <w:szCs w:val="16"/>
                <w:lang w:val="pt-BR" w:eastAsia="es-ES"/>
              </w:rPr>
              <w:t xml:space="preserve"> ANCP – CCE</w:t>
            </w:r>
          </w:p>
        </w:tc>
      </w:tr>
    </w:tbl>
    <w:p w14:paraId="342B9123" w14:textId="77777777" w:rsidR="001F6387" w:rsidRDefault="001F6387" w:rsidP="001F6387">
      <w:pPr>
        <w:rPr>
          <w:rFonts w:ascii="Century Gothic" w:hAnsi="Century Gothic"/>
        </w:rPr>
      </w:pPr>
    </w:p>
    <w:p w14:paraId="605AEBAD" w14:textId="77777777" w:rsidR="00FB347B" w:rsidRPr="00906AF6" w:rsidRDefault="00FB347B" w:rsidP="001F6387">
      <w:pPr>
        <w:jc w:val="both"/>
        <w:rPr>
          <w:rFonts w:ascii="Century Gothic" w:hAnsi="Century Gothic" w:cs="Arial"/>
          <w:color w:val="000000" w:themeColor="text1"/>
        </w:rPr>
      </w:pPr>
    </w:p>
    <w:sectPr w:rsidR="00FB347B" w:rsidRPr="00906AF6" w:rsidSect="00FC0252">
      <w:headerReference w:type="default" r:id="rId13"/>
      <w:footerReference w:type="default" r:id="rId14"/>
      <w:pgSz w:w="12240" w:h="15840" w:code="1"/>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88899" w14:textId="77777777" w:rsidR="00F30272" w:rsidRDefault="00F30272" w:rsidP="00950DF7">
      <w:r>
        <w:separator/>
      </w:r>
    </w:p>
  </w:endnote>
  <w:endnote w:type="continuationSeparator" w:id="0">
    <w:p w14:paraId="581B8A14" w14:textId="77777777" w:rsidR="00F30272" w:rsidRDefault="00F30272" w:rsidP="00950DF7">
      <w:r>
        <w:continuationSeparator/>
      </w:r>
    </w:p>
  </w:endnote>
  <w:endnote w:type="continuationNotice" w:id="1">
    <w:p w14:paraId="4187581F" w14:textId="77777777" w:rsidR="00F30272" w:rsidRDefault="00F30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43FC" w14:textId="77777777" w:rsidR="00FC0252" w:rsidRDefault="00FC0252" w:rsidP="00FC0252">
    <w:pPr>
      <w:pStyle w:val="Piedepgina"/>
    </w:pPr>
    <w:r>
      <w:rPr>
        <w:noProof/>
      </w:rPr>
      <w:drawing>
        <wp:inline distT="0" distB="0" distL="0" distR="0" wp14:anchorId="62A5DDD2" wp14:editId="103BABFD">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Cs w:val="24"/>
      </w:rPr>
      <w:drawing>
        <wp:anchor distT="0" distB="0" distL="114300" distR="114300" simplePos="0" relativeHeight="251658240" behindDoc="0" locked="0" layoutInCell="1" allowOverlap="1" wp14:anchorId="5C41D58F" wp14:editId="64AAC82E">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40523" name="Imagen 1567040523"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0252" w:rsidRPr="00080DA3" w14:paraId="6CBE64F4" w14:textId="77777777">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ACB114F" w14:textId="77777777" w:rsidR="00FC0252" w:rsidRPr="003F3941" w:rsidRDefault="00FC0252" w:rsidP="00FC0252">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3B63D9B8" w14:textId="77777777" w:rsidR="00FC0252" w:rsidRPr="003F3941" w:rsidRDefault="00FC0252" w:rsidP="00FC0252">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00A42F68" w14:textId="77777777" w:rsidR="00FC0252" w:rsidRPr="003F3941" w:rsidRDefault="00FC0252" w:rsidP="00FC0252">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5BB47CD" w14:textId="77777777" w:rsidR="00FC0252" w:rsidRPr="003F3941" w:rsidRDefault="00FC0252" w:rsidP="00FC0252">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Pr>
              <w:rFonts w:ascii="Century Gothic" w:hAnsi="Century Gothic"/>
              <w:b/>
              <w:bCs/>
              <w:sz w:val="16"/>
              <w:szCs w:val="16"/>
            </w:rPr>
            <w:t>2</w:t>
          </w:r>
          <w:r w:rsidRPr="003F3941">
            <w:rPr>
              <w:rFonts w:ascii="Century Gothic" w:hAnsi="Century Gothic"/>
              <w:b/>
              <w:bCs/>
              <w:sz w:val="16"/>
              <w:szCs w:val="16"/>
            </w:rPr>
            <w:fldChar w:fldCharType="end"/>
          </w:r>
        </w:p>
      </w:tc>
    </w:tr>
  </w:tbl>
  <w:p w14:paraId="4AD1B6F0" w14:textId="77777777" w:rsidR="00950DF7" w:rsidRPr="00FC0252" w:rsidRDefault="00950DF7" w:rsidP="00FC0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9B014" w14:textId="77777777" w:rsidR="00F30272" w:rsidRDefault="00F30272" w:rsidP="00950DF7">
      <w:r>
        <w:separator/>
      </w:r>
    </w:p>
  </w:footnote>
  <w:footnote w:type="continuationSeparator" w:id="0">
    <w:p w14:paraId="47A1CDCB" w14:textId="77777777" w:rsidR="00F30272" w:rsidRDefault="00F30272" w:rsidP="00950DF7">
      <w:r>
        <w:continuationSeparator/>
      </w:r>
    </w:p>
  </w:footnote>
  <w:footnote w:type="continuationNotice" w:id="1">
    <w:p w14:paraId="0DBF2C22" w14:textId="77777777" w:rsidR="00F30272" w:rsidRDefault="00F30272"/>
  </w:footnote>
  <w:footnote w:id="2">
    <w:p w14:paraId="28244C2E" w14:textId="77777777" w:rsidR="001F6387" w:rsidRPr="00E11F53" w:rsidRDefault="001F6387" w:rsidP="001F6387">
      <w:pPr>
        <w:pStyle w:val="Textonotapie"/>
        <w:ind w:firstLine="708"/>
        <w:jc w:val="both"/>
        <w:rPr>
          <w:rFonts w:ascii="Century Gothic" w:hAnsi="Century Gothic" w:cs="Arial"/>
          <w:sz w:val="14"/>
          <w:szCs w:val="14"/>
          <w:lang w:val="es-ES"/>
        </w:rPr>
      </w:pPr>
      <w:r w:rsidRPr="00E11F53">
        <w:rPr>
          <w:rFonts w:ascii="Century Gothic" w:eastAsia="Calibri" w:hAnsi="Century Gothic" w:cs="Arial"/>
          <w:sz w:val="14"/>
          <w:szCs w:val="14"/>
          <w:vertAlign w:val="superscript"/>
          <w:lang w:val="es-ES" w:eastAsia="es-ES_tradnl"/>
        </w:rPr>
        <w:footnoteRef/>
      </w:r>
      <w:r w:rsidRPr="00E11F53">
        <w:rPr>
          <w:rFonts w:ascii="Century Gothic" w:eastAsia="Calibri" w:hAnsi="Century Gothic" w:cs="Arial"/>
          <w:sz w:val="14"/>
          <w:szCs w:val="14"/>
          <w:lang w:val="es-ES" w:eastAsia="es-ES_tradnl"/>
        </w:rPr>
        <w:t xml:space="preserve"> La Agencia Nacional de Contratación Pública </w:t>
      </w:r>
      <w:r w:rsidRPr="00E11F53">
        <w:rPr>
          <w:rFonts w:ascii="Arial" w:eastAsia="Calibri" w:hAnsi="Arial" w:cs="Arial"/>
          <w:sz w:val="14"/>
          <w:szCs w:val="14"/>
          <w:lang w:val="es-ES" w:eastAsia="es-ES_tradnl"/>
        </w:rPr>
        <w:t>‒</w:t>
      </w:r>
      <w:r w:rsidRPr="00E11F53">
        <w:rPr>
          <w:rFonts w:ascii="Century Gothic" w:eastAsia="Calibri" w:hAnsi="Century Gothic" w:cs="Arial"/>
          <w:sz w:val="14"/>
          <w:szCs w:val="14"/>
          <w:lang w:val="es-ES" w:eastAsia="es-ES_tradnl"/>
        </w:rPr>
        <w:t xml:space="preserve"> Colombia Compra Eficiente fue creada por el Decreto Ley 4170 de 2011. Su objetivo es servir como ente rector de la pol</w:t>
      </w:r>
      <w:r w:rsidRPr="00E11F53">
        <w:rPr>
          <w:rFonts w:ascii="Century Gothic" w:eastAsia="Calibri" w:hAnsi="Century Gothic" w:cs="Century Gothic"/>
          <w:sz w:val="14"/>
          <w:szCs w:val="14"/>
          <w:lang w:val="es-ES" w:eastAsia="es-ES_tradnl"/>
        </w:rPr>
        <w:t>í</w:t>
      </w:r>
      <w:r w:rsidRPr="00E11F53">
        <w:rPr>
          <w:rFonts w:ascii="Century Gothic" w:eastAsia="Calibri" w:hAnsi="Century Gothic" w:cs="Arial"/>
          <w:sz w:val="14"/>
          <w:szCs w:val="14"/>
          <w:lang w:val="es-ES" w:eastAsia="es-ES_tradnl"/>
        </w:rPr>
        <w:t>tica de compras y contrataci</w:t>
      </w:r>
      <w:r w:rsidRPr="00E11F53">
        <w:rPr>
          <w:rFonts w:ascii="Century Gothic" w:eastAsia="Calibri" w:hAnsi="Century Gothic" w:cs="Century Gothic"/>
          <w:sz w:val="14"/>
          <w:szCs w:val="14"/>
          <w:lang w:val="es-ES" w:eastAsia="es-ES_tradnl"/>
        </w:rPr>
        <w:t>ó</w:t>
      </w:r>
      <w:r w:rsidRPr="00E11F53">
        <w:rPr>
          <w:rFonts w:ascii="Century Gothic" w:eastAsia="Calibri" w:hAnsi="Century Gothic" w:cs="Arial"/>
          <w:sz w:val="14"/>
          <w:szCs w:val="14"/>
          <w:lang w:val="es-ES" w:eastAsia="es-ES_tradnl"/>
        </w:rPr>
        <w:t xml:space="preserve">n del Estado. Para tales fines, como </w:t>
      </w:r>
      <w:r w:rsidRPr="00E11F53">
        <w:rPr>
          <w:rFonts w:ascii="Century Gothic" w:eastAsia="Calibri" w:hAnsi="Century Gothic" w:cs="Century Gothic"/>
          <w:sz w:val="14"/>
          <w:szCs w:val="14"/>
          <w:lang w:val="es-ES" w:eastAsia="es-ES_tradnl"/>
        </w:rPr>
        <w:t>ó</w:t>
      </w:r>
      <w:r w:rsidRPr="00E11F53">
        <w:rPr>
          <w:rFonts w:ascii="Century Gothic" w:eastAsia="Calibri" w:hAnsi="Century Gothic" w:cs="Arial"/>
          <w:sz w:val="14"/>
          <w:szCs w:val="14"/>
          <w:lang w:val="es-ES" w:eastAsia="es-ES_tradnl"/>
        </w:rPr>
        <w:t>rgano t</w:t>
      </w:r>
      <w:r w:rsidRPr="00E11F53">
        <w:rPr>
          <w:rFonts w:ascii="Century Gothic" w:eastAsia="Calibri" w:hAnsi="Century Gothic" w:cs="Century Gothic"/>
          <w:sz w:val="14"/>
          <w:szCs w:val="14"/>
          <w:lang w:val="es-ES" w:eastAsia="es-ES_tradnl"/>
        </w:rPr>
        <w:t>é</w:t>
      </w:r>
      <w:r w:rsidRPr="00E11F53">
        <w:rPr>
          <w:rFonts w:ascii="Century Gothic" w:eastAsia="Calibri" w:hAnsi="Century Gothic" w:cs="Arial"/>
          <w:sz w:val="14"/>
          <w:szCs w:val="14"/>
          <w:lang w:val="es-ES" w:eastAsia="es-ES_tradnl"/>
        </w:rPr>
        <w:t>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w:t>
      </w:r>
      <w:proofErr w:type="spellStart"/>
      <w:r w:rsidRPr="00E11F53">
        <w:rPr>
          <w:rFonts w:ascii="Century Gothic" w:eastAsia="Calibri" w:hAnsi="Century Gothic" w:cs="Arial"/>
          <w:sz w:val="14"/>
          <w:szCs w:val="14"/>
          <w:lang w:val="es-ES" w:eastAsia="es-ES_tradnl"/>
        </w:rPr>
        <w:t>bsolver</w:t>
      </w:r>
      <w:proofErr w:type="spellEnd"/>
      <w:r w:rsidRPr="00E11F53">
        <w:rPr>
          <w:rFonts w:ascii="Century Gothic" w:eastAsia="Calibri" w:hAnsi="Century Gothic" w:cs="Arial"/>
          <w:sz w:val="14"/>
          <w:szCs w:val="14"/>
          <w:lang w:val="es-ES" w:eastAsia="es-ES_tradnl"/>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E11F53">
        <w:rPr>
          <w:rFonts w:ascii="Century Gothic" w:eastAsia="Calibri" w:hAnsi="Century Gothic" w:cs="Arial"/>
          <w:sz w:val="14"/>
          <w:szCs w:val="14"/>
          <w:lang w:val="es-ES" w:eastAsia="es-ES_tradnl"/>
        </w:rPr>
        <w:t>bsolver</w:t>
      </w:r>
      <w:proofErr w:type="spellEnd"/>
      <w:r w:rsidRPr="00E11F53">
        <w:rPr>
          <w:rFonts w:ascii="Century Gothic" w:eastAsia="Calibri" w:hAnsi="Century Gothic" w:cs="Arial"/>
          <w:sz w:val="14"/>
          <w:szCs w:val="14"/>
          <w:lang w:val="es-ES" w:eastAsia="es-ES_tradnl"/>
        </w:rPr>
        <w:t xml:space="preserve"> consultas sobre la aplicación de normas de carácter general”.</w:t>
      </w:r>
    </w:p>
  </w:footnote>
  <w:footnote w:id="3">
    <w:p w14:paraId="138B3E88" w14:textId="77777777" w:rsidR="001F6387" w:rsidRPr="00E11F53" w:rsidRDefault="001F6387" w:rsidP="001F6387">
      <w:pPr>
        <w:pStyle w:val="Textonotapie"/>
        <w:ind w:firstLine="708"/>
        <w:jc w:val="both"/>
        <w:rPr>
          <w:rFonts w:ascii="Century Gothic" w:hAnsi="Century Gothic" w:cs="Arial"/>
          <w:sz w:val="14"/>
          <w:szCs w:val="14"/>
        </w:rPr>
      </w:pPr>
      <w:r w:rsidRPr="00E11F53">
        <w:rPr>
          <w:rFonts w:ascii="Century Gothic" w:hAnsi="Century Gothic" w:cs="Arial"/>
          <w:sz w:val="14"/>
          <w:szCs w:val="14"/>
          <w:vertAlign w:val="superscript"/>
        </w:rPr>
        <w:footnoteRef/>
      </w:r>
      <w:r w:rsidRPr="00E11F53">
        <w:rPr>
          <w:rFonts w:ascii="Century Gothic" w:hAnsi="Century Gothic" w:cs="Arial"/>
          <w:sz w:val="14"/>
          <w:szCs w:val="14"/>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E11F53">
          <w:rPr>
            <w:rStyle w:val="Hipervnculo"/>
            <w:rFonts w:ascii="Century Gothic" w:hAnsi="Century Gothic" w:cs="Arial"/>
            <w:sz w:val="14"/>
            <w:szCs w:val="14"/>
          </w:rPr>
          <w:t>https://relatoria.colombiacompra.gov.co/busqueda/conceptos</w:t>
        </w:r>
      </w:hyperlink>
      <w:r w:rsidRPr="00E11F53">
        <w:rPr>
          <w:rFonts w:ascii="Century Gothic" w:hAnsi="Century Gothic" w:cs="Arial"/>
          <w:sz w:val="14"/>
          <w:szCs w:val="14"/>
          <w:shd w:val="clear" w:color="auto" w:fill="E6E6E6"/>
        </w:rPr>
        <w:t xml:space="preserve"> </w:t>
      </w:r>
    </w:p>
  </w:footnote>
  <w:footnote w:id="4">
    <w:p w14:paraId="5FEA9543" w14:textId="77777777" w:rsidR="001F6387" w:rsidRPr="00E11F53" w:rsidRDefault="001F6387" w:rsidP="001F6387">
      <w:pPr>
        <w:pBdr>
          <w:top w:val="nil"/>
          <w:left w:val="nil"/>
          <w:bottom w:val="nil"/>
          <w:right w:val="nil"/>
          <w:between w:val="nil"/>
        </w:pBdr>
        <w:ind w:firstLine="709"/>
        <w:jc w:val="both"/>
        <w:rPr>
          <w:rFonts w:ascii="Century Gothic" w:eastAsia="Arial" w:hAnsi="Century Gothic" w:cs="Arial"/>
          <w:color w:val="000000"/>
          <w:sz w:val="14"/>
          <w:szCs w:val="14"/>
        </w:rPr>
      </w:pPr>
      <w:r w:rsidRPr="00E11F53">
        <w:rPr>
          <w:rFonts w:ascii="Century Gothic" w:hAnsi="Century Gothic" w:cs="Arial"/>
          <w:sz w:val="14"/>
          <w:szCs w:val="14"/>
          <w:vertAlign w:val="superscript"/>
        </w:rPr>
        <w:footnoteRef/>
      </w:r>
      <w:r w:rsidRPr="00E11F53">
        <w:rPr>
          <w:rFonts w:ascii="Century Gothic" w:eastAsia="Arial" w:hAnsi="Century Gothic" w:cs="Arial"/>
          <w:color w:val="000000"/>
          <w:sz w:val="14"/>
          <w:szCs w:val="14"/>
        </w:rPr>
        <w:t xml:space="preserve"> Al respecto, conviene recordar el artículo 29 de la Ley 80 de 1993, derogado por el artículo 32 de la Ley 1150 de 2007, que establecía: “La selección de contratistas será objetiva.</w:t>
      </w:r>
    </w:p>
    <w:p w14:paraId="456D0B79" w14:textId="77777777" w:rsidR="001F6387" w:rsidRPr="00E11F53" w:rsidRDefault="001F6387" w:rsidP="001F6387">
      <w:pPr>
        <w:pBdr>
          <w:top w:val="nil"/>
          <w:left w:val="nil"/>
          <w:bottom w:val="nil"/>
          <w:right w:val="nil"/>
          <w:between w:val="nil"/>
        </w:pBdr>
        <w:ind w:firstLine="709"/>
        <w:jc w:val="both"/>
        <w:rPr>
          <w:rFonts w:ascii="Century Gothic" w:eastAsia="Arial" w:hAnsi="Century Gothic" w:cs="Arial"/>
          <w:color w:val="000000"/>
          <w:sz w:val="14"/>
          <w:szCs w:val="14"/>
        </w:rPr>
      </w:pPr>
      <w:r w:rsidRPr="00E11F53">
        <w:rPr>
          <w:rFonts w:ascii="Century Gothic" w:eastAsia="Arial" w:hAnsi="Century Gothic" w:cs="Arial"/>
          <w:color w:val="000000"/>
          <w:sz w:val="14"/>
          <w:szCs w:val="14"/>
        </w:rPr>
        <w:t>Es objetiva la selección en la cual la escogencia se hace al ofrecimiento más favorable a la entidad y a los fines que ella busca, sin tener en consideración factores de afecto o de interés y, en general, cualquier clase de motivación subjetiva.</w:t>
      </w:r>
    </w:p>
    <w:p w14:paraId="035DFC86" w14:textId="77777777" w:rsidR="001F6387" w:rsidRPr="00E11F53" w:rsidRDefault="001F6387" w:rsidP="001F6387">
      <w:pPr>
        <w:pBdr>
          <w:top w:val="nil"/>
          <w:left w:val="nil"/>
          <w:bottom w:val="nil"/>
          <w:right w:val="nil"/>
          <w:between w:val="nil"/>
        </w:pBdr>
        <w:ind w:firstLine="709"/>
        <w:jc w:val="both"/>
        <w:rPr>
          <w:rFonts w:ascii="Century Gothic" w:eastAsia="Arial" w:hAnsi="Century Gothic" w:cs="Arial"/>
          <w:color w:val="000000"/>
          <w:sz w:val="14"/>
          <w:szCs w:val="14"/>
        </w:rPr>
      </w:pPr>
      <w:r w:rsidRPr="00E11F53">
        <w:rPr>
          <w:rFonts w:ascii="Century Gothic" w:eastAsia="Arial" w:hAnsi="Century Gothic" w:cs="Arial"/>
          <w:color w:val="000000"/>
          <w:sz w:val="14"/>
          <w:szCs w:val="14"/>
        </w:rPr>
        <w:t>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pliegos, no será objeto de evaluación”.</w:t>
      </w:r>
    </w:p>
    <w:p w14:paraId="47AD52CE" w14:textId="77777777" w:rsidR="001F6387" w:rsidRPr="00E11F53" w:rsidRDefault="001F6387" w:rsidP="001F6387">
      <w:pPr>
        <w:pBdr>
          <w:top w:val="nil"/>
          <w:left w:val="nil"/>
          <w:bottom w:val="nil"/>
          <w:right w:val="nil"/>
          <w:between w:val="nil"/>
        </w:pBdr>
        <w:ind w:firstLine="709"/>
        <w:jc w:val="both"/>
        <w:rPr>
          <w:rFonts w:ascii="Century Gothic" w:eastAsia="Arial" w:hAnsi="Century Gothic" w:cs="Arial"/>
          <w:color w:val="000000"/>
          <w:sz w:val="14"/>
          <w:szCs w:val="14"/>
        </w:rPr>
      </w:pPr>
      <w:proofErr w:type="gramStart"/>
      <w:r w:rsidRPr="00E11F53">
        <w:rPr>
          <w:rFonts w:ascii="Century Gothic" w:eastAsia="Arial" w:hAnsi="Century Gothic" w:cs="Arial"/>
          <w:color w:val="000000"/>
          <w:sz w:val="14"/>
          <w:szCs w:val="14"/>
        </w:rPr>
        <w:t>“ El</w:t>
      </w:r>
      <w:proofErr w:type="gramEnd"/>
      <w:r w:rsidRPr="00E11F53">
        <w:rPr>
          <w:rFonts w:ascii="Century Gothic" w:eastAsia="Arial" w:hAnsi="Century Gothic" w:cs="Arial"/>
          <w:color w:val="000000"/>
          <w:sz w:val="14"/>
          <w:szCs w:val="14"/>
        </w:rPr>
        <w:t xml:space="preserve">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5F4E9688" w14:textId="77777777" w:rsidR="001F6387" w:rsidRPr="00E11F53" w:rsidRDefault="001F6387" w:rsidP="001F6387">
      <w:pPr>
        <w:pBdr>
          <w:top w:val="nil"/>
          <w:left w:val="nil"/>
          <w:bottom w:val="nil"/>
          <w:right w:val="nil"/>
          <w:between w:val="nil"/>
        </w:pBdr>
        <w:ind w:firstLine="709"/>
        <w:jc w:val="both"/>
        <w:rPr>
          <w:rFonts w:ascii="Century Gothic" w:eastAsia="Arial" w:hAnsi="Century Gothic" w:cs="Arial"/>
          <w:color w:val="000000"/>
          <w:sz w:val="14"/>
          <w:szCs w:val="14"/>
        </w:rPr>
      </w:pPr>
      <w:proofErr w:type="gramStart"/>
      <w:r w:rsidRPr="00E11F53">
        <w:rPr>
          <w:rFonts w:ascii="Century Gothic" w:eastAsia="Arial" w:hAnsi="Century Gothic" w:cs="Arial"/>
          <w:color w:val="000000"/>
          <w:sz w:val="14"/>
          <w:szCs w:val="14"/>
        </w:rPr>
        <w:t>“ En</w:t>
      </w:r>
      <w:proofErr w:type="gramEnd"/>
      <w:r w:rsidRPr="00E11F53">
        <w:rPr>
          <w:rFonts w:ascii="Century Gothic" w:eastAsia="Arial" w:hAnsi="Century Gothic" w:cs="Arial"/>
          <w:color w:val="000000"/>
          <w:sz w:val="14"/>
          <w:szCs w:val="14"/>
        </w:rPr>
        <w:t xml:space="preserve"> caso de comparación de propuestas nacionales y extranjeras, se incluirán los costos necesarios para la entrega del producto terminado en el lugar de su utilización”.</w:t>
      </w:r>
    </w:p>
    <w:p w14:paraId="64F1B63F" w14:textId="77777777" w:rsidR="001F6387" w:rsidRPr="00E11F53" w:rsidRDefault="001F6387" w:rsidP="001F6387">
      <w:pPr>
        <w:pBdr>
          <w:top w:val="nil"/>
          <w:left w:val="nil"/>
          <w:bottom w:val="nil"/>
          <w:right w:val="nil"/>
          <w:between w:val="nil"/>
        </w:pBdr>
        <w:ind w:firstLine="709"/>
        <w:jc w:val="both"/>
        <w:rPr>
          <w:rFonts w:ascii="Century Gothic" w:eastAsia="Arial" w:hAnsi="Century Gothic" w:cs="Arial"/>
          <w:color w:val="000000"/>
          <w:sz w:val="14"/>
          <w:szCs w:val="14"/>
        </w:rPr>
      </w:pPr>
    </w:p>
  </w:footnote>
  <w:footnote w:id="5">
    <w:p w14:paraId="27E97CBC" w14:textId="77777777" w:rsidR="001F6387" w:rsidRPr="00E11F53" w:rsidRDefault="001F6387" w:rsidP="001F6387">
      <w:pPr>
        <w:pBdr>
          <w:top w:val="nil"/>
          <w:left w:val="nil"/>
          <w:bottom w:val="nil"/>
          <w:right w:val="nil"/>
          <w:between w:val="nil"/>
        </w:pBdr>
        <w:ind w:firstLine="709"/>
        <w:jc w:val="both"/>
        <w:rPr>
          <w:rFonts w:ascii="Century Gothic" w:eastAsia="Arial" w:hAnsi="Century Gothic" w:cs="Arial"/>
          <w:color w:val="000000"/>
          <w:sz w:val="14"/>
          <w:szCs w:val="14"/>
        </w:rPr>
      </w:pPr>
      <w:r w:rsidRPr="00E11F53">
        <w:rPr>
          <w:rFonts w:ascii="Century Gothic" w:hAnsi="Century Gothic" w:cs="Arial"/>
          <w:sz w:val="14"/>
          <w:szCs w:val="14"/>
          <w:vertAlign w:val="superscript"/>
        </w:rPr>
        <w:footnoteRef/>
      </w:r>
      <w:r w:rsidRPr="00E11F53">
        <w:rPr>
          <w:rFonts w:ascii="Century Gothic" w:eastAsia="Arial" w:hAnsi="Century Gothic" w:cs="Arial"/>
          <w:color w:val="000000"/>
          <w:sz w:val="14"/>
          <w:szCs w:val="14"/>
        </w:rPr>
        <w:t xml:space="preserve"> DÁVILA VINUEZA, Luis Guillermo. Régimen jurídico de la contratación estatal. Tercera edición, Bogotá: Legis, 2016. p. 355.</w:t>
      </w:r>
    </w:p>
  </w:footnote>
  <w:footnote w:id="6">
    <w:p w14:paraId="4362F6B6" w14:textId="77777777" w:rsidR="001F6387" w:rsidRPr="00E11F53" w:rsidRDefault="001F6387" w:rsidP="001F6387">
      <w:pPr>
        <w:pBdr>
          <w:top w:val="nil"/>
          <w:left w:val="nil"/>
          <w:bottom w:val="nil"/>
          <w:right w:val="nil"/>
          <w:between w:val="nil"/>
        </w:pBdr>
        <w:ind w:firstLine="709"/>
        <w:jc w:val="both"/>
        <w:rPr>
          <w:rFonts w:ascii="Century Gothic" w:eastAsia="Arial" w:hAnsi="Century Gothic" w:cs="Arial"/>
          <w:color w:val="000000"/>
          <w:sz w:val="14"/>
          <w:szCs w:val="14"/>
        </w:rPr>
      </w:pPr>
      <w:r w:rsidRPr="00E11F53">
        <w:rPr>
          <w:rFonts w:ascii="Century Gothic" w:hAnsi="Century Gothic" w:cs="Arial"/>
          <w:sz w:val="14"/>
          <w:szCs w:val="14"/>
          <w:vertAlign w:val="superscript"/>
        </w:rPr>
        <w:footnoteRef/>
      </w:r>
      <w:r w:rsidRPr="00E11F53">
        <w:rPr>
          <w:rFonts w:ascii="Century Gothic" w:eastAsia="Arial" w:hAnsi="Century Gothic" w:cs="Arial"/>
          <w:color w:val="000000"/>
          <w:sz w:val="14"/>
          <w:szCs w:val="14"/>
        </w:rPr>
        <w:t xml:space="preserve"> RODRÍGUEZ TAMAYO, Mauricio F. Evaluación y rechazo de ofertas en la Ley 80 de 1993. Primera edición. Medellín: Librería Jurídica Sánchez, 2016. pp. 110-111.</w:t>
      </w:r>
    </w:p>
    <w:p w14:paraId="469F89B8" w14:textId="77777777" w:rsidR="001F6387" w:rsidRPr="00E11F53" w:rsidRDefault="001F6387" w:rsidP="001F6387">
      <w:pPr>
        <w:pBdr>
          <w:top w:val="nil"/>
          <w:left w:val="nil"/>
          <w:bottom w:val="nil"/>
          <w:right w:val="nil"/>
          <w:between w:val="nil"/>
        </w:pBdr>
        <w:ind w:firstLine="709"/>
        <w:jc w:val="both"/>
        <w:rPr>
          <w:rFonts w:ascii="Century Gothic" w:eastAsia="Arial" w:hAnsi="Century Gothic" w:cs="Arial"/>
          <w:color w:val="000000"/>
          <w:sz w:val="14"/>
          <w:szCs w:val="14"/>
        </w:rPr>
      </w:pPr>
    </w:p>
  </w:footnote>
  <w:footnote w:id="7">
    <w:p w14:paraId="71733D5E" w14:textId="77777777" w:rsidR="001F6387" w:rsidRPr="00E11F53" w:rsidRDefault="001F6387" w:rsidP="001F6387">
      <w:pPr>
        <w:pBdr>
          <w:top w:val="nil"/>
          <w:left w:val="nil"/>
          <w:bottom w:val="nil"/>
          <w:right w:val="nil"/>
          <w:between w:val="nil"/>
        </w:pBdr>
        <w:ind w:firstLine="709"/>
        <w:jc w:val="both"/>
        <w:rPr>
          <w:rFonts w:ascii="Century Gothic" w:eastAsia="Arial" w:hAnsi="Century Gothic" w:cs="Arial"/>
          <w:color w:val="000000"/>
          <w:sz w:val="14"/>
          <w:szCs w:val="14"/>
        </w:rPr>
      </w:pPr>
      <w:r w:rsidRPr="00E11F53">
        <w:rPr>
          <w:rFonts w:ascii="Century Gothic" w:hAnsi="Century Gothic" w:cs="Arial"/>
          <w:sz w:val="14"/>
          <w:szCs w:val="14"/>
          <w:vertAlign w:val="superscript"/>
        </w:rPr>
        <w:footnoteRef/>
      </w:r>
      <w:r w:rsidRPr="00E11F53">
        <w:rPr>
          <w:rFonts w:ascii="Century Gothic" w:eastAsia="Arial" w:hAnsi="Century Gothic" w:cs="Arial"/>
          <w:color w:val="000000"/>
          <w:sz w:val="14"/>
          <w:szCs w:val="14"/>
        </w:rPr>
        <w:t xml:space="preserve"> EXPÓSITO VELEZ, Juan C., El deber de selección objetiva, en: Del contrato estatal a los sistemas de compras públicas, por COVILLA MARTINEZ Juan C. y LOZANO VILLEGAS Germán (Eds.). Universidad Externado de Colombia, Bogotá, 2019. págs. 118-184.</w:t>
      </w:r>
    </w:p>
    <w:p w14:paraId="6D064412" w14:textId="77777777" w:rsidR="001F6387" w:rsidRPr="00E11F53" w:rsidRDefault="001F6387" w:rsidP="001F6387">
      <w:pPr>
        <w:pBdr>
          <w:top w:val="nil"/>
          <w:left w:val="nil"/>
          <w:bottom w:val="nil"/>
          <w:right w:val="nil"/>
          <w:between w:val="nil"/>
        </w:pBdr>
        <w:ind w:firstLine="709"/>
        <w:jc w:val="both"/>
        <w:rPr>
          <w:rFonts w:ascii="Century Gothic" w:eastAsia="Arial" w:hAnsi="Century Gothic" w:cs="Arial"/>
          <w:color w:val="000000"/>
          <w:sz w:val="14"/>
          <w:szCs w:val="14"/>
        </w:rPr>
      </w:pPr>
    </w:p>
  </w:footnote>
  <w:footnote w:id="8">
    <w:p w14:paraId="246E495F" w14:textId="77777777" w:rsidR="001F6387" w:rsidRPr="00E11F53" w:rsidRDefault="001F6387" w:rsidP="001F6387">
      <w:pPr>
        <w:pBdr>
          <w:top w:val="nil"/>
          <w:left w:val="nil"/>
          <w:bottom w:val="nil"/>
          <w:right w:val="nil"/>
          <w:between w:val="nil"/>
        </w:pBdr>
        <w:ind w:firstLine="709"/>
        <w:jc w:val="both"/>
        <w:rPr>
          <w:rFonts w:ascii="Century Gothic" w:eastAsia="Arial" w:hAnsi="Century Gothic" w:cs="Arial"/>
          <w:color w:val="000000"/>
          <w:sz w:val="14"/>
          <w:szCs w:val="14"/>
        </w:rPr>
      </w:pPr>
      <w:r w:rsidRPr="00E11F53">
        <w:rPr>
          <w:rFonts w:ascii="Century Gothic" w:hAnsi="Century Gothic" w:cs="Arial"/>
          <w:sz w:val="14"/>
          <w:szCs w:val="14"/>
          <w:vertAlign w:val="superscript"/>
        </w:rPr>
        <w:footnoteRef/>
      </w:r>
      <w:r w:rsidRPr="00E11F53">
        <w:rPr>
          <w:rFonts w:ascii="Century Gothic" w:eastAsia="Arial" w:hAnsi="Century Gothic" w:cs="Arial"/>
          <w:i/>
          <w:color w:val="000000"/>
          <w:sz w:val="14"/>
          <w:szCs w:val="14"/>
        </w:rPr>
        <w:t xml:space="preserve"> </w:t>
      </w:r>
      <w:proofErr w:type="spellStart"/>
      <w:r w:rsidRPr="00E11F53">
        <w:rPr>
          <w:rFonts w:ascii="Century Gothic" w:eastAsia="Arial" w:hAnsi="Century Gothic" w:cs="Arial"/>
          <w:i/>
          <w:color w:val="000000"/>
          <w:sz w:val="14"/>
          <w:szCs w:val="14"/>
        </w:rPr>
        <w:t>Ibídem</w:t>
      </w:r>
      <w:proofErr w:type="spellEnd"/>
      <w:r w:rsidRPr="00E11F53">
        <w:rPr>
          <w:rFonts w:ascii="Century Gothic" w:eastAsia="Arial" w:hAnsi="Century Gothic" w:cs="Arial"/>
          <w:i/>
          <w:color w:val="000000"/>
          <w:sz w:val="14"/>
          <w:szCs w:val="14"/>
        </w:rPr>
        <w:t>.</w:t>
      </w:r>
    </w:p>
  </w:footnote>
  <w:footnote w:id="9">
    <w:p w14:paraId="36018B78" w14:textId="77777777" w:rsidR="001F6387" w:rsidRPr="00E11F53" w:rsidRDefault="001F6387" w:rsidP="001F6387">
      <w:pPr>
        <w:ind w:firstLine="709"/>
        <w:jc w:val="both"/>
        <w:rPr>
          <w:rFonts w:ascii="Century Gothic" w:eastAsia="Arial" w:hAnsi="Century Gothic" w:cs="Arial"/>
          <w:sz w:val="14"/>
          <w:szCs w:val="14"/>
        </w:rPr>
      </w:pPr>
      <w:r w:rsidRPr="00E11F53">
        <w:rPr>
          <w:rFonts w:ascii="Century Gothic" w:hAnsi="Century Gothic" w:cs="Arial"/>
          <w:sz w:val="14"/>
          <w:szCs w:val="14"/>
          <w:vertAlign w:val="superscript"/>
        </w:rPr>
        <w:footnoteRef/>
      </w:r>
      <w:r w:rsidRPr="00E11F53">
        <w:rPr>
          <w:rFonts w:ascii="Century Gothic" w:eastAsia="Arial" w:hAnsi="Century Gothic" w:cs="Arial"/>
          <w:sz w:val="14"/>
          <w:szCs w:val="14"/>
        </w:rPr>
        <w:t xml:space="preserve"> Decreto 1082 de 2015 “Artículo 2.2.1.1.2.2.2. Ofrecimiento más favorable. La Entidad Estatal debe determinar la oferta más favorable teniendo en cuenta las normas aplicables a cada modalidad de selección del contratista. </w:t>
      </w:r>
    </w:p>
    <w:p w14:paraId="745038C8" w14:textId="77777777" w:rsidR="001F6387" w:rsidRPr="00E11F53" w:rsidRDefault="001F6387" w:rsidP="001F6387">
      <w:pPr>
        <w:ind w:firstLine="709"/>
        <w:jc w:val="both"/>
        <w:rPr>
          <w:rFonts w:ascii="Century Gothic" w:eastAsia="Arial" w:hAnsi="Century Gothic" w:cs="Arial"/>
          <w:sz w:val="14"/>
          <w:szCs w:val="14"/>
        </w:rPr>
      </w:pPr>
      <w:r w:rsidRPr="00E11F53">
        <w:rPr>
          <w:rFonts w:ascii="Century Gothic" w:eastAsia="Arial" w:hAnsi="Century Gothic" w:cs="Arial"/>
          <w:sz w:val="14"/>
          <w:szCs w:val="14"/>
        </w:rPr>
        <w:t>  ” En la licitación y la selección abreviada de menor cuantía, la Entidad Estatal debe determinar la oferta más favorable teniendo en cuenta: (a) la ponderación de los elementos de calidad y precio soportados en puntajes o fórmulas; o (b) la ponderación de los elementos de calidad y precio que representen la mejor relación de costo-beneficio. Si la Entidad Estatal decide determinar la oferta de acuerdo con el literal (b) anterior debe señalar en los pliegos de condiciones: </w:t>
      </w:r>
    </w:p>
    <w:p w14:paraId="449F47B8" w14:textId="77777777" w:rsidR="001F6387" w:rsidRPr="00E11F53" w:rsidRDefault="001F6387" w:rsidP="001F6387">
      <w:pPr>
        <w:ind w:firstLine="709"/>
        <w:jc w:val="both"/>
        <w:rPr>
          <w:rFonts w:ascii="Century Gothic" w:eastAsia="Arial" w:hAnsi="Century Gothic" w:cs="Arial"/>
          <w:sz w:val="14"/>
          <w:szCs w:val="14"/>
        </w:rPr>
      </w:pPr>
      <w:r w:rsidRPr="00E11F53">
        <w:rPr>
          <w:rFonts w:ascii="Century Gothic" w:eastAsia="Arial" w:hAnsi="Century Gothic" w:cs="Arial"/>
          <w:sz w:val="14"/>
          <w:szCs w:val="14"/>
        </w:rPr>
        <w:t>  ”1. Las condiciones técnicas y económicas mínimas de la oferta. </w:t>
      </w:r>
    </w:p>
    <w:p w14:paraId="2D8F2973" w14:textId="77777777" w:rsidR="001F6387" w:rsidRPr="00E11F53" w:rsidRDefault="001F6387" w:rsidP="001F6387">
      <w:pPr>
        <w:ind w:firstLine="709"/>
        <w:jc w:val="both"/>
        <w:rPr>
          <w:rFonts w:ascii="Century Gothic" w:eastAsia="Arial" w:hAnsi="Century Gothic" w:cs="Arial"/>
          <w:sz w:val="14"/>
          <w:szCs w:val="14"/>
        </w:rPr>
      </w:pPr>
      <w:r w:rsidRPr="00E11F53">
        <w:rPr>
          <w:rFonts w:ascii="Century Gothic" w:eastAsia="Arial" w:hAnsi="Century Gothic" w:cs="Arial"/>
          <w:sz w:val="14"/>
          <w:szCs w:val="14"/>
        </w:rPr>
        <w:t>  ”2. Las condiciones técnicas adicionales que representan ventajas de calidad o de funcionamiento, tales como el uso de tecnología o materiales que generen mayor eficiencia, rendimiento o duración del bien, obra o servicio. </w:t>
      </w:r>
    </w:p>
    <w:p w14:paraId="6835DED1" w14:textId="77777777" w:rsidR="001F6387" w:rsidRPr="00E11F53" w:rsidRDefault="001F6387" w:rsidP="001F6387">
      <w:pPr>
        <w:ind w:firstLine="709"/>
        <w:jc w:val="both"/>
        <w:rPr>
          <w:rFonts w:ascii="Century Gothic" w:eastAsia="Arial" w:hAnsi="Century Gothic" w:cs="Arial"/>
          <w:sz w:val="14"/>
          <w:szCs w:val="14"/>
        </w:rPr>
      </w:pPr>
      <w:r w:rsidRPr="00E11F53">
        <w:rPr>
          <w:rFonts w:ascii="Century Gothic" w:eastAsia="Arial" w:hAnsi="Century Gothic" w:cs="Arial"/>
          <w:sz w:val="14"/>
          <w:szCs w:val="14"/>
        </w:rPr>
        <w:t>  ”3. Las condiciones económicas adicionales que representen ventajas en términos de economía, eficiencia y eficacia, que puedan ser valoradas en dinero, como por ejemplo la forma de pago, descuentos por adjudicación de varios lotes, descuentos por variaciones en programas de entregas, mayor garantía del bien o servicio respecto de la mínima requerida, impacto económico sobre las condiciones existentes de la Entidad Estatal relacionadas con el objeto a contratar, mayor asunción de los Riesgos, servicios o bienes adicionales y que representen un mayor grado de satisfacción para la entidad, entre otras. </w:t>
      </w:r>
    </w:p>
    <w:p w14:paraId="75B1E10C" w14:textId="77777777" w:rsidR="001F6387" w:rsidRPr="00E11F53" w:rsidRDefault="001F6387" w:rsidP="001F6387">
      <w:pPr>
        <w:ind w:firstLine="709"/>
        <w:jc w:val="both"/>
        <w:rPr>
          <w:rFonts w:ascii="Century Gothic" w:eastAsia="Arial" w:hAnsi="Century Gothic" w:cs="Arial"/>
          <w:sz w:val="14"/>
          <w:szCs w:val="14"/>
        </w:rPr>
      </w:pPr>
      <w:r w:rsidRPr="00E11F53">
        <w:rPr>
          <w:rFonts w:ascii="Century Gothic" w:eastAsia="Arial" w:hAnsi="Century Gothic" w:cs="Arial"/>
          <w:sz w:val="14"/>
          <w:szCs w:val="14"/>
        </w:rPr>
        <w:t>  ”4. El valor en dinero que la Entidad Estatal asigna a cada ofrecimiento técnico o económico adicional, para permitir la ponderación de las ofertas presentadas. </w:t>
      </w:r>
    </w:p>
    <w:p w14:paraId="4413837E" w14:textId="77777777" w:rsidR="001F6387" w:rsidRPr="00E11F53" w:rsidRDefault="001F6387" w:rsidP="001F6387">
      <w:pPr>
        <w:ind w:firstLine="709"/>
        <w:jc w:val="both"/>
        <w:rPr>
          <w:rFonts w:ascii="Century Gothic" w:eastAsia="Arial" w:hAnsi="Century Gothic" w:cs="Arial"/>
          <w:sz w:val="14"/>
          <w:szCs w:val="14"/>
        </w:rPr>
      </w:pPr>
      <w:r w:rsidRPr="00E11F53">
        <w:rPr>
          <w:rFonts w:ascii="Century Gothic" w:eastAsia="Arial" w:hAnsi="Century Gothic" w:cs="Arial"/>
          <w:sz w:val="14"/>
          <w:szCs w:val="14"/>
        </w:rPr>
        <w:t>  ” La Entidad Estatal debe calcular la relación costo-beneficio de cada oferta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 </w:t>
      </w:r>
    </w:p>
    <w:p w14:paraId="3BA8559C" w14:textId="77777777" w:rsidR="001F6387" w:rsidRPr="00E11F53" w:rsidRDefault="001F6387" w:rsidP="001F6387">
      <w:pPr>
        <w:ind w:firstLine="709"/>
        <w:jc w:val="both"/>
        <w:rPr>
          <w:rFonts w:ascii="Century Gothic" w:eastAsia="Arial" w:hAnsi="Century Gothic" w:cs="Arial"/>
          <w:sz w:val="14"/>
          <w:szCs w:val="14"/>
        </w:rPr>
      </w:pPr>
      <w:r w:rsidRPr="00E11F53">
        <w:rPr>
          <w:rFonts w:ascii="Century Gothic" w:eastAsia="Arial" w:hAnsi="Century Gothic" w:cs="Arial"/>
          <w:sz w:val="14"/>
          <w:szCs w:val="14"/>
        </w:rPr>
        <w:t>  ” La Entidad Estatal debe adjudicar al oferente que presentó la oferta con la mejor relación costo-beneficio y suscribir el contrato por el precio total ofrecido”. </w:t>
      </w:r>
    </w:p>
  </w:footnote>
  <w:footnote w:id="10">
    <w:p w14:paraId="43E91D89" w14:textId="77777777" w:rsidR="001F6387" w:rsidRPr="00E11F53" w:rsidRDefault="001F6387" w:rsidP="001F6387">
      <w:pPr>
        <w:pBdr>
          <w:top w:val="nil"/>
          <w:left w:val="nil"/>
          <w:bottom w:val="nil"/>
          <w:right w:val="nil"/>
          <w:between w:val="nil"/>
        </w:pBdr>
        <w:ind w:firstLine="709"/>
        <w:jc w:val="both"/>
        <w:rPr>
          <w:rFonts w:ascii="Century Gothic" w:eastAsia="Arial" w:hAnsi="Century Gothic" w:cs="Arial"/>
          <w:color w:val="000000"/>
          <w:sz w:val="14"/>
          <w:szCs w:val="14"/>
        </w:rPr>
      </w:pPr>
      <w:r w:rsidRPr="00E11F53">
        <w:rPr>
          <w:rFonts w:ascii="Century Gothic" w:hAnsi="Century Gothic" w:cs="Arial"/>
          <w:sz w:val="14"/>
          <w:szCs w:val="14"/>
          <w:vertAlign w:val="superscript"/>
        </w:rPr>
        <w:footnoteRef/>
      </w:r>
      <w:r w:rsidRPr="00E11F53">
        <w:rPr>
          <w:rFonts w:ascii="Century Gothic" w:eastAsia="Arial" w:hAnsi="Century Gothic" w:cs="Arial"/>
          <w:color w:val="000000"/>
          <w:sz w:val="14"/>
          <w:szCs w:val="14"/>
        </w:rPr>
        <w:t xml:space="preserve"> Consejo de Estado. Sección Tercera. Subsección A. Sentencia del 25 de octubre de 2019. </w:t>
      </w:r>
      <w:proofErr w:type="spellStart"/>
      <w:r w:rsidRPr="00E11F53">
        <w:rPr>
          <w:rFonts w:ascii="Century Gothic" w:eastAsia="Arial" w:hAnsi="Century Gothic" w:cs="Arial"/>
          <w:color w:val="000000"/>
          <w:sz w:val="14"/>
          <w:szCs w:val="14"/>
        </w:rPr>
        <w:t>Exp</w:t>
      </w:r>
      <w:proofErr w:type="spellEnd"/>
      <w:r w:rsidRPr="00E11F53">
        <w:rPr>
          <w:rFonts w:ascii="Century Gothic" w:eastAsia="Arial" w:hAnsi="Century Gothic" w:cs="Arial"/>
          <w:color w:val="000000"/>
          <w:sz w:val="14"/>
          <w:szCs w:val="14"/>
        </w:rPr>
        <w:t>. 39.945. Consejera Ponente: María Adriana Marín.</w:t>
      </w:r>
    </w:p>
  </w:footnote>
  <w:footnote w:id="11">
    <w:p w14:paraId="611EDEC5" w14:textId="77777777" w:rsidR="001F6387" w:rsidRPr="00E11F53" w:rsidRDefault="001F6387" w:rsidP="001F6387">
      <w:pPr>
        <w:pBdr>
          <w:top w:val="nil"/>
          <w:left w:val="nil"/>
          <w:bottom w:val="nil"/>
          <w:right w:val="nil"/>
          <w:between w:val="nil"/>
        </w:pBdr>
        <w:ind w:firstLine="709"/>
        <w:jc w:val="both"/>
        <w:rPr>
          <w:rFonts w:ascii="Century Gothic" w:eastAsia="Arial" w:hAnsi="Century Gothic" w:cs="Arial"/>
          <w:color w:val="000000"/>
          <w:sz w:val="14"/>
          <w:szCs w:val="14"/>
        </w:rPr>
      </w:pPr>
      <w:r w:rsidRPr="00E11F53">
        <w:rPr>
          <w:rFonts w:ascii="Century Gothic" w:hAnsi="Century Gothic" w:cs="Arial"/>
          <w:sz w:val="14"/>
          <w:szCs w:val="14"/>
          <w:vertAlign w:val="superscript"/>
        </w:rPr>
        <w:footnoteRef/>
      </w:r>
      <w:r w:rsidRPr="00E11F53">
        <w:rPr>
          <w:rFonts w:ascii="Century Gothic" w:eastAsia="Arial" w:hAnsi="Century Gothic" w:cs="Arial"/>
          <w:color w:val="000000"/>
          <w:sz w:val="14"/>
          <w:szCs w:val="14"/>
          <w:vertAlign w:val="superscript"/>
        </w:rPr>
        <w:t xml:space="preserve"> </w:t>
      </w:r>
      <w:r w:rsidRPr="00E11F53">
        <w:rPr>
          <w:rFonts w:ascii="Century Gothic" w:eastAsia="Arial" w:hAnsi="Century Gothic" w:cs="Arial"/>
          <w:color w:val="000000"/>
          <w:sz w:val="14"/>
          <w:szCs w:val="14"/>
        </w:rPr>
        <w:t xml:space="preserve">Consejo de Estado. Sección Tercera. Subsección A. Sentencia del 5 de julio de 2018. </w:t>
      </w:r>
      <w:proofErr w:type="spellStart"/>
      <w:r w:rsidRPr="00E11F53">
        <w:rPr>
          <w:rFonts w:ascii="Century Gothic" w:eastAsia="Arial" w:hAnsi="Century Gothic" w:cs="Arial"/>
          <w:color w:val="000000"/>
          <w:sz w:val="14"/>
          <w:szCs w:val="14"/>
        </w:rPr>
        <w:t>Exp</w:t>
      </w:r>
      <w:proofErr w:type="spellEnd"/>
      <w:r w:rsidRPr="00E11F53">
        <w:rPr>
          <w:rFonts w:ascii="Century Gothic" w:eastAsia="Arial" w:hAnsi="Century Gothic" w:cs="Arial"/>
          <w:color w:val="000000"/>
          <w:sz w:val="14"/>
          <w:szCs w:val="14"/>
        </w:rPr>
        <w:t>. 37.834. Consejero Ponente: Carlos Alberto Zambrano Barrera.</w:t>
      </w:r>
    </w:p>
  </w:footnote>
  <w:footnote w:id="12">
    <w:p w14:paraId="785508C6" w14:textId="77777777" w:rsidR="001F6387" w:rsidRPr="00E11F53" w:rsidRDefault="001F6387" w:rsidP="001F6387">
      <w:pPr>
        <w:pBdr>
          <w:top w:val="nil"/>
          <w:left w:val="nil"/>
          <w:bottom w:val="nil"/>
          <w:right w:val="nil"/>
          <w:between w:val="nil"/>
        </w:pBdr>
        <w:ind w:firstLine="709"/>
        <w:jc w:val="both"/>
        <w:rPr>
          <w:rFonts w:ascii="Century Gothic" w:eastAsia="Arial" w:hAnsi="Century Gothic" w:cs="Arial"/>
          <w:color w:val="000000"/>
          <w:sz w:val="14"/>
          <w:szCs w:val="14"/>
        </w:rPr>
      </w:pPr>
      <w:r w:rsidRPr="00E11F53">
        <w:rPr>
          <w:rFonts w:ascii="Century Gothic" w:hAnsi="Century Gothic" w:cs="Arial"/>
          <w:sz w:val="14"/>
          <w:szCs w:val="14"/>
          <w:vertAlign w:val="superscript"/>
        </w:rPr>
        <w:footnoteRef/>
      </w:r>
      <w:r w:rsidRPr="00E11F53">
        <w:rPr>
          <w:rFonts w:ascii="Century Gothic" w:eastAsia="Arial" w:hAnsi="Century Gothic" w:cs="Arial"/>
          <w:color w:val="000000"/>
          <w:sz w:val="14"/>
          <w:szCs w:val="14"/>
          <w:vertAlign w:val="superscript"/>
        </w:rPr>
        <w:t xml:space="preserve"> </w:t>
      </w:r>
      <w:r w:rsidRPr="00E11F53">
        <w:rPr>
          <w:rFonts w:ascii="Century Gothic" w:eastAsia="Arial" w:hAnsi="Century Gothic" w:cs="Arial"/>
          <w:color w:val="000000"/>
          <w:sz w:val="14"/>
          <w:szCs w:val="14"/>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13">
    <w:p w14:paraId="713E92A1" w14:textId="77777777" w:rsidR="001F6387" w:rsidRPr="00E11F53" w:rsidRDefault="001F6387" w:rsidP="001F6387">
      <w:pPr>
        <w:ind w:firstLine="709"/>
        <w:jc w:val="both"/>
        <w:rPr>
          <w:rFonts w:ascii="Century Gothic" w:eastAsia="Arial" w:hAnsi="Century Gothic" w:cs="Arial"/>
          <w:color w:val="000000"/>
          <w:sz w:val="14"/>
          <w:szCs w:val="14"/>
        </w:rPr>
      </w:pPr>
      <w:r w:rsidRPr="00E11F53">
        <w:rPr>
          <w:rFonts w:ascii="Century Gothic" w:hAnsi="Century Gothic" w:cs="Arial"/>
          <w:sz w:val="14"/>
          <w:szCs w:val="14"/>
          <w:vertAlign w:val="superscript"/>
        </w:rPr>
        <w:footnoteRef/>
      </w:r>
      <w:r w:rsidRPr="00E11F53">
        <w:rPr>
          <w:rFonts w:ascii="Century Gothic" w:eastAsia="Arial" w:hAnsi="Century Gothic" w:cs="Arial"/>
          <w:color w:val="000000"/>
          <w:sz w:val="14"/>
          <w:szCs w:val="14"/>
        </w:rPr>
        <w:t xml:space="preserve"> Decreto 2474 de 2008 (DEROGADO): “art. 10. Reglas de </w:t>
      </w:r>
      <w:proofErr w:type="spellStart"/>
      <w:r w:rsidRPr="00E11F53">
        <w:rPr>
          <w:rFonts w:ascii="Century Gothic" w:eastAsia="Arial" w:hAnsi="Century Gothic" w:cs="Arial"/>
          <w:color w:val="000000"/>
          <w:sz w:val="14"/>
          <w:szCs w:val="14"/>
        </w:rPr>
        <w:t>subsanabilidad</w:t>
      </w:r>
      <w:proofErr w:type="spellEnd"/>
      <w:r w:rsidRPr="00E11F53">
        <w:rPr>
          <w:rFonts w:ascii="Century Gothic" w:eastAsia="Arial" w:hAnsi="Century Gothic" w:cs="Arial"/>
          <w:color w:val="000000"/>
          <w:sz w:val="14"/>
          <w:szCs w:val="14"/>
        </w:rPr>
        <w:t>.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2">
        <w:r w:rsidRPr="00E11F53">
          <w:rPr>
            <w:rFonts w:ascii="Century Gothic" w:eastAsia="Arial" w:hAnsi="Century Gothic" w:cs="Arial"/>
            <w:color w:val="000000"/>
            <w:sz w:val="14"/>
            <w:szCs w:val="14"/>
          </w:rPr>
          <w:t>Ley 1150 de 2007</w:t>
        </w:r>
      </w:hyperlink>
      <w:r w:rsidRPr="00E11F53">
        <w:rPr>
          <w:rFonts w:ascii="Century Gothic" w:eastAsia="Arial" w:hAnsi="Century Gothic" w:cs="Arial"/>
          <w:color w:val="000000"/>
          <w:sz w:val="14"/>
          <w:szCs w:val="14"/>
        </w:rPr>
        <w:t> y en el presente decreto.</w:t>
      </w:r>
    </w:p>
    <w:p w14:paraId="088C30B0" w14:textId="77777777" w:rsidR="001F6387" w:rsidRPr="00E11F53" w:rsidRDefault="001F6387" w:rsidP="001F6387">
      <w:pPr>
        <w:ind w:firstLine="709"/>
        <w:jc w:val="both"/>
        <w:rPr>
          <w:rFonts w:ascii="Century Gothic" w:eastAsia="Arial" w:hAnsi="Century Gothic" w:cs="Arial"/>
          <w:color w:val="000000"/>
          <w:sz w:val="14"/>
          <w:szCs w:val="14"/>
        </w:rPr>
      </w:pPr>
      <w:r w:rsidRPr="00E11F53">
        <w:rPr>
          <w:rFonts w:ascii="Century Gothic" w:eastAsia="Arial" w:hAnsi="Century Gothic" w:cs="Arial"/>
          <w:color w:val="000000"/>
          <w:sz w:val="14"/>
          <w:szCs w:val="14"/>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05348FB5" w14:textId="77777777" w:rsidR="001F6387" w:rsidRPr="00E11F53" w:rsidRDefault="001F6387" w:rsidP="001F6387">
      <w:pPr>
        <w:ind w:firstLine="709"/>
        <w:jc w:val="both"/>
        <w:rPr>
          <w:rFonts w:ascii="Century Gothic" w:eastAsia="Arial" w:hAnsi="Century Gothic" w:cs="Arial"/>
          <w:color w:val="000000"/>
          <w:sz w:val="14"/>
          <w:szCs w:val="14"/>
        </w:rPr>
      </w:pPr>
      <w:r w:rsidRPr="00E11F53">
        <w:rPr>
          <w:rFonts w:ascii="Century Gothic" w:eastAsia="Arial" w:hAnsi="Century Gothic" w:cs="Arial"/>
          <w:color w:val="000000"/>
          <w:sz w:val="14"/>
          <w:szCs w:val="14"/>
        </w:rPr>
        <w:t>“Será rechazada la oferta del proponente que dentro del término previsto en el pliego o en la solicitud, no responda al requerimiento que le haga la entidad para subsanarla.</w:t>
      </w:r>
    </w:p>
    <w:p w14:paraId="4C79B5F8" w14:textId="77777777" w:rsidR="001F6387" w:rsidRPr="00E11F53" w:rsidRDefault="001F6387" w:rsidP="001F6387">
      <w:pPr>
        <w:ind w:firstLine="709"/>
        <w:jc w:val="both"/>
        <w:rPr>
          <w:rFonts w:ascii="Century Gothic" w:eastAsia="Arial" w:hAnsi="Century Gothic" w:cs="Arial"/>
          <w:color w:val="000000"/>
          <w:sz w:val="14"/>
          <w:szCs w:val="14"/>
        </w:rPr>
      </w:pPr>
      <w:r w:rsidRPr="00E11F53">
        <w:rPr>
          <w:rFonts w:ascii="Century Gothic" w:eastAsia="Arial" w:hAnsi="Century Gothic" w:cs="Arial"/>
          <w:color w:val="000000"/>
          <w:sz w:val="14"/>
          <w:szCs w:val="14"/>
        </w:rPr>
        <w:t>“Cuando se utilice el mecanismo de subasta esta posibilidad deberá ejercerse hasta el momento previo a su realización, de conformidad con el artículo 22 del presente decreto.</w:t>
      </w:r>
    </w:p>
    <w:p w14:paraId="7446D32B" w14:textId="77777777" w:rsidR="001F6387" w:rsidRPr="00E11F53" w:rsidRDefault="001F6387" w:rsidP="001F6387">
      <w:pPr>
        <w:ind w:firstLine="709"/>
        <w:jc w:val="both"/>
        <w:rPr>
          <w:rFonts w:ascii="Century Gothic" w:eastAsia="Arial" w:hAnsi="Century Gothic" w:cs="Arial"/>
          <w:color w:val="000000"/>
          <w:sz w:val="14"/>
          <w:szCs w:val="14"/>
        </w:rPr>
      </w:pPr>
      <w:r w:rsidRPr="00E11F53">
        <w:rPr>
          <w:rFonts w:ascii="Century Gothic" w:eastAsia="Arial" w:hAnsi="Century Gothic" w:cs="Arial"/>
          <w:color w:val="000000"/>
          <w:sz w:val="14"/>
          <w:szCs w:val="14"/>
        </w:rPr>
        <w:t xml:space="preserve">“En ningún caso la entidad podrá señalar taxativamente los requisitos o documentos subsanables o no subsanables en el pliego de condiciones, </w:t>
      </w:r>
      <w:r w:rsidRPr="00E11F53">
        <w:rPr>
          <w:rFonts w:ascii="Century Gothic" w:eastAsia="Arial" w:hAnsi="Century Gothic" w:cs="Arial"/>
          <w:i/>
          <w:color w:val="000000"/>
          <w:sz w:val="14"/>
          <w:szCs w:val="14"/>
        </w:rPr>
        <w:t>ni permitir que se subsane la falta de capacidad para presentar la oferta, ni que se acrediten circunstancias ocurridas con posterioridad al cierre del proceso</w:t>
      </w:r>
      <w:r w:rsidRPr="00E11F53">
        <w:rPr>
          <w:rFonts w:ascii="Century Gothic" w:eastAsia="Arial" w:hAnsi="Century Gothic" w:cs="Arial"/>
          <w:color w:val="000000"/>
          <w:sz w:val="14"/>
          <w:szCs w:val="14"/>
        </w:rPr>
        <w:t xml:space="preserve">”. (Cursivas fuera de texto). </w:t>
      </w:r>
    </w:p>
    <w:p w14:paraId="5C1FFDEC" w14:textId="77777777" w:rsidR="001F6387" w:rsidRPr="00E11F53" w:rsidRDefault="001F6387" w:rsidP="001F6387">
      <w:pPr>
        <w:pBdr>
          <w:top w:val="nil"/>
          <w:left w:val="nil"/>
          <w:bottom w:val="nil"/>
          <w:right w:val="nil"/>
          <w:between w:val="nil"/>
        </w:pBdr>
        <w:ind w:firstLine="709"/>
        <w:jc w:val="both"/>
        <w:rPr>
          <w:rFonts w:ascii="Century Gothic" w:eastAsia="Arial" w:hAnsi="Century Gothic" w:cs="Arial"/>
          <w:color w:val="000000"/>
          <w:sz w:val="14"/>
          <w:szCs w:val="14"/>
        </w:rPr>
      </w:pPr>
    </w:p>
  </w:footnote>
  <w:footnote w:id="14">
    <w:p w14:paraId="525D36C0" w14:textId="77777777" w:rsidR="001F6387" w:rsidRPr="00E11F53" w:rsidRDefault="001F6387" w:rsidP="001F6387">
      <w:pPr>
        <w:pBdr>
          <w:top w:val="nil"/>
          <w:left w:val="nil"/>
          <w:bottom w:val="nil"/>
          <w:right w:val="nil"/>
          <w:between w:val="nil"/>
        </w:pBdr>
        <w:ind w:firstLine="709"/>
        <w:jc w:val="both"/>
        <w:rPr>
          <w:rFonts w:ascii="Century Gothic" w:eastAsia="Arial" w:hAnsi="Century Gothic" w:cs="Arial"/>
          <w:color w:val="000000"/>
          <w:sz w:val="14"/>
          <w:szCs w:val="14"/>
        </w:rPr>
      </w:pPr>
      <w:r w:rsidRPr="00E11F53">
        <w:rPr>
          <w:rFonts w:ascii="Century Gothic" w:hAnsi="Century Gothic" w:cs="Arial"/>
          <w:sz w:val="14"/>
          <w:szCs w:val="14"/>
          <w:vertAlign w:val="superscript"/>
        </w:rPr>
        <w:footnoteRef/>
      </w:r>
      <w:r w:rsidRPr="00E11F53">
        <w:rPr>
          <w:rFonts w:ascii="Century Gothic" w:eastAsia="Arial" w:hAnsi="Century Gothic" w:cs="Arial"/>
          <w:color w:val="000000"/>
          <w:sz w:val="14"/>
          <w:szCs w:val="14"/>
        </w:rPr>
        <w:t xml:space="preserve"> Consejo de Estado, Sala de Consulta y Servicio Civil, concepto del 6 de noviembre de 2008. C.P. William Zambrano Cetina. Rad. 2008-00079-00(1927).</w:t>
      </w:r>
    </w:p>
    <w:p w14:paraId="5D0A52CB" w14:textId="77777777" w:rsidR="001F6387" w:rsidRPr="00E11F53" w:rsidRDefault="001F6387" w:rsidP="001F6387">
      <w:pPr>
        <w:pBdr>
          <w:top w:val="nil"/>
          <w:left w:val="nil"/>
          <w:bottom w:val="nil"/>
          <w:right w:val="nil"/>
          <w:between w:val="nil"/>
        </w:pBdr>
        <w:ind w:firstLine="709"/>
        <w:jc w:val="both"/>
        <w:rPr>
          <w:rFonts w:ascii="Century Gothic" w:eastAsia="Arial" w:hAnsi="Century Gothic" w:cs="Arial"/>
          <w:color w:val="000000"/>
          <w:sz w:val="14"/>
          <w:szCs w:val="14"/>
        </w:rPr>
      </w:pPr>
      <w:r w:rsidRPr="00E11F53">
        <w:rPr>
          <w:rFonts w:ascii="Century Gothic" w:eastAsia="Arial" w:hAnsi="Century Gothic" w:cs="Arial"/>
          <w:color w:val="000000"/>
          <w:sz w:val="14"/>
          <w:szCs w:val="14"/>
        </w:rPr>
        <w:t xml:space="preserve">  </w:t>
      </w:r>
    </w:p>
  </w:footnote>
  <w:footnote w:id="15">
    <w:p w14:paraId="701716ED" w14:textId="77777777" w:rsidR="001F6387" w:rsidRPr="00E11F53" w:rsidRDefault="001F6387" w:rsidP="001F6387">
      <w:pPr>
        <w:pBdr>
          <w:top w:val="nil"/>
          <w:left w:val="nil"/>
          <w:bottom w:val="nil"/>
          <w:right w:val="nil"/>
          <w:between w:val="nil"/>
        </w:pBdr>
        <w:ind w:firstLine="709"/>
        <w:jc w:val="both"/>
        <w:rPr>
          <w:rFonts w:ascii="Century Gothic" w:eastAsia="Arial" w:hAnsi="Century Gothic" w:cs="Arial"/>
          <w:color w:val="000000"/>
          <w:sz w:val="14"/>
          <w:szCs w:val="14"/>
        </w:rPr>
      </w:pPr>
      <w:r w:rsidRPr="00E11F53">
        <w:rPr>
          <w:rFonts w:ascii="Century Gothic" w:hAnsi="Century Gothic" w:cs="Arial"/>
          <w:sz w:val="14"/>
          <w:szCs w:val="14"/>
          <w:vertAlign w:val="superscript"/>
        </w:rPr>
        <w:footnoteRef/>
      </w:r>
      <w:r w:rsidRPr="00E11F53">
        <w:rPr>
          <w:rFonts w:ascii="Century Gothic" w:eastAsia="Arial" w:hAnsi="Century Gothic" w:cs="Arial"/>
          <w:color w:val="000000"/>
          <w:sz w:val="14"/>
          <w:szCs w:val="14"/>
        </w:rPr>
        <w:t xml:space="preserve"> Ver Consejo de Estado, Sección Tercera, Subsección C. Sentencia del 26 de febrero de 2011. C.P. Jaime Orlando Santofimio. Rad. 36.408.  </w:t>
      </w:r>
    </w:p>
    <w:p w14:paraId="40D7727E" w14:textId="77777777" w:rsidR="001F6387" w:rsidRPr="00E11F53" w:rsidRDefault="001F6387" w:rsidP="001F6387">
      <w:pPr>
        <w:pBdr>
          <w:top w:val="nil"/>
          <w:left w:val="nil"/>
          <w:bottom w:val="nil"/>
          <w:right w:val="nil"/>
          <w:between w:val="nil"/>
        </w:pBdr>
        <w:ind w:firstLine="709"/>
        <w:jc w:val="both"/>
        <w:rPr>
          <w:rFonts w:ascii="Century Gothic" w:eastAsia="Arial" w:hAnsi="Century Gothic" w:cs="Arial"/>
          <w:color w:val="000000"/>
          <w:sz w:val="14"/>
          <w:szCs w:val="14"/>
        </w:rPr>
      </w:pPr>
    </w:p>
  </w:footnote>
  <w:footnote w:id="16">
    <w:p w14:paraId="245010EF" w14:textId="77777777" w:rsidR="001F6387" w:rsidRPr="00E11F53" w:rsidRDefault="001F6387" w:rsidP="001F6387">
      <w:pPr>
        <w:pBdr>
          <w:top w:val="nil"/>
          <w:left w:val="nil"/>
          <w:bottom w:val="nil"/>
          <w:right w:val="nil"/>
          <w:between w:val="nil"/>
        </w:pBdr>
        <w:ind w:firstLine="709"/>
        <w:jc w:val="both"/>
        <w:rPr>
          <w:rFonts w:ascii="Century Gothic" w:eastAsia="Arial" w:hAnsi="Century Gothic" w:cs="Arial"/>
          <w:color w:val="000000"/>
          <w:sz w:val="14"/>
          <w:szCs w:val="14"/>
        </w:rPr>
      </w:pPr>
      <w:r w:rsidRPr="00E11F53">
        <w:rPr>
          <w:rFonts w:ascii="Century Gothic" w:hAnsi="Century Gothic" w:cs="Arial"/>
          <w:sz w:val="14"/>
          <w:szCs w:val="14"/>
          <w:vertAlign w:val="superscript"/>
        </w:rPr>
        <w:footnoteRef/>
      </w:r>
      <w:r w:rsidRPr="00E11F53">
        <w:rPr>
          <w:rFonts w:ascii="Century Gothic" w:eastAsia="Arial" w:hAnsi="Century Gothic" w:cs="Arial"/>
          <w:color w:val="000000"/>
          <w:sz w:val="14"/>
          <w:szCs w:val="14"/>
        </w:rPr>
        <w:t xml:space="preserve"> Ver Consejo de Estado, Sección Tercera, Subsección C. Sentencia del 26 de febrero de 2014. C.P. Enrique Gil Botero. Rad. 25.804.  </w:t>
      </w:r>
    </w:p>
    <w:p w14:paraId="2EA66D67" w14:textId="77777777" w:rsidR="001F6387" w:rsidRPr="00E11F53" w:rsidRDefault="001F6387" w:rsidP="001F6387">
      <w:pPr>
        <w:pBdr>
          <w:top w:val="nil"/>
          <w:left w:val="nil"/>
          <w:bottom w:val="nil"/>
          <w:right w:val="nil"/>
          <w:between w:val="nil"/>
        </w:pBdr>
        <w:ind w:firstLine="709"/>
        <w:jc w:val="both"/>
        <w:rPr>
          <w:rFonts w:ascii="Century Gothic" w:eastAsia="Arial" w:hAnsi="Century Gothic" w:cs="Arial"/>
          <w:color w:val="000000"/>
          <w:sz w:val="14"/>
          <w:szCs w:val="14"/>
        </w:rPr>
      </w:pPr>
    </w:p>
  </w:footnote>
  <w:footnote w:id="17">
    <w:p w14:paraId="41BFD452" w14:textId="77777777" w:rsidR="001F6387" w:rsidRPr="00E11F53" w:rsidRDefault="001F6387" w:rsidP="001F6387">
      <w:pPr>
        <w:pBdr>
          <w:top w:val="nil"/>
          <w:left w:val="nil"/>
          <w:bottom w:val="nil"/>
          <w:right w:val="nil"/>
          <w:between w:val="nil"/>
        </w:pBdr>
        <w:ind w:firstLine="709"/>
        <w:jc w:val="both"/>
        <w:rPr>
          <w:rFonts w:ascii="Century Gothic" w:eastAsia="Arial" w:hAnsi="Century Gothic" w:cs="Arial"/>
          <w:color w:val="000000"/>
          <w:sz w:val="14"/>
          <w:szCs w:val="14"/>
        </w:rPr>
      </w:pPr>
      <w:r w:rsidRPr="00E11F53">
        <w:rPr>
          <w:rFonts w:ascii="Century Gothic" w:hAnsi="Century Gothic" w:cs="Arial"/>
          <w:sz w:val="14"/>
          <w:szCs w:val="14"/>
          <w:vertAlign w:val="superscript"/>
        </w:rPr>
        <w:footnoteRef/>
      </w:r>
      <w:r w:rsidRPr="00E11F53">
        <w:rPr>
          <w:rFonts w:ascii="Century Gothic" w:eastAsia="Arial" w:hAnsi="Century Gothic" w:cs="Arial"/>
          <w:color w:val="000000"/>
          <w:sz w:val="14"/>
          <w:szCs w:val="14"/>
        </w:rPr>
        <w:t xml:space="preserve"> Consejo de Estado, Sala de Consulta y Servicio Civil, concepto del 20 de mayo de 2010. C.P. Enrique José Arboleda Perdomo. Rad. 2010-00034-00(1992).</w:t>
      </w:r>
    </w:p>
    <w:p w14:paraId="774127B3" w14:textId="77777777" w:rsidR="001F6387" w:rsidRPr="00E11F53" w:rsidRDefault="001F6387" w:rsidP="001F6387">
      <w:pPr>
        <w:pBdr>
          <w:top w:val="nil"/>
          <w:left w:val="nil"/>
          <w:bottom w:val="nil"/>
          <w:right w:val="nil"/>
          <w:between w:val="nil"/>
        </w:pBdr>
        <w:ind w:firstLine="709"/>
        <w:jc w:val="both"/>
        <w:rPr>
          <w:rFonts w:ascii="Century Gothic" w:eastAsia="Arial" w:hAnsi="Century Gothic" w:cs="Arial"/>
          <w:color w:val="000000"/>
          <w:sz w:val="14"/>
          <w:szCs w:val="14"/>
        </w:rPr>
      </w:pPr>
    </w:p>
  </w:footnote>
  <w:footnote w:id="18">
    <w:p w14:paraId="199CFD09" w14:textId="77777777" w:rsidR="001F6387" w:rsidRPr="00E11F53" w:rsidRDefault="001F6387" w:rsidP="001F6387">
      <w:pPr>
        <w:pStyle w:val="Textonotapie"/>
        <w:ind w:firstLine="709"/>
        <w:jc w:val="both"/>
        <w:rPr>
          <w:rFonts w:ascii="Century Gothic" w:hAnsi="Century Gothic" w:cs="Arial"/>
          <w:sz w:val="14"/>
          <w:szCs w:val="14"/>
          <w:lang w:val="es-ES"/>
        </w:rPr>
      </w:pPr>
      <w:r w:rsidRPr="00E11F53">
        <w:rPr>
          <w:rStyle w:val="Refdenotaalpie"/>
          <w:rFonts w:ascii="Century Gothic" w:hAnsi="Century Gothic" w:cs="Arial"/>
          <w:sz w:val="14"/>
          <w:szCs w:val="14"/>
        </w:rPr>
        <w:footnoteRef/>
      </w:r>
      <w:r w:rsidRPr="00E11F53">
        <w:rPr>
          <w:rFonts w:ascii="Century Gothic" w:hAnsi="Century Gothic" w:cs="Arial"/>
          <w:sz w:val="14"/>
          <w:szCs w:val="14"/>
        </w:rPr>
        <w:t xml:space="preserve"> </w:t>
      </w:r>
      <w:r w:rsidRPr="00E11F53">
        <w:rPr>
          <w:rFonts w:ascii="Century Gothic" w:hAnsi="Century Gothic" w:cs="Arial"/>
          <w:sz w:val="14"/>
          <w:szCs w:val="14"/>
          <w:lang w:val="es-ES"/>
        </w:rPr>
        <w:t xml:space="preserve">Agencia Nacional de Contratación Pública – Colombia Compra Eficiente, </w:t>
      </w:r>
      <w:r w:rsidRPr="00E11F53">
        <w:rPr>
          <w:rFonts w:ascii="Century Gothic" w:hAnsi="Century Gothic" w:cs="Arial"/>
          <w:sz w:val="14"/>
          <w:szCs w:val="14"/>
        </w:rPr>
        <w:t>Concepto C – 629 de 2020.</w:t>
      </w:r>
      <w:r w:rsidRPr="00E11F53">
        <w:rPr>
          <w:rFonts w:ascii="Century Gothic" w:hAnsi="Century Gothic" w:cs="Arial"/>
          <w:sz w:val="14"/>
          <w:szCs w:val="14"/>
          <w:lang w:val="es-ES"/>
        </w:rPr>
        <w:t xml:space="preserve"> </w:t>
      </w:r>
    </w:p>
  </w:footnote>
  <w:footnote w:id="19">
    <w:p w14:paraId="36A3F140" w14:textId="77777777" w:rsidR="001F6387" w:rsidRPr="000C0E25" w:rsidRDefault="001F6387" w:rsidP="001F6387">
      <w:pPr>
        <w:pStyle w:val="Textonotapie"/>
        <w:ind w:firstLine="708"/>
        <w:jc w:val="both"/>
        <w:rPr>
          <w:rFonts w:ascii="Century Gothic" w:hAnsi="Century Gothic"/>
          <w:sz w:val="14"/>
          <w:szCs w:val="14"/>
        </w:rPr>
      </w:pPr>
      <w:r w:rsidRPr="000C0E25">
        <w:rPr>
          <w:rStyle w:val="Refdenotaalpie"/>
          <w:rFonts w:ascii="Century Gothic" w:hAnsi="Century Gothic"/>
          <w:sz w:val="14"/>
          <w:szCs w:val="14"/>
        </w:rPr>
        <w:footnoteRef/>
      </w:r>
      <w:r w:rsidRPr="000C0E25">
        <w:rPr>
          <w:rFonts w:ascii="Century Gothic" w:hAnsi="Century Gothic"/>
          <w:sz w:val="14"/>
          <w:szCs w:val="14"/>
        </w:rPr>
        <w:t xml:space="preserve"> Decreto 142 de 2023: “Artículo 4°. Modificación del artículo 2.2.1.1.2.2.2 de la Subsección 2 de la Sección 2 del Capítulo 1 del Título 1 de la Parte 2 del Libro 2 del Decreto número 1082 de 2015. Modifíquese el artículo 2.2.1.1.2.2.2. de la Subsección 2 de la Sección 2 del Capítulo 1 del Título 1 de la Parte 2 del Libro 2 del Decreto número 1082 de 2015, el cual quedará así: </w:t>
      </w:r>
    </w:p>
    <w:p w14:paraId="4A6AF9D1" w14:textId="77777777" w:rsidR="001F6387" w:rsidRPr="000C0E25" w:rsidRDefault="001F6387" w:rsidP="001F6387">
      <w:pPr>
        <w:pStyle w:val="Textonotapie"/>
        <w:ind w:firstLine="708"/>
        <w:jc w:val="both"/>
        <w:rPr>
          <w:rFonts w:ascii="Century Gothic" w:hAnsi="Century Gothic"/>
          <w:sz w:val="14"/>
          <w:szCs w:val="14"/>
        </w:rPr>
      </w:pPr>
      <w:r w:rsidRPr="000C0E25">
        <w:rPr>
          <w:rFonts w:ascii="Century Gothic" w:hAnsi="Century Gothic"/>
          <w:sz w:val="14"/>
          <w:szCs w:val="14"/>
        </w:rPr>
        <w:t xml:space="preserve">“Artículo 2.2.1.1.2.2.2. Ofrecimiento más favorable. La Entidad Estatal debe determinar la oferta más favorable teniendo en cuenta las normas aplicables a cada modalidad de selección del contratista. </w:t>
      </w:r>
    </w:p>
    <w:p w14:paraId="04FEB167" w14:textId="77777777" w:rsidR="001F6387" w:rsidRPr="000C0E25" w:rsidRDefault="001F6387" w:rsidP="001F6387">
      <w:pPr>
        <w:pStyle w:val="Textonotapie"/>
        <w:ind w:firstLine="708"/>
        <w:jc w:val="both"/>
        <w:rPr>
          <w:rFonts w:ascii="Century Gothic" w:hAnsi="Century Gothic"/>
          <w:sz w:val="14"/>
          <w:szCs w:val="14"/>
        </w:rPr>
      </w:pPr>
      <w:r w:rsidRPr="000C0E25">
        <w:rPr>
          <w:rFonts w:ascii="Century Gothic" w:hAnsi="Century Gothic"/>
          <w:sz w:val="14"/>
          <w:szCs w:val="14"/>
        </w:rPr>
        <w:t xml:space="preserve">En la licitación y la selección abreviada de menor cuantía, la Entidad Estatal debe determinar la oferta más favorable teniendo en cuenta: (a) la ponderación de los elementos de calidad y precio soportados en puntajes o fórmulas; o (b) la ponderación de los elementos de calidad y precio que representen la mejor relación de costo-beneficio. </w:t>
      </w:r>
    </w:p>
    <w:p w14:paraId="39E8742A" w14:textId="77777777" w:rsidR="001F6387" w:rsidRPr="000C0E25" w:rsidRDefault="001F6387" w:rsidP="001F6387">
      <w:pPr>
        <w:pStyle w:val="Textonotapie"/>
        <w:ind w:firstLine="708"/>
        <w:jc w:val="both"/>
        <w:rPr>
          <w:rFonts w:ascii="Century Gothic" w:hAnsi="Century Gothic"/>
          <w:sz w:val="14"/>
          <w:szCs w:val="14"/>
        </w:rPr>
      </w:pPr>
      <w:r w:rsidRPr="000C0E25">
        <w:rPr>
          <w:rFonts w:ascii="Century Gothic" w:hAnsi="Century Gothic"/>
          <w:sz w:val="14"/>
          <w:szCs w:val="14"/>
        </w:rPr>
        <w:t xml:space="preserve">Si la Entidad Estatal decide determinar la oferta de acuerdo con el literal (b) anterior debe señalar en los pliegos de condiciones: </w:t>
      </w:r>
    </w:p>
    <w:p w14:paraId="25BD4E7E" w14:textId="77777777" w:rsidR="001F6387" w:rsidRPr="000C0E25" w:rsidRDefault="001F6387" w:rsidP="001F6387">
      <w:pPr>
        <w:pStyle w:val="Textonotapie"/>
        <w:ind w:firstLine="708"/>
        <w:jc w:val="both"/>
        <w:rPr>
          <w:rFonts w:ascii="Century Gothic" w:hAnsi="Century Gothic"/>
          <w:sz w:val="14"/>
          <w:szCs w:val="14"/>
        </w:rPr>
      </w:pPr>
      <w:r w:rsidRPr="000C0E25">
        <w:rPr>
          <w:rFonts w:ascii="Century Gothic" w:hAnsi="Century Gothic"/>
          <w:sz w:val="14"/>
          <w:szCs w:val="14"/>
        </w:rPr>
        <w:t xml:space="preserve">1. Las condiciones técnicas y económicas mínimas de la oferta. </w:t>
      </w:r>
    </w:p>
    <w:p w14:paraId="6A790C71" w14:textId="77777777" w:rsidR="001F6387" w:rsidRPr="000C0E25" w:rsidRDefault="001F6387" w:rsidP="001F6387">
      <w:pPr>
        <w:pStyle w:val="Textonotapie"/>
        <w:ind w:firstLine="708"/>
        <w:jc w:val="both"/>
        <w:rPr>
          <w:rFonts w:ascii="Century Gothic" w:hAnsi="Century Gothic"/>
          <w:sz w:val="14"/>
          <w:szCs w:val="14"/>
        </w:rPr>
      </w:pPr>
      <w:r w:rsidRPr="000C0E25">
        <w:rPr>
          <w:rFonts w:ascii="Century Gothic" w:hAnsi="Century Gothic"/>
          <w:sz w:val="14"/>
          <w:szCs w:val="14"/>
        </w:rPr>
        <w:t xml:space="preserve">2. Las condiciones técnicas adicionales que representan ventajas de calidad o de funcionamiento, tales como el uso de tecnología o materiales que generen mayor eficiencia, rendimiento o duración del bien, obra o servicio. </w:t>
      </w:r>
    </w:p>
    <w:p w14:paraId="40DF2EA1" w14:textId="77777777" w:rsidR="001F6387" w:rsidRPr="000C0E25" w:rsidRDefault="001F6387" w:rsidP="001F6387">
      <w:pPr>
        <w:pStyle w:val="Textonotapie"/>
        <w:ind w:firstLine="708"/>
        <w:jc w:val="both"/>
        <w:rPr>
          <w:rFonts w:ascii="Century Gothic" w:hAnsi="Century Gothic"/>
          <w:sz w:val="14"/>
          <w:szCs w:val="14"/>
        </w:rPr>
      </w:pPr>
      <w:r w:rsidRPr="000C0E25">
        <w:rPr>
          <w:rFonts w:ascii="Century Gothic" w:hAnsi="Century Gothic"/>
          <w:sz w:val="14"/>
          <w:szCs w:val="14"/>
        </w:rPr>
        <w:t xml:space="preserve">3. Las condiciones económicas adicionales que representen ventajas en términos de economía, eficiencia y eficacia, que puedan ser valoradas en dinero, como por ejemplo la forma de pago, descuentos por adjudicación de varios lotes, descuentos por variaciones en programas de entregas, mayor garantía del bien o servicio respecto de la mínima requerida, impacto económico sobre las condiciones existentes de la Entidad Estatal relacionadas con el objeto a contratar, mayor asunción de los Riesgos, servicios o bienes adicionales y que representen un mayor grado de satisfacción para la entidad, entre otras. </w:t>
      </w:r>
    </w:p>
    <w:p w14:paraId="4D0CBFB0" w14:textId="77777777" w:rsidR="001F6387" w:rsidRPr="000C0E25" w:rsidRDefault="001F6387" w:rsidP="001F6387">
      <w:pPr>
        <w:pStyle w:val="Textonotapie"/>
        <w:ind w:firstLine="708"/>
        <w:jc w:val="both"/>
        <w:rPr>
          <w:rFonts w:ascii="Century Gothic" w:hAnsi="Century Gothic"/>
          <w:sz w:val="14"/>
          <w:szCs w:val="14"/>
        </w:rPr>
      </w:pPr>
      <w:r w:rsidRPr="000C0E25">
        <w:rPr>
          <w:rFonts w:ascii="Century Gothic" w:hAnsi="Century Gothic"/>
          <w:sz w:val="14"/>
          <w:szCs w:val="14"/>
        </w:rPr>
        <w:t xml:space="preserve">4. El valor en dinero que la Entidad Estatal asigna a cada ofrecimiento técnico o económico adicional, para permitir la ponderación de las ofertas presentadas. </w:t>
      </w:r>
    </w:p>
    <w:p w14:paraId="7D229DAC" w14:textId="77777777" w:rsidR="001F6387" w:rsidRPr="000C0E25" w:rsidRDefault="001F6387" w:rsidP="001F6387">
      <w:pPr>
        <w:pStyle w:val="Textonotapie"/>
        <w:ind w:firstLine="708"/>
        <w:jc w:val="both"/>
        <w:rPr>
          <w:rFonts w:ascii="Century Gothic" w:hAnsi="Century Gothic"/>
          <w:sz w:val="14"/>
          <w:szCs w:val="14"/>
        </w:rPr>
      </w:pPr>
      <w:r w:rsidRPr="000C0E25">
        <w:rPr>
          <w:rFonts w:ascii="Century Gothic" w:hAnsi="Century Gothic"/>
          <w:sz w:val="14"/>
          <w:szCs w:val="14"/>
        </w:rPr>
        <w:t xml:space="preserve">La Entidad Estatal debe calcular la relación costo-beneficio de cada oferta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 </w:t>
      </w:r>
    </w:p>
    <w:p w14:paraId="3407CE6A" w14:textId="77777777" w:rsidR="001F6387" w:rsidRPr="000C0E25" w:rsidRDefault="001F6387" w:rsidP="001F6387">
      <w:pPr>
        <w:pStyle w:val="Textonotapie"/>
        <w:ind w:firstLine="708"/>
        <w:jc w:val="both"/>
        <w:rPr>
          <w:rFonts w:ascii="Century Gothic" w:hAnsi="Century Gothic"/>
          <w:sz w:val="14"/>
          <w:szCs w:val="14"/>
        </w:rPr>
      </w:pPr>
      <w:r w:rsidRPr="000C0E25">
        <w:rPr>
          <w:rFonts w:ascii="Century Gothic" w:hAnsi="Century Gothic"/>
          <w:sz w:val="14"/>
          <w:szCs w:val="14"/>
        </w:rPr>
        <w:t xml:space="preserve">La Entidad Estatal debe adjudicar al oferente que presentó la oferta con la mejor relación costo-beneficio y suscribir el contrato por el precio total ofrecido. </w:t>
      </w:r>
    </w:p>
    <w:p w14:paraId="2A8686F6" w14:textId="77777777" w:rsidR="001F6387" w:rsidRPr="000C0E25" w:rsidRDefault="001F6387" w:rsidP="001F6387">
      <w:pPr>
        <w:pStyle w:val="Textonotapie"/>
        <w:ind w:firstLine="708"/>
        <w:jc w:val="both"/>
        <w:rPr>
          <w:rFonts w:ascii="Century Gothic" w:hAnsi="Century Gothic"/>
          <w:sz w:val="14"/>
          <w:szCs w:val="14"/>
        </w:rPr>
      </w:pPr>
      <w:r w:rsidRPr="000C0E25">
        <w:rPr>
          <w:rFonts w:ascii="Century Gothic" w:hAnsi="Century Gothic"/>
          <w:sz w:val="14"/>
          <w:szCs w:val="14"/>
        </w:rPr>
        <w:t xml:space="preserve">Para la adquisición de Bienes y Servicios de Características Técnicas No Uniformes a través de Acuerdos Marco de Precios e Instrumentos de Agregación de Demanda, el ofrecimiento más favorable parte de la definición que la Entidad Estatal que estructura el Instrumento de Agregación de Demanda o Acuerdo Marco de Precios hace en la Operación Principal de las condiciones técnicas y económicas mínimas del bien o servicio. </w:t>
      </w:r>
    </w:p>
    <w:p w14:paraId="05F445AA" w14:textId="77777777" w:rsidR="001F6387" w:rsidRPr="000C0E25" w:rsidRDefault="001F6387" w:rsidP="001F6387">
      <w:pPr>
        <w:pStyle w:val="Textonotapie"/>
        <w:ind w:firstLine="708"/>
        <w:jc w:val="both"/>
        <w:rPr>
          <w:rFonts w:ascii="Century Gothic" w:hAnsi="Century Gothic"/>
          <w:sz w:val="14"/>
          <w:szCs w:val="14"/>
        </w:rPr>
      </w:pPr>
      <w:r w:rsidRPr="000C0E25">
        <w:rPr>
          <w:rFonts w:ascii="Century Gothic" w:hAnsi="Century Gothic"/>
          <w:sz w:val="14"/>
          <w:szCs w:val="14"/>
        </w:rPr>
        <w:t xml:space="preserve">Las Entidades Estatales que compren en la operación secundaria de un Acuerdo Marco de Precios o Instrumento de Agregación de Demanda, deben evaluar las cotizaciones de los proveedores bajo las condiciones que el instrumento fija para definir la oferta más favorable. </w:t>
      </w:r>
    </w:p>
    <w:p w14:paraId="07214A60" w14:textId="77777777" w:rsidR="001F6387" w:rsidRPr="000C0E25" w:rsidRDefault="001F6387" w:rsidP="001F6387">
      <w:pPr>
        <w:pStyle w:val="Textonotapie"/>
        <w:ind w:firstLine="708"/>
        <w:jc w:val="both"/>
        <w:rPr>
          <w:rFonts w:ascii="Century Gothic" w:hAnsi="Century Gothic"/>
          <w:sz w:val="14"/>
          <w:szCs w:val="14"/>
        </w:rPr>
      </w:pPr>
      <w:r w:rsidRPr="000C0E25">
        <w:rPr>
          <w:rFonts w:ascii="Century Gothic" w:hAnsi="Century Gothic"/>
          <w:sz w:val="14"/>
          <w:szCs w:val="14"/>
        </w:rPr>
        <w:t xml:space="preserve">Parágrafo. Los criterios de calidad para evaluar la mejor relación </w:t>
      </w:r>
      <w:proofErr w:type="spellStart"/>
      <w:r w:rsidRPr="000C0E25">
        <w:rPr>
          <w:rFonts w:ascii="Century Gothic" w:hAnsi="Century Gothic"/>
          <w:sz w:val="14"/>
          <w:szCs w:val="14"/>
        </w:rPr>
        <w:t>calidadprecio</w:t>
      </w:r>
      <w:proofErr w:type="spellEnd"/>
      <w:r w:rsidRPr="000C0E25">
        <w:rPr>
          <w:rFonts w:ascii="Century Gothic" w:hAnsi="Century Gothic"/>
          <w:sz w:val="14"/>
          <w:szCs w:val="14"/>
        </w:rPr>
        <w:t xml:space="preserve"> podrán incluir criterios ambientales o sociales vinculados al objeto del contrato. </w:t>
      </w:r>
    </w:p>
    <w:p w14:paraId="232F0085" w14:textId="77777777" w:rsidR="001F6387" w:rsidRPr="000C0E25" w:rsidRDefault="001F6387" w:rsidP="001F6387">
      <w:pPr>
        <w:pStyle w:val="Textonotapie"/>
        <w:ind w:firstLine="708"/>
        <w:jc w:val="both"/>
        <w:rPr>
          <w:rFonts w:ascii="Century Gothic" w:hAnsi="Century Gothic"/>
          <w:sz w:val="14"/>
          <w:szCs w:val="14"/>
        </w:rPr>
      </w:pPr>
      <w:r w:rsidRPr="000C0E25">
        <w:rPr>
          <w:rFonts w:ascii="Century Gothic" w:hAnsi="Century Gothic"/>
          <w:sz w:val="14"/>
          <w:szCs w:val="14"/>
        </w:rPr>
        <w:t xml:space="preserve">Los criterios ambientales podrán referirse, entre otras, a variables como la reducción del nivel de emisión de gases de efecto invernadero; el empleo de medidas de eficiencia energética y la utilización de energía procedente de fuentes renovables durante la ejecución del contrato. </w:t>
      </w:r>
    </w:p>
    <w:p w14:paraId="5D33B845" w14:textId="77777777" w:rsidR="001F6387" w:rsidRPr="000C0E25" w:rsidRDefault="001F6387" w:rsidP="001F6387">
      <w:pPr>
        <w:pStyle w:val="Textonotapie"/>
        <w:ind w:firstLine="708"/>
        <w:jc w:val="both"/>
        <w:rPr>
          <w:rFonts w:ascii="Century Gothic" w:hAnsi="Century Gothic"/>
          <w:sz w:val="14"/>
          <w:szCs w:val="14"/>
        </w:rPr>
      </w:pPr>
      <w:r w:rsidRPr="000C0E25">
        <w:rPr>
          <w:rFonts w:ascii="Century Gothic" w:hAnsi="Century Gothic"/>
          <w:sz w:val="14"/>
          <w:szCs w:val="14"/>
        </w:rPr>
        <w:t xml:space="preserve">Los criterios sociales se referirán, entre otras, a las siguientes finalidades: fomento de la integración social de personas con discapacidad, inclusión de personas pertenecientes a grupos vulnerables en la ejecución del contrato y, en general, la inserción sociolaboral de personas en situación de riesgo de exclusión social y la eliminación de criterios sospechosos de discriminación; el fomento de la contratación femenina o población LGTBIQ+; madres cabeza de hogar; personas que no cuenten con cualificaciones educativas de formación secundaria o profesional superior,; víctimas del conflicto armado; criterios referidos al suministro o a la utilización de productos basados en un comercio justo durante la ejecución del contrato, en los términos definidos por el artículo 4° de la Ley 2046 de 2020. </w:t>
      </w:r>
    </w:p>
    <w:p w14:paraId="2431139F" w14:textId="77777777" w:rsidR="001F6387" w:rsidRPr="000C0E25" w:rsidRDefault="001F6387" w:rsidP="001F6387">
      <w:pPr>
        <w:pStyle w:val="Textonotapie"/>
        <w:ind w:firstLine="708"/>
        <w:jc w:val="both"/>
        <w:rPr>
          <w:rFonts w:ascii="Century Gothic" w:hAnsi="Century Gothic"/>
          <w:sz w:val="14"/>
          <w:szCs w:val="14"/>
          <w:lang w:val="es-CO"/>
        </w:rPr>
      </w:pPr>
      <w:r w:rsidRPr="000C0E25">
        <w:rPr>
          <w:rFonts w:ascii="Century Gothic" w:hAnsi="Century Gothic"/>
          <w:sz w:val="14"/>
          <w:szCs w:val="14"/>
        </w:rPr>
        <w:t xml:space="preserve">En el marco de las competencias atribuidas por el Decreto Ley 4170 de 2011, la Agencia Nacional de Contratación Pública -Colombia Compra </w:t>
      </w:r>
      <w:proofErr w:type="spellStart"/>
      <w:r w:rsidRPr="000C0E25">
        <w:rPr>
          <w:rFonts w:ascii="Century Gothic" w:hAnsi="Century Gothic"/>
          <w:sz w:val="14"/>
          <w:szCs w:val="14"/>
        </w:rPr>
        <w:t>Eficienteadoptará</w:t>
      </w:r>
      <w:proofErr w:type="spellEnd"/>
      <w:r w:rsidRPr="000C0E25">
        <w:rPr>
          <w:rFonts w:ascii="Century Gothic" w:hAnsi="Century Gothic"/>
          <w:sz w:val="14"/>
          <w:szCs w:val="14"/>
        </w:rPr>
        <w:t xml:space="preserve"> instrumentos dirigidos a orientar a las Entidades Estatales en la aplicación de estos criterios sociales y ambientales”.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F2FF" w14:textId="77777777" w:rsidR="0020617F" w:rsidRDefault="0020617F" w:rsidP="0020617F">
    <w:pPr>
      <w:pStyle w:val="Encabezado"/>
    </w:pPr>
    <w:r>
      <w:rPr>
        <w:noProof/>
      </w:rPr>
      <w:drawing>
        <wp:anchor distT="0" distB="0" distL="114300" distR="114300" simplePos="0" relativeHeight="251658241" behindDoc="1" locked="0" layoutInCell="1" allowOverlap="1" wp14:anchorId="5DD8D809" wp14:editId="62E4B453">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Cs w:val="24"/>
      </w:rPr>
      <w:drawing>
        <wp:anchor distT="0" distB="0" distL="114300" distR="114300" simplePos="0" relativeHeight="251658244" behindDoc="0" locked="0" layoutInCell="1" allowOverlap="1" wp14:anchorId="7AE6B2EF" wp14:editId="7F6B7268">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356580" name="Imagen 1644356580"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Cs w:val="24"/>
      </w:rPr>
      <w:drawing>
        <wp:anchor distT="0" distB="0" distL="114300" distR="114300" simplePos="0" relativeHeight="251658243" behindDoc="0" locked="0" layoutInCell="1" allowOverlap="1" wp14:anchorId="5810FC16" wp14:editId="1EA3BF05">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0AE3F34B" wp14:editId="65F93ADE">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691DD875" w14:textId="77777777" w:rsidR="0020617F" w:rsidRDefault="0020617F" w:rsidP="0020617F">
    <w:pPr>
      <w:pStyle w:val="Encabezado"/>
    </w:pPr>
  </w:p>
  <w:p w14:paraId="3905E6B5" w14:textId="77777777" w:rsidR="0020617F" w:rsidRDefault="0020617F" w:rsidP="0020617F">
    <w:pPr>
      <w:pStyle w:val="Encabezado"/>
    </w:pPr>
  </w:p>
  <w:p w14:paraId="32707E4E" w14:textId="77777777" w:rsidR="0020617F" w:rsidRPr="004A305D" w:rsidRDefault="0020617F" w:rsidP="0020617F">
    <w:pPr>
      <w:rPr>
        <w:rFonts w:ascii="Century Gothic" w:hAnsi="Century Gothic"/>
        <w:color w:val="002060"/>
        <w:sz w:val="16"/>
        <w:szCs w:val="16"/>
      </w:rPr>
    </w:pPr>
    <w:r w:rsidRPr="004A305D">
      <w:rPr>
        <w:rFonts w:ascii="Century Gothic" w:hAnsi="Century Gothic"/>
        <w:color w:val="002060"/>
        <w:sz w:val="16"/>
        <w:szCs w:val="16"/>
      </w:rPr>
      <w:t>FORMATO PQRSD</w:t>
    </w:r>
  </w:p>
  <w:p w14:paraId="20AA33EE" w14:textId="77777777" w:rsidR="0020617F" w:rsidRPr="004A305D" w:rsidRDefault="0020617F" w:rsidP="0020617F">
    <w:pPr>
      <w:pBdr>
        <w:top w:val="nil"/>
        <w:left w:val="nil"/>
        <w:bottom w:val="nil"/>
        <w:right w:val="nil"/>
        <w:between w:val="nil"/>
      </w:pBdr>
      <w:tabs>
        <w:tab w:val="center" w:pos="4419"/>
        <w:tab w:val="right" w:pos="8838"/>
        <w:tab w:val="center" w:pos="5400"/>
      </w:tabs>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13</w:t>
    </w:r>
  </w:p>
  <w:p w14:paraId="3C96F0C7" w14:textId="77777777" w:rsidR="0020617F" w:rsidRDefault="0020617F" w:rsidP="0020617F">
    <w:pPr>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55E5DA52" w14:textId="45BF26AF" w:rsidR="00C11EE9" w:rsidRPr="0020617F" w:rsidRDefault="00C11EE9" w:rsidP="002061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645500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F7"/>
    <w:rsid w:val="00033BA4"/>
    <w:rsid w:val="00033CA7"/>
    <w:rsid w:val="00040E76"/>
    <w:rsid w:val="000460CE"/>
    <w:rsid w:val="0004698F"/>
    <w:rsid w:val="0005405C"/>
    <w:rsid w:val="000636D4"/>
    <w:rsid w:val="000868A6"/>
    <w:rsid w:val="00092218"/>
    <w:rsid w:val="00094407"/>
    <w:rsid w:val="000977C9"/>
    <w:rsid w:val="000A0743"/>
    <w:rsid w:val="000A5435"/>
    <w:rsid w:val="000B3BF1"/>
    <w:rsid w:val="000B46EA"/>
    <w:rsid w:val="000B5520"/>
    <w:rsid w:val="000B7248"/>
    <w:rsid w:val="000C3009"/>
    <w:rsid w:val="000C5926"/>
    <w:rsid w:val="000D68A1"/>
    <w:rsid w:val="000E40F0"/>
    <w:rsid w:val="000F2799"/>
    <w:rsid w:val="000F6D56"/>
    <w:rsid w:val="00101285"/>
    <w:rsid w:val="001155BC"/>
    <w:rsid w:val="00117742"/>
    <w:rsid w:val="001224C8"/>
    <w:rsid w:val="001235AB"/>
    <w:rsid w:val="00125FAE"/>
    <w:rsid w:val="001310BD"/>
    <w:rsid w:val="001425C6"/>
    <w:rsid w:val="00155AA4"/>
    <w:rsid w:val="00172302"/>
    <w:rsid w:val="00175731"/>
    <w:rsid w:val="00181A0F"/>
    <w:rsid w:val="00187C2F"/>
    <w:rsid w:val="001934E9"/>
    <w:rsid w:val="001957A4"/>
    <w:rsid w:val="001A0BEF"/>
    <w:rsid w:val="001A5C14"/>
    <w:rsid w:val="001B561E"/>
    <w:rsid w:val="001B7D44"/>
    <w:rsid w:val="001C7A05"/>
    <w:rsid w:val="001F0E5D"/>
    <w:rsid w:val="001F6387"/>
    <w:rsid w:val="00203AEC"/>
    <w:rsid w:val="0020617F"/>
    <w:rsid w:val="00211FD1"/>
    <w:rsid w:val="00212893"/>
    <w:rsid w:val="00241891"/>
    <w:rsid w:val="0024319D"/>
    <w:rsid w:val="00246C39"/>
    <w:rsid w:val="0025058A"/>
    <w:rsid w:val="00255DF7"/>
    <w:rsid w:val="00256066"/>
    <w:rsid w:val="00264399"/>
    <w:rsid w:val="002669E5"/>
    <w:rsid w:val="00290C3D"/>
    <w:rsid w:val="00293329"/>
    <w:rsid w:val="002B3621"/>
    <w:rsid w:val="002C0664"/>
    <w:rsid w:val="002C1CE3"/>
    <w:rsid w:val="002D4621"/>
    <w:rsid w:val="002D5C6B"/>
    <w:rsid w:val="002E5EF3"/>
    <w:rsid w:val="002F7C3F"/>
    <w:rsid w:val="003168A5"/>
    <w:rsid w:val="0031762F"/>
    <w:rsid w:val="00334AF9"/>
    <w:rsid w:val="0034655E"/>
    <w:rsid w:val="00350F02"/>
    <w:rsid w:val="00351231"/>
    <w:rsid w:val="003532FE"/>
    <w:rsid w:val="0036284A"/>
    <w:rsid w:val="00362D7B"/>
    <w:rsid w:val="00370A7F"/>
    <w:rsid w:val="0037323E"/>
    <w:rsid w:val="00373C31"/>
    <w:rsid w:val="00376C51"/>
    <w:rsid w:val="003776A6"/>
    <w:rsid w:val="00397A6A"/>
    <w:rsid w:val="003A0666"/>
    <w:rsid w:val="003A0BAA"/>
    <w:rsid w:val="003A2031"/>
    <w:rsid w:val="003A5D7C"/>
    <w:rsid w:val="003A625B"/>
    <w:rsid w:val="003B145A"/>
    <w:rsid w:val="003B1E39"/>
    <w:rsid w:val="003C068D"/>
    <w:rsid w:val="003C139B"/>
    <w:rsid w:val="003C2315"/>
    <w:rsid w:val="003D3123"/>
    <w:rsid w:val="003D5EE6"/>
    <w:rsid w:val="003E6501"/>
    <w:rsid w:val="004054C5"/>
    <w:rsid w:val="00414B63"/>
    <w:rsid w:val="00416A9E"/>
    <w:rsid w:val="00427B2C"/>
    <w:rsid w:val="00437115"/>
    <w:rsid w:val="00442C55"/>
    <w:rsid w:val="00444818"/>
    <w:rsid w:val="00445994"/>
    <w:rsid w:val="00445B9A"/>
    <w:rsid w:val="00445F15"/>
    <w:rsid w:val="00457114"/>
    <w:rsid w:val="00461E1C"/>
    <w:rsid w:val="00471153"/>
    <w:rsid w:val="004730E2"/>
    <w:rsid w:val="004845C5"/>
    <w:rsid w:val="004B2C2B"/>
    <w:rsid w:val="004D0930"/>
    <w:rsid w:val="004E4FED"/>
    <w:rsid w:val="004F59CA"/>
    <w:rsid w:val="004F5B4B"/>
    <w:rsid w:val="00526B09"/>
    <w:rsid w:val="00532050"/>
    <w:rsid w:val="00534DAE"/>
    <w:rsid w:val="00535949"/>
    <w:rsid w:val="005505E3"/>
    <w:rsid w:val="0055220E"/>
    <w:rsid w:val="00560493"/>
    <w:rsid w:val="005709F1"/>
    <w:rsid w:val="00592023"/>
    <w:rsid w:val="005A0728"/>
    <w:rsid w:val="005A3120"/>
    <w:rsid w:val="005A3892"/>
    <w:rsid w:val="005B31EF"/>
    <w:rsid w:val="005C0C3C"/>
    <w:rsid w:val="005C1093"/>
    <w:rsid w:val="005D3FDD"/>
    <w:rsid w:val="005D53D8"/>
    <w:rsid w:val="005E29BF"/>
    <w:rsid w:val="005F0149"/>
    <w:rsid w:val="005F5F4C"/>
    <w:rsid w:val="00603258"/>
    <w:rsid w:val="00611922"/>
    <w:rsid w:val="00613B8F"/>
    <w:rsid w:val="00642FAD"/>
    <w:rsid w:val="0064684E"/>
    <w:rsid w:val="00657573"/>
    <w:rsid w:val="00671C54"/>
    <w:rsid w:val="00673576"/>
    <w:rsid w:val="006737CF"/>
    <w:rsid w:val="006774A8"/>
    <w:rsid w:val="0069070E"/>
    <w:rsid w:val="00693B1C"/>
    <w:rsid w:val="00695E0C"/>
    <w:rsid w:val="00696EC8"/>
    <w:rsid w:val="006A6928"/>
    <w:rsid w:val="006D319F"/>
    <w:rsid w:val="006E7609"/>
    <w:rsid w:val="006E77C5"/>
    <w:rsid w:val="006E7B77"/>
    <w:rsid w:val="00701046"/>
    <w:rsid w:val="00716AB2"/>
    <w:rsid w:val="007307A6"/>
    <w:rsid w:val="00744227"/>
    <w:rsid w:val="00747FBC"/>
    <w:rsid w:val="00754E16"/>
    <w:rsid w:val="00762584"/>
    <w:rsid w:val="00763E43"/>
    <w:rsid w:val="00773849"/>
    <w:rsid w:val="00773A97"/>
    <w:rsid w:val="00781AC2"/>
    <w:rsid w:val="0078570C"/>
    <w:rsid w:val="0079188E"/>
    <w:rsid w:val="007969EF"/>
    <w:rsid w:val="00797A18"/>
    <w:rsid w:val="007A2F39"/>
    <w:rsid w:val="007A617C"/>
    <w:rsid w:val="007B0D03"/>
    <w:rsid w:val="007B79FF"/>
    <w:rsid w:val="007C753D"/>
    <w:rsid w:val="007D2258"/>
    <w:rsid w:val="007D4B63"/>
    <w:rsid w:val="007D76AC"/>
    <w:rsid w:val="007E0EB4"/>
    <w:rsid w:val="007F45F9"/>
    <w:rsid w:val="007F7197"/>
    <w:rsid w:val="00804297"/>
    <w:rsid w:val="00805FE9"/>
    <w:rsid w:val="008074E3"/>
    <w:rsid w:val="00815DA5"/>
    <w:rsid w:val="00825DA8"/>
    <w:rsid w:val="0083520B"/>
    <w:rsid w:val="00837844"/>
    <w:rsid w:val="00840E20"/>
    <w:rsid w:val="00860608"/>
    <w:rsid w:val="00867946"/>
    <w:rsid w:val="00890DA4"/>
    <w:rsid w:val="008A7F2B"/>
    <w:rsid w:val="0090423F"/>
    <w:rsid w:val="00906AF6"/>
    <w:rsid w:val="00912B2C"/>
    <w:rsid w:val="00941D0A"/>
    <w:rsid w:val="00947206"/>
    <w:rsid w:val="00950DF7"/>
    <w:rsid w:val="009545C2"/>
    <w:rsid w:val="009564CC"/>
    <w:rsid w:val="00963831"/>
    <w:rsid w:val="00973329"/>
    <w:rsid w:val="00980630"/>
    <w:rsid w:val="00983F0D"/>
    <w:rsid w:val="009919FC"/>
    <w:rsid w:val="009A24F7"/>
    <w:rsid w:val="009B34D3"/>
    <w:rsid w:val="009B6FA0"/>
    <w:rsid w:val="009C4859"/>
    <w:rsid w:val="009D6C30"/>
    <w:rsid w:val="009D7A03"/>
    <w:rsid w:val="009E45F6"/>
    <w:rsid w:val="009E696A"/>
    <w:rsid w:val="009F0C6B"/>
    <w:rsid w:val="009F3236"/>
    <w:rsid w:val="00A12113"/>
    <w:rsid w:val="00A1362C"/>
    <w:rsid w:val="00A16495"/>
    <w:rsid w:val="00A23285"/>
    <w:rsid w:val="00A233D9"/>
    <w:rsid w:val="00A30368"/>
    <w:rsid w:val="00A319D2"/>
    <w:rsid w:val="00A35D77"/>
    <w:rsid w:val="00A40C33"/>
    <w:rsid w:val="00A551D2"/>
    <w:rsid w:val="00A6242E"/>
    <w:rsid w:val="00A62746"/>
    <w:rsid w:val="00A62F8E"/>
    <w:rsid w:val="00A7099F"/>
    <w:rsid w:val="00A720F6"/>
    <w:rsid w:val="00A76FE8"/>
    <w:rsid w:val="00A83365"/>
    <w:rsid w:val="00AA1BA1"/>
    <w:rsid w:val="00AB126D"/>
    <w:rsid w:val="00AB2EE3"/>
    <w:rsid w:val="00AB3C82"/>
    <w:rsid w:val="00AC68B8"/>
    <w:rsid w:val="00AE1316"/>
    <w:rsid w:val="00AE405B"/>
    <w:rsid w:val="00AE6492"/>
    <w:rsid w:val="00B01E4F"/>
    <w:rsid w:val="00B13910"/>
    <w:rsid w:val="00B17550"/>
    <w:rsid w:val="00B25798"/>
    <w:rsid w:val="00B2709C"/>
    <w:rsid w:val="00B43CF0"/>
    <w:rsid w:val="00B43FFA"/>
    <w:rsid w:val="00B5194C"/>
    <w:rsid w:val="00B715F0"/>
    <w:rsid w:val="00B742E2"/>
    <w:rsid w:val="00B8410B"/>
    <w:rsid w:val="00B910BF"/>
    <w:rsid w:val="00BC55DC"/>
    <w:rsid w:val="00BD15AC"/>
    <w:rsid w:val="00BE0F40"/>
    <w:rsid w:val="00C05B77"/>
    <w:rsid w:val="00C074A7"/>
    <w:rsid w:val="00C11EE9"/>
    <w:rsid w:val="00C24BA8"/>
    <w:rsid w:val="00C25A81"/>
    <w:rsid w:val="00C420A8"/>
    <w:rsid w:val="00C439CA"/>
    <w:rsid w:val="00C44D80"/>
    <w:rsid w:val="00C47EBD"/>
    <w:rsid w:val="00C54739"/>
    <w:rsid w:val="00C60F43"/>
    <w:rsid w:val="00C85A5E"/>
    <w:rsid w:val="00C87954"/>
    <w:rsid w:val="00CA6A03"/>
    <w:rsid w:val="00CB307A"/>
    <w:rsid w:val="00CB70FF"/>
    <w:rsid w:val="00CC0496"/>
    <w:rsid w:val="00CD3735"/>
    <w:rsid w:val="00CE15DC"/>
    <w:rsid w:val="00CE3A6E"/>
    <w:rsid w:val="00CF537D"/>
    <w:rsid w:val="00D04574"/>
    <w:rsid w:val="00D11C34"/>
    <w:rsid w:val="00D26202"/>
    <w:rsid w:val="00D33F26"/>
    <w:rsid w:val="00D42ECD"/>
    <w:rsid w:val="00D47C17"/>
    <w:rsid w:val="00D51C98"/>
    <w:rsid w:val="00D51D91"/>
    <w:rsid w:val="00D56015"/>
    <w:rsid w:val="00D62E38"/>
    <w:rsid w:val="00D706E2"/>
    <w:rsid w:val="00D74DA1"/>
    <w:rsid w:val="00D905F1"/>
    <w:rsid w:val="00D94E36"/>
    <w:rsid w:val="00DA0FBF"/>
    <w:rsid w:val="00DB3131"/>
    <w:rsid w:val="00DB4A50"/>
    <w:rsid w:val="00DC4C54"/>
    <w:rsid w:val="00DD6108"/>
    <w:rsid w:val="00DE6E19"/>
    <w:rsid w:val="00DE7E5B"/>
    <w:rsid w:val="00DF0BBC"/>
    <w:rsid w:val="00DF15CC"/>
    <w:rsid w:val="00DF41C8"/>
    <w:rsid w:val="00E02EDC"/>
    <w:rsid w:val="00E06284"/>
    <w:rsid w:val="00E213CE"/>
    <w:rsid w:val="00E37348"/>
    <w:rsid w:val="00E42D0E"/>
    <w:rsid w:val="00E64259"/>
    <w:rsid w:val="00E73D76"/>
    <w:rsid w:val="00E778CC"/>
    <w:rsid w:val="00E8794F"/>
    <w:rsid w:val="00E92452"/>
    <w:rsid w:val="00E96512"/>
    <w:rsid w:val="00EB2EFA"/>
    <w:rsid w:val="00EC1D3B"/>
    <w:rsid w:val="00EC48F7"/>
    <w:rsid w:val="00ED0108"/>
    <w:rsid w:val="00ED1561"/>
    <w:rsid w:val="00EE0CF7"/>
    <w:rsid w:val="00EE601D"/>
    <w:rsid w:val="00EF7E7B"/>
    <w:rsid w:val="00F0413A"/>
    <w:rsid w:val="00F25A79"/>
    <w:rsid w:val="00F30272"/>
    <w:rsid w:val="00F304EA"/>
    <w:rsid w:val="00F32DE5"/>
    <w:rsid w:val="00F33DC1"/>
    <w:rsid w:val="00F3626D"/>
    <w:rsid w:val="00F43B1B"/>
    <w:rsid w:val="00F51B7C"/>
    <w:rsid w:val="00F51F9C"/>
    <w:rsid w:val="00F564C0"/>
    <w:rsid w:val="00F61653"/>
    <w:rsid w:val="00F72B91"/>
    <w:rsid w:val="00F941DB"/>
    <w:rsid w:val="00F95148"/>
    <w:rsid w:val="00F96587"/>
    <w:rsid w:val="00FB347B"/>
    <w:rsid w:val="00FC0252"/>
    <w:rsid w:val="00FC3BED"/>
    <w:rsid w:val="00FC6857"/>
    <w:rsid w:val="00FE4C7B"/>
    <w:rsid w:val="00FF6F2E"/>
    <w:rsid w:val="01BB21EC"/>
    <w:rsid w:val="08404D66"/>
    <w:rsid w:val="0ACEA42A"/>
    <w:rsid w:val="0DE2C546"/>
    <w:rsid w:val="0E3FAB7A"/>
    <w:rsid w:val="0E4FEED9"/>
    <w:rsid w:val="125FD720"/>
    <w:rsid w:val="12A40309"/>
    <w:rsid w:val="134EAC7D"/>
    <w:rsid w:val="13A318D6"/>
    <w:rsid w:val="14AC2F82"/>
    <w:rsid w:val="1625EBF8"/>
    <w:rsid w:val="17B3C097"/>
    <w:rsid w:val="1A07C81B"/>
    <w:rsid w:val="1A63FB51"/>
    <w:rsid w:val="1B2CBB1E"/>
    <w:rsid w:val="1E48077F"/>
    <w:rsid w:val="207E8394"/>
    <w:rsid w:val="22BA288B"/>
    <w:rsid w:val="25AC3AE6"/>
    <w:rsid w:val="25F4966C"/>
    <w:rsid w:val="2E47398E"/>
    <w:rsid w:val="2F1C0017"/>
    <w:rsid w:val="301249F9"/>
    <w:rsid w:val="31AB405A"/>
    <w:rsid w:val="35BE760A"/>
    <w:rsid w:val="37322AF7"/>
    <w:rsid w:val="448FBCB1"/>
    <w:rsid w:val="48330388"/>
    <w:rsid w:val="495EA5E0"/>
    <w:rsid w:val="4A9A233D"/>
    <w:rsid w:val="4BE22861"/>
    <w:rsid w:val="4C375E08"/>
    <w:rsid w:val="50615FFC"/>
    <w:rsid w:val="50D445F4"/>
    <w:rsid w:val="57CD4398"/>
    <w:rsid w:val="59B4B7FB"/>
    <w:rsid w:val="5AF16B15"/>
    <w:rsid w:val="5B5F60D7"/>
    <w:rsid w:val="5E707CE5"/>
    <w:rsid w:val="5F080ED7"/>
    <w:rsid w:val="603BA852"/>
    <w:rsid w:val="61C34C57"/>
    <w:rsid w:val="62BA9847"/>
    <w:rsid w:val="638CFB9A"/>
    <w:rsid w:val="63C8FCE4"/>
    <w:rsid w:val="641F31D1"/>
    <w:rsid w:val="64EF9824"/>
    <w:rsid w:val="674FC57E"/>
    <w:rsid w:val="67786F0D"/>
    <w:rsid w:val="6B26E642"/>
    <w:rsid w:val="70551974"/>
    <w:rsid w:val="71CF03C4"/>
    <w:rsid w:val="73609E08"/>
    <w:rsid w:val="76EBA3A5"/>
    <w:rsid w:val="7DC2EB50"/>
    <w:rsid w:val="7EABFD8B"/>
    <w:rsid w:val="7EB0359C"/>
    <w:rsid w:val="7FA75D5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1C2A4"/>
  <w15:docId w15:val="{132CAFD2-296D-4E45-8581-B5C252F6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5F9"/>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0DF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950DF7"/>
    <w:rPr>
      <w:sz w:val="24"/>
      <w:lang w:val="es-MX"/>
    </w:rPr>
  </w:style>
  <w:style w:type="paragraph" w:styleId="Encabezado">
    <w:name w:val="header"/>
    <w:basedOn w:val="Normal"/>
    <w:link w:val="EncabezadoCar"/>
    <w:uiPriority w:val="99"/>
    <w:unhideWhenUsed/>
    <w:rsid w:val="00950DF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50DF7"/>
    <w:rPr>
      <w:sz w:val="24"/>
      <w:lang w:val="es-MX"/>
    </w:rPr>
  </w:style>
  <w:style w:type="table" w:styleId="Tablaconcuadrcula">
    <w:name w:val="Table Grid"/>
    <w:basedOn w:val="Tablanormal"/>
    <w:uiPriority w:val="39"/>
    <w:qFormat/>
    <w:rsid w:val="0095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50DF7"/>
    <w:pPr>
      <w:ind w:left="720"/>
      <w:contextualSpacing/>
    </w:pPr>
    <w:rPr>
      <w:rFonts w:asciiTheme="minorHAnsi" w:eastAsiaTheme="minorHAnsi" w:hAnsiTheme="minorHAnsi" w:cstheme="minorBidi"/>
      <w:szCs w:val="22"/>
      <w:lang w:val="es-MX" w:eastAsia="en-US"/>
    </w:rPr>
  </w:style>
  <w:style w:type="character" w:styleId="Hipervnculo">
    <w:name w:val="Hyperlink"/>
    <w:basedOn w:val="Fuentedeprrafopredeter"/>
    <w:uiPriority w:val="99"/>
    <w:unhideWhenUsed/>
    <w:rsid w:val="00950DF7"/>
    <w:rPr>
      <w:color w:val="0563C1" w:themeColor="hyperlink"/>
      <w:u w:val="single"/>
    </w:rPr>
  </w:style>
  <w:style w:type="paragraph" w:styleId="NormalWeb">
    <w:name w:val="Normal (Web)"/>
    <w:basedOn w:val="Normal"/>
    <w:link w:val="NormalWebCar"/>
    <w:uiPriority w:val="99"/>
    <w:unhideWhenUsed/>
    <w:rsid w:val="00950DF7"/>
    <w:pPr>
      <w:spacing w:before="100" w:beforeAutospacing="1" w:after="100" w:afterAutospacing="1"/>
    </w:pPr>
    <w:rPr>
      <w:lang w:eastAsia="es-CO"/>
    </w:rPr>
  </w:style>
  <w:style w:type="paragraph" w:styleId="Sinespaciado">
    <w:name w:val="No Spacing"/>
    <w:aliases w:val="No Indent"/>
    <w:uiPriority w:val="3"/>
    <w:qFormat/>
    <w:rsid w:val="00950DF7"/>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50DF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950DF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950DF7"/>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50DF7"/>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950DF7"/>
    <w:rPr>
      <w:vertAlign w:val="superscript"/>
    </w:rPr>
  </w:style>
  <w:style w:type="table" w:customStyle="1" w:styleId="Tablaconcuadrcula1">
    <w:name w:val="Tabla con cuadrícula1"/>
    <w:basedOn w:val="Tablanormal"/>
    <w:next w:val="Tablaconcuadrcula"/>
    <w:uiPriority w:val="59"/>
    <w:rsid w:val="00950DF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950DF7"/>
    <w:pPr>
      <w:spacing w:after="160" w:line="240" w:lineRule="exact"/>
    </w:pPr>
    <w:rPr>
      <w:rFonts w:asciiTheme="minorHAnsi" w:eastAsiaTheme="minorHAnsi" w:hAnsiTheme="minorHAnsi" w:cstheme="minorBidi"/>
      <w:sz w:val="22"/>
      <w:szCs w:val="22"/>
      <w:vertAlign w:val="superscript"/>
      <w:lang w:eastAsia="en-US"/>
    </w:rPr>
  </w:style>
  <w:style w:type="character" w:styleId="Textoennegrita">
    <w:name w:val="Strong"/>
    <w:basedOn w:val="Fuentedeprrafopredeter"/>
    <w:uiPriority w:val="22"/>
    <w:qFormat/>
    <w:rsid w:val="00950DF7"/>
    <w:rPr>
      <w:b/>
      <w:bCs/>
    </w:rPr>
  </w:style>
  <w:style w:type="character" w:customStyle="1" w:styleId="NormalWebCar">
    <w:name w:val="Normal (Web) Car"/>
    <w:link w:val="NormalWeb"/>
    <w:uiPriority w:val="99"/>
    <w:rsid w:val="00950DF7"/>
    <w:rPr>
      <w:rFonts w:ascii="Times New Roman" w:eastAsia="Times New Roman" w:hAnsi="Times New Roman" w:cs="Times New Roman"/>
      <w:sz w:val="24"/>
      <w:szCs w:val="24"/>
      <w:lang w:eastAsia="es-CO"/>
    </w:rPr>
  </w:style>
  <w:style w:type="paragraph" w:styleId="Revisin">
    <w:name w:val="Revision"/>
    <w:hidden/>
    <w:uiPriority w:val="99"/>
    <w:semiHidden/>
    <w:rsid w:val="00A6242E"/>
    <w:pPr>
      <w:spacing w:after="0"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3A2031"/>
    <w:rPr>
      <w:sz w:val="16"/>
      <w:szCs w:val="16"/>
    </w:rPr>
  </w:style>
  <w:style w:type="paragraph" w:styleId="Textocomentario">
    <w:name w:val="annotation text"/>
    <w:basedOn w:val="Normal"/>
    <w:link w:val="TextocomentarioCar"/>
    <w:uiPriority w:val="99"/>
    <w:unhideWhenUsed/>
    <w:rsid w:val="003A2031"/>
    <w:rPr>
      <w:sz w:val="20"/>
      <w:szCs w:val="20"/>
    </w:rPr>
  </w:style>
  <w:style w:type="character" w:customStyle="1" w:styleId="TextocomentarioCar">
    <w:name w:val="Texto comentario Car"/>
    <w:basedOn w:val="Fuentedeprrafopredeter"/>
    <w:link w:val="Textocomentario"/>
    <w:uiPriority w:val="99"/>
    <w:rsid w:val="003A2031"/>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3A2031"/>
    <w:rPr>
      <w:b/>
      <w:bCs/>
    </w:rPr>
  </w:style>
  <w:style w:type="character" w:customStyle="1" w:styleId="AsuntodelcomentarioCar">
    <w:name w:val="Asunto del comentario Car"/>
    <w:basedOn w:val="TextocomentarioCar"/>
    <w:link w:val="Asuntodelcomentario"/>
    <w:uiPriority w:val="99"/>
    <w:semiHidden/>
    <w:rsid w:val="003A2031"/>
    <w:rPr>
      <w:rFonts w:ascii="Times New Roman" w:eastAsia="Times New Roman" w:hAnsi="Times New Roman" w:cs="Times New Roman"/>
      <w:b/>
      <w:bCs/>
      <w:sz w:val="20"/>
      <w:szCs w:val="20"/>
      <w:lang w:eastAsia="es-ES_tradnl"/>
    </w:rPr>
  </w:style>
  <w:style w:type="character" w:styleId="Mencinsinresolver">
    <w:name w:val="Unresolved Mention"/>
    <w:basedOn w:val="Fuentedeprrafopredeter"/>
    <w:uiPriority w:val="99"/>
    <w:semiHidden/>
    <w:unhideWhenUsed/>
    <w:rsid w:val="004845C5"/>
    <w:rPr>
      <w:color w:val="605E5C"/>
      <w:shd w:val="clear" w:color="auto" w:fill="E1DFDD"/>
    </w:rPr>
  </w:style>
  <w:style w:type="character" w:styleId="Mencionar">
    <w:name w:val="Mention"/>
    <w:basedOn w:val="Fuentedeprrafopredeter"/>
    <w:uiPriority w:val="99"/>
    <w:unhideWhenUsed/>
    <w:rPr>
      <w:color w:val="2B579A"/>
      <w:shd w:val="clear" w:color="auto" w:fill="E6E6E6"/>
    </w:rPr>
  </w:style>
  <w:style w:type="character" w:customStyle="1" w:styleId="normaltextrun">
    <w:name w:val="normaltextrun"/>
    <w:basedOn w:val="Fuentedeprrafopredeter"/>
    <w:rsid w:val="0005405C"/>
  </w:style>
  <w:style w:type="paragraph" w:customStyle="1" w:styleId="paragraph">
    <w:name w:val="paragraph"/>
    <w:basedOn w:val="Normal"/>
    <w:rsid w:val="00F51F9C"/>
    <w:pPr>
      <w:spacing w:before="100" w:beforeAutospacing="1" w:after="100" w:afterAutospacing="1"/>
    </w:pPr>
    <w:rPr>
      <w:lang w:eastAsia="es-CO"/>
    </w:rPr>
  </w:style>
  <w:style w:type="character" w:customStyle="1" w:styleId="eop">
    <w:name w:val="eop"/>
    <w:basedOn w:val="Fuentedeprrafopredeter"/>
    <w:rsid w:val="00F51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903315">
      <w:bodyDiv w:val="1"/>
      <w:marLeft w:val="0"/>
      <w:marRight w:val="0"/>
      <w:marTop w:val="0"/>
      <w:marBottom w:val="0"/>
      <w:divBdr>
        <w:top w:val="none" w:sz="0" w:space="0" w:color="auto"/>
        <w:left w:val="none" w:sz="0" w:space="0" w:color="auto"/>
        <w:bottom w:val="none" w:sz="0" w:space="0" w:color="auto"/>
        <w:right w:val="none" w:sz="0" w:space="0" w:color="auto"/>
      </w:divBdr>
      <w:divsChild>
        <w:div w:id="722411169">
          <w:marLeft w:val="0"/>
          <w:marRight w:val="0"/>
          <w:marTop w:val="0"/>
          <w:marBottom w:val="0"/>
          <w:divBdr>
            <w:top w:val="none" w:sz="0" w:space="0" w:color="auto"/>
            <w:left w:val="none" w:sz="0" w:space="0" w:color="auto"/>
            <w:bottom w:val="none" w:sz="0" w:space="0" w:color="auto"/>
            <w:right w:val="none" w:sz="0" w:space="0" w:color="auto"/>
          </w:divBdr>
          <w:divsChild>
            <w:div w:id="1856840831">
              <w:marLeft w:val="0"/>
              <w:marRight w:val="0"/>
              <w:marTop w:val="0"/>
              <w:marBottom w:val="0"/>
              <w:divBdr>
                <w:top w:val="none" w:sz="0" w:space="0" w:color="auto"/>
                <w:left w:val="none" w:sz="0" w:space="0" w:color="auto"/>
                <w:bottom w:val="none" w:sz="0" w:space="0" w:color="auto"/>
                <w:right w:val="none" w:sz="0" w:space="0" w:color="auto"/>
              </w:divBdr>
            </w:div>
          </w:divsChild>
        </w:div>
        <w:div w:id="1754430499">
          <w:marLeft w:val="0"/>
          <w:marRight w:val="0"/>
          <w:marTop w:val="0"/>
          <w:marBottom w:val="0"/>
          <w:divBdr>
            <w:top w:val="none" w:sz="0" w:space="0" w:color="auto"/>
            <w:left w:val="none" w:sz="0" w:space="0" w:color="auto"/>
            <w:bottom w:val="none" w:sz="0" w:space="0" w:color="auto"/>
            <w:right w:val="none" w:sz="0" w:space="0" w:color="auto"/>
          </w:divBdr>
          <w:divsChild>
            <w:div w:id="454956224">
              <w:marLeft w:val="0"/>
              <w:marRight w:val="0"/>
              <w:marTop w:val="0"/>
              <w:marBottom w:val="0"/>
              <w:divBdr>
                <w:top w:val="none" w:sz="0" w:space="0" w:color="auto"/>
                <w:left w:val="none" w:sz="0" w:space="0" w:color="auto"/>
                <w:bottom w:val="none" w:sz="0" w:space="0" w:color="auto"/>
                <w:right w:val="none" w:sz="0" w:space="0" w:color="auto"/>
              </w:divBdr>
            </w:div>
            <w:div w:id="615646031">
              <w:marLeft w:val="0"/>
              <w:marRight w:val="0"/>
              <w:marTop w:val="0"/>
              <w:marBottom w:val="0"/>
              <w:divBdr>
                <w:top w:val="none" w:sz="0" w:space="0" w:color="auto"/>
                <w:left w:val="none" w:sz="0" w:space="0" w:color="auto"/>
                <w:bottom w:val="none" w:sz="0" w:space="0" w:color="auto"/>
                <w:right w:val="none" w:sz="0" w:space="0" w:color="auto"/>
              </w:divBdr>
            </w:div>
            <w:div w:id="85361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42481">
      <w:bodyDiv w:val="1"/>
      <w:marLeft w:val="0"/>
      <w:marRight w:val="0"/>
      <w:marTop w:val="0"/>
      <w:marBottom w:val="0"/>
      <w:divBdr>
        <w:top w:val="none" w:sz="0" w:space="0" w:color="auto"/>
        <w:left w:val="none" w:sz="0" w:space="0" w:color="auto"/>
        <w:bottom w:val="none" w:sz="0" w:space="0" w:color="auto"/>
        <w:right w:val="none" w:sz="0" w:space="0" w:color="auto"/>
      </w:divBdr>
      <w:divsChild>
        <w:div w:id="1491865052">
          <w:marLeft w:val="0"/>
          <w:marRight w:val="0"/>
          <w:marTop w:val="0"/>
          <w:marBottom w:val="0"/>
          <w:divBdr>
            <w:top w:val="none" w:sz="0" w:space="0" w:color="auto"/>
            <w:left w:val="none" w:sz="0" w:space="0" w:color="auto"/>
            <w:bottom w:val="none" w:sz="0" w:space="0" w:color="auto"/>
            <w:right w:val="none" w:sz="0" w:space="0" w:color="auto"/>
          </w:divBdr>
          <w:divsChild>
            <w:div w:id="1068841056">
              <w:marLeft w:val="0"/>
              <w:marRight w:val="0"/>
              <w:marTop w:val="0"/>
              <w:marBottom w:val="0"/>
              <w:divBdr>
                <w:top w:val="none" w:sz="0" w:space="0" w:color="auto"/>
                <w:left w:val="none" w:sz="0" w:space="0" w:color="auto"/>
                <w:bottom w:val="none" w:sz="0" w:space="0" w:color="auto"/>
                <w:right w:val="none" w:sz="0" w:space="0" w:color="auto"/>
              </w:divBdr>
            </w:div>
          </w:divsChild>
        </w:div>
        <w:div w:id="1554075155">
          <w:marLeft w:val="0"/>
          <w:marRight w:val="0"/>
          <w:marTop w:val="0"/>
          <w:marBottom w:val="0"/>
          <w:divBdr>
            <w:top w:val="none" w:sz="0" w:space="0" w:color="auto"/>
            <w:left w:val="none" w:sz="0" w:space="0" w:color="auto"/>
            <w:bottom w:val="none" w:sz="0" w:space="0" w:color="auto"/>
            <w:right w:val="none" w:sz="0" w:space="0" w:color="auto"/>
          </w:divBdr>
          <w:divsChild>
            <w:div w:id="2770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3741">
      <w:bodyDiv w:val="1"/>
      <w:marLeft w:val="0"/>
      <w:marRight w:val="0"/>
      <w:marTop w:val="0"/>
      <w:marBottom w:val="0"/>
      <w:divBdr>
        <w:top w:val="none" w:sz="0" w:space="0" w:color="auto"/>
        <w:left w:val="none" w:sz="0" w:space="0" w:color="auto"/>
        <w:bottom w:val="none" w:sz="0" w:space="0" w:color="auto"/>
        <w:right w:val="none" w:sz="0" w:space="0" w:color="auto"/>
      </w:divBdr>
    </w:div>
    <w:div w:id="1407653781">
      <w:bodyDiv w:val="1"/>
      <w:marLeft w:val="0"/>
      <w:marRight w:val="0"/>
      <w:marTop w:val="0"/>
      <w:marBottom w:val="0"/>
      <w:divBdr>
        <w:top w:val="none" w:sz="0" w:space="0" w:color="auto"/>
        <w:left w:val="none" w:sz="0" w:space="0" w:color="auto"/>
        <w:bottom w:val="none" w:sz="0" w:space="0" w:color="auto"/>
        <w:right w:val="none" w:sz="0" w:space="0" w:color="auto"/>
      </w:divBdr>
    </w:div>
    <w:div w:id="1686782201">
      <w:bodyDiv w:val="1"/>
      <w:marLeft w:val="0"/>
      <w:marRight w:val="0"/>
      <w:marTop w:val="0"/>
      <w:marBottom w:val="0"/>
      <w:divBdr>
        <w:top w:val="none" w:sz="0" w:space="0" w:color="auto"/>
        <w:left w:val="none" w:sz="0" w:space="0" w:color="auto"/>
        <w:bottom w:val="none" w:sz="0" w:space="0" w:color="auto"/>
        <w:right w:val="none" w:sz="0" w:space="0" w:color="auto"/>
      </w:divBdr>
    </w:div>
    <w:div w:id="1837302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www.lexbase.biz/lexbase/normas/leyes/2007/L1150de2007.htm"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6B37A-467F-4161-A992-1E13CCD16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56A34D-86C6-4FEF-9F21-278C40FAB50C}">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A4CA4C98-7691-4B00-93C1-1C421D46B7F6}">
  <ds:schemaRefs>
    <ds:schemaRef ds:uri="http://schemas.microsoft.com/sharepoint/v3/contenttype/forms"/>
  </ds:schemaRefs>
</ds:datastoreItem>
</file>

<file path=customXml/itemProps4.xml><?xml version="1.0" encoding="utf-8"?>
<ds:datastoreItem xmlns:ds="http://schemas.openxmlformats.org/officeDocument/2006/customXml" ds:itemID="{5B9654F0-47A5-4E73-A99F-8965E6BD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9853</Words>
  <Characters>54193</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63919</CharactersWithSpaces>
  <SharedDoc>false</SharedDoc>
  <HLinks>
    <vt:vector size="18" baseType="variant">
      <vt:variant>
        <vt:i4>2555946</vt:i4>
      </vt:variant>
      <vt:variant>
        <vt:i4>6</vt:i4>
      </vt:variant>
      <vt:variant>
        <vt:i4>0</vt:i4>
      </vt:variant>
      <vt:variant>
        <vt:i4>5</vt:i4>
      </vt:variant>
      <vt:variant>
        <vt:lpwstr>https://www.camara.gov.co/juntas-de-accion-comunal</vt:lpwstr>
      </vt:variant>
      <vt:variant>
        <vt:lpwstr/>
      </vt:variant>
      <vt:variant>
        <vt:i4>6094936</vt:i4>
      </vt:variant>
      <vt:variant>
        <vt:i4>3</vt:i4>
      </vt:variant>
      <vt:variant>
        <vt:i4>0</vt:i4>
      </vt:variant>
      <vt:variant>
        <vt:i4>5</vt:i4>
      </vt:variant>
      <vt:variant>
        <vt:lpwstr>https://dapre.presidencia.gov.co/normativa/leyes</vt:lpwstr>
      </vt:variant>
      <vt:variant>
        <vt:lpwstr/>
      </vt: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Jorge Mario Payares Villa</cp:lastModifiedBy>
  <cp:revision>2</cp:revision>
  <dcterms:created xsi:type="dcterms:W3CDTF">2023-10-23T20:04:00Z</dcterms:created>
  <dcterms:modified xsi:type="dcterms:W3CDTF">2023-10-23T20:04:00Z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