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7D44" w14:textId="77777777" w:rsidR="003A60DB" w:rsidRPr="004931C5" w:rsidRDefault="003A60DB" w:rsidP="003A60DB">
      <w:pPr>
        <w:jc w:val="both"/>
        <w:rPr>
          <w:rFonts w:ascii="Century Gothic" w:hAnsi="Century Gothic"/>
          <w:b/>
          <w:bCs/>
          <w:sz w:val="22"/>
        </w:rPr>
      </w:pPr>
      <w:r w:rsidRPr="004931C5">
        <w:rPr>
          <w:rFonts w:ascii="Century Gothic" w:hAnsi="Century Gothic"/>
          <w:b/>
          <w:bCs/>
          <w:sz w:val="22"/>
          <w:szCs w:val="22"/>
        </w:rPr>
        <w:t>EMPRESAS DE SERIVICIOS PÚBLICOS DOMICILIARIOS – Naturaleza jurídica – Régimen contractual</w:t>
      </w:r>
      <w:r w:rsidRPr="004931C5">
        <w:rPr>
          <w:rFonts w:ascii="Century Gothic" w:hAnsi="Century Gothic" w:cs="Arial"/>
          <w:b/>
          <w:sz w:val="16"/>
          <w:szCs w:val="16"/>
          <w:lang w:val="es-ES_tradnl" w:eastAsia="es-ES"/>
        </w:rPr>
        <w:tab/>
      </w:r>
    </w:p>
    <w:p w14:paraId="57E253C5" w14:textId="77777777" w:rsidR="003A60DB" w:rsidRPr="004931C5" w:rsidRDefault="003A60DB" w:rsidP="003A60DB">
      <w:pPr>
        <w:jc w:val="both"/>
        <w:rPr>
          <w:rFonts w:ascii="Century Gothic" w:hAnsi="Century Gothic"/>
          <w:b/>
          <w:bCs/>
        </w:rPr>
      </w:pPr>
    </w:p>
    <w:p w14:paraId="20B4A401" w14:textId="60A7F695"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 xml:space="preserve">[...] </w:t>
      </w:r>
      <w:r w:rsidR="005D3F4E">
        <w:rPr>
          <w:rFonts w:ascii="Century Gothic" w:hAnsi="Century Gothic"/>
          <w:sz w:val="20"/>
          <w:szCs w:val="20"/>
        </w:rPr>
        <w:t>“</w:t>
      </w:r>
      <w:r w:rsidRPr="004931C5">
        <w:rPr>
          <w:rFonts w:ascii="Century Gothic" w:hAnsi="Century Gothic"/>
          <w:sz w:val="20"/>
          <w:szCs w:val="20"/>
        </w:rPr>
        <w:t>las empresas de servicios públicos son sociedades por acciones cuyo objeto es la prestación de los servicios públicos […]</w:t>
      </w:r>
      <w:r w:rsidR="005D3F4E">
        <w:rPr>
          <w:rFonts w:ascii="Century Gothic" w:hAnsi="Century Gothic"/>
          <w:sz w:val="20"/>
          <w:szCs w:val="20"/>
        </w:rPr>
        <w:t>”</w:t>
      </w:r>
      <w:r w:rsidRPr="004931C5">
        <w:rPr>
          <w:rFonts w:ascii="Century Gothic" w:hAnsi="Century Gothic"/>
          <w:sz w:val="20"/>
          <w:szCs w:val="20"/>
        </w:rPr>
        <w:t>. […]</w:t>
      </w:r>
    </w:p>
    <w:p w14:paraId="4D04825E" w14:textId="77777777"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w:t>
      </w:r>
    </w:p>
    <w:p w14:paraId="410A3F58" w14:textId="77777777"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 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w:t>
      </w:r>
    </w:p>
    <w:p w14:paraId="412CDBB9" w14:textId="77777777" w:rsidR="003A60DB" w:rsidRPr="004931C5" w:rsidRDefault="003A60DB" w:rsidP="003A60DB">
      <w:pPr>
        <w:jc w:val="both"/>
        <w:rPr>
          <w:rFonts w:ascii="Century Gothic" w:hAnsi="Century Gothic"/>
          <w:sz w:val="20"/>
          <w:szCs w:val="20"/>
        </w:rPr>
      </w:pPr>
    </w:p>
    <w:p w14:paraId="70F6305B" w14:textId="1FFA05B0"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 xml:space="preserve">[…] el artículo 31 de la le Ley 142 de 1994, modificado por el artículo 3 de la Ley 689 de 2001, dispone que los contratos que celebren las entidades estatales que prestan los servicios públicos domiciliarios </w:t>
      </w:r>
      <w:r w:rsidR="005D3F4E">
        <w:rPr>
          <w:rFonts w:ascii="Century Gothic" w:hAnsi="Century Gothic"/>
          <w:sz w:val="20"/>
          <w:szCs w:val="20"/>
        </w:rPr>
        <w:t>“</w:t>
      </w:r>
      <w:r w:rsidRPr="004931C5">
        <w:rPr>
          <w:rFonts w:ascii="Century Gothic" w:hAnsi="Century Gothic"/>
          <w:sz w:val="20"/>
          <w:szCs w:val="20"/>
        </w:rPr>
        <w:t>no estarán sujetos a las disposiciones del Estatuto General de Contratación de la Administración Pública, salvo en lo que la presente ley disponga otra cosa</w:t>
      </w:r>
      <w:r w:rsidR="005D3F4E">
        <w:rPr>
          <w:rFonts w:ascii="Century Gothic" w:hAnsi="Century Gothic"/>
          <w:sz w:val="20"/>
          <w:szCs w:val="20"/>
        </w:rPr>
        <w:t>”</w:t>
      </w:r>
      <w:r w:rsidRPr="004931C5">
        <w:rPr>
          <w:rFonts w:ascii="Century Gothic" w:hAnsi="Century Gothic"/>
          <w:sz w:val="20"/>
          <w:szCs w:val="20"/>
        </w:rPr>
        <w:t>. Por su parte, el artículo 32 de la Ley 142 de 1994, consagra el régimen de derecho privado para las empresas de servicios públicos domiciliarios, indicando que sus actos se rigen por los principios y reglas aplicables a los particulares.</w:t>
      </w:r>
    </w:p>
    <w:p w14:paraId="2FA9FF55" w14:textId="77777777" w:rsidR="003A60DB" w:rsidRPr="004931C5" w:rsidRDefault="003A60DB" w:rsidP="003A60DB">
      <w:pPr>
        <w:jc w:val="both"/>
        <w:rPr>
          <w:rFonts w:ascii="Century Gothic" w:hAnsi="Century Gothic"/>
          <w:sz w:val="20"/>
          <w:szCs w:val="20"/>
        </w:rPr>
      </w:pPr>
    </w:p>
    <w:p w14:paraId="27B5257D" w14:textId="77777777"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–Ley 80 de 1993–. En otras palabras, dichas empresas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p w14:paraId="6B6BFC6E" w14:textId="77777777" w:rsidR="003A60DB" w:rsidRPr="004931C5" w:rsidRDefault="003A60DB" w:rsidP="003A60DB">
      <w:pPr>
        <w:jc w:val="both"/>
        <w:rPr>
          <w:rFonts w:ascii="Century Gothic" w:hAnsi="Century Gothic"/>
          <w:sz w:val="20"/>
          <w:szCs w:val="20"/>
        </w:rPr>
      </w:pPr>
    </w:p>
    <w:p w14:paraId="28C007DE" w14:textId="77777777" w:rsidR="003A60DB" w:rsidRPr="004931C5" w:rsidRDefault="003A60DB" w:rsidP="003A60DB">
      <w:pPr>
        <w:jc w:val="both"/>
        <w:rPr>
          <w:rFonts w:ascii="Century Gothic" w:hAnsi="Century Gothic"/>
          <w:b/>
          <w:bCs/>
          <w:sz w:val="22"/>
        </w:rPr>
      </w:pPr>
      <w:r w:rsidRPr="004931C5">
        <w:rPr>
          <w:rFonts w:ascii="Century Gothic" w:hAnsi="Century Gothic"/>
          <w:b/>
          <w:bCs/>
          <w:sz w:val="22"/>
        </w:rPr>
        <w:t xml:space="preserve">EMPRESAS DE SERVICIOS PÚBLICOS DOMICILIARIOS – Aplicabilidad Ley 80 de 1993 – Ley 142 de 1994 </w:t>
      </w:r>
    </w:p>
    <w:p w14:paraId="69FA8585" w14:textId="77777777" w:rsidR="003A60DB" w:rsidRPr="004931C5" w:rsidRDefault="003A60DB" w:rsidP="003A60DB">
      <w:pPr>
        <w:jc w:val="both"/>
        <w:rPr>
          <w:rFonts w:ascii="Century Gothic" w:hAnsi="Century Gothic"/>
          <w:b/>
          <w:bCs/>
          <w:sz w:val="20"/>
          <w:szCs w:val="20"/>
        </w:rPr>
      </w:pPr>
    </w:p>
    <w:p w14:paraId="4AE13028" w14:textId="77777777"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 a pesar de que las empresas prestadoras de servicios públicos domiciliarios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Estatuto General de Contratación de la Administración Pública –Ley 80 de 1993–, la Ley 1150 de 2007 y demás normas complementarias, así como en las situaciones en las que la Ley 142 de 1994 u otras leyes especiales lo dispongan.</w:t>
      </w:r>
    </w:p>
    <w:p w14:paraId="3C015D80" w14:textId="77777777" w:rsidR="003A60DB" w:rsidRPr="004931C5" w:rsidRDefault="003A60DB" w:rsidP="003A60DB">
      <w:pPr>
        <w:jc w:val="both"/>
        <w:rPr>
          <w:rFonts w:ascii="Century Gothic" w:hAnsi="Century Gothic"/>
          <w:sz w:val="20"/>
          <w:szCs w:val="20"/>
        </w:rPr>
      </w:pPr>
    </w:p>
    <w:p w14:paraId="1B6CD1B7" w14:textId="77777777" w:rsidR="003A60DB" w:rsidRPr="004931C5" w:rsidRDefault="003A60DB" w:rsidP="003A60DB">
      <w:pPr>
        <w:jc w:val="both"/>
        <w:rPr>
          <w:rFonts w:ascii="Century Gothic" w:hAnsi="Century Gothic"/>
          <w:b/>
          <w:bCs/>
          <w:sz w:val="22"/>
        </w:rPr>
      </w:pPr>
      <w:r w:rsidRPr="004931C5">
        <w:rPr>
          <w:rFonts w:ascii="Century Gothic" w:hAnsi="Century Gothic"/>
          <w:b/>
          <w:bCs/>
          <w:sz w:val="22"/>
        </w:rPr>
        <w:t>PUBLICIDAD SECOP – Entidades exceptuadas – Estatuto general de contratación – Modificación del artículo 53 – Ley 2195 de 2022</w:t>
      </w:r>
    </w:p>
    <w:p w14:paraId="38B627A2" w14:textId="77777777" w:rsidR="003A60DB" w:rsidRPr="004931C5" w:rsidRDefault="003A60DB" w:rsidP="003A60DB">
      <w:pPr>
        <w:jc w:val="both"/>
        <w:rPr>
          <w:rFonts w:ascii="Century Gothic" w:hAnsi="Century Gothic"/>
          <w:b/>
          <w:bCs/>
          <w:sz w:val="20"/>
          <w:szCs w:val="20"/>
        </w:rPr>
      </w:pPr>
    </w:p>
    <w:p w14:paraId="3F1B36A3" w14:textId="33DFC87F"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 xml:space="preserve">El principio de publicidad impone a las autoridades el deber de dar a conocer sus actos, contratos y decisiones, para que se divulguen y eventualmente se controlen dichas </w:t>
      </w:r>
      <w:r w:rsidRPr="004931C5">
        <w:rPr>
          <w:rFonts w:ascii="Century Gothic" w:hAnsi="Century Gothic"/>
          <w:sz w:val="20"/>
          <w:szCs w:val="20"/>
        </w:rPr>
        <w:lastRenderedPageBreak/>
        <w:t xml:space="preserve">actuaciones. Es por eso que, en materia de la contratación estatal, el literal c) del artículo 3 de la Ley 1150 de 2007 establece el Sistema Electrónico para la Contratación Pública –SECOP– como un mecanismo que </w:t>
      </w:r>
      <w:r w:rsidR="005D3F4E">
        <w:rPr>
          <w:rFonts w:ascii="Century Gothic" w:hAnsi="Century Gothic"/>
          <w:sz w:val="20"/>
          <w:szCs w:val="20"/>
        </w:rPr>
        <w:t>“</w:t>
      </w:r>
      <w:r w:rsidRPr="004931C5">
        <w:rPr>
          <w:rFonts w:ascii="Century Gothic" w:hAnsi="Century Gothic"/>
          <w:sz w:val="20"/>
          <w:szCs w:val="20"/>
        </w:rPr>
        <w:t>contará con la información oficial de la contratación realizada con dineros públicos, para lo cual establecerá los patrones a que haya lugar y se encargará de su difusión a través de canales electrónicos</w:t>
      </w:r>
      <w:r w:rsidR="005D3F4E">
        <w:rPr>
          <w:rFonts w:ascii="Century Gothic" w:hAnsi="Century Gothic"/>
          <w:sz w:val="20"/>
          <w:szCs w:val="20"/>
        </w:rPr>
        <w:t>”</w:t>
      </w:r>
      <w:r w:rsidRPr="004931C5">
        <w:rPr>
          <w:rFonts w:ascii="Century Gothic" w:hAnsi="Century Gothic"/>
          <w:sz w:val="20"/>
          <w:szCs w:val="20"/>
        </w:rPr>
        <w:t>.</w:t>
      </w:r>
    </w:p>
    <w:p w14:paraId="120BDB51" w14:textId="77777777"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w:t>
      </w:r>
    </w:p>
    <w:p w14:paraId="6BE96C91" w14:textId="752F4B36"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 xml:space="preserve">[…] la Ley 2195 de 2022, por medio de la cual se adoptan medidas en materia de transparencia, prevención y lucha contra la corrupción. Según lo dispone su artículo 1, esta Ley </w:t>
      </w:r>
      <w:r w:rsidR="005D3F4E">
        <w:rPr>
          <w:rFonts w:ascii="Century Gothic" w:hAnsi="Century Gothic"/>
          <w:sz w:val="20"/>
          <w:szCs w:val="20"/>
        </w:rPr>
        <w:t>“</w:t>
      </w:r>
      <w:r w:rsidRPr="004931C5">
        <w:rPr>
          <w:rFonts w:ascii="Century Gothic" w:hAnsi="Century Gothic"/>
          <w:sz w:val="20"/>
          <w:szCs w:val="20"/>
        </w:rPr>
        <w:t>[…]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005D3F4E">
        <w:rPr>
          <w:rFonts w:ascii="Century Gothic" w:hAnsi="Century Gothic"/>
          <w:sz w:val="20"/>
          <w:szCs w:val="20"/>
        </w:rPr>
        <w:t>”</w:t>
      </w:r>
      <w:r w:rsidRPr="004931C5">
        <w:rPr>
          <w:rFonts w:ascii="Century Gothic" w:hAnsi="Century Gothic"/>
          <w:sz w:val="20"/>
          <w:szCs w:val="20"/>
        </w:rPr>
        <w:t xml:space="preserve">. Dentro del capítulo VIII de esta Ley, que lleva por título </w:t>
      </w:r>
      <w:r w:rsidR="005D3F4E">
        <w:rPr>
          <w:rFonts w:ascii="Century Gothic" w:hAnsi="Century Gothic"/>
          <w:sz w:val="20"/>
          <w:szCs w:val="20"/>
        </w:rPr>
        <w:t>“</w:t>
      </w:r>
      <w:r w:rsidRPr="004931C5">
        <w:rPr>
          <w:rFonts w:ascii="Century Gothic" w:hAnsi="Century Gothic"/>
          <w:sz w:val="20"/>
          <w:szCs w:val="20"/>
        </w:rPr>
        <w:t>Disposiciones en materia contractual para la moralización y la transparencia</w:t>
      </w:r>
      <w:r w:rsidR="005D3F4E">
        <w:rPr>
          <w:rFonts w:ascii="Century Gothic" w:hAnsi="Century Gothic"/>
          <w:sz w:val="20"/>
          <w:szCs w:val="20"/>
        </w:rPr>
        <w:t>”</w:t>
      </w:r>
      <w:r w:rsidRPr="004931C5">
        <w:rPr>
          <w:rFonts w:ascii="Century Gothic" w:hAnsi="Century Gothic"/>
          <w:sz w:val="20"/>
          <w:szCs w:val="20"/>
        </w:rPr>
        <w:t>,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14:paraId="74F6F514" w14:textId="77777777" w:rsidR="003A60DB" w:rsidRPr="004931C5" w:rsidRDefault="003A60DB" w:rsidP="003A60DB">
      <w:pPr>
        <w:jc w:val="both"/>
        <w:rPr>
          <w:rFonts w:ascii="Century Gothic" w:hAnsi="Century Gothic"/>
          <w:sz w:val="20"/>
          <w:szCs w:val="20"/>
        </w:rPr>
      </w:pPr>
    </w:p>
    <w:p w14:paraId="4124EA97" w14:textId="77777777" w:rsidR="003A60DB" w:rsidRPr="004931C5" w:rsidRDefault="003A60DB" w:rsidP="003A60DB">
      <w:pPr>
        <w:jc w:val="both"/>
        <w:rPr>
          <w:rFonts w:ascii="Century Gothic" w:hAnsi="Century Gothic"/>
          <w:b/>
          <w:bCs/>
          <w:sz w:val="22"/>
        </w:rPr>
      </w:pPr>
      <w:r w:rsidRPr="004931C5">
        <w:rPr>
          <w:rFonts w:ascii="Century Gothic" w:hAnsi="Century Gothic"/>
          <w:b/>
          <w:bCs/>
          <w:sz w:val="22"/>
        </w:rPr>
        <w:t>SECOP II – Deber de publicidad – Entidades exceptuadas – Documentos relacionados con la actividad contractual</w:t>
      </w:r>
    </w:p>
    <w:p w14:paraId="4048731B" w14:textId="77777777" w:rsidR="003A60DB" w:rsidRPr="004931C5" w:rsidRDefault="003A60DB" w:rsidP="003A60DB">
      <w:pPr>
        <w:jc w:val="both"/>
        <w:rPr>
          <w:rFonts w:ascii="Century Gothic" w:hAnsi="Century Gothic"/>
          <w:b/>
          <w:bCs/>
          <w:sz w:val="20"/>
          <w:szCs w:val="20"/>
        </w:rPr>
      </w:pPr>
    </w:p>
    <w:p w14:paraId="36749AE4" w14:textId="38FA50D7" w:rsidR="003A60DB" w:rsidRPr="004931C5" w:rsidRDefault="003A60DB" w:rsidP="003A60DB">
      <w:pPr>
        <w:jc w:val="both"/>
        <w:rPr>
          <w:rFonts w:ascii="Century Gothic" w:hAnsi="Century Gothic"/>
          <w:sz w:val="20"/>
          <w:szCs w:val="20"/>
        </w:rPr>
      </w:pPr>
      <w:r w:rsidRPr="004931C5">
        <w:rPr>
          <w:rFonts w:ascii="Century Gothic" w:hAnsi="Century Gothic"/>
          <w:sz w:val="20"/>
          <w:szCs w:val="20"/>
        </w:rPr>
        <w:t xml:space="preserve">[…] el mencionado deber de publicidad debe cumplirse en el SECOP II o </w:t>
      </w:r>
      <w:r w:rsidR="005D3F4E">
        <w:rPr>
          <w:rFonts w:ascii="Century Gothic" w:hAnsi="Century Gothic"/>
          <w:sz w:val="20"/>
          <w:szCs w:val="20"/>
        </w:rPr>
        <w:t>“</w:t>
      </w:r>
      <w:r w:rsidRPr="004931C5">
        <w:rPr>
          <w:rFonts w:ascii="Century Gothic" w:hAnsi="Century Gothic"/>
          <w:sz w:val="20"/>
          <w:szCs w:val="20"/>
        </w:rPr>
        <w:t>la plataforma transaccional que haga sus veces</w:t>
      </w:r>
      <w:r w:rsidR="005D3F4E">
        <w:rPr>
          <w:rFonts w:ascii="Century Gothic" w:hAnsi="Century Gothic"/>
          <w:sz w:val="20"/>
          <w:szCs w:val="20"/>
        </w:rPr>
        <w:t>”</w:t>
      </w:r>
      <w:r w:rsidRPr="004931C5">
        <w:rPr>
          <w:rFonts w:ascii="Century Gothic" w:hAnsi="Century Gothic"/>
          <w:sz w:val="20"/>
          <w:szCs w:val="20"/>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005D3F4E">
        <w:rPr>
          <w:rFonts w:ascii="Century Gothic" w:hAnsi="Century Gothic"/>
          <w:sz w:val="20"/>
          <w:szCs w:val="20"/>
        </w:rPr>
        <w:t>“</w:t>
      </w:r>
      <w:r w:rsidRPr="004931C5">
        <w:rPr>
          <w:rFonts w:ascii="Century Gothic" w:hAnsi="Century Gothic"/>
          <w:sz w:val="20"/>
          <w:szCs w:val="20"/>
        </w:rPr>
        <w:t>la plataforma que haga sus veces</w:t>
      </w:r>
      <w:r w:rsidR="005D3F4E">
        <w:rPr>
          <w:rFonts w:ascii="Century Gothic" w:hAnsi="Century Gothic"/>
          <w:sz w:val="20"/>
          <w:szCs w:val="20"/>
        </w:rPr>
        <w:t>”</w:t>
      </w:r>
      <w:r w:rsidRPr="004931C5">
        <w:rPr>
          <w:rFonts w:ascii="Century Gothic" w:hAnsi="Century Gothic"/>
          <w:sz w:val="20"/>
          <w:szCs w:val="20"/>
        </w:rPr>
        <w:t xml:space="preserve">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3266ECA1" w14:textId="77777777" w:rsidR="003A60DB" w:rsidRPr="004931C5" w:rsidRDefault="003A60DB" w:rsidP="003A60DB">
      <w:pPr>
        <w:jc w:val="both"/>
        <w:rPr>
          <w:rFonts w:ascii="Century Gothic" w:hAnsi="Century Gothic"/>
          <w:sz w:val="20"/>
          <w:szCs w:val="20"/>
        </w:rPr>
      </w:pPr>
    </w:p>
    <w:p w14:paraId="3190A120" w14:textId="4E10D2C8" w:rsidR="003A60DB" w:rsidRDefault="003A60DB" w:rsidP="003A60DB">
      <w:pPr>
        <w:jc w:val="both"/>
        <w:rPr>
          <w:rFonts w:ascii="Century Gothic" w:hAnsi="Century Gothic"/>
          <w:sz w:val="20"/>
          <w:szCs w:val="20"/>
        </w:rPr>
      </w:pPr>
      <w:r w:rsidRPr="004931C5">
        <w:rPr>
          <w:rFonts w:ascii="Century Gothic" w:hAnsi="Century Gothic"/>
          <w:sz w:val="20"/>
          <w:szCs w:val="20"/>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w:t>
      </w:r>
      <w:r w:rsidR="005D3F4E">
        <w:rPr>
          <w:rFonts w:ascii="Century Gothic" w:hAnsi="Century Gothic"/>
          <w:sz w:val="20"/>
          <w:szCs w:val="20"/>
        </w:rPr>
        <w:t>“</w:t>
      </w:r>
      <w:r w:rsidRPr="004931C5">
        <w:rPr>
          <w:rFonts w:ascii="Century Gothic" w:hAnsi="Century Gothic"/>
          <w:sz w:val="20"/>
          <w:szCs w:val="20"/>
        </w:rPr>
        <w:t xml:space="preserve">[…] los documentos, contratos, actos e información generada por oferentes, contratista, contratante, supervisor o interventor, tanto en la etapa precontractual, como en la contractual y la </w:t>
      </w:r>
      <w:proofErr w:type="spellStart"/>
      <w:r w:rsidRPr="004931C5">
        <w:rPr>
          <w:rFonts w:ascii="Century Gothic" w:hAnsi="Century Gothic"/>
          <w:sz w:val="20"/>
          <w:szCs w:val="20"/>
        </w:rPr>
        <w:t>postcontractual</w:t>
      </w:r>
      <w:proofErr w:type="spellEnd"/>
      <w:r w:rsidR="005D3F4E">
        <w:rPr>
          <w:rFonts w:ascii="Century Gothic" w:hAnsi="Century Gothic"/>
          <w:sz w:val="20"/>
          <w:szCs w:val="20"/>
        </w:rPr>
        <w:t>”</w:t>
      </w:r>
      <w:r w:rsidRPr="004931C5">
        <w:rPr>
          <w:rFonts w:ascii="Century Gothic" w:hAnsi="Century Gothic"/>
          <w:sz w:val="20"/>
          <w:szCs w:val="20"/>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w:t>
      </w:r>
      <w:r w:rsidR="005D3F4E">
        <w:rPr>
          <w:rFonts w:ascii="Century Gothic" w:hAnsi="Century Gothic"/>
          <w:sz w:val="20"/>
          <w:szCs w:val="20"/>
        </w:rPr>
        <w:t>“</w:t>
      </w:r>
      <w:r w:rsidRPr="004931C5">
        <w:rPr>
          <w:rFonts w:ascii="Century Gothic" w:hAnsi="Century Gothic"/>
          <w:sz w:val="20"/>
          <w:szCs w:val="20"/>
        </w:rPr>
        <w:t>no misionales</w:t>
      </w:r>
      <w:r w:rsidR="005D3F4E">
        <w:rPr>
          <w:rFonts w:ascii="Century Gothic" w:hAnsi="Century Gothic"/>
          <w:sz w:val="20"/>
          <w:szCs w:val="20"/>
        </w:rPr>
        <w:t>”</w:t>
      </w:r>
      <w:r w:rsidRPr="004931C5">
        <w:rPr>
          <w:rFonts w:ascii="Century Gothic" w:hAnsi="Century Gothic"/>
          <w:sz w:val="20"/>
          <w:szCs w:val="20"/>
        </w:rPr>
        <w:t xml:space="preserve"> estén per se excluidos del deber de publicidad.</w:t>
      </w:r>
    </w:p>
    <w:p w14:paraId="0B01209A" w14:textId="3CB66CDE" w:rsidR="00F64CD3" w:rsidRPr="004931C5" w:rsidRDefault="00F64CD3" w:rsidP="00F64CD3">
      <w:pPr>
        <w:jc w:val="both"/>
        <w:rPr>
          <w:rFonts w:ascii="Century Gothic" w:hAnsi="Century Gothic"/>
          <w:b/>
          <w:bCs/>
          <w:sz w:val="22"/>
        </w:rPr>
      </w:pPr>
      <w:r w:rsidRPr="004931C5">
        <w:rPr>
          <w:rFonts w:ascii="Century Gothic" w:hAnsi="Century Gothic"/>
          <w:b/>
          <w:bCs/>
          <w:sz w:val="22"/>
        </w:rPr>
        <w:lastRenderedPageBreak/>
        <w:t>SECOP II – Deber de publicidad</w:t>
      </w:r>
      <w:r>
        <w:rPr>
          <w:rFonts w:ascii="Century Gothic" w:hAnsi="Century Gothic"/>
          <w:b/>
          <w:bCs/>
          <w:sz w:val="22"/>
        </w:rPr>
        <w:t xml:space="preserve"> - no a contratos de trabajo</w:t>
      </w:r>
    </w:p>
    <w:p w14:paraId="02B23DFF" w14:textId="77777777" w:rsidR="00F64CD3" w:rsidRDefault="00F64CD3" w:rsidP="003A60DB">
      <w:pPr>
        <w:jc w:val="both"/>
        <w:rPr>
          <w:rFonts w:ascii="Century Gothic" w:hAnsi="Century Gothic" w:cs="Arial"/>
          <w:color w:val="000000" w:themeColor="text1"/>
          <w:sz w:val="22"/>
          <w:szCs w:val="22"/>
          <w:lang w:val="es-ES"/>
        </w:rPr>
      </w:pPr>
    </w:p>
    <w:p w14:paraId="70F14B81" w14:textId="565E821C" w:rsidR="00F64CD3" w:rsidRDefault="00F64CD3" w:rsidP="003A60DB">
      <w:pPr>
        <w:jc w:val="both"/>
        <w:rPr>
          <w:rFonts w:ascii="Century Gothic" w:hAnsi="Century Gothic"/>
          <w:sz w:val="20"/>
          <w:szCs w:val="20"/>
        </w:rPr>
      </w:pPr>
      <w:r>
        <w:rPr>
          <w:rFonts w:ascii="Century Gothic" w:hAnsi="Century Gothic" w:cs="Arial"/>
          <w:color w:val="000000" w:themeColor="text1"/>
          <w:sz w:val="22"/>
          <w:szCs w:val="22"/>
          <w:lang w:val="es-ES"/>
        </w:rPr>
        <w:t xml:space="preserve">En síntesis, conforme a las distinciones ya predicadas acerca del contrato de trabajo y la relación laboral que le subyace, desde su naturaleza, es claro que no podría cobijar las condiciones propias del mismo, los términos del artículo 53 de la Ley 2195 de 2022, pues como se menciona en la misma legislación e incluso, en las normas que la precedieron, dicha modalidad contractual propia de la relación laboral, no hace parte de la dinámica negocial propia del derecho civil y menos de los procesos de selección de la contratación pública, propio de las publicaciones que se exigen de las entidades públicas y de las entidades perteneciente al régimen exceptuado, como se ha mencionado, no siendo este un tipo de contrato generado con la intervención de “…oferentes, contratista, contratante, supervisor o interventor…”, por lo tanto, no existe obligación legal de consignarlos en el </w:t>
      </w:r>
      <w:r w:rsidRPr="004931C5">
        <w:rPr>
          <w:rFonts w:ascii="Century Gothic" w:hAnsi="Century Gothic" w:cs="Arial"/>
          <w:bCs/>
          <w:sz w:val="22"/>
        </w:rPr>
        <w:t>Sistema Electrónico para la Contratación Pública –SECOP II–</w:t>
      </w:r>
      <w:r>
        <w:rPr>
          <w:rFonts w:ascii="Century Gothic" w:hAnsi="Century Gothic" w:cs="Arial"/>
          <w:bCs/>
          <w:sz w:val="22"/>
        </w:rPr>
        <w:t>.</w:t>
      </w:r>
    </w:p>
    <w:p w14:paraId="084DACCA" w14:textId="77777777" w:rsidR="00F64CD3" w:rsidRDefault="00F64CD3" w:rsidP="003A60DB">
      <w:pPr>
        <w:jc w:val="both"/>
        <w:rPr>
          <w:rFonts w:ascii="Century Gothic" w:hAnsi="Century Gothic"/>
          <w:sz w:val="20"/>
          <w:szCs w:val="20"/>
        </w:rPr>
      </w:pPr>
    </w:p>
    <w:p w14:paraId="0CB160AA" w14:textId="77777777" w:rsidR="00F64CD3" w:rsidRDefault="00F64CD3" w:rsidP="003A60DB">
      <w:pPr>
        <w:jc w:val="both"/>
        <w:rPr>
          <w:rFonts w:ascii="Century Gothic" w:hAnsi="Century Gothic"/>
          <w:sz w:val="20"/>
          <w:szCs w:val="20"/>
        </w:rPr>
      </w:pPr>
    </w:p>
    <w:p w14:paraId="414B1392" w14:textId="77777777" w:rsidR="00F64CD3" w:rsidRDefault="00F64CD3" w:rsidP="003A60DB">
      <w:pPr>
        <w:jc w:val="both"/>
        <w:rPr>
          <w:rFonts w:ascii="Century Gothic" w:hAnsi="Century Gothic"/>
          <w:sz w:val="20"/>
          <w:szCs w:val="20"/>
        </w:rPr>
      </w:pPr>
    </w:p>
    <w:p w14:paraId="7ED68A16" w14:textId="77777777" w:rsidR="00F64CD3" w:rsidRDefault="00F64CD3" w:rsidP="003A60DB">
      <w:pPr>
        <w:jc w:val="both"/>
        <w:rPr>
          <w:rFonts w:ascii="Century Gothic" w:hAnsi="Century Gothic"/>
          <w:sz w:val="20"/>
          <w:szCs w:val="20"/>
        </w:rPr>
      </w:pPr>
    </w:p>
    <w:p w14:paraId="4888A959" w14:textId="77777777" w:rsidR="00F64CD3" w:rsidRDefault="00F64CD3" w:rsidP="003A60DB">
      <w:pPr>
        <w:jc w:val="both"/>
        <w:rPr>
          <w:rFonts w:ascii="Century Gothic" w:hAnsi="Century Gothic"/>
          <w:sz w:val="20"/>
          <w:szCs w:val="20"/>
        </w:rPr>
      </w:pPr>
    </w:p>
    <w:p w14:paraId="438104E9" w14:textId="77777777" w:rsidR="00F64CD3" w:rsidRDefault="00F64CD3" w:rsidP="003A60DB">
      <w:pPr>
        <w:jc w:val="both"/>
        <w:rPr>
          <w:rFonts w:ascii="Century Gothic" w:hAnsi="Century Gothic"/>
          <w:sz w:val="20"/>
          <w:szCs w:val="20"/>
        </w:rPr>
      </w:pPr>
    </w:p>
    <w:p w14:paraId="4DA3EC4C" w14:textId="77777777" w:rsidR="00F64CD3" w:rsidRDefault="00F64CD3" w:rsidP="003A60DB">
      <w:pPr>
        <w:jc w:val="both"/>
        <w:rPr>
          <w:rFonts w:ascii="Century Gothic" w:hAnsi="Century Gothic"/>
          <w:sz w:val="20"/>
          <w:szCs w:val="20"/>
        </w:rPr>
      </w:pPr>
    </w:p>
    <w:p w14:paraId="1C7450BC" w14:textId="77777777" w:rsidR="00F64CD3" w:rsidRDefault="00F64CD3" w:rsidP="003A60DB">
      <w:pPr>
        <w:jc w:val="both"/>
        <w:rPr>
          <w:rFonts w:ascii="Century Gothic" w:hAnsi="Century Gothic"/>
          <w:sz w:val="20"/>
          <w:szCs w:val="20"/>
        </w:rPr>
      </w:pPr>
    </w:p>
    <w:p w14:paraId="720FDE9F" w14:textId="77777777" w:rsidR="00F64CD3" w:rsidRDefault="00F64CD3" w:rsidP="003A60DB">
      <w:pPr>
        <w:jc w:val="both"/>
        <w:rPr>
          <w:rFonts w:ascii="Century Gothic" w:hAnsi="Century Gothic"/>
          <w:sz w:val="20"/>
          <w:szCs w:val="20"/>
        </w:rPr>
      </w:pPr>
    </w:p>
    <w:p w14:paraId="569326A7" w14:textId="77777777" w:rsidR="00F64CD3" w:rsidRDefault="00F64CD3" w:rsidP="003A60DB">
      <w:pPr>
        <w:jc w:val="both"/>
        <w:rPr>
          <w:rFonts w:ascii="Century Gothic" w:hAnsi="Century Gothic"/>
          <w:sz w:val="20"/>
          <w:szCs w:val="20"/>
        </w:rPr>
      </w:pPr>
    </w:p>
    <w:p w14:paraId="0CFEAB4F" w14:textId="77777777" w:rsidR="00F64CD3" w:rsidRDefault="00F64CD3" w:rsidP="003A60DB">
      <w:pPr>
        <w:jc w:val="both"/>
        <w:rPr>
          <w:rFonts w:ascii="Century Gothic" w:hAnsi="Century Gothic"/>
          <w:sz w:val="20"/>
          <w:szCs w:val="20"/>
        </w:rPr>
      </w:pPr>
    </w:p>
    <w:p w14:paraId="6481D6F5" w14:textId="77777777" w:rsidR="00F64CD3" w:rsidRDefault="00F64CD3" w:rsidP="003A60DB">
      <w:pPr>
        <w:jc w:val="both"/>
        <w:rPr>
          <w:rFonts w:ascii="Century Gothic" w:hAnsi="Century Gothic"/>
          <w:sz w:val="20"/>
          <w:szCs w:val="20"/>
        </w:rPr>
      </w:pPr>
    </w:p>
    <w:p w14:paraId="49EFFE70" w14:textId="77777777" w:rsidR="00F64CD3" w:rsidRDefault="00F64CD3" w:rsidP="003A60DB">
      <w:pPr>
        <w:jc w:val="both"/>
        <w:rPr>
          <w:rFonts w:ascii="Century Gothic" w:hAnsi="Century Gothic"/>
          <w:sz w:val="20"/>
          <w:szCs w:val="20"/>
        </w:rPr>
      </w:pPr>
    </w:p>
    <w:p w14:paraId="18F3B412" w14:textId="77777777" w:rsidR="00F64CD3" w:rsidRDefault="00F64CD3" w:rsidP="003A60DB">
      <w:pPr>
        <w:jc w:val="both"/>
        <w:rPr>
          <w:rFonts w:ascii="Century Gothic" w:hAnsi="Century Gothic"/>
          <w:sz w:val="20"/>
          <w:szCs w:val="20"/>
        </w:rPr>
      </w:pPr>
    </w:p>
    <w:p w14:paraId="0A9DCF41" w14:textId="77777777" w:rsidR="00F64CD3" w:rsidRDefault="00F64CD3" w:rsidP="003A60DB">
      <w:pPr>
        <w:jc w:val="both"/>
        <w:rPr>
          <w:rFonts w:ascii="Century Gothic" w:hAnsi="Century Gothic"/>
          <w:sz w:val="20"/>
          <w:szCs w:val="20"/>
        </w:rPr>
      </w:pPr>
    </w:p>
    <w:p w14:paraId="10B7AC85" w14:textId="77777777" w:rsidR="00F64CD3" w:rsidRDefault="00F64CD3" w:rsidP="003A60DB">
      <w:pPr>
        <w:jc w:val="both"/>
        <w:rPr>
          <w:rFonts w:ascii="Century Gothic" w:hAnsi="Century Gothic"/>
          <w:sz w:val="20"/>
          <w:szCs w:val="20"/>
        </w:rPr>
      </w:pPr>
    </w:p>
    <w:p w14:paraId="5E934A18" w14:textId="77777777" w:rsidR="00F64CD3" w:rsidRDefault="00F64CD3" w:rsidP="003A60DB">
      <w:pPr>
        <w:jc w:val="both"/>
        <w:rPr>
          <w:rFonts w:ascii="Century Gothic" w:hAnsi="Century Gothic"/>
          <w:sz w:val="20"/>
          <w:szCs w:val="20"/>
        </w:rPr>
      </w:pPr>
    </w:p>
    <w:p w14:paraId="18FAE4D8" w14:textId="77777777" w:rsidR="00F64CD3" w:rsidRDefault="00F64CD3" w:rsidP="003A60DB">
      <w:pPr>
        <w:jc w:val="both"/>
        <w:rPr>
          <w:rFonts w:ascii="Century Gothic" w:hAnsi="Century Gothic"/>
          <w:sz w:val="20"/>
          <w:szCs w:val="20"/>
        </w:rPr>
      </w:pPr>
    </w:p>
    <w:p w14:paraId="20D42AA7" w14:textId="77777777" w:rsidR="00F64CD3" w:rsidRDefault="00F64CD3" w:rsidP="003A60DB">
      <w:pPr>
        <w:jc w:val="both"/>
        <w:rPr>
          <w:rFonts w:ascii="Century Gothic" w:hAnsi="Century Gothic"/>
          <w:sz w:val="20"/>
          <w:szCs w:val="20"/>
        </w:rPr>
      </w:pPr>
    </w:p>
    <w:p w14:paraId="558334DD" w14:textId="77777777" w:rsidR="00F64CD3" w:rsidRDefault="00F64CD3" w:rsidP="003A60DB">
      <w:pPr>
        <w:jc w:val="both"/>
        <w:rPr>
          <w:rFonts w:ascii="Century Gothic" w:hAnsi="Century Gothic"/>
          <w:sz w:val="20"/>
          <w:szCs w:val="20"/>
        </w:rPr>
      </w:pPr>
    </w:p>
    <w:p w14:paraId="1E60A23E" w14:textId="77777777" w:rsidR="00F64CD3" w:rsidRDefault="00F64CD3" w:rsidP="003A60DB">
      <w:pPr>
        <w:jc w:val="both"/>
        <w:rPr>
          <w:rFonts w:ascii="Century Gothic" w:hAnsi="Century Gothic"/>
          <w:sz w:val="20"/>
          <w:szCs w:val="20"/>
        </w:rPr>
      </w:pPr>
    </w:p>
    <w:p w14:paraId="485C2576" w14:textId="77777777" w:rsidR="00F64CD3" w:rsidRDefault="00F64CD3" w:rsidP="003A60DB">
      <w:pPr>
        <w:jc w:val="both"/>
        <w:rPr>
          <w:rFonts w:ascii="Century Gothic" w:hAnsi="Century Gothic"/>
          <w:sz w:val="20"/>
          <w:szCs w:val="20"/>
        </w:rPr>
      </w:pPr>
    </w:p>
    <w:p w14:paraId="6F9AEC1D" w14:textId="77777777" w:rsidR="00F64CD3" w:rsidRDefault="00F64CD3" w:rsidP="003A60DB">
      <w:pPr>
        <w:jc w:val="both"/>
        <w:rPr>
          <w:rFonts w:ascii="Century Gothic" w:hAnsi="Century Gothic"/>
          <w:sz w:val="20"/>
          <w:szCs w:val="20"/>
        </w:rPr>
      </w:pPr>
    </w:p>
    <w:p w14:paraId="16C1BB4B" w14:textId="77777777" w:rsidR="00F64CD3" w:rsidRDefault="00F64CD3" w:rsidP="003A60DB">
      <w:pPr>
        <w:jc w:val="both"/>
        <w:rPr>
          <w:rFonts w:ascii="Century Gothic" w:hAnsi="Century Gothic"/>
          <w:sz w:val="20"/>
          <w:szCs w:val="20"/>
        </w:rPr>
      </w:pPr>
    </w:p>
    <w:p w14:paraId="69CDF793" w14:textId="77777777" w:rsidR="00F64CD3" w:rsidRDefault="00F64CD3" w:rsidP="003A60DB">
      <w:pPr>
        <w:jc w:val="both"/>
        <w:rPr>
          <w:rFonts w:ascii="Century Gothic" w:hAnsi="Century Gothic"/>
          <w:sz w:val="20"/>
          <w:szCs w:val="20"/>
        </w:rPr>
      </w:pPr>
    </w:p>
    <w:p w14:paraId="153BA302" w14:textId="77777777" w:rsidR="00F64CD3" w:rsidRDefault="00F64CD3" w:rsidP="003A60DB">
      <w:pPr>
        <w:jc w:val="both"/>
        <w:rPr>
          <w:rFonts w:ascii="Century Gothic" w:hAnsi="Century Gothic"/>
          <w:sz w:val="20"/>
          <w:szCs w:val="20"/>
        </w:rPr>
      </w:pPr>
    </w:p>
    <w:p w14:paraId="2FF1554B" w14:textId="77777777" w:rsidR="00F64CD3" w:rsidRDefault="00F64CD3" w:rsidP="003A60DB">
      <w:pPr>
        <w:jc w:val="both"/>
        <w:rPr>
          <w:rFonts w:ascii="Century Gothic" w:hAnsi="Century Gothic"/>
          <w:sz w:val="20"/>
          <w:szCs w:val="20"/>
        </w:rPr>
      </w:pPr>
    </w:p>
    <w:p w14:paraId="3EB6F559" w14:textId="77777777" w:rsidR="00F64CD3" w:rsidRDefault="00F64CD3" w:rsidP="003A60DB">
      <w:pPr>
        <w:jc w:val="both"/>
        <w:rPr>
          <w:rFonts w:ascii="Century Gothic" w:hAnsi="Century Gothic"/>
          <w:sz w:val="20"/>
          <w:szCs w:val="20"/>
        </w:rPr>
      </w:pPr>
    </w:p>
    <w:p w14:paraId="74018259" w14:textId="77777777" w:rsidR="00F64CD3" w:rsidRDefault="00F64CD3" w:rsidP="003A60DB">
      <w:pPr>
        <w:jc w:val="both"/>
        <w:rPr>
          <w:rFonts w:ascii="Century Gothic" w:hAnsi="Century Gothic"/>
          <w:sz w:val="20"/>
          <w:szCs w:val="20"/>
        </w:rPr>
      </w:pPr>
    </w:p>
    <w:p w14:paraId="0D54C172" w14:textId="77777777" w:rsidR="00F64CD3" w:rsidRDefault="00F64CD3" w:rsidP="003A60DB">
      <w:pPr>
        <w:jc w:val="both"/>
        <w:rPr>
          <w:rFonts w:ascii="Century Gothic" w:hAnsi="Century Gothic"/>
          <w:sz w:val="20"/>
          <w:szCs w:val="20"/>
        </w:rPr>
      </w:pPr>
    </w:p>
    <w:p w14:paraId="6D1786B3" w14:textId="77777777" w:rsidR="00F64CD3" w:rsidRDefault="00F64CD3" w:rsidP="003A60DB">
      <w:pPr>
        <w:jc w:val="both"/>
        <w:rPr>
          <w:rFonts w:ascii="Century Gothic" w:hAnsi="Century Gothic"/>
          <w:sz w:val="20"/>
          <w:szCs w:val="20"/>
        </w:rPr>
      </w:pPr>
    </w:p>
    <w:p w14:paraId="5FE6D5F5" w14:textId="77777777" w:rsidR="00F64CD3" w:rsidRDefault="00F64CD3" w:rsidP="003A60DB">
      <w:pPr>
        <w:jc w:val="both"/>
        <w:rPr>
          <w:rFonts w:ascii="Century Gothic" w:hAnsi="Century Gothic"/>
          <w:sz w:val="20"/>
          <w:szCs w:val="20"/>
        </w:rPr>
      </w:pPr>
    </w:p>
    <w:p w14:paraId="7BA20AE7" w14:textId="77777777" w:rsidR="00F64CD3" w:rsidRPr="004931C5" w:rsidRDefault="00F64CD3" w:rsidP="003A60DB">
      <w:pPr>
        <w:jc w:val="both"/>
        <w:rPr>
          <w:rFonts w:ascii="Century Gothic" w:hAnsi="Century Gothic"/>
          <w:sz w:val="20"/>
          <w:szCs w:val="20"/>
        </w:rPr>
      </w:pPr>
    </w:p>
    <w:p w14:paraId="22438474" w14:textId="098E7DCE" w:rsidR="00B658B0" w:rsidRDefault="00B658B0" w:rsidP="004E4FED">
      <w:pPr>
        <w:jc w:val="both"/>
        <w:rPr>
          <w:rFonts w:ascii="Century Gothic" w:hAnsi="Century Gothic" w:cs="Arial"/>
          <w:noProof/>
          <w:sz w:val="22"/>
          <w:szCs w:val="22"/>
          <w:lang w:val="es-ES_tradnl"/>
        </w:rPr>
      </w:pPr>
      <w:r w:rsidRPr="00B658B0">
        <w:rPr>
          <w:rFonts w:ascii="Century Gothic" w:hAnsi="Century Gothic" w:cs="Arial"/>
          <w:noProof/>
          <w:sz w:val="22"/>
          <w:szCs w:val="22"/>
          <w:lang w:val="es-ES_tradnl"/>
        </w:rPr>
        <w:lastRenderedPageBreak/>
        <w:t>Bogotá D.C., 23 de Octubre de 2023</w:t>
      </w:r>
    </w:p>
    <w:p w14:paraId="2345E18C" w14:textId="77777777" w:rsidR="00B658B0" w:rsidRPr="00FD7175" w:rsidRDefault="00B658B0" w:rsidP="004E4FED">
      <w:pPr>
        <w:jc w:val="both"/>
        <w:rPr>
          <w:rFonts w:ascii="Century Gothic" w:hAnsi="Century Gothic" w:cs="Arial"/>
          <w:noProof/>
          <w:sz w:val="22"/>
          <w:szCs w:val="22"/>
          <w:lang w:val="es-ES_tradnl"/>
        </w:rPr>
      </w:pPr>
    </w:p>
    <w:p w14:paraId="554308CD" w14:textId="77777777" w:rsidR="003027A3" w:rsidRPr="00FD7175" w:rsidRDefault="003027A3" w:rsidP="003027A3">
      <w:pPr>
        <w:jc w:val="both"/>
        <w:rPr>
          <w:rFonts w:ascii="Century Gothic" w:eastAsia="Calibri" w:hAnsi="Century Gothic" w:cs="Arial"/>
          <w:sz w:val="22"/>
          <w:szCs w:val="22"/>
          <w:lang w:val="es-ES"/>
        </w:rPr>
      </w:pPr>
      <w:r w:rsidRPr="00FD7175">
        <w:rPr>
          <w:rFonts w:ascii="Century Gothic" w:eastAsia="Calibri" w:hAnsi="Century Gothic" w:cs="Arial"/>
          <w:sz w:val="22"/>
          <w:szCs w:val="22"/>
          <w:lang w:val="es-ES"/>
        </w:rPr>
        <w:t>Señor</w:t>
      </w:r>
    </w:p>
    <w:p w14:paraId="07B57140" w14:textId="77777777" w:rsidR="003027A3" w:rsidRPr="00FD7175" w:rsidRDefault="003027A3" w:rsidP="003027A3">
      <w:pPr>
        <w:rPr>
          <w:rFonts w:ascii="Century Gothic" w:eastAsia="Calibri" w:hAnsi="Century Gothic" w:cs="Arial"/>
          <w:b/>
          <w:bCs/>
          <w:sz w:val="22"/>
          <w:szCs w:val="22"/>
          <w:lang w:val="es-ES"/>
        </w:rPr>
      </w:pPr>
      <w:r w:rsidRPr="00FD7175">
        <w:rPr>
          <w:rFonts w:ascii="Century Gothic" w:eastAsia="Calibri" w:hAnsi="Century Gothic" w:cs="Arial"/>
          <w:b/>
          <w:bCs/>
          <w:sz w:val="22"/>
          <w:szCs w:val="22"/>
          <w:lang w:val="es-ES"/>
        </w:rPr>
        <w:t>Juan Sebastián Borja</w:t>
      </w:r>
    </w:p>
    <w:p w14:paraId="56C65062" w14:textId="77777777" w:rsidR="003027A3" w:rsidRPr="00FD7175" w:rsidRDefault="003027A3" w:rsidP="003027A3">
      <w:pPr>
        <w:rPr>
          <w:rFonts w:ascii="Century Gothic" w:eastAsia="Calibri" w:hAnsi="Century Gothic" w:cs="Arial"/>
          <w:sz w:val="22"/>
          <w:szCs w:val="22"/>
          <w:lang w:val="es-ES_tradnl"/>
        </w:rPr>
      </w:pPr>
      <w:r w:rsidRPr="00FD7175">
        <w:rPr>
          <w:rFonts w:ascii="Century Gothic" w:eastAsia="Calibri" w:hAnsi="Century Gothic" w:cs="Arial"/>
          <w:bCs/>
          <w:sz w:val="22"/>
          <w:szCs w:val="22"/>
          <w:lang w:val="es-ES_tradnl"/>
        </w:rPr>
        <w:t>Ciudad</w:t>
      </w:r>
    </w:p>
    <w:p w14:paraId="110698EB" w14:textId="426EEBC2" w:rsidR="003027A3" w:rsidRPr="00FD7175" w:rsidRDefault="00B658B0" w:rsidP="00B658B0">
      <w:pPr>
        <w:jc w:val="right"/>
        <w:rPr>
          <w:rFonts w:ascii="Century Gothic" w:eastAsia="Calibri" w:hAnsi="Century Gothic" w:cs="Arial"/>
          <w:sz w:val="22"/>
          <w:szCs w:val="22"/>
          <w:lang w:val="es-ES_tradnl"/>
        </w:rPr>
      </w:pPr>
      <w:r w:rsidRPr="00B658B0">
        <w:rPr>
          <w:rFonts w:ascii="Century Gothic" w:eastAsia="Calibri" w:hAnsi="Century Gothic" w:cs="Arial"/>
          <w:sz w:val="22"/>
          <w:szCs w:val="22"/>
          <w:lang w:val="es-ES_tradnl"/>
        </w:rPr>
        <w:drawing>
          <wp:inline distT="0" distB="0" distL="0" distR="0" wp14:anchorId="34574DCA" wp14:editId="60CAF5CC">
            <wp:extent cx="2825749" cy="783955"/>
            <wp:effectExtent l="0" t="0" r="0" b="0"/>
            <wp:docPr id="1768934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34994" name=""/>
                    <pic:cNvPicPr/>
                  </pic:nvPicPr>
                  <pic:blipFill>
                    <a:blip r:embed="rId11"/>
                    <a:stretch>
                      <a:fillRect/>
                    </a:stretch>
                  </pic:blipFill>
                  <pic:spPr>
                    <a:xfrm>
                      <a:off x="0" y="0"/>
                      <a:ext cx="2839799" cy="787853"/>
                    </a:xfrm>
                    <a:prstGeom prst="rect">
                      <a:avLst/>
                    </a:prstGeom>
                  </pic:spPr>
                </pic:pic>
              </a:graphicData>
            </a:graphic>
          </wp:inline>
        </w:drawing>
      </w:r>
    </w:p>
    <w:p w14:paraId="0F8CDB80" w14:textId="77777777" w:rsidR="00B658B0" w:rsidRDefault="00B658B0" w:rsidP="003027A3">
      <w:pPr>
        <w:ind w:left="2694"/>
        <w:rPr>
          <w:rFonts w:ascii="Century Gothic" w:eastAsia="Calibri" w:hAnsi="Century Gothic" w:cs="Arial"/>
          <w:b/>
          <w:bCs/>
          <w:sz w:val="22"/>
          <w:szCs w:val="22"/>
          <w:lang w:val="es-ES"/>
        </w:rPr>
      </w:pPr>
    </w:p>
    <w:p w14:paraId="452536A1" w14:textId="65447D6E" w:rsidR="003027A3" w:rsidRDefault="003027A3" w:rsidP="003027A3">
      <w:pPr>
        <w:ind w:left="2694"/>
        <w:rPr>
          <w:rFonts w:ascii="Century Gothic" w:eastAsia="Calibri" w:hAnsi="Century Gothic" w:cs="Arial"/>
          <w:b/>
          <w:bCs/>
          <w:sz w:val="22"/>
          <w:szCs w:val="22"/>
          <w:lang w:val="es-ES"/>
        </w:rPr>
      </w:pPr>
      <w:r w:rsidRPr="00FD7175">
        <w:rPr>
          <w:rFonts w:ascii="Century Gothic" w:eastAsia="Calibri" w:hAnsi="Century Gothic" w:cs="Arial"/>
          <w:b/>
          <w:bCs/>
          <w:sz w:val="22"/>
          <w:szCs w:val="22"/>
          <w:lang w:val="es-ES"/>
        </w:rPr>
        <w:t>Concepto C-433 de 2023</w:t>
      </w:r>
    </w:p>
    <w:p w14:paraId="4B7F20F4" w14:textId="77777777" w:rsidR="00B658B0" w:rsidRPr="00FD7175" w:rsidRDefault="00B658B0" w:rsidP="003027A3">
      <w:pPr>
        <w:ind w:left="2694"/>
        <w:rPr>
          <w:rFonts w:ascii="Century Gothic" w:eastAsia="Calibri" w:hAnsi="Century Gothic" w:cs="Arial"/>
          <w:b/>
          <w:bCs/>
          <w:sz w:val="22"/>
          <w:szCs w:val="22"/>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3027A3" w:rsidRPr="00FD7175" w14:paraId="7EAE275E" w14:textId="77777777" w:rsidTr="008975ED">
        <w:trPr>
          <w:jc w:val="right"/>
        </w:trPr>
        <w:tc>
          <w:tcPr>
            <w:tcW w:w="1838" w:type="dxa"/>
          </w:tcPr>
          <w:p w14:paraId="3FAD8E5D" w14:textId="77777777" w:rsidR="003027A3" w:rsidRPr="00FD7175" w:rsidRDefault="003027A3" w:rsidP="008975ED">
            <w:pPr>
              <w:jc w:val="center"/>
              <w:rPr>
                <w:rFonts w:ascii="Century Gothic" w:eastAsia="Calibri" w:hAnsi="Century Gothic" w:cs="Arial"/>
                <w:color w:val="000000" w:themeColor="text1"/>
                <w:sz w:val="22"/>
                <w:szCs w:val="22"/>
                <w:lang w:val="es-ES_tradnl"/>
              </w:rPr>
            </w:pPr>
            <w:r w:rsidRPr="00FD7175">
              <w:rPr>
                <w:rFonts w:ascii="Century Gothic" w:eastAsia="Calibri" w:hAnsi="Century Gothic" w:cs="Arial"/>
                <w:b/>
                <w:color w:val="000000" w:themeColor="text1"/>
                <w:sz w:val="22"/>
                <w:szCs w:val="22"/>
                <w:lang w:val="es-ES_tradnl"/>
              </w:rPr>
              <w:t>Temas:</w:t>
            </w:r>
          </w:p>
        </w:tc>
        <w:tc>
          <w:tcPr>
            <w:tcW w:w="6237" w:type="dxa"/>
          </w:tcPr>
          <w:p w14:paraId="003B5164" w14:textId="77777777" w:rsidR="003027A3" w:rsidRPr="00FD7175" w:rsidRDefault="003027A3" w:rsidP="008975ED">
            <w:pPr>
              <w:jc w:val="both"/>
              <w:rPr>
                <w:rFonts w:ascii="Century Gothic" w:hAnsi="Century Gothic" w:cs="Arial"/>
                <w:color w:val="000000" w:themeColor="text1"/>
                <w:sz w:val="22"/>
                <w:szCs w:val="22"/>
                <w:lang w:val="es-ES_tradnl"/>
              </w:rPr>
            </w:pPr>
            <w:r w:rsidRPr="00FD7175">
              <w:rPr>
                <w:rFonts w:ascii="Century Gothic" w:eastAsia="Calibri" w:hAnsi="Century Gothic" w:cs="Arial"/>
                <w:color w:val="000000" w:themeColor="text1"/>
                <w:sz w:val="22"/>
                <w:szCs w:val="22"/>
                <w:lang w:val="es-ES"/>
              </w:rPr>
              <w:t xml:space="preserve">EMPRESAS DE SERVICIOS PÚBLICOS DOMICILIARIOS – Naturaleza jurídica – Régimen contractual / EMPRESAS DE SERVICIOS PÚBLICOS DOMICILIARIOS – Aplicabilidad Estatuto General de Contratación de la Administración Pública – Ley 142 de 1994 – Ley 689 de 2001 / PUBLICIIDAD SECOP – Entidades exceptuadas del Estatuto General de Contratación de la Administración Pública – Modificación artículo 53 de la Ley 2195 de 2022 / SECOP II – Deber de publicidad – Entidades exceptuadas – Documentos relacionados con la actividad contractual - </w:t>
            </w:r>
            <w:r w:rsidRPr="00FD7175">
              <w:rPr>
                <w:rFonts w:ascii="Century Gothic" w:eastAsia="Century Gothic" w:hAnsi="Century Gothic" w:cs="Century Gothic"/>
                <w:color w:val="000000" w:themeColor="text1"/>
                <w:sz w:val="22"/>
                <w:szCs w:val="22"/>
                <w:lang w:val="es-ES"/>
              </w:rPr>
              <w:t>no a contratos de trabajo</w:t>
            </w:r>
          </w:p>
        </w:tc>
      </w:tr>
      <w:tr w:rsidR="003027A3" w:rsidRPr="00FD7175" w14:paraId="0F11AF55" w14:textId="77777777" w:rsidTr="008975ED">
        <w:trPr>
          <w:jc w:val="right"/>
        </w:trPr>
        <w:tc>
          <w:tcPr>
            <w:tcW w:w="1838" w:type="dxa"/>
          </w:tcPr>
          <w:p w14:paraId="7A292A45" w14:textId="77777777" w:rsidR="003027A3" w:rsidRPr="00FD7175" w:rsidRDefault="003027A3" w:rsidP="008975ED">
            <w:pPr>
              <w:spacing w:before="120"/>
              <w:jc w:val="center"/>
              <w:rPr>
                <w:rFonts w:ascii="Century Gothic" w:eastAsia="Calibri" w:hAnsi="Century Gothic" w:cs="Arial"/>
                <w:b/>
                <w:color w:val="000000" w:themeColor="text1"/>
                <w:sz w:val="22"/>
                <w:szCs w:val="22"/>
                <w:lang w:val="es-ES"/>
              </w:rPr>
            </w:pPr>
            <w:r w:rsidRPr="00FD7175">
              <w:rPr>
                <w:rFonts w:ascii="Century Gothic" w:eastAsia="Calibri" w:hAnsi="Century Gothic" w:cs="Arial"/>
                <w:b/>
                <w:color w:val="000000" w:themeColor="text1"/>
                <w:sz w:val="22"/>
                <w:szCs w:val="22"/>
                <w:lang w:val="es-ES"/>
              </w:rPr>
              <w:t>Radicación:</w:t>
            </w:r>
          </w:p>
        </w:tc>
        <w:tc>
          <w:tcPr>
            <w:tcW w:w="6237" w:type="dxa"/>
          </w:tcPr>
          <w:p w14:paraId="1847A1AA" w14:textId="77777777" w:rsidR="003027A3" w:rsidRPr="00FD7175" w:rsidRDefault="003027A3" w:rsidP="008975ED">
            <w:pPr>
              <w:spacing w:before="120"/>
              <w:jc w:val="both"/>
              <w:rPr>
                <w:rFonts w:ascii="Century Gothic" w:eastAsia="Calibri" w:hAnsi="Century Gothic" w:cs="Arial"/>
                <w:color w:val="000000" w:themeColor="text1"/>
                <w:sz w:val="22"/>
                <w:szCs w:val="22"/>
                <w:lang w:val="es-ES"/>
              </w:rPr>
            </w:pPr>
            <w:r w:rsidRPr="00FD7175">
              <w:rPr>
                <w:rFonts w:ascii="Century Gothic" w:eastAsia="Calibri" w:hAnsi="Century Gothic" w:cs="Arial"/>
                <w:color w:val="000000" w:themeColor="text1"/>
                <w:sz w:val="22"/>
                <w:szCs w:val="22"/>
                <w:lang w:val="es-ES"/>
              </w:rPr>
              <w:t>Respuesta a consulta P20230911015031</w:t>
            </w:r>
          </w:p>
        </w:tc>
      </w:tr>
    </w:tbl>
    <w:p w14:paraId="348008AD" w14:textId="77777777" w:rsidR="003027A3" w:rsidRPr="00FD7175" w:rsidRDefault="003027A3" w:rsidP="003027A3">
      <w:pPr>
        <w:jc w:val="both"/>
        <w:rPr>
          <w:rFonts w:ascii="Century Gothic" w:eastAsia="Calibri" w:hAnsi="Century Gothic" w:cs="Arial"/>
          <w:color w:val="000000" w:themeColor="text1"/>
          <w:sz w:val="22"/>
          <w:szCs w:val="22"/>
          <w:lang w:val="es-ES_tradnl"/>
        </w:rPr>
      </w:pPr>
    </w:p>
    <w:p w14:paraId="2ED9A28D" w14:textId="77777777" w:rsidR="003027A3" w:rsidRPr="00FD7175" w:rsidRDefault="003027A3" w:rsidP="003027A3">
      <w:pPr>
        <w:jc w:val="both"/>
        <w:rPr>
          <w:rFonts w:ascii="Century Gothic" w:eastAsia="Calibri" w:hAnsi="Century Gothic" w:cs="Arial"/>
          <w:bCs/>
          <w:color w:val="000000" w:themeColor="text1"/>
          <w:sz w:val="22"/>
          <w:szCs w:val="22"/>
          <w:lang w:val="es-ES_tradnl"/>
        </w:rPr>
      </w:pPr>
      <w:r w:rsidRPr="00FD7175">
        <w:rPr>
          <w:rFonts w:ascii="Century Gothic" w:eastAsia="Calibri" w:hAnsi="Century Gothic" w:cs="Arial"/>
          <w:color w:val="000000" w:themeColor="text1"/>
          <w:sz w:val="22"/>
          <w:szCs w:val="22"/>
          <w:lang w:val="es-ES_tradnl"/>
        </w:rPr>
        <w:t xml:space="preserve">Estimado señor </w:t>
      </w:r>
      <w:r w:rsidRPr="00FD7175">
        <w:rPr>
          <w:rFonts w:ascii="Century Gothic" w:eastAsia="Calibri" w:hAnsi="Century Gothic" w:cs="Arial"/>
          <w:bCs/>
          <w:color w:val="000000" w:themeColor="text1"/>
          <w:sz w:val="22"/>
          <w:szCs w:val="22"/>
          <w:lang w:val="es-ES_tradnl"/>
        </w:rPr>
        <w:t>Borja:</w:t>
      </w:r>
    </w:p>
    <w:p w14:paraId="6E3DBC8F" w14:textId="77777777" w:rsidR="003027A3" w:rsidRPr="00FD7175" w:rsidRDefault="003027A3" w:rsidP="003027A3">
      <w:pPr>
        <w:spacing w:line="276" w:lineRule="auto"/>
        <w:jc w:val="both"/>
        <w:rPr>
          <w:rFonts w:ascii="Century Gothic" w:eastAsia="Calibri" w:hAnsi="Century Gothic" w:cs="Arial"/>
          <w:color w:val="000000" w:themeColor="text1"/>
          <w:sz w:val="22"/>
          <w:szCs w:val="22"/>
          <w:lang w:val="es-ES"/>
        </w:rPr>
      </w:pPr>
      <w:r w:rsidRPr="00FD7175">
        <w:rPr>
          <w:rFonts w:ascii="Century Gothic" w:eastAsia="Calibri" w:hAnsi="Century Gothic" w:cs="Arial"/>
          <w:color w:val="000000" w:themeColor="text1"/>
          <w:sz w:val="22"/>
          <w:szCs w:val="22"/>
          <w:lang w:val="es-ES"/>
        </w:rPr>
        <w:t>En ejercicio de la competencia otorgada por el numeral 8° del artículo 11 y el numeral 5° del artículo 3 del Decreto Ley 4170 de 2011</w:t>
      </w:r>
      <w:r w:rsidRPr="00FD7175">
        <w:rPr>
          <w:rFonts w:ascii="Century Gothic" w:eastAsia="Calibri" w:hAnsi="Century Gothic" w:cs="Arial"/>
          <w:color w:val="000000" w:themeColor="text1"/>
          <w:sz w:val="22"/>
          <w:szCs w:val="22"/>
        </w:rPr>
        <w:t xml:space="preserve">, </w:t>
      </w:r>
      <w:r w:rsidRPr="00FD7175">
        <w:rPr>
          <w:rFonts w:ascii="Century Gothic" w:hAnsi="Century Gothic" w:cs="Arial"/>
          <w:color w:val="000000" w:themeColor="text1"/>
          <w:sz w:val="22"/>
          <w:szCs w:val="22"/>
        </w:rPr>
        <w:t>así como lo establecido en la Resolución 1707 de 2018 expedida por esta Entidad</w:t>
      </w:r>
      <w:r w:rsidRPr="00FD7175">
        <w:rPr>
          <w:rFonts w:ascii="Century Gothic" w:eastAsia="Calibri" w:hAnsi="Century Gothic" w:cs="Arial"/>
          <w:color w:val="000000" w:themeColor="text1"/>
          <w:sz w:val="22"/>
          <w:szCs w:val="22"/>
          <w:lang w:val="es-ES"/>
        </w:rPr>
        <w:t>, la Agencia Nacional de Contratación Pública ― Colombia Compra Eficiente responde su consulta del 21 de septiembre de 2022.</w:t>
      </w:r>
    </w:p>
    <w:p w14:paraId="5177A2C6" w14:textId="77777777" w:rsidR="003027A3" w:rsidRPr="00FD7175" w:rsidRDefault="003027A3" w:rsidP="003027A3">
      <w:pPr>
        <w:spacing w:line="276" w:lineRule="auto"/>
        <w:jc w:val="both"/>
        <w:rPr>
          <w:rFonts w:ascii="Century Gothic" w:eastAsia="Calibri" w:hAnsi="Century Gothic" w:cs="Arial"/>
          <w:color w:val="000000" w:themeColor="text1"/>
          <w:sz w:val="22"/>
          <w:szCs w:val="22"/>
          <w:lang w:val="es-ES"/>
        </w:rPr>
      </w:pPr>
    </w:p>
    <w:p w14:paraId="75AC6443" w14:textId="77777777" w:rsidR="003027A3" w:rsidRPr="00FD7175" w:rsidRDefault="003027A3" w:rsidP="003027A3">
      <w:pPr>
        <w:pStyle w:val="Prrafodelista"/>
        <w:numPr>
          <w:ilvl w:val="0"/>
          <w:numId w:val="1"/>
        </w:numPr>
        <w:tabs>
          <w:tab w:val="left" w:pos="0"/>
          <w:tab w:val="left" w:pos="142"/>
          <w:tab w:val="left" w:pos="284"/>
        </w:tabs>
        <w:spacing w:line="276" w:lineRule="auto"/>
        <w:ind w:left="0" w:firstLine="0"/>
        <w:jc w:val="both"/>
        <w:rPr>
          <w:rFonts w:ascii="Century Gothic" w:eastAsia="Calibri" w:hAnsi="Century Gothic" w:cs="Arial"/>
          <w:b/>
          <w:color w:val="000000" w:themeColor="text1"/>
          <w:sz w:val="22"/>
          <w:lang w:val="es-ES_tradnl"/>
        </w:rPr>
      </w:pPr>
      <w:r w:rsidRPr="00FD7175">
        <w:rPr>
          <w:rFonts w:ascii="Century Gothic" w:eastAsia="Calibri" w:hAnsi="Century Gothic" w:cs="Arial"/>
          <w:b/>
          <w:color w:val="000000" w:themeColor="text1"/>
          <w:sz w:val="22"/>
          <w:lang w:val="es-ES_tradnl"/>
        </w:rPr>
        <w:t xml:space="preserve">Problema planteado </w:t>
      </w:r>
    </w:p>
    <w:p w14:paraId="718F527A" w14:textId="77777777" w:rsidR="003027A3" w:rsidRPr="00FD7175" w:rsidRDefault="003027A3" w:rsidP="003027A3">
      <w:pPr>
        <w:pStyle w:val="Prrafodelista"/>
        <w:tabs>
          <w:tab w:val="left" w:pos="0"/>
          <w:tab w:val="left" w:pos="142"/>
          <w:tab w:val="left" w:pos="284"/>
        </w:tabs>
        <w:spacing w:line="276" w:lineRule="auto"/>
        <w:ind w:left="0"/>
        <w:jc w:val="both"/>
        <w:rPr>
          <w:rFonts w:ascii="Century Gothic" w:eastAsia="Calibri" w:hAnsi="Century Gothic" w:cs="Arial"/>
          <w:b/>
          <w:color w:val="000000" w:themeColor="text1"/>
          <w:sz w:val="22"/>
          <w:lang w:val="es-ES_tradnl"/>
        </w:rPr>
      </w:pPr>
    </w:p>
    <w:p w14:paraId="225C0124" w14:textId="77777777" w:rsidR="003027A3" w:rsidRPr="00FD7175" w:rsidRDefault="003027A3" w:rsidP="003027A3">
      <w:pPr>
        <w:jc w:val="both"/>
        <w:rPr>
          <w:rFonts w:ascii="Century Gothic" w:hAnsi="Century Gothic" w:cs="Arial"/>
          <w:color w:val="000000" w:themeColor="text1"/>
          <w:sz w:val="22"/>
          <w:szCs w:val="22"/>
        </w:rPr>
      </w:pPr>
      <w:r w:rsidRPr="00FD7175">
        <w:rPr>
          <w:rFonts w:ascii="Century Gothic" w:hAnsi="Century Gothic" w:cs="Arial"/>
          <w:color w:val="000000" w:themeColor="text1"/>
          <w:sz w:val="22"/>
          <w:szCs w:val="22"/>
        </w:rPr>
        <w:t xml:space="preserve">Usted formula la siguiente consulta: </w:t>
      </w:r>
    </w:p>
    <w:p w14:paraId="3EA48E6E" w14:textId="77777777" w:rsidR="003027A3" w:rsidRPr="00FD7175" w:rsidRDefault="003027A3" w:rsidP="003027A3">
      <w:pPr>
        <w:jc w:val="both"/>
        <w:rPr>
          <w:rFonts w:ascii="Century Gothic" w:hAnsi="Century Gothic" w:cs="Arial"/>
          <w:color w:val="000000" w:themeColor="text1"/>
          <w:sz w:val="22"/>
          <w:szCs w:val="22"/>
          <w:lang w:val="es-ES_tradnl"/>
        </w:rPr>
      </w:pPr>
    </w:p>
    <w:p w14:paraId="49F8EF52" w14:textId="77777777" w:rsidR="003027A3" w:rsidRPr="00FD7175" w:rsidRDefault="003027A3" w:rsidP="003027A3">
      <w:pPr>
        <w:ind w:left="709" w:right="709"/>
        <w:jc w:val="both"/>
        <w:rPr>
          <w:rFonts w:ascii="Century Gothic" w:hAnsi="Century Gothic" w:cs="Arial"/>
          <w:color w:val="000000" w:themeColor="text1"/>
          <w:sz w:val="22"/>
          <w:szCs w:val="22"/>
        </w:rPr>
      </w:pPr>
      <w:r w:rsidRPr="00FD7175">
        <w:rPr>
          <w:rFonts w:ascii="Century Gothic" w:hAnsi="Century Gothic" w:cs="Arial"/>
          <w:color w:val="000000" w:themeColor="text1"/>
          <w:sz w:val="22"/>
          <w:szCs w:val="22"/>
        </w:rPr>
        <w:t xml:space="preserve">“¿Los contratos suscritos con régimen del código sustantivo del trabajo en relación con la prestación de servicios y recursos propios de una empresa de </w:t>
      </w:r>
    </w:p>
    <w:p w14:paraId="6E020310" w14:textId="77777777" w:rsidR="003027A3" w:rsidRPr="00FD7175" w:rsidRDefault="003027A3" w:rsidP="003027A3">
      <w:pPr>
        <w:ind w:left="709" w:right="709"/>
        <w:jc w:val="both"/>
        <w:rPr>
          <w:rFonts w:ascii="Century Gothic" w:hAnsi="Century Gothic" w:cs="Arial"/>
          <w:color w:val="000000" w:themeColor="text1"/>
          <w:sz w:val="22"/>
          <w:szCs w:val="22"/>
        </w:rPr>
      </w:pPr>
      <w:r w:rsidRPr="00FD7175">
        <w:rPr>
          <w:rFonts w:ascii="Century Gothic" w:hAnsi="Century Gothic" w:cs="Arial"/>
          <w:color w:val="000000" w:themeColor="text1"/>
          <w:sz w:val="22"/>
          <w:szCs w:val="22"/>
        </w:rPr>
        <w:t xml:space="preserve">servicios públicos mixta no se deben publicar en SECOP II? </w:t>
      </w:r>
    </w:p>
    <w:p w14:paraId="5E3C7AB1" w14:textId="77777777" w:rsidR="003027A3" w:rsidRPr="00FD7175" w:rsidRDefault="003027A3" w:rsidP="003027A3">
      <w:pPr>
        <w:ind w:left="709" w:right="709"/>
        <w:jc w:val="both"/>
        <w:rPr>
          <w:rFonts w:ascii="Century Gothic" w:hAnsi="Century Gothic" w:cs="Arial"/>
          <w:color w:val="000000" w:themeColor="text1"/>
          <w:sz w:val="22"/>
          <w:szCs w:val="22"/>
        </w:rPr>
      </w:pPr>
    </w:p>
    <w:p w14:paraId="513BB822" w14:textId="77777777" w:rsidR="003027A3" w:rsidRPr="00FD7175" w:rsidRDefault="003027A3" w:rsidP="003027A3">
      <w:pPr>
        <w:ind w:left="709" w:right="709"/>
        <w:jc w:val="both"/>
        <w:rPr>
          <w:rFonts w:ascii="Century Gothic" w:hAnsi="Century Gothic" w:cs="Arial"/>
          <w:color w:val="000000" w:themeColor="text1"/>
          <w:sz w:val="22"/>
          <w:szCs w:val="22"/>
        </w:rPr>
      </w:pPr>
      <w:r w:rsidRPr="00FD7175">
        <w:rPr>
          <w:rFonts w:ascii="Century Gothic" w:hAnsi="Century Gothic" w:cs="Arial"/>
          <w:color w:val="000000" w:themeColor="text1"/>
          <w:sz w:val="22"/>
          <w:szCs w:val="22"/>
        </w:rPr>
        <w:lastRenderedPageBreak/>
        <w:t xml:space="preserve">¿Una empresa de servicios públicos mixta puede realizar sus procesos de contratación por medio de su página web de conformidad con lo establecido en su manual de contratación y publicar únicamente el contrato en el SECOP II una vez se suscriba?”. </w:t>
      </w:r>
    </w:p>
    <w:p w14:paraId="7B13D667" w14:textId="77777777" w:rsidR="003027A3" w:rsidRPr="00FD7175" w:rsidRDefault="003027A3" w:rsidP="003027A3">
      <w:pPr>
        <w:pStyle w:val="Prrafodelista"/>
        <w:numPr>
          <w:ilvl w:val="0"/>
          <w:numId w:val="1"/>
        </w:numPr>
        <w:tabs>
          <w:tab w:val="left" w:pos="0"/>
          <w:tab w:val="left" w:pos="284"/>
        </w:tabs>
        <w:ind w:left="0" w:firstLine="0"/>
        <w:contextualSpacing w:val="0"/>
        <w:jc w:val="both"/>
        <w:rPr>
          <w:rFonts w:ascii="Century Gothic" w:eastAsia="Calibri" w:hAnsi="Century Gothic" w:cs="Arial"/>
          <w:b/>
          <w:color w:val="000000" w:themeColor="text1"/>
          <w:sz w:val="22"/>
          <w:lang w:val="es-ES_tradnl"/>
        </w:rPr>
      </w:pPr>
      <w:r w:rsidRPr="00FD7175">
        <w:rPr>
          <w:rFonts w:ascii="Century Gothic" w:eastAsia="Calibri" w:hAnsi="Century Gothic" w:cs="Arial"/>
          <w:b/>
          <w:color w:val="000000" w:themeColor="text1"/>
          <w:sz w:val="22"/>
          <w:lang w:val="es-ES_tradnl"/>
        </w:rPr>
        <w:t>Consideraciones</w:t>
      </w:r>
    </w:p>
    <w:p w14:paraId="43151665" w14:textId="77777777" w:rsidR="003027A3" w:rsidRPr="00FD7175" w:rsidRDefault="003027A3" w:rsidP="003027A3">
      <w:pPr>
        <w:pStyle w:val="Prrafodelista"/>
        <w:tabs>
          <w:tab w:val="left" w:pos="0"/>
          <w:tab w:val="left" w:pos="284"/>
        </w:tabs>
        <w:ind w:left="0"/>
        <w:contextualSpacing w:val="0"/>
        <w:jc w:val="both"/>
        <w:rPr>
          <w:rFonts w:ascii="Century Gothic" w:eastAsia="Calibri" w:hAnsi="Century Gothic" w:cs="Arial"/>
          <w:b/>
          <w:color w:val="000000" w:themeColor="text1"/>
          <w:sz w:val="22"/>
          <w:lang w:val="es-ES_tradnl"/>
        </w:rPr>
      </w:pPr>
    </w:p>
    <w:p w14:paraId="1B08E69A" w14:textId="77777777" w:rsidR="003027A3" w:rsidRPr="00FD7175" w:rsidRDefault="003027A3" w:rsidP="003027A3">
      <w:pPr>
        <w:spacing w:after="120" w:line="276" w:lineRule="auto"/>
        <w:jc w:val="both"/>
        <w:rPr>
          <w:rFonts w:ascii="Century Gothic" w:hAnsi="Century Gothic" w:cs="Arial"/>
          <w:color w:val="000000" w:themeColor="text1"/>
          <w:sz w:val="22"/>
          <w:szCs w:val="22"/>
          <w:lang w:val="es-ES"/>
        </w:rPr>
      </w:pPr>
      <w:r w:rsidRPr="00FD7175">
        <w:rPr>
          <w:rFonts w:ascii="Century Gothic" w:hAnsi="Century Gothic" w:cs="Arial"/>
          <w:color w:val="000000" w:themeColor="text1"/>
          <w:sz w:val="22"/>
          <w:szCs w:val="22"/>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FD7175">
        <w:rPr>
          <w:rFonts w:ascii="Century Gothic" w:hAnsi="Century Gothic" w:cs="Arial"/>
          <w:color w:val="000000" w:themeColor="text1"/>
          <w:sz w:val="22"/>
          <w:szCs w:val="22"/>
        </w:rPr>
        <w:t xml:space="preserve">. </w:t>
      </w:r>
      <w:r w:rsidRPr="00FD7175">
        <w:rPr>
          <w:rFonts w:ascii="Century Gothic" w:hAnsi="Century Gothic" w:cs="Arial"/>
          <w:color w:val="000000" w:themeColor="text1"/>
          <w:sz w:val="22"/>
          <w:szCs w:val="22"/>
          <w:lang w:val="es-ES"/>
        </w:rPr>
        <w:t xml:space="preserve">Es necesario tener en cuenta que </w:t>
      </w:r>
      <w:bookmarkStart w:id="2" w:name="_Hlk61026958"/>
      <w:r w:rsidRPr="00FD7175">
        <w:rPr>
          <w:rFonts w:ascii="Century Gothic" w:hAnsi="Century Gothic" w:cs="Arial"/>
          <w:color w:val="000000" w:themeColor="text1"/>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D7175">
        <w:rPr>
          <w:rFonts w:ascii="Century Gothic" w:hAnsi="Century Gothic" w:cs="Arial"/>
          <w:color w:val="000000" w:themeColor="text1"/>
          <w:sz w:val="22"/>
          <w:szCs w:val="22"/>
        </w:rPr>
        <w:t xml:space="preserve"> de todos los partícipes de la contratación estatal.</w:t>
      </w:r>
    </w:p>
    <w:p w14:paraId="3F83677B" w14:textId="77777777" w:rsidR="003027A3" w:rsidRPr="00FD7175" w:rsidRDefault="003027A3" w:rsidP="003027A3">
      <w:pPr>
        <w:spacing w:after="120" w:line="276" w:lineRule="auto"/>
        <w:ind w:firstLine="708"/>
        <w:jc w:val="both"/>
        <w:rPr>
          <w:rFonts w:ascii="Century Gothic" w:hAnsi="Century Gothic" w:cs="Arial"/>
          <w:color w:val="000000" w:themeColor="text1"/>
          <w:sz w:val="22"/>
          <w:szCs w:val="22"/>
          <w:lang w:val="es-ES"/>
        </w:rPr>
      </w:pPr>
      <w:r w:rsidRPr="00FD7175">
        <w:rPr>
          <w:rFonts w:ascii="Century Gothic" w:hAnsi="Century Gothic" w:cs="Arial"/>
          <w:color w:val="000000" w:themeColor="text1"/>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D7175">
        <w:rPr>
          <w:rFonts w:ascii="Century Gothic" w:hAnsi="Century Gothic" w:cs="Arial"/>
          <w:color w:val="000000" w:themeColor="text1"/>
          <w:sz w:val="22"/>
          <w:szCs w:val="22"/>
          <w:vertAlign w:val="superscript"/>
          <w:lang w:val="es-ES"/>
        </w:rPr>
        <w:footnoteReference w:id="2"/>
      </w:r>
      <w:r w:rsidRPr="00FD7175">
        <w:rPr>
          <w:rFonts w:ascii="Century Gothic" w:hAnsi="Century Gothic" w:cs="Arial"/>
          <w:color w:val="000000" w:themeColor="text1"/>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 número de detalles de la actuación administrativa, es necesario acceder al expediente y a los documentos del procedimiento contractual donde surge la inquietud</w:t>
      </w:r>
      <w:bookmarkEnd w:id="2"/>
      <w:r w:rsidRPr="00FD7175">
        <w:rPr>
          <w:rFonts w:ascii="Century Gothic" w:hAnsi="Century Gothic" w:cs="Arial"/>
          <w:color w:val="000000" w:themeColor="text1"/>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2F25A2BD" w14:textId="77777777" w:rsidR="003027A3" w:rsidRPr="00FD7175" w:rsidRDefault="003027A3" w:rsidP="003027A3">
      <w:pPr>
        <w:tabs>
          <w:tab w:val="left" w:pos="426"/>
        </w:tabs>
        <w:spacing w:before="120" w:after="120" w:line="276" w:lineRule="auto"/>
        <w:jc w:val="both"/>
        <w:rPr>
          <w:rFonts w:ascii="Century Gothic" w:hAnsi="Century Gothic" w:cs="Arial"/>
          <w:bCs/>
          <w:color w:val="000000" w:themeColor="text1"/>
          <w:sz w:val="22"/>
          <w:szCs w:val="22"/>
          <w:lang w:val="es-ES"/>
        </w:rPr>
      </w:pPr>
      <w:r w:rsidRPr="00FD7175">
        <w:rPr>
          <w:rFonts w:ascii="Century Gothic" w:hAnsi="Century Gothic" w:cs="Arial"/>
          <w:color w:val="000000" w:themeColor="text1"/>
          <w:sz w:val="22"/>
          <w:szCs w:val="22"/>
        </w:rPr>
        <w:tab/>
      </w:r>
      <w:r w:rsidRPr="00FD7175">
        <w:rPr>
          <w:rFonts w:ascii="Century Gothic" w:hAnsi="Century Gothic" w:cs="Arial"/>
          <w:color w:val="000000" w:themeColor="text1"/>
          <w:sz w:val="22"/>
          <w:szCs w:val="22"/>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FD7175">
        <w:rPr>
          <w:rFonts w:ascii="Century Gothic" w:eastAsia="Calibri" w:hAnsi="Century Gothic" w:cs="Arial"/>
          <w:color w:val="000000" w:themeColor="text1"/>
          <w:sz w:val="22"/>
          <w:szCs w:val="22"/>
          <w:lang w:val="es-ES"/>
        </w:rPr>
        <w:t>los siguientes temas</w:t>
      </w:r>
      <w:r w:rsidRPr="00FD7175">
        <w:rPr>
          <w:rFonts w:ascii="Century Gothic" w:hAnsi="Century Gothic" w:cs="Arial"/>
          <w:color w:val="000000" w:themeColor="text1"/>
          <w:sz w:val="22"/>
          <w:szCs w:val="22"/>
          <w:lang w:val="es-ES"/>
        </w:rPr>
        <w:t xml:space="preserve">: </w:t>
      </w:r>
      <w:r w:rsidRPr="00FD7175">
        <w:rPr>
          <w:rFonts w:ascii="Century Gothic" w:hAnsi="Century Gothic" w:cs="Arial"/>
          <w:color w:val="000000" w:themeColor="text1"/>
          <w:sz w:val="22"/>
          <w:szCs w:val="22"/>
          <w:lang w:val="es-ES_tradnl"/>
        </w:rPr>
        <w:t xml:space="preserve">i) </w:t>
      </w:r>
      <w:r w:rsidRPr="00FD7175">
        <w:rPr>
          <w:rFonts w:ascii="Century Gothic" w:hAnsi="Century Gothic" w:cs="Arial"/>
          <w:color w:val="000000" w:themeColor="text1"/>
          <w:sz w:val="22"/>
          <w:szCs w:val="22"/>
          <w:lang w:val="es-ES_tradnl"/>
        </w:rPr>
        <w:lastRenderedPageBreak/>
        <w:t xml:space="preserve">naturaleza jurídica de las Empresas Prestadoras de Servicios Públicos Domiciliarios; </w:t>
      </w:r>
      <w:proofErr w:type="spellStart"/>
      <w:r w:rsidRPr="00FD7175">
        <w:rPr>
          <w:rFonts w:ascii="Century Gothic" w:hAnsi="Century Gothic" w:cs="Arial"/>
          <w:color w:val="000000" w:themeColor="text1"/>
          <w:sz w:val="22"/>
          <w:szCs w:val="22"/>
          <w:lang w:val="es-ES_tradnl"/>
        </w:rPr>
        <w:t>ii</w:t>
      </w:r>
      <w:proofErr w:type="spellEnd"/>
      <w:r w:rsidRPr="00FD7175">
        <w:rPr>
          <w:rFonts w:ascii="Century Gothic" w:hAnsi="Century Gothic" w:cs="Arial"/>
          <w:color w:val="000000" w:themeColor="text1"/>
          <w:sz w:val="22"/>
          <w:szCs w:val="22"/>
          <w:lang w:val="es-ES_tradnl"/>
        </w:rPr>
        <w:t xml:space="preserve">) régimen contractual de las Empresas Prestadoras de Servicios Públicos Domiciliarios. Situaciones de aplicabilidad de la Ley 80 de 1993; </w:t>
      </w:r>
      <w:proofErr w:type="spellStart"/>
      <w:r w:rsidRPr="00FD7175">
        <w:rPr>
          <w:rFonts w:ascii="Century Gothic" w:hAnsi="Century Gothic" w:cs="Arial"/>
          <w:color w:val="000000" w:themeColor="text1"/>
          <w:sz w:val="22"/>
          <w:szCs w:val="22"/>
          <w:lang w:val="es-ES_tradnl"/>
        </w:rPr>
        <w:t>iii</w:t>
      </w:r>
      <w:proofErr w:type="spellEnd"/>
      <w:r w:rsidRPr="00FD7175">
        <w:rPr>
          <w:rFonts w:ascii="Century Gothic" w:hAnsi="Century Gothic" w:cs="Arial"/>
          <w:color w:val="000000" w:themeColor="text1"/>
          <w:sz w:val="22"/>
          <w:szCs w:val="22"/>
          <w:lang w:val="es-ES_tradnl"/>
        </w:rPr>
        <w:t xml:space="preserve">) deber de las entidades estatales exceptuadas del Estatuto General de Contratación de la Administración Pública de publicar los documentos relacionados con su actividad contractual en el SECOP II y; </w:t>
      </w:r>
      <w:proofErr w:type="spellStart"/>
      <w:r w:rsidRPr="00FD7175">
        <w:rPr>
          <w:rFonts w:ascii="Century Gothic" w:hAnsi="Century Gothic" w:cs="Arial"/>
          <w:color w:val="000000" w:themeColor="text1"/>
          <w:sz w:val="22"/>
          <w:szCs w:val="22"/>
          <w:lang w:val="es-ES_tradnl"/>
        </w:rPr>
        <w:t>iv</w:t>
      </w:r>
      <w:proofErr w:type="spellEnd"/>
      <w:r w:rsidRPr="00FD7175">
        <w:rPr>
          <w:rFonts w:ascii="Century Gothic" w:hAnsi="Century Gothic" w:cs="Arial"/>
          <w:color w:val="000000" w:themeColor="text1"/>
          <w:sz w:val="22"/>
          <w:szCs w:val="22"/>
          <w:lang w:val="es-ES_tradnl"/>
        </w:rPr>
        <w:t>) Uso del SECOP II por las entidades exceptuadas del Estatuto General de Contratación de la Administración Pública.</w:t>
      </w:r>
    </w:p>
    <w:p w14:paraId="51E10A52" w14:textId="77777777" w:rsidR="003027A3" w:rsidRPr="00FD7175" w:rsidRDefault="003027A3" w:rsidP="003027A3">
      <w:pPr>
        <w:spacing w:line="276" w:lineRule="auto"/>
        <w:ind w:firstLine="709"/>
        <w:jc w:val="both"/>
        <w:rPr>
          <w:rFonts w:ascii="Century Gothic" w:eastAsia="Calibri" w:hAnsi="Century Gothic" w:cs="Arial"/>
          <w:color w:val="000000" w:themeColor="text1"/>
          <w:sz w:val="22"/>
          <w:szCs w:val="22"/>
          <w:lang w:val="es-ES"/>
        </w:rPr>
      </w:pPr>
      <w:r w:rsidRPr="00FD7175">
        <w:rPr>
          <w:rFonts w:ascii="Century Gothic" w:eastAsia="Calibri" w:hAnsi="Century Gothic" w:cs="Arial"/>
          <w:color w:val="000000" w:themeColor="text1"/>
          <w:sz w:val="22"/>
          <w:szCs w:val="22"/>
          <w:lang w:val="es-ES"/>
        </w:rPr>
        <w:t xml:space="preserve">La Agencia Nacional de Contratación Pública – Colombia Compra Eficiente, en los conceptos </w:t>
      </w:r>
      <w:r w:rsidRPr="00FD7175">
        <w:rPr>
          <w:rFonts w:ascii="Century Gothic" w:hAnsi="Century Gothic" w:cs="Arial"/>
          <w:color w:val="000000" w:themeColor="text1"/>
          <w:sz w:val="22"/>
          <w:szCs w:val="22"/>
          <w:lang w:val="es-ES_tradnl"/>
        </w:rPr>
        <w:t xml:space="preserve">Nro. 4201912000004354 –radicado de salida 2201913000006639– del 9 de septiembre de 2019 y 4201913000007243 –radicado de salida 2201913000008999– del 5 de diciembre de 2019 y C-307 de 18 de junio de 2021 se pronunció sobre las definiciones para la correcta aplicación e interpretación del régimen de servicios públicos domiciliarios. Por su parte, se recuerdan los conceptos C-027 del 23 de enero de 2020, C-032 del 19 de febrero de 2020, C-157 del 16 de marzo de 2020, el C-147 del 17 de marzo de 2020, C-168 del 31 de marzo de 2020, C-158 del 3 de abril de 2020, C-227 del 7 de abril de 2020, C-362 del 3 de julio de 2020, C-462 del 24 de julio de 2020, C-718 del 17 de diciembre de 2020, C-053 del 9 de marzo de 2021, C-072 del 16 de marzo de 2021, C-077 del 16 de marzo de 2021, C-218 del 14 de mayo de 2021, C-290 del 15 de junio de 2021, C-163 del 29 de marzo de 2022,  C-651 del 07 de octubre de 2022, C-259 de 2023 y C-821 de 2022 en los que </w:t>
      </w:r>
      <w:r w:rsidRPr="00FD7175">
        <w:rPr>
          <w:rFonts w:ascii="Century Gothic" w:eastAsia="Calibri" w:hAnsi="Century Gothic" w:cs="Arial"/>
          <w:color w:val="000000" w:themeColor="text1"/>
          <w:sz w:val="22"/>
          <w:szCs w:val="22"/>
          <w:lang w:val="es-ES"/>
        </w:rPr>
        <w:t xml:space="preserve">la Agencia sentó su posición sobre </w:t>
      </w:r>
      <w:r w:rsidRPr="00FD7175">
        <w:rPr>
          <w:rFonts w:ascii="Century Gothic" w:eastAsia="Calibri" w:hAnsi="Century Gothic" w:cs="Arial"/>
          <w:color w:val="000000" w:themeColor="text1"/>
          <w:sz w:val="22"/>
          <w:szCs w:val="22"/>
          <w:lang w:val="es-MX"/>
        </w:rPr>
        <w:t>el régimen contractual de los prestadores de servicios públicos domiciliarios. Finalmente respecto a la aplicación de los principios de publicidad y de acceso a la información pública en la contratación estatal sus fundamentos normativos y el deber de publicar la documentación contractual en el SECOP, en conceptos como el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y C-555 del 6 de septiembre de 2022</w:t>
      </w:r>
      <w:r w:rsidRPr="00FD7175">
        <w:rPr>
          <w:rStyle w:val="Refdenotaalpie"/>
          <w:rFonts w:ascii="Century Gothic" w:eastAsia="Calibri" w:hAnsi="Century Gothic" w:cs="Arial"/>
          <w:color w:val="000000" w:themeColor="text1"/>
          <w:sz w:val="22"/>
          <w:szCs w:val="22"/>
        </w:rPr>
        <w:footnoteReference w:id="3"/>
      </w:r>
      <w:r w:rsidRPr="00FD7175">
        <w:rPr>
          <w:rFonts w:ascii="Century Gothic" w:eastAsia="Calibri" w:hAnsi="Century Gothic" w:cs="Arial"/>
          <w:color w:val="000000" w:themeColor="text1"/>
          <w:sz w:val="22"/>
          <w:szCs w:val="22"/>
          <w:lang w:val="es-ES"/>
        </w:rPr>
        <w:t xml:space="preserve">. </w:t>
      </w:r>
      <w:r w:rsidRPr="00FD7175">
        <w:rPr>
          <w:rFonts w:ascii="Century Gothic" w:eastAsia="Calibri" w:hAnsi="Century Gothic" w:cs="Arial"/>
          <w:color w:val="000000" w:themeColor="text1"/>
          <w:sz w:val="22"/>
          <w:szCs w:val="22"/>
          <w:lang w:val="es-ES"/>
        </w:rPr>
        <w:lastRenderedPageBreak/>
        <w:t xml:space="preserve">Las tesis expuestas en estos conceptos se reiteran a continuación y se complementan en lo pertinente, teniendo en cuenta los interrogantes planteados. </w:t>
      </w:r>
    </w:p>
    <w:p w14:paraId="4155C794" w14:textId="77777777" w:rsidR="003027A3" w:rsidRPr="00FD7175" w:rsidRDefault="003027A3" w:rsidP="003027A3">
      <w:pPr>
        <w:spacing w:line="276" w:lineRule="auto"/>
        <w:ind w:firstLine="709"/>
        <w:jc w:val="both"/>
        <w:rPr>
          <w:rFonts w:ascii="Century Gothic" w:eastAsia="Calibri" w:hAnsi="Century Gothic" w:cs="Arial"/>
          <w:color w:val="000000" w:themeColor="text1"/>
          <w:sz w:val="22"/>
          <w:szCs w:val="22"/>
          <w:lang w:val="es-ES"/>
        </w:rPr>
      </w:pPr>
    </w:p>
    <w:p w14:paraId="12D63FCD" w14:textId="77777777" w:rsidR="003027A3" w:rsidRPr="00FD7175" w:rsidRDefault="003027A3" w:rsidP="003027A3">
      <w:pPr>
        <w:spacing w:line="276" w:lineRule="auto"/>
        <w:contextualSpacing/>
        <w:jc w:val="both"/>
        <w:rPr>
          <w:rFonts w:ascii="Century Gothic" w:hAnsi="Century Gothic" w:cs="Arial"/>
          <w:b/>
          <w:sz w:val="22"/>
          <w:szCs w:val="22"/>
        </w:rPr>
      </w:pPr>
      <w:bookmarkStart w:id="3" w:name="_Hlk117695077"/>
      <w:r w:rsidRPr="00FD7175">
        <w:rPr>
          <w:rFonts w:ascii="Century Gothic" w:hAnsi="Century Gothic" w:cs="Arial"/>
          <w:b/>
          <w:sz w:val="22"/>
          <w:szCs w:val="22"/>
        </w:rPr>
        <w:t>2.1. Naturaleza jurídica de las Empresas Prestadoras de Servicios Públicos Domiciliarios</w:t>
      </w:r>
    </w:p>
    <w:p w14:paraId="405A5671" w14:textId="77777777" w:rsidR="003027A3" w:rsidRPr="00FD7175" w:rsidRDefault="003027A3" w:rsidP="003027A3">
      <w:pPr>
        <w:spacing w:line="276" w:lineRule="auto"/>
        <w:contextualSpacing/>
        <w:jc w:val="both"/>
        <w:rPr>
          <w:rFonts w:ascii="Century Gothic" w:hAnsi="Century Gothic" w:cs="Arial"/>
          <w:bCs/>
          <w:sz w:val="22"/>
          <w:szCs w:val="22"/>
        </w:rPr>
      </w:pPr>
    </w:p>
    <w:p w14:paraId="64B30504" w14:textId="77777777" w:rsidR="003027A3" w:rsidRPr="00FD7175" w:rsidRDefault="003027A3" w:rsidP="003027A3">
      <w:pPr>
        <w:spacing w:line="276" w:lineRule="auto"/>
        <w:contextualSpacing/>
        <w:jc w:val="both"/>
        <w:rPr>
          <w:rFonts w:ascii="Century Gothic" w:hAnsi="Century Gothic" w:cs="Arial"/>
          <w:bCs/>
          <w:sz w:val="22"/>
          <w:szCs w:val="22"/>
        </w:rPr>
      </w:pPr>
      <w:r w:rsidRPr="00FD7175">
        <w:rPr>
          <w:rFonts w:ascii="Century Gothic" w:hAnsi="Century Gothic" w:cs="Arial"/>
          <w:bCs/>
          <w:sz w:val="22"/>
          <w:szCs w:val="22"/>
        </w:rPr>
        <w:t>El artículo 14 de la Ley 142 de 1994 contiene las definiciones para la correcta aplicación e interpretación del régimen de servicios públicos domiciliarios. Esta norma define las empresas de servicios públicos oficial, mixta y privada en los siguientes términos:</w:t>
      </w:r>
    </w:p>
    <w:p w14:paraId="42D44DBC" w14:textId="77777777" w:rsidR="003027A3" w:rsidRPr="004931C5" w:rsidRDefault="003027A3" w:rsidP="003027A3">
      <w:pPr>
        <w:spacing w:line="276" w:lineRule="auto"/>
        <w:contextualSpacing/>
        <w:rPr>
          <w:rFonts w:ascii="Century Gothic" w:hAnsi="Century Gothic" w:cs="Arial"/>
          <w:bCs/>
        </w:rPr>
      </w:pPr>
    </w:p>
    <w:p w14:paraId="65B6F29F" w14:textId="77777777" w:rsidR="003027A3" w:rsidRPr="00FD7175" w:rsidRDefault="003027A3" w:rsidP="003027A3">
      <w:pPr>
        <w:ind w:left="709" w:right="709"/>
        <w:contextualSpacing/>
        <w:jc w:val="both"/>
        <w:rPr>
          <w:rFonts w:ascii="Century Gothic" w:hAnsi="Century Gothic" w:cs="Arial"/>
          <w:bCs/>
          <w:sz w:val="20"/>
          <w:szCs w:val="20"/>
        </w:rPr>
      </w:pPr>
      <w:r w:rsidRPr="00FD7175">
        <w:rPr>
          <w:rFonts w:ascii="Century Gothic" w:hAnsi="Century Gothic" w:cs="Arial"/>
          <w:bCs/>
          <w:sz w:val="20"/>
          <w:szCs w:val="20"/>
        </w:rPr>
        <w:t>“14.5. Empresa de servicios públicos oficial. Es aquella en cuyo capital la Nación, las entidades territoriales, o las entidades descentralizadas de aquella o estas tienen el 100% de los aportes.</w:t>
      </w:r>
    </w:p>
    <w:p w14:paraId="3686A8FC" w14:textId="77777777" w:rsidR="003027A3" w:rsidRPr="00FD7175" w:rsidRDefault="003027A3" w:rsidP="003027A3">
      <w:pPr>
        <w:ind w:left="709" w:right="709"/>
        <w:contextualSpacing/>
        <w:jc w:val="both"/>
        <w:rPr>
          <w:rFonts w:ascii="Century Gothic" w:hAnsi="Century Gothic" w:cs="Arial"/>
          <w:bCs/>
          <w:sz w:val="20"/>
          <w:szCs w:val="20"/>
        </w:rPr>
      </w:pPr>
    </w:p>
    <w:p w14:paraId="670DA29D" w14:textId="77777777" w:rsidR="003027A3" w:rsidRPr="00FD7175" w:rsidRDefault="003027A3" w:rsidP="003027A3">
      <w:pPr>
        <w:ind w:left="709" w:right="709"/>
        <w:contextualSpacing/>
        <w:jc w:val="both"/>
        <w:rPr>
          <w:rFonts w:ascii="Century Gothic" w:hAnsi="Century Gothic" w:cs="Arial"/>
          <w:bCs/>
          <w:sz w:val="20"/>
          <w:szCs w:val="20"/>
        </w:rPr>
      </w:pPr>
      <w:r w:rsidRPr="00FD7175">
        <w:rPr>
          <w:rFonts w:ascii="Century Gothic" w:hAnsi="Century Gothic" w:cs="Arial"/>
          <w:bCs/>
          <w:sz w:val="20"/>
          <w:szCs w:val="20"/>
        </w:rPr>
        <w:t>14.6. Empresa de servicios públicos mixta. Es aquella en cuyo capital la Nación, las entidades territoriales, o las entidades descentralizadas de aquella o éstas tienen aportes iguales o superiores al 50%. </w:t>
      </w:r>
    </w:p>
    <w:p w14:paraId="11243D6D" w14:textId="77777777" w:rsidR="003027A3" w:rsidRPr="00FD7175" w:rsidRDefault="003027A3" w:rsidP="003027A3">
      <w:pPr>
        <w:ind w:left="709" w:right="709"/>
        <w:contextualSpacing/>
        <w:jc w:val="both"/>
        <w:rPr>
          <w:rFonts w:ascii="Century Gothic" w:hAnsi="Century Gothic" w:cs="Arial"/>
          <w:bCs/>
          <w:sz w:val="20"/>
          <w:szCs w:val="20"/>
        </w:rPr>
      </w:pPr>
    </w:p>
    <w:p w14:paraId="365530A7" w14:textId="77777777" w:rsidR="003027A3" w:rsidRPr="00FD7175" w:rsidRDefault="003027A3" w:rsidP="003027A3">
      <w:pPr>
        <w:ind w:left="709" w:right="709"/>
        <w:contextualSpacing/>
        <w:jc w:val="both"/>
        <w:rPr>
          <w:rFonts w:ascii="Century Gothic" w:hAnsi="Century Gothic" w:cs="Arial"/>
          <w:bCs/>
          <w:sz w:val="20"/>
          <w:szCs w:val="20"/>
        </w:rPr>
      </w:pPr>
      <w:r w:rsidRPr="00FD7175">
        <w:rPr>
          <w:rFonts w:ascii="Century Gothic" w:hAnsi="Century Gothic" w:cs="Arial"/>
          <w:bCs/>
          <w:sz w:val="20"/>
          <w:szCs w:val="20"/>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7D383707" w14:textId="77777777" w:rsidR="003027A3" w:rsidRPr="004931C5" w:rsidRDefault="003027A3" w:rsidP="003027A3">
      <w:pPr>
        <w:rPr>
          <w:rFonts w:ascii="Century Gothic" w:hAnsi="Century Gothic" w:cs="Arial"/>
          <w:bCs/>
        </w:rPr>
      </w:pPr>
    </w:p>
    <w:p w14:paraId="70A408DE" w14:textId="77777777" w:rsidR="003027A3" w:rsidRPr="00FD7175" w:rsidRDefault="003027A3" w:rsidP="003027A3">
      <w:pPr>
        <w:spacing w:line="276" w:lineRule="auto"/>
        <w:ind w:firstLine="708"/>
        <w:jc w:val="both"/>
        <w:rPr>
          <w:rFonts w:ascii="Century Gothic" w:hAnsi="Century Gothic" w:cs="Arial"/>
          <w:bCs/>
          <w:sz w:val="22"/>
          <w:szCs w:val="22"/>
        </w:rPr>
      </w:pPr>
      <w:r w:rsidRPr="00FD7175">
        <w:rPr>
          <w:rFonts w:ascii="Century Gothic" w:hAnsi="Century Gothic" w:cs="Arial"/>
          <w:bCs/>
          <w:sz w:val="22"/>
          <w:szCs w:val="22"/>
        </w:rPr>
        <w:t xml:space="preserve">A su vez, el artículo 17 de la citada Ley señala que “las empresas de servicios públicos son sociedades por acciones cuyo objeto es la prestación de los servicios públicos de que trata esta ley”. De otro lado, la Ley 489 de 1998 determina la integración de la Rama Ejecutiva del Poder Público en el orden nacional, y en el artículo 38, numeral 2, literal d) señala que las empresas sociales del Estado y las empresas oficiales de servicios públicos domiciliarios pertenecen a las entidades de la Rama Ejecutiva del sector descentralizado por servicios. El artículo 68 </w:t>
      </w:r>
      <w:proofErr w:type="spellStart"/>
      <w:r w:rsidRPr="00FD7175">
        <w:rPr>
          <w:rFonts w:ascii="Century Gothic" w:hAnsi="Century Gothic" w:cs="Arial"/>
          <w:bCs/>
          <w:i/>
          <w:iCs/>
          <w:sz w:val="22"/>
          <w:szCs w:val="22"/>
        </w:rPr>
        <w:t>ibídem</w:t>
      </w:r>
      <w:proofErr w:type="spellEnd"/>
      <w:r w:rsidRPr="00FD7175">
        <w:rPr>
          <w:rFonts w:ascii="Century Gothic" w:hAnsi="Century Gothic" w:cs="Arial"/>
          <w:bCs/>
          <w:sz w:val="22"/>
          <w:szCs w:val="22"/>
        </w:rPr>
        <w:t>, al enlistar las entidades descentralizadas del orden nacional, se refirió únicamente a las empresas oficiales de servicios públicos, esto es, aquellas en las que la participación del Estado es del 100%</w:t>
      </w:r>
      <w:r w:rsidRPr="00FD7175">
        <w:rPr>
          <w:rFonts w:ascii="Century Gothic" w:hAnsi="Century Gothic" w:cs="Arial"/>
          <w:bCs/>
          <w:position w:val="6"/>
          <w:sz w:val="18"/>
          <w:szCs w:val="22"/>
        </w:rPr>
        <w:footnoteReference w:id="4"/>
      </w:r>
      <w:r w:rsidRPr="00FD7175">
        <w:rPr>
          <w:rFonts w:ascii="Century Gothic" w:hAnsi="Century Gothic" w:cs="Arial"/>
          <w:bCs/>
          <w:sz w:val="22"/>
          <w:szCs w:val="22"/>
        </w:rPr>
        <w:t>.</w:t>
      </w:r>
    </w:p>
    <w:p w14:paraId="5FF51A44" w14:textId="77777777" w:rsidR="003027A3" w:rsidRPr="00FD7175" w:rsidRDefault="003027A3" w:rsidP="003027A3">
      <w:pPr>
        <w:spacing w:before="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Lo anterior llevó a pensar a las entidades y participes del sistema de compras públicas que el legislador había excluido de la Rama Ejecutiva a las empresas de </w:t>
      </w:r>
      <w:r w:rsidRPr="00FD7175">
        <w:rPr>
          <w:rFonts w:ascii="Century Gothic" w:hAnsi="Century Gothic" w:cs="Arial"/>
          <w:bCs/>
          <w:sz w:val="22"/>
          <w:szCs w:val="22"/>
        </w:rPr>
        <w:lastRenderedPageBreak/>
        <w:t>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numeral 2 de la Ley 489 de 1998 dice en su literal “g) Las demás entidades administrativas nacionales con personería jurídica que cree, organice o autorice la ley para que formen parte de la Rama Ejecutiva del Poder Público”</w:t>
      </w:r>
    </w:p>
    <w:p w14:paraId="58FD9904" w14:textId="77777777" w:rsidR="003027A3" w:rsidRPr="00FD7175" w:rsidRDefault="003027A3" w:rsidP="003027A3">
      <w:pPr>
        <w:spacing w:before="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p>
    <w:p w14:paraId="13E40107" w14:textId="77777777" w:rsidR="003027A3" w:rsidRPr="004931C5" w:rsidRDefault="003027A3" w:rsidP="003027A3">
      <w:pPr>
        <w:spacing w:line="276" w:lineRule="auto"/>
        <w:contextualSpacing/>
        <w:jc w:val="both"/>
        <w:rPr>
          <w:rFonts w:ascii="Century Gothic" w:hAnsi="Century Gothic" w:cs="Arial"/>
          <w:bCs/>
        </w:rPr>
      </w:pPr>
    </w:p>
    <w:p w14:paraId="2D082377"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2C454F5E" w14:textId="77777777" w:rsidR="003027A3" w:rsidRPr="00213CEC" w:rsidRDefault="003027A3" w:rsidP="003027A3">
      <w:pPr>
        <w:ind w:left="709" w:right="709"/>
        <w:contextualSpacing/>
        <w:jc w:val="both"/>
        <w:rPr>
          <w:rFonts w:ascii="Century Gothic" w:hAnsi="Century Gothic" w:cs="Arial"/>
          <w:bCs/>
          <w:sz w:val="20"/>
          <w:szCs w:val="20"/>
        </w:rPr>
      </w:pPr>
    </w:p>
    <w:p w14:paraId="7A029965"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50C3A623" w14:textId="77777777" w:rsidR="003027A3" w:rsidRPr="00213CEC" w:rsidRDefault="003027A3" w:rsidP="003027A3">
      <w:pPr>
        <w:ind w:left="709" w:right="709"/>
        <w:contextualSpacing/>
        <w:jc w:val="both"/>
        <w:rPr>
          <w:rFonts w:ascii="Century Gothic" w:hAnsi="Century Gothic" w:cs="Arial"/>
          <w:bCs/>
          <w:sz w:val="20"/>
          <w:szCs w:val="20"/>
        </w:rPr>
      </w:pPr>
    </w:p>
    <w:p w14:paraId="7CC95CA9"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Nótese como en el literal d) el legislador incluye a las “demás entidades nacionales con personería jurídica que creen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w:t>
      </w:r>
    </w:p>
    <w:p w14:paraId="53F4B854" w14:textId="77777777" w:rsidR="003027A3" w:rsidRPr="00213CEC" w:rsidRDefault="003027A3" w:rsidP="003027A3">
      <w:pPr>
        <w:ind w:left="709" w:right="709"/>
        <w:contextualSpacing/>
        <w:jc w:val="both"/>
        <w:rPr>
          <w:rFonts w:ascii="Century Gothic" w:hAnsi="Century Gothic" w:cs="Arial"/>
          <w:bCs/>
          <w:sz w:val="20"/>
          <w:szCs w:val="20"/>
        </w:rPr>
      </w:pPr>
    </w:p>
    <w:p w14:paraId="6E504EF2"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 xml:space="preserve">Así las cosas, de cara a la constitucionalidad del artículo 38 de la Ley 489 de 1998, y concretamente de la expresión “las empresas oficiales de servicios públicos domiciliarios” contenida en su literal d), la Corte declarará su </w:t>
      </w:r>
      <w:proofErr w:type="spellStart"/>
      <w:r w:rsidRPr="00213CEC">
        <w:rPr>
          <w:rFonts w:ascii="Century Gothic" w:hAnsi="Century Gothic" w:cs="Arial"/>
          <w:bCs/>
          <w:sz w:val="20"/>
          <w:szCs w:val="20"/>
        </w:rPr>
        <w:t>exequibiliad</w:t>
      </w:r>
      <w:proofErr w:type="spellEnd"/>
      <w:r w:rsidRPr="00213CEC">
        <w:rPr>
          <w:rFonts w:ascii="Century Gothic" w:hAnsi="Century Gothic" w:cs="Arial"/>
          <w:bCs/>
          <w:sz w:val="20"/>
          <w:szCs w:val="20"/>
        </w:rPr>
        <w:t xml:space="preserve">, por considerar que dentro del supuesto normativo del literal g) se comprenden las empresas mixtas o privadas de servicios públicos, que de </w:t>
      </w:r>
      <w:r w:rsidRPr="00213CEC">
        <w:rPr>
          <w:rFonts w:ascii="Century Gothic" w:hAnsi="Century Gothic" w:cs="Arial"/>
          <w:bCs/>
          <w:sz w:val="20"/>
          <w:szCs w:val="20"/>
        </w:rPr>
        <w:lastRenderedPageBreak/>
        <w:t>esta manera viene a conformar también la Rama Ejecutiva del poder público.</w:t>
      </w:r>
    </w:p>
    <w:p w14:paraId="19F1915A" w14:textId="77777777" w:rsidR="003027A3" w:rsidRPr="00213CEC" w:rsidRDefault="003027A3" w:rsidP="003027A3">
      <w:pPr>
        <w:ind w:left="709" w:right="709"/>
        <w:contextualSpacing/>
        <w:jc w:val="both"/>
        <w:rPr>
          <w:rFonts w:ascii="Century Gothic" w:hAnsi="Century Gothic" w:cs="Arial"/>
          <w:bCs/>
          <w:sz w:val="20"/>
          <w:szCs w:val="20"/>
        </w:rPr>
      </w:pPr>
    </w:p>
    <w:p w14:paraId="6361F1D9"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w:t>
      </w:r>
    </w:p>
    <w:p w14:paraId="3F880EF6" w14:textId="77777777" w:rsidR="003027A3" w:rsidRPr="00213CEC" w:rsidRDefault="003027A3" w:rsidP="003027A3">
      <w:pPr>
        <w:ind w:left="709" w:right="709"/>
        <w:contextualSpacing/>
        <w:jc w:val="both"/>
        <w:rPr>
          <w:rFonts w:ascii="Century Gothic" w:hAnsi="Century Gothic" w:cs="Arial"/>
          <w:bCs/>
          <w:sz w:val="20"/>
          <w:szCs w:val="20"/>
        </w:rPr>
      </w:pPr>
    </w:p>
    <w:p w14:paraId="61B2DA3E"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Obsérvese que si bien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213CEC">
        <w:rPr>
          <w:rFonts w:ascii="Century Gothic" w:hAnsi="Century Gothic" w:cs="Arial"/>
          <w:bCs/>
          <w:position w:val="6"/>
          <w:sz w:val="20"/>
          <w:szCs w:val="20"/>
        </w:rPr>
        <w:footnoteReference w:id="5"/>
      </w:r>
    </w:p>
    <w:p w14:paraId="256B656D" w14:textId="77777777" w:rsidR="003027A3" w:rsidRPr="004931C5" w:rsidRDefault="003027A3" w:rsidP="003027A3">
      <w:pPr>
        <w:spacing w:line="276" w:lineRule="auto"/>
        <w:contextualSpacing/>
        <w:rPr>
          <w:rFonts w:ascii="Century Gothic" w:hAnsi="Century Gothic" w:cs="Arial"/>
          <w:bCs/>
        </w:rPr>
      </w:pPr>
    </w:p>
    <w:p w14:paraId="241EC577" w14:textId="77777777" w:rsidR="003027A3" w:rsidRPr="00FD7175" w:rsidRDefault="003027A3" w:rsidP="003027A3">
      <w:pPr>
        <w:spacing w:line="276" w:lineRule="auto"/>
        <w:contextualSpacing/>
        <w:jc w:val="both"/>
        <w:rPr>
          <w:rFonts w:ascii="Century Gothic" w:hAnsi="Century Gothic" w:cs="Arial"/>
          <w:bCs/>
          <w:sz w:val="22"/>
          <w:szCs w:val="22"/>
        </w:rPr>
      </w:pPr>
      <w:r w:rsidRPr="00FD7175">
        <w:rPr>
          <w:rFonts w:ascii="Century Gothic" w:hAnsi="Century Gothic" w:cs="Arial"/>
          <w:bCs/>
          <w:sz w:val="22"/>
          <w:szCs w:val="22"/>
        </w:rPr>
        <w:tab/>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les dio a las empresas de servicios públicos:</w:t>
      </w:r>
    </w:p>
    <w:p w14:paraId="4B8A28EB" w14:textId="77777777" w:rsidR="003027A3" w:rsidRPr="004931C5" w:rsidRDefault="003027A3" w:rsidP="003027A3">
      <w:pPr>
        <w:spacing w:line="276" w:lineRule="auto"/>
        <w:contextualSpacing/>
        <w:rPr>
          <w:rFonts w:ascii="Century Gothic" w:hAnsi="Century Gothic" w:cs="Arial"/>
          <w:bCs/>
        </w:rPr>
      </w:pPr>
    </w:p>
    <w:p w14:paraId="0E508C2D"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“No obstante, después de haber estudiado los conceptos de sociedad de economía mixta y de empresa de servicios públicos, la Corte estima que la naturaleza y el régimen jurídico especial de la prestación de los servicios públicos dispuesto por el constituyente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431E54CB" w14:textId="77777777" w:rsidR="003027A3" w:rsidRPr="00213CEC" w:rsidRDefault="003027A3" w:rsidP="003027A3">
      <w:pPr>
        <w:ind w:left="709" w:right="709"/>
        <w:contextualSpacing/>
        <w:jc w:val="both"/>
        <w:rPr>
          <w:rFonts w:ascii="Century Gothic" w:hAnsi="Century Gothic" w:cs="Arial"/>
          <w:bCs/>
          <w:sz w:val="20"/>
          <w:szCs w:val="20"/>
        </w:rPr>
      </w:pPr>
    </w:p>
    <w:p w14:paraId="7DA7BD4B"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w:t>
      </w:r>
    </w:p>
    <w:p w14:paraId="2715E660" w14:textId="77777777" w:rsidR="003027A3" w:rsidRPr="00213CEC" w:rsidRDefault="003027A3" w:rsidP="003027A3">
      <w:pPr>
        <w:ind w:left="709" w:right="709"/>
        <w:contextualSpacing/>
        <w:jc w:val="both"/>
        <w:rPr>
          <w:rFonts w:ascii="Century Gothic" w:hAnsi="Century Gothic" w:cs="Arial"/>
          <w:bCs/>
          <w:sz w:val="20"/>
          <w:szCs w:val="20"/>
        </w:rPr>
      </w:pPr>
    </w:p>
    <w:p w14:paraId="0E33BBBB"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 xml:space="preserve">Al parecer la Corte, la interpretación según la cual las empresas de servicios públicos son sociedades de economía mixta resulta contraria a la Constitución. Ciertamente, según se dijo arriba, del artículo 365 superior se desprende que régimen y la naturaleza jurídica de los prestadores de servicios públicos es especial; además, del numeral 7° del artículo 150 de la Carta, se extrae que el legislador está constitucionalmente autorizado para </w:t>
      </w:r>
      <w:r w:rsidRPr="00213CEC">
        <w:rPr>
          <w:rFonts w:ascii="Century Gothic" w:hAnsi="Century Gothic" w:cs="Arial"/>
          <w:bCs/>
          <w:sz w:val="20"/>
          <w:szCs w:val="20"/>
        </w:rPr>
        <w:lastRenderedPageBreak/>
        <w:t>crear o autorizar la creación de” otras entidades del orden nacional “, distintas de los establecimientos públicos, las empresas comerciales e industriales del Estado y las Sociedades de economía mixta”.</w:t>
      </w:r>
      <w:r w:rsidRPr="00213CEC">
        <w:rPr>
          <w:rFonts w:ascii="Century Gothic" w:hAnsi="Century Gothic" w:cs="Arial"/>
          <w:bCs/>
          <w:position w:val="6"/>
          <w:sz w:val="20"/>
          <w:szCs w:val="20"/>
        </w:rPr>
        <w:footnoteReference w:id="6"/>
      </w:r>
      <w:r w:rsidRPr="00213CEC">
        <w:rPr>
          <w:rFonts w:ascii="Century Gothic" w:hAnsi="Century Gothic" w:cs="Arial"/>
          <w:bCs/>
          <w:position w:val="6"/>
          <w:sz w:val="20"/>
          <w:szCs w:val="20"/>
        </w:rPr>
        <w:t xml:space="preserve"> </w:t>
      </w:r>
    </w:p>
    <w:p w14:paraId="71B5BA04" w14:textId="77777777" w:rsidR="003027A3" w:rsidRPr="004931C5" w:rsidRDefault="003027A3" w:rsidP="003027A3">
      <w:pPr>
        <w:spacing w:line="276" w:lineRule="auto"/>
        <w:ind w:left="709" w:right="709"/>
        <w:contextualSpacing/>
        <w:jc w:val="both"/>
        <w:rPr>
          <w:rFonts w:ascii="Century Gothic" w:hAnsi="Century Gothic" w:cs="Arial"/>
          <w:bCs/>
        </w:rPr>
      </w:pPr>
    </w:p>
    <w:p w14:paraId="63AE176C" w14:textId="77777777" w:rsidR="003027A3" w:rsidRPr="00FD7175" w:rsidRDefault="003027A3" w:rsidP="003027A3">
      <w:pPr>
        <w:spacing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Así las cosas, es preciso afirmar que 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 Una vez expuesta la naturaleza jurídica de las empresas prestadoras de servicios públicos domiciliarios, teniendo en cuenta el objeto de la consulta, a continuación, se procede a explicar el régimen contractual que les aplica. </w:t>
      </w:r>
    </w:p>
    <w:p w14:paraId="28C580B3" w14:textId="77777777" w:rsidR="003027A3" w:rsidRPr="00FD7175" w:rsidRDefault="003027A3" w:rsidP="003027A3">
      <w:pPr>
        <w:spacing w:line="276" w:lineRule="auto"/>
        <w:contextualSpacing/>
        <w:jc w:val="both"/>
        <w:rPr>
          <w:rFonts w:ascii="Century Gothic" w:hAnsi="Century Gothic" w:cs="Arial"/>
          <w:bCs/>
          <w:sz w:val="22"/>
          <w:szCs w:val="22"/>
        </w:rPr>
      </w:pPr>
    </w:p>
    <w:p w14:paraId="3BE70D2C" w14:textId="77777777" w:rsidR="003027A3" w:rsidRPr="00FD7175" w:rsidRDefault="003027A3" w:rsidP="003027A3">
      <w:pPr>
        <w:spacing w:line="276" w:lineRule="auto"/>
        <w:contextualSpacing/>
        <w:jc w:val="both"/>
        <w:rPr>
          <w:rFonts w:ascii="Century Gothic" w:hAnsi="Century Gothic" w:cs="Arial"/>
          <w:b/>
          <w:sz w:val="22"/>
          <w:szCs w:val="22"/>
        </w:rPr>
      </w:pPr>
      <w:r w:rsidRPr="00FD7175">
        <w:rPr>
          <w:rFonts w:ascii="Century Gothic" w:hAnsi="Century Gothic" w:cs="Arial"/>
          <w:b/>
          <w:sz w:val="22"/>
          <w:szCs w:val="22"/>
        </w:rPr>
        <w:t>2.2. Régimen contractual de las empresas prestadoras de servicios públicos domiciliarios. Situaciones de aplicabilidad de la Ley 80 de 1993</w:t>
      </w:r>
    </w:p>
    <w:p w14:paraId="29F12907" w14:textId="77777777" w:rsidR="003027A3" w:rsidRPr="00FD7175" w:rsidRDefault="003027A3" w:rsidP="003027A3">
      <w:pPr>
        <w:spacing w:line="276" w:lineRule="auto"/>
        <w:contextualSpacing/>
        <w:jc w:val="both"/>
        <w:rPr>
          <w:rFonts w:ascii="Century Gothic" w:hAnsi="Century Gothic" w:cs="Arial"/>
          <w:bCs/>
          <w:sz w:val="22"/>
          <w:szCs w:val="22"/>
        </w:rPr>
      </w:pPr>
    </w:p>
    <w:p w14:paraId="23BFB56E" w14:textId="77777777" w:rsidR="003027A3" w:rsidRPr="00FD7175" w:rsidRDefault="003027A3" w:rsidP="003027A3">
      <w:pPr>
        <w:spacing w:line="276" w:lineRule="auto"/>
        <w:contextualSpacing/>
        <w:jc w:val="both"/>
        <w:rPr>
          <w:rFonts w:ascii="Century Gothic" w:hAnsi="Century Gothic" w:cs="Arial"/>
          <w:bCs/>
          <w:sz w:val="22"/>
          <w:szCs w:val="22"/>
        </w:rPr>
      </w:pPr>
      <w:r w:rsidRPr="00FD7175">
        <w:rPr>
          <w:rFonts w:ascii="Century Gothic" w:hAnsi="Century Gothic" w:cs="Arial"/>
          <w:bCs/>
          <w:sz w:val="22"/>
          <w:szCs w:val="22"/>
        </w:rPr>
        <w:t>La Constitución Política de 1991 incorporó un modelo de liberación para prestar servicios públicos domiciliarios, con arreglo al cual estos pueden ofrecerse en el mercado, en un esquema de libre competencia, directamente por el Estado, por particulares o por comunidades organizadas.</w:t>
      </w:r>
      <w:r w:rsidRPr="00FD7175">
        <w:rPr>
          <w:rFonts w:ascii="Century Gothic" w:hAnsi="Century Gothic" w:cs="Arial"/>
          <w:bCs/>
          <w:position w:val="6"/>
          <w:sz w:val="16"/>
          <w:szCs w:val="18"/>
        </w:rPr>
        <w:footnoteReference w:id="7"/>
      </w:r>
      <w:r w:rsidRPr="00FD7175">
        <w:rPr>
          <w:rFonts w:ascii="Century Gothic" w:hAnsi="Century Gothic" w:cs="Arial"/>
          <w:bCs/>
          <w:sz w:val="22"/>
          <w:szCs w:val="22"/>
        </w:rPr>
        <w:t xml:space="preserve"> En tal sentido, el artículo 365 de la Constitución dispone lo siguiente:</w:t>
      </w:r>
    </w:p>
    <w:p w14:paraId="0CA0062B" w14:textId="77777777" w:rsidR="003027A3" w:rsidRPr="00213CEC" w:rsidRDefault="003027A3" w:rsidP="003027A3">
      <w:pPr>
        <w:contextualSpacing/>
        <w:jc w:val="both"/>
        <w:rPr>
          <w:rFonts w:ascii="Century Gothic" w:hAnsi="Century Gothic" w:cs="Arial"/>
          <w:bCs/>
          <w:sz w:val="20"/>
          <w:szCs w:val="20"/>
        </w:rPr>
      </w:pPr>
    </w:p>
    <w:p w14:paraId="721964DA"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“Los servicios públicos son inherentes a la finalidad social del Estado. Es deber del Estado asegurar su prestación eficiente a todos los habitantes del territorio nacional.</w:t>
      </w:r>
    </w:p>
    <w:p w14:paraId="533EF91A" w14:textId="77777777" w:rsidR="003027A3" w:rsidRPr="00213CEC" w:rsidRDefault="003027A3" w:rsidP="003027A3">
      <w:pPr>
        <w:ind w:left="709" w:right="709"/>
        <w:contextualSpacing/>
        <w:jc w:val="both"/>
        <w:rPr>
          <w:rFonts w:ascii="Century Gothic" w:hAnsi="Century Gothic" w:cs="Arial"/>
          <w:bCs/>
          <w:sz w:val="20"/>
          <w:szCs w:val="20"/>
        </w:rPr>
      </w:pPr>
    </w:p>
    <w:p w14:paraId="31E748AA"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 xml:space="preserve">Los servicios públicos estarán sometidos al régimen jurídico que fije la ley, podrán ser prestados por el Estado, directa o indirectamente, por </w:t>
      </w:r>
      <w:r w:rsidRPr="00213CEC">
        <w:rPr>
          <w:rFonts w:ascii="Century Gothic" w:hAnsi="Century Gothic" w:cs="Arial"/>
          <w:bCs/>
          <w:sz w:val="20"/>
          <w:szCs w:val="20"/>
        </w:rPr>
        <w:lastRenderedPageBreak/>
        <w:t xml:space="preserve">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213CEC">
        <w:rPr>
          <w:rFonts w:ascii="Century Gothic" w:hAnsi="Century Gothic" w:cs="Arial"/>
          <w:bCs/>
          <w:sz w:val="20"/>
          <w:szCs w:val="20"/>
        </w:rPr>
        <w:t>que</w:t>
      </w:r>
      <w:proofErr w:type="gramEnd"/>
      <w:r w:rsidRPr="00213CEC">
        <w:rPr>
          <w:rFonts w:ascii="Century Gothic" w:hAnsi="Century Gothic" w:cs="Arial"/>
          <w:bCs/>
          <w:sz w:val="20"/>
          <w:szCs w:val="20"/>
        </w:rPr>
        <w:t xml:space="preserve"> en virtud de dicha ley, queden privadas del ejercicio de una actividad lícita”.</w:t>
      </w:r>
    </w:p>
    <w:p w14:paraId="10DB8305" w14:textId="77777777" w:rsidR="003027A3" w:rsidRPr="004931C5" w:rsidRDefault="003027A3" w:rsidP="003027A3">
      <w:pPr>
        <w:ind w:left="709" w:right="709"/>
        <w:jc w:val="both"/>
        <w:rPr>
          <w:rFonts w:ascii="Century Gothic" w:hAnsi="Century Gothic" w:cs="Arial"/>
          <w:bCs/>
        </w:rPr>
      </w:pPr>
    </w:p>
    <w:p w14:paraId="503E0173" w14:textId="77777777" w:rsidR="003027A3" w:rsidRPr="00FD7175" w:rsidRDefault="003027A3" w:rsidP="003027A3">
      <w:pPr>
        <w:spacing w:line="276" w:lineRule="auto"/>
        <w:ind w:firstLine="708"/>
        <w:jc w:val="both"/>
        <w:rPr>
          <w:rFonts w:ascii="Century Gothic" w:hAnsi="Century Gothic" w:cs="Arial"/>
          <w:bCs/>
          <w:sz w:val="22"/>
          <w:szCs w:val="22"/>
        </w:rPr>
      </w:pPr>
      <w:r w:rsidRPr="00FD7175">
        <w:rPr>
          <w:rFonts w:ascii="Century Gothic" w:hAnsi="Century Gothic" w:cs="Arial"/>
          <w:bCs/>
          <w:sz w:val="22"/>
          <w:szCs w:val="22"/>
        </w:rPr>
        <w:t xml:space="preserve">Con base en este presupuesto constitucional de liberación de los servicios públicos domiciliarios, el legislador expidió la Ley 142 de 1994, mediante la cual se establece el régimen de los servicios públicos domiciliarios. El artículo 15 Ibidem enuncia las personas autorizadas para prestar los servicios públicos domiciliarios: i) las empresas de servicios públicos, </w:t>
      </w:r>
      <w:proofErr w:type="spellStart"/>
      <w:r w:rsidRPr="00FD7175">
        <w:rPr>
          <w:rFonts w:ascii="Century Gothic" w:hAnsi="Century Gothic" w:cs="Arial"/>
          <w:bCs/>
          <w:sz w:val="22"/>
          <w:szCs w:val="22"/>
        </w:rPr>
        <w:t>ii</w:t>
      </w:r>
      <w:proofErr w:type="spellEnd"/>
      <w:r w:rsidRPr="00FD7175">
        <w:rPr>
          <w:rFonts w:ascii="Century Gothic" w:hAnsi="Century Gothic" w:cs="Arial"/>
          <w:bCs/>
          <w:sz w:val="22"/>
          <w:szCs w:val="22"/>
        </w:rPr>
        <w:t xml:space="preserve">) los productores marginales, </w:t>
      </w:r>
      <w:proofErr w:type="spellStart"/>
      <w:r w:rsidRPr="00FD7175">
        <w:rPr>
          <w:rFonts w:ascii="Century Gothic" w:hAnsi="Century Gothic" w:cs="Arial"/>
          <w:bCs/>
          <w:sz w:val="22"/>
          <w:szCs w:val="22"/>
        </w:rPr>
        <w:t>iii</w:t>
      </w:r>
      <w:proofErr w:type="spellEnd"/>
      <w:r w:rsidRPr="00FD7175">
        <w:rPr>
          <w:rFonts w:ascii="Century Gothic" w:hAnsi="Century Gothic" w:cs="Arial"/>
          <w:bCs/>
          <w:sz w:val="22"/>
          <w:szCs w:val="22"/>
        </w:rPr>
        <w:t xml:space="preserve">) los municipios, en ciertos casos, </w:t>
      </w:r>
      <w:proofErr w:type="spellStart"/>
      <w:r w:rsidRPr="00FD7175">
        <w:rPr>
          <w:rFonts w:ascii="Century Gothic" w:hAnsi="Century Gothic" w:cs="Arial"/>
          <w:bCs/>
          <w:sz w:val="22"/>
          <w:szCs w:val="22"/>
        </w:rPr>
        <w:t>iv</w:t>
      </w:r>
      <w:proofErr w:type="spellEnd"/>
      <w:r w:rsidRPr="00FD7175">
        <w:rPr>
          <w:rFonts w:ascii="Century Gothic" w:hAnsi="Century Gothic" w:cs="Arial"/>
          <w:bCs/>
          <w:sz w:val="22"/>
          <w:szCs w:val="22"/>
        </w:rPr>
        <w:t>) las organizaciones autorizadas y v) las entidades descentralizadas que se encontraran prestándolos y cumplan los requisitos establecidos en la ley</w:t>
      </w:r>
      <w:r w:rsidRPr="00FD7175">
        <w:rPr>
          <w:rFonts w:ascii="Century Gothic" w:hAnsi="Century Gothic" w:cs="Arial"/>
          <w:bCs/>
          <w:sz w:val="22"/>
          <w:szCs w:val="22"/>
        </w:rPr>
        <w:footnoteReference w:id="8"/>
      </w:r>
      <w:r w:rsidRPr="00FD7175">
        <w:rPr>
          <w:rFonts w:ascii="Century Gothic" w:hAnsi="Century Gothic" w:cs="Arial"/>
          <w:bCs/>
          <w:sz w:val="22"/>
          <w:szCs w:val="22"/>
        </w:rPr>
        <w:t>.</w:t>
      </w:r>
    </w:p>
    <w:p w14:paraId="75CA802D" w14:textId="77777777" w:rsidR="003027A3" w:rsidRPr="00FD7175" w:rsidRDefault="003027A3" w:rsidP="003027A3">
      <w:pPr>
        <w:spacing w:before="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Ahora bien, </w:t>
      </w:r>
      <w:bookmarkStart w:id="4" w:name="_Hlk120622020"/>
      <w:r w:rsidRPr="00FD7175">
        <w:rPr>
          <w:rFonts w:ascii="Century Gothic" w:hAnsi="Century Gothic" w:cs="Arial"/>
          <w:bCs/>
          <w:sz w:val="22"/>
          <w:szCs w:val="22"/>
        </w:rPr>
        <w:t>en lo que atañe específicamente al régimen de contratación, 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r w:rsidRPr="00FD7175">
        <w:rPr>
          <w:rFonts w:ascii="Century Gothic" w:hAnsi="Century Gothic" w:cs="Arial"/>
          <w:bCs/>
          <w:position w:val="6"/>
          <w:sz w:val="14"/>
          <w:szCs w:val="16"/>
        </w:rPr>
        <w:footnoteReference w:id="9"/>
      </w:r>
      <w:r w:rsidRPr="00FD7175">
        <w:rPr>
          <w:rFonts w:ascii="Century Gothic" w:hAnsi="Century Gothic" w:cs="Arial"/>
          <w:bCs/>
          <w:sz w:val="22"/>
          <w:szCs w:val="22"/>
        </w:rPr>
        <w:t>.</w:t>
      </w:r>
      <w:bookmarkEnd w:id="4"/>
    </w:p>
    <w:p w14:paraId="74A431A9" w14:textId="77777777" w:rsidR="003027A3" w:rsidRPr="00FD7175" w:rsidRDefault="003027A3" w:rsidP="003027A3">
      <w:pPr>
        <w:spacing w:before="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lastRenderedPageBreak/>
        <w:t xml:space="preserve">En consecuencia, </w:t>
      </w:r>
      <w:bookmarkStart w:id="5" w:name="_Hlk120622006"/>
      <w:r w:rsidRPr="00FD7175">
        <w:rPr>
          <w:rFonts w:ascii="Century Gothic" w:hAnsi="Century Gothic" w:cs="Arial"/>
          <w:bCs/>
          <w:sz w:val="22"/>
          <w:szCs w:val="22"/>
        </w:rPr>
        <w:t>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–Ley 80 de 1993–</w:t>
      </w:r>
      <w:r w:rsidRPr="00FD7175">
        <w:rPr>
          <w:rFonts w:ascii="Century Gothic" w:hAnsi="Century Gothic" w:cs="Arial"/>
          <w:bCs/>
          <w:position w:val="6"/>
          <w:sz w:val="14"/>
          <w:szCs w:val="16"/>
        </w:rPr>
        <w:footnoteReference w:id="10"/>
      </w:r>
      <w:r w:rsidRPr="00FD7175">
        <w:rPr>
          <w:rFonts w:ascii="Century Gothic" w:hAnsi="Century Gothic" w:cs="Arial"/>
          <w:bCs/>
          <w:sz w:val="22"/>
          <w:szCs w:val="22"/>
        </w:rPr>
        <w:t>. En otras palabras, dichas empresas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bookmarkEnd w:id="5"/>
    <w:p w14:paraId="5A120F36" w14:textId="77777777" w:rsidR="003027A3" w:rsidRPr="00FD7175" w:rsidRDefault="003027A3" w:rsidP="003027A3">
      <w:pPr>
        <w:spacing w:before="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Lo anterior no significa que la actividad contractual de las empresas prestadoras de servicios públicos domiciliarios se rija por un “derecho privado puro”, pues este se encuentra irrigado, entre otras cosas, por los principios de la función administrativa y de la gestión fiscal, previstos en los artículos 209 y 267 de la Constitución, toda vez que así lo dispone el artículo 13 de la Ley 1150 de 2007</w:t>
      </w:r>
      <w:r w:rsidRPr="00FD7175">
        <w:rPr>
          <w:rFonts w:ascii="Century Gothic" w:hAnsi="Century Gothic" w:cs="Arial"/>
          <w:bCs/>
          <w:position w:val="6"/>
          <w:sz w:val="14"/>
          <w:szCs w:val="16"/>
        </w:rPr>
        <w:footnoteReference w:id="11"/>
      </w:r>
      <w:r w:rsidRPr="00FD7175">
        <w:rPr>
          <w:rFonts w:ascii="Century Gothic" w:hAnsi="Century Gothic" w:cs="Arial"/>
          <w:bCs/>
          <w:sz w:val="22"/>
          <w:szCs w:val="22"/>
        </w:rPr>
        <w:t>.</w:t>
      </w:r>
    </w:p>
    <w:p w14:paraId="01DE7D56" w14:textId="77777777" w:rsidR="003027A3" w:rsidRPr="00FD7175" w:rsidRDefault="003027A3" w:rsidP="003027A3">
      <w:pPr>
        <w:spacing w:before="120" w:line="276" w:lineRule="auto"/>
        <w:ind w:firstLine="708"/>
        <w:jc w:val="both"/>
        <w:rPr>
          <w:rFonts w:ascii="Century Gothic" w:hAnsi="Century Gothic" w:cs="Arial"/>
          <w:bCs/>
          <w:sz w:val="22"/>
          <w:szCs w:val="22"/>
        </w:rPr>
      </w:pPr>
      <w:r w:rsidRPr="00FD7175">
        <w:rPr>
          <w:rFonts w:ascii="Century Gothic" w:hAnsi="Century Gothic" w:cs="Arial"/>
          <w:bCs/>
          <w:sz w:val="22"/>
          <w:szCs w:val="22"/>
        </w:rPr>
        <w:t>Ahora bien, pese a que el artículo 31 de la Ley 142 de 1994, modificado por el artículo 3 de la Ley 689 de 2001, dispuso que los contratos celebrados por las entidades prestadoras de servicios públicos no se regirían por las disposiciones contenidas en el Estatuto General de Contratación de la Administración Pública, dicha norma estableció como excepción a esta regla general, las situaciones en las que estas entidades deberán aplicarlo, así:</w:t>
      </w:r>
    </w:p>
    <w:p w14:paraId="4F7B033D" w14:textId="77777777" w:rsidR="003027A3" w:rsidRPr="00213CEC" w:rsidRDefault="003027A3" w:rsidP="003027A3">
      <w:pPr>
        <w:ind w:left="709" w:right="709"/>
        <w:jc w:val="both"/>
        <w:rPr>
          <w:rFonts w:ascii="Century Gothic" w:hAnsi="Century Gothic" w:cs="Arial"/>
          <w:bCs/>
          <w:sz w:val="20"/>
          <w:szCs w:val="20"/>
        </w:rPr>
      </w:pPr>
      <w:r w:rsidRPr="00213CEC">
        <w:rPr>
          <w:rFonts w:ascii="Century Gothic" w:hAnsi="Century Gothic" w:cs="Arial"/>
          <w:bCs/>
          <w:sz w:val="20"/>
          <w:szCs w:val="20"/>
        </w:rPr>
        <w:t xml:space="preserve">“ARTÍCULO 31. RÉGIMEN DE LA CONTRATACIÓN. </w:t>
      </w:r>
    </w:p>
    <w:p w14:paraId="3D382171" w14:textId="77777777" w:rsidR="003027A3" w:rsidRPr="00213CEC" w:rsidRDefault="003027A3" w:rsidP="003027A3">
      <w:pPr>
        <w:ind w:left="709" w:right="709"/>
        <w:jc w:val="both"/>
        <w:rPr>
          <w:rFonts w:ascii="Century Gothic" w:hAnsi="Century Gothic" w:cs="Arial"/>
          <w:bCs/>
          <w:sz w:val="20"/>
          <w:szCs w:val="20"/>
        </w:rPr>
      </w:pPr>
      <w:r w:rsidRPr="00213CEC">
        <w:rPr>
          <w:rFonts w:ascii="Century Gothic" w:hAnsi="Century Gothic" w:cs="Arial"/>
          <w:bCs/>
          <w:sz w:val="20"/>
          <w:szCs w:val="20"/>
        </w:rPr>
        <w:t>[…]</w:t>
      </w:r>
    </w:p>
    <w:p w14:paraId="2D67B435" w14:textId="77777777" w:rsidR="003027A3" w:rsidRPr="00213CEC" w:rsidRDefault="003027A3" w:rsidP="003027A3">
      <w:pPr>
        <w:ind w:left="709" w:right="709"/>
        <w:jc w:val="both"/>
        <w:rPr>
          <w:rFonts w:ascii="Century Gothic" w:hAnsi="Century Gothic" w:cs="Arial"/>
          <w:bCs/>
          <w:sz w:val="20"/>
          <w:szCs w:val="20"/>
        </w:rPr>
      </w:pPr>
      <w:r w:rsidRPr="00213CEC">
        <w:rPr>
          <w:rFonts w:ascii="Century Gothic" w:hAnsi="Century Gothic" w:cs="Arial"/>
          <w:bCs/>
          <w:sz w:val="20"/>
          <w:szCs w:val="20"/>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213CEC">
        <w:rPr>
          <w:rFonts w:ascii="Century Gothic" w:hAnsi="Century Gothic" w:cs="Arial"/>
          <w:b/>
          <w:i/>
          <w:iCs/>
          <w:sz w:val="20"/>
          <w:szCs w:val="20"/>
        </w:rPr>
        <w:t>Cuando la inclusión sea forzosa, todo lo relativo a tales cláusulas se regirá, en cuanto sea pertinente, por lo dispuesto en la Ley 80 de 1993,</w:t>
      </w:r>
      <w:r w:rsidRPr="00213CEC">
        <w:rPr>
          <w:rFonts w:ascii="Century Gothic" w:hAnsi="Century Gothic" w:cs="Arial"/>
          <w:bCs/>
          <w:sz w:val="20"/>
          <w:szCs w:val="20"/>
        </w:rPr>
        <w:t xml:space="preserve">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w:t>
      </w:r>
      <w:r w:rsidRPr="00213CEC">
        <w:rPr>
          <w:rFonts w:ascii="Century Gothic" w:hAnsi="Century Gothic" w:cs="Arial"/>
          <w:bCs/>
          <w:sz w:val="20"/>
          <w:szCs w:val="20"/>
        </w:rPr>
        <w:lastRenderedPageBreak/>
        <w:t>domiciliarios sobre la inclusión de las cláusulas excepcionales en los respectivos contratos, transcurrido este término operará el silencio administrativo positivo”. [Énfasis fuera de texto]</w:t>
      </w:r>
    </w:p>
    <w:p w14:paraId="7E792C04" w14:textId="77777777" w:rsidR="003027A3" w:rsidRPr="00FD7175" w:rsidRDefault="003027A3" w:rsidP="003027A3">
      <w:pPr>
        <w:spacing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De lo anterior se colige </w:t>
      </w:r>
      <w:bookmarkStart w:id="6" w:name="_Hlk120625815"/>
      <w:r w:rsidRPr="00FD7175">
        <w:rPr>
          <w:rFonts w:ascii="Century Gothic" w:hAnsi="Century Gothic" w:cs="Arial"/>
          <w:bCs/>
          <w:sz w:val="22"/>
          <w:szCs w:val="22"/>
        </w:rPr>
        <w:t>que, a pesar de que las empresas prestadoras de servicios públicos domiciliarios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Estatuto General de Contratación de la Administración Pública –Ley 80 de 1993–, la Ley 1150 de 2007 y demás normas complementarias, así como en las situaciones en las que la Ley 142 de 1994 u otras leyes especiales lo dispongan.  La Ley 142 de 1994 en su artículo 35</w:t>
      </w:r>
      <w:bookmarkEnd w:id="6"/>
      <w:r w:rsidRPr="00FD7175">
        <w:rPr>
          <w:rFonts w:ascii="Century Gothic" w:hAnsi="Century Gothic" w:cs="Arial"/>
          <w:bCs/>
          <w:sz w:val="22"/>
          <w:szCs w:val="22"/>
        </w:rPr>
        <w:t xml:space="preserve"> dispuso:</w:t>
      </w:r>
    </w:p>
    <w:p w14:paraId="099AA2B2" w14:textId="77777777" w:rsidR="003027A3" w:rsidRPr="004931C5" w:rsidRDefault="003027A3" w:rsidP="003027A3">
      <w:pPr>
        <w:spacing w:before="120" w:line="276" w:lineRule="auto"/>
        <w:ind w:firstLine="709"/>
        <w:contextualSpacing/>
        <w:jc w:val="both"/>
        <w:rPr>
          <w:rFonts w:ascii="Century Gothic" w:hAnsi="Century Gothic" w:cs="Arial"/>
          <w:bCs/>
        </w:rPr>
      </w:pPr>
    </w:p>
    <w:p w14:paraId="0C604947" w14:textId="77777777" w:rsidR="003027A3" w:rsidRPr="00213CEC" w:rsidRDefault="003027A3" w:rsidP="003027A3">
      <w:pPr>
        <w:ind w:left="709" w:right="709"/>
        <w:jc w:val="both"/>
        <w:rPr>
          <w:rFonts w:ascii="Century Gothic" w:hAnsi="Century Gothic" w:cs="Arial"/>
          <w:bCs/>
          <w:sz w:val="20"/>
          <w:szCs w:val="20"/>
        </w:rPr>
      </w:pPr>
      <w:r w:rsidRPr="00213CEC">
        <w:rPr>
          <w:rFonts w:ascii="Century Gothic" w:hAnsi="Century Gothic" w:cs="Arial"/>
          <w:bCs/>
          <w:sz w:val="20"/>
          <w:szCs w:val="20"/>
        </w:rPr>
        <w:t>“ARTÍCULO 35. DEBER DE BUSCAR ENTRE LO PÚBLICO LAS MEJORES CONDICIONES OBJETIVAS. Las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 En estos casos, y en los de otros contratos de las empresas, las comisiones de regulación podrán exigir, por vía general, que se celebren previa licitación pública, o por medio de otros procedimientos que estimulen la concurrencia de oferentes”. [Énfasis fuera de texto]</w:t>
      </w:r>
    </w:p>
    <w:p w14:paraId="64E7EEA0" w14:textId="77777777" w:rsidR="003027A3" w:rsidRPr="004931C5" w:rsidRDefault="003027A3" w:rsidP="003027A3">
      <w:pPr>
        <w:spacing w:line="276" w:lineRule="auto"/>
        <w:ind w:right="709"/>
        <w:jc w:val="both"/>
        <w:rPr>
          <w:rFonts w:ascii="Century Gothic" w:hAnsi="Century Gothic" w:cs="Arial"/>
          <w:bCs/>
        </w:rPr>
      </w:pPr>
    </w:p>
    <w:p w14:paraId="30BA550E" w14:textId="77777777" w:rsidR="003027A3" w:rsidRPr="00FD7175" w:rsidRDefault="003027A3" w:rsidP="003027A3">
      <w:pPr>
        <w:spacing w:line="276" w:lineRule="auto"/>
        <w:ind w:firstLine="709"/>
        <w:jc w:val="both"/>
        <w:rPr>
          <w:rFonts w:ascii="Century Gothic" w:hAnsi="Century Gothic" w:cs="Arial"/>
          <w:bCs/>
          <w:sz w:val="22"/>
          <w:szCs w:val="22"/>
        </w:rPr>
      </w:pPr>
      <w:bookmarkStart w:id="7" w:name="_Hlk120625823"/>
      <w:r w:rsidRPr="00FD7175">
        <w:rPr>
          <w:rFonts w:ascii="Century Gothic" w:hAnsi="Century Gothic" w:cs="Arial"/>
          <w:bCs/>
          <w:sz w:val="22"/>
          <w:szCs w:val="22"/>
        </w:rPr>
        <w:t xml:space="preserve">Del artículo citado, es posible concluir que el Legislador determinó una situación particular en la que las empresas de servicios públicos deban adelantar sus procesos de contratación mediante la modalidad de selección por licitación pública prevista en el numeral 1 del artículo 2 de la Ley 1150 de 2007 o a través de cualquier otro procedimiento que estimule la concurrencia de oferentes. </w:t>
      </w:r>
    </w:p>
    <w:bookmarkEnd w:id="7"/>
    <w:p w14:paraId="775DC742" w14:textId="77777777" w:rsidR="003027A3" w:rsidRPr="00FD7175" w:rsidRDefault="003027A3" w:rsidP="003027A3">
      <w:pPr>
        <w:spacing w:line="276" w:lineRule="auto"/>
        <w:ind w:firstLine="708"/>
        <w:contextualSpacing/>
        <w:jc w:val="both"/>
        <w:rPr>
          <w:rFonts w:ascii="Century Gothic" w:hAnsi="Century Gothic" w:cs="Arial"/>
          <w:bCs/>
          <w:sz w:val="22"/>
          <w:szCs w:val="22"/>
        </w:rPr>
      </w:pPr>
    </w:p>
    <w:p w14:paraId="63B232A0" w14:textId="77777777" w:rsidR="003027A3" w:rsidRPr="00FD7175" w:rsidRDefault="003027A3" w:rsidP="003027A3">
      <w:pPr>
        <w:spacing w:line="276" w:lineRule="auto"/>
        <w:contextualSpacing/>
        <w:jc w:val="both"/>
        <w:rPr>
          <w:rFonts w:ascii="Century Gothic" w:hAnsi="Century Gothic" w:cs="Arial"/>
          <w:b/>
          <w:sz w:val="22"/>
          <w:szCs w:val="22"/>
        </w:rPr>
      </w:pPr>
      <w:r w:rsidRPr="00FD7175">
        <w:rPr>
          <w:rFonts w:ascii="Century Gothic" w:hAnsi="Century Gothic" w:cs="Arial"/>
          <w:b/>
          <w:sz w:val="22"/>
          <w:szCs w:val="22"/>
        </w:rPr>
        <w:t>2.3. Deber de las entidades estatales, exceptuadas del Estatuto General de Contratación de la Administración Pública, de publicar los documentos relacionados con su actividad contractual en el SECOP II. Modificación introducida por el artículo 53 de la Ley 2195 de 2022</w:t>
      </w:r>
    </w:p>
    <w:p w14:paraId="464D0382" w14:textId="77777777" w:rsidR="003027A3" w:rsidRPr="00FD7175" w:rsidRDefault="003027A3" w:rsidP="003027A3">
      <w:pPr>
        <w:spacing w:line="276" w:lineRule="auto"/>
        <w:contextualSpacing/>
        <w:jc w:val="both"/>
        <w:rPr>
          <w:rFonts w:ascii="Century Gothic" w:hAnsi="Century Gothic" w:cs="Arial"/>
          <w:bCs/>
          <w:sz w:val="22"/>
          <w:szCs w:val="22"/>
        </w:rPr>
      </w:pPr>
    </w:p>
    <w:p w14:paraId="138C74D6" w14:textId="77777777" w:rsidR="003027A3" w:rsidRPr="00FD7175" w:rsidRDefault="003027A3" w:rsidP="003027A3">
      <w:pPr>
        <w:spacing w:after="120" w:line="276" w:lineRule="auto"/>
        <w:jc w:val="both"/>
        <w:rPr>
          <w:rFonts w:ascii="Century Gothic" w:hAnsi="Century Gothic" w:cs="Arial"/>
          <w:bCs/>
          <w:sz w:val="22"/>
          <w:szCs w:val="22"/>
        </w:rPr>
      </w:pPr>
      <w:r w:rsidRPr="00FD7175">
        <w:rPr>
          <w:rFonts w:ascii="Century Gothic" w:hAnsi="Century Gothic" w:cs="Arial"/>
          <w:bCs/>
          <w:sz w:val="22"/>
          <w:szCs w:val="22"/>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w:t>
      </w:r>
      <w:r w:rsidRPr="00FD7175">
        <w:rPr>
          <w:rFonts w:ascii="Century Gothic" w:hAnsi="Century Gothic" w:cs="Arial"/>
          <w:bCs/>
          <w:sz w:val="22"/>
          <w:szCs w:val="22"/>
        </w:rPr>
        <w:lastRenderedPageBreak/>
        <w:t>pública”</w:t>
      </w:r>
      <w:r w:rsidRPr="00FD7175">
        <w:rPr>
          <w:rFonts w:ascii="Century Gothic" w:hAnsi="Century Gothic" w:cs="Arial"/>
          <w:bCs/>
          <w:position w:val="6"/>
          <w:sz w:val="14"/>
          <w:szCs w:val="16"/>
        </w:rPr>
        <w:footnoteReference w:id="12"/>
      </w:r>
      <w:r w:rsidRPr="00FD7175">
        <w:rPr>
          <w:rFonts w:ascii="Century Gothic" w:hAnsi="Century Gothic" w:cs="Arial"/>
          <w:bCs/>
          <w:sz w:val="22"/>
          <w:szCs w:val="22"/>
        </w:rPr>
        <w:t xml:space="preserve">. El secreto generalizado en el ejercicio del poder político constituye, por el contrario, una negación de la democracia, porque dificulta la supervisión de las autoridades y de la sociedad civil y establece una barrera para la participación ciudadana. </w:t>
      </w:r>
    </w:p>
    <w:p w14:paraId="0E6AEAB8" w14:textId="77777777" w:rsidR="003027A3" w:rsidRPr="00FD7175" w:rsidRDefault="003027A3" w:rsidP="003027A3">
      <w:pPr>
        <w:spacing w:line="276" w:lineRule="auto"/>
        <w:ind w:firstLine="709"/>
        <w:jc w:val="both"/>
        <w:rPr>
          <w:rFonts w:ascii="Century Gothic" w:hAnsi="Century Gothic" w:cs="Arial"/>
          <w:bCs/>
          <w:sz w:val="22"/>
          <w:szCs w:val="22"/>
        </w:rPr>
      </w:pPr>
      <w:r w:rsidRPr="00FD7175">
        <w:rPr>
          <w:rFonts w:ascii="Century Gothic" w:hAnsi="Century Gothic" w:cs="Arial"/>
          <w:bCs/>
          <w:sz w:val="22"/>
          <w:szCs w:val="22"/>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36BB586E" w14:textId="77777777" w:rsidR="003027A3" w:rsidRPr="004931C5" w:rsidRDefault="003027A3" w:rsidP="003027A3">
      <w:pPr>
        <w:spacing w:line="276" w:lineRule="auto"/>
        <w:ind w:firstLine="709"/>
        <w:jc w:val="both"/>
        <w:rPr>
          <w:rFonts w:ascii="Century Gothic" w:hAnsi="Century Gothic" w:cs="Arial"/>
          <w:bCs/>
        </w:rPr>
      </w:pPr>
    </w:p>
    <w:p w14:paraId="4C3C47A8" w14:textId="77777777" w:rsidR="003027A3" w:rsidRPr="00213CEC" w:rsidRDefault="003027A3" w:rsidP="003027A3">
      <w:pPr>
        <w:tabs>
          <w:tab w:val="left" w:pos="3885"/>
        </w:tabs>
        <w:ind w:left="709" w:right="709"/>
        <w:jc w:val="both"/>
        <w:rPr>
          <w:rFonts w:ascii="Century Gothic" w:hAnsi="Century Gothic" w:cs="Arial"/>
          <w:bCs/>
          <w:sz w:val="20"/>
          <w:szCs w:val="20"/>
        </w:rPr>
      </w:pPr>
      <m:oMath>
        <m:r>
          <m:rPr>
            <m:sty m:val="p"/>
          </m:rPr>
          <w:rPr>
            <w:rFonts w:ascii="Cambria Math" w:hAnsi="Cambria Math" w:cs="Arial"/>
            <w:sz w:val="20"/>
            <w:szCs w:val="20"/>
          </w:rPr>
          <m:t>“</m:t>
        </m:r>
      </m:oMath>
      <w:r w:rsidRPr="00213CEC">
        <w:rPr>
          <w:rFonts w:ascii="Century Gothic" w:hAnsi="Century Gothic" w:cs="Arial"/>
          <w:bCs/>
          <w:sz w:val="20"/>
          <w:szCs w:val="20"/>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3F95CDC0" w14:textId="77777777" w:rsidR="003027A3" w:rsidRPr="00213CEC" w:rsidRDefault="003027A3" w:rsidP="003027A3">
      <w:pPr>
        <w:tabs>
          <w:tab w:val="left" w:pos="3885"/>
          <w:tab w:val="left" w:pos="8222"/>
        </w:tabs>
        <w:ind w:left="709" w:right="709"/>
        <w:jc w:val="both"/>
        <w:rPr>
          <w:rFonts w:ascii="Century Gothic" w:hAnsi="Century Gothic" w:cs="Arial"/>
          <w:bCs/>
          <w:sz w:val="20"/>
          <w:szCs w:val="20"/>
        </w:rPr>
      </w:pPr>
      <w:r w:rsidRPr="00213CEC">
        <w:rPr>
          <w:rFonts w:ascii="Century Gothic" w:hAnsi="Century Gothic" w:cs="Arial"/>
          <w:bCs/>
          <w:sz w:val="20"/>
          <w:szCs w:val="20"/>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213CEC">
        <w:rPr>
          <w:rFonts w:ascii="Century Gothic" w:hAnsi="Century Gothic" w:cs="Arial"/>
          <w:bCs/>
          <w:position w:val="6"/>
          <w:sz w:val="20"/>
          <w:szCs w:val="20"/>
        </w:rPr>
        <w:footnoteReference w:id="13"/>
      </w:r>
      <w:r w:rsidRPr="00213CEC">
        <w:rPr>
          <w:rFonts w:ascii="Century Gothic" w:hAnsi="Century Gothic" w:cs="Arial"/>
          <w:bCs/>
          <w:sz w:val="20"/>
          <w:szCs w:val="20"/>
        </w:rPr>
        <w:t>.”</w:t>
      </w:r>
    </w:p>
    <w:p w14:paraId="710310CB" w14:textId="77777777" w:rsidR="003027A3" w:rsidRPr="00FD7175" w:rsidRDefault="003027A3" w:rsidP="003027A3">
      <w:pPr>
        <w:spacing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FD7175">
        <w:rPr>
          <w:rFonts w:ascii="Century Gothic" w:hAnsi="Century Gothic" w:cs="Arial"/>
          <w:bCs/>
          <w:position w:val="6"/>
          <w:sz w:val="14"/>
          <w:szCs w:val="16"/>
        </w:rPr>
        <w:footnoteReference w:id="14"/>
      </w:r>
      <w:r w:rsidRPr="00FD7175">
        <w:rPr>
          <w:rFonts w:ascii="Century Gothic" w:hAnsi="Century Gothic" w:cs="Arial"/>
          <w:bCs/>
          <w:sz w:val="22"/>
          <w:szCs w:val="22"/>
        </w:rPr>
        <w:t xml:space="preserve">. </w:t>
      </w:r>
    </w:p>
    <w:p w14:paraId="1DA837FB" w14:textId="77777777" w:rsidR="003027A3" w:rsidRPr="00FD7175" w:rsidRDefault="003027A3" w:rsidP="003027A3">
      <w:pPr>
        <w:pStyle w:val="Textoindependiente"/>
        <w:ind w:firstLine="708"/>
        <w:jc w:val="both"/>
        <w:rPr>
          <w:rFonts w:ascii="Century Gothic" w:eastAsiaTheme="minorHAnsi" w:hAnsi="Century Gothic" w:cs="Arial"/>
          <w:bCs/>
          <w:sz w:val="20"/>
          <w:szCs w:val="20"/>
          <w:lang w:val="es-MX" w:eastAsia="en-US"/>
        </w:rPr>
      </w:pPr>
      <w:r w:rsidRPr="00FD7175">
        <w:rPr>
          <w:rFonts w:ascii="Century Gothic" w:eastAsiaTheme="minorHAnsi" w:hAnsi="Century Gothic" w:cs="Arial"/>
          <w:bCs/>
          <w:sz w:val="20"/>
          <w:szCs w:val="20"/>
          <w:lang w:val="es-MX" w:eastAsia="en-US"/>
        </w:rPr>
        <w:lastRenderedPageBreak/>
        <w:t>La Ley 1712 de 2014 – Ley de Transparencia y del Derecho de Acceso a la Información Pública Nacional y se dictan otras disposiciones</w:t>
      </w:r>
      <w:r w:rsidRPr="00FD7175" w:rsidDel="00256DFE">
        <w:rPr>
          <w:rFonts w:ascii="Century Gothic" w:eastAsiaTheme="minorHAnsi" w:hAnsi="Century Gothic" w:cs="Arial"/>
          <w:bCs/>
          <w:sz w:val="20"/>
          <w:szCs w:val="20"/>
          <w:lang w:val="es-MX" w:eastAsia="en-US"/>
        </w:rPr>
        <w:t xml:space="preserve"> </w:t>
      </w:r>
      <w:r w:rsidRPr="00FD7175">
        <w:rPr>
          <w:rFonts w:ascii="Century Gothic" w:eastAsiaTheme="minorHAnsi" w:hAnsi="Century Gothic" w:cs="Arial"/>
          <w:bCs/>
          <w:sz w:val="20"/>
          <w:szCs w:val="20"/>
          <w:lang w:val="es-MX" w:eastAsia="en-US"/>
        </w:rPr>
        <w:t>–,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FD7175">
        <w:rPr>
          <w:rFonts w:ascii="Century Gothic" w:eastAsiaTheme="minorHAnsi" w:hAnsi="Century Gothic" w:cs="Arial"/>
          <w:bCs/>
          <w:position w:val="6"/>
          <w:sz w:val="14"/>
          <w:szCs w:val="14"/>
          <w:lang w:val="es-MX" w:eastAsia="en-US"/>
        </w:rPr>
        <w:footnoteReference w:id="15"/>
      </w:r>
      <w:r w:rsidRPr="00FD7175">
        <w:rPr>
          <w:rFonts w:ascii="Century Gothic" w:eastAsiaTheme="minorHAnsi" w:hAnsi="Century Gothic" w:cs="Arial"/>
          <w:bCs/>
          <w:sz w:val="20"/>
          <w:szCs w:val="20"/>
          <w:lang w:val="es-MX" w:eastAsia="en-US"/>
        </w:rPr>
        <w:t>. El principio de transparencia en la información alude al deber de los sujetos de proporcionar y facilitar el acceso a la misma en los términos más amplios posibles, a través de los medios y procedimientos legales. Y el principio de buena fe hace referencia al deber de todo sujeto obligado de cumplir con las obligaciones derivadas del derecho de acceso a la información pública con motivación honesta, leal y desprovista de cualquier intención dolosa o culposa</w:t>
      </w:r>
      <w:r w:rsidRPr="00FD7175">
        <w:rPr>
          <w:rFonts w:ascii="Century Gothic" w:eastAsiaTheme="minorHAnsi" w:hAnsi="Century Gothic" w:cs="Arial"/>
          <w:bCs/>
          <w:position w:val="6"/>
          <w:sz w:val="14"/>
          <w:szCs w:val="14"/>
          <w:lang w:val="es-MX" w:eastAsia="en-US"/>
        </w:rPr>
        <w:footnoteReference w:id="16"/>
      </w:r>
      <w:r w:rsidRPr="00FD7175">
        <w:rPr>
          <w:rFonts w:ascii="Century Gothic" w:eastAsiaTheme="minorHAnsi" w:hAnsi="Century Gothic" w:cs="Arial"/>
          <w:bCs/>
          <w:sz w:val="20"/>
          <w:szCs w:val="20"/>
          <w:lang w:val="es-MX" w:eastAsia="en-US"/>
        </w:rPr>
        <w:t xml:space="preserve">. </w:t>
      </w:r>
    </w:p>
    <w:p w14:paraId="597851F4" w14:textId="77777777" w:rsidR="003027A3" w:rsidRPr="00FD7175" w:rsidRDefault="003027A3" w:rsidP="003027A3">
      <w:pPr>
        <w:pStyle w:val="Textoindependiente"/>
        <w:ind w:firstLine="708"/>
        <w:jc w:val="both"/>
        <w:rPr>
          <w:rFonts w:ascii="Century Gothic" w:eastAsiaTheme="minorHAnsi" w:hAnsi="Century Gothic" w:cs="Arial"/>
          <w:bCs/>
          <w:sz w:val="20"/>
          <w:szCs w:val="20"/>
          <w:lang w:val="es-MX" w:eastAsia="en-US"/>
        </w:rPr>
      </w:pPr>
      <w:r w:rsidRPr="00FD7175">
        <w:rPr>
          <w:rFonts w:ascii="Century Gothic" w:eastAsiaTheme="minorHAnsi" w:hAnsi="Century Gothic" w:cs="Arial"/>
          <w:bCs/>
          <w:sz w:val="20"/>
          <w:szCs w:val="20"/>
          <w:lang w:val="es-MX" w:eastAsia="en-US"/>
        </w:rPr>
        <w:t xml:space="preserve">La citada Ley establece, </w:t>
      </w:r>
      <w:bookmarkStart w:id="8" w:name="_Hlk112225357"/>
      <w:r w:rsidRPr="00FD7175">
        <w:rPr>
          <w:rFonts w:ascii="Century Gothic" w:eastAsiaTheme="minorHAnsi" w:hAnsi="Century Gothic" w:cs="Arial"/>
          <w:bCs/>
          <w:sz w:val="20"/>
          <w:szCs w:val="20"/>
          <w:lang w:val="es-MX" w:eastAsia="en-US"/>
        </w:rPr>
        <w:t>en el literal e) del artículo 9, que los sujetos obligados deben publicar la información relativa a su contratación. El artículo 5 ibidem,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bookmarkEnd w:id="8"/>
      <w:r w:rsidRPr="00FD7175">
        <w:rPr>
          <w:rFonts w:ascii="Century Gothic" w:eastAsiaTheme="minorHAnsi" w:hAnsi="Century Gothic" w:cs="Arial"/>
          <w:bCs/>
          <w:position w:val="6"/>
          <w:sz w:val="14"/>
          <w:szCs w:val="14"/>
          <w:lang w:val="es-MX" w:eastAsia="en-US"/>
        </w:rPr>
        <w:footnoteReference w:id="17"/>
      </w:r>
      <w:r w:rsidRPr="00FD7175">
        <w:rPr>
          <w:rFonts w:ascii="Century Gothic" w:eastAsiaTheme="minorHAnsi" w:hAnsi="Century Gothic" w:cs="Arial"/>
          <w:bCs/>
          <w:sz w:val="20"/>
          <w:szCs w:val="20"/>
          <w:lang w:val="es-MX" w:eastAsia="en-US"/>
        </w:rPr>
        <w:t xml:space="preserve">. </w:t>
      </w:r>
    </w:p>
    <w:p w14:paraId="77ECD933" w14:textId="77777777" w:rsidR="003027A3" w:rsidRPr="00FD7175" w:rsidRDefault="003027A3" w:rsidP="003027A3">
      <w:pPr>
        <w:spacing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Esta obligación fue desarrollada por el artículo 2.1.1.2.1.7. del Decreto Único Reglamentario 1081 de 2015</w:t>
      </w:r>
      <w:r w:rsidRPr="00FD7175">
        <w:rPr>
          <w:rFonts w:ascii="Century Gothic" w:hAnsi="Century Gothic" w:cs="Arial"/>
          <w:bCs/>
          <w:position w:val="6"/>
          <w:sz w:val="14"/>
          <w:szCs w:val="16"/>
        </w:rPr>
        <w:footnoteReference w:id="18"/>
      </w:r>
      <w:r w:rsidRPr="00FD7175">
        <w:rPr>
          <w:rFonts w:ascii="Century Gothic" w:hAnsi="Century Gothic" w:cs="Arial"/>
          <w:bCs/>
          <w:sz w:val="22"/>
          <w:szCs w:val="22"/>
        </w:rPr>
        <w:t xml:space="preserve">, el cual dispuso que la publicación de la información </w:t>
      </w:r>
      <w:r w:rsidRPr="00FD7175">
        <w:rPr>
          <w:rFonts w:ascii="Century Gothic" w:hAnsi="Century Gothic" w:cs="Arial"/>
          <w:bCs/>
          <w:sz w:val="22"/>
          <w:szCs w:val="22"/>
        </w:rPr>
        <w:lastRenderedPageBreak/>
        <w:t>contractual de los sujetos obligados, que contratan con cargo a recursos públicos, debe hacerse en el Sistema Electrónico para la Contratación Pública ─</w:t>
      </w:r>
      <w:r w:rsidRPr="00FD7175">
        <w:rPr>
          <w:rFonts w:ascii="Century Gothic" w:hAnsi="Century Gothic" w:cs="Arial"/>
          <w:bCs/>
          <w:sz w:val="22"/>
          <w:szCs w:val="22"/>
        </w:rPr>
        <w:softHyphen/>
        <w:t xml:space="preserve"> </w:t>
      </w:r>
      <w:r w:rsidRPr="00FD7175">
        <w:rPr>
          <w:rFonts w:ascii="Century Gothic" w:hAnsi="Century Gothic" w:cs="Arial"/>
          <w:bCs/>
          <w:sz w:val="22"/>
          <w:szCs w:val="22"/>
        </w:rPr>
        <w:softHyphen/>
        <w:t>SECOP–</w:t>
      </w:r>
    </w:p>
    <w:p w14:paraId="54557861" w14:textId="77777777" w:rsidR="003027A3" w:rsidRPr="00FD7175" w:rsidRDefault="003027A3" w:rsidP="003027A3">
      <w:pPr>
        <w:spacing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6DF80F01" w14:textId="77777777" w:rsidR="003027A3" w:rsidRPr="00FD7175" w:rsidRDefault="003027A3" w:rsidP="003027A3">
      <w:pPr>
        <w:spacing w:line="276" w:lineRule="auto"/>
        <w:ind w:firstLine="708"/>
        <w:contextualSpacing/>
        <w:jc w:val="both"/>
        <w:rPr>
          <w:rFonts w:ascii="Century Gothic" w:hAnsi="Century Gothic" w:cs="Arial"/>
          <w:bCs/>
          <w:sz w:val="22"/>
          <w:szCs w:val="22"/>
        </w:rPr>
      </w:pPr>
      <w:r w:rsidRPr="00FD7175">
        <w:rPr>
          <w:rFonts w:ascii="Century Gothic" w:hAnsi="Century Gothic" w:cs="Arial"/>
          <w:bCs/>
          <w:sz w:val="22"/>
          <w:szCs w:val="22"/>
        </w:rPr>
        <w:t xml:space="preserve">Las anteriores disposiciones normativas fueron complementadas con la expedición de la </w:t>
      </w:r>
      <w:bookmarkStart w:id="9" w:name="_Hlk109111930"/>
      <w:r w:rsidRPr="00FD7175">
        <w:rPr>
          <w:rFonts w:ascii="Century Gothic" w:hAnsi="Century Gothic" w:cs="Arial"/>
          <w:bCs/>
          <w:sz w:val="22"/>
          <w:szCs w:val="22"/>
        </w:rPr>
        <w:t xml:space="preserve">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 </w:t>
      </w:r>
      <w:bookmarkEnd w:id="9"/>
      <w:r w:rsidRPr="00FD7175">
        <w:rPr>
          <w:rFonts w:ascii="Century Gothic" w:hAnsi="Century Gothic" w:cs="Arial"/>
          <w:bCs/>
          <w:sz w:val="22"/>
          <w:szCs w:val="22"/>
        </w:rPr>
        <w:t>Al respecto, la norma citada, de manera expresa, señala:</w:t>
      </w:r>
    </w:p>
    <w:p w14:paraId="60649D89" w14:textId="77777777" w:rsidR="003027A3" w:rsidRPr="004931C5" w:rsidRDefault="003027A3" w:rsidP="003027A3">
      <w:pPr>
        <w:ind w:firstLine="301"/>
        <w:contextualSpacing/>
        <w:rPr>
          <w:rFonts w:ascii="Century Gothic" w:hAnsi="Century Gothic" w:cs="Arial"/>
          <w:bCs/>
        </w:rPr>
      </w:pPr>
    </w:p>
    <w:p w14:paraId="0EFC7A7F"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“Adiciónese los siguientes incisos al artículo 13 de la Ley 1150 de 2007, el cual quedará así:</w:t>
      </w:r>
    </w:p>
    <w:p w14:paraId="06F418EE" w14:textId="77777777" w:rsidR="003027A3" w:rsidRPr="00213CEC" w:rsidRDefault="003027A3" w:rsidP="003027A3">
      <w:pPr>
        <w:ind w:left="709" w:right="709"/>
        <w:contextualSpacing/>
        <w:jc w:val="both"/>
        <w:rPr>
          <w:rFonts w:ascii="Century Gothic" w:hAnsi="Century Gothic" w:cs="Arial"/>
          <w:bCs/>
          <w:sz w:val="20"/>
          <w:szCs w:val="20"/>
        </w:rPr>
      </w:pPr>
    </w:p>
    <w:p w14:paraId="5D6D1E2D"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w:t>
      </w:r>
      <w:r w:rsidRPr="00213CEC">
        <w:rPr>
          <w:rFonts w:ascii="Century Gothic" w:hAnsi="Century Gothic" w:cs="Arial"/>
          <w:bCs/>
          <w:sz w:val="20"/>
          <w:szCs w:val="20"/>
        </w:rPr>
        <w:lastRenderedPageBreak/>
        <w:t>estarán sometidas al régimen de inhabilidades e incompatibilidades previsto legalmente para la contratación estatal.</w:t>
      </w:r>
    </w:p>
    <w:p w14:paraId="3E2B9BA2" w14:textId="77777777" w:rsidR="003027A3" w:rsidRPr="00213CEC" w:rsidRDefault="003027A3" w:rsidP="003027A3">
      <w:pPr>
        <w:ind w:left="709" w:right="709"/>
        <w:contextualSpacing/>
        <w:jc w:val="both"/>
        <w:rPr>
          <w:rFonts w:ascii="Century Gothic" w:hAnsi="Century Gothic" w:cs="Arial"/>
          <w:bCs/>
          <w:sz w:val="20"/>
          <w:szCs w:val="20"/>
        </w:rPr>
      </w:pPr>
    </w:p>
    <w:p w14:paraId="29FE7649" w14:textId="77777777" w:rsidR="003027A3" w:rsidRPr="00213CEC" w:rsidRDefault="003027A3" w:rsidP="003027A3">
      <w:pPr>
        <w:ind w:left="709" w:right="709"/>
        <w:contextualSpacing/>
        <w:jc w:val="both"/>
        <w:rPr>
          <w:rFonts w:ascii="Century Gothic" w:hAnsi="Century Gothic" w:cs="Arial"/>
          <w:bCs/>
          <w:sz w:val="20"/>
          <w:szCs w:val="20"/>
        </w:rPr>
      </w:pPr>
      <w:r w:rsidRPr="00213CEC">
        <w:rPr>
          <w:rFonts w:ascii="Century Gothic" w:hAnsi="Century Gothic" w:cs="Arial"/>
          <w:bCs/>
          <w:sz w:val="20"/>
          <w:szCs w:val="20"/>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213CEC">
        <w:rPr>
          <w:rFonts w:ascii="Century Gothic" w:hAnsi="Century Gothic" w:cs="Arial"/>
          <w:bCs/>
          <w:sz w:val="20"/>
          <w:szCs w:val="20"/>
        </w:rPr>
        <w:t>postcontractual</w:t>
      </w:r>
      <w:proofErr w:type="spellEnd"/>
      <w:r w:rsidRPr="00213CEC">
        <w:rPr>
          <w:rFonts w:ascii="Century Gothic" w:hAnsi="Century Gothic" w:cs="Arial"/>
          <w:bCs/>
          <w:sz w:val="20"/>
          <w:szCs w:val="20"/>
        </w:rPr>
        <w:t>.</w:t>
      </w:r>
    </w:p>
    <w:p w14:paraId="220C9F98" w14:textId="77777777" w:rsidR="003027A3" w:rsidRPr="00213CEC" w:rsidRDefault="003027A3" w:rsidP="003027A3">
      <w:pPr>
        <w:ind w:left="709" w:right="709"/>
        <w:contextualSpacing/>
        <w:jc w:val="both"/>
        <w:rPr>
          <w:rFonts w:ascii="Century Gothic" w:hAnsi="Century Gothic" w:cs="Arial"/>
          <w:bCs/>
          <w:sz w:val="20"/>
          <w:szCs w:val="20"/>
        </w:rPr>
      </w:pPr>
    </w:p>
    <w:p w14:paraId="59535239" w14:textId="77777777" w:rsidR="003027A3" w:rsidRPr="004931C5" w:rsidRDefault="003027A3" w:rsidP="003027A3">
      <w:pPr>
        <w:ind w:left="709" w:right="709"/>
        <w:contextualSpacing/>
        <w:jc w:val="both"/>
        <w:rPr>
          <w:rFonts w:ascii="Century Gothic" w:hAnsi="Century Gothic" w:cs="Arial"/>
          <w:bCs/>
        </w:rPr>
      </w:pPr>
      <w:r w:rsidRPr="00213CEC">
        <w:rPr>
          <w:rFonts w:ascii="Century Gothic" w:hAnsi="Century Gothic" w:cs="Arial"/>
          <w:bCs/>
          <w:sz w:val="20"/>
          <w:szCs w:val="20"/>
        </w:rPr>
        <w:t>A partir de la entrada en vigencia de la presente Ley, se establecerá un periodo de transición de seis (6) meses, para que las entidades den cumplimiento efectivo a lo aquí establecido”. [Cursiva fuera de texto</w:t>
      </w:r>
      <w:r w:rsidRPr="004931C5">
        <w:rPr>
          <w:rFonts w:ascii="Century Gothic" w:hAnsi="Century Gothic" w:cs="Arial"/>
          <w:bCs/>
        </w:rPr>
        <w:t>].</w:t>
      </w:r>
    </w:p>
    <w:p w14:paraId="6C8643E6" w14:textId="77777777" w:rsidR="003027A3" w:rsidRPr="004931C5" w:rsidRDefault="003027A3" w:rsidP="003027A3">
      <w:pPr>
        <w:ind w:firstLine="709"/>
        <w:contextualSpacing/>
        <w:jc w:val="both"/>
        <w:rPr>
          <w:rFonts w:ascii="Century Gothic" w:hAnsi="Century Gothic" w:cs="Arial"/>
          <w:bCs/>
        </w:rPr>
      </w:pPr>
    </w:p>
    <w:p w14:paraId="75E7BDAC" w14:textId="77777777" w:rsidR="003027A3" w:rsidRPr="00FD7175" w:rsidRDefault="003027A3" w:rsidP="003027A3">
      <w:pPr>
        <w:spacing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566457B5" w14:textId="77777777" w:rsidR="003027A3" w:rsidRPr="00FD7175" w:rsidRDefault="003027A3" w:rsidP="003027A3">
      <w:pPr>
        <w:spacing w:before="120" w:after="120" w:line="276" w:lineRule="auto"/>
        <w:ind w:firstLine="709"/>
        <w:jc w:val="both"/>
        <w:rPr>
          <w:rFonts w:ascii="Century Gothic" w:hAnsi="Century Gothic" w:cs="Arial"/>
          <w:bCs/>
          <w:sz w:val="22"/>
          <w:szCs w:val="22"/>
        </w:rPr>
      </w:pPr>
      <w:bookmarkStart w:id="10" w:name="_Hlk109111956"/>
      <w:r w:rsidRPr="00FD7175">
        <w:rPr>
          <w:rFonts w:ascii="Century Gothic" w:hAnsi="Century Gothic" w:cs="Arial"/>
          <w:bCs/>
          <w:sz w:val="22"/>
          <w:szCs w:val="22"/>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FD7175">
        <w:rPr>
          <w:rFonts w:ascii="Century Gothic" w:hAnsi="Century Gothic" w:cs="Arial"/>
          <w:bCs/>
          <w:sz w:val="22"/>
          <w:szCs w:val="22"/>
        </w:rPr>
        <w:t>postcontractual</w:t>
      </w:r>
      <w:proofErr w:type="spellEnd"/>
      <w:r w:rsidRPr="00FD7175">
        <w:rPr>
          <w:rFonts w:ascii="Century Gothic" w:hAnsi="Century Gothic" w:cs="Arial"/>
          <w:bCs/>
          <w:sz w:val="22"/>
          <w:szCs w:val="22"/>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w:t>
      </w:r>
      <w:r w:rsidRPr="00FD7175">
        <w:rPr>
          <w:rFonts w:ascii="Century Gothic" w:hAnsi="Century Gothic" w:cs="Arial"/>
          <w:bCs/>
          <w:sz w:val="22"/>
          <w:szCs w:val="22"/>
        </w:rPr>
        <w:lastRenderedPageBreak/>
        <w:t xml:space="preserve">procesos de contratación relacionados con asuntos “no misionales” estén per se excluidos del deber de publicidad. </w:t>
      </w:r>
    </w:p>
    <w:bookmarkEnd w:id="10"/>
    <w:p w14:paraId="6285AE11" w14:textId="77777777" w:rsidR="003027A3" w:rsidRPr="00FD7175" w:rsidRDefault="003027A3" w:rsidP="003027A3">
      <w:pPr>
        <w:spacing w:before="120"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Así las cosas,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3D73B0EC" w14:textId="77777777" w:rsidR="003027A3" w:rsidRPr="00FD7175" w:rsidRDefault="003027A3" w:rsidP="003027A3">
      <w:pPr>
        <w:spacing w:before="120"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Sin perjuicio de lo anterior, vale la pena aclarar que el cumplimiento del deber de publicación de la documentación contractual debe armonizarse con las normas aplicables al tipo de información que estas contienen</w:t>
      </w:r>
      <w:r w:rsidRPr="00FD7175">
        <w:rPr>
          <w:rFonts w:ascii="Century Gothic" w:hAnsi="Century Gothic" w:cs="Arial"/>
          <w:bCs/>
          <w:position w:val="6"/>
          <w:sz w:val="14"/>
          <w:szCs w:val="16"/>
        </w:rPr>
        <w:footnoteReference w:id="19"/>
      </w:r>
      <w:r w:rsidRPr="00FD7175">
        <w:rPr>
          <w:rFonts w:ascii="Century Gothic" w:hAnsi="Century Gothic" w:cs="Arial"/>
          <w:bCs/>
          <w:sz w:val="22"/>
          <w:szCs w:val="22"/>
        </w:rPr>
        <w:t xml:space="preserve">. Lo anterior significa que, respecto de datos sensibles, información sometida a reserva o de la cual proceda un tratamiento especial que impida su publicidad, las entidades deberán proceder de conformidad con el tratamiento que impongan tales normas. </w:t>
      </w:r>
    </w:p>
    <w:p w14:paraId="1A57130C" w14:textId="77777777" w:rsidR="003027A3" w:rsidRPr="00FD7175" w:rsidRDefault="003027A3" w:rsidP="003027A3">
      <w:pPr>
        <w:spacing w:before="120"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Ahora bien, teniendo en cuenta la consulta realizada, resulta pertinente señalar que, para que las entidades con regímenes exceptuados cumplan con el deber de publicidad consagrado en la norma en estudio no se dispuso que las entidades deban modificar sus manuales de contratación, so pena en aquellos casos en los que estos sean contrarios a la ley. </w:t>
      </w:r>
    </w:p>
    <w:p w14:paraId="19826783" w14:textId="77777777" w:rsidR="003027A3" w:rsidRPr="00FD7175" w:rsidRDefault="003027A3" w:rsidP="003027A3">
      <w:pPr>
        <w:spacing w:before="120" w:after="120" w:line="276" w:lineRule="auto"/>
        <w:ind w:firstLine="709"/>
        <w:jc w:val="both"/>
        <w:rPr>
          <w:rFonts w:ascii="Century Gothic" w:hAnsi="Century Gothic" w:cs="Arial"/>
          <w:bCs/>
          <w:sz w:val="22"/>
          <w:szCs w:val="22"/>
        </w:rPr>
      </w:pPr>
      <w:bookmarkStart w:id="11" w:name="_Hlk109111976"/>
      <w:r w:rsidRPr="00FD7175">
        <w:rPr>
          <w:rFonts w:ascii="Century Gothic" w:hAnsi="Century Gothic" w:cs="Arial"/>
          <w:bCs/>
          <w:sz w:val="22"/>
          <w:szCs w:val="22"/>
        </w:rPr>
        <w:t xml:space="preserve">Finalmente, el inciso final del artículo 53 dispone que “A partir de la entrada en vigencia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w:t>
      </w:r>
      <w:r w:rsidRPr="00FD7175">
        <w:rPr>
          <w:rFonts w:ascii="Century Gothic" w:hAnsi="Century Gothic" w:cs="Arial"/>
          <w:bCs/>
          <w:sz w:val="22"/>
          <w:szCs w:val="22"/>
        </w:rPr>
        <w:lastRenderedPageBreak/>
        <w:t>de 2022.</w:t>
      </w:r>
      <w:bookmarkEnd w:id="11"/>
      <w:r w:rsidRPr="00FD7175">
        <w:rPr>
          <w:rFonts w:ascii="Century Gothic" w:hAnsi="Century Gothic" w:cs="Arial"/>
          <w:bCs/>
          <w:sz w:val="22"/>
          <w:szCs w:val="22"/>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FD7175">
        <w:rPr>
          <w:rFonts w:ascii="Century Gothic" w:hAnsi="Century Gothic" w:cs="Arial"/>
          <w:bCs/>
          <w:position w:val="6"/>
          <w:sz w:val="14"/>
          <w:szCs w:val="16"/>
        </w:rPr>
        <w:footnoteReference w:id="20"/>
      </w:r>
      <w:r w:rsidRPr="00FD7175">
        <w:rPr>
          <w:rFonts w:ascii="Century Gothic" w:hAnsi="Century Gothic" w:cs="Arial"/>
          <w:bCs/>
          <w:sz w:val="22"/>
          <w:szCs w:val="22"/>
        </w:rPr>
        <w:t xml:space="preserve">. </w:t>
      </w:r>
    </w:p>
    <w:p w14:paraId="3AC9D040" w14:textId="77777777" w:rsidR="003027A3" w:rsidRPr="00FD7175" w:rsidRDefault="003027A3" w:rsidP="003027A3">
      <w:pPr>
        <w:spacing w:before="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Así mismo, es importante mencionar que,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FD7175">
        <w:rPr>
          <w:rFonts w:ascii="Century Gothic" w:hAnsi="Century Gothic" w:cs="Arial"/>
          <w:bCs/>
          <w:position w:val="6"/>
          <w:sz w:val="14"/>
          <w:szCs w:val="16"/>
        </w:rPr>
        <w:footnoteReference w:id="21"/>
      </w:r>
      <w:r w:rsidRPr="00FD7175">
        <w:rPr>
          <w:rFonts w:ascii="Century Gothic" w:hAnsi="Century Gothic" w:cs="Arial"/>
          <w:bCs/>
          <w:sz w:val="22"/>
          <w:szCs w:val="22"/>
        </w:rPr>
        <w:t xml:space="preserve">. </w:t>
      </w:r>
    </w:p>
    <w:p w14:paraId="6B4701E9" w14:textId="77777777" w:rsidR="003027A3" w:rsidRPr="00FD7175" w:rsidRDefault="003027A3" w:rsidP="003027A3">
      <w:pPr>
        <w:spacing w:before="120" w:after="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Ahora bien, de lo expuesto en los considerandos de este concepto, de cara a la consulta planteada acerca de la obligación de las empresas de servicios públicos, se concluye que estas empresas, independientemente de que el régimen contractual que les aplica sea el derecho privado, deben publicar su actividad en el SECOP II o la plataforma transaccional que haga sus veces, de acuerdo con lo establecido en el artículo 53 de la Ley 2195 de 2022. La disposición citada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p w14:paraId="1E213F9B" w14:textId="77777777" w:rsidR="003027A3" w:rsidRPr="00FD7175" w:rsidRDefault="003027A3" w:rsidP="003027A3">
      <w:pPr>
        <w:spacing w:before="120" w:line="276" w:lineRule="auto"/>
        <w:ind w:firstLine="709"/>
        <w:jc w:val="both"/>
        <w:rPr>
          <w:rFonts w:ascii="Century Gothic" w:hAnsi="Century Gothic" w:cs="Arial"/>
          <w:bCs/>
          <w:sz w:val="22"/>
          <w:szCs w:val="22"/>
        </w:rPr>
      </w:pPr>
      <w:r w:rsidRPr="00FD7175">
        <w:rPr>
          <w:rFonts w:ascii="Century Gothic" w:hAnsi="Century Gothic" w:cs="Arial"/>
          <w:bCs/>
          <w:sz w:val="22"/>
          <w:szCs w:val="22"/>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generalmente por el derecho privado en materia contractual–, al ser sujetos obligados a garantizar el derecho de acceso a la información y a los documentos </w:t>
      </w:r>
      <w:r w:rsidRPr="00FD7175">
        <w:rPr>
          <w:rFonts w:ascii="Century Gothic" w:hAnsi="Century Gothic" w:cs="Arial"/>
          <w:bCs/>
          <w:sz w:val="22"/>
          <w:szCs w:val="22"/>
        </w:rPr>
        <w:lastRenderedPageBreak/>
        <w:t>públicos, deben publicar en el SECOP los documentos relacionados con su gestión contractual.</w:t>
      </w:r>
    </w:p>
    <w:p w14:paraId="7C91EFCD" w14:textId="77777777" w:rsidR="003027A3" w:rsidRPr="00FD7175" w:rsidRDefault="003027A3" w:rsidP="003027A3">
      <w:pPr>
        <w:spacing w:line="276" w:lineRule="auto"/>
        <w:contextualSpacing/>
        <w:jc w:val="both"/>
        <w:rPr>
          <w:rFonts w:ascii="Century Gothic" w:hAnsi="Century Gothic" w:cs="Arial"/>
          <w:b/>
          <w:sz w:val="22"/>
          <w:szCs w:val="22"/>
        </w:rPr>
      </w:pPr>
    </w:p>
    <w:p w14:paraId="05A98B28" w14:textId="77777777" w:rsidR="003027A3" w:rsidRPr="00FD7175" w:rsidRDefault="003027A3" w:rsidP="003027A3">
      <w:pPr>
        <w:spacing w:line="276" w:lineRule="auto"/>
        <w:contextualSpacing/>
        <w:jc w:val="both"/>
        <w:rPr>
          <w:rFonts w:ascii="Century Gothic" w:hAnsi="Century Gothic" w:cs="Arial"/>
          <w:bCs/>
          <w:sz w:val="22"/>
          <w:szCs w:val="22"/>
        </w:rPr>
      </w:pPr>
      <w:r w:rsidRPr="00FD7175">
        <w:rPr>
          <w:rFonts w:ascii="Century Gothic" w:hAnsi="Century Gothic" w:cs="Arial"/>
          <w:b/>
          <w:sz w:val="22"/>
          <w:szCs w:val="22"/>
        </w:rPr>
        <w:t xml:space="preserve">2.4. </w:t>
      </w:r>
      <w:bookmarkStart w:id="12" w:name="_Hlk109112150"/>
      <w:r w:rsidRPr="00FD7175">
        <w:rPr>
          <w:rFonts w:ascii="Century Gothic" w:hAnsi="Century Gothic" w:cs="Arial"/>
          <w:b/>
          <w:sz w:val="22"/>
          <w:szCs w:val="22"/>
        </w:rPr>
        <w:t>Naturaleza jurídica del contrato de trabajo y su incidencia en la Ley 2195 de 2022</w:t>
      </w:r>
    </w:p>
    <w:bookmarkEnd w:id="12"/>
    <w:p w14:paraId="544C1E6D" w14:textId="77777777" w:rsidR="003027A3" w:rsidRPr="00FD7175" w:rsidRDefault="003027A3" w:rsidP="003027A3">
      <w:pPr>
        <w:spacing w:line="276" w:lineRule="auto"/>
        <w:ind w:firstLine="708"/>
        <w:jc w:val="both"/>
        <w:rPr>
          <w:rFonts w:ascii="Century Gothic" w:hAnsi="Century Gothic" w:cs="Arial"/>
          <w:color w:val="000000" w:themeColor="text1"/>
          <w:sz w:val="22"/>
          <w:szCs w:val="22"/>
          <w:lang w:eastAsia="es-MX"/>
        </w:rPr>
      </w:pPr>
    </w:p>
    <w:p w14:paraId="07380B7A" w14:textId="77777777" w:rsidR="003027A3" w:rsidRPr="00FD7175" w:rsidRDefault="003027A3" w:rsidP="003027A3">
      <w:pPr>
        <w:spacing w:line="276" w:lineRule="auto"/>
        <w:jc w:val="both"/>
        <w:rPr>
          <w:rFonts w:ascii="Century Gothic" w:hAnsi="Century Gothic" w:cs="Arial"/>
          <w:color w:val="000000" w:themeColor="text1"/>
          <w:sz w:val="22"/>
          <w:szCs w:val="22"/>
          <w:lang w:val="es-ES"/>
        </w:rPr>
      </w:pPr>
      <w:r w:rsidRPr="00FD7175">
        <w:rPr>
          <w:rFonts w:ascii="Century Gothic" w:hAnsi="Century Gothic" w:cs="Arial"/>
          <w:color w:val="000000" w:themeColor="text1"/>
          <w:sz w:val="22"/>
          <w:szCs w:val="22"/>
          <w:lang w:val="es-ES"/>
        </w:rPr>
        <w:t xml:space="preserve">Finalmente, tal y como prescribe el artículo 53 de la Ley 2195 de 2022, en su inciso segundo se señala claramente la obligación de realizar la publicación en el Sistema Electrónico para la Contratación Pública – SECEP II-, refiriendo expresamente cuales de dichas actividades contractuales, se demanda su publicación, para lo cual realiza una conceptualización de -actividad contractual-, manifestando que son los “…documentos, contratos, actos e información…”, con la específica distinción de ser generada por “oferentes, contratista, contratante, supervisor o interventor, tanto en la etapa precontractual, como en la contractual y la </w:t>
      </w:r>
      <w:proofErr w:type="spellStart"/>
      <w:r w:rsidRPr="00FD7175">
        <w:rPr>
          <w:rFonts w:ascii="Century Gothic" w:hAnsi="Century Gothic" w:cs="Arial"/>
          <w:color w:val="000000" w:themeColor="text1"/>
          <w:sz w:val="22"/>
          <w:szCs w:val="22"/>
          <w:lang w:val="es-ES"/>
        </w:rPr>
        <w:t>postcontractual</w:t>
      </w:r>
      <w:proofErr w:type="spellEnd"/>
      <w:r w:rsidRPr="00FD7175">
        <w:rPr>
          <w:rFonts w:ascii="Century Gothic" w:hAnsi="Century Gothic" w:cs="Arial"/>
          <w:color w:val="000000" w:themeColor="text1"/>
          <w:sz w:val="22"/>
          <w:szCs w:val="22"/>
          <w:lang w:val="es-ES"/>
        </w:rPr>
        <w:t xml:space="preserve">”. </w:t>
      </w:r>
    </w:p>
    <w:p w14:paraId="0C1CEC90" w14:textId="77777777" w:rsidR="003027A3" w:rsidRPr="00FD7175" w:rsidRDefault="003027A3" w:rsidP="003027A3">
      <w:pPr>
        <w:spacing w:line="276" w:lineRule="auto"/>
        <w:ind w:firstLine="567"/>
        <w:jc w:val="both"/>
        <w:rPr>
          <w:rFonts w:ascii="Century Gothic" w:hAnsi="Century Gothic" w:cs="Arial"/>
          <w:color w:val="000000" w:themeColor="text1"/>
          <w:sz w:val="22"/>
          <w:szCs w:val="22"/>
          <w:lang w:val="es-ES"/>
        </w:rPr>
      </w:pPr>
      <w:r w:rsidRPr="00FD7175">
        <w:rPr>
          <w:rFonts w:ascii="Century Gothic" w:hAnsi="Century Gothic" w:cs="Arial"/>
          <w:color w:val="000000" w:themeColor="text1"/>
          <w:sz w:val="22"/>
          <w:szCs w:val="22"/>
          <w:lang w:val="es-ES"/>
        </w:rPr>
        <w:t>En tales condiciones de los elementos y caracteres normativos dispuesto por el legislador, es que precisamente, para efectos de fijar el alcance de uno de los interrogantes propuestos, se entra a diferenciar las figuras contractuales que contiene la legislación civil y eventualmente las figuras de selección pública, frente a la forma específica del contrato de trabajo propio del Código Sustantivo del Trabajo, este último que en los términos de los artículos 5 y 22 de dicho estatuto, especifican su naturaleza, así:</w:t>
      </w:r>
    </w:p>
    <w:p w14:paraId="4CAC0E5A" w14:textId="77777777" w:rsidR="003027A3" w:rsidRPr="004931C5" w:rsidRDefault="003027A3" w:rsidP="003027A3">
      <w:pPr>
        <w:ind w:left="709" w:right="709"/>
        <w:contextualSpacing/>
        <w:jc w:val="both"/>
        <w:rPr>
          <w:rFonts w:ascii="Century Gothic" w:hAnsi="Century Gothic" w:cs="Arial"/>
          <w:bCs/>
        </w:rPr>
      </w:pPr>
    </w:p>
    <w:p w14:paraId="7FAF7BD1" w14:textId="77777777" w:rsidR="003027A3" w:rsidRDefault="003027A3" w:rsidP="003027A3">
      <w:pPr>
        <w:ind w:left="567" w:right="616"/>
        <w:jc w:val="both"/>
        <w:rPr>
          <w:rFonts w:ascii="Century Gothic" w:hAnsi="Century Gothic" w:cs="Arial"/>
          <w:color w:val="000000" w:themeColor="text1"/>
          <w:sz w:val="20"/>
          <w:szCs w:val="20"/>
          <w:lang w:val="es-ES"/>
        </w:rPr>
      </w:pPr>
      <w:r w:rsidRPr="007D1309">
        <w:rPr>
          <w:rFonts w:ascii="Century Gothic" w:hAnsi="Century Gothic" w:cs="Arial"/>
          <w:color w:val="000000" w:themeColor="text1"/>
          <w:sz w:val="20"/>
          <w:szCs w:val="20"/>
          <w:lang w:val="es-ES"/>
        </w:rPr>
        <w:t xml:space="preserve">“ARTICULO 5o. DEFINICION DE TRABAJO. El trabajo que regula este Código es toda actividad humana libre, ya sea material o intelectual, permanente o transitoria, que una persona natural ejecuta conscientemente al servicio de otra, y cualquiera que sea su finalidad, siempre que se efectúe en ejecución de un contrato de trabajo. </w:t>
      </w:r>
      <w:r>
        <w:rPr>
          <w:rFonts w:ascii="Century Gothic" w:hAnsi="Century Gothic" w:cs="Arial"/>
          <w:color w:val="000000" w:themeColor="text1"/>
          <w:sz w:val="20"/>
          <w:szCs w:val="20"/>
          <w:lang w:val="es-ES"/>
        </w:rPr>
        <w:t>(…)</w:t>
      </w:r>
    </w:p>
    <w:p w14:paraId="0A2DFB10" w14:textId="77777777" w:rsidR="003027A3" w:rsidRPr="007D1309" w:rsidRDefault="003027A3" w:rsidP="003027A3">
      <w:pPr>
        <w:ind w:left="567" w:right="616"/>
        <w:jc w:val="both"/>
        <w:rPr>
          <w:rFonts w:ascii="Century Gothic" w:hAnsi="Century Gothic" w:cs="Arial"/>
          <w:color w:val="000000" w:themeColor="text1"/>
          <w:sz w:val="20"/>
          <w:szCs w:val="20"/>
          <w:lang w:val="es-ES"/>
        </w:rPr>
      </w:pPr>
      <w:r w:rsidRPr="007D1309">
        <w:rPr>
          <w:rFonts w:ascii="Century Gothic" w:hAnsi="Century Gothic" w:cs="Arial"/>
          <w:color w:val="000000" w:themeColor="text1"/>
          <w:sz w:val="20"/>
          <w:szCs w:val="20"/>
          <w:lang w:val="es-ES"/>
        </w:rPr>
        <w:t>ARTICULO 22. DEFINICION.</w:t>
      </w:r>
    </w:p>
    <w:p w14:paraId="21054B4A" w14:textId="77777777" w:rsidR="003027A3" w:rsidRPr="007D1309" w:rsidRDefault="003027A3" w:rsidP="003027A3">
      <w:pPr>
        <w:ind w:left="567" w:right="616"/>
        <w:jc w:val="both"/>
        <w:rPr>
          <w:rFonts w:ascii="Century Gothic" w:hAnsi="Century Gothic" w:cs="Arial"/>
          <w:color w:val="000000" w:themeColor="text1"/>
          <w:sz w:val="20"/>
          <w:szCs w:val="20"/>
          <w:lang w:val="es-ES"/>
        </w:rPr>
      </w:pPr>
      <w:r w:rsidRPr="007D1309">
        <w:rPr>
          <w:rFonts w:ascii="Century Gothic" w:hAnsi="Century Gothic" w:cs="Arial"/>
          <w:color w:val="000000" w:themeColor="text1"/>
          <w:sz w:val="20"/>
          <w:szCs w:val="20"/>
          <w:lang w:val="es-ES"/>
        </w:rPr>
        <w:t>1. Contrato de trabajo es aquel por el cual una persona natural se obliga a prestar un servicio personal a otra persona, natural o jurídica, bajo la continuada dependencia o subordinación de la segunda y mediante remuneración.</w:t>
      </w:r>
    </w:p>
    <w:p w14:paraId="63260B61" w14:textId="77777777" w:rsidR="003027A3" w:rsidRPr="007D1309" w:rsidRDefault="003027A3" w:rsidP="003027A3">
      <w:pPr>
        <w:ind w:left="567" w:right="616"/>
        <w:jc w:val="both"/>
        <w:rPr>
          <w:rFonts w:ascii="Century Gothic" w:hAnsi="Century Gothic" w:cs="Arial"/>
          <w:color w:val="000000" w:themeColor="text1"/>
          <w:sz w:val="20"/>
          <w:szCs w:val="20"/>
          <w:lang w:val="es-ES"/>
        </w:rPr>
      </w:pPr>
      <w:r w:rsidRPr="007D1309">
        <w:rPr>
          <w:rFonts w:ascii="Century Gothic" w:hAnsi="Century Gothic" w:cs="Arial"/>
          <w:color w:val="000000" w:themeColor="text1"/>
          <w:sz w:val="20"/>
          <w:szCs w:val="20"/>
          <w:lang w:val="es-ES"/>
        </w:rPr>
        <w:t>2. Quien presta el servicio se denomina trabajador, quien lo recibe y remunera, {empleador}, y la remuneración, cualquiera que sea su forma, salario.”</w:t>
      </w:r>
    </w:p>
    <w:p w14:paraId="458F7C9A" w14:textId="77777777" w:rsidR="003027A3" w:rsidRDefault="003027A3" w:rsidP="003027A3">
      <w:pPr>
        <w:spacing w:line="276" w:lineRule="auto"/>
        <w:ind w:firstLine="567"/>
        <w:jc w:val="both"/>
        <w:rPr>
          <w:rFonts w:ascii="Century Gothic" w:hAnsi="Century Gothic" w:cs="Arial"/>
          <w:color w:val="000000" w:themeColor="text1"/>
          <w:lang w:val="es-ES"/>
        </w:rPr>
      </w:pPr>
    </w:p>
    <w:p w14:paraId="2CABFD28" w14:textId="77777777" w:rsidR="003027A3" w:rsidRPr="00FD7175" w:rsidRDefault="003027A3" w:rsidP="003027A3">
      <w:pPr>
        <w:spacing w:line="276" w:lineRule="auto"/>
        <w:ind w:firstLine="567"/>
        <w:jc w:val="both"/>
        <w:rPr>
          <w:rFonts w:ascii="Century Gothic" w:hAnsi="Century Gothic" w:cs="Arial"/>
          <w:color w:val="000000" w:themeColor="text1"/>
          <w:sz w:val="22"/>
          <w:szCs w:val="22"/>
          <w:lang w:val="es-ES"/>
        </w:rPr>
      </w:pPr>
      <w:r w:rsidRPr="00FD7175">
        <w:rPr>
          <w:rFonts w:ascii="Century Gothic" w:hAnsi="Century Gothic" w:cs="Arial"/>
          <w:color w:val="000000" w:themeColor="text1"/>
          <w:sz w:val="22"/>
          <w:szCs w:val="22"/>
          <w:lang w:val="es-ES"/>
        </w:rPr>
        <w:t xml:space="preserve">De las disposiciones transcritas, es que se cimenta la principal diferente de la figura de un negocio jurídico especial, como lo es el contrato de trabajo, disponiendo como elemento fundante la subordinación de uno de los contratantes ante al otro, así de referenciarse con denominaciones específicas como lo son, trabajador y empleador, dejando con ello, la concepción natural de todo contrato </w:t>
      </w:r>
      <w:r w:rsidRPr="00FD7175">
        <w:rPr>
          <w:rFonts w:ascii="Century Gothic" w:hAnsi="Century Gothic" w:cs="Arial"/>
          <w:color w:val="000000" w:themeColor="text1"/>
          <w:sz w:val="22"/>
          <w:szCs w:val="22"/>
          <w:lang w:val="es-ES"/>
        </w:rPr>
        <w:lastRenderedPageBreak/>
        <w:t>como contratante y contratista. Y es precisamente, es este el elemento que medularmente ha distinguido las relaciones de trabajo de las relaciones de prestación de servicios, tal y como lo reconoció el Consejo de Estado en su Sección Segunda, en sentencia de unificación</w:t>
      </w:r>
      <w:r w:rsidRPr="00FD7175">
        <w:rPr>
          <w:rStyle w:val="Refdenotaalpie"/>
          <w:rFonts w:ascii="Century Gothic" w:hAnsi="Century Gothic" w:cs="Arial"/>
          <w:color w:val="000000" w:themeColor="text1"/>
          <w:sz w:val="22"/>
          <w:szCs w:val="22"/>
        </w:rPr>
        <w:footnoteReference w:id="22"/>
      </w:r>
      <w:r w:rsidRPr="00FD7175">
        <w:rPr>
          <w:rFonts w:ascii="Century Gothic" w:hAnsi="Century Gothic" w:cs="Arial"/>
          <w:color w:val="000000" w:themeColor="text1"/>
          <w:sz w:val="22"/>
          <w:szCs w:val="22"/>
          <w:lang w:val="es-ES"/>
        </w:rPr>
        <w:t>, en la cual expresó:</w:t>
      </w:r>
    </w:p>
    <w:p w14:paraId="5D1BBFDF" w14:textId="77777777" w:rsidR="003027A3" w:rsidRPr="00FD7175" w:rsidRDefault="003027A3" w:rsidP="003027A3">
      <w:pPr>
        <w:spacing w:line="276" w:lineRule="auto"/>
        <w:ind w:left="567" w:right="616"/>
        <w:jc w:val="both"/>
        <w:rPr>
          <w:rFonts w:ascii="Century Gothic" w:hAnsi="Century Gothic" w:cs="Arial"/>
          <w:color w:val="000000" w:themeColor="text1"/>
          <w:sz w:val="18"/>
          <w:szCs w:val="18"/>
          <w:lang w:val="es-ES"/>
        </w:rPr>
      </w:pPr>
      <w:r w:rsidRPr="00FD7175">
        <w:rPr>
          <w:rFonts w:ascii="Century Gothic" w:hAnsi="Century Gothic" w:cs="Arial"/>
          <w:color w:val="000000" w:themeColor="text1"/>
          <w:sz w:val="22"/>
          <w:szCs w:val="22"/>
          <w:lang w:val="es-ES"/>
        </w:rPr>
        <w:t>“</w:t>
      </w:r>
      <w:r w:rsidRPr="00FD7175">
        <w:rPr>
          <w:rFonts w:ascii="Century Gothic" w:hAnsi="Century Gothic" w:cs="Arial"/>
          <w:color w:val="000000" w:themeColor="text1"/>
          <w:sz w:val="18"/>
          <w:szCs w:val="18"/>
          <w:lang w:val="es-ES"/>
        </w:rPr>
        <w:t>2.3.3.2. Subordinación continuada</w:t>
      </w:r>
    </w:p>
    <w:p w14:paraId="0C9CADC6" w14:textId="77777777" w:rsidR="003027A3" w:rsidRPr="00FD7175" w:rsidRDefault="003027A3" w:rsidP="003027A3">
      <w:pPr>
        <w:spacing w:line="276" w:lineRule="auto"/>
        <w:ind w:left="567" w:right="616"/>
        <w:jc w:val="both"/>
        <w:rPr>
          <w:rFonts w:ascii="Century Gothic" w:hAnsi="Century Gothic" w:cs="Arial"/>
          <w:color w:val="000000" w:themeColor="text1"/>
          <w:sz w:val="18"/>
          <w:szCs w:val="18"/>
          <w:lang w:val="es-ES"/>
        </w:rPr>
      </w:pPr>
      <w:r w:rsidRPr="00FD7175">
        <w:rPr>
          <w:rFonts w:ascii="Century Gothic" w:hAnsi="Century Gothic" w:cs="Arial"/>
          <w:color w:val="000000" w:themeColor="text1"/>
          <w:sz w:val="18"/>
          <w:szCs w:val="18"/>
          <w:lang w:val="es-ES"/>
        </w:rPr>
        <w:t>102. De acuerdo con el Artículo 23 del Código Sustantivo del Trabajo, la subordinación o dependencia del trabajador constituye el elemento determinante que distingue la relación laboral de las demás prestaciones de servicios, pues encierra la facultad del empleador para exigirle al empleado el cumplimiento de órdenes, imponerle jornada y horario, modo o cantidad de trabajo, obedecer protocolos de organización y someterlo a su poder disciplinario. No obstante, la subordinación es un concepto abstracto que se manifiesta de forma distinta según cuál sea la actividad y el modo de prestación del servicio.</w:t>
      </w:r>
      <w:r w:rsidRPr="00FD7175">
        <w:rPr>
          <w:rStyle w:val="Refdenotaalpie"/>
          <w:rFonts w:ascii="Century Gothic" w:hAnsi="Century Gothic" w:cs="Arial"/>
          <w:color w:val="000000" w:themeColor="text1"/>
          <w:sz w:val="18"/>
          <w:szCs w:val="18"/>
        </w:rPr>
        <w:footnoteReference w:id="23"/>
      </w:r>
      <w:r w:rsidRPr="00FD7175">
        <w:rPr>
          <w:rFonts w:ascii="Century Gothic" w:hAnsi="Century Gothic" w:cs="Arial"/>
          <w:color w:val="000000" w:themeColor="text1"/>
          <w:sz w:val="18"/>
          <w:szCs w:val="18"/>
          <w:lang w:val="es-ES"/>
        </w:rPr>
        <w:t>”</w:t>
      </w:r>
    </w:p>
    <w:p w14:paraId="71C33DA6" w14:textId="77777777" w:rsidR="003027A3" w:rsidRPr="00FD7175" w:rsidRDefault="003027A3" w:rsidP="003027A3">
      <w:pPr>
        <w:spacing w:line="276" w:lineRule="auto"/>
        <w:ind w:firstLine="567"/>
        <w:jc w:val="both"/>
        <w:rPr>
          <w:rFonts w:ascii="Century Gothic" w:eastAsia="Calibri" w:hAnsi="Century Gothic" w:cs="Arial"/>
          <w:b/>
          <w:color w:val="000000" w:themeColor="text1"/>
          <w:sz w:val="22"/>
          <w:szCs w:val="22"/>
          <w:lang w:val="es-ES_tradnl"/>
        </w:rPr>
      </w:pPr>
      <w:r w:rsidRPr="00FD7175">
        <w:rPr>
          <w:rFonts w:ascii="Century Gothic" w:hAnsi="Century Gothic" w:cs="Arial"/>
          <w:color w:val="000000" w:themeColor="text1"/>
          <w:sz w:val="22"/>
          <w:szCs w:val="22"/>
          <w:lang w:val="es-ES"/>
        </w:rPr>
        <w:t xml:space="preserve">En síntesis, conforme a las distinciones ya predicadas acerca del contrato de trabajo y la relación laboral que le subyace, desde su naturaleza, es claro que no podría cobijar las condiciones propias del mismo, los términos del artículo 53 de la Ley 2195 de 2022, pues como se menciona en la misma legislación e incluso, en las normas que la precedieron, dicha modalidad contractual propia de la relación laboral, no hace parte de la dinámica negocial propia del derecho civil y menos de los procesos de selección de la contratación pública, propio de las publicaciones que se exigen de las entidades públicas y de las entidades perteneciente al régimen exceptuado, como se ha mencionado, no siendo este un tipo de contrato generado con la intervención de “…oferentes, contratista, contratante, supervisor o interventor…”, por lo tanto, no existe obligación legal de consignarlos en el </w:t>
      </w:r>
      <w:r w:rsidRPr="00FD7175">
        <w:rPr>
          <w:rFonts w:ascii="Century Gothic" w:hAnsi="Century Gothic" w:cs="Arial"/>
          <w:bCs/>
          <w:sz w:val="22"/>
          <w:szCs w:val="22"/>
        </w:rPr>
        <w:t>Sistema Electrónico para la Contratación Pública –SECOP II–.</w:t>
      </w:r>
    </w:p>
    <w:p w14:paraId="6A20F666" w14:textId="77777777" w:rsidR="003027A3" w:rsidRPr="00FD7175" w:rsidRDefault="003027A3" w:rsidP="003027A3">
      <w:pPr>
        <w:tabs>
          <w:tab w:val="left" w:pos="0"/>
        </w:tabs>
        <w:jc w:val="both"/>
        <w:rPr>
          <w:rFonts w:ascii="Century Gothic" w:eastAsia="Calibri" w:hAnsi="Century Gothic" w:cs="Arial"/>
          <w:b/>
          <w:color w:val="000000" w:themeColor="text1"/>
          <w:sz w:val="22"/>
          <w:szCs w:val="22"/>
          <w:lang w:val="es-ES_tradnl"/>
        </w:rPr>
      </w:pPr>
    </w:p>
    <w:p w14:paraId="0D9992E1" w14:textId="77777777" w:rsidR="003027A3" w:rsidRPr="00FD7175" w:rsidRDefault="003027A3" w:rsidP="003027A3">
      <w:pPr>
        <w:tabs>
          <w:tab w:val="left" w:pos="0"/>
        </w:tabs>
        <w:jc w:val="both"/>
        <w:rPr>
          <w:rFonts w:ascii="Century Gothic" w:eastAsia="Calibri" w:hAnsi="Century Gothic" w:cs="Arial"/>
          <w:b/>
          <w:color w:val="000000" w:themeColor="text1"/>
          <w:sz w:val="22"/>
          <w:szCs w:val="22"/>
          <w:lang w:val="es-ES_tradnl"/>
        </w:rPr>
      </w:pPr>
      <w:r w:rsidRPr="00FD7175">
        <w:rPr>
          <w:rFonts w:ascii="Century Gothic" w:eastAsia="Calibri" w:hAnsi="Century Gothic" w:cs="Arial"/>
          <w:b/>
          <w:color w:val="000000" w:themeColor="text1"/>
          <w:sz w:val="22"/>
          <w:szCs w:val="22"/>
          <w:lang w:val="es-ES_tradnl"/>
        </w:rPr>
        <w:t>3. Respuesta</w:t>
      </w:r>
    </w:p>
    <w:p w14:paraId="57A483D3" w14:textId="77777777" w:rsidR="003027A3" w:rsidRPr="004931C5" w:rsidRDefault="003027A3" w:rsidP="003027A3">
      <w:pPr>
        <w:ind w:left="709" w:right="709"/>
        <w:jc w:val="both"/>
        <w:rPr>
          <w:rFonts w:ascii="Century Gothic" w:hAnsi="Century Gothic" w:cs="Arial"/>
          <w:color w:val="000000" w:themeColor="text1"/>
          <w:sz w:val="20"/>
          <w:szCs w:val="20"/>
        </w:rPr>
      </w:pPr>
      <w:r w:rsidRPr="004931C5">
        <w:rPr>
          <w:rFonts w:ascii="Century Gothic" w:hAnsi="Century Gothic" w:cs="Arial"/>
          <w:color w:val="000000" w:themeColor="text1"/>
          <w:sz w:val="20"/>
          <w:szCs w:val="20"/>
        </w:rPr>
        <w:t xml:space="preserve">“¿Los contratos suscritos con régimen del código sustantivo del trabajo en relación con la prestación de servicios y recursos propios de una empresa de </w:t>
      </w:r>
    </w:p>
    <w:p w14:paraId="5D62176F" w14:textId="77777777" w:rsidR="003027A3" w:rsidRPr="004931C5" w:rsidRDefault="003027A3" w:rsidP="003027A3">
      <w:pPr>
        <w:ind w:left="709" w:right="709"/>
        <w:jc w:val="both"/>
        <w:rPr>
          <w:rFonts w:ascii="Century Gothic" w:hAnsi="Century Gothic" w:cs="Arial"/>
          <w:color w:val="000000" w:themeColor="text1"/>
          <w:sz w:val="20"/>
          <w:szCs w:val="20"/>
        </w:rPr>
      </w:pPr>
      <w:r w:rsidRPr="004931C5">
        <w:rPr>
          <w:rFonts w:ascii="Century Gothic" w:hAnsi="Century Gothic" w:cs="Arial"/>
          <w:color w:val="000000" w:themeColor="text1"/>
          <w:sz w:val="20"/>
          <w:szCs w:val="20"/>
        </w:rPr>
        <w:t xml:space="preserve">servicios públicos mixta no se deben publicar en SECOP II? </w:t>
      </w:r>
    </w:p>
    <w:p w14:paraId="1729D8BD" w14:textId="77777777" w:rsidR="003027A3" w:rsidRPr="004931C5" w:rsidRDefault="003027A3" w:rsidP="003027A3">
      <w:pPr>
        <w:ind w:left="709" w:right="709"/>
        <w:jc w:val="both"/>
        <w:rPr>
          <w:rFonts w:ascii="Century Gothic" w:hAnsi="Century Gothic" w:cs="Arial"/>
          <w:color w:val="000000" w:themeColor="text1"/>
          <w:sz w:val="20"/>
          <w:szCs w:val="20"/>
        </w:rPr>
      </w:pPr>
    </w:p>
    <w:p w14:paraId="3B6C9537" w14:textId="77777777" w:rsidR="003027A3" w:rsidRDefault="003027A3" w:rsidP="003027A3">
      <w:pPr>
        <w:ind w:left="709" w:right="709"/>
        <w:jc w:val="both"/>
        <w:rPr>
          <w:rFonts w:ascii="Century Gothic" w:hAnsi="Century Gothic" w:cs="Arial"/>
          <w:color w:val="000000" w:themeColor="text1"/>
          <w:sz w:val="20"/>
          <w:szCs w:val="20"/>
        </w:rPr>
      </w:pPr>
      <w:r w:rsidRPr="004931C5">
        <w:rPr>
          <w:rFonts w:ascii="Century Gothic" w:hAnsi="Century Gothic" w:cs="Arial"/>
          <w:color w:val="000000" w:themeColor="text1"/>
          <w:sz w:val="20"/>
          <w:szCs w:val="20"/>
        </w:rPr>
        <w:t>¿Una empresa de servicios públicos mixta puede realizar sus procesos de contratación por medio de su página web de conformidad con lo establecido en su manual de contratación y publicar únicamente el contrato en el SECOP II una vez se suscriba?”</w:t>
      </w:r>
    </w:p>
    <w:p w14:paraId="4FA52E8E" w14:textId="77777777" w:rsidR="003027A3" w:rsidRPr="004931C5" w:rsidRDefault="003027A3" w:rsidP="003027A3">
      <w:pPr>
        <w:ind w:left="709" w:right="709"/>
        <w:jc w:val="both"/>
        <w:rPr>
          <w:rFonts w:ascii="Century Gothic" w:eastAsia="Calibri" w:hAnsi="Century Gothic" w:cs="Arial"/>
          <w:color w:val="000000" w:themeColor="text1"/>
          <w:sz w:val="21"/>
          <w:szCs w:val="21"/>
        </w:rPr>
      </w:pPr>
    </w:p>
    <w:p w14:paraId="0EF7D3AF" w14:textId="77777777" w:rsidR="003027A3" w:rsidRPr="00FD7175" w:rsidRDefault="003027A3" w:rsidP="003027A3">
      <w:pPr>
        <w:spacing w:after="120" w:line="276" w:lineRule="auto"/>
        <w:jc w:val="both"/>
        <w:rPr>
          <w:rFonts w:ascii="Century Gothic" w:hAnsi="Century Gothic" w:cs="Arial"/>
          <w:color w:val="000000" w:themeColor="text1"/>
          <w:sz w:val="22"/>
          <w:szCs w:val="22"/>
          <w:lang w:val="es-ES"/>
        </w:rPr>
      </w:pPr>
      <w:r w:rsidRPr="00FD7175">
        <w:rPr>
          <w:rFonts w:ascii="Century Gothic" w:hAnsi="Century Gothic" w:cs="Arial"/>
          <w:color w:val="000000" w:themeColor="text1"/>
          <w:sz w:val="22"/>
          <w:szCs w:val="22"/>
          <w:lang w:val="es-ES"/>
        </w:rPr>
        <w:lastRenderedPageBreak/>
        <w:t xml:space="preserve">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FD7175">
        <w:rPr>
          <w:rFonts w:ascii="Century Gothic" w:hAnsi="Century Gothic" w:cs="Arial"/>
          <w:color w:val="000000" w:themeColor="text1"/>
          <w:sz w:val="22"/>
          <w:szCs w:val="22"/>
        </w:rPr>
        <w:t>brindar asesorías, ni señalar la evaluación que deben realizar las entidades públicas en la evaluación propia de las distintas etapas de un proceso de contratación.</w:t>
      </w:r>
      <w:r w:rsidRPr="00FD7175">
        <w:rPr>
          <w:rFonts w:ascii="Century Gothic" w:hAnsi="Century Gothic" w:cs="Arial"/>
          <w:color w:val="000000" w:themeColor="text1"/>
          <w:sz w:val="22"/>
          <w:szCs w:val="22"/>
          <w:lang w:val="es-ES"/>
        </w:rPr>
        <w:t xml:space="preserve"> </w:t>
      </w:r>
    </w:p>
    <w:p w14:paraId="548088BC" w14:textId="77777777" w:rsidR="003027A3" w:rsidRPr="00FD7175" w:rsidRDefault="003027A3" w:rsidP="003027A3">
      <w:pPr>
        <w:spacing w:line="276" w:lineRule="auto"/>
        <w:ind w:firstLine="567"/>
        <w:jc w:val="both"/>
        <w:rPr>
          <w:rFonts w:ascii="Century Gothic" w:eastAsia="Calibri" w:hAnsi="Century Gothic" w:cs="Arial"/>
          <w:b/>
          <w:color w:val="000000" w:themeColor="text1"/>
          <w:sz w:val="22"/>
          <w:szCs w:val="22"/>
          <w:lang w:val="es-ES_tradnl"/>
        </w:rPr>
      </w:pPr>
      <w:r w:rsidRPr="00FD7175">
        <w:rPr>
          <w:rFonts w:ascii="Century Gothic" w:hAnsi="Century Gothic" w:cs="Arial"/>
          <w:color w:val="000000" w:themeColor="text1"/>
          <w:sz w:val="22"/>
          <w:szCs w:val="22"/>
          <w:lang w:val="es-ES_tradnl"/>
        </w:rPr>
        <w:t xml:space="preserve">Sin perjuicio de lo anterior, de conformidad con las consideraciones expuestas en este concepto, frente al primer interrogante se indica que, </w:t>
      </w:r>
      <w:r w:rsidRPr="00FD7175">
        <w:rPr>
          <w:rFonts w:ascii="Century Gothic" w:hAnsi="Century Gothic" w:cs="Arial"/>
          <w:color w:val="000000" w:themeColor="text1"/>
          <w:sz w:val="22"/>
          <w:szCs w:val="22"/>
          <w:lang w:val="es-ES"/>
        </w:rPr>
        <w:t xml:space="preserve">conforme a las distinciones ya predicadas acerca del contrato de trabajo y la relación laboral que le subyace, desde su naturaleza, es claro que no podría cobijar las condiciones propias del mismo, los términos del artículo 53 de la Ley 2195 de 2022, pues como se menciona en la misma legislación e incluso, en las normas que la precedieron, dicha modalidad contractual propia de la relación laboral, no hace parte de la dinámica negocial propia del derecho civil y menos de los procesos de selección de la contratación pública, propio de las publicaciones que se exigen de las entidades públicas y de las entidades perteneciente al régimen exceptuado, como se ha mencionado, no siendo este un tipo de contrato generado con la intervención de “…oferentes, contratista, contratante, supervisor o interventor…”, por lo tanto, no existe obligación legal de consignarlos en el </w:t>
      </w:r>
      <w:r w:rsidRPr="00FD7175">
        <w:rPr>
          <w:rFonts w:ascii="Century Gothic" w:hAnsi="Century Gothic" w:cs="Arial"/>
          <w:bCs/>
          <w:sz w:val="22"/>
          <w:szCs w:val="22"/>
        </w:rPr>
        <w:t>Sistema Electrónico para la Contratación Pública –SECOP II–.</w:t>
      </w:r>
    </w:p>
    <w:p w14:paraId="620A7BEC" w14:textId="77777777" w:rsidR="003027A3" w:rsidRPr="00FD7175" w:rsidRDefault="003027A3" w:rsidP="003027A3">
      <w:pPr>
        <w:spacing w:after="120" w:line="276" w:lineRule="auto"/>
        <w:ind w:firstLine="709"/>
        <w:jc w:val="both"/>
        <w:rPr>
          <w:rFonts w:ascii="Century Gothic" w:hAnsi="Century Gothic" w:cs="Arial"/>
          <w:bCs/>
          <w:sz w:val="22"/>
          <w:szCs w:val="22"/>
        </w:rPr>
      </w:pPr>
      <w:r w:rsidRPr="00FD7175">
        <w:rPr>
          <w:rFonts w:ascii="Century Gothic" w:hAnsi="Century Gothic" w:cs="Arial"/>
          <w:bCs/>
          <w:color w:val="000000" w:themeColor="text1"/>
          <w:sz w:val="22"/>
          <w:szCs w:val="22"/>
        </w:rPr>
        <w:t xml:space="preserve">Por su parte, en lo que tiene que ver con el segundo interrogante, </w:t>
      </w:r>
      <w:r w:rsidRPr="00FD7175">
        <w:rPr>
          <w:rFonts w:ascii="Century Gothic" w:hAnsi="Century Gothic" w:cs="Arial"/>
          <w:bCs/>
          <w:sz w:val="22"/>
          <w:szCs w:val="22"/>
        </w:rPr>
        <w:t xml:space="preserve">se tiene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 En ese sentido, si bien las empresas de servicios públicos, en el marco de la autonomía que les asiste para desarrollar su gestión contractual aplicando el </w:t>
      </w:r>
      <w:r w:rsidRPr="00FD7175">
        <w:rPr>
          <w:rFonts w:ascii="Century Gothic" w:hAnsi="Century Gothic" w:cs="Arial"/>
          <w:bCs/>
          <w:sz w:val="22"/>
          <w:szCs w:val="22"/>
        </w:rPr>
        <w:lastRenderedPageBreak/>
        <w:t xml:space="preserve">régimen de derecho privado al que están sometidas, bien puede gestionar su contratación a través de sus propias plataformas, ello no los releva del deber de publicar los documentos producto de su actividad contractual en el SECOP II. </w:t>
      </w:r>
    </w:p>
    <w:p w14:paraId="4740EE97" w14:textId="77777777" w:rsidR="003027A3" w:rsidRPr="00FD7175" w:rsidRDefault="003027A3" w:rsidP="003027A3">
      <w:pPr>
        <w:spacing w:line="276" w:lineRule="auto"/>
        <w:ind w:firstLine="708"/>
        <w:jc w:val="both"/>
        <w:rPr>
          <w:rFonts w:ascii="Century Gothic" w:hAnsi="Century Gothic" w:cs="Arial"/>
          <w:color w:val="000000" w:themeColor="text1"/>
          <w:sz w:val="22"/>
          <w:szCs w:val="22"/>
          <w:lang w:val="es-ES_tradnl"/>
        </w:rPr>
      </w:pPr>
      <w:r w:rsidRPr="00FD7175">
        <w:rPr>
          <w:rFonts w:ascii="Century Gothic" w:hAnsi="Century Gothic" w:cs="Arial"/>
          <w:color w:val="000000" w:themeColor="text1"/>
          <w:sz w:val="22"/>
          <w:szCs w:val="22"/>
          <w:lang w:val="es-ES_tradnl"/>
        </w:rPr>
        <w:t xml:space="preserve">En consonancia con ello, la publicación en cada una de las etapas en la plataforma pública, es la única </w:t>
      </w:r>
      <w:proofErr w:type="gramStart"/>
      <w:r w:rsidRPr="00FD7175">
        <w:rPr>
          <w:rFonts w:ascii="Century Gothic" w:hAnsi="Century Gothic" w:cs="Arial"/>
          <w:color w:val="000000" w:themeColor="text1"/>
          <w:sz w:val="22"/>
          <w:szCs w:val="22"/>
          <w:lang w:val="es-ES_tradnl"/>
        </w:rPr>
        <w:t>que</w:t>
      </w:r>
      <w:proofErr w:type="gramEnd"/>
      <w:r w:rsidRPr="00FD7175">
        <w:rPr>
          <w:rFonts w:ascii="Century Gothic" w:hAnsi="Century Gothic" w:cs="Arial"/>
          <w:color w:val="000000" w:themeColor="text1"/>
          <w:sz w:val="22"/>
          <w:szCs w:val="22"/>
          <w:lang w:val="es-ES_tradnl"/>
        </w:rPr>
        <w:t xml:space="preserve"> valida la exigencia consagrada en la norma, no siendo posible realizar la publicación de los procesos contractuales, únicamente desde la etapa contractual, excluyendo el requerimiento específico de la norma, cuando demanda que esto se haga incluso desde </w:t>
      </w:r>
      <w:r w:rsidRPr="00FD7175">
        <w:rPr>
          <w:rFonts w:ascii="Century Gothic" w:hAnsi="Century Gothic" w:cs="Arial"/>
          <w:color w:val="000000" w:themeColor="text1"/>
          <w:sz w:val="22"/>
          <w:szCs w:val="22"/>
          <w:lang w:val="es-ES"/>
        </w:rPr>
        <w:t>la etapa precontractual.</w:t>
      </w:r>
    </w:p>
    <w:p w14:paraId="210DF93D" w14:textId="77777777" w:rsidR="003027A3" w:rsidRPr="00FD7175" w:rsidRDefault="003027A3" w:rsidP="003027A3">
      <w:pPr>
        <w:spacing w:line="276" w:lineRule="auto"/>
        <w:jc w:val="both"/>
        <w:rPr>
          <w:rFonts w:ascii="Century Gothic" w:hAnsi="Century Gothic" w:cs="Arial"/>
          <w:color w:val="000000" w:themeColor="text1"/>
          <w:sz w:val="22"/>
          <w:szCs w:val="22"/>
          <w:lang w:val="es-ES_tradnl"/>
        </w:rPr>
      </w:pPr>
    </w:p>
    <w:p w14:paraId="301F5F98" w14:textId="77777777" w:rsidR="003027A3" w:rsidRPr="00FD7175" w:rsidRDefault="003027A3" w:rsidP="003027A3">
      <w:pPr>
        <w:spacing w:line="276" w:lineRule="auto"/>
        <w:jc w:val="both"/>
        <w:rPr>
          <w:rFonts w:ascii="Century Gothic" w:hAnsi="Century Gothic" w:cs="Arial"/>
          <w:color w:val="000000" w:themeColor="text1"/>
          <w:sz w:val="22"/>
          <w:szCs w:val="22"/>
          <w:lang w:val="es-ES_tradnl"/>
        </w:rPr>
      </w:pPr>
    </w:p>
    <w:p w14:paraId="4B6D5615" w14:textId="77777777" w:rsidR="003027A3" w:rsidRPr="00FD7175" w:rsidRDefault="003027A3" w:rsidP="003027A3">
      <w:pPr>
        <w:spacing w:line="276" w:lineRule="auto"/>
        <w:jc w:val="both"/>
        <w:rPr>
          <w:rFonts w:ascii="Century Gothic" w:hAnsi="Century Gothic" w:cs="Arial"/>
          <w:color w:val="000000" w:themeColor="text1"/>
          <w:sz w:val="22"/>
          <w:szCs w:val="22"/>
          <w:lang w:val="es-ES_tradnl"/>
        </w:rPr>
      </w:pPr>
      <w:r w:rsidRPr="00FD7175">
        <w:rPr>
          <w:rFonts w:ascii="Century Gothic" w:hAnsi="Century Gothic" w:cs="Arial"/>
          <w:color w:val="000000" w:themeColor="text1"/>
          <w:sz w:val="22"/>
          <w:szCs w:val="22"/>
          <w:lang w:val="es-ES_tradnl"/>
        </w:rPr>
        <w:t>Este concepto tiene el alcance previsto en el artículo 28 del Código de Procedimiento Administrativo y de lo Contencioso Administrativo.</w:t>
      </w:r>
    </w:p>
    <w:p w14:paraId="3C8C4D21" w14:textId="77777777" w:rsidR="003027A3" w:rsidRPr="00FD7175" w:rsidRDefault="003027A3" w:rsidP="003027A3">
      <w:pPr>
        <w:pStyle w:val="NormalWeb"/>
        <w:spacing w:before="0" w:beforeAutospacing="0" w:after="0" w:afterAutospacing="0" w:line="276" w:lineRule="auto"/>
        <w:jc w:val="both"/>
        <w:rPr>
          <w:rFonts w:ascii="Century Gothic" w:hAnsi="Century Gothic" w:cs="Arial"/>
          <w:color w:val="000000" w:themeColor="text1"/>
          <w:sz w:val="20"/>
          <w:szCs w:val="20"/>
          <w:lang w:val="es-ES_tradnl"/>
        </w:rPr>
      </w:pPr>
    </w:p>
    <w:p w14:paraId="6D77BB3C" w14:textId="77777777" w:rsidR="003027A3" w:rsidRPr="00FD7175" w:rsidRDefault="003027A3" w:rsidP="003027A3">
      <w:pPr>
        <w:pStyle w:val="NormalWeb"/>
        <w:spacing w:before="0" w:beforeAutospacing="0" w:after="0" w:afterAutospacing="0" w:line="276" w:lineRule="auto"/>
        <w:jc w:val="both"/>
        <w:rPr>
          <w:rFonts w:ascii="Century Gothic" w:hAnsi="Century Gothic" w:cs="Arial"/>
          <w:color w:val="000000" w:themeColor="text1"/>
          <w:sz w:val="20"/>
          <w:szCs w:val="20"/>
          <w:lang w:val="es-ES_tradnl"/>
        </w:rPr>
      </w:pPr>
      <w:r w:rsidRPr="00FD7175">
        <w:rPr>
          <w:rFonts w:ascii="Century Gothic" w:hAnsi="Century Gothic" w:cs="Arial"/>
          <w:color w:val="000000" w:themeColor="text1"/>
          <w:sz w:val="20"/>
          <w:szCs w:val="20"/>
          <w:lang w:val="es-ES_tradnl"/>
        </w:rPr>
        <w:t>Atentamente,</w:t>
      </w:r>
    </w:p>
    <w:bookmarkEnd w:id="3"/>
    <w:p w14:paraId="2556DB3E" w14:textId="4F38B931" w:rsidR="003027A3" w:rsidRPr="004931C5" w:rsidRDefault="00F70C28" w:rsidP="003027A3">
      <w:pPr>
        <w:spacing w:line="276" w:lineRule="auto"/>
        <w:jc w:val="center"/>
        <w:rPr>
          <w:rFonts w:ascii="Century Gothic" w:hAnsi="Century Gothic" w:cs="Arial"/>
          <w:color w:val="000000" w:themeColor="text1"/>
          <w:lang w:val="es-ES_tradnl" w:eastAsia="es-CO"/>
        </w:rPr>
      </w:pPr>
      <w:r>
        <w:rPr>
          <w:noProof/>
        </w:rPr>
        <w:drawing>
          <wp:inline distT="0" distB="0" distL="0" distR="0" wp14:anchorId="4E257507" wp14:editId="0E075A6C">
            <wp:extent cx="3152381" cy="1209524"/>
            <wp:effectExtent l="0" t="0" r="0" b="0"/>
            <wp:docPr id="1378091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91289" name=""/>
                    <pic:cNvPicPr/>
                  </pic:nvPicPr>
                  <pic:blipFill>
                    <a:blip r:embed="rId12"/>
                    <a:stretch>
                      <a:fillRect/>
                    </a:stretch>
                  </pic:blipFill>
                  <pic:spPr>
                    <a:xfrm>
                      <a:off x="0" y="0"/>
                      <a:ext cx="3152381" cy="1209524"/>
                    </a:xfrm>
                    <a:prstGeom prst="rect">
                      <a:avLst/>
                    </a:prstGeom>
                  </pic:spPr>
                </pic:pic>
              </a:graphicData>
            </a:graphic>
          </wp:inline>
        </w:drawing>
      </w:r>
    </w:p>
    <w:tbl>
      <w:tblPr>
        <w:tblStyle w:val="Tablaconcuadrcula"/>
        <w:tblW w:w="0" w:type="auto"/>
        <w:tblLook w:val="04A0" w:firstRow="1" w:lastRow="0" w:firstColumn="1" w:lastColumn="0" w:noHBand="0" w:noVBand="1"/>
      </w:tblPr>
      <w:tblGrid>
        <w:gridCol w:w="855"/>
        <w:gridCol w:w="4957"/>
      </w:tblGrid>
      <w:tr w:rsidR="003027A3" w:rsidRPr="004931C5" w14:paraId="61771BEA" w14:textId="77777777" w:rsidTr="008975ED">
        <w:trPr>
          <w:trHeight w:val="315"/>
        </w:trPr>
        <w:tc>
          <w:tcPr>
            <w:tcW w:w="855" w:type="dxa"/>
            <w:tcBorders>
              <w:top w:val="nil"/>
              <w:left w:val="nil"/>
              <w:bottom w:val="nil"/>
              <w:right w:val="nil"/>
            </w:tcBorders>
            <w:vAlign w:val="center"/>
            <w:hideMark/>
          </w:tcPr>
          <w:p w14:paraId="0FE35988" w14:textId="77777777" w:rsidR="003027A3" w:rsidRPr="004931C5" w:rsidRDefault="003027A3" w:rsidP="008975ED">
            <w:pPr>
              <w:rPr>
                <w:rFonts w:ascii="Century Gothic" w:hAnsi="Century Gothic" w:cs="Arial"/>
                <w:color w:val="000000" w:themeColor="text1"/>
                <w:sz w:val="16"/>
                <w:szCs w:val="16"/>
                <w:lang w:val="es-ES" w:eastAsia="es-ES"/>
              </w:rPr>
            </w:pPr>
            <w:r w:rsidRPr="004931C5">
              <w:rPr>
                <w:rFonts w:ascii="Century Gothic" w:hAnsi="Century Gothic" w:cs="Arial"/>
                <w:color w:val="000000" w:themeColor="text1"/>
                <w:sz w:val="16"/>
                <w:szCs w:val="16"/>
                <w:lang w:val="es-ES" w:eastAsia="es-ES"/>
              </w:rPr>
              <w:t>Elaboró:</w:t>
            </w:r>
          </w:p>
        </w:tc>
        <w:tc>
          <w:tcPr>
            <w:tcW w:w="4957" w:type="dxa"/>
            <w:tcBorders>
              <w:top w:val="nil"/>
              <w:left w:val="nil"/>
              <w:bottom w:val="dotted" w:sz="4" w:space="0" w:color="7F7F7F" w:themeColor="text1" w:themeTint="80"/>
              <w:right w:val="nil"/>
            </w:tcBorders>
            <w:vAlign w:val="center"/>
            <w:hideMark/>
          </w:tcPr>
          <w:p w14:paraId="1FEE7054" w14:textId="77777777" w:rsidR="003027A3" w:rsidRPr="004931C5" w:rsidRDefault="003027A3" w:rsidP="008975ED">
            <w:pPr>
              <w:rPr>
                <w:rFonts w:ascii="Century Gothic" w:eastAsia="Calibri" w:hAnsi="Century Gothic" w:cs="Arial"/>
                <w:color w:val="000000" w:themeColor="text1"/>
                <w:sz w:val="16"/>
                <w:szCs w:val="16"/>
                <w:lang w:val="es-ES_tradnl" w:eastAsia="es-ES"/>
              </w:rPr>
            </w:pPr>
            <w:r w:rsidRPr="004931C5">
              <w:rPr>
                <w:rFonts w:ascii="Century Gothic" w:eastAsia="Calibri" w:hAnsi="Century Gothic" w:cs="Arial"/>
                <w:color w:val="000000" w:themeColor="text1"/>
                <w:sz w:val="16"/>
                <w:szCs w:val="16"/>
                <w:lang w:val="es-ES_tradnl" w:eastAsia="es-ES"/>
              </w:rPr>
              <w:t>Jorge Mario Payares Villa</w:t>
            </w:r>
          </w:p>
          <w:p w14:paraId="195809A7" w14:textId="77777777" w:rsidR="003027A3" w:rsidRPr="004931C5" w:rsidRDefault="003027A3" w:rsidP="008975ED">
            <w:pPr>
              <w:rPr>
                <w:rFonts w:ascii="Century Gothic" w:hAnsi="Century Gothic" w:cs="Arial"/>
                <w:color w:val="000000" w:themeColor="text1"/>
                <w:sz w:val="16"/>
                <w:szCs w:val="16"/>
                <w:lang w:val="es-ES" w:eastAsia="es-ES"/>
              </w:rPr>
            </w:pPr>
            <w:r w:rsidRPr="004931C5">
              <w:rPr>
                <w:rFonts w:ascii="Century Gothic" w:eastAsia="Calibri" w:hAnsi="Century Gothic" w:cs="Arial"/>
                <w:color w:val="000000" w:themeColor="text1"/>
                <w:sz w:val="16"/>
                <w:szCs w:val="16"/>
                <w:lang w:val="es-ES_tradnl" w:eastAsia="es-ES"/>
              </w:rPr>
              <w:t xml:space="preserve">Contratista </w:t>
            </w:r>
            <w:r w:rsidRPr="004931C5">
              <w:rPr>
                <w:rFonts w:ascii="Century Gothic" w:hAnsi="Century Gothic" w:cs="Arial"/>
                <w:color w:val="000000" w:themeColor="text1"/>
                <w:sz w:val="16"/>
                <w:szCs w:val="16"/>
                <w:lang w:val="es-ES" w:eastAsia="es-ES"/>
              </w:rPr>
              <w:t>de la Subdirección de Gestión Contractual</w:t>
            </w:r>
          </w:p>
        </w:tc>
      </w:tr>
      <w:tr w:rsidR="003027A3" w:rsidRPr="004931C5" w14:paraId="73858C99" w14:textId="77777777" w:rsidTr="008975ED">
        <w:trPr>
          <w:trHeight w:val="330"/>
        </w:trPr>
        <w:tc>
          <w:tcPr>
            <w:tcW w:w="855" w:type="dxa"/>
            <w:tcBorders>
              <w:top w:val="nil"/>
              <w:left w:val="nil"/>
              <w:bottom w:val="nil"/>
              <w:right w:val="nil"/>
            </w:tcBorders>
            <w:vAlign w:val="center"/>
            <w:hideMark/>
          </w:tcPr>
          <w:p w14:paraId="3176CE74" w14:textId="77777777" w:rsidR="003027A3" w:rsidRPr="004931C5" w:rsidRDefault="003027A3" w:rsidP="008975ED">
            <w:pPr>
              <w:rPr>
                <w:rFonts w:ascii="Century Gothic" w:hAnsi="Century Gothic" w:cs="Arial"/>
                <w:color w:val="000000" w:themeColor="text1"/>
                <w:sz w:val="16"/>
                <w:szCs w:val="16"/>
                <w:lang w:val="es-ES" w:eastAsia="es-ES"/>
              </w:rPr>
            </w:pPr>
            <w:r w:rsidRPr="004931C5">
              <w:rPr>
                <w:rFonts w:ascii="Century Gothic" w:hAnsi="Century Gothic" w:cs="Arial"/>
                <w:color w:val="000000" w:themeColor="text1"/>
                <w:sz w:val="16"/>
                <w:szCs w:val="16"/>
                <w:lang w:val="es-ES" w:eastAsia="es-ES"/>
              </w:rPr>
              <w:t>Revisó: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35DB07F1" w14:textId="77777777" w:rsidR="003027A3" w:rsidRPr="004931C5" w:rsidRDefault="003027A3" w:rsidP="008975ED">
            <w:pPr>
              <w:rPr>
                <w:rFonts w:ascii="Century Gothic" w:eastAsia="Calibri" w:hAnsi="Century Gothic" w:cs="Arial"/>
                <w:color w:val="000000" w:themeColor="text1"/>
                <w:sz w:val="16"/>
                <w:szCs w:val="16"/>
                <w:lang w:val="es-ES_tradnl" w:eastAsia="es-ES"/>
              </w:rPr>
            </w:pPr>
            <w:r w:rsidRPr="004931C5">
              <w:rPr>
                <w:rFonts w:ascii="Century Gothic" w:eastAsia="Calibri" w:hAnsi="Century Gothic" w:cs="Arial"/>
                <w:color w:val="000000" w:themeColor="text1"/>
                <w:sz w:val="16"/>
                <w:szCs w:val="16"/>
                <w:lang w:val="es-ES_tradnl" w:eastAsia="es-ES"/>
              </w:rPr>
              <w:t>Alejandro Sarmiento Cantillo</w:t>
            </w:r>
          </w:p>
          <w:p w14:paraId="2ECC6D30" w14:textId="77777777" w:rsidR="003027A3" w:rsidRPr="004931C5" w:rsidRDefault="003027A3" w:rsidP="008975ED">
            <w:pPr>
              <w:rPr>
                <w:rFonts w:ascii="Century Gothic" w:hAnsi="Century Gothic" w:cs="Arial"/>
                <w:color w:val="000000" w:themeColor="text1"/>
                <w:sz w:val="16"/>
                <w:szCs w:val="16"/>
                <w:lang w:val="es-ES" w:eastAsia="es-ES"/>
              </w:rPr>
            </w:pPr>
            <w:r w:rsidRPr="004931C5">
              <w:rPr>
                <w:rFonts w:ascii="Century Gothic" w:eastAsia="Calibri" w:hAnsi="Century Gothic" w:cs="Arial"/>
                <w:color w:val="000000" w:themeColor="text1"/>
                <w:sz w:val="16"/>
                <w:szCs w:val="16"/>
                <w:lang w:val="es-ES" w:eastAsia="es-ES"/>
              </w:rPr>
              <w:t xml:space="preserve">Gestor T1-15 </w:t>
            </w:r>
            <w:r w:rsidRPr="004931C5">
              <w:rPr>
                <w:rFonts w:ascii="Century Gothic" w:hAnsi="Century Gothic" w:cs="Arial"/>
                <w:color w:val="000000" w:themeColor="text1"/>
                <w:sz w:val="16"/>
                <w:szCs w:val="16"/>
                <w:lang w:val="es-ES" w:eastAsia="es-ES"/>
              </w:rPr>
              <w:t>de la Subdirección de Gestión Contractual</w:t>
            </w:r>
          </w:p>
        </w:tc>
      </w:tr>
      <w:tr w:rsidR="003027A3" w:rsidRPr="004931C5" w14:paraId="37EAF8D8" w14:textId="77777777" w:rsidTr="008975ED">
        <w:trPr>
          <w:trHeight w:val="300"/>
        </w:trPr>
        <w:tc>
          <w:tcPr>
            <w:tcW w:w="855" w:type="dxa"/>
            <w:tcBorders>
              <w:top w:val="nil"/>
              <w:left w:val="nil"/>
              <w:bottom w:val="nil"/>
              <w:right w:val="nil"/>
            </w:tcBorders>
            <w:vAlign w:val="center"/>
          </w:tcPr>
          <w:p w14:paraId="656FB254" w14:textId="77777777" w:rsidR="003027A3" w:rsidRPr="004931C5" w:rsidRDefault="003027A3" w:rsidP="008975ED">
            <w:pPr>
              <w:rPr>
                <w:rFonts w:ascii="Century Gothic" w:hAnsi="Century Gothic" w:cs="Arial"/>
                <w:color w:val="000000" w:themeColor="text1"/>
                <w:sz w:val="16"/>
                <w:szCs w:val="16"/>
                <w:lang w:val="es-ES" w:eastAsia="es-ES"/>
              </w:rPr>
            </w:pPr>
            <w:r w:rsidRPr="004931C5">
              <w:rPr>
                <w:rFonts w:ascii="Century Gothic" w:hAnsi="Century Gothic" w:cs="Arial"/>
                <w:color w:val="000000" w:themeColor="text1"/>
                <w:sz w:val="16"/>
                <w:szCs w:val="16"/>
                <w:lang w:val="es-ES" w:eastAsia="es-ES"/>
              </w:rPr>
              <w:t>Aprobó:</w:t>
            </w:r>
          </w:p>
        </w:tc>
        <w:tc>
          <w:tcPr>
            <w:tcW w:w="4957" w:type="dxa"/>
            <w:tcBorders>
              <w:top w:val="dotted" w:sz="4" w:space="0" w:color="7F7F7F" w:themeColor="text1" w:themeTint="80"/>
              <w:left w:val="nil"/>
              <w:bottom w:val="dotted" w:sz="4" w:space="0" w:color="7F7F7F" w:themeColor="text1" w:themeTint="80"/>
              <w:right w:val="nil"/>
            </w:tcBorders>
            <w:vAlign w:val="center"/>
          </w:tcPr>
          <w:p w14:paraId="09193E53" w14:textId="77777777" w:rsidR="003027A3" w:rsidRPr="004931C5" w:rsidRDefault="003027A3" w:rsidP="008975ED">
            <w:pPr>
              <w:rPr>
                <w:rFonts w:ascii="Century Gothic" w:eastAsia="Calibri" w:hAnsi="Century Gothic" w:cs="Arial"/>
                <w:color w:val="000000" w:themeColor="text1"/>
                <w:sz w:val="16"/>
                <w:szCs w:val="16"/>
                <w:lang w:val="pt-BR" w:eastAsia="es-ES"/>
              </w:rPr>
            </w:pPr>
            <w:proofErr w:type="spellStart"/>
            <w:r w:rsidRPr="004931C5">
              <w:rPr>
                <w:rFonts w:ascii="Century Gothic" w:eastAsia="Calibri" w:hAnsi="Century Gothic" w:cs="Arial"/>
                <w:color w:val="000000" w:themeColor="text1"/>
                <w:sz w:val="16"/>
                <w:szCs w:val="16"/>
                <w:lang w:val="pt-BR" w:eastAsia="es-ES"/>
              </w:rPr>
              <w:t>Nohelia</w:t>
            </w:r>
            <w:proofErr w:type="spellEnd"/>
            <w:r w:rsidRPr="004931C5">
              <w:rPr>
                <w:rFonts w:ascii="Century Gothic" w:eastAsia="Calibri" w:hAnsi="Century Gothic" w:cs="Arial"/>
                <w:color w:val="000000" w:themeColor="text1"/>
                <w:sz w:val="16"/>
                <w:szCs w:val="16"/>
                <w:lang w:val="pt-BR" w:eastAsia="es-ES"/>
              </w:rPr>
              <w:t xml:space="preserve"> </w:t>
            </w:r>
            <w:proofErr w:type="spellStart"/>
            <w:r w:rsidRPr="004931C5">
              <w:rPr>
                <w:rFonts w:ascii="Century Gothic" w:eastAsia="Calibri" w:hAnsi="Century Gothic" w:cs="Arial"/>
                <w:color w:val="000000" w:themeColor="text1"/>
                <w:sz w:val="16"/>
                <w:szCs w:val="16"/>
                <w:lang w:val="pt-BR" w:eastAsia="es-ES"/>
              </w:rPr>
              <w:t>del</w:t>
            </w:r>
            <w:proofErr w:type="spellEnd"/>
            <w:r w:rsidRPr="004931C5">
              <w:rPr>
                <w:rFonts w:ascii="Century Gothic" w:eastAsia="Calibri" w:hAnsi="Century Gothic" w:cs="Arial"/>
                <w:color w:val="000000" w:themeColor="text1"/>
                <w:sz w:val="16"/>
                <w:szCs w:val="16"/>
                <w:lang w:val="pt-BR" w:eastAsia="es-ES"/>
              </w:rPr>
              <w:t xml:space="preserve"> Carmen </w:t>
            </w:r>
            <w:proofErr w:type="spellStart"/>
            <w:r w:rsidRPr="004931C5">
              <w:rPr>
                <w:rFonts w:ascii="Century Gothic" w:eastAsia="Calibri" w:hAnsi="Century Gothic" w:cs="Arial"/>
                <w:color w:val="000000" w:themeColor="text1"/>
                <w:sz w:val="16"/>
                <w:szCs w:val="16"/>
                <w:lang w:val="pt-BR" w:eastAsia="es-ES"/>
              </w:rPr>
              <w:t>Zawady</w:t>
            </w:r>
            <w:proofErr w:type="spellEnd"/>
            <w:r w:rsidRPr="004931C5">
              <w:rPr>
                <w:rFonts w:ascii="Century Gothic" w:eastAsia="Calibri" w:hAnsi="Century Gothic" w:cs="Arial"/>
                <w:color w:val="000000" w:themeColor="text1"/>
                <w:sz w:val="16"/>
                <w:szCs w:val="16"/>
                <w:lang w:val="pt-BR" w:eastAsia="es-ES"/>
              </w:rPr>
              <w:t xml:space="preserve"> Palacio</w:t>
            </w:r>
          </w:p>
          <w:p w14:paraId="2878A8A8" w14:textId="77777777" w:rsidR="003027A3" w:rsidRPr="004931C5" w:rsidRDefault="003027A3" w:rsidP="008975ED">
            <w:pPr>
              <w:rPr>
                <w:rFonts w:ascii="Century Gothic" w:eastAsia="Calibri" w:hAnsi="Century Gothic" w:cs="Arial"/>
                <w:color w:val="000000" w:themeColor="text1"/>
                <w:sz w:val="16"/>
                <w:szCs w:val="16"/>
                <w:lang w:val="pt-BR" w:eastAsia="es-ES"/>
              </w:rPr>
            </w:pPr>
            <w:r w:rsidRPr="004931C5">
              <w:rPr>
                <w:rFonts w:ascii="Century Gothic" w:eastAsia="Calibri" w:hAnsi="Century Gothic" w:cs="Arial"/>
                <w:color w:val="000000" w:themeColor="text1"/>
                <w:sz w:val="16"/>
                <w:szCs w:val="16"/>
                <w:lang w:eastAsia="es-ES"/>
              </w:rPr>
              <w:t>Subdirectora</w:t>
            </w:r>
            <w:r w:rsidRPr="004931C5">
              <w:rPr>
                <w:rFonts w:ascii="Century Gothic" w:eastAsia="Calibri" w:hAnsi="Century Gothic" w:cs="Arial"/>
                <w:color w:val="000000" w:themeColor="text1"/>
                <w:sz w:val="16"/>
                <w:szCs w:val="16"/>
                <w:lang w:val="pt-BR" w:eastAsia="es-ES"/>
              </w:rPr>
              <w:t xml:space="preserve"> de Gestión </w:t>
            </w:r>
            <w:proofErr w:type="spellStart"/>
            <w:r w:rsidRPr="004931C5">
              <w:rPr>
                <w:rFonts w:ascii="Century Gothic" w:eastAsia="Calibri" w:hAnsi="Century Gothic" w:cs="Arial"/>
                <w:color w:val="000000" w:themeColor="text1"/>
                <w:sz w:val="16"/>
                <w:szCs w:val="16"/>
                <w:lang w:val="pt-BR" w:eastAsia="es-ES"/>
              </w:rPr>
              <w:t>Contractual</w:t>
            </w:r>
            <w:proofErr w:type="spellEnd"/>
            <w:r w:rsidRPr="004931C5">
              <w:rPr>
                <w:rFonts w:ascii="Century Gothic" w:eastAsia="Calibri" w:hAnsi="Century Gothic" w:cs="Arial"/>
                <w:color w:val="000000" w:themeColor="text1"/>
                <w:sz w:val="16"/>
                <w:szCs w:val="16"/>
                <w:lang w:val="pt-BR" w:eastAsia="es-ES"/>
              </w:rPr>
              <w:t xml:space="preserve"> ANCP – CCE</w:t>
            </w:r>
          </w:p>
        </w:tc>
      </w:tr>
    </w:tbl>
    <w:p w14:paraId="605AEBAD" w14:textId="77777777" w:rsidR="00FB347B" w:rsidRPr="004931C5" w:rsidRDefault="00FB347B" w:rsidP="003027A3">
      <w:pPr>
        <w:jc w:val="both"/>
        <w:rPr>
          <w:rFonts w:ascii="Century Gothic" w:hAnsi="Century Gothic" w:cs="Arial"/>
          <w:color w:val="000000" w:themeColor="text1"/>
        </w:rPr>
      </w:pPr>
    </w:p>
    <w:sectPr w:rsidR="00FB347B" w:rsidRPr="004931C5" w:rsidSect="00FC0252">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16D5" w14:textId="77777777" w:rsidR="00A1087C" w:rsidRDefault="00A1087C" w:rsidP="00950DF7">
      <w:r>
        <w:separator/>
      </w:r>
    </w:p>
  </w:endnote>
  <w:endnote w:type="continuationSeparator" w:id="0">
    <w:p w14:paraId="798C7CDD" w14:textId="77777777" w:rsidR="00A1087C" w:rsidRDefault="00A1087C" w:rsidP="00950DF7">
      <w:r>
        <w:continuationSeparator/>
      </w:r>
    </w:p>
  </w:endnote>
  <w:endnote w:type="continuationNotice" w:id="1">
    <w:p w14:paraId="7CA6E0BE" w14:textId="77777777" w:rsidR="00A1087C" w:rsidRDefault="00A1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262C" w14:textId="77777777" w:rsidR="00A1087C" w:rsidRDefault="00A1087C" w:rsidP="00950DF7">
      <w:r>
        <w:separator/>
      </w:r>
    </w:p>
  </w:footnote>
  <w:footnote w:type="continuationSeparator" w:id="0">
    <w:p w14:paraId="5FBA5DAB" w14:textId="77777777" w:rsidR="00A1087C" w:rsidRDefault="00A1087C" w:rsidP="00950DF7">
      <w:r>
        <w:continuationSeparator/>
      </w:r>
    </w:p>
  </w:footnote>
  <w:footnote w:type="continuationNotice" w:id="1">
    <w:p w14:paraId="54764280" w14:textId="77777777" w:rsidR="00A1087C" w:rsidRDefault="00A1087C"/>
  </w:footnote>
  <w:footnote w:id="2">
    <w:p w14:paraId="7D8BA257" w14:textId="77777777" w:rsidR="003027A3" w:rsidRPr="00213CEC" w:rsidRDefault="003027A3" w:rsidP="003027A3">
      <w:pPr>
        <w:pStyle w:val="Textonotapie"/>
        <w:ind w:firstLine="708"/>
        <w:jc w:val="both"/>
        <w:rPr>
          <w:rFonts w:ascii="Century Gothic" w:hAnsi="Century Gothic" w:cs="Arial"/>
          <w:sz w:val="14"/>
          <w:szCs w:val="14"/>
          <w:lang w:val="es-ES"/>
        </w:rPr>
      </w:pPr>
      <w:r w:rsidRPr="00213CEC">
        <w:rPr>
          <w:rFonts w:ascii="Century Gothic" w:eastAsia="Calibri" w:hAnsi="Century Gothic" w:cs="Arial"/>
          <w:sz w:val="14"/>
          <w:szCs w:val="14"/>
          <w:vertAlign w:val="superscript"/>
          <w:lang w:val="es-ES" w:eastAsia="es-ES_tradnl"/>
        </w:rPr>
        <w:footnoteRef/>
      </w:r>
      <w:r w:rsidRPr="00213CEC">
        <w:rPr>
          <w:rFonts w:ascii="Century Gothic" w:eastAsia="Calibri" w:hAnsi="Century Gothic" w:cs="Arial"/>
          <w:sz w:val="14"/>
          <w:szCs w:val="14"/>
          <w:lang w:val="es-ES" w:eastAsia="es-ES_tradnl"/>
        </w:rPr>
        <w:t xml:space="preserve"> La Agencia Nacional de Contratación Pública </w:t>
      </w:r>
      <w:r w:rsidRPr="00213CEC">
        <w:rPr>
          <w:rFonts w:ascii="Arial" w:eastAsia="Calibri" w:hAnsi="Arial" w:cs="Arial"/>
          <w:sz w:val="14"/>
          <w:szCs w:val="14"/>
          <w:lang w:val="es-ES" w:eastAsia="es-ES_tradnl"/>
        </w:rPr>
        <w:t>‒</w:t>
      </w:r>
      <w:r w:rsidRPr="00213CEC">
        <w:rPr>
          <w:rFonts w:ascii="Century Gothic" w:eastAsia="Calibri" w:hAnsi="Century Gothic" w:cs="Arial"/>
          <w:sz w:val="14"/>
          <w:szCs w:val="14"/>
          <w:lang w:val="es-ES" w:eastAsia="es-ES_tradnl"/>
        </w:rPr>
        <w:t xml:space="preserve"> Colombia Compra Eficiente fue creada por el Decreto Ley 4170 de 2011. Su objetivo es servir como ente rector de la pol</w:t>
      </w:r>
      <w:r w:rsidRPr="00213CEC">
        <w:rPr>
          <w:rFonts w:ascii="Century Gothic" w:eastAsia="Calibri" w:hAnsi="Century Gothic" w:cs="Century Gothic"/>
          <w:sz w:val="14"/>
          <w:szCs w:val="14"/>
          <w:lang w:val="es-ES" w:eastAsia="es-ES_tradnl"/>
        </w:rPr>
        <w:t>í</w:t>
      </w:r>
      <w:r w:rsidRPr="00213CEC">
        <w:rPr>
          <w:rFonts w:ascii="Century Gothic" w:eastAsia="Calibri" w:hAnsi="Century Gothic" w:cs="Arial"/>
          <w:sz w:val="14"/>
          <w:szCs w:val="14"/>
          <w:lang w:val="es-ES" w:eastAsia="es-ES_tradnl"/>
        </w:rPr>
        <w:t>tica de compras y contrataci</w:t>
      </w:r>
      <w:r w:rsidRPr="00213CEC">
        <w:rPr>
          <w:rFonts w:ascii="Century Gothic" w:eastAsia="Calibri" w:hAnsi="Century Gothic" w:cs="Century Gothic"/>
          <w:sz w:val="14"/>
          <w:szCs w:val="14"/>
          <w:lang w:val="es-ES" w:eastAsia="es-ES_tradnl"/>
        </w:rPr>
        <w:t>ó</w:t>
      </w:r>
      <w:r w:rsidRPr="00213CEC">
        <w:rPr>
          <w:rFonts w:ascii="Century Gothic" w:eastAsia="Calibri" w:hAnsi="Century Gothic" w:cs="Arial"/>
          <w:sz w:val="14"/>
          <w:szCs w:val="14"/>
          <w:lang w:val="es-ES" w:eastAsia="es-ES_tradnl"/>
        </w:rPr>
        <w:t xml:space="preserve">n del Estado. Para tales fines, como </w:t>
      </w:r>
      <w:r w:rsidRPr="00213CEC">
        <w:rPr>
          <w:rFonts w:ascii="Century Gothic" w:eastAsia="Calibri" w:hAnsi="Century Gothic" w:cs="Century Gothic"/>
          <w:sz w:val="14"/>
          <w:szCs w:val="14"/>
          <w:lang w:val="es-ES" w:eastAsia="es-ES_tradnl"/>
        </w:rPr>
        <w:t>ó</w:t>
      </w:r>
      <w:r w:rsidRPr="00213CEC">
        <w:rPr>
          <w:rFonts w:ascii="Century Gothic" w:eastAsia="Calibri" w:hAnsi="Century Gothic" w:cs="Arial"/>
          <w:sz w:val="14"/>
          <w:szCs w:val="14"/>
          <w:lang w:val="es-ES" w:eastAsia="es-ES_tradnl"/>
        </w:rPr>
        <w:t>rgano t</w:t>
      </w:r>
      <w:r w:rsidRPr="00213CEC">
        <w:rPr>
          <w:rFonts w:ascii="Century Gothic" w:eastAsia="Calibri" w:hAnsi="Century Gothic" w:cs="Century Gothic"/>
          <w:sz w:val="14"/>
          <w:szCs w:val="14"/>
          <w:lang w:val="es-ES" w:eastAsia="es-ES_tradnl"/>
        </w:rPr>
        <w:t>é</w:t>
      </w:r>
      <w:r w:rsidRPr="00213CEC">
        <w:rPr>
          <w:rFonts w:ascii="Century Gothic" w:eastAsia="Calibri" w:hAnsi="Century Gothic" w:cs="Arial"/>
          <w:sz w:val="14"/>
          <w:szCs w:val="14"/>
          <w:lang w:val="es-ES" w:eastAsia="es-ES_tradnl"/>
        </w:rPr>
        <w:t>cnico especializado, le corresponde formular pol</w:t>
      </w:r>
      <w:r w:rsidRPr="00213CEC">
        <w:rPr>
          <w:rFonts w:ascii="Century Gothic" w:eastAsia="Calibri" w:hAnsi="Century Gothic" w:cs="Century Gothic"/>
          <w:sz w:val="14"/>
          <w:szCs w:val="14"/>
          <w:lang w:val="es-ES" w:eastAsia="es-ES_tradnl"/>
        </w:rPr>
        <w:t>í</w:t>
      </w:r>
      <w:r w:rsidRPr="00213CEC">
        <w:rPr>
          <w:rFonts w:ascii="Century Gothic" w:eastAsia="Calibri" w:hAnsi="Century Gothic" w:cs="Arial"/>
          <w:sz w:val="14"/>
          <w:szCs w:val="14"/>
          <w:lang w:val="es-ES" w:eastAsia="es-ES_tradnl"/>
        </w:rPr>
        <w:t>ticas p</w:t>
      </w:r>
      <w:r w:rsidRPr="00213CEC">
        <w:rPr>
          <w:rFonts w:ascii="Century Gothic" w:eastAsia="Calibri" w:hAnsi="Century Gothic" w:cs="Century Gothic"/>
          <w:sz w:val="14"/>
          <w:szCs w:val="14"/>
          <w:lang w:val="es-ES" w:eastAsia="es-ES_tradnl"/>
        </w:rPr>
        <w:t>ú</w:t>
      </w:r>
      <w:r w:rsidRPr="00213CEC">
        <w:rPr>
          <w:rFonts w:ascii="Century Gothic" w:eastAsia="Calibri" w:hAnsi="Century Gothic" w:cs="Arial"/>
          <w:sz w:val="14"/>
          <w:szCs w:val="14"/>
          <w:lang w:val="es-ES" w:eastAsia="es-ES_tradnl"/>
        </w:rPr>
        <w:t>blicas y normas y unificar los procesos de contrataci</w:t>
      </w:r>
      <w:r w:rsidRPr="00213CEC">
        <w:rPr>
          <w:rFonts w:ascii="Century Gothic" w:eastAsia="Calibri" w:hAnsi="Century Gothic" w:cs="Century Gothic"/>
          <w:sz w:val="14"/>
          <w:szCs w:val="14"/>
          <w:lang w:val="es-ES" w:eastAsia="es-ES_tradnl"/>
        </w:rPr>
        <w:t>ó</w:t>
      </w:r>
      <w:r w:rsidRPr="00213CEC">
        <w:rPr>
          <w:rFonts w:ascii="Century Gothic" w:eastAsia="Calibri" w:hAnsi="Century Gothic" w:cs="Arial"/>
          <w:sz w:val="14"/>
          <w:szCs w:val="14"/>
          <w:lang w:val="es-ES" w:eastAsia="es-ES_tradnl"/>
        </w:rPr>
        <w:t>n estatal, con el fin de lograr una mayor eficiencia, transparencia y optimizaci</w:t>
      </w:r>
      <w:r w:rsidRPr="00213CEC">
        <w:rPr>
          <w:rFonts w:ascii="Century Gothic" w:eastAsia="Calibri" w:hAnsi="Century Gothic" w:cs="Century Gothic"/>
          <w:sz w:val="14"/>
          <w:szCs w:val="14"/>
          <w:lang w:val="es-ES" w:eastAsia="es-ES_tradnl"/>
        </w:rPr>
        <w:t>ó</w:t>
      </w:r>
      <w:r w:rsidRPr="00213CEC">
        <w:rPr>
          <w:rFonts w:ascii="Century Gothic" w:eastAsia="Calibri" w:hAnsi="Century Gothic" w:cs="Arial"/>
          <w:sz w:val="14"/>
          <w:szCs w:val="14"/>
          <w:lang w:val="es-ES" w:eastAsia="es-ES_tradnl"/>
        </w:rPr>
        <w:t>n de los recursos del Estado. El art</w:t>
      </w:r>
      <w:r w:rsidRPr="00213CEC">
        <w:rPr>
          <w:rFonts w:ascii="Century Gothic" w:eastAsia="Calibri" w:hAnsi="Century Gothic" w:cs="Century Gothic"/>
          <w:sz w:val="14"/>
          <w:szCs w:val="14"/>
          <w:lang w:val="es-ES" w:eastAsia="es-ES_tradnl"/>
        </w:rPr>
        <w:t>í</w:t>
      </w:r>
      <w:r w:rsidRPr="00213CEC">
        <w:rPr>
          <w:rFonts w:ascii="Century Gothic" w:eastAsia="Calibri" w:hAnsi="Century Gothic" w:cs="Arial"/>
          <w:sz w:val="14"/>
          <w:szCs w:val="14"/>
          <w:lang w:val="es-ES" w:eastAsia="es-ES_tradnl"/>
        </w:rPr>
        <w:t>culo 3 ibidem se</w:t>
      </w:r>
      <w:r w:rsidRPr="00213CEC">
        <w:rPr>
          <w:rFonts w:ascii="Century Gothic" w:eastAsia="Calibri" w:hAnsi="Century Gothic" w:cs="Century Gothic"/>
          <w:sz w:val="14"/>
          <w:szCs w:val="14"/>
          <w:lang w:val="es-ES" w:eastAsia="es-ES_tradnl"/>
        </w:rPr>
        <w:t>ñ</w:t>
      </w:r>
      <w:r w:rsidRPr="00213CEC">
        <w:rPr>
          <w:rFonts w:ascii="Century Gothic" w:eastAsia="Calibri" w:hAnsi="Century Gothic" w:cs="Arial"/>
          <w:sz w:val="14"/>
          <w:szCs w:val="14"/>
          <w:lang w:val="es-ES" w:eastAsia="es-ES_tradnl"/>
        </w:rPr>
        <w:t>ala, de manera precisa, las funciones de Colombia Compra Eficiente. Concretamente, el numeral 5º de este artículo establece que le corresponde a esta entidad: “[a]</w:t>
      </w:r>
      <w:proofErr w:type="spellStart"/>
      <w:r w:rsidRPr="00213CEC">
        <w:rPr>
          <w:rFonts w:ascii="Century Gothic" w:eastAsia="Calibri" w:hAnsi="Century Gothic" w:cs="Arial"/>
          <w:sz w:val="14"/>
          <w:szCs w:val="14"/>
          <w:lang w:val="es-ES" w:eastAsia="es-ES_tradnl"/>
        </w:rPr>
        <w:t>bsolver</w:t>
      </w:r>
      <w:proofErr w:type="spellEnd"/>
      <w:r w:rsidRPr="00213CEC">
        <w:rPr>
          <w:rFonts w:ascii="Century Gothic" w:eastAsia="Calibri" w:hAnsi="Century Gothic" w:cs="Arial"/>
          <w:sz w:val="14"/>
          <w:szCs w:val="14"/>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13CEC">
        <w:rPr>
          <w:rFonts w:ascii="Century Gothic" w:eastAsia="Calibri" w:hAnsi="Century Gothic" w:cs="Arial"/>
          <w:sz w:val="14"/>
          <w:szCs w:val="14"/>
          <w:lang w:val="es-ES" w:eastAsia="es-ES_tradnl"/>
        </w:rPr>
        <w:t>bsolver</w:t>
      </w:r>
      <w:proofErr w:type="spellEnd"/>
      <w:r w:rsidRPr="00213CEC">
        <w:rPr>
          <w:rFonts w:ascii="Century Gothic" w:eastAsia="Calibri" w:hAnsi="Century Gothic" w:cs="Arial"/>
          <w:sz w:val="14"/>
          <w:szCs w:val="14"/>
          <w:lang w:val="es-ES" w:eastAsia="es-ES_tradnl"/>
        </w:rPr>
        <w:t xml:space="preserve"> consultas sobre la aplicación de normas de carácter general”.</w:t>
      </w:r>
    </w:p>
  </w:footnote>
  <w:footnote w:id="3">
    <w:p w14:paraId="70DFD545"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vertAlign w:val="superscript"/>
        </w:rPr>
        <w:footnoteRef/>
      </w:r>
      <w:r w:rsidRPr="00213CEC">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13CEC">
          <w:rPr>
            <w:rStyle w:val="Hipervnculo"/>
            <w:rFonts w:ascii="Century Gothic" w:hAnsi="Century Gothic" w:cs="Arial"/>
            <w:sz w:val="14"/>
            <w:szCs w:val="14"/>
          </w:rPr>
          <w:t>https://relatoria.colombiacompra.gov.co/busqueda/conceptos</w:t>
        </w:r>
      </w:hyperlink>
      <w:r w:rsidRPr="00213CEC">
        <w:rPr>
          <w:rFonts w:ascii="Century Gothic" w:hAnsi="Century Gothic" w:cs="Arial"/>
          <w:sz w:val="14"/>
          <w:szCs w:val="14"/>
          <w:shd w:val="clear" w:color="auto" w:fill="E6E6E6"/>
        </w:rPr>
        <w:t xml:space="preserve"> </w:t>
      </w:r>
    </w:p>
  </w:footnote>
  <w:footnote w:id="4">
    <w:p w14:paraId="5605A709"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w:t>
      </w:r>
      <w:r w:rsidRPr="00213CEC">
        <w:rPr>
          <w:rFonts w:ascii="Century Gothic" w:hAnsi="Century Gothic" w:cs="Arial"/>
          <w:color w:val="000000"/>
          <w:sz w:val="14"/>
          <w:szCs w:val="14"/>
        </w:rPr>
        <w:t>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w:t>
      </w:r>
      <w:r w:rsidRPr="00213CEC">
        <w:rPr>
          <w:rFonts w:ascii="Century Gothic" w:hAnsi="Century Gothic" w:cs="Calibri"/>
          <w:color w:val="000000"/>
          <w:sz w:val="14"/>
          <w:szCs w:val="14"/>
        </w:rPr>
        <w:t> </w:t>
      </w:r>
      <w:r w:rsidRPr="00213CEC">
        <w:rPr>
          <w:rFonts w:ascii="Century Gothic" w:hAnsi="Century Gothic" w:cs="Arial"/>
          <w:bCs/>
          <w:i/>
          <w:iCs/>
          <w:color w:val="000000"/>
          <w:sz w:val="14"/>
          <w:szCs w:val="14"/>
        </w:rPr>
        <w:t>las empresas oficiales de servicios públicos</w:t>
      </w:r>
      <w:r w:rsidRPr="00213CEC">
        <w:rPr>
          <w:rFonts w:ascii="Century Gothic" w:hAnsi="Century Gothic" w:cs="Calibri"/>
          <w:color w:val="000000"/>
          <w:sz w:val="14"/>
          <w:szCs w:val="14"/>
        </w:rPr>
        <w:t> </w:t>
      </w:r>
      <w:r w:rsidRPr="00213CEC">
        <w:rPr>
          <w:rFonts w:ascii="Century Gothic" w:hAnsi="Century Gothic" w:cs="Arial"/>
          <w:color w:val="000000"/>
          <w:sz w:val="14"/>
          <w:szCs w:val="14"/>
        </w:rPr>
        <w:t>y las dem</w:t>
      </w:r>
      <w:r w:rsidRPr="00213CEC">
        <w:rPr>
          <w:rFonts w:ascii="Century Gothic" w:hAnsi="Century Gothic" w:cs="Geomanist Light"/>
          <w:color w:val="000000"/>
          <w:sz w:val="14"/>
          <w:szCs w:val="14"/>
        </w:rPr>
        <w:t>á</w:t>
      </w:r>
      <w:r w:rsidRPr="00213CEC">
        <w:rPr>
          <w:rFonts w:ascii="Century Gothic" w:hAnsi="Century Gothic" w:cs="Arial"/>
          <w:color w:val="000000"/>
          <w:sz w:val="14"/>
          <w:szCs w:val="14"/>
        </w:rPr>
        <w:t>s entidades creadas por la ley o con su autorizaci</w:t>
      </w:r>
      <w:r w:rsidRPr="00213CEC">
        <w:rPr>
          <w:rFonts w:ascii="Century Gothic" w:hAnsi="Century Gothic" w:cs="Geomanist Light"/>
          <w:color w:val="000000"/>
          <w:sz w:val="14"/>
          <w:szCs w:val="14"/>
        </w:rPr>
        <w:t>ó</w:t>
      </w:r>
      <w:r w:rsidRPr="00213CEC">
        <w:rPr>
          <w:rFonts w:ascii="Century Gothic" w:hAnsi="Century Gothic" w:cs="Arial"/>
          <w:color w:val="000000"/>
          <w:sz w:val="14"/>
          <w:szCs w:val="14"/>
        </w:rPr>
        <w:t>n, cuyo objeto principal sea el ejercicio de funciones administrativas, la prestación de servicios públicos o la realización de actividades.</w:t>
      </w:r>
    </w:p>
  </w:footnote>
  <w:footnote w:id="5">
    <w:p w14:paraId="31E5DE8F"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Corte Constitucional. Sentencia C-736 de 2007. M.P. Marco Gerardo Monroy Cabra.</w:t>
      </w:r>
    </w:p>
  </w:footnote>
  <w:footnote w:id="6">
    <w:p w14:paraId="5A97E911"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Ibid.</w:t>
      </w:r>
    </w:p>
  </w:footnote>
  <w:footnote w:id="7">
    <w:p w14:paraId="10D51835"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5A0E535D"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72A0F3C5"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23B4B65E" w14:textId="77777777" w:rsidR="003027A3" w:rsidRPr="00213CEC" w:rsidRDefault="003027A3" w:rsidP="003027A3">
      <w:pPr>
        <w:pStyle w:val="Textonotapie"/>
        <w:ind w:firstLine="708"/>
        <w:jc w:val="both"/>
        <w:rPr>
          <w:rFonts w:ascii="Century Gothic" w:hAnsi="Century Gothic" w:cs="Arial"/>
          <w:sz w:val="14"/>
          <w:szCs w:val="14"/>
        </w:rPr>
      </w:pPr>
    </w:p>
  </w:footnote>
  <w:footnote w:id="8">
    <w:p w14:paraId="66C4F9E8"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En efecto, dicho artículo establece: «Pueden prestar los servicios públicos:</w:t>
      </w:r>
    </w:p>
    <w:p w14:paraId="2DB4173E"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“15.1. Las empresas de servicios públicos.</w:t>
      </w:r>
    </w:p>
    <w:p w14:paraId="70EC76D1"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“15.2. Las personas naturales o jurídicas que produzcan para ellas mismas, o como consecuencia o complemento de su actividad principal, los bienes y servicios propios del objeto de las empresas de servicios públicos.</w:t>
      </w:r>
    </w:p>
    <w:p w14:paraId="3A973333"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“15.3. Los municipios cuando asuman en forma directa, a través de su administración central, la prestación de los servicios públicos, conforme a lo dispuesto en esta Ley.</w:t>
      </w:r>
    </w:p>
    <w:p w14:paraId="55940E5B"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“15.4. Las organizaciones autorizadas conforme a esta Ley para prestar servicios públicos en municipios menores en zonas rurales y en áreas o zonas urbanas específicas.</w:t>
      </w:r>
    </w:p>
    <w:p w14:paraId="2BF7A94D"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“15.5. Las entidades autorizadas para prestar servicios públicos durante los períodos de transición previstos en esta Ley.</w:t>
      </w:r>
    </w:p>
    <w:p w14:paraId="5726CC8F"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“15.6. Las entidades descentralizadas de cualquier orden territorial o nacional que al momento de expedirse esta Ley estén prestando cualquiera de los servicios públicos y se ajusten a lo establecido</w:t>
      </w:r>
    </w:p>
    <w:p w14:paraId="06825EC6"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en el parágrafo del artículo 17”</w:t>
      </w:r>
    </w:p>
    <w:p w14:paraId="527A76B8" w14:textId="77777777" w:rsidR="003027A3" w:rsidRPr="00213CEC" w:rsidRDefault="003027A3" w:rsidP="003027A3">
      <w:pPr>
        <w:pStyle w:val="Textonotapie"/>
        <w:ind w:firstLine="708"/>
        <w:jc w:val="both"/>
        <w:rPr>
          <w:rFonts w:ascii="Century Gothic" w:hAnsi="Century Gothic" w:cs="Arial"/>
          <w:sz w:val="14"/>
          <w:szCs w:val="14"/>
        </w:rPr>
      </w:pPr>
    </w:p>
  </w:footnote>
  <w:footnote w:id="9">
    <w:p w14:paraId="3F2951CD"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2F3400F6"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“La regla precedente se aplicará, inclusive, a las sociedades en las que las entidades públicas sean parte, sin atender al porcentaje que sus aportes representen dentro del capital social, ni a la naturaleza del acto o del derecho que se ejerce.</w:t>
      </w:r>
    </w:p>
    <w:p w14:paraId="7915AEE3" w14:textId="77777777" w:rsidR="003027A3" w:rsidRPr="00213CEC" w:rsidRDefault="003027A3" w:rsidP="003027A3">
      <w:pPr>
        <w:pStyle w:val="Textonotapie"/>
        <w:ind w:firstLine="708"/>
        <w:jc w:val="both"/>
        <w:rPr>
          <w:rFonts w:ascii="Century Gothic" w:hAnsi="Century Gothic" w:cs="Arial"/>
          <w:sz w:val="14"/>
          <w:szCs w:val="14"/>
        </w:rPr>
      </w:pPr>
      <w:r w:rsidRPr="00213CEC">
        <w:rPr>
          <w:rFonts w:ascii="Century Gothic" w:hAnsi="Century Gothic" w:cs="Arial"/>
          <w:sz w:val="14"/>
          <w:szCs w:val="14"/>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4FE32C48" w14:textId="77777777" w:rsidR="003027A3" w:rsidRPr="00213CEC" w:rsidRDefault="003027A3" w:rsidP="003027A3">
      <w:pPr>
        <w:pStyle w:val="Textonotapie"/>
        <w:ind w:firstLine="708"/>
        <w:jc w:val="both"/>
        <w:rPr>
          <w:rFonts w:ascii="Century Gothic" w:hAnsi="Century Gothic" w:cs="Arial"/>
          <w:sz w:val="14"/>
          <w:szCs w:val="14"/>
        </w:rPr>
      </w:pPr>
    </w:p>
  </w:footnote>
  <w:footnote w:id="10">
    <w:p w14:paraId="59269CB2"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Consejo de Estado. Sección Tercera, Subsección C. Sentencia del 13 de abril de 2011. </w:t>
      </w:r>
      <w:proofErr w:type="spellStart"/>
      <w:r w:rsidRPr="00213CEC">
        <w:rPr>
          <w:rFonts w:ascii="Century Gothic" w:hAnsi="Century Gothic" w:cs="Arial"/>
          <w:sz w:val="14"/>
          <w:szCs w:val="14"/>
        </w:rPr>
        <w:t>Exp</w:t>
      </w:r>
      <w:proofErr w:type="spellEnd"/>
      <w:r w:rsidRPr="00213CEC">
        <w:rPr>
          <w:rFonts w:ascii="Century Gothic" w:hAnsi="Century Gothic" w:cs="Arial"/>
          <w:sz w:val="14"/>
          <w:szCs w:val="14"/>
        </w:rPr>
        <w:t xml:space="preserve">. 37423. Consejero Ponente: Jaime Orlando Santofimio Gamboa. En similar sentido, puede verse la Sentencia del Consejo de Estado. Sección Tercera. Subsección B, del 15 de noviembre de 2011. </w:t>
      </w:r>
      <w:proofErr w:type="spellStart"/>
      <w:r w:rsidRPr="00213CEC">
        <w:rPr>
          <w:rFonts w:ascii="Century Gothic" w:hAnsi="Century Gothic" w:cs="Arial"/>
          <w:sz w:val="14"/>
          <w:szCs w:val="14"/>
        </w:rPr>
        <w:t>Exp</w:t>
      </w:r>
      <w:proofErr w:type="spellEnd"/>
      <w:r w:rsidRPr="00213CEC">
        <w:rPr>
          <w:rFonts w:ascii="Century Gothic" w:hAnsi="Century Gothic" w:cs="Arial"/>
          <w:sz w:val="14"/>
          <w:szCs w:val="14"/>
        </w:rPr>
        <w:t>. 21178. Consejera ponente: Ruth Stella Correa Palacio.</w:t>
      </w:r>
    </w:p>
  </w:footnote>
  <w:footnote w:id="11">
    <w:p w14:paraId="39565100"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Esta norma dispone: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12">
    <w:p w14:paraId="3F6E3BE6" w14:textId="77777777" w:rsidR="003027A3" w:rsidRPr="00213CEC" w:rsidRDefault="003027A3" w:rsidP="003027A3">
      <w:pPr>
        <w:pStyle w:val="Textonotapie"/>
        <w:ind w:firstLine="709"/>
        <w:jc w:val="both"/>
        <w:rPr>
          <w:rFonts w:ascii="Century Gothic" w:hAnsi="Century Gothic" w:cs="Arial"/>
          <w:sz w:val="14"/>
          <w:szCs w:val="14"/>
        </w:rPr>
      </w:pPr>
    </w:p>
    <w:p w14:paraId="02FCCAAA" w14:textId="77777777" w:rsidR="003027A3" w:rsidRPr="00213CEC" w:rsidRDefault="003027A3" w:rsidP="003027A3">
      <w:pPr>
        <w:pStyle w:val="Textonotapie"/>
        <w:ind w:firstLine="709"/>
        <w:jc w:val="both"/>
        <w:rPr>
          <w:rFonts w:ascii="Century Gothic" w:hAnsi="Century Gothic" w:cs="Arial"/>
          <w:sz w:val="14"/>
          <w:szCs w:val="14"/>
          <w:lang w:val="es-ES"/>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w:t>
      </w:r>
      <w:r w:rsidRPr="00213CEC">
        <w:rPr>
          <w:rFonts w:ascii="Century Gothic" w:hAnsi="Century Gothic" w:cs="Arial"/>
          <w:sz w:val="14"/>
          <w:szCs w:val="14"/>
          <w:lang w:val="es-ES"/>
        </w:rPr>
        <w:t>BOBBIO, Norberto. Democracia y secreto. México: Fondo de Cultura Económica, 2013. p. 27.</w:t>
      </w:r>
    </w:p>
  </w:footnote>
  <w:footnote w:id="13">
    <w:p w14:paraId="36F782A5" w14:textId="77777777" w:rsidR="003027A3" w:rsidRPr="00213CEC" w:rsidRDefault="003027A3" w:rsidP="003027A3">
      <w:pPr>
        <w:pStyle w:val="Textonotapie"/>
        <w:ind w:firstLine="709"/>
        <w:jc w:val="both"/>
        <w:rPr>
          <w:rFonts w:ascii="Century Gothic" w:hAnsi="Century Gothic" w:cs="Arial"/>
          <w:color w:val="000000"/>
          <w:sz w:val="14"/>
          <w:szCs w:val="14"/>
        </w:rPr>
      </w:pPr>
    </w:p>
    <w:p w14:paraId="505BD832"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Style w:val="Refdenotaalpie"/>
          <w:rFonts w:ascii="Century Gothic" w:hAnsi="Century Gothic" w:cs="Arial"/>
          <w:color w:val="000000"/>
          <w:sz w:val="14"/>
          <w:szCs w:val="14"/>
        </w:rPr>
        <w:footnoteRef/>
      </w:r>
      <w:r w:rsidRPr="00213CEC">
        <w:rPr>
          <w:rFonts w:ascii="Century Gothic" w:hAnsi="Century Gothic" w:cs="Arial"/>
          <w:color w:val="000000"/>
          <w:sz w:val="14"/>
          <w:szCs w:val="14"/>
        </w:rPr>
        <w:t xml:space="preserve"> Corte Constitucional. Sentencia C- 341 del 4 de junio de 2014. M. P. Mauricio González Cuervo.</w:t>
      </w:r>
    </w:p>
    <w:p w14:paraId="6E81E85A" w14:textId="77777777" w:rsidR="003027A3" w:rsidRPr="00213CEC" w:rsidRDefault="003027A3" w:rsidP="003027A3">
      <w:pPr>
        <w:pStyle w:val="Textonotapie"/>
        <w:ind w:firstLine="709"/>
        <w:jc w:val="both"/>
        <w:rPr>
          <w:rFonts w:ascii="Century Gothic" w:hAnsi="Century Gothic" w:cs="Arial"/>
          <w:color w:val="000000"/>
          <w:sz w:val="14"/>
          <w:szCs w:val="14"/>
        </w:rPr>
      </w:pPr>
    </w:p>
  </w:footnote>
  <w:footnote w:id="14">
    <w:p w14:paraId="08BBBE02"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Style w:val="Refdenotaalpie"/>
          <w:rFonts w:ascii="Century Gothic" w:hAnsi="Century Gothic" w:cs="Arial"/>
          <w:color w:val="000000"/>
          <w:sz w:val="14"/>
          <w:szCs w:val="14"/>
        </w:rPr>
        <w:footnoteRef/>
      </w:r>
      <w:r w:rsidRPr="00213CEC">
        <w:rPr>
          <w:rFonts w:ascii="Century Gothic" w:hAnsi="Century Gothic" w:cs="Arial"/>
          <w:color w:val="000000"/>
          <w:sz w:val="14"/>
          <w:szCs w:val="14"/>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5750934" w14:textId="77777777" w:rsidR="003027A3" w:rsidRPr="00213CEC" w:rsidRDefault="003027A3" w:rsidP="003027A3">
      <w:pPr>
        <w:pStyle w:val="Textonotapie"/>
        <w:ind w:firstLine="709"/>
        <w:jc w:val="both"/>
        <w:rPr>
          <w:rFonts w:ascii="Century Gothic" w:hAnsi="Century Gothic" w:cs="Arial"/>
          <w:color w:val="000000"/>
          <w:sz w:val="14"/>
          <w:szCs w:val="14"/>
        </w:rPr>
      </w:pPr>
    </w:p>
    <w:p w14:paraId="15EEC564"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Fonts w:ascii="Century Gothic" w:hAnsi="Century Gothic" w:cs="Arial"/>
          <w:color w:val="000000"/>
          <w:sz w:val="14"/>
          <w:szCs w:val="14"/>
        </w:rPr>
        <w:t>“Lo anterior, sin perjuicio de las publicaciones previstas en el numeral 3 del artículo 30 de la Ley 80 de 1993.</w:t>
      </w:r>
    </w:p>
    <w:p w14:paraId="04175B55"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Fonts w:ascii="Century Gothic" w:hAnsi="Century Gothic" w:cs="Arial"/>
          <w:color w:val="000000"/>
          <w:sz w:val="14"/>
          <w:szCs w:val="14"/>
        </w:rPr>
        <w:t xml:space="preserve">“Con el fin de materializar los objetivos a que se refiere el inciso anterior, el Gobierno Nacional desarrollará el Sistema Electrónico para la Contratación Pública, </w:t>
      </w:r>
      <w:proofErr w:type="spellStart"/>
      <w:r w:rsidRPr="00213CEC">
        <w:rPr>
          <w:rFonts w:ascii="Century Gothic" w:hAnsi="Century Gothic" w:cs="Arial"/>
          <w:color w:val="000000"/>
          <w:sz w:val="14"/>
          <w:szCs w:val="14"/>
        </w:rPr>
        <w:t>Secop</w:t>
      </w:r>
      <w:proofErr w:type="spellEnd"/>
      <w:r w:rsidRPr="00213CEC">
        <w:rPr>
          <w:rFonts w:ascii="Century Gothic" w:hAnsi="Century Gothic" w:cs="Arial"/>
          <w:color w:val="000000"/>
          <w:sz w:val="14"/>
          <w:szCs w:val="14"/>
        </w:rPr>
        <w:t xml:space="preserve">, el cual: </w:t>
      </w:r>
    </w:p>
    <w:p w14:paraId="0F1782BB"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Fonts w:ascii="Century Gothic" w:hAnsi="Century Gothic" w:cs="Arial"/>
          <w:color w:val="000000"/>
          <w:sz w:val="14"/>
          <w:szCs w:val="14"/>
        </w:rPr>
        <w:t>[…]</w:t>
      </w:r>
    </w:p>
    <w:p w14:paraId="13FEF1EA"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Fonts w:ascii="Century Gothic" w:hAnsi="Century Gothic" w:cs="Arial"/>
          <w:color w:val="000000"/>
          <w:sz w:val="14"/>
          <w:szCs w:val="14"/>
        </w:rPr>
        <w:t xml:space="preserve">“c) Contará con la información oficial de la contratación realizada con dineros públicos, para lo cual establecerá los patrones a que haya lugar y se encargará de su difusión a través de canales electrónico”. </w:t>
      </w:r>
    </w:p>
    <w:p w14:paraId="36935767" w14:textId="77777777" w:rsidR="003027A3" w:rsidRPr="00213CEC" w:rsidRDefault="003027A3" w:rsidP="003027A3">
      <w:pPr>
        <w:pStyle w:val="Textonotapie"/>
        <w:ind w:firstLine="709"/>
        <w:jc w:val="both"/>
        <w:rPr>
          <w:rFonts w:ascii="Century Gothic" w:hAnsi="Century Gothic" w:cs="Arial"/>
          <w:color w:val="000000"/>
          <w:sz w:val="14"/>
          <w:szCs w:val="14"/>
        </w:rPr>
      </w:pPr>
    </w:p>
  </w:footnote>
  <w:footnote w:id="15">
    <w:p w14:paraId="4D8CE980"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Style w:val="Refdenotaalpie"/>
          <w:rFonts w:ascii="Century Gothic" w:hAnsi="Century Gothic" w:cs="Arial"/>
          <w:color w:val="000000"/>
          <w:sz w:val="14"/>
          <w:szCs w:val="14"/>
        </w:rPr>
        <w:footnoteRef/>
      </w:r>
      <w:r w:rsidRPr="00213CEC">
        <w:rPr>
          <w:rFonts w:ascii="Century Gothic" w:hAnsi="Century Gothic" w:cs="Arial"/>
          <w:color w:val="000000"/>
          <w:sz w:val="14"/>
          <w:szCs w:val="14"/>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1E6C099" w14:textId="77777777" w:rsidR="003027A3" w:rsidRPr="00213CEC" w:rsidRDefault="003027A3" w:rsidP="003027A3">
      <w:pPr>
        <w:pStyle w:val="Textonotapie"/>
        <w:ind w:firstLine="709"/>
        <w:jc w:val="both"/>
        <w:rPr>
          <w:rFonts w:ascii="Century Gothic" w:hAnsi="Century Gothic" w:cs="Arial"/>
          <w:color w:val="000000"/>
          <w:sz w:val="14"/>
          <w:szCs w:val="14"/>
        </w:rPr>
      </w:pPr>
    </w:p>
  </w:footnote>
  <w:footnote w:id="16">
    <w:p w14:paraId="7C77730A" w14:textId="77777777" w:rsidR="003027A3" w:rsidRPr="00213CEC" w:rsidRDefault="003027A3" w:rsidP="003027A3">
      <w:pPr>
        <w:pStyle w:val="Textonotapie"/>
        <w:ind w:firstLine="707"/>
        <w:contextualSpacing/>
        <w:jc w:val="both"/>
        <w:rPr>
          <w:rFonts w:ascii="Century Gothic" w:hAnsi="Century Gothic" w:cs="Arial"/>
          <w:sz w:val="14"/>
          <w:szCs w:val="14"/>
          <w:lang w:val="es-CO"/>
        </w:rPr>
      </w:pPr>
      <w:r w:rsidRPr="00213CEC">
        <w:rPr>
          <w:rStyle w:val="Refdenotaalpie"/>
          <w:rFonts w:ascii="Century Gothic" w:hAnsi="Century Gothic" w:cs="Arial"/>
          <w:sz w:val="14"/>
          <w:szCs w:val="14"/>
        </w:rPr>
        <w:footnoteRef/>
      </w:r>
      <w:r w:rsidRPr="00213CEC">
        <w:rPr>
          <w:rFonts w:ascii="Century Gothic" w:hAnsi="Century Gothic" w:cs="Arial"/>
          <w:sz w:val="14"/>
          <w:szCs w:val="14"/>
          <w:vertAlign w:val="superscript"/>
        </w:rPr>
        <w:t xml:space="preserve"> </w:t>
      </w:r>
      <w:r w:rsidRPr="00213CEC">
        <w:rPr>
          <w:rFonts w:ascii="Century Gothic" w:hAnsi="Century Gothic" w:cs="Arial"/>
          <w:sz w:val="14"/>
          <w:szCs w:val="14"/>
        </w:rPr>
        <w:t xml:space="preserve">Ley 1712 de 2014: «Artículo 3. </w:t>
      </w:r>
      <w:r w:rsidRPr="00213CEC">
        <w:rPr>
          <w:rFonts w:ascii="Century Gothic" w:hAnsi="Century Gothic" w:cs="Arial"/>
          <w:sz w:val="14"/>
          <w:szCs w:val="14"/>
          <w:lang w:val="es-CO"/>
        </w:rPr>
        <w:t>Otros principios de la transparencia y acceso a la información pública. </w:t>
      </w:r>
    </w:p>
    <w:p w14:paraId="0D852F16" w14:textId="77777777" w:rsidR="003027A3" w:rsidRPr="00213CEC" w:rsidRDefault="003027A3" w:rsidP="003027A3">
      <w:pPr>
        <w:pStyle w:val="Textonotapie"/>
        <w:ind w:firstLine="707"/>
        <w:contextualSpacing/>
        <w:jc w:val="both"/>
        <w:rPr>
          <w:rFonts w:ascii="Century Gothic" w:hAnsi="Century Gothic" w:cs="Arial"/>
          <w:sz w:val="14"/>
          <w:szCs w:val="14"/>
          <w:lang w:val="es-ES"/>
        </w:rPr>
      </w:pPr>
      <w:r w:rsidRPr="00213CEC">
        <w:rPr>
          <w:rFonts w:ascii="Century Gothic" w:hAnsi="Century Gothic" w:cs="Arial"/>
          <w:sz w:val="14"/>
          <w:szCs w:val="14"/>
          <w:lang w:val="es-ES"/>
        </w:rPr>
        <w:t>[…]</w:t>
      </w:r>
    </w:p>
    <w:p w14:paraId="496C1A8F" w14:textId="77777777" w:rsidR="003027A3" w:rsidRPr="00213CEC" w:rsidRDefault="003027A3" w:rsidP="003027A3">
      <w:pPr>
        <w:pStyle w:val="Textonotapie"/>
        <w:ind w:firstLine="707"/>
        <w:contextualSpacing/>
        <w:jc w:val="both"/>
        <w:rPr>
          <w:rFonts w:ascii="Century Gothic" w:hAnsi="Century Gothic" w:cs="Arial"/>
          <w:sz w:val="14"/>
          <w:szCs w:val="14"/>
          <w:lang w:val="es-ES"/>
        </w:rPr>
      </w:pPr>
      <w:r w:rsidRPr="00213CEC">
        <w:rPr>
          <w:rStyle w:val="baj"/>
          <w:rFonts w:ascii="Century Gothic" w:hAnsi="Century Gothic" w:cs="Arial"/>
          <w:b/>
          <w:bCs/>
          <w:sz w:val="14"/>
          <w:szCs w:val="14"/>
        </w:rPr>
        <w:t>Principio de buena fe</w:t>
      </w:r>
      <w:r w:rsidRPr="00213CEC">
        <w:rPr>
          <w:rFonts w:ascii="Century Gothic" w:hAnsi="Century Gothic" w:cs="Arial"/>
          <w:sz w:val="14"/>
          <w:szCs w:val="14"/>
        </w:rPr>
        <w:t>. En virtud del cual todo sujeto obligado, al cumplir con las obligaciones derivadas del derecho de acceso a la información pública, lo hará con motivación honesta, leal y desprovista de cualquier intención dolosa o culposa.</w:t>
      </w:r>
    </w:p>
  </w:footnote>
  <w:footnote w:id="17">
    <w:p w14:paraId="5343C94C" w14:textId="77777777" w:rsidR="003027A3" w:rsidRPr="00213CEC" w:rsidRDefault="003027A3" w:rsidP="003027A3">
      <w:pPr>
        <w:ind w:firstLine="707"/>
        <w:contextualSpacing/>
        <w:jc w:val="both"/>
        <w:rPr>
          <w:rFonts w:ascii="Century Gothic" w:hAnsi="Century Gothic" w:cs="Arial"/>
          <w:sz w:val="14"/>
          <w:szCs w:val="14"/>
        </w:rPr>
      </w:pPr>
    </w:p>
    <w:p w14:paraId="6A8E5148" w14:textId="77777777" w:rsidR="003027A3" w:rsidRPr="00213CEC" w:rsidRDefault="003027A3" w:rsidP="003027A3">
      <w:pPr>
        <w:ind w:firstLine="707"/>
        <w:contextualSpacing/>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Ley 1712 de 2014: «Artículo 5. Ámbito de aplicación. Las disposiciones de esta ley serán aplicables a las siguientes personas en calidad de sujetos obligados:</w:t>
      </w:r>
    </w:p>
    <w:p w14:paraId="70D12DD7" w14:textId="77777777" w:rsidR="003027A3" w:rsidRPr="00213CEC" w:rsidRDefault="003027A3" w:rsidP="003027A3">
      <w:pPr>
        <w:ind w:firstLine="707"/>
        <w:contextualSpacing/>
        <w:jc w:val="both"/>
        <w:rPr>
          <w:rFonts w:ascii="Century Gothic" w:hAnsi="Century Gothic" w:cs="Arial"/>
          <w:sz w:val="14"/>
          <w:szCs w:val="14"/>
        </w:rPr>
      </w:pPr>
      <w:r w:rsidRPr="00213CEC">
        <w:rPr>
          <w:rFonts w:ascii="Century Gothic" w:hAnsi="Century Gothic" w:cs="Arial"/>
          <w:sz w:val="14"/>
          <w:szCs w:val="14"/>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3D88685" w14:textId="77777777" w:rsidR="003027A3" w:rsidRPr="00213CEC" w:rsidRDefault="003027A3" w:rsidP="003027A3">
      <w:pPr>
        <w:pStyle w:val="Textonotapie"/>
        <w:contextualSpacing/>
        <w:jc w:val="both"/>
        <w:rPr>
          <w:rFonts w:ascii="Century Gothic" w:hAnsi="Century Gothic" w:cs="Arial"/>
          <w:sz w:val="14"/>
          <w:szCs w:val="14"/>
        </w:rPr>
      </w:pPr>
    </w:p>
  </w:footnote>
  <w:footnote w:id="18">
    <w:p w14:paraId="44AD6812"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Fonts w:ascii="Century Gothic" w:eastAsia="Times New Roman" w:hAnsi="Century Gothic" w:cs="Arial"/>
          <w:color w:val="000000"/>
          <w:sz w:val="14"/>
          <w:szCs w:val="14"/>
          <w:vertAlign w:val="superscript"/>
          <w:lang w:val="es-ES" w:eastAsia="es-ES"/>
        </w:rPr>
        <w:footnoteRef/>
      </w:r>
      <w:r w:rsidRPr="00213CEC">
        <w:rPr>
          <w:rFonts w:ascii="Century Gothic" w:eastAsia="Times New Roman" w:hAnsi="Century Gothic" w:cs="Arial"/>
          <w:color w:val="000000"/>
          <w:sz w:val="14"/>
          <w:szCs w:val="14"/>
          <w:vertAlign w:val="superscript"/>
          <w:lang w:val="es-ES" w:eastAsia="es-ES"/>
        </w:rPr>
        <w:t xml:space="preserve"> </w:t>
      </w:r>
      <w:r w:rsidRPr="00213CEC">
        <w:rPr>
          <w:rFonts w:ascii="Century Gothic" w:eastAsia="Times New Roman" w:hAnsi="Century Gothic" w:cs="Arial"/>
          <w:color w:val="000000"/>
          <w:sz w:val="14"/>
          <w:szCs w:val="14"/>
          <w:lang w:val="es-ES" w:eastAsia="es-ES"/>
        </w:rPr>
        <w:t>«</w:t>
      </w:r>
      <w:r w:rsidRPr="00213CEC">
        <w:rPr>
          <w:rFonts w:ascii="Century Gothic" w:hAnsi="Century Gothic" w:cs="Arial"/>
          <w:color w:val="000000"/>
          <w:sz w:val="14"/>
          <w:szCs w:val="14"/>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B7E4684" w14:textId="77777777" w:rsidR="003027A3" w:rsidRPr="00213CEC" w:rsidRDefault="003027A3" w:rsidP="003027A3">
      <w:pPr>
        <w:pStyle w:val="Textonotapie"/>
        <w:ind w:firstLine="709"/>
        <w:jc w:val="both"/>
        <w:rPr>
          <w:rFonts w:ascii="Century Gothic" w:eastAsia="Times New Roman" w:hAnsi="Century Gothic" w:cs="Arial"/>
          <w:color w:val="000000"/>
          <w:sz w:val="14"/>
          <w:szCs w:val="14"/>
          <w:lang w:val="es-ES" w:eastAsia="es-ES"/>
        </w:rPr>
      </w:pPr>
      <w:r w:rsidRPr="00213CEC">
        <w:rPr>
          <w:rFonts w:ascii="Century Gothic" w:hAnsi="Century Gothic" w:cs="Arial"/>
          <w:color w:val="000000"/>
          <w:sz w:val="14"/>
          <w:szCs w:val="14"/>
        </w:rPr>
        <w:t>[…].</w:t>
      </w:r>
    </w:p>
    <w:p w14:paraId="466416D6" w14:textId="77777777" w:rsidR="003027A3" w:rsidRPr="00213CEC" w:rsidRDefault="003027A3" w:rsidP="003027A3">
      <w:pPr>
        <w:pStyle w:val="Textonotapie"/>
        <w:ind w:firstLine="709"/>
        <w:jc w:val="both"/>
        <w:rPr>
          <w:rFonts w:ascii="Century Gothic" w:eastAsia="Times New Roman" w:hAnsi="Century Gothic" w:cs="Arial"/>
          <w:color w:val="000000"/>
          <w:sz w:val="14"/>
          <w:szCs w:val="14"/>
          <w:lang w:val="es-ES" w:eastAsia="es-ES"/>
        </w:rPr>
      </w:pPr>
      <w:r w:rsidRPr="00213CEC">
        <w:rPr>
          <w:rFonts w:ascii="Century Gothic" w:eastAsia="Times New Roman" w:hAnsi="Century Gothic" w:cs="Arial"/>
          <w:color w:val="000000"/>
          <w:sz w:val="14"/>
          <w:szCs w:val="14"/>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8CCE444" w14:textId="77777777" w:rsidR="003027A3" w:rsidRPr="00213CEC" w:rsidRDefault="003027A3" w:rsidP="003027A3">
      <w:pPr>
        <w:pStyle w:val="Textonotapie"/>
        <w:ind w:firstLine="709"/>
        <w:jc w:val="both"/>
        <w:rPr>
          <w:rFonts w:ascii="Century Gothic" w:eastAsia="Times New Roman" w:hAnsi="Century Gothic" w:cs="Arial"/>
          <w:color w:val="000000"/>
          <w:sz w:val="14"/>
          <w:szCs w:val="14"/>
          <w:lang w:val="es-ES" w:eastAsia="es-ES"/>
        </w:rPr>
      </w:pPr>
    </w:p>
  </w:footnote>
  <w:footnote w:id="19">
    <w:p w14:paraId="375DB3FC" w14:textId="77777777" w:rsidR="003027A3" w:rsidRPr="00213CEC" w:rsidRDefault="003027A3" w:rsidP="003027A3">
      <w:pPr>
        <w:pStyle w:val="Textonotapie"/>
        <w:ind w:firstLine="709"/>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Ley 1437 de 2011: «Artículo 24. Informaciones y documentos reservados. Solo tendrán carácter reservado las informaciones y documentos expresamente sometidos a reserva por la Constitución Política o la ley, y en especial:  </w:t>
      </w:r>
    </w:p>
    <w:p w14:paraId="20CE95A1"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“1. Los relacionados con la defensa o seguridad nacionales.  </w:t>
      </w:r>
    </w:p>
    <w:p w14:paraId="304EF51D"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“2. Las instrucciones en materia diplomática o sobre negociaciones reservadas.  </w:t>
      </w:r>
    </w:p>
    <w:p w14:paraId="601E3924"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02831198"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79469CD4"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“5. Los datos referentes a la información financiera y comercial, en los términos de la Ley Estatutaria 1266 de 2008.  </w:t>
      </w:r>
    </w:p>
    <w:p w14:paraId="24FB5C18"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“6. Los protegidos por el secreto comercial o industrial, así como los planes estratégicos de las empresas públicas de servicios públicos.  </w:t>
      </w:r>
    </w:p>
    <w:p w14:paraId="5A08BE7D"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“7. Los amparados por el secreto profesional.  </w:t>
      </w:r>
    </w:p>
    <w:p w14:paraId="1C809CFA"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“8. Los datos genéticos humanos.  </w:t>
      </w:r>
    </w:p>
    <w:p w14:paraId="0D12D4F3" w14:textId="77777777" w:rsidR="003027A3" w:rsidRPr="00213CEC" w:rsidRDefault="003027A3" w:rsidP="003027A3">
      <w:pPr>
        <w:pStyle w:val="Textonotapie"/>
        <w:ind w:firstLine="709"/>
        <w:jc w:val="both"/>
        <w:rPr>
          <w:rFonts w:ascii="Century Gothic" w:hAnsi="Century Gothic" w:cs="Arial"/>
          <w:sz w:val="14"/>
          <w:szCs w:val="14"/>
        </w:rPr>
      </w:pPr>
      <w:r w:rsidRPr="00213CEC">
        <w:rPr>
          <w:rFonts w:ascii="Century Gothic" w:hAnsi="Century Gothic" w:cs="Arial"/>
          <w:sz w:val="14"/>
          <w:szCs w:val="14"/>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2680359C" w14:textId="77777777" w:rsidR="003027A3" w:rsidRPr="00213CEC" w:rsidRDefault="003027A3" w:rsidP="003027A3">
      <w:pPr>
        <w:pStyle w:val="Textonotapie"/>
        <w:ind w:firstLine="709"/>
        <w:jc w:val="both"/>
        <w:rPr>
          <w:rFonts w:ascii="Century Gothic" w:hAnsi="Century Gothic" w:cs="Arial"/>
          <w:sz w:val="14"/>
          <w:szCs w:val="14"/>
        </w:rPr>
      </w:pPr>
    </w:p>
  </w:footnote>
  <w:footnote w:id="20">
    <w:p w14:paraId="1F957884" w14:textId="77777777" w:rsidR="003027A3" w:rsidRPr="00213CEC" w:rsidRDefault="003027A3" w:rsidP="003027A3">
      <w:pPr>
        <w:pStyle w:val="Textonotapie"/>
        <w:ind w:firstLine="708"/>
        <w:jc w:val="both"/>
        <w:rPr>
          <w:rFonts w:ascii="Century Gothic" w:hAnsi="Century Gothic" w:cs="Arial"/>
          <w:sz w:val="14"/>
          <w:szCs w:val="14"/>
        </w:rPr>
      </w:pPr>
    </w:p>
    <w:p w14:paraId="443D276F" w14:textId="77777777" w:rsidR="003027A3" w:rsidRPr="00213CEC" w:rsidRDefault="003027A3" w:rsidP="003027A3">
      <w:pPr>
        <w:pStyle w:val="Textonotapie"/>
        <w:ind w:firstLine="708"/>
        <w:jc w:val="both"/>
        <w:rPr>
          <w:rFonts w:ascii="Century Gothic" w:hAnsi="Century Gothic" w:cs="Arial"/>
          <w:sz w:val="14"/>
          <w:szCs w:val="14"/>
        </w:rPr>
      </w:pPr>
      <w:r w:rsidRPr="00213CEC">
        <w:rPr>
          <w:rStyle w:val="Refdenotaalpie"/>
          <w:rFonts w:ascii="Century Gothic" w:hAnsi="Century Gothic" w:cs="Arial"/>
          <w:sz w:val="14"/>
          <w:szCs w:val="14"/>
        </w:rPr>
        <w:footnoteRef/>
      </w:r>
      <w:r w:rsidRPr="00213CEC">
        <w:rPr>
          <w:rFonts w:ascii="Century Gothic" w:hAnsi="Century Gothic" w:cs="Arial"/>
          <w:sz w:val="14"/>
          <w:szCs w:val="14"/>
        </w:rPr>
        <w:t xml:space="preserve"> </w:t>
      </w:r>
      <w:r w:rsidRPr="00213CEC">
        <w:rPr>
          <w:rFonts w:ascii="Century Gothic" w:eastAsia="Calibri" w:hAnsi="Century Gothic" w:cs="Arial"/>
          <w:sz w:val="14"/>
          <w:szCs w:val="14"/>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footnote>
  <w:footnote w:id="21">
    <w:p w14:paraId="791EB21A" w14:textId="77777777" w:rsidR="003027A3" w:rsidRPr="00213CEC" w:rsidRDefault="003027A3" w:rsidP="003027A3">
      <w:pPr>
        <w:pStyle w:val="Textonotapie"/>
        <w:ind w:firstLine="709"/>
        <w:jc w:val="both"/>
        <w:rPr>
          <w:rFonts w:ascii="Century Gothic" w:hAnsi="Century Gothic" w:cs="Arial"/>
          <w:color w:val="000000"/>
          <w:sz w:val="14"/>
          <w:szCs w:val="14"/>
        </w:rPr>
      </w:pPr>
      <w:r w:rsidRPr="00213CEC">
        <w:rPr>
          <w:rStyle w:val="Refdenotaalpie"/>
          <w:rFonts w:ascii="Century Gothic" w:hAnsi="Century Gothic" w:cs="Arial"/>
          <w:color w:val="000000"/>
          <w:sz w:val="14"/>
          <w:szCs w:val="14"/>
        </w:rPr>
        <w:footnoteRef/>
      </w:r>
      <w:r w:rsidRPr="00213CEC">
        <w:rPr>
          <w:rFonts w:ascii="Century Gothic" w:hAnsi="Century Gothic" w:cs="Arial"/>
          <w:color w:val="000000"/>
          <w:sz w:val="14"/>
          <w:szCs w:val="14"/>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p w14:paraId="29A3750D" w14:textId="77777777" w:rsidR="003027A3" w:rsidRPr="00213CEC" w:rsidRDefault="003027A3" w:rsidP="003027A3">
      <w:pPr>
        <w:pStyle w:val="Textonotapie"/>
        <w:ind w:firstLine="709"/>
        <w:jc w:val="both"/>
        <w:rPr>
          <w:rFonts w:ascii="Century Gothic" w:hAnsi="Century Gothic" w:cs="Arial"/>
          <w:color w:val="000000"/>
          <w:sz w:val="14"/>
          <w:szCs w:val="14"/>
        </w:rPr>
      </w:pPr>
    </w:p>
  </w:footnote>
  <w:footnote w:id="22">
    <w:p w14:paraId="7ECE32E2" w14:textId="77777777" w:rsidR="003027A3" w:rsidRPr="00213CEC" w:rsidRDefault="003027A3" w:rsidP="003027A3">
      <w:pPr>
        <w:pStyle w:val="Textonotapie"/>
        <w:ind w:firstLine="708"/>
        <w:rPr>
          <w:rFonts w:ascii="Century Gothic" w:hAnsi="Century Gothic"/>
          <w:sz w:val="14"/>
          <w:szCs w:val="14"/>
          <w:lang w:val="es-CO"/>
        </w:rPr>
      </w:pPr>
      <w:r w:rsidRPr="00213CEC">
        <w:rPr>
          <w:rStyle w:val="Refdenotaalpie"/>
          <w:rFonts w:ascii="Century Gothic" w:hAnsi="Century Gothic"/>
          <w:sz w:val="14"/>
          <w:szCs w:val="14"/>
        </w:rPr>
        <w:footnoteRef/>
      </w:r>
      <w:r w:rsidRPr="00213CEC">
        <w:rPr>
          <w:rFonts w:ascii="Century Gothic" w:hAnsi="Century Gothic"/>
          <w:sz w:val="14"/>
          <w:szCs w:val="14"/>
        </w:rPr>
        <w:t xml:space="preserve"> CONSEJO DE ESTADO, SALA DE LO CONTENCIOSO-ADMINISTRATIVO, SECCIÓN SEGUNDA, Sentencia de unificación por importancia jurídica, Bogotá, D. C., nueve (9) de septiembre de dos mil veintiuno (2021), Medio de control: Nulidad y restablecimiento del derecho Radicado: 05001-23-33-000-2013-01143-01 (1317-2016) Demandante: Gloria Luz Manco Quiroz</w:t>
      </w:r>
    </w:p>
  </w:footnote>
  <w:footnote w:id="23">
    <w:p w14:paraId="47830D06" w14:textId="77777777" w:rsidR="003027A3" w:rsidRPr="00213CEC" w:rsidRDefault="003027A3" w:rsidP="003027A3">
      <w:pPr>
        <w:pStyle w:val="Textonotapie"/>
        <w:ind w:firstLine="708"/>
        <w:rPr>
          <w:rFonts w:ascii="Century Gothic" w:hAnsi="Century Gothic"/>
          <w:sz w:val="14"/>
          <w:szCs w:val="14"/>
        </w:rPr>
      </w:pPr>
    </w:p>
    <w:p w14:paraId="09978204" w14:textId="77777777" w:rsidR="003027A3" w:rsidRPr="00213CEC" w:rsidRDefault="003027A3" w:rsidP="003027A3">
      <w:pPr>
        <w:pStyle w:val="Textonotapie"/>
        <w:ind w:firstLine="708"/>
        <w:rPr>
          <w:rFonts w:ascii="Century Gothic" w:hAnsi="Century Gothic"/>
          <w:sz w:val="14"/>
          <w:szCs w:val="14"/>
          <w:lang w:val="es-CO"/>
        </w:rPr>
      </w:pPr>
      <w:r w:rsidRPr="00213CEC">
        <w:rPr>
          <w:rStyle w:val="Refdenotaalpie"/>
          <w:rFonts w:ascii="Century Gothic" w:hAnsi="Century Gothic"/>
          <w:sz w:val="14"/>
          <w:szCs w:val="14"/>
        </w:rPr>
        <w:footnoteRef/>
      </w:r>
      <w:r w:rsidRPr="00213CEC">
        <w:rPr>
          <w:rFonts w:ascii="Century Gothic" w:hAnsi="Century Gothic"/>
          <w:sz w:val="14"/>
          <w:szCs w:val="14"/>
        </w:rPr>
        <w:t xml:space="preserve"> Consejo de Estado, Sección Segunda, Subsección A; sentencia de 24 de abril de 2019; radicado 08001-23-33-000-2013-00074-01(2200-16); C.P. William Hernández 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F82114"/>
    <w:multiLevelType w:val="hybridMultilevel"/>
    <w:tmpl w:val="B6C06020"/>
    <w:lvl w:ilvl="0" w:tplc="2F4CFC7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5500354">
    <w:abstractNumId w:val="0"/>
  </w:num>
  <w:num w:numId="2" w16cid:durableId="247272425">
    <w:abstractNumId w:val="2"/>
  </w:num>
  <w:num w:numId="3" w16cid:durableId="211381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BA4"/>
    <w:rsid w:val="00033CA7"/>
    <w:rsid w:val="00040E76"/>
    <w:rsid w:val="000460CE"/>
    <w:rsid w:val="0004698F"/>
    <w:rsid w:val="0005405C"/>
    <w:rsid w:val="000636D4"/>
    <w:rsid w:val="000868A6"/>
    <w:rsid w:val="00092218"/>
    <w:rsid w:val="00094407"/>
    <w:rsid w:val="000977C9"/>
    <w:rsid w:val="000A0743"/>
    <w:rsid w:val="000A1678"/>
    <w:rsid w:val="000A5435"/>
    <w:rsid w:val="000B46EA"/>
    <w:rsid w:val="000B5520"/>
    <w:rsid w:val="000B7248"/>
    <w:rsid w:val="000C3009"/>
    <w:rsid w:val="000C5926"/>
    <w:rsid w:val="000D68A1"/>
    <w:rsid w:val="000E40F0"/>
    <w:rsid w:val="000F2799"/>
    <w:rsid w:val="000F6D56"/>
    <w:rsid w:val="00101285"/>
    <w:rsid w:val="001155BC"/>
    <w:rsid w:val="00117742"/>
    <w:rsid w:val="001224C8"/>
    <w:rsid w:val="001235AB"/>
    <w:rsid w:val="00125FAE"/>
    <w:rsid w:val="001310BD"/>
    <w:rsid w:val="001425C6"/>
    <w:rsid w:val="00155AA4"/>
    <w:rsid w:val="00172302"/>
    <w:rsid w:val="00175731"/>
    <w:rsid w:val="00181A0F"/>
    <w:rsid w:val="00187C2F"/>
    <w:rsid w:val="001934E9"/>
    <w:rsid w:val="001957A4"/>
    <w:rsid w:val="001A0BEF"/>
    <w:rsid w:val="001A5C14"/>
    <w:rsid w:val="001B561E"/>
    <w:rsid w:val="001B7D44"/>
    <w:rsid w:val="001C7A05"/>
    <w:rsid w:val="001F0E5D"/>
    <w:rsid w:val="00203AEC"/>
    <w:rsid w:val="0020617F"/>
    <w:rsid w:val="00211FD1"/>
    <w:rsid w:val="00212893"/>
    <w:rsid w:val="00221D3A"/>
    <w:rsid w:val="00241891"/>
    <w:rsid w:val="0024319D"/>
    <w:rsid w:val="00246C39"/>
    <w:rsid w:val="0025058A"/>
    <w:rsid w:val="00255DF7"/>
    <w:rsid w:val="00256066"/>
    <w:rsid w:val="00264399"/>
    <w:rsid w:val="002669E5"/>
    <w:rsid w:val="00290C3D"/>
    <w:rsid w:val="00293329"/>
    <w:rsid w:val="002B3621"/>
    <w:rsid w:val="002C0664"/>
    <w:rsid w:val="002C1CE3"/>
    <w:rsid w:val="002D5C6B"/>
    <w:rsid w:val="002E5EF3"/>
    <w:rsid w:val="002F7C3F"/>
    <w:rsid w:val="003027A3"/>
    <w:rsid w:val="003168A5"/>
    <w:rsid w:val="0031762F"/>
    <w:rsid w:val="00334AF9"/>
    <w:rsid w:val="0034655E"/>
    <w:rsid w:val="00350F02"/>
    <w:rsid w:val="00351231"/>
    <w:rsid w:val="003532FE"/>
    <w:rsid w:val="0036284A"/>
    <w:rsid w:val="00362D7B"/>
    <w:rsid w:val="0036315F"/>
    <w:rsid w:val="00370A7F"/>
    <w:rsid w:val="0037323E"/>
    <w:rsid w:val="00373C31"/>
    <w:rsid w:val="00376C51"/>
    <w:rsid w:val="003776A6"/>
    <w:rsid w:val="00397A6A"/>
    <w:rsid w:val="003A0666"/>
    <w:rsid w:val="003A0BAA"/>
    <w:rsid w:val="003A2031"/>
    <w:rsid w:val="003A5D7C"/>
    <w:rsid w:val="003A60DB"/>
    <w:rsid w:val="003A625B"/>
    <w:rsid w:val="003B145A"/>
    <w:rsid w:val="003B1E39"/>
    <w:rsid w:val="003C068D"/>
    <w:rsid w:val="003C139B"/>
    <w:rsid w:val="003C2315"/>
    <w:rsid w:val="003D3123"/>
    <w:rsid w:val="003D5EE6"/>
    <w:rsid w:val="003E6501"/>
    <w:rsid w:val="004054C5"/>
    <w:rsid w:val="00414B63"/>
    <w:rsid w:val="00416A9E"/>
    <w:rsid w:val="00427B2C"/>
    <w:rsid w:val="00437115"/>
    <w:rsid w:val="00442C55"/>
    <w:rsid w:val="00444818"/>
    <w:rsid w:val="00445994"/>
    <w:rsid w:val="00445B9A"/>
    <w:rsid w:val="00445F15"/>
    <w:rsid w:val="00457114"/>
    <w:rsid w:val="00461E1C"/>
    <w:rsid w:val="00471153"/>
    <w:rsid w:val="004730E2"/>
    <w:rsid w:val="00474D74"/>
    <w:rsid w:val="004845C5"/>
    <w:rsid w:val="004931C5"/>
    <w:rsid w:val="004B2C2B"/>
    <w:rsid w:val="004D0930"/>
    <w:rsid w:val="004E4FED"/>
    <w:rsid w:val="004F59CA"/>
    <w:rsid w:val="004F5B4B"/>
    <w:rsid w:val="00526B09"/>
    <w:rsid w:val="00532050"/>
    <w:rsid w:val="00534DAE"/>
    <w:rsid w:val="00535949"/>
    <w:rsid w:val="005505E3"/>
    <w:rsid w:val="0055220E"/>
    <w:rsid w:val="00560493"/>
    <w:rsid w:val="005709F1"/>
    <w:rsid w:val="00592023"/>
    <w:rsid w:val="005A0728"/>
    <w:rsid w:val="005A3120"/>
    <w:rsid w:val="005A3892"/>
    <w:rsid w:val="005B31EF"/>
    <w:rsid w:val="005C0C3C"/>
    <w:rsid w:val="005C1093"/>
    <w:rsid w:val="005D3F4E"/>
    <w:rsid w:val="005D3FDD"/>
    <w:rsid w:val="005D53D8"/>
    <w:rsid w:val="005E29BF"/>
    <w:rsid w:val="005F0149"/>
    <w:rsid w:val="005F5F4C"/>
    <w:rsid w:val="00603258"/>
    <w:rsid w:val="00611922"/>
    <w:rsid w:val="00613B8F"/>
    <w:rsid w:val="00642FAD"/>
    <w:rsid w:val="0064684E"/>
    <w:rsid w:val="00657573"/>
    <w:rsid w:val="00671C54"/>
    <w:rsid w:val="00673576"/>
    <w:rsid w:val="006737CF"/>
    <w:rsid w:val="006774A8"/>
    <w:rsid w:val="00683448"/>
    <w:rsid w:val="0069070E"/>
    <w:rsid w:val="00693B1C"/>
    <w:rsid w:val="00695E0C"/>
    <w:rsid w:val="00696EC8"/>
    <w:rsid w:val="006A6928"/>
    <w:rsid w:val="006C60E1"/>
    <w:rsid w:val="006D319F"/>
    <w:rsid w:val="006E7609"/>
    <w:rsid w:val="006E77C5"/>
    <w:rsid w:val="006E7B77"/>
    <w:rsid w:val="00701046"/>
    <w:rsid w:val="0070754E"/>
    <w:rsid w:val="00716AB2"/>
    <w:rsid w:val="007307A6"/>
    <w:rsid w:val="00744227"/>
    <w:rsid w:val="00747FBC"/>
    <w:rsid w:val="00754E16"/>
    <w:rsid w:val="00762584"/>
    <w:rsid w:val="00763E43"/>
    <w:rsid w:val="00773849"/>
    <w:rsid w:val="00773A97"/>
    <w:rsid w:val="00781AC2"/>
    <w:rsid w:val="0078570C"/>
    <w:rsid w:val="0079188E"/>
    <w:rsid w:val="007969EF"/>
    <w:rsid w:val="00797A18"/>
    <w:rsid w:val="007A2F39"/>
    <w:rsid w:val="007A617C"/>
    <w:rsid w:val="007B0D03"/>
    <w:rsid w:val="007B79FF"/>
    <w:rsid w:val="007C753D"/>
    <w:rsid w:val="007D1309"/>
    <w:rsid w:val="007D2258"/>
    <w:rsid w:val="007D2649"/>
    <w:rsid w:val="007D4B63"/>
    <w:rsid w:val="007D76AC"/>
    <w:rsid w:val="007E0EB4"/>
    <w:rsid w:val="007E7E8C"/>
    <w:rsid w:val="007F45F9"/>
    <w:rsid w:val="007F7197"/>
    <w:rsid w:val="00804297"/>
    <w:rsid w:val="00805FE9"/>
    <w:rsid w:val="008074E3"/>
    <w:rsid w:val="00812C7B"/>
    <w:rsid w:val="00815DA5"/>
    <w:rsid w:val="00825DA8"/>
    <w:rsid w:val="0083520B"/>
    <w:rsid w:val="00837844"/>
    <w:rsid w:val="00840E20"/>
    <w:rsid w:val="00860608"/>
    <w:rsid w:val="00867946"/>
    <w:rsid w:val="00890DA4"/>
    <w:rsid w:val="008A7F2B"/>
    <w:rsid w:val="0090423F"/>
    <w:rsid w:val="00906AF6"/>
    <w:rsid w:val="00912B2C"/>
    <w:rsid w:val="00941D0A"/>
    <w:rsid w:val="00945027"/>
    <w:rsid w:val="00947206"/>
    <w:rsid w:val="00950DF7"/>
    <w:rsid w:val="009545C2"/>
    <w:rsid w:val="009564CC"/>
    <w:rsid w:val="00963831"/>
    <w:rsid w:val="00973329"/>
    <w:rsid w:val="00976573"/>
    <w:rsid w:val="00980630"/>
    <w:rsid w:val="00983F0D"/>
    <w:rsid w:val="009919FC"/>
    <w:rsid w:val="009A24F7"/>
    <w:rsid w:val="009B34D3"/>
    <w:rsid w:val="009B6FA0"/>
    <w:rsid w:val="009C4859"/>
    <w:rsid w:val="009C6E27"/>
    <w:rsid w:val="009D6C30"/>
    <w:rsid w:val="009D7A03"/>
    <w:rsid w:val="009E45F6"/>
    <w:rsid w:val="009E696A"/>
    <w:rsid w:val="009F0C6B"/>
    <w:rsid w:val="009F3236"/>
    <w:rsid w:val="00A1087C"/>
    <w:rsid w:val="00A12113"/>
    <w:rsid w:val="00A1362C"/>
    <w:rsid w:val="00A16495"/>
    <w:rsid w:val="00A23285"/>
    <w:rsid w:val="00A233D9"/>
    <w:rsid w:val="00A30368"/>
    <w:rsid w:val="00A319D2"/>
    <w:rsid w:val="00A35D77"/>
    <w:rsid w:val="00A40C33"/>
    <w:rsid w:val="00A551D2"/>
    <w:rsid w:val="00A6242E"/>
    <w:rsid w:val="00A62746"/>
    <w:rsid w:val="00A62F8E"/>
    <w:rsid w:val="00A7099F"/>
    <w:rsid w:val="00A720F6"/>
    <w:rsid w:val="00A76FE8"/>
    <w:rsid w:val="00A83365"/>
    <w:rsid w:val="00AA1BA1"/>
    <w:rsid w:val="00AB126D"/>
    <w:rsid w:val="00AB2EE3"/>
    <w:rsid w:val="00AB3C82"/>
    <w:rsid w:val="00AC73EE"/>
    <w:rsid w:val="00AE1316"/>
    <w:rsid w:val="00AE405B"/>
    <w:rsid w:val="00AE6492"/>
    <w:rsid w:val="00B01E4F"/>
    <w:rsid w:val="00B13910"/>
    <w:rsid w:val="00B17550"/>
    <w:rsid w:val="00B25798"/>
    <w:rsid w:val="00B2709C"/>
    <w:rsid w:val="00B43CF0"/>
    <w:rsid w:val="00B43FFA"/>
    <w:rsid w:val="00B5194C"/>
    <w:rsid w:val="00B658B0"/>
    <w:rsid w:val="00B715F0"/>
    <w:rsid w:val="00B7197D"/>
    <w:rsid w:val="00B742E2"/>
    <w:rsid w:val="00B8410B"/>
    <w:rsid w:val="00B904C0"/>
    <w:rsid w:val="00B910BF"/>
    <w:rsid w:val="00BC55DC"/>
    <w:rsid w:val="00BD15AC"/>
    <w:rsid w:val="00BE0F40"/>
    <w:rsid w:val="00C05B77"/>
    <w:rsid w:val="00C074A7"/>
    <w:rsid w:val="00C11EE9"/>
    <w:rsid w:val="00C24BA8"/>
    <w:rsid w:val="00C25A81"/>
    <w:rsid w:val="00C420A8"/>
    <w:rsid w:val="00C439CA"/>
    <w:rsid w:val="00C44D80"/>
    <w:rsid w:val="00C47EBD"/>
    <w:rsid w:val="00C54739"/>
    <w:rsid w:val="00C60F43"/>
    <w:rsid w:val="00C85A5E"/>
    <w:rsid w:val="00C87954"/>
    <w:rsid w:val="00CA6A03"/>
    <w:rsid w:val="00CB307A"/>
    <w:rsid w:val="00CB70FF"/>
    <w:rsid w:val="00CC0496"/>
    <w:rsid w:val="00CD3735"/>
    <w:rsid w:val="00CE15DC"/>
    <w:rsid w:val="00CE3A6E"/>
    <w:rsid w:val="00CE6E14"/>
    <w:rsid w:val="00CF537D"/>
    <w:rsid w:val="00D04574"/>
    <w:rsid w:val="00D11C34"/>
    <w:rsid w:val="00D2387E"/>
    <w:rsid w:val="00D26202"/>
    <w:rsid w:val="00D33F26"/>
    <w:rsid w:val="00D42ECD"/>
    <w:rsid w:val="00D47C17"/>
    <w:rsid w:val="00D51C98"/>
    <w:rsid w:val="00D51D91"/>
    <w:rsid w:val="00D56015"/>
    <w:rsid w:val="00D64D6C"/>
    <w:rsid w:val="00D706E2"/>
    <w:rsid w:val="00D74DA1"/>
    <w:rsid w:val="00D905F1"/>
    <w:rsid w:val="00D94E36"/>
    <w:rsid w:val="00DA0FBF"/>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778CC"/>
    <w:rsid w:val="00E8794F"/>
    <w:rsid w:val="00E92452"/>
    <w:rsid w:val="00E92668"/>
    <w:rsid w:val="00E96512"/>
    <w:rsid w:val="00EB2EFA"/>
    <w:rsid w:val="00EC1D3B"/>
    <w:rsid w:val="00EC48F7"/>
    <w:rsid w:val="00ED0108"/>
    <w:rsid w:val="00ED1561"/>
    <w:rsid w:val="00EE0CF7"/>
    <w:rsid w:val="00EE601D"/>
    <w:rsid w:val="00EF7E7B"/>
    <w:rsid w:val="00F0413A"/>
    <w:rsid w:val="00F25A79"/>
    <w:rsid w:val="00F304EA"/>
    <w:rsid w:val="00F32DE5"/>
    <w:rsid w:val="00F33DC1"/>
    <w:rsid w:val="00F3626D"/>
    <w:rsid w:val="00F43B1B"/>
    <w:rsid w:val="00F51B7C"/>
    <w:rsid w:val="00F51F9C"/>
    <w:rsid w:val="00F564C0"/>
    <w:rsid w:val="00F61653"/>
    <w:rsid w:val="00F64CD3"/>
    <w:rsid w:val="00F70C28"/>
    <w:rsid w:val="00F72B91"/>
    <w:rsid w:val="00F941DB"/>
    <w:rsid w:val="00F95148"/>
    <w:rsid w:val="00F96587"/>
    <w:rsid w:val="00FB347B"/>
    <w:rsid w:val="00FC0252"/>
    <w:rsid w:val="00FC3BED"/>
    <w:rsid w:val="00FC6857"/>
    <w:rsid w:val="00FD7175"/>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D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qFormat/>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 w:type="paragraph" w:styleId="Textoindependiente">
    <w:name w:val="Body Text"/>
    <w:basedOn w:val="Normal"/>
    <w:link w:val="TextoindependienteCar"/>
    <w:uiPriority w:val="99"/>
    <w:unhideWhenUsed/>
    <w:rsid w:val="004931C5"/>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4931C5"/>
    <w:rPr>
      <w:rFonts w:eastAsiaTheme="minorEastAsia"/>
      <w:lang w:eastAsia="es-CO"/>
    </w:rPr>
  </w:style>
  <w:style w:type="character" w:customStyle="1" w:styleId="baj">
    <w:name w:val="b_aj"/>
    <w:basedOn w:val="Fuentedeprrafopredeter"/>
    <w:rsid w:val="0049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741">
      <w:bodyDiv w:val="1"/>
      <w:marLeft w:val="0"/>
      <w:marRight w:val="0"/>
      <w:marTop w:val="0"/>
      <w:marBottom w:val="0"/>
      <w:divBdr>
        <w:top w:val="none" w:sz="0" w:space="0" w:color="auto"/>
        <w:left w:val="none" w:sz="0" w:space="0" w:color="auto"/>
        <w:bottom w:val="none" w:sz="0" w:space="0" w:color="auto"/>
        <w:right w:val="none" w:sz="0" w:space="0" w:color="auto"/>
      </w:divBdr>
    </w:div>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0838">
      <w:bodyDiv w:val="1"/>
      <w:marLeft w:val="0"/>
      <w:marRight w:val="0"/>
      <w:marTop w:val="0"/>
      <w:marBottom w:val="0"/>
      <w:divBdr>
        <w:top w:val="none" w:sz="0" w:space="0" w:color="auto"/>
        <w:left w:val="none" w:sz="0" w:space="0" w:color="auto"/>
        <w:bottom w:val="none" w:sz="0" w:space="0" w:color="auto"/>
        <w:right w:val="none" w:sz="0" w:space="0" w:color="auto"/>
      </w:divBdr>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257134824">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68678220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46B37A-467F-4161-A992-1E13CCD1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8108</Words>
  <Characters>44594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52597</CharactersWithSpaces>
  <SharedDoc>false</SharedDoc>
  <HLinks>
    <vt:vector size="1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Jorge Mario Payares Villa</cp:lastModifiedBy>
  <cp:revision>2</cp:revision>
  <dcterms:created xsi:type="dcterms:W3CDTF">2023-10-23T20:03:00Z</dcterms:created>
  <dcterms:modified xsi:type="dcterms:W3CDTF">2023-10-23T20:03:00Z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