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B59BC" w14:textId="77777777" w:rsidR="00B264FB" w:rsidRPr="00692CED" w:rsidRDefault="00B264FB" w:rsidP="00B264FB">
      <w:pPr>
        <w:jc w:val="right"/>
        <w:rPr>
          <w:rFonts w:ascii="Century Gothic" w:hAnsi="Century Gothic" w:cs="Arial"/>
          <w:b/>
          <w:color w:val="000000" w:themeColor="text1"/>
          <w:sz w:val="16"/>
          <w:szCs w:val="16"/>
          <w:lang w:val="es-ES" w:eastAsia="es-ES"/>
        </w:rPr>
      </w:pPr>
      <w:bookmarkStart w:id="0" w:name="_Hlk28946138"/>
      <w:bookmarkStart w:id="1" w:name="_Hlk29548183"/>
      <w:bookmarkStart w:id="2" w:name="_Hlk70520488"/>
    </w:p>
    <w:p w14:paraId="0AEE36E0" w14:textId="77777777" w:rsidR="00B264FB" w:rsidRPr="00692CED" w:rsidRDefault="00B264FB" w:rsidP="00B264FB">
      <w:pPr>
        <w:jc w:val="both"/>
        <w:rPr>
          <w:rFonts w:ascii="Century Gothic" w:eastAsia="Calibri" w:hAnsi="Century Gothic" w:cs="Arial"/>
          <w:b/>
          <w:color w:val="000000" w:themeColor="text1"/>
          <w:sz w:val="22"/>
          <w:lang w:val="es-ES"/>
        </w:rPr>
      </w:pPr>
      <w:r w:rsidRPr="00692CED">
        <w:rPr>
          <w:rFonts w:ascii="Century Gothic" w:eastAsia="Calibri" w:hAnsi="Century Gothic" w:cs="Arial"/>
          <w:b/>
          <w:color w:val="000000" w:themeColor="text1"/>
          <w:sz w:val="22"/>
          <w:lang w:val="es-ES"/>
        </w:rPr>
        <w:t>SERVICIOS PÚBLICOS DOMICILIARIOS – Liberalización</w:t>
      </w:r>
    </w:p>
    <w:p w14:paraId="6FBBDDFA" w14:textId="77777777" w:rsidR="00B264FB" w:rsidRPr="00692CED" w:rsidRDefault="00B264FB" w:rsidP="00B264FB">
      <w:pPr>
        <w:tabs>
          <w:tab w:val="left" w:pos="426"/>
        </w:tabs>
        <w:jc w:val="both"/>
        <w:rPr>
          <w:rFonts w:ascii="Century Gothic" w:eastAsia="Calibri" w:hAnsi="Century Gothic" w:cs="Arial"/>
          <w:color w:val="000000" w:themeColor="text1"/>
          <w:sz w:val="20"/>
          <w:szCs w:val="20"/>
          <w:lang w:val="es-ES"/>
        </w:rPr>
      </w:pPr>
    </w:p>
    <w:p w14:paraId="153FBF47" w14:textId="77777777" w:rsidR="00B264FB" w:rsidRPr="00692CED" w:rsidRDefault="00B264FB" w:rsidP="00B264FB">
      <w:pPr>
        <w:tabs>
          <w:tab w:val="left" w:pos="426"/>
        </w:tabs>
        <w:jc w:val="both"/>
        <w:rPr>
          <w:rFonts w:ascii="Century Gothic" w:eastAsia="Calibri" w:hAnsi="Century Gothic" w:cs="Arial"/>
          <w:color w:val="000000" w:themeColor="text1"/>
          <w:sz w:val="20"/>
          <w:szCs w:val="20"/>
          <w:lang w:val="es-ES"/>
        </w:rPr>
      </w:pPr>
      <w:r w:rsidRPr="00692CED">
        <w:rPr>
          <w:rFonts w:ascii="Century Gothic" w:eastAsia="Calibri" w:hAnsi="Century Gothic" w:cs="Arial"/>
          <w:color w:val="000000" w:themeColor="text1"/>
          <w:sz w:val="20"/>
          <w:szCs w:val="20"/>
          <w:lang w:val="es-ES"/>
        </w:rPr>
        <w:t>El constituyente dejó al legislador definir el marco legal para los servicios públicos. Con base en la posibilidad constitucional de permitir la prestación por parte de particulares, admitió la liberalización de los mismos. En otras palabras, se habilitó al legislador la posibilidad de permitir la entrada de los particulares como prestadores de servicios públicos. En este caso, los servicios públicos tendrán una connotación económica que acompañe los fines públicos o la finalidad social del Estado que prescribe el artículo 365 constitucional.</w:t>
      </w:r>
    </w:p>
    <w:p w14:paraId="4999B938" w14:textId="77777777" w:rsidR="00B264FB" w:rsidRPr="00692CED" w:rsidRDefault="00B264FB" w:rsidP="00B264FB">
      <w:pPr>
        <w:tabs>
          <w:tab w:val="left" w:pos="426"/>
        </w:tabs>
        <w:jc w:val="both"/>
        <w:rPr>
          <w:rFonts w:ascii="Century Gothic" w:eastAsia="Calibri" w:hAnsi="Century Gothic" w:cs="Arial"/>
          <w:color w:val="000000" w:themeColor="text1"/>
          <w:sz w:val="22"/>
          <w:lang w:val="es-ES"/>
        </w:rPr>
      </w:pPr>
    </w:p>
    <w:p w14:paraId="29637C8D" w14:textId="77777777" w:rsidR="00B264FB" w:rsidRPr="00692CED" w:rsidRDefault="00B264FB" w:rsidP="00B264FB">
      <w:pPr>
        <w:jc w:val="both"/>
        <w:rPr>
          <w:rFonts w:ascii="Century Gothic" w:eastAsia="Calibri" w:hAnsi="Century Gothic" w:cs="Arial"/>
          <w:b/>
          <w:color w:val="000000" w:themeColor="text1"/>
          <w:sz w:val="22"/>
          <w:lang w:val="es-ES"/>
        </w:rPr>
      </w:pPr>
      <w:r w:rsidRPr="00692CED">
        <w:rPr>
          <w:rFonts w:ascii="Century Gothic" w:eastAsia="Calibri" w:hAnsi="Century Gothic" w:cs="Arial"/>
          <w:b/>
          <w:color w:val="000000" w:themeColor="text1"/>
          <w:sz w:val="22"/>
          <w:lang w:val="es-ES"/>
        </w:rPr>
        <w:t xml:space="preserve">EMPRESAS DE SERVICIOS PÚBLICAS MIXTAS – Entidades estatales </w:t>
      </w:r>
    </w:p>
    <w:p w14:paraId="68ADF394" w14:textId="77777777" w:rsidR="00B264FB" w:rsidRPr="00692CED" w:rsidRDefault="00B264FB" w:rsidP="00B264FB">
      <w:pPr>
        <w:rPr>
          <w:rFonts w:ascii="Century Gothic" w:eastAsia="Calibri" w:hAnsi="Century Gothic" w:cs="Arial"/>
          <w:b/>
          <w:color w:val="000000" w:themeColor="text1"/>
          <w:sz w:val="22"/>
          <w:lang w:val="es-ES"/>
        </w:rPr>
      </w:pPr>
    </w:p>
    <w:p w14:paraId="7466641B" w14:textId="23B22D3D" w:rsidR="00B264FB" w:rsidRDefault="00B264FB" w:rsidP="00B264FB">
      <w:pPr>
        <w:tabs>
          <w:tab w:val="left" w:pos="426"/>
        </w:tabs>
        <w:jc w:val="both"/>
        <w:rPr>
          <w:rFonts w:ascii="Century Gothic" w:eastAsia="Calibri" w:hAnsi="Century Gothic" w:cs="Arial"/>
          <w:color w:val="000000" w:themeColor="text1"/>
          <w:sz w:val="20"/>
          <w:szCs w:val="20"/>
          <w:lang w:val="es-ES"/>
        </w:rPr>
      </w:pPr>
      <w:r w:rsidRPr="00692CED">
        <w:rPr>
          <w:rFonts w:ascii="Century Gothic" w:eastAsia="Calibri" w:hAnsi="Century Gothic" w:cs="Arial"/>
          <w:color w:val="000000" w:themeColor="text1"/>
          <w:sz w:val="20"/>
          <w:szCs w:val="20"/>
          <w:lang w:val="es-ES"/>
        </w:rPr>
        <w:t>[…] las empresas de servicios públicos mixtas son entidades estatales, al pertenecer a la rama ejecutiva del poder público, pues se entienden incluidas en el literal g) del artículo 38 de la Ley 489 de 1998. Naturalmente, la categorización de estas entidades como estatales implica la aplicación de reglas y principios del derecho público que integran su régimen jurídico.</w:t>
      </w:r>
    </w:p>
    <w:p w14:paraId="057E2FE4" w14:textId="781A257D" w:rsidR="004078C7" w:rsidRDefault="004078C7" w:rsidP="00B264FB">
      <w:pPr>
        <w:tabs>
          <w:tab w:val="left" w:pos="426"/>
        </w:tabs>
        <w:jc w:val="both"/>
        <w:rPr>
          <w:rFonts w:ascii="Century Gothic" w:eastAsia="Calibri" w:hAnsi="Century Gothic" w:cs="Arial"/>
          <w:color w:val="000000" w:themeColor="text1"/>
          <w:sz w:val="20"/>
          <w:szCs w:val="20"/>
          <w:lang w:val="es-ES"/>
        </w:rPr>
      </w:pPr>
    </w:p>
    <w:p w14:paraId="1E49E444" w14:textId="77777777" w:rsidR="004078C7" w:rsidRPr="002651E7" w:rsidRDefault="004078C7" w:rsidP="002651E7">
      <w:pPr>
        <w:jc w:val="both"/>
        <w:rPr>
          <w:rFonts w:ascii="Century Gothic" w:eastAsia="Calibri" w:hAnsi="Century Gothic" w:cs="Arial"/>
          <w:b/>
          <w:color w:val="000000" w:themeColor="text1"/>
          <w:sz w:val="22"/>
          <w:lang w:val="es-ES"/>
        </w:rPr>
      </w:pPr>
      <w:r w:rsidRPr="002651E7">
        <w:rPr>
          <w:rFonts w:ascii="Century Gothic" w:eastAsia="Calibri" w:hAnsi="Century Gothic" w:cs="Arial"/>
          <w:b/>
          <w:color w:val="000000" w:themeColor="text1"/>
          <w:sz w:val="22"/>
          <w:lang w:val="es-ES"/>
        </w:rPr>
        <w:t>INHABILIDADES – Definición – Finalidad – Limitación capacidad contractual</w:t>
      </w:r>
    </w:p>
    <w:p w14:paraId="13C6C153" w14:textId="77777777" w:rsidR="004078C7" w:rsidRPr="00374831" w:rsidRDefault="004078C7" w:rsidP="004078C7">
      <w:pPr>
        <w:rPr>
          <w:rFonts w:ascii="Arial" w:eastAsia="Calibri" w:hAnsi="Arial" w:cs="Arial"/>
          <w:bCs/>
          <w:sz w:val="20"/>
          <w:szCs w:val="20"/>
          <w:lang w:eastAsia="es-ES_tradnl"/>
        </w:rPr>
      </w:pPr>
    </w:p>
    <w:p w14:paraId="4AF33E9B" w14:textId="77777777" w:rsidR="004078C7" w:rsidRPr="002651E7" w:rsidRDefault="004078C7" w:rsidP="004078C7">
      <w:pPr>
        <w:jc w:val="both"/>
        <w:rPr>
          <w:rFonts w:ascii="Century Gothic" w:eastAsia="Calibri" w:hAnsi="Century Gothic" w:cs="Arial"/>
          <w:color w:val="000000" w:themeColor="text1"/>
          <w:sz w:val="20"/>
          <w:szCs w:val="20"/>
          <w:lang w:val="es-ES"/>
        </w:rPr>
      </w:pPr>
      <w:r w:rsidRPr="002651E7">
        <w:rPr>
          <w:rFonts w:ascii="Century Gothic" w:eastAsia="Calibri" w:hAnsi="Century Gothic" w:cs="Arial"/>
          <w:color w:val="000000" w:themeColor="text1"/>
          <w:sz w:val="20"/>
          <w:szCs w:val="20"/>
          <w:lang w:val="es-ES"/>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70B595A6" w14:textId="77777777" w:rsidR="004078C7" w:rsidRPr="00374831" w:rsidRDefault="004078C7" w:rsidP="004078C7">
      <w:pPr>
        <w:jc w:val="both"/>
        <w:rPr>
          <w:rFonts w:ascii="Arial" w:eastAsia="Geomanist Light" w:hAnsi="Arial" w:cs="Arial"/>
          <w:color w:val="000000" w:themeColor="text1"/>
          <w:sz w:val="20"/>
          <w:szCs w:val="20"/>
        </w:rPr>
      </w:pPr>
    </w:p>
    <w:p w14:paraId="013AFD3E" w14:textId="77777777" w:rsidR="004078C7" w:rsidRPr="002651E7" w:rsidRDefault="004078C7" w:rsidP="004078C7">
      <w:pPr>
        <w:jc w:val="both"/>
        <w:rPr>
          <w:rFonts w:ascii="Century Gothic" w:eastAsia="Calibri" w:hAnsi="Century Gothic" w:cs="Arial"/>
          <w:b/>
          <w:color w:val="000000" w:themeColor="text1"/>
          <w:sz w:val="22"/>
          <w:lang w:val="es-ES"/>
        </w:rPr>
      </w:pPr>
      <w:r w:rsidRPr="002651E7">
        <w:rPr>
          <w:rFonts w:ascii="Century Gothic" w:eastAsia="Calibri" w:hAnsi="Century Gothic" w:cs="Arial"/>
          <w:b/>
          <w:color w:val="000000" w:themeColor="text1"/>
          <w:sz w:val="22"/>
          <w:lang w:val="es-ES"/>
        </w:rPr>
        <w:t>CONTRATACIÓN ESTATAL – Capacidad – Validez contratos – Régimen de contratación – Inscripción – Limitación de la capacidad</w:t>
      </w:r>
    </w:p>
    <w:p w14:paraId="4F11D16B" w14:textId="77777777" w:rsidR="004078C7" w:rsidRPr="002651E7" w:rsidRDefault="004078C7" w:rsidP="004078C7">
      <w:pPr>
        <w:jc w:val="both"/>
        <w:rPr>
          <w:rFonts w:ascii="Century Gothic" w:eastAsia="Calibri" w:hAnsi="Century Gothic" w:cs="Arial"/>
          <w:b/>
          <w:color w:val="000000" w:themeColor="text1"/>
          <w:sz w:val="22"/>
          <w:lang w:val="es-ES"/>
        </w:rPr>
      </w:pPr>
    </w:p>
    <w:p w14:paraId="799BE1EA" w14:textId="77777777" w:rsidR="004078C7" w:rsidRPr="002651E7" w:rsidRDefault="004078C7" w:rsidP="004078C7">
      <w:pPr>
        <w:jc w:val="both"/>
        <w:rPr>
          <w:rFonts w:ascii="Century Gothic" w:eastAsia="Calibri" w:hAnsi="Century Gothic" w:cs="Arial"/>
          <w:color w:val="000000" w:themeColor="text1"/>
          <w:sz w:val="20"/>
          <w:szCs w:val="20"/>
          <w:lang w:val="es-ES"/>
        </w:rPr>
      </w:pPr>
      <w:r w:rsidRPr="002651E7">
        <w:rPr>
          <w:rFonts w:ascii="Century Gothic" w:eastAsia="Calibri" w:hAnsi="Century Gothic" w:cs="Arial"/>
          <w:color w:val="000000" w:themeColor="text1"/>
          <w:sz w:val="20"/>
          <w:szCs w:val="20"/>
          <w:lang w:val="es-ES"/>
        </w:rPr>
        <w:t xml:space="preserve">[…]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w:t>
      </w:r>
      <w:r w:rsidRPr="002651E7">
        <w:rPr>
          <w:rFonts w:ascii="Century Gothic" w:eastAsia="Calibri" w:hAnsi="Century Gothic" w:cs="Arial"/>
          <w:color w:val="000000" w:themeColor="text1"/>
          <w:sz w:val="20"/>
          <w:szCs w:val="20"/>
          <w:lang w:val="es-ES"/>
        </w:rPr>
        <w:lastRenderedPageBreak/>
        <w:t>un conjunto de normas que imponen restricciones para los sujetos que, eventualmente, pretendan participar en los procedimientos de selección o celebrar contratos con las entidades estatales.</w:t>
      </w:r>
    </w:p>
    <w:p w14:paraId="6C36D6D3" w14:textId="77777777" w:rsidR="004078C7" w:rsidRPr="002651E7" w:rsidRDefault="004078C7" w:rsidP="004078C7">
      <w:pPr>
        <w:jc w:val="both"/>
        <w:rPr>
          <w:rFonts w:ascii="Century Gothic" w:eastAsia="Calibri" w:hAnsi="Century Gothic" w:cs="Arial"/>
          <w:color w:val="000000" w:themeColor="text1"/>
          <w:sz w:val="20"/>
          <w:szCs w:val="20"/>
          <w:lang w:val="es-ES"/>
        </w:rPr>
      </w:pPr>
    </w:p>
    <w:p w14:paraId="0EDC5092" w14:textId="22815A6C" w:rsidR="004078C7" w:rsidRDefault="004078C7" w:rsidP="004078C7">
      <w:pPr>
        <w:jc w:val="both"/>
        <w:rPr>
          <w:rFonts w:ascii="Century Gothic" w:eastAsia="Calibri" w:hAnsi="Century Gothic" w:cs="Arial"/>
          <w:color w:val="000000" w:themeColor="text1"/>
          <w:sz w:val="20"/>
          <w:szCs w:val="20"/>
          <w:lang w:val="es-ES"/>
        </w:rPr>
      </w:pPr>
      <w:r w:rsidRPr="002651E7">
        <w:rPr>
          <w:rFonts w:ascii="Century Gothic" w:eastAsia="Calibri" w:hAnsi="Century Gothic" w:cs="Arial"/>
          <w:color w:val="000000" w:themeColor="text1"/>
          <w:sz w:val="20"/>
          <w:szCs w:val="20"/>
          <w:lang w:val="es-ES"/>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5776B6CD" w14:textId="1756D1C3" w:rsidR="002651E7" w:rsidRDefault="002651E7" w:rsidP="004078C7">
      <w:pPr>
        <w:jc w:val="both"/>
        <w:rPr>
          <w:rFonts w:ascii="Century Gothic" w:eastAsia="Calibri" w:hAnsi="Century Gothic" w:cs="Arial"/>
          <w:color w:val="000000" w:themeColor="text1"/>
          <w:sz w:val="20"/>
          <w:szCs w:val="20"/>
          <w:lang w:val="es-ES"/>
        </w:rPr>
      </w:pPr>
    </w:p>
    <w:p w14:paraId="78B9F3C3" w14:textId="1186A447" w:rsidR="002651E7" w:rsidRDefault="002651E7" w:rsidP="004078C7">
      <w:pPr>
        <w:jc w:val="both"/>
        <w:rPr>
          <w:rFonts w:ascii="Century Gothic" w:eastAsia="Calibri" w:hAnsi="Century Gothic" w:cs="Arial"/>
          <w:b/>
          <w:color w:val="000000" w:themeColor="text1"/>
          <w:sz w:val="22"/>
          <w:lang w:val="es-ES"/>
        </w:rPr>
      </w:pPr>
      <w:r w:rsidRPr="002651E7">
        <w:rPr>
          <w:rFonts w:ascii="Century Gothic" w:eastAsia="Calibri" w:hAnsi="Century Gothic" w:cs="Arial"/>
          <w:b/>
          <w:color w:val="000000" w:themeColor="text1"/>
          <w:sz w:val="22"/>
          <w:lang w:val="es-ES"/>
        </w:rPr>
        <w:t>INHABILIDADES</w:t>
      </w:r>
      <w:r>
        <w:rPr>
          <w:rFonts w:ascii="Century Gothic" w:eastAsia="Calibri" w:hAnsi="Century Gothic" w:cs="Arial"/>
          <w:b/>
          <w:color w:val="000000" w:themeColor="text1"/>
          <w:sz w:val="22"/>
          <w:lang w:val="es-ES"/>
        </w:rPr>
        <w:t xml:space="preserve"> – Entidades Exceptuadas – Régimen de contratación – Derecho privado – Artículo 13 – Ley 80 de 1993 – Principios – Función administrativa – Empresas de Servicios Públicos </w:t>
      </w:r>
      <w:r w:rsidR="00E2258A">
        <w:rPr>
          <w:rFonts w:ascii="Century Gothic" w:eastAsia="Calibri" w:hAnsi="Century Gothic" w:cs="Arial"/>
          <w:b/>
          <w:color w:val="000000" w:themeColor="text1"/>
          <w:sz w:val="22"/>
          <w:lang w:val="es-ES"/>
        </w:rPr>
        <w:t xml:space="preserve">– </w:t>
      </w:r>
    </w:p>
    <w:p w14:paraId="0517F8E1" w14:textId="6FB7982F" w:rsidR="002651E7" w:rsidRDefault="002651E7" w:rsidP="004078C7">
      <w:pPr>
        <w:jc w:val="both"/>
        <w:rPr>
          <w:rFonts w:ascii="Century Gothic" w:eastAsia="Calibri" w:hAnsi="Century Gothic" w:cs="Arial"/>
          <w:b/>
          <w:color w:val="000000" w:themeColor="text1"/>
          <w:sz w:val="22"/>
          <w:lang w:val="es-ES"/>
        </w:rPr>
      </w:pPr>
    </w:p>
    <w:p w14:paraId="11A63639" w14:textId="77777777" w:rsidR="002651E7" w:rsidRPr="002651E7" w:rsidRDefault="002651E7" w:rsidP="002651E7">
      <w:pPr>
        <w:jc w:val="both"/>
        <w:rPr>
          <w:rFonts w:ascii="Century Gothic" w:hAnsi="Century Gothic" w:cs="Arial"/>
          <w:color w:val="000000" w:themeColor="text1"/>
          <w:sz w:val="20"/>
          <w:szCs w:val="20"/>
        </w:rPr>
      </w:pPr>
      <w:r w:rsidRPr="002651E7">
        <w:rPr>
          <w:rFonts w:ascii="Century Gothic" w:hAnsi="Century Gothic" w:cs="Arial"/>
          <w:color w:val="000000" w:themeColor="text1"/>
          <w:sz w:val="20"/>
          <w:szCs w:val="20"/>
        </w:rPr>
        <w:t xml:space="preserve">Así las cosas, al concluir </w:t>
      </w:r>
      <w:proofErr w:type="gramStart"/>
      <w:r w:rsidRPr="002651E7">
        <w:rPr>
          <w:rFonts w:ascii="Century Gothic" w:hAnsi="Century Gothic" w:cs="Arial"/>
          <w:color w:val="000000" w:themeColor="text1"/>
          <w:sz w:val="20"/>
          <w:szCs w:val="20"/>
        </w:rPr>
        <w:t>que  los</w:t>
      </w:r>
      <w:proofErr w:type="gramEnd"/>
      <w:r w:rsidRPr="002651E7">
        <w:rPr>
          <w:rFonts w:ascii="Century Gothic" w:hAnsi="Century Gothic" w:cs="Arial"/>
          <w:color w:val="000000" w:themeColor="text1"/>
          <w:sz w:val="20"/>
          <w:szCs w:val="20"/>
        </w:rPr>
        <w:t xml:space="preserve"> actos precontractuales expedidos por empresas de servicios públicos son de naturaleza privada y sometidas al régimen jurídico civil y comercial, el Consejo de Estado precisó que deben observarse además, conforme con lo dispuesto en el artículo 13 de la ley 1150 de 2007, esto es los principios que orientan la función administrativa. De modo que, tendrán que observar el principio de imparcialidad y con ello las reglas que sobre la materia resultan aplicables respecto de la capacidad para contratar. </w:t>
      </w:r>
    </w:p>
    <w:p w14:paraId="71562321" w14:textId="77777777" w:rsidR="002651E7" w:rsidRPr="002651E7" w:rsidRDefault="002651E7" w:rsidP="004078C7">
      <w:pPr>
        <w:jc w:val="both"/>
        <w:rPr>
          <w:rFonts w:ascii="Century Gothic" w:eastAsia="Calibri" w:hAnsi="Century Gothic" w:cs="Arial"/>
          <w:color w:val="000000" w:themeColor="text1"/>
          <w:sz w:val="20"/>
          <w:szCs w:val="20"/>
        </w:rPr>
      </w:pPr>
    </w:p>
    <w:p w14:paraId="1E1D2246" w14:textId="77777777" w:rsidR="004078C7" w:rsidRPr="002651E7" w:rsidRDefault="004078C7" w:rsidP="002651E7">
      <w:pPr>
        <w:jc w:val="both"/>
        <w:rPr>
          <w:rFonts w:ascii="Century Gothic" w:eastAsia="Calibri" w:hAnsi="Century Gothic" w:cs="Arial"/>
          <w:color w:val="000000" w:themeColor="text1"/>
          <w:sz w:val="20"/>
          <w:szCs w:val="20"/>
          <w:lang w:val="es-ES"/>
        </w:rPr>
      </w:pPr>
    </w:p>
    <w:p w14:paraId="48128F4B" w14:textId="1171DCC2" w:rsidR="00E2258A" w:rsidRDefault="00E2258A" w:rsidP="00E2258A">
      <w:pPr>
        <w:jc w:val="both"/>
        <w:rPr>
          <w:rFonts w:ascii="Century Gothic" w:eastAsia="Calibri" w:hAnsi="Century Gothic" w:cs="Arial"/>
          <w:b/>
          <w:color w:val="000000" w:themeColor="text1"/>
          <w:sz w:val="22"/>
          <w:lang w:val="es-ES"/>
        </w:rPr>
      </w:pPr>
      <w:r w:rsidRPr="002651E7">
        <w:rPr>
          <w:rFonts w:ascii="Century Gothic" w:eastAsia="Calibri" w:hAnsi="Century Gothic" w:cs="Arial"/>
          <w:b/>
          <w:color w:val="000000" w:themeColor="text1"/>
          <w:sz w:val="22"/>
          <w:lang w:val="es-ES"/>
        </w:rPr>
        <w:t>INHABILIDADES</w:t>
      </w:r>
      <w:r>
        <w:rPr>
          <w:rFonts w:ascii="Century Gothic" w:eastAsia="Calibri" w:hAnsi="Century Gothic" w:cs="Arial"/>
          <w:b/>
          <w:color w:val="000000" w:themeColor="text1"/>
          <w:sz w:val="22"/>
          <w:lang w:val="es-ES"/>
        </w:rPr>
        <w:t xml:space="preserve"> – Ley 142 de 1994 – Artículo 31 – Artículo 32 – Empresas de servicios públicos – Régimen de contratación – </w:t>
      </w:r>
      <w:bookmarkStart w:id="3" w:name="_GoBack"/>
      <w:bookmarkEnd w:id="3"/>
      <w:r>
        <w:rPr>
          <w:rFonts w:ascii="Century Gothic" w:eastAsia="Calibri" w:hAnsi="Century Gothic" w:cs="Arial"/>
          <w:b/>
          <w:color w:val="000000" w:themeColor="text1"/>
          <w:sz w:val="22"/>
          <w:lang w:val="es-ES"/>
        </w:rPr>
        <w:t>Alcance</w:t>
      </w:r>
    </w:p>
    <w:p w14:paraId="64044232" w14:textId="60801CE1" w:rsidR="00E2258A" w:rsidRDefault="00E2258A" w:rsidP="00E2258A">
      <w:pPr>
        <w:jc w:val="both"/>
        <w:rPr>
          <w:rFonts w:ascii="Century Gothic" w:eastAsia="Calibri" w:hAnsi="Century Gothic" w:cs="Arial"/>
          <w:b/>
          <w:color w:val="000000" w:themeColor="text1"/>
          <w:sz w:val="22"/>
          <w:lang w:val="es-ES"/>
        </w:rPr>
      </w:pPr>
    </w:p>
    <w:p w14:paraId="00AC7091" w14:textId="77777777" w:rsidR="00E2258A" w:rsidRPr="00E2258A" w:rsidRDefault="00E2258A" w:rsidP="00E2258A">
      <w:pPr>
        <w:spacing w:before="120" w:after="120" w:line="276" w:lineRule="auto"/>
        <w:jc w:val="both"/>
        <w:rPr>
          <w:rFonts w:ascii="Century Gothic" w:eastAsia="Calibri" w:hAnsi="Century Gothic" w:cs="Arial"/>
          <w:bCs/>
          <w:sz w:val="20"/>
          <w:szCs w:val="20"/>
        </w:rPr>
      </w:pPr>
      <w:r w:rsidRPr="00E2258A">
        <w:rPr>
          <w:rFonts w:ascii="Century Gothic" w:eastAsia="Calibri" w:hAnsi="Century Gothic" w:cs="Arial"/>
          <w:bCs/>
          <w:sz w:val="20"/>
          <w:szCs w:val="20"/>
        </w:rPr>
        <w:t xml:space="preserve">En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w:t>
      </w:r>
      <w:r w:rsidRPr="00E2258A">
        <w:rPr>
          <w:rFonts w:ascii="Century Gothic" w:eastAsia="Calibri" w:hAnsi="Century Gothic" w:cs="Arial"/>
          <w:bCs/>
          <w:sz w:val="20"/>
          <w:szCs w:val="20"/>
        </w:rPr>
        <w:lastRenderedPageBreak/>
        <w:t>públicos domiciliarios, indicando que sus actos se rigen por los principios y reglas aplicables a los particulares</w:t>
      </w:r>
      <w:r w:rsidRPr="00E2258A">
        <w:rPr>
          <w:rFonts w:ascii="Century Gothic" w:eastAsia="Calibri" w:hAnsi="Century Gothic" w:cs="Arial"/>
          <w:bCs/>
          <w:sz w:val="20"/>
          <w:szCs w:val="20"/>
          <w:vertAlign w:val="superscript"/>
        </w:rPr>
        <w:footnoteReference w:id="1"/>
      </w:r>
      <w:r w:rsidRPr="00E2258A">
        <w:rPr>
          <w:rFonts w:ascii="Century Gothic" w:eastAsia="Calibri" w:hAnsi="Century Gothic" w:cs="Arial"/>
          <w:bCs/>
          <w:sz w:val="20"/>
          <w:szCs w:val="20"/>
        </w:rPr>
        <w:t>.</w:t>
      </w:r>
    </w:p>
    <w:p w14:paraId="72672DA9" w14:textId="77777777" w:rsidR="00E2258A" w:rsidRPr="00E2258A" w:rsidRDefault="00E2258A" w:rsidP="00E2258A">
      <w:pPr>
        <w:spacing w:after="120" w:line="276" w:lineRule="auto"/>
        <w:jc w:val="both"/>
        <w:rPr>
          <w:rFonts w:ascii="Century Gothic" w:eastAsia="Calibri" w:hAnsi="Century Gothic" w:cs="Arial"/>
          <w:bCs/>
          <w:sz w:val="20"/>
          <w:szCs w:val="20"/>
        </w:rPr>
      </w:pPr>
      <w:r w:rsidRPr="00E2258A">
        <w:rPr>
          <w:rFonts w:ascii="Century Gothic" w:eastAsia="Calibri" w:hAnsi="Century Gothic" w:cs="Arial"/>
          <w:bCs/>
          <w:sz w:val="20"/>
          <w:szCs w:val="20"/>
        </w:rPr>
        <w:t>En consecuencia, de la lectura sistemática de las normas referidas puede concluirse que el régimen jurídico que, por regla general, debe aplicarse a la contratación que efectúan las empresas prestadoras de servicios públicos domiciliarios es el derecho privado y sólo, excepcionalmente, el contenido en el Estatuto General de Contratación de la Administración Pública –en adelante EGCAP–</w:t>
      </w:r>
      <w:r w:rsidRPr="00E2258A">
        <w:rPr>
          <w:rFonts w:ascii="Century Gothic" w:eastAsia="Calibri" w:hAnsi="Century Gothic" w:cs="Arial"/>
          <w:bCs/>
          <w:sz w:val="20"/>
          <w:szCs w:val="20"/>
          <w:vertAlign w:val="superscript"/>
        </w:rPr>
        <w:footnoteReference w:id="2"/>
      </w:r>
      <w:r w:rsidRPr="00E2258A">
        <w:rPr>
          <w:rFonts w:ascii="Century Gothic" w:eastAsia="Calibri" w:hAnsi="Century Gothic" w:cs="Arial"/>
          <w:bCs/>
          <w:sz w:val="20"/>
          <w:szCs w:val="20"/>
        </w:rPr>
        <w:t>. En otras palabras, dichas empresas se sujetan, en su actividad contractual, a las disposiciones del derecho privado, salvo en aquellos casos en los que la Constitución, la Ley 142 de 1994 u otras leyes especiales, sometan tal conducta al EGCAP, es decir, a la Ley 80 de 1993, Ley 1150 de 2007 y demás normas complementarias.</w:t>
      </w:r>
    </w:p>
    <w:p w14:paraId="2DE0DEEC" w14:textId="77777777" w:rsidR="00E2258A" w:rsidRPr="00E2258A" w:rsidRDefault="00E2258A" w:rsidP="00E2258A">
      <w:pPr>
        <w:jc w:val="both"/>
        <w:rPr>
          <w:rFonts w:ascii="Century Gothic" w:eastAsia="Calibri" w:hAnsi="Century Gothic" w:cs="Arial"/>
          <w:b/>
          <w:color w:val="000000" w:themeColor="text1"/>
          <w:sz w:val="22"/>
        </w:rPr>
      </w:pPr>
    </w:p>
    <w:p w14:paraId="401472AD" w14:textId="77777777" w:rsidR="00E2258A" w:rsidRDefault="00E2258A" w:rsidP="00E2258A">
      <w:pPr>
        <w:jc w:val="both"/>
        <w:rPr>
          <w:rFonts w:ascii="Century Gothic" w:eastAsia="Calibri" w:hAnsi="Century Gothic" w:cs="Arial"/>
          <w:b/>
          <w:color w:val="000000" w:themeColor="text1"/>
          <w:sz w:val="22"/>
          <w:lang w:val="es-ES"/>
        </w:rPr>
      </w:pPr>
    </w:p>
    <w:p w14:paraId="078AFD70" w14:textId="63DA12E9" w:rsidR="00B264FB" w:rsidRPr="00692CED" w:rsidRDefault="00E804AA" w:rsidP="00E2258A">
      <w:pPr>
        <w:jc w:val="both"/>
        <w:rPr>
          <w:rFonts w:ascii="Century Gothic" w:hAnsi="Century Gothic" w:cs="Arial"/>
          <w:b/>
          <w:sz w:val="16"/>
          <w:szCs w:val="16"/>
          <w:lang w:eastAsia="es-ES"/>
        </w:rPr>
      </w:pPr>
      <w:r w:rsidRPr="00692CED">
        <w:rPr>
          <w:rFonts w:ascii="Century Gothic" w:hAnsi="Century Gothic" w:cs="Arial"/>
          <w:b/>
          <w:sz w:val="16"/>
          <w:szCs w:val="16"/>
          <w:lang w:eastAsia="es-ES"/>
        </w:rPr>
        <w:tab/>
      </w:r>
    </w:p>
    <w:p w14:paraId="2CEBEB5B" w14:textId="77777777" w:rsidR="00B264FB" w:rsidRPr="00692CED" w:rsidRDefault="00B264FB" w:rsidP="00E804AA">
      <w:pPr>
        <w:jc w:val="right"/>
        <w:rPr>
          <w:rFonts w:ascii="Century Gothic" w:hAnsi="Century Gothic" w:cs="Arial"/>
          <w:b/>
          <w:sz w:val="16"/>
          <w:szCs w:val="16"/>
          <w:lang w:eastAsia="es-ES"/>
        </w:rPr>
      </w:pPr>
    </w:p>
    <w:p w14:paraId="781A3D5F" w14:textId="3508C7F6" w:rsidR="00E804AA" w:rsidRPr="00692CED" w:rsidRDefault="00E804AA" w:rsidP="00E804AA">
      <w:pPr>
        <w:jc w:val="right"/>
        <w:rPr>
          <w:rFonts w:ascii="Century Gothic" w:hAnsi="Century Gothic" w:cs="Arial"/>
          <w:b/>
          <w:sz w:val="16"/>
          <w:szCs w:val="16"/>
          <w:lang w:eastAsia="es-ES"/>
        </w:rPr>
      </w:pPr>
      <w:r w:rsidRPr="00692CED">
        <w:rPr>
          <w:rFonts w:ascii="Century Gothic" w:hAnsi="Century Gothic" w:cs="Arial"/>
          <w:b/>
          <w:sz w:val="16"/>
          <w:szCs w:val="16"/>
          <w:lang w:eastAsia="es-ES"/>
        </w:rPr>
        <w:t>CCE-DES-FM-17</w:t>
      </w:r>
    </w:p>
    <w:p w14:paraId="21B15874" w14:textId="77777777" w:rsidR="00E804AA" w:rsidRPr="00692CED" w:rsidRDefault="00E804AA" w:rsidP="00E804AA">
      <w:pPr>
        <w:jc w:val="both"/>
        <w:rPr>
          <w:rFonts w:ascii="Century Gothic" w:eastAsia="Calibri" w:hAnsi="Century Gothic" w:cs="Arial"/>
          <w:sz w:val="20"/>
          <w:szCs w:val="20"/>
          <w:lang w:val="es-ES_tradnl"/>
        </w:rPr>
      </w:pPr>
    </w:p>
    <w:p w14:paraId="35BAC57C" w14:textId="57DB04B9" w:rsidR="0080087A" w:rsidRPr="00692CED" w:rsidRDefault="0080087A" w:rsidP="0080087A">
      <w:pPr>
        <w:jc w:val="both"/>
        <w:rPr>
          <w:rFonts w:ascii="Century Gothic" w:hAnsi="Century Gothic" w:cs="Arial"/>
          <w:b/>
          <w:color w:val="000000" w:themeColor="text1"/>
          <w:lang w:val="es-ES_tradnl"/>
        </w:rPr>
      </w:pPr>
      <w:bookmarkStart w:id="4" w:name="_Hlk58263829"/>
    </w:p>
    <w:p w14:paraId="22004556" w14:textId="77777777" w:rsidR="0080087A" w:rsidRPr="00692CED" w:rsidRDefault="0080087A" w:rsidP="00E804AA">
      <w:pPr>
        <w:autoSpaceDE w:val="0"/>
        <w:autoSpaceDN w:val="0"/>
        <w:adjustRightInd w:val="0"/>
        <w:rPr>
          <w:rFonts w:ascii="Century Gothic" w:hAnsi="Century Gothic" w:cs="Arial"/>
          <w:color w:val="000000"/>
          <w:sz w:val="22"/>
          <w:lang w:val="es-ES_tradnl"/>
        </w:rPr>
      </w:pPr>
    </w:p>
    <w:p w14:paraId="332E8C46" w14:textId="77777777" w:rsidR="0080087A" w:rsidRPr="00692CED" w:rsidRDefault="0080087A" w:rsidP="00E804AA">
      <w:pPr>
        <w:autoSpaceDE w:val="0"/>
        <w:autoSpaceDN w:val="0"/>
        <w:adjustRightInd w:val="0"/>
        <w:rPr>
          <w:rFonts w:ascii="Century Gothic" w:hAnsi="Century Gothic" w:cs="Arial"/>
          <w:color w:val="000000"/>
          <w:sz w:val="22"/>
          <w:lang w:val="es-ES_tradnl"/>
        </w:rPr>
      </w:pPr>
    </w:p>
    <w:p w14:paraId="7602F90B" w14:textId="24CFE9B4" w:rsidR="00B9760A" w:rsidRPr="00322A85" w:rsidRDefault="00B9760A" w:rsidP="00B9760A">
      <w:pPr>
        <w:rPr>
          <w:rFonts w:ascii="Century Gothic" w:hAnsi="Century Gothic"/>
        </w:rPr>
      </w:pPr>
      <w:bookmarkStart w:id="5" w:name="_Hlk143780582"/>
      <w:bookmarkEnd w:id="0"/>
      <w:bookmarkEnd w:id="1"/>
      <w:bookmarkEnd w:id="2"/>
      <w:bookmarkEnd w:id="4"/>
      <w:r w:rsidRPr="00322A85">
        <w:rPr>
          <w:rFonts w:ascii="Century Gothic" w:hAnsi="Century Gothic"/>
        </w:rPr>
        <w:t xml:space="preserve">Bogotá D.C., </w:t>
      </w:r>
      <w:r w:rsidR="003A5406">
        <w:rPr>
          <w:rFonts w:ascii="Century Gothic" w:hAnsi="Century Gothic"/>
        </w:rPr>
        <w:t>24 de octubre de2023</w:t>
      </w:r>
    </w:p>
    <w:p w14:paraId="6B191833" w14:textId="77777777" w:rsidR="00B9760A" w:rsidRPr="00322A85" w:rsidRDefault="00B9760A" w:rsidP="00B9760A">
      <w:pPr>
        <w:rPr>
          <w:rFonts w:ascii="Century Gothic" w:hAnsi="Century Gothic"/>
        </w:rPr>
      </w:pPr>
    </w:p>
    <w:p w14:paraId="3CC24A73" w14:textId="7F5F3E63" w:rsidR="00B9760A" w:rsidRPr="00322A85" w:rsidRDefault="003A5406" w:rsidP="003A5406">
      <w:pPr>
        <w:jc w:val="right"/>
        <w:rPr>
          <w:rFonts w:ascii="Century Gothic" w:hAnsi="Century Gothic"/>
        </w:rPr>
      </w:pPr>
      <w:r w:rsidRPr="003A5406">
        <w:rPr>
          <w:rFonts w:ascii="Century Gothic" w:hAnsi="Century Gothic"/>
        </w:rPr>
        <w:lastRenderedPageBreak/>
        <w:drawing>
          <wp:inline distT="0" distB="0" distL="0" distR="0" wp14:anchorId="03E94671" wp14:editId="274014E0">
            <wp:extent cx="3115110" cy="838317"/>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5110" cy="838317"/>
                    </a:xfrm>
                    <a:prstGeom prst="rect">
                      <a:avLst/>
                    </a:prstGeom>
                  </pic:spPr>
                </pic:pic>
              </a:graphicData>
            </a:graphic>
          </wp:inline>
        </w:drawing>
      </w:r>
    </w:p>
    <w:p w14:paraId="04AEE33D" w14:textId="77777777" w:rsidR="00B9760A" w:rsidRPr="00692CED" w:rsidRDefault="00B9760A" w:rsidP="00B9760A">
      <w:pPr>
        <w:pStyle w:val="Sinespaciado"/>
        <w:rPr>
          <w:rFonts w:ascii="Century Gothic" w:hAnsi="Century Gothic" w:cs="Arial"/>
          <w:lang w:val="es-ES_tradnl"/>
        </w:rPr>
      </w:pPr>
      <w:bookmarkStart w:id="6" w:name="_Hlk70522007"/>
      <w:r>
        <w:rPr>
          <w:rFonts w:ascii="Century Gothic" w:hAnsi="Century Gothic" w:cs="Arial"/>
          <w:lang w:val="es-ES_tradnl"/>
        </w:rPr>
        <w:t>Señor</w:t>
      </w:r>
    </w:p>
    <w:p w14:paraId="44505D3F" w14:textId="77777777" w:rsidR="00B9760A" w:rsidRPr="00692CED" w:rsidRDefault="00B9760A" w:rsidP="00B9760A">
      <w:pPr>
        <w:pStyle w:val="Sinespaciado"/>
        <w:rPr>
          <w:rFonts w:ascii="Century Gothic" w:hAnsi="Century Gothic" w:cs="Arial"/>
          <w:b/>
          <w:bCs/>
          <w:lang w:val="es-ES_tradnl"/>
        </w:rPr>
      </w:pPr>
      <w:r w:rsidRPr="00692CED">
        <w:rPr>
          <w:rFonts w:ascii="Century Gothic" w:hAnsi="Century Gothic" w:cs="Arial"/>
          <w:b/>
          <w:bCs/>
          <w:lang w:val="es-ES_tradnl"/>
        </w:rPr>
        <w:t xml:space="preserve">Juan Sebastián Borja Garzón  </w:t>
      </w:r>
    </w:p>
    <w:p w14:paraId="5A161BAB" w14:textId="77777777" w:rsidR="00B9760A" w:rsidRPr="00692CED" w:rsidRDefault="00B9760A" w:rsidP="00B9760A">
      <w:pPr>
        <w:pStyle w:val="Sinespaciado"/>
        <w:rPr>
          <w:rFonts w:ascii="Century Gothic" w:hAnsi="Century Gothic" w:cs="Arial"/>
          <w:bCs/>
          <w:lang w:val="es-ES_tradnl"/>
        </w:rPr>
      </w:pPr>
      <w:r w:rsidRPr="00692CED">
        <w:rPr>
          <w:rFonts w:ascii="Century Gothic" w:hAnsi="Century Gothic" w:cs="Arial"/>
          <w:bCs/>
          <w:lang w:val="es-ES_tradnl"/>
        </w:rPr>
        <w:t xml:space="preserve">Ciudad </w:t>
      </w:r>
    </w:p>
    <w:p w14:paraId="1D304A89" w14:textId="77777777" w:rsidR="00B9760A" w:rsidRPr="00692CED" w:rsidRDefault="00B9760A" w:rsidP="00B9760A">
      <w:pPr>
        <w:pStyle w:val="Sinespaciado"/>
        <w:rPr>
          <w:rFonts w:ascii="Century Gothic" w:hAnsi="Century Gothic" w:cs="Arial"/>
          <w:lang w:val="es-ES_tradnl"/>
        </w:rPr>
      </w:pPr>
    </w:p>
    <w:p w14:paraId="60A83452" w14:textId="77777777" w:rsidR="00B9760A" w:rsidRPr="00692CED" w:rsidRDefault="00B9760A" w:rsidP="00B9760A">
      <w:pPr>
        <w:rPr>
          <w:rFonts w:ascii="Century Gothic" w:eastAsia="Calibri" w:hAnsi="Century Gothic" w:cs="Arial"/>
          <w:b/>
          <w:bCs/>
          <w:color w:val="000000" w:themeColor="text1"/>
          <w:lang w:val="es-ES_tradnl"/>
        </w:rPr>
      </w:pPr>
      <w:r w:rsidRPr="00692CED">
        <w:rPr>
          <w:rFonts w:ascii="Century Gothic" w:eastAsia="Calibri" w:hAnsi="Century Gothic" w:cs="Arial"/>
          <w:b/>
          <w:bCs/>
          <w:color w:val="000000" w:themeColor="text1"/>
          <w:lang w:val="es-ES_tradnl"/>
        </w:rPr>
        <w:t xml:space="preserve">                                            Concepto C </w:t>
      </w:r>
      <w:r w:rsidRPr="00692CED">
        <w:rPr>
          <w:rFonts w:ascii="Arial" w:eastAsia="Calibri" w:hAnsi="Arial" w:cs="Arial"/>
          <w:b/>
          <w:bCs/>
          <w:color w:val="000000" w:themeColor="text1"/>
          <w:lang w:val="es-ES_tradnl"/>
        </w:rPr>
        <w:t>‒</w:t>
      </w:r>
      <w:r w:rsidRPr="00692CED">
        <w:rPr>
          <w:rFonts w:ascii="Century Gothic" w:eastAsia="Calibri" w:hAnsi="Century Gothic" w:cs="Arial"/>
          <w:b/>
          <w:bCs/>
          <w:color w:val="000000" w:themeColor="text1"/>
          <w:lang w:val="es-ES_tradnl"/>
        </w:rPr>
        <w:t xml:space="preserve"> 435 de 2023</w:t>
      </w:r>
    </w:p>
    <w:p w14:paraId="2FEC23BA" w14:textId="77777777" w:rsidR="00B9760A" w:rsidRPr="00692CED" w:rsidRDefault="00B9760A" w:rsidP="00B9760A">
      <w:pPr>
        <w:rPr>
          <w:rFonts w:ascii="Century Gothic" w:eastAsia="Calibri" w:hAnsi="Century Gothic" w:cs="Arial"/>
          <w:b/>
          <w:bCs/>
          <w:color w:val="000000" w:themeColor="text1"/>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760A" w:rsidRPr="00692CED" w14:paraId="563BA5C8" w14:textId="77777777" w:rsidTr="002A6AEF">
        <w:tc>
          <w:tcPr>
            <w:tcW w:w="2689" w:type="dxa"/>
          </w:tcPr>
          <w:p w14:paraId="11236CAB" w14:textId="77777777" w:rsidR="00B9760A" w:rsidRPr="00692CED" w:rsidRDefault="00B9760A" w:rsidP="002A6AEF">
            <w:pPr>
              <w:jc w:val="both"/>
              <w:rPr>
                <w:rFonts w:ascii="Century Gothic" w:eastAsia="Calibri" w:hAnsi="Century Gothic" w:cs="Arial"/>
                <w:color w:val="000000" w:themeColor="text1"/>
                <w:lang w:val="es-ES_tradnl"/>
              </w:rPr>
            </w:pPr>
            <w:r w:rsidRPr="00692CED">
              <w:rPr>
                <w:rFonts w:ascii="Century Gothic" w:eastAsia="Calibri" w:hAnsi="Century Gothic" w:cs="Arial"/>
                <w:b/>
                <w:color w:val="000000" w:themeColor="text1"/>
                <w:lang w:val="es-ES_tradnl"/>
              </w:rPr>
              <w:t>Temas:</w:t>
            </w:r>
            <w:r w:rsidRPr="00692CED">
              <w:rPr>
                <w:rFonts w:ascii="Century Gothic" w:eastAsia="Calibri" w:hAnsi="Century Gothic" w:cs="Arial"/>
                <w:color w:val="000000" w:themeColor="text1"/>
                <w:lang w:val="es-ES_tradnl"/>
              </w:rPr>
              <w:t xml:space="preserve">                                      </w:t>
            </w:r>
          </w:p>
        </w:tc>
        <w:tc>
          <w:tcPr>
            <w:tcW w:w="6237" w:type="dxa"/>
          </w:tcPr>
          <w:p w14:paraId="170C8449" w14:textId="77777777" w:rsidR="00B9760A" w:rsidRPr="00692CED" w:rsidRDefault="00B9760A" w:rsidP="002A6AEF">
            <w:pPr>
              <w:jc w:val="both"/>
              <w:rPr>
                <w:rFonts w:ascii="Century Gothic" w:eastAsia="Calibri" w:hAnsi="Century Gothic" w:cs="Arial"/>
                <w:bCs/>
                <w:lang w:val="es-ES_tradnl"/>
              </w:rPr>
            </w:pPr>
            <w:r w:rsidRPr="00692CED">
              <w:rPr>
                <w:rFonts w:ascii="Century Gothic" w:eastAsia="Calibri" w:hAnsi="Century Gothic" w:cs="Arial"/>
                <w:color w:val="000000" w:themeColor="text1"/>
                <w:lang w:val="es-ES"/>
              </w:rPr>
              <w:t xml:space="preserve">SERVICIOS PÚBLICOS DOMICILIARIOS – Liberalización / EMPRESAS DE SERVICIOS PÚBLICAS MIXTAS – Entidades estatales/ </w:t>
            </w:r>
            <w:r w:rsidRPr="004078C7">
              <w:rPr>
                <w:rFonts w:ascii="Century Gothic" w:eastAsia="Calibri" w:hAnsi="Century Gothic" w:cs="Arial"/>
                <w:color w:val="000000" w:themeColor="text1"/>
                <w:lang w:val="es-ES"/>
              </w:rPr>
              <w:t>INHABILIDADES – Definición – Finalidad – Limitación capacidad contractual / CONTRATACIÓN ESTATAL – Capacidad – Validez contratos – Régimen de contratación – Inscripción – Limitación de la capacidad</w:t>
            </w:r>
          </w:p>
        </w:tc>
      </w:tr>
      <w:tr w:rsidR="00B9760A" w:rsidRPr="00692CED" w14:paraId="2E1D10E4" w14:textId="77777777" w:rsidTr="002A6AEF">
        <w:trPr>
          <w:trHeight w:val="171"/>
        </w:trPr>
        <w:tc>
          <w:tcPr>
            <w:tcW w:w="2689" w:type="dxa"/>
          </w:tcPr>
          <w:p w14:paraId="4953CB83" w14:textId="77777777" w:rsidR="00B9760A" w:rsidRPr="00692CED" w:rsidRDefault="00B9760A" w:rsidP="002A6AEF">
            <w:pPr>
              <w:spacing w:before="120"/>
              <w:jc w:val="both"/>
              <w:rPr>
                <w:rFonts w:ascii="Century Gothic" w:eastAsia="Calibri" w:hAnsi="Century Gothic" w:cs="Arial"/>
                <w:b/>
                <w:color w:val="000000" w:themeColor="text1"/>
                <w:lang w:val="es-ES_tradnl"/>
              </w:rPr>
            </w:pPr>
            <w:r w:rsidRPr="00692CED">
              <w:rPr>
                <w:rFonts w:ascii="Century Gothic" w:eastAsia="Calibri" w:hAnsi="Century Gothic" w:cs="Arial"/>
                <w:b/>
                <w:color w:val="000000" w:themeColor="text1"/>
                <w:lang w:val="es-ES_tradnl"/>
              </w:rPr>
              <w:t>Radicación:</w:t>
            </w:r>
            <w:r w:rsidRPr="00692CED">
              <w:rPr>
                <w:rFonts w:ascii="Century Gothic" w:eastAsia="Calibri" w:hAnsi="Century Gothic" w:cs="Arial"/>
                <w:color w:val="000000" w:themeColor="text1"/>
                <w:lang w:val="es-ES_tradnl"/>
              </w:rPr>
              <w:t xml:space="preserve">                              </w:t>
            </w:r>
          </w:p>
        </w:tc>
        <w:tc>
          <w:tcPr>
            <w:tcW w:w="6237" w:type="dxa"/>
          </w:tcPr>
          <w:p w14:paraId="2EB342F9" w14:textId="77777777" w:rsidR="00B9760A" w:rsidRPr="00692CED" w:rsidRDefault="00B9760A" w:rsidP="002A6AEF">
            <w:pPr>
              <w:spacing w:before="120"/>
              <w:jc w:val="both"/>
              <w:rPr>
                <w:rFonts w:ascii="Century Gothic" w:eastAsia="Calibri" w:hAnsi="Century Gothic" w:cs="Arial"/>
                <w:color w:val="000000" w:themeColor="text1"/>
                <w:lang w:val="es-ES_tradnl"/>
              </w:rPr>
            </w:pPr>
            <w:r w:rsidRPr="00692CED">
              <w:rPr>
                <w:rFonts w:ascii="Century Gothic" w:eastAsia="Calibri" w:hAnsi="Century Gothic" w:cs="Arial"/>
                <w:color w:val="000000" w:themeColor="text1"/>
                <w:lang w:val="es-ES_tradnl"/>
              </w:rPr>
              <w:t>Respuesta a consulta #</w:t>
            </w:r>
            <w:r w:rsidRPr="00692CED">
              <w:rPr>
                <w:rFonts w:ascii="Century Gothic" w:hAnsi="Century Gothic" w:cs="Arial"/>
              </w:rPr>
              <w:t xml:space="preserve"> P20230912015034</w:t>
            </w:r>
          </w:p>
        </w:tc>
      </w:tr>
    </w:tbl>
    <w:p w14:paraId="2C1DCAC7" w14:textId="77777777" w:rsidR="00B9760A" w:rsidRPr="00692CED" w:rsidRDefault="00B9760A" w:rsidP="00B9760A">
      <w:pPr>
        <w:jc w:val="both"/>
        <w:rPr>
          <w:rFonts w:ascii="Century Gothic" w:eastAsia="Calibri" w:hAnsi="Century Gothic" w:cs="Arial"/>
          <w:color w:val="000000" w:themeColor="text1"/>
          <w:lang w:val="es-ES_tradnl"/>
        </w:rPr>
      </w:pPr>
    </w:p>
    <w:p w14:paraId="0DF906DE" w14:textId="77777777" w:rsidR="00B9760A" w:rsidRPr="00692CED" w:rsidRDefault="00B9760A" w:rsidP="00B9760A">
      <w:pPr>
        <w:jc w:val="both"/>
        <w:rPr>
          <w:rFonts w:ascii="Century Gothic" w:eastAsia="Calibri" w:hAnsi="Century Gothic" w:cs="Arial"/>
          <w:color w:val="000000" w:themeColor="text1"/>
          <w:lang w:val="es-ES_tradnl"/>
        </w:rPr>
      </w:pPr>
      <w:r w:rsidRPr="00692CED">
        <w:rPr>
          <w:rFonts w:ascii="Century Gothic" w:eastAsia="Calibri" w:hAnsi="Century Gothic" w:cs="Arial"/>
          <w:color w:val="000000" w:themeColor="text1"/>
          <w:lang w:val="es-ES_tradnl"/>
        </w:rPr>
        <w:t xml:space="preserve">Estimado señor Borja, </w:t>
      </w:r>
    </w:p>
    <w:p w14:paraId="25892C92" w14:textId="77777777" w:rsidR="00B9760A" w:rsidRPr="00692CED" w:rsidRDefault="00B9760A" w:rsidP="00B9760A">
      <w:pPr>
        <w:jc w:val="both"/>
        <w:rPr>
          <w:rFonts w:ascii="Century Gothic" w:eastAsia="Calibri" w:hAnsi="Century Gothic" w:cs="Arial"/>
          <w:color w:val="000000" w:themeColor="text1"/>
          <w:lang w:val="es-ES_tradnl"/>
        </w:rPr>
      </w:pPr>
    </w:p>
    <w:p w14:paraId="1A7FA02D" w14:textId="77777777" w:rsidR="00B9760A" w:rsidRPr="00692CED" w:rsidRDefault="00B9760A" w:rsidP="00B9760A">
      <w:pPr>
        <w:spacing w:line="276" w:lineRule="auto"/>
        <w:jc w:val="both"/>
        <w:rPr>
          <w:rFonts w:ascii="Century Gothic" w:eastAsia="Calibri" w:hAnsi="Century Gothic" w:cs="Arial"/>
          <w:color w:val="000000" w:themeColor="text1"/>
          <w:lang w:val="es-ES_tradnl"/>
        </w:rPr>
      </w:pPr>
      <w:r w:rsidRPr="00692CED">
        <w:rPr>
          <w:rFonts w:ascii="Century Gothic" w:eastAsia="Calibri" w:hAnsi="Century Gothic" w:cs="Arial"/>
          <w:color w:val="000000" w:themeColor="text1"/>
          <w:lang w:val="es-ES_tradnl"/>
        </w:rPr>
        <w:t>En ejercicio de la competencia otorgada por el numeral 8 del artículo 11 y el numeral 5 del artículo 3 del Decreto Ley 4170 de 2011, la Agencia Nacional de Contratación Pública ― Colombia Compra Eficiente responde su consulta del 1</w:t>
      </w:r>
      <w:r>
        <w:rPr>
          <w:rFonts w:ascii="Century Gothic" w:eastAsia="Calibri" w:hAnsi="Century Gothic" w:cs="Arial"/>
          <w:color w:val="000000" w:themeColor="text1"/>
          <w:lang w:val="es-ES_tradnl"/>
        </w:rPr>
        <w:t xml:space="preserve">1 </w:t>
      </w:r>
      <w:r w:rsidRPr="00692CED">
        <w:rPr>
          <w:rFonts w:ascii="Century Gothic" w:eastAsia="Calibri" w:hAnsi="Century Gothic" w:cs="Arial"/>
          <w:color w:val="000000" w:themeColor="text1"/>
          <w:lang w:val="es-ES_tradnl"/>
        </w:rPr>
        <w:t xml:space="preserve">de </w:t>
      </w:r>
      <w:proofErr w:type="gramStart"/>
      <w:r w:rsidRPr="00692CED">
        <w:rPr>
          <w:rFonts w:ascii="Century Gothic" w:eastAsia="Calibri" w:hAnsi="Century Gothic" w:cs="Arial"/>
          <w:color w:val="000000" w:themeColor="text1"/>
          <w:lang w:val="es-ES_tradnl"/>
        </w:rPr>
        <w:t>septiembre  de</w:t>
      </w:r>
      <w:proofErr w:type="gramEnd"/>
      <w:r w:rsidRPr="00692CED">
        <w:rPr>
          <w:rFonts w:ascii="Century Gothic" w:eastAsia="Calibri" w:hAnsi="Century Gothic" w:cs="Arial"/>
          <w:color w:val="000000" w:themeColor="text1"/>
          <w:lang w:val="es-ES_tradnl"/>
        </w:rPr>
        <w:t xml:space="preserve"> 2023. </w:t>
      </w:r>
    </w:p>
    <w:p w14:paraId="2D30AE99" w14:textId="77777777" w:rsidR="00B9760A" w:rsidRPr="00692CED" w:rsidRDefault="00B9760A" w:rsidP="00B9760A">
      <w:pPr>
        <w:spacing w:line="276" w:lineRule="auto"/>
        <w:jc w:val="both"/>
        <w:rPr>
          <w:rFonts w:ascii="Century Gothic" w:eastAsia="Calibri" w:hAnsi="Century Gothic" w:cs="Arial"/>
          <w:color w:val="000000" w:themeColor="text1"/>
          <w:lang w:val="es-ES_tradnl"/>
        </w:rPr>
      </w:pPr>
    </w:p>
    <w:p w14:paraId="3FA6EBAA" w14:textId="77777777" w:rsidR="00B9760A" w:rsidRPr="00692CED" w:rsidRDefault="00B9760A" w:rsidP="00B9760A">
      <w:pPr>
        <w:tabs>
          <w:tab w:val="left" w:pos="284"/>
        </w:tabs>
        <w:spacing w:line="276" w:lineRule="auto"/>
        <w:contextualSpacing/>
        <w:jc w:val="both"/>
        <w:rPr>
          <w:rFonts w:ascii="Century Gothic" w:eastAsia="Calibri" w:hAnsi="Century Gothic" w:cs="Arial"/>
          <w:b/>
        </w:rPr>
      </w:pPr>
      <w:r w:rsidRPr="00692CED">
        <w:rPr>
          <w:rFonts w:ascii="Century Gothic" w:eastAsia="Calibri" w:hAnsi="Century Gothic" w:cs="Arial"/>
          <w:b/>
        </w:rPr>
        <w:t xml:space="preserve">1. Problema planteado </w:t>
      </w:r>
    </w:p>
    <w:p w14:paraId="01ABA890" w14:textId="77777777" w:rsidR="00B9760A" w:rsidRPr="00692CED" w:rsidRDefault="00B9760A" w:rsidP="00B9760A">
      <w:pPr>
        <w:tabs>
          <w:tab w:val="left" w:pos="284"/>
        </w:tabs>
        <w:spacing w:line="276" w:lineRule="auto"/>
        <w:ind w:firstLine="709"/>
        <w:contextualSpacing/>
        <w:jc w:val="both"/>
        <w:rPr>
          <w:rFonts w:ascii="Century Gothic" w:eastAsia="Calibri" w:hAnsi="Century Gothic" w:cs="Arial"/>
          <w:b/>
        </w:rPr>
      </w:pPr>
    </w:p>
    <w:p w14:paraId="316E3A96" w14:textId="77777777" w:rsidR="00B9760A" w:rsidRPr="00692CED" w:rsidRDefault="00B9760A" w:rsidP="00B9760A">
      <w:pPr>
        <w:spacing w:line="276" w:lineRule="auto"/>
        <w:contextualSpacing/>
        <w:jc w:val="both"/>
        <w:rPr>
          <w:rFonts w:ascii="Century Gothic" w:eastAsia="Calibri" w:hAnsi="Century Gothic" w:cs="Arial"/>
        </w:rPr>
      </w:pPr>
      <w:bookmarkStart w:id="7" w:name="_Hlk58917991"/>
      <w:bookmarkStart w:id="8" w:name="_Hlk56103000"/>
      <w:r w:rsidRPr="00692CED">
        <w:rPr>
          <w:rFonts w:ascii="Century Gothic" w:eastAsia="Calibri" w:hAnsi="Century Gothic" w:cs="Arial"/>
        </w:rPr>
        <w:t xml:space="preserve">Usted plantea la siguiente consulta: </w:t>
      </w:r>
      <w:bookmarkStart w:id="9" w:name="_Hlk116284008"/>
    </w:p>
    <w:p w14:paraId="6CCA4EA7" w14:textId="77777777" w:rsidR="00B9760A" w:rsidRPr="00692CED" w:rsidRDefault="00B9760A" w:rsidP="00B9760A">
      <w:pPr>
        <w:spacing w:line="276" w:lineRule="auto"/>
        <w:contextualSpacing/>
        <w:jc w:val="both"/>
        <w:rPr>
          <w:rFonts w:ascii="Century Gothic" w:eastAsia="Calibri" w:hAnsi="Century Gothic" w:cs="Arial"/>
        </w:rPr>
      </w:pPr>
    </w:p>
    <w:p w14:paraId="28385C6C" w14:textId="77777777" w:rsidR="00B9760A" w:rsidRPr="00692CED" w:rsidRDefault="00B9760A" w:rsidP="00B9760A">
      <w:pPr>
        <w:spacing w:before="120"/>
        <w:ind w:left="709" w:right="709"/>
        <w:contextualSpacing/>
        <w:jc w:val="both"/>
        <w:rPr>
          <w:rFonts w:ascii="Century Gothic" w:eastAsia="Calibri" w:hAnsi="Century Gothic" w:cs="Arial"/>
          <w:sz w:val="21"/>
          <w:szCs w:val="21"/>
        </w:rPr>
      </w:pPr>
      <w:r w:rsidRPr="00692CED">
        <w:rPr>
          <w:rFonts w:ascii="Century Gothic" w:eastAsia="Calibri" w:hAnsi="Century Gothic" w:cs="Arial"/>
          <w:sz w:val="21"/>
          <w:szCs w:val="21"/>
        </w:rPr>
        <w:t>“1. Al constituir una empresa de servicios público mixta con socios estratégicos</w:t>
      </w:r>
    </w:p>
    <w:p w14:paraId="153E698A" w14:textId="77777777" w:rsidR="00B9760A" w:rsidRPr="00692CED" w:rsidRDefault="00B9760A" w:rsidP="00B9760A">
      <w:pPr>
        <w:spacing w:before="120"/>
        <w:ind w:left="709" w:right="709"/>
        <w:contextualSpacing/>
        <w:jc w:val="both"/>
        <w:rPr>
          <w:rFonts w:ascii="Century Gothic" w:eastAsia="Calibri" w:hAnsi="Century Gothic" w:cs="Arial"/>
          <w:sz w:val="21"/>
          <w:szCs w:val="21"/>
        </w:rPr>
      </w:pPr>
      <w:r w:rsidRPr="00692CED">
        <w:rPr>
          <w:rFonts w:ascii="Century Gothic" w:eastAsia="Calibri" w:hAnsi="Century Gothic" w:cs="Arial"/>
          <w:sz w:val="21"/>
          <w:szCs w:val="21"/>
        </w:rPr>
        <w:t>operadores. Cuál es el vehículo para suscribir contratos directamente con los</w:t>
      </w:r>
    </w:p>
    <w:p w14:paraId="16637F7E" w14:textId="77777777" w:rsidR="00B9760A" w:rsidRPr="00692CED" w:rsidRDefault="00B9760A" w:rsidP="00B9760A">
      <w:pPr>
        <w:spacing w:before="120"/>
        <w:ind w:left="709" w:right="709"/>
        <w:contextualSpacing/>
        <w:jc w:val="both"/>
        <w:rPr>
          <w:rFonts w:ascii="Century Gothic" w:eastAsia="Calibri" w:hAnsi="Century Gothic" w:cs="Arial"/>
          <w:sz w:val="21"/>
          <w:szCs w:val="21"/>
        </w:rPr>
      </w:pPr>
      <w:r w:rsidRPr="00692CED">
        <w:rPr>
          <w:rFonts w:ascii="Century Gothic" w:eastAsia="Calibri" w:hAnsi="Century Gothic" w:cs="Arial"/>
          <w:sz w:val="21"/>
          <w:szCs w:val="21"/>
        </w:rPr>
        <w:t>socios que constituyeron dicha empresa.</w:t>
      </w:r>
    </w:p>
    <w:p w14:paraId="021ECCA2" w14:textId="77777777" w:rsidR="00B9760A" w:rsidRPr="00692CED" w:rsidRDefault="00B9760A" w:rsidP="00B9760A">
      <w:pPr>
        <w:spacing w:before="120"/>
        <w:ind w:left="709" w:right="709"/>
        <w:contextualSpacing/>
        <w:jc w:val="both"/>
        <w:rPr>
          <w:rFonts w:ascii="Century Gothic" w:eastAsia="Calibri" w:hAnsi="Century Gothic" w:cs="Arial"/>
          <w:b/>
          <w:sz w:val="21"/>
          <w:szCs w:val="21"/>
        </w:rPr>
      </w:pPr>
      <w:r w:rsidRPr="00692CED">
        <w:rPr>
          <w:rFonts w:ascii="Century Gothic" w:eastAsia="Calibri" w:hAnsi="Century Gothic" w:cs="Arial"/>
          <w:b/>
          <w:sz w:val="21"/>
          <w:szCs w:val="21"/>
        </w:rPr>
        <w:t>2. ¿Cómo se le aplica el régimen de inhabilidades e incompatibilidades a los socios estratégicos operadores de una empresa de servicios públicos mixta?</w:t>
      </w:r>
    </w:p>
    <w:p w14:paraId="729D1DBE"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eastAsia="Calibri" w:hAnsi="Century Gothic" w:cs="Arial"/>
          <w:sz w:val="21"/>
          <w:szCs w:val="21"/>
        </w:rPr>
        <w:lastRenderedPageBreak/>
        <w:t xml:space="preserve">3. </w:t>
      </w:r>
      <w:r w:rsidRPr="00692CED">
        <w:rPr>
          <w:rFonts w:ascii="Century Gothic" w:hAnsi="Century Gothic" w:cs="Arial"/>
          <w:sz w:val="21"/>
          <w:szCs w:val="21"/>
        </w:rPr>
        <w:t>¿Los empleados por nómina de una ESP MIXTA son servidores públicos?</w:t>
      </w:r>
    </w:p>
    <w:p w14:paraId="108AF964"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hAnsi="Century Gothic" w:cs="Arial"/>
          <w:sz w:val="21"/>
          <w:szCs w:val="21"/>
        </w:rPr>
        <w:t>4. ¿Pueden tener dos contratos los empleados de nómina de una ESP MIXTA?</w:t>
      </w:r>
    </w:p>
    <w:p w14:paraId="3E8E2302"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hAnsi="Century Gothic" w:cs="Arial"/>
          <w:sz w:val="21"/>
          <w:szCs w:val="21"/>
        </w:rPr>
        <w:t>5. ¿Si un contratista tenía más de dos contratos y es contratado de manera laboral en una ESP MIXTA puede continuar con los otros contratos hasta culminar su proceso?</w:t>
      </w:r>
    </w:p>
    <w:p w14:paraId="6DE1C79C"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hAnsi="Century Gothic" w:cs="Arial"/>
          <w:sz w:val="21"/>
          <w:szCs w:val="21"/>
        </w:rPr>
        <w:t>6- Cuáles son las inhabilidades e incompatibilidades que les aplica a los directores y gerente de una ESP MIXTA que tiene solo el 51% de participación pública.”</w:t>
      </w:r>
    </w:p>
    <w:p w14:paraId="09B39B3E" w14:textId="77777777" w:rsidR="00B9760A" w:rsidRPr="00692CED" w:rsidRDefault="00B9760A" w:rsidP="00B9760A">
      <w:pPr>
        <w:spacing w:before="120"/>
        <w:ind w:left="709" w:right="709"/>
        <w:contextualSpacing/>
        <w:jc w:val="both"/>
        <w:rPr>
          <w:rFonts w:ascii="Century Gothic" w:eastAsia="Calibri" w:hAnsi="Century Gothic" w:cs="Arial"/>
          <w:sz w:val="21"/>
          <w:szCs w:val="21"/>
          <w:lang w:val="es-ES"/>
        </w:rPr>
      </w:pPr>
    </w:p>
    <w:bookmarkEnd w:id="7"/>
    <w:bookmarkEnd w:id="8"/>
    <w:bookmarkEnd w:id="9"/>
    <w:p w14:paraId="4A575ED5" w14:textId="77777777" w:rsidR="00B9760A" w:rsidRPr="00692CED" w:rsidRDefault="00B9760A" w:rsidP="00B9760A">
      <w:pPr>
        <w:tabs>
          <w:tab w:val="left" w:pos="284"/>
        </w:tabs>
        <w:spacing w:line="276" w:lineRule="auto"/>
        <w:contextualSpacing/>
        <w:jc w:val="both"/>
        <w:rPr>
          <w:rFonts w:ascii="Century Gothic" w:eastAsia="Calibri" w:hAnsi="Century Gothic" w:cs="Arial"/>
          <w:b/>
        </w:rPr>
      </w:pPr>
      <w:r w:rsidRPr="00692CED">
        <w:rPr>
          <w:rFonts w:ascii="Century Gothic" w:eastAsia="Calibri" w:hAnsi="Century Gothic" w:cs="Arial"/>
          <w:b/>
        </w:rPr>
        <w:t>2. Consideraciones</w:t>
      </w:r>
    </w:p>
    <w:p w14:paraId="14DDEBE5" w14:textId="77777777" w:rsidR="00B9760A" w:rsidRPr="00692CED" w:rsidRDefault="00B9760A" w:rsidP="00B9760A">
      <w:pPr>
        <w:tabs>
          <w:tab w:val="left" w:pos="284"/>
        </w:tabs>
        <w:spacing w:line="276" w:lineRule="auto"/>
        <w:contextualSpacing/>
        <w:jc w:val="both"/>
        <w:rPr>
          <w:rFonts w:ascii="Century Gothic" w:eastAsia="Calibri" w:hAnsi="Century Gothic" w:cs="Arial"/>
          <w:b/>
        </w:rPr>
      </w:pPr>
    </w:p>
    <w:p w14:paraId="20AF73DB" w14:textId="77777777" w:rsidR="00B9760A" w:rsidRPr="00692CED" w:rsidRDefault="00B9760A" w:rsidP="00B9760A">
      <w:pPr>
        <w:spacing w:after="120" w:line="276" w:lineRule="auto"/>
        <w:jc w:val="both"/>
        <w:rPr>
          <w:rFonts w:ascii="Century Gothic" w:eastAsia="Calibri" w:hAnsi="Century Gothic" w:cs="Arial"/>
          <w:lang w:val="es-ES"/>
        </w:rPr>
      </w:pPr>
      <w:r w:rsidRPr="00692CED">
        <w:rPr>
          <w:rFonts w:ascii="Century Gothic" w:eastAsia="Calibri" w:hAnsi="Century Gothic" w:cs="Arial"/>
          <w:bCs/>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692CED">
        <w:rPr>
          <w:rFonts w:ascii="Century Gothic" w:eastAsia="Calibri" w:hAnsi="Century Gothic" w:cs="Arial"/>
          <w:lang w:val="es-ES"/>
        </w:rPr>
        <w:t xml:space="preserve"> </w:t>
      </w:r>
      <w:bookmarkStart w:id="10" w:name="_Hlk61701014"/>
      <w:bookmarkStart w:id="11" w:name="_Hlk62136649"/>
      <w:r w:rsidRPr="00692CED">
        <w:rPr>
          <w:rFonts w:ascii="Century Gothic" w:eastAsia="Calibri" w:hAnsi="Century Gothic" w:cs="Arial"/>
          <w:lang w:val="es-ES"/>
        </w:rPr>
        <w:t xml:space="preserve">Es necesario tener en cuenta que </w:t>
      </w:r>
      <w:bookmarkStart w:id="12" w:name="_Hlk61026958"/>
      <w:r w:rsidRPr="00692CED">
        <w:rPr>
          <w:rFonts w:ascii="Century Gothic" w:eastAsia="Calibri"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92CED">
        <w:rPr>
          <w:rFonts w:ascii="Century Gothic" w:eastAsia="Calibri" w:hAnsi="Century Gothic" w:cs="Arial"/>
          <w:bCs/>
        </w:rPr>
        <w:t xml:space="preserve"> de todos los partícipes de la contratación estatal.</w:t>
      </w:r>
    </w:p>
    <w:p w14:paraId="05FC4CDD" w14:textId="77777777" w:rsidR="00B9760A" w:rsidRPr="00692CED" w:rsidRDefault="00B9760A" w:rsidP="00B9760A">
      <w:pPr>
        <w:spacing w:after="120" w:line="276" w:lineRule="auto"/>
        <w:ind w:firstLine="708"/>
        <w:jc w:val="both"/>
        <w:rPr>
          <w:rFonts w:ascii="Century Gothic" w:eastAsia="Calibri" w:hAnsi="Century Gothic" w:cs="Arial"/>
          <w:lang w:val="es-ES"/>
        </w:rPr>
      </w:pPr>
      <w:r w:rsidRPr="00692CED">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92CED">
        <w:rPr>
          <w:rFonts w:ascii="Century Gothic" w:eastAsia="Calibri" w:hAnsi="Century Gothic" w:cs="Arial"/>
          <w:vertAlign w:val="superscript"/>
          <w:lang w:val="es-ES"/>
        </w:rPr>
        <w:footnoteReference w:id="3"/>
      </w:r>
      <w:r w:rsidRPr="00692CED">
        <w:rPr>
          <w:rFonts w:ascii="Century Gothic" w:eastAsia="Calibri" w:hAnsi="Century Gothic" w:cs="Arial"/>
          <w:lang w:val="es-ES"/>
        </w:rPr>
        <w:t xml:space="preserve">. Esta competencia de </w:t>
      </w:r>
      <w:r w:rsidRPr="00692CED">
        <w:rPr>
          <w:rFonts w:ascii="Century Gothic" w:eastAsia="Calibri" w:hAnsi="Century Gothic" w:cs="Arial"/>
          <w:lang w:val="es-ES"/>
        </w:rPr>
        <w:lastRenderedPageBreak/>
        <w:t>interpretación de normas generales, por definición, no puede extenderse a la resolución de controversias, ni a brindar asesorías sobre casos puntuales</w:t>
      </w:r>
      <w:bookmarkEnd w:id="10"/>
      <w:bookmarkEnd w:id="12"/>
      <w:r w:rsidRPr="00692CED">
        <w:rPr>
          <w:rFonts w:ascii="Century Gothic" w:eastAsia="Calibri" w:hAnsi="Century Gothic" w:cs="Arial"/>
          <w:lang w:val="es-ES"/>
        </w:rPr>
        <w:t xml:space="preserve">, ni a aplicar las interpretaciones de las normas generales frente a los casos puntuales planteados en las preguntas de esta petición. </w:t>
      </w:r>
    </w:p>
    <w:p w14:paraId="3B1D6585" w14:textId="77777777" w:rsidR="00B9760A" w:rsidRPr="00692CED" w:rsidRDefault="00B9760A" w:rsidP="00B9760A">
      <w:pPr>
        <w:spacing w:after="120" w:line="276" w:lineRule="auto"/>
        <w:ind w:firstLine="708"/>
        <w:jc w:val="both"/>
        <w:rPr>
          <w:rFonts w:ascii="Century Gothic" w:eastAsia="Calibri" w:hAnsi="Century Gothic" w:cs="Arial"/>
          <w:lang w:val="es-ES"/>
        </w:rPr>
      </w:pPr>
      <w:r w:rsidRPr="00692CED">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92CED">
        <w:rPr>
          <w:rFonts w:ascii="Century Gothic" w:hAnsi="Century Gothic" w:cs="Arial"/>
          <w:vertAlign w:val="superscript"/>
          <w:lang w:val="es-ES"/>
        </w:rPr>
        <w:footnoteReference w:id="4"/>
      </w:r>
      <w:r w:rsidRPr="00692CED">
        <w:rPr>
          <w:rFonts w:ascii="Century Gothic" w:hAnsi="Century Gothic" w:cs="Arial"/>
          <w:lang w:val="es-ES"/>
        </w:rPr>
        <w:t>. Esta competencia de interpretación de normas generales, por definición, no puede extenderse a la resolución de controversias ni brindar asesorías sobre casos puntuales. Por lo anterior</w:t>
      </w:r>
      <w:r w:rsidRPr="00692CED">
        <w:rPr>
          <w:rFonts w:ascii="Century Gothic" w:eastAsia="Calibri" w:hAnsi="Century Gothic" w:cs="Arial"/>
          <w:color w:val="000000"/>
        </w:rPr>
        <w:t xml:space="preserve">, Colombia Compra Eficiente al estudiar el contenido de su consulta, en virtud de lo dispuesto en el artículo 21 de la Ley 1437 de </w:t>
      </w:r>
      <w:proofErr w:type="gramStart"/>
      <w:r w:rsidRPr="00692CED">
        <w:rPr>
          <w:rFonts w:ascii="Century Gothic" w:eastAsia="Calibri" w:hAnsi="Century Gothic" w:cs="Arial"/>
          <w:color w:val="000000"/>
        </w:rPr>
        <w:t>2011,</w:t>
      </w:r>
      <w:r w:rsidRPr="00692CED">
        <w:rPr>
          <w:rFonts w:ascii="Century Gothic" w:eastAsia="Calibri" w:hAnsi="Century Gothic" w:cs="Arial"/>
          <w:lang w:val="es-ES"/>
        </w:rPr>
        <w:t>,</w:t>
      </w:r>
      <w:proofErr w:type="gramEnd"/>
      <w:r w:rsidRPr="00692CED">
        <w:rPr>
          <w:rFonts w:ascii="Century Gothic" w:eastAsia="Calibri" w:hAnsi="Century Gothic" w:cs="Arial"/>
          <w:lang w:val="es-ES"/>
        </w:rPr>
        <w:t xml:space="preserve"> mediante radicado de salida No. RS20230915010064 de 15 de septiembre de 2023, manifestó su  falta de competencia para resolver las preguntas Nos. 1, 3 a 6 de la presente petición. </w:t>
      </w:r>
    </w:p>
    <w:bookmarkEnd w:id="11"/>
    <w:p w14:paraId="71CC71BC" w14:textId="77777777" w:rsidR="00B9760A" w:rsidRPr="00692CED" w:rsidRDefault="00B9760A" w:rsidP="00B9760A">
      <w:pPr>
        <w:spacing w:before="120" w:after="120" w:line="276" w:lineRule="auto"/>
        <w:ind w:firstLine="709"/>
        <w:jc w:val="both"/>
        <w:rPr>
          <w:rFonts w:ascii="Century Gothic" w:eastAsia="Calibri" w:hAnsi="Century Gothic" w:cs="Arial"/>
          <w:highlight w:val="yellow"/>
          <w:lang w:val="es-ES_tradnl" w:eastAsia="es-MX"/>
        </w:rPr>
      </w:pPr>
      <w:r w:rsidRPr="00692CED">
        <w:rPr>
          <w:rFonts w:ascii="Century Gothic" w:eastAsia="Calibri" w:hAnsi="Century Gothic" w:cs="Arial"/>
          <w:color w:val="000000"/>
        </w:rPr>
        <w:t xml:space="preserve">Sin perjuicio de lo anterior, </w:t>
      </w:r>
      <w:r w:rsidRPr="00692CED">
        <w:rPr>
          <w:rFonts w:ascii="Century Gothic" w:eastAsia="Calibri" w:hAnsi="Century Gothic" w:cs="Arial"/>
          <w:color w:val="000000"/>
          <w:lang w:val="es-ES"/>
        </w:rPr>
        <w:t xml:space="preserve">la Subdirección de Gestión Contractual de esta Agencia –dentro de los límites de sus atribuciones, esto </w:t>
      </w:r>
      <w:proofErr w:type="gramStart"/>
      <w:r w:rsidRPr="00692CED">
        <w:rPr>
          <w:rFonts w:ascii="Century Gothic" w:eastAsia="Calibri" w:hAnsi="Century Gothic" w:cs="Arial"/>
          <w:color w:val="000000"/>
          <w:lang w:val="es-ES"/>
        </w:rPr>
        <w:t>es,–</w:t>
      </w:r>
      <w:proofErr w:type="gramEnd"/>
      <w:r w:rsidRPr="00692CED">
        <w:rPr>
          <w:rFonts w:ascii="Century Gothic" w:eastAsia="Calibri" w:hAnsi="Century Gothic" w:cs="Arial"/>
          <w:color w:val="000000"/>
          <w:lang w:val="es-ES"/>
        </w:rPr>
        <w:t xml:space="preserve"> resolverá el interrogante </w:t>
      </w:r>
      <w:r w:rsidRPr="00692CED">
        <w:rPr>
          <w:rFonts w:ascii="Century Gothic" w:eastAsia="Calibri" w:hAnsi="Century Gothic" w:cs="Arial"/>
          <w:lang w:val="es-ES"/>
        </w:rPr>
        <w:t xml:space="preserve">No. 2  </w:t>
      </w:r>
      <w:r w:rsidRPr="00692CED">
        <w:rPr>
          <w:rFonts w:ascii="Century Gothic" w:eastAsia="Calibri" w:hAnsi="Century Gothic" w:cs="Arial"/>
          <w:color w:val="000000"/>
          <w:lang w:val="es-ES"/>
        </w:rPr>
        <w:t>haciendo abstracción del caso particular expuesto por el peticionario</w:t>
      </w:r>
      <w:r w:rsidRPr="00692CED">
        <w:rPr>
          <w:rFonts w:ascii="Century Gothic" w:eastAsia="Calibri" w:hAnsi="Century Gothic" w:cs="Arial"/>
          <w:lang w:val="es-ES_tradnl" w:eastAsia="es-MX"/>
        </w:rPr>
        <w:t xml:space="preserve">. Con este objetivo se analizarán los siguientes temas: i) naturaleza jurídica de las empresas prestadoras de servicios públicos domiciliarios, ii) régimen contractual de las empresas prestadoras de </w:t>
      </w:r>
      <w:r w:rsidRPr="00692CED">
        <w:rPr>
          <w:rFonts w:ascii="Century Gothic" w:eastAsia="Calibri" w:hAnsi="Century Gothic" w:cs="Arial"/>
          <w:lang w:val="es-ES_tradnl" w:eastAsia="es-MX"/>
        </w:rPr>
        <w:lastRenderedPageBreak/>
        <w:t>s</w:t>
      </w:r>
      <w:r>
        <w:rPr>
          <w:rFonts w:ascii="Century Gothic" w:eastAsia="Calibri" w:hAnsi="Century Gothic" w:cs="Arial"/>
          <w:lang w:val="es-ES_tradnl" w:eastAsia="es-MX"/>
        </w:rPr>
        <w:t xml:space="preserve">ervicios públicos domiciliarios y iii) Régimen de inhabilidades e incompatibilidades para contratar con el estado. </w:t>
      </w:r>
    </w:p>
    <w:p w14:paraId="4B343202" w14:textId="77777777" w:rsidR="00B9760A" w:rsidRPr="00692CED" w:rsidRDefault="00B9760A" w:rsidP="00B9760A">
      <w:pPr>
        <w:spacing w:after="120" w:line="276" w:lineRule="auto"/>
        <w:ind w:firstLine="709"/>
        <w:jc w:val="both"/>
        <w:rPr>
          <w:rFonts w:ascii="Century Gothic" w:eastAsia="Calibri" w:hAnsi="Century Gothic" w:cs="Arial"/>
          <w:bCs/>
        </w:rPr>
      </w:pPr>
      <w:r w:rsidRPr="00692CED">
        <w:rPr>
          <w:rFonts w:ascii="Century Gothic" w:eastAsia="Calibri" w:hAnsi="Century Gothic" w:cs="Arial"/>
          <w:bCs/>
        </w:rPr>
        <w:t>La Agencia Nacional de Contratación Pública – Colombia Compra Eficiente se pronunció sobre 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 Así mismo, se pronunció sobre el régimen contractual de los prestadores de servicios públicos domiciliarios en los Conceptos C-027 del 23 de enero de 2020, C-032 del 19 de febrero de 2020, C-157 del 16 de marzo de 2020, el C-147 del 17 de marzo de 2020, C-168 del 31 de marzo de 2020, C-158 del 3 de abril de 2020, C-227 del 7 de abril de 2020, C-362 del 3 de julio de 2020, C-462 del 24 de julio de 2020, C-718 del 17 de diciembre de 2020, C-053 del 9 de marzo de 2021, C-072 del 16 de marzo de 2021, C-077 del 16 de marzo de 2021, C-218 del 14 de mayo de 2021, C-290 del 15 de junio de 2021, C-163 del 29 de marzo de 2022, C-651 del 07 de octubre de 2022, C-071 del 28 de marzo de 2023 y C-259 del  04 de julio de 2023.</w:t>
      </w:r>
    </w:p>
    <w:p w14:paraId="2C6F422E" w14:textId="77777777" w:rsidR="00B9760A" w:rsidRPr="004078C7" w:rsidRDefault="00B9760A" w:rsidP="00B9760A">
      <w:pPr>
        <w:spacing w:before="120" w:line="276" w:lineRule="auto"/>
        <w:ind w:firstLine="709"/>
        <w:jc w:val="both"/>
        <w:rPr>
          <w:rFonts w:ascii="Century Gothic" w:eastAsia="Calibri" w:hAnsi="Century Gothic" w:cs="Arial"/>
          <w:bCs/>
        </w:rPr>
      </w:pPr>
      <w:r w:rsidRPr="00692CED">
        <w:rPr>
          <w:rFonts w:ascii="Century Gothic" w:eastAsia="Calibri" w:hAnsi="Century Gothic" w:cs="Arial"/>
          <w:bCs/>
        </w:rPr>
        <w:t xml:space="preserve">Por su parte, </w:t>
      </w:r>
      <w:r w:rsidRPr="004078C7">
        <w:rPr>
          <w:rFonts w:ascii="Century Gothic" w:eastAsia="Calibri" w:hAnsi="Century Gothic" w:cs="Arial"/>
          <w:bCs/>
        </w:rPr>
        <w:t>La Agencia Nacional de Contratación Pública – Colombia Compra Eficiente, en los Conceptos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w:t>
      </w:r>
      <w:r w:rsidRPr="004078C7">
        <w:rPr>
          <w:rFonts w:ascii="Century Gothic" w:eastAsia="Calibri" w:hAnsi="Century Gothic" w:cs="Arial"/>
          <w:bCs/>
        </w:rPr>
        <w:lastRenderedPageBreak/>
        <w:t>321 del 2 de julio de 2021, C-410 del 7 de julio del 2021, C-491 del 14 de septiembre de 2021, C-028 del 28 de febrero de 2022, C-318 del 18 de mayo de 2022, C-252 del 30 de mayo de 2022 y C-175 de 4 de mayo de 2023, analizó los contornos generales del régimen de inhabilidades e incompatibilidades en la contratación estatal</w:t>
      </w:r>
      <w:r w:rsidRPr="004078C7">
        <w:rPr>
          <w:rFonts w:ascii="Century Gothic" w:hAnsi="Century Gothic"/>
          <w:bCs/>
          <w:sz w:val="10"/>
          <w:szCs w:val="10"/>
        </w:rPr>
        <w:footnoteReference w:id="5"/>
      </w:r>
      <w:r w:rsidRPr="004078C7">
        <w:rPr>
          <w:rFonts w:ascii="Century Gothic" w:eastAsia="Calibri" w:hAnsi="Century Gothic" w:cs="Arial"/>
          <w:bCs/>
        </w:rPr>
        <w:t>. La tesis propuesta en estos conceptos se reitera a continuación.</w:t>
      </w:r>
    </w:p>
    <w:p w14:paraId="434AB52E" w14:textId="77777777" w:rsidR="00B9760A" w:rsidRPr="00692CED" w:rsidRDefault="00B9760A" w:rsidP="00B9760A">
      <w:pPr>
        <w:spacing w:after="120" w:line="276" w:lineRule="auto"/>
        <w:jc w:val="both"/>
        <w:rPr>
          <w:rFonts w:ascii="Century Gothic" w:eastAsia="Calibri" w:hAnsi="Century Gothic" w:cs="Arial"/>
          <w:bCs/>
        </w:rPr>
      </w:pPr>
    </w:p>
    <w:p w14:paraId="241570B7" w14:textId="77777777" w:rsidR="00B9760A" w:rsidRPr="00692CED" w:rsidRDefault="00B9760A" w:rsidP="00B9760A">
      <w:pPr>
        <w:spacing w:line="276" w:lineRule="auto"/>
        <w:contextualSpacing/>
        <w:jc w:val="both"/>
        <w:rPr>
          <w:rFonts w:ascii="Century Gothic" w:eastAsia="Arial" w:hAnsi="Century Gothic" w:cs="Arial"/>
          <w:b/>
          <w:bCs/>
          <w:lang w:val="es-ES_tradnl" w:eastAsia="es-ES_tradnl"/>
        </w:rPr>
      </w:pPr>
      <w:r w:rsidRPr="00692CED">
        <w:rPr>
          <w:rFonts w:ascii="Century Gothic" w:eastAsia="Arial" w:hAnsi="Century Gothic" w:cs="Arial"/>
          <w:b/>
          <w:bCs/>
          <w:lang w:val="es-ES_tradnl" w:eastAsia="es-ES_tradnl"/>
        </w:rPr>
        <w:t>2.1. Naturaleza jurídica de las empresas prestadoras de servicios públicos domiciliarios. Reiteración de línea</w:t>
      </w:r>
    </w:p>
    <w:p w14:paraId="6591EF80" w14:textId="77777777" w:rsidR="00B9760A" w:rsidRPr="00692CED" w:rsidRDefault="00B9760A" w:rsidP="00B9760A">
      <w:pPr>
        <w:spacing w:line="276" w:lineRule="auto"/>
        <w:contextualSpacing/>
        <w:jc w:val="both"/>
        <w:rPr>
          <w:rFonts w:ascii="Century Gothic" w:eastAsia="Arial" w:hAnsi="Century Gothic" w:cs="Arial"/>
          <w:b/>
          <w:bCs/>
          <w:lang w:val="es-ES_tradnl" w:eastAsia="es-ES_tradnl"/>
        </w:rPr>
      </w:pPr>
    </w:p>
    <w:p w14:paraId="2A9DE53B" w14:textId="77777777" w:rsidR="00B9760A" w:rsidRPr="00692CED" w:rsidRDefault="00B9760A" w:rsidP="00B9760A">
      <w:pPr>
        <w:spacing w:line="276" w:lineRule="auto"/>
        <w:jc w:val="both"/>
        <w:rPr>
          <w:rFonts w:ascii="Century Gothic" w:eastAsia="Arial" w:hAnsi="Century Gothic" w:cs="Arial"/>
          <w:color w:val="000000"/>
        </w:rPr>
      </w:pPr>
      <w:r w:rsidRPr="00692CED">
        <w:rPr>
          <w:rFonts w:ascii="Century Gothic" w:eastAsia="Arial" w:hAnsi="Century Gothic" w:cs="Arial"/>
          <w:color w:val="000000"/>
        </w:rPr>
        <w:t xml:space="preserve">El artículo 14 de la Ley 142 de 1994 contiene definiciones para la correcta aplicación e interpretación del régimen de servicios públicos domiciliarios. Esta norma define las empresas prestadoras de servicios públicos oficial, mixta y privada en los siguientes términos: </w:t>
      </w:r>
    </w:p>
    <w:p w14:paraId="066FD936" w14:textId="77777777" w:rsidR="00B9760A" w:rsidRPr="00692CED" w:rsidRDefault="00B9760A" w:rsidP="00B9760A">
      <w:pPr>
        <w:spacing w:line="276" w:lineRule="auto"/>
        <w:jc w:val="both"/>
        <w:rPr>
          <w:rFonts w:ascii="Century Gothic" w:eastAsia="Arial" w:hAnsi="Century Gothic" w:cs="Arial"/>
          <w:color w:val="000000"/>
        </w:rPr>
      </w:pPr>
    </w:p>
    <w:p w14:paraId="0BEC98C1"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“14.5. Empresa de servicios públicos oficial. Es aquella en cuyo capital la Nación, las entidades territoriales, o las entidades descentralizadas de aquella o estas tienen el 100% de los aportes.</w:t>
      </w:r>
    </w:p>
    <w:p w14:paraId="0EACD711"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17C36E6F"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14.6. Empresa de servicios públicos mixta. Es aquella en cuyo capital la Nación, las entidades territoriales, o las entidades descentralizadas de aquella o éstas tienen aportes iguales o superiores al 50%. </w:t>
      </w:r>
    </w:p>
    <w:p w14:paraId="3F706833"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565A3821"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5E282E64" w14:textId="77777777" w:rsidR="00B9760A" w:rsidRPr="00692CED" w:rsidRDefault="00B9760A" w:rsidP="00B9760A">
      <w:pPr>
        <w:spacing w:line="276" w:lineRule="auto"/>
        <w:jc w:val="both"/>
        <w:rPr>
          <w:rFonts w:ascii="Century Gothic" w:eastAsia="Arial" w:hAnsi="Century Gothic" w:cs="Arial"/>
          <w:color w:val="000000"/>
        </w:rPr>
      </w:pPr>
    </w:p>
    <w:p w14:paraId="46889B74" w14:textId="77777777" w:rsidR="00B9760A" w:rsidRPr="00692CED" w:rsidRDefault="00B9760A" w:rsidP="00B9760A">
      <w:pPr>
        <w:tabs>
          <w:tab w:val="left" w:pos="0"/>
        </w:tabs>
        <w:spacing w:after="120" w:line="276" w:lineRule="auto"/>
        <w:jc w:val="both"/>
        <w:rPr>
          <w:rFonts w:ascii="Century Gothic" w:eastAsia="Arial" w:hAnsi="Century Gothic" w:cs="Arial"/>
          <w:color w:val="000000"/>
        </w:rPr>
      </w:pPr>
      <w:r w:rsidRPr="00692CED">
        <w:rPr>
          <w:rFonts w:ascii="Century Gothic" w:eastAsia="Arial" w:hAnsi="Century Gothic" w:cs="Arial"/>
          <w:color w:val="000000"/>
        </w:rPr>
        <w:tab/>
        <w:t xml:space="preserve">A su vez, el artículo 17 de la citada ley señala que “las empresas de servicios públicos son sociedades por acciones cuyo objeto es la prestación de los servicios públicos de que trata esta ley”. De otro lado, la Ley 489 de 1998 determina la integración de la Rama Ejecutiva del Poder Público en el orden nacional, y en el artículo 38, numeral 2, literal d) señala que las </w:t>
      </w:r>
      <w:r w:rsidRPr="00692CED">
        <w:rPr>
          <w:rFonts w:ascii="Century Gothic" w:eastAsia="Arial" w:hAnsi="Century Gothic" w:cs="Arial"/>
          <w:color w:val="000000"/>
        </w:rPr>
        <w:lastRenderedPageBreak/>
        <w:t xml:space="preserve">empresas sociales del Estado y las empresas oficiales de servicios públicos domiciliarios pertenecen a las entidades de la Rama Ejecutiva del sector descentralizado por servicios. El artículo 68 </w:t>
      </w:r>
      <w:r w:rsidRPr="00692CED">
        <w:rPr>
          <w:rFonts w:ascii="Century Gothic" w:eastAsia="Arial" w:hAnsi="Century Gothic" w:cs="Arial"/>
          <w:i/>
          <w:iCs/>
          <w:color w:val="000000"/>
        </w:rPr>
        <w:t xml:space="preserve">ibídem, </w:t>
      </w:r>
      <w:r w:rsidRPr="00692CED">
        <w:rPr>
          <w:rFonts w:ascii="Century Gothic" w:eastAsia="Arial" w:hAnsi="Century Gothic" w:cs="Arial"/>
          <w:color w:val="000000"/>
        </w:rPr>
        <w:t>al enlistar las entidades descentralizadas del orden nacional, se refirió únicamente a las empresas oficiales de servicios públicos, esto es, aquellas en las que la participación del Estado es del 100%</w:t>
      </w:r>
      <w:r w:rsidRPr="00692CED">
        <w:rPr>
          <w:rFonts w:ascii="Century Gothic" w:eastAsia="Calibri" w:hAnsi="Century Gothic" w:cs="Arial"/>
          <w:bCs/>
          <w:vertAlign w:val="superscript"/>
        </w:rPr>
        <w:footnoteReference w:id="6"/>
      </w:r>
      <w:r w:rsidRPr="00692CED">
        <w:rPr>
          <w:rFonts w:ascii="Century Gothic" w:eastAsia="Arial" w:hAnsi="Century Gothic" w:cs="Arial"/>
          <w:color w:val="000000"/>
        </w:rPr>
        <w:t>.</w:t>
      </w:r>
    </w:p>
    <w:p w14:paraId="01C084EA" w14:textId="77777777" w:rsidR="00B9760A" w:rsidRPr="00692CED" w:rsidRDefault="00B9760A" w:rsidP="00B9760A">
      <w:pPr>
        <w:tabs>
          <w:tab w:val="left" w:pos="0"/>
        </w:tabs>
        <w:spacing w:line="276" w:lineRule="auto"/>
        <w:jc w:val="both"/>
        <w:rPr>
          <w:rFonts w:ascii="Century Gothic" w:hAnsi="Century Gothic" w:cs="Arial"/>
          <w:noProof/>
          <w:lang w:val="es-ES_tradnl"/>
        </w:rPr>
      </w:pPr>
      <w:r w:rsidRPr="00692CED">
        <w:rPr>
          <w:rFonts w:ascii="Century Gothic" w:hAnsi="Century Gothic" w:cs="Arial"/>
          <w:noProof/>
          <w:lang w:val="es-ES_tradnl"/>
        </w:rPr>
        <w:tab/>
        <w:t>Lo anterior llevó a pensar que las entidades partícipes del sistema de compras públicas que el legislador había excluido de la Rama Ejecutiva a las empresas de servicios públicos mixta –capital público superior al 50%– y las prviadas –capital público inferior al 50%–. Sin embargo, la Corte Constitucional determinó que tanto las empresas de servicios públicos mixta como las privadas hacían parte de la Rama Ejecutiva, toda vez que el literal g) del artículo 38, numeral 2 de la Ley 489 de 1998 dice en su literal g) “Las demás entidades administrativas nacionales con personería jurídica que cree, organice o autorice la ley para que formen parte de la Rama Ejecutiva del Poder Público”.</w:t>
      </w:r>
    </w:p>
    <w:p w14:paraId="51B7BB54" w14:textId="77777777" w:rsidR="00B9760A" w:rsidRPr="00692CED" w:rsidRDefault="00B9760A" w:rsidP="00B9760A">
      <w:pPr>
        <w:tabs>
          <w:tab w:val="left" w:pos="0"/>
        </w:tabs>
        <w:spacing w:before="120" w:line="276" w:lineRule="auto"/>
        <w:jc w:val="both"/>
        <w:rPr>
          <w:rFonts w:ascii="Century Gothic" w:hAnsi="Century Gothic" w:cs="Arial"/>
          <w:noProof/>
          <w:lang w:val="es-ES_tradnl"/>
        </w:rPr>
      </w:pPr>
      <w:r w:rsidRPr="00692CED">
        <w:rPr>
          <w:rFonts w:ascii="Century Gothic" w:hAnsi="Century Gothic" w:cs="Arial"/>
          <w:noProof/>
          <w:lang w:val="es-ES_tradnl"/>
        </w:rPr>
        <w:tab/>
        <w:t xml:space="preserve">La Corte Constitucional, además de señalar la pertenencia a la Rama Ejecutiva de las empresas de servicios públicos mixtas y privadas, sostuvo que se trataba de entidades descentralizadas por servicios, en los términos del artículo 68 de la Ley 489 de 1998: </w:t>
      </w:r>
    </w:p>
    <w:p w14:paraId="109A79CF"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113FC116"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 xml:space="preserve">“Nótese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w:t>
      </w:r>
      <w:r w:rsidRPr="00692CED">
        <w:rPr>
          <w:rFonts w:ascii="Century Gothic" w:eastAsia="Calibri" w:hAnsi="Century Gothic" w:cs="Arial"/>
          <w:bCs/>
          <w:sz w:val="21"/>
          <w:szCs w:val="21"/>
        </w:rPr>
        <w:lastRenderedPageBreak/>
        <w:t>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55DF1606" w14:textId="77777777" w:rsidR="00B9760A" w:rsidRPr="00692CED" w:rsidRDefault="00B9760A" w:rsidP="00B9760A">
      <w:pPr>
        <w:spacing w:before="120"/>
        <w:ind w:right="709"/>
        <w:contextualSpacing/>
        <w:jc w:val="both"/>
        <w:rPr>
          <w:rFonts w:ascii="Century Gothic" w:eastAsia="Calibri" w:hAnsi="Century Gothic" w:cs="Arial"/>
          <w:bCs/>
          <w:sz w:val="21"/>
          <w:szCs w:val="21"/>
        </w:rPr>
      </w:pPr>
    </w:p>
    <w:p w14:paraId="6A5CC463"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03E6EC80"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p>
    <w:p w14:paraId="4D0B9881"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50E67AEF"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p>
    <w:p w14:paraId="3506F625"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 xml:space="preserve">Así las cosas, de cara a la constitucionalidad del artículo 38 de la Ley 489 de 1998, y concretamente de la expresión “las empresas oficiales de servicios públicos domiciliarios” contenida en su literal d), la Corte declarará su </w:t>
      </w:r>
      <w:proofErr w:type="spellStart"/>
      <w:r w:rsidRPr="00692CED">
        <w:rPr>
          <w:rFonts w:ascii="Century Gothic" w:eastAsia="Calibri" w:hAnsi="Century Gothic" w:cs="Arial"/>
          <w:bCs/>
          <w:sz w:val="21"/>
          <w:szCs w:val="21"/>
        </w:rPr>
        <w:t>exequibiliad</w:t>
      </w:r>
      <w:proofErr w:type="spellEnd"/>
      <w:r w:rsidRPr="00692CED">
        <w:rPr>
          <w:rFonts w:ascii="Century Gothic" w:eastAsia="Calibri" w:hAnsi="Century Gothic" w:cs="Arial"/>
          <w:bCs/>
          <w:sz w:val="21"/>
          <w:szCs w:val="21"/>
        </w:rPr>
        <w:t>, por considerar que dentro del supuesto normativo del literal g) se comprenden las empresas mixtas o privadas de servicios públicos, que de esta manera viene a conformar también la Rama Ejecutiva del poder público.</w:t>
      </w:r>
    </w:p>
    <w:p w14:paraId="671DC2AE"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w:t>
      </w:r>
    </w:p>
    <w:p w14:paraId="7BC273DC"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692CED">
        <w:rPr>
          <w:rFonts w:ascii="Century Gothic" w:eastAsia="Calibri" w:hAnsi="Century Gothic" w:cs="Arial"/>
          <w:bCs/>
          <w:sz w:val="21"/>
          <w:szCs w:val="21"/>
          <w:vertAlign w:val="superscript"/>
        </w:rPr>
        <w:footnoteReference w:id="7"/>
      </w:r>
    </w:p>
    <w:p w14:paraId="6DE3B947" w14:textId="77777777" w:rsidR="00B9760A" w:rsidRPr="00692CED" w:rsidRDefault="00B9760A" w:rsidP="00B9760A">
      <w:pPr>
        <w:spacing w:before="120"/>
        <w:ind w:left="709" w:right="709"/>
        <w:contextualSpacing/>
        <w:jc w:val="both"/>
        <w:rPr>
          <w:rFonts w:ascii="Century Gothic" w:eastAsia="Calibri" w:hAnsi="Century Gothic" w:cs="Arial"/>
          <w:bCs/>
          <w:sz w:val="21"/>
          <w:szCs w:val="21"/>
        </w:rPr>
      </w:pPr>
    </w:p>
    <w:p w14:paraId="5447CA75" w14:textId="77777777" w:rsidR="00B9760A" w:rsidRPr="00692CED" w:rsidRDefault="00B9760A" w:rsidP="00B9760A">
      <w:pPr>
        <w:jc w:val="both"/>
        <w:rPr>
          <w:rFonts w:ascii="Century Gothic" w:hAnsi="Century Gothic" w:cs="Arial"/>
          <w:noProof/>
          <w:lang w:val="es-ES_tradnl"/>
        </w:rPr>
      </w:pPr>
      <w:r w:rsidRPr="00692CED">
        <w:rPr>
          <w:rFonts w:ascii="Century Gothic" w:hAnsi="Century Gothic" w:cs="Arial"/>
          <w:noProof/>
          <w:lang w:val="es-ES_tradnl"/>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612ED979"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5D59D12B"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59BA5322"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w:t>
      </w:r>
    </w:p>
    <w:p w14:paraId="5C142A7F"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 distintas de los establecimientos públicos, las empresas comerciales e industriales del Estado y las Sociedades de economía mixta”</w:t>
      </w:r>
      <w:r w:rsidRPr="00692CED">
        <w:rPr>
          <w:rFonts w:ascii="Century Gothic" w:eastAsia="Calibri" w:hAnsi="Century Gothic" w:cs="Arial"/>
          <w:bCs/>
          <w:sz w:val="21"/>
          <w:szCs w:val="21"/>
          <w:vertAlign w:val="superscript"/>
        </w:rPr>
        <w:footnoteReference w:id="8"/>
      </w:r>
      <w:r w:rsidRPr="00692CED">
        <w:rPr>
          <w:rFonts w:ascii="Century Gothic" w:eastAsia="Calibri" w:hAnsi="Century Gothic" w:cs="Arial"/>
          <w:bCs/>
          <w:sz w:val="21"/>
          <w:szCs w:val="21"/>
        </w:rPr>
        <w:t>.</w:t>
      </w:r>
    </w:p>
    <w:p w14:paraId="0CAF409A" w14:textId="77777777" w:rsidR="00B9760A" w:rsidRPr="00692CED" w:rsidRDefault="00B9760A" w:rsidP="00B9760A">
      <w:pPr>
        <w:spacing w:line="276" w:lineRule="auto"/>
        <w:ind w:firstLine="709"/>
        <w:contextualSpacing/>
        <w:jc w:val="both"/>
        <w:rPr>
          <w:rFonts w:ascii="Century Gothic" w:eastAsia="Calibri" w:hAnsi="Century Gothic" w:cs="Arial"/>
          <w:bCs/>
        </w:rPr>
      </w:pPr>
    </w:p>
    <w:p w14:paraId="3A4E0E17" w14:textId="77777777" w:rsidR="00B9760A" w:rsidRPr="00692CED" w:rsidRDefault="00B9760A" w:rsidP="00B9760A">
      <w:pPr>
        <w:spacing w:before="120" w:line="276" w:lineRule="auto"/>
        <w:ind w:firstLine="709"/>
        <w:contextualSpacing/>
        <w:jc w:val="both"/>
        <w:rPr>
          <w:rFonts w:ascii="Century Gothic" w:eastAsia="Calibri" w:hAnsi="Century Gothic" w:cs="Arial"/>
          <w:bCs/>
        </w:rPr>
      </w:pPr>
      <w:r w:rsidRPr="00692CED">
        <w:rPr>
          <w:rFonts w:ascii="Century Gothic" w:eastAsia="Calibri" w:hAnsi="Century Gothic" w:cs="Arial"/>
          <w:bCs/>
        </w:rPr>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w:t>
      </w:r>
      <w:r w:rsidRPr="00692CED">
        <w:rPr>
          <w:rFonts w:ascii="Century Gothic" w:eastAsia="Calibri" w:hAnsi="Century Gothic" w:cs="Arial"/>
          <w:bCs/>
        </w:rPr>
        <w:lastRenderedPageBreak/>
        <w:t xml:space="preserve">clasificación, todas hacen parte de la Rama ejecutiva, del sector descentralizado por servicios. </w:t>
      </w:r>
    </w:p>
    <w:p w14:paraId="5F7F6065" w14:textId="77777777" w:rsidR="00B9760A" w:rsidRPr="00692CED" w:rsidRDefault="00B9760A" w:rsidP="00B9760A">
      <w:pPr>
        <w:tabs>
          <w:tab w:val="left" w:pos="0"/>
        </w:tabs>
        <w:spacing w:before="120" w:line="276" w:lineRule="auto"/>
        <w:jc w:val="both"/>
        <w:rPr>
          <w:rFonts w:ascii="Century Gothic" w:eastAsia="Calibri" w:hAnsi="Century Gothic" w:cs="Arial"/>
          <w:bCs/>
        </w:rPr>
      </w:pPr>
      <w:r w:rsidRPr="00692CED">
        <w:rPr>
          <w:rFonts w:ascii="Century Gothic" w:eastAsia="Calibri" w:hAnsi="Century Gothic" w:cs="Arial"/>
          <w:bCs/>
        </w:rPr>
        <w:tab/>
        <w:t xml:space="preserve">Una vez expuesta la naturaleza jurídica de las empresas prestadoras de servicios públicos domiciliarios, teniendo en cuenta el objeto de la consulta, a continuación, se procede a explicar el régimen contractual que les aplica. </w:t>
      </w:r>
    </w:p>
    <w:p w14:paraId="34A1ECF1" w14:textId="77777777" w:rsidR="00B9760A" w:rsidRPr="00692CED" w:rsidRDefault="00B9760A" w:rsidP="00B9760A">
      <w:pPr>
        <w:jc w:val="both"/>
        <w:rPr>
          <w:rFonts w:ascii="Century Gothic" w:hAnsi="Century Gothic" w:cs="Arial"/>
          <w:noProof/>
          <w:lang w:val="es-ES_tradnl"/>
        </w:rPr>
      </w:pPr>
    </w:p>
    <w:p w14:paraId="430BA2C2" w14:textId="77777777" w:rsidR="00B9760A" w:rsidRPr="00692CED" w:rsidRDefault="00B9760A" w:rsidP="00B9760A">
      <w:pPr>
        <w:jc w:val="both"/>
        <w:rPr>
          <w:rFonts w:ascii="Century Gothic" w:hAnsi="Century Gothic" w:cs="Arial"/>
          <w:b/>
          <w:bCs/>
          <w:noProof/>
          <w:lang w:val="es-ES_tradnl"/>
        </w:rPr>
      </w:pPr>
      <w:r w:rsidRPr="00692CED">
        <w:rPr>
          <w:rFonts w:ascii="Century Gothic" w:hAnsi="Century Gothic" w:cs="Arial"/>
          <w:b/>
          <w:bCs/>
          <w:noProof/>
          <w:lang w:val="es-ES_tradnl"/>
        </w:rPr>
        <w:t>2.2. Régimen contractual de las empresas prestadoras de servicios públicos domiciliarios. Situaciones de aplicabilidad de la Ley 80 de 1993. Reiteración de línea</w:t>
      </w:r>
    </w:p>
    <w:p w14:paraId="306FB1B6" w14:textId="77777777" w:rsidR="00B9760A" w:rsidRPr="00692CED" w:rsidRDefault="00B9760A" w:rsidP="00B9760A">
      <w:pPr>
        <w:jc w:val="both"/>
        <w:rPr>
          <w:rFonts w:ascii="Century Gothic" w:hAnsi="Century Gothic" w:cs="Arial"/>
          <w:b/>
          <w:bCs/>
          <w:noProof/>
          <w:lang w:val="es-ES_tradnl"/>
        </w:rPr>
      </w:pPr>
    </w:p>
    <w:p w14:paraId="480166A9" w14:textId="77777777" w:rsidR="00B9760A" w:rsidRPr="00692CED" w:rsidRDefault="00B9760A" w:rsidP="00B9760A">
      <w:pPr>
        <w:jc w:val="both"/>
        <w:rPr>
          <w:rFonts w:ascii="Century Gothic" w:hAnsi="Century Gothic" w:cs="Arial"/>
          <w:noProof/>
          <w:lang w:val="es-ES_tradnl"/>
        </w:rPr>
      </w:pPr>
      <w:r w:rsidRPr="00692CED">
        <w:rPr>
          <w:rFonts w:ascii="Century Gothic" w:hAnsi="Century Gothic" w:cs="Arial"/>
          <w:noProof/>
          <w:lang w:val="es-ES_tradnl"/>
        </w:rPr>
        <w:t>La constitución Política de 1991 incorporó un modelo de liberación para prestar servicios públicos domiciliarios, con arreglo al cual estos pueden ofrecerse en el mercado, en un esquema de libre competencia, directamente por el Estado, por particulares o por comunidades organizadas</w:t>
      </w:r>
      <w:r w:rsidRPr="00692CED">
        <w:rPr>
          <w:rFonts w:ascii="Century Gothic" w:eastAsia="Calibri" w:hAnsi="Century Gothic" w:cs="Arial"/>
          <w:bCs/>
          <w:vertAlign w:val="superscript"/>
        </w:rPr>
        <w:footnoteReference w:id="9"/>
      </w:r>
      <w:r w:rsidRPr="00692CED">
        <w:rPr>
          <w:rFonts w:ascii="Century Gothic" w:hAnsi="Century Gothic" w:cs="Arial"/>
          <w:noProof/>
          <w:lang w:val="es-ES_tradnl"/>
        </w:rPr>
        <w:t>. En tal sentido, el artículo 365 de la Constitución dispone lo siguiente:</w:t>
      </w:r>
    </w:p>
    <w:p w14:paraId="78CC4F89"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51143B6C"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lastRenderedPageBreak/>
        <w:t>“Los servicios públicos son inherentes a la finalidad social del Estado. Es deber del Estado asegurar su prestación eficiente a todos los habitantes del territorio nacional.</w:t>
      </w:r>
    </w:p>
    <w:p w14:paraId="1038736E"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60B10A97" w14:textId="77777777" w:rsidR="00B9760A" w:rsidRPr="00692CED" w:rsidRDefault="00B9760A" w:rsidP="00B9760A">
      <w:pPr>
        <w:ind w:left="709" w:right="709"/>
        <w:contextualSpacing/>
        <w:jc w:val="both"/>
        <w:rPr>
          <w:rFonts w:ascii="Century Gothic" w:eastAsia="Calibri" w:hAnsi="Century Gothic" w:cs="Arial"/>
          <w:bCs/>
        </w:rPr>
      </w:pPr>
      <w:r w:rsidRPr="00692CED">
        <w:rPr>
          <w:rFonts w:ascii="Century Gothic" w:eastAsia="Calibri" w:hAnsi="Century Gothic" w:cs="Arial"/>
          <w:bCs/>
          <w:sz w:val="21"/>
          <w:szCs w:val="21"/>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692CED">
        <w:rPr>
          <w:rFonts w:ascii="Century Gothic" w:eastAsia="Calibri" w:hAnsi="Century Gothic" w:cs="Arial"/>
          <w:bCs/>
          <w:sz w:val="21"/>
          <w:szCs w:val="21"/>
        </w:rPr>
        <w:t>que</w:t>
      </w:r>
      <w:proofErr w:type="gramEnd"/>
      <w:r w:rsidRPr="00692CED">
        <w:rPr>
          <w:rFonts w:ascii="Century Gothic" w:eastAsia="Calibri" w:hAnsi="Century Gothic" w:cs="Arial"/>
          <w:bCs/>
          <w:sz w:val="21"/>
          <w:szCs w:val="21"/>
        </w:rPr>
        <w:t xml:space="preserve"> en virtud de dicha ley, queden privadas del ejercicio de una actividad lícita”.</w:t>
      </w:r>
    </w:p>
    <w:p w14:paraId="02F03593" w14:textId="77777777" w:rsidR="00B9760A" w:rsidRPr="00692CED" w:rsidRDefault="00B9760A" w:rsidP="00B9760A">
      <w:pPr>
        <w:tabs>
          <w:tab w:val="left" w:pos="0"/>
        </w:tabs>
        <w:spacing w:line="276" w:lineRule="auto"/>
        <w:jc w:val="both"/>
        <w:rPr>
          <w:rFonts w:ascii="Century Gothic" w:hAnsi="Century Gothic" w:cs="Arial"/>
          <w:noProof/>
          <w:lang w:val="es-ES_tradnl"/>
        </w:rPr>
      </w:pPr>
    </w:p>
    <w:p w14:paraId="5443FF66" w14:textId="77777777" w:rsidR="00B9760A" w:rsidRPr="00692CED" w:rsidRDefault="00B9760A" w:rsidP="00B9760A">
      <w:pPr>
        <w:tabs>
          <w:tab w:val="left" w:pos="0"/>
        </w:tabs>
        <w:spacing w:line="276" w:lineRule="auto"/>
        <w:jc w:val="both"/>
        <w:rPr>
          <w:rFonts w:ascii="Century Gothic" w:hAnsi="Century Gothic" w:cs="Arial"/>
          <w:noProof/>
          <w:lang w:val="es-ES_tradnl"/>
        </w:rPr>
      </w:pPr>
      <w:r w:rsidRPr="00692CED">
        <w:rPr>
          <w:rFonts w:ascii="Century Gothic" w:hAnsi="Century Gothic" w:cs="Arial"/>
          <w:noProof/>
          <w:lang w:val="es-ES_tradnl"/>
        </w:rPr>
        <w:tab/>
        <w:t>Con base en este presupuesto constitucional de liberación de los servicios públicos domiciliarios, el legislador expidió l</w:t>
      </w:r>
      <w:r w:rsidRPr="00692CED">
        <w:rPr>
          <w:rFonts w:ascii="Century Gothic" w:eastAsia="Calibri" w:hAnsi="Century Gothic" w:cs="Arial"/>
          <w:bCs/>
        </w:rPr>
        <w:t xml:space="preserve">a Ley 142 de 1994, mediante la cual se establece el régimen de los servicios públicos domiciliarios. El artículo 15 </w:t>
      </w:r>
      <w:proofErr w:type="spellStart"/>
      <w:r w:rsidRPr="00692CED">
        <w:rPr>
          <w:rFonts w:ascii="Century Gothic" w:eastAsia="Calibri" w:hAnsi="Century Gothic" w:cs="Arial"/>
          <w:bCs/>
          <w:i/>
          <w:iCs/>
        </w:rPr>
        <w:t>Ibidem</w:t>
      </w:r>
      <w:proofErr w:type="spellEnd"/>
      <w:r w:rsidRPr="00692CED">
        <w:rPr>
          <w:rFonts w:ascii="Century Gothic" w:eastAsia="Calibri" w:hAnsi="Century Gothic" w:cs="Arial"/>
          <w:bCs/>
        </w:rPr>
        <w:t xml:space="preserve">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692CED">
        <w:rPr>
          <w:rFonts w:ascii="Century Gothic" w:eastAsia="Calibri" w:hAnsi="Century Gothic" w:cs="Arial"/>
          <w:bCs/>
          <w:vertAlign w:val="superscript"/>
        </w:rPr>
        <w:footnoteReference w:id="10"/>
      </w:r>
      <w:r w:rsidRPr="00692CED">
        <w:rPr>
          <w:rFonts w:ascii="Century Gothic" w:eastAsia="Calibri" w:hAnsi="Century Gothic" w:cs="Arial"/>
          <w:bCs/>
        </w:rPr>
        <w:t>.</w:t>
      </w:r>
    </w:p>
    <w:p w14:paraId="4FA9D255" w14:textId="77777777" w:rsidR="00B9760A" w:rsidRPr="00692CED" w:rsidRDefault="00B9760A" w:rsidP="00B9760A">
      <w:pPr>
        <w:spacing w:before="120" w:after="120" w:line="276" w:lineRule="auto"/>
        <w:ind w:firstLine="709"/>
        <w:jc w:val="both"/>
        <w:rPr>
          <w:rFonts w:ascii="Century Gothic" w:eastAsia="Calibri" w:hAnsi="Century Gothic" w:cs="Arial"/>
          <w:bCs/>
        </w:rPr>
      </w:pPr>
      <w:r w:rsidRPr="00692CED">
        <w:rPr>
          <w:rFonts w:ascii="Century Gothic" w:eastAsia="Calibri" w:hAnsi="Century Gothic" w:cs="Arial"/>
          <w:bCs/>
        </w:rPr>
        <w:lastRenderedPageBreak/>
        <w:t xml:space="preserve">Ahora bien, </w:t>
      </w:r>
      <w:bookmarkStart w:id="13" w:name="_Hlk120622020"/>
      <w:r w:rsidRPr="00692CED">
        <w:rPr>
          <w:rFonts w:ascii="Century Gothic" w:eastAsia="Calibri" w:hAnsi="Century Gothic" w:cs="Arial"/>
          <w:bCs/>
        </w:rPr>
        <w:t>en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r w:rsidRPr="00692CED">
        <w:rPr>
          <w:rFonts w:ascii="Century Gothic" w:eastAsia="Calibri" w:hAnsi="Century Gothic" w:cs="Arial"/>
          <w:bCs/>
          <w:vertAlign w:val="superscript"/>
        </w:rPr>
        <w:footnoteReference w:id="11"/>
      </w:r>
      <w:r w:rsidRPr="00692CED">
        <w:rPr>
          <w:rFonts w:ascii="Century Gothic" w:eastAsia="Calibri" w:hAnsi="Century Gothic" w:cs="Arial"/>
          <w:bCs/>
        </w:rPr>
        <w:t>.</w:t>
      </w:r>
      <w:bookmarkEnd w:id="13"/>
    </w:p>
    <w:p w14:paraId="40F6F566" w14:textId="77777777" w:rsidR="00B9760A" w:rsidRPr="00692CED" w:rsidRDefault="00B9760A" w:rsidP="00B9760A">
      <w:pPr>
        <w:spacing w:after="120" w:line="276" w:lineRule="auto"/>
        <w:ind w:firstLine="709"/>
        <w:jc w:val="both"/>
        <w:rPr>
          <w:rFonts w:ascii="Century Gothic" w:eastAsia="Calibri" w:hAnsi="Century Gothic" w:cs="Arial"/>
          <w:bCs/>
        </w:rPr>
      </w:pPr>
      <w:r w:rsidRPr="00692CED">
        <w:rPr>
          <w:rFonts w:ascii="Century Gothic" w:eastAsia="Calibri" w:hAnsi="Century Gothic" w:cs="Arial"/>
          <w:bCs/>
        </w:rPr>
        <w:t xml:space="preserve">En consecuencia, </w:t>
      </w:r>
      <w:bookmarkStart w:id="14" w:name="_Hlk120622006"/>
      <w:r w:rsidRPr="00692CED">
        <w:rPr>
          <w:rFonts w:ascii="Century Gothic" w:eastAsia="Calibri" w:hAnsi="Century Gothic" w:cs="Arial"/>
          <w:bCs/>
        </w:rPr>
        <w:t>de la lectura sistemática de las normas referidas puede concluirse que el régimen jurídico que, por regla general, debe aplicarse a la contratación que efectúan las empresas prestadoras de servicios públicos domiciliarios es el derecho privado y sólo, excepcionalmente, el contenido en el Estatuto General de Contratación de la Administración Pública –en adelante EGCAP–</w:t>
      </w:r>
      <w:r w:rsidRPr="00692CED">
        <w:rPr>
          <w:rFonts w:ascii="Century Gothic" w:eastAsia="Calibri" w:hAnsi="Century Gothic" w:cs="Arial"/>
          <w:bCs/>
          <w:vertAlign w:val="superscript"/>
        </w:rPr>
        <w:footnoteReference w:id="12"/>
      </w:r>
      <w:r w:rsidRPr="00692CED">
        <w:rPr>
          <w:rFonts w:ascii="Century Gothic" w:eastAsia="Calibri" w:hAnsi="Century Gothic" w:cs="Arial"/>
          <w:bCs/>
        </w:rPr>
        <w:t xml:space="preserve">. En otras palabras, dichas empresas se sujetan, en su actividad contractual, a las disposiciones del derecho privado, salvo en aquellos casos en los que la Constitución, la Ley </w:t>
      </w:r>
      <w:r w:rsidRPr="00692CED">
        <w:rPr>
          <w:rFonts w:ascii="Century Gothic" w:eastAsia="Calibri" w:hAnsi="Century Gothic" w:cs="Arial"/>
          <w:bCs/>
        </w:rPr>
        <w:lastRenderedPageBreak/>
        <w:t>142 de 1994 u otras leyes especiales, sometan tal conducta al EGCAP, es decir, a la Ley 80 de 1993, Ley 1150 de 2007 y demás normas complementarias.</w:t>
      </w:r>
    </w:p>
    <w:bookmarkEnd w:id="14"/>
    <w:p w14:paraId="5D3120D2" w14:textId="77777777" w:rsidR="00B9760A" w:rsidRPr="00692CED" w:rsidRDefault="00B9760A" w:rsidP="00B9760A">
      <w:pPr>
        <w:tabs>
          <w:tab w:val="left" w:pos="0"/>
        </w:tabs>
        <w:spacing w:before="120" w:line="276" w:lineRule="auto"/>
        <w:jc w:val="both"/>
        <w:rPr>
          <w:rFonts w:ascii="Century Gothic" w:hAnsi="Century Gothic" w:cs="Arial"/>
          <w:noProof/>
          <w:lang w:val="es-ES_tradnl"/>
        </w:rPr>
      </w:pPr>
      <w:r w:rsidRPr="00692CED">
        <w:rPr>
          <w:rFonts w:ascii="Century Gothic" w:hAnsi="Century Gothic" w:cs="Arial"/>
          <w:noProof/>
          <w:lang w:val="es-ES_tradnl"/>
        </w:rPr>
        <w:tab/>
        <w:t>Lo anterior no significa que la actividad contractual de las empresas prestadoras de servicios públicos domiciliarios se rija por un “derecho privado puro”, pues este se encuentra irrigado, entre otras coas, por los principios de la función administrativa y de la gestión fiscal previstos en los artículos 209 y 267 de la Constitución, toda vez que así lo dispone el artículo 13 de la Ley 1150 de 2007</w:t>
      </w:r>
      <w:r w:rsidRPr="00692CED">
        <w:rPr>
          <w:rFonts w:ascii="Century Gothic" w:eastAsia="Calibri" w:hAnsi="Century Gothic" w:cs="Arial"/>
          <w:bCs/>
          <w:vertAlign w:val="superscript"/>
        </w:rPr>
        <w:footnoteReference w:id="13"/>
      </w:r>
      <w:r w:rsidRPr="00692CED">
        <w:rPr>
          <w:rFonts w:ascii="Century Gothic" w:eastAsia="Calibri" w:hAnsi="Century Gothic" w:cs="Arial"/>
          <w:bCs/>
        </w:rPr>
        <w:t>.</w:t>
      </w:r>
    </w:p>
    <w:p w14:paraId="40C4FF2A" w14:textId="77777777" w:rsidR="00B9760A" w:rsidRPr="00692CED" w:rsidRDefault="00B9760A" w:rsidP="00B9760A">
      <w:pPr>
        <w:tabs>
          <w:tab w:val="left" w:pos="0"/>
        </w:tabs>
        <w:spacing w:before="120" w:line="276" w:lineRule="auto"/>
        <w:jc w:val="both"/>
        <w:rPr>
          <w:rFonts w:ascii="Century Gothic" w:hAnsi="Century Gothic" w:cs="Arial"/>
          <w:noProof/>
          <w:lang w:val="es-ES_tradnl"/>
        </w:rPr>
      </w:pPr>
      <w:r w:rsidRPr="00692CED">
        <w:rPr>
          <w:rFonts w:ascii="Century Gothic" w:hAnsi="Century Gothic" w:cs="Arial"/>
          <w:noProof/>
          <w:lang w:val="es-ES_tradnl"/>
        </w:rPr>
        <w:tab/>
        <w:t>Ahora bien, pese a que el artículo 31 de la Ley 142 de 1994, modificado por el artículo 3 de la Ley 689 de 2001, dispuso que los contratos celebrados por las entidades prestadoras de servicios públicos no se regirían por las disposiciones contenidas en el EGCAP, dicha norma estableció como excepción a esta regla general, las situaciones en las que estas entidades deberán aplicarlo, así:</w:t>
      </w:r>
    </w:p>
    <w:p w14:paraId="607DD728" w14:textId="77777777" w:rsidR="00B9760A" w:rsidRPr="00692CED" w:rsidRDefault="00B9760A" w:rsidP="00B9760A">
      <w:pPr>
        <w:ind w:left="709" w:right="709"/>
        <w:contextualSpacing/>
        <w:jc w:val="both"/>
        <w:rPr>
          <w:rFonts w:ascii="Century Gothic" w:eastAsia="Calibri" w:hAnsi="Century Gothic" w:cs="Arial"/>
          <w:bCs/>
          <w:sz w:val="21"/>
          <w:szCs w:val="21"/>
        </w:rPr>
      </w:pPr>
    </w:p>
    <w:p w14:paraId="56B3FEC2"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 xml:space="preserve">“Artículo 31. Régimen de la Contratación. </w:t>
      </w:r>
    </w:p>
    <w:p w14:paraId="52414186"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w:t>
      </w:r>
    </w:p>
    <w:p w14:paraId="2C7BA4D9"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692CED">
        <w:rPr>
          <w:rFonts w:ascii="Century Gothic" w:eastAsia="Calibri" w:hAnsi="Century Gothic" w:cs="Arial"/>
          <w:b/>
          <w:i/>
          <w:iCs/>
          <w:sz w:val="21"/>
          <w:szCs w:val="21"/>
        </w:rPr>
        <w:t>Cuando la inclusión sea forzosa, todo lo relativo a tales cláusulas se regirá, en cuanto sea pertinente, por lo dispuesto en la Ley 80 de 1993,</w:t>
      </w:r>
      <w:r w:rsidRPr="00692CED">
        <w:rPr>
          <w:rFonts w:ascii="Century Gothic" w:eastAsia="Calibri" w:hAnsi="Century Gothic" w:cs="Arial"/>
          <w:bCs/>
          <w:sz w:val="21"/>
          <w:szCs w:val="21"/>
        </w:rPr>
        <w:t xml:space="preserve">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w:t>
      </w:r>
      <w:r w:rsidRPr="00692CED">
        <w:rPr>
          <w:rFonts w:ascii="Century Gothic" w:eastAsia="Calibri" w:hAnsi="Century Gothic" w:cs="Arial"/>
          <w:bCs/>
          <w:sz w:val="21"/>
          <w:szCs w:val="21"/>
        </w:rPr>
        <w:lastRenderedPageBreak/>
        <w:t>excepcionales en los respectivos contratos, transcurrido este término operará el silencio administrativo positivo.</w:t>
      </w:r>
    </w:p>
    <w:p w14:paraId="1E6FD347" w14:textId="77777777" w:rsidR="00B9760A" w:rsidRPr="00692CED" w:rsidRDefault="00B9760A" w:rsidP="00B9760A">
      <w:pPr>
        <w:ind w:left="709" w:right="709"/>
        <w:contextualSpacing/>
        <w:jc w:val="both"/>
        <w:rPr>
          <w:rFonts w:ascii="Century Gothic" w:eastAsia="Calibri" w:hAnsi="Century Gothic" w:cs="Arial"/>
          <w:bCs/>
          <w:sz w:val="21"/>
          <w:szCs w:val="21"/>
        </w:rPr>
      </w:pPr>
      <w:r w:rsidRPr="00692CED">
        <w:rPr>
          <w:rFonts w:ascii="Century Gothic" w:eastAsia="Calibri" w:hAnsi="Century Gothic" w:cs="Arial"/>
          <w:bCs/>
          <w:sz w:val="21"/>
          <w:szCs w:val="21"/>
        </w:rPr>
        <w:t>[…]”. [Énfasis fuera de texto]</w:t>
      </w:r>
    </w:p>
    <w:p w14:paraId="43091858" w14:textId="77777777" w:rsidR="00B9760A" w:rsidRPr="00692CED" w:rsidRDefault="00B9760A" w:rsidP="00B9760A">
      <w:pPr>
        <w:tabs>
          <w:tab w:val="left" w:pos="0"/>
        </w:tabs>
        <w:ind w:firstLine="709"/>
        <w:jc w:val="both"/>
        <w:rPr>
          <w:rFonts w:ascii="Century Gothic" w:hAnsi="Century Gothic" w:cs="Arial"/>
          <w:noProof/>
          <w:lang w:val="es-ES_tradnl"/>
        </w:rPr>
      </w:pPr>
    </w:p>
    <w:p w14:paraId="4EF7C1BB" w14:textId="77777777" w:rsidR="00B9760A" w:rsidRPr="00692CED" w:rsidRDefault="00B9760A" w:rsidP="00B9760A">
      <w:pPr>
        <w:tabs>
          <w:tab w:val="left" w:pos="0"/>
        </w:tabs>
        <w:spacing w:line="276" w:lineRule="auto"/>
        <w:ind w:firstLine="709"/>
        <w:jc w:val="both"/>
        <w:rPr>
          <w:rFonts w:ascii="Century Gothic" w:hAnsi="Century Gothic" w:cs="Arial"/>
          <w:noProof/>
          <w:lang w:val="es-ES_tradnl"/>
        </w:rPr>
      </w:pPr>
      <w:r w:rsidRPr="00692CED">
        <w:rPr>
          <w:rFonts w:ascii="Century Gothic" w:hAnsi="Century Gothic" w:cs="Arial"/>
          <w:noProof/>
          <w:lang w:val="es-ES_tradnl"/>
        </w:rPr>
        <w:t>De lo anterior, puede colegirse que a pesar de que las empresas prestadoras de servicios públicos domiciliarios en lo concerniente a sus actividades contractuales, por regla general, se rigen por lo dispuesto en las normas de derecho privado, en casos en los que se establezcan cláusulas excepcionales en sus contratos, bien sea por mandato de las Comisiones de Regulación o por solicitud de dichas empresas, deberán someterse a lo dispuesto en el EGCAP –Ley 80 de 1993– la ley 1150 de 2007 y demás normas complementarias, así como en las situaciones en las que la Ley 142 de 1992 u otras leyes especiales lo dispongan.</w:t>
      </w:r>
    </w:p>
    <w:p w14:paraId="11D01401" w14:textId="77777777" w:rsidR="00B9760A" w:rsidRPr="00692CED" w:rsidRDefault="00B9760A" w:rsidP="00B9760A">
      <w:pPr>
        <w:tabs>
          <w:tab w:val="left" w:pos="0"/>
        </w:tabs>
        <w:spacing w:before="120" w:line="276" w:lineRule="auto"/>
        <w:ind w:firstLine="709"/>
        <w:jc w:val="both"/>
        <w:rPr>
          <w:rFonts w:ascii="Century Gothic" w:eastAsia="Calibri" w:hAnsi="Century Gothic" w:cs="Arial"/>
          <w:color w:val="000000" w:themeColor="text1"/>
        </w:rPr>
      </w:pPr>
      <w:r w:rsidRPr="00692CED">
        <w:rPr>
          <w:rFonts w:ascii="Century Gothic" w:hAnsi="Century Gothic" w:cs="Arial"/>
          <w:noProof/>
          <w:lang w:val="es-ES_tradnl"/>
        </w:rPr>
        <w:t>Ahora bien, teniendo en cuenta lo consultado, resulta importante aclarar que las entidades estatales que por disposición legal cuentan con un régimen especial</w:t>
      </w:r>
      <w:r w:rsidRPr="00692CED">
        <w:rPr>
          <w:rFonts w:ascii="Century Gothic" w:hAnsi="Century Gothic" w:cs="Arial"/>
          <w:noProof/>
          <w:vertAlign w:val="superscript"/>
          <w:lang w:val="es-ES_tradnl"/>
        </w:rPr>
        <w:footnoteReference w:id="14"/>
      </w:r>
      <w:r w:rsidRPr="00692CED">
        <w:rPr>
          <w:rFonts w:ascii="Century Gothic" w:hAnsi="Century Gothic" w:cs="Arial"/>
          <w:noProof/>
          <w:lang w:val="es-ES_tradnl"/>
        </w:rPr>
        <w:t xml:space="preserve"> exceptuado del EGCAP, de conformidad con el principio de autonomía de la voluntad, pueden expedir un reglamento interno de contratación –comúnmente denominado </w:t>
      </w:r>
      <w:r w:rsidRPr="00692CED">
        <w:rPr>
          <w:rFonts w:ascii="Century Gothic" w:hAnsi="Century Gothic" w:cs="Arial"/>
          <w:i/>
          <w:iCs/>
          <w:noProof/>
          <w:lang w:val="es-ES_tradnl"/>
        </w:rPr>
        <w:t>manual de contratación</w:t>
      </w:r>
      <w:r w:rsidRPr="00692CED">
        <w:rPr>
          <w:rFonts w:ascii="Century Gothic" w:hAnsi="Century Gothic" w:cs="Arial"/>
          <w:noProof/>
          <w:lang w:val="es-ES_tradnl"/>
        </w:rPr>
        <w:t>–, que regule aspectos asociados a su actividad contractual, como los procedimientos de selección, los requisitos de participación, las condiciones de ejecución del contrato, etc. Por ende, corresponderá a las entidades estatales de régimen especial, incluidas las empresas de servicios públicos domiciliarios, dilucidar según las disposiciones que les sean aplicables,</w:t>
      </w:r>
      <w:r w:rsidRPr="00692CED">
        <w:rPr>
          <w:rFonts w:ascii="Century Gothic" w:eastAsia="Calibri" w:hAnsi="Century Gothic" w:cs="Arial"/>
          <w:color w:val="000000" w:themeColor="text1"/>
        </w:rPr>
        <w:t xml:space="preserve"> la forma en la que determinarán en los manuales de contratación, sus respectivas cuantías.</w:t>
      </w:r>
    </w:p>
    <w:p w14:paraId="769C2182" w14:textId="77777777" w:rsidR="00B9760A" w:rsidRPr="00692CED" w:rsidRDefault="00B9760A" w:rsidP="00B9760A">
      <w:pPr>
        <w:tabs>
          <w:tab w:val="left" w:pos="0"/>
        </w:tabs>
        <w:spacing w:before="120" w:line="276" w:lineRule="auto"/>
        <w:ind w:firstLine="709"/>
        <w:jc w:val="both"/>
        <w:rPr>
          <w:rFonts w:ascii="Century Gothic" w:hAnsi="Century Gothic" w:cs="Arial"/>
          <w:noProof/>
          <w:lang w:val="es-ES_tradnl"/>
        </w:rPr>
      </w:pPr>
    </w:p>
    <w:p w14:paraId="5EBE6C70" w14:textId="77777777" w:rsidR="00B9760A" w:rsidRPr="00692CED" w:rsidRDefault="00B9760A" w:rsidP="00B9760A">
      <w:pPr>
        <w:spacing w:line="276" w:lineRule="auto"/>
        <w:jc w:val="both"/>
        <w:rPr>
          <w:rFonts w:ascii="Century Gothic" w:hAnsi="Century Gothic" w:cs="Arial"/>
          <w:b/>
          <w:bCs/>
          <w:color w:val="000000" w:themeColor="text1"/>
          <w:lang w:val="es-ES"/>
        </w:rPr>
      </w:pPr>
      <w:r w:rsidRPr="00692CED">
        <w:rPr>
          <w:rFonts w:ascii="Century Gothic" w:eastAsia="Calibri" w:hAnsi="Century Gothic" w:cs="Arial"/>
          <w:b/>
          <w:bCs/>
          <w:color w:val="000000" w:themeColor="text1"/>
          <w:lang w:val="es-ES_tradnl"/>
        </w:rPr>
        <w:t xml:space="preserve">2.3. </w:t>
      </w:r>
      <w:r w:rsidRPr="00692CED">
        <w:rPr>
          <w:rFonts w:ascii="Century Gothic" w:hAnsi="Century Gothic" w:cs="Arial"/>
          <w:b/>
          <w:bCs/>
          <w:color w:val="000000" w:themeColor="text1"/>
          <w:lang w:val="es-ES"/>
        </w:rPr>
        <w:t>Régimen de inhabilidades e incompatibilidades para contratar con el Estado</w:t>
      </w:r>
    </w:p>
    <w:p w14:paraId="4A52FA66" w14:textId="77777777" w:rsidR="00B9760A" w:rsidRPr="00692CED" w:rsidRDefault="00B9760A" w:rsidP="00B9760A">
      <w:pPr>
        <w:spacing w:line="276" w:lineRule="auto"/>
        <w:jc w:val="both"/>
        <w:rPr>
          <w:rFonts w:ascii="Century Gothic" w:eastAsia="Calibri" w:hAnsi="Century Gothic" w:cs="Arial"/>
          <w:b/>
          <w:bCs/>
          <w:color w:val="000000" w:themeColor="text1"/>
          <w:lang w:val="es-ES_tradnl"/>
        </w:rPr>
      </w:pPr>
    </w:p>
    <w:p w14:paraId="6C5D029A" w14:textId="77777777" w:rsidR="00B9760A" w:rsidRPr="00692CED" w:rsidRDefault="00B9760A" w:rsidP="00B9760A">
      <w:pPr>
        <w:pStyle w:val="Sinespaciado"/>
        <w:spacing w:after="120" w:line="276" w:lineRule="auto"/>
        <w:jc w:val="both"/>
        <w:rPr>
          <w:rFonts w:ascii="Century Gothic" w:hAnsi="Century Gothic" w:cs="Arial"/>
        </w:rPr>
      </w:pPr>
      <w:r w:rsidRPr="00692CED">
        <w:rPr>
          <w:rFonts w:ascii="Century Gothic" w:hAnsi="Century Gothic" w:cs="Arial"/>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739CF32" w14:textId="77777777" w:rsidR="00B9760A" w:rsidRPr="00692CED" w:rsidRDefault="00B9760A" w:rsidP="00B9760A">
      <w:pPr>
        <w:spacing w:line="276" w:lineRule="auto"/>
        <w:ind w:firstLine="709"/>
        <w:jc w:val="both"/>
        <w:rPr>
          <w:rFonts w:ascii="Century Gothic" w:hAnsi="Century Gothic" w:cs="Arial"/>
        </w:rPr>
      </w:pPr>
      <w:r w:rsidRPr="00692CED">
        <w:rPr>
          <w:rFonts w:ascii="Century Gothic" w:hAnsi="Century Gothic" w:cs="Arial"/>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92CED">
        <w:rPr>
          <w:rStyle w:val="Refdenotaalpie"/>
          <w:rFonts w:ascii="Century Gothic" w:hAnsi="Century Gothic" w:cs="Arial"/>
        </w:rPr>
        <w:footnoteReference w:id="15"/>
      </w:r>
      <w:r w:rsidRPr="00692CED">
        <w:rPr>
          <w:rFonts w:ascii="Century Gothic" w:hAnsi="Century Gothic" w:cs="Arial"/>
        </w:rPr>
        <w:t>.</w:t>
      </w:r>
    </w:p>
    <w:p w14:paraId="0FCE97BF" w14:textId="77777777" w:rsidR="00B9760A" w:rsidRPr="00692CED" w:rsidRDefault="00B9760A" w:rsidP="00B9760A">
      <w:pPr>
        <w:pStyle w:val="Sinespaciado"/>
        <w:spacing w:before="120" w:line="276" w:lineRule="auto"/>
        <w:ind w:firstLine="709"/>
        <w:jc w:val="both"/>
        <w:rPr>
          <w:rFonts w:ascii="Century Gothic" w:hAnsi="Century Gothic" w:cs="Arial"/>
        </w:rPr>
      </w:pPr>
      <w:r w:rsidRPr="00692CED">
        <w:rPr>
          <w:rFonts w:ascii="Century Gothic" w:hAnsi="Century Gothic" w:cs="Arial"/>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03A0210E" w14:textId="77777777" w:rsidR="00B9760A" w:rsidRPr="00692CED" w:rsidRDefault="00B9760A" w:rsidP="00B9760A">
      <w:pPr>
        <w:pStyle w:val="Sinespaciado"/>
        <w:spacing w:line="276" w:lineRule="auto"/>
        <w:jc w:val="both"/>
        <w:rPr>
          <w:rFonts w:ascii="Century Gothic" w:hAnsi="Century Gothic" w:cs="Arial"/>
        </w:rPr>
      </w:pPr>
    </w:p>
    <w:p w14:paraId="3120BF13" w14:textId="77777777" w:rsidR="00B9760A" w:rsidRPr="00692CED" w:rsidRDefault="00B9760A" w:rsidP="00B9760A">
      <w:pPr>
        <w:pStyle w:val="NormalWeb"/>
        <w:shd w:val="clear" w:color="auto" w:fill="FFFFFF"/>
        <w:spacing w:before="0" w:beforeAutospacing="0" w:after="120" w:afterAutospacing="0"/>
        <w:ind w:left="709" w:right="709"/>
        <w:jc w:val="both"/>
        <w:rPr>
          <w:rFonts w:ascii="Century Gothic" w:eastAsiaTheme="minorHAnsi" w:hAnsi="Century Gothic" w:cs="Arial"/>
          <w:sz w:val="21"/>
          <w:szCs w:val="21"/>
          <w:lang w:val="es-ES" w:eastAsia="en-US"/>
        </w:rPr>
      </w:pPr>
      <w:r w:rsidRPr="00692CED">
        <w:rPr>
          <w:rFonts w:ascii="Century Gothic" w:eastAsiaTheme="minorHAnsi" w:hAnsi="Century Gothic"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504EFD17" w14:textId="77777777" w:rsidR="00B9760A" w:rsidRPr="00692CED" w:rsidRDefault="00B9760A" w:rsidP="00B9760A">
      <w:pPr>
        <w:pStyle w:val="NormalWeb"/>
        <w:shd w:val="clear" w:color="auto" w:fill="FFFFFF"/>
        <w:spacing w:before="0" w:beforeAutospacing="0" w:after="0" w:afterAutospacing="0"/>
        <w:ind w:left="709" w:right="709"/>
        <w:jc w:val="both"/>
        <w:rPr>
          <w:rFonts w:ascii="Century Gothic" w:eastAsiaTheme="minorHAnsi" w:hAnsi="Century Gothic" w:cs="Arial"/>
          <w:sz w:val="21"/>
          <w:szCs w:val="21"/>
          <w:lang w:val="es-ES" w:eastAsia="en-US"/>
        </w:rPr>
      </w:pPr>
      <w:r w:rsidRPr="00692CED">
        <w:rPr>
          <w:rFonts w:ascii="Century Gothic" w:eastAsiaTheme="minorHAnsi" w:hAnsi="Century Gothic" w:cs="Arial"/>
          <w:sz w:val="21"/>
          <w:szCs w:val="21"/>
          <w:lang w:val="es-ES" w:eastAsia="en-U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w:t>
      </w:r>
      <w:r w:rsidRPr="00692CED">
        <w:rPr>
          <w:rFonts w:ascii="Century Gothic" w:eastAsiaTheme="minorHAnsi" w:hAnsi="Century Gothic" w:cs="Arial"/>
          <w:sz w:val="21"/>
          <w:szCs w:val="21"/>
          <w:lang w:val="es-ES" w:eastAsia="en-US"/>
        </w:rPr>
        <w:lastRenderedPageBreak/>
        <w:t>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692CED">
        <w:rPr>
          <w:rStyle w:val="Refdenotaalpie"/>
          <w:rFonts w:ascii="Century Gothic" w:eastAsiaTheme="minorHAnsi" w:hAnsi="Century Gothic" w:cs="Arial"/>
          <w:sz w:val="21"/>
          <w:szCs w:val="21"/>
          <w:lang w:val="es-ES" w:eastAsia="en-US"/>
        </w:rPr>
        <w:footnoteReference w:id="16"/>
      </w:r>
      <w:r w:rsidRPr="00692CED">
        <w:rPr>
          <w:rFonts w:ascii="Century Gothic" w:eastAsiaTheme="minorHAnsi" w:hAnsi="Century Gothic" w:cs="Arial"/>
          <w:sz w:val="21"/>
          <w:szCs w:val="21"/>
          <w:lang w:val="es-ES" w:eastAsia="en-US"/>
        </w:rPr>
        <w:t>.</w:t>
      </w:r>
    </w:p>
    <w:p w14:paraId="0150363F" w14:textId="77777777" w:rsidR="00B9760A" w:rsidRPr="00692CED" w:rsidRDefault="00B9760A" w:rsidP="00B9760A">
      <w:pPr>
        <w:pStyle w:val="NormalWeb"/>
        <w:shd w:val="clear" w:color="auto" w:fill="FFFFFF"/>
        <w:spacing w:before="0" w:beforeAutospacing="0" w:after="0" w:afterAutospacing="0" w:line="276" w:lineRule="auto"/>
        <w:ind w:left="709" w:right="709"/>
        <w:jc w:val="both"/>
        <w:rPr>
          <w:rFonts w:ascii="Century Gothic" w:eastAsiaTheme="minorHAnsi" w:hAnsi="Century Gothic" w:cs="Arial"/>
          <w:sz w:val="22"/>
          <w:szCs w:val="22"/>
          <w:lang w:val="es-ES" w:eastAsia="en-US"/>
        </w:rPr>
      </w:pPr>
    </w:p>
    <w:p w14:paraId="7D3DCF06" w14:textId="77777777" w:rsidR="00B9760A" w:rsidRPr="00692CED" w:rsidRDefault="00B9760A" w:rsidP="00B9760A">
      <w:pPr>
        <w:pStyle w:val="Sinespaciado"/>
        <w:spacing w:line="276" w:lineRule="auto"/>
        <w:ind w:firstLine="709"/>
        <w:jc w:val="both"/>
        <w:rPr>
          <w:rFonts w:ascii="Century Gothic" w:hAnsi="Century Gothic" w:cs="Arial"/>
        </w:rPr>
      </w:pPr>
      <w:r w:rsidRPr="00692CED">
        <w:rPr>
          <w:rFonts w:ascii="Century Gothic" w:hAnsi="Century Gothic" w:cs="Arial"/>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473C059A" w14:textId="77777777" w:rsidR="00B9760A" w:rsidRPr="00692CED" w:rsidRDefault="00B9760A" w:rsidP="00B9760A">
      <w:pPr>
        <w:pStyle w:val="Sinespaciado"/>
        <w:spacing w:line="276" w:lineRule="auto"/>
        <w:ind w:firstLine="709"/>
        <w:jc w:val="both"/>
        <w:rPr>
          <w:rFonts w:ascii="Century Gothic" w:hAnsi="Century Gothic" w:cs="Arial"/>
        </w:rPr>
      </w:pPr>
    </w:p>
    <w:p w14:paraId="64AFC407" w14:textId="77777777" w:rsidR="00B9760A" w:rsidRPr="00692CED" w:rsidRDefault="00B9760A" w:rsidP="00B9760A">
      <w:pPr>
        <w:ind w:left="709" w:right="709"/>
        <w:jc w:val="both"/>
        <w:rPr>
          <w:rFonts w:ascii="Century Gothic" w:hAnsi="Century Gothic" w:cs="Arial"/>
          <w:sz w:val="21"/>
          <w:szCs w:val="21"/>
        </w:rPr>
      </w:pPr>
      <w:r w:rsidRPr="00692CED">
        <w:rPr>
          <w:rFonts w:ascii="Century Gothic" w:hAnsi="Century Gothic"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46002DA3" w14:textId="77777777" w:rsidR="00B9760A" w:rsidRPr="00692CED" w:rsidRDefault="00B9760A" w:rsidP="00B9760A">
      <w:pPr>
        <w:ind w:left="709" w:right="709"/>
        <w:jc w:val="both"/>
        <w:rPr>
          <w:rFonts w:ascii="Century Gothic" w:hAnsi="Century Gothic" w:cs="Arial"/>
          <w:sz w:val="21"/>
          <w:szCs w:val="21"/>
        </w:rPr>
      </w:pPr>
      <w:r w:rsidRPr="00692CED">
        <w:rPr>
          <w:rFonts w:ascii="Century Gothic" w:hAnsi="Century Gothic" w:cs="Arial"/>
          <w:sz w:val="21"/>
          <w:szCs w:val="21"/>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w:t>
      </w:r>
      <w:r w:rsidRPr="00692CED">
        <w:rPr>
          <w:rFonts w:ascii="Century Gothic" w:hAnsi="Century Gothic" w:cs="Arial"/>
          <w:sz w:val="21"/>
          <w:szCs w:val="21"/>
        </w:rPr>
        <w:lastRenderedPageBreak/>
        <w:t>reconocimiento de la personalidad jurídica de las personas que resultan rechazadas del ámbito contractual del Estado”</w:t>
      </w:r>
      <w:r w:rsidRPr="00692CED">
        <w:rPr>
          <w:rStyle w:val="Refdenotaalpie"/>
          <w:rFonts w:ascii="Century Gothic" w:hAnsi="Century Gothic" w:cs="Arial"/>
          <w:sz w:val="21"/>
          <w:szCs w:val="21"/>
        </w:rPr>
        <w:footnoteReference w:id="17"/>
      </w:r>
      <w:r w:rsidRPr="00692CED">
        <w:rPr>
          <w:rFonts w:ascii="Century Gothic" w:hAnsi="Century Gothic" w:cs="Arial"/>
          <w:sz w:val="21"/>
          <w:szCs w:val="21"/>
        </w:rPr>
        <w:t>.</w:t>
      </w:r>
    </w:p>
    <w:p w14:paraId="0FE3B20A" w14:textId="77777777" w:rsidR="00B9760A" w:rsidRPr="00692CED" w:rsidRDefault="00B9760A" w:rsidP="00B9760A">
      <w:pPr>
        <w:spacing w:line="276" w:lineRule="auto"/>
        <w:ind w:right="709"/>
        <w:jc w:val="both"/>
        <w:rPr>
          <w:rFonts w:ascii="Century Gothic" w:hAnsi="Century Gothic" w:cs="Arial"/>
        </w:rPr>
      </w:pPr>
    </w:p>
    <w:p w14:paraId="2D31EBB9" w14:textId="77777777" w:rsidR="00B9760A" w:rsidRPr="00692CED" w:rsidRDefault="00B9760A" w:rsidP="00B9760A">
      <w:pPr>
        <w:spacing w:line="276" w:lineRule="auto"/>
        <w:ind w:firstLine="709"/>
        <w:jc w:val="both"/>
        <w:rPr>
          <w:rFonts w:ascii="Century Gothic" w:hAnsi="Century Gothic" w:cs="Arial"/>
        </w:rPr>
      </w:pPr>
      <w:r w:rsidRPr="00692CED">
        <w:rPr>
          <w:rFonts w:ascii="Century Gothic" w:hAnsi="Century Gothic"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6F2CD39F" w14:textId="77777777" w:rsidR="00B9760A" w:rsidRPr="00692CED" w:rsidRDefault="00B9760A" w:rsidP="00B9760A">
      <w:pPr>
        <w:pStyle w:val="Sinespaciado"/>
        <w:tabs>
          <w:tab w:val="left" w:pos="1532"/>
        </w:tabs>
        <w:spacing w:line="276" w:lineRule="auto"/>
        <w:jc w:val="both"/>
        <w:rPr>
          <w:rFonts w:ascii="Century Gothic" w:hAnsi="Century Gothic" w:cs="Arial"/>
        </w:rPr>
      </w:pPr>
    </w:p>
    <w:p w14:paraId="25BF7C8A" w14:textId="77777777" w:rsidR="00B9760A" w:rsidRPr="00692CED" w:rsidRDefault="00B9760A" w:rsidP="00B9760A">
      <w:pPr>
        <w:ind w:left="709" w:right="709"/>
        <w:jc w:val="both"/>
        <w:rPr>
          <w:rFonts w:ascii="Century Gothic" w:hAnsi="Century Gothic" w:cs="Arial"/>
          <w:sz w:val="21"/>
          <w:szCs w:val="21"/>
        </w:rPr>
      </w:pPr>
      <w:r w:rsidRPr="00692CED">
        <w:rPr>
          <w:rFonts w:ascii="Century Gothic" w:hAnsi="Century Gothic"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692CED">
        <w:rPr>
          <w:rFonts w:ascii="Century Gothic" w:hAnsi="Century Gothic" w:cs="Arial"/>
          <w:i/>
          <w:iCs/>
          <w:sz w:val="21"/>
          <w:szCs w:val="21"/>
        </w:rPr>
        <w:t xml:space="preserve">pro </w:t>
      </w:r>
      <w:proofErr w:type="spellStart"/>
      <w:r w:rsidRPr="00692CED">
        <w:rPr>
          <w:rFonts w:ascii="Century Gothic" w:hAnsi="Century Gothic" w:cs="Arial"/>
          <w:i/>
          <w:iCs/>
          <w:sz w:val="21"/>
          <w:szCs w:val="21"/>
        </w:rPr>
        <w:t>libertate</w:t>
      </w:r>
      <w:proofErr w:type="spellEnd"/>
      <w:r w:rsidRPr="00692CED">
        <w:rPr>
          <w:rFonts w:ascii="Century Gothic" w:hAnsi="Century Gothic" w:cs="Arial"/>
          <w:sz w:val="21"/>
          <w:szCs w:val="21"/>
        </w:rPr>
        <w:t xml:space="preserve">, sino el de legalidad, el que ordena que la función pública debe someterse estrictamente a lo que disponga la Constitución y la ley (CP art. 6). </w:t>
      </w:r>
    </w:p>
    <w:p w14:paraId="3E1984B0" w14:textId="77777777" w:rsidR="00B9760A" w:rsidRPr="00692CED" w:rsidRDefault="00B9760A" w:rsidP="00B9760A">
      <w:pPr>
        <w:spacing w:after="120"/>
        <w:ind w:left="709" w:right="709"/>
        <w:jc w:val="both"/>
        <w:rPr>
          <w:rFonts w:ascii="Century Gothic" w:hAnsi="Century Gothic" w:cs="Arial"/>
          <w:sz w:val="21"/>
          <w:szCs w:val="21"/>
        </w:rPr>
      </w:pPr>
      <w:r w:rsidRPr="00692CED">
        <w:rPr>
          <w:rFonts w:ascii="Century Gothic" w:hAnsi="Century Gothic" w:cs="Arial"/>
          <w:sz w:val="21"/>
          <w:szCs w:val="21"/>
        </w:rPr>
        <w:t xml:space="preserve">[…] </w:t>
      </w:r>
    </w:p>
    <w:p w14:paraId="74042382" w14:textId="77777777" w:rsidR="00B9760A" w:rsidRPr="00692CED" w:rsidRDefault="00B9760A" w:rsidP="00B9760A">
      <w:pPr>
        <w:ind w:left="709" w:right="709"/>
        <w:jc w:val="both"/>
        <w:rPr>
          <w:rFonts w:ascii="Century Gothic" w:hAnsi="Century Gothic" w:cs="Arial"/>
          <w:sz w:val="21"/>
          <w:szCs w:val="21"/>
        </w:rPr>
      </w:pPr>
      <w:r w:rsidRPr="00692CED">
        <w:rPr>
          <w:rFonts w:ascii="Century Gothic" w:hAnsi="Century Gothic"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692CED">
        <w:rPr>
          <w:rStyle w:val="Refdenotaalpie"/>
          <w:rFonts w:ascii="Century Gothic" w:hAnsi="Century Gothic" w:cs="Arial"/>
          <w:sz w:val="21"/>
          <w:szCs w:val="21"/>
        </w:rPr>
        <w:footnoteReference w:id="18"/>
      </w:r>
      <w:r w:rsidRPr="00692CED">
        <w:rPr>
          <w:rFonts w:ascii="Century Gothic" w:hAnsi="Century Gothic" w:cs="Arial"/>
          <w:sz w:val="21"/>
          <w:szCs w:val="21"/>
        </w:rPr>
        <w:t>.</w:t>
      </w:r>
    </w:p>
    <w:p w14:paraId="5DD32EAE" w14:textId="77777777" w:rsidR="00B9760A" w:rsidRPr="00692CED" w:rsidRDefault="00B9760A" w:rsidP="00B9760A">
      <w:pPr>
        <w:spacing w:line="276" w:lineRule="auto"/>
        <w:ind w:left="709" w:right="709"/>
        <w:jc w:val="both"/>
        <w:rPr>
          <w:rFonts w:ascii="Century Gothic" w:hAnsi="Century Gothic" w:cs="Arial"/>
        </w:rPr>
      </w:pPr>
    </w:p>
    <w:p w14:paraId="09B2BE2D" w14:textId="77777777" w:rsidR="00B9760A" w:rsidRPr="00692CED" w:rsidRDefault="00B9760A" w:rsidP="00B9760A">
      <w:pPr>
        <w:spacing w:line="276" w:lineRule="auto"/>
        <w:ind w:firstLine="709"/>
        <w:jc w:val="both"/>
        <w:rPr>
          <w:rFonts w:ascii="Century Gothic" w:hAnsi="Century Gothic" w:cs="Arial"/>
        </w:rPr>
      </w:pPr>
      <w:r w:rsidRPr="00692CED">
        <w:rPr>
          <w:rFonts w:ascii="Century Gothic" w:hAnsi="Century Gothic" w:cs="Arial"/>
        </w:rPr>
        <w:t xml:space="preserve">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w:t>
      </w:r>
      <w:r w:rsidRPr="00692CED">
        <w:rPr>
          <w:rFonts w:ascii="Century Gothic" w:hAnsi="Century Gothic" w:cs="Arial"/>
        </w:rPr>
        <w:lastRenderedPageBreak/>
        <w:t>sancionatorio, sino de condiciones propias de la persona y garantizan la moralidad, la imparcialidad, la eficacia y la transparencia</w:t>
      </w:r>
      <w:r w:rsidRPr="00692CED">
        <w:rPr>
          <w:rStyle w:val="Refdenotaalpie"/>
          <w:rFonts w:ascii="Century Gothic" w:hAnsi="Century Gothic" w:cs="Arial"/>
        </w:rPr>
        <w:footnoteReference w:id="19"/>
      </w:r>
      <w:r w:rsidRPr="00692CED">
        <w:rPr>
          <w:rFonts w:ascii="Century Gothic" w:hAnsi="Century Gothic" w:cs="Arial"/>
        </w:rPr>
        <w:t>.</w:t>
      </w:r>
    </w:p>
    <w:p w14:paraId="29368C95" w14:textId="77777777" w:rsidR="00B9760A" w:rsidRPr="00692CED" w:rsidRDefault="00B9760A" w:rsidP="00B9760A">
      <w:pPr>
        <w:spacing w:before="120" w:after="120" w:line="276" w:lineRule="auto"/>
        <w:ind w:firstLine="709"/>
        <w:jc w:val="both"/>
        <w:rPr>
          <w:rFonts w:ascii="Century Gothic" w:hAnsi="Century Gothic" w:cs="Arial"/>
        </w:rPr>
      </w:pPr>
      <w:r w:rsidRPr="00692CED">
        <w:rPr>
          <w:rFonts w:ascii="Century Gothic" w:hAnsi="Century Gothic" w:cs="Arial"/>
        </w:rPr>
        <w:t>A manera de ejemplo, en materia contractual, los literales c), d) y j) del numeral 1 del artículo 8 de la Ley 80 de 1993</w:t>
      </w:r>
      <w:r w:rsidRPr="00692CED">
        <w:rPr>
          <w:rStyle w:val="Refdenotaalpie"/>
          <w:rFonts w:ascii="Century Gothic" w:hAnsi="Century Gothic" w:cs="Arial"/>
        </w:rPr>
        <w:footnoteReference w:id="20"/>
      </w:r>
      <w:r w:rsidRPr="00692CED">
        <w:rPr>
          <w:rFonts w:ascii="Century Gothic" w:hAnsi="Century Gothic" w:cs="Arial"/>
        </w:rPr>
        <w:t xml:space="preserve"> establecen inhabilidades-</w:t>
      </w:r>
      <w:r w:rsidRPr="00692CED">
        <w:rPr>
          <w:rFonts w:ascii="Century Gothic" w:hAnsi="Century Gothic" w:cs="Arial"/>
        </w:rPr>
        <w:lastRenderedPageBreak/>
        <w:t xml:space="preserve">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w:t>
      </w:r>
      <w:r w:rsidRPr="00692CED">
        <w:rPr>
          <w:rFonts w:ascii="Century Gothic" w:hAnsi="Century Gothic" w:cs="Arial"/>
        </w:rPr>
        <w:lastRenderedPageBreak/>
        <w:t xml:space="preserve">persona, derivados, por ejemplo, del parentesco o la afinidad o de la condición de servidor público. </w:t>
      </w:r>
      <w:bookmarkStart w:id="15" w:name="_Hlk40976328"/>
      <w:r w:rsidRPr="00692CED">
        <w:rPr>
          <w:rFonts w:ascii="Century Gothic" w:hAnsi="Century Gothic"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15"/>
    </w:p>
    <w:p w14:paraId="2CBBE781" w14:textId="77777777" w:rsidR="00B9760A" w:rsidRPr="00692CED" w:rsidRDefault="00B9760A" w:rsidP="00B9760A">
      <w:pPr>
        <w:spacing w:after="120" w:line="276" w:lineRule="auto"/>
        <w:ind w:firstLine="708"/>
        <w:jc w:val="both"/>
        <w:rPr>
          <w:rFonts w:ascii="Century Gothic" w:eastAsia="Calibri" w:hAnsi="Century Gothic" w:cs="Arial"/>
          <w:lang w:val="es-ES_tradnl"/>
        </w:rPr>
      </w:pPr>
      <w:r w:rsidRPr="00692CED">
        <w:rPr>
          <w:rFonts w:ascii="Century Gothic" w:eastAsia="Calibri" w:hAnsi="Century Gothic" w:cs="Arial"/>
          <w:i/>
          <w:iCs/>
          <w:lang w:val="es-ES_tradnl"/>
        </w:rPr>
        <w:t>Igualmente</w:t>
      </w:r>
      <w:r w:rsidRPr="00692CED">
        <w:rPr>
          <w:rFonts w:ascii="Century Gothic" w:eastAsia="Calibri" w:hAnsi="Century Gothic" w:cs="Arial"/>
          <w:lang w:val="es-ES_tradnl"/>
        </w:rPr>
        <w:t xml:space="preserve">, </w:t>
      </w:r>
      <w:bookmarkStart w:id="16" w:name="_Hlk135133412"/>
      <w:r w:rsidRPr="00692CED">
        <w:rPr>
          <w:rFonts w:ascii="Century Gothic" w:eastAsia="Calibri" w:hAnsi="Century Gothic" w:cs="Arial"/>
          <w:lang w:val="es-ES_tradnl"/>
        </w:rPr>
        <w:t xml:space="preserve">en la contratación estatal, la </w:t>
      </w:r>
      <w:r w:rsidRPr="00692CED">
        <w:rPr>
          <w:rFonts w:ascii="Century Gothic" w:eastAsia="Calibri" w:hAnsi="Century Gothic" w:cs="Arial"/>
          <w:i/>
          <w:iCs/>
          <w:lang w:val="es-ES_tradnl"/>
        </w:rPr>
        <w:t>capacidad</w:t>
      </w:r>
      <w:r w:rsidRPr="00692CED">
        <w:rPr>
          <w:rFonts w:ascii="Century Gothic" w:eastAsia="Calibri" w:hAnsi="Century Gothic" w:cs="Arial"/>
          <w:lang w:val="es-ES_tradnl"/>
        </w:rPr>
        <w:t xml:space="preserve"> también es un requisito de validez de los contratos, tanto en el régimen de las entidades sujetas al Estatuto General de Contratación de la Administración Pública</w:t>
      </w:r>
      <w:r w:rsidRPr="00692CED">
        <w:rPr>
          <w:rStyle w:val="Refdenotaalpie"/>
          <w:rFonts w:ascii="Century Gothic" w:eastAsia="Calibri" w:hAnsi="Century Gothic" w:cs="Arial"/>
          <w:lang w:val="es-ES_tradnl"/>
        </w:rPr>
        <w:footnoteReference w:id="21"/>
      </w:r>
      <w:r w:rsidRPr="00692CED">
        <w:rPr>
          <w:rFonts w:ascii="Century Gothic" w:eastAsia="Calibri" w:hAnsi="Century Gothic" w:cs="Arial"/>
          <w:lang w:val="es-ES_tradnl"/>
        </w:rPr>
        <w:t xml:space="preserve"> como en el de las entidades exceptuadas de aquel</w:t>
      </w:r>
      <w:r w:rsidRPr="00692CED">
        <w:rPr>
          <w:rStyle w:val="Refdenotaalpie"/>
          <w:rFonts w:ascii="Century Gothic" w:eastAsia="Calibri" w:hAnsi="Century Gothic" w:cs="Arial"/>
          <w:lang w:val="es-ES_tradnl"/>
        </w:rPr>
        <w:footnoteReference w:id="22"/>
      </w:r>
      <w:r w:rsidRPr="00692CED">
        <w:rPr>
          <w:rFonts w:ascii="Century Gothic" w:eastAsia="Calibri" w:hAnsi="Century Gothic"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692CED">
        <w:rPr>
          <w:rStyle w:val="Refdenotaalpie"/>
          <w:rFonts w:ascii="Century Gothic" w:eastAsia="Calibri" w:hAnsi="Century Gothic" w:cs="Arial"/>
          <w:lang w:val="es-ES_tradnl"/>
        </w:rPr>
        <w:footnoteReference w:id="23"/>
      </w:r>
      <w:r w:rsidRPr="00692CED">
        <w:rPr>
          <w:rFonts w:ascii="Century Gothic" w:eastAsia="Calibri" w:hAnsi="Century Gothic" w:cs="Arial"/>
          <w:lang w:val="es-ES_tradnl"/>
        </w:rPr>
        <w:t xml:space="preserve">–, se destaca el </w:t>
      </w:r>
      <w:r w:rsidRPr="00692CED">
        <w:rPr>
          <w:rFonts w:ascii="Century Gothic" w:eastAsia="Calibri" w:hAnsi="Century Gothic" w:cs="Arial"/>
          <w:lang w:val="es-ES_tradnl"/>
        </w:rPr>
        <w:lastRenderedPageBreak/>
        <w:t>régimen de inhabilidades e incompatibilidades como un conjunto de normas que imponen restricciones para los sujetos que, eventualmente, pretendan participar en los procedimientos de selección o celebrar contratos con las entidades estatales</w:t>
      </w:r>
      <w:r w:rsidRPr="00692CED">
        <w:rPr>
          <w:rStyle w:val="Refdenotaalpie"/>
          <w:rFonts w:ascii="Century Gothic" w:eastAsia="Calibri" w:hAnsi="Century Gothic" w:cs="Arial"/>
          <w:lang w:val="es-ES_tradnl"/>
        </w:rPr>
        <w:footnoteReference w:id="24"/>
      </w:r>
      <w:r w:rsidRPr="00692CED">
        <w:rPr>
          <w:rFonts w:ascii="Century Gothic" w:eastAsia="Calibri" w:hAnsi="Century Gothic" w:cs="Arial"/>
          <w:lang w:val="es-ES_tradnl"/>
        </w:rPr>
        <w:t>.</w:t>
      </w:r>
    </w:p>
    <w:p w14:paraId="3FACFC41" w14:textId="77777777" w:rsidR="00B9760A" w:rsidRPr="00692CED" w:rsidRDefault="00B9760A" w:rsidP="00B9760A">
      <w:pPr>
        <w:spacing w:after="120" w:line="276" w:lineRule="auto"/>
        <w:ind w:firstLine="709"/>
        <w:jc w:val="both"/>
        <w:rPr>
          <w:rFonts w:ascii="Century Gothic" w:eastAsia="Calibri" w:hAnsi="Century Gothic" w:cs="Arial"/>
          <w:lang w:val="es-ES_tradnl"/>
        </w:rPr>
      </w:pPr>
      <w:r w:rsidRPr="00692CED">
        <w:rPr>
          <w:rFonts w:ascii="Century Gothic" w:eastAsia="Calibri" w:hAnsi="Century Gothic" w:cs="Arial"/>
          <w:lang w:val="es-ES_tradnl"/>
        </w:rPr>
        <w:t>Las inhabilidades son prohibiciones para concurrir a los procedimientos de selección y para contratar con el Estado, que se derivan: i) de la existencia de comportamientos reprochables o de sanciones anteriormente impuestas</w:t>
      </w:r>
      <w:r w:rsidRPr="00692CED">
        <w:rPr>
          <w:rStyle w:val="Refdenotaalpie"/>
          <w:rFonts w:ascii="Century Gothic" w:eastAsia="Calibri" w:hAnsi="Century Gothic" w:cs="Arial"/>
          <w:lang w:val="es-ES_tradnl"/>
        </w:rPr>
        <w:footnoteReference w:id="25"/>
      </w:r>
      <w:r w:rsidRPr="00692CED">
        <w:rPr>
          <w:rFonts w:ascii="Century Gothic" w:eastAsia="Calibri" w:hAnsi="Century Gothic" w:cs="Arial"/>
          <w:lang w:val="es-ES_tradnl"/>
        </w:rPr>
        <w:t>, ii) de vínculos personales relativos al parentesco o al estado civil</w:t>
      </w:r>
      <w:r w:rsidRPr="00692CED">
        <w:rPr>
          <w:rStyle w:val="Refdenotaalpie"/>
          <w:rFonts w:ascii="Century Gothic" w:eastAsia="Calibri" w:hAnsi="Century Gothic" w:cs="Arial"/>
          <w:lang w:val="es-ES_tradnl"/>
        </w:rPr>
        <w:footnoteReference w:id="26"/>
      </w:r>
      <w:r w:rsidRPr="00692CED">
        <w:rPr>
          <w:rFonts w:ascii="Century Gothic" w:eastAsia="Calibri" w:hAnsi="Century Gothic" w:cs="Arial"/>
          <w:lang w:val="es-ES_tradnl"/>
        </w:rPr>
        <w:t xml:space="preserve"> o iii) de una actividad u oficio que se desempeñó en el </w:t>
      </w:r>
      <w:r w:rsidRPr="00692CED">
        <w:rPr>
          <w:rFonts w:ascii="Century Gothic" w:eastAsia="Calibri" w:hAnsi="Century Gothic" w:cs="Arial"/>
          <w:lang w:val="es-ES_tradnl"/>
        </w:rPr>
        <w:lastRenderedPageBreak/>
        <w:t>pasado</w:t>
      </w:r>
      <w:r w:rsidRPr="00692CED">
        <w:rPr>
          <w:rStyle w:val="Refdenotaalpie"/>
          <w:rFonts w:ascii="Century Gothic" w:eastAsia="Calibri" w:hAnsi="Century Gothic" w:cs="Arial"/>
          <w:lang w:val="es-ES_tradnl"/>
        </w:rPr>
        <w:footnoteReference w:id="27"/>
      </w:r>
      <w:r w:rsidRPr="00692CED">
        <w:rPr>
          <w:rFonts w:ascii="Century Gothic" w:eastAsia="Calibri" w:hAnsi="Century Gothic"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692CED">
        <w:rPr>
          <w:rStyle w:val="Refdenotaalpie"/>
          <w:rFonts w:ascii="Century Gothic" w:eastAsia="Calibri" w:hAnsi="Century Gothic" w:cs="Arial"/>
          <w:lang w:val="es-ES_tradnl"/>
        </w:rPr>
        <w:footnoteReference w:id="28"/>
      </w:r>
      <w:r w:rsidRPr="00692CED">
        <w:rPr>
          <w:rFonts w:ascii="Century Gothic" w:eastAsia="Calibri" w:hAnsi="Century Gothic" w:cs="Arial"/>
          <w:lang w:val="es-ES_tradnl"/>
        </w:rPr>
        <w:t xml:space="preserve">. En todo caso, a pesar de la existencia de distintos </w:t>
      </w:r>
      <w:r w:rsidRPr="00692CED">
        <w:rPr>
          <w:rFonts w:ascii="Century Gothic" w:eastAsia="Calibri" w:hAnsi="Century Gothic" w:cs="Arial"/>
          <w:lang w:val="es-ES_tradnl"/>
        </w:rPr>
        <w:lastRenderedPageBreak/>
        <w:t>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692CED">
        <w:rPr>
          <w:rStyle w:val="Refdenotaalpie"/>
          <w:rFonts w:ascii="Century Gothic" w:eastAsia="Calibri" w:hAnsi="Century Gothic" w:cs="Arial"/>
          <w:lang w:val="es-ES_tradnl"/>
        </w:rPr>
        <w:footnoteReference w:id="29"/>
      </w:r>
      <w:r w:rsidRPr="00692CED">
        <w:rPr>
          <w:rFonts w:ascii="Century Gothic" w:eastAsia="Calibri" w:hAnsi="Century Gothic" w:cs="Arial"/>
          <w:lang w:val="es-ES_tradnl"/>
        </w:rPr>
        <w:t>.</w:t>
      </w:r>
    </w:p>
    <w:bookmarkEnd w:id="16"/>
    <w:p w14:paraId="6A5632E3" w14:textId="77777777" w:rsidR="00B9760A" w:rsidRPr="00692CED" w:rsidRDefault="00B9760A" w:rsidP="00B9760A">
      <w:pPr>
        <w:spacing w:before="120" w:after="120" w:line="276" w:lineRule="auto"/>
        <w:ind w:firstLine="709"/>
        <w:jc w:val="both"/>
        <w:rPr>
          <w:rFonts w:ascii="Century Gothic" w:eastAsia="Calibri" w:hAnsi="Century Gothic" w:cs="Arial"/>
          <w:lang w:val="es-ES_tradnl"/>
        </w:rPr>
      </w:pPr>
      <w:r w:rsidRPr="00692CED">
        <w:rPr>
          <w:rFonts w:ascii="Century Gothic" w:eastAsia="Calibri" w:hAnsi="Century Gothic" w:cs="Arial"/>
          <w:lang w:val="es-ES_tradn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692CED">
        <w:rPr>
          <w:rFonts w:ascii="Century Gothic" w:eastAsia="Calibri" w:hAnsi="Century Gothic" w:cs="Arial"/>
          <w:lang w:val="es-ES_tradnl"/>
        </w:rPr>
        <w:t>neopunitiva</w:t>
      </w:r>
      <w:proofErr w:type="spellEnd"/>
      <w:r w:rsidRPr="00692CED">
        <w:rPr>
          <w:rFonts w:ascii="Century Gothic" w:eastAsia="Calibri" w:hAnsi="Century Gothic" w:cs="Arial"/>
          <w:lang w:val="es-ES_tradnl"/>
        </w:rPr>
        <w:t>”</w:t>
      </w:r>
      <w:r w:rsidRPr="00692CED">
        <w:rPr>
          <w:rStyle w:val="Refdenotaalpie"/>
          <w:rFonts w:ascii="Century Gothic" w:eastAsia="Calibri" w:hAnsi="Century Gothic" w:cs="Arial"/>
          <w:lang w:val="es-ES_tradnl"/>
        </w:rPr>
        <w:footnoteReference w:id="30"/>
      </w:r>
      <w:r w:rsidRPr="00692CED">
        <w:rPr>
          <w:rFonts w:ascii="Century Gothic" w:eastAsia="Calibri" w:hAnsi="Century Gothic" w:cs="Arial"/>
          <w:lang w:val="es-ES_tradnl"/>
        </w:rPr>
        <w:t xml:space="preserve">. Si bien no todas las causales de inhabilidad y de incompatibilidad son consecuencia de una medida de reproche ni de una sanción previa, como ya se explicó, es indiscutible que en los años más </w:t>
      </w:r>
      <w:r w:rsidRPr="00692CED">
        <w:rPr>
          <w:rFonts w:ascii="Century Gothic" w:eastAsia="Calibri" w:hAnsi="Century Gothic" w:cs="Arial"/>
          <w:lang w:val="es-ES_tradnl"/>
        </w:rPr>
        <w:lastRenderedPageBreak/>
        <w:t>recientes los lamentables hechos de corrupción han generado, como respuesta del legislador, un incremento de las restricciones a la capacidad contractual, dirigidas a prevenir este tipo de situaciones o a sancionar tales conductas.</w:t>
      </w:r>
    </w:p>
    <w:p w14:paraId="07EB102D" w14:textId="77777777" w:rsidR="00B9760A" w:rsidRPr="00692CED" w:rsidRDefault="00B9760A" w:rsidP="00B9760A">
      <w:pPr>
        <w:spacing w:before="120" w:after="120" w:line="276" w:lineRule="auto"/>
        <w:ind w:firstLine="709"/>
        <w:jc w:val="both"/>
        <w:rPr>
          <w:rFonts w:ascii="Century Gothic" w:eastAsia="Calibri" w:hAnsi="Century Gothic" w:cs="Arial"/>
          <w:lang w:val="es-ES_tradnl"/>
        </w:rPr>
      </w:pPr>
      <w:r w:rsidRPr="00692CED">
        <w:rPr>
          <w:rFonts w:ascii="Century Gothic" w:eastAsia="Calibri" w:hAnsi="Century Gothic"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692CED">
        <w:rPr>
          <w:rFonts w:ascii="Century Gothic" w:eastAsia="Calibri" w:hAnsi="Century Gothic" w:cs="Arial"/>
          <w:i/>
          <w:iCs/>
          <w:lang w:val="es-ES_tradnl"/>
        </w:rPr>
        <w:t>restrictiva</w:t>
      </w:r>
      <w:r w:rsidRPr="00692CED">
        <w:rPr>
          <w:rStyle w:val="Refdenotaalpie"/>
          <w:rFonts w:ascii="Century Gothic" w:eastAsia="Calibri" w:hAnsi="Century Gothic" w:cs="Arial"/>
          <w:i/>
          <w:iCs/>
          <w:lang w:val="es-ES_tradnl"/>
        </w:rPr>
        <w:footnoteReference w:id="31"/>
      </w:r>
      <w:r w:rsidRPr="00692CED">
        <w:rPr>
          <w:rFonts w:ascii="Century Gothic" w:eastAsia="Calibri" w:hAnsi="Century Gothic" w:cs="Arial"/>
          <w:i/>
          <w:iCs/>
          <w:lang w:val="es-ES_tradnl"/>
        </w:rPr>
        <w:t xml:space="preserve">, </w:t>
      </w:r>
      <w:r w:rsidRPr="00692CED">
        <w:rPr>
          <w:rFonts w:ascii="Century Gothic" w:eastAsia="Calibri" w:hAnsi="Century Gothic"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5FD83C6D" w14:textId="77777777" w:rsidR="00B9760A" w:rsidRPr="00692CED" w:rsidRDefault="00B9760A" w:rsidP="00B9760A">
      <w:pPr>
        <w:spacing w:line="276" w:lineRule="auto"/>
        <w:ind w:firstLine="709"/>
        <w:jc w:val="both"/>
        <w:rPr>
          <w:rFonts w:ascii="Century Gothic" w:eastAsia="Calibri" w:hAnsi="Century Gothic" w:cs="Arial"/>
          <w:lang w:val="es-ES_tradnl"/>
        </w:rPr>
      </w:pPr>
      <w:r w:rsidRPr="00692CED">
        <w:rPr>
          <w:rFonts w:ascii="Century Gothic" w:eastAsia="Calibri" w:hAnsi="Century Gothic" w:cs="Arial"/>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692CED">
        <w:rPr>
          <w:rStyle w:val="Refdenotaalpie"/>
          <w:rFonts w:ascii="Century Gothic" w:eastAsia="Calibri" w:hAnsi="Century Gothic" w:cs="Arial"/>
          <w:lang w:val="es-ES_tradnl"/>
        </w:rPr>
        <w:footnoteReference w:id="32"/>
      </w:r>
      <w:r w:rsidRPr="00692CED">
        <w:rPr>
          <w:rFonts w:ascii="Century Gothic" w:eastAsia="Calibri" w:hAnsi="Century Gothic" w:cs="Arial"/>
          <w:lang w:val="es-ES_tradnl"/>
        </w:rPr>
        <w:t xml:space="preserve">.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w:t>
      </w:r>
      <w:r w:rsidRPr="00692CED">
        <w:rPr>
          <w:rFonts w:ascii="Century Gothic" w:eastAsia="Calibri" w:hAnsi="Century Gothic" w:cs="Arial"/>
          <w:lang w:val="es-ES_tradnl"/>
        </w:rPr>
        <w:lastRenderedPageBreak/>
        <w:t>Constitución y las leyes” lo que se traduce en que pueden hacer todo aquello que no les esté expresamente prohibido”</w:t>
      </w:r>
      <w:r w:rsidRPr="00692CED">
        <w:rPr>
          <w:rStyle w:val="Refdenotaalpie"/>
          <w:rFonts w:ascii="Century Gothic" w:eastAsia="Calibri" w:hAnsi="Century Gothic" w:cs="Arial"/>
          <w:lang w:val="es-ES_tradnl"/>
        </w:rPr>
        <w:footnoteReference w:id="33"/>
      </w:r>
      <w:r w:rsidRPr="00692CED">
        <w:rPr>
          <w:rFonts w:ascii="Century Gothic" w:eastAsia="Calibri" w:hAnsi="Century Gothic" w:cs="Arial"/>
          <w:lang w:val="es-ES_tradnl"/>
        </w:rPr>
        <w:t>. En tal sentido, la Sección Tercera ha señalado que:</w:t>
      </w:r>
    </w:p>
    <w:p w14:paraId="059316A4" w14:textId="77777777" w:rsidR="00B9760A" w:rsidRPr="00692CED" w:rsidRDefault="00B9760A" w:rsidP="00B9760A">
      <w:pPr>
        <w:ind w:firstLine="709"/>
        <w:jc w:val="both"/>
        <w:rPr>
          <w:rFonts w:ascii="Century Gothic" w:eastAsia="Calibri" w:hAnsi="Century Gothic" w:cs="Arial"/>
          <w:lang w:val="es-ES_tradnl"/>
        </w:rPr>
      </w:pPr>
    </w:p>
    <w:p w14:paraId="76D83A69" w14:textId="77777777" w:rsidR="00B9760A" w:rsidRPr="00692CED" w:rsidRDefault="00B9760A" w:rsidP="00B9760A">
      <w:pPr>
        <w:ind w:left="709" w:right="709"/>
        <w:jc w:val="both"/>
        <w:rPr>
          <w:rFonts w:ascii="Century Gothic" w:eastAsia="Calibri" w:hAnsi="Century Gothic" w:cs="Arial"/>
          <w:lang w:val="es-ES_tradnl"/>
        </w:rPr>
      </w:pPr>
      <w:r w:rsidRPr="00692CED">
        <w:rPr>
          <w:rFonts w:ascii="Century Gothic" w:hAnsi="Century Gothic"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692CED">
        <w:rPr>
          <w:rStyle w:val="Refdenotaalpie"/>
          <w:rFonts w:ascii="Century Gothic" w:hAnsi="Century Gothic" w:cs="Arial"/>
          <w:sz w:val="21"/>
          <w:szCs w:val="21"/>
          <w:lang w:val="es-ES_tradnl"/>
        </w:rPr>
        <w:footnoteReference w:id="34"/>
      </w:r>
      <w:r w:rsidRPr="00692CED">
        <w:rPr>
          <w:rFonts w:ascii="Century Gothic" w:hAnsi="Century Gothic" w:cs="Arial"/>
          <w:sz w:val="21"/>
          <w:szCs w:val="21"/>
          <w:lang w:val="es-ES_tradnl"/>
        </w:rPr>
        <w:t>.</w:t>
      </w:r>
    </w:p>
    <w:p w14:paraId="6045CE1F" w14:textId="77777777" w:rsidR="00B9760A" w:rsidRPr="00692CED" w:rsidRDefault="00B9760A" w:rsidP="00B9760A">
      <w:pPr>
        <w:spacing w:line="276" w:lineRule="auto"/>
        <w:ind w:firstLine="709"/>
        <w:jc w:val="both"/>
        <w:rPr>
          <w:rFonts w:ascii="Century Gothic" w:eastAsia="Calibri" w:hAnsi="Century Gothic" w:cs="Arial"/>
          <w:lang w:val="es-ES_tradnl"/>
        </w:rPr>
      </w:pPr>
    </w:p>
    <w:p w14:paraId="71015E64" w14:textId="77777777" w:rsidR="00B9760A" w:rsidRPr="00692CED" w:rsidRDefault="00B9760A" w:rsidP="00B9760A">
      <w:pPr>
        <w:ind w:firstLine="709"/>
        <w:jc w:val="both"/>
        <w:rPr>
          <w:rFonts w:ascii="Century Gothic" w:eastAsia="Calibri" w:hAnsi="Century Gothic" w:cs="Arial"/>
          <w:lang w:val="es-ES_tradnl"/>
        </w:rPr>
      </w:pPr>
      <w:r w:rsidRPr="00692CED">
        <w:rPr>
          <w:rFonts w:ascii="Century Gothic" w:eastAsia="Calibri" w:hAnsi="Century Gothic" w:cs="Arial"/>
          <w:lang w:val="es-ES_tradnl"/>
        </w:rPr>
        <w:t>También ha dicho que:</w:t>
      </w:r>
    </w:p>
    <w:p w14:paraId="5C8F0814" w14:textId="77777777" w:rsidR="00B9760A" w:rsidRPr="00692CED" w:rsidRDefault="00B9760A" w:rsidP="00B9760A">
      <w:pPr>
        <w:ind w:left="709" w:right="616"/>
        <w:jc w:val="both"/>
        <w:rPr>
          <w:rFonts w:ascii="Century Gothic" w:hAnsi="Century Gothic" w:cs="Arial"/>
          <w:sz w:val="21"/>
          <w:szCs w:val="21"/>
          <w:lang w:val="es-ES_tradnl"/>
        </w:rPr>
      </w:pPr>
      <w:r w:rsidRPr="00692CED">
        <w:rPr>
          <w:rFonts w:ascii="Century Gothic" w:hAnsi="Century Gothic" w:cs="Arial"/>
          <w:sz w:val="21"/>
          <w:szCs w:val="21"/>
          <w:lang w:val="es-ES_tradnl"/>
        </w:rPr>
        <w:t xml:space="preserve">“[…] la aplicación de estos preceptos exige una interpretación restrictiva, dado que según el principio hermenéutico </w:t>
      </w:r>
      <w:r w:rsidRPr="00692CED">
        <w:rPr>
          <w:rFonts w:ascii="Century Gothic" w:hAnsi="Century Gothic" w:cs="Arial"/>
          <w:i/>
          <w:iCs/>
          <w:sz w:val="21"/>
          <w:szCs w:val="21"/>
          <w:lang w:val="es-ES_tradnl"/>
        </w:rPr>
        <w:t xml:space="preserve">pro </w:t>
      </w:r>
      <w:proofErr w:type="spellStart"/>
      <w:r w:rsidRPr="00692CED">
        <w:rPr>
          <w:rFonts w:ascii="Century Gothic" w:hAnsi="Century Gothic" w:cs="Arial"/>
          <w:i/>
          <w:iCs/>
          <w:sz w:val="21"/>
          <w:szCs w:val="21"/>
          <w:lang w:val="es-ES_tradnl"/>
        </w:rPr>
        <w:t>libertate</w:t>
      </w:r>
      <w:proofErr w:type="spellEnd"/>
      <w:r w:rsidRPr="00692CED">
        <w:rPr>
          <w:rFonts w:ascii="Century Gothic" w:hAnsi="Century Gothic" w:cs="Arial"/>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w:t>
      </w:r>
      <w:proofErr w:type="spellStart"/>
      <w:r w:rsidRPr="00692CED">
        <w:rPr>
          <w:rFonts w:ascii="Century Gothic" w:hAnsi="Century Gothic" w:cs="Arial"/>
          <w:sz w:val="21"/>
          <w:szCs w:val="21"/>
          <w:lang w:val="es-ES_tradnl"/>
        </w:rPr>
        <w:t>Ibid</w:t>
      </w:r>
      <w:proofErr w:type="spellEnd"/>
      <w:r w:rsidRPr="00692CED">
        <w:rPr>
          <w:rFonts w:ascii="Century Gothic" w:hAnsi="Century Gothic" w:cs="Arial"/>
          <w:sz w:val="21"/>
          <w:szCs w:val="21"/>
          <w:lang w:val="es-ES_tradnl"/>
        </w:rPr>
        <w:t>.); […]”</w:t>
      </w:r>
      <w:r w:rsidRPr="00692CED">
        <w:rPr>
          <w:rStyle w:val="Refdenotaalpie"/>
          <w:rFonts w:ascii="Century Gothic" w:hAnsi="Century Gothic" w:cs="Arial"/>
          <w:sz w:val="21"/>
          <w:szCs w:val="21"/>
          <w:lang w:val="es-ES_tradnl"/>
        </w:rPr>
        <w:footnoteReference w:id="35"/>
      </w:r>
      <w:r w:rsidRPr="00692CED">
        <w:rPr>
          <w:rFonts w:ascii="Century Gothic" w:hAnsi="Century Gothic" w:cs="Arial"/>
          <w:sz w:val="21"/>
          <w:szCs w:val="21"/>
          <w:lang w:val="es-ES_tradnl"/>
        </w:rPr>
        <w:t>.</w:t>
      </w:r>
    </w:p>
    <w:p w14:paraId="7635DAE1" w14:textId="77777777" w:rsidR="00B9760A" w:rsidRPr="00692CED" w:rsidRDefault="00B9760A" w:rsidP="00B9760A">
      <w:pPr>
        <w:ind w:firstLine="708"/>
        <w:jc w:val="both"/>
        <w:rPr>
          <w:rFonts w:ascii="Century Gothic" w:eastAsia="Arial" w:hAnsi="Century Gothic" w:cs="Arial"/>
          <w:color w:val="000000"/>
          <w:lang w:val="es-ES_tradnl"/>
        </w:rPr>
      </w:pPr>
    </w:p>
    <w:p w14:paraId="0B1ACDFF" w14:textId="77777777" w:rsidR="00B9760A" w:rsidRDefault="00B9760A" w:rsidP="00B9760A">
      <w:pPr>
        <w:spacing w:line="276" w:lineRule="auto"/>
        <w:ind w:firstLine="708"/>
        <w:jc w:val="both"/>
        <w:rPr>
          <w:rFonts w:ascii="Century Gothic" w:hAnsi="Century Gothic" w:cs="Arial"/>
          <w:color w:val="000000" w:themeColor="text1"/>
        </w:rPr>
      </w:pPr>
      <w:r w:rsidRPr="00692CED">
        <w:rPr>
          <w:rFonts w:ascii="Century Gothic" w:eastAsia="Arial" w:hAnsi="Century Gothic" w:cs="Arial"/>
          <w:color w:val="000000"/>
          <w:lang w:val="es-ES_tradnl"/>
        </w:rPr>
        <w:t xml:space="preserve">Como se aprecia, el principio </w:t>
      </w:r>
      <w:r w:rsidRPr="00692CED">
        <w:rPr>
          <w:rFonts w:ascii="Century Gothic" w:eastAsia="Arial" w:hAnsi="Century Gothic" w:cs="Arial"/>
          <w:i/>
          <w:iCs/>
          <w:color w:val="000000"/>
          <w:lang w:val="es-ES_tradnl"/>
        </w:rPr>
        <w:t xml:space="preserve">pro </w:t>
      </w:r>
      <w:proofErr w:type="spellStart"/>
      <w:r w:rsidRPr="00692CED">
        <w:rPr>
          <w:rFonts w:ascii="Century Gothic" w:eastAsia="Arial" w:hAnsi="Century Gothic" w:cs="Arial"/>
          <w:i/>
          <w:iCs/>
          <w:color w:val="000000"/>
          <w:lang w:val="es-ES_tradnl"/>
        </w:rPr>
        <w:t>libertate</w:t>
      </w:r>
      <w:proofErr w:type="spellEnd"/>
      <w:r w:rsidRPr="00692CED">
        <w:rPr>
          <w:rFonts w:ascii="Century Gothic" w:eastAsia="Arial" w:hAnsi="Century Gothic"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692CED">
        <w:rPr>
          <w:rFonts w:ascii="Century Gothic" w:hAnsi="Century Gothic"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w:t>
      </w:r>
      <w:r w:rsidRPr="00692CED">
        <w:rPr>
          <w:rFonts w:ascii="Century Gothic" w:hAnsi="Century Gothic" w:cs="Arial"/>
          <w:color w:val="000000" w:themeColor="text1"/>
        </w:rPr>
        <w:lastRenderedPageBreak/>
        <w:t>Administración Pública, cuya expedición compete al Congreso de la República, conforme al artículo 150 de la Constitución Política, y que en esta materia rige el principio de legalidad</w:t>
      </w:r>
      <w:r w:rsidRPr="00692CED">
        <w:rPr>
          <w:rStyle w:val="Refdenotaalpie"/>
          <w:rFonts w:ascii="Century Gothic" w:hAnsi="Century Gothic" w:cs="Arial"/>
          <w:color w:val="000000" w:themeColor="text1"/>
        </w:rPr>
        <w:footnoteReference w:id="36"/>
      </w:r>
      <w:r w:rsidRPr="00692CED">
        <w:rPr>
          <w:rFonts w:ascii="Century Gothic" w:hAnsi="Century Gothic" w:cs="Arial"/>
          <w:color w:val="000000" w:themeColor="text1"/>
        </w:rPr>
        <w:t>.</w:t>
      </w:r>
    </w:p>
    <w:p w14:paraId="1E5D649D" w14:textId="77777777" w:rsidR="00B9760A" w:rsidRDefault="00B9760A" w:rsidP="00B9760A">
      <w:pPr>
        <w:spacing w:line="276" w:lineRule="auto"/>
        <w:ind w:firstLine="708"/>
        <w:jc w:val="both"/>
        <w:rPr>
          <w:rFonts w:ascii="Century Gothic" w:hAnsi="Century Gothic" w:cs="Arial"/>
          <w:color w:val="000000" w:themeColor="text1"/>
        </w:rPr>
      </w:pPr>
      <w:r>
        <w:rPr>
          <w:rFonts w:ascii="Century Gothic" w:hAnsi="Century Gothic" w:cs="Arial"/>
          <w:color w:val="000000" w:themeColor="text1"/>
        </w:rPr>
        <w:t xml:space="preserve">Así las cosas, para dar respuesta a la pregunta No 2 de su petición, con las aclaraciones sobre la competencia que se hicieron precedentemente es importante señalar que, de conformidad con lo dispuesto en los artículos 31 y 32 de la Ley 142 de 1994, en armonía con el artículo 13 de la ley 80 de 1993, estas entidades están sometidas a un régimen jurídico especial de contratación, en el que convergen normas de derecho privado y los principios de función administrativa y de gestión fiscal. A este respecto, el Consejo de Estado, en Sentencia de Unificación precisó lo siguiente: </w:t>
      </w:r>
    </w:p>
    <w:p w14:paraId="7FE99E9E" w14:textId="77777777" w:rsidR="00B9760A" w:rsidRDefault="00B9760A" w:rsidP="00B9760A">
      <w:pPr>
        <w:ind w:left="709" w:right="709"/>
        <w:jc w:val="both"/>
        <w:rPr>
          <w:rFonts w:ascii="Century Gothic" w:hAnsi="Century Gothic" w:cs="Arial"/>
          <w:color w:val="000000" w:themeColor="text1"/>
          <w:sz w:val="21"/>
          <w:szCs w:val="21"/>
        </w:rPr>
      </w:pPr>
      <w:r w:rsidRPr="006D0B7F">
        <w:rPr>
          <w:rFonts w:ascii="Century Gothic" w:hAnsi="Century Gothic"/>
          <w:sz w:val="21"/>
          <w:szCs w:val="21"/>
        </w:rPr>
        <w:t>“68. La naturaleza privada de este tipo de actos y su consecuente régimen jurídico civil y comercial, no obsta para que, de conformidad con lo dispuesto en el artículo 13 de la Ley 1150 de 2007, deban observarse, de manera compatible con lo anterior, los principios que orientan la función administrativa. Tal observancia, como lo pone en evidencia la redacción de esta disposición, no desnaturaliza el régimen jurídico descrito y, por ende, en los términos expues</w:t>
      </w:r>
      <w:r>
        <w:rPr>
          <w:rFonts w:ascii="Century Gothic" w:hAnsi="Century Gothic"/>
          <w:sz w:val="21"/>
          <w:szCs w:val="21"/>
        </w:rPr>
        <w:t>tos, la naturaleza de sus actos</w:t>
      </w:r>
      <w:r>
        <w:rPr>
          <w:rStyle w:val="Refdenotaalpie"/>
          <w:rFonts w:ascii="Century Gothic" w:hAnsi="Century Gothic"/>
          <w:sz w:val="21"/>
          <w:szCs w:val="21"/>
        </w:rPr>
        <w:footnoteReference w:id="37"/>
      </w:r>
      <w:r w:rsidRPr="006D0B7F">
        <w:rPr>
          <w:rFonts w:ascii="Century Gothic" w:hAnsi="Century Gothic"/>
          <w:sz w:val="21"/>
          <w:szCs w:val="21"/>
        </w:rPr>
        <w:t xml:space="preserve">”. </w:t>
      </w:r>
    </w:p>
    <w:p w14:paraId="40770D75" w14:textId="77777777" w:rsidR="00B9760A" w:rsidRDefault="00B9760A" w:rsidP="00B9760A">
      <w:pPr>
        <w:ind w:left="709" w:right="709"/>
        <w:jc w:val="both"/>
        <w:rPr>
          <w:rFonts w:ascii="Century Gothic" w:hAnsi="Century Gothic" w:cs="Arial"/>
          <w:color w:val="000000" w:themeColor="text1"/>
          <w:sz w:val="21"/>
          <w:szCs w:val="21"/>
        </w:rPr>
      </w:pPr>
    </w:p>
    <w:p w14:paraId="324C174C" w14:textId="1A25F44A" w:rsidR="00B9760A" w:rsidRDefault="00B9760A" w:rsidP="00B9760A">
      <w:pPr>
        <w:spacing w:line="276" w:lineRule="auto"/>
        <w:ind w:firstLine="720"/>
        <w:jc w:val="both"/>
        <w:rPr>
          <w:rFonts w:ascii="Century Gothic" w:hAnsi="Century Gothic" w:cs="Arial"/>
          <w:color w:val="000000" w:themeColor="text1"/>
        </w:rPr>
      </w:pPr>
      <w:r w:rsidRPr="006D0B7F">
        <w:rPr>
          <w:rFonts w:ascii="Century Gothic" w:hAnsi="Century Gothic" w:cs="Arial"/>
          <w:color w:val="000000" w:themeColor="text1"/>
        </w:rPr>
        <w:t xml:space="preserve">Así las cosas, </w:t>
      </w:r>
      <w:r w:rsidR="002651E7">
        <w:rPr>
          <w:rFonts w:ascii="Century Gothic" w:hAnsi="Century Gothic" w:cs="Arial"/>
          <w:color w:val="000000" w:themeColor="text1"/>
        </w:rPr>
        <w:t xml:space="preserve">al concluir que </w:t>
      </w:r>
      <w:r>
        <w:rPr>
          <w:rFonts w:ascii="Century Gothic" w:hAnsi="Century Gothic" w:cs="Arial"/>
          <w:color w:val="000000" w:themeColor="text1"/>
        </w:rPr>
        <w:t xml:space="preserve">los actos precontractuales expedidos por empresas de servicios públicos son de naturaleza privada y sometidas al régimen jurídico civil y comercial, el Consejo de Estado precisó que deben </w:t>
      </w:r>
      <w:proofErr w:type="gramStart"/>
      <w:r>
        <w:rPr>
          <w:rFonts w:ascii="Century Gothic" w:hAnsi="Century Gothic" w:cs="Arial"/>
          <w:color w:val="000000" w:themeColor="text1"/>
        </w:rPr>
        <w:t>observarse</w:t>
      </w:r>
      <w:proofErr w:type="gramEnd"/>
      <w:r>
        <w:rPr>
          <w:rFonts w:ascii="Century Gothic" w:hAnsi="Century Gothic" w:cs="Arial"/>
          <w:color w:val="000000" w:themeColor="text1"/>
        </w:rPr>
        <w:t xml:space="preserve"> además, conforme con lo dispuesto en el artículo 13 de la ley 1150 de 2007, esto es los principios que orientan la función administrativa. De modo que, tendrán que observar el principio de imparcialidad y con ello las reglas que sobre la materia resultan aplicables respecto de la capacidad para contratar. </w:t>
      </w:r>
    </w:p>
    <w:p w14:paraId="2C2697A0" w14:textId="77777777" w:rsidR="00B9760A" w:rsidRPr="00FD5341" w:rsidRDefault="00B9760A" w:rsidP="00B9760A">
      <w:pPr>
        <w:spacing w:line="276" w:lineRule="auto"/>
        <w:ind w:firstLine="708"/>
        <w:jc w:val="both"/>
        <w:rPr>
          <w:rFonts w:ascii="Century Gothic" w:hAnsi="Century Gothic" w:cs="Arial"/>
          <w:color w:val="000000" w:themeColor="text1"/>
        </w:rPr>
      </w:pPr>
      <w:r w:rsidRPr="00FD5341">
        <w:rPr>
          <w:rFonts w:ascii="Century Gothic" w:hAnsi="Century Gothic" w:cs="Arial"/>
          <w:color w:val="000000" w:themeColor="text1"/>
        </w:rPr>
        <w:t xml:space="preserve">Dentro de este marco general, teniendo en cuenta el carácter taxativo y la interpretación restrictiva de las causales, corresponderá a la entidad contratante definir si en las situaciones planteadas en la consulta se configura alguna prohibición para celebrar contratos con el Estado. Por lo </w:t>
      </w:r>
      <w:r w:rsidRPr="00FD5341">
        <w:rPr>
          <w:rFonts w:ascii="Century Gothic" w:hAnsi="Century Gothic" w:cs="Arial"/>
          <w:color w:val="000000" w:themeColor="text1"/>
        </w:rPr>
        <w:lastRenderedPageBreak/>
        <w:t>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5F93A6DF" w14:textId="77777777" w:rsidR="00B9760A" w:rsidRPr="00FD5341" w:rsidRDefault="00B9760A" w:rsidP="00B9760A">
      <w:pPr>
        <w:spacing w:line="276" w:lineRule="auto"/>
        <w:ind w:firstLine="720"/>
        <w:jc w:val="both"/>
        <w:rPr>
          <w:rFonts w:ascii="Century Gothic" w:hAnsi="Century Gothic" w:cs="Arial"/>
          <w:color w:val="000000" w:themeColor="text1"/>
          <w:lang w:val="es-ES"/>
        </w:rPr>
      </w:pPr>
    </w:p>
    <w:p w14:paraId="3E75995F" w14:textId="77777777" w:rsidR="00B9760A" w:rsidRDefault="00B9760A" w:rsidP="00B9760A">
      <w:pPr>
        <w:spacing w:line="276" w:lineRule="auto"/>
        <w:ind w:firstLine="708"/>
        <w:jc w:val="both"/>
        <w:rPr>
          <w:rFonts w:ascii="Arial" w:eastAsia="Calibri" w:hAnsi="Arial" w:cs="Arial"/>
          <w:lang w:val="es-ES_tradnl"/>
        </w:rPr>
      </w:pPr>
    </w:p>
    <w:p w14:paraId="40899B9E" w14:textId="77777777" w:rsidR="00B9760A" w:rsidRDefault="00B9760A" w:rsidP="00B9760A">
      <w:pPr>
        <w:spacing w:line="276" w:lineRule="auto"/>
        <w:jc w:val="both"/>
        <w:rPr>
          <w:rFonts w:ascii="Arial" w:eastAsia="Calibri" w:hAnsi="Arial" w:cs="Arial"/>
          <w:b/>
          <w:bCs/>
          <w:lang w:val="es-ES_tradnl"/>
        </w:rPr>
      </w:pPr>
      <w:r w:rsidRPr="00660381">
        <w:rPr>
          <w:rFonts w:ascii="Arial" w:eastAsia="Calibri" w:hAnsi="Arial" w:cs="Arial"/>
          <w:b/>
          <w:bCs/>
          <w:lang w:val="es-ES_tradnl"/>
        </w:rPr>
        <w:t>3. Respuesta</w:t>
      </w:r>
    </w:p>
    <w:p w14:paraId="7A23C886" w14:textId="77777777" w:rsidR="00B9760A" w:rsidRDefault="00B9760A" w:rsidP="00B9760A">
      <w:pPr>
        <w:spacing w:line="276" w:lineRule="auto"/>
        <w:ind w:firstLine="720"/>
        <w:jc w:val="both"/>
        <w:rPr>
          <w:rFonts w:ascii="Century Gothic" w:hAnsi="Century Gothic" w:cs="Arial"/>
          <w:color w:val="000000" w:themeColor="text1"/>
        </w:rPr>
      </w:pPr>
    </w:p>
    <w:p w14:paraId="49D0AB80" w14:textId="77777777" w:rsidR="00B9760A" w:rsidRPr="00692CED" w:rsidRDefault="00B9760A" w:rsidP="00B9760A">
      <w:pPr>
        <w:spacing w:before="120"/>
        <w:ind w:left="709" w:right="709"/>
        <w:contextualSpacing/>
        <w:jc w:val="both"/>
        <w:rPr>
          <w:rFonts w:ascii="Century Gothic" w:eastAsia="Calibri" w:hAnsi="Century Gothic" w:cs="Arial"/>
          <w:sz w:val="21"/>
          <w:szCs w:val="21"/>
        </w:rPr>
      </w:pPr>
      <w:r w:rsidRPr="00692CED">
        <w:rPr>
          <w:rFonts w:ascii="Century Gothic" w:eastAsia="Calibri" w:hAnsi="Century Gothic" w:cs="Arial"/>
          <w:sz w:val="21"/>
          <w:szCs w:val="21"/>
        </w:rPr>
        <w:t>“1. Al constituir una empresa de servicios público mixta con socios estratégicos</w:t>
      </w:r>
    </w:p>
    <w:p w14:paraId="655019DA" w14:textId="77777777" w:rsidR="00B9760A" w:rsidRPr="00692CED" w:rsidRDefault="00B9760A" w:rsidP="00B9760A">
      <w:pPr>
        <w:spacing w:before="120"/>
        <w:ind w:left="709" w:right="709"/>
        <w:contextualSpacing/>
        <w:jc w:val="both"/>
        <w:rPr>
          <w:rFonts w:ascii="Century Gothic" w:eastAsia="Calibri" w:hAnsi="Century Gothic" w:cs="Arial"/>
          <w:sz w:val="21"/>
          <w:szCs w:val="21"/>
        </w:rPr>
      </w:pPr>
      <w:r w:rsidRPr="00692CED">
        <w:rPr>
          <w:rFonts w:ascii="Century Gothic" w:eastAsia="Calibri" w:hAnsi="Century Gothic" w:cs="Arial"/>
          <w:sz w:val="21"/>
          <w:szCs w:val="21"/>
        </w:rPr>
        <w:t>operadores. Cuál es el vehículo para suscribir contratos directamente con los</w:t>
      </w:r>
    </w:p>
    <w:p w14:paraId="4CFC9D8E" w14:textId="77777777" w:rsidR="00B9760A" w:rsidRPr="00692CED" w:rsidRDefault="00B9760A" w:rsidP="00B9760A">
      <w:pPr>
        <w:spacing w:before="120"/>
        <w:ind w:left="709" w:right="709"/>
        <w:contextualSpacing/>
        <w:jc w:val="both"/>
        <w:rPr>
          <w:rFonts w:ascii="Century Gothic" w:eastAsia="Calibri" w:hAnsi="Century Gothic" w:cs="Arial"/>
          <w:sz w:val="21"/>
          <w:szCs w:val="21"/>
        </w:rPr>
      </w:pPr>
      <w:r w:rsidRPr="00692CED">
        <w:rPr>
          <w:rFonts w:ascii="Century Gothic" w:eastAsia="Calibri" w:hAnsi="Century Gothic" w:cs="Arial"/>
          <w:sz w:val="21"/>
          <w:szCs w:val="21"/>
        </w:rPr>
        <w:t>socios que constituyeron dicha empresa.</w:t>
      </w:r>
    </w:p>
    <w:p w14:paraId="123536DE" w14:textId="77777777" w:rsidR="00B9760A" w:rsidRPr="00692CED" w:rsidRDefault="00B9760A" w:rsidP="00B9760A">
      <w:pPr>
        <w:spacing w:before="120"/>
        <w:ind w:left="709" w:right="709"/>
        <w:contextualSpacing/>
        <w:jc w:val="both"/>
        <w:rPr>
          <w:rFonts w:ascii="Century Gothic" w:eastAsia="Calibri" w:hAnsi="Century Gothic" w:cs="Arial"/>
          <w:b/>
          <w:sz w:val="21"/>
          <w:szCs w:val="21"/>
        </w:rPr>
      </w:pPr>
      <w:r w:rsidRPr="00692CED">
        <w:rPr>
          <w:rFonts w:ascii="Century Gothic" w:eastAsia="Calibri" w:hAnsi="Century Gothic" w:cs="Arial"/>
          <w:b/>
          <w:sz w:val="21"/>
          <w:szCs w:val="21"/>
        </w:rPr>
        <w:t>2. ¿Cómo se le aplica el régimen de inhabilidades e incompatibilidades a los socios estratégicos operadores de una empresa de servicios públicos mixta?</w:t>
      </w:r>
    </w:p>
    <w:p w14:paraId="1E8693CE"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eastAsia="Calibri" w:hAnsi="Century Gothic" w:cs="Arial"/>
          <w:sz w:val="21"/>
          <w:szCs w:val="21"/>
        </w:rPr>
        <w:t xml:space="preserve">3. </w:t>
      </w:r>
      <w:r w:rsidRPr="00692CED">
        <w:rPr>
          <w:rFonts w:ascii="Century Gothic" w:hAnsi="Century Gothic" w:cs="Arial"/>
          <w:sz w:val="21"/>
          <w:szCs w:val="21"/>
        </w:rPr>
        <w:t>¿Los empleados por nómina de una ESP MIXTA son servidores públicos?</w:t>
      </w:r>
    </w:p>
    <w:p w14:paraId="2BE0FF4F"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hAnsi="Century Gothic" w:cs="Arial"/>
          <w:sz w:val="21"/>
          <w:szCs w:val="21"/>
        </w:rPr>
        <w:t>4. ¿Pueden tener dos contratos los empleados de nómina de una ESP MIXTA?</w:t>
      </w:r>
    </w:p>
    <w:p w14:paraId="71AF3963"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hAnsi="Century Gothic" w:cs="Arial"/>
          <w:sz w:val="21"/>
          <w:szCs w:val="21"/>
        </w:rPr>
        <w:t>5. ¿Si un contratista tenía más de dos contratos y es contratado de manera laboral en una ESP MIXTA puede continuar con los otros contratos hasta culminar su proceso?</w:t>
      </w:r>
    </w:p>
    <w:p w14:paraId="6A3973F0" w14:textId="77777777" w:rsidR="00B9760A" w:rsidRPr="00692CED" w:rsidRDefault="00B9760A" w:rsidP="00B9760A">
      <w:pPr>
        <w:spacing w:before="120"/>
        <w:ind w:left="709" w:right="709"/>
        <w:contextualSpacing/>
        <w:jc w:val="both"/>
        <w:rPr>
          <w:rFonts w:ascii="Century Gothic" w:hAnsi="Century Gothic" w:cs="Arial"/>
          <w:sz w:val="21"/>
          <w:szCs w:val="21"/>
        </w:rPr>
      </w:pPr>
      <w:r w:rsidRPr="00692CED">
        <w:rPr>
          <w:rFonts w:ascii="Century Gothic" w:hAnsi="Century Gothic" w:cs="Arial"/>
          <w:sz w:val="21"/>
          <w:szCs w:val="21"/>
        </w:rPr>
        <w:t>6- Cuáles son las inhabilidades e incompatibilidades que les aplica a los directores y gerente de una ESP MIXTA que tiene solo el 51% de participación pública.”</w:t>
      </w:r>
    </w:p>
    <w:p w14:paraId="3921AA76" w14:textId="77777777" w:rsidR="00B9760A" w:rsidRDefault="00B9760A" w:rsidP="00B9760A">
      <w:pPr>
        <w:spacing w:line="276" w:lineRule="auto"/>
        <w:ind w:firstLine="720"/>
        <w:jc w:val="both"/>
        <w:rPr>
          <w:rFonts w:ascii="Century Gothic" w:hAnsi="Century Gothic" w:cs="Arial"/>
          <w:color w:val="000000" w:themeColor="text1"/>
        </w:rPr>
      </w:pPr>
    </w:p>
    <w:p w14:paraId="5B953666" w14:textId="77777777" w:rsidR="00B9760A" w:rsidRPr="00692CED" w:rsidRDefault="00B9760A" w:rsidP="00B9760A">
      <w:pPr>
        <w:spacing w:after="120" w:line="276" w:lineRule="auto"/>
        <w:ind w:firstLine="708"/>
        <w:jc w:val="both"/>
        <w:rPr>
          <w:rFonts w:ascii="Century Gothic" w:eastAsia="Calibri" w:hAnsi="Century Gothic" w:cs="Arial"/>
          <w:lang w:val="es-ES"/>
        </w:rPr>
      </w:pPr>
      <w:r w:rsidRPr="00692CED">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92CED">
        <w:rPr>
          <w:rFonts w:ascii="Century Gothic" w:hAnsi="Century Gothic" w:cs="Arial"/>
          <w:vertAlign w:val="superscript"/>
          <w:lang w:val="es-ES"/>
        </w:rPr>
        <w:footnoteReference w:id="38"/>
      </w:r>
      <w:r w:rsidRPr="00692CED">
        <w:rPr>
          <w:rFonts w:ascii="Century Gothic" w:hAnsi="Century Gothic" w:cs="Arial"/>
          <w:lang w:val="es-ES"/>
        </w:rPr>
        <w:t xml:space="preserve">. Esta competencia de </w:t>
      </w:r>
      <w:r w:rsidRPr="00692CED">
        <w:rPr>
          <w:rFonts w:ascii="Century Gothic" w:hAnsi="Century Gothic" w:cs="Arial"/>
          <w:lang w:val="es-ES"/>
        </w:rPr>
        <w:lastRenderedPageBreak/>
        <w:t>interpretación de normas generales, por definición, no puede extenderse a la resolución de controversias ni brindar asesorías sobre casos puntuales. Por lo anterior</w:t>
      </w:r>
      <w:r w:rsidRPr="00692CED">
        <w:rPr>
          <w:rFonts w:ascii="Century Gothic" w:eastAsia="Calibri" w:hAnsi="Century Gothic" w:cs="Arial"/>
          <w:color w:val="000000"/>
        </w:rPr>
        <w:t xml:space="preserve">, Colombia Compra Eficiente al estudiar el contenido de su consulta, en virtud de lo dispuesto en el artículo 21 de la Ley 1437 de </w:t>
      </w:r>
      <w:proofErr w:type="gramStart"/>
      <w:r w:rsidRPr="00692CED">
        <w:rPr>
          <w:rFonts w:ascii="Century Gothic" w:eastAsia="Calibri" w:hAnsi="Century Gothic" w:cs="Arial"/>
          <w:color w:val="000000"/>
        </w:rPr>
        <w:t>2011,</w:t>
      </w:r>
      <w:r w:rsidRPr="00692CED">
        <w:rPr>
          <w:rFonts w:ascii="Century Gothic" w:eastAsia="Calibri" w:hAnsi="Century Gothic" w:cs="Arial"/>
          <w:lang w:val="es-ES"/>
        </w:rPr>
        <w:t>,</w:t>
      </w:r>
      <w:proofErr w:type="gramEnd"/>
      <w:r w:rsidRPr="00692CED">
        <w:rPr>
          <w:rFonts w:ascii="Century Gothic" w:eastAsia="Calibri" w:hAnsi="Century Gothic" w:cs="Arial"/>
          <w:lang w:val="es-ES"/>
        </w:rPr>
        <w:t xml:space="preserve"> mediante radicado de salida No. RS20230915010064 de 15 de septiembre de 2023, manifestó su  falta de competencia para resolver las preguntas Nos. 1, 3 a 6 de la presente petición. </w:t>
      </w:r>
    </w:p>
    <w:p w14:paraId="0654D67A" w14:textId="77777777" w:rsidR="00B9760A" w:rsidRDefault="00B9760A" w:rsidP="00B9760A">
      <w:pPr>
        <w:spacing w:line="276" w:lineRule="auto"/>
        <w:ind w:firstLine="720"/>
        <w:jc w:val="both"/>
        <w:rPr>
          <w:rFonts w:ascii="Century Gothic" w:hAnsi="Century Gothic" w:cs="Arial"/>
          <w:color w:val="000000" w:themeColor="text1"/>
        </w:rPr>
      </w:pPr>
      <w:r w:rsidRPr="00692CED">
        <w:rPr>
          <w:rFonts w:ascii="Century Gothic" w:eastAsia="Calibri" w:hAnsi="Century Gothic" w:cs="Arial"/>
          <w:color w:val="000000"/>
        </w:rPr>
        <w:t xml:space="preserve">Sin perjuicio de lo anterior, </w:t>
      </w:r>
      <w:r w:rsidRPr="00692CED">
        <w:rPr>
          <w:rFonts w:ascii="Century Gothic" w:eastAsia="Calibri" w:hAnsi="Century Gothic" w:cs="Arial"/>
          <w:color w:val="000000"/>
          <w:lang w:val="es-ES"/>
        </w:rPr>
        <w:t xml:space="preserve">la Subdirección de Gestión Contractual de esta Agencia –dentro de los límites de sus atribuciones, esto </w:t>
      </w:r>
      <w:proofErr w:type="gramStart"/>
      <w:r w:rsidRPr="00692CED">
        <w:rPr>
          <w:rFonts w:ascii="Century Gothic" w:eastAsia="Calibri" w:hAnsi="Century Gothic" w:cs="Arial"/>
          <w:color w:val="000000"/>
          <w:lang w:val="es-ES"/>
        </w:rPr>
        <w:t>es,–</w:t>
      </w:r>
      <w:proofErr w:type="gramEnd"/>
      <w:r w:rsidRPr="00692CED">
        <w:rPr>
          <w:rFonts w:ascii="Century Gothic" w:eastAsia="Calibri" w:hAnsi="Century Gothic" w:cs="Arial"/>
          <w:color w:val="000000"/>
          <w:lang w:val="es-ES"/>
        </w:rPr>
        <w:t xml:space="preserve"> resolverá el interrogante </w:t>
      </w:r>
      <w:r w:rsidRPr="00692CED">
        <w:rPr>
          <w:rFonts w:ascii="Century Gothic" w:eastAsia="Calibri" w:hAnsi="Century Gothic" w:cs="Arial"/>
          <w:lang w:val="es-ES"/>
        </w:rPr>
        <w:t xml:space="preserve">No. 2  </w:t>
      </w:r>
      <w:r w:rsidRPr="00692CED">
        <w:rPr>
          <w:rFonts w:ascii="Century Gothic" w:eastAsia="Calibri" w:hAnsi="Century Gothic" w:cs="Arial"/>
          <w:color w:val="000000"/>
          <w:lang w:val="es-ES"/>
        </w:rPr>
        <w:t>haciendo abstracción del caso particular expuesto por el peticionario</w:t>
      </w:r>
      <w:r w:rsidRPr="00692CED">
        <w:rPr>
          <w:rFonts w:ascii="Century Gothic" w:eastAsia="Calibri" w:hAnsi="Century Gothic" w:cs="Arial"/>
          <w:lang w:val="es-ES_tradnl" w:eastAsia="es-MX"/>
        </w:rPr>
        <w:t>.</w:t>
      </w:r>
    </w:p>
    <w:p w14:paraId="7FB4BD9D" w14:textId="77777777" w:rsidR="00B9760A" w:rsidRPr="00692CED" w:rsidRDefault="00B9760A" w:rsidP="00B9760A">
      <w:pPr>
        <w:spacing w:before="120" w:after="120" w:line="276" w:lineRule="auto"/>
        <w:ind w:firstLine="709"/>
        <w:jc w:val="both"/>
        <w:rPr>
          <w:rFonts w:ascii="Century Gothic" w:eastAsia="Calibri" w:hAnsi="Century Gothic" w:cs="Arial"/>
          <w:bCs/>
        </w:rPr>
      </w:pPr>
      <w:r>
        <w:rPr>
          <w:rFonts w:ascii="Century Gothic" w:eastAsia="Calibri" w:hAnsi="Century Gothic" w:cs="Arial"/>
          <w:bCs/>
        </w:rPr>
        <w:t>E</w:t>
      </w:r>
      <w:r w:rsidRPr="00692CED">
        <w:rPr>
          <w:rFonts w:ascii="Century Gothic" w:eastAsia="Calibri" w:hAnsi="Century Gothic" w:cs="Arial"/>
          <w:bCs/>
        </w:rPr>
        <w:t>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r w:rsidRPr="00692CED">
        <w:rPr>
          <w:rFonts w:ascii="Century Gothic" w:eastAsia="Calibri" w:hAnsi="Century Gothic" w:cs="Arial"/>
          <w:bCs/>
          <w:vertAlign w:val="superscript"/>
        </w:rPr>
        <w:footnoteReference w:id="39"/>
      </w:r>
      <w:r w:rsidRPr="00692CED">
        <w:rPr>
          <w:rFonts w:ascii="Century Gothic" w:eastAsia="Calibri" w:hAnsi="Century Gothic" w:cs="Arial"/>
          <w:bCs/>
        </w:rPr>
        <w:t>.</w:t>
      </w:r>
    </w:p>
    <w:p w14:paraId="53DB322F" w14:textId="77777777" w:rsidR="00B9760A" w:rsidRPr="00692CED" w:rsidRDefault="00B9760A" w:rsidP="00B9760A">
      <w:pPr>
        <w:spacing w:after="120" w:line="276" w:lineRule="auto"/>
        <w:ind w:firstLine="709"/>
        <w:jc w:val="both"/>
        <w:rPr>
          <w:rFonts w:ascii="Century Gothic" w:eastAsia="Calibri" w:hAnsi="Century Gothic" w:cs="Arial"/>
          <w:bCs/>
        </w:rPr>
      </w:pPr>
      <w:r w:rsidRPr="00692CED">
        <w:rPr>
          <w:rFonts w:ascii="Century Gothic" w:eastAsia="Calibri" w:hAnsi="Century Gothic" w:cs="Arial"/>
          <w:bCs/>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sólo, excepcionalmente, el contenido en el Estatuto General de Contratación de la Administración Pública –en adelante EGCAP–</w:t>
      </w:r>
      <w:r w:rsidRPr="00692CED">
        <w:rPr>
          <w:rFonts w:ascii="Century Gothic" w:eastAsia="Calibri" w:hAnsi="Century Gothic" w:cs="Arial"/>
          <w:bCs/>
          <w:vertAlign w:val="superscript"/>
        </w:rPr>
        <w:footnoteReference w:id="40"/>
      </w:r>
      <w:r w:rsidRPr="00692CED">
        <w:rPr>
          <w:rFonts w:ascii="Century Gothic" w:eastAsia="Calibri" w:hAnsi="Century Gothic" w:cs="Arial"/>
          <w:bCs/>
        </w:rPr>
        <w:t>. En otras palabras, dichas empresas se sujetan, en su actividad contractual, a las disposiciones del derecho privado, salvo en aquellos casos en los que la Constitución, la Ley 142 de 1994 u otras leyes especiales, sometan tal conducta al EGCAP, es decir, a la Ley 80 de 1993, Ley 1150 de 2007 y demás normas complementarias.</w:t>
      </w:r>
    </w:p>
    <w:p w14:paraId="1B21228C" w14:textId="6ED9B40F" w:rsidR="00B9760A" w:rsidRDefault="00B9760A" w:rsidP="004B08D4">
      <w:pPr>
        <w:spacing w:after="120" w:line="276" w:lineRule="auto"/>
        <w:ind w:firstLine="720"/>
        <w:jc w:val="both"/>
        <w:rPr>
          <w:rFonts w:ascii="Century Gothic" w:hAnsi="Century Gothic" w:cs="Arial"/>
          <w:color w:val="000000" w:themeColor="text1"/>
        </w:rPr>
      </w:pPr>
      <w:r w:rsidRPr="00692CED">
        <w:rPr>
          <w:rFonts w:ascii="Century Gothic" w:hAnsi="Century Gothic" w:cs="Arial"/>
          <w:noProof/>
          <w:lang w:val="es-ES_tradnl"/>
        </w:rPr>
        <w:t>Lo anterior no significa que la actividad contractual de las empresas prestadoras de servicios públicos domiciliarios se rija por un “derecho privado puro”, pues este se encuentra irrigado, entre otras coas, por los principios de la función administrativa y de la gestión fiscal previstos en los artículos 209 y 267 de la Constitución, toda vez</w:t>
      </w:r>
    </w:p>
    <w:p w14:paraId="613716CB" w14:textId="77777777" w:rsidR="00B9760A" w:rsidRDefault="00B9760A" w:rsidP="004B08D4">
      <w:pPr>
        <w:spacing w:after="120" w:line="276" w:lineRule="auto"/>
        <w:ind w:firstLine="720"/>
        <w:jc w:val="both"/>
        <w:rPr>
          <w:rFonts w:ascii="Century Gothic" w:hAnsi="Century Gothic" w:cs="Arial"/>
          <w:color w:val="000000" w:themeColor="text1"/>
        </w:rPr>
      </w:pPr>
      <w:r w:rsidRPr="006D0B7F">
        <w:rPr>
          <w:rFonts w:ascii="Century Gothic" w:hAnsi="Century Gothic" w:cs="Arial"/>
          <w:color w:val="000000" w:themeColor="text1"/>
        </w:rPr>
        <w:t xml:space="preserve">Así las cosas, </w:t>
      </w:r>
      <w:r>
        <w:rPr>
          <w:rFonts w:ascii="Century Gothic" w:hAnsi="Century Gothic" w:cs="Arial"/>
          <w:color w:val="000000" w:themeColor="text1"/>
        </w:rPr>
        <w:t xml:space="preserve">al concluir </w:t>
      </w:r>
      <w:proofErr w:type="gramStart"/>
      <w:r>
        <w:rPr>
          <w:rFonts w:ascii="Century Gothic" w:hAnsi="Century Gothic" w:cs="Arial"/>
          <w:color w:val="000000" w:themeColor="text1"/>
        </w:rPr>
        <w:t>que  los</w:t>
      </w:r>
      <w:proofErr w:type="gramEnd"/>
      <w:r>
        <w:rPr>
          <w:rFonts w:ascii="Century Gothic" w:hAnsi="Century Gothic" w:cs="Arial"/>
          <w:color w:val="000000" w:themeColor="text1"/>
        </w:rPr>
        <w:t xml:space="preserve"> actos precontractuales expedidos por empresas de servicios públicos son de naturaleza privada y sometidas al régimen jurídico civil y comercial, el Consejo de Estado precisó que deben observarse además, conforme con lo dispuesto en el artículo 13 de la ley 1150 de 2007, esto es los principios que orientan la función administrativa. De modo que, tendrán que observar el principio de imparcialidad y con ello las reglas que sobre la materia resultan aplicables respecto de la capacidad para contratar. </w:t>
      </w:r>
    </w:p>
    <w:p w14:paraId="197263F5" w14:textId="77777777" w:rsidR="00B9760A" w:rsidRPr="00FD5341" w:rsidRDefault="00B9760A" w:rsidP="004B08D4">
      <w:pPr>
        <w:spacing w:after="120" w:line="276" w:lineRule="auto"/>
        <w:ind w:firstLine="708"/>
        <w:jc w:val="both"/>
        <w:rPr>
          <w:rFonts w:ascii="Century Gothic" w:hAnsi="Century Gothic" w:cs="Arial"/>
          <w:color w:val="000000" w:themeColor="text1"/>
        </w:rPr>
      </w:pPr>
      <w:r w:rsidRPr="00FD5341">
        <w:rPr>
          <w:rFonts w:ascii="Century Gothic" w:hAnsi="Century Gothic" w:cs="Arial"/>
          <w:color w:val="000000" w:themeColor="text1"/>
        </w:rPr>
        <w:t xml:space="preserve">Dentro de este marco general, teniendo en cuenta el carácter taxativo y la interpretación restrictiva de las causales, corresponderá a la </w:t>
      </w:r>
      <w:r w:rsidRPr="00FD5341">
        <w:rPr>
          <w:rFonts w:ascii="Century Gothic" w:hAnsi="Century Gothic" w:cs="Arial"/>
          <w:color w:val="000000" w:themeColor="text1"/>
        </w:rPr>
        <w:lastRenderedPageBreak/>
        <w:t>entidad contratante definir si en las situaciones planteadas en la consulta se configura alguna prohibición para celebrar contratos con el Estado.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54716B4B" w14:textId="77777777" w:rsidR="00B9760A" w:rsidRPr="006D0B7F" w:rsidRDefault="00B9760A" w:rsidP="00B9760A">
      <w:pPr>
        <w:spacing w:line="276" w:lineRule="auto"/>
        <w:ind w:firstLine="720"/>
        <w:jc w:val="both"/>
        <w:rPr>
          <w:rFonts w:ascii="Century Gothic" w:hAnsi="Century Gothic" w:cs="Arial"/>
          <w:color w:val="000000" w:themeColor="text1"/>
        </w:rPr>
      </w:pPr>
    </w:p>
    <w:p w14:paraId="1E2E0C6B" w14:textId="77777777" w:rsidR="00B9760A" w:rsidRPr="00692CED" w:rsidRDefault="00B9760A" w:rsidP="00B9760A">
      <w:pPr>
        <w:spacing w:line="276" w:lineRule="auto"/>
        <w:jc w:val="both"/>
        <w:rPr>
          <w:rFonts w:ascii="Century Gothic" w:eastAsia="Arial" w:hAnsi="Century Gothic" w:cs="Arial"/>
          <w:lang w:val="es-ES" w:eastAsia="es-ES" w:bidi="es-ES"/>
        </w:rPr>
      </w:pPr>
      <w:r w:rsidRPr="00692CED">
        <w:rPr>
          <w:rFonts w:ascii="Century Gothic" w:eastAsia="Calibri" w:hAnsi="Century Gothic" w:cs="Arial"/>
        </w:rPr>
        <w:t>Este concepto tiene el alcance previsto en el artículo 28 del Código de Procedimiento Administrativo y de lo Contencioso Administrativo.</w:t>
      </w:r>
    </w:p>
    <w:p w14:paraId="679F151F" w14:textId="77777777" w:rsidR="00B9760A" w:rsidRPr="00692CED" w:rsidRDefault="00B9760A" w:rsidP="00B9760A">
      <w:pPr>
        <w:widowControl w:val="0"/>
        <w:autoSpaceDE w:val="0"/>
        <w:autoSpaceDN w:val="0"/>
        <w:spacing w:line="276" w:lineRule="auto"/>
        <w:rPr>
          <w:rFonts w:ascii="Century Gothic" w:eastAsia="Arial" w:hAnsi="Century Gothic" w:cs="Arial"/>
          <w:lang w:val="es-ES" w:eastAsia="es-ES" w:bidi="es-ES"/>
        </w:rPr>
      </w:pPr>
    </w:p>
    <w:p w14:paraId="5CFA4590" w14:textId="77777777" w:rsidR="00B9760A" w:rsidRPr="00692CED" w:rsidRDefault="00B9760A" w:rsidP="00B9760A">
      <w:pPr>
        <w:widowControl w:val="0"/>
        <w:autoSpaceDE w:val="0"/>
        <w:autoSpaceDN w:val="0"/>
        <w:spacing w:line="276" w:lineRule="auto"/>
        <w:jc w:val="both"/>
        <w:rPr>
          <w:rFonts w:ascii="Century Gothic" w:eastAsia="Arial" w:hAnsi="Century Gothic" w:cs="Arial"/>
          <w:lang w:val="es-ES" w:eastAsia="es-CO" w:bidi="es-ES"/>
        </w:rPr>
      </w:pPr>
      <w:bookmarkStart w:id="17" w:name="_Hlk50370367"/>
      <w:r w:rsidRPr="00692CED">
        <w:rPr>
          <w:rFonts w:ascii="Century Gothic" w:eastAsia="Arial" w:hAnsi="Century Gothic" w:cs="Arial"/>
          <w:lang w:val="es-ES" w:eastAsia="es-CO" w:bidi="es-ES"/>
        </w:rPr>
        <w:t>Atentamente,</w:t>
      </w:r>
      <w:bookmarkEnd w:id="17"/>
    </w:p>
    <w:p w14:paraId="084B9675" w14:textId="77777777" w:rsidR="00B9760A" w:rsidRPr="00692CED" w:rsidRDefault="00B9760A" w:rsidP="00B9760A">
      <w:pPr>
        <w:widowControl w:val="0"/>
        <w:autoSpaceDE w:val="0"/>
        <w:autoSpaceDN w:val="0"/>
        <w:spacing w:after="18"/>
        <w:jc w:val="center"/>
        <w:rPr>
          <w:rFonts w:ascii="Century Gothic" w:eastAsia="Arial" w:hAnsi="Century Gothic" w:cs="Arial"/>
          <w:lang w:val="es-ES" w:eastAsia="es-CO" w:bidi="es-ES"/>
        </w:rPr>
      </w:pPr>
    </w:p>
    <w:p w14:paraId="56D7C49E" w14:textId="06236264" w:rsidR="00B9760A" w:rsidRPr="00692CED" w:rsidRDefault="003A5406" w:rsidP="00B9760A">
      <w:pPr>
        <w:widowControl w:val="0"/>
        <w:autoSpaceDE w:val="0"/>
        <w:autoSpaceDN w:val="0"/>
        <w:spacing w:after="18"/>
        <w:jc w:val="center"/>
        <w:rPr>
          <w:rFonts w:ascii="Century Gothic" w:eastAsia="Arial" w:hAnsi="Century Gothic" w:cs="Arial"/>
          <w:lang w:val="es-ES" w:eastAsia="es-CO" w:bidi="es-ES"/>
        </w:rPr>
      </w:pPr>
      <w:r>
        <w:rPr>
          <w:rFonts w:ascii="Century Gothic" w:eastAsia="Arial" w:hAnsi="Century Gothic" w:cs="Arial"/>
          <w:noProof/>
          <w:lang w:val="en-US"/>
        </w:rPr>
        <w:drawing>
          <wp:inline distT="0" distB="0" distL="0" distR="0" wp14:anchorId="168251E6" wp14:editId="0F374D22">
            <wp:extent cx="3153215" cy="1209844"/>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dra nohelia.png"/>
                    <pic:cNvPicPr/>
                  </pic:nvPicPr>
                  <pic:blipFill>
                    <a:blip r:embed="rId9">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p w14:paraId="2E9ED17E" w14:textId="77777777" w:rsidR="00B9760A" w:rsidRPr="00692CED" w:rsidRDefault="00B9760A" w:rsidP="00B9760A">
      <w:pPr>
        <w:widowControl w:val="0"/>
        <w:autoSpaceDE w:val="0"/>
        <w:autoSpaceDN w:val="0"/>
        <w:spacing w:after="18"/>
        <w:jc w:val="center"/>
        <w:rPr>
          <w:rFonts w:ascii="Century Gothic" w:eastAsia="Arial" w:hAnsi="Century Gothic" w:cs="Arial"/>
          <w:lang w:val="es-ES" w:eastAsia="es-CO" w:bidi="es-ES"/>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B9760A" w:rsidRPr="00692CED" w14:paraId="7BFA9329" w14:textId="77777777" w:rsidTr="002A6AEF">
        <w:trPr>
          <w:trHeight w:val="286"/>
        </w:trPr>
        <w:tc>
          <w:tcPr>
            <w:tcW w:w="817" w:type="dxa"/>
            <w:vAlign w:val="center"/>
            <w:hideMark/>
          </w:tcPr>
          <w:p w14:paraId="1DD79E6D" w14:textId="77777777" w:rsidR="00B9760A" w:rsidRPr="00692CED" w:rsidRDefault="00B9760A" w:rsidP="002A6AEF">
            <w:pPr>
              <w:rPr>
                <w:rFonts w:ascii="Century Gothic" w:eastAsia="Arial" w:hAnsi="Century Gothic" w:cs="Arial"/>
                <w:sz w:val="14"/>
                <w:szCs w:val="14"/>
                <w:lang w:val="es-ES" w:eastAsia="es-ES" w:bidi="es-ES"/>
              </w:rPr>
            </w:pPr>
            <w:bookmarkStart w:id="18" w:name="_Hlk70523608"/>
            <w:r w:rsidRPr="00692CED">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themeColor="text1" w:themeTint="80"/>
              <w:right w:val="nil"/>
            </w:tcBorders>
            <w:vAlign w:val="center"/>
            <w:hideMark/>
          </w:tcPr>
          <w:p w14:paraId="73E5724B" w14:textId="77777777" w:rsidR="00B9760A" w:rsidRPr="00692CED" w:rsidRDefault="00B9760A" w:rsidP="002A6AEF">
            <w:pPr>
              <w:rPr>
                <w:rFonts w:ascii="Century Gothic" w:eastAsia="Arial" w:hAnsi="Century Gothic" w:cs="Arial"/>
                <w:sz w:val="14"/>
                <w:szCs w:val="14"/>
                <w:lang w:val="es-ES" w:eastAsia="es-ES" w:bidi="es-ES"/>
              </w:rPr>
            </w:pPr>
            <w:r w:rsidRPr="00692CED">
              <w:rPr>
                <w:rFonts w:ascii="Century Gothic" w:eastAsia="Arial" w:hAnsi="Century Gothic" w:cs="Arial"/>
                <w:sz w:val="14"/>
                <w:szCs w:val="14"/>
                <w:lang w:eastAsia="es-ES" w:bidi="es-ES"/>
              </w:rPr>
              <w:t>Nina María Padrón Ballestas</w:t>
            </w:r>
          </w:p>
          <w:p w14:paraId="445E9803" w14:textId="77777777" w:rsidR="00B9760A" w:rsidRPr="00692CED" w:rsidRDefault="00B9760A" w:rsidP="002A6AEF">
            <w:pPr>
              <w:rPr>
                <w:rFonts w:ascii="Century Gothic" w:eastAsia="Arial" w:hAnsi="Century Gothic" w:cs="Arial"/>
                <w:sz w:val="14"/>
                <w:szCs w:val="14"/>
                <w:lang w:val="es-ES" w:eastAsia="es-ES" w:bidi="es-ES"/>
              </w:rPr>
            </w:pPr>
            <w:r w:rsidRPr="00692CED">
              <w:rPr>
                <w:rFonts w:ascii="Century Gothic" w:eastAsia="Arial" w:hAnsi="Century Gothic" w:cs="Arial"/>
                <w:sz w:val="14"/>
                <w:szCs w:val="14"/>
                <w:lang w:val="es-ES" w:eastAsia="es-ES" w:bidi="es-ES"/>
              </w:rPr>
              <w:t>Contratista de la Subdirección de Gestión Contractual</w:t>
            </w:r>
          </w:p>
        </w:tc>
      </w:tr>
      <w:tr w:rsidR="00B9760A" w:rsidRPr="00692CED" w14:paraId="645800D5" w14:textId="77777777" w:rsidTr="002A6AEF">
        <w:trPr>
          <w:trHeight w:val="299"/>
        </w:trPr>
        <w:tc>
          <w:tcPr>
            <w:tcW w:w="817" w:type="dxa"/>
            <w:vAlign w:val="center"/>
            <w:hideMark/>
          </w:tcPr>
          <w:p w14:paraId="56EC978F" w14:textId="77777777" w:rsidR="00B9760A" w:rsidRPr="00692CED" w:rsidRDefault="00B9760A" w:rsidP="002A6AEF">
            <w:pPr>
              <w:rPr>
                <w:rFonts w:ascii="Century Gothic" w:eastAsia="Arial" w:hAnsi="Century Gothic" w:cs="Arial"/>
                <w:sz w:val="14"/>
                <w:szCs w:val="14"/>
                <w:lang w:val="es-ES" w:eastAsia="es-ES" w:bidi="es-ES"/>
              </w:rPr>
            </w:pPr>
            <w:r w:rsidRPr="00692CED">
              <w:rPr>
                <w:rFonts w:ascii="Century Gothic" w:eastAsia="Arial" w:hAnsi="Century Gothic" w:cs="Arial"/>
                <w:sz w:val="14"/>
                <w:szCs w:val="14"/>
                <w:lang w:val="es-ES" w:eastAsia="es-ES" w:bidi="es-ES"/>
              </w:rPr>
              <w:t>Revisó: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4D7F38F7" w14:textId="77777777" w:rsidR="00B9760A" w:rsidRPr="00692CED" w:rsidRDefault="00B9760A" w:rsidP="002A6AEF">
            <w:pPr>
              <w:rPr>
                <w:rFonts w:ascii="Century Gothic" w:eastAsia="Arial" w:hAnsi="Century Gothic" w:cs="Arial"/>
                <w:sz w:val="14"/>
                <w:szCs w:val="14"/>
                <w:lang w:val="es-ES" w:eastAsia="es-ES" w:bidi="es-ES"/>
              </w:rPr>
            </w:pPr>
            <w:r>
              <w:rPr>
                <w:rFonts w:ascii="Century Gothic" w:eastAsia="Arial" w:hAnsi="Century Gothic" w:cs="Arial"/>
                <w:sz w:val="14"/>
                <w:szCs w:val="14"/>
                <w:lang w:val="es-ES" w:eastAsia="es-ES" w:bidi="es-ES"/>
              </w:rPr>
              <w:t>Diana Carolina Armenta Celis</w:t>
            </w:r>
          </w:p>
          <w:p w14:paraId="24B94AC7" w14:textId="77777777" w:rsidR="00B9760A" w:rsidRPr="00692CED" w:rsidRDefault="00B9760A" w:rsidP="002A6AEF">
            <w:pPr>
              <w:rPr>
                <w:rFonts w:ascii="Century Gothic" w:eastAsia="Arial" w:hAnsi="Century Gothic" w:cs="Arial"/>
                <w:sz w:val="14"/>
                <w:szCs w:val="14"/>
                <w:lang w:val="es-ES" w:eastAsia="es-ES" w:bidi="es-ES"/>
              </w:rPr>
            </w:pPr>
            <w:r w:rsidRPr="5805C172">
              <w:rPr>
                <w:rFonts w:ascii="Century Gothic" w:eastAsia="Arial" w:hAnsi="Century Gothic" w:cs="Arial"/>
                <w:sz w:val="14"/>
                <w:szCs w:val="14"/>
                <w:lang w:val="es-ES" w:eastAsia="es-ES" w:bidi="es-ES"/>
              </w:rPr>
              <w:t xml:space="preserve">Contratista de la Subdirección de Gestión Contractual </w:t>
            </w:r>
          </w:p>
          <w:p w14:paraId="73766F1C" w14:textId="77777777" w:rsidR="00B9760A" w:rsidRPr="00692CED" w:rsidRDefault="00B9760A" w:rsidP="002A6AEF">
            <w:pPr>
              <w:rPr>
                <w:rFonts w:ascii="Century Gothic" w:eastAsia="Arial" w:hAnsi="Century Gothic" w:cs="Arial"/>
                <w:sz w:val="14"/>
                <w:szCs w:val="14"/>
                <w:lang w:val="es-ES" w:eastAsia="es-ES" w:bidi="es-ES"/>
              </w:rPr>
            </w:pPr>
            <w:r w:rsidRPr="5805C172">
              <w:rPr>
                <w:rFonts w:ascii="Century Gothic" w:eastAsia="Arial" w:hAnsi="Century Gothic" w:cs="Arial"/>
                <w:sz w:val="14"/>
                <w:szCs w:val="14"/>
                <w:lang w:val="es-ES" w:eastAsia="es-ES" w:bidi="es-ES"/>
              </w:rPr>
              <w:t>Gabriel Mendoza</w:t>
            </w:r>
          </w:p>
          <w:p w14:paraId="21917591" w14:textId="77777777" w:rsidR="00B9760A" w:rsidRPr="00692CED" w:rsidRDefault="00B9760A" w:rsidP="002A6AEF">
            <w:pPr>
              <w:rPr>
                <w:rFonts w:ascii="Century Gothic" w:eastAsia="Arial" w:hAnsi="Century Gothic" w:cs="Arial"/>
                <w:sz w:val="14"/>
                <w:szCs w:val="14"/>
                <w:lang w:val="es-ES" w:eastAsia="es-ES" w:bidi="es-ES"/>
              </w:rPr>
            </w:pPr>
            <w:r w:rsidRPr="5805C172">
              <w:rPr>
                <w:rFonts w:ascii="Century Gothic" w:eastAsia="Arial" w:hAnsi="Century Gothic" w:cs="Arial"/>
                <w:sz w:val="14"/>
                <w:szCs w:val="14"/>
                <w:lang w:val="es-ES" w:eastAsia="es-ES" w:bidi="es-ES"/>
              </w:rPr>
              <w:t xml:space="preserve">Contratista de la Subdirección de Gestión Contractual </w:t>
            </w:r>
          </w:p>
        </w:tc>
      </w:tr>
      <w:tr w:rsidR="00B9760A" w:rsidRPr="00692CED" w14:paraId="29FDC99F" w14:textId="77777777" w:rsidTr="002A6AEF">
        <w:trPr>
          <w:trHeight w:val="272"/>
        </w:trPr>
        <w:tc>
          <w:tcPr>
            <w:tcW w:w="817" w:type="dxa"/>
            <w:vAlign w:val="center"/>
            <w:hideMark/>
          </w:tcPr>
          <w:p w14:paraId="1F24DE52" w14:textId="77777777" w:rsidR="00B9760A" w:rsidRPr="00692CED" w:rsidRDefault="00B9760A" w:rsidP="002A6AEF">
            <w:pPr>
              <w:rPr>
                <w:rFonts w:ascii="Century Gothic" w:eastAsia="Arial" w:hAnsi="Century Gothic" w:cs="Arial"/>
                <w:sz w:val="14"/>
                <w:szCs w:val="14"/>
                <w:lang w:val="es-ES" w:eastAsia="es-ES" w:bidi="es-ES"/>
              </w:rPr>
            </w:pPr>
            <w:r w:rsidRPr="00692CED">
              <w:rPr>
                <w:rFonts w:ascii="Century Gothic" w:eastAsia="Arial" w:hAnsi="Century Gothic" w:cs="Arial"/>
                <w:sz w:val="14"/>
                <w:szCs w:val="14"/>
                <w:lang w:val="es-ES" w:eastAsia="es-ES" w:bidi="es-ES"/>
              </w:rPr>
              <w:t>Aprobó: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6471BBB1" w14:textId="77777777" w:rsidR="00B9760A" w:rsidRPr="00692CED" w:rsidRDefault="00B9760A" w:rsidP="002A6AEF">
            <w:pPr>
              <w:rPr>
                <w:rFonts w:ascii="Century Gothic" w:eastAsia="Arial" w:hAnsi="Century Gothic" w:cs="Arial"/>
                <w:sz w:val="14"/>
                <w:szCs w:val="14"/>
                <w:lang w:val="es-ES" w:eastAsia="es-ES" w:bidi="es-ES"/>
              </w:rPr>
            </w:pPr>
            <w:proofErr w:type="spellStart"/>
            <w:r w:rsidRPr="00692CED">
              <w:rPr>
                <w:rFonts w:ascii="Century Gothic" w:eastAsia="Arial" w:hAnsi="Century Gothic" w:cs="Arial"/>
                <w:sz w:val="14"/>
                <w:szCs w:val="14"/>
                <w:lang w:val="es-ES" w:eastAsia="es-ES" w:bidi="es-ES"/>
              </w:rPr>
              <w:t>Nohelia</w:t>
            </w:r>
            <w:proofErr w:type="spellEnd"/>
            <w:r w:rsidRPr="00692CED">
              <w:rPr>
                <w:rFonts w:ascii="Century Gothic" w:eastAsia="Arial" w:hAnsi="Century Gothic" w:cs="Arial"/>
                <w:sz w:val="14"/>
                <w:szCs w:val="14"/>
                <w:lang w:val="es-ES" w:eastAsia="es-ES" w:bidi="es-ES"/>
              </w:rPr>
              <w:t xml:space="preserve"> del Carmen </w:t>
            </w:r>
            <w:proofErr w:type="spellStart"/>
            <w:r w:rsidRPr="00692CED">
              <w:rPr>
                <w:rFonts w:ascii="Century Gothic" w:eastAsia="Arial" w:hAnsi="Century Gothic" w:cs="Arial"/>
                <w:sz w:val="14"/>
                <w:szCs w:val="14"/>
                <w:lang w:val="es-ES" w:eastAsia="es-ES" w:bidi="es-ES"/>
              </w:rPr>
              <w:t>Zawady</w:t>
            </w:r>
            <w:proofErr w:type="spellEnd"/>
            <w:r w:rsidRPr="00692CED">
              <w:rPr>
                <w:rFonts w:ascii="Century Gothic" w:eastAsia="Arial" w:hAnsi="Century Gothic" w:cs="Arial"/>
                <w:sz w:val="14"/>
                <w:szCs w:val="14"/>
                <w:lang w:val="es-ES" w:eastAsia="es-ES" w:bidi="es-ES"/>
              </w:rPr>
              <w:t xml:space="preserve"> Palacio</w:t>
            </w:r>
          </w:p>
          <w:p w14:paraId="7A3A4F36" w14:textId="77777777" w:rsidR="00B9760A" w:rsidRPr="00692CED" w:rsidRDefault="00B9760A" w:rsidP="002A6AEF">
            <w:pPr>
              <w:rPr>
                <w:rFonts w:ascii="Century Gothic" w:eastAsia="Arial" w:hAnsi="Century Gothic" w:cs="Arial"/>
                <w:sz w:val="14"/>
                <w:szCs w:val="14"/>
                <w:lang w:val="es-ES" w:eastAsia="es-ES" w:bidi="es-ES"/>
              </w:rPr>
            </w:pPr>
            <w:r w:rsidRPr="00692CED">
              <w:rPr>
                <w:rFonts w:ascii="Century Gothic" w:eastAsia="Arial" w:hAnsi="Century Gothic" w:cs="Arial"/>
                <w:sz w:val="14"/>
                <w:szCs w:val="14"/>
                <w:lang w:val="es-ES" w:eastAsia="es-ES" w:bidi="es-ES"/>
              </w:rPr>
              <w:t>Subdirector de Gestión Contractual ANCP – CCE</w:t>
            </w:r>
          </w:p>
        </w:tc>
      </w:tr>
      <w:bookmarkEnd w:id="18"/>
    </w:tbl>
    <w:p w14:paraId="082CAE1C" w14:textId="77777777" w:rsidR="00B9760A" w:rsidRPr="00692CED" w:rsidRDefault="00B9760A" w:rsidP="00B9760A">
      <w:pPr>
        <w:widowControl w:val="0"/>
        <w:autoSpaceDE w:val="0"/>
        <w:autoSpaceDN w:val="0"/>
        <w:spacing w:after="18"/>
        <w:jc w:val="center"/>
        <w:rPr>
          <w:rFonts w:ascii="Century Gothic" w:eastAsia="Arial" w:hAnsi="Century Gothic" w:cs="Arial"/>
          <w:lang w:val="es-ES" w:eastAsia="es-CO" w:bidi="es-ES"/>
        </w:rPr>
      </w:pPr>
    </w:p>
    <w:p w14:paraId="35201761" w14:textId="77777777" w:rsidR="00B9760A" w:rsidRPr="00692CED" w:rsidRDefault="00B9760A" w:rsidP="00B9760A">
      <w:pPr>
        <w:widowControl w:val="0"/>
        <w:autoSpaceDE w:val="0"/>
        <w:autoSpaceDN w:val="0"/>
        <w:rPr>
          <w:rFonts w:ascii="Century Gothic" w:eastAsia="Arial" w:hAnsi="Century Gothic" w:cs="Arial"/>
          <w:lang w:val="es-ES" w:eastAsia="es-ES" w:bidi="es-ES"/>
        </w:rPr>
      </w:pPr>
    </w:p>
    <w:p w14:paraId="2B2DA85A" w14:textId="77777777" w:rsidR="00B9760A" w:rsidRPr="00692CED" w:rsidRDefault="00B9760A" w:rsidP="00B9760A">
      <w:pPr>
        <w:widowControl w:val="0"/>
        <w:autoSpaceDE w:val="0"/>
        <w:autoSpaceDN w:val="0"/>
        <w:rPr>
          <w:rFonts w:ascii="Century Gothic" w:eastAsia="Arial" w:hAnsi="Century Gothic" w:cs="Arial"/>
          <w:lang w:val="es-ES" w:eastAsia="es-ES" w:bidi="es-ES"/>
        </w:rPr>
      </w:pPr>
    </w:p>
    <w:p w14:paraId="11A03C72" w14:textId="77777777" w:rsidR="00B9760A" w:rsidRPr="00692CED" w:rsidRDefault="00B9760A" w:rsidP="00B9760A">
      <w:pPr>
        <w:widowControl w:val="0"/>
        <w:autoSpaceDE w:val="0"/>
        <w:autoSpaceDN w:val="0"/>
        <w:spacing w:line="276" w:lineRule="auto"/>
        <w:jc w:val="both"/>
        <w:rPr>
          <w:rFonts w:ascii="Century Gothic" w:eastAsia="Times New Roman" w:hAnsi="Century Gothic" w:cs="Arial"/>
          <w:sz w:val="18"/>
          <w:szCs w:val="18"/>
          <w:lang w:val="es-ES_tradnl" w:eastAsia="es-CO" w:bidi="es-ES"/>
        </w:rPr>
      </w:pPr>
    </w:p>
    <w:p w14:paraId="4B3B9A49" w14:textId="77777777" w:rsidR="00B9760A" w:rsidRPr="00692CED" w:rsidRDefault="00B9760A" w:rsidP="00B9760A">
      <w:pPr>
        <w:widowControl w:val="0"/>
        <w:autoSpaceDE w:val="0"/>
        <w:autoSpaceDN w:val="0"/>
        <w:spacing w:line="276" w:lineRule="auto"/>
        <w:jc w:val="both"/>
        <w:rPr>
          <w:rFonts w:ascii="Century Gothic" w:eastAsia="Times New Roman" w:hAnsi="Century Gothic" w:cs="Arial"/>
          <w:sz w:val="18"/>
          <w:szCs w:val="18"/>
          <w:lang w:val="es-ES_tradnl" w:eastAsia="es-CO" w:bidi="es-ES"/>
        </w:rPr>
      </w:pPr>
    </w:p>
    <w:bookmarkEnd w:id="6"/>
    <w:p w14:paraId="489AB730" w14:textId="77777777" w:rsidR="00B9760A" w:rsidRPr="00692CED" w:rsidRDefault="00B9760A" w:rsidP="00B9760A">
      <w:pPr>
        <w:spacing w:line="276" w:lineRule="auto"/>
        <w:jc w:val="both"/>
        <w:rPr>
          <w:rFonts w:ascii="Century Gothic" w:eastAsia="Times New Roman" w:hAnsi="Century Gothic" w:cs="Arial"/>
          <w:sz w:val="16"/>
          <w:szCs w:val="16"/>
          <w:lang w:eastAsia="es-ES"/>
        </w:rPr>
      </w:pPr>
    </w:p>
    <w:p w14:paraId="72729004" w14:textId="77777777" w:rsidR="00B9760A" w:rsidRPr="00692CED" w:rsidRDefault="00B9760A" w:rsidP="00B9760A">
      <w:pPr>
        <w:rPr>
          <w:rFonts w:ascii="Century Gothic" w:hAnsi="Century Gothic"/>
        </w:rPr>
      </w:pPr>
    </w:p>
    <w:p w14:paraId="300BD2A7" w14:textId="77777777" w:rsidR="00B9760A" w:rsidRDefault="00B9760A" w:rsidP="00B9760A">
      <w:pPr>
        <w:jc w:val="both"/>
        <w:rPr>
          <w:rStyle w:val="Hipervnculo"/>
          <w:rFonts w:ascii="Century Gothic" w:hAnsi="Century Gothic"/>
        </w:rPr>
      </w:pPr>
    </w:p>
    <w:bookmarkEnd w:id="5"/>
    <w:p w14:paraId="509D2B68" w14:textId="77777777" w:rsidR="00B9760A" w:rsidRPr="00322A85" w:rsidRDefault="00B9760A" w:rsidP="00B9760A">
      <w:pPr>
        <w:jc w:val="both"/>
        <w:textAlignment w:val="baseline"/>
        <w:rPr>
          <w:rFonts w:ascii="Century Gothic" w:eastAsia="Times New Roman" w:hAnsi="Century Gothic" w:cs="Segoe UI"/>
          <w:color w:val="000000"/>
          <w:sz w:val="18"/>
          <w:szCs w:val="18"/>
          <w:lang w:eastAsia="es-CO"/>
        </w:rPr>
      </w:pPr>
      <w:r w:rsidRPr="00322A85">
        <w:rPr>
          <w:rFonts w:ascii="Century Gothic" w:eastAsia="Times New Roman" w:hAnsi="Century Gothic" w:cs="Segoe UI"/>
          <w:color w:val="000000"/>
          <w:lang w:eastAsia="es-CO"/>
        </w:rPr>
        <w:t> </w:t>
      </w:r>
    </w:p>
    <w:p w14:paraId="38970D59" w14:textId="77777777" w:rsidR="00B9760A" w:rsidRPr="00322A85" w:rsidRDefault="00B9760A" w:rsidP="00B9760A">
      <w:pPr>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15E7DDA3" w14:textId="77777777" w:rsidR="00B9760A" w:rsidRPr="00322A85" w:rsidRDefault="00B9760A" w:rsidP="00B9760A">
      <w:pPr>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7B2E6292" w14:textId="77777777" w:rsidR="00B9760A" w:rsidRPr="00322A85" w:rsidRDefault="00B9760A" w:rsidP="00B9760A">
      <w:pPr>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3D886942" w14:textId="77777777" w:rsidR="00B9760A" w:rsidRPr="00322A85" w:rsidRDefault="00B9760A" w:rsidP="00B9760A">
      <w:pPr>
        <w:jc w:val="both"/>
        <w:textAlignment w:val="baseline"/>
        <w:rPr>
          <w:rFonts w:ascii="Century Gothic" w:eastAsia="Times New Roman" w:hAnsi="Century Gothic" w:cs="Segoe UI"/>
          <w:sz w:val="18"/>
          <w:szCs w:val="18"/>
          <w:lang w:eastAsia="es-CO"/>
        </w:rPr>
      </w:pPr>
      <w:r w:rsidRPr="00322A85">
        <w:rPr>
          <w:rFonts w:ascii="Century Gothic" w:eastAsia="Times New Roman" w:hAnsi="Century Gothic" w:cs="Segoe UI"/>
          <w:lang w:eastAsia="es-CO"/>
        </w:rPr>
        <w:t>  </w:t>
      </w:r>
    </w:p>
    <w:p w14:paraId="353AEA4F" w14:textId="77777777" w:rsidR="00B9760A" w:rsidRPr="00322A85" w:rsidRDefault="00B9760A" w:rsidP="00B9760A">
      <w:pPr>
        <w:jc w:val="both"/>
        <w:rPr>
          <w:rFonts w:ascii="Century Gothic" w:hAnsi="Century Gothic"/>
        </w:rPr>
      </w:pPr>
    </w:p>
    <w:p w14:paraId="695673C2" w14:textId="77777777" w:rsidR="0005082C" w:rsidRPr="00692CED" w:rsidRDefault="0005082C" w:rsidP="00B9760A">
      <w:pPr>
        <w:rPr>
          <w:rFonts w:ascii="Century Gothic" w:hAnsi="Century Gothic" w:cs="Arial"/>
          <w:color w:val="000000"/>
          <w:sz w:val="22"/>
        </w:rPr>
      </w:pPr>
    </w:p>
    <w:sectPr w:rsidR="0005082C" w:rsidRPr="00692CED" w:rsidSect="00D44F32">
      <w:headerReference w:type="default" r:id="rId10"/>
      <w:footerReference w:type="default" r:id="rId11"/>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67A2" w14:textId="77777777" w:rsidR="00121648" w:rsidRDefault="00121648" w:rsidP="00DD4F22">
      <w:r>
        <w:separator/>
      </w:r>
    </w:p>
  </w:endnote>
  <w:endnote w:type="continuationSeparator" w:id="0">
    <w:p w14:paraId="6A385886" w14:textId="77777777" w:rsidR="00121648" w:rsidRDefault="00121648" w:rsidP="00DD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41C1" w14:textId="77777777" w:rsidR="00D44F32" w:rsidRDefault="00D44F32">
    <w:pPr>
      <w:pStyle w:val="Piedepgina"/>
    </w:pPr>
    <w:r>
      <w:rPr>
        <w:noProof/>
        <w:lang w:val="en-US"/>
      </w:rPr>
      <w:drawing>
        <wp:inline distT="0" distB="0" distL="0" distR="0" wp14:anchorId="5D6C3AF2" wp14:editId="1C1E4170">
          <wp:extent cx="5612130" cy="650240"/>
          <wp:effectExtent l="0" t="0" r="762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lang w:val="en-US"/>
      </w:rPr>
      <w:drawing>
        <wp:anchor distT="0" distB="0" distL="114300" distR="114300" simplePos="0" relativeHeight="251662336" behindDoc="0" locked="0" layoutInCell="1" allowOverlap="1" wp14:anchorId="4FC13243" wp14:editId="41B2269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D44F32" w:rsidRPr="00080DA3" w14:paraId="43CC8C72" w14:textId="77777777" w:rsidTr="00D44F32">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F78577D" w14:textId="77777777" w:rsidR="00D44F32" w:rsidRPr="003F3941" w:rsidRDefault="00D44F32" w:rsidP="00D44F3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6C1301A" w14:textId="77777777" w:rsidR="00D44F32" w:rsidRPr="003F3941" w:rsidRDefault="00D44F32" w:rsidP="00D44F3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C5F192E" w14:textId="77777777" w:rsidR="00D44F32" w:rsidRPr="003F3941" w:rsidRDefault="00D44F32" w:rsidP="00D44F3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55DB58" w14:textId="0BDC204C" w:rsidR="00D44F32" w:rsidRPr="003F3941" w:rsidRDefault="00D44F32" w:rsidP="00D44F3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E2258A">
            <w:rPr>
              <w:rFonts w:ascii="Century Gothic" w:hAnsi="Century Gothic"/>
              <w:b/>
              <w:bCs/>
              <w:noProof/>
              <w:sz w:val="16"/>
              <w:szCs w:val="16"/>
            </w:rPr>
            <w:t>21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E2258A">
            <w:rPr>
              <w:rFonts w:ascii="Century Gothic" w:hAnsi="Century Gothic"/>
              <w:b/>
              <w:bCs/>
              <w:noProof/>
              <w:sz w:val="16"/>
              <w:szCs w:val="16"/>
            </w:rPr>
            <w:t>32</w:t>
          </w:r>
          <w:r w:rsidRPr="003F3941">
            <w:rPr>
              <w:rFonts w:ascii="Century Gothic" w:hAnsi="Century Gothic"/>
              <w:b/>
              <w:bCs/>
              <w:sz w:val="16"/>
              <w:szCs w:val="16"/>
            </w:rPr>
            <w:fldChar w:fldCharType="end"/>
          </w:r>
        </w:p>
      </w:tc>
    </w:tr>
  </w:tbl>
  <w:p w14:paraId="1934C436" w14:textId="77777777" w:rsidR="00D44F32" w:rsidRDefault="00D44F32" w:rsidP="00D44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03AF" w14:textId="77777777" w:rsidR="00121648" w:rsidRDefault="00121648" w:rsidP="00DD4F22">
      <w:r>
        <w:separator/>
      </w:r>
    </w:p>
  </w:footnote>
  <w:footnote w:type="continuationSeparator" w:id="0">
    <w:p w14:paraId="546042BD" w14:textId="77777777" w:rsidR="00121648" w:rsidRDefault="00121648" w:rsidP="00DD4F22">
      <w:r>
        <w:continuationSeparator/>
      </w:r>
    </w:p>
  </w:footnote>
  <w:footnote w:id="1">
    <w:p w14:paraId="7B4F9511" w14:textId="77777777" w:rsidR="00E2258A" w:rsidRPr="00DE64F1" w:rsidRDefault="00E2258A" w:rsidP="00E2258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716AF7A" w14:textId="77777777" w:rsidR="00E2258A" w:rsidRPr="00DE64F1" w:rsidRDefault="00E2258A" w:rsidP="00E2258A">
      <w:pPr>
        <w:pStyle w:val="Textonotapie"/>
        <w:ind w:firstLine="708"/>
        <w:contextualSpacing/>
        <w:jc w:val="both"/>
        <w:rPr>
          <w:rFonts w:ascii="Century Gothic" w:hAnsi="Century Gothic" w:cs="Arial"/>
        </w:rPr>
      </w:pPr>
      <w:r w:rsidRPr="00DE64F1">
        <w:rPr>
          <w:rFonts w:ascii="Century Gothic" w:hAnsi="Century Gothic" w:cs="Arial"/>
        </w:rPr>
        <w:t>La regla precedente se aplicará, inclusive, a las sociedades en las que las entidades públicas sean parte, sin atender al porcentaje que sus aportes representen dentro del capital social, ni a la naturaleza del acto o del derecho que se ejerce.</w:t>
      </w:r>
    </w:p>
    <w:p w14:paraId="7C56B05C" w14:textId="77777777" w:rsidR="00E2258A" w:rsidRPr="00DE64F1" w:rsidRDefault="00E2258A" w:rsidP="00E2258A">
      <w:pPr>
        <w:pStyle w:val="Textonotapie"/>
        <w:ind w:firstLine="708"/>
        <w:contextualSpacing/>
        <w:jc w:val="both"/>
        <w:rPr>
          <w:rFonts w:ascii="Century Gothic" w:hAnsi="Century Gothic" w:cs="Arial"/>
        </w:rPr>
      </w:pPr>
      <w:r w:rsidRPr="00DE64F1">
        <w:rPr>
          <w:rFonts w:ascii="Century Gothic" w:hAnsi="Century Gothic" w:cs="Arial"/>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24B8BFD8" w14:textId="77777777" w:rsidR="00E2258A" w:rsidRPr="00DE64F1" w:rsidRDefault="00E2258A" w:rsidP="00E2258A">
      <w:pPr>
        <w:pStyle w:val="Textonotapie"/>
        <w:ind w:firstLine="708"/>
        <w:contextualSpacing/>
        <w:jc w:val="both"/>
        <w:rPr>
          <w:rFonts w:ascii="Century Gothic" w:hAnsi="Century Gothic" w:cs="Arial"/>
        </w:rPr>
      </w:pPr>
    </w:p>
  </w:footnote>
  <w:footnote w:id="2">
    <w:p w14:paraId="5EA49636" w14:textId="77777777" w:rsidR="00E2258A" w:rsidRPr="00DE64F1" w:rsidRDefault="00E2258A" w:rsidP="00E2258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Consejo de Estado. Sección Tercera, Subsección C. Sentencia del 13 de abril de 2011. </w:t>
      </w:r>
      <w:proofErr w:type="spellStart"/>
      <w:r w:rsidRPr="00DE64F1">
        <w:rPr>
          <w:rFonts w:ascii="Century Gothic" w:hAnsi="Century Gothic" w:cs="Arial"/>
        </w:rPr>
        <w:t>Exp</w:t>
      </w:r>
      <w:proofErr w:type="spellEnd"/>
      <w:r w:rsidRPr="00DE64F1">
        <w:rPr>
          <w:rFonts w:ascii="Century Gothic" w:hAnsi="Century Gothic" w:cs="Arial"/>
        </w:rPr>
        <w:t xml:space="preserve">. 37423. Consejero Ponente: Jaime Orlando </w:t>
      </w:r>
      <w:proofErr w:type="spellStart"/>
      <w:r w:rsidRPr="00DE64F1">
        <w:rPr>
          <w:rFonts w:ascii="Century Gothic" w:hAnsi="Century Gothic" w:cs="Arial"/>
        </w:rPr>
        <w:t>Santofimio</w:t>
      </w:r>
      <w:proofErr w:type="spellEnd"/>
      <w:r w:rsidRPr="00DE64F1">
        <w:rPr>
          <w:rFonts w:ascii="Century Gothic" w:hAnsi="Century Gothic" w:cs="Arial"/>
        </w:rPr>
        <w:t xml:space="preserve"> Gamboa. En similar sentido, puede verse la Sentencia del Consejo de Estado. Sección Tercera. Subsección B, del 15 de noviembre de 2011. </w:t>
      </w:r>
      <w:proofErr w:type="spellStart"/>
      <w:r w:rsidRPr="00DE64F1">
        <w:rPr>
          <w:rFonts w:ascii="Century Gothic" w:hAnsi="Century Gothic" w:cs="Arial"/>
        </w:rPr>
        <w:t>Exp</w:t>
      </w:r>
      <w:proofErr w:type="spellEnd"/>
      <w:r w:rsidRPr="00DE64F1">
        <w:rPr>
          <w:rFonts w:ascii="Century Gothic" w:hAnsi="Century Gothic" w:cs="Arial"/>
        </w:rPr>
        <w:t>. 21178. Consejera ponente: Ruth Stella Correa Palacio.</w:t>
      </w:r>
    </w:p>
    <w:p w14:paraId="6B23802A" w14:textId="77777777" w:rsidR="00E2258A" w:rsidRPr="00DE64F1" w:rsidRDefault="00E2258A" w:rsidP="00E2258A">
      <w:pPr>
        <w:pStyle w:val="Textonotapie"/>
        <w:ind w:firstLine="708"/>
        <w:contextualSpacing/>
        <w:jc w:val="both"/>
        <w:rPr>
          <w:rFonts w:ascii="Century Gothic" w:hAnsi="Century Gothic" w:cs="Arial"/>
        </w:rPr>
      </w:pPr>
    </w:p>
  </w:footnote>
  <w:footnote w:id="3">
    <w:p w14:paraId="699945F5" w14:textId="77777777" w:rsidR="00B9760A" w:rsidRPr="00DE64F1" w:rsidRDefault="00B9760A" w:rsidP="00B9760A">
      <w:pPr>
        <w:pStyle w:val="Textonotapie"/>
        <w:ind w:firstLine="708"/>
        <w:jc w:val="both"/>
        <w:rPr>
          <w:rFonts w:ascii="Arial" w:hAnsi="Arial" w:cs="Arial"/>
        </w:rPr>
      </w:pPr>
    </w:p>
    <w:p w14:paraId="381DB33A" w14:textId="77777777" w:rsidR="00B9760A" w:rsidRPr="00DE64F1" w:rsidRDefault="00B9760A" w:rsidP="00B9760A">
      <w:pPr>
        <w:pStyle w:val="Textonotapie"/>
        <w:ind w:firstLine="708"/>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DE64F1">
        <w:rPr>
          <w:rFonts w:ascii="Arial" w:hAnsi="Arial" w:cs="Arial"/>
          <w:i/>
          <w:iCs/>
        </w:rPr>
        <w:t>ibidem</w:t>
      </w:r>
      <w:proofErr w:type="spellEnd"/>
      <w:r w:rsidRPr="00DE64F1">
        <w:rPr>
          <w:rFonts w:ascii="Arial" w:hAnsi="Arial" w:cs="Arial"/>
          <w:i/>
          <w:iCs/>
        </w:rPr>
        <w:t xml:space="preserve"> </w:t>
      </w:r>
      <w:r w:rsidRPr="00DE64F1">
        <w:rPr>
          <w:rFonts w:ascii="Arial" w:hAnsi="Arial" w:cs="Arial"/>
        </w:rPr>
        <w:t>señala, de manera precisa, las funciones de Colombia Compra Eficiente. Concretamente, el numeral 5º de este artículo establece que le corresponde a esta entidad: “[a]</w:t>
      </w:r>
      <w:proofErr w:type="spellStart"/>
      <w:r w:rsidRPr="00DE64F1">
        <w:rPr>
          <w:rFonts w:ascii="Arial" w:hAnsi="Arial" w:cs="Arial"/>
        </w:rPr>
        <w:t>bsolver</w:t>
      </w:r>
      <w:proofErr w:type="spellEnd"/>
      <w:r w:rsidRPr="00DE64F1">
        <w:rPr>
          <w:rFonts w:ascii="Arial" w:hAnsi="Arial" w:cs="Arial"/>
        </w:rPr>
        <w:t xml:space="preserve"> consultas sobre la aplicación de normas de carácter general y expedir circulares externas en materia de compras y contratación pública”. Seguidamente, el numeral 8º del artículo 11 </w:t>
      </w:r>
      <w:proofErr w:type="spellStart"/>
      <w:r w:rsidRPr="00DE64F1">
        <w:rPr>
          <w:rFonts w:ascii="Arial" w:hAnsi="Arial" w:cs="Arial"/>
        </w:rPr>
        <w:t>ibidem</w:t>
      </w:r>
      <w:proofErr w:type="spellEnd"/>
      <w:r w:rsidRPr="00DE64F1">
        <w:rPr>
          <w:rFonts w:ascii="Arial" w:hAnsi="Arial" w:cs="Arial"/>
        </w:rPr>
        <w:t xml:space="preserve"> señala que es función de la Subdirección de Gestión Contractual: “[a]</w:t>
      </w:r>
      <w:proofErr w:type="spellStart"/>
      <w:r w:rsidRPr="00DE64F1">
        <w:rPr>
          <w:rFonts w:ascii="Arial" w:hAnsi="Arial" w:cs="Arial"/>
        </w:rPr>
        <w:t>bsolver</w:t>
      </w:r>
      <w:proofErr w:type="spellEnd"/>
      <w:r w:rsidRPr="00DE64F1">
        <w:rPr>
          <w:rFonts w:ascii="Arial" w:hAnsi="Arial" w:cs="Arial"/>
        </w:rPr>
        <w:t xml:space="preserve"> consultas sobre la aplicación de normas de carácter general”.</w:t>
      </w:r>
    </w:p>
  </w:footnote>
  <w:footnote w:id="4">
    <w:p w14:paraId="66718F23" w14:textId="77777777" w:rsidR="00B9760A" w:rsidRPr="00DE64F1" w:rsidRDefault="00B9760A" w:rsidP="00B9760A">
      <w:pPr>
        <w:pStyle w:val="Textonotapie"/>
        <w:ind w:firstLine="708"/>
        <w:jc w:val="both"/>
        <w:rPr>
          <w:rFonts w:ascii="Century Gothic" w:hAnsi="Century Gothic" w:cs="Arial"/>
          <w:lang w:val="es-ES"/>
        </w:rPr>
      </w:pPr>
      <w:r w:rsidRPr="00DE64F1">
        <w:rPr>
          <w:rStyle w:val="Refdenotaalpie"/>
          <w:rFonts w:ascii="Century Gothic" w:hAnsi="Century Gothic" w:cs="Arial"/>
        </w:rPr>
        <w:footnoteRef/>
      </w:r>
      <w:r w:rsidRPr="00DE64F1">
        <w:rPr>
          <w:rFonts w:ascii="Century Gothic" w:hAnsi="Century Gothic" w:cs="Arial"/>
        </w:rPr>
        <w:t xml:space="preserve"> La Agencia Nacional de Contratación Pública </w:t>
      </w:r>
      <w:r w:rsidRPr="00DE64F1">
        <w:rPr>
          <w:rFonts w:ascii="Arial" w:hAnsi="Arial" w:cs="Arial"/>
        </w:rPr>
        <w:t>‒</w:t>
      </w:r>
      <w:r w:rsidRPr="00DE64F1">
        <w:rPr>
          <w:rFonts w:ascii="Century Gothic" w:hAnsi="Century Gothic" w:cs="Arial"/>
        </w:rPr>
        <w:t xml:space="preserve"> Colombia Compra Eficiente fue creada por el Decreto Ley 4170 de 2011. Su objetivo es servir como ente rector de la pol</w:t>
      </w:r>
      <w:r w:rsidRPr="00DE64F1">
        <w:rPr>
          <w:rFonts w:ascii="Century Gothic" w:hAnsi="Century Gothic" w:cs="Century Gothic"/>
        </w:rPr>
        <w:t>í</w:t>
      </w:r>
      <w:r w:rsidRPr="00DE64F1">
        <w:rPr>
          <w:rFonts w:ascii="Century Gothic" w:hAnsi="Century Gothic" w:cs="Arial"/>
        </w:rPr>
        <w:t>tica de compras y contrataci</w:t>
      </w:r>
      <w:r w:rsidRPr="00DE64F1">
        <w:rPr>
          <w:rFonts w:ascii="Century Gothic" w:hAnsi="Century Gothic" w:cs="Century Gothic"/>
        </w:rPr>
        <w:t>ó</w:t>
      </w:r>
      <w:r w:rsidRPr="00DE64F1">
        <w:rPr>
          <w:rFonts w:ascii="Century Gothic" w:hAnsi="Century Gothic" w:cs="Arial"/>
        </w:rPr>
        <w:t xml:space="preserve">n del Estado. Para tales fines, como </w:t>
      </w:r>
      <w:r w:rsidRPr="00DE64F1">
        <w:rPr>
          <w:rFonts w:ascii="Century Gothic" w:hAnsi="Century Gothic" w:cs="Century Gothic"/>
        </w:rPr>
        <w:t>ó</w:t>
      </w:r>
      <w:r w:rsidRPr="00DE64F1">
        <w:rPr>
          <w:rFonts w:ascii="Century Gothic" w:hAnsi="Century Gothic" w:cs="Arial"/>
        </w:rPr>
        <w:t>rgano t</w:t>
      </w:r>
      <w:r w:rsidRPr="00DE64F1">
        <w:rPr>
          <w:rFonts w:ascii="Century Gothic" w:hAnsi="Century Gothic" w:cs="Century Gothic"/>
        </w:rPr>
        <w:t>é</w:t>
      </w:r>
      <w:r w:rsidRPr="00DE64F1">
        <w:rPr>
          <w:rFonts w:ascii="Century Gothic" w:hAnsi="Century Gothic" w:cs="Arial"/>
        </w:rPr>
        <w:t xml:space="preserve">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DE64F1">
        <w:rPr>
          <w:rFonts w:ascii="Century Gothic" w:hAnsi="Century Gothic" w:cs="Arial"/>
          <w:i/>
          <w:iCs/>
        </w:rPr>
        <w:t>ibidem</w:t>
      </w:r>
      <w:proofErr w:type="spellEnd"/>
      <w:r w:rsidRPr="00DE64F1">
        <w:rPr>
          <w:rFonts w:ascii="Century Gothic" w:hAnsi="Century Gothic" w:cs="Arial"/>
          <w:i/>
          <w:iCs/>
        </w:rPr>
        <w:t xml:space="preserve"> </w:t>
      </w:r>
      <w:r w:rsidRPr="00DE64F1">
        <w:rPr>
          <w:rFonts w:ascii="Century Gothic" w:hAnsi="Century Gothic" w:cs="Arial"/>
        </w:rPr>
        <w:t>señala, de manera precisa, las funciones de Colombia Compra Eficiente. Concretamente, el numeral 5º de este artículo establece que le corresponde a esta entidad: “[a]</w:t>
      </w:r>
      <w:proofErr w:type="spellStart"/>
      <w:r w:rsidRPr="00DE64F1">
        <w:rPr>
          <w:rFonts w:ascii="Century Gothic" w:hAnsi="Century Gothic" w:cs="Arial"/>
        </w:rPr>
        <w:t>bsolver</w:t>
      </w:r>
      <w:proofErr w:type="spellEnd"/>
      <w:r w:rsidRPr="00DE64F1">
        <w:rPr>
          <w:rFonts w:ascii="Century Gothic" w:hAnsi="Century Gothic" w:cs="Arial"/>
        </w:rPr>
        <w:t xml:space="preserve"> consultas sobre la aplicación de normas de carácter general y expedir circulares externas en materia de compras y contratación pública”. Seguidamente, el numeral 8º del artículo 11 </w:t>
      </w:r>
      <w:proofErr w:type="spellStart"/>
      <w:r w:rsidRPr="00DE64F1">
        <w:rPr>
          <w:rFonts w:ascii="Century Gothic" w:hAnsi="Century Gothic" w:cs="Arial"/>
        </w:rPr>
        <w:t>ibidem</w:t>
      </w:r>
      <w:proofErr w:type="spellEnd"/>
      <w:r w:rsidRPr="00DE64F1">
        <w:rPr>
          <w:rFonts w:ascii="Century Gothic" w:hAnsi="Century Gothic" w:cs="Arial"/>
        </w:rPr>
        <w:t xml:space="preserve"> señala que es función de la Subdirección de Gestión Contractual: “[a]</w:t>
      </w:r>
      <w:proofErr w:type="spellStart"/>
      <w:r w:rsidRPr="00DE64F1">
        <w:rPr>
          <w:rFonts w:ascii="Century Gothic" w:hAnsi="Century Gothic" w:cs="Arial"/>
        </w:rPr>
        <w:t>bsolver</w:t>
      </w:r>
      <w:proofErr w:type="spellEnd"/>
      <w:r w:rsidRPr="00DE64F1">
        <w:rPr>
          <w:rFonts w:ascii="Century Gothic" w:hAnsi="Century Gothic" w:cs="Arial"/>
        </w:rPr>
        <w:t xml:space="preserve"> consultas sobre la aplicación de normas de carácter general”. </w:t>
      </w:r>
    </w:p>
  </w:footnote>
  <w:footnote w:id="5">
    <w:p w14:paraId="2D8D0E1A" w14:textId="77777777" w:rsidR="00B9760A" w:rsidRPr="00DE64F1" w:rsidRDefault="00B9760A" w:rsidP="00B9760A">
      <w:pPr>
        <w:pStyle w:val="Textonotapie"/>
        <w:ind w:firstLine="709"/>
        <w:jc w:val="both"/>
        <w:rPr>
          <w:rFonts w:ascii="Arial" w:hAnsi="Arial" w:cs="Arial"/>
        </w:rPr>
      </w:pPr>
      <w:r w:rsidRPr="00DE64F1">
        <w:rPr>
          <w:rStyle w:val="Refdenotaalpie"/>
          <w:rFonts w:ascii="Arial" w:hAnsi="Arial" w:cs="Arial"/>
        </w:rPr>
        <w:footnoteRef/>
      </w:r>
      <w:r w:rsidRPr="00DE64F1">
        <w:rPr>
          <w:rFonts w:ascii="Arial" w:hAnsi="Arial" w:cs="Arial"/>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DE64F1">
          <w:rPr>
            <w:rStyle w:val="Hipervnculo"/>
            <w:rFonts w:ascii="Arial" w:hAnsi="Arial" w:cs="Arial"/>
          </w:rPr>
          <w:t>https://relatoria.colombiacompra.gov.co/busqueda/conceptos</w:t>
        </w:r>
      </w:hyperlink>
      <w:r w:rsidRPr="00DE64F1">
        <w:rPr>
          <w:rStyle w:val="Hipervnculo"/>
          <w:rFonts w:ascii="Arial" w:hAnsi="Arial" w:cs="Arial"/>
        </w:rPr>
        <w:t xml:space="preserve">. </w:t>
      </w:r>
      <w:r w:rsidRPr="00DE64F1">
        <w:rPr>
          <w:rFonts w:ascii="Arial" w:hAnsi="Arial" w:cs="Arial"/>
          <w:shd w:val="clear" w:color="auto" w:fill="E6E6E6"/>
        </w:rPr>
        <w:t xml:space="preserve"> </w:t>
      </w:r>
    </w:p>
  </w:footnote>
  <w:footnote w:id="6">
    <w:p w14:paraId="1762D3DD" w14:textId="77777777" w:rsidR="00B9760A" w:rsidRPr="00DE64F1" w:rsidRDefault="00B9760A" w:rsidP="00B9760A">
      <w:pPr>
        <w:pStyle w:val="Textonotapie"/>
        <w:ind w:firstLine="708"/>
        <w:contextualSpacing/>
        <w:jc w:val="both"/>
        <w:rPr>
          <w:rFonts w:ascii="Century Gothic" w:hAnsi="Century Gothic" w:cs="Arial"/>
          <w:color w:val="000000"/>
        </w:rPr>
      </w:pPr>
      <w:r w:rsidRPr="00DE64F1">
        <w:rPr>
          <w:rStyle w:val="Refdenotaalpie"/>
          <w:rFonts w:ascii="Century Gothic" w:hAnsi="Century Gothic" w:cs="Arial"/>
        </w:rPr>
        <w:footnoteRef/>
      </w:r>
      <w:r w:rsidRPr="00DE64F1">
        <w:rPr>
          <w:rFonts w:ascii="Century Gothic" w:hAnsi="Century Gothic" w:cs="Arial"/>
        </w:rPr>
        <w:t xml:space="preserve"> </w:t>
      </w:r>
      <w:r w:rsidRPr="00DE64F1">
        <w:rPr>
          <w:rFonts w:ascii="Century Gothic" w:hAnsi="Century Gothic" w:cs="Arial"/>
          <w:color w:val="000000"/>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DE64F1">
        <w:rPr>
          <w:rFonts w:ascii="Century Gothic" w:hAnsi="Century Gothic" w:cs="Arial"/>
          <w:bCs/>
          <w:i/>
          <w:iCs/>
          <w:color w:val="000000"/>
        </w:rPr>
        <w:t>las empresas oficiales de servicios públicos</w:t>
      </w:r>
      <w:r w:rsidRPr="00DE64F1">
        <w:rPr>
          <w:rFonts w:ascii="Century Gothic" w:hAnsi="Century Gothic" w:cs="Arial"/>
          <w:color w:val="000000"/>
        </w:rPr>
        <w:t> y las demás entidades creadas por la ley o con su autorización, cuyo objeto principal sea el ejercicio de funciones administrativas, la prestación de servicios públicos o la realización de actividades.</w:t>
      </w:r>
    </w:p>
    <w:p w14:paraId="456685A6" w14:textId="77777777" w:rsidR="00B9760A" w:rsidRPr="00DE64F1" w:rsidRDefault="00B9760A" w:rsidP="00B9760A">
      <w:pPr>
        <w:pStyle w:val="Textonotapie"/>
        <w:ind w:firstLine="708"/>
        <w:contextualSpacing/>
        <w:jc w:val="both"/>
        <w:rPr>
          <w:rFonts w:ascii="Century Gothic" w:hAnsi="Century Gothic" w:cs="Arial"/>
        </w:rPr>
      </w:pPr>
    </w:p>
  </w:footnote>
  <w:footnote w:id="7">
    <w:p w14:paraId="09220C45"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lang w:val="pt-PT"/>
        </w:rPr>
        <w:t xml:space="preserve"> </w:t>
      </w:r>
      <w:r w:rsidRPr="00DE64F1">
        <w:rPr>
          <w:rFonts w:ascii="Century Gothic" w:hAnsi="Century Gothic" w:cs="Arial"/>
          <w:lang w:val="pt-PT"/>
        </w:rPr>
        <w:t xml:space="preserve">Corte Constitucional. Sentencia C-736 de 2007. </w:t>
      </w:r>
      <w:r w:rsidRPr="00DE64F1">
        <w:rPr>
          <w:rFonts w:ascii="Century Gothic" w:hAnsi="Century Gothic" w:cs="Arial"/>
        </w:rPr>
        <w:t>M.P. Marco Gerardo Monroy Cabra.</w:t>
      </w:r>
    </w:p>
    <w:p w14:paraId="7A3D7A2C" w14:textId="77777777" w:rsidR="00B9760A" w:rsidRPr="00DE64F1" w:rsidRDefault="00B9760A" w:rsidP="00B9760A">
      <w:pPr>
        <w:pStyle w:val="Textonotapie"/>
        <w:ind w:firstLine="708"/>
        <w:contextualSpacing/>
        <w:jc w:val="both"/>
        <w:rPr>
          <w:rFonts w:ascii="Century Gothic" w:hAnsi="Century Gothic" w:cs="Arial"/>
        </w:rPr>
      </w:pPr>
    </w:p>
  </w:footnote>
  <w:footnote w:id="8">
    <w:p w14:paraId="2384D249"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w:t>
      </w:r>
      <w:proofErr w:type="spellStart"/>
      <w:r w:rsidRPr="00DE64F1">
        <w:rPr>
          <w:rFonts w:ascii="Century Gothic" w:hAnsi="Century Gothic" w:cs="Arial"/>
        </w:rPr>
        <w:t>Ibid</w:t>
      </w:r>
      <w:proofErr w:type="spellEnd"/>
      <w:r w:rsidRPr="00DE64F1">
        <w:rPr>
          <w:rFonts w:ascii="Century Gothic" w:hAnsi="Century Gothic" w:cs="Arial"/>
        </w:rPr>
        <w:t>.</w:t>
      </w:r>
    </w:p>
    <w:p w14:paraId="39840E5D" w14:textId="77777777" w:rsidR="00B9760A" w:rsidRPr="00DE64F1" w:rsidRDefault="00B9760A" w:rsidP="00B9760A">
      <w:pPr>
        <w:pStyle w:val="Textonotapie"/>
        <w:ind w:firstLine="708"/>
        <w:contextualSpacing/>
        <w:jc w:val="both"/>
        <w:rPr>
          <w:rFonts w:ascii="Century Gothic" w:hAnsi="Century Gothic" w:cs="Arial"/>
        </w:rPr>
      </w:pPr>
    </w:p>
  </w:footnote>
  <w:footnote w:id="9">
    <w:p w14:paraId="1A27E971"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08335DDC"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35A4712D"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0096A44B" w14:textId="77777777" w:rsidR="00B9760A" w:rsidRPr="00DE64F1" w:rsidRDefault="00B9760A" w:rsidP="00B9760A">
      <w:pPr>
        <w:pStyle w:val="Textonotapie"/>
        <w:ind w:firstLine="708"/>
        <w:contextualSpacing/>
        <w:jc w:val="both"/>
        <w:rPr>
          <w:rFonts w:ascii="Century Gothic" w:hAnsi="Century Gothic" w:cs="Arial"/>
        </w:rPr>
      </w:pPr>
    </w:p>
  </w:footnote>
  <w:footnote w:id="10">
    <w:p w14:paraId="2E2975AA"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En efecto, dicho artículo establece: “Pueden prestar los servicios públicos:</w:t>
      </w:r>
    </w:p>
    <w:p w14:paraId="0793B8E1"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15.1. Las empresas de servicios públicos.</w:t>
      </w:r>
    </w:p>
    <w:p w14:paraId="49283E9B"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15.2. Las personas naturales o jurídicas que produzcan para ellas mismas, o como consecuencia o complemento de su actividad principal, los bienes y servicios propios del objeto de las empresas de servicios públicos.</w:t>
      </w:r>
    </w:p>
    <w:p w14:paraId="27F69E9C"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15.3. Los municipios cuando asuman en forma directa, a través de su administración central, la prestación de los servicios públicos, conforme a lo dispuesto en esta Ley.</w:t>
      </w:r>
    </w:p>
    <w:p w14:paraId="3B2F7DD2"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15.4. Las organizaciones autorizadas conforme a esta Ley para prestar servicios públicos en municipios menores en zonas rurales y en áreas o zonas urbanas específicas.</w:t>
      </w:r>
    </w:p>
    <w:p w14:paraId="27FAAF24"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15.5. Las entidades autorizadas para prestar servicios públicos durante los períodos de transición previstos en esta Ley.</w:t>
      </w:r>
    </w:p>
    <w:p w14:paraId="571DC75A"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15.6. Las entidades descentralizadas de cualquier orden territorial o nacional que al momento de expedirse esta Ley estén prestando cualquiera de los servicios públicos y se ajusten a lo establecido</w:t>
      </w:r>
    </w:p>
    <w:p w14:paraId="2C75A848"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en el parágrafo del artículo 17”</w:t>
      </w:r>
    </w:p>
    <w:p w14:paraId="38C58ACE" w14:textId="77777777" w:rsidR="00B9760A" w:rsidRPr="00DE64F1" w:rsidRDefault="00B9760A" w:rsidP="00B9760A">
      <w:pPr>
        <w:pStyle w:val="Textonotapie"/>
        <w:ind w:firstLine="708"/>
        <w:contextualSpacing/>
        <w:jc w:val="both"/>
        <w:rPr>
          <w:rFonts w:ascii="Century Gothic" w:hAnsi="Century Gothic" w:cs="Arial"/>
        </w:rPr>
      </w:pPr>
    </w:p>
  </w:footnote>
  <w:footnote w:id="11">
    <w:p w14:paraId="0D6AC09A"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536B9D86"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La regla precedente se aplicará, inclusive, a las sociedades en las que las entidades públicas sean parte, sin atender al porcentaje que sus aportes representen dentro del capital social, ni a la naturaleza del acto o del derecho que se ejerce.</w:t>
      </w:r>
    </w:p>
    <w:p w14:paraId="628705C1"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70F4A26A" w14:textId="77777777" w:rsidR="00B9760A" w:rsidRPr="00DE64F1" w:rsidRDefault="00B9760A" w:rsidP="00B9760A">
      <w:pPr>
        <w:pStyle w:val="Textonotapie"/>
        <w:ind w:firstLine="708"/>
        <w:contextualSpacing/>
        <w:jc w:val="both"/>
        <w:rPr>
          <w:rFonts w:ascii="Century Gothic" w:hAnsi="Century Gothic" w:cs="Arial"/>
        </w:rPr>
      </w:pPr>
    </w:p>
  </w:footnote>
  <w:footnote w:id="12">
    <w:p w14:paraId="7407AC86"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Consejo de Estado. Sección Tercera, Subsección C. Sentencia del 13 de abril de 2011. </w:t>
      </w:r>
      <w:proofErr w:type="spellStart"/>
      <w:r w:rsidRPr="00DE64F1">
        <w:rPr>
          <w:rFonts w:ascii="Century Gothic" w:hAnsi="Century Gothic" w:cs="Arial"/>
        </w:rPr>
        <w:t>Exp</w:t>
      </w:r>
      <w:proofErr w:type="spellEnd"/>
      <w:r w:rsidRPr="00DE64F1">
        <w:rPr>
          <w:rFonts w:ascii="Century Gothic" w:hAnsi="Century Gothic" w:cs="Arial"/>
        </w:rPr>
        <w:t xml:space="preserve">. 37423. Consejero Ponente: Jaime Orlando </w:t>
      </w:r>
      <w:proofErr w:type="spellStart"/>
      <w:r w:rsidRPr="00DE64F1">
        <w:rPr>
          <w:rFonts w:ascii="Century Gothic" w:hAnsi="Century Gothic" w:cs="Arial"/>
        </w:rPr>
        <w:t>Santofimio</w:t>
      </w:r>
      <w:proofErr w:type="spellEnd"/>
      <w:r w:rsidRPr="00DE64F1">
        <w:rPr>
          <w:rFonts w:ascii="Century Gothic" w:hAnsi="Century Gothic" w:cs="Arial"/>
        </w:rPr>
        <w:t xml:space="preserve"> Gamboa. En similar sentido, puede verse la Sentencia del Consejo de Estado. Sección Tercera. Subsección B, del 15 de noviembre de 2011. </w:t>
      </w:r>
      <w:proofErr w:type="spellStart"/>
      <w:r w:rsidRPr="00DE64F1">
        <w:rPr>
          <w:rFonts w:ascii="Century Gothic" w:hAnsi="Century Gothic" w:cs="Arial"/>
        </w:rPr>
        <w:t>Exp</w:t>
      </w:r>
      <w:proofErr w:type="spellEnd"/>
      <w:r w:rsidRPr="00DE64F1">
        <w:rPr>
          <w:rFonts w:ascii="Century Gothic" w:hAnsi="Century Gothic" w:cs="Arial"/>
        </w:rPr>
        <w:t>. 21178. Consejera ponente: Ruth Stella Correa Palacio.</w:t>
      </w:r>
    </w:p>
    <w:p w14:paraId="65727FCC" w14:textId="77777777" w:rsidR="00B9760A" w:rsidRPr="00DE64F1" w:rsidRDefault="00B9760A" w:rsidP="00B9760A">
      <w:pPr>
        <w:pStyle w:val="Textonotapie"/>
        <w:ind w:firstLine="708"/>
        <w:contextualSpacing/>
        <w:jc w:val="both"/>
        <w:rPr>
          <w:rFonts w:ascii="Century Gothic" w:hAnsi="Century Gothic" w:cs="Arial"/>
        </w:rPr>
      </w:pPr>
    </w:p>
  </w:footnote>
  <w:footnote w:id="13">
    <w:p w14:paraId="749D9D55"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8 Esta norma dispone: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14:paraId="5DA9B91E" w14:textId="77777777" w:rsidR="00B9760A" w:rsidRPr="00DE64F1" w:rsidRDefault="00B9760A" w:rsidP="00B9760A">
      <w:pPr>
        <w:pStyle w:val="Textonotapie"/>
        <w:ind w:firstLine="708"/>
        <w:contextualSpacing/>
        <w:jc w:val="both"/>
        <w:rPr>
          <w:rFonts w:ascii="Century Gothic" w:hAnsi="Century Gothic" w:cs="Arial"/>
        </w:rPr>
      </w:pPr>
    </w:p>
  </w:footnote>
  <w:footnote w:id="14">
    <w:p w14:paraId="532F9BD3" w14:textId="77777777" w:rsidR="00B9760A" w:rsidRPr="00DE64F1" w:rsidRDefault="00B9760A" w:rsidP="00B9760A">
      <w:pPr>
        <w:pStyle w:val="Textonotapie"/>
        <w:ind w:firstLine="708"/>
        <w:jc w:val="both"/>
        <w:rPr>
          <w:rFonts w:ascii="Century Gothic" w:hAnsi="Century Gothic"/>
          <w:lang w:val="es-CO"/>
        </w:rPr>
      </w:pPr>
      <w:r w:rsidRPr="00DE64F1">
        <w:rPr>
          <w:rStyle w:val="Refdenotaalpie"/>
          <w:rFonts w:ascii="Century Gothic" w:hAnsi="Century Gothic"/>
        </w:rPr>
        <w:footnoteRef/>
      </w:r>
      <w:r w:rsidRPr="00DE64F1">
        <w:rPr>
          <w:rFonts w:ascii="Century Gothic" w:hAnsi="Century Gothic"/>
        </w:rPr>
        <w:t xml:space="preserve"> Es el caso de: i) las empresas sociales del Estado (art. 195, </w:t>
      </w:r>
      <w:proofErr w:type="spellStart"/>
      <w:r w:rsidRPr="00DE64F1">
        <w:rPr>
          <w:rFonts w:ascii="Century Gothic" w:hAnsi="Century Gothic"/>
        </w:rPr>
        <w:t>num</w:t>
      </w:r>
      <w:proofErr w:type="spellEnd"/>
      <w:r w:rsidRPr="00DE64F1">
        <w:rPr>
          <w:rFonts w:ascii="Century Gothic" w:hAnsi="Century Gothic"/>
        </w:rPr>
        <w:t xml:space="preserve">.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  </w:t>
      </w:r>
    </w:p>
  </w:footnote>
  <w:footnote w:id="15">
    <w:p w14:paraId="6479C504" w14:textId="77777777" w:rsidR="00B9760A" w:rsidRPr="00DE64F1" w:rsidRDefault="00B9760A" w:rsidP="00B9760A">
      <w:pPr>
        <w:pStyle w:val="Textonotapie"/>
        <w:ind w:firstLine="709"/>
        <w:jc w:val="both"/>
        <w:rPr>
          <w:rFonts w:ascii="Arial" w:hAnsi="Arial" w:cs="Arial"/>
          <w:lang w:val="es-ES_tradnl"/>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pt-BR"/>
        </w:rPr>
        <w:t xml:space="preserve">CORTE CONSTITUCIONAL. Sentencia C-1016 de 2012. M.P. Jorge </w:t>
      </w:r>
      <w:proofErr w:type="spellStart"/>
      <w:r w:rsidRPr="00DE64F1">
        <w:rPr>
          <w:rFonts w:ascii="Arial" w:hAnsi="Arial" w:cs="Arial"/>
          <w:lang w:val="pt-BR"/>
        </w:rPr>
        <w:t>Iván</w:t>
      </w:r>
      <w:proofErr w:type="spellEnd"/>
      <w:r w:rsidRPr="00DE64F1">
        <w:rPr>
          <w:rFonts w:ascii="Arial" w:hAnsi="Arial" w:cs="Arial"/>
          <w:lang w:val="pt-BR"/>
        </w:rPr>
        <w:t xml:space="preserve"> </w:t>
      </w:r>
      <w:proofErr w:type="spellStart"/>
      <w:r w:rsidRPr="00DE64F1">
        <w:rPr>
          <w:rFonts w:ascii="Arial" w:hAnsi="Arial" w:cs="Arial"/>
          <w:lang w:val="pt-BR"/>
        </w:rPr>
        <w:t>Palacio</w:t>
      </w:r>
      <w:proofErr w:type="spellEnd"/>
      <w:r w:rsidRPr="00DE64F1">
        <w:rPr>
          <w:rFonts w:ascii="Arial" w:hAnsi="Arial" w:cs="Arial"/>
          <w:lang w:val="pt-BR"/>
        </w:rPr>
        <w:t>.</w:t>
      </w:r>
    </w:p>
  </w:footnote>
  <w:footnote w:id="16">
    <w:p w14:paraId="2E8822B7" w14:textId="77777777" w:rsidR="00B9760A" w:rsidRPr="00DE64F1" w:rsidRDefault="00B9760A" w:rsidP="00B9760A">
      <w:pPr>
        <w:pStyle w:val="Textonotapie"/>
        <w:ind w:firstLine="709"/>
        <w:jc w:val="both"/>
        <w:rPr>
          <w:rFonts w:ascii="Arial" w:hAnsi="Arial" w:cs="Arial"/>
          <w:lang w:val="pt-BR"/>
        </w:rPr>
      </w:pPr>
      <w:r w:rsidRPr="00DE64F1">
        <w:rPr>
          <w:rStyle w:val="Refdenotaalpie"/>
          <w:rFonts w:ascii="Arial" w:hAnsi="Arial" w:cs="Arial"/>
        </w:rPr>
        <w:footnoteRef/>
      </w:r>
      <w:r w:rsidRPr="00DE64F1">
        <w:rPr>
          <w:rFonts w:ascii="Arial" w:hAnsi="Arial" w:cs="Arial"/>
        </w:rPr>
        <w:t xml:space="preserve"> CONSEJO DE ESTADO. Sección Tercera. Subsección A. Sentencia del 13 de noviembre de 2013. </w:t>
      </w:r>
      <w:r w:rsidRPr="00DE64F1">
        <w:rPr>
          <w:rFonts w:ascii="Arial" w:hAnsi="Arial" w:cs="Arial"/>
          <w:lang w:val="pt-BR"/>
        </w:rPr>
        <w:t xml:space="preserve">Rad. 25.646. C.P. Mauricio Fajardo Gómez.  </w:t>
      </w:r>
    </w:p>
    <w:p w14:paraId="37A88E6A" w14:textId="77777777" w:rsidR="00B9760A" w:rsidRPr="00DE64F1" w:rsidRDefault="00B9760A" w:rsidP="00B9760A">
      <w:pPr>
        <w:pStyle w:val="Textonotapie"/>
        <w:ind w:firstLine="709"/>
        <w:jc w:val="both"/>
        <w:rPr>
          <w:rFonts w:ascii="Arial" w:hAnsi="Arial" w:cs="Arial"/>
          <w:lang w:val="es-ES_tradnl"/>
        </w:rPr>
      </w:pPr>
    </w:p>
  </w:footnote>
  <w:footnote w:id="17">
    <w:p w14:paraId="586C3A5E" w14:textId="77777777" w:rsidR="00B9760A" w:rsidRPr="00DE64F1" w:rsidRDefault="00B9760A" w:rsidP="00B9760A">
      <w:pPr>
        <w:pStyle w:val="Textonotapie"/>
        <w:ind w:firstLine="709"/>
        <w:jc w:val="both"/>
        <w:rPr>
          <w:rFonts w:ascii="Arial" w:hAnsi="Arial" w:cs="Arial"/>
          <w:lang w:val="es-ES_tradnl"/>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pt-BR"/>
        </w:rPr>
        <w:t xml:space="preserve">CORTE CONSTITUCIONAL. Sentencia C-415 de 1994. M.P. Eduardo </w:t>
      </w:r>
      <w:proofErr w:type="spellStart"/>
      <w:r w:rsidRPr="00DE64F1">
        <w:rPr>
          <w:rFonts w:ascii="Arial" w:hAnsi="Arial" w:cs="Arial"/>
          <w:lang w:val="pt-BR"/>
        </w:rPr>
        <w:t>Cifuentes</w:t>
      </w:r>
      <w:proofErr w:type="spellEnd"/>
      <w:r w:rsidRPr="00DE64F1">
        <w:rPr>
          <w:rFonts w:ascii="Arial" w:hAnsi="Arial" w:cs="Arial"/>
          <w:lang w:val="pt-BR"/>
        </w:rPr>
        <w:t xml:space="preserve"> </w:t>
      </w:r>
      <w:proofErr w:type="spellStart"/>
      <w:r w:rsidRPr="00DE64F1">
        <w:rPr>
          <w:rFonts w:ascii="Arial" w:hAnsi="Arial" w:cs="Arial"/>
          <w:lang w:val="pt-BR"/>
        </w:rPr>
        <w:t>Muñoz</w:t>
      </w:r>
      <w:proofErr w:type="spellEnd"/>
      <w:r w:rsidRPr="00DE64F1">
        <w:rPr>
          <w:rFonts w:ascii="Arial" w:hAnsi="Arial" w:cs="Arial"/>
          <w:lang w:val="pt-BR"/>
        </w:rPr>
        <w:t>.</w:t>
      </w:r>
    </w:p>
  </w:footnote>
  <w:footnote w:id="18">
    <w:p w14:paraId="4B081B63" w14:textId="77777777" w:rsidR="00B9760A" w:rsidRPr="00DE64F1" w:rsidRDefault="00B9760A" w:rsidP="00B9760A">
      <w:pPr>
        <w:pStyle w:val="Textonotapie"/>
        <w:ind w:firstLine="709"/>
        <w:jc w:val="both"/>
        <w:rPr>
          <w:rFonts w:ascii="Arial" w:hAnsi="Arial" w:cs="Arial"/>
          <w:lang w:val="pt-BR"/>
        </w:rPr>
      </w:pPr>
      <w:r w:rsidRPr="00DE64F1">
        <w:rPr>
          <w:rStyle w:val="Refdenotaalpie"/>
          <w:rFonts w:ascii="Arial" w:hAnsi="Arial" w:cs="Arial"/>
        </w:rPr>
        <w:footnoteRef/>
      </w:r>
      <w:r w:rsidRPr="00DE64F1">
        <w:rPr>
          <w:rFonts w:ascii="Arial" w:hAnsi="Arial" w:cs="Arial"/>
        </w:rPr>
        <w:t xml:space="preserve"> </w:t>
      </w:r>
      <w:proofErr w:type="spellStart"/>
      <w:r w:rsidRPr="00DE64F1">
        <w:rPr>
          <w:rFonts w:ascii="Arial" w:hAnsi="Arial" w:cs="Arial"/>
          <w:lang w:val="pt-BR"/>
        </w:rPr>
        <w:t>Ibídem</w:t>
      </w:r>
      <w:proofErr w:type="spellEnd"/>
      <w:r w:rsidRPr="00DE64F1">
        <w:rPr>
          <w:rFonts w:ascii="Arial" w:hAnsi="Arial" w:cs="Arial"/>
          <w:lang w:val="pt-BR"/>
        </w:rPr>
        <w:t>.</w:t>
      </w:r>
    </w:p>
    <w:p w14:paraId="110F8CBE" w14:textId="77777777" w:rsidR="00B9760A" w:rsidRPr="00DE64F1" w:rsidRDefault="00B9760A" w:rsidP="00B9760A">
      <w:pPr>
        <w:pStyle w:val="Textonotapie"/>
        <w:ind w:firstLine="709"/>
        <w:jc w:val="both"/>
        <w:rPr>
          <w:rFonts w:ascii="Arial" w:hAnsi="Arial" w:cs="Arial"/>
          <w:lang w:val="pt-BR"/>
        </w:rPr>
      </w:pPr>
    </w:p>
  </w:footnote>
  <w:footnote w:id="19">
    <w:p w14:paraId="1C971E75" w14:textId="77777777" w:rsidR="00B9760A" w:rsidRPr="00DE64F1" w:rsidRDefault="00B9760A" w:rsidP="00B9760A">
      <w:pPr>
        <w:pStyle w:val="Textonotapie"/>
        <w:ind w:firstLine="709"/>
        <w:jc w:val="both"/>
        <w:rPr>
          <w:rFonts w:ascii="Arial" w:hAnsi="Arial" w:cs="Arial"/>
          <w:lang w:val="es-CO"/>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pt-BR"/>
        </w:rPr>
        <w:t xml:space="preserve">CORTE CONSTITUCIONAL. </w:t>
      </w:r>
      <w:r w:rsidRPr="00DE64F1">
        <w:rPr>
          <w:rFonts w:ascii="Arial" w:hAnsi="Arial" w:cs="Arial"/>
        </w:rPr>
        <w:t xml:space="preserve">Sentencia C-780 de 2001. </w:t>
      </w:r>
      <w:r w:rsidRPr="00DE64F1">
        <w:rPr>
          <w:rFonts w:ascii="Arial" w:hAnsi="Arial" w:cs="Arial"/>
          <w:lang w:val="es-CO"/>
        </w:rPr>
        <w:t xml:space="preserve">M.P. Jaime Córdoba Triviño. </w:t>
      </w:r>
    </w:p>
  </w:footnote>
  <w:footnote w:id="20">
    <w:p w14:paraId="6C782247" w14:textId="77777777" w:rsidR="00B9760A" w:rsidRPr="00DE64F1" w:rsidRDefault="00B9760A" w:rsidP="00B9760A">
      <w:pPr>
        <w:pStyle w:val="NormalWeb"/>
        <w:spacing w:before="0" w:beforeAutospacing="0" w:after="0" w:afterAutospacing="0"/>
        <w:ind w:firstLine="709"/>
        <w:jc w:val="both"/>
        <w:rPr>
          <w:rFonts w:ascii="Arial" w:hAnsi="Arial" w:cs="Arial"/>
          <w:sz w:val="20"/>
          <w:szCs w:val="20"/>
        </w:rPr>
      </w:pPr>
    </w:p>
    <w:p w14:paraId="57C7EB56"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Style w:val="Refdenotaalpie"/>
          <w:rFonts w:ascii="Arial" w:hAnsi="Arial" w:cs="Arial"/>
          <w:sz w:val="20"/>
          <w:szCs w:val="20"/>
        </w:rPr>
        <w:footnoteRef/>
      </w:r>
      <w:r w:rsidRPr="00DE64F1">
        <w:rPr>
          <w:rFonts w:ascii="Arial" w:hAnsi="Arial" w:cs="Arial"/>
          <w:sz w:val="20"/>
          <w:szCs w:val="20"/>
        </w:rPr>
        <w:t xml:space="preserve"> </w:t>
      </w:r>
      <w:r w:rsidRPr="00DE64F1">
        <w:rPr>
          <w:rFonts w:ascii="Arial" w:eastAsiaTheme="minorHAnsi" w:hAnsi="Arial" w:cs="Arial"/>
          <w:sz w:val="20"/>
          <w:szCs w:val="20"/>
          <w:lang w:val="es-ES" w:eastAsia="en-US"/>
        </w:rPr>
        <w:t>Ley 80 de 1993: “Artículo 8: 1o. Son inhábiles para participar en licitaciones o concursos y para celebrar contratos con las entidades estatales: </w:t>
      </w:r>
    </w:p>
    <w:p w14:paraId="2B9C31AA"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a) Las personas que se hallen inhabilitadas para contratar por la Constitución y las leyes. </w:t>
      </w:r>
    </w:p>
    <w:p w14:paraId="2229FE0F"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b) Quienes participaron en las licitaciones o concursos o celebraron los contratos de que trata el literal anterior estando inhabilitados. </w:t>
      </w:r>
    </w:p>
    <w:p w14:paraId="40043AE0"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c) Quienes dieron lugar a la declaratoria de caducidad. </w:t>
      </w:r>
    </w:p>
    <w:p w14:paraId="7D536A67"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d) Quienes en sentencia judicial hayan sido condenados a la pena accesoria de interdicción de derechos y funciones públicas y quienes hayan sido sancionados disciplinariamente con destitución. </w:t>
      </w:r>
    </w:p>
    <w:p w14:paraId="0425F91E"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e) Quienes sin justa causa se abstengan de suscribir el contrato estatal adjudicado. </w:t>
      </w:r>
    </w:p>
    <w:p w14:paraId="3FD2A594"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f) Los servidores públicos. </w:t>
      </w:r>
    </w:p>
    <w:p w14:paraId="0F26E2A7"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61D1E9DF"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4D05FB9C"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i) Los socios de sociedades de personas a las cuales se haya declarado la caducidad, así como las sociedades de personas de las que aquellos formen parte con posterioridad a dicha declaratoria. </w:t>
      </w:r>
    </w:p>
    <w:p w14:paraId="79926337"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7FF5231F"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A515D0F"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DE64F1">
        <w:rPr>
          <w:rFonts w:ascii="Arial" w:eastAsiaTheme="minorHAnsi" w:hAnsi="Arial" w:cs="Arial"/>
          <w:sz w:val="20"/>
          <w:szCs w:val="20"/>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DE64F1">
        <w:rPr>
          <w:rFonts w:ascii="Arial" w:eastAsiaTheme="minorHAnsi" w:hAnsi="Arial" w:cs="Arial"/>
          <w:sz w:val="20"/>
          <w:szCs w:val="20"/>
          <w:lang w:val="es-ES" w:eastAsia="en-US"/>
        </w:rPr>
        <w:softHyphen/>
        <w:t>cepción de las sociedades anónimas abiertas. También se considerarán inhabilitadas para contratar, las personas jurídicas sobre las cuales se haya ordenado la suspensión de la perso</w:t>
      </w:r>
      <w:r w:rsidRPr="00DE64F1">
        <w:rPr>
          <w:rFonts w:ascii="Arial" w:eastAsiaTheme="minorHAnsi" w:hAnsi="Arial" w:cs="Arial"/>
          <w:sz w:val="20"/>
          <w:szCs w:val="20"/>
          <w:lang w:val="es-ES" w:eastAsia="en-US"/>
        </w:rPr>
        <w:softHyphen/>
        <w:t>nería jurídica en los términos de ley, o cuyos representantes legales, ad</w:t>
      </w:r>
      <w:r w:rsidRPr="00DE64F1">
        <w:rPr>
          <w:rFonts w:ascii="Arial" w:eastAsiaTheme="minorHAnsi" w:hAnsi="Arial" w:cs="Arial"/>
          <w:sz w:val="20"/>
          <w:szCs w:val="20"/>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DE64F1">
        <w:rPr>
          <w:rFonts w:ascii="Arial" w:eastAsiaTheme="minorHAnsi" w:hAnsi="Arial" w:cs="Arial"/>
          <w:sz w:val="20"/>
          <w:szCs w:val="20"/>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1E6C11F2"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w:t>
      </w:r>
    </w:p>
    <w:p w14:paraId="32F93061" w14:textId="77777777" w:rsidR="00B9760A" w:rsidRPr="00DE64F1" w:rsidRDefault="00B9760A" w:rsidP="00B9760A">
      <w:pPr>
        <w:pStyle w:val="NormalWeb"/>
        <w:spacing w:before="0" w:beforeAutospacing="0" w:after="0" w:afterAutospacing="0"/>
        <w:ind w:firstLine="709"/>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2o. Tampoco podrán participar en licitaciones o concursos ni celebrar contratos estatales con la entidad respectiva: </w:t>
      </w:r>
    </w:p>
    <w:p w14:paraId="1CC1CD4F"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1EE21E5"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379731FF"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3E65DB61"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649DE69D"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18A4EEBA" w14:textId="77777777" w:rsidR="00B9760A" w:rsidRPr="00DE64F1" w:rsidRDefault="00B9760A" w:rsidP="00B9760A">
      <w:pPr>
        <w:pStyle w:val="NormalWeb"/>
        <w:spacing w:before="0" w:beforeAutospacing="0" w:after="0" w:afterAutospacing="0"/>
        <w:ind w:firstLine="708"/>
        <w:jc w:val="both"/>
        <w:rPr>
          <w:rFonts w:ascii="Arial" w:eastAsiaTheme="minorHAnsi" w:hAnsi="Arial" w:cs="Arial"/>
          <w:sz w:val="20"/>
          <w:szCs w:val="20"/>
          <w:lang w:val="es-ES" w:eastAsia="en-US"/>
        </w:rPr>
      </w:pPr>
      <w:r w:rsidRPr="00DE64F1">
        <w:rPr>
          <w:rFonts w:ascii="Arial" w:eastAsiaTheme="minorHAnsi" w:hAnsi="Arial" w:cs="Arial"/>
          <w:sz w:val="20"/>
          <w:szCs w:val="20"/>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footnote>
  <w:footnote w:id="21">
    <w:p w14:paraId="0A67194F" w14:textId="77777777" w:rsidR="00B9760A" w:rsidRPr="00DE64F1" w:rsidRDefault="00B9760A" w:rsidP="00B9760A">
      <w:pPr>
        <w:pStyle w:val="Textonotapie"/>
        <w:ind w:firstLine="709"/>
        <w:jc w:val="both"/>
        <w:rPr>
          <w:rFonts w:ascii="Arial" w:hAnsi="Arial" w:cs="Arial"/>
        </w:rPr>
      </w:pPr>
      <w:r w:rsidRPr="00DE64F1">
        <w:rPr>
          <w:rStyle w:val="Refdenotaalpie"/>
          <w:rFonts w:ascii="Arial" w:hAnsi="Arial" w:cs="Arial"/>
        </w:rPr>
        <w:footnoteRef/>
      </w:r>
      <w:r w:rsidRPr="00DE64F1">
        <w:rPr>
          <w:rFonts w:ascii="Arial" w:hAnsi="Arial" w:cs="Arial"/>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3042A6F8" w14:textId="77777777" w:rsidR="00B9760A" w:rsidRPr="00DE64F1" w:rsidRDefault="00B9760A" w:rsidP="00B9760A">
      <w:pPr>
        <w:pStyle w:val="Textonotapie"/>
        <w:ind w:firstLine="709"/>
        <w:jc w:val="both"/>
        <w:rPr>
          <w:rFonts w:ascii="Arial" w:hAnsi="Arial" w:cs="Arial"/>
        </w:rPr>
      </w:pPr>
      <w:r w:rsidRPr="00DE64F1">
        <w:rPr>
          <w:rFonts w:ascii="Arial" w:hAnsi="Arial" w:cs="Arial"/>
        </w:rPr>
        <w:t>Las personas jurídicas nacionales y extranjeras deberán acreditar que su duración no será inferior a la del plazo del contrato y un año más”.</w:t>
      </w:r>
    </w:p>
  </w:footnote>
  <w:footnote w:id="22">
    <w:p w14:paraId="080C4593" w14:textId="77777777" w:rsidR="00B9760A" w:rsidRPr="00DE64F1" w:rsidRDefault="00B9760A" w:rsidP="00B9760A">
      <w:pPr>
        <w:pStyle w:val="Textonotapie"/>
        <w:ind w:firstLine="709"/>
        <w:jc w:val="both"/>
        <w:rPr>
          <w:rFonts w:ascii="Arial" w:hAnsi="Arial" w:cs="Arial"/>
        </w:rPr>
      </w:pPr>
      <w:r w:rsidRPr="00DE64F1">
        <w:rPr>
          <w:rStyle w:val="Refdenotaalpie"/>
          <w:rFonts w:ascii="Arial" w:hAnsi="Arial" w:cs="Arial"/>
        </w:rPr>
        <w:footnoteRef/>
      </w:r>
      <w:r w:rsidRPr="00DE64F1">
        <w:rPr>
          <w:rFonts w:ascii="Arial" w:hAnsi="Arial" w:cs="Arial"/>
        </w:rPr>
        <w:t xml:space="preserve"> Código Civil: “Artículo 1502. Requisitos para obligarse. Para que una persona se obligue a otra por un acto o declaración de voluntad, es necesario:</w:t>
      </w:r>
    </w:p>
    <w:p w14:paraId="59D5C4D5" w14:textId="77777777" w:rsidR="00B9760A" w:rsidRPr="00DE64F1" w:rsidRDefault="00B9760A" w:rsidP="00B9760A">
      <w:pPr>
        <w:pStyle w:val="Textonotapie"/>
        <w:ind w:firstLine="709"/>
        <w:jc w:val="both"/>
        <w:rPr>
          <w:rFonts w:ascii="Arial" w:hAnsi="Arial" w:cs="Arial"/>
        </w:rPr>
      </w:pPr>
      <w:r w:rsidRPr="00DE64F1">
        <w:rPr>
          <w:rFonts w:ascii="Arial" w:hAnsi="Arial" w:cs="Arial"/>
        </w:rPr>
        <w:t>1o.) que sea legalmente capaz.</w:t>
      </w:r>
    </w:p>
    <w:p w14:paraId="78ED1490" w14:textId="77777777" w:rsidR="00B9760A" w:rsidRPr="00DE64F1" w:rsidRDefault="00B9760A" w:rsidP="00B9760A">
      <w:pPr>
        <w:pStyle w:val="Textonotapie"/>
        <w:ind w:firstLine="709"/>
        <w:jc w:val="both"/>
        <w:rPr>
          <w:rFonts w:ascii="Arial" w:hAnsi="Arial" w:cs="Arial"/>
        </w:rPr>
      </w:pPr>
      <w:r w:rsidRPr="00DE64F1">
        <w:rPr>
          <w:rFonts w:ascii="Arial" w:hAnsi="Arial" w:cs="Arial"/>
        </w:rPr>
        <w:t>[…]</w:t>
      </w:r>
    </w:p>
    <w:p w14:paraId="3A3ADBD0" w14:textId="77777777" w:rsidR="00B9760A" w:rsidRPr="00DE64F1" w:rsidRDefault="00B9760A" w:rsidP="00B9760A">
      <w:pPr>
        <w:pStyle w:val="Textonotapie"/>
        <w:ind w:firstLine="709"/>
        <w:jc w:val="both"/>
        <w:rPr>
          <w:rFonts w:ascii="Arial" w:hAnsi="Arial" w:cs="Arial"/>
        </w:rPr>
      </w:pPr>
      <w:r w:rsidRPr="00DE64F1">
        <w:rPr>
          <w:rFonts w:ascii="Arial" w:hAnsi="Arial" w:cs="Arial"/>
        </w:rPr>
        <w:t>La capacidad legal de una persona consiste en poderse obligar por sí misma, sin el ministerio o la autorización de otra”.</w:t>
      </w:r>
    </w:p>
  </w:footnote>
  <w:footnote w:id="23">
    <w:p w14:paraId="7F0F8C02" w14:textId="77777777" w:rsidR="00B9760A" w:rsidRPr="00DE64F1" w:rsidRDefault="00B9760A" w:rsidP="00B9760A">
      <w:pPr>
        <w:pStyle w:val="Textonotapie"/>
        <w:ind w:firstLine="709"/>
        <w:jc w:val="both"/>
        <w:rPr>
          <w:rFonts w:ascii="Arial" w:hAnsi="Arial" w:cs="Arial"/>
        </w:rPr>
      </w:pPr>
      <w:r w:rsidRPr="00DE64F1">
        <w:rPr>
          <w:rStyle w:val="Refdenotaalpie"/>
          <w:rFonts w:ascii="Arial" w:hAnsi="Arial" w:cs="Arial"/>
        </w:rPr>
        <w:footnoteRef/>
      </w:r>
      <w:r w:rsidRPr="00DE64F1">
        <w:rPr>
          <w:rFonts w:ascii="Arial" w:hAnsi="Arial" w:cs="Arial"/>
        </w:rPr>
        <w:t xml:space="preserve"> Decreto Ley 19 de 2012: “Artículo 221. El artículo 6 de la Ley 1150 de 2007, quedará así:</w:t>
      </w:r>
    </w:p>
    <w:p w14:paraId="127B1394" w14:textId="77777777" w:rsidR="00B9760A" w:rsidRPr="00DE64F1" w:rsidRDefault="00B9760A" w:rsidP="00B9760A">
      <w:pPr>
        <w:pStyle w:val="Textonotapie"/>
        <w:ind w:firstLine="709"/>
        <w:jc w:val="both"/>
        <w:rPr>
          <w:rFonts w:ascii="Arial" w:hAnsi="Arial" w:cs="Arial"/>
          <w:lang w:val="es-ES"/>
        </w:rPr>
      </w:pPr>
      <w:r w:rsidRPr="00DE64F1">
        <w:rPr>
          <w:rFonts w:ascii="Arial" w:hAnsi="Arial" w:cs="Arial"/>
        </w:rPr>
        <w:t>Artículo 6. De la verificación de las condiciones de los proponentes. T</w:t>
      </w:r>
      <w:proofErr w:type="spellStart"/>
      <w:r w:rsidRPr="00DE64F1">
        <w:rPr>
          <w:rFonts w:ascii="Arial" w:hAnsi="Arial" w:cs="Arial"/>
          <w:lang w:val="es-ES"/>
        </w:rPr>
        <w:t>odas</w:t>
      </w:r>
      <w:proofErr w:type="spellEnd"/>
      <w:r w:rsidRPr="00DE64F1">
        <w:rPr>
          <w:rFonts w:ascii="Arial" w:hAnsi="Arial" w:cs="Arial"/>
          <w:lang w:val="es-ES"/>
        </w:rPr>
        <w:t xml:space="preserve">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6AAC925" w14:textId="77777777" w:rsidR="00B9760A" w:rsidRPr="00DE64F1" w:rsidRDefault="00B9760A" w:rsidP="00B9760A">
      <w:pPr>
        <w:pStyle w:val="Textonotapie"/>
        <w:ind w:firstLine="709"/>
        <w:jc w:val="both"/>
        <w:rPr>
          <w:rFonts w:ascii="Arial" w:hAnsi="Arial" w:cs="Arial"/>
          <w:lang w:val="es-ES"/>
        </w:rPr>
      </w:pPr>
      <w:r w:rsidRPr="00DE64F1">
        <w:rPr>
          <w:rFonts w:ascii="Arial" w:hAnsi="Arial" w:cs="Arial"/>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24">
    <w:p w14:paraId="30F342A5" w14:textId="77777777" w:rsidR="00B9760A" w:rsidRPr="00DE64F1" w:rsidRDefault="00B9760A" w:rsidP="00B9760A">
      <w:pPr>
        <w:pStyle w:val="Textonotapie"/>
        <w:ind w:firstLine="709"/>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DE64F1">
        <w:rPr>
          <w:rFonts w:ascii="Arial" w:hAnsi="Arial" w:cs="Arial"/>
          <w:i/>
          <w:iCs/>
          <w:lang w:val="es-ES"/>
        </w:rPr>
        <w:t>el régimen de inhabilidades e incompatibilidades</w:t>
      </w:r>
      <w:r w:rsidRPr="00DE64F1">
        <w:rPr>
          <w:rFonts w:ascii="Arial" w:hAnsi="Arial" w:cs="Arial"/>
          <w:lang w:val="es-ES"/>
        </w:rPr>
        <w:t xml:space="preserve"> (1) y la obligación de ciertos proponentes de inscribirse en el </w:t>
      </w:r>
      <w:r w:rsidRPr="00DE64F1">
        <w:rPr>
          <w:rFonts w:ascii="Arial" w:hAnsi="Arial" w:cs="Arial"/>
          <w:i/>
          <w:iCs/>
          <w:lang w:val="es-ES"/>
        </w:rPr>
        <w:t>registro único</w:t>
      </w:r>
      <w:r w:rsidRPr="00DE64F1">
        <w:rPr>
          <w:rFonts w:ascii="Arial" w:hAnsi="Arial" w:cs="Arial"/>
          <w:lang w:val="es-ES"/>
        </w:rPr>
        <w:t xml:space="preserve"> (2)” (BENAVIDES, José Luis. El contrato estatal. Entre el Derecho público y el Derecho privado. 2ª ed. Bogotá: Universidad Externado de Colombia, 2004. p. 278). </w:t>
      </w:r>
    </w:p>
  </w:footnote>
  <w:footnote w:id="25">
    <w:p w14:paraId="7F50823D" w14:textId="77777777" w:rsidR="00B9760A" w:rsidRPr="00DE64F1" w:rsidRDefault="00B9760A" w:rsidP="00B9760A">
      <w:pPr>
        <w:ind w:firstLine="709"/>
        <w:jc w:val="both"/>
        <w:rPr>
          <w:rFonts w:ascii="Arial" w:hAnsi="Arial" w:cs="Arial"/>
          <w:sz w:val="20"/>
          <w:szCs w:val="20"/>
          <w:lang w:val="es-ES"/>
        </w:rPr>
      </w:pPr>
      <w:r w:rsidRPr="00DE64F1">
        <w:rPr>
          <w:rStyle w:val="Refdenotaalpie"/>
          <w:rFonts w:ascii="Arial" w:hAnsi="Arial" w:cs="Arial"/>
          <w:sz w:val="20"/>
          <w:szCs w:val="20"/>
        </w:rPr>
        <w:footnoteRef/>
      </w:r>
      <w:r w:rsidRPr="00DE64F1">
        <w:rPr>
          <w:rFonts w:ascii="Arial" w:hAnsi="Arial" w:cs="Arial"/>
          <w:sz w:val="20"/>
          <w:szCs w:val="20"/>
        </w:rPr>
        <w:t xml:space="preserve"> </w:t>
      </w:r>
      <w:r w:rsidRPr="00DE64F1">
        <w:rPr>
          <w:rFonts w:ascii="Arial" w:hAnsi="Arial" w:cs="Arial"/>
          <w:sz w:val="20"/>
          <w:szCs w:val="20"/>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b, Ley 80/93); “Quienes dieron lugar a la declaratoria de caducidad”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d), Ley 80/93); “Quienes sin justa causa se abstengan de suscribir el contrato estatal adjudicado”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a), b) y c), Ley 1474/11, modificado por el art. 43, Ley 1955/19.</w:t>
      </w:r>
    </w:p>
  </w:footnote>
  <w:footnote w:id="26">
    <w:p w14:paraId="4EA1573E" w14:textId="77777777" w:rsidR="00B9760A" w:rsidRPr="00DE64F1" w:rsidRDefault="00B9760A" w:rsidP="00B9760A">
      <w:pPr>
        <w:pStyle w:val="Textonotapie"/>
        <w:ind w:firstLine="709"/>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DE64F1">
        <w:rPr>
          <w:rFonts w:ascii="Arial" w:hAnsi="Arial" w:cs="Arial"/>
          <w:lang w:val="es-ES"/>
        </w:rPr>
        <w:t>num</w:t>
      </w:r>
      <w:proofErr w:type="spellEnd"/>
      <w:r w:rsidRPr="00DE64F1">
        <w:rPr>
          <w:rFonts w:ascii="Arial" w:hAnsi="Arial" w:cs="Arial"/>
          <w:lang w:val="es-ES"/>
        </w:rPr>
        <w:t xml:space="preserve">. 1º, </w:t>
      </w:r>
      <w:proofErr w:type="spellStart"/>
      <w:r w:rsidRPr="00DE64F1">
        <w:rPr>
          <w:rFonts w:ascii="Arial" w:hAnsi="Arial" w:cs="Arial"/>
          <w:lang w:val="es-ES"/>
        </w:rPr>
        <w:t>lit.</w:t>
      </w:r>
      <w:proofErr w:type="spellEnd"/>
      <w:r w:rsidRPr="00DE64F1">
        <w:rPr>
          <w:rFonts w:ascii="Arial" w:hAnsi="Arial" w:cs="Arial"/>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DE64F1">
        <w:rPr>
          <w:rFonts w:ascii="Arial" w:hAnsi="Arial" w:cs="Arial"/>
          <w:lang w:val="es-ES"/>
        </w:rPr>
        <w:t>num</w:t>
      </w:r>
      <w:proofErr w:type="spellEnd"/>
      <w:r w:rsidRPr="00DE64F1">
        <w:rPr>
          <w:rFonts w:ascii="Arial" w:hAnsi="Arial" w:cs="Arial"/>
          <w:lang w:val="es-ES"/>
        </w:rPr>
        <w:t xml:space="preserve">. 1º, </w:t>
      </w:r>
      <w:proofErr w:type="spellStart"/>
      <w:r w:rsidRPr="00DE64F1">
        <w:rPr>
          <w:rFonts w:ascii="Arial" w:hAnsi="Arial" w:cs="Arial"/>
          <w:lang w:val="es-ES"/>
        </w:rPr>
        <w:t>lit.</w:t>
      </w:r>
      <w:proofErr w:type="spellEnd"/>
      <w:r w:rsidRPr="00DE64F1">
        <w:rPr>
          <w:rFonts w:ascii="Arial" w:hAnsi="Arial" w:cs="Arial"/>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DE64F1">
        <w:rPr>
          <w:rFonts w:ascii="Arial" w:hAnsi="Arial" w:cs="Arial"/>
          <w:lang w:val="es-ES"/>
        </w:rPr>
        <w:t>num</w:t>
      </w:r>
      <w:proofErr w:type="spellEnd"/>
      <w:r w:rsidRPr="00DE64F1">
        <w:rPr>
          <w:rFonts w:ascii="Arial" w:hAnsi="Arial" w:cs="Arial"/>
          <w:lang w:val="es-ES"/>
        </w:rPr>
        <w:t xml:space="preserve">. 2º, </w:t>
      </w:r>
      <w:proofErr w:type="spellStart"/>
      <w:r w:rsidRPr="00DE64F1">
        <w:rPr>
          <w:rFonts w:ascii="Arial" w:hAnsi="Arial" w:cs="Arial"/>
          <w:lang w:val="es-ES"/>
        </w:rPr>
        <w:t>lit.</w:t>
      </w:r>
      <w:proofErr w:type="spellEnd"/>
      <w:r w:rsidRPr="00DE64F1">
        <w:rPr>
          <w:rFonts w:ascii="Arial" w:hAnsi="Arial" w:cs="Arial"/>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DE64F1">
        <w:rPr>
          <w:rFonts w:ascii="Arial" w:hAnsi="Arial" w:cs="Arial"/>
          <w:lang w:val="es-ES"/>
        </w:rPr>
        <w:t>num</w:t>
      </w:r>
      <w:proofErr w:type="spellEnd"/>
      <w:r w:rsidRPr="00DE64F1">
        <w:rPr>
          <w:rFonts w:ascii="Arial" w:hAnsi="Arial" w:cs="Arial"/>
          <w:lang w:val="es-ES"/>
        </w:rPr>
        <w:t xml:space="preserve">. 2º, </w:t>
      </w:r>
      <w:proofErr w:type="spellStart"/>
      <w:r w:rsidRPr="00DE64F1">
        <w:rPr>
          <w:rFonts w:ascii="Arial" w:hAnsi="Arial" w:cs="Arial"/>
          <w:lang w:val="es-ES"/>
        </w:rPr>
        <w:t>lit.</w:t>
      </w:r>
      <w:proofErr w:type="spellEnd"/>
      <w:r w:rsidRPr="00DE64F1">
        <w:rPr>
          <w:rFonts w:ascii="Arial" w:hAnsi="Arial" w:cs="Arial"/>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DE64F1">
        <w:rPr>
          <w:rFonts w:ascii="Arial" w:hAnsi="Arial" w:cs="Arial"/>
          <w:lang w:val="es-ES"/>
        </w:rPr>
        <w:t>num</w:t>
      </w:r>
      <w:proofErr w:type="spellEnd"/>
      <w:r w:rsidRPr="00DE64F1">
        <w:rPr>
          <w:rFonts w:ascii="Arial" w:hAnsi="Arial" w:cs="Arial"/>
          <w:lang w:val="es-ES"/>
        </w:rPr>
        <w:t xml:space="preserve">. 2º, </w:t>
      </w:r>
      <w:proofErr w:type="spellStart"/>
      <w:r w:rsidRPr="00DE64F1">
        <w:rPr>
          <w:rFonts w:ascii="Arial" w:hAnsi="Arial" w:cs="Arial"/>
          <w:lang w:val="es-ES"/>
        </w:rPr>
        <w:t>lit.</w:t>
      </w:r>
      <w:proofErr w:type="spellEnd"/>
      <w:r w:rsidRPr="00DE64F1">
        <w:rPr>
          <w:rFonts w:ascii="Arial" w:hAnsi="Arial" w:cs="Arial"/>
          <w:lang w:val="es-ES"/>
        </w:rPr>
        <w:t xml:space="preserve"> d), Ley 80/93).</w:t>
      </w:r>
    </w:p>
  </w:footnote>
  <w:footnote w:id="27">
    <w:p w14:paraId="1E9CD3BF" w14:textId="77777777" w:rsidR="00B9760A" w:rsidRPr="00DE64F1" w:rsidRDefault="00B9760A" w:rsidP="00B9760A">
      <w:pPr>
        <w:pStyle w:val="Textonotapie"/>
        <w:ind w:firstLine="709"/>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 xml:space="preserve">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w:t>
      </w:r>
      <w:proofErr w:type="spellStart"/>
      <w:r w:rsidRPr="00DE64F1">
        <w:rPr>
          <w:rFonts w:ascii="Arial" w:hAnsi="Arial" w:cs="Arial"/>
          <w:lang w:val="es-ES"/>
        </w:rPr>
        <w:t>num</w:t>
      </w:r>
      <w:proofErr w:type="spellEnd"/>
      <w:r w:rsidRPr="00DE64F1">
        <w:rPr>
          <w:rFonts w:ascii="Arial" w:hAnsi="Arial" w:cs="Arial"/>
          <w:lang w:val="es-ES"/>
        </w:rPr>
        <w:t xml:space="preserve">. 1º, </w:t>
      </w:r>
      <w:proofErr w:type="spellStart"/>
      <w:r w:rsidRPr="00DE64F1">
        <w:rPr>
          <w:rFonts w:ascii="Arial" w:hAnsi="Arial" w:cs="Arial"/>
          <w:lang w:val="es-ES"/>
        </w:rPr>
        <w:t>lit.</w:t>
      </w:r>
      <w:proofErr w:type="spellEnd"/>
      <w:r w:rsidRPr="00DE64F1">
        <w:rPr>
          <w:rFonts w:ascii="Arial" w:hAnsi="Arial" w:cs="Arial"/>
          <w:lang w:val="es-ES"/>
        </w:rPr>
        <w:t xml:space="preserve"> k), Ley 80/93, modificado por el art. 33, Ley 1778/16); “Quienes fueron miembros de la junta o consejo directivo o servidores públicos de la entidad contratante” (art. 8, </w:t>
      </w:r>
      <w:proofErr w:type="spellStart"/>
      <w:r w:rsidRPr="00DE64F1">
        <w:rPr>
          <w:rFonts w:ascii="Arial" w:hAnsi="Arial" w:cs="Arial"/>
          <w:lang w:val="es-ES"/>
        </w:rPr>
        <w:t>num</w:t>
      </w:r>
      <w:proofErr w:type="spellEnd"/>
      <w:r w:rsidRPr="00DE64F1">
        <w:rPr>
          <w:rFonts w:ascii="Arial" w:hAnsi="Arial" w:cs="Arial"/>
          <w:lang w:val="es-ES"/>
        </w:rPr>
        <w:t xml:space="preserve">. 2º, </w:t>
      </w:r>
      <w:proofErr w:type="spellStart"/>
      <w:r w:rsidRPr="00DE64F1">
        <w:rPr>
          <w:rFonts w:ascii="Arial" w:hAnsi="Arial" w:cs="Arial"/>
          <w:lang w:val="es-ES"/>
        </w:rPr>
        <w:t>lit.</w:t>
      </w:r>
      <w:proofErr w:type="spellEnd"/>
      <w:r w:rsidRPr="00DE64F1">
        <w:rPr>
          <w:rFonts w:ascii="Arial" w:hAnsi="Arial" w:cs="Arial"/>
          <w:lang w:val="es-ES"/>
        </w:rPr>
        <w:t xml:space="preserve">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DE64F1">
        <w:rPr>
          <w:rFonts w:ascii="Arial" w:hAnsi="Arial" w:cs="Arial"/>
          <w:lang w:val="es-ES"/>
        </w:rPr>
        <w:t>num</w:t>
      </w:r>
      <w:proofErr w:type="spellEnd"/>
      <w:r w:rsidRPr="00DE64F1">
        <w:rPr>
          <w:rFonts w:ascii="Arial" w:hAnsi="Arial" w:cs="Arial"/>
          <w:lang w:val="es-ES"/>
        </w:rPr>
        <w:t xml:space="preserve">. 2º, </w:t>
      </w:r>
      <w:proofErr w:type="spellStart"/>
      <w:r w:rsidRPr="00DE64F1">
        <w:rPr>
          <w:rFonts w:ascii="Arial" w:hAnsi="Arial" w:cs="Arial"/>
          <w:lang w:val="es-ES"/>
        </w:rPr>
        <w:t>lit.</w:t>
      </w:r>
      <w:proofErr w:type="spellEnd"/>
      <w:r w:rsidRPr="00DE64F1">
        <w:rPr>
          <w:rFonts w:ascii="Arial" w:hAnsi="Arial" w:cs="Arial"/>
          <w:lang w:val="es-ES"/>
        </w:rPr>
        <w:t xml:space="preserve"> f), Ley 80/93, adicionado por el art. 4º, Ley 1474/2011).</w:t>
      </w:r>
    </w:p>
  </w:footnote>
  <w:footnote w:id="28">
    <w:p w14:paraId="01740149" w14:textId="77777777" w:rsidR="00B9760A" w:rsidRPr="00DE64F1" w:rsidRDefault="00B9760A" w:rsidP="00B9760A">
      <w:pPr>
        <w:ind w:firstLine="709"/>
        <w:jc w:val="both"/>
        <w:rPr>
          <w:rFonts w:ascii="Arial" w:hAnsi="Arial" w:cs="Arial"/>
          <w:sz w:val="20"/>
          <w:szCs w:val="20"/>
          <w:lang w:val="es-ES"/>
        </w:rPr>
      </w:pPr>
      <w:r w:rsidRPr="00DE64F1">
        <w:rPr>
          <w:rStyle w:val="Refdenotaalpie"/>
          <w:rFonts w:ascii="Arial" w:hAnsi="Arial" w:cs="Arial"/>
          <w:sz w:val="20"/>
          <w:szCs w:val="20"/>
        </w:rPr>
        <w:footnoteRef/>
      </w:r>
      <w:r w:rsidRPr="00DE64F1">
        <w:rPr>
          <w:rFonts w:ascii="Arial" w:hAnsi="Arial" w:cs="Arial"/>
          <w:sz w:val="20"/>
          <w:szCs w:val="20"/>
        </w:rPr>
        <w:t xml:space="preserve"> </w:t>
      </w:r>
      <w:r w:rsidRPr="00DE64F1">
        <w:rPr>
          <w:rFonts w:ascii="Arial" w:hAnsi="Arial" w:cs="Arial"/>
          <w:sz w:val="20"/>
          <w:szCs w:val="20"/>
          <w:lang w:val="es-ES"/>
        </w:rPr>
        <w:t xml:space="preserve">Como las señaladas a continuación: “Los servidores públicos”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1º,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2º,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DE64F1">
        <w:rPr>
          <w:rFonts w:ascii="Arial" w:hAnsi="Arial" w:cs="Arial"/>
          <w:sz w:val="20"/>
          <w:szCs w:val="20"/>
          <w:lang w:val="es-ES"/>
        </w:rPr>
        <w:t>num</w:t>
      </w:r>
      <w:proofErr w:type="spellEnd"/>
      <w:r w:rsidRPr="00DE64F1">
        <w:rPr>
          <w:rFonts w:ascii="Arial" w:hAnsi="Arial" w:cs="Arial"/>
          <w:sz w:val="20"/>
          <w:szCs w:val="20"/>
          <w:lang w:val="es-ES"/>
        </w:rPr>
        <w:t xml:space="preserve">. 2º, </w:t>
      </w:r>
      <w:proofErr w:type="spellStart"/>
      <w:r w:rsidRPr="00DE64F1">
        <w:rPr>
          <w:rFonts w:ascii="Arial" w:hAnsi="Arial" w:cs="Arial"/>
          <w:sz w:val="20"/>
          <w:szCs w:val="20"/>
          <w:lang w:val="es-ES"/>
        </w:rPr>
        <w:t>lit.</w:t>
      </w:r>
      <w:proofErr w:type="spellEnd"/>
      <w:r w:rsidRPr="00DE64F1">
        <w:rPr>
          <w:rFonts w:ascii="Arial" w:hAnsi="Arial" w:cs="Arial"/>
          <w:sz w:val="20"/>
          <w:szCs w:val="20"/>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DE64F1">
        <w:rPr>
          <w:rFonts w:ascii="Arial" w:hAnsi="Arial" w:cs="Arial"/>
          <w:sz w:val="20"/>
          <w:szCs w:val="20"/>
          <w:lang w:val="es-ES"/>
        </w:rPr>
        <w:t>consaguinidad</w:t>
      </w:r>
      <w:proofErr w:type="spellEnd"/>
      <w:r w:rsidRPr="00DE64F1">
        <w:rPr>
          <w:rFonts w:ascii="Arial" w:hAnsi="Arial" w:cs="Arial"/>
          <w:sz w:val="20"/>
          <w:szCs w:val="20"/>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29">
    <w:p w14:paraId="5A61F827" w14:textId="77777777" w:rsidR="00B9760A" w:rsidRPr="00DE64F1" w:rsidRDefault="00B9760A" w:rsidP="00B9760A">
      <w:pPr>
        <w:pStyle w:val="Textonotapie"/>
        <w:ind w:firstLine="709"/>
        <w:jc w:val="both"/>
        <w:rPr>
          <w:rFonts w:ascii="Arial" w:hAnsi="Arial" w:cs="Arial"/>
        </w:rPr>
      </w:pPr>
      <w:r w:rsidRPr="00DE64F1">
        <w:rPr>
          <w:rStyle w:val="Refdenotaalpie"/>
          <w:rFonts w:ascii="Arial" w:hAnsi="Arial" w:cs="Arial"/>
        </w:rPr>
        <w:footnoteRef/>
      </w:r>
      <w:r w:rsidRPr="00DE64F1">
        <w:rPr>
          <w:rFonts w:ascii="Arial" w:hAnsi="Arial" w:cs="Arial"/>
        </w:rPr>
        <w:t xml:space="preserve"> En esta línea Dávila </w:t>
      </w:r>
      <w:proofErr w:type="spellStart"/>
      <w:r w:rsidRPr="00DE64F1">
        <w:rPr>
          <w:rFonts w:ascii="Arial" w:hAnsi="Arial" w:cs="Arial"/>
        </w:rPr>
        <w:t>Vinueza</w:t>
      </w:r>
      <w:proofErr w:type="spellEnd"/>
      <w:r w:rsidRPr="00DE64F1">
        <w:rPr>
          <w:rFonts w:ascii="Arial" w:hAnsi="Arial" w:cs="Arial"/>
        </w:rPr>
        <w:t xml:space="preserve"> Expresa: “El legislador para calificar estas prohibiciones emplea dos vocablos: Inhabilidades o incompatibilidades, los cuales en un examen desprevenido podrían sugerir ideas diferentes </w:t>
      </w:r>
      <w:proofErr w:type="gramStart"/>
      <w:r w:rsidRPr="00DE64F1">
        <w:rPr>
          <w:rFonts w:ascii="Arial" w:hAnsi="Arial" w:cs="Arial"/>
        </w:rPr>
        <w:t>y</w:t>
      </w:r>
      <w:proofErr w:type="gramEnd"/>
      <w:r w:rsidRPr="00DE64F1">
        <w:rPr>
          <w:rFonts w:ascii="Arial" w:hAnsi="Arial" w:cs="Arial"/>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DE64F1">
        <w:rPr>
          <w:rFonts w:ascii="Arial" w:hAnsi="Arial" w:cs="Arial"/>
        </w:rPr>
        <w:t>que</w:t>
      </w:r>
      <w:proofErr w:type="gramEnd"/>
      <w:r w:rsidRPr="00DE64F1">
        <w:rPr>
          <w:rFonts w:ascii="Arial" w:hAnsi="Arial" w:cs="Arial"/>
        </w:rPr>
        <w:t xml:space="preserv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w:t>
      </w:r>
      <w:proofErr w:type="spellStart"/>
      <w:r w:rsidRPr="00DE64F1">
        <w:rPr>
          <w:rFonts w:ascii="Arial" w:hAnsi="Arial" w:cs="Arial"/>
        </w:rPr>
        <w:t>Legis</w:t>
      </w:r>
      <w:proofErr w:type="spellEnd"/>
      <w:r w:rsidRPr="00DE64F1">
        <w:rPr>
          <w:rFonts w:ascii="Arial" w:hAnsi="Arial" w:cs="Arial"/>
        </w:rPr>
        <w:t>, 2016. p. 148).</w:t>
      </w:r>
    </w:p>
  </w:footnote>
  <w:footnote w:id="30">
    <w:p w14:paraId="7B79D791" w14:textId="77777777" w:rsidR="00B9760A" w:rsidRPr="00DE64F1" w:rsidRDefault="00B9760A" w:rsidP="00B9760A">
      <w:pPr>
        <w:pStyle w:val="Textonotapie"/>
        <w:ind w:firstLine="709"/>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 xml:space="preserve">BARRETO ROZO, Antonio Alejandro. Inhabilidades de la contratación estatal, efectos y </w:t>
      </w:r>
      <w:proofErr w:type="spellStart"/>
      <w:r w:rsidRPr="00DE64F1">
        <w:rPr>
          <w:rFonts w:ascii="Arial" w:hAnsi="Arial" w:cs="Arial"/>
          <w:lang w:val="es-ES"/>
        </w:rPr>
        <w:t>neopunitivismo</w:t>
      </w:r>
      <w:proofErr w:type="spellEnd"/>
      <w:r w:rsidRPr="00DE64F1">
        <w:rPr>
          <w:rFonts w:ascii="Arial" w:hAnsi="Arial" w:cs="Arial"/>
          <w:lang w:val="es-ES"/>
        </w:rPr>
        <w:t xml:space="preserve"> en el Estatuto Anticorrupción. En: ALVIAR GARCÍA, Helena (Coordinadora). Nuevas tendencias del Derecho administrativo. Bogotá: Universidad de los Andes; Temis, 2016. pp. 63-99.</w:t>
      </w:r>
    </w:p>
  </w:footnote>
  <w:footnote w:id="31">
    <w:p w14:paraId="0C4FD475" w14:textId="77777777" w:rsidR="00B9760A" w:rsidRPr="00DE64F1" w:rsidRDefault="00B9760A" w:rsidP="00B9760A">
      <w:pPr>
        <w:pStyle w:val="Textonotapie"/>
        <w:ind w:firstLine="709"/>
        <w:jc w:val="both"/>
        <w:rPr>
          <w:rFonts w:ascii="Arial" w:hAnsi="Arial" w:cs="Arial"/>
          <w:lang w:val="es-ES_tradnl"/>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Ibídem. p. 69.</w:t>
      </w:r>
    </w:p>
  </w:footnote>
  <w:footnote w:id="32">
    <w:p w14:paraId="6D964CDD" w14:textId="77777777" w:rsidR="00B9760A" w:rsidRPr="00DE64F1" w:rsidRDefault="00B9760A" w:rsidP="00B9760A">
      <w:pPr>
        <w:pStyle w:val="Textonotapie"/>
        <w:ind w:firstLine="709"/>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3A0FBB9D" w14:textId="77777777" w:rsidR="00B9760A" w:rsidRPr="00DE64F1" w:rsidRDefault="00B9760A" w:rsidP="00B9760A">
      <w:pPr>
        <w:pStyle w:val="Textonotapie"/>
        <w:ind w:firstLine="709"/>
        <w:jc w:val="both"/>
        <w:rPr>
          <w:rFonts w:ascii="Arial" w:hAnsi="Arial" w:cs="Arial"/>
          <w:lang w:val="es-ES"/>
        </w:rPr>
      </w:pPr>
    </w:p>
  </w:footnote>
  <w:footnote w:id="33">
    <w:p w14:paraId="089D3D4C" w14:textId="77777777" w:rsidR="00B9760A" w:rsidRPr="00DE64F1" w:rsidRDefault="00B9760A" w:rsidP="00B9760A">
      <w:pPr>
        <w:pStyle w:val="Textonotapie"/>
        <w:ind w:firstLine="709"/>
        <w:jc w:val="both"/>
        <w:rPr>
          <w:rFonts w:ascii="Arial" w:hAnsi="Arial" w:cs="Arial"/>
        </w:rPr>
      </w:pPr>
    </w:p>
    <w:p w14:paraId="1345361F" w14:textId="77777777" w:rsidR="00B9760A" w:rsidRPr="00DE64F1" w:rsidRDefault="00B9760A" w:rsidP="00B9760A">
      <w:pPr>
        <w:pStyle w:val="Textonotapie"/>
        <w:ind w:firstLine="709"/>
        <w:jc w:val="both"/>
        <w:rPr>
          <w:rFonts w:ascii="Arial" w:hAnsi="Arial" w:cs="Arial"/>
          <w:lang w:val="es-ES"/>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es-ES"/>
        </w:rPr>
        <w:t xml:space="preserve">CONSEJO DE ESTADO. Sala de Consulta y Servicio Civil. Concepto del 30 de abril de 2015. </w:t>
      </w:r>
      <w:proofErr w:type="spellStart"/>
      <w:r w:rsidRPr="00DE64F1">
        <w:rPr>
          <w:rFonts w:ascii="Arial" w:hAnsi="Arial" w:cs="Arial"/>
          <w:lang w:val="es-ES"/>
        </w:rPr>
        <w:t>Exp</w:t>
      </w:r>
      <w:proofErr w:type="spellEnd"/>
      <w:r w:rsidRPr="00DE64F1">
        <w:rPr>
          <w:rFonts w:ascii="Arial" w:hAnsi="Arial" w:cs="Arial"/>
          <w:lang w:val="es-ES"/>
        </w:rPr>
        <w:t xml:space="preserve">. 2251. C.P. Álvaro </w:t>
      </w:r>
      <w:proofErr w:type="spellStart"/>
      <w:r w:rsidRPr="00DE64F1">
        <w:rPr>
          <w:rFonts w:ascii="Arial" w:hAnsi="Arial" w:cs="Arial"/>
          <w:lang w:val="es-ES"/>
        </w:rPr>
        <w:t>Namén</w:t>
      </w:r>
      <w:proofErr w:type="spellEnd"/>
      <w:r w:rsidRPr="00DE64F1">
        <w:rPr>
          <w:rFonts w:ascii="Arial" w:hAnsi="Arial" w:cs="Arial"/>
          <w:lang w:val="es-ES"/>
        </w:rPr>
        <w:t xml:space="preserve"> Vargas.</w:t>
      </w:r>
    </w:p>
  </w:footnote>
  <w:footnote w:id="34">
    <w:p w14:paraId="613A0EDD" w14:textId="77777777" w:rsidR="00B9760A" w:rsidRPr="00DE64F1" w:rsidRDefault="00B9760A" w:rsidP="00B9760A">
      <w:pPr>
        <w:pStyle w:val="Textonotapie"/>
        <w:ind w:firstLine="709"/>
        <w:jc w:val="both"/>
        <w:rPr>
          <w:rFonts w:ascii="Arial" w:hAnsi="Arial" w:cs="Arial"/>
        </w:rPr>
      </w:pPr>
    </w:p>
    <w:p w14:paraId="0B5918B1" w14:textId="77777777" w:rsidR="00B9760A" w:rsidRPr="00DE64F1" w:rsidRDefault="00B9760A" w:rsidP="00B9760A">
      <w:pPr>
        <w:pStyle w:val="Textonotapie"/>
        <w:ind w:firstLine="709"/>
        <w:jc w:val="both"/>
        <w:rPr>
          <w:rFonts w:ascii="Arial" w:hAnsi="Arial" w:cs="Arial"/>
        </w:rPr>
      </w:pPr>
      <w:r w:rsidRPr="00DE64F1">
        <w:rPr>
          <w:rStyle w:val="Refdenotaalpie"/>
          <w:rFonts w:ascii="Arial" w:hAnsi="Arial" w:cs="Arial"/>
        </w:rPr>
        <w:footnoteRef/>
      </w:r>
      <w:r w:rsidRPr="00DE64F1">
        <w:rPr>
          <w:rFonts w:ascii="Arial" w:hAnsi="Arial" w:cs="Arial"/>
        </w:rPr>
        <w:t xml:space="preserve"> CONSEJO DE ESTADO. Sección Tercera. Subsección A. Sentencia del 24 de junio de 2015. </w:t>
      </w:r>
      <w:proofErr w:type="spellStart"/>
      <w:r w:rsidRPr="00DE64F1">
        <w:rPr>
          <w:rFonts w:ascii="Arial" w:hAnsi="Arial" w:cs="Arial"/>
        </w:rPr>
        <w:t>Exp</w:t>
      </w:r>
      <w:proofErr w:type="spellEnd"/>
      <w:r w:rsidRPr="00DE64F1">
        <w:rPr>
          <w:rFonts w:ascii="Arial" w:hAnsi="Arial" w:cs="Arial"/>
        </w:rPr>
        <w:t>. 40.635. C.P. Hernán Andrade Rincón (E).</w:t>
      </w:r>
    </w:p>
  </w:footnote>
  <w:footnote w:id="35">
    <w:p w14:paraId="7415010F" w14:textId="77777777" w:rsidR="00B9760A" w:rsidRPr="00DE64F1" w:rsidRDefault="00B9760A" w:rsidP="00B9760A">
      <w:pPr>
        <w:pStyle w:val="Textonotapie"/>
        <w:ind w:firstLine="709"/>
        <w:jc w:val="both"/>
        <w:rPr>
          <w:rFonts w:ascii="Arial" w:hAnsi="Arial" w:cs="Arial"/>
          <w:lang w:val="es-ES_tradnl"/>
        </w:rPr>
      </w:pPr>
      <w:r w:rsidRPr="00DE64F1">
        <w:rPr>
          <w:rStyle w:val="Refdenotaalpie"/>
          <w:rFonts w:ascii="Arial" w:hAnsi="Arial" w:cs="Arial"/>
        </w:rPr>
        <w:footnoteRef/>
      </w:r>
      <w:r w:rsidRPr="00DE64F1">
        <w:rPr>
          <w:rFonts w:ascii="Arial" w:hAnsi="Arial" w:cs="Arial"/>
        </w:rPr>
        <w:t xml:space="preserve"> CONSEJO DE ESTADO. Sección Tercera. Subsección C. Sentencia del 22 de mayo de 2013. Rad. 24.057. C.P. Olga </w:t>
      </w:r>
      <w:proofErr w:type="spellStart"/>
      <w:r w:rsidRPr="00DE64F1">
        <w:rPr>
          <w:rFonts w:ascii="Arial" w:hAnsi="Arial" w:cs="Arial"/>
        </w:rPr>
        <w:t>Mélida</w:t>
      </w:r>
      <w:proofErr w:type="spellEnd"/>
      <w:r w:rsidRPr="00DE64F1">
        <w:rPr>
          <w:rFonts w:ascii="Arial" w:hAnsi="Arial" w:cs="Arial"/>
        </w:rPr>
        <w:t xml:space="preserve"> Valle De </w:t>
      </w:r>
      <w:proofErr w:type="spellStart"/>
      <w:r w:rsidRPr="00DE64F1">
        <w:rPr>
          <w:rFonts w:ascii="Arial" w:hAnsi="Arial" w:cs="Arial"/>
        </w:rPr>
        <w:t>De</w:t>
      </w:r>
      <w:proofErr w:type="spellEnd"/>
      <w:r w:rsidRPr="00DE64F1">
        <w:rPr>
          <w:rFonts w:ascii="Arial" w:hAnsi="Arial" w:cs="Arial"/>
        </w:rPr>
        <w:t xml:space="preserve"> La Hoz. </w:t>
      </w:r>
    </w:p>
  </w:footnote>
  <w:footnote w:id="36">
    <w:p w14:paraId="64D69695" w14:textId="77777777" w:rsidR="00B9760A" w:rsidRPr="00DE64F1" w:rsidRDefault="00B9760A" w:rsidP="00B9760A">
      <w:pPr>
        <w:pStyle w:val="Textonotapie"/>
        <w:ind w:firstLine="709"/>
        <w:jc w:val="both"/>
        <w:rPr>
          <w:rFonts w:ascii="Arial" w:hAnsi="Arial" w:cs="Arial"/>
          <w:lang w:val="pt-BR"/>
        </w:rPr>
      </w:pPr>
      <w:r w:rsidRPr="00DE64F1">
        <w:rPr>
          <w:rStyle w:val="Refdenotaalpie"/>
          <w:rFonts w:ascii="Arial" w:hAnsi="Arial" w:cs="Arial"/>
        </w:rPr>
        <w:footnoteRef/>
      </w:r>
      <w:r w:rsidRPr="00DE64F1">
        <w:rPr>
          <w:rFonts w:ascii="Arial" w:hAnsi="Arial" w:cs="Arial"/>
        </w:rPr>
        <w:t xml:space="preserve"> </w:t>
      </w:r>
      <w:r w:rsidRPr="00DE64F1">
        <w:rPr>
          <w:rFonts w:ascii="Arial" w:hAnsi="Arial" w:cs="Arial"/>
          <w:lang w:val="pt-BR"/>
        </w:rPr>
        <w:t xml:space="preserve">Corte Constitucional. Sentencia C-415 de 1994. M.P. Eduardo </w:t>
      </w:r>
      <w:proofErr w:type="spellStart"/>
      <w:r w:rsidRPr="00DE64F1">
        <w:rPr>
          <w:rFonts w:ascii="Arial" w:hAnsi="Arial" w:cs="Arial"/>
          <w:lang w:val="pt-BR"/>
        </w:rPr>
        <w:t>Cifuentes</w:t>
      </w:r>
      <w:proofErr w:type="spellEnd"/>
      <w:r w:rsidRPr="00DE64F1">
        <w:rPr>
          <w:rFonts w:ascii="Arial" w:hAnsi="Arial" w:cs="Arial"/>
          <w:lang w:val="pt-BR"/>
        </w:rPr>
        <w:t xml:space="preserve"> </w:t>
      </w:r>
      <w:proofErr w:type="spellStart"/>
      <w:r w:rsidRPr="00DE64F1">
        <w:rPr>
          <w:rFonts w:ascii="Arial" w:hAnsi="Arial" w:cs="Arial"/>
          <w:lang w:val="pt-BR"/>
        </w:rPr>
        <w:t>Muñoz</w:t>
      </w:r>
      <w:proofErr w:type="spellEnd"/>
      <w:r w:rsidRPr="00DE64F1">
        <w:rPr>
          <w:rFonts w:ascii="Arial" w:hAnsi="Arial" w:cs="Arial"/>
          <w:lang w:val="pt-BR"/>
        </w:rPr>
        <w:t>.</w:t>
      </w:r>
    </w:p>
  </w:footnote>
  <w:footnote w:id="37">
    <w:p w14:paraId="175BAEF8" w14:textId="77777777" w:rsidR="00B9760A" w:rsidRPr="00DE64F1" w:rsidRDefault="00B9760A" w:rsidP="00B9760A">
      <w:pPr>
        <w:pStyle w:val="Textonotapie"/>
        <w:rPr>
          <w:lang w:val="es-ES"/>
        </w:rPr>
      </w:pPr>
      <w:r w:rsidRPr="00DE64F1">
        <w:rPr>
          <w:rStyle w:val="Refdenotaalpie"/>
        </w:rPr>
        <w:footnoteRef/>
      </w:r>
      <w:r w:rsidRPr="00DE64F1">
        <w:t xml:space="preserve"> </w:t>
      </w:r>
      <w:r w:rsidRPr="00DE64F1">
        <w:rPr>
          <w:rFonts w:ascii="Century Gothic" w:hAnsi="Century Gothic"/>
          <w:lang w:val="es-ES"/>
        </w:rPr>
        <w:t>Consejo de Estado. Sala Plena de Sección Tercera. Sentencia de 3 de septiembre de 2020. Rad: 25000-23-26-000-2009-00131-01(42003). CP: Alberto Montaña Plata.</w:t>
      </w:r>
      <w:r w:rsidRPr="00DE64F1">
        <w:rPr>
          <w:lang w:val="es-ES"/>
        </w:rPr>
        <w:t xml:space="preserve"> </w:t>
      </w:r>
    </w:p>
  </w:footnote>
  <w:footnote w:id="38">
    <w:p w14:paraId="33541598" w14:textId="77777777" w:rsidR="00B9760A" w:rsidRPr="00DE64F1" w:rsidRDefault="00B9760A" w:rsidP="00B9760A">
      <w:pPr>
        <w:pStyle w:val="Textonotapie"/>
        <w:ind w:firstLine="708"/>
        <w:jc w:val="both"/>
        <w:rPr>
          <w:rFonts w:ascii="Century Gothic" w:hAnsi="Century Gothic" w:cs="Arial"/>
          <w:lang w:val="es-ES"/>
        </w:rPr>
      </w:pPr>
      <w:r w:rsidRPr="00DE64F1">
        <w:rPr>
          <w:rStyle w:val="Refdenotaalpie"/>
          <w:rFonts w:ascii="Century Gothic" w:hAnsi="Century Gothic" w:cs="Arial"/>
        </w:rPr>
        <w:footnoteRef/>
      </w:r>
      <w:r w:rsidRPr="00DE64F1">
        <w:rPr>
          <w:rFonts w:ascii="Century Gothic" w:hAnsi="Century Gothic" w:cs="Arial"/>
        </w:rPr>
        <w:t xml:space="preserve"> La Agencia Nacional de Contratación Pública </w:t>
      </w:r>
      <w:r w:rsidRPr="00DE64F1">
        <w:rPr>
          <w:rFonts w:ascii="Arial" w:hAnsi="Arial" w:cs="Arial"/>
        </w:rPr>
        <w:t>‒</w:t>
      </w:r>
      <w:r w:rsidRPr="00DE64F1">
        <w:rPr>
          <w:rFonts w:ascii="Century Gothic" w:hAnsi="Century Gothic" w:cs="Arial"/>
        </w:rPr>
        <w:t xml:space="preserve"> Colombia Compra Eficiente fue creada por el Decreto Ley 4170 de 2011. Su objetivo es servir como ente rector de la pol</w:t>
      </w:r>
      <w:r w:rsidRPr="00DE64F1">
        <w:rPr>
          <w:rFonts w:ascii="Century Gothic" w:hAnsi="Century Gothic" w:cs="Century Gothic"/>
        </w:rPr>
        <w:t>í</w:t>
      </w:r>
      <w:r w:rsidRPr="00DE64F1">
        <w:rPr>
          <w:rFonts w:ascii="Century Gothic" w:hAnsi="Century Gothic" w:cs="Arial"/>
        </w:rPr>
        <w:t>tica de compras y contrataci</w:t>
      </w:r>
      <w:r w:rsidRPr="00DE64F1">
        <w:rPr>
          <w:rFonts w:ascii="Century Gothic" w:hAnsi="Century Gothic" w:cs="Century Gothic"/>
        </w:rPr>
        <w:t>ó</w:t>
      </w:r>
      <w:r w:rsidRPr="00DE64F1">
        <w:rPr>
          <w:rFonts w:ascii="Century Gothic" w:hAnsi="Century Gothic" w:cs="Arial"/>
        </w:rPr>
        <w:t xml:space="preserve">n del Estado. Para tales fines, como </w:t>
      </w:r>
      <w:r w:rsidRPr="00DE64F1">
        <w:rPr>
          <w:rFonts w:ascii="Century Gothic" w:hAnsi="Century Gothic" w:cs="Century Gothic"/>
        </w:rPr>
        <w:t>ó</w:t>
      </w:r>
      <w:r w:rsidRPr="00DE64F1">
        <w:rPr>
          <w:rFonts w:ascii="Century Gothic" w:hAnsi="Century Gothic" w:cs="Arial"/>
        </w:rPr>
        <w:t>rgano t</w:t>
      </w:r>
      <w:r w:rsidRPr="00DE64F1">
        <w:rPr>
          <w:rFonts w:ascii="Century Gothic" w:hAnsi="Century Gothic" w:cs="Century Gothic"/>
        </w:rPr>
        <w:t>é</w:t>
      </w:r>
      <w:r w:rsidRPr="00DE64F1">
        <w:rPr>
          <w:rFonts w:ascii="Century Gothic" w:hAnsi="Century Gothic" w:cs="Arial"/>
        </w:rPr>
        <w:t xml:space="preserve">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DE64F1">
        <w:rPr>
          <w:rFonts w:ascii="Century Gothic" w:hAnsi="Century Gothic" w:cs="Arial"/>
          <w:i/>
          <w:iCs/>
        </w:rPr>
        <w:t>ibidem</w:t>
      </w:r>
      <w:proofErr w:type="spellEnd"/>
      <w:r w:rsidRPr="00DE64F1">
        <w:rPr>
          <w:rFonts w:ascii="Century Gothic" w:hAnsi="Century Gothic" w:cs="Arial"/>
          <w:i/>
          <w:iCs/>
        </w:rPr>
        <w:t xml:space="preserve"> </w:t>
      </w:r>
      <w:r w:rsidRPr="00DE64F1">
        <w:rPr>
          <w:rFonts w:ascii="Century Gothic" w:hAnsi="Century Gothic" w:cs="Arial"/>
        </w:rPr>
        <w:t>señala, de manera precisa, las funciones de Colombia Compra Eficiente. Concretamente, el numeral 5º de este artículo establece que le corresponde a esta entidad: “[a]</w:t>
      </w:r>
      <w:proofErr w:type="spellStart"/>
      <w:r w:rsidRPr="00DE64F1">
        <w:rPr>
          <w:rFonts w:ascii="Century Gothic" w:hAnsi="Century Gothic" w:cs="Arial"/>
        </w:rPr>
        <w:t>bsolver</w:t>
      </w:r>
      <w:proofErr w:type="spellEnd"/>
      <w:r w:rsidRPr="00DE64F1">
        <w:rPr>
          <w:rFonts w:ascii="Century Gothic" w:hAnsi="Century Gothic" w:cs="Arial"/>
        </w:rPr>
        <w:t xml:space="preserve"> consultas sobre la aplicación de normas de carácter general y expedir circulares externas en materia de compras y contratación pública”. Seguidamente, el numeral 8º del artículo 11 </w:t>
      </w:r>
      <w:proofErr w:type="spellStart"/>
      <w:r w:rsidRPr="00DE64F1">
        <w:rPr>
          <w:rFonts w:ascii="Century Gothic" w:hAnsi="Century Gothic" w:cs="Arial"/>
        </w:rPr>
        <w:t>ibidem</w:t>
      </w:r>
      <w:proofErr w:type="spellEnd"/>
      <w:r w:rsidRPr="00DE64F1">
        <w:rPr>
          <w:rFonts w:ascii="Century Gothic" w:hAnsi="Century Gothic" w:cs="Arial"/>
        </w:rPr>
        <w:t xml:space="preserve"> señala que es función de la Subdirección de Gestión Contractual: “[a]</w:t>
      </w:r>
      <w:proofErr w:type="spellStart"/>
      <w:r w:rsidRPr="00DE64F1">
        <w:rPr>
          <w:rFonts w:ascii="Century Gothic" w:hAnsi="Century Gothic" w:cs="Arial"/>
        </w:rPr>
        <w:t>bsolver</w:t>
      </w:r>
      <w:proofErr w:type="spellEnd"/>
      <w:r w:rsidRPr="00DE64F1">
        <w:rPr>
          <w:rFonts w:ascii="Century Gothic" w:hAnsi="Century Gothic" w:cs="Arial"/>
        </w:rPr>
        <w:t xml:space="preserve"> consultas sobre la aplicación de normas de carácter general”. </w:t>
      </w:r>
    </w:p>
  </w:footnote>
  <w:footnote w:id="39">
    <w:p w14:paraId="3BCD3638"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4AA5DF8E"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La regla precedente se aplicará, inclusive, a las sociedades en las que las entidades públicas sean parte, sin atender al porcentaje que sus aportes representen dentro del capital social, ni a la naturaleza del acto o del derecho que se ejerce.</w:t>
      </w:r>
    </w:p>
    <w:p w14:paraId="587E22ED" w14:textId="77777777" w:rsidR="00B9760A" w:rsidRPr="00DE64F1" w:rsidRDefault="00B9760A" w:rsidP="00B9760A">
      <w:pPr>
        <w:pStyle w:val="Textonotapie"/>
        <w:ind w:firstLine="708"/>
        <w:contextualSpacing/>
        <w:jc w:val="both"/>
        <w:rPr>
          <w:rFonts w:ascii="Century Gothic" w:hAnsi="Century Gothic" w:cs="Arial"/>
        </w:rPr>
      </w:pPr>
      <w:r w:rsidRPr="00DE64F1">
        <w:rPr>
          <w:rFonts w:ascii="Century Gothic" w:hAnsi="Century Gothic" w:cs="Arial"/>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7A0EBDDA" w14:textId="77777777" w:rsidR="00B9760A" w:rsidRPr="00DE64F1" w:rsidRDefault="00B9760A" w:rsidP="00B9760A">
      <w:pPr>
        <w:pStyle w:val="Textonotapie"/>
        <w:ind w:firstLine="708"/>
        <w:contextualSpacing/>
        <w:jc w:val="both"/>
        <w:rPr>
          <w:rFonts w:ascii="Century Gothic" w:hAnsi="Century Gothic" w:cs="Arial"/>
        </w:rPr>
      </w:pPr>
    </w:p>
  </w:footnote>
  <w:footnote w:id="40">
    <w:p w14:paraId="229659A5" w14:textId="77777777" w:rsidR="00B9760A" w:rsidRPr="00DE64F1" w:rsidRDefault="00B9760A" w:rsidP="00B9760A">
      <w:pPr>
        <w:pStyle w:val="Textonotapie"/>
        <w:ind w:firstLine="708"/>
        <w:contextualSpacing/>
        <w:jc w:val="both"/>
        <w:rPr>
          <w:rFonts w:ascii="Century Gothic" w:hAnsi="Century Gothic" w:cs="Arial"/>
        </w:rPr>
      </w:pPr>
      <w:r w:rsidRPr="00DE64F1">
        <w:rPr>
          <w:rStyle w:val="Refdenotaalpie"/>
          <w:rFonts w:ascii="Century Gothic" w:hAnsi="Century Gothic" w:cs="Arial"/>
        </w:rPr>
        <w:footnoteRef/>
      </w:r>
      <w:r w:rsidRPr="00DE64F1">
        <w:rPr>
          <w:rFonts w:ascii="Century Gothic" w:hAnsi="Century Gothic" w:cs="Arial"/>
        </w:rPr>
        <w:t xml:space="preserve"> Consejo de Estado. Sección Tercera, Subsección C. Sentencia del 13 de abril de 2011. </w:t>
      </w:r>
      <w:proofErr w:type="spellStart"/>
      <w:r w:rsidRPr="00DE64F1">
        <w:rPr>
          <w:rFonts w:ascii="Century Gothic" w:hAnsi="Century Gothic" w:cs="Arial"/>
        </w:rPr>
        <w:t>Exp</w:t>
      </w:r>
      <w:proofErr w:type="spellEnd"/>
      <w:r w:rsidRPr="00DE64F1">
        <w:rPr>
          <w:rFonts w:ascii="Century Gothic" w:hAnsi="Century Gothic" w:cs="Arial"/>
        </w:rPr>
        <w:t xml:space="preserve">. 37423. Consejero Ponente: Jaime Orlando </w:t>
      </w:r>
      <w:proofErr w:type="spellStart"/>
      <w:r w:rsidRPr="00DE64F1">
        <w:rPr>
          <w:rFonts w:ascii="Century Gothic" w:hAnsi="Century Gothic" w:cs="Arial"/>
        </w:rPr>
        <w:t>Santofimio</w:t>
      </w:r>
      <w:proofErr w:type="spellEnd"/>
      <w:r w:rsidRPr="00DE64F1">
        <w:rPr>
          <w:rFonts w:ascii="Century Gothic" w:hAnsi="Century Gothic" w:cs="Arial"/>
        </w:rPr>
        <w:t xml:space="preserve"> Gamboa. En similar sentido, puede verse la Sentencia del Consejo de Estado. Sección Tercera. Subsección B, del 15 de noviembre de 2011. </w:t>
      </w:r>
      <w:proofErr w:type="spellStart"/>
      <w:r w:rsidRPr="00DE64F1">
        <w:rPr>
          <w:rFonts w:ascii="Century Gothic" w:hAnsi="Century Gothic" w:cs="Arial"/>
        </w:rPr>
        <w:t>Exp</w:t>
      </w:r>
      <w:proofErr w:type="spellEnd"/>
      <w:r w:rsidRPr="00DE64F1">
        <w:rPr>
          <w:rFonts w:ascii="Century Gothic" w:hAnsi="Century Gothic" w:cs="Arial"/>
        </w:rPr>
        <w:t>. 21178. Consejera ponente: Ruth Stella Correa Palacio.</w:t>
      </w:r>
    </w:p>
    <w:p w14:paraId="7CF9D5BF" w14:textId="77777777" w:rsidR="00B9760A" w:rsidRPr="00DE64F1" w:rsidRDefault="00B9760A" w:rsidP="00B9760A">
      <w:pPr>
        <w:pStyle w:val="Textonotapie"/>
        <w:ind w:firstLine="708"/>
        <w:contextualSpacing/>
        <w:jc w:val="both"/>
        <w:rPr>
          <w:rFonts w:ascii="Century Gothic" w:hAnsi="Century Gothic"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219E" w14:textId="77777777" w:rsidR="00D44F32" w:rsidRDefault="00D44F32">
    <w:pPr>
      <w:pStyle w:val="Encabezado"/>
    </w:pPr>
    <w:r>
      <w:rPr>
        <w:noProof/>
        <w:lang w:val="en-US"/>
      </w:rPr>
      <w:drawing>
        <wp:anchor distT="0" distB="0" distL="114300" distR="114300" simplePos="0" relativeHeight="251659264" behindDoc="1" locked="0" layoutInCell="1" allowOverlap="1" wp14:anchorId="6F8D88CF" wp14:editId="23C65115">
          <wp:simplePos x="0" y="0"/>
          <wp:positionH relativeFrom="margin">
            <wp:align>right</wp:align>
          </wp:positionH>
          <wp:positionV relativeFrom="margin">
            <wp:posOffset>-1135380</wp:posOffset>
          </wp:positionV>
          <wp:extent cx="1757045" cy="628650"/>
          <wp:effectExtent l="0" t="0" r="0" b="0"/>
          <wp:wrapNone/>
          <wp:docPr id="2"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lang w:val="en-US"/>
      </w:rPr>
      <w:drawing>
        <wp:anchor distT="0" distB="0" distL="114300" distR="114300" simplePos="0" relativeHeight="251663360" behindDoc="0" locked="0" layoutInCell="1" allowOverlap="1" wp14:anchorId="0A214B0E" wp14:editId="3A4902F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lang w:val="en-US"/>
      </w:rPr>
      <w:drawing>
        <wp:anchor distT="0" distB="0" distL="114300" distR="114300" simplePos="0" relativeHeight="251661312" behindDoc="0" locked="0" layoutInCell="1" allowOverlap="1" wp14:anchorId="1E02D3DC" wp14:editId="6D865F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0AEE18" wp14:editId="595CEFE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7C1D7240" w14:textId="77777777" w:rsidR="00D44F32" w:rsidRDefault="00D44F32">
    <w:pPr>
      <w:pStyle w:val="Encabezado"/>
    </w:pPr>
  </w:p>
  <w:p w14:paraId="10B508E0" w14:textId="77777777" w:rsidR="00D44F32" w:rsidRDefault="00D44F32">
    <w:pPr>
      <w:pStyle w:val="Encabezado"/>
    </w:pPr>
  </w:p>
  <w:p w14:paraId="0C22242A" w14:textId="77777777" w:rsidR="00D44F32" w:rsidRPr="004A305D" w:rsidRDefault="00D44F32" w:rsidP="00D44F32">
    <w:pPr>
      <w:rPr>
        <w:rFonts w:ascii="Century Gothic" w:hAnsi="Century Gothic"/>
        <w:color w:val="002060"/>
        <w:sz w:val="16"/>
        <w:szCs w:val="16"/>
      </w:rPr>
    </w:pPr>
    <w:r w:rsidRPr="004A305D">
      <w:rPr>
        <w:rFonts w:ascii="Century Gothic" w:hAnsi="Century Gothic"/>
        <w:color w:val="002060"/>
        <w:sz w:val="16"/>
        <w:szCs w:val="16"/>
      </w:rPr>
      <w:t>FORMATO PQRSD</w:t>
    </w:r>
  </w:p>
  <w:p w14:paraId="14D207DF" w14:textId="77777777" w:rsidR="00D44F32" w:rsidRPr="004A305D" w:rsidRDefault="00D44F32" w:rsidP="00D44F32">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5884BAB8" w14:textId="77777777" w:rsidR="00D44F32" w:rsidRPr="004A305D" w:rsidRDefault="00D44F32" w:rsidP="00D44F32">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6FC1456" w14:textId="77777777" w:rsidR="00D44F32" w:rsidRDefault="00D44F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8586A"/>
    <w:multiLevelType w:val="hybridMultilevel"/>
    <w:tmpl w:val="41DC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5"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6"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2"/>
  </w:num>
  <w:num w:numId="8">
    <w:abstractNumId w:val="6"/>
  </w:num>
  <w:num w:numId="9">
    <w:abstractNumId w:val="7"/>
  </w:num>
  <w:num w:numId="10">
    <w:abstractNumId w:val="4"/>
  </w:num>
  <w:num w:numId="11">
    <w:abstractNumId w:val="0"/>
  </w:num>
  <w:num w:numId="12">
    <w:abstractNumId w:val="1"/>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21755"/>
    <w:rsid w:val="0005082C"/>
    <w:rsid w:val="00067431"/>
    <w:rsid w:val="000B58CB"/>
    <w:rsid w:val="000E54A8"/>
    <w:rsid w:val="00112AE8"/>
    <w:rsid w:val="00121648"/>
    <w:rsid w:val="00126942"/>
    <w:rsid w:val="00130E32"/>
    <w:rsid w:val="00141D5C"/>
    <w:rsid w:val="00151C7E"/>
    <w:rsid w:val="001A04B3"/>
    <w:rsid w:val="001C170E"/>
    <w:rsid w:val="001E662A"/>
    <w:rsid w:val="001F4135"/>
    <w:rsid w:val="00210AB4"/>
    <w:rsid w:val="002249D7"/>
    <w:rsid w:val="00241E98"/>
    <w:rsid w:val="002440CE"/>
    <w:rsid w:val="002651E7"/>
    <w:rsid w:val="002F26D6"/>
    <w:rsid w:val="00302FA7"/>
    <w:rsid w:val="0036341C"/>
    <w:rsid w:val="0037143C"/>
    <w:rsid w:val="00381034"/>
    <w:rsid w:val="0039193E"/>
    <w:rsid w:val="003A5406"/>
    <w:rsid w:val="003E4507"/>
    <w:rsid w:val="00400C34"/>
    <w:rsid w:val="004078C7"/>
    <w:rsid w:val="00456B75"/>
    <w:rsid w:val="0048146C"/>
    <w:rsid w:val="00490A64"/>
    <w:rsid w:val="0049730B"/>
    <w:rsid w:val="004B08D4"/>
    <w:rsid w:val="004F0626"/>
    <w:rsid w:val="00521A0D"/>
    <w:rsid w:val="00572576"/>
    <w:rsid w:val="00576BBE"/>
    <w:rsid w:val="005B7740"/>
    <w:rsid w:val="005E3344"/>
    <w:rsid w:val="0063203F"/>
    <w:rsid w:val="00692CED"/>
    <w:rsid w:val="006D0B7F"/>
    <w:rsid w:val="006F57BE"/>
    <w:rsid w:val="00745B1C"/>
    <w:rsid w:val="00747F0B"/>
    <w:rsid w:val="007D66BE"/>
    <w:rsid w:val="0080087A"/>
    <w:rsid w:val="0085504A"/>
    <w:rsid w:val="00857080"/>
    <w:rsid w:val="00862150"/>
    <w:rsid w:val="00870F64"/>
    <w:rsid w:val="00883768"/>
    <w:rsid w:val="008A79C0"/>
    <w:rsid w:val="0091422B"/>
    <w:rsid w:val="009348E3"/>
    <w:rsid w:val="00965553"/>
    <w:rsid w:val="009D4260"/>
    <w:rsid w:val="00A17A93"/>
    <w:rsid w:val="00A42330"/>
    <w:rsid w:val="00A81A3E"/>
    <w:rsid w:val="00AB5D9E"/>
    <w:rsid w:val="00AF3095"/>
    <w:rsid w:val="00B17B01"/>
    <w:rsid w:val="00B203A9"/>
    <w:rsid w:val="00B264FB"/>
    <w:rsid w:val="00B30EEB"/>
    <w:rsid w:val="00B84521"/>
    <w:rsid w:val="00B9760A"/>
    <w:rsid w:val="00BB7D32"/>
    <w:rsid w:val="00BE5AEE"/>
    <w:rsid w:val="00BF6951"/>
    <w:rsid w:val="00C35595"/>
    <w:rsid w:val="00C6388A"/>
    <w:rsid w:val="00C84F4F"/>
    <w:rsid w:val="00C94851"/>
    <w:rsid w:val="00C958D3"/>
    <w:rsid w:val="00CC35E6"/>
    <w:rsid w:val="00CD0F61"/>
    <w:rsid w:val="00D132EE"/>
    <w:rsid w:val="00D44F32"/>
    <w:rsid w:val="00D51F27"/>
    <w:rsid w:val="00D85650"/>
    <w:rsid w:val="00D936B2"/>
    <w:rsid w:val="00DD4F22"/>
    <w:rsid w:val="00DE64F1"/>
    <w:rsid w:val="00DF38A7"/>
    <w:rsid w:val="00DF7DA4"/>
    <w:rsid w:val="00E0145C"/>
    <w:rsid w:val="00E20331"/>
    <w:rsid w:val="00E2258A"/>
    <w:rsid w:val="00E2686F"/>
    <w:rsid w:val="00E569E5"/>
    <w:rsid w:val="00E56F63"/>
    <w:rsid w:val="00E61381"/>
    <w:rsid w:val="00E804AA"/>
    <w:rsid w:val="00EA1D40"/>
    <w:rsid w:val="00F076BA"/>
    <w:rsid w:val="00F51644"/>
    <w:rsid w:val="00F51B32"/>
    <w:rsid w:val="00F6391F"/>
    <w:rsid w:val="00F846FC"/>
    <w:rsid w:val="00F96691"/>
    <w:rsid w:val="00FD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3BD"/>
  <w15:chartTrackingRefBased/>
  <w15:docId w15:val="{817542E0-B457-4882-8BCF-7B8E4B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80"/>
    <w:pPr>
      <w:spacing w:after="0" w:line="240" w:lineRule="auto"/>
    </w:pPr>
    <w:rPr>
      <w:sz w:val="24"/>
      <w:lang w:val="es-MX"/>
    </w:rPr>
  </w:style>
  <w:style w:type="paragraph" w:styleId="Ttulo1">
    <w:name w:val="heading 1"/>
    <w:basedOn w:val="Normal"/>
    <w:link w:val="Ttulo1Car"/>
    <w:uiPriority w:val="9"/>
    <w:qFormat/>
    <w:rsid w:val="00DD4F22"/>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F22"/>
    <w:rPr>
      <w:rFonts w:ascii="Arial" w:eastAsia="Arial" w:hAnsi="Arial" w:cs="Arial"/>
      <w:b/>
      <w:bCs/>
      <w:lang w:val="es-ES"/>
    </w:rPr>
  </w:style>
  <w:style w:type="paragraph" w:styleId="Encabezado">
    <w:name w:val="header"/>
    <w:basedOn w:val="Normal"/>
    <w:link w:val="EncabezadoCar"/>
    <w:uiPriority w:val="99"/>
    <w:unhideWhenUsed/>
    <w:rsid w:val="00DD4F22"/>
    <w:pPr>
      <w:tabs>
        <w:tab w:val="center" w:pos="4419"/>
        <w:tab w:val="right" w:pos="8838"/>
      </w:tabs>
    </w:pPr>
  </w:style>
  <w:style w:type="character" w:customStyle="1" w:styleId="EncabezadoCar">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pPr>
  </w:style>
  <w:style w:type="character" w:customStyle="1" w:styleId="PiedepginaCar">
    <w:name w:val="Pie de página Car"/>
    <w:basedOn w:val="Fuentedeprrafopredeter"/>
    <w:link w:val="Piedepgina"/>
    <w:uiPriority w:val="99"/>
    <w:rsid w:val="00DD4F22"/>
    <w:rPr>
      <w:lang w:val="es-CO"/>
    </w:rPr>
  </w:style>
  <w:style w:type="paragraph" w:customStyle="1" w:styleId="Default">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rPr>
      <w:sz w:val="20"/>
      <w:szCs w:val="20"/>
    </w:rPr>
  </w:style>
  <w:style w:type="character" w:customStyle="1" w:styleId="TextonotapieCar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customStyle="1" w:styleId="normaltextrun">
    <w:name w:val="normaltextrun"/>
    <w:basedOn w:val="Fuentedeprrafopredeter"/>
    <w:rsid w:val="00DD4F22"/>
  </w:style>
  <w:style w:type="table" w:styleId="Tablaconcuadrcula">
    <w:name w:val="Table Grid"/>
    <w:basedOn w:val="Tablanormal"/>
    <w:uiPriority w:val="59"/>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DD4F22"/>
    <w:rPr>
      <w:rFonts w:ascii="Geomanist" w:eastAsiaTheme="majorEastAsia" w:hAnsi="Geomanist"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rPr>
      <w:sz w:val="20"/>
      <w:szCs w:val="20"/>
    </w:rPr>
  </w:style>
  <w:style w:type="character" w:customStyle="1" w:styleId="TextocomentarioCar">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customStyle="1" w:styleId="AsuntodelcomentarioCar">
    <w:name w:val="Asunto del comentario Car"/>
    <w:basedOn w:val="TextocomentarioCar"/>
    <w:link w:val="Asuntodelcomentario"/>
    <w:uiPriority w:val="99"/>
    <w:semiHidden/>
    <w:rsid w:val="00DD4F22"/>
    <w:rPr>
      <w:b/>
      <w:bCs/>
      <w:sz w:val="20"/>
      <w:szCs w:val="20"/>
      <w:lang w:val="es-CO"/>
    </w:rPr>
  </w:style>
  <w:style w:type="paragraph" w:customStyle="1" w:styleId="Appelnotedebasde">
    <w:name w:val="Appel note de bas de..."/>
    <w:basedOn w:val="Normal"/>
    <w:link w:val="Refdenotaalpie"/>
    <w:uiPriority w:val="99"/>
    <w:rsid w:val="00DD4F22"/>
    <w:pPr>
      <w:spacing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customStyle="1" w:styleId="Tablaconcuadrcula1">
    <w:name w:val="Tabla con cuadrícula1"/>
    <w:basedOn w:val="Tablanormal"/>
    <w:next w:val="Tablaconcuadrcula"/>
    <w:uiPriority w:val="59"/>
    <w:qFormat/>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4F22"/>
    <w:pPr>
      <w:spacing w:before="100" w:beforeAutospacing="1" w:after="100" w:afterAutospacing="1"/>
    </w:pPr>
    <w:rPr>
      <w:rFonts w:ascii="Times New Roman" w:eastAsia="Times New Roman" w:hAnsi="Times New Roman" w:cs="Times New Roman"/>
      <w:szCs w:val="24"/>
      <w:lang w:eastAsia="es-CO"/>
    </w:rPr>
  </w:style>
  <w:style w:type="character" w:customStyle="1" w:styleId="eop">
    <w:name w:val="eop"/>
    <w:basedOn w:val="Fuentedeprrafopredeter"/>
    <w:rsid w:val="00DD4F22"/>
  </w:style>
  <w:style w:type="paragraph" w:styleId="NormalWeb">
    <w:name w:val="Normal (Web)"/>
    <w:basedOn w:val="Normal"/>
    <w:link w:val="NormalWebCar"/>
    <w:uiPriority w:val="99"/>
    <w:unhideWhenUsed/>
    <w:rsid w:val="00DD4F22"/>
    <w:pPr>
      <w:spacing w:before="100" w:beforeAutospacing="1" w:after="100" w:afterAutospacing="1"/>
    </w:pPr>
    <w:rPr>
      <w:rFonts w:ascii="Times New Roman" w:eastAsia="Times New Roman" w:hAnsi="Times New Roman" w:cs="Times New Roman"/>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pPr>
    <w:rPr>
      <w:rFonts w:ascii="Arial" w:eastAsiaTheme="minorEastAsia" w:hAnsi="Arial" w:cs="Arial"/>
      <w:lang w:eastAsia="es-CO"/>
    </w:rPr>
  </w:style>
  <w:style w:type="character" w:customStyle="1" w:styleId="TextoindependienteCar">
    <w:name w:val="Texto independiente Car"/>
    <w:basedOn w:val="Fuentedeprrafopredeter"/>
    <w:link w:val="Textoindependiente"/>
    <w:uiPriority w:val="1"/>
    <w:rsid w:val="00DD4F22"/>
    <w:rPr>
      <w:rFonts w:ascii="Arial" w:eastAsiaTheme="minorEastAsia" w:hAnsi="Arial" w:cs="Arial"/>
      <w:lang w:val="es-CO" w:eastAsia="es-CO"/>
    </w:rPr>
  </w:style>
  <w:style w:type="table" w:customStyle="1" w:styleId="Tablaconcuadrcula2">
    <w:name w:val="Tabla con cuadrícula2"/>
    <w:basedOn w:val="Tablanormal"/>
    <w:next w:val="Tablaconcuadrcula"/>
    <w:uiPriority w:val="59"/>
    <w:qFormat/>
    <w:rsid w:val="00DD4F22"/>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DD4F22"/>
    <w:pPr>
      <w:spacing w:after="0" w:line="240" w:lineRule="auto"/>
    </w:pPr>
    <w:rPr>
      <w:lang w:val="es-CO"/>
    </w:rPr>
  </w:style>
  <w:style w:type="character" w:customStyle="1" w:styleId="Hipervnculo1">
    <w:name w:val="Hipervínculo1"/>
    <w:basedOn w:val="Fuentedeprrafopredeter"/>
    <w:uiPriority w:val="99"/>
    <w:unhideWhenUsed/>
    <w:rsid w:val="00E0145C"/>
    <w:rPr>
      <w:color w:val="F2F2F2"/>
      <w:u w:val="single"/>
    </w:rPr>
  </w:style>
  <w:style w:type="character" w:customStyle="1" w:styleId="baj">
    <w:name w:val="b_aj"/>
    <w:basedOn w:val="Fuentedeprrafopredeter"/>
    <w:rsid w:val="00870F64"/>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7080"/>
    <w:rPr>
      <w:rFonts w:ascii="Geomanist Light" w:hAnsi="Geomanist Light"/>
      <w:lang w:val="es-ES"/>
    </w:rPr>
  </w:style>
  <w:style w:type="table" w:customStyle="1" w:styleId="Tablaconcuadrcula11">
    <w:name w:val="Tabla con cuadrícula11"/>
    <w:basedOn w:val="Tablanormal"/>
    <w:next w:val="Tablaconcuadrcula"/>
    <w:uiPriority w:val="59"/>
    <w:rsid w:val="00857080"/>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57080"/>
    <w:rPr>
      <w:b/>
      <w:bCs/>
    </w:rPr>
  </w:style>
  <w:style w:type="character" w:styleId="nfasis">
    <w:name w:val="Emphasis"/>
    <w:basedOn w:val="Fuentedeprrafopredeter"/>
    <w:uiPriority w:val="20"/>
    <w:qFormat/>
    <w:rsid w:val="00857080"/>
    <w:rPr>
      <w:i/>
      <w:iCs/>
    </w:rPr>
  </w:style>
  <w:style w:type="paragraph" w:styleId="Textodeglobo">
    <w:name w:val="Balloon Text"/>
    <w:basedOn w:val="Normal"/>
    <w:link w:val="TextodegloboCar"/>
    <w:uiPriority w:val="99"/>
    <w:semiHidden/>
    <w:unhideWhenUsed/>
    <w:rsid w:val="008570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080"/>
    <w:rPr>
      <w:rFonts w:ascii="Segoe UI" w:hAnsi="Segoe UI" w:cs="Segoe UI"/>
      <w:sz w:val="18"/>
      <w:szCs w:val="18"/>
      <w:lang w:val="es-MX"/>
    </w:rPr>
  </w:style>
  <w:style w:type="character" w:customStyle="1" w:styleId="NormalWebCar">
    <w:name w:val="Normal (Web) Car"/>
    <w:link w:val="NormalWeb"/>
    <w:uiPriority w:val="99"/>
    <w:rsid w:val="00692CED"/>
    <w:rPr>
      <w:rFonts w:ascii="Times New Roman" w:eastAsia="Times New Roman" w:hAnsi="Times New Roman" w:cs="Times New Roman"/>
      <w:sz w:val="24"/>
      <w:szCs w:val="24"/>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2458">
      <w:bodyDiv w:val="1"/>
      <w:marLeft w:val="0"/>
      <w:marRight w:val="0"/>
      <w:marTop w:val="0"/>
      <w:marBottom w:val="0"/>
      <w:divBdr>
        <w:top w:val="none" w:sz="0" w:space="0" w:color="auto"/>
        <w:left w:val="none" w:sz="0" w:space="0" w:color="auto"/>
        <w:bottom w:val="none" w:sz="0" w:space="0" w:color="auto"/>
        <w:right w:val="none" w:sz="0" w:space="0" w:color="auto"/>
      </w:divBdr>
    </w:div>
    <w:div w:id="1142500750">
      <w:bodyDiv w:val="1"/>
      <w:marLeft w:val="0"/>
      <w:marRight w:val="0"/>
      <w:marTop w:val="0"/>
      <w:marBottom w:val="0"/>
      <w:divBdr>
        <w:top w:val="none" w:sz="0" w:space="0" w:color="auto"/>
        <w:left w:val="none" w:sz="0" w:space="0" w:color="auto"/>
        <w:bottom w:val="none" w:sz="0" w:space="0" w:color="auto"/>
        <w:right w:val="none" w:sz="0" w:space="0" w:color="auto"/>
      </w:divBdr>
    </w:div>
    <w:div w:id="15290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F559244C-6C8B-4D0A-BB5F-A7D95CB97E23}">
  <ds:schemaRefs>
    <ds:schemaRef ds:uri="http://schemas.openxmlformats.org/officeDocument/2006/bibliography"/>
  </ds:schemaRefs>
</ds:datastoreItem>
</file>

<file path=customXml/itemProps2.xml><?xml version="1.0" encoding="utf-8"?>
<ds:datastoreItem xmlns:ds="http://schemas.openxmlformats.org/officeDocument/2006/customXml" ds:itemID="{263BD64E-993F-4986-83C6-3587EE5DBF5A}"/>
</file>

<file path=customXml/itemProps3.xml><?xml version="1.0" encoding="utf-8"?>
<ds:datastoreItem xmlns:ds="http://schemas.openxmlformats.org/officeDocument/2006/customXml" ds:itemID="{F0AC35C8-DFEA-4A02-AFE0-D846D50A8BC0}"/>
</file>

<file path=customXml/itemProps4.xml><?xml version="1.0" encoding="utf-8"?>
<ds:datastoreItem xmlns:ds="http://schemas.openxmlformats.org/officeDocument/2006/customXml" ds:itemID="{7022EB4F-D88D-42A0-91A6-DFB03EBE170B}"/>
</file>

<file path=docProps/app.xml><?xml version="1.0" encoding="utf-8"?>
<Properties xmlns="http://schemas.openxmlformats.org/officeDocument/2006/extended-properties" xmlns:vt="http://schemas.openxmlformats.org/officeDocument/2006/docPropsVTypes">
  <Template>Normal</Template>
  <TotalTime>144</TotalTime>
  <Pages>32</Pages>
  <Words>7668</Words>
  <Characters>43714</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Nina Padron</cp:lastModifiedBy>
  <cp:revision>16</cp:revision>
  <dcterms:created xsi:type="dcterms:W3CDTF">2023-10-24T02:19:00Z</dcterms:created>
  <dcterms:modified xsi:type="dcterms:W3CDTF">2023-10-25T00:21:00Z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