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42FFC" w14:textId="77777777" w:rsidR="00A67976" w:rsidRDefault="00A67976" w:rsidP="00A67976">
      <w:pPr>
        <w:spacing w:after="0"/>
        <w:rPr>
          <w:rFonts w:ascii="Arial" w:eastAsia="Geomanist Light" w:hAnsi="Arial" w:cs="Arial"/>
          <w:b/>
          <w:bCs/>
          <w:color w:val="000000" w:themeColor="text1"/>
          <w:lang w:val="es-MX"/>
        </w:rPr>
      </w:pPr>
      <w:bookmarkStart w:id="0" w:name="_Hlk94281581"/>
      <w:bookmarkStart w:id="1" w:name="_Hlk102489058"/>
      <w:bookmarkStart w:id="2" w:name="_Hlk34951122"/>
      <w:r w:rsidRPr="0018158D">
        <w:rPr>
          <w:rFonts w:ascii="Arial" w:eastAsia="Geomanist Light" w:hAnsi="Arial" w:cs="Arial"/>
          <w:b/>
          <w:bCs/>
          <w:color w:val="000000" w:themeColor="text1"/>
          <w:lang w:val="es-MX"/>
        </w:rPr>
        <w:t xml:space="preserve">CONTRATOS O CONVENIOS INTERADMINISTRATIVOS – Definición – Criterio orgánico </w:t>
      </w:r>
    </w:p>
    <w:p w14:paraId="7091C2D1" w14:textId="77777777" w:rsidR="00A67976" w:rsidRPr="0018158D" w:rsidRDefault="00A67976" w:rsidP="00A67976">
      <w:pPr>
        <w:spacing w:after="0" w:line="240" w:lineRule="auto"/>
        <w:rPr>
          <w:rFonts w:ascii="Arial" w:eastAsia="Geomanist Light" w:hAnsi="Arial" w:cs="Arial"/>
          <w:b/>
          <w:bCs/>
          <w:color w:val="000000" w:themeColor="text1"/>
          <w:sz w:val="20"/>
          <w:szCs w:val="20"/>
          <w:lang w:val="es-MX"/>
        </w:rPr>
      </w:pPr>
    </w:p>
    <w:p w14:paraId="22EBB7E6" w14:textId="77777777" w:rsidR="00A67976" w:rsidRPr="0018158D" w:rsidRDefault="00A67976" w:rsidP="00A67976">
      <w:pPr>
        <w:spacing w:after="0" w:line="240" w:lineRule="auto"/>
        <w:jc w:val="both"/>
        <w:rPr>
          <w:rFonts w:ascii="Arial" w:eastAsia="Geomanist Light" w:hAnsi="Arial" w:cs="Arial"/>
          <w:color w:val="000000" w:themeColor="text1"/>
          <w:sz w:val="20"/>
          <w:szCs w:val="20"/>
        </w:rPr>
      </w:pPr>
      <w:r w:rsidRPr="00AB0BF6">
        <w:rPr>
          <w:rFonts w:ascii="Arial" w:eastAsia="Geomanist Light" w:hAnsi="Arial" w:cs="Arial"/>
          <w:color w:val="000000" w:themeColor="text1"/>
          <w:sz w:val="20"/>
          <w:szCs w:val="20"/>
        </w:rPr>
        <w:t>La tipología del contrato o convenio interadministrativo fue creada en la Ley 80 de 1993, y el Decreto 1082 de 2015 la califica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47FAC2A7" w14:textId="77777777" w:rsidR="00A67976" w:rsidRPr="00AB0BF6" w:rsidRDefault="00A67976" w:rsidP="00A67976">
      <w:pPr>
        <w:spacing w:after="0" w:line="240" w:lineRule="auto"/>
        <w:jc w:val="both"/>
        <w:rPr>
          <w:rFonts w:ascii="Arial" w:eastAsia="Geomanist Light" w:hAnsi="Arial" w:cs="Arial"/>
          <w:color w:val="000000" w:themeColor="text1"/>
          <w:sz w:val="20"/>
          <w:szCs w:val="20"/>
        </w:rPr>
      </w:pPr>
    </w:p>
    <w:p w14:paraId="7A0A612C" w14:textId="77777777" w:rsidR="00A67976" w:rsidRPr="0018158D" w:rsidRDefault="00A67976" w:rsidP="00A67976">
      <w:pPr>
        <w:spacing w:after="0" w:line="240" w:lineRule="auto"/>
        <w:jc w:val="both"/>
        <w:rPr>
          <w:rFonts w:ascii="Arial" w:eastAsia="Geomanist Light" w:hAnsi="Arial" w:cs="Arial"/>
          <w:color w:val="000000" w:themeColor="text1"/>
          <w:sz w:val="20"/>
          <w:szCs w:val="20"/>
        </w:rPr>
      </w:pPr>
      <w:r w:rsidRPr="00AB0BF6">
        <w:rPr>
          <w:rFonts w:ascii="Arial" w:eastAsia="Geomanist Light" w:hAnsi="Arial" w:cs="Arial"/>
          <w:color w:val="000000" w:themeColor="text1"/>
          <w:sz w:val="20"/>
          <w:szCs w:val="20"/>
        </w:rPr>
        <w:t>Un contrato o convenio interadministrativo no está determinado por la modalidad de selección utilizada para celebrarlo. La Ley 1150 de 2007 dispone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 Nótese que, en este caso, lo que cambia es la modalidad de selección y no la naturaleza de contrato interadministrativo.</w:t>
      </w:r>
    </w:p>
    <w:p w14:paraId="7B3ED363" w14:textId="77777777" w:rsidR="00A67976" w:rsidRPr="0018158D" w:rsidRDefault="00A67976" w:rsidP="00A67976">
      <w:pPr>
        <w:spacing w:after="0" w:line="240" w:lineRule="auto"/>
        <w:jc w:val="both"/>
        <w:rPr>
          <w:rFonts w:ascii="Arial" w:eastAsia="Geomanist Light" w:hAnsi="Arial" w:cs="Arial"/>
          <w:color w:val="000000" w:themeColor="text1"/>
          <w:sz w:val="20"/>
          <w:szCs w:val="20"/>
        </w:rPr>
      </w:pPr>
    </w:p>
    <w:p w14:paraId="3440674A" w14:textId="77777777" w:rsidR="00A67976" w:rsidRDefault="00A67976" w:rsidP="00A67976">
      <w:pPr>
        <w:spacing w:after="0"/>
        <w:jc w:val="both"/>
        <w:rPr>
          <w:rFonts w:ascii="Arial" w:eastAsia="Geomanist Light" w:hAnsi="Arial" w:cs="Arial"/>
          <w:b/>
          <w:bCs/>
          <w:color w:val="000000" w:themeColor="text1"/>
          <w:lang w:val="es-MX"/>
        </w:rPr>
      </w:pPr>
      <w:r w:rsidRPr="0018158D">
        <w:rPr>
          <w:rFonts w:ascii="Arial" w:eastAsia="Geomanist Light" w:hAnsi="Arial" w:cs="Arial"/>
          <w:b/>
          <w:bCs/>
          <w:color w:val="000000" w:themeColor="text1"/>
          <w:lang w:val="es-MX"/>
        </w:rPr>
        <w:t xml:space="preserve">CONTRATOS Y CONVENIOS INTERADMINISTRATIVOS – Diferencias – Similitudes </w:t>
      </w:r>
    </w:p>
    <w:p w14:paraId="25C75222" w14:textId="77777777" w:rsidR="00A67976" w:rsidRPr="00AB0BF6" w:rsidRDefault="00A67976" w:rsidP="00A67976">
      <w:pPr>
        <w:spacing w:after="0" w:line="240" w:lineRule="auto"/>
        <w:jc w:val="both"/>
        <w:rPr>
          <w:rFonts w:ascii="Arial" w:eastAsia="Geomanist Light" w:hAnsi="Arial" w:cs="Arial"/>
          <w:b/>
          <w:bCs/>
          <w:color w:val="000000" w:themeColor="text1"/>
          <w:sz w:val="20"/>
          <w:szCs w:val="20"/>
        </w:rPr>
      </w:pPr>
    </w:p>
    <w:p w14:paraId="6AA6AA6E" w14:textId="77777777" w:rsidR="00A67976" w:rsidRPr="0018158D" w:rsidRDefault="00A67976" w:rsidP="00A67976">
      <w:pPr>
        <w:spacing w:after="0" w:line="240" w:lineRule="auto"/>
        <w:jc w:val="both"/>
        <w:rPr>
          <w:rFonts w:ascii="Arial" w:hAnsi="Arial" w:cs="Arial"/>
          <w:sz w:val="20"/>
          <w:szCs w:val="20"/>
        </w:rPr>
      </w:pPr>
      <w:r w:rsidRPr="0018158D">
        <w:rPr>
          <w:rFonts w:ascii="Arial" w:eastAsia="Calibri" w:hAnsi="Arial" w:cs="Arial"/>
          <w:bCs/>
          <w:color w:val="000000" w:themeColor="text1"/>
          <w:sz w:val="20"/>
          <w:szCs w:val="20"/>
          <w:lang w:bidi="es-ES"/>
        </w:rPr>
        <w:t xml:space="preserve">[…] mientras que el </w:t>
      </w:r>
      <w:r w:rsidRPr="0018158D">
        <w:rPr>
          <w:rFonts w:ascii="Arial" w:eastAsia="Calibri" w:hAnsi="Arial" w:cs="Arial"/>
          <w:bCs/>
          <w:i/>
          <w:iCs/>
          <w:color w:val="000000" w:themeColor="text1"/>
          <w:sz w:val="20"/>
          <w:szCs w:val="20"/>
          <w:lang w:bidi="es-ES"/>
        </w:rPr>
        <w:t>contrato interadministrativo</w:t>
      </w:r>
      <w:r w:rsidRPr="0018158D">
        <w:rPr>
          <w:rFonts w:ascii="Arial" w:eastAsia="Calibri" w:hAnsi="Arial" w:cs="Arial"/>
          <w:bCs/>
          <w:color w:val="000000" w:themeColor="text1"/>
          <w:sz w:val="20"/>
          <w:szCs w:val="20"/>
          <w:lang w:bidi="es-ES"/>
        </w:rPr>
        <w:t xml:space="preserve"> se caracteriza por su naturaleza onerosa, patrimonial y se conforma por intereses básicamente contrapuestos, los </w:t>
      </w:r>
      <w:r w:rsidRPr="0018158D">
        <w:rPr>
          <w:rFonts w:ascii="Arial" w:eastAsia="Calibri" w:hAnsi="Arial" w:cs="Arial"/>
          <w:bCs/>
          <w:i/>
          <w:iCs/>
          <w:color w:val="000000" w:themeColor="text1"/>
          <w:sz w:val="20"/>
          <w:szCs w:val="20"/>
          <w:lang w:bidi="es-ES"/>
        </w:rPr>
        <w:t>convenios interadministrativos</w:t>
      </w:r>
      <w:r w:rsidRPr="0018158D">
        <w:rPr>
          <w:rFonts w:ascii="Arial" w:eastAsia="Calibri" w:hAnsi="Arial" w:cs="Arial"/>
          <w:bCs/>
          <w:color w:val="000000" w:themeColor="text1"/>
          <w:sz w:val="20"/>
          <w:szCs w:val="20"/>
          <w:lang w:bidi="es-ES"/>
        </w:rPr>
        <w:t>, por su parte, tienen una finalidad asociativa perseguida por las partes suscriptoras cuyos intereses se encaminan en la misma dirección y persiguen los mismos objetivos, de conformidad con el ejercicio de las funciones y competencias que les son propias y propendiendo por la cooperación interinstitucional</w:t>
      </w:r>
      <w:r w:rsidRPr="0018158D">
        <w:rPr>
          <w:sz w:val="20"/>
          <w:szCs w:val="20"/>
        </w:rPr>
        <w:t xml:space="preserve"> </w:t>
      </w:r>
      <w:r w:rsidRPr="0018158D">
        <w:rPr>
          <w:rFonts w:ascii="Arial" w:eastAsia="Calibri" w:hAnsi="Arial" w:cs="Arial"/>
          <w:color w:val="000000" w:themeColor="text1"/>
          <w:sz w:val="20"/>
          <w:szCs w:val="20"/>
          <w:lang w:eastAsia="en-GB"/>
        </w:rPr>
        <w:t xml:space="preserve">[…] la distinción también se plantea en el ámbito del derecho privado con la referencia a los contratos de contraprestación y de colaboración; sin embargo, también se rigen por unos principios comunes, pues se forman por el consentimiento y de ambos se derivan el nacimiento de obligaciones para las partes. Por ello, “[…] Es evidente que el hecho de que las partes tengan intereses concordantes no implica en modo alguno que estas relaciones no quepan en el campo de la contratación […]”. </w:t>
      </w:r>
      <w:r w:rsidRPr="0018158D">
        <w:rPr>
          <w:rFonts w:ascii="Arial" w:hAnsi="Arial" w:cs="Arial"/>
          <w:sz w:val="20"/>
          <w:szCs w:val="20"/>
        </w:rPr>
        <w:t xml:space="preserve">Teniendo en cuenta lo anterior, no existe una definición legal que diferencie los conceptos de contrato y convenio. En tal sentido, teniendo en cuenta sus características comunes, las referencias realizadas por el legislador a estos términos deben asimilarse, salvo que de su contenido logre inferirse que se quiere otorgar un contenido en particular. </w:t>
      </w:r>
    </w:p>
    <w:p w14:paraId="16E53420" w14:textId="77777777" w:rsidR="00A67976" w:rsidRPr="0018158D" w:rsidRDefault="00A67976" w:rsidP="00A67976">
      <w:pPr>
        <w:spacing w:after="0" w:line="240" w:lineRule="auto"/>
        <w:jc w:val="both"/>
        <w:rPr>
          <w:rFonts w:ascii="Arial" w:hAnsi="Arial" w:cs="Arial"/>
          <w:sz w:val="20"/>
          <w:szCs w:val="20"/>
        </w:rPr>
      </w:pPr>
    </w:p>
    <w:p w14:paraId="720D7442" w14:textId="77777777" w:rsidR="00A67976" w:rsidRDefault="00A67976" w:rsidP="00A67976">
      <w:pPr>
        <w:spacing w:after="0"/>
        <w:jc w:val="both"/>
        <w:rPr>
          <w:rFonts w:ascii="Arial" w:hAnsi="Arial" w:cs="Arial"/>
          <w:b/>
          <w:bCs/>
        </w:rPr>
      </w:pPr>
      <w:r w:rsidRPr="0018158D">
        <w:rPr>
          <w:rFonts w:ascii="Arial" w:hAnsi="Arial" w:cs="Arial"/>
          <w:b/>
          <w:bCs/>
        </w:rPr>
        <w:t xml:space="preserve">DOCUMENTOS TIPO – Fundamento normativo – Obligatoriedad – Ámbito de aplicación – Entidades sometidas  </w:t>
      </w:r>
    </w:p>
    <w:p w14:paraId="0931F081" w14:textId="77777777" w:rsidR="00A67976" w:rsidRPr="0018158D" w:rsidRDefault="00A67976" w:rsidP="00A67976">
      <w:pPr>
        <w:spacing w:after="0" w:line="240" w:lineRule="auto"/>
        <w:jc w:val="both"/>
        <w:rPr>
          <w:rFonts w:ascii="Arial" w:hAnsi="Arial" w:cs="Arial"/>
          <w:b/>
          <w:bCs/>
          <w:sz w:val="20"/>
          <w:szCs w:val="20"/>
        </w:rPr>
      </w:pPr>
    </w:p>
    <w:p w14:paraId="5BE44753" w14:textId="77777777" w:rsidR="00A67976" w:rsidRPr="0018158D" w:rsidRDefault="00A67976" w:rsidP="00A67976">
      <w:pPr>
        <w:spacing w:after="0" w:line="240" w:lineRule="auto"/>
        <w:jc w:val="both"/>
        <w:rPr>
          <w:rFonts w:ascii="Arial" w:eastAsia="Calibri" w:hAnsi="Arial" w:cs="Arial"/>
          <w:sz w:val="20"/>
          <w:szCs w:val="20"/>
          <w:lang w:val="es-ES_tradnl" w:eastAsia="es-ES"/>
        </w:rPr>
      </w:pPr>
      <w:r w:rsidRPr="0018158D">
        <w:rPr>
          <w:rFonts w:ascii="Arial" w:eastAsia="Calibri" w:hAnsi="Arial" w:cs="Arial"/>
          <w:sz w:val="20"/>
          <w:szCs w:val="20"/>
          <w:lang w:val="es-ES_tradnl" w:eastAsia="es-ES"/>
        </w:rPr>
        <w:t xml:space="preserve">[…] la Ley 2022 de 2020 […] modificó el contenido del parágrafo 7 del artículo 2 de la Ley 1150 de 2007, que había sido adicionado por la Ley 1882 de 2018. Con esta modificación, si bien se mantuvo el mandato de aplicación obligatoria de los documentos tipo por parte de las entidades sometidas al </w:t>
      </w:r>
      <w:r w:rsidRPr="0018158D">
        <w:rPr>
          <w:rFonts w:ascii="Arial" w:eastAsia="Calibri" w:hAnsi="Arial" w:cs="Arial"/>
          <w:bCs/>
          <w:sz w:val="20"/>
          <w:szCs w:val="20"/>
          <w:lang w:val="es-ES_tradnl" w:eastAsia="es-ES_tradnl"/>
        </w:rPr>
        <w:t>EGCAP</w:t>
      </w:r>
      <w:r w:rsidRPr="0018158D">
        <w:rPr>
          <w:rFonts w:ascii="Arial" w:eastAsia="Calibri" w:hAnsi="Arial" w:cs="Arial"/>
          <w:sz w:val="20"/>
          <w:szCs w:val="20"/>
          <w:lang w:val="es-ES_tradnl" w:eastAsia="es-ES"/>
        </w:rPr>
        <w:t xml:space="preserve">, se atribuyó a la </w:t>
      </w:r>
      <w:r w:rsidRPr="0018158D">
        <w:rPr>
          <w:rFonts w:ascii="Arial" w:eastAsia="Calibri" w:hAnsi="Arial" w:cs="Arial"/>
          <w:sz w:val="20"/>
          <w:szCs w:val="20"/>
          <w:lang w:val="es-ES_tradnl"/>
        </w:rPr>
        <w:t xml:space="preserve">Agencia Nacional de Contratación Pública – Colombia Compra Eficiente la competencia para su expedición. </w:t>
      </w:r>
      <w:r w:rsidRPr="0018158D">
        <w:rPr>
          <w:rFonts w:ascii="Arial" w:eastAsia="Calibri" w:hAnsi="Arial" w:cs="Arial"/>
          <w:sz w:val="20"/>
          <w:szCs w:val="20"/>
          <w:lang w:val="es-ES_tradnl" w:eastAsia="es-ES"/>
        </w:rPr>
        <w:t xml:space="preserve">En este marco, con la finalidad de realizar un desarrollo armónico y ajustado de la ley que le otorga la mencionada competencia, esta Agencia expidió la Resolución 160 del 15 de septiembre de 2020, </w:t>
      </w:r>
      <w:r w:rsidRPr="0018158D">
        <w:rPr>
          <w:rFonts w:ascii="Arial" w:eastAsia="Calibri" w:hAnsi="Arial" w:cs="Arial"/>
          <w:i/>
          <w:iCs/>
          <w:sz w:val="20"/>
          <w:szCs w:val="20"/>
          <w:lang w:val="es-ES_tradnl" w:eastAsia="es-ES"/>
        </w:rPr>
        <w:t>“Por la cual se adopta el procedimiento para implementar los documentos tipo y se define el sistema para su revisión”.</w:t>
      </w:r>
      <w:r w:rsidRPr="0018158D">
        <w:rPr>
          <w:rFonts w:ascii="Arial" w:eastAsia="Calibri" w:hAnsi="Arial" w:cs="Arial"/>
          <w:sz w:val="20"/>
          <w:szCs w:val="20"/>
          <w:lang w:val="es-ES_tradnl" w:eastAsia="es-ES"/>
        </w:rPr>
        <w:t xml:space="preserve"> </w:t>
      </w:r>
    </w:p>
    <w:p w14:paraId="5F911969" w14:textId="77777777" w:rsidR="00A67976" w:rsidRPr="0018158D" w:rsidRDefault="00A67976" w:rsidP="00A67976">
      <w:pPr>
        <w:spacing w:after="0" w:line="240" w:lineRule="auto"/>
        <w:jc w:val="both"/>
        <w:rPr>
          <w:rFonts w:ascii="Arial" w:eastAsia="Calibri" w:hAnsi="Arial" w:cs="Arial"/>
          <w:sz w:val="20"/>
          <w:szCs w:val="20"/>
          <w:lang w:val="es-ES_tradnl" w:eastAsia="es-ES"/>
        </w:rPr>
      </w:pPr>
    </w:p>
    <w:p w14:paraId="5C88BE50" w14:textId="77777777" w:rsidR="00A67976" w:rsidRPr="0018158D" w:rsidRDefault="00A67976" w:rsidP="00A67976">
      <w:pPr>
        <w:spacing w:after="0" w:line="240" w:lineRule="auto"/>
        <w:jc w:val="both"/>
        <w:rPr>
          <w:rFonts w:ascii="Arial" w:eastAsia="Calibri" w:hAnsi="Arial" w:cs="Arial"/>
          <w:sz w:val="20"/>
          <w:szCs w:val="20"/>
          <w:lang w:eastAsia="en-GB"/>
        </w:rPr>
      </w:pPr>
      <w:r w:rsidRPr="0018158D">
        <w:rPr>
          <w:rFonts w:ascii="Arial" w:eastAsia="Calibri" w:hAnsi="Arial" w:cs="Arial"/>
          <w:sz w:val="20"/>
          <w:szCs w:val="20"/>
          <w:lang w:eastAsia="es-ES_tradnl"/>
        </w:rPr>
        <w:t xml:space="preserve">De acuerdo con lo expuesto, </w:t>
      </w:r>
      <w:r w:rsidRPr="0018158D">
        <w:rPr>
          <w:rFonts w:ascii="Arial" w:eastAsia="Calibri" w:hAnsi="Arial" w:cs="Arial"/>
          <w:sz w:val="20"/>
          <w:szCs w:val="20"/>
          <w:bdr w:val="none" w:sz="0" w:space="0" w:color="auto" w:frame="1"/>
          <w:lang w:eastAsia="es-ES_tradnl"/>
        </w:rPr>
        <w:t xml:space="preserve">los documentos tipo adoptados son obligatorios para las entidades estatales regidas por el </w:t>
      </w:r>
      <w:r w:rsidRPr="0018158D">
        <w:rPr>
          <w:rFonts w:ascii="Arial" w:eastAsia="Calibri" w:hAnsi="Arial" w:cs="Arial"/>
          <w:bCs/>
          <w:sz w:val="20"/>
          <w:szCs w:val="20"/>
          <w:lang w:val="es-ES_tradnl" w:eastAsia="es-ES_tradnl"/>
        </w:rPr>
        <w:t>EGCAP</w:t>
      </w:r>
      <w:r w:rsidRPr="0018158D">
        <w:rPr>
          <w:rFonts w:ascii="Arial" w:eastAsia="Calibri" w:hAnsi="Arial" w:cs="Arial"/>
          <w:sz w:val="20"/>
          <w:szCs w:val="20"/>
          <w:bdr w:val="none" w:sz="0" w:space="0" w:color="auto" w:frame="1"/>
          <w:lang w:eastAsia="es-ES_tradnl"/>
        </w:rPr>
        <w:t xml:space="preserve"> que adelanten procesos de contratación mediante las modalidades de selección y objetos contractuales cobijados por alguno de los documentos tipo vigentes en los diferentes sectores. </w:t>
      </w:r>
      <w:r w:rsidRPr="0018158D">
        <w:rPr>
          <w:rFonts w:ascii="Arial" w:eastAsia="Calibri" w:hAnsi="Arial" w:cs="Arial"/>
          <w:sz w:val="20"/>
          <w:szCs w:val="20"/>
          <w:lang w:eastAsia="en-GB"/>
        </w:rPr>
        <w:t xml:space="preserve">La obligatoriedad del contenido de los documentos tipo implica que las entidades estatales tengan que </w:t>
      </w:r>
      <w:r w:rsidRPr="0018158D">
        <w:rPr>
          <w:rFonts w:ascii="Arial" w:eastAsia="Calibri" w:hAnsi="Arial" w:cs="Arial"/>
          <w:sz w:val="20"/>
          <w:szCs w:val="20"/>
          <w:lang w:eastAsia="en-GB"/>
        </w:rPr>
        <w:lastRenderedPageBreak/>
        <w:t>adelantar los procesos de contratación ciñéndose a las condiciones establecidas en los documentos tipo, sin que puedan variarse los requisitos fijados en ellos.</w:t>
      </w:r>
    </w:p>
    <w:p w14:paraId="04F9F5DB" w14:textId="77777777" w:rsidR="00A67976" w:rsidRPr="0018158D" w:rsidRDefault="00A67976" w:rsidP="00A67976">
      <w:pPr>
        <w:spacing w:after="0" w:line="240" w:lineRule="auto"/>
        <w:jc w:val="both"/>
        <w:rPr>
          <w:rFonts w:ascii="Arial" w:eastAsia="Calibri" w:hAnsi="Arial" w:cs="Arial"/>
          <w:sz w:val="20"/>
          <w:szCs w:val="20"/>
          <w:lang w:eastAsia="en-GB"/>
        </w:rPr>
      </w:pPr>
    </w:p>
    <w:p w14:paraId="04599087" w14:textId="77777777" w:rsidR="00A67976" w:rsidRDefault="00A67976" w:rsidP="00A67976">
      <w:pPr>
        <w:spacing w:after="0"/>
        <w:jc w:val="both"/>
        <w:rPr>
          <w:rFonts w:ascii="Arial" w:eastAsia="Calibri" w:hAnsi="Arial" w:cs="Arial"/>
          <w:b/>
          <w:bCs/>
          <w:lang w:eastAsia="en-GB"/>
        </w:rPr>
      </w:pPr>
      <w:r w:rsidRPr="0018158D">
        <w:rPr>
          <w:rFonts w:ascii="Arial" w:eastAsia="Calibri" w:hAnsi="Arial" w:cs="Arial"/>
          <w:b/>
          <w:bCs/>
          <w:lang w:eastAsia="en-GB"/>
        </w:rPr>
        <w:t xml:space="preserve">DOCUMENTOS TIPO – Extensión – Ámbito de aplicación – Excepciones </w:t>
      </w:r>
    </w:p>
    <w:p w14:paraId="7B0A46D5" w14:textId="77777777" w:rsidR="00A67976" w:rsidRPr="0018158D" w:rsidRDefault="00A67976" w:rsidP="00A67976">
      <w:pPr>
        <w:spacing w:after="0" w:line="240" w:lineRule="auto"/>
        <w:jc w:val="both"/>
        <w:rPr>
          <w:rFonts w:ascii="Arial" w:eastAsia="Calibri" w:hAnsi="Arial" w:cs="Arial"/>
          <w:b/>
          <w:bCs/>
          <w:sz w:val="20"/>
          <w:szCs w:val="20"/>
          <w:lang w:eastAsia="en-GB"/>
        </w:rPr>
      </w:pPr>
    </w:p>
    <w:p w14:paraId="544C57A2" w14:textId="77777777" w:rsidR="00A67976" w:rsidRPr="0018158D" w:rsidRDefault="00A67976" w:rsidP="00A67976">
      <w:pPr>
        <w:spacing w:after="0" w:line="240" w:lineRule="auto"/>
        <w:jc w:val="both"/>
        <w:rPr>
          <w:rFonts w:ascii="Arial" w:hAnsi="Arial" w:cs="Arial"/>
          <w:sz w:val="20"/>
          <w:szCs w:val="20"/>
          <w:lang w:val="es-ES_tradnl"/>
        </w:rPr>
      </w:pPr>
      <w:r w:rsidRPr="0018158D">
        <w:rPr>
          <w:rFonts w:ascii="Arial" w:hAnsi="Arial" w:cs="Arial"/>
          <w:sz w:val="20"/>
          <w:szCs w:val="20"/>
          <w:lang w:val="es-ES_tradnl"/>
        </w:rPr>
        <w:t xml:space="preserve">En virtud de lo establecido en el parágrafo 7 del artículo 2 de la Ley 1150 de 2007, modificado por el artículo 1 de la Ley 2022 de 2020, las entidades estatales regidas por el Estatuto General de Contratación de la Administración Pública están obligadas a aplicar los documentos tipo en los procedimientos y contratos que adelanten en aplicación de dicha normativa. Adicionalmente, en atención a lo dispuesto en los dos primeros incisos del artículo 56 de la Ley 2195 de 2022, cuando estas entidades suscriban convenios o contratos de cualquier índole con entidades estatales de régimen especial o exceptuado, patrimonios autónomos, personas naturales o jurídicas de derecho privado, también deberán aplicar documentos tipo, y en general, las disposiciones del Estatuto General de Contratación de la Administración Pública. </w:t>
      </w:r>
    </w:p>
    <w:p w14:paraId="0FCABE3E" w14:textId="77777777" w:rsidR="00A67976" w:rsidRPr="0018158D" w:rsidRDefault="00A67976" w:rsidP="00A67976">
      <w:pPr>
        <w:spacing w:after="0" w:line="240" w:lineRule="auto"/>
        <w:jc w:val="both"/>
        <w:rPr>
          <w:rFonts w:ascii="Arial" w:hAnsi="Arial" w:cs="Arial"/>
          <w:sz w:val="20"/>
          <w:szCs w:val="20"/>
          <w:lang w:val="es-ES_tradnl"/>
        </w:rPr>
      </w:pPr>
    </w:p>
    <w:p w14:paraId="6FF10293" w14:textId="77777777" w:rsidR="00A67976" w:rsidRDefault="00A67976" w:rsidP="00A67976">
      <w:pPr>
        <w:tabs>
          <w:tab w:val="left" w:pos="0"/>
        </w:tabs>
        <w:spacing w:after="0" w:line="240" w:lineRule="auto"/>
        <w:jc w:val="both"/>
        <w:rPr>
          <w:rFonts w:ascii="Arial" w:eastAsia="Calibri" w:hAnsi="Arial" w:cs="Arial"/>
          <w:bCs/>
          <w:sz w:val="20"/>
          <w:szCs w:val="20"/>
          <w:lang w:val="es-ES_tradnl" w:eastAsia="es-ES_tradnl"/>
        </w:rPr>
      </w:pPr>
      <w:r w:rsidRPr="0018158D">
        <w:rPr>
          <w:rFonts w:ascii="Arial" w:eastAsia="Calibri" w:hAnsi="Arial" w:cs="Arial"/>
          <w:bCs/>
          <w:sz w:val="20"/>
          <w:szCs w:val="20"/>
          <w:lang w:val="es-ES_tradnl" w:eastAsia="es-ES_tradnl"/>
        </w:rPr>
        <w:t xml:space="preserve">es necesario precisar el alcance del parágrafo del artículo 56 de la Ley 2195 de 2022 y lo dispuesto en los dos primeros incisos del mencionado artículo, del cual se excluye, a cierto tipo de entidades, en lo relacionado con la contratación de su </w:t>
      </w:r>
      <w:r w:rsidRPr="0018158D">
        <w:rPr>
          <w:rFonts w:ascii="Arial" w:eastAsia="Calibri" w:hAnsi="Arial" w:cs="Arial"/>
          <w:bCs/>
          <w:i/>
          <w:iCs/>
          <w:sz w:val="20"/>
          <w:szCs w:val="20"/>
          <w:lang w:val="es-ES_tradnl" w:eastAsia="es-ES_tradnl"/>
        </w:rPr>
        <w:t>giro ordinario</w:t>
      </w:r>
      <w:r w:rsidRPr="0018158D">
        <w:rPr>
          <w:rFonts w:ascii="Arial" w:eastAsia="Calibri" w:hAnsi="Arial" w:cs="Arial"/>
          <w:bCs/>
          <w:sz w:val="20"/>
          <w:szCs w:val="20"/>
          <w:lang w:val="es-ES_tradnl" w:eastAsia="es-ES_tradnl"/>
        </w:rPr>
        <w:t xml:space="preserve">. Conforme se desprende del texto del referido parágrafo, se exceptúa de lo señalado en los dos primeros incisos a: i) las instituciones de educación superior públicas, </w:t>
      </w:r>
      <w:proofErr w:type="spellStart"/>
      <w:r w:rsidRPr="0018158D">
        <w:rPr>
          <w:rFonts w:ascii="Arial" w:eastAsia="Calibri" w:hAnsi="Arial" w:cs="Arial"/>
          <w:bCs/>
          <w:sz w:val="20"/>
          <w:szCs w:val="20"/>
          <w:lang w:val="es-ES_tradnl" w:eastAsia="es-ES_tradnl"/>
        </w:rPr>
        <w:t>ii</w:t>
      </w:r>
      <w:proofErr w:type="spellEnd"/>
      <w:r w:rsidRPr="0018158D">
        <w:rPr>
          <w:rFonts w:ascii="Arial" w:eastAsia="Calibri" w:hAnsi="Arial" w:cs="Arial"/>
          <w:bCs/>
          <w:sz w:val="20"/>
          <w:szCs w:val="20"/>
          <w:lang w:val="es-ES_tradnl" w:eastAsia="es-ES_tradnl"/>
        </w:rPr>
        <w:t xml:space="preserve">) las empresas sociales del Estado, </w:t>
      </w:r>
      <w:proofErr w:type="spellStart"/>
      <w:r w:rsidRPr="0018158D">
        <w:rPr>
          <w:rFonts w:ascii="Arial" w:eastAsia="Calibri" w:hAnsi="Arial" w:cs="Arial"/>
          <w:bCs/>
          <w:sz w:val="20"/>
          <w:szCs w:val="20"/>
          <w:lang w:val="es-ES_tradnl" w:eastAsia="es-ES_tradnl"/>
        </w:rPr>
        <w:t>iii</w:t>
      </w:r>
      <w:proofErr w:type="spellEnd"/>
      <w:r w:rsidRPr="0018158D">
        <w:rPr>
          <w:rFonts w:ascii="Arial" w:eastAsia="Calibri" w:hAnsi="Arial" w:cs="Arial"/>
          <w:bCs/>
          <w:sz w:val="20"/>
          <w:szCs w:val="20"/>
          <w:lang w:val="es-ES_tradnl" w:eastAsia="es-ES_tradnl"/>
        </w:rPr>
        <w:t xml:space="preserve">) las sociedades de economía mixta y </w:t>
      </w:r>
      <w:proofErr w:type="spellStart"/>
      <w:r w:rsidRPr="0018158D">
        <w:rPr>
          <w:rFonts w:ascii="Arial" w:eastAsia="Calibri" w:hAnsi="Arial" w:cs="Arial"/>
          <w:bCs/>
          <w:sz w:val="20"/>
          <w:szCs w:val="20"/>
          <w:lang w:val="es-ES_tradnl" w:eastAsia="es-ES_tradnl"/>
        </w:rPr>
        <w:t>iv</w:t>
      </w:r>
      <w:proofErr w:type="spellEnd"/>
      <w:r w:rsidRPr="0018158D">
        <w:rPr>
          <w:rFonts w:ascii="Arial" w:eastAsia="Calibri" w:hAnsi="Arial" w:cs="Arial"/>
          <w:bCs/>
          <w:sz w:val="20"/>
          <w:szCs w:val="20"/>
          <w:lang w:val="es-ES_tradnl" w:eastAsia="es-ES_tradnl"/>
        </w:rPr>
        <w:t xml:space="preserve">) las empresas industriales y comerciales del Estado, únicamente, en la contratación relacionada con el </w:t>
      </w:r>
      <w:r w:rsidRPr="0018158D">
        <w:rPr>
          <w:rFonts w:ascii="Arial" w:eastAsia="Calibri" w:hAnsi="Arial" w:cs="Arial"/>
          <w:bCs/>
          <w:i/>
          <w:iCs/>
          <w:sz w:val="20"/>
          <w:szCs w:val="20"/>
          <w:lang w:val="es-ES_tradnl" w:eastAsia="es-ES_tradnl"/>
        </w:rPr>
        <w:t>giro ordinario.</w:t>
      </w:r>
      <w:r w:rsidRPr="0018158D">
        <w:rPr>
          <w:rFonts w:ascii="Arial" w:eastAsia="Calibri" w:hAnsi="Arial" w:cs="Arial"/>
          <w:bCs/>
          <w:sz w:val="20"/>
          <w:szCs w:val="20"/>
          <w:lang w:val="es-ES_tradnl" w:eastAsia="es-ES_tradnl"/>
        </w:rPr>
        <w:t xml:space="preserve"> Esto significa que, en la contratación asociada a su </w:t>
      </w:r>
      <w:r w:rsidRPr="0018158D">
        <w:rPr>
          <w:rFonts w:ascii="Arial" w:eastAsia="Calibri" w:hAnsi="Arial" w:cs="Arial"/>
          <w:bCs/>
          <w:i/>
          <w:iCs/>
          <w:sz w:val="20"/>
          <w:szCs w:val="20"/>
          <w:lang w:val="es-ES_tradnl" w:eastAsia="es-ES_tradnl"/>
        </w:rPr>
        <w:t xml:space="preserve">giro ordinario, </w:t>
      </w:r>
      <w:r w:rsidRPr="0018158D">
        <w:rPr>
          <w:rFonts w:ascii="Arial" w:eastAsia="Calibri" w:hAnsi="Arial" w:cs="Arial"/>
          <w:bCs/>
          <w:sz w:val="20"/>
          <w:szCs w:val="20"/>
          <w:lang w:val="es-ES_tradnl" w:eastAsia="es-ES_tradnl"/>
        </w:rPr>
        <w:t>estos tipos de entidades no tendrían que aplicar, de manera obligatoria, los documentos tipo, ni tampoco el EGCAP.</w:t>
      </w:r>
      <w:r w:rsidRPr="0018158D">
        <w:rPr>
          <w:rFonts w:ascii="Arial" w:eastAsia="Times New Roman" w:hAnsi="Arial" w:cs="Arial"/>
          <w:sz w:val="20"/>
          <w:szCs w:val="20"/>
          <w:lang w:eastAsia="es-ES_tradnl"/>
        </w:rPr>
        <w:t xml:space="preserve"> es decir, si entidades estatales exceptuadas pretenden ser adjudicatarias de estos contratos, no deben someterse a un proceso de selección en el que se apliquen documentos tipo expedidos por esta Agencia. </w:t>
      </w:r>
      <w:r w:rsidRPr="0018158D">
        <w:rPr>
          <w:rFonts w:ascii="Arial" w:eastAsia="Calibri" w:hAnsi="Arial" w:cs="Arial"/>
          <w:bCs/>
          <w:sz w:val="20"/>
          <w:szCs w:val="20"/>
          <w:lang w:val="es-ES_tradnl" w:eastAsia="es-ES_tradnl"/>
        </w:rPr>
        <w:t xml:space="preserve">En este caso la norma se limita a fomentar la implementación de documentos tipo a modo de buena práctica contractual, en los casos en los que se estime conveniente. </w:t>
      </w:r>
    </w:p>
    <w:p w14:paraId="0BFCA822" w14:textId="77777777" w:rsidR="00A67976" w:rsidRPr="0018158D" w:rsidRDefault="00A67976" w:rsidP="00A67976">
      <w:pPr>
        <w:tabs>
          <w:tab w:val="left" w:pos="0"/>
        </w:tabs>
        <w:spacing w:after="0" w:line="240" w:lineRule="auto"/>
        <w:jc w:val="both"/>
        <w:rPr>
          <w:rFonts w:ascii="Arial" w:eastAsia="Calibri" w:hAnsi="Arial" w:cs="Arial"/>
          <w:bCs/>
          <w:sz w:val="20"/>
          <w:szCs w:val="20"/>
          <w:lang w:val="es-ES_tradnl" w:eastAsia="es-ES_tradnl"/>
        </w:rPr>
      </w:pPr>
    </w:p>
    <w:p w14:paraId="76CAD506" w14:textId="77777777" w:rsidR="00A67976" w:rsidRDefault="00A67976" w:rsidP="00A67976">
      <w:pPr>
        <w:tabs>
          <w:tab w:val="left" w:pos="0"/>
        </w:tabs>
        <w:spacing w:after="0" w:line="276" w:lineRule="auto"/>
        <w:jc w:val="both"/>
        <w:rPr>
          <w:rFonts w:ascii="Arial" w:eastAsia="Calibri" w:hAnsi="Arial" w:cs="Arial"/>
          <w:b/>
          <w:lang w:val="es-ES_tradnl" w:eastAsia="es-ES_tradnl"/>
        </w:rPr>
      </w:pPr>
      <w:r w:rsidRPr="0018158D">
        <w:rPr>
          <w:rFonts w:ascii="Arial" w:eastAsia="Calibri" w:hAnsi="Arial" w:cs="Arial"/>
          <w:b/>
          <w:lang w:val="es-ES_tradnl" w:eastAsia="es-ES_tradnl"/>
        </w:rPr>
        <w:t>DOCUMENTOS TIPO – Infraestructura Social – Bienes o servicios adicionales – Contratos llave en mano – Obligatoriedad</w:t>
      </w:r>
    </w:p>
    <w:p w14:paraId="5E5B3B9E" w14:textId="77777777" w:rsidR="00A67976" w:rsidRPr="0018158D" w:rsidRDefault="00A67976" w:rsidP="00A67976">
      <w:pPr>
        <w:tabs>
          <w:tab w:val="left" w:pos="0"/>
        </w:tabs>
        <w:spacing w:after="0" w:line="240" w:lineRule="auto"/>
        <w:jc w:val="both"/>
        <w:rPr>
          <w:rFonts w:ascii="Arial" w:eastAsia="Calibri" w:hAnsi="Arial" w:cs="Arial"/>
          <w:b/>
          <w:sz w:val="20"/>
          <w:szCs w:val="20"/>
          <w:lang w:val="es-ES_tradnl" w:eastAsia="es-ES_tradnl"/>
        </w:rPr>
      </w:pPr>
    </w:p>
    <w:p w14:paraId="6D0B00BA" w14:textId="77777777" w:rsidR="00A67976" w:rsidRPr="0018158D" w:rsidRDefault="00A67976" w:rsidP="00A67976">
      <w:pPr>
        <w:spacing w:after="0" w:line="240" w:lineRule="auto"/>
        <w:jc w:val="both"/>
        <w:rPr>
          <w:rFonts w:ascii="Arial" w:eastAsia="Calibri" w:hAnsi="Arial" w:cs="Arial"/>
          <w:sz w:val="20"/>
          <w:szCs w:val="20"/>
        </w:rPr>
      </w:pPr>
      <w:r w:rsidRPr="0018158D">
        <w:rPr>
          <w:rFonts w:ascii="Arial" w:eastAsia="Calibri" w:hAnsi="Arial" w:cs="Arial"/>
          <w:sz w:val="20"/>
          <w:szCs w:val="20"/>
        </w:rPr>
        <w:t>Cuando la entidad requiere bienes y servicios que no se encuentran incluidos como infraestructura social en la matriz de experiencia y considera necesario exigir experiencia adicional, debe aplicar el artículo 4 de la Resolución 219 del 6 de agosto de 2021. Esta norma dispone los eventos en los que el objeto contractual incluye bienes o servicios adicionales a la obra pública de infraestructura de infraestructura social. En este caso, la entidad puede incluir experiencia adicional para evaluar la idoneidad del proponente respecto a esta clase de bienes y servicios.</w:t>
      </w:r>
    </w:p>
    <w:p w14:paraId="5A27C1BA" w14:textId="77777777" w:rsidR="00A67976" w:rsidRPr="0018158D" w:rsidRDefault="00A67976" w:rsidP="00A67976">
      <w:pPr>
        <w:spacing w:after="0" w:line="240" w:lineRule="auto"/>
        <w:jc w:val="both"/>
        <w:rPr>
          <w:rFonts w:ascii="Arial" w:eastAsia="Calibri" w:hAnsi="Arial" w:cs="Arial"/>
          <w:sz w:val="20"/>
          <w:szCs w:val="20"/>
        </w:rPr>
      </w:pPr>
    </w:p>
    <w:p w14:paraId="423FD49C" w14:textId="77777777" w:rsidR="00A67976" w:rsidRPr="0018158D" w:rsidRDefault="00A67976" w:rsidP="00A67976">
      <w:pPr>
        <w:spacing w:after="0" w:line="240" w:lineRule="auto"/>
        <w:jc w:val="both"/>
        <w:rPr>
          <w:rFonts w:ascii="Arial" w:eastAsia="Calibri" w:hAnsi="Arial" w:cs="Arial"/>
          <w:sz w:val="20"/>
          <w:szCs w:val="20"/>
        </w:rPr>
      </w:pPr>
      <w:r w:rsidRPr="0018158D">
        <w:rPr>
          <w:rFonts w:ascii="Arial" w:eastAsia="Calibri" w:hAnsi="Arial" w:cs="Arial"/>
          <w:sz w:val="20"/>
          <w:szCs w:val="20"/>
        </w:rPr>
        <w:t xml:space="preserve">En el marco de las definiciones de los parágrafos 2 y 3 de la norma precitada, la posibilidad de solicitar experiencia adicional solo ocurre cuando el objeto contractual incluye bienes o servicios adicionales a la obra pública de infraestructura social. Esto implica que: i) la actividad que se requiere, si bien es una labor de obra, no está relacionada con la infraestructura social, por ejemplo, la construcción de una vía cerca de un parque recreativo, y </w:t>
      </w:r>
      <w:proofErr w:type="spellStart"/>
      <w:r w:rsidRPr="0018158D">
        <w:rPr>
          <w:rFonts w:ascii="Arial" w:eastAsia="Calibri" w:hAnsi="Arial" w:cs="Arial"/>
          <w:sz w:val="20"/>
          <w:szCs w:val="20"/>
        </w:rPr>
        <w:t>ii</w:t>
      </w:r>
      <w:proofErr w:type="spellEnd"/>
      <w:r w:rsidRPr="0018158D">
        <w:rPr>
          <w:rFonts w:ascii="Arial" w:eastAsia="Calibri" w:hAnsi="Arial" w:cs="Arial"/>
          <w:sz w:val="20"/>
          <w:szCs w:val="20"/>
        </w:rPr>
        <w:t>) el bien o servicio adicional es distinto a la actividad principal, aun cuando se relaciona con la infraestructura social, v. gr., cuando se requiere que el contratista realice los estudios y diseños de la obra. En supuestos como los indicados es posible que la entidad exija experiencia adicional para acreditar la idoneidad del contratista en la ejecución de estos bienes o servicios adicionales a la obra de infraestructura social. Sin embargo, esta opción se encuentra limitada por el parágrafo 1 del artículo 4 de la Resolución 219 del 6 de agosto de 2021, modificado por el artículo 177 de la Resolución 275 del 24 de junio de 2022, pues “En los casos que el objeto contractual incluya actividades que son abarcadas por otros Documentos, la Entidad Estatal aplicará las reglas de combinación de experiencia previstas en el numeral 3.5.1 del documento base”.</w:t>
      </w:r>
    </w:p>
    <w:p w14:paraId="25CC4EEC" w14:textId="77777777" w:rsidR="00A67976" w:rsidRPr="0018158D" w:rsidRDefault="00A67976" w:rsidP="00A67976">
      <w:pPr>
        <w:spacing w:after="0" w:line="240" w:lineRule="auto"/>
        <w:jc w:val="both"/>
        <w:rPr>
          <w:rFonts w:ascii="Arial" w:eastAsia="Calibri" w:hAnsi="Arial" w:cs="Arial"/>
          <w:sz w:val="20"/>
          <w:szCs w:val="20"/>
        </w:rPr>
      </w:pPr>
    </w:p>
    <w:p w14:paraId="29FC7CF1" w14:textId="77777777" w:rsidR="00A67976" w:rsidRPr="0018158D" w:rsidRDefault="00A67976" w:rsidP="00A67976">
      <w:pPr>
        <w:spacing w:after="0" w:line="240" w:lineRule="auto"/>
        <w:jc w:val="both"/>
        <w:rPr>
          <w:rFonts w:ascii="Arial" w:eastAsia="Times New Roman" w:hAnsi="Arial" w:cs="Arial"/>
          <w:sz w:val="20"/>
          <w:szCs w:val="20"/>
          <w:lang w:val="es-MX" w:eastAsia="es-ES_tradnl"/>
        </w:rPr>
      </w:pPr>
      <w:r w:rsidRPr="0018158D">
        <w:rPr>
          <w:rFonts w:ascii="Arial" w:eastAsia="Times New Roman" w:hAnsi="Arial" w:cs="Arial"/>
          <w:sz w:val="20"/>
          <w:szCs w:val="20"/>
          <w:lang w:val="es-ES_tradnl" w:eastAsia="es-ES_tradnl"/>
        </w:rPr>
        <w:t xml:space="preserve">Por tanto, según la norma reseñada, si de manera excepcional la entidad estatal considera que el contratista de la obra que debe contratarse a través de la aplicación de los documentos tipo de infraestructura social debe ejecutar bienes o servicios adicionales, como sería el caso de los estudios y diseños necesarios para la obra, puede incluir la experiencia adicional para evaluar la idoneidad de los proponentes, </w:t>
      </w:r>
      <w:r w:rsidRPr="0018158D">
        <w:rPr>
          <w:rFonts w:ascii="Arial" w:eastAsia="Times New Roman" w:hAnsi="Arial" w:cs="Arial"/>
          <w:sz w:val="20"/>
          <w:szCs w:val="20"/>
          <w:lang w:val="es-MX" w:eastAsia="es-ES_tradnl"/>
        </w:rPr>
        <w:t>cumpliendo todas las demás exigencias de los documentos tipo. En consecuencia</w:t>
      </w:r>
      <w:r w:rsidRPr="00A8780C">
        <w:rPr>
          <w:rFonts w:ascii="Arial" w:eastAsia="Times New Roman" w:hAnsi="Arial" w:cs="Arial"/>
          <w:sz w:val="20"/>
          <w:szCs w:val="20"/>
          <w:lang w:val="es-MX" w:eastAsia="es-ES_tradnl"/>
        </w:rPr>
        <w:t xml:space="preserve">, si la obra que pretende ejecutar la entidad estatal se enmarca en alguno de los tipos de proyectos o </w:t>
      </w:r>
      <w:r w:rsidRPr="0018158D">
        <w:rPr>
          <w:rFonts w:ascii="Arial" w:eastAsia="Times New Roman" w:hAnsi="Arial" w:cs="Arial"/>
          <w:sz w:val="20"/>
          <w:szCs w:val="20"/>
          <w:lang w:val="es-MX" w:eastAsia="es-ES_tradnl"/>
        </w:rPr>
        <w:t>“</w:t>
      </w:r>
      <w:r w:rsidRPr="00A8780C">
        <w:rPr>
          <w:rFonts w:ascii="Arial" w:eastAsia="Times New Roman" w:hAnsi="Arial" w:cs="Arial"/>
          <w:sz w:val="20"/>
          <w:szCs w:val="20"/>
          <w:lang w:val="es-MX" w:eastAsia="es-ES_tradnl"/>
        </w:rPr>
        <w:t>actividades</w:t>
      </w:r>
      <w:r w:rsidRPr="0018158D">
        <w:rPr>
          <w:rFonts w:ascii="Arial" w:eastAsia="Times New Roman" w:hAnsi="Arial" w:cs="Arial"/>
          <w:sz w:val="20"/>
          <w:szCs w:val="20"/>
          <w:lang w:val="es-MX" w:eastAsia="es-ES_tradnl"/>
        </w:rPr>
        <w:t>”</w:t>
      </w:r>
      <w:r w:rsidRPr="00A8780C">
        <w:rPr>
          <w:rFonts w:ascii="Arial" w:eastAsia="Times New Roman" w:hAnsi="Arial" w:cs="Arial"/>
          <w:sz w:val="20"/>
          <w:szCs w:val="20"/>
          <w:lang w:val="es-MX" w:eastAsia="es-ES_tradnl"/>
        </w:rPr>
        <w:t xml:space="preserve"> incluidas en alguna de las matrices de experiencia de los documentos tipo </w:t>
      </w:r>
      <w:r w:rsidRPr="00A8780C">
        <w:rPr>
          <w:rFonts w:ascii="Arial" w:eastAsia="Times New Roman" w:hAnsi="Arial" w:cs="Arial"/>
          <w:i/>
          <w:iCs/>
          <w:sz w:val="20"/>
          <w:szCs w:val="20"/>
          <w:lang w:val="es-MX" w:eastAsia="es-ES_tradnl"/>
        </w:rPr>
        <w:t>complementarios</w:t>
      </w:r>
      <w:r w:rsidRPr="00A8780C">
        <w:rPr>
          <w:rFonts w:ascii="Arial" w:eastAsia="Times New Roman" w:hAnsi="Arial" w:cs="Arial"/>
          <w:sz w:val="20"/>
          <w:szCs w:val="20"/>
          <w:lang w:val="es-MX" w:eastAsia="es-ES_tradnl"/>
        </w:rPr>
        <w:t xml:space="preserve"> relacionados con la infraestructura social, el proceso de selección debe adelantarse utilizando dichos documentos tipo. Esto aplica, incluso, para los contratos de obra </w:t>
      </w:r>
      <w:r w:rsidRPr="0018158D">
        <w:rPr>
          <w:rFonts w:ascii="Arial" w:eastAsia="Times New Roman" w:hAnsi="Arial" w:cs="Arial"/>
          <w:sz w:val="20"/>
          <w:szCs w:val="20"/>
          <w:lang w:val="es-MX" w:eastAsia="es-ES_tradnl"/>
        </w:rPr>
        <w:t>“</w:t>
      </w:r>
      <w:r w:rsidRPr="00A8780C">
        <w:rPr>
          <w:rFonts w:ascii="Arial" w:eastAsia="Times New Roman" w:hAnsi="Arial" w:cs="Arial"/>
          <w:sz w:val="20"/>
          <w:szCs w:val="20"/>
          <w:lang w:val="es-MX" w:eastAsia="es-ES_tradnl"/>
        </w:rPr>
        <w:t>llave en mano</w:t>
      </w:r>
      <w:r w:rsidRPr="0018158D">
        <w:rPr>
          <w:rFonts w:ascii="Arial" w:eastAsia="Times New Roman" w:hAnsi="Arial" w:cs="Arial"/>
          <w:sz w:val="20"/>
          <w:szCs w:val="20"/>
          <w:lang w:val="es-MX" w:eastAsia="es-ES_tradnl"/>
        </w:rPr>
        <w:t>”</w:t>
      </w:r>
      <w:r w:rsidRPr="00A8780C">
        <w:rPr>
          <w:rFonts w:ascii="Arial" w:eastAsia="Times New Roman" w:hAnsi="Arial" w:cs="Arial"/>
          <w:sz w:val="20"/>
          <w:szCs w:val="20"/>
          <w:lang w:val="es-MX" w:eastAsia="es-ES_tradnl"/>
        </w:rPr>
        <w:t xml:space="preserve"> para infraestructura social, en donde se considere necesario exigir experiencia adicional para la ejecución de bienes o servicios adicionales a la obra pública, como sería la realización de los diseños de la obra. </w:t>
      </w:r>
    </w:p>
    <w:p w14:paraId="08D2A35D" w14:textId="77777777" w:rsidR="00395337" w:rsidRDefault="00395337" w:rsidP="008410D2">
      <w:pPr>
        <w:spacing w:after="0" w:line="276" w:lineRule="auto"/>
        <w:jc w:val="both"/>
        <w:rPr>
          <w:rFonts w:ascii="Arial" w:eastAsia="Geomanist Light" w:hAnsi="Arial" w:cs="Arial"/>
          <w:color w:val="000000" w:themeColor="text1"/>
          <w:lang w:val="es-MX"/>
        </w:rPr>
      </w:pPr>
    </w:p>
    <w:p w14:paraId="4BFE5E95" w14:textId="77777777" w:rsidR="00A67976" w:rsidRDefault="00A67976" w:rsidP="008410D2">
      <w:pPr>
        <w:spacing w:after="0" w:line="276" w:lineRule="auto"/>
        <w:jc w:val="both"/>
        <w:rPr>
          <w:rFonts w:ascii="Arial" w:eastAsia="Geomanist Light" w:hAnsi="Arial" w:cs="Arial"/>
          <w:color w:val="000000" w:themeColor="text1"/>
          <w:lang w:val="es-MX"/>
        </w:rPr>
      </w:pPr>
    </w:p>
    <w:p w14:paraId="48EA5593" w14:textId="77777777" w:rsidR="00A67976" w:rsidRDefault="00A67976" w:rsidP="008410D2">
      <w:pPr>
        <w:spacing w:after="0" w:line="276" w:lineRule="auto"/>
        <w:jc w:val="both"/>
        <w:rPr>
          <w:rFonts w:ascii="Arial" w:eastAsia="Geomanist Light" w:hAnsi="Arial" w:cs="Arial"/>
          <w:color w:val="000000" w:themeColor="text1"/>
          <w:lang w:val="es-MX"/>
        </w:rPr>
      </w:pPr>
    </w:p>
    <w:p w14:paraId="50139420" w14:textId="77777777" w:rsidR="00A67976" w:rsidRDefault="00A67976" w:rsidP="008410D2">
      <w:pPr>
        <w:spacing w:after="0" w:line="276" w:lineRule="auto"/>
        <w:jc w:val="both"/>
        <w:rPr>
          <w:rFonts w:ascii="Arial" w:eastAsia="Geomanist Light" w:hAnsi="Arial" w:cs="Arial"/>
          <w:color w:val="000000" w:themeColor="text1"/>
          <w:lang w:val="es-MX"/>
        </w:rPr>
      </w:pPr>
    </w:p>
    <w:p w14:paraId="50357A0E" w14:textId="77777777" w:rsidR="00A67976" w:rsidRDefault="00A67976" w:rsidP="008410D2">
      <w:pPr>
        <w:spacing w:after="0" w:line="276" w:lineRule="auto"/>
        <w:jc w:val="both"/>
        <w:rPr>
          <w:rFonts w:ascii="Arial" w:eastAsia="Geomanist Light" w:hAnsi="Arial" w:cs="Arial"/>
          <w:color w:val="000000" w:themeColor="text1"/>
          <w:lang w:val="es-MX"/>
        </w:rPr>
      </w:pPr>
    </w:p>
    <w:p w14:paraId="238A7EE8" w14:textId="77777777" w:rsidR="00A67976" w:rsidRDefault="00A67976" w:rsidP="008410D2">
      <w:pPr>
        <w:spacing w:after="0" w:line="276" w:lineRule="auto"/>
        <w:jc w:val="both"/>
        <w:rPr>
          <w:rFonts w:ascii="Arial" w:eastAsia="Geomanist Light" w:hAnsi="Arial" w:cs="Arial"/>
          <w:color w:val="000000" w:themeColor="text1"/>
          <w:lang w:val="es-MX"/>
        </w:rPr>
      </w:pPr>
    </w:p>
    <w:p w14:paraId="35610D43" w14:textId="77777777" w:rsidR="00A67976" w:rsidRDefault="00A67976" w:rsidP="008410D2">
      <w:pPr>
        <w:spacing w:after="0" w:line="276" w:lineRule="auto"/>
        <w:jc w:val="both"/>
        <w:rPr>
          <w:rFonts w:ascii="Arial" w:eastAsia="Geomanist Light" w:hAnsi="Arial" w:cs="Arial"/>
          <w:color w:val="000000" w:themeColor="text1"/>
          <w:lang w:val="es-MX"/>
        </w:rPr>
      </w:pPr>
    </w:p>
    <w:p w14:paraId="1A95C48F" w14:textId="77777777" w:rsidR="00A67976" w:rsidRDefault="00A67976" w:rsidP="008410D2">
      <w:pPr>
        <w:spacing w:after="0" w:line="276" w:lineRule="auto"/>
        <w:jc w:val="both"/>
        <w:rPr>
          <w:rFonts w:ascii="Arial" w:eastAsia="Geomanist Light" w:hAnsi="Arial" w:cs="Arial"/>
          <w:color w:val="000000" w:themeColor="text1"/>
          <w:lang w:val="es-MX"/>
        </w:rPr>
      </w:pPr>
    </w:p>
    <w:p w14:paraId="3657B564" w14:textId="77777777" w:rsidR="00A67976" w:rsidRDefault="00A67976" w:rsidP="008410D2">
      <w:pPr>
        <w:spacing w:after="0" w:line="276" w:lineRule="auto"/>
        <w:jc w:val="both"/>
        <w:rPr>
          <w:rFonts w:ascii="Arial" w:eastAsia="Geomanist Light" w:hAnsi="Arial" w:cs="Arial"/>
          <w:color w:val="000000" w:themeColor="text1"/>
          <w:lang w:val="es-MX"/>
        </w:rPr>
      </w:pPr>
    </w:p>
    <w:p w14:paraId="0872CC56" w14:textId="77777777" w:rsidR="00A67976" w:rsidRDefault="00A67976" w:rsidP="008410D2">
      <w:pPr>
        <w:spacing w:after="0" w:line="276" w:lineRule="auto"/>
        <w:jc w:val="both"/>
        <w:rPr>
          <w:rFonts w:ascii="Arial" w:eastAsia="Geomanist Light" w:hAnsi="Arial" w:cs="Arial"/>
          <w:color w:val="000000" w:themeColor="text1"/>
          <w:lang w:val="es-MX"/>
        </w:rPr>
      </w:pPr>
    </w:p>
    <w:p w14:paraId="57C93F41" w14:textId="77777777" w:rsidR="00A67976" w:rsidRDefault="00A67976" w:rsidP="008410D2">
      <w:pPr>
        <w:spacing w:after="0" w:line="276" w:lineRule="auto"/>
        <w:jc w:val="both"/>
        <w:rPr>
          <w:rFonts w:ascii="Arial" w:eastAsia="Geomanist Light" w:hAnsi="Arial" w:cs="Arial"/>
          <w:color w:val="000000" w:themeColor="text1"/>
          <w:lang w:val="es-MX"/>
        </w:rPr>
      </w:pPr>
    </w:p>
    <w:p w14:paraId="500E711F" w14:textId="77777777" w:rsidR="00A67976" w:rsidRDefault="00A67976" w:rsidP="008410D2">
      <w:pPr>
        <w:spacing w:after="0" w:line="276" w:lineRule="auto"/>
        <w:jc w:val="both"/>
        <w:rPr>
          <w:rFonts w:ascii="Arial" w:eastAsia="Geomanist Light" w:hAnsi="Arial" w:cs="Arial"/>
          <w:color w:val="000000" w:themeColor="text1"/>
          <w:lang w:val="es-MX"/>
        </w:rPr>
      </w:pPr>
    </w:p>
    <w:p w14:paraId="5BE4604F" w14:textId="77777777" w:rsidR="00A67976" w:rsidRDefault="00A67976" w:rsidP="008410D2">
      <w:pPr>
        <w:spacing w:after="0" w:line="276" w:lineRule="auto"/>
        <w:jc w:val="both"/>
        <w:rPr>
          <w:rFonts w:ascii="Arial" w:eastAsia="Geomanist Light" w:hAnsi="Arial" w:cs="Arial"/>
          <w:color w:val="000000" w:themeColor="text1"/>
          <w:lang w:val="es-MX"/>
        </w:rPr>
      </w:pPr>
    </w:p>
    <w:p w14:paraId="7E18536C" w14:textId="77777777" w:rsidR="00A67976" w:rsidRDefault="00A67976" w:rsidP="008410D2">
      <w:pPr>
        <w:spacing w:after="0" w:line="276" w:lineRule="auto"/>
        <w:jc w:val="both"/>
        <w:rPr>
          <w:rFonts w:ascii="Arial" w:eastAsia="Geomanist Light" w:hAnsi="Arial" w:cs="Arial"/>
          <w:color w:val="000000" w:themeColor="text1"/>
          <w:lang w:val="es-MX"/>
        </w:rPr>
      </w:pPr>
    </w:p>
    <w:p w14:paraId="2D0C18B2" w14:textId="77777777" w:rsidR="00A67976" w:rsidRDefault="00A67976" w:rsidP="008410D2">
      <w:pPr>
        <w:spacing w:after="0" w:line="276" w:lineRule="auto"/>
        <w:jc w:val="both"/>
        <w:rPr>
          <w:rFonts w:ascii="Arial" w:eastAsia="Geomanist Light" w:hAnsi="Arial" w:cs="Arial"/>
          <w:color w:val="000000" w:themeColor="text1"/>
          <w:lang w:val="es-MX"/>
        </w:rPr>
      </w:pPr>
    </w:p>
    <w:p w14:paraId="070D3547" w14:textId="77777777" w:rsidR="00A67976" w:rsidRDefault="00A67976" w:rsidP="008410D2">
      <w:pPr>
        <w:spacing w:after="0" w:line="276" w:lineRule="auto"/>
        <w:jc w:val="both"/>
        <w:rPr>
          <w:rFonts w:ascii="Arial" w:eastAsia="Geomanist Light" w:hAnsi="Arial" w:cs="Arial"/>
          <w:color w:val="000000" w:themeColor="text1"/>
          <w:lang w:val="es-MX"/>
        </w:rPr>
      </w:pPr>
    </w:p>
    <w:p w14:paraId="3CFB8C40" w14:textId="77777777" w:rsidR="00A67976" w:rsidRDefault="00A67976" w:rsidP="008410D2">
      <w:pPr>
        <w:spacing w:after="0" w:line="276" w:lineRule="auto"/>
        <w:jc w:val="both"/>
        <w:rPr>
          <w:rFonts w:ascii="Arial" w:eastAsia="Geomanist Light" w:hAnsi="Arial" w:cs="Arial"/>
          <w:color w:val="000000" w:themeColor="text1"/>
          <w:lang w:val="es-MX"/>
        </w:rPr>
      </w:pPr>
    </w:p>
    <w:p w14:paraId="50423AE7" w14:textId="77777777" w:rsidR="00A67976" w:rsidRDefault="00A67976" w:rsidP="008410D2">
      <w:pPr>
        <w:spacing w:after="0" w:line="276" w:lineRule="auto"/>
        <w:jc w:val="both"/>
        <w:rPr>
          <w:rFonts w:ascii="Arial" w:eastAsia="Geomanist Light" w:hAnsi="Arial" w:cs="Arial"/>
          <w:color w:val="000000" w:themeColor="text1"/>
          <w:lang w:val="es-MX"/>
        </w:rPr>
      </w:pPr>
    </w:p>
    <w:p w14:paraId="34C15636" w14:textId="77777777" w:rsidR="00A67976" w:rsidRDefault="00A67976" w:rsidP="008410D2">
      <w:pPr>
        <w:spacing w:after="0" w:line="276" w:lineRule="auto"/>
        <w:jc w:val="both"/>
        <w:rPr>
          <w:rFonts w:ascii="Arial" w:eastAsia="Geomanist Light" w:hAnsi="Arial" w:cs="Arial"/>
          <w:color w:val="000000" w:themeColor="text1"/>
          <w:lang w:val="es-MX"/>
        </w:rPr>
      </w:pPr>
    </w:p>
    <w:p w14:paraId="5EDBD7E9" w14:textId="77777777" w:rsidR="00A67976" w:rsidRDefault="00A67976" w:rsidP="008410D2">
      <w:pPr>
        <w:spacing w:after="0" w:line="276" w:lineRule="auto"/>
        <w:jc w:val="both"/>
        <w:rPr>
          <w:rFonts w:ascii="Arial" w:eastAsia="Geomanist Light" w:hAnsi="Arial" w:cs="Arial"/>
          <w:color w:val="000000" w:themeColor="text1"/>
          <w:lang w:val="es-MX"/>
        </w:rPr>
      </w:pPr>
    </w:p>
    <w:p w14:paraId="435E6FED" w14:textId="77777777" w:rsidR="00A67976" w:rsidRDefault="00A67976" w:rsidP="008410D2">
      <w:pPr>
        <w:spacing w:after="0" w:line="276" w:lineRule="auto"/>
        <w:jc w:val="both"/>
        <w:rPr>
          <w:rFonts w:ascii="Arial" w:eastAsia="Geomanist Light" w:hAnsi="Arial" w:cs="Arial"/>
          <w:color w:val="000000" w:themeColor="text1"/>
          <w:lang w:val="es-MX"/>
        </w:rPr>
      </w:pPr>
    </w:p>
    <w:p w14:paraId="187D6F4B" w14:textId="77777777" w:rsidR="00A67976" w:rsidRDefault="00A67976" w:rsidP="008410D2">
      <w:pPr>
        <w:spacing w:after="0" w:line="276" w:lineRule="auto"/>
        <w:jc w:val="both"/>
        <w:rPr>
          <w:rFonts w:ascii="Arial" w:eastAsia="Geomanist Light" w:hAnsi="Arial" w:cs="Arial"/>
          <w:color w:val="000000" w:themeColor="text1"/>
          <w:lang w:val="es-MX"/>
        </w:rPr>
      </w:pPr>
    </w:p>
    <w:p w14:paraId="27235F4B" w14:textId="77777777" w:rsidR="00A67976" w:rsidRDefault="00A67976" w:rsidP="008410D2">
      <w:pPr>
        <w:spacing w:after="0" w:line="276" w:lineRule="auto"/>
        <w:jc w:val="both"/>
        <w:rPr>
          <w:rFonts w:ascii="Arial" w:eastAsia="Geomanist Light" w:hAnsi="Arial" w:cs="Arial"/>
          <w:color w:val="000000" w:themeColor="text1"/>
          <w:lang w:val="es-MX"/>
        </w:rPr>
      </w:pPr>
    </w:p>
    <w:p w14:paraId="3E375A45" w14:textId="77777777" w:rsidR="00A67976" w:rsidRDefault="00A67976" w:rsidP="008410D2">
      <w:pPr>
        <w:spacing w:after="0" w:line="276" w:lineRule="auto"/>
        <w:jc w:val="both"/>
        <w:rPr>
          <w:rFonts w:ascii="Arial" w:eastAsia="Geomanist Light" w:hAnsi="Arial" w:cs="Arial"/>
          <w:color w:val="000000" w:themeColor="text1"/>
          <w:lang w:val="es-MX"/>
        </w:rPr>
      </w:pPr>
    </w:p>
    <w:p w14:paraId="3F78BD67" w14:textId="77777777" w:rsidR="00A67976" w:rsidRDefault="00A67976" w:rsidP="008410D2">
      <w:pPr>
        <w:spacing w:after="0" w:line="276" w:lineRule="auto"/>
        <w:jc w:val="both"/>
        <w:rPr>
          <w:rFonts w:ascii="Arial" w:eastAsia="Geomanist Light" w:hAnsi="Arial" w:cs="Arial"/>
          <w:color w:val="000000" w:themeColor="text1"/>
          <w:lang w:val="es-MX"/>
        </w:rPr>
      </w:pPr>
    </w:p>
    <w:p w14:paraId="247A14C9" w14:textId="77777777" w:rsidR="00A67976" w:rsidRDefault="00A67976" w:rsidP="008410D2">
      <w:pPr>
        <w:spacing w:after="0" w:line="276" w:lineRule="auto"/>
        <w:jc w:val="both"/>
        <w:rPr>
          <w:rFonts w:ascii="Arial" w:eastAsia="Geomanist Light" w:hAnsi="Arial" w:cs="Arial"/>
          <w:color w:val="000000" w:themeColor="text1"/>
          <w:lang w:val="es-MX"/>
        </w:rPr>
      </w:pPr>
    </w:p>
    <w:p w14:paraId="0B03D7ED" w14:textId="77777777" w:rsidR="00A67976" w:rsidRDefault="00A67976" w:rsidP="008410D2">
      <w:pPr>
        <w:spacing w:after="0" w:line="276" w:lineRule="auto"/>
        <w:jc w:val="both"/>
        <w:rPr>
          <w:rFonts w:ascii="Arial" w:eastAsia="Geomanist Light" w:hAnsi="Arial" w:cs="Arial"/>
          <w:color w:val="000000" w:themeColor="text1"/>
          <w:lang w:val="es-MX"/>
        </w:rPr>
      </w:pPr>
    </w:p>
    <w:p w14:paraId="76611A7B" w14:textId="77777777" w:rsidR="00395337" w:rsidRDefault="00395337" w:rsidP="008410D2">
      <w:pPr>
        <w:spacing w:after="0" w:line="276" w:lineRule="auto"/>
        <w:jc w:val="both"/>
        <w:rPr>
          <w:rFonts w:ascii="Arial" w:eastAsia="Geomanist Light" w:hAnsi="Arial" w:cs="Arial"/>
          <w:color w:val="000000" w:themeColor="text1"/>
          <w:lang w:val="es-MX"/>
        </w:rPr>
      </w:pPr>
    </w:p>
    <w:p w14:paraId="32A31751" w14:textId="0B51A731" w:rsidR="008410D2" w:rsidRDefault="008410D2" w:rsidP="00522BD7">
      <w:pPr>
        <w:spacing w:after="0" w:line="276" w:lineRule="auto"/>
        <w:jc w:val="both"/>
        <w:rPr>
          <w:rFonts w:ascii="Arial" w:eastAsia="Geomanist Light" w:hAnsi="Arial" w:cs="Arial"/>
          <w:color w:val="201F1E"/>
          <w:lang w:val="es-MX"/>
        </w:rPr>
      </w:pPr>
      <w:r w:rsidRPr="00044F0D">
        <w:rPr>
          <w:rFonts w:ascii="Arial" w:eastAsia="Geomanist Light" w:hAnsi="Arial" w:cs="Arial"/>
          <w:color w:val="000000" w:themeColor="text1"/>
          <w:lang w:val="es-MX"/>
        </w:rPr>
        <w:t>Bogotá D.C., </w:t>
      </w:r>
      <w:r w:rsidR="00522BD7" w:rsidRPr="00522BD7">
        <w:rPr>
          <w:rFonts w:ascii="Arial" w:eastAsia="Geomanist Light" w:hAnsi="Arial" w:cs="Arial"/>
          <w:color w:val="201F1E"/>
          <w:lang w:val="es-MX"/>
        </w:rPr>
        <w:t xml:space="preserve">26 de </w:t>
      </w:r>
      <w:proofErr w:type="gramStart"/>
      <w:r w:rsidR="00522BD7" w:rsidRPr="00522BD7">
        <w:rPr>
          <w:rFonts w:ascii="Arial" w:eastAsia="Geomanist Light" w:hAnsi="Arial" w:cs="Arial"/>
          <w:color w:val="201F1E"/>
          <w:lang w:val="es-MX"/>
        </w:rPr>
        <w:t>Abril</w:t>
      </w:r>
      <w:proofErr w:type="gramEnd"/>
      <w:r w:rsidR="00522BD7" w:rsidRPr="00522BD7">
        <w:rPr>
          <w:rFonts w:ascii="Arial" w:eastAsia="Geomanist Light" w:hAnsi="Arial" w:cs="Arial"/>
          <w:color w:val="201F1E"/>
          <w:lang w:val="es-MX"/>
        </w:rPr>
        <w:t xml:space="preserve"> de 2023</w:t>
      </w:r>
    </w:p>
    <w:p w14:paraId="309665E3" w14:textId="77777777" w:rsidR="00522BD7" w:rsidRDefault="00522BD7" w:rsidP="00522BD7">
      <w:pPr>
        <w:spacing w:after="0" w:line="276" w:lineRule="auto"/>
        <w:jc w:val="both"/>
        <w:rPr>
          <w:rFonts w:ascii="Arial" w:eastAsia="Times New Roman" w:hAnsi="Arial" w:cs="Arial"/>
          <w:bCs/>
          <w:lang w:val="es-MX" w:eastAsia="es-ES"/>
        </w:rPr>
      </w:pPr>
    </w:p>
    <w:p w14:paraId="780D2846" w14:textId="2E0DD214" w:rsidR="00522BD7" w:rsidRPr="00044F0D" w:rsidRDefault="00522BD7" w:rsidP="00522BD7">
      <w:pPr>
        <w:spacing w:after="0" w:line="276" w:lineRule="auto"/>
        <w:jc w:val="right"/>
        <w:rPr>
          <w:rFonts w:ascii="Arial" w:eastAsia="Times New Roman" w:hAnsi="Arial" w:cs="Arial"/>
          <w:bCs/>
          <w:lang w:val="es-MX" w:eastAsia="es-ES"/>
        </w:rPr>
      </w:pPr>
      <w:r>
        <w:rPr>
          <w:rFonts w:ascii="Arial" w:eastAsia="Times New Roman" w:hAnsi="Arial" w:cs="Arial"/>
          <w:bCs/>
          <w:noProof/>
          <w:lang w:val="es-MX" w:eastAsia="es-ES"/>
        </w:rPr>
        <w:drawing>
          <wp:inline distT="0" distB="0" distL="0" distR="0" wp14:anchorId="077B5558" wp14:editId="00540C24">
            <wp:extent cx="2466975" cy="587061"/>
            <wp:effectExtent l="0" t="0" r="0" b="3810"/>
            <wp:docPr id="9395809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8465" cy="596934"/>
                    </a:xfrm>
                    <a:prstGeom prst="rect">
                      <a:avLst/>
                    </a:prstGeom>
                    <a:noFill/>
                    <a:ln>
                      <a:noFill/>
                    </a:ln>
                  </pic:spPr>
                </pic:pic>
              </a:graphicData>
            </a:graphic>
          </wp:inline>
        </w:drawing>
      </w:r>
    </w:p>
    <w:p w14:paraId="6CAE2D0C" w14:textId="77777777" w:rsidR="00CE25BC" w:rsidRPr="00044F0D" w:rsidRDefault="00CE25BC" w:rsidP="008410D2">
      <w:pPr>
        <w:spacing w:after="0"/>
        <w:rPr>
          <w:rFonts w:ascii="Arial" w:eastAsia="Times New Roman" w:hAnsi="Arial" w:cs="Arial"/>
          <w:bCs/>
          <w:lang w:val="es-MX" w:eastAsia="es-ES"/>
        </w:rPr>
      </w:pPr>
    </w:p>
    <w:p w14:paraId="77968A5A" w14:textId="1FD2302D" w:rsidR="008410D2" w:rsidRPr="00C046D8" w:rsidRDefault="008410D2" w:rsidP="008410D2">
      <w:pPr>
        <w:spacing w:after="0"/>
        <w:contextualSpacing/>
        <w:jc w:val="both"/>
        <w:rPr>
          <w:rFonts w:ascii="Arial" w:eastAsia="Calibri" w:hAnsi="Arial" w:cs="Arial"/>
          <w:lang w:val="es-ES_tradnl" w:eastAsia="es-ES_tradnl"/>
        </w:rPr>
      </w:pPr>
      <w:r w:rsidRPr="00C046D8">
        <w:rPr>
          <w:rFonts w:ascii="Arial" w:eastAsia="Calibri" w:hAnsi="Arial" w:cs="Arial"/>
          <w:lang w:val="es-ES_tradnl" w:eastAsia="es-ES_tradnl"/>
        </w:rPr>
        <w:t>Señor</w:t>
      </w:r>
    </w:p>
    <w:p w14:paraId="654698D4" w14:textId="77777777" w:rsidR="008410D2" w:rsidRPr="00C802A0" w:rsidRDefault="008410D2" w:rsidP="008410D2">
      <w:pPr>
        <w:spacing w:after="0"/>
        <w:contextualSpacing/>
        <w:jc w:val="both"/>
        <w:rPr>
          <w:rFonts w:ascii="Arial" w:eastAsia="Times New Roman" w:hAnsi="Arial" w:cs="Arial"/>
          <w:b/>
          <w:bCs/>
          <w:lang w:val="es-MX" w:eastAsia="es-ES_tradnl"/>
        </w:rPr>
      </w:pPr>
      <w:r w:rsidRPr="00C802A0">
        <w:rPr>
          <w:rFonts w:ascii="Arial" w:eastAsia="Times New Roman" w:hAnsi="Arial" w:cs="Arial"/>
          <w:b/>
          <w:bCs/>
          <w:lang w:val="es-MX" w:eastAsia="es-ES_tradnl"/>
        </w:rPr>
        <w:t xml:space="preserve">Edwin Edgardo </w:t>
      </w:r>
      <w:bookmarkStart w:id="3" w:name="_Hlk132967870"/>
      <w:r w:rsidRPr="00C802A0">
        <w:rPr>
          <w:rFonts w:ascii="Arial" w:eastAsia="Times New Roman" w:hAnsi="Arial" w:cs="Arial"/>
          <w:b/>
          <w:bCs/>
          <w:lang w:val="es-MX" w:eastAsia="es-ES_tradnl"/>
        </w:rPr>
        <w:t>Bermúdez</w:t>
      </w:r>
      <w:bookmarkEnd w:id="3"/>
      <w:r w:rsidRPr="00C802A0">
        <w:rPr>
          <w:rFonts w:ascii="Arial" w:eastAsia="Times New Roman" w:hAnsi="Arial" w:cs="Arial"/>
          <w:b/>
          <w:bCs/>
          <w:lang w:val="es-MX" w:eastAsia="es-ES_tradnl"/>
        </w:rPr>
        <w:t xml:space="preserve"> Pinto</w:t>
      </w:r>
    </w:p>
    <w:p w14:paraId="6061D9DA" w14:textId="77777777" w:rsidR="008410D2" w:rsidRPr="00C046D8" w:rsidRDefault="008410D2" w:rsidP="008410D2">
      <w:pPr>
        <w:spacing w:after="0"/>
        <w:contextualSpacing/>
        <w:jc w:val="both"/>
        <w:rPr>
          <w:rFonts w:ascii="Arial" w:eastAsia="Calibri" w:hAnsi="Arial" w:cs="Arial"/>
          <w:lang w:val="es-ES_tradnl" w:eastAsia="es-ES_tradnl"/>
        </w:rPr>
      </w:pPr>
      <w:r w:rsidRPr="00C046D8">
        <w:rPr>
          <w:rFonts w:ascii="Arial" w:eastAsia="Calibri" w:hAnsi="Arial" w:cs="Arial"/>
          <w:lang w:val="es-ES_tradnl" w:eastAsia="es-ES_tradnl"/>
        </w:rPr>
        <w:t xml:space="preserve">Bogotá D.C. </w:t>
      </w:r>
    </w:p>
    <w:p w14:paraId="0DAB7974" w14:textId="77777777" w:rsidR="008410D2" w:rsidRPr="00C046D8" w:rsidRDefault="008410D2" w:rsidP="008410D2">
      <w:pPr>
        <w:spacing w:after="0"/>
        <w:contextualSpacing/>
        <w:rPr>
          <w:rFonts w:ascii="Arial" w:eastAsia="Calibri" w:hAnsi="Arial" w:cs="Arial"/>
          <w:b/>
          <w:bCs/>
          <w:lang w:val="es-ES_tradnl" w:eastAsia="es-ES_tradnl"/>
        </w:rPr>
      </w:pPr>
    </w:p>
    <w:p w14:paraId="065F0DFE" w14:textId="77777777" w:rsidR="008410D2" w:rsidRPr="00C046D8" w:rsidRDefault="008410D2" w:rsidP="008410D2">
      <w:pPr>
        <w:spacing w:after="0"/>
        <w:contextualSpacing/>
        <w:rPr>
          <w:rFonts w:ascii="Arial" w:eastAsia="Calibri" w:hAnsi="Arial" w:cs="Arial"/>
          <w:b/>
          <w:bCs/>
          <w:lang w:val="es-ES_tradnl" w:eastAsia="es-ES_tradnl"/>
        </w:rPr>
      </w:pPr>
      <w:r>
        <w:rPr>
          <w:rFonts w:ascii="Arial" w:eastAsia="Calibri" w:hAnsi="Arial" w:cs="Arial"/>
          <w:b/>
          <w:bCs/>
          <w:lang w:val="es-ES_tradnl" w:eastAsia="es-ES_tradnl"/>
        </w:rPr>
        <w:t xml:space="preserve">                                            </w:t>
      </w:r>
      <w:r w:rsidRPr="00C046D8">
        <w:rPr>
          <w:rFonts w:ascii="Arial" w:eastAsia="Calibri" w:hAnsi="Arial" w:cs="Arial"/>
          <w:b/>
          <w:bCs/>
          <w:lang w:val="es-ES_tradnl" w:eastAsia="es-ES_tradnl"/>
        </w:rPr>
        <w:t>Concepto C</w:t>
      </w:r>
      <w:r>
        <w:rPr>
          <w:rFonts w:ascii="Arial" w:eastAsia="Calibri" w:hAnsi="Arial" w:cs="Arial"/>
          <w:b/>
          <w:bCs/>
          <w:lang w:val="es-ES_tradnl" w:eastAsia="es-ES_tradnl"/>
        </w:rPr>
        <w:t xml:space="preserve"> – 056</w:t>
      </w:r>
      <w:r w:rsidRPr="00C046D8">
        <w:rPr>
          <w:rFonts w:ascii="Arial" w:eastAsia="Calibri" w:hAnsi="Arial" w:cs="Arial"/>
          <w:b/>
          <w:bCs/>
          <w:lang w:val="es-ES_tradnl" w:eastAsia="es-ES_tradnl"/>
        </w:rPr>
        <w:t xml:space="preserve"> de 202</w:t>
      </w:r>
      <w:r>
        <w:rPr>
          <w:rFonts w:ascii="Arial" w:eastAsia="Calibri" w:hAnsi="Arial" w:cs="Arial"/>
          <w:b/>
          <w:bCs/>
          <w:lang w:val="es-ES_tradnl" w:eastAsia="es-ES_tradnl"/>
        </w:rPr>
        <w:t xml:space="preserve">3 </w:t>
      </w:r>
    </w:p>
    <w:p w14:paraId="6AC7D8B3" w14:textId="77777777" w:rsidR="008410D2" w:rsidRPr="00C046D8" w:rsidRDefault="008410D2" w:rsidP="008410D2">
      <w:pPr>
        <w:spacing w:after="0"/>
        <w:contextualSpacing/>
        <w:jc w:val="both"/>
        <w:rPr>
          <w:rFonts w:ascii="Arial" w:eastAsia="Calibri" w:hAnsi="Arial"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00"/>
        <w:gridCol w:w="5926"/>
      </w:tblGrid>
      <w:tr w:rsidR="008410D2" w:rsidRPr="00C046D8" w14:paraId="1E829412" w14:textId="77777777" w:rsidTr="5DE941BD">
        <w:tc>
          <w:tcPr>
            <w:tcW w:w="3000" w:type="dxa"/>
          </w:tcPr>
          <w:p w14:paraId="658D2602" w14:textId="77777777" w:rsidR="008410D2" w:rsidRPr="00C046D8" w:rsidRDefault="008410D2" w:rsidP="00532A88">
            <w:pPr>
              <w:contextualSpacing/>
              <w:jc w:val="both"/>
              <w:rPr>
                <w:rFonts w:ascii="Arial" w:eastAsia="Calibri" w:hAnsi="Arial" w:cs="Arial"/>
                <w:lang w:val="es-ES_tradnl" w:eastAsia="es-ES_tradnl"/>
              </w:rPr>
            </w:pPr>
            <w:r w:rsidRPr="00C046D8">
              <w:rPr>
                <w:rFonts w:ascii="Arial" w:eastAsia="Calibri" w:hAnsi="Arial" w:cs="Arial"/>
                <w:b/>
                <w:lang w:val="es-ES_tradnl" w:eastAsia="es-ES_tradnl"/>
              </w:rPr>
              <w:t>Temas:</w:t>
            </w:r>
            <w:r w:rsidRPr="00C046D8">
              <w:rPr>
                <w:rFonts w:ascii="Arial" w:eastAsia="Calibri" w:hAnsi="Arial" w:cs="Arial"/>
                <w:lang w:val="es-ES_tradnl" w:eastAsia="es-ES_tradnl"/>
              </w:rPr>
              <w:t xml:space="preserve">                                      </w:t>
            </w:r>
          </w:p>
        </w:tc>
        <w:tc>
          <w:tcPr>
            <w:tcW w:w="5926" w:type="dxa"/>
          </w:tcPr>
          <w:p w14:paraId="72F7F9CF" w14:textId="77777777" w:rsidR="008410D2" w:rsidRPr="00C046D8" w:rsidRDefault="008410D2" w:rsidP="00532A88">
            <w:pPr>
              <w:contextualSpacing/>
              <w:jc w:val="both"/>
              <w:rPr>
                <w:rFonts w:ascii="Arial" w:eastAsia="Calibri" w:hAnsi="Arial" w:cs="Arial"/>
                <w:bCs/>
                <w:lang w:val="es-ES_tradnl" w:eastAsia="es-ES_tradnl"/>
              </w:rPr>
            </w:pPr>
            <w:r w:rsidRPr="00F90DF3">
              <w:rPr>
                <w:rFonts w:ascii="Arial" w:eastAsia="Calibri" w:hAnsi="Arial" w:cs="Arial"/>
                <w:bCs/>
                <w:lang w:val="es-ES_tradnl" w:eastAsia="es-ES_tradnl"/>
              </w:rPr>
              <w:t>CONTRATOS O CONVENIOS INTERADMINISTRATIVOS – Definición – Criterio orgánico</w:t>
            </w:r>
            <w:r>
              <w:rPr>
                <w:rFonts w:ascii="Arial" w:eastAsia="Calibri" w:hAnsi="Arial" w:cs="Arial"/>
                <w:bCs/>
                <w:lang w:val="es-ES_tradnl" w:eastAsia="es-ES_tradnl"/>
              </w:rPr>
              <w:t xml:space="preserve"> / </w:t>
            </w:r>
            <w:r w:rsidRPr="00F90DF3">
              <w:rPr>
                <w:rFonts w:ascii="Arial" w:eastAsia="Calibri" w:hAnsi="Arial" w:cs="Arial"/>
                <w:bCs/>
                <w:lang w:val="es-ES_tradnl" w:eastAsia="es-ES_tradnl"/>
              </w:rPr>
              <w:t>CONTRATOS Y CONVENIOS INTERADMINISTRATIVOS – Diferencias – Similitudes</w:t>
            </w:r>
            <w:r>
              <w:rPr>
                <w:rFonts w:ascii="Arial" w:eastAsia="Calibri" w:hAnsi="Arial" w:cs="Arial"/>
                <w:bCs/>
                <w:lang w:val="es-ES_tradnl" w:eastAsia="es-ES_tradnl"/>
              </w:rPr>
              <w:t xml:space="preserve"> / </w:t>
            </w:r>
            <w:r w:rsidRPr="00F90DF3">
              <w:rPr>
                <w:rFonts w:ascii="Arial" w:eastAsia="Calibri" w:hAnsi="Arial" w:cs="Arial"/>
                <w:bCs/>
                <w:lang w:val="es-ES_tradnl" w:eastAsia="es-ES_tradnl"/>
              </w:rPr>
              <w:t xml:space="preserve">DOCUMENTOS TIPO – Fundamento normativo – Obligatoriedad – Ámbito de aplicación – Entidades sometidas </w:t>
            </w:r>
            <w:r>
              <w:rPr>
                <w:rFonts w:ascii="Arial" w:eastAsia="Calibri" w:hAnsi="Arial" w:cs="Arial"/>
                <w:bCs/>
                <w:lang w:val="es-ES_tradnl" w:eastAsia="es-ES_tradnl"/>
              </w:rPr>
              <w:t xml:space="preserve">/ </w:t>
            </w:r>
            <w:r w:rsidRPr="00ED7E53">
              <w:rPr>
                <w:rFonts w:ascii="Arial" w:eastAsia="Calibri" w:hAnsi="Arial" w:cs="Arial"/>
                <w:bCs/>
                <w:lang w:val="es-ES_tradnl" w:eastAsia="es-ES_tradnl"/>
              </w:rPr>
              <w:t xml:space="preserve">DOCUMENTOS TIPO – Extensión – Ámbito de aplicación – Excepciones </w:t>
            </w:r>
            <w:r>
              <w:rPr>
                <w:rFonts w:ascii="Arial" w:eastAsia="Calibri" w:hAnsi="Arial" w:cs="Arial"/>
                <w:bCs/>
                <w:lang w:val="es-ES_tradnl" w:eastAsia="es-ES_tradnl"/>
              </w:rPr>
              <w:t xml:space="preserve">/ </w:t>
            </w:r>
            <w:r w:rsidRPr="00ED7E53">
              <w:rPr>
                <w:rFonts w:ascii="Arial" w:eastAsia="Calibri" w:hAnsi="Arial" w:cs="Arial"/>
                <w:bCs/>
                <w:lang w:val="es-ES_tradnl" w:eastAsia="es-ES_tradnl"/>
              </w:rPr>
              <w:t>DOCUMENTOS TIPO – Infraestructura Social – Bienes o servicios adicionales – Contratos llave en mano – Obligatoriedad</w:t>
            </w:r>
            <w:r>
              <w:rPr>
                <w:rFonts w:ascii="Arial" w:eastAsia="Calibri" w:hAnsi="Arial" w:cs="Arial"/>
                <w:bCs/>
                <w:lang w:val="es-ES_tradnl" w:eastAsia="es-ES_tradnl"/>
              </w:rPr>
              <w:t xml:space="preserve"> /  </w:t>
            </w:r>
          </w:p>
          <w:p w14:paraId="2E37674C" w14:textId="77777777" w:rsidR="008410D2" w:rsidRPr="00C046D8" w:rsidRDefault="008410D2" w:rsidP="00532A88">
            <w:pPr>
              <w:contextualSpacing/>
              <w:jc w:val="both"/>
              <w:rPr>
                <w:rFonts w:ascii="Arial" w:eastAsia="Calibri" w:hAnsi="Arial" w:cs="Arial"/>
                <w:lang w:val="es-ES_tradnl" w:eastAsia="es-ES_tradnl"/>
              </w:rPr>
            </w:pPr>
          </w:p>
        </w:tc>
      </w:tr>
      <w:tr w:rsidR="008410D2" w:rsidRPr="00C046D8" w14:paraId="3C0826B2" w14:textId="77777777" w:rsidTr="5DE941BD">
        <w:trPr>
          <w:trHeight w:val="227"/>
        </w:trPr>
        <w:tc>
          <w:tcPr>
            <w:tcW w:w="3000" w:type="dxa"/>
          </w:tcPr>
          <w:p w14:paraId="127738A1" w14:textId="77777777" w:rsidR="008410D2" w:rsidRPr="00C046D8" w:rsidRDefault="008410D2" w:rsidP="00532A88">
            <w:pPr>
              <w:contextualSpacing/>
              <w:jc w:val="both"/>
              <w:rPr>
                <w:rFonts w:ascii="Arial" w:eastAsia="Calibri" w:hAnsi="Arial" w:cs="Arial"/>
                <w:b/>
                <w:lang w:val="es-ES_tradnl" w:eastAsia="es-ES_tradnl"/>
              </w:rPr>
            </w:pPr>
            <w:r w:rsidRPr="00C046D8">
              <w:rPr>
                <w:rFonts w:ascii="Arial" w:eastAsia="Calibri" w:hAnsi="Arial" w:cs="Arial"/>
                <w:b/>
                <w:lang w:val="es-ES_tradnl" w:eastAsia="es-ES_tradnl"/>
              </w:rPr>
              <w:t>Radicación:</w:t>
            </w:r>
            <w:r w:rsidRPr="00C046D8">
              <w:rPr>
                <w:rFonts w:ascii="Arial" w:eastAsia="Calibri" w:hAnsi="Arial" w:cs="Arial"/>
                <w:lang w:val="es-ES_tradnl" w:eastAsia="es-ES_tradnl"/>
              </w:rPr>
              <w:t xml:space="preserve">                             </w:t>
            </w:r>
          </w:p>
        </w:tc>
        <w:tc>
          <w:tcPr>
            <w:tcW w:w="5926" w:type="dxa"/>
          </w:tcPr>
          <w:p w14:paraId="02C433E9" w14:textId="77777777" w:rsidR="008410D2" w:rsidRPr="00C046D8" w:rsidRDefault="008410D2" w:rsidP="00532A88">
            <w:pPr>
              <w:contextualSpacing/>
              <w:jc w:val="both"/>
              <w:rPr>
                <w:rFonts w:ascii="Arial" w:eastAsia="Calibri" w:hAnsi="Arial" w:cs="Arial"/>
                <w:lang w:val="es-ES_tradnl" w:eastAsia="es-ES_tradnl"/>
              </w:rPr>
            </w:pPr>
            <w:r w:rsidRPr="00C046D8">
              <w:rPr>
                <w:rFonts w:ascii="Arial" w:eastAsia="Calibri" w:hAnsi="Arial" w:cs="Arial"/>
                <w:lang w:val="es-ES_tradnl" w:eastAsia="es-ES_tradnl"/>
              </w:rPr>
              <w:t xml:space="preserve">Respuesta a la consulta No. </w:t>
            </w:r>
            <w:r w:rsidRPr="00C802A0">
              <w:rPr>
                <w:rFonts w:ascii="Arial" w:eastAsia="Calibri" w:hAnsi="Arial" w:cs="Arial"/>
                <w:lang w:val="es-ES_tradnl" w:eastAsia="es-ES_tradnl"/>
              </w:rPr>
              <w:t>P20230210001183</w:t>
            </w:r>
          </w:p>
        </w:tc>
      </w:tr>
    </w:tbl>
    <w:p w14:paraId="1FC14539" w14:textId="77777777" w:rsidR="008410D2" w:rsidRPr="00C046D8" w:rsidRDefault="008410D2" w:rsidP="008410D2">
      <w:pPr>
        <w:spacing w:after="0"/>
        <w:contextualSpacing/>
        <w:jc w:val="both"/>
        <w:rPr>
          <w:rFonts w:ascii="Arial" w:eastAsia="Calibri" w:hAnsi="Arial" w:cs="Arial"/>
          <w:lang w:val="es-ES_tradnl" w:eastAsia="es-ES_tradnl"/>
        </w:rPr>
      </w:pPr>
    </w:p>
    <w:p w14:paraId="54895BEB" w14:textId="77777777" w:rsidR="008410D2" w:rsidRPr="00C046D8" w:rsidRDefault="008410D2" w:rsidP="008410D2">
      <w:pPr>
        <w:spacing w:after="0"/>
        <w:contextualSpacing/>
        <w:jc w:val="both"/>
        <w:rPr>
          <w:rFonts w:ascii="Arial" w:eastAsia="Calibri" w:hAnsi="Arial" w:cs="Arial"/>
          <w:lang w:val="es-ES_tradnl" w:eastAsia="es-ES_tradnl"/>
        </w:rPr>
      </w:pPr>
    </w:p>
    <w:p w14:paraId="349839C3" w14:textId="77777777" w:rsidR="008410D2" w:rsidRPr="00C046D8" w:rsidRDefault="008410D2" w:rsidP="008410D2">
      <w:pPr>
        <w:spacing w:after="0"/>
        <w:contextualSpacing/>
        <w:jc w:val="both"/>
        <w:rPr>
          <w:rFonts w:ascii="Arial" w:eastAsia="Calibri" w:hAnsi="Arial" w:cs="Arial"/>
          <w:lang w:val="es-ES" w:eastAsia="es-ES"/>
        </w:rPr>
      </w:pPr>
      <w:r w:rsidRPr="293D6149">
        <w:rPr>
          <w:rFonts w:ascii="Arial" w:eastAsia="Calibri" w:hAnsi="Arial" w:cs="Arial"/>
          <w:lang w:val="es-ES" w:eastAsia="es-ES"/>
        </w:rPr>
        <w:t xml:space="preserve">Respetado señor </w:t>
      </w:r>
      <w:r w:rsidRPr="00C802A0">
        <w:rPr>
          <w:rFonts w:ascii="Arial" w:eastAsia="Times New Roman" w:hAnsi="Arial" w:cs="Arial"/>
          <w:lang w:eastAsia="es-ES"/>
        </w:rPr>
        <w:t>Bermúdez</w:t>
      </w:r>
      <w:r w:rsidRPr="293D6149">
        <w:rPr>
          <w:rFonts w:ascii="Arial" w:eastAsia="Calibri" w:hAnsi="Arial" w:cs="Arial"/>
          <w:lang w:val="es-ES" w:eastAsia="es-ES"/>
        </w:rPr>
        <w:t>:</w:t>
      </w:r>
    </w:p>
    <w:p w14:paraId="4EECBD30" w14:textId="77777777" w:rsidR="008410D2" w:rsidRPr="00C046D8" w:rsidRDefault="008410D2" w:rsidP="008410D2">
      <w:pPr>
        <w:spacing w:after="0" w:line="276" w:lineRule="auto"/>
        <w:contextualSpacing/>
        <w:jc w:val="both"/>
        <w:rPr>
          <w:rFonts w:ascii="Arial" w:eastAsia="Calibri" w:hAnsi="Arial" w:cs="Arial"/>
          <w:szCs w:val="24"/>
          <w:lang w:val="es-ES_tradnl" w:eastAsia="es-ES_tradnl"/>
        </w:rPr>
      </w:pPr>
    </w:p>
    <w:p w14:paraId="6B22C1FC" w14:textId="77777777" w:rsidR="008410D2" w:rsidRPr="00C046D8" w:rsidRDefault="008410D2" w:rsidP="008410D2">
      <w:pPr>
        <w:spacing w:after="0" w:line="276" w:lineRule="auto"/>
        <w:contextualSpacing/>
        <w:jc w:val="both"/>
        <w:rPr>
          <w:rFonts w:ascii="Arial" w:eastAsia="Calibri" w:hAnsi="Arial" w:cs="Arial"/>
          <w:lang w:val="es-ES" w:eastAsia="es-ES"/>
        </w:rPr>
      </w:pPr>
      <w:r w:rsidRPr="293D6149">
        <w:rPr>
          <w:rFonts w:ascii="Arial" w:eastAsia="Calibri" w:hAnsi="Arial" w:cs="Arial"/>
          <w:lang w:val="es-ES" w:eastAsia="es-ES"/>
        </w:rPr>
        <w:t xml:space="preserve">En ejercicio de la competencia otorgada por el numeral 8 del artículo 11 y el numeral 5 del artículo 3 del Decreto Ley 4170 de 2011, la Agencia Nacional de Contratación Pública </w:t>
      </w:r>
      <w:r>
        <w:rPr>
          <w:rFonts w:ascii="Arial" w:eastAsia="Calibri" w:hAnsi="Arial" w:cs="Arial"/>
          <w:lang w:val="es-ES" w:eastAsia="es-ES"/>
        </w:rPr>
        <w:t>–</w:t>
      </w:r>
      <w:r w:rsidRPr="293D6149">
        <w:rPr>
          <w:rFonts w:ascii="Arial" w:eastAsia="Calibri" w:hAnsi="Arial" w:cs="Arial"/>
          <w:lang w:val="es-ES" w:eastAsia="es-ES"/>
        </w:rPr>
        <w:t xml:space="preserve"> Colombia Compra Eficiente responde a su consulta del </w:t>
      </w:r>
      <w:r>
        <w:rPr>
          <w:rFonts w:ascii="Arial" w:eastAsia="Calibri" w:hAnsi="Arial" w:cs="Arial"/>
          <w:lang w:val="es-ES" w:eastAsia="es-ES"/>
        </w:rPr>
        <w:t>10 de febrero</w:t>
      </w:r>
      <w:r w:rsidRPr="293D6149">
        <w:rPr>
          <w:rFonts w:ascii="Arial" w:eastAsia="Calibri" w:hAnsi="Arial" w:cs="Arial"/>
          <w:lang w:val="es-ES" w:eastAsia="es-ES"/>
        </w:rPr>
        <w:t xml:space="preserve"> de 2023:</w:t>
      </w:r>
    </w:p>
    <w:p w14:paraId="2F78E1CD" w14:textId="77777777" w:rsidR="008410D2" w:rsidRPr="00C046D8" w:rsidRDefault="008410D2" w:rsidP="008410D2">
      <w:pPr>
        <w:spacing w:after="0" w:line="276" w:lineRule="auto"/>
        <w:contextualSpacing/>
        <w:jc w:val="both"/>
        <w:rPr>
          <w:rFonts w:ascii="Arial" w:eastAsia="Calibri" w:hAnsi="Arial" w:cs="Arial"/>
          <w:b/>
          <w:szCs w:val="24"/>
          <w:lang w:val="es-ES_tradnl" w:eastAsia="es-ES_tradnl"/>
        </w:rPr>
      </w:pPr>
    </w:p>
    <w:p w14:paraId="4B7B35B0" w14:textId="77777777" w:rsidR="008410D2" w:rsidRPr="00C046D8" w:rsidRDefault="008410D2" w:rsidP="008410D2">
      <w:pPr>
        <w:numPr>
          <w:ilvl w:val="0"/>
          <w:numId w:val="4"/>
        </w:numPr>
        <w:tabs>
          <w:tab w:val="left" w:pos="0"/>
          <w:tab w:val="left" w:pos="142"/>
          <w:tab w:val="left" w:pos="284"/>
        </w:tabs>
        <w:spacing w:after="0" w:line="240" w:lineRule="auto"/>
        <w:ind w:left="0" w:firstLine="0"/>
        <w:contextualSpacing/>
        <w:jc w:val="both"/>
        <w:rPr>
          <w:rFonts w:ascii="Arial" w:eastAsia="Calibri" w:hAnsi="Arial" w:cs="Arial"/>
          <w:b/>
          <w:lang w:val="es-ES_tradnl"/>
        </w:rPr>
      </w:pPr>
      <w:r w:rsidRPr="00C046D8">
        <w:rPr>
          <w:rFonts w:ascii="Arial" w:eastAsia="Calibri" w:hAnsi="Arial" w:cs="Arial"/>
          <w:b/>
          <w:lang w:val="es-ES_tradnl"/>
        </w:rPr>
        <w:t>Problema</w:t>
      </w:r>
      <w:r>
        <w:rPr>
          <w:rFonts w:ascii="Arial" w:eastAsia="Calibri" w:hAnsi="Arial" w:cs="Arial"/>
          <w:b/>
          <w:lang w:val="es-ES_tradnl"/>
        </w:rPr>
        <w:t>s</w:t>
      </w:r>
      <w:r w:rsidRPr="00C046D8">
        <w:rPr>
          <w:rFonts w:ascii="Arial" w:eastAsia="Calibri" w:hAnsi="Arial" w:cs="Arial"/>
          <w:b/>
          <w:lang w:val="es-ES_tradnl"/>
        </w:rPr>
        <w:t xml:space="preserve"> planteado</w:t>
      </w:r>
      <w:r>
        <w:rPr>
          <w:rFonts w:ascii="Arial" w:eastAsia="Calibri" w:hAnsi="Arial" w:cs="Arial"/>
          <w:b/>
          <w:lang w:val="es-ES_tradnl"/>
        </w:rPr>
        <w:t>s</w:t>
      </w:r>
      <w:r w:rsidRPr="00C046D8">
        <w:rPr>
          <w:rFonts w:ascii="Arial" w:eastAsia="Calibri" w:hAnsi="Arial" w:cs="Arial"/>
          <w:b/>
          <w:lang w:val="es-ES_tradnl"/>
        </w:rPr>
        <w:t xml:space="preserve"> </w:t>
      </w:r>
    </w:p>
    <w:p w14:paraId="50C76DF7" w14:textId="77777777" w:rsidR="008410D2" w:rsidRDefault="008410D2" w:rsidP="008410D2">
      <w:pPr>
        <w:tabs>
          <w:tab w:val="left" w:pos="426"/>
        </w:tabs>
        <w:spacing w:after="0"/>
        <w:contextualSpacing/>
        <w:jc w:val="both"/>
        <w:rPr>
          <w:rFonts w:ascii="Arial" w:eastAsia="Calibri" w:hAnsi="Arial" w:cs="Arial"/>
          <w:b/>
          <w:szCs w:val="24"/>
          <w:lang w:val="es-ES_tradnl" w:eastAsia="es-ES_tradnl"/>
        </w:rPr>
      </w:pPr>
    </w:p>
    <w:p w14:paraId="0DD26C15" w14:textId="77777777" w:rsidR="008410D2" w:rsidRPr="00C802A0" w:rsidRDefault="008410D2" w:rsidP="008410D2">
      <w:pPr>
        <w:tabs>
          <w:tab w:val="left" w:pos="426"/>
        </w:tabs>
        <w:spacing w:after="0" w:line="276" w:lineRule="auto"/>
        <w:contextualSpacing/>
        <w:jc w:val="both"/>
        <w:rPr>
          <w:rFonts w:ascii="Arial" w:eastAsia="Calibri" w:hAnsi="Arial" w:cs="Arial"/>
          <w:bCs/>
          <w:szCs w:val="24"/>
          <w:lang w:val="es-ES_tradnl" w:eastAsia="es-ES_tradnl"/>
        </w:rPr>
      </w:pPr>
      <w:r>
        <w:rPr>
          <w:rFonts w:ascii="Arial" w:eastAsia="Calibri" w:hAnsi="Arial" w:cs="Arial"/>
          <w:bCs/>
          <w:szCs w:val="24"/>
          <w:lang w:val="es-ES_tradnl" w:eastAsia="es-ES_tradnl"/>
        </w:rPr>
        <w:t>Usted realiza las siguientes preguntas: i) “</w:t>
      </w:r>
      <w:r w:rsidRPr="00C802A0">
        <w:rPr>
          <w:rFonts w:ascii="Arial" w:eastAsia="Calibri" w:hAnsi="Arial" w:cs="Arial"/>
          <w:bCs/>
          <w:szCs w:val="24"/>
          <w:lang w:val="es-ES_tradnl" w:eastAsia="es-ES_tradnl"/>
        </w:rPr>
        <w:t>¿El Municipio puede suscribir convenios con las empresas de servicios públicos ESP ya sea esta oficial, mixta, sociedad de economía mixta, empresa industrial y comercial del estado, privada, solidaria, cooperativa, o comunitaria, para la ejecución de contratos de obra pública en el sector de infraestructura de agua potable y saneamiento básico?</w:t>
      </w:r>
      <w:r>
        <w:rPr>
          <w:rFonts w:ascii="Arial" w:eastAsia="Calibri" w:hAnsi="Arial" w:cs="Arial"/>
          <w:bCs/>
          <w:szCs w:val="24"/>
          <w:lang w:val="es-ES_tradnl" w:eastAsia="es-ES_tradnl"/>
        </w:rPr>
        <w:t xml:space="preserve">”, </w:t>
      </w:r>
      <w:proofErr w:type="spellStart"/>
      <w:r>
        <w:rPr>
          <w:rFonts w:ascii="Arial" w:eastAsia="Calibri" w:hAnsi="Arial" w:cs="Arial"/>
          <w:bCs/>
          <w:szCs w:val="24"/>
          <w:lang w:val="es-ES_tradnl" w:eastAsia="es-ES_tradnl"/>
        </w:rPr>
        <w:t>ii</w:t>
      </w:r>
      <w:proofErr w:type="spellEnd"/>
      <w:r>
        <w:rPr>
          <w:rFonts w:ascii="Arial" w:eastAsia="Calibri" w:hAnsi="Arial" w:cs="Arial"/>
          <w:bCs/>
          <w:szCs w:val="24"/>
          <w:lang w:val="es-ES_tradnl" w:eastAsia="es-ES_tradnl"/>
        </w:rPr>
        <w:t>) “</w:t>
      </w:r>
      <w:r w:rsidRPr="00C802A0">
        <w:rPr>
          <w:rFonts w:ascii="Arial" w:eastAsia="Calibri" w:hAnsi="Arial" w:cs="Arial"/>
          <w:bCs/>
          <w:szCs w:val="24"/>
          <w:lang w:val="es-ES_tradnl" w:eastAsia="es-ES_tradnl"/>
        </w:rPr>
        <w:t>¿Qué clase de convenio puede suscribirse? ¿Se deben cumplir requisitos específicos para la suscripción y ejecución del convenio?</w:t>
      </w:r>
      <w:r>
        <w:rPr>
          <w:rFonts w:ascii="Arial" w:eastAsia="Calibri" w:hAnsi="Arial" w:cs="Arial"/>
          <w:bCs/>
          <w:szCs w:val="24"/>
          <w:lang w:val="es-ES_tradnl" w:eastAsia="es-ES_tradnl"/>
        </w:rPr>
        <w:t xml:space="preserve"> </w:t>
      </w:r>
      <w:r w:rsidRPr="00C802A0">
        <w:rPr>
          <w:rFonts w:ascii="Arial" w:eastAsia="Calibri" w:hAnsi="Arial" w:cs="Arial"/>
          <w:bCs/>
          <w:szCs w:val="24"/>
          <w:lang w:val="es-ES_tradnl" w:eastAsia="es-ES_tradnl"/>
        </w:rPr>
        <w:t>¿Existe alguna directiva presidencial o acto administrativo vinculante expedido por otra autoridad que rija para la materia?</w:t>
      </w:r>
      <w:r>
        <w:rPr>
          <w:rFonts w:ascii="Arial" w:eastAsia="Calibri" w:hAnsi="Arial" w:cs="Arial"/>
          <w:bCs/>
          <w:szCs w:val="24"/>
          <w:lang w:val="es-ES_tradnl" w:eastAsia="es-ES_tradnl"/>
        </w:rPr>
        <w:t xml:space="preserve"> </w:t>
      </w:r>
      <w:r w:rsidRPr="00C802A0">
        <w:rPr>
          <w:rFonts w:ascii="Arial" w:eastAsia="Calibri" w:hAnsi="Arial" w:cs="Arial"/>
          <w:bCs/>
          <w:szCs w:val="24"/>
          <w:lang w:val="es-ES_tradnl" w:eastAsia="es-ES_tradnl"/>
        </w:rPr>
        <w:t>¿En la ejecución del convenio pueden utilizarse los pliegos tipo vigentes para el sector?</w:t>
      </w:r>
      <w:r>
        <w:rPr>
          <w:rFonts w:ascii="Arial" w:eastAsia="Calibri" w:hAnsi="Arial" w:cs="Arial"/>
          <w:bCs/>
          <w:szCs w:val="24"/>
          <w:lang w:val="es-ES_tradnl" w:eastAsia="es-ES_tradnl"/>
        </w:rPr>
        <w:t xml:space="preserve">”, y </w:t>
      </w:r>
      <w:proofErr w:type="spellStart"/>
      <w:r>
        <w:rPr>
          <w:rFonts w:ascii="Arial" w:eastAsia="Calibri" w:hAnsi="Arial" w:cs="Arial"/>
          <w:bCs/>
          <w:szCs w:val="24"/>
          <w:lang w:val="es-ES_tradnl" w:eastAsia="es-ES_tradnl"/>
        </w:rPr>
        <w:t>iii</w:t>
      </w:r>
      <w:proofErr w:type="spellEnd"/>
      <w:r>
        <w:rPr>
          <w:rFonts w:ascii="Arial" w:eastAsia="Calibri" w:hAnsi="Arial" w:cs="Arial"/>
          <w:bCs/>
          <w:szCs w:val="24"/>
          <w:lang w:val="es-ES_tradnl" w:eastAsia="es-ES_tradnl"/>
        </w:rPr>
        <w:t>) “</w:t>
      </w:r>
      <w:r w:rsidRPr="00C802A0">
        <w:rPr>
          <w:rFonts w:ascii="Arial" w:eastAsia="Calibri" w:hAnsi="Arial" w:cs="Arial"/>
          <w:bCs/>
          <w:szCs w:val="24"/>
          <w:lang w:val="es-ES_tradnl" w:eastAsia="es-ES_tradnl"/>
        </w:rPr>
        <w:t>Consecuencia de un convenio interadministrativo suscrito entre el Municipio y el Ministerio del Interior se va a contratar bajo la modalidad LLAVE EN MANO los estudios, diseños y construcción del proyecto SACUDETE AL PARQUES, y en principio este hace parte de Infraestructura Social - Sector Cultura, Recreación y Deporte; no obstante al revisar la matriz de experiencia de los pliego tipo no se encuentran consagrados ninguno de los ítems de estudios y/o diseños, ¿Es facultativo de la entidad contratante utilizar los pliegos tipo, o es obligatoria su utilización?</w:t>
      </w:r>
      <w:r>
        <w:rPr>
          <w:rFonts w:ascii="Arial" w:eastAsia="Calibri" w:hAnsi="Arial" w:cs="Arial"/>
          <w:bCs/>
          <w:szCs w:val="24"/>
          <w:lang w:val="es-ES_tradnl" w:eastAsia="es-ES_tradnl"/>
        </w:rPr>
        <w:t>”.</w:t>
      </w:r>
    </w:p>
    <w:p w14:paraId="5C8922D1" w14:textId="77777777" w:rsidR="008410D2" w:rsidRPr="003C4EE6" w:rsidRDefault="008410D2" w:rsidP="008410D2">
      <w:pPr>
        <w:tabs>
          <w:tab w:val="decimal" w:pos="765"/>
          <w:tab w:val="right" w:pos="7371"/>
        </w:tabs>
        <w:spacing w:before="240" w:after="0" w:line="240" w:lineRule="auto"/>
        <w:ind w:left="709" w:right="709"/>
        <w:contextualSpacing/>
        <w:jc w:val="both"/>
        <w:rPr>
          <w:rFonts w:ascii="Arial" w:eastAsia="Times New Roman" w:hAnsi="Arial" w:cs="Arial"/>
          <w:sz w:val="21"/>
          <w:szCs w:val="21"/>
          <w:lang w:val="es-ES_tradnl" w:eastAsia="es-ES_tradnl"/>
        </w:rPr>
      </w:pPr>
    </w:p>
    <w:p w14:paraId="140986D1" w14:textId="77777777" w:rsidR="008410D2" w:rsidRDefault="008410D2" w:rsidP="008410D2">
      <w:pPr>
        <w:numPr>
          <w:ilvl w:val="0"/>
          <w:numId w:val="4"/>
        </w:numPr>
        <w:tabs>
          <w:tab w:val="left" w:pos="0"/>
          <w:tab w:val="left" w:pos="284"/>
        </w:tabs>
        <w:spacing w:after="0" w:line="276" w:lineRule="auto"/>
        <w:ind w:left="0" w:firstLine="0"/>
        <w:contextualSpacing/>
        <w:jc w:val="both"/>
        <w:rPr>
          <w:rFonts w:ascii="Arial" w:eastAsia="Calibri" w:hAnsi="Arial" w:cs="Arial"/>
          <w:b/>
          <w:lang w:val="es-ES_tradnl"/>
        </w:rPr>
      </w:pPr>
      <w:r w:rsidRPr="00C046D8">
        <w:rPr>
          <w:rFonts w:ascii="Arial" w:eastAsia="Calibri" w:hAnsi="Arial" w:cs="Arial"/>
          <w:b/>
          <w:lang w:val="es-ES_tradnl"/>
        </w:rPr>
        <w:t>Consideraciones</w:t>
      </w:r>
      <w:bookmarkStart w:id="4" w:name="_Hlk100312295"/>
    </w:p>
    <w:p w14:paraId="4C85C010" w14:textId="77777777" w:rsidR="008410D2" w:rsidRDefault="008410D2" w:rsidP="008410D2">
      <w:pPr>
        <w:tabs>
          <w:tab w:val="left" w:pos="0"/>
          <w:tab w:val="left" w:pos="284"/>
        </w:tabs>
        <w:spacing w:after="0" w:line="276" w:lineRule="auto"/>
        <w:contextualSpacing/>
        <w:jc w:val="both"/>
        <w:rPr>
          <w:rFonts w:ascii="Arial" w:eastAsia="Calibri" w:hAnsi="Arial" w:cs="Arial"/>
          <w:b/>
          <w:lang w:val="es-ES_tradnl"/>
        </w:rPr>
      </w:pPr>
    </w:p>
    <w:p w14:paraId="4226123C" w14:textId="77777777" w:rsidR="008410D2" w:rsidRDefault="008410D2" w:rsidP="008410D2">
      <w:pPr>
        <w:tabs>
          <w:tab w:val="left" w:pos="0"/>
          <w:tab w:val="left" w:pos="284"/>
        </w:tabs>
        <w:spacing w:after="0" w:line="276" w:lineRule="auto"/>
        <w:contextualSpacing/>
        <w:jc w:val="both"/>
        <w:rPr>
          <w:rStyle w:val="eop"/>
          <w:rFonts w:ascii="Arial" w:hAnsi="Arial" w:cs="Arial"/>
          <w:color w:val="000000"/>
        </w:rPr>
      </w:pPr>
      <w:r w:rsidRPr="00B53426">
        <w:rPr>
          <w:rFonts w:ascii="Arial" w:eastAsia="Calibri" w:hAnsi="Arial" w:cs="Arial"/>
          <w:color w:val="000000" w:themeColor="text1"/>
        </w:rPr>
        <w:t>La Agencia Nacional de Contratación Pública – Colombia Compra Eficiente resuelve las consultas sobre los asuntos de su competencia, esto es, sobre la aplicación de normas de carácter general en materia de compras y contratación pública. En ese sentido, la competencia de esta entidad se fija con límites claros, con el objeto de evitar que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r>
        <w:rPr>
          <w:rFonts w:ascii="Arial" w:eastAsia="Calibri" w:hAnsi="Arial" w:cs="Arial"/>
          <w:color w:val="000000" w:themeColor="text1"/>
        </w:rPr>
        <w:t xml:space="preserve"> </w:t>
      </w:r>
      <w:r>
        <w:rPr>
          <w:rStyle w:val="normaltextrun"/>
          <w:rFonts w:ascii="Arial" w:hAnsi="Arial" w:cs="Arial"/>
          <w:color w:val="000000"/>
        </w:rPr>
        <w:t>Por lo anterior, es importante advertir que los conceptos que emite la Subdirección de Gestión Contractual explican las posturas hermenéuticas de la Agencia en relación con aspectos del ordenamiento jurídico sometidos a consulta. Sin embargo, estos conceptos no son vinculantes o de obligatorio cumplimiento para el destinatario, sino que expresan la posición interpretativa de la entidad que elabora el concepto.</w:t>
      </w:r>
      <w:r>
        <w:rPr>
          <w:rStyle w:val="eop"/>
          <w:rFonts w:ascii="Arial" w:hAnsi="Arial" w:cs="Arial"/>
          <w:color w:val="000000"/>
        </w:rPr>
        <w:t> </w:t>
      </w:r>
    </w:p>
    <w:p w14:paraId="49965B44" w14:textId="77777777" w:rsidR="008410D2" w:rsidRPr="00A446F6" w:rsidRDefault="008410D2" w:rsidP="008410D2">
      <w:pPr>
        <w:tabs>
          <w:tab w:val="left" w:pos="0"/>
          <w:tab w:val="left" w:pos="284"/>
        </w:tabs>
        <w:spacing w:after="0" w:line="276" w:lineRule="auto"/>
        <w:contextualSpacing/>
        <w:jc w:val="both"/>
        <w:rPr>
          <w:rFonts w:ascii="Arial" w:eastAsia="Calibri" w:hAnsi="Arial" w:cs="Arial"/>
          <w:b/>
          <w:sz w:val="12"/>
          <w:szCs w:val="12"/>
          <w:lang w:val="es-ES_tradnl"/>
        </w:rPr>
      </w:pPr>
    </w:p>
    <w:p w14:paraId="283826E2" w14:textId="77777777" w:rsidR="008410D2" w:rsidRDefault="008410D2" w:rsidP="008410D2">
      <w:pPr>
        <w:spacing w:after="0" w:line="276" w:lineRule="auto"/>
        <w:ind w:firstLine="708"/>
        <w:jc w:val="both"/>
        <w:rPr>
          <w:rFonts w:ascii="Arial" w:eastAsia="Calibri" w:hAnsi="Arial" w:cs="Arial"/>
          <w:lang w:val="es-ES_tradnl"/>
        </w:rPr>
      </w:pPr>
      <w:r>
        <w:rPr>
          <w:rFonts w:ascii="Arial" w:eastAsia="Calibri" w:hAnsi="Arial" w:cs="Arial"/>
        </w:rPr>
        <w:t>En ese contexto, p</w:t>
      </w:r>
      <w:r w:rsidRPr="00C046D8">
        <w:rPr>
          <w:rFonts w:ascii="Arial" w:eastAsia="Calibri" w:hAnsi="Arial" w:cs="Arial"/>
        </w:rPr>
        <w:t xml:space="preserve">ara resolver la inquietud planteada </w:t>
      </w:r>
      <w:r w:rsidRPr="00C046D8">
        <w:rPr>
          <w:rFonts w:ascii="Arial" w:eastAsia="Calibri" w:hAnsi="Arial" w:cs="Arial"/>
          <w:lang w:val="es-ES_tradnl"/>
        </w:rPr>
        <w:t>se analizarán los siguientes temas: i)</w:t>
      </w:r>
      <w:r>
        <w:rPr>
          <w:rFonts w:ascii="Arial" w:eastAsia="Calibri" w:hAnsi="Arial" w:cs="Arial"/>
          <w:lang w:val="es-ES_tradnl"/>
        </w:rPr>
        <w:t xml:space="preserve"> régimen de los contratos o convenios interadministrativos en el ordenamiento colombiano; </w:t>
      </w:r>
      <w:proofErr w:type="spellStart"/>
      <w:r>
        <w:rPr>
          <w:rFonts w:ascii="Arial" w:eastAsia="Calibri" w:hAnsi="Arial" w:cs="Arial"/>
          <w:lang w:val="es-ES_tradnl"/>
        </w:rPr>
        <w:t>ii</w:t>
      </w:r>
      <w:proofErr w:type="spellEnd"/>
      <w:r>
        <w:rPr>
          <w:rFonts w:ascii="Arial" w:eastAsia="Calibri" w:hAnsi="Arial" w:cs="Arial"/>
          <w:lang w:val="es-ES_tradnl"/>
        </w:rPr>
        <w:t>)</w:t>
      </w:r>
      <w:r w:rsidRPr="00C046D8">
        <w:rPr>
          <w:rFonts w:ascii="Arial" w:eastAsia="Calibri" w:hAnsi="Arial" w:cs="Arial"/>
          <w:lang w:val="es-ES_tradnl"/>
        </w:rPr>
        <w:t xml:space="preserve"> fundamento normativo y ámbito de aplicación de los documentos tipo</w:t>
      </w:r>
      <w:r>
        <w:rPr>
          <w:rFonts w:ascii="Arial" w:eastAsia="Calibri" w:hAnsi="Arial" w:cs="Arial"/>
          <w:lang w:val="es-ES_tradnl"/>
        </w:rPr>
        <w:t>;</w:t>
      </w:r>
      <w:r w:rsidRPr="00C046D8">
        <w:rPr>
          <w:rFonts w:ascii="Arial" w:eastAsia="Calibri" w:hAnsi="Arial" w:cs="Arial"/>
          <w:lang w:val="es-ES_tradnl"/>
        </w:rPr>
        <w:t xml:space="preserve"> </w:t>
      </w:r>
      <w:proofErr w:type="spellStart"/>
      <w:r w:rsidRPr="00165C4E">
        <w:rPr>
          <w:rFonts w:ascii="Arial" w:eastAsia="Calibri" w:hAnsi="Arial" w:cs="Arial"/>
          <w:lang w:val="es-ES_tradnl"/>
        </w:rPr>
        <w:t>ii</w:t>
      </w:r>
      <w:r>
        <w:rPr>
          <w:rFonts w:ascii="Arial" w:eastAsia="Calibri" w:hAnsi="Arial" w:cs="Arial"/>
          <w:lang w:val="es-ES_tradnl"/>
        </w:rPr>
        <w:t>i</w:t>
      </w:r>
      <w:proofErr w:type="spellEnd"/>
      <w:r w:rsidRPr="00165C4E">
        <w:rPr>
          <w:rFonts w:ascii="Arial" w:eastAsia="Calibri" w:hAnsi="Arial" w:cs="Arial"/>
          <w:lang w:val="es-ES_tradnl"/>
        </w:rPr>
        <w:t xml:space="preserve">) </w:t>
      </w:r>
      <w:bookmarkEnd w:id="4"/>
      <w:r w:rsidRPr="00165C4E">
        <w:rPr>
          <w:rFonts w:ascii="Arial" w:eastAsia="Calibri" w:hAnsi="Arial" w:cs="Arial"/>
          <w:lang w:val="es-ES_tradnl"/>
        </w:rPr>
        <w:t>alcance del artículo 56 de la Ley 2195 de 2022 frente a la implementación obligatoria del Estatuto General de Contratación de la Administración Pública y de los documentos tipo en la celebración de convenios o contratos interadministrativos o de cualquier otra índole con entidades estatales exceptuadas y particulares;</w:t>
      </w:r>
      <w:r>
        <w:rPr>
          <w:rFonts w:ascii="Arial" w:eastAsia="Calibri" w:hAnsi="Arial" w:cs="Arial"/>
          <w:lang w:val="es-ES_tradnl"/>
        </w:rPr>
        <w:t xml:space="preserve"> </w:t>
      </w:r>
      <w:proofErr w:type="spellStart"/>
      <w:r>
        <w:rPr>
          <w:rFonts w:ascii="Arial" w:eastAsia="Calibri" w:hAnsi="Arial" w:cs="Arial"/>
          <w:lang w:val="es-ES_tradnl"/>
        </w:rPr>
        <w:t>iv</w:t>
      </w:r>
      <w:proofErr w:type="spellEnd"/>
      <w:r>
        <w:rPr>
          <w:rFonts w:ascii="Arial" w:eastAsia="Calibri" w:hAnsi="Arial" w:cs="Arial"/>
          <w:lang w:val="es-ES_tradnl"/>
        </w:rPr>
        <w:t>) a</w:t>
      </w:r>
      <w:r w:rsidRPr="00116464">
        <w:rPr>
          <w:rFonts w:ascii="Arial" w:eastAsia="Calibri" w:hAnsi="Arial" w:cs="Arial"/>
          <w:lang w:val="es-ES_tradnl"/>
        </w:rPr>
        <w:t xml:space="preserve">plicación prevalente del Estatuto General de Contratación de la Administración Pública en </w:t>
      </w:r>
      <w:r w:rsidRPr="00165C4E">
        <w:rPr>
          <w:rFonts w:ascii="Arial" w:eastAsia="Calibri" w:hAnsi="Arial" w:cs="Arial"/>
          <w:lang w:val="es-ES_tradnl"/>
        </w:rPr>
        <w:t>los contratos o convenios</w:t>
      </w:r>
      <w:r>
        <w:rPr>
          <w:rFonts w:ascii="Arial" w:eastAsia="Calibri" w:hAnsi="Arial" w:cs="Arial"/>
          <w:lang w:val="es-ES_tradnl"/>
        </w:rPr>
        <w:t xml:space="preserve"> </w:t>
      </w:r>
      <w:r w:rsidRPr="00116464">
        <w:rPr>
          <w:rFonts w:ascii="Arial" w:eastAsia="Calibri" w:hAnsi="Arial" w:cs="Arial"/>
          <w:lang w:val="es-ES_tradnl"/>
        </w:rPr>
        <w:t>celebrados con entidades exceptuadas. Aparente tensión con el literal c) del artículo 2, numeral 4, de la Ley 1150 de 2007</w:t>
      </w:r>
      <w:r>
        <w:rPr>
          <w:rFonts w:ascii="Arial" w:eastAsia="Calibri" w:hAnsi="Arial" w:cs="Arial"/>
          <w:lang w:val="es-ES_tradnl"/>
        </w:rPr>
        <w:t>; v)</w:t>
      </w:r>
      <w:r w:rsidRPr="003D0A43">
        <w:t xml:space="preserve"> </w:t>
      </w:r>
      <w:r>
        <w:rPr>
          <w:rFonts w:ascii="Arial" w:eastAsia="Calibri" w:hAnsi="Arial" w:cs="Arial"/>
          <w:lang w:val="es-ES_tradnl"/>
        </w:rPr>
        <w:t>e</w:t>
      </w:r>
      <w:r w:rsidRPr="003D0A43">
        <w:rPr>
          <w:rFonts w:ascii="Arial" w:eastAsia="Calibri" w:hAnsi="Arial" w:cs="Arial"/>
          <w:lang w:val="es-ES_tradnl"/>
        </w:rPr>
        <w:t>xcepciones a la aplicación del artículo 56 de la Ley 2195 de 2022</w:t>
      </w:r>
      <w:r>
        <w:rPr>
          <w:rFonts w:ascii="Arial" w:eastAsia="Calibri" w:hAnsi="Arial" w:cs="Arial"/>
          <w:lang w:val="es-ES_tradnl"/>
        </w:rPr>
        <w:t>:</w:t>
      </w:r>
      <w:r w:rsidRPr="003D0A43">
        <w:rPr>
          <w:rFonts w:ascii="Arial" w:eastAsia="Calibri" w:hAnsi="Arial" w:cs="Arial"/>
          <w:lang w:val="es-ES_tradnl"/>
        </w:rPr>
        <w:t xml:space="preserve"> </w:t>
      </w:r>
      <w:r>
        <w:rPr>
          <w:rFonts w:ascii="Arial" w:eastAsia="Calibri" w:hAnsi="Arial" w:cs="Arial"/>
          <w:lang w:val="es-ES_tradnl"/>
        </w:rPr>
        <w:t>a</w:t>
      </w:r>
      <w:r w:rsidRPr="003D0A43">
        <w:rPr>
          <w:rFonts w:ascii="Arial" w:eastAsia="Calibri" w:hAnsi="Arial" w:cs="Arial"/>
          <w:lang w:val="es-ES_tradnl"/>
        </w:rPr>
        <w:t>lcance de la expresión “giro ordinario” contenida en el parágrafo de la norma</w:t>
      </w:r>
      <w:r>
        <w:rPr>
          <w:rFonts w:ascii="Arial" w:eastAsia="Calibri" w:hAnsi="Arial" w:cs="Arial"/>
          <w:lang w:val="es-ES_tradnl"/>
        </w:rPr>
        <w:t xml:space="preserve">, vi) </w:t>
      </w:r>
      <w:r w:rsidRPr="00567310">
        <w:rPr>
          <w:rFonts w:ascii="Arial" w:eastAsia="Calibri" w:hAnsi="Arial" w:cs="Arial"/>
          <w:lang w:val="es-ES_tradnl"/>
        </w:rPr>
        <w:t>efectos respecto de la subcontratación realizada por entidades estatales exceptuadas, patrimonios autónomos, personas naturales o jurídicas que sean contratistas del Estado</w:t>
      </w:r>
      <w:r>
        <w:rPr>
          <w:rFonts w:ascii="Arial" w:eastAsia="Calibri" w:hAnsi="Arial" w:cs="Arial"/>
          <w:lang w:val="es-ES_tradnl"/>
        </w:rPr>
        <w:t xml:space="preserve">; y </w:t>
      </w:r>
      <w:proofErr w:type="spellStart"/>
      <w:r>
        <w:rPr>
          <w:rFonts w:ascii="Arial" w:eastAsia="Calibri" w:hAnsi="Arial" w:cs="Arial"/>
          <w:lang w:val="es-ES_tradnl"/>
        </w:rPr>
        <w:t>vii</w:t>
      </w:r>
      <w:proofErr w:type="spellEnd"/>
      <w:r>
        <w:rPr>
          <w:rFonts w:ascii="Arial" w:eastAsia="Calibri" w:hAnsi="Arial" w:cs="Arial"/>
          <w:lang w:val="es-ES_tradnl"/>
        </w:rPr>
        <w:t xml:space="preserve">) </w:t>
      </w:r>
      <w:bookmarkStart w:id="5" w:name="_Hlk132983089"/>
      <w:r>
        <w:rPr>
          <w:rFonts w:ascii="Arial" w:eastAsia="Calibri" w:hAnsi="Arial" w:cs="Arial"/>
          <w:lang w:val="es-ES_tradnl"/>
        </w:rPr>
        <w:t>obras y servicios adicionales en los documentos tipo de obra pública para construcción de infraestructura social de cultura, recreación y deporte</w:t>
      </w:r>
      <w:bookmarkEnd w:id="5"/>
      <w:r>
        <w:rPr>
          <w:rFonts w:ascii="Arial" w:eastAsia="Calibri" w:hAnsi="Arial" w:cs="Arial"/>
          <w:lang w:val="es-ES_tradnl"/>
        </w:rPr>
        <w:t>.</w:t>
      </w:r>
    </w:p>
    <w:p w14:paraId="0D386427" w14:textId="77777777" w:rsidR="008410D2" w:rsidRPr="00903212" w:rsidRDefault="008410D2" w:rsidP="008410D2">
      <w:pPr>
        <w:spacing w:before="120" w:after="0" w:line="276" w:lineRule="auto"/>
        <w:ind w:firstLine="709"/>
        <w:jc w:val="both"/>
        <w:rPr>
          <w:rFonts w:ascii="Arial" w:eastAsia="Calibri" w:hAnsi="Arial" w:cs="Arial"/>
          <w:color w:val="000000" w:themeColor="text1"/>
          <w:lang w:val="es-ES"/>
        </w:rPr>
      </w:pPr>
      <w:r>
        <w:rPr>
          <w:rFonts w:ascii="Arial" w:eastAsia="Calibri" w:hAnsi="Arial" w:cs="Arial"/>
          <w:color w:val="000000" w:themeColor="text1"/>
          <w:lang w:val="es-ES"/>
        </w:rPr>
        <w:t xml:space="preserve">La Agencia Nacional de Contratación Pública – Colombia Compra Eficiente, en los Conceptos </w:t>
      </w:r>
      <w:r>
        <w:rPr>
          <w:rFonts w:ascii="Arial" w:eastAsia="Calibri" w:hAnsi="Arial" w:cs="Arial"/>
          <w:color w:val="000000" w:themeColor="text1"/>
          <w:lang w:eastAsia="en-GB"/>
        </w:rPr>
        <w:t xml:space="preserve">C-168 del 14 de abril de 2021, </w:t>
      </w:r>
      <w:r>
        <w:rPr>
          <w:rFonts w:ascii="Arial" w:eastAsia="Calibri" w:hAnsi="Arial" w:cs="Arial"/>
          <w:color w:val="000000" w:themeColor="text1"/>
          <w:lang w:val="es-ES"/>
        </w:rPr>
        <w:t xml:space="preserve">C-585 de 15 de octubre de 2021, C-639 del 14 de marzo de 2021, </w:t>
      </w:r>
      <w:r>
        <w:rPr>
          <w:rFonts w:ascii="Arial" w:eastAsia="Calibri" w:hAnsi="Arial" w:cs="Arial"/>
          <w:color w:val="000000" w:themeColor="text1"/>
          <w:lang w:eastAsia="en-GB"/>
        </w:rPr>
        <w:t xml:space="preserve">C-664 del 1° de septiembre de 2022, </w:t>
      </w:r>
      <w:r>
        <w:rPr>
          <w:rFonts w:ascii="Arial" w:eastAsia="Calibri" w:hAnsi="Arial" w:cs="Arial"/>
          <w:color w:val="000000" w:themeColor="text1"/>
          <w:lang w:val="es-ES"/>
        </w:rPr>
        <w:t>C-771 del 29 de diciembre de 2022, analizó el régimen de los contratos o convenios interadministrativos. Asimismo,</w:t>
      </w:r>
      <w:r w:rsidRPr="00165C4E">
        <w:rPr>
          <w:rFonts w:ascii="Arial" w:eastAsia="Times New Roman" w:hAnsi="Arial" w:cs="Arial"/>
          <w:lang w:val="es-ES_tradnl" w:eastAsia="es-ES_tradnl"/>
        </w:rPr>
        <w:t xml:space="preserve"> ha pronunciado sobre </w:t>
      </w:r>
      <w:r w:rsidRPr="00165C4E">
        <w:rPr>
          <w:rFonts w:ascii="Arial" w:eastAsia="Times New Roman" w:hAnsi="Arial" w:cs="Arial"/>
          <w:lang w:eastAsia="es-ES_tradnl"/>
        </w:rPr>
        <w:t xml:space="preserve">el alcance del artículo 56 de la Ley 2195 de 2022, específicamente, a partir del </w:t>
      </w:r>
      <w:r>
        <w:rPr>
          <w:rFonts w:ascii="Arial" w:eastAsia="Times New Roman" w:hAnsi="Arial" w:cs="Arial"/>
          <w:lang w:eastAsia="es-ES_tradnl"/>
        </w:rPr>
        <w:t>C</w:t>
      </w:r>
      <w:r w:rsidRPr="00165C4E">
        <w:rPr>
          <w:rFonts w:ascii="Arial" w:eastAsia="Times New Roman" w:hAnsi="Arial" w:cs="Arial"/>
          <w:lang w:eastAsia="es-ES_tradnl"/>
        </w:rPr>
        <w:t xml:space="preserve">oncepto C-066 del 28 de enero de 2022, cuya tesis se desarrolló y complementó </w:t>
      </w:r>
      <w:r>
        <w:rPr>
          <w:rFonts w:ascii="Arial" w:eastAsia="Times New Roman" w:hAnsi="Arial" w:cs="Arial"/>
          <w:lang w:eastAsia="es-ES_tradnl"/>
        </w:rPr>
        <w:t>los Conceptos</w:t>
      </w:r>
      <w:r w:rsidRPr="00165C4E">
        <w:rPr>
          <w:rFonts w:ascii="Arial" w:eastAsia="Times New Roman" w:hAnsi="Arial" w:cs="Arial"/>
          <w:lang w:eastAsia="es-ES_tradnl"/>
        </w:rPr>
        <w:t xml:space="preserve"> C-320 del 20 de mayo de 2022, C-333 del 24 de mayo de 2022, C-404 del 26 de mayo de 2023, C-382 del 27 de mayo de 2022, C-388 del 15 de junio de 2022, C-423 del 5 de julio de 2022, C-435 del 6 de julio de 2023, C-453 del 15 de julio de 2022, C-494 del 26 de julio de 2022, C-483 del 5 de agosto de 2022, C-496 del 3 de agosto de 2022, C-556 del 3 de agosto de 2022 y C-532 del 22 de agosto de 2022, </w:t>
      </w:r>
      <w:r>
        <w:rPr>
          <w:rStyle w:val="normaltextrun"/>
          <w:rFonts w:ascii="Arial" w:hAnsi="Arial" w:cs="Arial"/>
          <w:color w:val="000000"/>
        </w:rPr>
        <w:t>pronunciándose específicamente sobre las empresas de servicios públicos en los Conceptos C-341 del 27 de mayo de 2022, C-382 del 27 de mayo de 2022, C-449 del 25 de julio de 2022, C-453 del 14 de julio de 2022,  C-488 del 29 de julio de 2022, C-494 del 28 de julio de 2022 y C-501 del del 29 de julio de 2022</w:t>
      </w:r>
      <w:r w:rsidRPr="00165C4E">
        <w:rPr>
          <w:rFonts w:ascii="Arial" w:eastAsia="Times New Roman" w:hAnsi="Arial" w:cs="Arial"/>
          <w:lang w:eastAsia="es-ES_tradnl"/>
        </w:rPr>
        <w:t>.</w:t>
      </w:r>
      <w:r w:rsidRPr="00165C4E">
        <w:rPr>
          <w:rStyle w:val="normaltextrun"/>
          <w:rFonts w:ascii="Arial" w:hAnsi="Arial" w:cs="Arial"/>
          <w:color w:val="000000" w:themeColor="text1"/>
        </w:rPr>
        <w:t xml:space="preserve"> El mismo tema ha sido estudiado por</w:t>
      </w:r>
      <w:r w:rsidRPr="00165C4E">
        <w:rPr>
          <w:rStyle w:val="normaltextrun"/>
          <w:rFonts w:ascii="Arial" w:hAnsi="Arial" w:cs="Arial"/>
          <w:color w:val="000000"/>
        </w:rPr>
        <w:t xml:space="preserve"> esta Subdirección en los </w:t>
      </w:r>
      <w:r>
        <w:rPr>
          <w:rStyle w:val="normaltextrun"/>
          <w:rFonts w:ascii="Arial" w:hAnsi="Arial" w:cs="Arial"/>
          <w:color w:val="000000"/>
        </w:rPr>
        <w:t>C</w:t>
      </w:r>
      <w:r w:rsidRPr="00165C4E">
        <w:rPr>
          <w:rStyle w:val="normaltextrun"/>
          <w:rFonts w:ascii="Arial" w:hAnsi="Arial" w:cs="Arial"/>
          <w:color w:val="000000"/>
        </w:rPr>
        <w:t>onceptos C-486 del 2 de septiembre de 2022, C-671 del 19 de octubre de 2022</w:t>
      </w:r>
      <w:r>
        <w:rPr>
          <w:rStyle w:val="normaltextrun"/>
          <w:rFonts w:ascii="Arial" w:hAnsi="Arial" w:cs="Arial"/>
          <w:color w:val="000000"/>
        </w:rPr>
        <w:t>,</w:t>
      </w:r>
      <w:r w:rsidRPr="00165C4E">
        <w:rPr>
          <w:rStyle w:val="normaltextrun"/>
          <w:rFonts w:ascii="Arial" w:hAnsi="Arial" w:cs="Arial"/>
          <w:color w:val="000000"/>
        </w:rPr>
        <w:t xml:space="preserve"> C-576 del 25 de octubre de 202</w:t>
      </w:r>
      <w:r>
        <w:rPr>
          <w:rStyle w:val="normaltextrun"/>
          <w:rFonts w:ascii="Arial" w:hAnsi="Arial" w:cs="Arial"/>
          <w:color w:val="000000"/>
        </w:rPr>
        <w:t>2 y C-042 del 29 de marzo de 2023. Por lo demás, es los Conceptos C-284 del 11 de mayo de 2022, C-502 del 4 de agosto de 2022 y C-710 del 27 de octubre de 2022, la Agencia analizó el régimen de las obras y servicios adicionales en los documentos tipo de licitación de obra pública para proyectos de infraestructura social</w:t>
      </w:r>
      <w:r w:rsidRPr="00165C4E">
        <w:rPr>
          <w:rStyle w:val="Refdenotaalpie"/>
          <w:rFonts w:ascii="Arial" w:hAnsi="Arial" w:cs="Arial"/>
          <w:color w:val="000000"/>
        </w:rPr>
        <w:footnoteReference w:id="2"/>
      </w:r>
      <w:r>
        <w:rPr>
          <w:rFonts w:ascii="Arial" w:eastAsia="Times New Roman" w:hAnsi="Arial" w:cs="Arial"/>
          <w:lang w:eastAsia="es-ES"/>
        </w:rPr>
        <w:t xml:space="preserve">. </w:t>
      </w:r>
      <w:r w:rsidRPr="00504597">
        <w:rPr>
          <w:rFonts w:ascii="Arial" w:eastAsia="Calibri" w:hAnsi="Arial" w:cs="Arial"/>
          <w:color w:val="000000" w:themeColor="text1"/>
          <w:lang w:val="es-ES_tradnl"/>
        </w:rPr>
        <w:t xml:space="preserve">La tesis propuesta en estos conceptos se reitera a continuación y se complementa en lo pertinente </w:t>
      </w:r>
      <w:r>
        <w:rPr>
          <w:rFonts w:ascii="Arial" w:eastAsia="Calibri" w:hAnsi="Arial" w:cs="Arial"/>
          <w:color w:val="000000" w:themeColor="text1"/>
          <w:lang w:val="es-ES_tradnl"/>
        </w:rPr>
        <w:t>de acuerdo con</w:t>
      </w:r>
      <w:r w:rsidRPr="00504597">
        <w:rPr>
          <w:rFonts w:ascii="Arial" w:eastAsia="Calibri" w:hAnsi="Arial" w:cs="Arial"/>
          <w:color w:val="000000" w:themeColor="text1"/>
          <w:lang w:val="es-ES_tradnl"/>
        </w:rPr>
        <w:t xml:space="preserve"> </w:t>
      </w:r>
      <w:r>
        <w:rPr>
          <w:rFonts w:ascii="Arial" w:eastAsia="Calibri" w:hAnsi="Arial" w:cs="Arial"/>
          <w:color w:val="000000" w:themeColor="text1"/>
          <w:lang w:val="es-ES_tradnl"/>
        </w:rPr>
        <w:t>las preguntas realizadas</w:t>
      </w:r>
      <w:r w:rsidRPr="00504597">
        <w:rPr>
          <w:rFonts w:ascii="Arial" w:eastAsia="Calibri" w:hAnsi="Arial" w:cs="Arial"/>
          <w:color w:val="000000" w:themeColor="text1"/>
          <w:lang w:val="es-ES_tradnl"/>
        </w:rPr>
        <w:t xml:space="preserve">. </w:t>
      </w:r>
      <w:r w:rsidRPr="293D6149">
        <w:rPr>
          <w:rFonts w:ascii="Arial" w:eastAsia="Times New Roman" w:hAnsi="Arial" w:cs="Arial"/>
          <w:lang w:eastAsia="es-ES"/>
        </w:rPr>
        <w:t xml:space="preserve"> </w:t>
      </w:r>
    </w:p>
    <w:p w14:paraId="4766DA8C" w14:textId="77777777" w:rsidR="008410D2" w:rsidRPr="00C046D8" w:rsidRDefault="008410D2" w:rsidP="008410D2">
      <w:pPr>
        <w:spacing w:after="0" w:line="276" w:lineRule="auto"/>
        <w:ind w:firstLine="709"/>
        <w:jc w:val="both"/>
        <w:rPr>
          <w:rFonts w:ascii="Arial" w:eastAsia="Times New Roman" w:hAnsi="Arial" w:cs="Arial"/>
          <w:lang w:val="es-ES" w:eastAsia="es-ES_tradnl"/>
        </w:rPr>
      </w:pPr>
    </w:p>
    <w:p w14:paraId="4FDB1768" w14:textId="77777777" w:rsidR="008410D2" w:rsidRDefault="008410D2" w:rsidP="008410D2">
      <w:pPr>
        <w:spacing w:after="0" w:line="276" w:lineRule="auto"/>
        <w:contextualSpacing/>
        <w:jc w:val="both"/>
        <w:rPr>
          <w:rFonts w:ascii="Arial" w:eastAsia="Arial" w:hAnsi="Arial" w:cs="Arial"/>
          <w:b/>
          <w:bCs/>
          <w:lang w:val="es-ES_tradnl" w:eastAsia="es-ES_tradnl"/>
        </w:rPr>
      </w:pPr>
      <w:r>
        <w:rPr>
          <w:rFonts w:ascii="Arial" w:eastAsia="Arial" w:hAnsi="Arial" w:cs="Arial"/>
          <w:b/>
          <w:bCs/>
          <w:lang w:val="es-ES_tradnl" w:eastAsia="es-ES_tradnl"/>
        </w:rPr>
        <w:t xml:space="preserve">2.1. Marco normativo de los contratos o convenios interadministrativos </w:t>
      </w:r>
    </w:p>
    <w:p w14:paraId="231DD5DD" w14:textId="77777777" w:rsidR="008410D2" w:rsidRDefault="008410D2" w:rsidP="008410D2">
      <w:pPr>
        <w:spacing w:after="0" w:line="276" w:lineRule="auto"/>
        <w:contextualSpacing/>
        <w:jc w:val="both"/>
        <w:rPr>
          <w:rFonts w:ascii="Arial" w:eastAsia="Arial" w:hAnsi="Arial" w:cs="Arial"/>
          <w:b/>
          <w:bCs/>
          <w:lang w:val="es-ES_tradnl" w:eastAsia="es-ES_tradnl"/>
        </w:rPr>
      </w:pPr>
    </w:p>
    <w:p w14:paraId="4AA23409" w14:textId="77777777" w:rsidR="008410D2" w:rsidRPr="00D74F6F" w:rsidRDefault="008410D2" w:rsidP="008410D2">
      <w:pPr>
        <w:pStyle w:val="Textoindependiente"/>
        <w:spacing w:after="0"/>
        <w:jc w:val="both"/>
        <w:rPr>
          <w:rFonts w:ascii="Arial" w:hAnsi="Arial" w:cs="Arial"/>
        </w:rPr>
      </w:pPr>
      <w:bookmarkStart w:id="6" w:name="_Hlk78820161"/>
      <w:r w:rsidRPr="00D74F6F">
        <w:rPr>
          <w:rFonts w:ascii="Arial" w:hAnsi="Arial" w:cs="Arial"/>
        </w:rPr>
        <w:t>La tipología del contrato o convenio interadministrativo fue creada en la Ley 80 de 1993, y el Decreto 1082 de 2015 la califica como aquella contratación entre entidades estatales</w:t>
      </w:r>
      <w:r w:rsidRPr="00D74F6F">
        <w:rPr>
          <w:rStyle w:val="Refdenotaalpie"/>
          <w:rFonts w:ascii="Arial" w:hAnsi="Arial" w:cs="Arial"/>
        </w:rPr>
        <w:footnoteReference w:id="3"/>
      </w:r>
      <w:r w:rsidRPr="00D74F6F">
        <w:rPr>
          <w:rFonts w:ascii="Arial" w:hAnsi="Arial" w:cs="Arial"/>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D74F6F">
        <w:rPr>
          <w:rFonts w:ascii="Arial" w:hAnsi="Arial" w:cs="Arial"/>
          <w:spacing w:val="-6"/>
        </w:rPr>
        <w:t xml:space="preserve"> </w:t>
      </w:r>
      <w:r w:rsidRPr="00D74F6F">
        <w:rPr>
          <w:rFonts w:ascii="Arial" w:hAnsi="Arial" w:cs="Arial"/>
        </w:rPr>
        <w:t>estatales.</w:t>
      </w:r>
    </w:p>
    <w:p w14:paraId="4BB31250" w14:textId="77777777" w:rsidR="008410D2" w:rsidRPr="00D74F6F" w:rsidRDefault="008410D2" w:rsidP="008410D2">
      <w:pPr>
        <w:pStyle w:val="Textoindependiente"/>
        <w:spacing w:before="117" w:after="0"/>
        <w:ind w:firstLine="707"/>
        <w:jc w:val="both"/>
        <w:rPr>
          <w:rFonts w:ascii="Arial" w:hAnsi="Arial" w:cs="Arial"/>
        </w:rPr>
      </w:pPr>
      <w:bookmarkStart w:id="8" w:name="_Hlk78820654"/>
      <w:bookmarkEnd w:id="6"/>
      <w:r w:rsidRPr="00D74F6F">
        <w:rPr>
          <w:rFonts w:ascii="Arial" w:hAnsi="Arial" w:cs="Arial"/>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8"/>
    <w:p w14:paraId="2FD2671F" w14:textId="77777777" w:rsidR="008410D2" w:rsidRPr="00D74F6F" w:rsidRDefault="008410D2" w:rsidP="008410D2">
      <w:pPr>
        <w:pStyle w:val="Textoindependiente"/>
        <w:spacing w:before="121" w:after="0"/>
        <w:ind w:firstLine="707"/>
        <w:jc w:val="both"/>
        <w:rPr>
          <w:rFonts w:ascii="Arial" w:hAnsi="Arial" w:cs="Arial"/>
        </w:rPr>
      </w:pPr>
      <w:r w:rsidRPr="00D74F6F">
        <w:rPr>
          <w:rFonts w:ascii="Arial" w:hAnsi="Arial" w:cs="Arial"/>
        </w:rPr>
        <w:t>Un contrato o convenio interadministrativo no está determinado por la modalidad de selección utilizada para celebrarlo. La Ley 1150 de 2007 dispone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D74F6F">
        <w:rPr>
          <w:rStyle w:val="Refdenotaalpie"/>
          <w:rFonts w:ascii="Arial" w:hAnsi="Arial" w:cs="Arial"/>
        </w:rPr>
        <w:footnoteReference w:id="4"/>
      </w:r>
      <w:r w:rsidRPr="00D74F6F">
        <w:rPr>
          <w:rFonts w:ascii="Arial" w:hAnsi="Arial" w:cs="Arial"/>
        </w:rPr>
        <w:t>. Nótese que, en este caso, lo que cambia es la modalidad de selección y no la naturaleza de contrato</w:t>
      </w:r>
      <w:r w:rsidRPr="00D74F6F">
        <w:rPr>
          <w:rFonts w:ascii="Arial" w:hAnsi="Arial" w:cs="Arial"/>
          <w:spacing w:val="-18"/>
        </w:rPr>
        <w:t xml:space="preserve"> </w:t>
      </w:r>
      <w:r w:rsidRPr="00D74F6F">
        <w:rPr>
          <w:rFonts w:ascii="Arial" w:hAnsi="Arial" w:cs="Arial"/>
        </w:rPr>
        <w:t>interadministrativo.</w:t>
      </w:r>
    </w:p>
    <w:p w14:paraId="35CAE4DB" w14:textId="77777777" w:rsidR="008410D2" w:rsidRPr="00D74F6F" w:rsidRDefault="008410D2" w:rsidP="008410D2">
      <w:pPr>
        <w:pStyle w:val="Textoindependiente"/>
        <w:spacing w:before="114" w:after="0"/>
        <w:ind w:firstLine="707"/>
        <w:jc w:val="both"/>
        <w:rPr>
          <w:rFonts w:ascii="Arial" w:hAnsi="Arial" w:cs="Arial"/>
        </w:rPr>
      </w:pPr>
      <w:r w:rsidRPr="00D74F6F">
        <w:rPr>
          <w:rFonts w:ascii="Arial" w:hAnsi="Arial" w:cs="Arial"/>
        </w:rPr>
        <w:t>La Corte Constitucional, en Sentencia C</w:t>
      </w:r>
      <w:r>
        <w:rPr>
          <w:rFonts w:ascii="Arial" w:hAnsi="Arial" w:cs="Arial"/>
        </w:rPr>
        <w:t>-</w:t>
      </w:r>
      <w:r w:rsidRPr="00D74F6F">
        <w:rPr>
          <w:rFonts w:ascii="Arial" w:hAnsi="Arial" w:cs="Arial"/>
        </w:rPr>
        <w:t>671 de 2015</w:t>
      </w:r>
      <w:r>
        <w:rPr>
          <w:rFonts w:ascii="Arial" w:hAnsi="Arial" w:cs="Arial"/>
        </w:rPr>
        <w:t>,</w:t>
      </w:r>
      <w:r w:rsidRPr="00D74F6F">
        <w:rPr>
          <w:rFonts w:ascii="Arial" w:hAnsi="Arial" w:cs="Arial"/>
        </w:rPr>
        <w:t xml:space="preserve"> expresó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D74F6F">
        <w:rPr>
          <w:rFonts w:ascii="Arial" w:hAnsi="Arial" w:cs="Arial"/>
          <w:spacing w:val="-13"/>
        </w:rPr>
        <w:t xml:space="preserve"> </w:t>
      </w:r>
      <w:r w:rsidRPr="00D74F6F">
        <w:rPr>
          <w:rFonts w:ascii="Arial" w:hAnsi="Arial" w:cs="Arial"/>
        </w:rPr>
        <w:t>que:</w:t>
      </w:r>
    </w:p>
    <w:p w14:paraId="43BA822C" w14:textId="77777777" w:rsidR="008410D2" w:rsidRPr="002B5545" w:rsidRDefault="008410D2" w:rsidP="008410D2">
      <w:pPr>
        <w:pStyle w:val="Textoindependiente"/>
        <w:spacing w:after="0"/>
        <w:ind w:firstLine="707"/>
        <w:jc w:val="both"/>
        <w:rPr>
          <w:rFonts w:ascii="Arial" w:hAnsi="Arial" w:cs="Arial"/>
        </w:rPr>
      </w:pPr>
    </w:p>
    <w:p w14:paraId="652098F1" w14:textId="3BA6D0E9" w:rsidR="008410D2" w:rsidRPr="00446B03" w:rsidRDefault="00517AF1" w:rsidP="001A5552">
      <w:pPr>
        <w:spacing w:after="0" w:line="240" w:lineRule="auto"/>
        <w:ind w:left="709" w:right="709"/>
        <w:jc w:val="both"/>
        <w:rPr>
          <w:rFonts w:ascii="Arial" w:hAnsi="Arial" w:cs="Arial"/>
          <w:sz w:val="21"/>
        </w:rPr>
      </w:pPr>
      <w:r>
        <w:rPr>
          <w:rFonts w:ascii="Arial" w:hAnsi="Arial" w:cs="Arial"/>
          <w:sz w:val="21"/>
        </w:rPr>
        <w:t>“</w:t>
      </w:r>
      <w:r w:rsidR="008410D2" w:rsidRPr="00446B03">
        <w:rPr>
          <w:rFonts w:ascii="Arial" w:hAnsi="Arial" w:cs="Arial"/>
          <w:sz w:val="21"/>
        </w:rPr>
        <w:t>[…] se puede señalar que los convenios o contratos interadministrativos tienen como características principales las siguientes: (i) constituyen verdaderos contratos en los términos del Código de Comercio cuando su objeto lo constituyen obligaciones patrimoniales; (</w:t>
      </w:r>
      <w:proofErr w:type="spellStart"/>
      <w:r w:rsidR="008410D2" w:rsidRPr="00446B03">
        <w:rPr>
          <w:rFonts w:ascii="Arial" w:hAnsi="Arial" w:cs="Arial"/>
          <w:sz w:val="21"/>
        </w:rPr>
        <w:t>ii</w:t>
      </w:r>
      <w:proofErr w:type="spellEnd"/>
      <w:r w:rsidR="008410D2" w:rsidRPr="00446B03">
        <w:rPr>
          <w:rFonts w:ascii="Arial" w:hAnsi="Arial" w:cs="Arial"/>
          <w:sz w:val="21"/>
        </w:rPr>
        <w:t>) tienen como fuente la autonomía contractual; (</w:t>
      </w:r>
      <w:proofErr w:type="spellStart"/>
      <w:r w:rsidR="008410D2" w:rsidRPr="00446B03">
        <w:rPr>
          <w:rFonts w:ascii="Arial" w:hAnsi="Arial" w:cs="Arial"/>
          <w:sz w:val="21"/>
        </w:rPr>
        <w:t>iii</w:t>
      </w:r>
      <w:proofErr w:type="spellEnd"/>
      <w:r w:rsidR="008410D2" w:rsidRPr="00446B03">
        <w:rPr>
          <w:rFonts w:ascii="Arial" w:hAnsi="Arial" w:cs="Arial"/>
          <w:sz w:val="21"/>
        </w:rPr>
        <w:t>) son contratos nominados puesto que están mencionados en la ley; (</w:t>
      </w:r>
      <w:proofErr w:type="spellStart"/>
      <w:r w:rsidR="008410D2" w:rsidRPr="00446B03">
        <w:rPr>
          <w:rFonts w:ascii="Arial" w:hAnsi="Arial" w:cs="Arial"/>
          <w:sz w:val="21"/>
        </w:rPr>
        <w:t>iv</w:t>
      </w:r>
      <w:proofErr w:type="spellEnd"/>
      <w:r w:rsidR="008410D2" w:rsidRPr="00446B03">
        <w:rPr>
          <w:rFonts w:ascii="Arial" w:hAnsi="Arial" w:cs="Arial"/>
          <w:sz w:val="21"/>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008410D2" w:rsidRPr="00446B03">
        <w:rPr>
          <w:rFonts w:ascii="Arial" w:hAnsi="Arial" w:cs="Arial"/>
          <w:sz w:val="21"/>
        </w:rPr>
        <w:t>vii</w:t>
      </w:r>
      <w:proofErr w:type="spellEnd"/>
      <w:r w:rsidR="008410D2" w:rsidRPr="00446B03">
        <w:rPr>
          <w:rFonts w:ascii="Arial" w:hAnsi="Arial" w:cs="Arial"/>
          <w:sz w:val="21"/>
        </w:rPr>
        <w:t>) persiguen  una finalidad común a través de la realización de intereses compartidos entre las entidades vinculadas; (</w:t>
      </w:r>
      <w:proofErr w:type="spellStart"/>
      <w:r w:rsidR="008410D2" w:rsidRPr="00446B03">
        <w:rPr>
          <w:rFonts w:ascii="Arial" w:hAnsi="Arial" w:cs="Arial"/>
          <w:sz w:val="21"/>
        </w:rPr>
        <w:t>viii</w:t>
      </w:r>
      <w:proofErr w:type="spellEnd"/>
      <w:r w:rsidR="008410D2" w:rsidRPr="00446B03">
        <w:rPr>
          <w:rFonts w:ascii="Arial" w:hAnsi="Arial" w:cs="Arial"/>
          <w:sz w:val="21"/>
        </w:rPr>
        <w:t>) la acción mediante la cual se deben ventilar las diferencias que sobre el particular surjan es la de controversias contractuales</w:t>
      </w:r>
      <w:r>
        <w:rPr>
          <w:rFonts w:ascii="Arial" w:hAnsi="Arial" w:cs="Arial"/>
          <w:sz w:val="21"/>
        </w:rPr>
        <w:t>”</w:t>
      </w:r>
      <w:r w:rsidR="008410D2" w:rsidRPr="00446B03">
        <w:rPr>
          <w:rStyle w:val="Refdenotaalpie"/>
          <w:rFonts w:ascii="Arial" w:hAnsi="Arial" w:cs="Arial"/>
          <w:sz w:val="21"/>
        </w:rPr>
        <w:footnoteReference w:id="5"/>
      </w:r>
      <w:r w:rsidR="008410D2" w:rsidRPr="00446B03">
        <w:rPr>
          <w:rFonts w:ascii="Arial" w:hAnsi="Arial" w:cs="Arial"/>
          <w:sz w:val="21"/>
        </w:rPr>
        <w:t>.</w:t>
      </w:r>
    </w:p>
    <w:p w14:paraId="2E982FEA" w14:textId="77777777" w:rsidR="008410D2" w:rsidRPr="002816F3" w:rsidRDefault="008410D2" w:rsidP="008410D2">
      <w:pPr>
        <w:spacing w:after="0"/>
        <w:ind w:left="709" w:right="709"/>
        <w:jc w:val="both"/>
        <w:rPr>
          <w:rFonts w:ascii="Arial" w:hAnsi="Arial" w:cs="Arial"/>
        </w:rPr>
      </w:pPr>
    </w:p>
    <w:p w14:paraId="1F730019" w14:textId="77777777" w:rsidR="008410D2" w:rsidRPr="002816F3" w:rsidRDefault="008410D2" w:rsidP="008410D2">
      <w:pPr>
        <w:pStyle w:val="Textoindependiente"/>
        <w:spacing w:after="0"/>
        <w:ind w:firstLine="707"/>
        <w:jc w:val="both"/>
        <w:rPr>
          <w:rFonts w:ascii="Arial" w:hAnsi="Arial" w:cs="Arial"/>
        </w:rPr>
      </w:pPr>
      <w:r w:rsidRPr="002816F3">
        <w:rPr>
          <w:rFonts w:ascii="Arial" w:hAnsi="Arial" w:cs="Arial"/>
        </w:rPr>
        <w:t>En ese sentido, los</w:t>
      </w:r>
      <w:r>
        <w:rPr>
          <w:rFonts w:ascii="Arial" w:hAnsi="Arial" w:cs="Arial"/>
        </w:rPr>
        <w:t xml:space="preserve"> </w:t>
      </w:r>
      <w:r w:rsidRPr="002816F3">
        <w:rPr>
          <w:rFonts w:ascii="Arial" w:hAnsi="Arial" w:cs="Arial"/>
        </w:rPr>
        <w:t>convenios interadministrativos se caracterizan por los sujetos que intervienen y por la modalidad de selección que la ley permite aplicar para su celebración, pues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19D77BA0" w14:textId="77777777" w:rsidR="008410D2" w:rsidRPr="002816F3" w:rsidRDefault="008410D2" w:rsidP="008410D2">
      <w:pPr>
        <w:pStyle w:val="Textoindependiente"/>
        <w:spacing w:before="119" w:after="0"/>
        <w:ind w:firstLine="707"/>
        <w:jc w:val="both"/>
        <w:rPr>
          <w:rFonts w:ascii="Arial" w:hAnsi="Arial" w:cs="Arial"/>
        </w:rPr>
      </w:pPr>
      <w:r w:rsidRPr="002816F3">
        <w:rPr>
          <w:rFonts w:ascii="Arial" w:hAnsi="Arial" w:cs="Arial"/>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Como se indicó, la existencia de un contrato interadministrativo no está determinada por la modalidad de selección sino, entre otras cosas, de la calidad de las partes que lo suscriben, es decir, debe tratarse de entidades</w:t>
      </w:r>
      <w:r w:rsidRPr="002816F3">
        <w:rPr>
          <w:rFonts w:ascii="Arial" w:hAnsi="Arial" w:cs="Arial"/>
          <w:spacing w:val="-3"/>
        </w:rPr>
        <w:t xml:space="preserve"> </w:t>
      </w:r>
      <w:r w:rsidRPr="002816F3">
        <w:rPr>
          <w:rFonts w:ascii="Arial" w:hAnsi="Arial" w:cs="Arial"/>
        </w:rPr>
        <w:t>estatales.</w:t>
      </w:r>
    </w:p>
    <w:p w14:paraId="7AAE79F8" w14:textId="77777777" w:rsidR="008410D2" w:rsidRPr="002816F3" w:rsidRDefault="008410D2" w:rsidP="008410D2">
      <w:pPr>
        <w:pStyle w:val="Textoindependiente"/>
        <w:spacing w:before="120" w:after="0"/>
        <w:ind w:firstLine="709"/>
        <w:jc w:val="both"/>
        <w:rPr>
          <w:rFonts w:ascii="Arial" w:hAnsi="Arial" w:cs="Arial"/>
        </w:rPr>
      </w:pPr>
      <w:r w:rsidRPr="002816F3">
        <w:rPr>
          <w:rFonts w:ascii="Arial" w:hAnsi="Arial" w:cs="Arial"/>
        </w:rPr>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 los contratos interadministrativos y no a los convenios,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2816F3">
        <w:rPr>
          <w:rFonts w:ascii="Arial" w:hAnsi="Arial" w:cs="Arial"/>
          <w:spacing w:val="-4"/>
        </w:rPr>
        <w:t xml:space="preserve"> </w:t>
      </w:r>
      <w:r w:rsidRPr="002816F3">
        <w:rPr>
          <w:rFonts w:ascii="Arial" w:hAnsi="Arial" w:cs="Arial"/>
        </w:rPr>
        <w:t>estatales.</w:t>
      </w:r>
    </w:p>
    <w:p w14:paraId="128A1EED" w14:textId="77777777" w:rsidR="008410D2" w:rsidRPr="002816F3" w:rsidRDefault="008410D2" w:rsidP="008410D2">
      <w:pPr>
        <w:pStyle w:val="Textoindependiente"/>
        <w:spacing w:before="122" w:after="0"/>
        <w:ind w:firstLine="708"/>
        <w:jc w:val="both"/>
        <w:rPr>
          <w:rFonts w:ascii="Arial" w:hAnsi="Arial" w:cs="Arial"/>
        </w:rPr>
      </w:pPr>
      <w:r w:rsidRPr="002816F3">
        <w:rPr>
          <w:rFonts w:ascii="Arial" w:hAnsi="Arial" w:cs="Arial"/>
        </w:rPr>
        <w:t>Es conveniente destacar que el Decreto 1082 de 2015 dispone que los convenios o contratos interadministrativos, así denominados en su artículo 2.2.1.2.1.4.4, se contratan directamente, por lo qu</w:t>
      </w:r>
      <w:r>
        <w:rPr>
          <w:rFonts w:ascii="Arial" w:hAnsi="Arial" w:cs="Arial"/>
        </w:rPr>
        <w:t xml:space="preserve">e representan figuras similares </w:t>
      </w:r>
      <w:r w:rsidRPr="002816F3">
        <w:rPr>
          <w:rFonts w:ascii="Arial" w:hAnsi="Arial" w:cs="Arial"/>
        </w:rPr>
        <w:t>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57D11914" w14:textId="77777777" w:rsidR="008410D2" w:rsidRPr="002816F3" w:rsidRDefault="008410D2" w:rsidP="008410D2">
      <w:pPr>
        <w:pStyle w:val="Textoindependiente"/>
        <w:spacing w:after="0"/>
        <w:ind w:firstLine="708"/>
        <w:jc w:val="both"/>
        <w:rPr>
          <w:rFonts w:ascii="Arial" w:hAnsi="Arial" w:cs="Arial"/>
        </w:rPr>
      </w:pPr>
      <w:r w:rsidRPr="002816F3">
        <w:rPr>
          <w:rFonts w:ascii="Arial" w:hAnsi="Arial" w:cs="Arial"/>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2816F3">
        <w:rPr>
          <w:rFonts w:ascii="Arial" w:hAnsi="Arial" w:cs="Arial"/>
          <w:spacing w:val="-4"/>
        </w:rPr>
        <w:t xml:space="preserve"> </w:t>
      </w:r>
      <w:r w:rsidRPr="002816F3">
        <w:rPr>
          <w:rFonts w:ascii="Arial" w:hAnsi="Arial" w:cs="Arial"/>
        </w:rPr>
        <w:t>[…]”</w:t>
      </w:r>
      <w:r w:rsidRPr="002816F3">
        <w:rPr>
          <w:rStyle w:val="Refdenotaalpie"/>
          <w:rFonts w:ascii="Arial" w:hAnsi="Arial" w:cs="Arial"/>
        </w:rPr>
        <w:footnoteReference w:id="6"/>
      </w:r>
      <w:r w:rsidRPr="002816F3">
        <w:rPr>
          <w:rFonts w:ascii="Arial" w:hAnsi="Arial" w:cs="Arial"/>
        </w:rPr>
        <w:t>.</w:t>
      </w:r>
    </w:p>
    <w:p w14:paraId="0BBBE9D6" w14:textId="77777777" w:rsidR="008410D2" w:rsidRPr="0076320C" w:rsidRDefault="008410D2" w:rsidP="008410D2">
      <w:pPr>
        <w:snapToGrid w:val="0"/>
        <w:spacing w:before="120" w:after="0" w:line="276" w:lineRule="auto"/>
        <w:ind w:firstLine="709"/>
        <w:jc w:val="both"/>
        <w:rPr>
          <w:rFonts w:ascii="Arial" w:eastAsia="Calibri" w:hAnsi="Arial" w:cs="Arial"/>
          <w:bCs/>
          <w:color w:val="000000" w:themeColor="text1"/>
          <w:lang w:bidi="es-ES"/>
        </w:rPr>
      </w:pPr>
      <w:r>
        <w:rPr>
          <w:rFonts w:ascii="Arial" w:eastAsia="Calibri" w:hAnsi="Arial" w:cs="Arial"/>
          <w:bCs/>
          <w:color w:val="000000" w:themeColor="text1"/>
          <w:lang w:bidi="es-ES"/>
        </w:rPr>
        <w:t>S</w:t>
      </w:r>
      <w:r w:rsidRPr="0076320C">
        <w:rPr>
          <w:rFonts w:ascii="Arial" w:eastAsia="Calibri" w:hAnsi="Arial" w:cs="Arial"/>
          <w:bCs/>
          <w:color w:val="000000" w:themeColor="text1"/>
          <w:lang w:bidi="es-ES"/>
        </w:rPr>
        <w:t>i bien tanto los contratos como convenios comparten características comunes</w:t>
      </w:r>
      <w:r>
        <w:rPr>
          <w:rFonts w:ascii="Arial" w:eastAsia="Calibri" w:hAnsi="Arial" w:cs="Arial"/>
          <w:bCs/>
          <w:color w:val="000000" w:themeColor="text1"/>
          <w:lang w:bidi="es-ES"/>
        </w:rPr>
        <w:t xml:space="preserve"> explicadas en los párrafos precedentes</w:t>
      </w:r>
      <w:r w:rsidRPr="0076320C">
        <w:rPr>
          <w:rFonts w:ascii="Arial" w:eastAsia="Calibri" w:hAnsi="Arial" w:cs="Arial"/>
          <w:bCs/>
          <w:color w:val="000000" w:themeColor="text1"/>
          <w:lang w:bidi="es-ES"/>
        </w:rPr>
        <w:t>, difieren en cuanto a ciert</w:t>
      </w:r>
      <w:r>
        <w:rPr>
          <w:rFonts w:ascii="Arial" w:eastAsia="Calibri" w:hAnsi="Arial" w:cs="Arial"/>
          <w:bCs/>
          <w:color w:val="000000" w:themeColor="text1"/>
          <w:lang w:bidi="es-ES"/>
        </w:rPr>
        <w:t>o</w:t>
      </w:r>
      <w:r w:rsidRPr="0076320C">
        <w:rPr>
          <w:rFonts w:ascii="Arial" w:eastAsia="Calibri" w:hAnsi="Arial" w:cs="Arial"/>
          <w:bCs/>
          <w:color w:val="000000" w:themeColor="text1"/>
          <w:lang w:bidi="es-ES"/>
        </w:rPr>
        <w:t xml:space="preserve">s </w:t>
      </w:r>
      <w:r>
        <w:rPr>
          <w:rFonts w:ascii="Arial" w:eastAsia="Calibri" w:hAnsi="Arial" w:cs="Arial"/>
          <w:bCs/>
          <w:color w:val="000000" w:themeColor="text1"/>
          <w:lang w:bidi="es-ES"/>
        </w:rPr>
        <w:t>aspectos</w:t>
      </w:r>
      <w:r w:rsidRPr="0076320C">
        <w:rPr>
          <w:rFonts w:ascii="Arial" w:eastAsia="Calibri" w:hAnsi="Arial" w:cs="Arial"/>
          <w:bCs/>
          <w:color w:val="000000" w:themeColor="text1"/>
          <w:lang w:bidi="es-ES"/>
        </w:rPr>
        <w:t xml:space="preserve"> esenciales</w:t>
      </w:r>
      <w:r w:rsidRPr="0076320C">
        <w:rPr>
          <w:rFonts w:ascii="Arial" w:eastAsia="Calibri" w:hAnsi="Arial" w:cs="Arial"/>
          <w:color w:val="000000" w:themeColor="text1"/>
          <w:lang w:bidi="es-ES"/>
        </w:rPr>
        <w:t xml:space="preserve">. </w:t>
      </w:r>
      <w:r w:rsidRPr="0076320C">
        <w:rPr>
          <w:rFonts w:ascii="Arial" w:eastAsia="Calibri" w:hAnsi="Arial" w:cs="Arial"/>
          <w:bCs/>
          <w:color w:val="000000" w:themeColor="text1"/>
          <w:lang w:bidi="es-ES"/>
        </w:rPr>
        <w:t xml:space="preserve">Así, mientras que el </w:t>
      </w:r>
      <w:r w:rsidRPr="00D96A82">
        <w:rPr>
          <w:rFonts w:ascii="Arial" w:eastAsia="Calibri" w:hAnsi="Arial" w:cs="Arial"/>
          <w:bCs/>
          <w:i/>
          <w:iCs/>
          <w:color w:val="000000" w:themeColor="text1"/>
          <w:lang w:bidi="es-ES"/>
        </w:rPr>
        <w:t xml:space="preserve">contrato </w:t>
      </w:r>
      <w:r>
        <w:rPr>
          <w:rFonts w:ascii="Arial" w:eastAsia="Calibri" w:hAnsi="Arial" w:cs="Arial"/>
          <w:bCs/>
          <w:i/>
          <w:iCs/>
          <w:color w:val="000000" w:themeColor="text1"/>
          <w:lang w:bidi="es-ES"/>
        </w:rPr>
        <w:t>inter</w:t>
      </w:r>
      <w:r w:rsidRPr="00D96A82">
        <w:rPr>
          <w:rFonts w:ascii="Arial" w:eastAsia="Calibri" w:hAnsi="Arial" w:cs="Arial"/>
          <w:bCs/>
          <w:i/>
          <w:iCs/>
          <w:color w:val="000000" w:themeColor="text1"/>
          <w:lang w:bidi="es-ES"/>
        </w:rPr>
        <w:t>administrativo</w:t>
      </w:r>
      <w:r w:rsidRPr="0076320C">
        <w:rPr>
          <w:rFonts w:ascii="Arial" w:eastAsia="Calibri" w:hAnsi="Arial" w:cs="Arial"/>
          <w:bCs/>
          <w:color w:val="000000" w:themeColor="text1"/>
          <w:lang w:bidi="es-ES"/>
        </w:rPr>
        <w:t xml:space="preserve"> se caracteriza por su naturaleza onerosa, patrimonial y se conforma por intereses básicamente contrapuestos, los </w:t>
      </w:r>
      <w:r w:rsidRPr="00D96A82">
        <w:rPr>
          <w:rFonts w:ascii="Arial" w:eastAsia="Calibri" w:hAnsi="Arial" w:cs="Arial"/>
          <w:bCs/>
          <w:i/>
          <w:iCs/>
          <w:color w:val="000000" w:themeColor="text1"/>
          <w:lang w:bidi="es-ES"/>
        </w:rPr>
        <w:t xml:space="preserve">convenios </w:t>
      </w:r>
      <w:r>
        <w:rPr>
          <w:rFonts w:ascii="Arial" w:eastAsia="Calibri" w:hAnsi="Arial" w:cs="Arial"/>
          <w:bCs/>
          <w:i/>
          <w:iCs/>
          <w:color w:val="000000" w:themeColor="text1"/>
          <w:lang w:bidi="es-ES"/>
        </w:rPr>
        <w:t>inter</w:t>
      </w:r>
      <w:r w:rsidRPr="00D96A82">
        <w:rPr>
          <w:rFonts w:ascii="Arial" w:eastAsia="Calibri" w:hAnsi="Arial" w:cs="Arial"/>
          <w:bCs/>
          <w:i/>
          <w:iCs/>
          <w:color w:val="000000" w:themeColor="text1"/>
          <w:lang w:bidi="es-ES"/>
        </w:rPr>
        <w:t>administrativos</w:t>
      </w:r>
      <w:r w:rsidRPr="0076320C">
        <w:rPr>
          <w:rFonts w:ascii="Arial" w:eastAsia="Calibri" w:hAnsi="Arial" w:cs="Arial"/>
          <w:bCs/>
          <w:color w:val="000000" w:themeColor="text1"/>
          <w:lang w:bidi="es-ES"/>
        </w:rPr>
        <w:t>, por su parte, tienen una finalidad asociativa perseguida por las partes suscriptoras cuyos intereses se encaminan en la misma dirección y persiguen los mismos objetivos, de conformidad con el ejercicio de las funciones y competencias que les son propias y propendiendo por la cooperación interinstitucional.</w:t>
      </w:r>
      <w:r>
        <w:rPr>
          <w:rFonts w:ascii="Arial" w:eastAsia="Calibri" w:hAnsi="Arial" w:cs="Arial"/>
          <w:bCs/>
          <w:color w:val="000000" w:themeColor="text1"/>
          <w:lang w:bidi="es-ES"/>
        </w:rPr>
        <w:t xml:space="preserve"> </w:t>
      </w:r>
      <w:r w:rsidRPr="0076320C">
        <w:rPr>
          <w:rFonts w:ascii="Arial" w:eastAsia="Calibri" w:hAnsi="Arial" w:cs="Arial"/>
          <w:bCs/>
          <w:color w:val="000000" w:themeColor="text1"/>
          <w:lang w:bidi="es-ES"/>
        </w:rPr>
        <w:t>De aquí que la Sala de Consulta y Servicio Civil del Consejo de Estado haya señalado la necesidad de diferenciar el régimen jurídico aplicable a ciertas situaciones específicas del convenio interadministrativo que se separan del régimen jurídico común:</w:t>
      </w:r>
    </w:p>
    <w:p w14:paraId="43067ADA" w14:textId="77777777" w:rsidR="008410D2" w:rsidRPr="0076320C" w:rsidRDefault="008410D2" w:rsidP="008410D2">
      <w:pPr>
        <w:spacing w:beforeLines="120" w:before="288" w:afterLines="120" w:after="288" w:line="276" w:lineRule="auto"/>
        <w:ind w:firstLine="708"/>
        <w:contextualSpacing/>
        <w:rPr>
          <w:rFonts w:ascii="Arial" w:eastAsia="Calibri" w:hAnsi="Arial" w:cs="Arial"/>
          <w:bCs/>
          <w:color w:val="000000" w:themeColor="text1"/>
          <w:lang w:bidi="es-ES"/>
        </w:rPr>
      </w:pPr>
    </w:p>
    <w:p w14:paraId="6AA3DB4E" w14:textId="77777777" w:rsidR="008410D2" w:rsidRDefault="008410D2" w:rsidP="008410D2">
      <w:pPr>
        <w:spacing w:beforeLines="120" w:before="288" w:afterLines="120" w:after="288" w:line="240" w:lineRule="auto"/>
        <w:ind w:left="709" w:right="709"/>
        <w:contextualSpacing/>
        <w:jc w:val="both"/>
        <w:rPr>
          <w:rFonts w:ascii="Arial" w:eastAsia="Calibri" w:hAnsi="Arial" w:cs="Arial"/>
          <w:bCs/>
          <w:color w:val="000000" w:themeColor="text1"/>
          <w:sz w:val="21"/>
          <w:lang w:bidi="es-ES"/>
        </w:rPr>
      </w:pPr>
      <w:r>
        <w:rPr>
          <w:rFonts w:ascii="Arial" w:eastAsia="Calibri" w:hAnsi="Arial" w:cs="Arial"/>
          <w:bCs/>
          <w:color w:val="000000" w:themeColor="text1"/>
          <w:sz w:val="21"/>
          <w:lang w:bidi="es-ES"/>
        </w:rPr>
        <w:t>“</w:t>
      </w:r>
      <w:r w:rsidRPr="00DA48D6">
        <w:rPr>
          <w:rFonts w:ascii="Arial" w:eastAsia="Calibri" w:hAnsi="Arial" w:cs="Arial"/>
          <w:bCs/>
          <w:color w:val="000000" w:themeColor="text1"/>
          <w:sz w:val="21"/>
          <w:lang w:bidi="es-ES"/>
        </w:rPr>
        <w:t xml:space="preserve">[E]s preciso señalar que los convenios interadministrativos se someten a los principios constitucionales y legales de la actividad contractual del Estado (transparencia, planeación, buena fe, entre otros) y, obviamente, a los principios de la función administrativa previstos en el artículo 209 CP (moralidad, economía, celeridad, entre otros), en virtud del carácter vinculante de los mismos, dentro del contexto de un ánimo de cooperación que se refleja en el plano de igualdad o equivalencia en que se celebran y ejecutan, lo que significa ausencia de prerrogativas en favor de una parte a costa de la otra. </w:t>
      </w:r>
    </w:p>
    <w:p w14:paraId="2B211E92" w14:textId="77777777" w:rsidR="008410D2" w:rsidRPr="00340446" w:rsidRDefault="008410D2" w:rsidP="008410D2">
      <w:pPr>
        <w:spacing w:beforeLines="120" w:before="288" w:afterLines="120" w:after="288" w:line="240" w:lineRule="auto"/>
        <w:ind w:left="709" w:right="709"/>
        <w:contextualSpacing/>
        <w:jc w:val="both"/>
        <w:rPr>
          <w:rFonts w:ascii="Arial" w:eastAsia="Calibri" w:hAnsi="Arial" w:cs="Arial"/>
          <w:bCs/>
          <w:color w:val="000000" w:themeColor="text1"/>
          <w:sz w:val="12"/>
          <w:szCs w:val="12"/>
          <w:lang w:bidi="es-ES"/>
        </w:rPr>
      </w:pPr>
    </w:p>
    <w:p w14:paraId="309E9BB6" w14:textId="77777777" w:rsidR="008410D2" w:rsidRPr="00DA48D6" w:rsidRDefault="008410D2" w:rsidP="008410D2">
      <w:pPr>
        <w:spacing w:beforeLines="120" w:before="288" w:afterLines="120" w:after="288" w:line="240" w:lineRule="auto"/>
        <w:ind w:left="709" w:right="709"/>
        <w:contextualSpacing/>
        <w:jc w:val="both"/>
        <w:rPr>
          <w:rFonts w:ascii="Arial" w:eastAsia="Calibri" w:hAnsi="Arial" w:cs="Arial"/>
          <w:bCs/>
          <w:color w:val="000000" w:themeColor="text1"/>
          <w:sz w:val="21"/>
          <w:lang w:bidi="es-ES"/>
        </w:rPr>
      </w:pPr>
      <w:r w:rsidRPr="00DA48D6">
        <w:rPr>
          <w:rFonts w:ascii="Arial" w:eastAsia="Calibri" w:hAnsi="Arial" w:cs="Arial"/>
          <w:bCs/>
          <w:color w:val="000000" w:themeColor="text1"/>
          <w:sz w:val="21"/>
          <w:lang w:bidi="es-ES"/>
        </w:rPr>
        <w:t>Ahora, dada la naturaleza jurídica explicada de los convenios interadministrativos</w:t>
      </w:r>
      <w:r w:rsidRPr="00DA48D6">
        <w:rPr>
          <w:rFonts w:ascii="Arial" w:eastAsia="Calibri" w:hAnsi="Arial" w:cs="Arial"/>
          <w:bCs/>
          <w:i/>
          <w:iCs/>
          <w:color w:val="000000" w:themeColor="text1"/>
          <w:sz w:val="21"/>
          <w:lang w:bidi="es-ES"/>
        </w:rPr>
        <w:t>, las reglas del Estatuto General de Contratación de la Administración Pública contenidas en la actualidad en las Leyes 80 de 1993, 1150 de 2007 y 1474 de 2011, no resultan de aplicación automática a tales convenios, toda vez que ese Estatuto lo que esencialmente regula son relaciones contractuales de contenido patrimonial y oneroso. En tal sentido, en cada caso concreto deberá analizarse, de conformidad con la naturaleza jurídica, objeto y finalidad que se pretende cumplir o desarrollar con el respectivo convenio, si la disposición correspondiente del Estatuto Contractual es aplicable o no</w:t>
      </w:r>
      <w:r>
        <w:rPr>
          <w:rFonts w:ascii="Arial" w:eastAsia="Calibri" w:hAnsi="Arial" w:cs="Arial"/>
          <w:bCs/>
          <w:i/>
          <w:iCs/>
          <w:color w:val="000000" w:themeColor="text1"/>
          <w:sz w:val="21"/>
          <w:lang w:bidi="es-ES"/>
        </w:rPr>
        <w:t>”</w:t>
      </w:r>
      <w:r w:rsidRPr="00DA48D6">
        <w:rPr>
          <w:rFonts w:ascii="Arial" w:eastAsia="Calibri" w:hAnsi="Arial" w:cs="Arial"/>
          <w:bCs/>
          <w:color w:val="000000" w:themeColor="text1"/>
          <w:sz w:val="21"/>
          <w:lang w:bidi="es-ES"/>
        </w:rPr>
        <w:t>.</w:t>
      </w:r>
      <w:r w:rsidRPr="006E302A">
        <w:rPr>
          <w:rFonts w:ascii="Arial" w:eastAsia="Calibri" w:hAnsi="Arial" w:cs="Arial"/>
          <w:bCs/>
          <w:color w:val="000000" w:themeColor="text1"/>
          <w:sz w:val="21"/>
          <w:szCs w:val="21"/>
          <w:vertAlign w:val="superscript"/>
          <w:lang w:bidi="es-ES"/>
        </w:rPr>
        <w:footnoteReference w:id="7"/>
      </w:r>
      <w:r w:rsidRPr="00DA48D6">
        <w:rPr>
          <w:rFonts w:ascii="Arial" w:eastAsia="Calibri" w:hAnsi="Arial" w:cs="Arial"/>
          <w:bCs/>
          <w:color w:val="000000" w:themeColor="text1"/>
          <w:sz w:val="21"/>
          <w:lang w:bidi="es-ES"/>
        </w:rPr>
        <w:t xml:space="preserve"> (Cursiva fuera del texto original) </w:t>
      </w:r>
    </w:p>
    <w:p w14:paraId="4FC85255" w14:textId="77777777" w:rsidR="008410D2" w:rsidRDefault="008410D2" w:rsidP="008410D2">
      <w:pPr>
        <w:tabs>
          <w:tab w:val="left" w:pos="426"/>
        </w:tabs>
        <w:spacing w:after="0" w:line="276" w:lineRule="auto"/>
        <w:jc w:val="both"/>
        <w:rPr>
          <w:rFonts w:ascii="Arial" w:eastAsia="Calibri" w:hAnsi="Arial" w:cs="Arial"/>
          <w:color w:val="000000" w:themeColor="text1"/>
          <w:lang w:eastAsia="en-GB"/>
        </w:rPr>
      </w:pPr>
    </w:p>
    <w:p w14:paraId="530B7014" w14:textId="77777777" w:rsidR="008410D2" w:rsidRPr="006E302A" w:rsidRDefault="008410D2" w:rsidP="001A5552">
      <w:pPr>
        <w:tabs>
          <w:tab w:val="left" w:pos="426"/>
        </w:tabs>
        <w:spacing w:after="120" w:line="276" w:lineRule="auto"/>
        <w:jc w:val="both"/>
        <w:rPr>
          <w:rFonts w:ascii="Arial" w:eastAsia="Calibri" w:hAnsi="Arial" w:cs="Arial"/>
          <w:color w:val="000000" w:themeColor="text1"/>
          <w:lang w:eastAsia="en-GB"/>
        </w:rPr>
      </w:pPr>
      <w:r>
        <w:rPr>
          <w:rFonts w:ascii="Arial" w:eastAsia="Calibri" w:hAnsi="Arial" w:cs="Arial"/>
          <w:color w:val="000000" w:themeColor="text1"/>
          <w:lang w:eastAsia="en-GB"/>
        </w:rPr>
        <w:tab/>
      </w:r>
      <w:r>
        <w:rPr>
          <w:rFonts w:ascii="Arial" w:eastAsia="Calibri" w:hAnsi="Arial" w:cs="Arial"/>
          <w:color w:val="000000" w:themeColor="text1"/>
          <w:lang w:eastAsia="en-GB"/>
        </w:rPr>
        <w:tab/>
        <w:t>De hecho, la distinción también se plantea en el ámbito del derecho privado con la referencia a los contratos de contraprestación y de colaboración</w:t>
      </w:r>
      <w:r>
        <w:rPr>
          <w:rStyle w:val="Refdenotaalpie"/>
          <w:rFonts w:ascii="Arial" w:eastAsia="Calibri" w:hAnsi="Arial" w:cs="Arial"/>
          <w:color w:val="000000" w:themeColor="text1"/>
          <w:lang w:eastAsia="en-GB"/>
        </w:rPr>
        <w:footnoteReference w:id="8"/>
      </w:r>
      <w:r>
        <w:rPr>
          <w:rFonts w:ascii="Arial" w:eastAsia="Calibri" w:hAnsi="Arial" w:cs="Arial"/>
          <w:color w:val="000000" w:themeColor="text1"/>
          <w:lang w:eastAsia="en-GB"/>
        </w:rPr>
        <w:t>; sin embargo, también se rigen por unos principios comunes, pues se forman por el consentimiento y de ambos se derivan el nacimiento de obligaciones para las partes. Por ello, “[…] Es evidente que el hecho de que las partes tengan intereses concordantes no implica en modo alguno que estas relaciones no quepan en el campo de la contratación […]”</w:t>
      </w:r>
      <w:r>
        <w:rPr>
          <w:rStyle w:val="Refdenotaalpie"/>
          <w:rFonts w:ascii="Arial" w:eastAsia="Calibri" w:hAnsi="Arial" w:cs="Arial"/>
          <w:color w:val="000000" w:themeColor="text1"/>
          <w:lang w:eastAsia="en-GB"/>
        </w:rPr>
        <w:footnoteReference w:id="9"/>
      </w:r>
      <w:r>
        <w:rPr>
          <w:rFonts w:ascii="Arial" w:eastAsia="Calibri" w:hAnsi="Arial" w:cs="Arial"/>
          <w:color w:val="000000" w:themeColor="text1"/>
          <w:lang w:eastAsia="en-GB"/>
        </w:rPr>
        <w:t xml:space="preserve">. </w:t>
      </w:r>
    </w:p>
    <w:p w14:paraId="78D78A00" w14:textId="77777777" w:rsidR="008410D2" w:rsidRDefault="008410D2" w:rsidP="001A5552">
      <w:pPr>
        <w:pStyle w:val="Textoindependiente"/>
        <w:ind w:firstLine="709"/>
        <w:jc w:val="both"/>
        <w:rPr>
          <w:rFonts w:ascii="Arial" w:hAnsi="Arial" w:cs="Arial"/>
        </w:rPr>
      </w:pPr>
      <w:r w:rsidRPr="002816F3">
        <w:rPr>
          <w:rFonts w:ascii="Arial" w:hAnsi="Arial" w:cs="Arial"/>
        </w:rPr>
        <w:t xml:space="preserve">Teniendo en cuenta lo anterior, </w:t>
      </w:r>
      <w:r w:rsidRPr="008F3C3D">
        <w:rPr>
          <w:rFonts w:ascii="Arial" w:hAnsi="Arial" w:cs="Arial"/>
        </w:rPr>
        <w:t>no existe una definición legal que diferencie los conceptos de contrato y convenio</w:t>
      </w:r>
      <w:r>
        <w:rPr>
          <w:rFonts w:ascii="Arial" w:hAnsi="Arial" w:cs="Arial"/>
        </w:rPr>
        <w:t xml:space="preserve">. </w:t>
      </w:r>
      <w:r w:rsidRPr="008F3C3D">
        <w:rPr>
          <w:rFonts w:ascii="Arial" w:hAnsi="Arial" w:cs="Arial"/>
        </w:rPr>
        <w:t>En tal sentido,</w:t>
      </w:r>
      <w:r>
        <w:rPr>
          <w:rFonts w:ascii="Arial" w:hAnsi="Arial" w:cs="Arial"/>
        </w:rPr>
        <w:t xml:space="preserve"> teniendo en cuenta sus características comunes,</w:t>
      </w:r>
      <w:r w:rsidRPr="008F3C3D">
        <w:rPr>
          <w:rFonts w:ascii="Arial" w:hAnsi="Arial" w:cs="Arial"/>
        </w:rPr>
        <w:t xml:space="preserve"> las referencias realizadas por el legislador a estos términos deben asimilarse, salvo que de su contenido logre inferirse que se quiere otorgar un contenido en particular</w:t>
      </w:r>
      <w:r>
        <w:rPr>
          <w:rFonts w:ascii="Arial" w:hAnsi="Arial" w:cs="Arial"/>
        </w:rPr>
        <w:t xml:space="preserve">. Por lo demás, </w:t>
      </w:r>
      <w:r w:rsidRPr="002816F3">
        <w:rPr>
          <w:rFonts w:ascii="Arial" w:hAnsi="Arial" w:cs="Arial"/>
        </w:rPr>
        <w:t xml:space="preserve">se reitera la conclusión en el sentido de que lo que define los contratos o convenios interadministrativos es la naturaleza de las partes, de manera que están determinados por un criterio orgánico, en el sentido de que lo serán aquellos celebrados entre entidades estatales. </w:t>
      </w:r>
    </w:p>
    <w:p w14:paraId="7FD620ED" w14:textId="77777777" w:rsidR="008410D2" w:rsidRDefault="008410D2" w:rsidP="008410D2">
      <w:pPr>
        <w:pStyle w:val="Textoindependiente"/>
        <w:spacing w:after="0"/>
        <w:ind w:firstLine="709"/>
        <w:jc w:val="both"/>
        <w:rPr>
          <w:rFonts w:ascii="Arial" w:hAnsi="Arial" w:cs="Arial"/>
        </w:rPr>
      </w:pPr>
      <w:r>
        <w:rPr>
          <w:rFonts w:ascii="Arial" w:hAnsi="Arial" w:cs="Arial"/>
        </w:rPr>
        <w:t>Aunque ni la Ley 489 de 1998 ni la Ley 142 de 1994 tipifican la existencia de empresas de servicios públicos solidarias, cooperativas o comunitarias, de acuerdo con la Sentencia de la Corte Constitucional</w:t>
      </w:r>
      <w:r w:rsidRPr="003E0952">
        <w:rPr>
          <w:rFonts w:ascii="Arial" w:hAnsi="Arial" w:cs="Arial"/>
        </w:rPr>
        <w:t xml:space="preserve"> C-736 de 200</w:t>
      </w:r>
      <w:r>
        <w:rPr>
          <w:rFonts w:ascii="Arial" w:hAnsi="Arial" w:cs="Arial"/>
        </w:rPr>
        <w:t xml:space="preserve">7, con ponencia del Magistrado </w:t>
      </w:r>
      <w:r w:rsidRPr="003E0952">
        <w:rPr>
          <w:rFonts w:ascii="Arial" w:hAnsi="Arial" w:cs="Arial"/>
        </w:rPr>
        <w:t>Marco Gerardo Monroy Cabra</w:t>
      </w:r>
      <w:r>
        <w:rPr>
          <w:rFonts w:ascii="Arial" w:hAnsi="Arial" w:cs="Arial"/>
        </w:rPr>
        <w:t xml:space="preserve">, es necesario tener en cuenta que </w:t>
      </w:r>
      <w:r w:rsidRPr="002816F3">
        <w:rPr>
          <w:rFonts w:ascii="Arial" w:hAnsi="Arial" w:cs="Arial"/>
        </w:rPr>
        <w:t>las empresas de servicios públicos oficiales y mixtas o privadas en las cuales haya cualquier porcentaje de participación pública, son entidades descentralizadas que conforman la estructura de la rama ejecutiva del poder público</w:t>
      </w:r>
      <w:r>
        <w:rPr>
          <w:rFonts w:ascii="Arial" w:hAnsi="Arial" w:cs="Arial"/>
        </w:rPr>
        <w:t xml:space="preserve">. Por tanto, en la medida que concurran con otra entidad en la celebración de negocio jurídico, la tipología corresponderá a un convenio o contrato interadministrativo, el cual puede contener como objeto la ejecución de actividades de obra de agua potable y saneamiento básico, sin más requisitos ni restricciones que los previstos en la ley y reglamento. En caso de que por el criterio orgánico no exista una relación interadministrativa, por regla general el contrato será de obra y se someterá reglas de los demás procedimientos con pluralidad de oferentes del artículo 2 de la Ley 1150 de 2007, pues la contratación directa se reserva a los contratos o convenios del precitado artículo </w:t>
      </w:r>
      <w:r w:rsidRPr="00F62F80">
        <w:rPr>
          <w:rFonts w:ascii="Arial" w:hAnsi="Arial" w:cs="Arial"/>
        </w:rPr>
        <w:t>2.2.1.2.1.4.4</w:t>
      </w:r>
      <w:r>
        <w:rPr>
          <w:rFonts w:ascii="Arial" w:hAnsi="Arial" w:cs="Arial"/>
        </w:rPr>
        <w:t xml:space="preserve"> del Decreto 1082 de 2015, sin perjuicio de las demás causales previstas en el ordenamiento jurídico. En ambos casos, es importante determinar si aplican los documentos tipo, tema que se analizará a continuación.  </w:t>
      </w:r>
    </w:p>
    <w:p w14:paraId="54BA18E9" w14:textId="77777777" w:rsidR="008410D2" w:rsidRDefault="008410D2" w:rsidP="001A5552">
      <w:pPr>
        <w:pStyle w:val="Textoindependiente"/>
        <w:spacing w:after="0" w:line="240" w:lineRule="auto"/>
        <w:jc w:val="both"/>
        <w:rPr>
          <w:rFonts w:ascii="Arial" w:eastAsia="Arial" w:hAnsi="Arial" w:cs="Arial"/>
          <w:b/>
          <w:bCs/>
          <w:lang w:val="es-ES_tradnl" w:eastAsia="es-ES_tradnl"/>
        </w:rPr>
      </w:pPr>
    </w:p>
    <w:p w14:paraId="025A8362" w14:textId="77777777" w:rsidR="008410D2" w:rsidRPr="00C046D8" w:rsidRDefault="008410D2" w:rsidP="008410D2">
      <w:pPr>
        <w:spacing w:after="0" w:line="276" w:lineRule="auto"/>
        <w:contextualSpacing/>
        <w:jc w:val="both"/>
        <w:rPr>
          <w:rFonts w:ascii="Arial" w:eastAsia="Arial" w:hAnsi="Arial" w:cs="Arial"/>
          <w:b/>
          <w:bCs/>
          <w:lang w:val="es-ES_tradnl" w:eastAsia="es-ES_tradnl"/>
        </w:rPr>
      </w:pPr>
      <w:r w:rsidRPr="00C046D8">
        <w:rPr>
          <w:rFonts w:ascii="Arial" w:eastAsia="Arial" w:hAnsi="Arial" w:cs="Arial"/>
          <w:b/>
          <w:bCs/>
          <w:lang w:val="es-ES_tradnl" w:eastAsia="es-ES_tradnl"/>
        </w:rPr>
        <w:t>2.</w:t>
      </w:r>
      <w:r>
        <w:rPr>
          <w:rFonts w:ascii="Arial" w:eastAsia="Arial" w:hAnsi="Arial" w:cs="Arial"/>
          <w:b/>
          <w:bCs/>
          <w:lang w:val="es-ES_tradnl" w:eastAsia="es-ES_tradnl"/>
        </w:rPr>
        <w:t>2</w:t>
      </w:r>
      <w:r w:rsidRPr="00C046D8">
        <w:rPr>
          <w:rFonts w:ascii="Arial" w:eastAsia="Arial" w:hAnsi="Arial" w:cs="Arial"/>
          <w:b/>
          <w:bCs/>
          <w:lang w:val="es-ES_tradnl" w:eastAsia="es-ES_tradnl"/>
        </w:rPr>
        <w:t xml:space="preserve">. </w:t>
      </w:r>
      <w:bookmarkStart w:id="10" w:name="_Hlk110852287"/>
      <w:r w:rsidRPr="00C046D8">
        <w:rPr>
          <w:rFonts w:ascii="Arial" w:eastAsia="Arial" w:hAnsi="Arial" w:cs="Arial"/>
          <w:b/>
          <w:bCs/>
          <w:lang w:val="es-ES_tradnl" w:eastAsia="es-ES_tradnl"/>
        </w:rPr>
        <w:t xml:space="preserve">Fundamento normativo y ámbito de aplicación de los documentos tipo </w:t>
      </w:r>
      <w:bookmarkEnd w:id="10"/>
    </w:p>
    <w:p w14:paraId="656EE6D2" w14:textId="77777777" w:rsidR="008410D2" w:rsidRPr="00C046D8" w:rsidRDefault="008410D2" w:rsidP="001A5552">
      <w:pPr>
        <w:spacing w:after="0" w:line="240" w:lineRule="auto"/>
        <w:contextualSpacing/>
        <w:jc w:val="both"/>
        <w:rPr>
          <w:rFonts w:ascii="Arial" w:eastAsia="Arial" w:hAnsi="Arial" w:cs="Arial"/>
          <w:b/>
          <w:bCs/>
          <w:lang w:val="es-ES_tradnl" w:eastAsia="es-ES_tradnl"/>
        </w:rPr>
      </w:pPr>
    </w:p>
    <w:p w14:paraId="6A99E42D" w14:textId="77777777" w:rsidR="008410D2" w:rsidRPr="00C046D8" w:rsidRDefault="008410D2" w:rsidP="001A5552">
      <w:pPr>
        <w:spacing w:after="120" w:line="276" w:lineRule="auto"/>
        <w:jc w:val="both"/>
        <w:rPr>
          <w:rFonts w:ascii="Arial" w:eastAsia="Calibri" w:hAnsi="Arial" w:cs="Arial"/>
          <w:lang w:val="es-ES_tradnl" w:eastAsia="es-ES_tradnl"/>
        </w:rPr>
      </w:pPr>
      <w:r w:rsidRPr="00C046D8">
        <w:rPr>
          <w:rFonts w:ascii="Arial" w:eastAsia="Calibri" w:hAnsi="Arial" w:cs="Arial"/>
          <w:lang w:val="es-ES_tradnl" w:eastAsia="es-ES_tradnl"/>
        </w:rPr>
        <w:t>La adopción de los documentos tipo obligatorios en el ordenamiento jurídico colombiano se incluyó por primera vez en el parágrafo 3 del artículo 2 de la Ley 1150 de 2007</w:t>
      </w:r>
      <w:r w:rsidRPr="00C046D8">
        <w:rPr>
          <w:rFonts w:ascii="Arial" w:eastAsia="Calibri" w:hAnsi="Arial" w:cs="Arial"/>
          <w:vertAlign w:val="superscript"/>
          <w:lang w:val="es-ES_tradnl" w:eastAsia="es-ES_tradnl"/>
        </w:rPr>
        <w:footnoteReference w:id="10"/>
      </w:r>
      <w:r w:rsidRPr="00C046D8">
        <w:rPr>
          <w:rFonts w:ascii="Arial" w:eastAsia="Calibri" w:hAnsi="Arial" w:cs="Arial"/>
          <w:lang w:val="es-ES_tradnl" w:eastAsia="es-ES_tradnl"/>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2CD373AE" w14:textId="77777777" w:rsidR="008410D2" w:rsidRPr="00C046D8" w:rsidRDefault="008410D2" w:rsidP="008410D2">
      <w:pPr>
        <w:spacing w:after="0" w:line="276" w:lineRule="auto"/>
        <w:ind w:firstLine="709"/>
        <w:jc w:val="both"/>
        <w:rPr>
          <w:rFonts w:ascii="Arial" w:eastAsia="Calibri" w:hAnsi="Arial" w:cs="Arial"/>
          <w:lang w:val="es-ES_tradnl" w:eastAsia="es-ES_tradnl"/>
        </w:rPr>
      </w:pPr>
      <w:r w:rsidRPr="00C046D8">
        <w:rPr>
          <w:rFonts w:ascii="Arial" w:eastAsia="Calibri" w:hAnsi="Arial" w:cs="Arial"/>
          <w:lang w:val="es-ES_tradnl" w:eastAsia="es-ES_tradnl"/>
        </w:rPr>
        <w:t xml:space="preserve">Debido a lo anterior, el artículo 4 de la Ley 1882 de 2018 se convierte en el antecedente más relevante respecto a los documentos tipo. A partir de esta norma, se definió un mandato de obligatoria observancia por parte de todas las entidades sometidas al </w:t>
      </w:r>
      <w:r w:rsidRPr="00C046D8">
        <w:rPr>
          <w:rFonts w:ascii="Arial" w:eastAsia="Calibri" w:hAnsi="Arial" w:cs="Arial"/>
          <w:bCs/>
          <w:lang w:val="es-ES_tradnl" w:eastAsia="es-ES_tradnl"/>
        </w:rPr>
        <w:t>EGCAP</w:t>
      </w:r>
      <w:r>
        <w:rPr>
          <w:rFonts w:ascii="Arial" w:eastAsia="Calibri" w:hAnsi="Arial" w:cs="Arial"/>
          <w:bCs/>
          <w:lang w:val="es-ES_tradnl" w:eastAsia="es-ES_tradnl"/>
        </w:rPr>
        <w:t xml:space="preserve"> en </w:t>
      </w:r>
      <w:r w:rsidRPr="00C046D8">
        <w:rPr>
          <w:rFonts w:ascii="Arial" w:eastAsia="Calibri" w:hAnsi="Arial" w:cs="Arial"/>
          <w:lang w:val="es-ES_tradnl" w:eastAsia="es-ES_tradnl"/>
        </w:rPr>
        <w:t>la aplicación de los documentos tipo adoptados por el gobierno nacional</w:t>
      </w:r>
      <w:r>
        <w:rPr>
          <w:rFonts w:ascii="Arial" w:eastAsia="Calibri" w:hAnsi="Arial" w:cs="Arial"/>
          <w:lang w:val="es-ES_tradnl" w:eastAsia="es-ES_tradnl"/>
        </w:rPr>
        <w:t xml:space="preserve"> para la contratación </w:t>
      </w:r>
      <w:r w:rsidRPr="00C046D8">
        <w:rPr>
          <w:rFonts w:ascii="Arial" w:eastAsia="Calibri" w:hAnsi="Arial" w:cs="Arial"/>
          <w:lang w:val="es-ES_tradnl" w:eastAsia="es-ES_tradnl"/>
        </w:rPr>
        <w:t>de obra</w:t>
      </w:r>
      <w:r>
        <w:rPr>
          <w:rFonts w:ascii="Arial" w:eastAsia="Calibri" w:hAnsi="Arial" w:cs="Arial"/>
          <w:lang w:val="es-ES_tradnl" w:eastAsia="es-ES_tradnl"/>
        </w:rPr>
        <w:t xml:space="preserve"> </w:t>
      </w:r>
      <w:r w:rsidRPr="00C046D8">
        <w:rPr>
          <w:rFonts w:ascii="Arial" w:eastAsia="Calibri" w:hAnsi="Arial" w:cs="Arial"/>
          <w:lang w:val="es-ES_tradnl" w:eastAsia="es-ES_tradnl"/>
        </w:rPr>
        <w:t>pública</w:t>
      </w:r>
      <w:r>
        <w:rPr>
          <w:rFonts w:ascii="Arial" w:eastAsia="Calibri" w:hAnsi="Arial" w:cs="Arial"/>
          <w:lang w:val="es-ES_tradnl" w:eastAsia="es-ES_tradnl"/>
        </w:rPr>
        <w:t xml:space="preserve"> y su respectiva </w:t>
      </w:r>
      <w:r w:rsidRPr="00C046D8">
        <w:rPr>
          <w:rFonts w:ascii="Arial" w:eastAsia="Calibri" w:hAnsi="Arial" w:cs="Arial"/>
          <w:lang w:val="es-ES_tradnl" w:eastAsia="es-ES_tradnl"/>
        </w:rPr>
        <w:t>interventoría,</w:t>
      </w:r>
      <w:r>
        <w:rPr>
          <w:rFonts w:ascii="Arial" w:eastAsia="Calibri" w:hAnsi="Arial" w:cs="Arial"/>
          <w:lang w:val="es-ES_tradnl" w:eastAsia="es-ES_tradnl"/>
        </w:rPr>
        <w:t xml:space="preserve"> así como la</w:t>
      </w:r>
      <w:r w:rsidRPr="00C046D8">
        <w:rPr>
          <w:rFonts w:ascii="Arial" w:eastAsia="Calibri" w:hAnsi="Arial" w:cs="Arial"/>
          <w:lang w:val="es-ES_tradnl" w:eastAsia="es-ES_tradnl"/>
        </w:rPr>
        <w:t xml:space="preserve"> interventoría para consultoría de estudios y diseños para obras públicas y consultoría en ingeniería para obras, los cuales debían ser utilizados en los procesos de selección que adelantaran</w:t>
      </w:r>
      <w:r w:rsidRPr="00C046D8">
        <w:rPr>
          <w:rFonts w:ascii="Arial" w:eastAsia="Calibri" w:hAnsi="Arial" w:cs="Arial"/>
          <w:vertAlign w:val="superscript"/>
          <w:lang w:val="es-ES_tradnl" w:eastAsia="es-ES_tradnl"/>
        </w:rPr>
        <w:footnoteReference w:id="11"/>
      </w:r>
      <w:r w:rsidRPr="00C046D8">
        <w:rPr>
          <w:rFonts w:ascii="Arial" w:eastAsia="Calibri" w:hAnsi="Arial" w:cs="Arial"/>
          <w:lang w:val="es-ES_tradnl" w:eastAsia="es-ES_tradnl"/>
        </w:rPr>
        <w:t>.</w:t>
      </w:r>
    </w:p>
    <w:p w14:paraId="4709B22D" w14:textId="77777777" w:rsidR="008410D2" w:rsidRPr="00C046D8" w:rsidRDefault="008410D2" w:rsidP="008410D2">
      <w:pPr>
        <w:spacing w:before="120" w:after="0" w:line="276" w:lineRule="auto"/>
        <w:jc w:val="both"/>
        <w:rPr>
          <w:rFonts w:ascii="Arial" w:eastAsia="Calibri" w:hAnsi="Arial" w:cs="Arial"/>
          <w:lang w:val="es-ES_tradnl" w:eastAsia="es-ES_tradnl"/>
        </w:rPr>
      </w:pPr>
      <w:r w:rsidRPr="00C046D8">
        <w:rPr>
          <w:rFonts w:ascii="Arial" w:eastAsia="Calibri" w:hAnsi="Arial" w:cs="Arial"/>
          <w:lang w:val="es-ES_tradnl" w:eastAsia="es-ES_tradnl"/>
        </w:rPr>
        <w:tab/>
        <w:t>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w:t>
      </w:r>
    </w:p>
    <w:p w14:paraId="5A054BA0" w14:textId="77777777" w:rsidR="008410D2" w:rsidRPr="00C046D8" w:rsidRDefault="008410D2" w:rsidP="008410D2">
      <w:pPr>
        <w:spacing w:before="120" w:after="0" w:line="276" w:lineRule="auto"/>
        <w:jc w:val="both"/>
        <w:rPr>
          <w:rFonts w:ascii="Arial" w:eastAsia="Calibri" w:hAnsi="Arial" w:cs="Arial"/>
          <w:lang w:val="es-ES_tradnl" w:eastAsia="es-ES_tradnl"/>
        </w:rPr>
      </w:pPr>
      <w:r w:rsidRPr="00C046D8">
        <w:rPr>
          <w:rFonts w:ascii="Arial" w:eastAsia="Calibri" w:hAnsi="Arial" w:cs="Arial"/>
          <w:lang w:val="es-ES_tradnl" w:eastAsia="es-ES_tradnl"/>
        </w:rPr>
        <w:tab/>
      </w:r>
      <w:bookmarkStart w:id="11" w:name="_Hlk113022874"/>
      <w:r w:rsidRPr="00C046D8">
        <w:rPr>
          <w:rFonts w:ascii="Arial" w:eastAsia="Calibri" w:hAnsi="Arial" w:cs="Arial"/>
          <w:lang w:val="es-ES_tradnl" w:eastAsia="es-ES_tradnl"/>
        </w:rPr>
        <w:t xml:space="preserve">De la norma descrita se concluía lo siguiente: i) la adopción de los documentos tipo estaba en cabeza del gobierno nacional; </w:t>
      </w:r>
      <w:proofErr w:type="spellStart"/>
      <w:r w:rsidRPr="00C046D8">
        <w:rPr>
          <w:rFonts w:ascii="Arial" w:eastAsia="Calibri" w:hAnsi="Arial" w:cs="Arial"/>
          <w:lang w:val="es-ES_tradnl" w:eastAsia="es-ES_tradnl"/>
        </w:rPr>
        <w:t>ii</w:t>
      </w:r>
      <w:proofErr w:type="spellEnd"/>
      <w:r w:rsidRPr="00C046D8">
        <w:rPr>
          <w:rFonts w:ascii="Arial" w:eastAsia="Calibri" w:hAnsi="Arial" w:cs="Arial"/>
          <w:lang w:val="es-ES_tradnl" w:eastAsia="es-ES_tradnl"/>
        </w:rPr>
        <w:t xml:space="preserve">) estos debían relacionarse con procesos de obras públicas, interventoría para las obras públicas, interventoría para consultoría de estudios y diseños y, finalmente, consultoría en ingeniería para obras; </w:t>
      </w:r>
      <w:proofErr w:type="spellStart"/>
      <w:r w:rsidRPr="00C046D8">
        <w:rPr>
          <w:rFonts w:ascii="Arial" w:eastAsia="Calibri" w:hAnsi="Arial" w:cs="Arial"/>
          <w:lang w:val="es-ES_tradnl" w:eastAsia="es-ES_tradnl"/>
        </w:rPr>
        <w:t>iii</w:t>
      </w:r>
      <w:proofErr w:type="spellEnd"/>
      <w:r w:rsidRPr="00C046D8">
        <w:rPr>
          <w:rFonts w:ascii="Arial" w:eastAsia="Calibri" w:hAnsi="Arial" w:cs="Arial"/>
          <w:lang w:val="es-ES_tradnl" w:eastAsia="es-ES_tradnl"/>
        </w:rPr>
        <w:t xml:space="preserve">) eran de obligatorio cumplimiento por parte de todas las entidades sometidas al </w:t>
      </w:r>
      <w:proofErr w:type="spellStart"/>
      <w:r w:rsidRPr="00C046D8">
        <w:rPr>
          <w:rFonts w:ascii="Arial" w:eastAsia="Calibri" w:hAnsi="Arial" w:cs="Arial"/>
          <w:bCs/>
          <w:lang w:val="es-ES_tradnl" w:eastAsia="es-ES_tradnl"/>
        </w:rPr>
        <w:t>EGCAP</w:t>
      </w:r>
      <w:proofErr w:type="spellEnd"/>
      <w:r w:rsidRPr="00C046D8">
        <w:rPr>
          <w:rFonts w:ascii="Arial" w:eastAsia="Calibri" w:hAnsi="Arial" w:cs="Arial"/>
          <w:lang w:val="es-ES_tradnl" w:eastAsia="es-ES_tradnl"/>
        </w:rPr>
        <w:t xml:space="preserve">; </w:t>
      </w:r>
      <w:proofErr w:type="spellStart"/>
      <w:r w:rsidRPr="00C046D8">
        <w:rPr>
          <w:rFonts w:ascii="Arial" w:eastAsia="Calibri" w:hAnsi="Arial" w:cs="Arial"/>
          <w:lang w:val="es-ES_tradnl" w:eastAsia="es-ES_tradnl"/>
        </w:rPr>
        <w:t>iv</w:t>
      </w:r>
      <w:proofErr w:type="spellEnd"/>
      <w:r w:rsidRPr="00C046D8">
        <w:rPr>
          <w:rFonts w:ascii="Arial" w:eastAsia="Calibri" w:hAnsi="Arial" w:cs="Arial"/>
          <w:lang w:val="es-ES_tradnl" w:eastAsia="es-ES_tradnl"/>
        </w:rPr>
        <w:t>)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y por último, vi) los documentos tipo serían adoptados por categorías de acuerdo con la cuantía de la contratación.</w:t>
      </w:r>
    </w:p>
    <w:bookmarkEnd w:id="11"/>
    <w:p w14:paraId="18332CD1" w14:textId="77777777" w:rsidR="008410D2" w:rsidRPr="00C046D8" w:rsidRDefault="008410D2" w:rsidP="008410D2">
      <w:pPr>
        <w:spacing w:before="120" w:after="0" w:line="276" w:lineRule="auto"/>
        <w:jc w:val="both"/>
        <w:rPr>
          <w:rFonts w:ascii="Arial" w:eastAsia="Calibri" w:hAnsi="Arial" w:cs="Arial"/>
          <w:lang w:val="es-ES_tradnl" w:eastAsia="es-ES_tradnl"/>
        </w:rPr>
      </w:pPr>
      <w:r w:rsidRPr="00C046D8">
        <w:rPr>
          <w:rFonts w:ascii="Arial" w:eastAsia="Calibri" w:hAnsi="Arial" w:cs="Arial"/>
          <w:lang w:val="es-ES_tradnl" w:eastAsia="es-ES_tradnl"/>
        </w:rPr>
        <w:tab/>
        <w:t xml:space="preserve">Esta norma fue estudiada por la Corte Constitucional en la </w:t>
      </w:r>
      <w:r>
        <w:rPr>
          <w:rFonts w:ascii="Arial" w:eastAsia="Calibri" w:hAnsi="Arial" w:cs="Arial"/>
          <w:lang w:val="es-ES_tradnl" w:eastAsia="es-ES_tradnl"/>
        </w:rPr>
        <w:t>s</w:t>
      </w:r>
      <w:r w:rsidRPr="00C046D8">
        <w:rPr>
          <w:rFonts w:ascii="Arial" w:eastAsia="Calibri" w:hAnsi="Arial" w:cs="Arial"/>
          <w:lang w:val="es-ES_tradnl" w:eastAsia="es-ES_tradnl"/>
        </w:rPr>
        <w:t xml:space="preserve">entencia C-119 de 2020. Al respecto, el Alto Tribunal indicó que la adopción de los documentos tipo no afectaba la autonomía de las entidades territoriales, en cuanto la estandarización se predicaba únicamente de los requisitos habilitantes </w:t>
      </w:r>
      <w:bookmarkStart w:id="12" w:name="_Hlk48665985"/>
      <w:r w:rsidRPr="00C046D8">
        <w:rPr>
          <w:rFonts w:ascii="Arial" w:eastAsia="Calibri" w:hAnsi="Arial" w:cs="Arial"/>
          <w:lang w:val="es-ES_tradnl" w:eastAsia="es-ES_tradnl"/>
        </w:rPr>
        <w:t>y los criterios de escogencia, elementos propios del procedimiento de selección del contratista, materia en la que existe reserva de ley y que no se encuentra atribuida a la regulación de las entidades territoriales</w:t>
      </w:r>
      <w:bookmarkEnd w:id="12"/>
      <w:r w:rsidRPr="00C046D8">
        <w:rPr>
          <w:rFonts w:ascii="Arial" w:eastAsia="Calibri" w:hAnsi="Arial" w:cs="Arial"/>
          <w:lang w:val="es-ES_tradnl" w:eastAsia="es-ES_tradnl"/>
        </w:rPr>
        <w:t>. De igual manera, se establece que esta autonomía se garantiza con la identificación autónoma de sus necesidades y la configuración de los elementos del contrato</w:t>
      </w:r>
      <w:r w:rsidRPr="00C046D8">
        <w:rPr>
          <w:rFonts w:ascii="Arial" w:eastAsia="Calibri" w:hAnsi="Arial" w:cs="Arial"/>
          <w:vertAlign w:val="superscript"/>
          <w:lang w:val="es-ES_tradnl" w:eastAsia="es-ES_tradnl"/>
        </w:rPr>
        <w:footnoteReference w:id="12"/>
      </w:r>
      <w:r w:rsidRPr="00C046D8">
        <w:rPr>
          <w:rFonts w:ascii="Arial" w:eastAsia="Calibri" w:hAnsi="Arial" w:cs="Arial"/>
          <w:lang w:val="es-ES_tradnl" w:eastAsia="es-ES_tradnl"/>
        </w:rPr>
        <w:t>.</w:t>
      </w:r>
    </w:p>
    <w:p w14:paraId="7E4B12C8" w14:textId="77777777" w:rsidR="008410D2" w:rsidRPr="00C046D8" w:rsidRDefault="008410D2" w:rsidP="008410D2">
      <w:pPr>
        <w:spacing w:before="120" w:after="0" w:line="276" w:lineRule="auto"/>
        <w:jc w:val="both"/>
        <w:rPr>
          <w:rFonts w:ascii="Arial" w:eastAsia="Calibri" w:hAnsi="Arial" w:cs="Arial"/>
          <w:lang w:val="es-ES_tradnl" w:eastAsia="es-ES_tradnl"/>
        </w:rPr>
      </w:pPr>
      <w:r w:rsidRPr="00C046D8">
        <w:rPr>
          <w:rFonts w:ascii="Arial" w:eastAsia="Calibri" w:hAnsi="Arial" w:cs="Arial"/>
          <w:lang w:val="es-ES_tradnl" w:eastAsia="es-ES_tradnl"/>
        </w:rPr>
        <w:tab/>
        <w:t>De este modo, los documentos tipo no afectan la autonomía de las entidades territoriales. Lo anterior, debido a que la definición de los requisitos habilitantes y de aspectos técnicos de la selección del contratista en los procesos de selección, son cuestiones en los que el legislador tiene amplia libertad de configuración legislativa y, por tanto, puede atribuir dicha regulación al gobierno nacional. Ahora bien, la referida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211C8017" w14:textId="77777777" w:rsidR="008410D2" w:rsidRPr="00C046D8" w:rsidRDefault="008410D2" w:rsidP="008410D2">
      <w:pPr>
        <w:spacing w:before="120" w:after="0" w:line="276" w:lineRule="auto"/>
        <w:ind w:firstLine="709"/>
        <w:jc w:val="both"/>
        <w:rPr>
          <w:rFonts w:ascii="Arial" w:eastAsia="Calibri" w:hAnsi="Arial" w:cs="Arial"/>
          <w:lang w:val="es-ES_tradnl" w:eastAsia="es-ES"/>
        </w:rPr>
      </w:pPr>
      <w:bookmarkStart w:id="13" w:name="_Hlk113022941"/>
      <w:r w:rsidRPr="00C046D8">
        <w:rPr>
          <w:rFonts w:ascii="Arial" w:eastAsia="Calibri" w:hAnsi="Arial" w:cs="Arial"/>
          <w:lang w:val="es-ES_tradnl" w:eastAsia="es-ES"/>
        </w:rPr>
        <w:t>Posteriormente, se expidió la Ley 2022 de 2020, norma que modificó el contenido del parágrafo 7 del artículo 2 de la Ley 1150 de 2007, que había sido adicionado por la Ley 1882 de 2018</w:t>
      </w:r>
      <w:r w:rsidRPr="00C046D8">
        <w:rPr>
          <w:rFonts w:ascii="Arial" w:eastAsia="Calibri" w:hAnsi="Arial" w:cs="Arial"/>
          <w:vertAlign w:val="superscript"/>
          <w:lang w:val="es-ES_tradnl" w:eastAsia="es-ES"/>
        </w:rPr>
        <w:footnoteReference w:id="13"/>
      </w:r>
      <w:r w:rsidRPr="00C046D8">
        <w:rPr>
          <w:rFonts w:ascii="Arial" w:eastAsia="Calibri" w:hAnsi="Arial" w:cs="Arial"/>
          <w:lang w:val="es-ES_tradnl" w:eastAsia="es-ES"/>
        </w:rPr>
        <w:t xml:space="preserve">. Con esta modificación, si bien se mantuvo el mandato de aplicación obligatoria de los documentos tipo por parte de las entidades sometidas al </w:t>
      </w:r>
      <w:r w:rsidRPr="00C046D8">
        <w:rPr>
          <w:rFonts w:ascii="Arial" w:eastAsia="Calibri" w:hAnsi="Arial" w:cs="Arial"/>
          <w:bCs/>
          <w:lang w:val="es-ES_tradnl" w:eastAsia="es-ES_tradnl"/>
        </w:rPr>
        <w:t>EGCAP</w:t>
      </w:r>
      <w:r w:rsidRPr="00C046D8">
        <w:rPr>
          <w:rFonts w:ascii="Arial" w:eastAsia="Calibri" w:hAnsi="Arial" w:cs="Arial"/>
          <w:lang w:val="es-ES_tradnl" w:eastAsia="es-ES"/>
        </w:rPr>
        <w:t xml:space="preserve">, se atribuyó a la </w:t>
      </w:r>
      <w:r w:rsidRPr="00C046D8">
        <w:rPr>
          <w:rFonts w:ascii="Arial" w:eastAsia="Calibri" w:hAnsi="Arial" w:cs="Arial"/>
          <w:lang w:val="es-ES_tradnl"/>
        </w:rPr>
        <w:t xml:space="preserve">Agencia Nacional de Contratación Pública – Colombia Compra Eficiente la competencia para su expedición. </w:t>
      </w:r>
      <w:r w:rsidRPr="00C046D8">
        <w:rPr>
          <w:rFonts w:ascii="Arial" w:eastAsia="Calibri" w:hAnsi="Arial" w:cs="Arial"/>
          <w:lang w:val="es-ES_tradnl" w:eastAsia="es-ES"/>
        </w:rPr>
        <w:t>En este marco, con la finalidad de realizar un desarrollo armónico y ajustado de la ley que le otorga la mencionada competencia, esta Agencia expidió la Resolución 160 del 15 de septiembre de 2020</w:t>
      </w:r>
      <w:r>
        <w:rPr>
          <w:rFonts w:ascii="Arial" w:eastAsia="Calibri" w:hAnsi="Arial" w:cs="Arial"/>
          <w:lang w:val="es-ES_tradnl" w:eastAsia="es-ES"/>
        </w:rPr>
        <w:t>,</w:t>
      </w:r>
      <w:r w:rsidRPr="00C046D8">
        <w:rPr>
          <w:rFonts w:ascii="Arial" w:eastAsia="Calibri" w:hAnsi="Arial" w:cs="Arial"/>
          <w:lang w:val="es-ES_tradnl" w:eastAsia="es-ES"/>
        </w:rPr>
        <w:t xml:space="preserve"> </w:t>
      </w:r>
      <w:r w:rsidRPr="006B1CE6">
        <w:rPr>
          <w:rFonts w:ascii="Arial" w:eastAsia="Calibri" w:hAnsi="Arial" w:cs="Arial"/>
          <w:i/>
          <w:iCs/>
          <w:lang w:val="es-ES_tradnl" w:eastAsia="es-ES"/>
        </w:rPr>
        <w:t>“Por la cual se adopta el procedimiento para implementar los documentos tipo y se define el sistema para su revisión”.</w:t>
      </w:r>
      <w:r w:rsidRPr="00C046D8">
        <w:rPr>
          <w:rFonts w:ascii="Arial" w:eastAsia="Calibri" w:hAnsi="Arial" w:cs="Arial"/>
          <w:lang w:val="es-ES_tradnl" w:eastAsia="es-ES"/>
        </w:rPr>
        <w:t xml:space="preserve"> </w:t>
      </w:r>
    </w:p>
    <w:p w14:paraId="5D6AA887" w14:textId="77777777" w:rsidR="008410D2" w:rsidRPr="00C046D8" w:rsidRDefault="008410D2" w:rsidP="008410D2">
      <w:pPr>
        <w:shd w:val="clear" w:color="auto" w:fill="FFFFFF"/>
        <w:spacing w:after="0" w:line="276" w:lineRule="auto"/>
        <w:ind w:firstLine="709"/>
        <w:jc w:val="both"/>
        <w:textAlignment w:val="baseline"/>
        <w:rPr>
          <w:rFonts w:ascii="Arial" w:eastAsia="Calibri" w:hAnsi="Arial" w:cs="Arial"/>
          <w:lang w:eastAsia="en-GB"/>
        </w:rPr>
      </w:pPr>
      <w:r w:rsidRPr="00C046D8">
        <w:rPr>
          <w:rFonts w:ascii="Arial" w:eastAsia="Calibri" w:hAnsi="Arial" w:cs="Arial"/>
          <w:lang w:eastAsia="es-ES_tradnl"/>
        </w:rPr>
        <w:t xml:space="preserve">De acuerdo con lo expuesto, </w:t>
      </w:r>
      <w:r w:rsidRPr="00C046D8">
        <w:rPr>
          <w:rFonts w:ascii="Arial" w:eastAsia="Calibri" w:hAnsi="Arial" w:cs="Arial"/>
          <w:bdr w:val="none" w:sz="0" w:space="0" w:color="auto" w:frame="1"/>
          <w:lang w:eastAsia="es-ES_tradnl"/>
        </w:rPr>
        <w:t xml:space="preserve">los documentos tipo adoptados son obligatorios para las entidades estatales regidas por el </w:t>
      </w:r>
      <w:r w:rsidRPr="00C046D8">
        <w:rPr>
          <w:rFonts w:ascii="Arial" w:eastAsia="Calibri" w:hAnsi="Arial" w:cs="Arial"/>
          <w:bCs/>
          <w:lang w:val="es-ES_tradnl" w:eastAsia="es-ES_tradnl"/>
        </w:rPr>
        <w:t>EGCAP</w:t>
      </w:r>
      <w:r w:rsidRPr="00C046D8">
        <w:rPr>
          <w:rFonts w:ascii="Arial" w:eastAsia="Calibri" w:hAnsi="Arial" w:cs="Arial"/>
          <w:bdr w:val="none" w:sz="0" w:space="0" w:color="auto" w:frame="1"/>
          <w:lang w:eastAsia="es-ES_tradnl"/>
        </w:rPr>
        <w:t xml:space="preserve"> que adelanten procesos de contratación mediante las modalidades de selección y objetos contractuales cobijados por alguno de los documentos tipo vigentes en los diferentes sectores. </w:t>
      </w:r>
      <w:r w:rsidRPr="00C046D8">
        <w:rPr>
          <w:rFonts w:ascii="Arial" w:eastAsia="Calibri" w:hAnsi="Arial" w:cs="Arial"/>
          <w:lang w:eastAsia="en-GB"/>
        </w:rPr>
        <w:t xml:space="preserve">La obligatoriedad del contenido de los documentos tipo implica que las entidades estatales tengan que adelantar los procesos de contratación ciñéndose a las condiciones establecidas en los documentos tipo, sin que puedan variarse los requisitos fijados en ellos. </w:t>
      </w:r>
    </w:p>
    <w:bookmarkEnd w:id="13"/>
    <w:p w14:paraId="5FD02965" w14:textId="77777777" w:rsidR="008410D2" w:rsidRPr="00C046D8" w:rsidRDefault="008410D2" w:rsidP="008410D2">
      <w:pPr>
        <w:tabs>
          <w:tab w:val="left" w:pos="0"/>
        </w:tabs>
        <w:spacing w:after="0" w:line="276" w:lineRule="auto"/>
        <w:contextualSpacing/>
        <w:jc w:val="both"/>
        <w:rPr>
          <w:rFonts w:ascii="Arial" w:eastAsia="Calibri" w:hAnsi="Arial" w:cs="Arial"/>
          <w:b/>
          <w:lang w:val="es-ES_tradnl" w:eastAsia="es-ES_tradnl"/>
        </w:rPr>
      </w:pPr>
      <w:r w:rsidRPr="00C046D8">
        <w:rPr>
          <w:rFonts w:ascii="Arial" w:eastAsia="Calibri" w:hAnsi="Arial" w:cs="Arial"/>
          <w:lang w:eastAsia="en-GB"/>
        </w:rPr>
        <w:t xml:space="preserve"> </w:t>
      </w:r>
    </w:p>
    <w:p w14:paraId="4FD0E62D" w14:textId="77777777" w:rsidR="008410D2" w:rsidRPr="00C046D8" w:rsidRDefault="008410D2" w:rsidP="008410D2">
      <w:pPr>
        <w:tabs>
          <w:tab w:val="left" w:pos="0"/>
        </w:tabs>
        <w:spacing w:after="0" w:line="276" w:lineRule="auto"/>
        <w:contextualSpacing/>
        <w:jc w:val="both"/>
        <w:rPr>
          <w:rFonts w:ascii="Arial" w:eastAsia="Calibri" w:hAnsi="Arial" w:cs="Arial"/>
          <w:b/>
          <w:lang w:val="es-ES_tradnl" w:eastAsia="es-ES_tradnl"/>
        </w:rPr>
      </w:pPr>
      <w:r w:rsidRPr="00165C4E">
        <w:rPr>
          <w:rFonts w:ascii="Arial" w:eastAsia="Calibri" w:hAnsi="Arial" w:cs="Arial"/>
          <w:b/>
          <w:lang w:val="es-ES_tradnl" w:eastAsia="es-ES_tradnl"/>
        </w:rPr>
        <w:t>2.</w:t>
      </w:r>
      <w:r>
        <w:rPr>
          <w:rFonts w:ascii="Arial" w:eastAsia="Calibri" w:hAnsi="Arial" w:cs="Arial"/>
          <w:b/>
          <w:lang w:val="es-ES_tradnl" w:eastAsia="es-ES_tradnl"/>
        </w:rPr>
        <w:t>3</w:t>
      </w:r>
      <w:r w:rsidRPr="00165C4E">
        <w:rPr>
          <w:rFonts w:ascii="Arial" w:eastAsia="Calibri" w:hAnsi="Arial" w:cs="Arial"/>
          <w:b/>
          <w:lang w:val="es-ES_tradnl" w:eastAsia="es-ES_tradnl"/>
        </w:rPr>
        <w:t xml:space="preserve">. </w:t>
      </w:r>
      <w:bookmarkStart w:id="14" w:name="_Hlk95322387"/>
      <w:r w:rsidRPr="00165C4E">
        <w:rPr>
          <w:rFonts w:ascii="Arial" w:eastAsia="Calibri" w:hAnsi="Arial" w:cs="Arial"/>
          <w:b/>
          <w:lang w:val="es-ES_tradnl"/>
        </w:rPr>
        <w:t xml:space="preserve">Alcance del artículo 56 de la Ley 2195 de 2022 frente a la implementación obligatoria del </w:t>
      </w:r>
      <w:r w:rsidRPr="00165C4E">
        <w:rPr>
          <w:rFonts w:ascii="Arial" w:eastAsia="Calibri" w:hAnsi="Arial" w:cs="Arial"/>
          <w:b/>
          <w:lang w:val="es-ES_tradnl" w:eastAsia="es-ES_tradnl"/>
        </w:rPr>
        <w:t xml:space="preserve">Estatuto General de Contratación de la Administración Pública </w:t>
      </w:r>
      <w:r w:rsidRPr="00165C4E">
        <w:rPr>
          <w:rFonts w:ascii="Arial" w:eastAsia="Calibri" w:hAnsi="Arial" w:cs="Arial"/>
          <w:b/>
          <w:lang w:val="es-ES_tradnl"/>
        </w:rPr>
        <w:t>y de los documentos tipo en la celebración de convenios o contratos interadministrativos o de cualquier otra índole con entidades estatales exceptuadas y particulares</w:t>
      </w:r>
    </w:p>
    <w:bookmarkEnd w:id="14"/>
    <w:p w14:paraId="1C1B2810" w14:textId="77777777" w:rsidR="008410D2" w:rsidRPr="00C046D8" w:rsidRDefault="008410D2" w:rsidP="008410D2">
      <w:pPr>
        <w:tabs>
          <w:tab w:val="left" w:pos="0"/>
        </w:tabs>
        <w:spacing w:after="0" w:line="276" w:lineRule="auto"/>
        <w:contextualSpacing/>
        <w:jc w:val="both"/>
        <w:rPr>
          <w:rFonts w:ascii="Arial" w:eastAsia="Calibri" w:hAnsi="Arial" w:cs="Arial"/>
          <w:bCs/>
          <w:lang w:val="es-ES_tradnl" w:eastAsia="es-ES_tradnl"/>
        </w:rPr>
      </w:pPr>
    </w:p>
    <w:p w14:paraId="58DCADE0" w14:textId="77777777" w:rsidR="008410D2" w:rsidRPr="00C046D8" w:rsidRDefault="008410D2" w:rsidP="001A5552">
      <w:pPr>
        <w:tabs>
          <w:tab w:val="left" w:pos="0"/>
        </w:tabs>
        <w:spacing w:after="120" w:line="276" w:lineRule="auto"/>
        <w:jc w:val="both"/>
        <w:rPr>
          <w:rFonts w:ascii="Arial" w:eastAsia="Calibri" w:hAnsi="Arial" w:cs="Arial"/>
          <w:bCs/>
          <w:lang w:val="es-ES_tradnl" w:eastAsia="es-ES_tradnl"/>
        </w:rPr>
      </w:pPr>
      <w:r w:rsidRPr="00C046D8">
        <w:rPr>
          <w:rFonts w:ascii="Arial" w:eastAsia="Calibri" w:hAnsi="Arial" w:cs="Arial"/>
          <w:bCs/>
          <w:lang w:val="es-ES_tradnl" w:eastAsia="es-ES_tradnl"/>
        </w:rPr>
        <w:t>Conforme se explicó en el acápite anterior, en virtud de la Ley 2022 de 2020, los documentos tipo expedidos por la Agencia Nacional de Contratación Pública – Colombia Compra Eficiente</w:t>
      </w:r>
      <w:r>
        <w:rPr>
          <w:rFonts w:ascii="Arial" w:eastAsia="Calibri" w:hAnsi="Arial" w:cs="Arial"/>
          <w:bCs/>
          <w:lang w:val="es-ES_tradnl" w:eastAsia="es-ES_tradnl"/>
        </w:rPr>
        <w:t>–</w:t>
      </w:r>
      <w:r w:rsidRPr="00C046D8">
        <w:rPr>
          <w:rFonts w:ascii="Arial" w:eastAsia="Calibri" w:hAnsi="Arial" w:cs="Arial"/>
          <w:bCs/>
          <w:lang w:val="es-ES_tradnl" w:eastAsia="es-ES_tradnl"/>
        </w:rPr>
        <w:t xml:space="preserve"> son de aplicación obligatoria para las entidades estatales sometidas al EGCAP. En ese sentido, el contenido normativo de la Ley 2022 de 2020, y en su momento también de la Ley 1882 de 2018, exclu</w:t>
      </w:r>
      <w:r>
        <w:rPr>
          <w:rFonts w:ascii="Arial" w:eastAsia="Calibri" w:hAnsi="Arial" w:cs="Arial"/>
          <w:bCs/>
          <w:lang w:val="es-ES_tradnl" w:eastAsia="es-ES_tradnl"/>
        </w:rPr>
        <w:t>yen</w:t>
      </w:r>
      <w:r w:rsidRPr="00C046D8">
        <w:rPr>
          <w:rFonts w:ascii="Arial" w:eastAsia="Calibri" w:hAnsi="Arial" w:cs="Arial"/>
          <w:bCs/>
          <w:lang w:val="es-ES_tradnl" w:eastAsia="es-ES_tradnl"/>
        </w:rPr>
        <w:t xml:space="preserve"> del ámbito de aplicación de los documentos tipo la contratación de entidades estatales de régimen exceptuado, por lo general, sujetas al derecho privado. </w:t>
      </w:r>
    </w:p>
    <w:p w14:paraId="25074FD4" w14:textId="77777777" w:rsidR="008410D2" w:rsidRDefault="008410D2" w:rsidP="001A5552">
      <w:pPr>
        <w:tabs>
          <w:tab w:val="left" w:pos="0"/>
        </w:tabs>
        <w:spacing w:after="120" w:line="276" w:lineRule="auto"/>
        <w:jc w:val="both"/>
        <w:rPr>
          <w:rFonts w:ascii="Arial" w:eastAsia="Calibri" w:hAnsi="Arial" w:cs="Arial"/>
          <w:bCs/>
          <w:lang w:val="es-ES_tradnl" w:eastAsia="es-ES_tradnl"/>
        </w:rPr>
      </w:pPr>
      <w:r w:rsidRPr="00C046D8">
        <w:rPr>
          <w:rFonts w:ascii="Arial" w:eastAsia="Calibri" w:hAnsi="Arial" w:cs="Arial"/>
          <w:b/>
          <w:lang w:val="es-ES_tradnl" w:eastAsia="es-ES_tradnl"/>
        </w:rPr>
        <w:tab/>
      </w:r>
      <w:bookmarkStart w:id="15" w:name="_Hlk113023000"/>
      <w:r w:rsidRPr="00C046D8">
        <w:rPr>
          <w:rFonts w:ascii="Arial" w:eastAsia="Calibri" w:hAnsi="Arial" w:cs="Arial"/>
          <w:bCs/>
          <w:lang w:val="es-ES_tradnl" w:eastAsia="es-ES_tradnl"/>
        </w:rPr>
        <w:t xml:space="preserve">En este contexto, se expidió la Ley 2195 de 2022, </w:t>
      </w:r>
      <w:r w:rsidRPr="007A6317">
        <w:rPr>
          <w:rFonts w:ascii="Arial" w:eastAsia="Calibri" w:hAnsi="Arial" w:cs="Arial"/>
          <w:bCs/>
          <w:i/>
          <w:iCs/>
          <w:lang w:val="es-ES_tradnl" w:eastAsia="es-ES_tradnl"/>
        </w:rPr>
        <w:t>“Por medio de la cual se adoptan medidas en materia de transparencia, prevención y lucha contra la corrupción y se dictan otras disposiciones”</w:t>
      </w:r>
      <w:r w:rsidRPr="00C046D8">
        <w:rPr>
          <w:rFonts w:ascii="Arial" w:eastAsia="Calibri" w:hAnsi="Arial" w:cs="Arial"/>
          <w:bCs/>
          <w:lang w:val="es-ES_tradnl" w:eastAsia="es-ES_tradnl"/>
        </w:rPr>
        <w:t xml:space="preserve">. Según su artículo 1°, este cuerpo normativo </w:t>
      </w:r>
      <w:r>
        <w:rPr>
          <w:rFonts w:ascii="Arial" w:eastAsia="Calibri" w:hAnsi="Arial" w:cs="Arial"/>
          <w:lang w:val="es-ES_tradnl" w:eastAsia="es-ES_tradnl"/>
        </w:rPr>
        <w:t>“</w:t>
      </w:r>
      <w:r w:rsidRPr="00C046D8">
        <w:rPr>
          <w:rFonts w:ascii="Arial" w:eastAsia="Times New Roman" w:hAnsi="Arial" w:cs="Arial"/>
          <w:lang w:val="es-ES_tradnl" w:eastAsia="es-ES_tradnl"/>
        </w:rPr>
        <w:t xml:space="preserve">[…] </w:t>
      </w:r>
      <w:r w:rsidRPr="00C046D8">
        <w:rPr>
          <w:rFonts w:ascii="Arial" w:eastAsia="Calibri" w:hAnsi="Arial" w:cs="Arial"/>
          <w:lang w:val="es-ES_tradnl" w:eastAsia="es-ES_tradnl"/>
        </w:rPr>
        <w:t>tiene por objeto adoptar disposiciones tendientes a prevenir los actos de corrupción, a reforzar la articulación y coordinación de las entidades del Estado y a recuperar los daños ocasionados por dichos actos, con el fin de asegurar y promover la cultura de la legalidad e integridad y recuperar la confianza ciudadana y el respeto por lo público</w:t>
      </w:r>
      <w:r>
        <w:rPr>
          <w:rFonts w:ascii="Arial" w:eastAsia="Calibri" w:hAnsi="Arial" w:cs="Arial"/>
          <w:lang w:val="es-ES_tradnl" w:eastAsia="es-ES_tradnl"/>
        </w:rPr>
        <w:t>”</w:t>
      </w:r>
      <w:r w:rsidRPr="00C046D8">
        <w:rPr>
          <w:rFonts w:ascii="Arial" w:eastAsia="Calibri" w:hAnsi="Arial" w:cs="Arial"/>
          <w:lang w:val="es-ES_tradnl" w:eastAsia="es-ES_tradnl"/>
        </w:rPr>
        <w:t xml:space="preserve">. Dentro del capítulo VIII de la Ley en mención, que lleva por título </w:t>
      </w:r>
      <w:r>
        <w:rPr>
          <w:rFonts w:ascii="Arial" w:eastAsia="Calibri" w:hAnsi="Arial" w:cs="Arial"/>
          <w:lang w:val="es-ES_tradnl" w:eastAsia="es-ES_tradnl"/>
        </w:rPr>
        <w:t>“</w:t>
      </w:r>
      <w:r w:rsidRPr="00380BFE">
        <w:rPr>
          <w:rFonts w:ascii="Arial" w:eastAsia="Calibri" w:hAnsi="Arial" w:cs="Arial"/>
          <w:i/>
          <w:iCs/>
          <w:lang w:val="es-ES_tradnl" w:eastAsia="es-ES_tradnl"/>
        </w:rPr>
        <w:t>Disposiciones en materia contractual para la moralización y la transparencia</w:t>
      </w:r>
      <w:r>
        <w:rPr>
          <w:rFonts w:ascii="Arial" w:eastAsia="Calibri" w:hAnsi="Arial" w:cs="Arial"/>
          <w:lang w:val="es-ES_tradnl" w:eastAsia="es-ES_tradnl"/>
        </w:rPr>
        <w:t>”</w:t>
      </w:r>
      <w:r w:rsidRPr="00C046D8">
        <w:rPr>
          <w:rFonts w:ascii="Arial" w:eastAsia="Calibri" w:hAnsi="Arial" w:cs="Arial"/>
          <w:lang w:val="es-ES_tradnl" w:eastAsia="es-ES_tradnl"/>
        </w:rPr>
        <w:t xml:space="preserve">, se </w:t>
      </w:r>
      <w:r w:rsidRPr="00C046D8">
        <w:rPr>
          <w:rFonts w:ascii="Arial" w:eastAsia="Calibri" w:hAnsi="Arial" w:cs="Arial"/>
          <w:bCs/>
          <w:lang w:val="es-ES_tradnl" w:eastAsia="es-ES_tradnl"/>
        </w:rPr>
        <w:t xml:space="preserve">destaca el artículo 56, norma sobre la que versa la presente consulta. </w:t>
      </w:r>
    </w:p>
    <w:p w14:paraId="248E4F9C" w14:textId="77777777" w:rsidR="008410D2" w:rsidRDefault="008410D2" w:rsidP="001A5552">
      <w:pPr>
        <w:tabs>
          <w:tab w:val="left" w:pos="0"/>
        </w:tabs>
        <w:spacing w:after="120" w:line="276" w:lineRule="auto"/>
        <w:jc w:val="both"/>
        <w:rPr>
          <w:rFonts w:ascii="Arial" w:eastAsia="Calibri" w:hAnsi="Arial" w:cs="Arial"/>
          <w:bCs/>
          <w:lang w:val="es-ES_tradnl" w:eastAsia="es-ES_tradnl"/>
        </w:rPr>
      </w:pPr>
      <w:r>
        <w:rPr>
          <w:rFonts w:ascii="Arial" w:eastAsia="Calibri" w:hAnsi="Arial" w:cs="Arial"/>
          <w:bCs/>
          <w:lang w:val="es-ES_tradnl" w:eastAsia="es-ES_tradnl"/>
        </w:rPr>
        <w:tab/>
        <w:t>Para comenzar el análisis del contenido de la referida disposición, es pertinente iniciar estudiando su trámite legislativo. Al respecto, el Proyecto de Ley No. 341 de 2020</w:t>
      </w:r>
      <w:r>
        <w:rPr>
          <w:rStyle w:val="Refdenotaalpie"/>
          <w:rFonts w:ascii="Arial" w:eastAsia="Calibri" w:hAnsi="Arial" w:cs="Arial"/>
          <w:bCs/>
          <w:lang w:val="es-ES_tradnl" w:eastAsia="es-ES_tradnl"/>
        </w:rPr>
        <w:footnoteReference w:id="14"/>
      </w:r>
      <w:r>
        <w:rPr>
          <w:rFonts w:ascii="Arial" w:eastAsia="Calibri" w:hAnsi="Arial" w:cs="Arial"/>
          <w:bCs/>
          <w:lang w:val="es-ES_tradnl" w:eastAsia="es-ES_tradnl"/>
        </w:rPr>
        <w:t xml:space="preserve"> radicado el 20 de octubre de 2020 por el gobierno nacional ante el Congreso de la República no previó en su articulado norma que sea igual o similar al contenido que actualmente observamos en el artículo 56 de la Ley 2195 de 2022, pues este fue agregado con posterioridad en plenaria del Senado y después fue complementada y ajustada en el debate legislativo que cursó en Cámara de Representantes mediante Proyecto de Ley No.369 de 2021</w:t>
      </w:r>
      <w:r>
        <w:rPr>
          <w:rStyle w:val="Refdenotaalpie"/>
          <w:rFonts w:ascii="Arial" w:eastAsia="Calibri" w:hAnsi="Arial" w:cs="Arial"/>
          <w:bCs/>
          <w:lang w:val="es-ES_tradnl" w:eastAsia="es-ES_tradnl"/>
        </w:rPr>
        <w:footnoteReference w:id="15"/>
      </w:r>
      <w:r>
        <w:rPr>
          <w:rFonts w:ascii="Arial" w:eastAsia="Calibri" w:hAnsi="Arial" w:cs="Arial"/>
          <w:bCs/>
          <w:lang w:val="es-ES_tradnl" w:eastAsia="es-ES_tradnl"/>
        </w:rPr>
        <w:t xml:space="preserve"> y a continuación conciliado por ambas cámaras el 16 y 15 de diciembre de 2021, respectivamente.</w:t>
      </w:r>
    </w:p>
    <w:p w14:paraId="0290D41D" w14:textId="77777777" w:rsidR="008410D2" w:rsidRPr="00AE13C5" w:rsidRDefault="008410D2" w:rsidP="008410D2">
      <w:pPr>
        <w:tabs>
          <w:tab w:val="left" w:pos="0"/>
        </w:tabs>
        <w:spacing w:after="0" w:line="276" w:lineRule="auto"/>
        <w:jc w:val="both"/>
        <w:rPr>
          <w:rFonts w:ascii="Arial" w:eastAsia="Calibri" w:hAnsi="Arial" w:cs="Arial"/>
          <w:lang w:val="es-ES_tradnl" w:eastAsia="es-ES_tradnl"/>
        </w:rPr>
      </w:pPr>
      <w:r>
        <w:rPr>
          <w:rFonts w:ascii="Arial" w:eastAsia="Calibri" w:hAnsi="Arial" w:cs="Arial"/>
          <w:bCs/>
          <w:lang w:val="es-ES_tradnl" w:eastAsia="es-ES_tradnl"/>
        </w:rPr>
        <w:tab/>
        <w:t xml:space="preserve">Sobre el tema, es importante indicar que, en el informe de ponencia para primer debate legislativo en Senado, previo a la intervención realizada por </w:t>
      </w:r>
      <w:r w:rsidRPr="00A8462A">
        <w:rPr>
          <w:rFonts w:ascii="Arial" w:eastAsia="Calibri" w:hAnsi="Arial" w:cs="Arial"/>
          <w:bCs/>
          <w:lang w:val="es-ES_tradnl" w:eastAsia="es-ES_tradnl"/>
        </w:rPr>
        <w:t>l</w:t>
      </w:r>
      <w:r>
        <w:rPr>
          <w:rFonts w:ascii="Arial" w:eastAsia="Calibri" w:hAnsi="Arial" w:cs="Arial"/>
          <w:bCs/>
          <w:lang w:val="es-ES_tradnl" w:eastAsia="es-ES_tradnl"/>
        </w:rPr>
        <w:t>a</w:t>
      </w:r>
      <w:r w:rsidRPr="00A8462A">
        <w:rPr>
          <w:rFonts w:ascii="Arial" w:eastAsia="Calibri" w:hAnsi="Arial" w:cs="Arial"/>
          <w:bCs/>
          <w:lang w:val="es-ES_tradnl" w:eastAsia="es-ES_tradnl"/>
        </w:rPr>
        <w:t xml:space="preserve"> Subdirec</w:t>
      </w:r>
      <w:r>
        <w:rPr>
          <w:rFonts w:ascii="Arial" w:eastAsia="Calibri" w:hAnsi="Arial" w:cs="Arial"/>
          <w:bCs/>
          <w:lang w:val="es-ES_tradnl" w:eastAsia="es-ES_tradnl"/>
        </w:rPr>
        <w:t xml:space="preserve">ción de Gestión Contractual de la Agencia, </w:t>
      </w:r>
      <w:r w:rsidRPr="00165C4E">
        <w:rPr>
          <w:rFonts w:ascii="Arial" w:eastAsia="Calibri" w:hAnsi="Arial" w:cs="Arial"/>
          <w:lang w:val="es-ES_tradnl" w:eastAsia="es-ES_tradnl"/>
        </w:rPr>
        <w:t xml:space="preserve">en audiencia pública realizada por la </w:t>
      </w:r>
      <w:r w:rsidRPr="00165C4E">
        <w:rPr>
          <w:rStyle w:val="markedcontent"/>
          <w:rFonts w:ascii="Arial" w:hAnsi="Arial" w:cs="Arial"/>
        </w:rPr>
        <w:t xml:space="preserve">Comisión Primera del Senado </w:t>
      </w:r>
      <w:r w:rsidRPr="00165C4E">
        <w:rPr>
          <w:rFonts w:ascii="Arial" w:eastAsia="Calibri" w:hAnsi="Arial" w:cs="Arial"/>
          <w:lang w:val="es-ES_tradnl" w:eastAsia="es-ES_tradnl"/>
        </w:rPr>
        <w:t xml:space="preserve">el día </w:t>
      </w:r>
      <w:r w:rsidRPr="00165C4E">
        <w:rPr>
          <w:rStyle w:val="markedcontent"/>
          <w:rFonts w:ascii="Arial" w:hAnsi="Arial" w:cs="Arial"/>
        </w:rPr>
        <w:t>14 de diciembre de 2020,</w:t>
      </w:r>
      <w:r>
        <w:rPr>
          <w:rStyle w:val="markedcontent"/>
          <w:rFonts w:ascii="Arial" w:hAnsi="Arial" w:cs="Arial"/>
        </w:rPr>
        <w:t xml:space="preserve"> </w:t>
      </w:r>
      <w:r>
        <w:rPr>
          <w:rFonts w:ascii="Arial" w:eastAsia="Calibri" w:hAnsi="Arial" w:cs="Arial"/>
          <w:bCs/>
          <w:lang w:val="es-ES_tradnl" w:eastAsia="es-ES_tradnl"/>
        </w:rPr>
        <w:t>se</w:t>
      </w:r>
      <w:r w:rsidRPr="00BE2891">
        <w:rPr>
          <w:rFonts w:ascii="Arial" w:eastAsia="Calibri" w:hAnsi="Arial" w:cs="Arial"/>
          <w:bCs/>
          <w:lang w:val="es-ES_tradnl" w:eastAsia="es-ES_tradnl"/>
        </w:rPr>
        <w:t xml:space="preserve"> </w:t>
      </w:r>
      <w:r w:rsidRPr="00EB07D8">
        <w:rPr>
          <w:rFonts w:ascii="Arial" w:eastAsia="Calibri" w:hAnsi="Arial" w:cs="Arial"/>
          <w:bCs/>
          <w:lang w:val="es-ES_tradnl" w:eastAsia="es-ES_tradnl"/>
        </w:rPr>
        <w:t>incluyeron</w:t>
      </w:r>
      <w:r>
        <w:rPr>
          <w:rFonts w:ascii="Arial" w:eastAsia="Calibri" w:hAnsi="Arial" w:cs="Arial"/>
          <w:bCs/>
          <w:lang w:val="es-ES_tradnl" w:eastAsia="es-ES_tradnl"/>
        </w:rPr>
        <w:t xml:space="preserve"> d</w:t>
      </w:r>
      <w:r w:rsidRPr="00BE2891">
        <w:rPr>
          <w:rFonts w:ascii="Arial" w:eastAsia="Calibri" w:hAnsi="Arial" w:cs="Arial"/>
          <w:bCs/>
          <w:lang w:val="es-ES_tradnl" w:eastAsia="es-ES_tradnl"/>
        </w:rPr>
        <w:t xml:space="preserve">isposiciones en el proyecto de </w:t>
      </w:r>
      <w:r>
        <w:rPr>
          <w:rFonts w:ascii="Arial" w:eastAsia="Calibri" w:hAnsi="Arial" w:cs="Arial"/>
          <w:bCs/>
          <w:lang w:val="es-ES_tradnl" w:eastAsia="es-ES_tradnl"/>
        </w:rPr>
        <w:t>L</w:t>
      </w:r>
      <w:r w:rsidRPr="00BE2891">
        <w:rPr>
          <w:rFonts w:ascii="Arial" w:eastAsia="Calibri" w:hAnsi="Arial" w:cs="Arial"/>
          <w:bCs/>
          <w:lang w:val="es-ES_tradnl" w:eastAsia="es-ES_tradnl"/>
        </w:rPr>
        <w:t>ey relacionadas por ejemplo con</w:t>
      </w:r>
      <w:r>
        <w:rPr>
          <w:rFonts w:ascii="Arial" w:eastAsia="Calibri" w:hAnsi="Arial" w:cs="Arial"/>
          <w:bCs/>
          <w:lang w:val="es-ES_tradnl" w:eastAsia="es-ES_tradnl"/>
        </w:rPr>
        <w:t xml:space="preserve">: </w:t>
      </w:r>
      <w:r w:rsidRPr="00E31EA8">
        <w:rPr>
          <w:rFonts w:ascii="Arial" w:eastAsia="Calibri" w:hAnsi="Arial" w:cs="Arial"/>
          <w:lang w:val="es-ES_tradnl" w:eastAsia="es-ES_tradnl"/>
        </w:rPr>
        <w:t xml:space="preserve">“impedir que las entidades sometidas al estatuto de contratación celebren contratos jurídicos de derecho privado, con lo que se prevé evitar escapar del ámbito del estatuto de contratación pública, asimismo fortalecer que en los convenios deben emplearse documentos tipos; extender la aplicación del estatuto de contratación </w:t>
      </w:r>
      <w:r>
        <w:rPr>
          <w:rFonts w:ascii="Arial" w:eastAsia="Calibri" w:hAnsi="Arial" w:cs="Arial"/>
          <w:lang w:val="es-ES_tradnl" w:eastAsia="es-ES_tradnl"/>
        </w:rPr>
        <w:t xml:space="preserve">a </w:t>
      </w:r>
      <w:r w:rsidRPr="00E31EA8">
        <w:rPr>
          <w:rFonts w:ascii="Arial" w:eastAsia="Calibri" w:hAnsi="Arial" w:cs="Arial"/>
          <w:lang w:val="es-ES_tradnl" w:eastAsia="es-ES_tradnl"/>
        </w:rPr>
        <w:t xml:space="preserve">algunos objetos </w:t>
      </w:r>
      <w:r>
        <w:rPr>
          <w:rFonts w:ascii="Arial" w:eastAsia="Calibri" w:hAnsi="Arial" w:cs="Arial"/>
          <w:lang w:val="es-ES_tradnl" w:eastAsia="es-ES_tradnl"/>
        </w:rPr>
        <w:t>que</w:t>
      </w:r>
      <w:r w:rsidRPr="00E31EA8">
        <w:rPr>
          <w:rFonts w:ascii="Arial" w:eastAsia="Calibri" w:hAnsi="Arial" w:cs="Arial"/>
          <w:lang w:val="es-ES_tradnl" w:eastAsia="es-ES_tradnl"/>
        </w:rPr>
        <w:t xml:space="preserve"> tienen un régimen especial y a </w:t>
      </w:r>
      <w:r>
        <w:rPr>
          <w:rFonts w:ascii="Arial" w:eastAsia="Calibri" w:hAnsi="Arial" w:cs="Arial"/>
          <w:lang w:val="es-ES_tradnl" w:eastAsia="es-ES_tradnl"/>
        </w:rPr>
        <w:t>los</w:t>
      </w:r>
      <w:r w:rsidRPr="00E31EA8">
        <w:rPr>
          <w:rFonts w:ascii="Arial" w:eastAsia="Calibri" w:hAnsi="Arial" w:cs="Arial"/>
          <w:lang w:val="es-ES_tradnl" w:eastAsia="es-ES_tradnl"/>
        </w:rPr>
        <w:t xml:space="preserve"> patrimonios autónomos, así como </w:t>
      </w:r>
      <w:r>
        <w:rPr>
          <w:rFonts w:ascii="Arial" w:eastAsia="Calibri" w:hAnsi="Arial" w:cs="Arial"/>
          <w:lang w:val="es-ES_tradnl" w:eastAsia="es-ES_tradnl"/>
        </w:rPr>
        <w:t xml:space="preserve">a las </w:t>
      </w:r>
      <w:r w:rsidRPr="00E31EA8">
        <w:rPr>
          <w:rFonts w:ascii="Arial" w:eastAsia="Calibri" w:hAnsi="Arial" w:cs="Arial"/>
          <w:lang w:val="es-ES_tradnl" w:eastAsia="es-ES_tradnl"/>
        </w:rPr>
        <w:t>empresas de servicios públicos; y finalmente, hacer obligatorio que las entidades exceptuadas de la contratación estén obligadas a publicar los documentos en el SECOP”</w:t>
      </w:r>
      <w:r w:rsidRPr="00E31EA8">
        <w:rPr>
          <w:rStyle w:val="Refdenotaalpie"/>
          <w:rFonts w:ascii="Arial" w:eastAsia="Calibri" w:hAnsi="Arial" w:cs="Arial"/>
          <w:lang w:val="es-ES_tradnl" w:eastAsia="es-ES_tradnl"/>
        </w:rPr>
        <w:footnoteReference w:id="16"/>
      </w:r>
      <w:r w:rsidRPr="00E31EA8">
        <w:rPr>
          <w:rFonts w:ascii="Arial" w:eastAsia="Calibri" w:hAnsi="Arial" w:cs="Arial"/>
          <w:lang w:val="es-ES_tradnl" w:eastAsia="es-ES_tradnl"/>
        </w:rPr>
        <w:t>.</w:t>
      </w:r>
      <w:r>
        <w:rPr>
          <w:rFonts w:ascii="Arial" w:eastAsia="Calibri" w:hAnsi="Arial" w:cs="Arial"/>
          <w:lang w:val="es-ES_tradnl" w:eastAsia="es-ES_tradnl"/>
        </w:rPr>
        <w:t xml:space="preserve"> </w:t>
      </w:r>
      <w:r w:rsidRPr="293D6149">
        <w:rPr>
          <w:rFonts w:ascii="Arial" w:eastAsia="Calibri" w:hAnsi="Arial" w:cs="Arial"/>
          <w:lang w:val="es-ES" w:eastAsia="es-ES"/>
        </w:rPr>
        <w:t xml:space="preserve">En ese orden de ideas, se incorporó en el informe para primer debate legislativo el artículo 85, denominado </w:t>
      </w:r>
      <w:r w:rsidRPr="293D6149">
        <w:rPr>
          <w:rFonts w:ascii="Arial" w:eastAsia="Calibri" w:hAnsi="Arial" w:cs="Arial"/>
          <w:i/>
          <w:lang w:val="es-ES" w:eastAsia="es-ES"/>
        </w:rPr>
        <w:t>“Aplicación del Régimen de Contratación Pública en Entidades del Régimen Privado o Especial”,</w:t>
      </w:r>
      <w:r w:rsidRPr="293D6149">
        <w:rPr>
          <w:rFonts w:ascii="Arial" w:eastAsia="Calibri" w:hAnsi="Arial" w:cs="Arial"/>
          <w:lang w:val="es-ES" w:eastAsia="es-ES"/>
        </w:rPr>
        <w:t xml:space="preserve"> que disponía: </w:t>
      </w:r>
    </w:p>
    <w:p w14:paraId="0926181B" w14:textId="77777777" w:rsidR="008410D2" w:rsidRDefault="008410D2" w:rsidP="008410D2">
      <w:pPr>
        <w:spacing w:after="0" w:line="276" w:lineRule="auto"/>
        <w:jc w:val="both"/>
        <w:rPr>
          <w:rFonts w:ascii="Arial" w:eastAsia="Calibri" w:hAnsi="Arial" w:cs="Arial"/>
          <w:lang w:val="es-ES" w:eastAsia="es-ES"/>
        </w:rPr>
      </w:pPr>
    </w:p>
    <w:p w14:paraId="157786CD" w14:textId="6A386B28" w:rsidR="008410D2" w:rsidRDefault="0017508F" w:rsidP="008410D2">
      <w:pPr>
        <w:tabs>
          <w:tab w:val="left" w:pos="0"/>
        </w:tabs>
        <w:spacing w:after="0" w:line="240" w:lineRule="auto"/>
        <w:ind w:left="709" w:right="709"/>
        <w:jc w:val="both"/>
        <w:rPr>
          <w:rFonts w:ascii="Arial" w:eastAsia="Calibri" w:hAnsi="Arial" w:cs="Arial"/>
          <w:bCs/>
          <w:sz w:val="21"/>
          <w:szCs w:val="21"/>
          <w:lang w:val="es-ES_tradnl" w:eastAsia="es-ES_tradnl"/>
        </w:rPr>
      </w:pPr>
      <w:r>
        <w:rPr>
          <w:rFonts w:ascii="Arial" w:eastAsia="Calibri" w:hAnsi="Arial" w:cs="Arial"/>
          <w:bCs/>
          <w:sz w:val="21"/>
          <w:szCs w:val="21"/>
          <w:lang w:val="es-ES_tradnl" w:eastAsia="es-ES_tradnl"/>
        </w:rPr>
        <w:t>“</w:t>
      </w:r>
      <w:r w:rsidR="008410D2" w:rsidRPr="004E508C">
        <w:rPr>
          <w:rFonts w:ascii="Arial" w:eastAsia="Calibri" w:hAnsi="Arial" w:cs="Arial"/>
          <w:bCs/>
          <w:sz w:val="21"/>
          <w:szCs w:val="21"/>
          <w:lang w:val="es-ES_tradnl" w:eastAsia="es-ES_tradnl"/>
        </w:rPr>
        <w:t xml:space="preserve">En los casos en que las entidades estatales sometidas al Estatuto General de Contratación de la Administración Pública celebren contratos o convenios interadministrativos o de cualquier otra índole, con personas naturales o jurídicas de derecho público o privado, patrimonios autónomos, o cualquier otra clase de </w:t>
      </w:r>
      <w:r w:rsidR="008410D2">
        <w:rPr>
          <w:rFonts w:ascii="Arial" w:eastAsia="Calibri" w:hAnsi="Arial" w:cs="Arial"/>
          <w:bCs/>
          <w:sz w:val="21"/>
          <w:szCs w:val="21"/>
          <w:lang w:val="es-ES_tradnl" w:eastAsia="es-ES_tradnl"/>
        </w:rPr>
        <w:t>Entidad Estatal</w:t>
      </w:r>
      <w:r w:rsidR="008410D2" w:rsidRPr="004E508C">
        <w:rPr>
          <w:rFonts w:ascii="Arial" w:eastAsia="Calibri" w:hAnsi="Arial" w:cs="Arial"/>
          <w:bCs/>
          <w:sz w:val="21"/>
          <w:szCs w:val="21"/>
          <w:lang w:val="es-ES_tradnl" w:eastAsia="es-ES_tradnl"/>
        </w:rPr>
        <w:t xml:space="preserve"> con capacidad para contratar, cuyo régimen de contratación sea especial o de derecho privado, para la adquisición de bienes, obras o servicios a través de estas entidades, el régimen aplicable a los procedimientos de selección y los contratos que realicen en desarrollo de los anteriores negocios jurídicos también será el Estatuto General de Contratación de la Administración Pública</w:t>
      </w:r>
      <w:r>
        <w:rPr>
          <w:rFonts w:ascii="Arial" w:eastAsia="Calibri" w:hAnsi="Arial" w:cs="Arial"/>
          <w:bCs/>
          <w:sz w:val="21"/>
          <w:szCs w:val="21"/>
          <w:lang w:val="es-ES_tradnl" w:eastAsia="es-ES_tradnl"/>
        </w:rPr>
        <w:t>”</w:t>
      </w:r>
      <w:r w:rsidR="008410D2" w:rsidRPr="004E508C">
        <w:rPr>
          <w:rFonts w:ascii="Arial" w:eastAsia="Calibri" w:hAnsi="Arial" w:cs="Arial"/>
          <w:bCs/>
          <w:sz w:val="21"/>
          <w:szCs w:val="21"/>
          <w:lang w:val="es-ES_tradnl" w:eastAsia="es-ES_tradnl"/>
        </w:rPr>
        <w:t xml:space="preserve">. </w:t>
      </w:r>
    </w:p>
    <w:p w14:paraId="257B196B" w14:textId="6D9CCBCF" w:rsidR="008410D2" w:rsidRPr="004E508C" w:rsidRDefault="008410D2" w:rsidP="008410D2">
      <w:pPr>
        <w:spacing w:after="0" w:line="240" w:lineRule="auto"/>
        <w:ind w:left="709" w:right="709"/>
        <w:jc w:val="both"/>
        <w:rPr>
          <w:rFonts w:ascii="Arial" w:eastAsia="Calibri" w:hAnsi="Arial" w:cs="Arial"/>
          <w:sz w:val="21"/>
          <w:szCs w:val="21"/>
          <w:lang w:val="es-ES" w:eastAsia="es-ES"/>
        </w:rPr>
      </w:pPr>
      <w:r w:rsidRPr="293D6149">
        <w:rPr>
          <w:rFonts w:ascii="Arial" w:eastAsia="Calibri" w:hAnsi="Arial" w:cs="Arial"/>
          <w:sz w:val="21"/>
          <w:szCs w:val="21"/>
          <w:lang w:val="es-ES" w:eastAsia="es-ES"/>
        </w:rPr>
        <w:t>Parágrafo: Para los casos descritos en el inciso anterior, también serán obligatorios los documentos tipo adoptados por la Agencia Nacional de Contratación Pública – Colombia Compra Eficiente- o quien haga sus veces, conforme al parágrafo 7 del artículo 2 de la Ley 1150 de 2007 o las normas que lo modifiquen o sustituyan</w:t>
      </w:r>
      <w:r w:rsidR="0017508F">
        <w:rPr>
          <w:rFonts w:ascii="Arial" w:eastAsia="Calibri" w:hAnsi="Arial" w:cs="Arial"/>
          <w:sz w:val="21"/>
          <w:szCs w:val="21"/>
          <w:lang w:val="es-ES" w:eastAsia="es-ES"/>
        </w:rPr>
        <w:t>”</w:t>
      </w:r>
      <w:r w:rsidRPr="293D6149">
        <w:rPr>
          <w:rFonts w:ascii="Arial" w:eastAsia="Calibri" w:hAnsi="Arial" w:cs="Arial"/>
          <w:sz w:val="21"/>
          <w:szCs w:val="21"/>
          <w:lang w:val="es-ES" w:eastAsia="es-ES"/>
        </w:rPr>
        <w:t>.</w:t>
      </w:r>
      <w:r w:rsidRPr="293D6149">
        <w:rPr>
          <w:rStyle w:val="Refdenotaalpie"/>
          <w:rFonts w:ascii="Arial" w:eastAsia="Calibri" w:hAnsi="Arial" w:cs="Arial"/>
          <w:sz w:val="21"/>
          <w:szCs w:val="21"/>
          <w:lang w:val="es-ES" w:eastAsia="es-ES"/>
        </w:rPr>
        <w:footnoteReference w:id="17"/>
      </w:r>
    </w:p>
    <w:p w14:paraId="7E8AD5E0" w14:textId="77777777" w:rsidR="008410D2" w:rsidRPr="00AE13C5" w:rsidRDefault="008410D2" w:rsidP="008410D2">
      <w:pPr>
        <w:spacing w:after="0" w:line="276" w:lineRule="auto"/>
        <w:ind w:left="709" w:right="709"/>
        <w:jc w:val="both"/>
        <w:rPr>
          <w:rFonts w:ascii="Arial" w:eastAsia="Calibri" w:hAnsi="Arial" w:cs="Arial"/>
          <w:lang w:val="es-ES" w:eastAsia="es-ES"/>
        </w:rPr>
      </w:pPr>
    </w:p>
    <w:p w14:paraId="2F3BFD2E" w14:textId="77777777" w:rsidR="008410D2" w:rsidRDefault="008410D2" w:rsidP="008410D2">
      <w:pPr>
        <w:tabs>
          <w:tab w:val="left" w:pos="0"/>
        </w:tabs>
        <w:spacing w:after="0" w:line="276" w:lineRule="auto"/>
        <w:jc w:val="both"/>
        <w:rPr>
          <w:rStyle w:val="markedcontent"/>
          <w:rFonts w:ascii="Arial" w:hAnsi="Arial" w:cs="Arial"/>
        </w:rPr>
      </w:pPr>
      <w:r w:rsidRPr="00C046D8">
        <w:rPr>
          <w:rFonts w:ascii="Arial" w:eastAsia="Calibri" w:hAnsi="Arial" w:cs="Arial"/>
          <w:bCs/>
          <w:lang w:val="es-ES_tradnl" w:eastAsia="es-ES_tradnl"/>
        </w:rPr>
        <w:tab/>
      </w:r>
      <w:r w:rsidRPr="00165C4E">
        <w:rPr>
          <w:rFonts w:ascii="Arial" w:eastAsia="Calibri" w:hAnsi="Arial" w:cs="Arial"/>
          <w:lang w:val="es-ES_tradnl" w:eastAsia="es-ES_tradnl"/>
        </w:rPr>
        <w:t xml:space="preserve">Conforme a lo expuesto en el pliego de modificaciones al proyecto de Ley, la adición del articulado en mención tiene como fin </w:t>
      </w:r>
      <w:r w:rsidRPr="00165C4E">
        <w:rPr>
          <w:rStyle w:val="markedcontent"/>
          <w:rFonts w:ascii="Arial" w:hAnsi="Arial" w:cs="Arial"/>
        </w:rPr>
        <w:t xml:space="preserve">“Extender la </w:t>
      </w:r>
      <w:r w:rsidRPr="00165C4E">
        <w:rPr>
          <w:rStyle w:val="markedcontent"/>
          <w:rFonts w:ascii="Arial" w:hAnsi="Arial" w:cs="Arial"/>
          <w:i/>
        </w:rPr>
        <w:t>obligatoriedad de la aplicación del régimen de contratación estatal y pliegos tipo, cuando se celebran convenios interadministrativos</w:t>
      </w:r>
      <w:r w:rsidRPr="00165C4E">
        <w:rPr>
          <w:rStyle w:val="markedcontent"/>
          <w:rFonts w:ascii="Arial" w:hAnsi="Arial" w:cs="Arial"/>
        </w:rPr>
        <w:t xml:space="preserve"> con una entidad que tiene régimen de contratación privada </w:t>
      </w:r>
      <w:r w:rsidRPr="00165C4E">
        <w:rPr>
          <w:rStyle w:val="markedcontent"/>
          <w:rFonts w:ascii="Arial" w:hAnsi="Arial" w:cs="Arial"/>
          <w:i/>
        </w:rPr>
        <w:t>con el fin de evitar la contratación directa con recursos del estado y proveer de mayores garantías al proceso</w:t>
      </w:r>
      <w:r w:rsidRPr="00165C4E">
        <w:rPr>
          <w:rStyle w:val="markedcontent"/>
          <w:rFonts w:ascii="Arial" w:hAnsi="Arial" w:cs="Arial"/>
        </w:rPr>
        <w:t>”</w:t>
      </w:r>
      <w:r w:rsidRPr="00165C4E">
        <w:rPr>
          <w:rStyle w:val="Refdenotaalpie"/>
          <w:rFonts w:ascii="Arial" w:hAnsi="Arial" w:cs="Arial"/>
        </w:rPr>
        <w:footnoteReference w:id="18"/>
      </w:r>
      <w:r w:rsidRPr="00165C4E">
        <w:rPr>
          <w:rStyle w:val="markedcontent"/>
          <w:rFonts w:ascii="Arial" w:hAnsi="Arial" w:cs="Arial"/>
        </w:rPr>
        <w:t xml:space="preserve"> (</w:t>
      </w:r>
      <w:r>
        <w:rPr>
          <w:rStyle w:val="markedcontent"/>
          <w:rFonts w:ascii="Arial" w:hAnsi="Arial" w:cs="Arial"/>
        </w:rPr>
        <w:t>É</w:t>
      </w:r>
      <w:r w:rsidRPr="00165C4E">
        <w:rPr>
          <w:rStyle w:val="markedcontent"/>
          <w:rFonts w:ascii="Arial" w:hAnsi="Arial" w:cs="Arial"/>
        </w:rPr>
        <w:t>nfasis fuera de texto).En ese orden de ideas, es claro que la incorporación de este articulado por parte del legislador tiene como fin principal que las entidades sometidas al EGCAP, obligadas a aplicar pliego tipo, lo realicen también cuando celebran convenios interadministrativos con entidades o personas cuyo régimen de contratación es el privado y así proveer de mayor garantías al Proceso de Contratación, sin que por ello se piense que su fin es evitar o eliminar este tipo de contratación, pues lo que se busca es evitar la contratación directa con recursos del Estado en el marco de dichos convenios.</w:t>
      </w:r>
    </w:p>
    <w:p w14:paraId="2B6CA740" w14:textId="77777777" w:rsidR="008410D2" w:rsidRDefault="008410D2" w:rsidP="008410D2">
      <w:pPr>
        <w:tabs>
          <w:tab w:val="left" w:pos="0"/>
        </w:tabs>
        <w:spacing w:after="0" w:line="276" w:lineRule="auto"/>
        <w:jc w:val="both"/>
        <w:rPr>
          <w:rFonts w:ascii="Arial" w:eastAsia="Calibri" w:hAnsi="Arial" w:cs="Arial"/>
          <w:bCs/>
          <w:lang w:val="es-ES_tradnl" w:eastAsia="es-ES_tradnl"/>
        </w:rPr>
      </w:pPr>
      <w:r>
        <w:rPr>
          <w:rFonts w:ascii="Arial" w:eastAsia="Calibri" w:hAnsi="Arial" w:cs="Arial"/>
          <w:bCs/>
          <w:lang w:val="es-ES_tradnl" w:eastAsia="es-ES_tradnl"/>
        </w:rPr>
        <w:tab/>
        <w:t>Sin embargo, para segunda ponencia del Senado</w:t>
      </w:r>
      <w:r>
        <w:rPr>
          <w:rStyle w:val="Refdenotaalpie"/>
          <w:rFonts w:ascii="Arial" w:eastAsia="Calibri" w:hAnsi="Arial" w:cs="Arial"/>
          <w:bCs/>
          <w:lang w:val="es-ES_tradnl" w:eastAsia="es-ES_tradnl"/>
        </w:rPr>
        <w:footnoteReference w:id="19"/>
      </w:r>
      <w:r>
        <w:rPr>
          <w:rFonts w:ascii="Arial" w:eastAsia="Calibri" w:hAnsi="Arial" w:cs="Arial"/>
          <w:bCs/>
          <w:lang w:val="es-ES_tradnl" w:eastAsia="es-ES_tradnl"/>
        </w:rPr>
        <w:t xml:space="preserve"> se propuso eliminar el artículo en mención con motivo a la inconveniencia que podría generar en su aplicación, aceptándose su eliminación. No obstante, para Plenaria de Senado se propuso un nuevo artículo para su trámite ante la Cámara de Representantes, que dispone lo siguiente:</w:t>
      </w:r>
    </w:p>
    <w:p w14:paraId="02591E6A" w14:textId="77777777" w:rsidR="008410D2" w:rsidRDefault="008410D2" w:rsidP="008410D2">
      <w:pPr>
        <w:tabs>
          <w:tab w:val="left" w:pos="0"/>
        </w:tabs>
        <w:spacing w:after="0" w:line="276" w:lineRule="auto"/>
        <w:jc w:val="both"/>
        <w:rPr>
          <w:rFonts w:ascii="Arial" w:eastAsia="Calibri" w:hAnsi="Arial" w:cs="Arial"/>
          <w:bCs/>
          <w:lang w:val="es-ES_tradnl" w:eastAsia="es-ES_tradnl"/>
        </w:rPr>
      </w:pPr>
    </w:p>
    <w:p w14:paraId="2FF08C05" w14:textId="21995894" w:rsidR="008410D2" w:rsidRDefault="0017508F" w:rsidP="008410D2">
      <w:pPr>
        <w:tabs>
          <w:tab w:val="left" w:pos="0"/>
        </w:tabs>
        <w:spacing w:after="0" w:line="240" w:lineRule="auto"/>
        <w:ind w:left="709" w:right="709"/>
        <w:jc w:val="both"/>
        <w:rPr>
          <w:rStyle w:val="markedcontent"/>
          <w:rFonts w:ascii="Arial" w:hAnsi="Arial" w:cs="Arial"/>
          <w:sz w:val="21"/>
          <w:szCs w:val="21"/>
        </w:rPr>
      </w:pPr>
      <w:r>
        <w:rPr>
          <w:rStyle w:val="markedcontent"/>
          <w:rFonts w:ascii="Arial" w:hAnsi="Arial" w:cs="Arial"/>
          <w:sz w:val="21"/>
          <w:szCs w:val="21"/>
        </w:rPr>
        <w:t>“</w:t>
      </w:r>
      <w:r w:rsidR="008410D2" w:rsidRPr="00187A0D">
        <w:rPr>
          <w:rStyle w:val="markedcontent"/>
          <w:rFonts w:ascii="Arial" w:hAnsi="Arial" w:cs="Arial"/>
          <w:sz w:val="21"/>
          <w:szCs w:val="21"/>
        </w:rPr>
        <w:t>ARTÍCULO 62 (NUEVO). APLICACIÓN DE LOS DOCUMENTOS TIPO A</w:t>
      </w:r>
      <w:r w:rsidR="008410D2">
        <w:rPr>
          <w:rStyle w:val="markedcontent"/>
          <w:rFonts w:ascii="Arial" w:hAnsi="Arial" w:cs="Arial"/>
          <w:sz w:val="21"/>
          <w:szCs w:val="21"/>
        </w:rPr>
        <w:t xml:space="preserve"> </w:t>
      </w:r>
      <w:r w:rsidR="008410D2" w:rsidRPr="00187A0D">
        <w:rPr>
          <w:rStyle w:val="markedcontent"/>
          <w:rFonts w:ascii="Arial" w:hAnsi="Arial" w:cs="Arial"/>
          <w:sz w:val="21"/>
          <w:szCs w:val="21"/>
        </w:rPr>
        <w:t>ENTIDADES DE RÉGIMEN ESPECIAL. Para la adquisición de bienes, obras o</w:t>
      </w:r>
      <w:r w:rsidR="008410D2">
        <w:rPr>
          <w:rStyle w:val="markedcontent"/>
          <w:rFonts w:ascii="Arial" w:hAnsi="Arial" w:cs="Arial"/>
          <w:sz w:val="21"/>
          <w:szCs w:val="21"/>
        </w:rPr>
        <w:t xml:space="preserve"> </w:t>
      </w:r>
      <w:r w:rsidR="008410D2" w:rsidRPr="00187A0D">
        <w:rPr>
          <w:rStyle w:val="markedcontent"/>
          <w:rFonts w:ascii="Arial" w:hAnsi="Arial" w:cs="Arial"/>
          <w:sz w:val="21"/>
          <w:szCs w:val="21"/>
        </w:rPr>
        <w:t>servicios, las entidades estatales sometidas al Estatuto General de Contratación de la</w:t>
      </w:r>
      <w:r w:rsidR="008410D2">
        <w:rPr>
          <w:rStyle w:val="markedcontent"/>
          <w:rFonts w:ascii="Arial" w:hAnsi="Arial" w:cs="Arial"/>
          <w:sz w:val="21"/>
          <w:szCs w:val="21"/>
        </w:rPr>
        <w:t xml:space="preserve"> </w:t>
      </w:r>
      <w:r w:rsidR="008410D2" w:rsidRPr="00187A0D">
        <w:rPr>
          <w:rStyle w:val="markedcontent"/>
          <w:rFonts w:ascii="Arial" w:hAnsi="Arial" w:cs="Arial"/>
          <w:sz w:val="21"/>
          <w:szCs w:val="21"/>
        </w:rPr>
        <w:t>Administración Pública que celebren contratos o convenios interadministrativos o de</w:t>
      </w:r>
      <w:r w:rsidR="008410D2">
        <w:rPr>
          <w:rStyle w:val="markedcontent"/>
          <w:rFonts w:ascii="Arial" w:hAnsi="Arial" w:cs="Arial"/>
          <w:sz w:val="21"/>
          <w:szCs w:val="21"/>
        </w:rPr>
        <w:t xml:space="preserve"> </w:t>
      </w:r>
      <w:r w:rsidR="008410D2" w:rsidRPr="00187A0D">
        <w:rPr>
          <w:rStyle w:val="markedcontent"/>
          <w:rFonts w:ascii="Arial" w:hAnsi="Arial" w:cs="Arial"/>
          <w:sz w:val="21"/>
          <w:szCs w:val="21"/>
        </w:rPr>
        <w:t xml:space="preserve">cualquier otra índole, con otra </w:t>
      </w:r>
      <w:r w:rsidR="008410D2">
        <w:rPr>
          <w:rStyle w:val="markedcontent"/>
          <w:rFonts w:ascii="Arial" w:hAnsi="Arial" w:cs="Arial"/>
          <w:sz w:val="21"/>
          <w:szCs w:val="21"/>
        </w:rPr>
        <w:t>Entidad Estatal</w:t>
      </w:r>
      <w:r w:rsidR="008410D2" w:rsidRPr="00187A0D">
        <w:rPr>
          <w:rStyle w:val="markedcontent"/>
          <w:rFonts w:ascii="Arial" w:hAnsi="Arial" w:cs="Arial"/>
          <w:sz w:val="21"/>
          <w:szCs w:val="21"/>
        </w:rPr>
        <w:t xml:space="preserve"> o con patrimonios autónomos o con</w:t>
      </w:r>
      <w:r w:rsidR="008410D2">
        <w:rPr>
          <w:rStyle w:val="markedcontent"/>
          <w:rFonts w:ascii="Arial" w:hAnsi="Arial" w:cs="Arial"/>
          <w:sz w:val="21"/>
          <w:szCs w:val="21"/>
        </w:rPr>
        <w:t xml:space="preserve"> </w:t>
      </w:r>
      <w:r w:rsidR="008410D2" w:rsidRPr="00187A0D">
        <w:rPr>
          <w:rStyle w:val="markedcontent"/>
          <w:rFonts w:ascii="Arial" w:hAnsi="Arial" w:cs="Arial"/>
          <w:sz w:val="21"/>
          <w:szCs w:val="21"/>
        </w:rPr>
        <w:t>personas naturales o jurídicas de derecho privado, cuyo régimen de contratación sea</w:t>
      </w:r>
      <w:r w:rsidR="008410D2">
        <w:rPr>
          <w:rStyle w:val="markedcontent"/>
          <w:rFonts w:ascii="Arial" w:hAnsi="Arial" w:cs="Arial"/>
          <w:sz w:val="21"/>
          <w:szCs w:val="21"/>
        </w:rPr>
        <w:t xml:space="preserve"> </w:t>
      </w:r>
      <w:r w:rsidR="008410D2" w:rsidRPr="00187A0D">
        <w:rPr>
          <w:rStyle w:val="markedcontent"/>
          <w:rFonts w:ascii="Arial" w:hAnsi="Arial" w:cs="Arial"/>
          <w:sz w:val="21"/>
          <w:szCs w:val="21"/>
        </w:rPr>
        <w:t>especial o de derecho privado, deberán aplicar los documentos tipo adoptados por la</w:t>
      </w:r>
      <w:r w:rsidR="008410D2">
        <w:rPr>
          <w:rStyle w:val="markedcontent"/>
          <w:rFonts w:ascii="Arial" w:hAnsi="Arial" w:cs="Arial"/>
          <w:sz w:val="21"/>
          <w:szCs w:val="21"/>
        </w:rPr>
        <w:t xml:space="preserve"> </w:t>
      </w:r>
      <w:r w:rsidR="008410D2" w:rsidRPr="00187A0D">
        <w:rPr>
          <w:rStyle w:val="markedcontent"/>
          <w:rFonts w:ascii="Arial" w:hAnsi="Arial" w:cs="Arial"/>
          <w:sz w:val="21"/>
          <w:szCs w:val="21"/>
        </w:rPr>
        <w:t>Agencia Nacional de Contratación Pública – Colombia Compra Eficiente o quien haga</w:t>
      </w:r>
      <w:r w:rsidR="008410D2">
        <w:rPr>
          <w:rStyle w:val="markedcontent"/>
          <w:rFonts w:ascii="Arial" w:hAnsi="Arial" w:cs="Arial"/>
          <w:sz w:val="21"/>
          <w:szCs w:val="21"/>
        </w:rPr>
        <w:t xml:space="preserve"> </w:t>
      </w:r>
      <w:r w:rsidR="008410D2" w:rsidRPr="00187A0D">
        <w:rPr>
          <w:rStyle w:val="markedcontent"/>
          <w:rFonts w:ascii="Arial" w:hAnsi="Arial" w:cs="Arial"/>
          <w:sz w:val="21"/>
          <w:szCs w:val="21"/>
        </w:rPr>
        <w:t>sus veces, conforme al parágrafo 7 del artículo 2 de la Ley 1150 de 2007 o las normas</w:t>
      </w:r>
      <w:r w:rsidR="008410D2">
        <w:rPr>
          <w:rStyle w:val="markedcontent"/>
          <w:rFonts w:ascii="Arial" w:hAnsi="Arial" w:cs="Arial"/>
          <w:sz w:val="21"/>
          <w:szCs w:val="21"/>
        </w:rPr>
        <w:t xml:space="preserve"> </w:t>
      </w:r>
      <w:r w:rsidR="008410D2" w:rsidRPr="00187A0D">
        <w:rPr>
          <w:rStyle w:val="markedcontent"/>
          <w:rFonts w:ascii="Arial" w:hAnsi="Arial" w:cs="Arial"/>
          <w:sz w:val="21"/>
          <w:szCs w:val="21"/>
        </w:rPr>
        <w:t>que lo modifiquen o sustituyan</w:t>
      </w:r>
      <w:r w:rsidR="008410D2">
        <w:rPr>
          <w:rStyle w:val="markedcontent"/>
          <w:rFonts w:ascii="Arial" w:hAnsi="Arial" w:cs="Arial"/>
          <w:sz w:val="21"/>
          <w:szCs w:val="21"/>
        </w:rPr>
        <w:t>.</w:t>
      </w:r>
      <w:r w:rsidR="008410D2" w:rsidRPr="00187A0D">
        <w:rPr>
          <w:rStyle w:val="markedcontent"/>
          <w:rFonts w:ascii="Arial" w:hAnsi="Arial" w:cs="Arial"/>
          <w:sz w:val="21"/>
          <w:szCs w:val="21"/>
        </w:rPr>
        <w:t xml:space="preserve"> Los procedimientos de selección y los contratos que realicen en desarrollo de los</w:t>
      </w:r>
      <w:r w:rsidR="008410D2">
        <w:rPr>
          <w:rStyle w:val="markedcontent"/>
          <w:rFonts w:ascii="Arial" w:hAnsi="Arial" w:cs="Arial"/>
          <w:sz w:val="21"/>
          <w:szCs w:val="21"/>
        </w:rPr>
        <w:t xml:space="preserve"> </w:t>
      </w:r>
      <w:r w:rsidR="008410D2" w:rsidRPr="00187A0D">
        <w:rPr>
          <w:rStyle w:val="markedcontent"/>
          <w:rFonts w:ascii="Arial" w:hAnsi="Arial" w:cs="Arial"/>
          <w:sz w:val="21"/>
          <w:szCs w:val="21"/>
        </w:rPr>
        <w:t>anteriores negocios jurídicos, donde apliquen los documentos tipo se regirán por el</w:t>
      </w:r>
      <w:r w:rsidR="008410D2">
        <w:rPr>
          <w:rStyle w:val="markedcontent"/>
          <w:rFonts w:ascii="Arial" w:hAnsi="Arial" w:cs="Arial"/>
          <w:sz w:val="21"/>
          <w:szCs w:val="21"/>
        </w:rPr>
        <w:t xml:space="preserve"> </w:t>
      </w:r>
      <w:r w:rsidR="008410D2" w:rsidRPr="00187A0D">
        <w:rPr>
          <w:rStyle w:val="markedcontent"/>
          <w:rFonts w:ascii="Arial" w:hAnsi="Arial" w:cs="Arial"/>
          <w:sz w:val="21"/>
          <w:szCs w:val="21"/>
        </w:rPr>
        <w:t>Estatuto General de Contratación de la Administración Pública.</w:t>
      </w:r>
      <w:r w:rsidR="008410D2">
        <w:rPr>
          <w:rStyle w:val="markedcontent"/>
          <w:rFonts w:ascii="Arial" w:hAnsi="Arial" w:cs="Arial"/>
          <w:sz w:val="21"/>
          <w:szCs w:val="21"/>
        </w:rPr>
        <w:t>”</w:t>
      </w:r>
    </w:p>
    <w:p w14:paraId="3A38688C" w14:textId="43F60F04" w:rsidR="008410D2" w:rsidRPr="00187A0D" w:rsidRDefault="008410D2" w:rsidP="008410D2">
      <w:pPr>
        <w:tabs>
          <w:tab w:val="left" w:pos="0"/>
        </w:tabs>
        <w:spacing w:after="0" w:line="240" w:lineRule="auto"/>
        <w:ind w:left="709" w:right="709"/>
        <w:jc w:val="both"/>
        <w:rPr>
          <w:rFonts w:ascii="Arial" w:eastAsia="Calibri" w:hAnsi="Arial" w:cs="Arial"/>
          <w:bCs/>
          <w:sz w:val="21"/>
          <w:szCs w:val="21"/>
          <w:lang w:val="es-ES_tradnl" w:eastAsia="es-ES_tradnl"/>
        </w:rPr>
      </w:pPr>
      <w:r w:rsidRPr="00187A0D">
        <w:rPr>
          <w:rStyle w:val="markedcontent"/>
          <w:rFonts w:ascii="Arial" w:hAnsi="Arial" w:cs="Arial"/>
          <w:sz w:val="21"/>
          <w:szCs w:val="21"/>
        </w:rPr>
        <w:t>Parágrafo: Se exceptúan del presente artículo las Universidades, las empresas</w:t>
      </w:r>
      <w:r>
        <w:rPr>
          <w:rStyle w:val="markedcontent"/>
          <w:rFonts w:ascii="Arial" w:hAnsi="Arial" w:cs="Arial"/>
          <w:sz w:val="21"/>
          <w:szCs w:val="21"/>
        </w:rPr>
        <w:t xml:space="preserve"> </w:t>
      </w:r>
      <w:r w:rsidRPr="00187A0D">
        <w:rPr>
          <w:rStyle w:val="markedcontent"/>
          <w:rFonts w:ascii="Arial" w:hAnsi="Arial" w:cs="Arial"/>
          <w:sz w:val="21"/>
          <w:szCs w:val="21"/>
        </w:rPr>
        <w:t>sociales del estado, las sociedades de economía mixta y las empresas industriales y</w:t>
      </w:r>
      <w:r>
        <w:rPr>
          <w:rStyle w:val="markedcontent"/>
          <w:rFonts w:ascii="Arial" w:hAnsi="Arial" w:cs="Arial"/>
          <w:sz w:val="21"/>
          <w:szCs w:val="21"/>
        </w:rPr>
        <w:t xml:space="preserve"> </w:t>
      </w:r>
      <w:r w:rsidRPr="00187A0D">
        <w:rPr>
          <w:rStyle w:val="markedcontent"/>
          <w:rFonts w:ascii="Arial" w:hAnsi="Arial" w:cs="Arial"/>
          <w:sz w:val="21"/>
          <w:szCs w:val="21"/>
        </w:rPr>
        <w:t>comerciales del Estado en cuanto a las actividades propias del servicio que prestan o</w:t>
      </w:r>
      <w:r>
        <w:rPr>
          <w:rStyle w:val="markedcontent"/>
          <w:rFonts w:ascii="Arial" w:hAnsi="Arial" w:cs="Arial"/>
          <w:sz w:val="21"/>
          <w:szCs w:val="21"/>
        </w:rPr>
        <w:t xml:space="preserve"> </w:t>
      </w:r>
      <w:r w:rsidRPr="00187A0D">
        <w:rPr>
          <w:rStyle w:val="markedcontent"/>
          <w:rFonts w:ascii="Arial" w:hAnsi="Arial" w:cs="Arial"/>
          <w:sz w:val="21"/>
          <w:szCs w:val="21"/>
        </w:rPr>
        <w:t>de su objeto social. En estas entidades se fomentará como buena práctica la</w:t>
      </w:r>
      <w:r>
        <w:rPr>
          <w:rStyle w:val="markedcontent"/>
          <w:rFonts w:ascii="Arial" w:hAnsi="Arial" w:cs="Arial"/>
          <w:sz w:val="21"/>
          <w:szCs w:val="21"/>
        </w:rPr>
        <w:t xml:space="preserve"> </w:t>
      </w:r>
      <w:r w:rsidRPr="00187A0D">
        <w:rPr>
          <w:rStyle w:val="markedcontent"/>
          <w:rFonts w:ascii="Arial" w:hAnsi="Arial" w:cs="Arial"/>
          <w:sz w:val="21"/>
          <w:szCs w:val="21"/>
        </w:rPr>
        <w:t>aplicación de los pliegos tipo</w:t>
      </w:r>
      <w:r w:rsidR="0017508F">
        <w:rPr>
          <w:rStyle w:val="markedcontent"/>
          <w:rFonts w:ascii="Arial" w:hAnsi="Arial" w:cs="Arial"/>
          <w:sz w:val="21"/>
          <w:szCs w:val="21"/>
        </w:rPr>
        <w:t>”</w:t>
      </w:r>
      <w:r w:rsidRPr="00187A0D">
        <w:rPr>
          <w:rStyle w:val="markedcontent"/>
          <w:rFonts w:ascii="Arial" w:hAnsi="Arial" w:cs="Arial"/>
          <w:sz w:val="21"/>
          <w:szCs w:val="21"/>
        </w:rPr>
        <w:t>.</w:t>
      </w:r>
      <w:r>
        <w:rPr>
          <w:rStyle w:val="Refdenotaalpie"/>
          <w:rFonts w:ascii="Arial" w:hAnsi="Arial" w:cs="Arial"/>
          <w:sz w:val="21"/>
          <w:szCs w:val="21"/>
        </w:rPr>
        <w:footnoteReference w:id="20"/>
      </w:r>
    </w:p>
    <w:p w14:paraId="210F8D57" w14:textId="77777777" w:rsidR="008410D2" w:rsidRDefault="008410D2" w:rsidP="008410D2">
      <w:pPr>
        <w:tabs>
          <w:tab w:val="left" w:pos="0"/>
        </w:tabs>
        <w:spacing w:after="0" w:line="276" w:lineRule="auto"/>
        <w:jc w:val="both"/>
        <w:rPr>
          <w:rFonts w:ascii="Arial" w:eastAsia="Calibri" w:hAnsi="Arial" w:cs="Arial"/>
          <w:bCs/>
          <w:lang w:val="es-ES_tradnl" w:eastAsia="es-ES_tradnl"/>
        </w:rPr>
      </w:pPr>
      <w:r>
        <w:rPr>
          <w:rFonts w:ascii="Arial" w:eastAsia="Calibri" w:hAnsi="Arial" w:cs="Arial"/>
          <w:bCs/>
          <w:lang w:val="es-ES_tradnl" w:eastAsia="es-ES_tradnl"/>
        </w:rPr>
        <w:tab/>
      </w:r>
    </w:p>
    <w:p w14:paraId="6CAE0B35" w14:textId="77777777" w:rsidR="008410D2" w:rsidRPr="00C046D8" w:rsidRDefault="008410D2" w:rsidP="008410D2">
      <w:pPr>
        <w:tabs>
          <w:tab w:val="left" w:pos="0"/>
        </w:tabs>
        <w:spacing w:after="0" w:line="276" w:lineRule="auto"/>
        <w:jc w:val="both"/>
        <w:rPr>
          <w:rFonts w:ascii="Arial" w:eastAsia="Calibri" w:hAnsi="Arial" w:cs="Arial"/>
          <w:bCs/>
          <w:lang w:val="es-ES_tradnl" w:eastAsia="es-ES_tradnl"/>
        </w:rPr>
      </w:pPr>
      <w:r>
        <w:rPr>
          <w:rFonts w:ascii="Arial" w:eastAsia="Calibri" w:hAnsi="Arial" w:cs="Arial"/>
          <w:bCs/>
          <w:lang w:val="es-ES_tradnl" w:eastAsia="es-ES_tradnl"/>
        </w:rPr>
        <w:tab/>
      </w:r>
      <w:r w:rsidRPr="00165C4E">
        <w:rPr>
          <w:rFonts w:ascii="Arial" w:eastAsia="Calibri" w:hAnsi="Arial" w:cs="Arial"/>
          <w:lang w:val="es-ES_tradnl" w:eastAsia="es-ES_tradnl"/>
        </w:rPr>
        <w:t>La mencionada disposición pasó el debate en Cámara de Representantes con algunos ajustes en la redacción del artículo</w:t>
      </w:r>
      <w:r w:rsidRPr="00165C4E">
        <w:rPr>
          <w:rStyle w:val="Refdenotaalpie"/>
          <w:rFonts w:ascii="Arial" w:eastAsia="Calibri" w:hAnsi="Arial" w:cs="Arial"/>
          <w:lang w:val="es-ES_tradnl" w:eastAsia="es-ES_tradnl"/>
        </w:rPr>
        <w:footnoteReference w:id="21"/>
      </w:r>
      <w:r w:rsidRPr="00165C4E">
        <w:rPr>
          <w:rFonts w:ascii="Arial" w:eastAsia="Calibri" w:hAnsi="Arial" w:cs="Arial"/>
          <w:lang w:val="es-ES_tradnl" w:eastAsia="es-ES_tradnl"/>
        </w:rPr>
        <w:t xml:space="preserve">, pero manteniendo su fin principal, y esto es, que los documentos tipo deban ser aplicados en general por todas las entidades sometidas al EGCAP, independientemente de la celebración de contratos o convenios interadministrativos o de cualquier otra índole, </w:t>
      </w:r>
      <w:bookmarkEnd w:id="15"/>
      <w:r w:rsidRPr="00165C4E">
        <w:rPr>
          <w:rFonts w:ascii="Arial" w:eastAsia="Calibri" w:hAnsi="Arial" w:cs="Arial"/>
          <w:lang w:val="es-ES_tradnl" w:eastAsia="es-ES_tradnl"/>
        </w:rPr>
        <w:t>con entidades estatales exceptuadas o con régimen especial de contratación, patrimonios autónomos o particulares. Consecuentemente, fue aprobada su redacción en conciliación del texto en ambas cámaras</w:t>
      </w:r>
      <w:r w:rsidRPr="00165C4E">
        <w:rPr>
          <w:rStyle w:val="Refdenotaalpie"/>
          <w:rFonts w:ascii="Arial" w:eastAsia="Times New Roman" w:hAnsi="Arial" w:cs="Arial"/>
          <w:lang w:val="es-ES_tradnl" w:eastAsia="es-ES_tradnl"/>
        </w:rPr>
        <w:footnoteReference w:id="22"/>
      </w:r>
      <w:r w:rsidRPr="00165C4E">
        <w:rPr>
          <w:rFonts w:ascii="Arial" w:eastAsia="Calibri" w:hAnsi="Arial" w:cs="Arial"/>
          <w:lang w:val="es-ES_tradnl" w:eastAsia="es-ES_tradnl"/>
        </w:rPr>
        <w:t xml:space="preserve"> prescribiendo la redacción de la norma hoy día vigente, en los siguientes términos:</w:t>
      </w:r>
      <w:r w:rsidRPr="00C046D8">
        <w:rPr>
          <w:rFonts w:ascii="Arial" w:eastAsia="Calibri" w:hAnsi="Arial" w:cs="Arial"/>
          <w:bCs/>
          <w:lang w:val="es-ES_tradnl" w:eastAsia="es-ES_tradnl"/>
        </w:rPr>
        <w:t xml:space="preserve"> </w:t>
      </w:r>
    </w:p>
    <w:p w14:paraId="6BF0F0D4" w14:textId="77777777" w:rsidR="008410D2" w:rsidRPr="006A55BE" w:rsidRDefault="008410D2" w:rsidP="008410D2">
      <w:pPr>
        <w:tabs>
          <w:tab w:val="left" w:pos="0"/>
        </w:tabs>
        <w:spacing w:after="0" w:line="276" w:lineRule="auto"/>
        <w:jc w:val="both"/>
        <w:rPr>
          <w:rFonts w:ascii="Arial" w:eastAsia="Calibri" w:hAnsi="Arial" w:cs="Arial"/>
          <w:bCs/>
          <w:lang w:val="es-ES_tradnl" w:eastAsia="es-ES_tradnl"/>
        </w:rPr>
      </w:pPr>
    </w:p>
    <w:p w14:paraId="1553E988" w14:textId="723F8F26" w:rsidR="008410D2" w:rsidRDefault="0017508F" w:rsidP="008410D2">
      <w:pPr>
        <w:tabs>
          <w:tab w:val="left" w:pos="0"/>
        </w:tabs>
        <w:spacing w:after="0" w:line="240" w:lineRule="auto"/>
        <w:ind w:left="709" w:right="709"/>
        <w:contextualSpacing/>
        <w:jc w:val="both"/>
        <w:rPr>
          <w:rFonts w:ascii="Arial" w:eastAsia="Times New Roman" w:hAnsi="Arial" w:cs="Arial"/>
          <w:sz w:val="21"/>
          <w:szCs w:val="21"/>
          <w:lang w:val="es-ES_tradnl" w:eastAsia="es-ES_tradnl"/>
        </w:rPr>
      </w:pPr>
      <w:r>
        <w:rPr>
          <w:rFonts w:ascii="Arial" w:eastAsia="Times New Roman" w:hAnsi="Arial" w:cs="Arial"/>
          <w:sz w:val="21"/>
          <w:szCs w:val="21"/>
          <w:lang w:val="es-ES_tradnl" w:eastAsia="es-ES_tradnl"/>
        </w:rPr>
        <w:t>“</w:t>
      </w:r>
      <w:r w:rsidR="008410D2" w:rsidRPr="00C046D8">
        <w:rPr>
          <w:rFonts w:ascii="Arial" w:eastAsia="Times New Roman" w:hAnsi="Arial" w:cs="Arial"/>
          <w:sz w:val="21"/>
          <w:szCs w:val="21"/>
          <w:lang w:val="es-ES_tradnl" w:eastAsia="es-ES_tradnl"/>
        </w:rPr>
        <w:t xml:space="preserve">Artículo 56. Aplicación de los documentos tipo a entidades de régimen especial. Para la adquisición de bienes, obras o servicios, las entidades estatales sometidas al Estatuto General de Contratación de la Administración Pública que celebren contratos o convenios interadministrativos o de cualquier otra índole, con otra </w:t>
      </w:r>
      <w:r w:rsidR="008410D2">
        <w:rPr>
          <w:rFonts w:ascii="Arial" w:eastAsia="Times New Roman" w:hAnsi="Arial" w:cs="Arial"/>
          <w:sz w:val="21"/>
          <w:szCs w:val="21"/>
          <w:lang w:val="es-ES_tradnl" w:eastAsia="es-ES_tradnl"/>
        </w:rPr>
        <w:t>Entidad Estatal</w:t>
      </w:r>
      <w:r w:rsidR="008410D2" w:rsidRPr="00C046D8">
        <w:rPr>
          <w:rFonts w:ascii="Arial" w:eastAsia="Times New Roman" w:hAnsi="Arial" w:cs="Arial"/>
          <w:sz w:val="21"/>
          <w:szCs w:val="21"/>
          <w:lang w:val="es-ES_tradnl" w:eastAsia="es-ES_tradnl"/>
        </w:rPr>
        <w:t xml:space="preserve"> o con patrimonios autónomos o con personas naturales o jurídicas de derecho privado, cuyo régimen de contratación sea especial o de derecho privado, deberán aplicar los documentos tipo adoptados por la Agencia Nacional de Contratación Pública - Colombia Compra Eficiente o quien haga sus veces, conforme al parágrafo 7 del artículo 2 de la Ley 1150 de 2007 o las normas que lo modifiquen o sustituyan. </w:t>
      </w:r>
    </w:p>
    <w:p w14:paraId="4F32CB44" w14:textId="77777777" w:rsidR="008410D2" w:rsidRPr="007D0D5F" w:rsidRDefault="008410D2" w:rsidP="008410D2">
      <w:pPr>
        <w:tabs>
          <w:tab w:val="left" w:pos="0"/>
        </w:tabs>
        <w:spacing w:after="0" w:line="240" w:lineRule="auto"/>
        <w:ind w:left="709" w:right="709"/>
        <w:contextualSpacing/>
        <w:jc w:val="both"/>
        <w:rPr>
          <w:rFonts w:ascii="Arial" w:eastAsia="Times New Roman" w:hAnsi="Arial" w:cs="Arial"/>
          <w:sz w:val="12"/>
          <w:szCs w:val="12"/>
          <w:lang w:val="es-ES_tradnl" w:eastAsia="es-ES_tradnl"/>
        </w:rPr>
      </w:pPr>
    </w:p>
    <w:p w14:paraId="6AACC6C4" w14:textId="77777777" w:rsidR="008410D2" w:rsidRDefault="008410D2" w:rsidP="008410D2">
      <w:pPr>
        <w:tabs>
          <w:tab w:val="left" w:pos="0"/>
        </w:tabs>
        <w:spacing w:after="0" w:line="240" w:lineRule="auto"/>
        <w:ind w:left="709" w:right="709"/>
        <w:contextualSpacing/>
        <w:jc w:val="both"/>
        <w:rPr>
          <w:rFonts w:ascii="Arial" w:eastAsia="Times New Roman" w:hAnsi="Arial" w:cs="Arial"/>
          <w:sz w:val="21"/>
          <w:szCs w:val="21"/>
          <w:lang w:val="es-ES_tradnl" w:eastAsia="es-ES_tradnl"/>
        </w:rPr>
      </w:pPr>
      <w:r w:rsidRPr="00C046D8">
        <w:rPr>
          <w:rFonts w:ascii="Arial" w:eastAsia="Times New Roman" w:hAnsi="Arial" w:cs="Arial"/>
          <w:sz w:val="21"/>
          <w:szCs w:val="21"/>
          <w:lang w:val="es-ES_tradnl" w:eastAsia="es-ES_tradnl"/>
        </w:rPr>
        <w:t xml:space="preserve">Los procedimientos de selección y los contratos que realicen en desarrollo de los anteriores negocios jurídicos, donde apliquen los documentos tipo se regirán por el Estatuto General de Contratación de la Administración Pública. </w:t>
      </w:r>
    </w:p>
    <w:p w14:paraId="01524FF5" w14:textId="77777777" w:rsidR="008410D2" w:rsidRPr="007D0D5F" w:rsidRDefault="008410D2" w:rsidP="008410D2">
      <w:pPr>
        <w:tabs>
          <w:tab w:val="left" w:pos="0"/>
        </w:tabs>
        <w:spacing w:after="0" w:line="240" w:lineRule="auto"/>
        <w:ind w:left="709" w:right="709"/>
        <w:contextualSpacing/>
        <w:jc w:val="both"/>
        <w:rPr>
          <w:rFonts w:ascii="Arial" w:eastAsia="Times New Roman" w:hAnsi="Arial" w:cs="Arial"/>
          <w:sz w:val="12"/>
          <w:szCs w:val="12"/>
          <w:lang w:val="es-ES_tradnl" w:eastAsia="es-ES_tradnl"/>
        </w:rPr>
      </w:pPr>
    </w:p>
    <w:p w14:paraId="4DD21C0E" w14:textId="5358C062" w:rsidR="008410D2" w:rsidRPr="00C046D8" w:rsidRDefault="008410D2" w:rsidP="008410D2">
      <w:pPr>
        <w:tabs>
          <w:tab w:val="left" w:pos="0"/>
        </w:tabs>
        <w:spacing w:after="0" w:line="240" w:lineRule="auto"/>
        <w:ind w:left="709" w:right="709"/>
        <w:contextualSpacing/>
        <w:jc w:val="both"/>
        <w:rPr>
          <w:rFonts w:ascii="Arial" w:eastAsia="Calibri" w:hAnsi="Arial" w:cs="Arial"/>
          <w:bCs/>
          <w:sz w:val="21"/>
          <w:szCs w:val="21"/>
          <w:lang w:val="es-ES_tradnl" w:eastAsia="es-ES_tradnl"/>
        </w:rPr>
      </w:pPr>
      <w:r w:rsidRPr="00C046D8">
        <w:rPr>
          <w:rFonts w:ascii="Arial" w:eastAsia="Times New Roman" w:hAnsi="Arial" w:cs="Arial"/>
          <w:sz w:val="21"/>
          <w:szCs w:val="21"/>
          <w:lang w:val="es-ES_tradnl" w:eastAsia="es-ES_tradnl"/>
        </w:rPr>
        <w:t>Parágrafo. Se exceptúan del presente artículo las Instituciones de Educación Superior públicas, las empresas sociales del Estado, las sociedades de economía mixta y las empresas industriales y comerciales del Estado, únicamente en cuanto a la contratación de su giro ordinario. En estos casos, en los manuales de contratación de estas entidades, se fomentará como buena práctica la aplicación de los pliegos tipo</w:t>
      </w:r>
      <w:r w:rsidR="0017508F">
        <w:rPr>
          <w:rFonts w:ascii="Arial" w:eastAsia="Times New Roman" w:hAnsi="Arial" w:cs="Arial"/>
          <w:sz w:val="21"/>
          <w:szCs w:val="21"/>
          <w:lang w:val="es-ES_tradnl" w:eastAsia="es-ES_tradnl"/>
        </w:rPr>
        <w:t>”</w:t>
      </w:r>
      <w:r w:rsidRPr="00C046D8">
        <w:rPr>
          <w:rFonts w:ascii="Arial" w:eastAsia="Times New Roman" w:hAnsi="Arial" w:cs="Arial"/>
          <w:sz w:val="21"/>
          <w:szCs w:val="21"/>
          <w:lang w:val="es-ES_tradnl" w:eastAsia="es-ES_tradnl"/>
        </w:rPr>
        <w:t>.</w:t>
      </w:r>
    </w:p>
    <w:p w14:paraId="108B2BD1" w14:textId="77777777" w:rsidR="008410D2" w:rsidRPr="00C046D8" w:rsidRDefault="008410D2" w:rsidP="008410D2">
      <w:pPr>
        <w:tabs>
          <w:tab w:val="left" w:pos="0"/>
        </w:tabs>
        <w:spacing w:after="0" w:line="276" w:lineRule="auto"/>
        <w:contextualSpacing/>
        <w:jc w:val="both"/>
        <w:rPr>
          <w:rFonts w:ascii="Arial" w:eastAsia="Calibri" w:hAnsi="Arial" w:cs="Arial"/>
          <w:bCs/>
          <w:lang w:val="es-ES_tradnl" w:eastAsia="es-ES_tradnl"/>
        </w:rPr>
      </w:pPr>
    </w:p>
    <w:p w14:paraId="461CB0FD" w14:textId="77777777" w:rsidR="008410D2" w:rsidRDefault="008410D2" w:rsidP="001A5552">
      <w:pPr>
        <w:tabs>
          <w:tab w:val="left" w:pos="0"/>
        </w:tabs>
        <w:spacing w:after="120" w:line="276" w:lineRule="auto"/>
        <w:jc w:val="both"/>
        <w:rPr>
          <w:rFonts w:ascii="Arial" w:eastAsia="Calibri" w:hAnsi="Arial" w:cs="Arial"/>
          <w:bCs/>
          <w:lang w:val="es-ES_tradnl" w:eastAsia="es-ES_tradnl"/>
        </w:rPr>
      </w:pPr>
      <w:r w:rsidRPr="00C046D8">
        <w:rPr>
          <w:rFonts w:ascii="Arial" w:eastAsia="Calibri" w:hAnsi="Arial" w:cs="Arial"/>
          <w:bCs/>
          <w:lang w:val="es-ES_tradnl" w:eastAsia="es-ES_tradnl"/>
        </w:rPr>
        <w:tab/>
        <w:t>Las implicaciones del</w:t>
      </w:r>
      <w:r>
        <w:rPr>
          <w:rFonts w:ascii="Arial" w:eastAsia="Calibri" w:hAnsi="Arial" w:cs="Arial"/>
          <w:bCs/>
          <w:lang w:val="es-ES_tradnl" w:eastAsia="es-ES_tradnl"/>
        </w:rPr>
        <w:t xml:space="preserve"> texto conforme al cual fue</w:t>
      </w:r>
      <w:r w:rsidRPr="00C046D8">
        <w:rPr>
          <w:rFonts w:ascii="Arial" w:eastAsia="Calibri" w:hAnsi="Arial" w:cs="Arial"/>
          <w:bCs/>
          <w:lang w:val="es-ES_tradnl" w:eastAsia="es-ES_tradnl"/>
        </w:rPr>
        <w:t xml:space="preserve"> </w:t>
      </w:r>
      <w:r>
        <w:rPr>
          <w:rFonts w:ascii="Arial" w:eastAsia="Calibri" w:hAnsi="Arial" w:cs="Arial"/>
          <w:bCs/>
          <w:lang w:val="es-ES_tradnl" w:eastAsia="es-ES_tradnl"/>
        </w:rPr>
        <w:t>expedida</w:t>
      </w:r>
      <w:r w:rsidRPr="00C046D8">
        <w:rPr>
          <w:rFonts w:ascii="Arial" w:eastAsia="Calibri" w:hAnsi="Arial" w:cs="Arial"/>
          <w:bCs/>
          <w:lang w:val="es-ES_tradnl" w:eastAsia="es-ES_tradnl"/>
        </w:rPr>
        <w:t xml:space="preserve"> esta norma son variadas y se presentan en múltiples ámbitos de la actividad contractual de las entidades estatales y sujetos de derecho privado mencionados en la norma, que, como consecuencia de la entrada en vigor de la disposición en cita, se ven afectados de diferentes maneras. </w:t>
      </w:r>
      <w:r>
        <w:rPr>
          <w:rFonts w:ascii="Arial" w:eastAsia="Calibri" w:hAnsi="Arial" w:cs="Arial"/>
          <w:bCs/>
          <w:lang w:val="es-ES_tradnl" w:eastAsia="es-ES_tradnl"/>
        </w:rPr>
        <w:t>Por esto</w:t>
      </w:r>
      <w:r w:rsidRPr="00C046D8">
        <w:rPr>
          <w:rFonts w:ascii="Arial" w:eastAsia="Calibri" w:hAnsi="Arial" w:cs="Arial"/>
          <w:bCs/>
          <w:lang w:val="es-ES_tradnl" w:eastAsia="es-ES_tradnl"/>
        </w:rPr>
        <w:t xml:space="preserve"> se hace necesario realizar una interpretación adecuada de esta disposición, orientada a precisar sus efectos respecto de diferentes sujetos mencionados en su texto, lo cual exige detenerse a analizar ciertos aspectos que, a juicio de esta Agencia, resultan indispensables para determinar el verdadero alcance de la norma bajo estudio, a lo cual se procede a continuación.</w:t>
      </w:r>
    </w:p>
    <w:p w14:paraId="55BEBF5D" w14:textId="77777777" w:rsidR="008410D2" w:rsidRDefault="008410D2" w:rsidP="008410D2">
      <w:pPr>
        <w:tabs>
          <w:tab w:val="left" w:pos="0"/>
        </w:tabs>
        <w:spacing w:after="0" w:line="276" w:lineRule="auto"/>
        <w:jc w:val="both"/>
        <w:rPr>
          <w:rFonts w:ascii="Arial" w:eastAsia="Calibri" w:hAnsi="Arial" w:cs="Arial"/>
          <w:bCs/>
          <w:lang w:val="es-ES_tradnl" w:eastAsia="es-ES_tradnl"/>
        </w:rPr>
      </w:pPr>
      <w:r>
        <w:rPr>
          <w:rFonts w:ascii="Arial" w:eastAsia="Calibri" w:hAnsi="Arial" w:cs="Arial"/>
          <w:bCs/>
          <w:lang w:val="es-ES_tradnl" w:eastAsia="es-ES_tradnl"/>
        </w:rPr>
        <w:tab/>
      </w:r>
      <w:r w:rsidRPr="00C046D8">
        <w:rPr>
          <w:rFonts w:ascii="Arial" w:eastAsia="Calibri" w:hAnsi="Arial" w:cs="Arial"/>
          <w:bCs/>
          <w:lang w:val="es-ES_tradnl" w:eastAsia="es-ES_tradnl"/>
        </w:rPr>
        <w:t xml:space="preserve">Como se desprende de la frase inicial de la norma citada, </w:t>
      </w:r>
      <w:r>
        <w:rPr>
          <w:rFonts w:ascii="Arial" w:eastAsia="Calibri" w:hAnsi="Arial" w:cs="Arial"/>
          <w:bCs/>
          <w:lang w:val="es-ES_tradnl" w:eastAsia="es-ES_tradnl"/>
        </w:rPr>
        <w:t xml:space="preserve">es claro que el primer y principal </w:t>
      </w:r>
      <w:r w:rsidRPr="00C046D8">
        <w:rPr>
          <w:rFonts w:ascii="Arial" w:eastAsia="Calibri" w:hAnsi="Arial" w:cs="Arial"/>
          <w:bCs/>
          <w:lang w:val="es-ES_tradnl" w:eastAsia="es-ES_tradnl"/>
        </w:rPr>
        <w:t xml:space="preserve">mandato </w:t>
      </w:r>
      <w:r>
        <w:rPr>
          <w:rFonts w:ascii="Arial" w:eastAsia="Calibri" w:hAnsi="Arial" w:cs="Arial"/>
          <w:bCs/>
          <w:lang w:val="es-ES_tradnl" w:eastAsia="es-ES_tradnl"/>
        </w:rPr>
        <w:t xml:space="preserve">de la norma únicamente se encuentra </w:t>
      </w:r>
      <w:r w:rsidRPr="00C046D8">
        <w:rPr>
          <w:rFonts w:ascii="Arial" w:eastAsia="Calibri" w:hAnsi="Arial" w:cs="Arial"/>
          <w:bCs/>
          <w:lang w:val="es-ES_tradnl" w:eastAsia="es-ES_tradnl"/>
        </w:rPr>
        <w:t xml:space="preserve">dirigido a las entidades estatales sometidas al EGCAP, para que, en la adquisición de bienes, obras o servicios, apliquen los documentos tipo expedidos por esta Agencia, cuando celebren contratos o convenios interadministrativos o de cualquier otra índole con otra </w:t>
      </w:r>
      <w:r>
        <w:rPr>
          <w:rFonts w:ascii="Arial" w:eastAsia="Calibri" w:hAnsi="Arial" w:cs="Arial"/>
          <w:bCs/>
          <w:lang w:val="es-ES_tradnl" w:eastAsia="es-ES_tradnl"/>
        </w:rPr>
        <w:t>Entidad Estatal</w:t>
      </w:r>
      <w:r w:rsidRPr="00C046D8">
        <w:rPr>
          <w:rFonts w:ascii="Arial" w:eastAsia="Calibri" w:hAnsi="Arial" w:cs="Arial"/>
          <w:bCs/>
          <w:lang w:val="es-ES_tradnl" w:eastAsia="es-ES_tradnl"/>
        </w:rPr>
        <w:t>, o con patrimonios autónomos o con personas naturales o jurídicas, cuyo régimen de contratación sea especial o de derecho privado.</w:t>
      </w:r>
      <w:r>
        <w:rPr>
          <w:rFonts w:ascii="Arial" w:eastAsia="Calibri" w:hAnsi="Arial" w:cs="Arial"/>
          <w:bCs/>
          <w:lang w:val="es-ES_tradnl" w:eastAsia="es-ES_tradnl"/>
        </w:rPr>
        <w:t xml:space="preserve"> En ese sentido,</w:t>
      </w:r>
      <w:r w:rsidRPr="00C046D8">
        <w:rPr>
          <w:rFonts w:ascii="Arial" w:eastAsia="Calibri" w:hAnsi="Arial" w:cs="Arial"/>
          <w:bCs/>
          <w:lang w:val="es-ES_tradnl" w:eastAsia="es-ES_tradnl"/>
        </w:rPr>
        <w:t xml:space="preserve"> el primer inciso de la norma reafirma el deber de las entidades sometidas al EGCAP de aplicar los documentos tipo. </w:t>
      </w:r>
    </w:p>
    <w:p w14:paraId="11C02A61" w14:textId="77777777" w:rsidR="008410D2" w:rsidRPr="004D745F" w:rsidRDefault="008410D2" w:rsidP="001A5552">
      <w:pPr>
        <w:tabs>
          <w:tab w:val="left" w:pos="0"/>
        </w:tabs>
        <w:spacing w:after="120" w:line="276" w:lineRule="auto"/>
        <w:jc w:val="both"/>
        <w:rPr>
          <w:rFonts w:ascii="Arial" w:eastAsia="Calibri" w:hAnsi="Arial" w:cs="Arial"/>
          <w:lang w:val="es-ES_tradnl" w:eastAsia="es-ES_tradnl"/>
        </w:rPr>
      </w:pPr>
      <w:r>
        <w:rPr>
          <w:rFonts w:ascii="Arial" w:eastAsia="Calibri" w:hAnsi="Arial" w:cs="Arial"/>
          <w:bCs/>
          <w:lang w:val="es-ES_tradnl" w:eastAsia="es-ES_tradnl"/>
        </w:rPr>
        <w:tab/>
      </w:r>
      <w:r w:rsidRPr="00165C4E">
        <w:rPr>
          <w:rFonts w:ascii="Arial" w:eastAsia="Calibri" w:hAnsi="Arial" w:cs="Arial"/>
          <w:lang w:val="es-ES_tradnl" w:eastAsia="es-ES_tradnl"/>
        </w:rPr>
        <w:t>De acuerdo con lo anterior, el artículo 56 de la Ley 2195 de 2022, en principio, se presenta como una norma que complementa al parágrafo 7 del artículo 2 de la Ley 1150 de 2007, modificado por la Ley 2022 de 2020, que establece el mandato de aplicación obligatoria de los documentos tipo para las entidades sometidas al EGCAP cuando celebren contratos o convenios interadministrativos o de cualquier otra índole, y en el marco de la regla de interpretación</w:t>
      </w:r>
      <w:r>
        <w:rPr>
          <w:rFonts w:ascii="Arial" w:eastAsia="Calibri" w:hAnsi="Arial" w:cs="Arial"/>
          <w:lang w:val="es-ES_tradnl" w:eastAsia="es-ES_tradnl"/>
        </w:rPr>
        <w:t xml:space="preserve"> </w:t>
      </w:r>
      <w:r w:rsidRPr="00165C4E">
        <w:rPr>
          <w:rFonts w:ascii="Arial" w:eastAsia="Calibri" w:hAnsi="Arial" w:cs="Arial"/>
          <w:lang w:val="es-ES_tradnl" w:eastAsia="es-ES_tradnl"/>
        </w:rPr>
        <w:t xml:space="preserve">por contexto conforme al criterio </w:t>
      </w:r>
      <w:r>
        <w:rPr>
          <w:rFonts w:ascii="Arial" w:eastAsia="Calibri" w:hAnsi="Arial" w:cs="Arial"/>
          <w:lang w:val="es-ES_tradnl" w:eastAsia="es-ES_tradnl"/>
        </w:rPr>
        <w:t xml:space="preserve">hermenéutico </w:t>
      </w:r>
      <w:r w:rsidRPr="00165C4E">
        <w:rPr>
          <w:rFonts w:ascii="Arial" w:eastAsia="Calibri" w:hAnsi="Arial" w:cs="Arial"/>
          <w:lang w:val="es-ES_tradnl" w:eastAsia="es-ES_tradnl"/>
        </w:rPr>
        <w:t xml:space="preserve">del artículo 30 del Código Civil, </w:t>
      </w:r>
      <w:r>
        <w:rPr>
          <w:rFonts w:ascii="Arial" w:eastAsia="Calibri" w:hAnsi="Arial" w:cs="Arial"/>
          <w:lang w:val="es-ES_tradnl" w:eastAsia="es-ES_tradnl"/>
        </w:rPr>
        <w:t xml:space="preserve">según el cual </w:t>
      </w:r>
      <w:r w:rsidRPr="00165C4E">
        <w:rPr>
          <w:rFonts w:ascii="Arial" w:eastAsia="Calibri" w:hAnsi="Arial" w:cs="Arial"/>
          <w:lang w:val="es-ES_tradnl" w:eastAsia="es-ES_tradnl"/>
        </w:rPr>
        <w:t>“Los pasajes oscuros de una ley pueden ser ilustrados por medio de otras leyes, particularmente si versan sobre el mismo asunto”</w:t>
      </w:r>
      <w:r>
        <w:rPr>
          <w:rFonts w:ascii="Arial" w:eastAsia="Calibri" w:hAnsi="Arial" w:cs="Arial"/>
          <w:lang w:val="es-ES_tradnl" w:eastAsia="es-ES_tradnl"/>
        </w:rPr>
        <w:t>,</w:t>
      </w:r>
      <w:r w:rsidRPr="00165C4E">
        <w:rPr>
          <w:rFonts w:ascii="Arial" w:eastAsia="Calibri" w:hAnsi="Arial" w:cs="Arial"/>
          <w:lang w:val="es-ES_tradnl" w:eastAsia="es-ES_tradnl"/>
        </w:rPr>
        <w:t xml:space="preserve"> y de interpretación </w:t>
      </w:r>
      <w:r>
        <w:rPr>
          <w:rFonts w:ascii="Arial" w:eastAsia="Calibri" w:hAnsi="Arial" w:cs="Arial"/>
          <w:lang w:val="es-ES_tradnl" w:eastAsia="es-ES_tradnl"/>
        </w:rPr>
        <w:t xml:space="preserve">por </w:t>
      </w:r>
      <w:r w:rsidRPr="00165C4E">
        <w:rPr>
          <w:rFonts w:ascii="Arial" w:eastAsia="Calibri" w:hAnsi="Arial" w:cs="Arial"/>
          <w:lang w:val="es-ES_tradnl" w:eastAsia="es-ES_tradnl"/>
        </w:rPr>
        <w:t xml:space="preserve">extensión de una </w:t>
      </w:r>
      <w:r>
        <w:rPr>
          <w:rFonts w:ascii="Arial" w:eastAsia="Calibri" w:hAnsi="Arial" w:cs="Arial"/>
          <w:lang w:val="es-ES_tradnl" w:eastAsia="es-ES_tradnl"/>
        </w:rPr>
        <w:t>l</w:t>
      </w:r>
      <w:r w:rsidRPr="00165C4E">
        <w:rPr>
          <w:rFonts w:ascii="Arial" w:eastAsia="Calibri" w:hAnsi="Arial" w:cs="Arial"/>
          <w:lang w:val="es-ES_tradnl" w:eastAsia="es-ES_tradnl"/>
        </w:rPr>
        <w:t xml:space="preserve">ey consagrada en el artículo 31 </w:t>
      </w:r>
      <w:r w:rsidRPr="004D745F">
        <w:rPr>
          <w:rFonts w:ascii="Arial" w:eastAsia="Calibri" w:hAnsi="Arial" w:cs="Arial"/>
          <w:i/>
          <w:iCs/>
          <w:lang w:val="es-ES_tradnl" w:eastAsia="es-ES_tradnl"/>
        </w:rPr>
        <w:t>ibidem</w:t>
      </w:r>
      <w:r w:rsidRPr="00165C4E">
        <w:rPr>
          <w:rFonts w:ascii="Arial" w:eastAsia="Calibri" w:hAnsi="Arial" w:cs="Arial"/>
          <w:lang w:val="es-ES_tradnl" w:eastAsia="es-ES_tradnl"/>
        </w:rPr>
        <w:t>,</w:t>
      </w:r>
      <w:r>
        <w:rPr>
          <w:rFonts w:ascii="Arial" w:eastAsia="Calibri" w:hAnsi="Arial" w:cs="Arial"/>
          <w:lang w:val="es-ES_tradnl" w:eastAsia="es-ES_tradnl"/>
        </w:rPr>
        <w:t xml:space="preserve"> conforme al cual</w:t>
      </w:r>
      <w:r w:rsidRPr="00165C4E">
        <w:rPr>
          <w:rFonts w:ascii="Arial" w:eastAsia="Calibri" w:hAnsi="Arial" w:cs="Arial"/>
          <w:lang w:val="es-ES_tradnl" w:eastAsia="es-ES_tradnl"/>
        </w:rPr>
        <w:t xml:space="preserve"> “Lo favorable u odioso de una disposición no se tomará en cuenta para ampliar o restringir su interpretación. La extensión que deba darse a toda ley se determinará por su genuino sentido, y según las reglas de interpretación precedentes”</w:t>
      </w:r>
      <w:r>
        <w:rPr>
          <w:rFonts w:ascii="Arial" w:eastAsia="Calibri" w:hAnsi="Arial" w:cs="Arial"/>
          <w:lang w:val="es-ES_tradnl" w:eastAsia="es-ES_tradnl"/>
        </w:rPr>
        <w:t>.</w:t>
      </w:r>
      <w:r w:rsidRPr="00165C4E">
        <w:rPr>
          <w:rFonts w:ascii="Arial" w:eastAsia="Calibri" w:hAnsi="Arial" w:cs="Arial"/>
          <w:lang w:val="es-ES_tradnl" w:eastAsia="es-ES_tradnl"/>
        </w:rPr>
        <w:t xml:space="preserve"> </w:t>
      </w:r>
      <w:r>
        <w:rPr>
          <w:rFonts w:ascii="Arial" w:eastAsia="Calibri" w:hAnsi="Arial" w:cs="Arial"/>
          <w:bCs/>
          <w:lang w:val="es-ES_tradnl" w:eastAsia="es-ES_tradnl"/>
        </w:rPr>
        <w:t xml:space="preserve">Desde esta perspectiva, </w:t>
      </w:r>
      <w:r w:rsidRPr="00165C4E">
        <w:rPr>
          <w:rFonts w:ascii="Arial" w:eastAsia="Calibri" w:hAnsi="Arial" w:cs="Arial"/>
          <w:bCs/>
          <w:lang w:val="es-ES_tradnl" w:eastAsia="es-ES_tradnl"/>
        </w:rPr>
        <w:t>no pu</w:t>
      </w:r>
      <w:r>
        <w:rPr>
          <w:rFonts w:ascii="Arial" w:eastAsia="Calibri" w:hAnsi="Arial" w:cs="Arial"/>
          <w:bCs/>
          <w:lang w:val="es-ES_tradnl" w:eastAsia="es-ES_tradnl"/>
        </w:rPr>
        <w:t>diera</w:t>
      </w:r>
      <w:r w:rsidRPr="00165C4E">
        <w:rPr>
          <w:rFonts w:ascii="Arial" w:eastAsia="Calibri" w:hAnsi="Arial" w:cs="Arial"/>
          <w:lang w:val="es-ES_tradnl" w:eastAsia="es-ES_tradnl"/>
        </w:rPr>
        <w:t xml:space="preserve"> pensarse entonces que se extiende la aplicación a particulares y a entidades con régimen de contratación especial la obligatoriedad de adelantar procesos de selección y suscribir contratos sometidos al EGCAP, puesto que el texto de la Ley 2022 de 2020 establece con claridad la regla de aplicación obligatoria de los documentos tipo en los procesos de contratación adelantados por las entidades estatales regidas por el EGCAP, </w:t>
      </w:r>
      <w:r>
        <w:rPr>
          <w:rFonts w:ascii="Arial" w:eastAsia="Calibri" w:hAnsi="Arial" w:cs="Arial"/>
          <w:lang w:val="es-ES_tradnl" w:eastAsia="es-ES_tradnl"/>
        </w:rPr>
        <w:t>es decir,</w:t>
      </w:r>
      <w:r w:rsidRPr="00165C4E">
        <w:rPr>
          <w:rFonts w:ascii="Arial" w:eastAsia="Calibri" w:hAnsi="Arial" w:cs="Arial"/>
          <w:bCs/>
          <w:lang w:val="es-ES_tradnl" w:eastAsia="es-ES_tradnl"/>
        </w:rPr>
        <w:t xml:space="preserve"> </w:t>
      </w:r>
      <w:r w:rsidRPr="00165C4E">
        <w:rPr>
          <w:rFonts w:ascii="Arial" w:eastAsia="Calibri" w:hAnsi="Arial" w:cs="Arial"/>
          <w:lang w:val="es-ES_tradnl" w:eastAsia="es-ES_tradnl"/>
        </w:rPr>
        <w:t>la obligatoriedad de utilizar documentos pliego tipo</w:t>
      </w:r>
      <w:r>
        <w:rPr>
          <w:rFonts w:ascii="Arial" w:eastAsia="Calibri" w:hAnsi="Arial" w:cs="Arial"/>
          <w:lang w:val="es-ES_tradnl" w:eastAsia="es-ES_tradnl"/>
        </w:rPr>
        <w:t xml:space="preserve"> </w:t>
      </w:r>
      <w:r>
        <w:rPr>
          <w:rFonts w:ascii="Arial" w:eastAsia="Calibri" w:hAnsi="Arial" w:cs="Arial"/>
          <w:bCs/>
          <w:lang w:val="es-ES_tradnl" w:eastAsia="es-ES_tradnl"/>
        </w:rPr>
        <w:t>se extiende</w:t>
      </w:r>
      <w:r w:rsidRPr="00165C4E">
        <w:rPr>
          <w:rFonts w:ascii="Arial" w:eastAsia="Calibri" w:hAnsi="Arial" w:cs="Arial"/>
          <w:bCs/>
          <w:lang w:val="es-ES_tradnl" w:eastAsia="es-ES_tradnl"/>
        </w:rPr>
        <w:t xml:space="preserve"> </w:t>
      </w:r>
      <w:r w:rsidRPr="00165C4E">
        <w:rPr>
          <w:rFonts w:ascii="Arial" w:eastAsia="Calibri" w:hAnsi="Arial" w:cs="Arial"/>
          <w:lang w:val="es-ES_tradnl" w:eastAsia="es-ES_tradnl"/>
        </w:rPr>
        <w:t xml:space="preserve">en los convenios o contratos interadministrativos o de cualquier otra índole, </w:t>
      </w:r>
      <w:r>
        <w:rPr>
          <w:rFonts w:ascii="Arial" w:eastAsia="Calibri" w:hAnsi="Arial" w:cs="Arial"/>
          <w:bCs/>
          <w:lang w:val="es-ES_tradnl" w:eastAsia="es-ES_tradnl"/>
        </w:rPr>
        <w:t>y</w:t>
      </w:r>
      <w:r w:rsidRPr="00165C4E">
        <w:rPr>
          <w:rFonts w:ascii="Arial" w:eastAsia="Calibri" w:hAnsi="Arial" w:cs="Arial"/>
          <w:lang w:val="es-ES_tradnl" w:eastAsia="es-ES_tradnl"/>
        </w:rPr>
        <w:t>a las diferentes modalidades de selección de los Procesos de Contratación adelantados por entidades sometidas al EGCAP</w:t>
      </w:r>
      <w:r>
        <w:rPr>
          <w:rFonts w:ascii="Arial" w:eastAsia="Calibri" w:hAnsi="Arial" w:cs="Arial"/>
          <w:bCs/>
          <w:lang w:val="es-ES_tradnl" w:eastAsia="es-ES_tradnl"/>
        </w:rPr>
        <w:t>.</w:t>
      </w:r>
    </w:p>
    <w:p w14:paraId="14268BAE" w14:textId="77777777" w:rsidR="008410D2" w:rsidRDefault="008410D2" w:rsidP="008410D2">
      <w:pPr>
        <w:tabs>
          <w:tab w:val="left" w:pos="0"/>
        </w:tabs>
        <w:spacing w:after="0" w:line="276" w:lineRule="auto"/>
        <w:jc w:val="both"/>
        <w:rPr>
          <w:rFonts w:ascii="Arial" w:eastAsia="Calibri" w:hAnsi="Arial" w:cs="Arial"/>
          <w:bCs/>
          <w:lang w:val="es-ES_tradnl" w:eastAsia="es-ES_tradnl"/>
        </w:rPr>
      </w:pPr>
      <w:r>
        <w:rPr>
          <w:rFonts w:ascii="Arial" w:eastAsia="Calibri" w:hAnsi="Arial" w:cs="Arial"/>
          <w:bCs/>
          <w:lang w:val="es-ES_tradnl" w:eastAsia="es-ES_tradnl"/>
        </w:rPr>
        <w:tab/>
        <w:t>A</w:t>
      </w:r>
      <w:r w:rsidRPr="006A55BE">
        <w:rPr>
          <w:rFonts w:ascii="Arial" w:eastAsia="Calibri" w:hAnsi="Arial" w:cs="Arial"/>
          <w:bCs/>
          <w:lang w:val="es-ES_tradnl" w:eastAsia="es-ES_tradnl"/>
        </w:rPr>
        <w:t>ntes</w:t>
      </w:r>
      <w:r w:rsidRPr="00C046D8">
        <w:rPr>
          <w:rFonts w:ascii="Arial" w:eastAsia="Calibri" w:hAnsi="Arial" w:cs="Arial"/>
          <w:bCs/>
          <w:lang w:val="es-ES_tradnl" w:eastAsia="es-ES_tradnl"/>
        </w:rPr>
        <w:t xml:space="preserve"> de la expedición del artículo 56</w:t>
      </w:r>
      <w:r>
        <w:rPr>
          <w:rFonts w:ascii="Arial" w:eastAsia="Calibri" w:hAnsi="Arial" w:cs="Arial"/>
          <w:bCs/>
          <w:lang w:val="es-ES_tradnl" w:eastAsia="es-ES_tradnl"/>
        </w:rPr>
        <w:t xml:space="preserve"> de </w:t>
      </w:r>
      <w:r w:rsidRPr="00C046D8">
        <w:rPr>
          <w:rFonts w:ascii="Arial" w:eastAsia="Calibri" w:hAnsi="Arial" w:cs="Arial"/>
          <w:bCs/>
          <w:lang w:val="es-ES_tradnl" w:eastAsia="es-ES_tradnl"/>
        </w:rPr>
        <w:t>la Ley 2022 de 2020</w:t>
      </w:r>
      <w:r>
        <w:rPr>
          <w:rFonts w:ascii="Arial" w:eastAsia="Calibri" w:hAnsi="Arial" w:cs="Arial"/>
          <w:bCs/>
          <w:lang w:val="es-ES_tradnl" w:eastAsia="es-ES_tradnl"/>
        </w:rPr>
        <w:t>,</w:t>
      </w:r>
      <w:r w:rsidRPr="00C046D8">
        <w:rPr>
          <w:rFonts w:ascii="Arial" w:eastAsia="Calibri" w:hAnsi="Arial" w:cs="Arial"/>
          <w:bCs/>
          <w:lang w:val="es-ES_tradnl" w:eastAsia="es-ES_tradnl"/>
        </w:rPr>
        <w:t xml:space="preserve"> ya</w:t>
      </w:r>
      <w:r>
        <w:rPr>
          <w:rFonts w:ascii="Arial" w:eastAsia="Calibri" w:hAnsi="Arial" w:cs="Arial"/>
          <w:bCs/>
          <w:lang w:val="es-ES_tradnl" w:eastAsia="es-ES_tradnl"/>
        </w:rPr>
        <w:t xml:space="preserve"> se</w:t>
      </w:r>
      <w:r w:rsidRPr="00C046D8">
        <w:rPr>
          <w:rFonts w:ascii="Arial" w:eastAsia="Calibri" w:hAnsi="Arial" w:cs="Arial"/>
          <w:bCs/>
          <w:lang w:val="es-ES_tradnl" w:eastAsia="es-ES_tradnl"/>
        </w:rPr>
        <w:t xml:space="preserve"> había establecido el mandato de aplicación obligatoria de los documentos tipo</w:t>
      </w:r>
      <w:r>
        <w:rPr>
          <w:rFonts w:ascii="Arial" w:eastAsia="Calibri" w:hAnsi="Arial" w:cs="Arial"/>
          <w:bCs/>
          <w:lang w:val="es-ES_tradnl" w:eastAsia="es-ES_tradnl"/>
        </w:rPr>
        <w:t xml:space="preserve"> para las entidades estatales sometidas al EGCAP</w:t>
      </w:r>
      <w:r w:rsidRPr="00C046D8">
        <w:rPr>
          <w:rFonts w:ascii="Arial" w:eastAsia="Calibri" w:hAnsi="Arial" w:cs="Arial"/>
          <w:bCs/>
          <w:lang w:val="es-ES_tradnl" w:eastAsia="es-ES_tradnl"/>
        </w:rPr>
        <w:t xml:space="preserve">, atribuyendo a esta Agencia la competencia para expedirlos. </w:t>
      </w:r>
      <w:r>
        <w:rPr>
          <w:rFonts w:ascii="Arial" w:eastAsia="Calibri" w:hAnsi="Arial" w:cs="Arial"/>
          <w:bCs/>
          <w:lang w:val="es-ES_tradnl" w:eastAsia="es-ES_tradnl"/>
        </w:rPr>
        <w:t xml:space="preserve">Esta norma imperativa debía observarse siempre y cuando el objeto contratar este </w:t>
      </w:r>
      <w:r w:rsidRPr="00C046D8">
        <w:rPr>
          <w:rFonts w:ascii="Arial" w:eastAsia="Calibri" w:hAnsi="Arial" w:cs="Arial"/>
          <w:bCs/>
          <w:lang w:val="es-ES_tradnl" w:eastAsia="es-ES_tradnl"/>
        </w:rPr>
        <w:t>cobijado por algún documento tipo vigente</w:t>
      </w:r>
      <w:r>
        <w:rPr>
          <w:rFonts w:ascii="Arial" w:eastAsia="Calibri" w:hAnsi="Arial" w:cs="Arial"/>
          <w:bCs/>
          <w:lang w:val="es-ES_tradnl" w:eastAsia="es-ES_tradnl"/>
        </w:rPr>
        <w:t>, no obstante, si la Entidad Estatal optaba bajo la modalidad de selección de contratación directa, celebrar convenios o contratos interadministrativos, o de cualquier otra índole, con</w:t>
      </w:r>
      <w:r w:rsidRPr="00C046D8">
        <w:rPr>
          <w:rFonts w:ascii="Arial" w:eastAsia="Calibri" w:hAnsi="Arial" w:cs="Arial"/>
          <w:bCs/>
          <w:lang w:val="es-ES_tradnl" w:eastAsia="es-ES_tradnl"/>
        </w:rPr>
        <w:t xml:space="preserve"> entidades con regímenes especiales o de derecho privado era un asunto que escapaba del ámbito de aplicación de lo establecido por la Ley 2022 de 2020, incluso tratándose de obras o servicios para cuya contratación </w:t>
      </w:r>
      <w:r>
        <w:rPr>
          <w:rFonts w:ascii="Arial" w:eastAsia="Calibri" w:hAnsi="Arial" w:cs="Arial"/>
          <w:bCs/>
          <w:lang w:val="es-ES_tradnl" w:eastAsia="es-ES_tradnl"/>
        </w:rPr>
        <w:t>le fuese aplicable los</w:t>
      </w:r>
      <w:r w:rsidRPr="00C046D8">
        <w:rPr>
          <w:rFonts w:ascii="Arial" w:eastAsia="Calibri" w:hAnsi="Arial" w:cs="Arial"/>
          <w:bCs/>
          <w:lang w:val="es-ES_tradnl" w:eastAsia="es-ES_tradnl"/>
        </w:rPr>
        <w:t xml:space="preserve"> documentos tipo vigentes</w:t>
      </w:r>
      <w:r>
        <w:rPr>
          <w:rFonts w:ascii="Arial" w:eastAsia="Calibri" w:hAnsi="Arial" w:cs="Arial"/>
          <w:bCs/>
          <w:lang w:val="es-ES_tradnl" w:eastAsia="es-ES_tradnl"/>
        </w:rPr>
        <w:t>.</w:t>
      </w:r>
    </w:p>
    <w:p w14:paraId="25C94DC8" w14:textId="77777777" w:rsidR="008410D2" w:rsidRDefault="008410D2" w:rsidP="008410D2">
      <w:pPr>
        <w:tabs>
          <w:tab w:val="left" w:pos="0"/>
        </w:tabs>
        <w:spacing w:after="0" w:line="276" w:lineRule="auto"/>
        <w:jc w:val="both"/>
        <w:rPr>
          <w:rFonts w:ascii="Arial" w:eastAsia="Calibri" w:hAnsi="Arial" w:cs="Arial"/>
          <w:bCs/>
          <w:lang w:val="es-ES_tradnl" w:eastAsia="es-ES_tradnl"/>
        </w:rPr>
      </w:pPr>
      <w:r>
        <w:rPr>
          <w:rFonts w:ascii="Arial" w:eastAsia="Calibri" w:hAnsi="Arial" w:cs="Arial"/>
          <w:bCs/>
          <w:lang w:val="es-ES_tradnl" w:eastAsia="es-ES_tradnl"/>
        </w:rPr>
        <w:tab/>
      </w:r>
      <w:r w:rsidRPr="00165C4E">
        <w:rPr>
          <w:rFonts w:ascii="Arial" w:eastAsia="Calibri" w:hAnsi="Arial" w:cs="Arial"/>
          <w:lang w:val="es-ES_tradnl" w:eastAsia="es-ES_tradnl"/>
        </w:rPr>
        <w:t>Ahora,</w:t>
      </w:r>
      <w:r>
        <w:rPr>
          <w:rFonts w:ascii="Arial" w:eastAsia="Calibri" w:hAnsi="Arial" w:cs="Arial"/>
          <w:bCs/>
          <w:lang w:val="es-ES_tradnl" w:eastAsia="es-ES_tradnl"/>
        </w:rPr>
        <w:t xml:space="preserve"> con la entrada en vigencia del artículo 56 de la Ley 2195 de 2022, </w:t>
      </w:r>
      <w:r w:rsidRPr="00C046D8">
        <w:rPr>
          <w:rFonts w:ascii="Arial" w:eastAsia="Calibri" w:hAnsi="Arial" w:cs="Arial"/>
          <w:bCs/>
          <w:lang w:val="es-ES_tradnl" w:eastAsia="es-ES_tradnl"/>
        </w:rPr>
        <w:t xml:space="preserve">la aplicación de documentos </w:t>
      </w:r>
      <w:r>
        <w:rPr>
          <w:rFonts w:ascii="Arial" w:eastAsia="Calibri" w:hAnsi="Arial" w:cs="Arial"/>
          <w:bCs/>
          <w:lang w:val="es-ES_tradnl" w:eastAsia="es-ES_tradnl"/>
        </w:rPr>
        <w:t xml:space="preserve">pliego </w:t>
      </w:r>
      <w:r w:rsidRPr="00C046D8">
        <w:rPr>
          <w:rFonts w:ascii="Arial" w:eastAsia="Calibri" w:hAnsi="Arial" w:cs="Arial"/>
          <w:bCs/>
          <w:lang w:val="es-ES_tradnl" w:eastAsia="es-ES_tradnl"/>
        </w:rPr>
        <w:t xml:space="preserve">tipo </w:t>
      </w:r>
      <w:r>
        <w:rPr>
          <w:rFonts w:ascii="Arial" w:eastAsia="Calibri" w:hAnsi="Arial" w:cs="Arial"/>
          <w:bCs/>
          <w:lang w:val="es-ES_tradnl" w:eastAsia="es-ES_tradnl"/>
        </w:rPr>
        <w:t xml:space="preserve">resulta obligatoria cuando la Entidad Estatal opta por celebrar convenios o contratos interadministrativos, o de cualquier otra índole, sin que por ello implique que las entidades de </w:t>
      </w:r>
      <w:r w:rsidRPr="00C046D8">
        <w:rPr>
          <w:rFonts w:ascii="Arial" w:eastAsia="Calibri" w:hAnsi="Arial" w:cs="Arial"/>
          <w:bCs/>
          <w:lang w:val="es-ES_tradnl" w:eastAsia="es-ES_tradnl"/>
        </w:rPr>
        <w:t xml:space="preserve">regímenes especiales </w:t>
      </w:r>
      <w:r>
        <w:rPr>
          <w:rFonts w:ascii="Arial" w:eastAsia="Calibri" w:hAnsi="Arial" w:cs="Arial"/>
          <w:bCs/>
          <w:lang w:val="es-ES_tradnl" w:eastAsia="es-ES_tradnl"/>
        </w:rPr>
        <w:t xml:space="preserve">de contratación, patrimonios autónomos o personas naturales o jurídicas </w:t>
      </w:r>
      <w:r w:rsidRPr="00C046D8">
        <w:rPr>
          <w:rFonts w:ascii="Arial" w:eastAsia="Calibri" w:hAnsi="Arial" w:cs="Arial"/>
          <w:bCs/>
          <w:lang w:val="es-ES_tradnl" w:eastAsia="es-ES_tradnl"/>
        </w:rPr>
        <w:t>de derecho privado</w:t>
      </w:r>
      <w:r>
        <w:rPr>
          <w:rFonts w:ascii="Arial" w:eastAsia="Calibri" w:hAnsi="Arial" w:cs="Arial"/>
          <w:bCs/>
          <w:lang w:val="es-ES_tradnl" w:eastAsia="es-ES_tradnl"/>
        </w:rPr>
        <w:t xml:space="preserve"> se las haya habilitado legalmente para que apliquen documentos pliego tipo en su contratación privada, por cuanto, la norma parte de la premisa fundamental de que </w:t>
      </w:r>
      <w:r w:rsidRPr="00C046D8">
        <w:rPr>
          <w:rFonts w:ascii="Arial" w:eastAsia="Calibri" w:hAnsi="Arial" w:cs="Arial"/>
          <w:bCs/>
          <w:lang w:val="es-ES_tradnl" w:eastAsia="es-ES_tradnl"/>
        </w:rPr>
        <w:t xml:space="preserve">la aplicación de estos solo </w:t>
      </w:r>
      <w:r>
        <w:rPr>
          <w:rFonts w:ascii="Arial" w:eastAsia="Calibri" w:hAnsi="Arial" w:cs="Arial"/>
          <w:bCs/>
          <w:lang w:val="es-ES_tradnl" w:eastAsia="es-ES_tradnl"/>
        </w:rPr>
        <w:t xml:space="preserve">es </w:t>
      </w:r>
      <w:r w:rsidRPr="00C046D8">
        <w:rPr>
          <w:rFonts w:ascii="Arial" w:eastAsia="Calibri" w:hAnsi="Arial" w:cs="Arial"/>
          <w:bCs/>
          <w:lang w:val="es-ES_tradnl" w:eastAsia="es-ES_tradnl"/>
        </w:rPr>
        <w:t xml:space="preserve">procedente </w:t>
      </w:r>
      <w:r>
        <w:rPr>
          <w:rFonts w:ascii="Arial" w:eastAsia="Calibri" w:hAnsi="Arial" w:cs="Arial"/>
          <w:bCs/>
          <w:lang w:val="es-ES_tradnl" w:eastAsia="es-ES_tradnl"/>
        </w:rPr>
        <w:t xml:space="preserve">para entidades cuyo </w:t>
      </w:r>
      <w:r w:rsidRPr="00C046D8">
        <w:rPr>
          <w:rFonts w:ascii="Arial" w:eastAsia="Calibri" w:hAnsi="Arial" w:cs="Arial"/>
          <w:bCs/>
          <w:lang w:val="es-ES_tradnl" w:eastAsia="es-ES_tradnl"/>
        </w:rPr>
        <w:t xml:space="preserve">régimen </w:t>
      </w:r>
      <w:r>
        <w:rPr>
          <w:rFonts w:ascii="Arial" w:eastAsia="Calibri" w:hAnsi="Arial" w:cs="Arial"/>
          <w:bCs/>
          <w:lang w:val="es-ES_tradnl" w:eastAsia="es-ES_tradnl"/>
        </w:rPr>
        <w:t xml:space="preserve">contractual corresponde al </w:t>
      </w:r>
      <w:r w:rsidRPr="00C046D8">
        <w:rPr>
          <w:rFonts w:ascii="Arial" w:eastAsia="Calibri" w:hAnsi="Arial" w:cs="Arial"/>
          <w:bCs/>
          <w:lang w:val="es-ES_tradnl" w:eastAsia="es-ES_tradnl"/>
        </w:rPr>
        <w:t xml:space="preserve">EGCAP. Esto en la medida en que, </w:t>
      </w:r>
      <w:bookmarkStart w:id="16" w:name="_Hlk109963698"/>
      <w:r w:rsidRPr="00C046D8">
        <w:rPr>
          <w:rFonts w:ascii="Arial" w:eastAsia="Calibri" w:hAnsi="Arial" w:cs="Arial"/>
          <w:bCs/>
          <w:lang w:val="es-ES_tradnl" w:eastAsia="es-ES_tradnl"/>
        </w:rPr>
        <w:t>el parágrafo 7 del artículo 2 de la Ley 1150 de 2007</w:t>
      </w:r>
      <w:r>
        <w:rPr>
          <w:rFonts w:ascii="Arial" w:eastAsia="Calibri" w:hAnsi="Arial" w:cs="Arial"/>
          <w:bCs/>
          <w:lang w:val="es-ES_tradnl" w:eastAsia="es-ES_tradnl"/>
        </w:rPr>
        <w:t>, modificado por la Ley 2022 de 2020,</w:t>
      </w:r>
      <w:r w:rsidRPr="00C046D8">
        <w:rPr>
          <w:rFonts w:ascii="Arial" w:eastAsia="Calibri" w:hAnsi="Arial" w:cs="Arial"/>
          <w:bCs/>
          <w:lang w:val="es-ES_tradnl" w:eastAsia="es-ES_tradnl"/>
        </w:rPr>
        <w:t xml:space="preserve"> solo se refiere a la obligación de aplicar los documentos tipo en los procesos de contratación que adelanten las entidades sometidas al EGCAP.</w:t>
      </w:r>
      <w:r w:rsidRPr="00C046D8">
        <w:rPr>
          <w:rFonts w:ascii="Arial" w:eastAsia="Calibri" w:hAnsi="Arial" w:cs="Arial"/>
          <w:bCs/>
          <w:strike/>
          <w:lang w:val="es-ES_tradnl" w:eastAsia="es-ES_tradnl"/>
        </w:rPr>
        <w:t xml:space="preserve"> </w:t>
      </w:r>
      <w:bookmarkEnd w:id="16"/>
    </w:p>
    <w:p w14:paraId="36B9B4A5" w14:textId="77777777" w:rsidR="008410D2" w:rsidRDefault="008410D2" w:rsidP="008410D2">
      <w:pPr>
        <w:spacing w:after="0" w:line="276" w:lineRule="auto"/>
        <w:ind w:firstLine="708"/>
        <w:jc w:val="both"/>
        <w:rPr>
          <w:rFonts w:ascii="Arial" w:eastAsia="Calibri" w:hAnsi="Arial" w:cs="Arial"/>
          <w:lang w:val="es-ES" w:eastAsia="es-ES"/>
        </w:rPr>
      </w:pPr>
      <w:r w:rsidRPr="293D6149">
        <w:rPr>
          <w:rFonts w:ascii="Arial" w:hAnsi="Arial" w:cs="Arial"/>
        </w:rPr>
        <w:t>E</w:t>
      </w:r>
      <w:r>
        <w:rPr>
          <w:rFonts w:ascii="Arial" w:hAnsi="Arial" w:cs="Arial"/>
        </w:rPr>
        <w:t xml:space="preserve">sta Agencia </w:t>
      </w:r>
      <w:r w:rsidRPr="293D6149">
        <w:rPr>
          <w:rFonts w:ascii="Arial" w:hAnsi="Arial" w:cs="Arial"/>
        </w:rPr>
        <w:t xml:space="preserve">ha </w:t>
      </w:r>
      <w:r>
        <w:rPr>
          <w:rFonts w:ascii="Arial" w:hAnsi="Arial" w:cs="Arial"/>
        </w:rPr>
        <w:t>considera</w:t>
      </w:r>
      <w:r w:rsidRPr="293D6149">
        <w:rPr>
          <w:rFonts w:ascii="Arial" w:hAnsi="Arial" w:cs="Arial"/>
        </w:rPr>
        <w:t>do, como se</w:t>
      </w:r>
      <w:r>
        <w:rPr>
          <w:rFonts w:ascii="Arial" w:hAnsi="Arial" w:cs="Arial"/>
        </w:rPr>
        <w:t xml:space="preserve"> explicó </w:t>
      </w:r>
      <w:r w:rsidRPr="004D745F">
        <w:rPr>
          <w:rFonts w:ascii="Arial" w:hAnsi="Arial" w:cs="Arial"/>
          <w:i/>
          <w:iCs/>
        </w:rPr>
        <w:t>ut supra</w:t>
      </w:r>
      <w:r>
        <w:rPr>
          <w:rFonts w:ascii="Arial" w:hAnsi="Arial" w:cs="Arial"/>
        </w:rPr>
        <w:t xml:space="preserve">, que </w:t>
      </w:r>
      <w:r w:rsidRPr="293D6149">
        <w:rPr>
          <w:rFonts w:ascii="Arial" w:eastAsia="Calibri" w:hAnsi="Arial" w:cs="Arial"/>
          <w:lang w:val="es-ES" w:eastAsia="es-ES"/>
        </w:rPr>
        <w:t>el artículo 56 de la Ley 2195 de 2022 surge como una disposición complementaria de la Ley 2022 de 2020, en la medida en que la norma busca extender la aplicación obligatoria de los documentos tipo para las entidades regidas por EGCAP cuando celebren contratos o convenios interadministrativos o de otra índole</w:t>
      </w:r>
      <w:r>
        <w:rPr>
          <w:rFonts w:ascii="Arial" w:eastAsia="Calibri" w:hAnsi="Arial" w:cs="Arial"/>
          <w:lang w:val="es-ES" w:eastAsia="es-ES"/>
        </w:rPr>
        <w:t>.</w:t>
      </w:r>
      <w:r w:rsidRPr="293D6149">
        <w:rPr>
          <w:rFonts w:ascii="Arial" w:eastAsia="Calibri" w:hAnsi="Arial" w:cs="Arial"/>
          <w:lang w:val="es-ES" w:eastAsia="es-ES"/>
        </w:rPr>
        <w:t xml:space="preserve"> </w:t>
      </w:r>
      <w:r>
        <w:rPr>
          <w:rFonts w:ascii="Arial" w:eastAsia="Calibri" w:hAnsi="Arial" w:cs="Arial"/>
          <w:lang w:val="es-ES" w:eastAsia="es-ES"/>
        </w:rPr>
        <w:t>P</w:t>
      </w:r>
      <w:r w:rsidRPr="293D6149">
        <w:rPr>
          <w:rFonts w:ascii="Arial" w:eastAsia="Calibri" w:hAnsi="Arial" w:cs="Arial"/>
          <w:lang w:val="es-ES" w:eastAsia="es-ES"/>
        </w:rPr>
        <w:t>or lo tanto, ante la presencia de estos negocios jurídicos que, antes de la expedición de la norma en comento, estaban relevados de aplicar los documentos tipo, debido a la existencia de disposiciones como la contenida en el inciso 2 del literal c) del artículo 2-4 de la Ley 1150 de 2007</w:t>
      </w:r>
      <w:r w:rsidRPr="293D6149">
        <w:rPr>
          <w:rFonts w:ascii="Arial" w:eastAsia="Calibri" w:hAnsi="Arial" w:cs="Arial"/>
          <w:vertAlign w:val="superscript"/>
          <w:lang w:val="es-ES" w:eastAsia="es-ES"/>
        </w:rPr>
        <w:footnoteReference w:id="23"/>
      </w:r>
      <w:r w:rsidRPr="293D6149">
        <w:rPr>
          <w:rFonts w:ascii="Arial" w:eastAsia="Calibri" w:hAnsi="Arial" w:cs="Arial"/>
          <w:lang w:val="es-ES" w:eastAsia="es-ES"/>
        </w:rPr>
        <w:t xml:space="preserve">, ahora deberán tenerse en cuenta las siguientes reglas: i) </w:t>
      </w:r>
      <w:r w:rsidRPr="293D6149">
        <w:rPr>
          <w:rFonts w:ascii="Arial" w:eastAsia="Calibri" w:hAnsi="Arial" w:cs="Arial"/>
          <w:i/>
          <w:lang w:val="es-ES" w:eastAsia="es-ES"/>
        </w:rPr>
        <w:t>en el caso de los convenios interadministrativos o de cualquier otra índole:</w:t>
      </w:r>
      <w:r w:rsidRPr="293D6149">
        <w:rPr>
          <w:rFonts w:ascii="Arial" w:eastAsia="Calibri" w:hAnsi="Arial" w:cs="Arial"/>
          <w:lang w:val="es-ES" w:eastAsia="es-ES"/>
        </w:rPr>
        <w:t xml:space="preserve"> la obligación de llevar a cabo la selección de los Procesos de Contratación y celebrar los respectivos contratos para adquirir aquellas obras o servicios para cuya contratación le fuese aplicable los documentos tipo vigentes y que deban contratarse en el marco del convenio, deberán ser adelantados por la entidad sometida al </w:t>
      </w:r>
      <w:proofErr w:type="spellStart"/>
      <w:r w:rsidRPr="293D6149">
        <w:rPr>
          <w:rFonts w:ascii="Arial" w:eastAsia="Calibri" w:hAnsi="Arial" w:cs="Arial"/>
          <w:lang w:val="es-ES" w:eastAsia="es-ES"/>
        </w:rPr>
        <w:t>EGCAP</w:t>
      </w:r>
      <w:proofErr w:type="spellEnd"/>
      <w:r w:rsidRPr="293D6149">
        <w:rPr>
          <w:rFonts w:ascii="Arial" w:eastAsia="Calibri" w:hAnsi="Arial" w:cs="Arial"/>
          <w:lang w:val="es-ES" w:eastAsia="es-ES"/>
        </w:rPr>
        <w:t xml:space="preserve">; y, </w:t>
      </w:r>
      <w:proofErr w:type="spellStart"/>
      <w:r w:rsidRPr="293D6149">
        <w:rPr>
          <w:rFonts w:ascii="Arial" w:eastAsia="Calibri" w:hAnsi="Arial" w:cs="Arial"/>
          <w:lang w:val="es-ES" w:eastAsia="es-ES"/>
        </w:rPr>
        <w:t>ii</w:t>
      </w:r>
      <w:proofErr w:type="spellEnd"/>
      <w:r w:rsidRPr="293D6149">
        <w:rPr>
          <w:rFonts w:ascii="Arial" w:eastAsia="Calibri" w:hAnsi="Arial" w:cs="Arial"/>
          <w:lang w:val="es-ES" w:eastAsia="es-ES"/>
        </w:rPr>
        <w:t xml:space="preserve">) </w:t>
      </w:r>
      <w:r w:rsidRPr="293D6149">
        <w:rPr>
          <w:rFonts w:ascii="Arial" w:eastAsia="Calibri" w:hAnsi="Arial" w:cs="Arial"/>
          <w:i/>
          <w:lang w:val="es-ES" w:eastAsia="es-ES"/>
        </w:rPr>
        <w:t>en el caso de los contratos interadministrativos</w:t>
      </w:r>
      <w:r w:rsidRPr="293D6149">
        <w:rPr>
          <w:rFonts w:ascii="Arial" w:eastAsia="Calibri" w:hAnsi="Arial" w:cs="Arial"/>
          <w:lang w:val="es-ES" w:eastAsia="es-ES"/>
        </w:rPr>
        <w:t xml:space="preserve"> </w:t>
      </w:r>
      <w:r w:rsidRPr="293D6149">
        <w:rPr>
          <w:rFonts w:ascii="Arial" w:eastAsia="Calibri" w:hAnsi="Arial" w:cs="Arial"/>
          <w:i/>
          <w:lang w:val="es-ES" w:eastAsia="es-ES"/>
        </w:rPr>
        <w:t>o de cualquier otra índole</w:t>
      </w:r>
      <w:r w:rsidRPr="293D6149">
        <w:rPr>
          <w:rFonts w:ascii="Arial" w:eastAsia="Calibri" w:hAnsi="Arial" w:cs="Arial"/>
          <w:lang w:val="es-ES" w:eastAsia="es-ES"/>
        </w:rPr>
        <w:t xml:space="preserve">: </w:t>
      </w:r>
      <w:r w:rsidRPr="293D6149">
        <w:rPr>
          <w:rFonts w:ascii="Arial" w:eastAsia="Times New Roman" w:hAnsi="Arial" w:cs="Arial"/>
          <w:lang w:eastAsia="es-ES"/>
        </w:rPr>
        <w:t xml:space="preserve">implica que si las entidades estatales exceptuadas, los patrimonios autónomos y las personas naturales o jurídicas de derecho privado pretenden ser adjudicatarias de estos contratos, deben someterse a un proceso de selección en el que se apliquen documentos tipo expedidos por esta Agencia a cargo de la </w:t>
      </w:r>
      <w:r w:rsidRPr="293D6149">
        <w:rPr>
          <w:rFonts w:ascii="Arial" w:eastAsia="Calibri" w:hAnsi="Arial" w:cs="Arial"/>
          <w:lang w:val="es-ES" w:eastAsia="es-ES"/>
        </w:rPr>
        <w:t>entidad sometida al EGCAP.</w:t>
      </w:r>
    </w:p>
    <w:p w14:paraId="0D53E042" w14:textId="77777777" w:rsidR="008410D2" w:rsidRDefault="008410D2" w:rsidP="001A5552">
      <w:pPr>
        <w:tabs>
          <w:tab w:val="left" w:pos="0"/>
        </w:tabs>
        <w:spacing w:after="120" w:line="276" w:lineRule="auto"/>
        <w:jc w:val="both"/>
        <w:rPr>
          <w:rFonts w:ascii="Arial" w:eastAsia="Calibri" w:hAnsi="Arial" w:cs="Arial"/>
          <w:bCs/>
          <w:lang w:val="es-ES_tradnl" w:eastAsia="es-ES_tradnl"/>
        </w:rPr>
      </w:pPr>
      <w:r w:rsidRPr="00C046D8">
        <w:rPr>
          <w:rFonts w:ascii="Arial" w:eastAsia="Calibri" w:hAnsi="Arial" w:cs="Arial"/>
          <w:bCs/>
          <w:lang w:val="es-ES_tradnl" w:eastAsia="es-ES_tradnl"/>
        </w:rPr>
        <w:tab/>
        <w:t xml:space="preserve"> </w:t>
      </w:r>
      <w:bookmarkStart w:id="18" w:name="_Hlk113023365"/>
      <w:r>
        <w:rPr>
          <w:rFonts w:ascii="Arial" w:eastAsia="Calibri" w:hAnsi="Arial" w:cs="Arial"/>
          <w:bCs/>
          <w:lang w:val="es-ES_tradnl" w:eastAsia="es-ES_tradnl"/>
        </w:rPr>
        <w:t>E</w:t>
      </w:r>
      <w:r w:rsidRPr="00C046D8">
        <w:rPr>
          <w:rFonts w:ascii="Arial" w:eastAsia="Calibri" w:hAnsi="Arial" w:cs="Arial"/>
          <w:bCs/>
          <w:lang w:val="es-ES_tradnl" w:eastAsia="es-ES_tradnl"/>
        </w:rPr>
        <w:t xml:space="preserve">l segundo inciso de la norma bajo estudio usa la expresión </w:t>
      </w:r>
      <w:r>
        <w:rPr>
          <w:rFonts w:ascii="Arial" w:eastAsia="Calibri" w:hAnsi="Arial" w:cs="Arial"/>
          <w:lang w:val="es-ES_tradnl" w:eastAsia="es-ES_tradnl"/>
        </w:rPr>
        <w:t>“</w:t>
      </w:r>
      <w:r w:rsidRPr="00C046D8">
        <w:rPr>
          <w:rFonts w:ascii="Arial" w:eastAsia="Times New Roman" w:hAnsi="Arial" w:cs="Arial"/>
          <w:lang w:eastAsia="es-ES_tradnl"/>
        </w:rPr>
        <w:t xml:space="preserve">los procedimientos de selección y </w:t>
      </w:r>
      <w:r w:rsidRPr="00C046D8">
        <w:rPr>
          <w:rFonts w:ascii="Arial" w:eastAsia="Times New Roman" w:hAnsi="Arial" w:cs="Arial"/>
          <w:i/>
          <w:iCs/>
          <w:lang w:eastAsia="es-ES_tradnl"/>
        </w:rPr>
        <w:t>contratos que realicen en desarrollo de los anteriores negocios jurídicos</w:t>
      </w:r>
      <w:r>
        <w:rPr>
          <w:rFonts w:ascii="Arial" w:eastAsia="Calibri" w:hAnsi="Arial" w:cs="Arial"/>
          <w:lang w:val="es-ES_tradnl" w:eastAsia="es-ES_tradnl"/>
        </w:rPr>
        <w:t>”</w:t>
      </w:r>
      <w:r>
        <w:rPr>
          <w:rFonts w:ascii="Arial" w:eastAsia="Times New Roman" w:hAnsi="Arial" w:cs="Arial"/>
          <w:lang w:eastAsia="es-ES_tradnl"/>
        </w:rPr>
        <w:t xml:space="preserve">. Pudiera entenderse que </w:t>
      </w:r>
      <w:r w:rsidRPr="00C046D8">
        <w:rPr>
          <w:rFonts w:ascii="Arial" w:eastAsia="Times New Roman" w:hAnsi="Arial" w:cs="Arial"/>
          <w:lang w:eastAsia="es-ES_tradnl"/>
        </w:rPr>
        <w:t xml:space="preserve">alude a los negocios jurídicos descritos en el primer inciso, es decir, aquellos a través de los cuales una </w:t>
      </w:r>
      <w:r>
        <w:rPr>
          <w:rFonts w:ascii="Arial" w:eastAsia="Times New Roman" w:hAnsi="Arial" w:cs="Arial"/>
          <w:lang w:eastAsia="es-ES_tradnl"/>
        </w:rPr>
        <w:t>Entidad Estatal</w:t>
      </w:r>
      <w:r w:rsidRPr="00C046D8">
        <w:rPr>
          <w:rFonts w:ascii="Arial" w:eastAsia="Times New Roman" w:hAnsi="Arial" w:cs="Arial"/>
          <w:lang w:eastAsia="es-ES_tradnl"/>
        </w:rPr>
        <w:t xml:space="preserve"> sometida al EGCAP contrata </w:t>
      </w:r>
      <w:r>
        <w:rPr>
          <w:rFonts w:ascii="Arial" w:eastAsia="Times New Roman" w:hAnsi="Arial" w:cs="Arial"/>
          <w:lang w:eastAsia="es-ES_tradnl"/>
        </w:rPr>
        <w:t>o coopera</w:t>
      </w:r>
      <w:r w:rsidRPr="00C046D8">
        <w:rPr>
          <w:rFonts w:ascii="Arial" w:eastAsia="Times New Roman" w:hAnsi="Arial" w:cs="Arial"/>
          <w:lang w:eastAsia="es-ES_tradnl"/>
        </w:rPr>
        <w:t xml:space="preserve"> </w:t>
      </w:r>
      <w:r>
        <w:rPr>
          <w:rFonts w:ascii="Arial" w:eastAsia="Times New Roman" w:hAnsi="Arial" w:cs="Arial"/>
          <w:lang w:eastAsia="es-ES_tradnl"/>
        </w:rPr>
        <w:t>con</w:t>
      </w:r>
      <w:r w:rsidRPr="00C046D8">
        <w:rPr>
          <w:rFonts w:ascii="Arial" w:eastAsia="Times New Roman" w:hAnsi="Arial" w:cs="Arial"/>
          <w:lang w:eastAsia="es-ES_tradnl"/>
        </w:rPr>
        <w:t xml:space="preserve"> un sujeto de derecho privado –entidad exceptuada, patrimonio autónomo o persona natural o jurídica de derecho privado– </w:t>
      </w:r>
      <w:r>
        <w:rPr>
          <w:rFonts w:ascii="Arial" w:eastAsia="Times New Roman" w:hAnsi="Arial" w:cs="Arial"/>
          <w:lang w:eastAsia="es-ES_tradnl"/>
        </w:rPr>
        <w:t>en un objeto del que se desprende</w:t>
      </w:r>
      <w:r w:rsidRPr="00C046D8">
        <w:rPr>
          <w:rFonts w:ascii="Arial" w:eastAsia="Times New Roman" w:hAnsi="Arial" w:cs="Arial"/>
          <w:lang w:eastAsia="es-ES_tradnl"/>
        </w:rPr>
        <w:t xml:space="preserve"> </w:t>
      </w:r>
      <w:r>
        <w:rPr>
          <w:rFonts w:ascii="Arial" w:eastAsia="Times New Roman" w:hAnsi="Arial" w:cs="Arial"/>
          <w:lang w:eastAsia="es-ES_tradnl"/>
        </w:rPr>
        <w:t>el</w:t>
      </w:r>
      <w:r w:rsidRPr="00C046D8">
        <w:rPr>
          <w:rFonts w:ascii="Arial" w:eastAsia="Times New Roman" w:hAnsi="Arial" w:cs="Arial"/>
          <w:lang w:eastAsia="es-ES_tradnl"/>
        </w:rPr>
        <w:t xml:space="preserve"> suministr</w:t>
      </w:r>
      <w:r>
        <w:rPr>
          <w:rFonts w:ascii="Arial" w:eastAsia="Times New Roman" w:hAnsi="Arial" w:cs="Arial"/>
          <w:lang w:eastAsia="es-ES_tradnl"/>
        </w:rPr>
        <w:t>o de</w:t>
      </w:r>
      <w:r w:rsidRPr="00C046D8">
        <w:rPr>
          <w:rFonts w:ascii="Arial" w:eastAsia="Times New Roman" w:hAnsi="Arial" w:cs="Arial"/>
          <w:lang w:eastAsia="es-ES_tradnl"/>
        </w:rPr>
        <w:t xml:space="preserve"> un bien, obra o servicio cobijada por un documento tipo. </w:t>
      </w:r>
      <w:r>
        <w:rPr>
          <w:rFonts w:ascii="Arial" w:eastAsia="Times New Roman" w:hAnsi="Arial" w:cs="Arial"/>
          <w:lang w:eastAsia="es-ES_tradnl"/>
        </w:rPr>
        <w:t xml:space="preserve"> </w:t>
      </w:r>
      <w:r w:rsidRPr="00C046D8">
        <w:rPr>
          <w:rFonts w:ascii="Arial" w:eastAsia="Times New Roman" w:hAnsi="Arial" w:cs="Arial"/>
          <w:lang w:eastAsia="es-ES_tradnl"/>
        </w:rPr>
        <w:t xml:space="preserve">En ese sentido, la norma parte de la base de que para </w:t>
      </w:r>
      <w:r w:rsidRPr="00C046D8">
        <w:rPr>
          <w:rFonts w:ascii="Arial" w:eastAsia="Times New Roman" w:hAnsi="Arial" w:cs="Arial"/>
          <w:i/>
          <w:iCs/>
          <w:lang w:eastAsia="es-ES_tradnl"/>
        </w:rPr>
        <w:t>desarrollar</w:t>
      </w:r>
      <w:r w:rsidRPr="00C046D8">
        <w:rPr>
          <w:rFonts w:ascii="Arial" w:eastAsia="Times New Roman" w:hAnsi="Arial" w:cs="Arial"/>
          <w:lang w:eastAsia="es-ES_tradnl"/>
        </w:rPr>
        <w:t xml:space="preserve"> tales negocios jurídicos la </w:t>
      </w:r>
      <w:r>
        <w:rPr>
          <w:rFonts w:ascii="Arial" w:eastAsia="Times New Roman" w:hAnsi="Arial" w:cs="Arial"/>
          <w:lang w:eastAsia="es-ES_tradnl"/>
        </w:rPr>
        <w:t>Entidad Estatal</w:t>
      </w:r>
      <w:r w:rsidRPr="00C046D8">
        <w:rPr>
          <w:rFonts w:ascii="Arial" w:eastAsia="Times New Roman" w:hAnsi="Arial" w:cs="Arial"/>
          <w:lang w:eastAsia="es-ES_tradnl"/>
        </w:rPr>
        <w:t xml:space="preserve"> sometida necesariamente debe adelantar un procedimiento de selección y suscribir un contrato elevado a escrito, lo que </w:t>
      </w:r>
      <w:r>
        <w:rPr>
          <w:rFonts w:ascii="Arial" w:eastAsia="Times New Roman" w:hAnsi="Arial" w:cs="Arial"/>
          <w:lang w:eastAsia="es-ES_tradnl"/>
        </w:rPr>
        <w:t>–</w:t>
      </w:r>
      <w:r w:rsidRPr="00C046D8">
        <w:rPr>
          <w:rFonts w:ascii="Arial" w:eastAsia="Times New Roman" w:hAnsi="Arial" w:cs="Arial"/>
          <w:lang w:eastAsia="es-ES_tradnl"/>
        </w:rPr>
        <w:t>en atención al artículo 56</w:t>
      </w:r>
      <w:r>
        <w:rPr>
          <w:rFonts w:ascii="Arial" w:eastAsia="Times New Roman" w:hAnsi="Arial" w:cs="Arial"/>
          <w:lang w:eastAsia="es-ES_tradnl"/>
        </w:rPr>
        <w:t>–</w:t>
      </w:r>
      <w:r w:rsidRPr="00C046D8">
        <w:rPr>
          <w:rFonts w:ascii="Arial" w:eastAsia="Times New Roman" w:hAnsi="Arial" w:cs="Arial"/>
          <w:lang w:eastAsia="es-ES_tradnl"/>
        </w:rPr>
        <w:t xml:space="preserve"> deberá hacer</w:t>
      </w:r>
      <w:r>
        <w:rPr>
          <w:rFonts w:ascii="Arial" w:eastAsia="Times New Roman" w:hAnsi="Arial" w:cs="Arial"/>
          <w:lang w:eastAsia="es-ES_tradnl"/>
        </w:rPr>
        <w:t>lo</w:t>
      </w:r>
      <w:r w:rsidRPr="00C046D8">
        <w:rPr>
          <w:rFonts w:ascii="Arial" w:eastAsia="Times New Roman" w:hAnsi="Arial" w:cs="Arial"/>
          <w:lang w:eastAsia="es-ES_tradnl"/>
        </w:rPr>
        <w:t xml:space="preserve"> aplicando documentos tipo y con sujeción al EGCAP. </w:t>
      </w:r>
    </w:p>
    <w:p w14:paraId="65CEEDEF" w14:textId="77777777" w:rsidR="008410D2" w:rsidRDefault="008410D2" w:rsidP="001A5552">
      <w:pPr>
        <w:tabs>
          <w:tab w:val="left" w:pos="0"/>
        </w:tabs>
        <w:spacing w:after="120" w:line="276" w:lineRule="auto"/>
        <w:jc w:val="both"/>
        <w:rPr>
          <w:rFonts w:ascii="Arial" w:eastAsia="Calibri" w:hAnsi="Arial" w:cs="Arial"/>
          <w:bCs/>
          <w:lang w:val="es-ES_tradnl" w:eastAsia="es-ES_tradnl"/>
        </w:rPr>
      </w:pPr>
      <w:r>
        <w:rPr>
          <w:rFonts w:ascii="Arial" w:eastAsia="Calibri" w:hAnsi="Arial" w:cs="Arial"/>
          <w:bCs/>
          <w:lang w:val="es-ES_tradnl" w:eastAsia="es-ES_tradnl"/>
        </w:rPr>
        <w:tab/>
      </w:r>
      <w:r w:rsidRPr="00C046D8">
        <w:rPr>
          <w:rFonts w:ascii="Arial" w:eastAsia="Calibri" w:hAnsi="Arial" w:cs="Arial"/>
          <w:bCs/>
          <w:lang w:val="es-ES_tradnl" w:eastAsia="es-ES_tradnl"/>
        </w:rPr>
        <w:t>Sobre esto es necesario considerar que, las entidades sometidas al EGCAP, por lo general, se encuentran obligadas a agotar un procedimiento de selección conforme las normas aplicables para celebrar contratos estatales, a diferencia de los negocios jurídicos regido</w:t>
      </w:r>
      <w:r>
        <w:rPr>
          <w:rFonts w:ascii="Arial" w:eastAsia="Calibri" w:hAnsi="Arial" w:cs="Arial"/>
          <w:bCs/>
          <w:lang w:val="es-ES_tradnl" w:eastAsia="es-ES_tradnl"/>
        </w:rPr>
        <w:t>s</w:t>
      </w:r>
      <w:r w:rsidRPr="00C046D8">
        <w:rPr>
          <w:rFonts w:ascii="Arial" w:eastAsia="Calibri" w:hAnsi="Arial" w:cs="Arial"/>
          <w:bCs/>
          <w:lang w:val="es-ES_tradnl" w:eastAsia="es-ES_tradnl"/>
        </w:rPr>
        <w:t xml:space="preserve"> por el derecho privado, los cuales, generalmente, se perfeccionan con el acuerdo de voluntades, salvo que la ley exija alguna solemnidad adicional</w:t>
      </w:r>
      <w:bookmarkStart w:id="19" w:name="_Hlk113023433"/>
      <w:bookmarkEnd w:id="18"/>
      <w:r>
        <w:rPr>
          <w:rFonts w:ascii="Arial" w:eastAsia="Calibri" w:hAnsi="Arial" w:cs="Arial"/>
          <w:bCs/>
          <w:lang w:val="es-ES_tradnl" w:eastAsia="es-ES_tradnl"/>
        </w:rPr>
        <w:t xml:space="preserve">. </w:t>
      </w:r>
      <w:r w:rsidRPr="00C046D8">
        <w:rPr>
          <w:rFonts w:ascii="Arial" w:eastAsia="Calibri" w:hAnsi="Arial" w:cs="Arial"/>
          <w:bCs/>
          <w:lang w:val="es-ES_tradnl" w:eastAsia="es-ES_tradnl"/>
        </w:rPr>
        <w:t xml:space="preserve">De esto se desprende que el propósito del legislador con la expedición de la norma objeto de consulta, es que las entidades estatales que tienen como régimen contractual el EGCAP no puedan eludir su aplicación, ni la de los documentos tipo que resulten obligatorios, celebrando convenios o contratos con entidades exceptuadas o particulares sometidos al derecho privado, haciendo prevalecer el régimen de las entidades no sometidas, con el fin inaplicar los documentos tipo y el EGCAP. </w:t>
      </w:r>
      <w:bookmarkEnd w:id="19"/>
    </w:p>
    <w:p w14:paraId="4E8ADF3C" w14:textId="77777777" w:rsidR="008410D2" w:rsidRPr="00E31EA8" w:rsidRDefault="008410D2" w:rsidP="008410D2">
      <w:pPr>
        <w:tabs>
          <w:tab w:val="left" w:pos="0"/>
        </w:tabs>
        <w:spacing w:after="0" w:line="276" w:lineRule="auto"/>
        <w:jc w:val="both"/>
        <w:rPr>
          <w:rFonts w:ascii="Arial" w:eastAsia="Calibri" w:hAnsi="Arial" w:cs="Arial"/>
          <w:lang w:val="es-ES_tradnl" w:eastAsia="es-ES_tradnl"/>
        </w:rPr>
      </w:pPr>
      <w:r>
        <w:rPr>
          <w:rFonts w:ascii="Arial" w:eastAsia="Calibri" w:hAnsi="Arial" w:cs="Arial"/>
          <w:bCs/>
          <w:lang w:val="es-ES_tradnl" w:eastAsia="es-ES_tradnl"/>
        </w:rPr>
        <w:tab/>
      </w:r>
      <w:r w:rsidRPr="00C046D8">
        <w:rPr>
          <w:rFonts w:ascii="Arial" w:eastAsia="Calibri" w:hAnsi="Arial" w:cs="Arial"/>
          <w:bCs/>
          <w:lang w:val="es-ES_tradnl" w:eastAsia="es-ES_tradnl"/>
        </w:rPr>
        <w:t>Por tanto, el hecho de que la norma est</w:t>
      </w:r>
      <w:r>
        <w:rPr>
          <w:rFonts w:ascii="Arial" w:eastAsia="Calibri" w:hAnsi="Arial" w:cs="Arial"/>
          <w:bCs/>
          <w:lang w:val="es-ES_tradnl" w:eastAsia="es-ES_tradnl"/>
        </w:rPr>
        <w:t>é</w:t>
      </w:r>
      <w:r w:rsidRPr="00C046D8">
        <w:rPr>
          <w:rFonts w:ascii="Arial" w:eastAsia="Calibri" w:hAnsi="Arial" w:cs="Arial"/>
          <w:bCs/>
          <w:lang w:val="es-ES_tradnl" w:eastAsia="es-ES_tradnl"/>
        </w:rPr>
        <w:t xml:space="preserve"> dirigida a las entidades sometidas al EGCAP, </w:t>
      </w:r>
      <w:r>
        <w:rPr>
          <w:rFonts w:ascii="Arial" w:eastAsia="Calibri" w:hAnsi="Arial" w:cs="Arial"/>
          <w:bCs/>
          <w:lang w:val="es-ES_tradnl" w:eastAsia="es-ES_tradnl"/>
        </w:rPr>
        <w:t xml:space="preserve">, no tiene otro fin más que el de indicar que la obligación de emplear los documentos pliego tipo en el marco de un contrato o convenio interadministrativo, o de cualquier otra índole, recae sobre la misma,  pues sólo así puede garantizarse que el mandato imperativo dispuesto en el literal segundo del artículo en cita, tenga un efecto jurídico, pues  estas entidades deben realizar procesos de selección y celebrar contratos con sujeción  al EGCAP, requerido para la aplicación de documentos pliego tipo en virtud de lo regulado en </w:t>
      </w:r>
      <w:r w:rsidRPr="00C046D8">
        <w:rPr>
          <w:rFonts w:ascii="Arial" w:eastAsia="Calibri" w:hAnsi="Arial" w:cs="Arial"/>
          <w:bCs/>
          <w:lang w:val="es-ES_tradnl" w:eastAsia="es-ES_tradnl"/>
        </w:rPr>
        <w:t>al parágrafo 7 del artículo 2 de la Ley 1150 de 2007, modificado por la Ley 2022 de 2020</w:t>
      </w:r>
      <w:r>
        <w:rPr>
          <w:rFonts w:ascii="Arial" w:eastAsia="Calibri" w:hAnsi="Arial" w:cs="Arial"/>
          <w:bCs/>
          <w:lang w:val="es-ES_tradnl" w:eastAsia="es-ES_tradnl"/>
        </w:rPr>
        <w:t xml:space="preserve">. </w:t>
      </w:r>
    </w:p>
    <w:p w14:paraId="40A2F2D7" w14:textId="77777777" w:rsidR="008410D2" w:rsidRPr="00C046D8" w:rsidRDefault="008410D2" w:rsidP="008410D2">
      <w:pPr>
        <w:tabs>
          <w:tab w:val="left" w:pos="0"/>
        </w:tabs>
        <w:spacing w:after="0" w:line="276" w:lineRule="auto"/>
        <w:jc w:val="both"/>
        <w:rPr>
          <w:rFonts w:ascii="Arial" w:eastAsia="Calibri" w:hAnsi="Arial" w:cs="Arial"/>
          <w:bCs/>
          <w:lang w:val="es-ES_tradnl" w:eastAsia="es-ES_tradnl"/>
        </w:rPr>
      </w:pPr>
    </w:p>
    <w:p w14:paraId="464AE71D" w14:textId="77777777" w:rsidR="008410D2" w:rsidRPr="00C046D8" w:rsidRDefault="008410D2" w:rsidP="008410D2">
      <w:pPr>
        <w:spacing w:after="0" w:line="276" w:lineRule="auto"/>
        <w:jc w:val="both"/>
        <w:rPr>
          <w:rFonts w:ascii="Arial" w:eastAsia="Calibri" w:hAnsi="Arial" w:cs="Arial"/>
          <w:lang w:val="es-ES" w:eastAsia="es-ES"/>
        </w:rPr>
      </w:pPr>
      <w:bookmarkStart w:id="20" w:name="_Hlk109963871"/>
      <w:r w:rsidRPr="293D6149">
        <w:rPr>
          <w:rFonts w:ascii="Arial" w:eastAsia="Calibri" w:hAnsi="Arial" w:cs="Arial"/>
          <w:b/>
          <w:lang w:val="es-ES" w:eastAsia="es-ES"/>
        </w:rPr>
        <w:t>2.</w:t>
      </w:r>
      <w:r>
        <w:rPr>
          <w:rFonts w:ascii="Arial" w:eastAsia="Calibri" w:hAnsi="Arial" w:cs="Arial"/>
          <w:b/>
          <w:lang w:val="es-ES" w:eastAsia="es-ES"/>
        </w:rPr>
        <w:t>4</w:t>
      </w:r>
      <w:r w:rsidRPr="293D6149">
        <w:rPr>
          <w:rFonts w:ascii="Arial" w:eastAsia="Calibri" w:hAnsi="Arial" w:cs="Arial"/>
          <w:b/>
          <w:lang w:val="es-ES" w:eastAsia="es-ES"/>
        </w:rPr>
        <w:t>.</w:t>
      </w:r>
      <w:r w:rsidRPr="293D6149">
        <w:rPr>
          <w:rFonts w:ascii="Arial" w:eastAsia="Calibri" w:hAnsi="Arial" w:cs="Arial"/>
          <w:b/>
          <w:i/>
          <w:lang w:val="es-ES" w:eastAsia="es-ES"/>
        </w:rPr>
        <w:t xml:space="preserve"> </w:t>
      </w:r>
      <w:r w:rsidRPr="293D6149">
        <w:rPr>
          <w:rFonts w:ascii="Arial" w:eastAsia="Calibri" w:hAnsi="Arial" w:cs="Arial"/>
          <w:b/>
          <w:lang w:val="es-ES" w:eastAsia="es-ES"/>
        </w:rPr>
        <w:t xml:space="preserve">Aplicación prevalente del Estatuto General de Contratación de la Administración Pública en los contratos celebrados con entidades exceptuadas. Aparente tensión con el literal c) del artículo 2, numeral 4, de la Ley 1150 de 2007 </w:t>
      </w:r>
    </w:p>
    <w:p w14:paraId="4291288A" w14:textId="77777777" w:rsidR="008410D2" w:rsidRPr="00C046D8" w:rsidRDefault="008410D2" w:rsidP="008410D2">
      <w:pPr>
        <w:tabs>
          <w:tab w:val="left" w:pos="0"/>
        </w:tabs>
        <w:spacing w:after="0" w:line="276" w:lineRule="auto"/>
        <w:contextualSpacing/>
        <w:jc w:val="both"/>
        <w:rPr>
          <w:rFonts w:ascii="Arial" w:eastAsia="Calibri" w:hAnsi="Arial" w:cs="Arial"/>
          <w:bCs/>
          <w:szCs w:val="24"/>
          <w:lang w:val="es-ES_tradnl" w:eastAsia="es-ES_tradnl"/>
        </w:rPr>
      </w:pPr>
    </w:p>
    <w:p w14:paraId="55CD0A47" w14:textId="77777777" w:rsidR="008410D2" w:rsidRPr="00C046D8" w:rsidRDefault="008410D2" w:rsidP="008410D2">
      <w:pPr>
        <w:tabs>
          <w:tab w:val="left" w:pos="0"/>
        </w:tabs>
        <w:spacing w:after="0" w:line="276" w:lineRule="auto"/>
        <w:jc w:val="both"/>
        <w:rPr>
          <w:rFonts w:ascii="Arial" w:eastAsia="Calibri" w:hAnsi="Arial" w:cs="Arial"/>
          <w:bCs/>
          <w:lang w:val="es-ES_tradnl" w:eastAsia="es-ES_tradnl"/>
        </w:rPr>
      </w:pPr>
      <w:r w:rsidRPr="00C046D8">
        <w:rPr>
          <w:rFonts w:ascii="Arial" w:eastAsia="Calibri" w:hAnsi="Arial" w:cs="Arial"/>
          <w:bCs/>
          <w:lang w:val="es-ES_tradnl" w:eastAsia="es-ES_tradnl"/>
        </w:rPr>
        <w:t xml:space="preserve">En este punto es necesario analizar los efectos del artículo 56 de la Ley 2195 de 2022, respecto de lo dispuesto en el artículo 2, numeral 4, de la Ley 1150 de 2007, particularmente, de lo establecido en el tercer inciso del literal c). Lo anterior por cuanto esta norma, al establecer como causal de contratación directa la celebración de convenios o contratos interadministrativos regulaba la normativa aplicable a estos cuando el régimen prevalente de la entidad encargada de la ejecución no fuera el de la Ley 80 de 1993, casos en los que la norma imponía la aplicación de esta normativa, a menos que la entidad ejecutora desarrollara su actividad en competencia con el sector privado, o cuando la ejecución del contrato tuviere relación directa con el desarrollo de su actividad, evento en los que se imponía el derecho privado. En ese sentido, en este último evento el tercer inciso del literal c) del artículo 2, numeral 4 de la Ley 1150 de 2007 daba pie a la aplicación de normas de derecho privado, lo que evidencia una </w:t>
      </w:r>
      <w:r>
        <w:rPr>
          <w:rFonts w:ascii="Arial" w:eastAsia="Calibri" w:hAnsi="Arial" w:cs="Arial"/>
          <w:bCs/>
          <w:lang w:val="es-ES_tradnl" w:eastAsia="es-ES_tradnl"/>
        </w:rPr>
        <w:t xml:space="preserve">supuesta o </w:t>
      </w:r>
      <w:r w:rsidRPr="00C046D8">
        <w:rPr>
          <w:rFonts w:ascii="Arial" w:eastAsia="Calibri" w:hAnsi="Arial" w:cs="Arial"/>
          <w:bCs/>
          <w:lang w:val="es-ES_tradnl" w:eastAsia="es-ES_tradnl"/>
        </w:rPr>
        <w:t xml:space="preserve">aparente tensión entre este y el artículo 56 de la Ley 2195 de 2022, en lo que se refiere al régimen aplicable en estas situaciones, comoquiera que, en estos eventos, al tenor de </w:t>
      </w:r>
      <w:r>
        <w:rPr>
          <w:rFonts w:ascii="Arial" w:eastAsia="Calibri" w:hAnsi="Arial" w:cs="Arial"/>
          <w:bCs/>
          <w:lang w:val="es-ES_tradnl" w:eastAsia="es-ES_tradnl"/>
        </w:rPr>
        <w:t xml:space="preserve">criterios interpretativos aplicadas a </w:t>
      </w:r>
      <w:r w:rsidRPr="00C046D8">
        <w:rPr>
          <w:rFonts w:ascii="Arial" w:eastAsia="Calibri" w:hAnsi="Arial" w:cs="Arial"/>
          <w:bCs/>
          <w:lang w:val="es-ES_tradnl" w:eastAsia="es-ES_tradnl"/>
        </w:rPr>
        <w:t xml:space="preserve">lo dispuesto en esta última norma, </w:t>
      </w:r>
      <w:r>
        <w:rPr>
          <w:rFonts w:ascii="Arial" w:eastAsia="Calibri" w:hAnsi="Arial" w:cs="Arial"/>
          <w:bCs/>
          <w:lang w:val="es-ES_tradnl" w:eastAsia="es-ES_tradnl"/>
        </w:rPr>
        <w:t xml:space="preserve">se entendía que </w:t>
      </w:r>
      <w:r w:rsidRPr="00C046D8">
        <w:rPr>
          <w:rFonts w:ascii="Arial" w:eastAsia="Calibri" w:hAnsi="Arial" w:cs="Arial"/>
          <w:bCs/>
          <w:lang w:val="es-ES_tradnl" w:eastAsia="es-ES_tradnl"/>
        </w:rPr>
        <w:t>deb</w:t>
      </w:r>
      <w:r>
        <w:rPr>
          <w:rFonts w:ascii="Arial" w:eastAsia="Calibri" w:hAnsi="Arial" w:cs="Arial"/>
          <w:bCs/>
          <w:lang w:val="es-ES_tradnl" w:eastAsia="es-ES_tradnl"/>
        </w:rPr>
        <w:t>ía</w:t>
      </w:r>
      <w:r w:rsidRPr="00C046D8">
        <w:rPr>
          <w:rFonts w:ascii="Arial" w:eastAsia="Calibri" w:hAnsi="Arial" w:cs="Arial"/>
          <w:bCs/>
          <w:lang w:val="es-ES_tradnl" w:eastAsia="es-ES_tradnl"/>
        </w:rPr>
        <w:t xml:space="preserve"> aplicarse el EGCAP y los documentos tipo. </w:t>
      </w:r>
    </w:p>
    <w:p w14:paraId="36101EF5" w14:textId="77777777" w:rsidR="008410D2" w:rsidRPr="00C046D8" w:rsidRDefault="008410D2" w:rsidP="001A5552">
      <w:pPr>
        <w:tabs>
          <w:tab w:val="left" w:pos="0"/>
        </w:tabs>
        <w:spacing w:after="120" w:line="276" w:lineRule="auto"/>
        <w:jc w:val="both"/>
        <w:rPr>
          <w:rFonts w:ascii="Arial" w:eastAsia="Calibri" w:hAnsi="Arial" w:cs="Arial"/>
          <w:bCs/>
          <w:lang w:val="es-ES_tradnl" w:eastAsia="es-ES_tradnl"/>
        </w:rPr>
      </w:pPr>
      <w:r w:rsidRPr="00C046D8">
        <w:rPr>
          <w:rFonts w:ascii="Arial" w:eastAsia="Calibri" w:hAnsi="Arial" w:cs="Arial"/>
          <w:bCs/>
          <w:lang w:val="es-ES_tradnl" w:eastAsia="es-ES_tradnl"/>
        </w:rPr>
        <w:tab/>
        <w:t>Lo anterior supon</w:t>
      </w:r>
      <w:r>
        <w:rPr>
          <w:rFonts w:ascii="Arial" w:eastAsia="Calibri" w:hAnsi="Arial" w:cs="Arial"/>
          <w:bCs/>
          <w:lang w:val="es-ES_tradnl" w:eastAsia="es-ES_tradnl"/>
        </w:rPr>
        <w:t>ía</w:t>
      </w:r>
      <w:r w:rsidRPr="00C046D8">
        <w:rPr>
          <w:rFonts w:ascii="Arial" w:eastAsia="Calibri" w:hAnsi="Arial" w:cs="Arial"/>
          <w:bCs/>
          <w:lang w:val="es-ES_tradnl" w:eastAsia="es-ES_tradnl"/>
        </w:rPr>
        <w:t xml:space="preserve"> una antinomia entre el literal c) del artículo 2, numeral 4, de la Ley 1150 de 2007 y el artículo 56 de la Ley 2195 de 2022, en la medida en que para un mismo supuesto de hecho –la celebración de un convenio interadministrativo entre una entidad sometida al EGCAP y otra exceptuada, en la que la última es la ejecutora y desarrolla su actividad en competencia con el sector privado–, se establec</w:t>
      </w:r>
      <w:r>
        <w:rPr>
          <w:rFonts w:ascii="Arial" w:eastAsia="Calibri" w:hAnsi="Arial" w:cs="Arial"/>
          <w:bCs/>
          <w:lang w:val="es-ES_tradnl" w:eastAsia="es-ES_tradnl"/>
        </w:rPr>
        <w:t>ía</w:t>
      </w:r>
      <w:r w:rsidRPr="00C046D8">
        <w:rPr>
          <w:rFonts w:ascii="Arial" w:eastAsia="Calibri" w:hAnsi="Arial" w:cs="Arial"/>
          <w:bCs/>
          <w:lang w:val="es-ES_tradnl" w:eastAsia="es-ES_tradnl"/>
        </w:rPr>
        <w:t xml:space="preserve">n diferentes consecuencias jurídicas, ya que mientras que la primera norma dispone la aplicación del derecho privado, la última impone la aplicación de documentos tipo y del EGCAP. Esta aparente contradicción, </w:t>
      </w:r>
      <w:r>
        <w:rPr>
          <w:rFonts w:ascii="Arial" w:eastAsia="Calibri" w:hAnsi="Arial" w:cs="Arial"/>
          <w:bCs/>
          <w:lang w:val="es-ES_tradnl" w:eastAsia="es-ES_tradnl"/>
        </w:rPr>
        <w:t>como se expuso en el numeral anterior,</w:t>
      </w:r>
      <w:r w:rsidRPr="00C046D8">
        <w:rPr>
          <w:rFonts w:ascii="Arial" w:eastAsia="Calibri" w:hAnsi="Arial" w:cs="Arial"/>
          <w:bCs/>
          <w:lang w:val="es-ES_tradnl" w:eastAsia="es-ES_tradnl"/>
        </w:rPr>
        <w:t xml:space="preserve"> debe ser resuelta en favor del artículo 56 de la Ley 2195 de 2022</w:t>
      </w:r>
      <w:r>
        <w:rPr>
          <w:rFonts w:ascii="Arial" w:eastAsia="Calibri" w:hAnsi="Arial" w:cs="Arial"/>
          <w:bCs/>
          <w:lang w:val="es-ES_tradnl" w:eastAsia="es-ES_tradnl"/>
        </w:rPr>
        <w:t>.</w:t>
      </w:r>
    </w:p>
    <w:p w14:paraId="23807CB0" w14:textId="77777777" w:rsidR="008410D2" w:rsidRPr="00C046D8" w:rsidRDefault="008410D2" w:rsidP="001A5552">
      <w:pPr>
        <w:tabs>
          <w:tab w:val="left" w:pos="0"/>
        </w:tabs>
        <w:spacing w:after="120" w:line="276" w:lineRule="auto"/>
        <w:jc w:val="both"/>
        <w:rPr>
          <w:rFonts w:ascii="Arial" w:eastAsia="Calibri" w:hAnsi="Arial" w:cs="Arial"/>
          <w:bCs/>
          <w:lang w:val="es-ES_tradnl" w:eastAsia="es-ES_tradnl"/>
        </w:rPr>
      </w:pPr>
      <w:r w:rsidRPr="00C046D8">
        <w:rPr>
          <w:rFonts w:ascii="Arial" w:eastAsia="Calibri" w:hAnsi="Arial" w:cs="Arial"/>
          <w:bCs/>
          <w:lang w:val="es-ES_tradnl" w:eastAsia="es-ES_tradnl"/>
        </w:rPr>
        <w:tab/>
        <w:t xml:space="preserve">En efecto, tratándose de disposiciones de igual jerarquía normativa –ambas son leyes ordinarias–, que coinciden en su ámbito de aplicación, debe colegirse que, en lo que respecta al régimen aplicable a los contratos con entidades exceptuadas ejecutoras de contratos o convenios interadministrativos, que desarrollen su actividad en competencia con el sector privado, el artículo 56 de la Ley 2195 de 2022 supuso una modificación tácita del artículo 2, numeral 4, literal c), de la Ley 1150 de 2007. </w:t>
      </w:r>
    </w:p>
    <w:p w14:paraId="133C440E" w14:textId="77777777" w:rsidR="008410D2" w:rsidRPr="00C046D8" w:rsidRDefault="008410D2" w:rsidP="001A5552">
      <w:pPr>
        <w:tabs>
          <w:tab w:val="left" w:pos="0"/>
        </w:tabs>
        <w:spacing w:after="120" w:line="276" w:lineRule="auto"/>
        <w:jc w:val="both"/>
        <w:rPr>
          <w:rFonts w:ascii="Arial" w:eastAsia="Calibri" w:hAnsi="Arial" w:cs="Arial"/>
          <w:bCs/>
          <w:lang w:val="es-ES_tradnl" w:eastAsia="es-ES_tradnl"/>
        </w:rPr>
      </w:pPr>
      <w:r w:rsidRPr="00C046D8">
        <w:rPr>
          <w:rFonts w:ascii="Arial" w:eastAsia="Calibri" w:hAnsi="Arial" w:cs="Arial"/>
          <w:bCs/>
          <w:lang w:val="es-ES_tradnl" w:eastAsia="es-ES_tradnl"/>
        </w:rPr>
        <w:tab/>
        <w:t xml:space="preserve">En tales términos, de lo analizado hasta aquí es posible concluir que el efecto principal de la norma bajo estudio es la ampliación de los documentos tipo, al hacerlos obligatorios frente unos sujetos que, en principio, de acuerdo con la Ley 2022 de 2020 y el literal c) del numeral 4 del artículo 2 de la Ley 1150 de 2007, no estarían sometidos a esos documentos. Para complementar esta medida, la disposición además hace extensiva la aplicación del EGCAP a estos sujetos que, en virtud de su naturaleza jurídica, tienen, como regla general, un régimen de contratación diferente, tales como las entidades exceptuadas, los patrimonios autónomos y las personas naturales y jurídicas de derecho privado, a los que expresamente hace alusión el artículo 56. De esta forma, independientemente de que el inciso tercero del literal c) del artículo 2, numeral 4, de la Ley 1150 de 2007 parezca indicar que se debe aplicar el derecho privado, por ser este el régimen que por regla general aplica la entidad ejecutora, tratándose de objetos cobijados por documentos tipo, los mismos deberán ser contratados aplicando tales pliegos tipo y las disposiciones del EGCAP, por efecto del artículo 56 de la Ley 2195 de 2022.  </w:t>
      </w:r>
    </w:p>
    <w:p w14:paraId="0A0B97F1" w14:textId="5B7D73CC" w:rsidR="008410D2" w:rsidRPr="00C046D8" w:rsidRDefault="008410D2" w:rsidP="008410D2">
      <w:pPr>
        <w:tabs>
          <w:tab w:val="left" w:pos="0"/>
        </w:tabs>
        <w:spacing w:after="0" w:line="276" w:lineRule="auto"/>
        <w:jc w:val="both"/>
        <w:rPr>
          <w:rFonts w:ascii="Arial" w:eastAsia="Calibri" w:hAnsi="Arial" w:cs="Arial"/>
          <w:bCs/>
          <w:lang w:val="es-ES_tradnl" w:eastAsia="es-ES_tradnl"/>
        </w:rPr>
      </w:pPr>
      <w:r w:rsidRPr="00C046D8">
        <w:rPr>
          <w:rFonts w:ascii="Arial" w:eastAsia="Calibri" w:hAnsi="Arial" w:cs="Arial"/>
          <w:bCs/>
          <w:lang w:val="es-ES_tradnl" w:eastAsia="es-ES_tradnl"/>
        </w:rPr>
        <w:tab/>
        <w:t xml:space="preserve">Conforme a lo explicado en el acápite anterior, </w:t>
      </w:r>
      <w:bookmarkStart w:id="21" w:name="_Hlk113023497"/>
      <w:r w:rsidRPr="00C046D8">
        <w:rPr>
          <w:rFonts w:ascii="Arial" w:eastAsia="Calibri" w:hAnsi="Arial" w:cs="Arial"/>
          <w:bCs/>
          <w:lang w:val="es-ES_tradnl" w:eastAsia="es-ES_tradnl"/>
        </w:rPr>
        <w:t>de la lectura conjunta de los incisos primero y segundo se desprende que estos introducen un mandato dirigido a que las entidades sometidas al EGCAP apliquen los documentos tipo en los contratos o convenios que suscriban con los mencionados sujetos de régimen de derecho privado para la adquisición de bienes, obras y servicios</w:t>
      </w:r>
      <w:r>
        <w:rPr>
          <w:rFonts w:ascii="Arial" w:eastAsia="Calibri" w:hAnsi="Arial" w:cs="Arial"/>
          <w:bCs/>
          <w:lang w:val="es-ES_tradnl" w:eastAsia="es-ES_tradnl"/>
        </w:rPr>
        <w:t xml:space="preserve">, </w:t>
      </w:r>
      <w:r w:rsidRPr="00C046D8">
        <w:rPr>
          <w:rFonts w:ascii="Arial" w:eastAsia="Calibri" w:hAnsi="Arial" w:cs="Arial"/>
          <w:bCs/>
          <w:lang w:val="es-ES_tradnl" w:eastAsia="es-ES_tradnl"/>
        </w:rPr>
        <w:t>en los casos en los que el objeto contractual que se pretende contratar esté sometido a algún documento tipo</w:t>
      </w:r>
      <w:r>
        <w:rPr>
          <w:rFonts w:ascii="Arial" w:eastAsia="Calibri" w:hAnsi="Arial" w:cs="Arial"/>
          <w:bCs/>
          <w:lang w:val="es-ES_tradnl" w:eastAsia="es-ES_tradnl"/>
        </w:rPr>
        <w:t xml:space="preserve">, esto </w:t>
      </w:r>
      <w:r w:rsidRPr="00C046D8">
        <w:rPr>
          <w:rFonts w:ascii="Arial" w:eastAsia="Times New Roman" w:hAnsi="Arial" w:cs="Arial"/>
          <w:lang w:eastAsia="es-ES_tradnl"/>
        </w:rPr>
        <w:t>implica que si las entidades estatales exceptuadas</w:t>
      </w:r>
      <w:r>
        <w:rPr>
          <w:rFonts w:ascii="Arial" w:eastAsia="Times New Roman" w:hAnsi="Arial" w:cs="Arial"/>
          <w:lang w:eastAsia="es-ES_tradnl"/>
        </w:rPr>
        <w:t xml:space="preserve"> </w:t>
      </w:r>
      <w:r w:rsidRPr="00C046D8">
        <w:rPr>
          <w:rFonts w:ascii="Arial" w:eastAsia="Times New Roman" w:hAnsi="Arial" w:cs="Arial"/>
          <w:lang w:eastAsia="es-ES_tradnl"/>
        </w:rPr>
        <w:t>pretenden ser adjudicatarias de estos contratos, deben someterse a un proceso de selección en el que se apliquen documentos tipo expedidos por esta Agencia</w:t>
      </w:r>
      <w:r>
        <w:rPr>
          <w:rFonts w:ascii="Arial" w:eastAsia="Times New Roman" w:hAnsi="Arial" w:cs="Arial"/>
          <w:lang w:eastAsia="es-ES_tradnl"/>
        </w:rPr>
        <w:t xml:space="preserve"> a cargo de la </w:t>
      </w:r>
      <w:r>
        <w:rPr>
          <w:rFonts w:ascii="Arial" w:eastAsia="Calibri" w:hAnsi="Arial" w:cs="Arial"/>
          <w:bCs/>
          <w:lang w:val="es-ES_tradnl" w:eastAsia="es-ES_tradnl"/>
        </w:rPr>
        <w:t xml:space="preserve">entidad sometida al </w:t>
      </w:r>
      <w:proofErr w:type="spellStart"/>
      <w:r>
        <w:rPr>
          <w:rFonts w:ascii="Arial" w:eastAsia="Calibri" w:hAnsi="Arial" w:cs="Arial"/>
          <w:bCs/>
          <w:lang w:val="es-ES_tradnl" w:eastAsia="es-ES_tradnl"/>
        </w:rPr>
        <w:t>EGCAP</w:t>
      </w:r>
      <w:proofErr w:type="spellEnd"/>
      <w:r w:rsidR="00023ACA">
        <w:rPr>
          <w:rFonts w:ascii="Arial" w:eastAsia="Calibri" w:hAnsi="Arial" w:cs="Arial"/>
          <w:bCs/>
          <w:lang w:val="es-ES_tradnl" w:eastAsia="es-ES_tradnl"/>
        </w:rPr>
        <w:t>.</w:t>
      </w:r>
    </w:p>
    <w:bookmarkEnd w:id="21"/>
    <w:p w14:paraId="79D0BDA2" w14:textId="77777777" w:rsidR="008410D2" w:rsidRDefault="008410D2" w:rsidP="008410D2">
      <w:pPr>
        <w:tabs>
          <w:tab w:val="left" w:pos="0"/>
        </w:tabs>
        <w:spacing w:after="0" w:line="276" w:lineRule="auto"/>
        <w:jc w:val="both"/>
        <w:rPr>
          <w:rFonts w:ascii="Arial" w:eastAsia="Times New Roman" w:hAnsi="Arial" w:cs="Arial"/>
          <w:lang w:eastAsia="es-ES_tradnl"/>
        </w:rPr>
      </w:pPr>
      <w:r w:rsidRPr="00C046D8">
        <w:rPr>
          <w:rFonts w:ascii="Arial" w:eastAsia="Times New Roman" w:hAnsi="Arial" w:cs="Arial"/>
          <w:lang w:eastAsia="es-ES_tradnl"/>
        </w:rPr>
        <w:tab/>
      </w:r>
      <w:bookmarkEnd w:id="20"/>
    </w:p>
    <w:p w14:paraId="5807DBD2" w14:textId="77777777" w:rsidR="008410D2" w:rsidRPr="00E31EA8" w:rsidRDefault="008410D2" w:rsidP="008410D2">
      <w:pPr>
        <w:tabs>
          <w:tab w:val="left" w:pos="0"/>
        </w:tabs>
        <w:spacing w:after="0" w:line="276" w:lineRule="auto"/>
        <w:jc w:val="both"/>
        <w:rPr>
          <w:rFonts w:ascii="Arial" w:eastAsia="Times New Roman" w:hAnsi="Arial" w:cs="Arial"/>
          <w:b/>
          <w:bCs/>
          <w:lang w:eastAsia="es-ES_tradnl"/>
        </w:rPr>
      </w:pPr>
      <w:r w:rsidRPr="00E31EA8">
        <w:rPr>
          <w:rFonts w:ascii="Arial" w:eastAsia="Times New Roman" w:hAnsi="Arial" w:cs="Arial"/>
          <w:b/>
          <w:bCs/>
          <w:lang w:eastAsia="es-ES_tradnl"/>
        </w:rPr>
        <w:t>2.</w:t>
      </w:r>
      <w:r>
        <w:rPr>
          <w:rFonts w:ascii="Arial" w:eastAsia="Times New Roman" w:hAnsi="Arial" w:cs="Arial"/>
          <w:b/>
          <w:bCs/>
          <w:lang w:eastAsia="es-ES_tradnl"/>
        </w:rPr>
        <w:t>5</w:t>
      </w:r>
      <w:r w:rsidRPr="00E31EA8">
        <w:rPr>
          <w:rFonts w:ascii="Arial" w:eastAsia="Times New Roman" w:hAnsi="Arial" w:cs="Arial"/>
          <w:b/>
          <w:bCs/>
          <w:lang w:eastAsia="es-ES_tradnl"/>
        </w:rPr>
        <w:t xml:space="preserve">. Excepciones a la aplicación del artículo 56 de la Ley 2195 de 2022. Alcance de la expresión </w:t>
      </w:r>
      <w:r w:rsidRPr="00E31EA8">
        <w:rPr>
          <w:rFonts w:ascii="Arial" w:eastAsia="Times New Roman" w:hAnsi="Arial" w:cs="Arial"/>
          <w:b/>
          <w:bCs/>
          <w:i/>
          <w:iCs/>
          <w:lang w:eastAsia="es-ES_tradnl"/>
        </w:rPr>
        <w:t>“giro ordinario”</w:t>
      </w:r>
      <w:r w:rsidRPr="00E31EA8">
        <w:rPr>
          <w:rFonts w:ascii="Arial" w:eastAsia="Times New Roman" w:hAnsi="Arial" w:cs="Arial"/>
          <w:b/>
          <w:bCs/>
          <w:lang w:eastAsia="es-ES_tradnl"/>
        </w:rPr>
        <w:t xml:space="preserve"> </w:t>
      </w:r>
      <w:r>
        <w:rPr>
          <w:rFonts w:ascii="Arial" w:eastAsia="Times New Roman" w:hAnsi="Arial" w:cs="Arial"/>
          <w:b/>
          <w:bCs/>
          <w:lang w:eastAsia="es-ES_tradnl"/>
        </w:rPr>
        <w:t xml:space="preserve">contenida </w:t>
      </w:r>
      <w:r w:rsidRPr="00E31EA8">
        <w:rPr>
          <w:rFonts w:ascii="Arial" w:eastAsia="Times New Roman" w:hAnsi="Arial" w:cs="Arial"/>
          <w:b/>
          <w:bCs/>
          <w:lang w:eastAsia="es-ES_tradnl"/>
        </w:rPr>
        <w:t xml:space="preserve">en el </w:t>
      </w:r>
      <w:r>
        <w:rPr>
          <w:rFonts w:ascii="Arial" w:eastAsia="Times New Roman" w:hAnsi="Arial" w:cs="Arial"/>
          <w:b/>
          <w:bCs/>
          <w:lang w:eastAsia="es-ES_tradnl"/>
        </w:rPr>
        <w:t>parágrafo</w:t>
      </w:r>
      <w:r w:rsidRPr="00E31EA8">
        <w:rPr>
          <w:rFonts w:ascii="Arial" w:eastAsia="Times New Roman" w:hAnsi="Arial" w:cs="Arial"/>
          <w:b/>
          <w:bCs/>
          <w:lang w:eastAsia="es-ES_tradnl"/>
        </w:rPr>
        <w:t xml:space="preserve"> de la norma</w:t>
      </w:r>
      <w:r>
        <w:rPr>
          <w:rFonts w:ascii="Arial" w:eastAsia="Times New Roman" w:hAnsi="Arial" w:cs="Arial"/>
          <w:b/>
          <w:bCs/>
          <w:lang w:eastAsia="es-ES_tradnl"/>
        </w:rPr>
        <w:t>. Especial referencia a las empresas de servicios públicos</w:t>
      </w:r>
    </w:p>
    <w:p w14:paraId="4088FDC0" w14:textId="77777777" w:rsidR="008410D2" w:rsidRDefault="008410D2" w:rsidP="008410D2">
      <w:pPr>
        <w:tabs>
          <w:tab w:val="left" w:pos="0"/>
        </w:tabs>
        <w:spacing w:after="0" w:line="276" w:lineRule="auto"/>
        <w:jc w:val="both"/>
        <w:rPr>
          <w:rFonts w:ascii="Arial" w:eastAsia="Times New Roman" w:hAnsi="Arial" w:cs="Arial"/>
          <w:lang w:eastAsia="es-ES_tradnl"/>
        </w:rPr>
      </w:pPr>
    </w:p>
    <w:p w14:paraId="627B8F42" w14:textId="77777777" w:rsidR="008410D2" w:rsidRDefault="008410D2" w:rsidP="001A5552">
      <w:pPr>
        <w:tabs>
          <w:tab w:val="left" w:pos="0"/>
        </w:tabs>
        <w:spacing w:after="120" w:line="276" w:lineRule="auto"/>
        <w:jc w:val="both"/>
        <w:rPr>
          <w:rFonts w:ascii="Arial" w:eastAsia="Calibri" w:hAnsi="Arial" w:cs="Arial"/>
          <w:bCs/>
          <w:lang w:val="es-ES_tradnl" w:eastAsia="es-ES_tradnl"/>
        </w:rPr>
      </w:pPr>
      <w:r>
        <w:rPr>
          <w:rFonts w:ascii="Arial" w:eastAsia="Times New Roman" w:hAnsi="Arial" w:cs="Arial"/>
          <w:lang w:eastAsia="es-ES_tradnl"/>
        </w:rPr>
        <w:t>De otra parte,</w:t>
      </w:r>
      <w:bookmarkStart w:id="22" w:name="_Hlk113023556"/>
      <w:r>
        <w:rPr>
          <w:rFonts w:ascii="Arial" w:eastAsia="Calibri" w:hAnsi="Arial" w:cs="Arial"/>
          <w:bCs/>
          <w:lang w:val="es-ES_tradnl" w:eastAsia="es-ES_tradnl"/>
        </w:rPr>
        <w:t xml:space="preserve"> </w:t>
      </w:r>
      <w:r w:rsidRPr="00C046D8">
        <w:rPr>
          <w:rFonts w:ascii="Arial" w:eastAsia="Calibri" w:hAnsi="Arial" w:cs="Arial"/>
          <w:bCs/>
          <w:lang w:val="es-ES_tradnl" w:eastAsia="es-ES_tradnl"/>
        </w:rPr>
        <w:t>es necesario precisar el alcance de</w:t>
      </w:r>
      <w:r>
        <w:rPr>
          <w:rFonts w:ascii="Arial" w:eastAsia="Calibri" w:hAnsi="Arial" w:cs="Arial"/>
          <w:bCs/>
          <w:lang w:val="es-ES_tradnl" w:eastAsia="es-ES_tradnl"/>
        </w:rPr>
        <w:t>l parágrafo del artículo 56 de la Ley 2195 de 2022 y lo d</w:t>
      </w:r>
      <w:r w:rsidRPr="00C046D8">
        <w:rPr>
          <w:rFonts w:ascii="Arial" w:eastAsia="Calibri" w:hAnsi="Arial" w:cs="Arial"/>
          <w:bCs/>
          <w:lang w:val="es-ES_tradnl" w:eastAsia="es-ES_tradnl"/>
        </w:rPr>
        <w:t>ispuesto en los dos primeros incisos del mencionado artículo</w:t>
      </w:r>
      <w:r>
        <w:rPr>
          <w:rFonts w:ascii="Arial" w:eastAsia="Calibri" w:hAnsi="Arial" w:cs="Arial"/>
          <w:bCs/>
          <w:lang w:val="es-ES_tradnl" w:eastAsia="es-ES_tradnl"/>
        </w:rPr>
        <w:t xml:space="preserve">, del </w:t>
      </w:r>
      <w:r w:rsidRPr="00C046D8">
        <w:rPr>
          <w:rFonts w:ascii="Arial" w:eastAsia="Calibri" w:hAnsi="Arial" w:cs="Arial"/>
          <w:bCs/>
          <w:lang w:val="es-ES_tradnl" w:eastAsia="es-ES_tradnl"/>
        </w:rPr>
        <w:t xml:space="preserve">cual </w:t>
      </w:r>
      <w:r>
        <w:rPr>
          <w:rFonts w:ascii="Arial" w:eastAsia="Calibri" w:hAnsi="Arial" w:cs="Arial"/>
          <w:bCs/>
          <w:lang w:val="es-ES_tradnl" w:eastAsia="es-ES_tradnl"/>
        </w:rPr>
        <w:t xml:space="preserve">se </w:t>
      </w:r>
      <w:r w:rsidRPr="00C046D8">
        <w:rPr>
          <w:rFonts w:ascii="Arial" w:eastAsia="Calibri" w:hAnsi="Arial" w:cs="Arial"/>
          <w:bCs/>
          <w:lang w:val="es-ES_tradnl" w:eastAsia="es-ES_tradnl"/>
        </w:rPr>
        <w:t xml:space="preserve">excluye, a cierto tipo de entidades, en lo relacionado con la contratación de su </w:t>
      </w:r>
      <w:r w:rsidRPr="00C046D8">
        <w:rPr>
          <w:rFonts w:ascii="Arial" w:eastAsia="Calibri" w:hAnsi="Arial" w:cs="Arial"/>
          <w:bCs/>
          <w:i/>
          <w:iCs/>
          <w:lang w:val="es-ES_tradnl" w:eastAsia="es-ES_tradnl"/>
        </w:rPr>
        <w:t>giro ordinario</w:t>
      </w:r>
      <w:r w:rsidRPr="00C046D8">
        <w:rPr>
          <w:rFonts w:ascii="Arial" w:eastAsia="Calibri" w:hAnsi="Arial" w:cs="Arial"/>
          <w:bCs/>
          <w:lang w:val="es-ES_tradnl" w:eastAsia="es-ES_tradnl"/>
        </w:rPr>
        <w:t xml:space="preserve">. Conforme se desprende del texto del referido parágrafo, se exceptúa de lo señalado en los dos primeros incisos a: i) las instituciones de educación superior públicas, </w:t>
      </w:r>
      <w:proofErr w:type="spellStart"/>
      <w:r w:rsidRPr="00C046D8">
        <w:rPr>
          <w:rFonts w:ascii="Arial" w:eastAsia="Calibri" w:hAnsi="Arial" w:cs="Arial"/>
          <w:bCs/>
          <w:lang w:val="es-ES_tradnl" w:eastAsia="es-ES_tradnl"/>
        </w:rPr>
        <w:t>ii</w:t>
      </w:r>
      <w:proofErr w:type="spellEnd"/>
      <w:r w:rsidRPr="00C046D8">
        <w:rPr>
          <w:rFonts w:ascii="Arial" w:eastAsia="Calibri" w:hAnsi="Arial" w:cs="Arial"/>
          <w:bCs/>
          <w:lang w:val="es-ES_tradnl" w:eastAsia="es-ES_tradnl"/>
        </w:rPr>
        <w:t xml:space="preserve">) las empresas sociales del Estado, </w:t>
      </w:r>
      <w:proofErr w:type="spellStart"/>
      <w:r w:rsidRPr="00C046D8">
        <w:rPr>
          <w:rFonts w:ascii="Arial" w:eastAsia="Calibri" w:hAnsi="Arial" w:cs="Arial"/>
          <w:bCs/>
          <w:lang w:val="es-ES_tradnl" w:eastAsia="es-ES_tradnl"/>
        </w:rPr>
        <w:t>iii</w:t>
      </w:r>
      <w:proofErr w:type="spellEnd"/>
      <w:r w:rsidRPr="00C046D8">
        <w:rPr>
          <w:rFonts w:ascii="Arial" w:eastAsia="Calibri" w:hAnsi="Arial" w:cs="Arial"/>
          <w:bCs/>
          <w:lang w:val="es-ES_tradnl" w:eastAsia="es-ES_tradnl"/>
        </w:rPr>
        <w:t xml:space="preserve">) las sociedades de economía mixta y </w:t>
      </w:r>
      <w:proofErr w:type="spellStart"/>
      <w:r w:rsidRPr="00C046D8">
        <w:rPr>
          <w:rFonts w:ascii="Arial" w:eastAsia="Calibri" w:hAnsi="Arial" w:cs="Arial"/>
          <w:bCs/>
          <w:lang w:val="es-ES_tradnl" w:eastAsia="es-ES_tradnl"/>
        </w:rPr>
        <w:t>iv</w:t>
      </w:r>
      <w:proofErr w:type="spellEnd"/>
      <w:r w:rsidRPr="00C046D8">
        <w:rPr>
          <w:rFonts w:ascii="Arial" w:eastAsia="Calibri" w:hAnsi="Arial" w:cs="Arial"/>
          <w:bCs/>
          <w:lang w:val="es-ES_tradnl" w:eastAsia="es-ES_tradnl"/>
        </w:rPr>
        <w:t xml:space="preserve">) las empresas industriales y comerciales del Estado, únicamente, en la contratación relacionada con el </w:t>
      </w:r>
      <w:r w:rsidRPr="00C046D8">
        <w:rPr>
          <w:rFonts w:ascii="Arial" w:eastAsia="Calibri" w:hAnsi="Arial" w:cs="Arial"/>
          <w:bCs/>
          <w:i/>
          <w:iCs/>
          <w:lang w:val="es-ES_tradnl" w:eastAsia="es-ES_tradnl"/>
        </w:rPr>
        <w:t>giro ordinario.</w:t>
      </w:r>
      <w:r w:rsidRPr="00C046D8">
        <w:rPr>
          <w:rFonts w:ascii="Arial" w:eastAsia="Calibri" w:hAnsi="Arial" w:cs="Arial"/>
          <w:bCs/>
          <w:lang w:val="es-ES_tradnl" w:eastAsia="es-ES_tradnl"/>
        </w:rPr>
        <w:t xml:space="preserve"> Esto significa que, en la contratación asociada a su </w:t>
      </w:r>
      <w:r w:rsidRPr="00C046D8">
        <w:rPr>
          <w:rFonts w:ascii="Arial" w:eastAsia="Calibri" w:hAnsi="Arial" w:cs="Arial"/>
          <w:bCs/>
          <w:i/>
          <w:iCs/>
          <w:lang w:val="es-ES_tradnl" w:eastAsia="es-ES_tradnl"/>
        </w:rPr>
        <w:t xml:space="preserve">giro ordinario, </w:t>
      </w:r>
      <w:r w:rsidRPr="00C046D8">
        <w:rPr>
          <w:rFonts w:ascii="Arial" w:eastAsia="Calibri" w:hAnsi="Arial" w:cs="Arial"/>
          <w:bCs/>
          <w:lang w:val="es-ES_tradnl" w:eastAsia="es-ES_tradnl"/>
        </w:rPr>
        <w:t>estos tipos de entidades no tendrían que aplicar, de manera obligatoria, los documentos tipo, ni tampoco el EGCAP.</w:t>
      </w:r>
      <w:r w:rsidRPr="007C166F">
        <w:rPr>
          <w:rFonts w:ascii="Arial" w:eastAsia="Times New Roman" w:hAnsi="Arial" w:cs="Arial"/>
          <w:lang w:eastAsia="es-ES_tradnl"/>
        </w:rPr>
        <w:t xml:space="preserve"> </w:t>
      </w:r>
      <w:r>
        <w:rPr>
          <w:rFonts w:ascii="Arial" w:eastAsia="Times New Roman" w:hAnsi="Arial" w:cs="Arial"/>
          <w:lang w:eastAsia="es-ES_tradnl"/>
        </w:rPr>
        <w:t xml:space="preserve">es decir, si entidades </w:t>
      </w:r>
      <w:r w:rsidRPr="00C046D8">
        <w:rPr>
          <w:rFonts w:ascii="Arial" w:eastAsia="Times New Roman" w:hAnsi="Arial" w:cs="Arial"/>
          <w:lang w:eastAsia="es-ES_tradnl"/>
        </w:rPr>
        <w:t>estatales exceptuadas</w:t>
      </w:r>
      <w:r>
        <w:rPr>
          <w:rFonts w:ascii="Arial" w:eastAsia="Times New Roman" w:hAnsi="Arial" w:cs="Arial"/>
          <w:lang w:eastAsia="es-ES_tradnl"/>
        </w:rPr>
        <w:t xml:space="preserve"> </w:t>
      </w:r>
      <w:r w:rsidRPr="00C046D8">
        <w:rPr>
          <w:rFonts w:ascii="Arial" w:eastAsia="Times New Roman" w:hAnsi="Arial" w:cs="Arial"/>
          <w:lang w:eastAsia="es-ES_tradnl"/>
        </w:rPr>
        <w:t xml:space="preserve">pretenden ser adjudicatarias de estos contratos, </w:t>
      </w:r>
      <w:r>
        <w:rPr>
          <w:rFonts w:ascii="Arial" w:eastAsia="Times New Roman" w:hAnsi="Arial" w:cs="Arial"/>
          <w:lang w:eastAsia="es-ES_tradnl"/>
        </w:rPr>
        <w:t xml:space="preserve">no </w:t>
      </w:r>
      <w:r w:rsidRPr="00C046D8">
        <w:rPr>
          <w:rFonts w:ascii="Arial" w:eastAsia="Times New Roman" w:hAnsi="Arial" w:cs="Arial"/>
          <w:lang w:eastAsia="es-ES_tradnl"/>
        </w:rPr>
        <w:t>deben someterse a un proceso de selección en el que se apliquen documentos tipo expedidos por esta Agencia</w:t>
      </w:r>
      <w:r>
        <w:rPr>
          <w:rFonts w:ascii="Arial" w:eastAsia="Times New Roman" w:hAnsi="Arial" w:cs="Arial"/>
          <w:lang w:eastAsia="es-ES_tradnl"/>
        </w:rPr>
        <w:t xml:space="preserve">. </w:t>
      </w:r>
      <w:r w:rsidRPr="00C046D8">
        <w:rPr>
          <w:rFonts w:ascii="Arial" w:eastAsia="Calibri" w:hAnsi="Arial" w:cs="Arial"/>
          <w:bCs/>
          <w:lang w:val="es-ES_tradnl" w:eastAsia="es-ES_tradnl"/>
        </w:rPr>
        <w:t xml:space="preserve">En este caso la norma se limita a fomentar la implementación de documentos tipo a modo de buena práctica contractual, en los casos en los que se estime conveniente. </w:t>
      </w:r>
    </w:p>
    <w:bookmarkEnd w:id="22"/>
    <w:p w14:paraId="3933AF05" w14:textId="77777777" w:rsidR="008410D2" w:rsidRPr="00C046D8" w:rsidRDefault="008410D2" w:rsidP="001A5552">
      <w:pPr>
        <w:tabs>
          <w:tab w:val="left" w:pos="0"/>
        </w:tabs>
        <w:spacing w:after="120" w:line="276" w:lineRule="auto"/>
        <w:jc w:val="both"/>
        <w:rPr>
          <w:rFonts w:ascii="Arial" w:eastAsia="Arial" w:hAnsi="Arial" w:cs="Arial"/>
          <w:lang w:val="es-ES_tradnl" w:eastAsia="es-ES_tradnl"/>
        </w:rPr>
      </w:pPr>
      <w:r w:rsidRPr="00C046D8">
        <w:rPr>
          <w:rFonts w:ascii="Arial" w:eastAsia="Calibri" w:hAnsi="Arial" w:cs="Arial"/>
          <w:bCs/>
          <w:lang w:val="es-ES_tradnl" w:eastAsia="es-ES_tradnl"/>
        </w:rPr>
        <w:tab/>
        <w:t xml:space="preserve">Ahora, es importante tener en cuenta que cuando la norma se refiere a la contratación del </w:t>
      </w:r>
      <w:r w:rsidRPr="00C046D8">
        <w:rPr>
          <w:rFonts w:ascii="Arial" w:eastAsia="Calibri" w:hAnsi="Arial" w:cs="Arial"/>
          <w:bCs/>
          <w:i/>
          <w:iCs/>
          <w:lang w:val="es-ES_tradnl" w:eastAsia="es-ES_tradnl"/>
        </w:rPr>
        <w:t>giro ordinario</w:t>
      </w:r>
      <w:r w:rsidRPr="00C046D8">
        <w:rPr>
          <w:rFonts w:ascii="Arial" w:eastAsia="Calibri" w:hAnsi="Arial" w:cs="Arial"/>
          <w:bCs/>
          <w:lang w:val="es-ES_tradnl" w:eastAsia="es-ES_tradnl"/>
        </w:rPr>
        <w:t>, emplea un concepto jurídico indeterminado</w:t>
      </w:r>
      <w:r w:rsidRPr="00C046D8">
        <w:rPr>
          <w:rFonts w:ascii="Arial" w:eastAsia="Calibri" w:hAnsi="Arial" w:cs="Arial"/>
          <w:vertAlign w:val="superscript"/>
          <w:lang w:eastAsia="es-ES_tradnl"/>
        </w:rPr>
        <w:footnoteReference w:id="24"/>
      </w:r>
      <w:r w:rsidRPr="00C046D8">
        <w:rPr>
          <w:rFonts w:ascii="Arial" w:eastAsia="Calibri" w:hAnsi="Arial" w:cs="Arial"/>
          <w:bCs/>
          <w:lang w:val="es-ES_tradnl" w:eastAsia="es-ES_tradnl"/>
        </w:rPr>
        <w:t xml:space="preserve">. </w:t>
      </w:r>
      <w:r w:rsidRPr="00C046D8">
        <w:rPr>
          <w:rFonts w:ascii="Arial" w:eastAsia="Arial" w:hAnsi="Arial" w:cs="Arial"/>
          <w:lang w:val="es-ES_tradnl" w:eastAsia="es-ES_tradnl"/>
        </w:rPr>
        <w:t xml:space="preserve">Un concepto adquiere esta denominación en el Derecho cuando se trata de un enunciado que goza de vaguedad y que debe materializarse en cada caso, atendiendo a las técnicas de la interpretación jurídica. De igual forma, se trata de un concepto para cuya concreción las entidades estatales gozan de cierto margen de apreciación en su aplicación, pero deben respetar los límites previstos en las normas de orden público. Por ejemplo, no podrán considerar que cualquier contrato que celebren hace parte del giro ordinario de sus negocios. </w:t>
      </w:r>
    </w:p>
    <w:p w14:paraId="0ECE16B4" w14:textId="77777777" w:rsidR="008410D2" w:rsidRPr="00C046D8" w:rsidRDefault="008410D2" w:rsidP="008410D2">
      <w:pPr>
        <w:tabs>
          <w:tab w:val="left" w:pos="0"/>
        </w:tabs>
        <w:spacing w:after="0" w:line="276" w:lineRule="auto"/>
        <w:ind w:firstLine="709"/>
        <w:jc w:val="both"/>
        <w:rPr>
          <w:rFonts w:ascii="Arial" w:eastAsia="Calibri" w:hAnsi="Arial" w:cs="Arial"/>
          <w:bCs/>
          <w:lang w:val="es-ES_tradnl" w:eastAsia="es-ES_tradnl"/>
        </w:rPr>
      </w:pPr>
      <w:r w:rsidRPr="00C046D8">
        <w:rPr>
          <w:rFonts w:ascii="Arial" w:eastAsia="Arial" w:hAnsi="Arial" w:cs="Arial"/>
          <w:lang w:val="es-ES_tradnl" w:eastAsia="es-ES_tradnl"/>
        </w:rPr>
        <w:t>La Corte Constitucional</w:t>
      </w:r>
      <w:r w:rsidRPr="00C046D8">
        <w:rPr>
          <w:rFonts w:ascii="Arial" w:eastAsia="Arial" w:hAnsi="Arial" w:cs="Arial"/>
          <w:vertAlign w:val="superscript"/>
          <w:lang w:eastAsia="es-ES_tradnl"/>
        </w:rPr>
        <w:footnoteReference w:id="25"/>
      </w:r>
      <w:r w:rsidRPr="00C046D8">
        <w:rPr>
          <w:rFonts w:ascii="Arial" w:eastAsia="Arial" w:hAnsi="Arial" w:cs="Arial"/>
          <w:lang w:val="es-ES_tradnl" w:eastAsia="es-ES_tradnl"/>
        </w:rPr>
        <w:t xml:space="preserve"> también ha reconocido que el Congreso de la República, dentro de su libertad de configuración legislativa, puede emplear este tipo de conceptos, que se caracterizan por tener un cierto halo de incertidumbre en su interpretación, quedando referida su determinación concreta a la actividad de los operadores jurídicos.</w:t>
      </w:r>
      <w:r>
        <w:rPr>
          <w:rFonts w:ascii="Arial" w:eastAsia="Calibri" w:hAnsi="Arial" w:cs="Arial"/>
          <w:bCs/>
          <w:lang w:val="es-ES_tradnl" w:eastAsia="es-ES_tradnl"/>
        </w:rPr>
        <w:t xml:space="preserve"> </w:t>
      </w:r>
      <w:r w:rsidRPr="00C046D8">
        <w:rPr>
          <w:rFonts w:ascii="Arial" w:eastAsia="Calibri" w:hAnsi="Arial" w:cs="Arial"/>
          <w:bCs/>
          <w:lang w:val="es-ES_tradnl" w:eastAsia="es-ES_tradnl"/>
        </w:rPr>
        <w:t xml:space="preserve">Aunque, como se indicó, la expresión giro ordinario de los negocios es un concepto jurídico indeterminado, el Consejo de Estado ha tenido la oportunidad de pronunciarse en distintas ocasiones sobre su alcance, estableciendo algunos criterios de interpretación. En su momento, en relación con el alcance de la expresión </w:t>
      </w:r>
      <w:r w:rsidRPr="00C046D8">
        <w:rPr>
          <w:rFonts w:ascii="Arial" w:eastAsia="Calibri" w:hAnsi="Arial" w:cs="Arial"/>
          <w:bCs/>
          <w:i/>
          <w:iCs/>
          <w:lang w:val="es-ES_tradnl" w:eastAsia="es-ES_tradnl"/>
        </w:rPr>
        <w:t xml:space="preserve">giro ordinario </w:t>
      </w:r>
      <w:r w:rsidRPr="00C046D8">
        <w:rPr>
          <w:rFonts w:ascii="Arial" w:eastAsia="Calibri" w:hAnsi="Arial" w:cs="Arial"/>
          <w:bCs/>
          <w:lang w:val="es-ES_tradnl" w:eastAsia="es-ES_tradnl"/>
        </w:rPr>
        <w:t>incluida en la redacción original del parágrafo 1° del artículo 32 de la Ley 80 de 1993</w:t>
      </w:r>
      <w:r w:rsidRPr="00C046D8">
        <w:rPr>
          <w:rFonts w:ascii="Arial" w:eastAsia="Calibri" w:hAnsi="Arial" w:cs="Arial"/>
          <w:vertAlign w:val="superscript"/>
          <w:lang w:eastAsia="es-ES_tradnl"/>
        </w:rPr>
        <w:footnoteReference w:id="26"/>
      </w:r>
      <w:r w:rsidRPr="00C046D8">
        <w:rPr>
          <w:rFonts w:ascii="Arial" w:eastAsia="Calibri" w:hAnsi="Arial" w:cs="Arial"/>
          <w:bCs/>
          <w:lang w:val="es-ES_tradnl" w:eastAsia="es-ES_tradnl"/>
        </w:rPr>
        <w:t xml:space="preserve">, la Sección Tercera manifestó lo siguiente: </w:t>
      </w:r>
    </w:p>
    <w:p w14:paraId="1349C099" w14:textId="77777777" w:rsidR="008410D2" w:rsidRPr="00C046D8" w:rsidRDefault="008410D2" w:rsidP="008410D2">
      <w:pPr>
        <w:tabs>
          <w:tab w:val="left" w:pos="0"/>
        </w:tabs>
        <w:spacing w:after="0" w:line="276" w:lineRule="auto"/>
        <w:contextualSpacing/>
        <w:jc w:val="both"/>
        <w:rPr>
          <w:rFonts w:ascii="Arial" w:eastAsia="Calibri" w:hAnsi="Arial" w:cs="Arial"/>
          <w:bCs/>
          <w:lang w:val="es-ES_tradnl" w:eastAsia="es-ES_tradnl"/>
        </w:rPr>
      </w:pPr>
    </w:p>
    <w:p w14:paraId="0F6E72D2" w14:textId="77777777" w:rsidR="008410D2" w:rsidRPr="00C046D8" w:rsidRDefault="008410D2" w:rsidP="008410D2">
      <w:pPr>
        <w:spacing w:after="0"/>
        <w:ind w:left="709" w:right="709"/>
        <w:contextualSpacing/>
        <w:jc w:val="both"/>
        <w:rPr>
          <w:rFonts w:ascii="Arial" w:eastAsia="Times New Roman" w:hAnsi="Arial" w:cs="Arial"/>
          <w:sz w:val="21"/>
          <w:szCs w:val="21"/>
          <w:lang w:val="es-ES_tradnl" w:eastAsia="es-CO"/>
        </w:rPr>
      </w:pPr>
      <w:r>
        <w:rPr>
          <w:rFonts w:ascii="Arial" w:eastAsia="Times New Roman" w:hAnsi="Arial" w:cs="Arial"/>
          <w:sz w:val="21"/>
          <w:szCs w:val="21"/>
          <w:lang w:val="es-ES_tradnl" w:eastAsia="es-ES_tradnl"/>
        </w:rPr>
        <w:t>“</w:t>
      </w:r>
      <w:r w:rsidRPr="00C046D8">
        <w:rPr>
          <w:rFonts w:ascii="Arial" w:eastAsia="Times New Roman" w:hAnsi="Arial" w:cs="Arial"/>
          <w:sz w:val="21"/>
          <w:szCs w:val="21"/>
          <w:lang w:val="es-ES_tradnl" w:eastAsia="es-ES_tradnl"/>
        </w:rPr>
        <w:t xml:space="preserve">[E]l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en el objeto de la sociedad. </w:t>
      </w:r>
      <w:proofErr w:type="gramStart"/>
      <w:r w:rsidRPr="00C046D8">
        <w:rPr>
          <w:rFonts w:ascii="Arial" w:eastAsia="Times New Roman" w:hAnsi="Arial" w:cs="Arial"/>
          <w:sz w:val="21"/>
          <w:szCs w:val="21"/>
          <w:lang w:val="es-ES_tradnl" w:eastAsia="es-ES_tradnl"/>
        </w:rPr>
        <w:t>Siendo</w:t>
      </w:r>
      <w:proofErr w:type="gramEnd"/>
      <w:r w:rsidRPr="00C046D8">
        <w:rPr>
          <w:rFonts w:ascii="Arial" w:eastAsia="Times New Roman" w:hAnsi="Arial" w:cs="Arial"/>
          <w:sz w:val="21"/>
          <w:szCs w:val="21"/>
          <w:lang w:val="es-ES_tradnl" w:eastAsia="es-ES_tradnl"/>
        </w:rPr>
        <w:t xml:space="preserve"> así las cosas, resulta que el concepto “giro ordinario de las actividades” […], hace relación tanto a las actividades o negocios realizados en cumplimiento del objeto social o de las funciones principales, expresamente definidas por la Ley, como también a todo aquello que es conexo con ellas y que se realiza para desarrollar la función principal, estableciéndose entre estos una relación de medio a fin, estrecha y complementaria</w:t>
      </w:r>
      <w:r>
        <w:rPr>
          <w:rFonts w:ascii="Arial" w:eastAsia="Times New Roman" w:hAnsi="Arial" w:cs="Arial"/>
          <w:sz w:val="21"/>
          <w:szCs w:val="21"/>
          <w:lang w:val="es-ES_tradnl" w:eastAsia="es-ES_tradnl"/>
        </w:rPr>
        <w:t>”</w:t>
      </w:r>
      <w:r w:rsidRPr="00C046D8">
        <w:rPr>
          <w:rFonts w:ascii="Arial" w:eastAsia="Times New Roman" w:hAnsi="Arial" w:cs="Arial"/>
          <w:sz w:val="21"/>
          <w:szCs w:val="21"/>
          <w:vertAlign w:val="superscript"/>
          <w:lang w:eastAsia="es-ES_tradnl"/>
        </w:rPr>
        <w:footnoteReference w:id="27"/>
      </w:r>
      <w:r w:rsidRPr="00C046D8">
        <w:rPr>
          <w:rFonts w:ascii="Arial" w:eastAsia="Times New Roman" w:hAnsi="Arial" w:cs="Arial"/>
          <w:sz w:val="21"/>
          <w:szCs w:val="21"/>
          <w:lang w:val="es-ES_tradnl" w:eastAsia="es-ES_tradnl"/>
        </w:rPr>
        <w:t>.</w:t>
      </w:r>
    </w:p>
    <w:p w14:paraId="1B378F79" w14:textId="77777777" w:rsidR="008410D2" w:rsidRPr="00C046D8" w:rsidRDefault="008410D2" w:rsidP="008410D2">
      <w:pPr>
        <w:tabs>
          <w:tab w:val="left" w:pos="0"/>
        </w:tabs>
        <w:spacing w:after="0" w:line="276" w:lineRule="auto"/>
        <w:contextualSpacing/>
        <w:jc w:val="both"/>
        <w:rPr>
          <w:rFonts w:ascii="Arial" w:eastAsia="Calibri" w:hAnsi="Arial" w:cs="Arial"/>
          <w:bCs/>
          <w:i/>
          <w:iCs/>
          <w:szCs w:val="24"/>
          <w:lang w:val="es-ES_tradnl" w:eastAsia="es-ES_tradnl"/>
        </w:rPr>
      </w:pPr>
    </w:p>
    <w:p w14:paraId="3D87DCBD" w14:textId="77777777" w:rsidR="008410D2" w:rsidRDefault="008410D2" w:rsidP="008410D2">
      <w:pPr>
        <w:tabs>
          <w:tab w:val="left" w:pos="0"/>
        </w:tabs>
        <w:spacing w:after="0" w:line="276" w:lineRule="auto"/>
        <w:contextualSpacing/>
        <w:jc w:val="both"/>
        <w:rPr>
          <w:rFonts w:ascii="Arial" w:eastAsia="Calibri" w:hAnsi="Arial" w:cs="Arial"/>
          <w:bCs/>
          <w:sz w:val="21"/>
          <w:szCs w:val="21"/>
          <w:lang w:val="es-ES_tradnl" w:eastAsia="es-ES_tradnl"/>
        </w:rPr>
      </w:pPr>
      <w:r w:rsidRPr="00C046D8">
        <w:rPr>
          <w:rFonts w:ascii="Arial" w:eastAsia="Calibri" w:hAnsi="Arial" w:cs="Arial"/>
          <w:bCs/>
          <w:lang w:val="es-ES_tradnl" w:eastAsia="es-ES_tradnl"/>
        </w:rPr>
        <w:tab/>
      </w:r>
      <w:r w:rsidRPr="00165C4E">
        <w:rPr>
          <w:rFonts w:ascii="Arial" w:eastAsia="Calibri" w:hAnsi="Arial" w:cs="Arial"/>
          <w:bCs/>
          <w:lang w:val="es-ES_tradnl" w:eastAsia="es-ES_tradnl"/>
        </w:rPr>
        <w:t xml:space="preserve">En el mismo sentido se pronunció recientemente el Alto Tribunal de lo Contencioso Administrativo, reiterando las anteriores consideraciones, al expresar que el concepto de </w:t>
      </w:r>
      <w:r w:rsidRPr="00165C4E">
        <w:rPr>
          <w:rFonts w:ascii="Arial" w:eastAsia="Calibri" w:hAnsi="Arial" w:cs="Arial"/>
          <w:i/>
          <w:lang w:val="es-ES_tradnl" w:eastAsia="es-ES_tradnl"/>
        </w:rPr>
        <w:t xml:space="preserve">“giro ordinario de los negocios” </w:t>
      </w:r>
      <w:r w:rsidRPr="00165C4E">
        <w:rPr>
          <w:rFonts w:ascii="Arial" w:eastAsia="Calibri" w:hAnsi="Arial" w:cs="Arial"/>
          <w:bCs/>
          <w:lang w:val="es-ES_tradnl" w:eastAsia="es-ES_tradnl"/>
        </w:rPr>
        <w:t>se refiere a aquellas actividades compatibles con el objeto social, funciones previstas en la ley, o en las normas de creación y en sus estatutos internos de las personas</w:t>
      </w:r>
      <w:r w:rsidRPr="00165C4E">
        <w:rPr>
          <w:rFonts w:ascii="Arial" w:eastAsia="Calibri" w:hAnsi="Arial" w:cs="Arial"/>
          <w:sz w:val="21"/>
          <w:szCs w:val="21"/>
          <w:vertAlign w:val="superscript"/>
          <w:lang w:eastAsia="es-ES_tradnl"/>
        </w:rPr>
        <w:footnoteReference w:id="28"/>
      </w:r>
      <w:r w:rsidRPr="00165C4E">
        <w:rPr>
          <w:rFonts w:ascii="Arial" w:eastAsia="Calibri" w:hAnsi="Arial" w:cs="Arial"/>
          <w:bCs/>
          <w:lang w:val="es-ES_tradnl" w:eastAsia="es-ES_tradnl"/>
        </w:rPr>
        <w:t xml:space="preserve"> y la doctrina societaria</w:t>
      </w:r>
      <w:r w:rsidRPr="00165C4E">
        <w:rPr>
          <w:rStyle w:val="Refdenotaalpie"/>
          <w:rFonts w:ascii="Arial" w:eastAsia="Calibri" w:hAnsi="Arial" w:cs="Arial"/>
          <w:bCs/>
          <w:lang w:val="es-ES_tradnl" w:eastAsia="es-ES_tradnl"/>
        </w:rPr>
        <w:footnoteReference w:id="29"/>
      </w:r>
      <w:r w:rsidRPr="00165C4E">
        <w:rPr>
          <w:rFonts w:ascii="Arial" w:eastAsia="Calibri" w:hAnsi="Arial" w:cs="Arial"/>
          <w:bCs/>
          <w:sz w:val="21"/>
          <w:szCs w:val="21"/>
          <w:lang w:val="es-ES_tradnl" w:eastAsia="es-ES_tradnl"/>
        </w:rPr>
        <w:t>.</w:t>
      </w:r>
      <w:r w:rsidRPr="00C046D8">
        <w:rPr>
          <w:rFonts w:ascii="Arial" w:eastAsia="Calibri" w:hAnsi="Arial" w:cs="Arial"/>
          <w:bCs/>
          <w:sz w:val="21"/>
          <w:szCs w:val="21"/>
          <w:lang w:val="es-ES_tradnl" w:eastAsia="es-ES_tradnl"/>
        </w:rPr>
        <w:t xml:space="preserve"> </w:t>
      </w:r>
    </w:p>
    <w:p w14:paraId="202C18F3" w14:textId="77777777" w:rsidR="008410D2" w:rsidRPr="004D745F" w:rsidRDefault="008410D2" w:rsidP="008410D2">
      <w:pPr>
        <w:tabs>
          <w:tab w:val="left" w:pos="0"/>
        </w:tabs>
        <w:spacing w:after="0" w:line="276" w:lineRule="auto"/>
        <w:contextualSpacing/>
        <w:jc w:val="both"/>
        <w:rPr>
          <w:rFonts w:ascii="Arial" w:eastAsia="Calibri" w:hAnsi="Arial" w:cs="Arial"/>
          <w:bCs/>
          <w:sz w:val="12"/>
          <w:szCs w:val="12"/>
          <w:lang w:val="es-ES_tradnl" w:eastAsia="es-ES_tradnl"/>
        </w:rPr>
      </w:pPr>
    </w:p>
    <w:p w14:paraId="56C5F765" w14:textId="77777777" w:rsidR="008410D2" w:rsidRPr="00C046D8" w:rsidRDefault="008410D2" w:rsidP="001A5552">
      <w:pPr>
        <w:spacing w:after="120" w:line="276" w:lineRule="auto"/>
        <w:jc w:val="both"/>
        <w:rPr>
          <w:rFonts w:ascii="Arial" w:eastAsia="Calibri" w:hAnsi="Arial" w:cs="Arial"/>
          <w:lang w:val="es-ES" w:eastAsia="es-ES"/>
        </w:rPr>
      </w:pPr>
      <w:r w:rsidRPr="00C046D8">
        <w:rPr>
          <w:rFonts w:ascii="Arial" w:eastAsia="Calibri" w:hAnsi="Arial" w:cs="Arial"/>
          <w:bCs/>
          <w:lang w:val="es-ES_tradnl" w:eastAsia="es-ES_tradnl"/>
        </w:rPr>
        <w:tab/>
      </w:r>
      <w:r w:rsidRPr="293D6149">
        <w:rPr>
          <w:rFonts w:ascii="Arial" w:eastAsia="Calibri" w:hAnsi="Arial" w:cs="Arial"/>
          <w:lang w:val="es-ES" w:eastAsia="es-ES"/>
        </w:rPr>
        <w:t xml:space="preserve">Conforme con lo expresado, el </w:t>
      </w:r>
      <w:r w:rsidRPr="293D6149">
        <w:rPr>
          <w:rFonts w:ascii="Arial" w:eastAsia="Calibri" w:hAnsi="Arial" w:cs="Arial"/>
          <w:i/>
          <w:lang w:val="es-ES" w:eastAsia="es-ES"/>
        </w:rPr>
        <w:t xml:space="preserve">giro ordinario </w:t>
      </w:r>
      <w:r w:rsidRPr="293D6149">
        <w:rPr>
          <w:rFonts w:ascii="Arial" w:eastAsia="Calibri" w:hAnsi="Arial" w:cs="Arial"/>
          <w:lang w:val="es-ES" w:eastAsia="es-ES"/>
        </w:rPr>
        <w:t>involucra los asuntos que integran el desarrollo del objeto social de una sociedad comercial, una empresa o entidad pública, lo cual comprende tanto unas actividades directamente relacionadas con dicho objeto social, así como otros actos conexos al mismo. Esta interpretación, en principio, es coherente con la regulación de la capacidad de las sociedades comerciales establecida en el Código de Comercio, cuyo artículo 99 dispone que “[</w:t>
      </w:r>
      <w:r w:rsidRPr="293D6149">
        <w:rPr>
          <w:rFonts w:ascii="Arial" w:eastAsia="Times New Roman" w:hAnsi="Arial" w:cs="Arial"/>
          <w:lang w:val="es-ES" w:eastAsia="es-ES"/>
        </w:rPr>
        <w:t>S]e</w:t>
      </w:r>
      <w:r w:rsidRPr="293D6149">
        <w:rPr>
          <w:rFonts w:ascii="Arial" w:eastAsia="Calibri" w:hAnsi="Arial" w:cs="Arial"/>
          <w:lang w:val="es-ES" w:eastAsia="es-ES"/>
        </w:rPr>
        <w:t xml:space="preserve"> entenderán incluidos en el objeto social los actos directamente relacionados con el mismo y los que tengan como finalidad ejercer los derechos o cumplir las obligaciones, legal o convencionalmente derivados de la existencia y actividad de la sociedad.”</w:t>
      </w:r>
      <w:r w:rsidRPr="293D6149">
        <w:rPr>
          <w:rFonts w:ascii="Arial" w:eastAsia="Calibri" w:hAnsi="Arial" w:cs="Arial"/>
          <w:vertAlign w:val="superscript"/>
          <w:lang w:eastAsia="es-ES"/>
        </w:rPr>
        <w:footnoteReference w:id="30"/>
      </w:r>
    </w:p>
    <w:p w14:paraId="03B0C4B9" w14:textId="77777777" w:rsidR="008410D2" w:rsidRDefault="008410D2" w:rsidP="008410D2">
      <w:pPr>
        <w:tabs>
          <w:tab w:val="left" w:pos="0"/>
        </w:tabs>
        <w:spacing w:after="0" w:line="276" w:lineRule="auto"/>
        <w:contextualSpacing/>
        <w:jc w:val="both"/>
        <w:rPr>
          <w:rFonts w:ascii="Arial" w:eastAsia="Calibri" w:hAnsi="Arial" w:cs="Arial"/>
          <w:bCs/>
          <w:lang w:val="es-ES_tradnl" w:eastAsia="es-ES_tradnl"/>
        </w:rPr>
      </w:pPr>
      <w:r w:rsidRPr="00C046D8">
        <w:rPr>
          <w:rFonts w:ascii="Arial" w:eastAsia="Calibri" w:hAnsi="Arial" w:cs="Arial"/>
          <w:bCs/>
          <w:lang w:val="es-ES_tradnl" w:eastAsia="es-ES_tradnl"/>
        </w:rPr>
        <w:tab/>
      </w:r>
      <w:bookmarkStart w:id="23" w:name="_Hlk109966084"/>
      <w:bookmarkStart w:id="24" w:name="_Hlk95322109"/>
      <w:r w:rsidRPr="00C046D8">
        <w:rPr>
          <w:rFonts w:ascii="Arial" w:eastAsia="Calibri" w:hAnsi="Arial" w:cs="Arial"/>
          <w:bCs/>
          <w:lang w:val="es-ES_tradnl" w:eastAsia="es-ES_tradnl"/>
        </w:rPr>
        <w:t xml:space="preserve">En relación con la aplicación de lo dispuesto en el parágrafo del artículo 56 de la Ley 2195 de 2022, conviene aclarar que, a juicio de esta Agencia, la expresión </w:t>
      </w:r>
      <w:r w:rsidRPr="00C046D8">
        <w:rPr>
          <w:rFonts w:ascii="Arial" w:eastAsia="Calibri" w:hAnsi="Arial" w:cs="Arial"/>
          <w:bCs/>
          <w:i/>
          <w:iCs/>
          <w:lang w:val="es-ES_tradnl" w:eastAsia="es-ES_tradnl"/>
        </w:rPr>
        <w:t xml:space="preserve">giro ordinario </w:t>
      </w:r>
      <w:r w:rsidRPr="00C046D8">
        <w:rPr>
          <w:rFonts w:ascii="Arial" w:eastAsia="Calibri" w:hAnsi="Arial" w:cs="Arial"/>
          <w:bCs/>
          <w:lang w:val="es-ES_tradnl" w:eastAsia="es-ES_tradnl"/>
        </w:rPr>
        <w:t xml:space="preserve">se usa para designar a la contratación directamente relacionada con los asuntos de la gestión habitual u ordinaria de los tipos de entidades mencionadas en el parágrafo. No obstante, la determinación de las actividades que comprenden el </w:t>
      </w:r>
      <w:r w:rsidRPr="00C046D8">
        <w:rPr>
          <w:rFonts w:ascii="Arial" w:eastAsia="Calibri" w:hAnsi="Arial" w:cs="Arial"/>
          <w:bCs/>
          <w:i/>
          <w:iCs/>
          <w:lang w:val="es-ES_tradnl" w:eastAsia="es-ES_tradnl"/>
        </w:rPr>
        <w:t>giro ordinario</w:t>
      </w:r>
      <w:r w:rsidRPr="00C046D8">
        <w:rPr>
          <w:rFonts w:ascii="Arial" w:eastAsia="Calibri" w:hAnsi="Arial" w:cs="Arial"/>
          <w:bCs/>
          <w:lang w:val="es-ES_tradnl" w:eastAsia="es-ES_tradnl"/>
        </w:rPr>
        <w:t xml:space="preserve"> es un asunto que debe establecerse en cada caso concreto por parte de las entidades estatales –analizando lo establecido en sus actos de creación y verificando los negocios habituales u ordinarios que desarrollan–, pues el parágrafo del artículo 56 </w:t>
      </w:r>
      <w:proofErr w:type="spellStart"/>
      <w:r w:rsidRPr="00C046D8">
        <w:rPr>
          <w:rFonts w:ascii="Arial" w:eastAsia="Calibri" w:hAnsi="Arial" w:cs="Arial"/>
          <w:bCs/>
          <w:i/>
          <w:iCs/>
          <w:lang w:val="es-ES_tradnl" w:eastAsia="es-ES_tradnl"/>
        </w:rPr>
        <w:t>ejusdem</w:t>
      </w:r>
      <w:proofErr w:type="spellEnd"/>
      <w:r w:rsidRPr="00C046D8">
        <w:rPr>
          <w:rFonts w:ascii="Arial" w:eastAsia="Calibri" w:hAnsi="Arial" w:cs="Arial"/>
          <w:bCs/>
          <w:lang w:val="es-ES_tradnl" w:eastAsia="es-ES_tradnl"/>
        </w:rPr>
        <w:t xml:space="preserve"> se limita a enunciar algunos tipos de entidades estatales, las cuales no solo difieren en su naturaleza jurídica, sino también en las actividades que realizan. </w:t>
      </w:r>
    </w:p>
    <w:p w14:paraId="2F779751" w14:textId="77777777" w:rsidR="008410D2" w:rsidRPr="004D745F" w:rsidRDefault="008410D2" w:rsidP="008410D2">
      <w:pPr>
        <w:tabs>
          <w:tab w:val="left" w:pos="0"/>
        </w:tabs>
        <w:spacing w:after="0" w:line="276" w:lineRule="auto"/>
        <w:contextualSpacing/>
        <w:jc w:val="both"/>
        <w:rPr>
          <w:rFonts w:ascii="Arial" w:eastAsia="Calibri" w:hAnsi="Arial" w:cs="Arial"/>
          <w:bCs/>
          <w:sz w:val="12"/>
          <w:szCs w:val="12"/>
          <w:lang w:val="es-ES_tradnl" w:eastAsia="es-ES_tradnl"/>
        </w:rPr>
      </w:pPr>
    </w:p>
    <w:bookmarkEnd w:id="23"/>
    <w:p w14:paraId="19F4DB6A" w14:textId="77777777" w:rsidR="008410D2" w:rsidRDefault="008410D2" w:rsidP="001A5552">
      <w:pPr>
        <w:tabs>
          <w:tab w:val="left" w:pos="0"/>
        </w:tabs>
        <w:spacing w:after="120" w:line="276" w:lineRule="auto"/>
        <w:ind w:firstLine="709"/>
        <w:jc w:val="both"/>
        <w:rPr>
          <w:rFonts w:ascii="Arial" w:eastAsia="Calibri" w:hAnsi="Arial" w:cs="Arial"/>
          <w:bCs/>
          <w:lang w:val="es-ES_tradnl" w:eastAsia="es-ES_tradnl"/>
        </w:rPr>
      </w:pPr>
      <w:r w:rsidRPr="00C046D8">
        <w:rPr>
          <w:rFonts w:ascii="Arial" w:eastAsia="Calibri" w:hAnsi="Arial" w:cs="Arial"/>
          <w:bCs/>
          <w:lang w:val="es-ES_tradnl" w:eastAsia="es-ES_tradnl"/>
        </w:rPr>
        <w:t xml:space="preserve">Esto impide que la Agencia Nacional de Contratación Pública – Colombia Compra Eficiente, en sede consultiva, pueda determinar, con un criterio universal y absoluto, qué actividades específicas hacen parte del giro ordinario de los negocios de dichas entidades y cuáles escapan de este, pues, como se indicó, al explicar la naturaleza de los conceptos jurídicos indeterminados, la concreción del alcance de la expresión </w:t>
      </w:r>
      <w:r w:rsidRPr="00C046D8">
        <w:rPr>
          <w:rFonts w:ascii="Arial" w:eastAsia="Calibri" w:hAnsi="Arial" w:cs="Arial"/>
          <w:bCs/>
          <w:i/>
          <w:iCs/>
          <w:lang w:val="es-ES_tradnl" w:eastAsia="es-ES_tradnl"/>
        </w:rPr>
        <w:t>giro ordinario</w:t>
      </w:r>
      <w:r w:rsidRPr="00C046D8">
        <w:rPr>
          <w:rFonts w:ascii="Arial" w:eastAsia="Calibri" w:hAnsi="Arial" w:cs="Arial"/>
          <w:bCs/>
          <w:lang w:val="es-ES_tradnl" w:eastAsia="es-ES_tradnl"/>
        </w:rPr>
        <w:t xml:space="preserve"> debe hacerse en el caso concreto, empleando un criterio de interpretación restrictiva. Ello en la medida en que el parágrafo del artículo 56 consagra una excepción a una regla general. </w:t>
      </w:r>
    </w:p>
    <w:bookmarkEnd w:id="24"/>
    <w:p w14:paraId="619234F1" w14:textId="77777777" w:rsidR="008410D2" w:rsidRPr="00C046D8" w:rsidRDefault="008410D2" w:rsidP="001A5552">
      <w:pPr>
        <w:tabs>
          <w:tab w:val="left" w:pos="0"/>
        </w:tabs>
        <w:spacing w:after="120" w:line="276" w:lineRule="auto"/>
        <w:jc w:val="both"/>
        <w:rPr>
          <w:rFonts w:ascii="Arial" w:eastAsia="Calibri" w:hAnsi="Arial" w:cs="Arial"/>
          <w:bCs/>
          <w:lang w:val="es-ES_tradnl" w:eastAsia="es-ES_tradnl"/>
        </w:rPr>
      </w:pPr>
      <w:r w:rsidRPr="00C046D8">
        <w:rPr>
          <w:rFonts w:ascii="Arial" w:eastAsia="Calibri" w:hAnsi="Arial" w:cs="Arial"/>
          <w:bCs/>
          <w:lang w:val="es-ES_tradnl" w:eastAsia="es-ES_tradnl"/>
        </w:rPr>
        <w:tab/>
      </w:r>
      <w:r w:rsidRPr="00165C4E">
        <w:rPr>
          <w:rFonts w:ascii="Arial" w:eastAsia="Calibri" w:hAnsi="Arial" w:cs="Arial"/>
          <w:lang w:val="es-ES_tradnl" w:eastAsia="es-ES_tradnl"/>
        </w:rPr>
        <w:t>Esta interpretación, a juicio de la Agencia, se desprende de la literalidad del texto de la norma en comento, además, está en armonía con la voluntad del órgano legislativo. Al respecto se estima que, si bien es cierto que entre los propósitos del artículo es la aplicación de pliegos tipo en convenios o contratos interadministrativos o de cualquier otra índole–a través de las cuales se podría estar eludiendo la aplicación de documentos tipo</w:t>
      </w:r>
      <w:r w:rsidRPr="00165C4E">
        <w:rPr>
          <w:rFonts w:ascii="Arial" w:eastAsia="Calibri" w:hAnsi="Arial" w:cs="Arial"/>
          <w:vertAlign w:val="superscript"/>
          <w:lang w:eastAsia="es-ES_tradnl"/>
        </w:rPr>
        <w:footnoteReference w:id="31"/>
      </w:r>
      <w:r w:rsidRPr="00165C4E">
        <w:rPr>
          <w:rFonts w:ascii="Arial" w:eastAsia="Calibri" w:hAnsi="Arial" w:cs="Arial"/>
          <w:lang w:val="es-ES_tradnl" w:eastAsia="es-ES_tradnl"/>
        </w:rPr>
        <w:t>–, no es menos cierto que el Legislador, en materia de contratación estatal, goza de un amplio margen de configuración normativa, de conformidad con lo dispuesto en el inciso final del artículo 150 de la Constitución Política</w:t>
      </w:r>
      <w:r w:rsidRPr="00165C4E">
        <w:rPr>
          <w:rFonts w:ascii="Arial" w:eastAsia="Calibri" w:hAnsi="Arial" w:cs="Arial"/>
          <w:vertAlign w:val="superscript"/>
          <w:lang w:eastAsia="es-ES_tradnl"/>
        </w:rPr>
        <w:footnoteReference w:id="32"/>
      </w:r>
      <w:r w:rsidRPr="00165C4E">
        <w:rPr>
          <w:rFonts w:ascii="Arial" w:eastAsia="Calibri" w:hAnsi="Arial" w:cs="Arial"/>
          <w:lang w:val="es-ES_tradnl" w:eastAsia="es-ES_tradnl"/>
        </w:rPr>
        <w:t>. En ese sentido, en virtud de esta potestad de configuración normativa, resulta perfectamente válido que se establezca una regla general y unas excepciones, como se hace, por ejemplo, en el artículo 56 de la Ley 2195 de 2022, en el que se consagra un mandato general en los primeros dos incisos, y una excepción en el parágrafo, A esto se suma el hecho de que el parágrafo bajo estudio es una norma restrictiva, por lo que, en virtud de dicho carácter, amerita una interpretación apegada a lo que literalmente se desprende del texto. Lo anterior en virtud del criterio de interpretación sobre la extensión de una Ley contemplada en el artículo 31 del Código civil, según la cual: “Lo favorable u odioso de una disposición no se tomará en cuenta para ampliar o restringir su interpretación (…)”. En ese mismo sentido, el Consejo de Estado, indicó “[…] de conformidad con la jurisprudencia uniforme y reiterada de esta Corporación, la aplicación de las normas que contemplan […] prohibiciones o limitaciones, deben responder a una interpretación restrictiva que no permite su extensión, por vía de la figura de la analogía, a supuestos no contemplados por el ordenamiento”</w:t>
      </w:r>
      <w:r w:rsidRPr="00165C4E">
        <w:rPr>
          <w:rFonts w:ascii="Arial" w:eastAsia="Calibri" w:hAnsi="Arial" w:cs="Arial"/>
          <w:vertAlign w:val="superscript"/>
          <w:lang w:eastAsia="es-ES_tradnl"/>
        </w:rPr>
        <w:footnoteReference w:id="33"/>
      </w:r>
      <w:r w:rsidRPr="00165C4E">
        <w:rPr>
          <w:rFonts w:ascii="Arial" w:eastAsia="Calibri" w:hAnsi="Arial" w:cs="Arial"/>
          <w:lang w:val="es-ES_tradnl" w:eastAsia="es-ES_tradnl"/>
        </w:rPr>
        <w:t>.</w:t>
      </w:r>
    </w:p>
    <w:p w14:paraId="4105EDAC" w14:textId="77777777" w:rsidR="008410D2" w:rsidRDefault="008410D2" w:rsidP="008410D2">
      <w:pPr>
        <w:tabs>
          <w:tab w:val="left" w:pos="0"/>
        </w:tabs>
        <w:spacing w:after="0" w:line="276" w:lineRule="auto"/>
        <w:ind w:firstLine="709"/>
        <w:jc w:val="both"/>
        <w:rPr>
          <w:rFonts w:ascii="Arial" w:eastAsia="Calibri" w:hAnsi="Arial" w:cs="Arial"/>
          <w:bCs/>
          <w:lang w:val="es-ES_tradnl" w:eastAsia="es-ES_tradnl"/>
        </w:rPr>
      </w:pPr>
      <w:r w:rsidRPr="00165C4E">
        <w:rPr>
          <w:rFonts w:ascii="Arial" w:eastAsia="Calibri" w:hAnsi="Arial" w:cs="Arial"/>
          <w:bCs/>
          <w:lang w:val="es-ES_tradnl" w:eastAsia="es-ES_tradnl"/>
        </w:rPr>
        <w:t>A criterio</w:t>
      </w:r>
      <w:r w:rsidRPr="00165C4E">
        <w:rPr>
          <w:rFonts w:ascii="Arial" w:eastAsia="Calibri" w:hAnsi="Arial" w:cs="Arial"/>
          <w:lang w:val="es-ES_tradnl" w:eastAsia="es-ES_tradnl"/>
        </w:rPr>
        <w:t xml:space="preserve"> de esta Agencia</w:t>
      </w:r>
      <w:r w:rsidRPr="00165C4E">
        <w:rPr>
          <w:rFonts w:ascii="Arial" w:eastAsia="Calibri" w:hAnsi="Arial" w:cs="Arial"/>
          <w:bCs/>
          <w:lang w:val="es-ES_tradnl" w:eastAsia="es-ES_tradnl"/>
        </w:rPr>
        <w:t>,</w:t>
      </w:r>
      <w:r w:rsidRPr="00165C4E">
        <w:rPr>
          <w:rFonts w:ascii="Arial" w:eastAsia="Calibri" w:hAnsi="Arial" w:cs="Arial"/>
          <w:lang w:val="es-ES_tradnl" w:eastAsia="es-ES_tradnl"/>
        </w:rPr>
        <w:t xml:space="preserve"> lo dispuesto en el parágrafo del artículo 56 de la Ley 2195 de 2022 es una manifestación de la voluntad del Legislador de relevar de la aplicación obligatoria de pliegos tipo en convenios o contratos interadministrativos, o de cualquier otra índole, con  instituciones de educación superior públicas, las empresas sociales del Estado, las sociedades de economía mixta y las empresas industriales y comerciales del Estado, únicamente en lo que tiene que ver con su </w:t>
      </w:r>
      <w:r w:rsidRPr="00165C4E">
        <w:rPr>
          <w:rFonts w:ascii="Arial" w:eastAsia="Calibri" w:hAnsi="Arial" w:cs="Arial"/>
          <w:i/>
          <w:lang w:val="es-ES_tradnl" w:eastAsia="es-ES_tradnl"/>
        </w:rPr>
        <w:t>giro ordinario</w:t>
      </w:r>
      <w:r w:rsidRPr="00165C4E">
        <w:rPr>
          <w:rFonts w:ascii="Arial" w:eastAsia="Calibri" w:hAnsi="Arial" w:cs="Arial"/>
          <w:lang w:val="es-ES_tradnl" w:eastAsia="es-ES_tradnl"/>
        </w:rPr>
        <w:t>. Esto significa que, cuando Entidad Estatal sometida al EGCAP pretenda celebrar un contrato o convenio para la adquisición de bienes, obras o servicios con alguno de los tipos entidades mencionadas en el parágrafo de la norma, que se enmarque dentro del giro ordinario de la entidad exceptuada, eventualmente, el respectivo contrato podrá sujetarse a normas de derecho privado –de cumplirse los presupuestos del inciso tercero del literal c) del artículo 2-4 de la Ley 1150 de 2007–, sin importar si el objeto se encuentra cobijado por documentos tipo, los cuales tampoco resultaran de aplicación forzosa en ese caso.</w:t>
      </w:r>
    </w:p>
    <w:p w14:paraId="1B7BBD72" w14:textId="77777777" w:rsidR="008410D2" w:rsidRDefault="008410D2" w:rsidP="008410D2">
      <w:pPr>
        <w:tabs>
          <w:tab w:val="left" w:pos="0"/>
        </w:tabs>
        <w:spacing w:before="120" w:after="0" w:line="276" w:lineRule="auto"/>
        <w:ind w:firstLine="709"/>
        <w:jc w:val="both"/>
        <w:rPr>
          <w:rFonts w:ascii="Arial" w:eastAsia="Calibri" w:hAnsi="Arial" w:cs="Arial"/>
          <w:bCs/>
          <w:lang w:val="es-ES_tradnl" w:eastAsia="es-ES_tradnl"/>
        </w:rPr>
      </w:pPr>
      <w:r w:rsidRPr="00165C4E">
        <w:rPr>
          <w:rFonts w:ascii="Arial" w:eastAsia="Calibri" w:hAnsi="Arial" w:cs="Arial"/>
          <w:lang w:val="es-ES_tradnl" w:eastAsia="es-ES_tradnl"/>
        </w:rPr>
        <w:t>En conclusión, no deberá entonces, en estos casos, la entidad sometida al EGCAP  reservarse la obligación de llevar a cabo la selección de los Procesos de Contratación y celebrar los respectivos contratos para adquirir aquellas de obras o servicios para cuya contratación le fuese aplicable los documentos tipo vigentes, que deban contratarse en el marco de un convenio interadministrativo, y tampoco es necesario que</w:t>
      </w:r>
      <w:r w:rsidRPr="00165C4E">
        <w:rPr>
          <w:rFonts w:ascii="Arial" w:eastAsia="Times New Roman" w:hAnsi="Arial" w:cs="Arial"/>
          <w:lang w:eastAsia="es-ES_tradnl"/>
        </w:rPr>
        <w:t xml:space="preserve">  </w:t>
      </w:r>
      <w:r w:rsidRPr="00165C4E">
        <w:rPr>
          <w:rFonts w:ascii="Arial" w:eastAsia="Calibri" w:hAnsi="Arial" w:cs="Arial"/>
          <w:lang w:val="es-ES_tradnl" w:eastAsia="es-ES_tradnl"/>
        </w:rPr>
        <w:t xml:space="preserve">las instituciones de educación superior públicas,  las empresas sociales del Estado, las sociedades de economía mixta y las empresas industriales y comerciales del Estado, que </w:t>
      </w:r>
      <w:r w:rsidRPr="00165C4E">
        <w:rPr>
          <w:rFonts w:ascii="Arial" w:eastAsia="Times New Roman" w:hAnsi="Arial" w:cs="Arial"/>
          <w:lang w:eastAsia="es-ES_tradnl"/>
        </w:rPr>
        <w:t xml:space="preserve">pretenden ser adjudicatarias de contratos que versen </w:t>
      </w:r>
      <w:r w:rsidRPr="00165C4E">
        <w:rPr>
          <w:rFonts w:ascii="Arial" w:eastAsia="Calibri" w:hAnsi="Arial" w:cs="Arial"/>
          <w:lang w:val="es-ES_tradnl" w:eastAsia="es-ES_tradnl"/>
        </w:rPr>
        <w:t xml:space="preserve">únicamente, en la contratación relacionada con su </w:t>
      </w:r>
      <w:r w:rsidRPr="00165C4E">
        <w:rPr>
          <w:rFonts w:ascii="Arial" w:eastAsia="Calibri" w:hAnsi="Arial" w:cs="Arial"/>
          <w:i/>
          <w:lang w:val="es-ES_tradnl" w:eastAsia="es-ES_tradnl"/>
        </w:rPr>
        <w:t>giro ordinario</w:t>
      </w:r>
      <w:r w:rsidRPr="00165C4E">
        <w:rPr>
          <w:rFonts w:ascii="Arial" w:eastAsia="Times New Roman" w:hAnsi="Arial" w:cs="Arial"/>
          <w:lang w:eastAsia="es-ES_tradnl"/>
        </w:rPr>
        <w:t xml:space="preserve">, no deberán someterse a un proceso de selección en el que se apliquen documentos tipo expedidos por esta Agencia a cargo de la </w:t>
      </w:r>
      <w:r w:rsidRPr="00165C4E">
        <w:rPr>
          <w:rFonts w:ascii="Arial" w:eastAsia="Calibri" w:hAnsi="Arial" w:cs="Arial"/>
          <w:lang w:val="es-ES_tradnl" w:eastAsia="es-ES_tradnl"/>
        </w:rPr>
        <w:t xml:space="preserve">entidad sometida al EGCAP. Por el contrario, si el objeto contractual se encuentra por fuera del giro ordinario de la entidad ejecutora, y el objeto se encuentra dentro del ámbito de aplicación de algún documento tipo, la aplicación </w:t>
      </w:r>
      <w:proofErr w:type="gramStart"/>
      <w:r w:rsidRPr="00165C4E">
        <w:rPr>
          <w:rFonts w:ascii="Arial" w:eastAsia="Calibri" w:hAnsi="Arial" w:cs="Arial"/>
          <w:lang w:val="es-ES_tradnl" w:eastAsia="es-ES_tradnl"/>
        </w:rPr>
        <w:t>del mismo</w:t>
      </w:r>
      <w:proofErr w:type="gramEnd"/>
      <w:r w:rsidRPr="00165C4E">
        <w:rPr>
          <w:rFonts w:ascii="Arial" w:eastAsia="Calibri" w:hAnsi="Arial" w:cs="Arial"/>
          <w:lang w:val="es-ES_tradnl" w:eastAsia="es-ES_tradnl"/>
        </w:rPr>
        <w:t xml:space="preserve"> en conjunto con el EGCAP resultan de obligatoria observancia, al no quedar dicho supuesto cobijado por el parágrafo.</w:t>
      </w:r>
      <w:r w:rsidRPr="00C046D8">
        <w:rPr>
          <w:rFonts w:ascii="Arial" w:eastAsia="Calibri" w:hAnsi="Arial" w:cs="Arial"/>
          <w:bCs/>
          <w:lang w:val="es-ES_tradnl" w:eastAsia="es-ES_tradnl"/>
        </w:rPr>
        <w:t xml:space="preserve"> </w:t>
      </w:r>
    </w:p>
    <w:p w14:paraId="751F8FB5" w14:textId="77777777" w:rsidR="008410D2" w:rsidRPr="00864E72" w:rsidRDefault="008410D2" w:rsidP="008410D2">
      <w:pPr>
        <w:tabs>
          <w:tab w:val="left" w:pos="0"/>
        </w:tabs>
        <w:spacing w:before="120" w:after="0" w:line="276" w:lineRule="auto"/>
        <w:ind w:firstLine="709"/>
        <w:jc w:val="both"/>
        <w:rPr>
          <w:rFonts w:ascii="Arial" w:eastAsia="Calibri" w:hAnsi="Arial" w:cs="Arial"/>
          <w:bCs/>
          <w:color w:val="000000" w:themeColor="text1"/>
          <w:lang w:val="es-ES_tradnl"/>
        </w:rPr>
      </w:pPr>
      <w:r w:rsidRPr="00864E72">
        <w:rPr>
          <w:rFonts w:ascii="Arial" w:eastAsia="Calibri" w:hAnsi="Arial" w:cs="Arial"/>
          <w:bCs/>
          <w:color w:val="000000" w:themeColor="text1"/>
          <w:lang w:val="es-ES_tradnl"/>
        </w:rPr>
        <w:t>En relación con las empresas prestadoras de servicios públicos domiciliarios, conviene señalar, acorde con lo expresado por la Corte Constitucional en la Sentencia C-736 de 2007</w:t>
      </w:r>
      <w:r w:rsidRPr="00864E72">
        <w:rPr>
          <w:rStyle w:val="Refdenotaalpie"/>
          <w:rFonts w:ascii="Arial" w:eastAsia="Calibri" w:hAnsi="Arial" w:cs="Arial"/>
          <w:bCs/>
          <w:color w:val="000000" w:themeColor="text1"/>
          <w:lang w:val="es-ES_tradnl"/>
        </w:rPr>
        <w:footnoteReference w:id="34"/>
      </w:r>
      <w:r w:rsidRPr="00864E72">
        <w:rPr>
          <w:rFonts w:ascii="Arial" w:eastAsia="Calibri" w:hAnsi="Arial" w:cs="Arial"/>
          <w:bCs/>
          <w:color w:val="000000" w:themeColor="text1"/>
          <w:lang w:val="es-ES_tradnl"/>
        </w:rPr>
        <w:t xml:space="preserve">, que aquellas son entidades descentralizadas por servicios, independientemente de la naturaleza y porcentaje de su capital. En otras palabras, aunque el artículo 14 de la Ley 142 de 1994 establece que las empresas prestadoras de servicios públicos domiciliarios pueden ser </w:t>
      </w:r>
      <w:r w:rsidRPr="00864E72">
        <w:rPr>
          <w:rFonts w:ascii="Arial" w:eastAsia="Calibri" w:hAnsi="Arial" w:cs="Arial"/>
          <w:bCs/>
          <w:i/>
          <w:iCs/>
          <w:color w:val="000000" w:themeColor="text1"/>
          <w:lang w:val="es-ES_tradnl"/>
        </w:rPr>
        <w:t>oficiales</w:t>
      </w:r>
      <w:r w:rsidRPr="00864E72">
        <w:rPr>
          <w:rFonts w:ascii="Arial" w:eastAsia="Calibri" w:hAnsi="Arial" w:cs="Arial"/>
          <w:bCs/>
          <w:color w:val="000000" w:themeColor="text1"/>
          <w:lang w:val="es-ES_tradnl"/>
        </w:rPr>
        <w:t xml:space="preserve">, </w:t>
      </w:r>
      <w:r w:rsidRPr="00864E72">
        <w:rPr>
          <w:rFonts w:ascii="Arial" w:eastAsia="Calibri" w:hAnsi="Arial" w:cs="Arial"/>
          <w:bCs/>
          <w:i/>
          <w:iCs/>
          <w:color w:val="000000" w:themeColor="text1"/>
          <w:lang w:val="es-ES_tradnl"/>
        </w:rPr>
        <w:t>mixtas</w:t>
      </w:r>
      <w:r w:rsidRPr="00864E72">
        <w:rPr>
          <w:rFonts w:ascii="Arial" w:eastAsia="Calibri" w:hAnsi="Arial" w:cs="Arial"/>
          <w:bCs/>
          <w:color w:val="000000" w:themeColor="text1"/>
          <w:lang w:val="es-ES_tradnl"/>
        </w:rPr>
        <w:t xml:space="preserve"> o </w:t>
      </w:r>
      <w:r w:rsidRPr="00864E72">
        <w:rPr>
          <w:rFonts w:ascii="Arial" w:eastAsia="Calibri" w:hAnsi="Arial" w:cs="Arial"/>
          <w:bCs/>
          <w:i/>
          <w:iCs/>
          <w:color w:val="000000" w:themeColor="text1"/>
          <w:lang w:val="es-ES_tradnl"/>
        </w:rPr>
        <w:t>privadas</w:t>
      </w:r>
      <w:r w:rsidRPr="00864E72">
        <w:rPr>
          <w:rStyle w:val="Refdenotaalpie"/>
          <w:rFonts w:ascii="Arial" w:eastAsia="Calibri" w:hAnsi="Arial" w:cs="Arial"/>
          <w:bCs/>
          <w:color w:val="000000" w:themeColor="text1"/>
          <w:lang w:val="es-ES_tradnl"/>
        </w:rPr>
        <w:footnoteReference w:id="35"/>
      </w:r>
      <w:r w:rsidRPr="00864E72">
        <w:rPr>
          <w:rFonts w:ascii="Arial" w:eastAsia="Calibri" w:hAnsi="Arial" w:cs="Arial"/>
          <w:bCs/>
          <w:color w:val="000000" w:themeColor="text1"/>
          <w:lang w:val="es-ES_tradnl"/>
        </w:rPr>
        <w:t xml:space="preserve">, estas tres especies ingresan en la categoría de las </w:t>
      </w:r>
      <w:r w:rsidRPr="00864E72">
        <w:rPr>
          <w:rFonts w:ascii="Arial" w:eastAsia="Calibri" w:hAnsi="Arial" w:cs="Arial"/>
          <w:bCs/>
          <w:i/>
          <w:iCs/>
          <w:color w:val="000000" w:themeColor="text1"/>
          <w:lang w:val="es-ES_tradnl"/>
        </w:rPr>
        <w:t>entidades descentralizadas por servicios</w:t>
      </w:r>
      <w:r w:rsidRPr="00864E72">
        <w:rPr>
          <w:rFonts w:ascii="Arial" w:eastAsia="Calibri" w:hAnsi="Arial" w:cs="Arial"/>
          <w:bCs/>
          <w:color w:val="000000" w:themeColor="text1"/>
          <w:lang w:val="es-ES_tradnl"/>
        </w:rPr>
        <w:t xml:space="preserve">. Adicionalmente, debe recordarse que en dicha Sentencia el alto tribunal afirmó que las empresas prestadoras de servicios públicos domiciliarios </w:t>
      </w:r>
      <w:r w:rsidRPr="00864E72">
        <w:rPr>
          <w:rFonts w:ascii="Arial" w:eastAsia="Calibri" w:hAnsi="Arial" w:cs="Arial"/>
          <w:bCs/>
          <w:i/>
          <w:iCs/>
          <w:color w:val="000000" w:themeColor="text1"/>
          <w:lang w:val="es-ES_tradnl"/>
        </w:rPr>
        <w:t>mixtas y privadas</w:t>
      </w:r>
      <w:r w:rsidRPr="00864E72">
        <w:rPr>
          <w:rFonts w:ascii="Arial" w:eastAsia="Calibri" w:hAnsi="Arial" w:cs="Arial"/>
          <w:bCs/>
          <w:color w:val="000000" w:themeColor="text1"/>
          <w:lang w:val="es-ES_tradnl"/>
        </w:rPr>
        <w:t xml:space="preserve"> son tipos </w:t>
      </w:r>
      <w:r w:rsidRPr="00864E72">
        <w:rPr>
          <w:rFonts w:ascii="Arial" w:eastAsia="Calibri" w:hAnsi="Arial" w:cs="Arial"/>
          <w:bCs/>
          <w:i/>
          <w:iCs/>
          <w:color w:val="000000" w:themeColor="text1"/>
          <w:lang w:val="es-ES_tradnl"/>
        </w:rPr>
        <w:t>especiales</w:t>
      </w:r>
      <w:r w:rsidRPr="00864E72">
        <w:rPr>
          <w:rFonts w:ascii="Arial" w:eastAsia="Calibri" w:hAnsi="Arial" w:cs="Arial"/>
          <w:bCs/>
          <w:color w:val="000000" w:themeColor="text1"/>
          <w:lang w:val="es-ES_tradnl"/>
        </w:rPr>
        <w:t xml:space="preserve"> de entidades descentralizadas por servicios que, por tanto, no pueden encasillarse en las otras especies de entidades descentralizadas por servicios enlistadas en el artículo 38 de la Ley 489 de 1998, es decir, que no cabe considerarlas, verbigracia, dentro de las sociedades públicas, ni en las sociedades de economía mixta. En efecto:</w:t>
      </w:r>
    </w:p>
    <w:p w14:paraId="56D91607" w14:textId="77777777" w:rsidR="008410D2" w:rsidRPr="00864E72" w:rsidRDefault="008410D2" w:rsidP="008410D2">
      <w:pPr>
        <w:tabs>
          <w:tab w:val="left" w:pos="0"/>
        </w:tabs>
        <w:spacing w:after="0" w:line="276" w:lineRule="auto"/>
        <w:ind w:left="709" w:right="709"/>
        <w:jc w:val="both"/>
        <w:rPr>
          <w:rFonts w:ascii="Arial" w:eastAsia="Calibri" w:hAnsi="Arial" w:cs="Arial"/>
          <w:bCs/>
          <w:color w:val="000000" w:themeColor="text1"/>
          <w:sz w:val="21"/>
          <w:szCs w:val="21"/>
          <w:lang w:val="es-ES_tradnl"/>
        </w:rPr>
      </w:pPr>
    </w:p>
    <w:p w14:paraId="612EED5F" w14:textId="4292803C" w:rsidR="008410D2" w:rsidRPr="00864E72" w:rsidRDefault="005470DF" w:rsidP="008410D2">
      <w:pPr>
        <w:tabs>
          <w:tab w:val="left" w:pos="0"/>
        </w:tabs>
        <w:spacing w:after="0" w:line="240" w:lineRule="auto"/>
        <w:ind w:left="709" w:right="709"/>
        <w:jc w:val="both"/>
        <w:rPr>
          <w:rFonts w:ascii="Arial" w:eastAsia="Calibri" w:hAnsi="Arial" w:cs="Arial"/>
          <w:bCs/>
          <w:i/>
          <w:iCs/>
          <w:color w:val="000000" w:themeColor="text1"/>
          <w:sz w:val="21"/>
          <w:szCs w:val="21"/>
          <w:lang w:val="es-ES_tradnl"/>
        </w:rPr>
      </w:pPr>
      <w:r>
        <w:rPr>
          <w:rFonts w:ascii="Arial" w:eastAsia="Calibri" w:hAnsi="Arial" w:cs="Arial"/>
          <w:bCs/>
          <w:color w:val="000000" w:themeColor="text1"/>
          <w:sz w:val="21"/>
          <w:szCs w:val="21"/>
          <w:lang w:val="es-ES_tradnl"/>
        </w:rPr>
        <w:t>“</w:t>
      </w:r>
      <w:r w:rsidR="008410D2" w:rsidRPr="00864E72">
        <w:rPr>
          <w:rFonts w:ascii="Arial" w:eastAsia="Calibri" w:hAnsi="Arial" w:cs="Arial"/>
          <w:bCs/>
          <w:color w:val="000000" w:themeColor="text1"/>
          <w:sz w:val="21"/>
          <w:szCs w:val="21"/>
          <w:lang w:val="es-ES_tradnl"/>
        </w:rPr>
        <w:t xml:space="preserve">[…] la Corte entiende que el constituyente quiso definir que las personas o entidades que asuman la prestación de los servicios públicos tendrán no sólo un régimen jurídico especial, </w:t>
      </w:r>
      <w:r w:rsidR="008410D2" w:rsidRPr="00864E72">
        <w:rPr>
          <w:rFonts w:ascii="Arial" w:eastAsia="Calibri" w:hAnsi="Arial" w:cs="Arial"/>
          <w:bCs/>
          <w:i/>
          <w:iCs/>
          <w:color w:val="000000" w:themeColor="text1"/>
          <w:sz w:val="21"/>
          <w:szCs w:val="21"/>
          <w:lang w:val="es-ES_tradnl"/>
        </w:rPr>
        <w:t>sino también una naturaleza jurídica especial</w:t>
      </w:r>
      <w:r w:rsidR="008410D2" w:rsidRPr="00864E72">
        <w:rPr>
          <w:rFonts w:ascii="Arial" w:eastAsia="Calibri" w:hAnsi="Arial" w:cs="Arial"/>
          <w:bCs/>
          <w:color w:val="000000" w:themeColor="text1"/>
          <w:sz w:val="21"/>
          <w:szCs w:val="21"/>
          <w:lang w:val="es-ES_tradnl"/>
        </w:rPr>
        <w:t xml:space="preserve">; esta particular naturaleza y reglamentación jurídica encuentra su fundamento en la necesidad de hacer realidad la finalidad social que es definida por la misma Carta como objetivo de la adecuada prestación de los servicios públicos. De lo anterior se desprende que cuando el Estado asume directamente o participa con los particulares en dicho cometido, las entidades que surgen para esos efectos también se revisten de ese carácter especial y quedan sujetas a la reglamentación jurídica particularmente diseñada para la prestación adecuada de los servicios públicos. Otro tanto sucede cuando los particulares asumen la prestación de servicios públicos. </w:t>
      </w:r>
      <w:r w:rsidR="008410D2" w:rsidRPr="00864E72">
        <w:rPr>
          <w:rFonts w:ascii="Arial" w:eastAsia="Calibri" w:hAnsi="Arial" w:cs="Arial"/>
          <w:bCs/>
          <w:i/>
          <w:iCs/>
          <w:color w:val="000000" w:themeColor="text1"/>
          <w:sz w:val="21"/>
          <w:szCs w:val="21"/>
          <w:lang w:val="es-ES_tradnl"/>
        </w:rPr>
        <w:t>Así las cosas, las sociedades públicas, privadas o mixtas cuyo objeto social sea la prestación de los servicios en comento, antes que sociedades de economía mixta, sociedades entre entidades públicas o sociedades de carácter privado, vienen a ser entidades de naturaleza especial, para responder así a este interés constitucional de someter esta actividad de interés social a un régimen jurídico también especial</w:t>
      </w:r>
      <w:r w:rsidR="008410D2">
        <w:rPr>
          <w:rFonts w:ascii="Arial" w:eastAsia="Calibri" w:hAnsi="Arial" w:cs="Arial"/>
          <w:bCs/>
          <w:i/>
          <w:iCs/>
          <w:color w:val="000000" w:themeColor="text1"/>
          <w:sz w:val="21"/>
          <w:szCs w:val="21"/>
          <w:lang w:val="es-ES_tradnl"/>
        </w:rPr>
        <w:t>.</w:t>
      </w:r>
    </w:p>
    <w:p w14:paraId="605545C1" w14:textId="77777777" w:rsidR="008410D2" w:rsidRPr="00864E72" w:rsidRDefault="008410D2" w:rsidP="008410D2">
      <w:pPr>
        <w:tabs>
          <w:tab w:val="left" w:pos="0"/>
        </w:tabs>
        <w:spacing w:after="0" w:line="240" w:lineRule="auto"/>
        <w:ind w:left="709" w:right="709"/>
        <w:jc w:val="both"/>
        <w:rPr>
          <w:rFonts w:ascii="Arial" w:eastAsia="Calibri" w:hAnsi="Arial" w:cs="Arial"/>
          <w:bCs/>
          <w:color w:val="000000" w:themeColor="text1"/>
          <w:sz w:val="21"/>
          <w:szCs w:val="21"/>
          <w:lang w:val="es-ES_tradnl"/>
        </w:rPr>
      </w:pPr>
      <w:r w:rsidRPr="00864E72">
        <w:rPr>
          <w:rFonts w:ascii="Arial" w:eastAsia="Calibri" w:hAnsi="Arial" w:cs="Arial"/>
          <w:bCs/>
          <w:color w:val="000000" w:themeColor="text1"/>
          <w:sz w:val="21"/>
          <w:szCs w:val="21"/>
          <w:lang w:val="es-ES_tradnl"/>
        </w:rPr>
        <w:t>[…]</w:t>
      </w:r>
    </w:p>
    <w:p w14:paraId="4261DAB3" w14:textId="12738FCA" w:rsidR="008410D2" w:rsidRPr="00864E72" w:rsidRDefault="008410D2" w:rsidP="008410D2">
      <w:pPr>
        <w:tabs>
          <w:tab w:val="left" w:pos="0"/>
        </w:tabs>
        <w:spacing w:after="0" w:line="240" w:lineRule="auto"/>
        <w:ind w:left="709" w:right="709"/>
        <w:jc w:val="both"/>
        <w:rPr>
          <w:rFonts w:ascii="Arial" w:eastAsia="Calibri" w:hAnsi="Arial" w:cs="Arial"/>
          <w:bCs/>
          <w:color w:val="000000" w:themeColor="text1"/>
          <w:sz w:val="21"/>
          <w:szCs w:val="21"/>
          <w:lang w:val="es-ES_tradnl"/>
        </w:rPr>
      </w:pPr>
      <w:r w:rsidRPr="00864E72">
        <w:rPr>
          <w:rFonts w:ascii="Arial" w:eastAsia="Calibri" w:hAnsi="Arial" w:cs="Arial"/>
          <w:bCs/>
          <w:color w:val="000000" w:themeColor="text1"/>
          <w:sz w:val="21"/>
          <w:szCs w:val="21"/>
          <w:lang w:val="es-ES_tradnl"/>
        </w:rPr>
        <w:t>[…] después de haber estudiado los conceptos de sociedad de economía mixta y de empresa de servicios públicos, la Corte estima que la naturaleza y el régimen jurídico especial de la prestación de los servicios públicos dispuesto por el constituyente en el artículo 365 de la Carta impiden considerar que las empresas de servicios públicos constituidas bajo la forma de sociedades por acciones, en las cuales concurran en cualquier proporción el capital público y el privado, sean “sociedades de economía mixta”. A juicio de la Corporación, y por lo dicho anteriormente, se trata de entidades de tipología especial expresamente definida por el legislador en desarrollo de las normas superiores antes mencionadas, que señalan las particularidades de esta actividad</w:t>
      </w:r>
      <w:r w:rsidR="005470DF">
        <w:rPr>
          <w:rFonts w:ascii="Arial" w:eastAsia="Calibri" w:hAnsi="Arial" w:cs="Arial"/>
          <w:bCs/>
          <w:color w:val="000000" w:themeColor="text1"/>
          <w:sz w:val="21"/>
          <w:szCs w:val="21"/>
          <w:lang w:val="es-ES_tradnl"/>
        </w:rPr>
        <w:t>”</w:t>
      </w:r>
      <w:r w:rsidRPr="00864E72">
        <w:rPr>
          <w:rStyle w:val="Refdenotaalpie"/>
          <w:rFonts w:ascii="Arial" w:eastAsia="Calibri" w:hAnsi="Arial" w:cs="Arial"/>
          <w:bCs/>
          <w:color w:val="000000" w:themeColor="text1"/>
          <w:sz w:val="21"/>
          <w:szCs w:val="21"/>
          <w:lang w:val="es-ES_tradnl"/>
        </w:rPr>
        <w:footnoteReference w:id="36"/>
      </w:r>
      <w:r>
        <w:rPr>
          <w:rFonts w:ascii="Arial" w:eastAsia="Calibri" w:hAnsi="Arial" w:cs="Arial"/>
          <w:bCs/>
          <w:color w:val="000000" w:themeColor="text1"/>
          <w:sz w:val="21"/>
          <w:szCs w:val="21"/>
          <w:lang w:val="es-ES_tradnl"/>
        </w:rPr>
        <w:t>.</w:t>
      </w:r>
      <w:r w:rsidRPr="00864E72">
        <w:rPr>
          <w:rFonts w:ascii="Arial" w:eastAsia="Calibri" w:hAnsi="Arial" w:cs="Arial"/>
          <w:bCs/>
          <w:color w:val="000000" w:themeColor="text1"/>
          <w:sz w:val="21"/>
          <w:szCs w:val="21"/>
          <w:lang w:val="es-ES_tradnl"/>
        </w:rPr>
        <w:t xml:space="preserve"> (</w:t>
      </w:r>
      <w:r>
        <w:rPr>
          <w:rFonts w:ascii="Arial" w:eastAsia="Calibri" w:hAnsi="Arial" w:cs="Arial"/>
          <w:bCs/>
          <w:color w:val="000000" w:themeColor="text1"/>
          <w:sz w:val="21"/>
          <w:szCs w:val="21"/>
          <w:lang w:val="es-ES_tradnl"/>
        </w:rPr>
        <w:t>É</w:t>
      </w:r>
      <w:r w:rsidRPr="00864E72">
        <w:rPr>
          <w:rFonts w:ascii="Arial" w:eastAsia="Calibri" w:hAnsi="Arial" w:cs="Arial"/>
          <w:bCs/>
          <w:color w:val="000000" w:themeColor="text1"/>
          <w:sz w:val="21"/>
          <w:szCs w:val="21"/>
          <w:lang w:val="es-ES_tradnl"/>
        </w:rPr>
        <w:t>nfasis fuera de texto).</w:t>
      </w:r>
    </w:p>
    <w:p w14:paraId="3F0FD9D9" w14:textId="77777777" w:rsidR="008410D2" w:rsidRPr="00864E72" w:rsidRDefault="008410D2" w:rsidP="008410D2">
      <w:pPr>
        <w:tabs>
          <w:tab w:val="left" w:pos="0"/>
        </w:tabs>
        <w:spacing w:after="0" w:line="276" w:lineRule="auto"/>
        <w:ind w:firstLine="709"/>
        <w:jc w:val="both"/>
        <w:rPr>
          <w:rFonts w:ascii="Arial" w:eastAsia="Calibri" w:hAnsi="Arial" w:cs="Arial"/>
          <w:bCs/>
          <w:color w:val="000000" w:themeColor="text1"/>
          <w:lang w:val="es-ES_tradnl"/>
        </w:rPr>
      </w:pPr>
    </w:p>
    <w:p w14:paraId="5E2524FC" w14:textId="77777777" w:rsidR="008410D2" w:rsidRPr="00864E72" w:rsidRDefault="008410D2" w:rsidP="008410D2">
      <w:pPr>
        <w:spacing w:after="0" w:line="276" w:lineRule="auto"/>
        <w:ind w:firstLine="709"/>
        <w:jc w:val="both"/>
        <w:rPr>
          <w:rFonts w:ascii="Arial" w:eastAsia="Calibri" w:hAnsi="Arial" w:cs="Arial"/>
          <w:bCs/>
          <w:color w:val="000000" w:themeColor="text1"/>
          <w:lang w:val="es-ES_tradnl"/>
        </w:rPr>
      </w:pPr>
      <w:r w:rsidRPr="00864E72">
        <w:rPr>
          <w:rFonts w:ascii="Arial" w:eastAsia="Calibri" w:hAnsi="Arial" w:cs="Arial"/>
          <w:bCs/>
          <w:color w:val="000000" w:themeColor="text1"/>
          <w:lang w:val="es-ES_tradnl"/>
        </w:rPr>
        <w:t xml:space="preserve">Sin perjuicio de lo anterior, el artículo 17 de la Ley 142 de 1994 establece que </w:t>
      </w:r>
      <w:r>
        <w:rPr>
          <w:rFonts w:ascii="Arial" w:eastAsia="Calibri" w:hAnsi="Arial" w:cs="Arial"/>
          <w:bCs/>
          <w:color w:val="000000" w:themeColor="text1"/>
          <w:lang w:val="es-ES_tradnl"/>
        </w:rPr>
        <w:t>“</w:t>
      </w:r>
      <w:r w:rsidRPr="00864E72">
        <w:rPr>
          <w:rFonts w:ascii="Arial" w:eastAsia="Calibri" w:hAnsi="Arial" w:cs="Arial"/>
          <w:bCs/>
          <w:color w:val="000000" w:themeColor="text1"/>
          <w:lang w:val="es-ES_tradnl"/>
        </w:rPr>
        <w:t xml:space="preserve">Las entidades descentralizadas de cualquier orden territorial o nacional, cuyos propietarios no deseen que su capital esté representado en acciones, </w:t>
      </w:r>
      <w:r w:rsidRPr="00864E72">
        <w:rPr>
          <w:rFonts w:ascii="Arial" w:eastAsia="Calibri" w:hAnsi="Arial" w:cs="Arial"/>
          <w:bCs/>
          <w:i/>
          <w:iCs/>
          <w:color w:val="000000" w:themeColor="text1"/>
          <w:lang w:val="es-ES_tradnl"/>
        </w:rPr>
        <w:t>deberán adoptar la forma de empresa industrial y comercial del estado</w:t>
      </w:r>
      <w:r>
        <w:rPr>
          <w:rFonts w:ascii="Arial" w:eastAsia="Calibri" w:hAnsi="Arial" w:cs="Arial"/>
          <w:bCs/>
          <w:color w:val="000000" w:themeColor="text1"/>
          <w:lang w:val="es-ES_tradnl"/>
        </w:rPr>
        <w:t>”</w:t>
      </w:r>
      <w:r w:rsidRPr="00864E72">
        <w:rPr>
          <w:rFonts w:ascii="Arial" w:eastAsia="Calibri" w:hAnsi="Arial" w:cs="Arial"/>
          <w:bCs/>
          <w:color w:val="000000" w:themeColor="text1"/>
          <w:lang w:val="es-ES_tradnl"/>
        </w:rPr>
        <w:t xml:space="preserve"> (</w:t>
      </w:r>
      <w:r>
        <w:rPr>
          <w:rFonts w:ascii="Arial" w:eastAsia="Calibri" w:hAnsi="Arial" w:cs="Arial"/>
          <w:bCs/>
          <w:color w:val="000000" w:themeColor="text1"/>
          <w:lang w:val="es-ES_tradnl"/>
        </w:rPr>
        <w:t xml:space="preserve">Énfasis </w:t>
      </w:r>
      <w:r w:rsidRPr="00864E72">
        <w:rPr>
          <w:rFonts w:ascii="Arial" w:eastAsia="Calibri" w:hAnsi="Arial" w:cs="Arial"/>
          <w:bCs/>
          <w:color w:val="000000" w:themeColor="text1"/>
          <w:lang w:val="es-ES_tradnl"/>
        </w:rPr>
        <w:t xml:space="preserve">fuera de texto). Es decir que en tal evento esa es la </w:t>
      </w:r>
      <w:r w:rsidRPr="00864E72">
        <w:rPr>
          <w:rFonts w:ascii="Arial" w:eastAsia="Calibri" w:hAnsi="Arial" w:cs="Arial"/>
          <w:bCs/>
          <w:i/>
          <w:iCs/>
          <w:color w:val="000000" w:themeColor="text1"/>
          <w:lang w:val="es-ES_tradnl"/>
        </w:rPr>
        <w:t>naturaleza</w:t>
      </w:r>
      <w:r w:rsidRPr="00864E72">
        <w:rPr>
          <w:rFonts w:ascii="Arial" w:eastAsia="Calibri" w:hAnsi="Arial" w:cs="Arial"/>
          <w:bCs/>
          <w:color w:val="000000" w:themeColor="text1"/>
          <w:lang w:val="es-ES_tradnl"/>
        </w:rPr>
        <w:t xml:space="preserve"> de la empresa de servicios públicos domiciliarios. Así lo reconoció la Corte Constitucional en un apartado del fallo que se viene comentando, </w:t>
      </w:r>
      <w:r>
        <w:rPr>
          <w:rFonts w:ascii="Arial" w:eastAsia="Calibri" w:hAnsi="Arial" w:cs="Arial"/>
          <w:bCs/>
          <w:color w:val="000000" w:themeColor="text1"/>
          <w:lang w:val="es-ES_tradnl"/>
        </w:rPr>
        <w:t>pues</w:t>
      </w:r>
      <w:r w:rsidRPr="00864E72">
        <w:rPr>
          <w:rFonts w:ascii="Arial" w:eastAsia="Calibri" w:hAnsi="Arial" w:cs="Arial"/>
          <w:bCs/>
          <w:color w:val="000000" w:themeColor="text1"/>
          <w:lang w:val="es-ES_tradnl"/>
        </w:rPr>
        <w:t xml:space="preserve"> </w:t>
      </w:r>
      <w:r>
        <w:rPr>
          <w:rFonts w:ascii="Arial" w:eastAsia="Calibri" w:hAnsi="Arial" w:cs="Arial"/>
          <w:bCs/>
          <w:color w:val="000000" w:themeColor="text1"/>
          <w:lang w:val="es-ES_tradnl"/>
        </w:rPr>
        <w:t>“</w:t>
      </w:r>
      <w:r w:rsidRPr="00864E72">
        <w:rPr>
          <w:rFonts w:ascii="Arial" w:eastAsia="Calibri" w:hAnsi="Arial" w:cs="Arial"/>
          <w:bCs/>
          <w:color w:val="000000" w:themeColor="text1"/>
          <w:lang w:val="es-ES_tradnl"/>
        </w:rPr>
        <w:t xml:space="preserve">[…] el artículo 17 de la Ley en cita define así </w:t>
      </w:r>
      <w:r w:rsidRPr="00864E72">
        <w:rPr>
          <w:rFonts w:ascii="Arial" w:eastAsia="Calibri" w:hAnsi="Arial" w:cs="Arial"/>
          <w:bCs/>
          <w:i/>
          <w:iCs/>
          <w:color w:val="000000" w:themeColor="text1"/>
          <w:lang w:val="es-ES_tradnl"/>
        </w:rPr>
        <w:t>la naturaleza jurídica</w:t>
      </w:r>
      <w:r w:rsidRPr="00864E72">
        <w:rPr>
          <w:rFonts w:ascii="Arial" w:eastAsia="Calibri" w:hAnsi="Arial" w:cs="Arial"/>
          <w:bCs/>
          <w:color w:val="000000" w:themeColor="text1"/>
          <w:lang w:val="es-ES_tradnl"/>
        </w:rPr>
        <w:t xml:space="preserve"> de las empresas de servicios públicos</w:t>
      </w:r>
      <w:r>
        <w:rPr>
          <w:rFonts w:ascii="Arial" w:eastAsia="Calibri" w:hAnsi="Arial" w:cs="Arial"/>
          <w:bCs/>
          <w:color w:val="000000" w:themeColor="text1"/>
          <w:lang w:val="es-ES_tradnl"/>
        </w:rPr>
        <w:t>”</w:t>
      </w:r>
      <w:r w:rsidRPr="00864E72">
        <w:rPr>
          <w:rFonts w:ascii="Arial" w:eastAsia="Calibri" w:hAnsi="Arial" w:cs="Arial"/>
          <w:bCs/>
          <w:color w:val="000000" w:themeColor="text1"/>
          <w:lang w:val="es-ES_tradnl"/>
        </w:rPr>
        <w:t xml:space="preserve"> (</w:t>
      </w:r>
      <w:r>
        <w:rPr>
          <w:rFonts w:ascii="Arial" w:eastAsia="Calibri" w:hAnsi="Arial" w:cs="Arial"/>
          <w:bCs/>
          <w:color w:val="000000" w:themeColor="text1"/>
          <w:lang w:val="es-ES_tradnl"/>
        </w:rPr>
        <w:t>É</w:t>
      </w:r>
      <w:r w:rsidRPr="00864E72">
        <w:rPr>
          <w:rFonts w:ascii="Arial" w:eastAsia="Calibri" w:hAnsi="Arial" w:cs="Arial"/>
          <w:bCs/>
          <w:color w:val="000000" w:themeColor="text1"/>
          <w:lang w:val="es-ES_tradnl"/>
        </w:rPr>
        <w:t xml:space="preserve">nfasis fuera de texto). El Consejo de Estado también ha considerado, interpretando el mismo artículo, que las empresas de servicios públicos domiciliarios pueden tener la </w:t>
      </w:r>
      <w:r w:rsidRPr="00864E72">
        <w:rPr>
          <w:rFonts w:ascii="Arial" w:eastAsia="Calibri" w:hAnsi="Arial" w:cs="Arial"/>
          <w:bCs/>
          <w:i/>
          <w:iCs/>
          <w:color w:val="000000" w:themeColor="text1"/>
          <w:lang w:val="es-ES_tradnl"/>
        </w:rPr>
        <w:t>forma</w:t>
      </w:r>
      <w:r w:rsidRPr="00864E72">
        <w:rPr>
          <w:rFonts w:ascii="Arial" w:eastAsia="Calibri" w:hAnsi="Arial" w:cs="Arial"/>
          <w:bCs/>
          <w:color w:val="000000" w:themeColor="text1"/>
          <w:lang w:val="es-ES_tradnl"/>
        </w:rPr>
        <w:t xml:space="preserve"> de empresas industriales y comerciales del Estado o de sociedades por acciones. Lo dijo, por ejemplo, para otorgarles a las empresas industriales y comerciales del Estado que prestaran servicios públicos domiciliarios el carácter de entidades públicas e indicar que, por tanto, eran sujetos pasivos de la contribución especial prevista en el artículo 6 de la Ley 1106 de 2006. En tal sentido, dicha corporación judicial indicó: </w:t>
      </w:r>
    </w:p>
    <w:p w14:paraId="5208B881" w14:textId="77777777" w:rsidR="008410D2" w:rsidRPr="00864E72" w:rsidRDefault="008410D2" w:rsidP="008410D2">
      <w:pPr>
        <w:spacing w:after="0" w:line="276" w:lineRule="auto"/>
        <w:ind w:firstLine="709"/>
        <w:jc w:val="both"/>
        <w:rPr>
          <w:rFonts w:ascii="Arial" w:eastAsia="Calibri" w:hAnsi="Arial" w:cs="Arial"/>
          <w:bCs/>
          <w:color w:val="000000" w:themeColor="text1"/>
          <w:lang w:val="es-ES_tradnl"/>
        </w:rPr>
      </w:pPr>
    </w:p>
    <w:p w14:paraId="339B085A" w14:textId="4593B4C7" w:rsidR="008410D2" w:rsidRPr="00864E72" w:rsidRDefault="005470DF" w:rsidP="008410D2">
      <w:pPr>
        <w:tabs>
          <w:tab w:val="left" w:pos="0"/>
        </w:tabs>
        <w:spacing w:after="0" w:line="240" w:lineRule="auto"/>
        <w:ind w:left="709" w:right="709"/>
        <w:jc w:val="both"/>
        <w:rPr>
          <w:rFonts w:ascii="Arial" w:eastAsia="Calibri" w:hAnsi="Arial" w:cs="Arial"/>
          <w:bCs/>
          <w:color w:val="000000" w:themeColor="text1"/>
          <w:sz w:val="21"/>
          <w:szCs w:val="21"/>
          <w:lang w:val="es-ES_tradnl"/>
        </w:rPr>
      </w:pPr>
      <w:r>
        <w:rPr>
          <w:rFonts w:ascii="Arial" w:eastAsia="Calibri" w:hAnsi="Arial" w:cs="Arial"/>
          <w:bCs/>
          <w:color w:val="000000" w:themeColor="text1"/>
          <w:sz w:val="21"/>
          <w:szCs w:val="21"/>
          <w:lang w:val="es-ES_tradnl"/>
        </w:rPr>
        <w:t>“</w:t>
      </w:r>
      <w:r w:rsidR="008410D2" w:rsidRPr="00864E72">
        <w:rPr>
          <w:rFonts w:ascii="Arial" w:eastAsia="Calibri" w:hAnsi="Arial" w:cs="Arial"/>
          <w:bCs/>
          <w:color w:val="000000" w:themeColor="text1"/>
          <w:sz w:val="21"/>
          <w:szCs w:val="21"/>
          <w:lang w:val="es-ES_tradnl"/>
        </w:rPr>
        <w:t>La Sala precisa que el acto acusado resolvió la consulta referida a una empresa de servicios públicos domiciliarios de naturaleza pública, toda vez que como se puso de presente se constituyó como empresa Industrial y Comercial del Estado, organismo que al tenor del artículo 38 de la Ley 489 de 1998, hace parte del sector descentralizado por servicios de la rama ejecutiva del poder público.</w:t>
      </w:r>
    </w:p>
    <w:p w14:paraId="5D9C3637" w14:textId="77777777" w:rsidR="008410D2" w:rsidRPr="00864E72" w:rsidRDefault="008410D2" w:rsidP="008410D2">
      <w:pPr>
        <w:tabs>
          <w:tab w:val="left" w:pos="0"/>
        </w:tabs>
        <w:spacing w:after="0" w:line="240" w:lineRule="auto"/>
        <w:ind w:left="709" w:right="709"/>
        <w:jc w:val="both"/>
        <w:rPr>
          <w:rFonts w:ascii="Arial" w:eastAsia="Calibri" w:hAnsi="Arial" w:cs="Arial"/>
          <w:bCs/>
          <w:color w:val="000000" w:themeColor="text1"/>
          <w:sz w:val="21"/>
          <w:szCs w:val="21"/>
          <w:lang w:val="es-ES_tradnl"/>
        </w:rPr>
      </w:pPr>
      <w:r w:rsidRPr="00864E72">
        <w:rPr>
          <w:rFonts w:ascii="Arial" w:eastAsia="Calibri" w:hAnsi="Arial" w:cs="Arial"/>
          <w:bCs/>
          <w:color w:val="000000" w:themeColor="text1"/>
          <w:sz w:val="21"/>
          <w:szCs w:val="21"/>
          <w:lang w:val="es-ES_tradnl"/>
        </w:rPr>
        <w:t xml:space="preserve">Ahora, el artículo 19 ibídem enuncia como régimen jurídico de las empresas en mención, las reglas, entre otras, sobre la denominación, duración, aportes, mecanismos de constitución, registro, emisión, colocación de acciones, causales de disolución. </w:t>
      </w:r>
    </w:p>
    <w:p w14:paraId="4CD8CDCC" w14:textId="77777777" w:rsidR="008410D2" w:rsidRPr="00864E72" w:rsidRDefault="008410D2" w:rsidP="008410D2">
      <w:pPr>
        <w:tabs>
          <w:tab w:val="left" w:pos="0"/>
        </w:tabs>
        <w:spacing w:after="0" w:line="240" w:lineRule="auto"/>
        <w:ind w:left="709" w:right="709"/>
        <w:jc w:val="both"/>
        <w:rPr>
          <w:rFonts w:ascii="Arial" w:eastAsia="Calibri" w:hAnsi="Arial" w:cs="Arial"/>
          <w:bCs/>
          <w:color w:val="000000" w:themeColor="text1"/>
          <w:sz w:val="21"/>
          <w:szCs w:val="21"/>
          <w:lang w:val="es-ES_tradnl"/>
        </w:rPr>
      </w:pPr>
      <w:r w:rsidRPr="00864E72">
        <w:rPr>
          <w:rFonts w:ascii="Arial" w:eastAsia="Calibri" w:hAnsi="Arial" w:cs="Arial"/>
          <w:bCs/>
          <w:color w:val="000000" w:themeColor="text1"/>
          <w:sz w:val="21"/>
          <w:szCs w:val="21"/>
          <w:lang w:val="es-ES_tradnl"/>
        </w:rPr>
        <w:t>[…]</w:t>
      </w:r>
    </w:p>
    <w:p w14:paraId="345BE194" w14:textId="5FCA049E" w:rsidR="008410D2" w:rsidRPr="00864E72" w:rsidRDefault="008410D2" w:rsidP="008410D2">
      <w:pPr>
        <w:tabs>
          <w:tab w:val="left" w:pos="0"/>
        </w:tabs>
        <w:spacing w:after="0" w:line="240" w:lineRule="auto"/>
        <w:ind w:left="709" w:right="709"/>
        <w:jc w:val="both"/>
        <w:rPr>
          <w:rFonts w:ascii="Arial" w:eastAsia="Calibri" w:hAnsi="Arial" w:cs="Arial"/>
          <w:bCs/>
          <w:color w:val="000000" w:themeColor="text1"/>
          <w:sz w:val="21"/>
          <w:szCs w:val="21"/>
          <w:lang w:val="es-ES_tradnl"/>
        </w:rPr>
      </w:pPr>
      <w:r w:rsidRPr="00864E72">
        <w:rPr>
          <w:rFonts w:ascii="Arial" w:eastAsia="Calibri" w:hAnsi="Arial" w:cs="Arial"/>
          <w:bCs/>
          <w:color w:val="000000" w:themeColor="text1"/>
          <w:sz w:val="21"/>
          <w:szCs w:val="21"/>
          <w:lang w:val="es-ES_tradnl"/>
        </w:rPr>
        <w:t>La Corte Constitucional en la sentencia C-318 de 1998 aludió al elemento subjetivo para determinar el contrato de obra pública a que se refiere la contribución en cuestión. Así pues, adquiere relevancia en este punto la naturaleza de cada entidad, por lo cual si se considera que determinado ente es estatal (empresa industrial y comercial del Estado), y celebra un contrato de obra está en el supuesto de la descripción del hecho gravado que contempla el artículo 6º de la Ley 1106 de 2006</w:t>
      </w:r>
      <w:r w:rsidR="005470DF">
        <w:rPr>
          <w:rFonts w:ascii="Arial" w:eastAsia="Calibri" w:hAnsi="Arial" w:cs="Arial"/>
          <w:bCs/>
          <w:color w:val="000000" w:themeColor="text1"/>
          <w:sz w:val="21"/>
          <w:szCs w:val="21"/>
          <w:lang w:val="es-ES_tradnl"/>
        </w:rPr>
        <w:t>”</w:t>
      </w:r>
      <w:r w:rsidRPr="00864E72">
        <w:rPr>
          <w:rStyle w:val="Refdenotaalpie"/>
          <w:rFonts w:ascii="Arial" w:eastAsia="Calibri" w:hAnsi="Arial" w:cs="Arial"/>
          <w:bCs/>
          <w:color w:val="000000" w:themeColor="text1"/>
          <w:sz w:val="21"/>
          <w:szCs w:val="21"/>
          <w:lang w:val="es-ES_tradnl"/>
        </w:rPr>
        <w:footnoteReference w:id="37"/>
      </w:r>
      <w:r w:rsidRPr="00864E72">
        <w:rPr>
          <w:rFonts w:ascii="Arial" w:eastAsia="Calibri" w:hAnsi="Arial" w:cs="Arial"/>
          <w:bCs/>
          <w:color w:val="000000" w:themeColor="text1"/>
          <w:sz w:val="21"/>
          <w:szCs w:val="21"/>
          <w:lang w:val="es-ES_tradnl"/>
        </w:rPr>
        <w:t>.</w:t>
      </w:r>
    </w:p>
    <w:p w14:paraId="43E9B5C5" w14:textId="77777777" w:rsidR="008410D2" w:rsidRPr="00305F77" w:rsidRDefault="008410D2" w:rsidP="008410D2">
      <w:pPr>
        <w:tabs>
          <w:tab w:val="left" w:pos="0"/>
        </w:tabs>
        <w:spacing w:after="0" w:line="276" w:lineRule="auto"/>
        <w:ind w:right="709"/>
        <w:jc w:val="both"/>
        <w:rPr>
          <w:rFonts w:ascii="Arial" w:eastAsia="Calibri" w:hAnsi="Arial" w:cs="Arial"/>
          <w:bCs/>
          <w:color w:val="000000" w:themeColor="text1"/>
          <w:lang w:val="es-ES_tradnl"/>
        </w:rPr>
      </w:pPr>
    </w:p>
    <w:p w14:paraId="77EF1995" w14:textId="442C2A0D" w:rsidR="008410D2" w:rsidRPr="00864E72" w:rsidRDefault="008410D2" w:rsidP="008410D2">
      <w:pPr>
        <w:spacing w:after="0" w:line="276" w:lineRule="auto"/>
        <w:ind w:firstLine="709"/>
        <w:jc w:val="both"/>
        <w:rPr>
          <w:rFonts w:ascii="Arial" w:eastAsia="Calibri" w:hAnsi="Arial" w:cs="Arial"/>
          <w:bCs/>
          <w:color w:val="000000" w:themeColor="text1"/>
          <w:lang w:val="es-ES_tradnl"/>
        </w:rPr>
      </w:pPr>
      <w:r w:rsidRPr="00864E72">
        <w:rPr>
          <w:rFonts w:ascii="Arial" w:eastAsia="Calibri" w:hAnsi="Arial" w:cs="Arial"/>
          <w:bCs/>
          <w:color w:val="000000" w:themeColor="text1"/>
          <w:lang w:val="es-ES_tradnl"/>
        </w:rPr>
        <w:t xml:space="preserve">En otras palabras, con fundamento en la jurisprudencia se concluyó </w:t>
      </w:r>
      <w:r w:rsidR="005470DF" w:rsidRPr="00864E72">
        <w:rPr>
          <w:rFonts w:ascii="Arial" w:eastAsia="Calibri" w:hAnsi="Arial" w:cs="Arial"/>
          <w:bCs/>
          <w:color w:val="000000" w:themeColor="text1"/>
          <w:lang w:val="es-ES_tradnl"/>
        </w:rPr>
        <w:t>que,</w:t>
      </w:r>
      <w:r w:rsidRPr="00864E72">
        <w:rPr>
          <w:rFonts w:ascii="Arial" w:eastAsia="Calibri" w:hAnsi="Arial" w:cs="Arial"/>
          <w:bCs/>
          <w:color w:val="000000" w:themeColor="text1"/>
          <w:lang w:val="es-ES_tradnl"/>
        </w:rPr>
        <w:t xml:space="preserve"> a las empresas prestadoras de servicios públicos domiciliarios, que, según el artículo 17 de la Ley 142 de 1994, se conformaran como empresas industriales y comerciales del Estado se les tenía en cuenta esta naturaleza jurídica –la de empresas industriales y comerciales del Estado–, para hacerlas destinatarias de la contribución especial. También en un reciente concepto la Superintendencia de Servicios Públicos Domiciliarios recordó que el legislador permitió que las empresas de servicios públicos domiciliarios adoptaran la forma de empresas industriales y comerciales del Estado, pero que el plazo para que esto se diera ya venció. En palabras de este organismo, </w:t>
      </w:r>
      <w:r>
        <w:rPr>
          <w:rFonts w:ascii="Arial" w:eastAsia="Calibri" w:hAnsi="Arial" w:cs="Arial"/>
          <w:bCs/>
          <w:color w:val="000000" w:themeColor="text1"/>
          <w:lang w:val="es-ES_tradnl"/>
        </w:rPr>
        <w:t>“</w:t>
      </w:r>
      <w:r w:rsidRPr="00864E72">
        <w:rPr>
          <w:rFonts w:ascii="Arial" w:eastAsia="Calibri" w:hAnsi="Arial" w:cs="Arial"/>
          <w:bCs/>
          <w:color w:val="000000" w:themeColor="text1"/>
          <w:lang w:val="es-ES_tradnl"/>
        </w:rPr>
        <w:t>Los plazos legales para efectuar la transformación a que alude el parágrafo del artículo 17 de la Ley 142 de 1994, de las entidades descentralizadas en Empresas Industriales y Comerciales del Estado, venció el 3 de enero de 1998, por lo que, a partir de tal fecha, aquéllas que no lo hicieron, debieron constituirse como sociedades por acciones; mientras que el término de transformación para la Nación y a las entidades territoriales (departamentos, municipios, distritos), que prestaban directamente los servicios públicos domiciliarios, de acuerdo con el artículo 182 referido, venció el 11 de enero de 1996</w:t>
      </w:r>
      <w:r>
        <w:rPr>
          <w:rFonts w:ascii="Arial" w:eastAsia="Calibri" w:hAnsi="Arial" w:cs="Arial"/>
          <w:bCs/>
          <w:color w:val="000000" w:themeColor="text1"/>
          <w:lang w:val="es-ES_tradnl"/>
        </w:rPr>
        <w:t>”</w:t>
      </w:r>
      <w:r w:rsidRPr="00864E72">
        <w:rPr>
          <w:rStyle w:val="Refdenotaalpie"/>
          <w:rFonts w:ascii="Arial" w:eastAsia="Calibri" w:hAnsi="Arial" w:cs="Arial"/>
          <w:bCs/>
          <w:color w:val="000000" w:themeColor="text1"/>
          <w:lang w:val="es-ES_tradnl"/>
        </w:rPr>
        <w:footnoteReference w:id="38"/>
      </w:r>
      <w:r w:rsidRPr="00864E72">
        <w:rPr>
          <w:rFonts w:ascii="Arial" w:eastAsia="Calibri" w:hAnsi="Arial" w:cs="Arial"/>
          <w:bCs/>
          <w:color w:val="000000" w:themeColor="text1"/>
          <w:lang w:val="es-ES_tradnl"/>
        </w:rPr>
        <w:t>.</w:t>
      </w:r>
    </w:p>
    <w:p w14:paraId="2AB57339" w14:textId="77777777" w:rsidR="008410D2" w:rsidRPr="00864E72" w:rsidRDefault="008410D2" w:rsidP="008410D2">
      <w:pPr>
        <w:spacing w:before="120" w:after="0" w:line="276" w:lineRule="auto"/>
        <w:ind w:firstLine="709"/>
        <w:jc w:val="both"/>
        <w:rPr>
          <w:rFonts w:ascii="Arial" w:eastAsia="Calibri" w:hAnsi="Arial" w:cs="Arial"/>
          <w:bCs/>
          <w:color w:val="000000" w:themeColor="text1"/>
          <w:lang w:val="es-ES_tradnl"/>
        </w:rPr>
      </w:pPr>
      <w:r w:rsidRPr="00864E72">
        <w:rPr>
          <w:rFonts w:ascii="Arial" w:eastAsia="Calibri" w:hAnsi="Arial" w:cs="Arial"/>
          <w:bCs/>
          <w:color w:val="000000" w:themeColor="text1"/>
          <w:lang w:val="es-ES_tradnl"/>
        </w:rPr>
        <w:t xml:space="preserve">En este orden de ideas, las excepciones consagradas en el parágrafo del artículo 56 de la Ley 2195 de 2022 solo se aplican a los órganos del Estado cuya naturaleza jurídica coincida con la de las entidades allí indicadas de manera </w:t>
      </w:r>
      <w:r w:rsidRPr="00864E72">
        <w:rPr>
          <w:rFonts w:ascii="Arial" w:eastAsia="Calibri" w:hAnsi="Arial" w:cs="Arial"/>
          <w:bCs/>
          <w:i/>
          <w:iCs/>
          <w:color w:val="000000" w:themeColor="text1"/>
          <w:lang w:val="es-ES_tradnl"/>
        </w:rPr>
        <w:t>taxativa</w:t>
      </w:r>
      <w:r w:rsidRPr="00864E72">
        <w:rPr>
          <w:rFonts w:ascii="Arial" w:eastAsia="Calibri" w:hAnsi="Arial" w:cs="Arial"/>
          <w:bCs/>
          <w:color w:val="000000" w:themeColor="text1"/>
          <w:lang w:val="es-ES_tradnl"/>
        </w:rPr>
        <w:t xml:space="preserve">, esto es, a </w:t>
      </w:r>
      <w:r>
        <w:rPr>
          <w:rFonts w:ascii="Arial" w:eastAsia="Calibri" w:hAnsi="Arial" w:cs="Arial"/>
          <w:bCs/>
          <w:color w:val="000000" w:themeColor="text1"/>
          <w:lang w:val="es-ES_tradnl"/>
        </w:rPr>
        <w:t>“</w:t>
      </w:r>
      <w:r w:rsidRPr="00864E72">
        <w:rPr>
          <w:rFonts w:ascii="Arial" w:hAnsi="Arial" w:cs="Arial"/>
          <w:color w:val="000000" w:themeColor="text1"/>
        </w:rPr>
        <w:t xml:space="preserve">[…] </w:t>
      </w:r>
      <w:r w:rsidRPr="00864E72">
        <w:rPr>
          <w:rFonts w:ascii="Arial" w:eastAsia="Calibri" w:hAnsi="Arial" w:cs="Arial"/>
          <w:bCs/>
          <w:color w:val="000000" w:themeColor="text1"/>
          <w:lang w:val="es-ES_tradnl"/>
        </w:rPr>
        <w:t>las Instituciones de Educación Superior públicas, las empresas sociales del Estado, las sociedades de economía mixta y las empresas industriales y comerciales del Estado, únicamente en cuanto a la contratación de su giro ordinario</w:t>
      </w:r>
      <w:r>
        <w:rPr>
          <w:rFonts w:ascii="Arial" w:eastAsia="Calibri" w:hAnsi="Arial" w:cs="Arial"/>
          <w:bCs/>
          <w:color w:val="000000" w:themeColor="text1"/>
          <w:lang w:val="es-ES_tradnl"/>
        </w:rPr>
        <w:t>”</w:t>
      </w:r>
      <w:r w:rsidRPr="00864E72">
        <w:rPr>
          <w:rFonts w:ascii="Arial" w:eastAsia="Calibri" w:hAnsi="Arial" w:cs="Arial"/>
          <w:bCs/>
          <w:color w:val="000000" w:themeColor="text1"/>
          <w:lang w:val="es-ES_tradnl"/>
        </w:rPr>
        <w:t xml:space="preserve">. Por consiguiente, cada entidad estatal deberá analizar su naturaleza jurídica y hacer una interpretación restrictiva de este parágrafo, pues las excepciones deben leerse de manera acorde con dicho parámetro hermenéutico. Tratándose de empresas prestadoras de servicios públicos domiciliarios, no sobra indicar que la autoridad competente para resolver las consultas relacionadas con aspectos asociados a su naturaleza jurídica es la Superintendencia de Servicios Públicos Domiciliarios, de conformidad con el artículo 11, numeral 2, del Decreto 1369 de 2020, según el cual dicha entidad debe </w:t>
      </w:r>
      <w:r>
        <w:rPr>
          <w:rFonts w:ascii="Arial" w:eastAsia="Calibri" w:hAnsi="Arial" w:cs="Arial"/>
          <w:bCs/>
          <w:color w:val="000000" w:themeColor="text1"/>
          <w:lang w:val="es-ES_tradnl"/>
        </w:rPr>
        <w:t>“</w:t>
      </w:r>
      <w:r w:rsidRPr="00864E72">
        <w:rPr>
          <w:rFonts w:ascii="Arial" w:eastAsia="Calibri" w:hAnsi="Arial" w:cs="Arial"/>
          <w:bCs/>
          <w:color w:val="000000" w:themeColor="text1"/>
          <w:lang w:val="es-ES_tradnl"/>
        </w:rPr>
        <w:t>Absolver las consultas jurídicas externas relativas al régimen de los servicios públicos domiciliarios</w:t>
      </w:r>
      <w:r>
        <w:rPr>
          <w:rFonts w:ascii="Arial" w:eastAsia="Calibri" w:hAnsi="Arial" w:cs="Arial"/>
          <w:bCs/>
          <w:color w:val="000000" w:themeColor="text1"/>
          <w:lang w:val="es-ES_tradnl"/>
        </w:rPr>
        <w:t>”</w:t>
      </w:r>
      <w:r w:rsidRPr="00864E72">
        <w:rPr>
          <w:rFonts w:ascii="Arial" w:eastAsia="Calibri" w:hAnsi="Arial" w:cs="Arial"/>
          <w:bCs/>
          <w:color w:val="000000" w:themeColor="text1"/>
          <w:lang w:val="es-ES_tradnl"/>
        </w:rPr>
        <w:t>.</w:t>
      </w:r>
    </w:p>
    <w:p w14:paraId="0E12228F" w14:textId="77777777" w:rsidR="008410D2" w:rsidRPr="00C046D8" w:rsidRDefault="008410D2" w:rsidP="008410D2">
      <w:pPr>
        <w:tabs>
          <w:tab w:val="left" w:pos="0"/>
        </w:tabs>
        <w:spacing w:after="0" w:line="276" w:lineRule="auto"/>
        <w:contextualSpacing/>
        <w:jc w:val="both"/>
        <w:rPr>
          <w:rFonts w:ascii="Arial" w:eastAsia="Calibri" w:hAnsi="Arial" w:cs="Arial"/>
          <w:b/>
          <w:lang w:val="es-ES_tradnl" w:eastAsia="es-ES_tradnl"/>
        </w:rPr>
      </w:pPr>
    </w:p>
    <w:p w14:paraId="68C47B0C" w14:textId="77777777" w:rsidR="008410D2" w:rsidRPr="00F47405" w:rsidRDefault="008410D2" w:rsidP="008410D2">
      <w:pPr>
        <w:tabs>
          <w:tab w:val="left" w:pos="0"/>
        </w:tabs>
        <w:spacing w:after="0" w:line="276" w:lineRule="auto"/>
        <w:contextualSpacing/>
        <w:jc w:val="both"/>
        <w:rPr>
          <w:rFonts w:ascii="Arial" w:eastAsia="Calibri" w:hAnsi="Arial" w:cs="Arial"/>
          <w:b/>
          <w:szCs w:val="24"/>
          <w:lang w:val="es-ES_tradnl" w:eastAsia="es-ES_tradnl"/>
        </w:rPr>
      </w:pPr>
      <w:r w:rsidRPr="00F47405">
        <w:rPr>
          <w:rFonts w:ascii="Arial" w:eastAsia="Calibri" w:hAnsi="Arial" w:cs="Arial"/>
          <w:b/>
          <w:szCs w:val="24"/>
          <w:lang w:val="es-ES_tradnl" w:eastAsia="es-ES_tradnl"/>
        </w:rPr>
        <w:t>2.</w:t>
      </w:r>
      <w:bookmarkStart w:id="25" w:name="_Hlk130800261"/>
      <w:r>
        <w:rPr>
          <w:rFonts w:ascii="Arial" w:eastAsia="Calibri" w:hAnsi="Arial" w:cs="Arial"/>
          <w:b/>
          <w:szCs w:val="24"/>
          <w:lang w:val="es-ES_tradnl" w:eastAsia="es-ES_tradnl"/>
        </w:rPr>
        <w:t>6</w:t>
      </w:r>
      <w:r w:rsidRPr="00F47405">
        <w:rPr>
          <w:rFonts w:ascii="Arial" w:eastAsia="Calibri" w:hAnsi="Arial" w:cs="Arial"/>
          <w:b/>
          <w:szCs w:val="24"/>
          <w:lang w:val="es-ES_tradnl" w:eastAsia="es-ES_tradnl"/>
        </w:rPr>
        <w:t>. Efectos</w:t>
      </w:r>
      <w:r>
        <w:rPr>
          <w:rFonts w:ascii="Arial" w:eastAsia="Calibri" w:hAnsi="Arial" w:cs="Arial"/>
          <w:b/>
          <w:szCs w:val="24"/>
          <w:lang w:val="es-ES_tradnl" w:eastAsia="es-ES_tradnl"/>
        </w:rPr>
        <w:t xml:space="preserve"> del artículo 56 de la Ley 2195</w:t>
      </w:r>
      <w:r w:rsidRPr="00F47405">
        <w:rPr>
          <w:rFonts w:ascii="Arial" w:eastAsia="Calibri" w:hAnsi="Arial" w:cs="Arial"/>
          <w:b/>
          <w:szCs w:val="24"/>
          <w:lang w:val="es-ES_tradnl" w:eastAsia="es-ES_tradnl"/>
        </w:rPr>
        <w:t xml:space="preserve"> respecto de la subcontratación realizada por entidades estatales exceptuadas, patrimonios autónomos, personas naturales o jurídicas que sean contratistas del Estado</w:t>
      </w:r>
    </w:p>
    <w:bookmarkEnd w:id="25"/>
    <w:p w14:paraId="54B176EA" w14:textId="77777777" w:rsidR="008410D2" w:rsidRPr="00C046D8" w:rsidRDefault="008410D2" w:rsidP="008410D2">
      <w:pPr>
        <w:tabs>
          <w:tab w:val="left" w:pos="0"/>
        </w:tabs>
        <w:spacing w:after="0" w:line="276" w:lineRule="auto"/>
        <w:contextualSpacing/>
        <w:jc w:val="both"/>
        <w:rPr>
          <w:rFonts w:ascii="Arial" w:eastAsia="Calibri" w:hAnsi="Arial" w:cs="Arial"/>
          <w:bCs/>
          <w:szCs w:val="24"/>
          <w:lang w:val="es-ES_tradnl" w:eastAsia="es-ES_tradnl"/>
        </w:rPr>
      </w:pPr>
    </w:p>
    <w:p w14:paraId="372BDD01" w14:textId="77777777" w:rsidR="008410D2" w:rsidRDefault="008410D2" w:rsidP="001A5552">
      <w:pPr>
        <w:tabs>
          <w:tab w:val="left" w:pos="0"/>
        </w:tabs>
        <w:spacing w:after="120" w:line="276" w:lineRule="auto"/>
        <w:jc w:val="both"/>
        <w:rPr>
          <w:rFonts w:ascii="Arial" w:eastAsia="Calibri" w:hAnsi="Arial" w:cs="Arial"/>
          <w:bCs/>
          <w:szCs w:val="24"/>
          <w:lang w:val="es-ES_tradnl" w:eastAsia="es-ES_tradnl"/>
        </w:rPr>
      </w:pPr>
      <w:r w:rsidRPr="00165C4E">
        <w:rPr>
          <w:rFonts w:ascii="Arial" w:eastAsia="Calibri" w:hAnsi="Arial" w:cs="Arial"/>
          <w:szCs w:val="24"/>
          <w:lang w:val="es-ES_tradnl" w:eastAsia="es-ES_tradnl"/>
        </w:rPr>
        <w:t>Conforme a la postura hermenéutica explicada en el presente concepto, el mandato de aplicación de los documentos tipo contenido en el artículo 56 de la Ley 2195 de 2022 es</w:t>
      </w:r>
      <w:r>
        <w:rPr>
          <w:rFonts w:ascii="Arial" w:eastAsia="Calibri" w:hAnsi="Arial" w:cs="Arial"/>
          <w:szCs w:val="24"/>
          <w:lang w:val="es-ES_tradnl" w:eastAsia="es-ES_tradnl"/>
        </w:rPr>
        <w:t>tá</w:t>
      </w:r>
      <w:r w:rsidRPr="00165C4E">
        <w:rPr>
          <w:rFonts w:ascii="Arial" w:eastAsia="Calibri" w:hAnsi="Arial" w:cs="Arial"/>
          <w:szCs w:val="24"/>
          <w:lang w:val="es-ES_tradnl" w:eastAsia="es-ES_tradnl"/>
        </w:rPr>
        <w:t xml:space="preserve"> dirigido</w:t>
      </w:r>
      <w:r>
        <w:rPr>
          <w:rFonts w:ascii="Arial" w:eastAsia="Calibri" w:hAnsi="Arial" w:cs="Arial"/>
          <w:szCs w:val="24"/>
          <w:lang w:val="es-ES_tradnl" w:eastAsia="es-ES_tradnl"/>
        </w:rPr>
        <w:t>,</w:t>
      </w:r>
      <w:r w:rsidRPr="00165C4E">
        <w:rPr>
          <w:rFonts w:ascii="Arial" w:eastAsia="Calibri" w:hAnsi="Arial" w:cs="Arial"/>
          <w:szCs w:val="24"/>
          <w:lang w:val="es-ES_tradnl" w:eastAsia="es-ES_tradnl"/>
        </w:rPr>
        <w:t xml:space="preserve"> en primera medida</w:t>
      </w:r>
      <w:r>
        <w:rPr>
          <w:rFonts w:ascii="Arial" w:eastAsia="Calibri" w:hAnsi="Arial" w:cs="Arial"/>
          <w:szCs w:val="24"/>
          <w:lang w:val="es-ES_tradnl" w:eastAsia="es-ES_tradnl"/>
        </w:rPr>
        <w:t>,</w:t>
      </w:r>
      <w:r w:rsidRPr="00165C4E">
        <w:rPr>
          <w:rFonts w:ascii="Arial" w:eastAsia="Calibri" w:hAnsi="Arial" w:cs="Arial"/>
          <w:szCs w:val="24"/>
          <w:lang w:val="es-ES_tradnl" w:eastAsia="es-ES_tradnl"/>
        </w:rPr>
        <w:t xml:space="preserve"> a las entidades sometidas al EGCAP, particularmente, a los negocios jurídicos que para la adquisición de bienes, obras o servicios celebren con otras entidades estatales exceptuadas, patrimonios autónomos, personas naturales o jurídicas de derecho privado. Por lo tanto, es posible afirmar que los efectos de la norma se proyectan a los negocios jurídicos descritos en el primer inciso, comoquiera que la norma no alude a procesos de selección o contratos diferentes de los requeridos para perfeccionar el negocio jurídico entre la Entidad Estatal sometida al EGCAP y el respectivo sujeto derecho privado. </w:t>
      </w:r>
    </w:p>
    <w:p w14:paraId="28CA3BB8" w14:textId="77777777" w:rsidR="008410D2" w:rsidRPr="00C046D8" w:rsidRDefault="008410D2" w:rsidP="001A5552">
      <w:pPr>
        <w:tabs>
          <w:tab w:val="left" w:pos="0"/>
        </w:tabs>
        <w:spacing w:after="120" w:line="276" w:lineRule="auto"/>
        <w:jc w:val="both"/>
        <w:rPr>
          <w:rFonts w:ascii="Arial" w:hAnsi="Arial" w:cs="Arial"/>
          <w:sz w:val="21"/>
          <w:szCs w:val="21"/>
        </w:rPr>
      </w:pPr>
      <w:r w:rsidRPr="00C046D8">
        <w:rPr>
          <w:rFonts w:ascii="Arial" w:eastAsia="Calibri" w:hAnsi="Arial" w:cs="Arial"/>
          <w:bCs/>
          <w:szCs w:val="24"/>
          <w:lang w:val="es-ES_tradnl" w:eastAsia="es-ES_tradnl"/>
        </w:rPr>
        <w:tab/>
      </w:r>
      <w:r w:rsidRPr="00165C4E">
        <w:rPr>
          <w:rFonts w:ascii="Arial" w:eastAsia="Calibri" w:hAnsi="Arial" w:cs="Arial"/>
          <w:szCs w:val="24"/>
          <w:lang w:val="es-ES_tradnl" w:eastAsia="es-ES_tradnl"/>
        </w:rPr>
        <w:t>Ahora bien, r</w:t>
      </w:r>
      <w:r w:rsidRPr="00165C4E">
        <w:rPr>
          <w:rFonts w:ascii="Arial" w:hAnsi="Arial" w:cs="Arial"/>
        </w:rPr>
        <w:t xml:space="preserve">especto de la subcontratación debe indicarse que, </w:t>
      </w:r>
      <w:r w:rsidRPr="00165C4E">
        <w:rPr>
          <w:rFonts w:ascii="Arial" w:hAnsi="Arial" w:cs="Arial"/>
          <w:lang w:val="es-ES"/>
        </w:rPr>
        <w:t>aunque en materia de contratación estatal hay algunas referencias a esta institución en las Leyes 80 de 1993</w:t>
      </w:r>
      <w:r w:rsidRPr="00165C4E">
        <w:rPr>
          <w:rFonts w:ascii="Arial" w:hAnsi="Arial" w:cs="Arial"/>
          <w:vertAlign w:val="superscript"/>
          <w:lang w:val="es-ES"/>
        </w:rPr>
        <w:footnoteReference w:id="39"/>
      </w:r>
      <w:r w:rsidRPr="00165C4E">
        <w:rPr>
          <w:rFonts w:ascii="Arial" w:hAnsi="Arial" w:cs="Arial"/>
          <w:lang w:val="es-ES"/>
        </w:rPr>
        <w:t xml:space="preserve"> y 1150 de 2007</w:t>
      </w:r>
      <w:r w:rsidRPr="00165C4E">
        <w:rPr>
          <w:rFonts w:ascii="Arial" w:hAnsi="Arial" w:cs="Arial"/>
          <w:vertAlign w:val="superscript"/>
          <w:lang w:val="es-ES"/>
        </w:rPr>
        <w:footnoteReference w:id="40"/>
      </w:r>
      <w:r w:rsidRPr="00165C4E">
        <w:rPr>
          <w:rFonts w:ascii="Arial" w:hAnsi="Arial" w:cs="Arial"/>
          <w:lang w:val="es-ES"/>
        </w:rPr>
        <w:t xml:space="preserve"> y en el Decreto 1082 de 2015</w:t>
      </w:r>
      <w:r w:rsidRPr="00165C4E">
        <w:rPr>
          <w:rFonts w:ascii="Arial" w:hAnsi="Arial" w:cs="Arial"/>
          <w:vertAlign w:val="superscript"/>
          <w:lang w:val="es-ES"/>
        </w:rPr>
        <w:footnoteReference w:id="41"/>
      </w:r>
      <w:r w:rsidRPr="00165C4E">
        <w:rPr>
          <w:rFonts w:ascii="Arial" w:hAnsi="Arial" w:cs="Arial"/>
          <w:lang w:val="es-ES"/>
        </w:rPr>
        <w:t xml:space="preserve">, el ordenamiento jurídico adolece de una disposición legal que brinde una definición de subcontratación. Sin embargo, la jurisprudencia y la doctrina se han encargado de estudiar y analizar la naturaleza de esta figura y han construido los elementos y características propias de la subcontratación. Por un lado, la doctrina ha señalado que </w:t>
      </w:r>
      <w:r w:rsidRPr="00165C4E">
        <w:rPr>
          <w:rFonts w:ascii="Arial" w:eastAsia="Times New Roman" w:hAnsi="Arial" w:cs="Arial"/>
          <w:lang w:eastAsia="es-ES_tradnl"/>
        </w:rPr>
        <w:t>“La subcontratación supone la celebración de un contrato eventual y accesorio, entre un contratista del Estado y un tercero, sin que aquel tenga el deber, por regla general, de agotar un previo procedimiento de selección, por medio del cual el segundo sustituye parcial y materialmente al primero, quien conserva la dirección general del proyecto y es responsable ante la Entidad Estatal contratante por el cumplimiento íntegro de las obligaciones derivadas del contrato adjudicado</w:t>
      </w:r>
      <w:r w:rsidRPr="00165C4E">
        <w:rPr>
          <w:rFonts w:ascii="Arial" w:eastAsia="Times New Roman" w:hAnsi="Arial" w:cs="Arial"/>
          <w:szCs w:val="24"/>
          <w:lang w:eastAsia="es-ES_tradnl"/>
        </w:rPr>
        <w:t>”</w:t>
      </w:r>
      <w:r w:rsidRPr="00165C4E">
        <w:rPr>
          <w:rFonts w:ascii="Arial" w:eastAsia="Times New Roman" w:hAnsi="Arial" w:cs="Arial"/>
          <w:vertAlign w:val="superscript"/>
          <w:lang w:eastAsia="es-ES_tradnl"/>
        </w:rPr>
        <w:footnoteReference w:id="42"/>
      </w:r>
      <w:r w:rsidRPr="00165C4E">
        <w:rPr>
          <w:rFonts w:ascii="Arial" w:eastAsia="Times New Roman" w:hAnsi="Arial" w:cs="Arial"/>
          <w:szCs w:val="24"/>
          <w:lang w:eastAsia="es-ES_tradnl"/>
        </w:rPr>
        <w:t xml:space="preserve">. En el ámbito internacional se ha entendido a la subcontratación como </w:t>
      </w:r>
      <w:r w:rsidRPr="00165C4E">
        <w:rPr>
          <w:rFonts w:ascii="Arial" w:eastAsia="Times New Roman" w:hAnsi="Arial" w:cs="Arial"/>
          <w:lang w:eastAsia="es-ES_tradnl"/>
        </w:rPr>
        <w:t>“</w:t>
      </w:r>
      <w:r w:rsidRPr="00165C4E">
        <w:rPr>
          <w:rFonts w:ascii="Arial" w:eastAsia="Times New Roman" w:hAnsi="Arial" w:cs="Arial"/>
          <w:szCs w:val="24"/>
          <w:lang w:eastAsia="es-ES_tradnl"/>
        </w:rPr>
        <w:t>La práctica mercantil de organización productiva en virtud de la cual el contratista o subcontratista encarga a otro subcontratista o trabajador autónomo parte de lo que a él se le ha encomendado”</w:t>
      </w:r>
      <w:r w:rsidRPr="00165C4E">
        <w:rPr>
          <w:rFonts w:ascii="Arial" w:eastAsia="Times New Roman" w:hAnsi="Arial" w:cs="Arial"/>
          <w:szCs w:val="24"/>
          <w:vertAlign w:val="superscript"/>
          <w:lang w:eastAsia="es-ES_tradnl"/>
        </w:rPr>
        <w:footnoteReference w:id="43"/>
      </w:r>
      <w:r w:rsidRPr="00165C4E">
        <w:rPr>
          <w:rFonts w:ascii="Arial" w:eastAsia="Times New Roman" w:hAnsi="Arial" w:cs="Arial"/>
          <w:szCs w:val="24"/>
          <w:lang w:eastAsia="es-ES_tradnl"/>
        </w:rPr>
        <w:t xml:space="preserve">. En el marco de esta figura, se define el nivel de subcontratación como </w:t>
      </w:r>
      <w:r w:rsidRPr="00165C4E">
        <w:rPr>
          <w:rFonts w:ascii="Arial" w:eastAsia="Times New Roman" w:hAnsi="Arial" w:cs="Arial"/>
          <w:lang w:eastAsia="es-ES_tradnl"/>
        </w:rPr>
        <w:t>“</w:t>
      </w:r>
      <w:r w:rsidRPr="00165C4E">
        <w:rPr>
          <w:rFonts w:ascii="Arial" w:eastAsia="Times New Roman" w:hAnsi="Arial" w:cs="Arial"/>
          <w:szCs w:val="24"/>
          <w:lang w:eastAsia="es-ES_tradnl"/>
        </w:rPr>
        <w:t>Cada uno de los escalones en que se estructura el proceso de subcontratación que se desarrolla para la ejecución de la totalidad o parte de la obra asumida contractualmente por el contratista con el promotor”</w:t>
      </w:r>
      <w:r w:rsidRPr="00165C4E">
        <w:rPr>
          <w:rFonts w:ascii="Arial" w:eastAsia="Times New Roman" w:hAnsi="Arial" w:cs="Arial"/>
          <w:szCs w:val="24"/>
          <w:vertAlign w:val="superscript"/>
          <w:lang w:eastAsia="es-ES_tradnl"/>
        </w:rPr>
        <w:footnoteReference w:id="44"/>
      </w:r>
      <w:r w:rsidRPr="00165C4E">
        <w:rPr>
          <w:rFonts w:ascii="Arial" w:hAnsi="Arial" w:cs="Arial"/>
        </w:rPr>
        <w:t>.</w:t>
      </w:r>
      <w:r w:rsidRPr="00C046D8">
        <w:rPr>
          <w:rFonts w:ascii="Arial" w:hAnsi="Arial" w:cs="Arial"/>
        </w:rPr>
        <w:t xml:space="preserve"> </w:t>
      </w:r>
    </w:p>
    <w:p w14:paraId="7161B8D7" w14:textId="77777777" w:rsidR="008410D2" w:rsidRPr="00C046D8" w:rsidRDefault="008410D2" w:rsidP="001A5552">
      <w:pPr>
        <w:spacing w:after="120" w:line="276" w:lineRule="auto"/>
        <w:ind w:firstLine="709"/>
        <w:jc w:val="both"/>
        <w:rPr>
          <w:rFonts w:ascii="Arial" w:eastAsia="Times New Roman" w:hAnsi="Arial" w:cs="Arial"/>
          <w:szCs w:val="24"/>
          <w:lang w:eastAsia="es-ES_tradnl"/>
        </w:rPr>
      </w:pPr>
      <w:r w:rsidRPr="00C046D8">
        <w:rPr>
          <w:rFonts w:ascii="Arial" w:eastAsia="Times New Roman" w:hAnsi="Arial" w:cs="Arial"/>
          <w:szCs w:val="24"/>
          <w:lang w:eastAsia="es-ES_tradnl"/>
        </w:rPr>
        <w:t>De lo expuesto se resaltan como características esenciales de la subcontratación las siguientes: i) es un contrato eventual, en la medida en que depende de una regulación previa a su celebración en el pliego de condiciones o en el contrato estatal,</w:t>
      </w:r>
      <w:r w:rsidRPr="00C046D8">
        <w:rPr>
          <w:rFonts w:ascii="Arial" w:eastAsia="Times New Roman" w:hAnsi="Arial" w:cs="Arial"/>
          <w:lang w:eastAsia="es-ES_tradnl"/>
        </w:rPr>
        <w:t xml:space="preserve"> </w:t>
      </w:r>
      <w:proofErr w:type="spellStart"/>
      <w:r w:rsidRPr="00C046D8">
        <w:rPr>
          <w:rFonts w:ascii="Arial" w:eastAsia="Times New Roman" w:hAnsi="Arial" w:cs="Arial"/>
          <w:lang w:eastAsia="es-ES_tradnl"/>
        </w:rPr>
        <w:t>ii</w:t>
      </w:r>
      <w:proofErr w:type="spellEnd"/>
      <w:r w:rsidRPr="00C046D8">
        <w:rPr>
          <w:rFonts w:ascii="Arial" w:eastAsia="Times New Roman" w:hAnsi="Arial" w:cs="Arial"/>
          <w:lang w:eastAsia="es-ES_tradnl"/>
        </w:rPr>
        <w:t xml:space="preserve">) es </w:t>
      </w:r>
      <w:r w:rsidRPr="00C046D8">
        <w:rPr>
          <w:rFonts w:ascii="Arial" w:eastAsia="Times New Roman" w:hAnsi="Arial" w:cs="Arial"/>
          <w:szCs w:val="24"/>
          <w:lang w:eastAsia="es-ES_tradnl"/>
        </w:rPr>
        <w:t xml:space="preserve">un contrato accesorio, pues asegura el cumplimiento de la obligación principal, </w:t>
      </w:r>
      <w:proofErr w:type="spellStart"/>
      <w:r w:rsidRPr="00C046D8">
        <w:rPr>
          <w:rFonts w:ascii="Arial" w:eastAsia="Times New Roman" w:hAnsi="Arial" w:cs="Arial"/>
          <w:szCs w:val="24"/>
          <w:lang w:eastAsia="es-ES_tradnl"/>
        </w:rPr>
        <w:t>iii</w:t>
      </w:r>
      <w:proofErr w:type="spellEnd"/>
      <w:r w:rsidRPr="00C046D8">
        <w:rPr>
          <w:rFonts w:ascii="Arial" w:eastAsia="Times New Roman" w:hAnsi="Arial" w:cs="Arial"/>
          <w:szCs w:val="24"/>
          <w:lang w:eastAsia="es-ES_tradnl"/>
        </w:rPr>
        <w:t xml:space="preserve">) la relación jurídica que surge entre el </w:t>
      </w:r>
      <w:r w:rsidRPr="00C046D8">
        <w:rPr>
          <w:rFonts w:ascii="Arial" w:eastAsia="Times New Roman" w:hAnsi="Arial" w:cs="Arial"/>
          <w:lang w:eastAsia="es-ES_tradnl"/>
        </w:rPr>
        <w:t>contratista del estado y el tercero</w:t>
      </w:r>
      <w:r w:rsidRPr="00C046D8">
        <w:rPr>
          <w:rFonts w:ascii="Arial" w:eastAsia="Times New Roman" w:hAnsi="Arial" w:cs="Arial"/>
          <w:szCs w:val="24"/>
          <w:lang w:eastAsia="es-ES_tradnl"/>
        </w:rPr>
        <w:t xml:space="preserve"> es independiente y autónoma de la entidad contratante, </w:t>
      </w:r>
      <w:proofErr w:type="spellStart"/>
      <w:r w:rsidRPr="00C046D8">
        <w:rPr>
          <w:rFonts w:ascii="Arial" w:eastAsia="Times New Roman" w:hAnsi="Arial" w:cs="Arial"/>
          <w:bCs/>
          <w:szCs w:val="24"/>
          <w:lang w:val="es-ES" w:eastAsia="es-ES_tradnl"/>
        </w:rPr>
        <w:t>iv</w:t>
      </w:r>
      <w:proofErr w:type="spellEnd"/>
      <w:r w:rsidRPr="00C046D8">
        <w:rPr>
          <w:rFonts w:ascii="Arial" w:eastAsia="Times New Roman" w:hAnsi="Arial" w:cs="Arial"/>
          <w:bCs/>
          <w:szCs w:val="24"/>
          <w:lang w:val="es-ES" w:eastAsia="es-ES_tradnl"/>
        </w:rPr>
        <w:t>) la sustitución es parcial, lo que significa que no podrán subcontratar la ejecución total del contrato principal y vi) la sustitución es material y no jurídica, por lo tanto, no relevará al contratista del estado de las responsabilidades emanadas del contrato principal.</w:t>
      </w:r>
    </w:p>
    <w:p w14:paraId="4CFCF662" w14:textId="77777777" w:rsidR="008410D2" w:rsidRPr="00C046D8" w:rsidRDefault="008410D2" w:rsidP="001A5552">
      <w:pPr>
        <w:spacing w:after="120" w:line="276" w:lineRule="auto"/>
        <w:ind w:firstLine="709"/>
        <w:jc w:val="both"/>
        <w:rPr>
          <w:rFonts w:ascii="Arial" w:eastAsia="Times New Roman" w:hAnsi="Arial" w:cs="Arial"/>
          <w:szCs w:val="24"/>
          <w:lang w:eastAsia="es-ES_tradnl"/>
        </w:rPr>
      </w:pPr>
      <w:r w:rsidRPr="00C046D8">
        <w:rPr>
          <w:rFonts w:ascii="Arial" w:hAnsi="Arial" w:cs="Arial"/>
          <w:lang w:val="es-ES"/>
        </w:rPr>
        <w:t>Teniendo en cuenta lo expuesto, l</w:t>
      </w:r>
      <w:r w:rsidRPr="00C046D8">
        <w:rPr>
          <w:rFonts w:ascii="Arial" w:eastAsia="Times New Roman" w:hAnsi="Arial" w:cs="Arial"/>
          <w:lang w:eastAsia="es-ES_tradnl"/>
        </w:rPr>
        <w:t xml:space="preserve">a subcontratación supone la celebración de un contrato eventual y accesorio, entre un contratista del Estado y un tercero, sin que aquel tenga el deber, por regla general, de agotar un procedimiento previo de selección, y por medio del cual el segundo sustituye parcial y materialmente al primero, quien conserva la dirección general del proyecto y es responsable ante la </w:t>
      </w:r>
      <w:r>
        <w:rPr>
          <w:rFonts w:ascii="Arial" w:eastAsia="Times New Roman" w:hAnsi="Arial" w:cs="Arial"/>
          <w:lang w:eastAsia="es-ES_tradnl"/>
        </w:rPr>
        <w:t>Entidad Estatal</w:t>
      </w:r>
      <w:r w:rsidRPr="00C046D8">
        <w:rPr>
          <w:rFonts w:ascii="Arial" w:eastAsia="Times New Roman" w:hAnsi="Arial" w:cs="Arial"/>
          <w:lang w:eastAsia="es-ES_tradnl"/>
        </w:rPr>
        <w:t xml:space="preserve"> contratante por el cumplimiento íntegro de las obligaciones derivadas del contrato adjudicado. Así mismo, la subcontratación es un mecanismo de ejecución de un proyecto que obedece a la autonomía técnica y administrativa con la cual el contratista desarrolla su modelo de negocio.</w:t>
      </w:r>
    </w:p>
    <w:p w14:paraId="1F84E532" w14:textId="77777777" w:rsidR="008410D2" w:rsidRPr="00C046D8" w:rsidRDefault="008410D2" w:rsidP="001A5552">
      <w:pPr>
        <w:spacing w:after="120" w:line="276" w:lineRule="auto"/>
        <w:ind w:firstLine="709"/>
        <w:jc w:val="both"/>
        <w:rPr>
          <w:rFonts w:ascii="Arial" w:eastAsia="Calibri" w:hAnsi="Arial" w:cs="Arial"/>
          <w:bCs/>
          <w:lang w:val="es-ES_tradnl" w:eastAsia="es-ES_tradnl"/>
        </w:rPr>
      </w:pPr>
      <w:r w:rsidRPr="00165C4E">
        <w:rPr>
          <w:rFonts w:ascii="Arial" w:eastAsia="Times New Roman" w:hAnsi="Arial" w:cs="Arial"/>
          <w:lang w:eastAsia="es-ES_tradnl"/>
        </w:rPr>
        <w:t>Con base en estos elementos, debe tenerse en cuenta que la situación de los subcontratistas no hace parte de aquella circunstancia que quiso regular el artículo objeto de estudio. E</w:t>
      </w:r>
      <w:r w:rsidRPr="00165C4E">
        <w:rPr>
          <w:rFonts w:ascii="Arial" w:eastAsia="Calibri" w:hAnsi="Arial" w:cs="Arial"/>
          <w:lang w:val="es-ES_tradnl" w:eastAsia="es-ES_tradnl"/>
        </w:rPr>
        <w:t>l propósito del legislador con la expedición de la norma objeto de consulta, tal como se ha explicado, es que las entidades estatales que tienen como régimen contractual el EGCAP no puedan eludir su aplicación, ni la de los documentos tipo que resulten obligatorios, celebrando convenios o contratos con entidades exceptuadas o particulares sometidos al derecho privado. No obstante, la norma solo se refiere a los negocios jurídicos suscritos entre la entidad sometida al régimen general de contratación pública con el respectivo sujeto de derecho privado, sin mencionar en ningún momento a los subcontratos o la contratación derivada de aquellos. Tampoco se observa que la norma aprobada faculte a los mencionados sujetos de derecho privado a fungir como entidades estatales en estos subcontratos, ejerciendo potestades unilaterales o exorbitantes.</w:t>
      </w:r>
      <w:r w:rsidRPr="00C046D8">
        <w:rPr>
          <w:rFonts w:ascii="Arial" w:eastAsia="Calibri" w:hAnsi="Arial" w:cs="Arial"/>
          <w:bCs/>
          <w:lang w:val="es-ES_tradnl" w:eastAsia="es-ES_tradnl"/>
        </w:rPr>
        <w:t xml:space="preserve">  </w:t>
      </w:r>
    </w:p>
    <w:p w14:paraId="48596F9A" w14:textId="77777777" w:rsidR="008410D2" w:rsidRDefault="008410D2" w:rsidP="008410D2">
      <w:pPr>
        <w:tabs>
          <w:tab w:val="left" w:pos="0"/>
        </w:tabs>
        <w:spacing w:after="0" w:line="276" w:lineRule="auto"/>
        <w:contextualSpacing/>
        <w:jc w:val="both"/>
        <w:rPr>
          <w:rFonts w:ascii="Arial" w:eastAsia="Times New Roman" w:hAnsi="Arial" w:cs="Arial"/>
          <w:lang w:val="es-ES_tradnl" w:eastAsia="es-ES_tradnl"/>
        </w:rPr>
      </w:pPr>
      <w:r w:rsidRPr="00C046D8">
        <w:rPr>
          <w:rFonts w:ascii="Arial" w:eastAsia="Times New Roman" w:hAnsi="Arial" w:cs="Arial"/>
          <w:lang w:val="es-ES_tradnl" w:eastAsia="es-ES_tradnl"/>
        </w:rPr>
        <w:tab/>
      </w:r>
      <w:bookmarkStart w:id="26" w:name="_Hlk113023769"/>
      <w:r w:rsidRPr="00165C4E">
        <w:rPr>
          <w:rFonts w:ascii="Arial" w:eastAsia="Times New Roman" w:hAnsi="Arial" w:cs="Arial"/>
          <w:lang w:val="es-ES_tradnl" w:eastAsia="es-ES_tradnl"/>
        </w:rPr>
        <w:t>Conforme a lo expuesto, estando planteados los efectos de la norma en tales términos, no es posible afirmar que la consecuencia jurídica de la misma respecto de los sujetos de derecho privado que menciona corresponda a un mandato de aplicar documentos tipo y/o el EGCAP en la contratación derivada o en la subcontratación, por cuanto tales efectos no se desprenden del texto de la norma. Lo anterior por cuanto la norma se refiere exclusivamente a un negocio jurídico en particular, al igual que al proceso de selección y el contrato estatal que hacen falta para concretarlo, sin que resulte posible extender los efectos de la norma más allá de lo que la misma norma consagra, en atención a la regla interpretativa sobre la extensión de una Ley previamente explicada</w:t>
      </w:r>
      <w:bookmarkEnd w:id="26"/>
      <w:r w:rsidRPr="00165C4E">
        <w:rPr>
          <w:rFonts w:ascii="Arial" w:eastAsia="Times New Roman" w:hAnsi="Arial" w:cs="Arial"/>
          <w:vertAlign w:val="superscript"/>
          <w:lang w:val="es-ES_tradnl" w:eastAsia="es-ES_tradnl"/>
        </w:rPr>
        <w:footnoteReference w:id="45"/>
      </w:r>
      <w:r w:rsidRPr="00165C4E">
        <w:rPr>
          <w:rFonts w:ascii="Arial" w:eastAsia="Times New Roman" w:hAnsi="Arial" w:cs="Arial"/>
          <w:lang w:val="es-ES_tradnl" w:eastAsia="es-ES_tradnl"/>
        </w:rPr>
        <w:t>.</w:t>
      </w:r>
    </w:p>
    <w:p w14:paraId="2A1B48E1" w14:textId="77777777" w:rsidR="008410D2" w:rsidRDefault="008410D2" w:rsidP="008410D2">
      <w:pPr>
        <w:tabs>
          <w:tab w:val="left" w:pos="0"/>
        </w:tabs>
        <w:spacing w:after="0" w:line="276" w:lineRule="auto"/>
        <w:contextualSpacing/>
        <w:jc w:val="both"/>
        <w:rPr>
          <w:rFonts w:ascii="Arial" w:eastAsia="Times New Roman" w:hAnsi="Arial" w:cs="Arial"/>
          <w:lang w:val="es-ES_tradnl" w:eastAsia="es-ES_tradnl"/>
        </w:rPr>
      </w:pPr>
    </w:p>
    <w:p w14:paraId="73C7A2B9" w14:textId="77777777" w:rsidR="008410D2" w:rsidRDefault="008410D2" w:rsidP="008410D2">
      <w:pPr>
        <w:tabs>
          <w:tab w:val="left" w:pos="0"/>
        </w:tabs>
        <w:spacing w:after="0" w:line="276" w:lineRule="auto"/>
        <w:contextualSpacing/>
        <w:jc w:val="both"/>
        <w:rPr>
          <w:rFonts w:ascii="Arial" w:eastAsia="Times New Roman" w:hAnsi="Arial" w:cs="Arial"/>
          <w:b/>
          <w:bCs/>
          <w:lang w:val="es-ES_tradnl" w:eastAsia="es-ES_tradnl"/>
        </w:rPr>
      </w:pPr>
      <w:r w:rsidRPr="002B3AC5">
        <w:rPr>
          <w:rFonts w:ascii="Arial" w:eastAsia="Times New Roman" w:hAnsi="Arial" w:cs="Arial"/>
          <w:b/>
          <w:bCs/>
          <w:lang w:val="es-ES_tradnl" w:eastAsia="es-ES_tradnl"/>
        </w:rPr>
        <w:t>2.7. Obras y servicios adicionales en los documentos tipo de obra pública para construcción de infraestructura social de cultura, recreación y deporte</w:t>
      </w:r>
    </w:p>
    <w:p w14:paraId="4CBA7BE2" w14:textId="77777777" w:rsidR="008410D2" w:rsidRDefault="008410D2" w:rsidP="001A5552">
      <w:pPr>
        <w:tabs>
          <w:tab w:val="left" w:pos="0"/>
        </w:tabs>
        <w:spacing w:after="0" w:line="240" w:lineRule="auto"/>
        <w:contextualSpacing/>
        <w:jc w:val="both"/>
        <w:rPr>
          <w:rFonts w:ascii="Arial" w:eastAsia="Times New Roman" w:hAnsi="Arial" w:cs="Arial"/>
          <w:b/>
          <w:bCs/>
          <w:lang w:val="es-ES_tradnl" w:eastAsia="es-ES_tradnl"/>
        </w:rPr>
      </w:pPr>
    </w:p>
    <w:p w14:paraId="292F5D80" w14:textId="77777777" w:rsidR="008410D2" w:rsidRDefault="008410D2" w:rsidP="001A5552">
      <w:pPr>
        <w:spacing w:after="120" w:line="276" w:lineRule="auto"/>
        <w:jc w:val="both"/>
        <w:rPr>
          <w:rFonts w:ascii="Arial" w:eastAsia="Calibri" w:hAnsi="Arial" w:cs="Arial"/>
        </w:rPr>
      </w:pPr>
      <w:r w:rsidRPr="00A66ED6">
        <w:rPr>
          <w:rFonts w:ascii="Arial" w:eastAsia="Calibri" w:hAnsi="Arial" w:cs="Arial"/>
          <w:shd w:val="clear" w:color="auto" w:fill="FFFFFF" w:themeFill="background1"/>
        </w:rPr>
        <w:t>En los Documentos Tipo</w:t>
      </w:r>
      <w:r>
        <w:rPr>
          <w:rFonts w:ascii="Arial" w:eastAsia="Calibri" w:hAnsi="Arial" w:cs="Arial"/>
        </w:rPr>
        <w:t xml:space="preserve"> de licitación de obra pública de infraestructura social adoptados por la Agencia mediante la Resolución 219 del 6 de agosto de 2021, para definir si aplican a un tipo de obra específico del sector cultura, recreación y deporte, la entidad estatal –en la etapa de planeación– debe identificar el tipo de infraestructura y las actividades definidas en la matriz de experiencia de acuerdo con el alcance del objeto a contratar. De igual manera, para establecer si los documentos tipo son aplicables, debe tener en cuenta los conceptos propios de la ingeniería civil y los definidos del glosario correspondiente. Esto con el fin de verificar si el objeto se encuentra enmarcado en estas actividades. </w:t>
      </w:r>
    </w:p>
    <w:p w14:paraId="1922CD85" w14:textId="77777777" w:rsidR="008410D2" w:rsidRDefault="008410D2" w:rsidP="001A5552">
      <w:pPr>
        <w:spacing w:after="120" w:line="276" w:lineRule="auto"/>
        <w:ind w:firstLine="708"/>
        <w:jc w:val="both"/>
        <w:rPr>
          <w:rFonts w:ascii="Arial" w:eastAsia="Calibri" w:hAnsi="Arial" w:cs="Arial"/>
        </w:rPr>
      </w:pPr>
      <w:r>
        <w:rPr>
          <w:rFonts w:ascii="Arial" w:eastAsia="Calibri" w:hAnsi="Arial" w:cs="Arial"/>
        </w:rPr>
        <w:t>Es necesario tener en cuenta que la Resolución 219 del 6 de agosto de 2021 fue modificada por las Resoluciones 336 del 2 de noviembre de 2021 y 275 del 24 de junio de 2022. Adicionalmente, tanto la matriz de experiencia como el glosario se expidieron mediante la Resolución 454 del 16 de diciembre de 2021, “</w:t>
      </w:r>
      <w:r w:rsidRPr="00F404F6">
        <w:rPr>
          <w:rFonts w:ascii="Arial" w:eastAsia="Calibri" w:hAnsi="Arial" w:cs="Arial"/>
        </w:rPr>
        <w:t>Por la cual se adoptan los documentos tipo complementarios para los procesos de licitación de obra pública de infraestructura social relacionados con el sector cultura, recreación y depor</w:t>
      </w:r>
      <w:r>
        <w:rPr>
          <w:rFonts w:ascii="Arial" w:eastAsia="Calibri" w:hAnsi="Arial" w:cs="Arial"/>
        </w:rPr>
        <w:t>te”. De esta manera, para definir la experiencia exigible la entidad estatal debe seguir los siguientes pasos:</w:t>
      </w:r>
    </w:p>
    <w:p w14:paraId="67332EDF" w14:textId="77777777" w:rsidR="008410D2" w:rsidRDefault="008410D2" w:rsidP="008410D2">
      <w:pPr>
        <w:spacing w:after="0" w:line="276" w:lineRule="auto"/>
        <w:ind w:firstLine="708"/>
        <w:jc w:val="both"/>
        <w:rPr>
          <w:rFonts w:ascii="Arial" w:eastAsia="Calibri" w:hAnsi="Arial" w:cs="Arial"/>
        </w:rPr>
      </w:pPr>
      <w:r>
        <w:rPr>
          <w:rFonts w:ascii="Arial" w:eastAsia="Calibri" w:hAnsi="Arial" w:cs="Arial"/>
        </w:rPr>
        <w:t>a) Identificar en la “Matriz – Experiencia</w:t>
      </w:r>
      <w:r w:rsidRPr="00F404F6">
        <w:rPr>
          <w:rFonts w:ascii="Arial" w:eastAsia="Calibri" w:hAnsi="Arial" w:cs="Arial"/>
        </w:rPr>
        <w:t xml:space="preserve"> Sector Cultura, Recreación y Deporte</w:t>
      </w:r>
      <w:r>
        <w:rPr>
          <w:rFonts w:ascii="Arial" w:eastAsia="Calibri" w:hAnsi="Arial" w:cs="Arial"/>
        </w:rPr>
        <w:t>”, el tipo de infraestructura sobre el cual recae la obra a ejecutar. Al respecto esta matriz contiene dos (2) secciones: 1. OBRAS DE INFRAESTRUCTURA CULTURAL y 2. OBRAS EN INFRAESTRUCTURA RECREO DEPORTIVA.</w:t>
      </w:r>
      <w:r>
        <w:rPr>
          <w:rFonts w:ascii="Arial" w:eastAsia="Calibri" w:hAnsi="Arial" w:cs="Arial"/>
        </w:rPr>
        <w:tab/>
      </w:r>
    </w:p>
    <w:p w14:paraId="319A0CC3" w14:textId="77777777" w:rsidR="008410D2" w:rsidRDefault="008410D2" w:rsidP="001A5552">
      <w:pPr>
        <w:spacing w:after="120" w:line="276" w:lineRule="auto"/>
        <w:ind w:firstLine="709"/>
        <w:jc w:val="both"/>
        <w:rPr>
          <w:rFonts w:ascii="Arial" w:eastAsia="Calibri" w:hAnsi="Arial" w:cs="Arial"/>
        </w:rPr>
      </w:pPr>
      <w:r>
        <w:rPr>
          <w:rFonts w:ascii="Arial" w:eastAsia="Calibri" w:hAnsi="Arial" w:cs="Arial"/>
        </w:rPr>
        <w:t xml:space="preserve">b) Una vez definido el tipo de infraestructura, identificar la “ACTIVIDAD A CONTRATAR” acorde con la Matriz de experiencia. </w:t>
      </w:r>
    </w:p>
    <w:p w14:paraId="7DE84FF4" w14:textId="77777777" w:rsidR="008410D2" w:rsidRDefault="008410D2" w:rsidP="001A5552">
      <w:pPr>
        <w:spacing w:after="120" w:line="276" w:lineRule="auto"/>
        <w:ind w:firstLine="709"/>
        <w:jc w:val="both"/>
        <w:rPr>
          <w:rFonts w:ascii="Arial" w:eastAsia="Calibri" w:hAnsi="Arial" w:cs="Arial"/>
        </w:rPr>
      </w:pPr>
      <w:r>
        <w:rPr>
          <w:rFonts w:ascii="Arial" w:eastAsia="Calibri" w:hAnsi="Arial" w:cs="Arial"/>
        </w:rPr>
        <w:t>c) Identificar el rango en el cual se encuentra el procedimiento de contratación de acuerdo con el presupuesto oficial.</w:t>
      </w:r>
    </w:p>
    <w:p w14:paraId="54504FE8" w14:textId="77777777" w:rsidR="008410D2" w:rsidRDefault="008410D2" w:rsidP="001A5552">
      <w:pPr>
        <w:spacing w:after="120" w:line="276" w:lineRule="auto"/>
        <w:ind w:firstLine="709"/>
        <w:jc w:val="both"/>
        <w:rPr>
          <w:rFonts w:ascii="Arial" w:eastAsia="Calibri" w:hAnsi="Arial" w:cs="Arial"/>
        </w:rPr>
      </w:pPr>
      <w:r>
        <w:rPr>
          <w:rFonts w:ascii="Arial" w:eastAsia="Calibri" w:hAnsi="Arial" w:cs="Arial"/>
        </w:rPr>
        <w:t>d) Identificar la “experiencia general” exigible acorde con la “Matriz – Experiencia</w:t>
      </w:r>
      <w:r w:rsidRPr="00F404F6">
        <w:rPr>
          <w:rFonts w:ascii="Arial" w:eastAsia="Calibri" w:hAnsi="Arial" w:cs="Arial"/>
        </w:rPr>
        <w:t xml:space="preserve"> Sector Cultura, Recreación y Deporte</w:t>
      </w:r>
      <w:r>
        <w:rPr>
          <w:rFonts w:ascii="Arial" w:eastAsia="Calibri" w:hAnsi="Arial" w:cs="Arial"/>
        </w:rPr>
        <w:t>”, teniendo en cuenta la actividad a contratar y el rango de la cuantía del procedimiento contractual.</w:t>
      </w:r>
    </w:p>
    <w:p w14:paraId="28165252" w14:textId="77777777" w:rsidR="008410D2" w:rsidRDefault="008410D2" w:rsidP="001A5552">
      <w:pPr>
        <w:spacing w:after="120" w:line="276" w:lineRule="auto"/>
        <w:ind w:firstLine="709"/>
        <w:jc w:val="both"/>
        <w:rPr>
          <w:rFonts w:ascii="Arial" w:eastAsia="Calibri" w:hAnsi="Arial" w:cs="Arial"/>
        </w:rPr>
      </w:pPr>
      <w:r>
        <w:rPr>
          <w:rFonts w:ascii="Arial" w:eastAsia="Calibri" w:hAnsi="Arial" w:cs="Arial"/>
        </w:rPr>
        <w:t>e) Identificar la “experiencia específica” exigible y el porcentaje de dimensionamiento que se puede solicitar, acorde con la longitud –u otra magnitud– a ejecutar, de acuerdo con la cuantía del procedimiento de contratación. Cuando en la “experiencia específica” se indiquen las siglas N.A., significa que la entidad estatal no puede exigir a los proponentes ningún tipo de experiencia específica en los procedimientos de contratación.</w:t>
      </w:r>
    </w:p>
    <w:p w14:paraId="7B60E1DC" w14:textId="77777777" w:rsidR="008410D2" w:rsidRDefault="008410D2" w:rsidP="001A5552">
      <w:pPr>
        <w:spacing w:after="120" w:line="276" w:lineRule="auto"/>
        <w:ind w:firstLine="709"/>
        <w:jc w:val="both"/>
        <w:rPr>
          <w:rFonts w:ascii="Arial" w:eastAsia="Calibri" w:hAnsi="Arial" w:cs="Arial"/>
        </w:rPr>
      </w:pPr>
      <w:r>
        <w:rPr>
          <w:rFonts w:ascii="Arial" w:eastAsia="Calibri" w:hAnsi="Arial" w:cs="Arial"/>
        </w:rPr>
        <w:t>En este sentido, la “experiencia general” y la “experiencia específica” se exigirán de acuerdo con la actividad a contratar y con la cuantía del procedimiento de contratación. Por lo tanto, no podrán exigirse actividades o cantidades distintas a las previstas en la “Matriz – Experiencia</w:t>
      </w:r>
      <w:r w:rsidRPr="00F404F6">
        <w:rPr>
          <w:rFonts w:ascii="Arial" w:eastAsia="Calibri" w:hAnsi="Arial" w:cs="Arial"/>
        </w:rPr>
        <w:t xml:space="preserve"> Sector Cultura, Recreación y Deporte</w:t>
      </w:r>
      <w:r>
        <w:rPr>
          <w:rFonts w:ascii="Arial" w:eastAsia="Calibri" w:hAnsi="Arial" w:cs="Arial"/>
        </w:rPr>
        <w:t>”.</w:t>
      </w:r>
    </w:p>
    <w:p w14:paraId="4EC5BF77" w14:textId="77777777" w:rsidR="008410D2" w:rsidRDefault="008410D2" w:rsidP="001A5552">
      <w:pPr>
        <w:spacing w:after="120" w:line="276" w:lineRule="auto"/>
        <w:ind w:firstLine="709"/>
        <w:jc w:val="both"/>
        <w:rPr>
          <w:rFonts w:ascii="Arial" w:eastAsia="Calibri" w:hAnsi="Arial" w:cs="Arial"/>
        </w:rPr>
      </w:pPr>
      <w:r>
        <w:rPr>
          <w:rFonts w:ascii="Arial" w:eastAsia="Calibri" w:hAnsi="Arial" w:cs="Arial"/>
        </w:rPr>
        <w:t>Una excepción a la regla anterior fue desarrollada en la Resolución 219 del 6 de agosto de 2021, al contemplar que la entidad puede solicitar experiencia adicional para evaluar la idoneidad del contratista en procesos de contratación de licitación de obra pública de infraestructura de infraestructura social, que incluyen bienes o servicios adicionales. Estos deben ser necesidades que no están incluidas en el alcance de la obra y que su ejecución se contempla en el mismo procedimiento de contratación. Por ello, con fundamento en esta disposición las entidades pueden requerir experiencia añadida cuando el bien o servicio adicional es de tal magnitud que no es posible valorar la idoneidad del contratista a partir de la experiencia establecida en la “Matriz – Experiencia</w:t>
      </w:r>
      <w:r w:rsidRPr="00F404F6">
        <w:rPr>
          <w:rFonts w:ascii="Arial" w:eastAsia="Calibri" w:hAnsi="Arial" w:cs="Arial"/>
        </w:rPr>
        <w:t xml:space="preserve"> Sector Cultura, Recreación y Deporte</w:t>
      </w:r>
      <w:r>
        <w:rPr>
          <w:rFonts w:ascii="Arial" w:eastAsia="Calibri" w:hAnsi="Arial" w:cs="Arial"/>
        </w:rPr>
        <w:t>”.</w:t>
      </w:r>
    </w:p>
    <w:p w14:paraId="134F0C87" w14:textId="77777777" w:rsidR="008410D2" w:rsidRDefault="008410D2" w:rsidP="001A5552">
      <w:pPr>
        <w:spacing w:after="120" w:line="276" w:lineRule="auto"/>
        <w:ind w:firstLine="709"/>
        <w:jc w:val="both"/>
        <w:rPr>
          <w:rFonts w:ascii="Arial" w:eastAsia="Calibri" w:hAnsi="Arial" w:cs="Arial"/>
        </w:rPr>
      </w:pPr>
      <w:r>
        <w:rPr>
          <w:rFonts w:ascii="Arial" w:eastAsia="Calibri" w:hAnsi="Arial" w:cs="Arial"/>
        </w:rPr>
        <w:t xml:space="preserve">Cuando la entidad requiere bienes y servicios que no se encuentran incluidos como infraestructura social en la matriz de experiencia y considera necesario exigir experiencia adicional, debe aplicar </w:t>
      </w:r>
      <w:bookmarkStart w:id="27" w:name="_Hlk133222967"/>
      <w:r>
        <w:rPr>
          <w:rFonts w:ascii="Arial" w:eastAsia="Calibri" w:hAnsi="Arial" w:cs="Arial"/>
        </w:rPr>
        <w:t>el artículo 4 de la Resolución 219 del 6 de agosto de 2021</w:t>
      </w:r>
      <w:bookmarkEnd w:id="27"/>
      <w:r>
        <w:rPr>
          <w:rFonts w:ascii="Arial" w:eastAsia="Calibri" w:hAnsi="Arial" w:cs="Arial"/>
        </w:rPr>
        <w:t>. Esta norma dispone los eventos en los que el objeto contractual incluye bienes o servicios adicionales a la obra pública de infraestructura de infraestructura social. En este caso, la entidad puede incluir experiencia adicional para evaluar la idoneidad del proponente respecto a esta clase de bienes y servicios.</w:t>
      </w:r>
    </w:p>
    <w:p w14:paraId="5AA057C8" w14:textId="77777777" w:rsidR="008410D2" w:rsidRDefault="008410D2" w:rsidP="001A5552">
      <w:pPr>
        <w:spacing w:after="120" w:line="276" w:lineRule="auto"/>
        <w:ind w:firstLine="709"/>
        <w:jc w:val="both"/>
        <w:rPr>
          <w:rFonts w:ascii="Arial" w:eastAsia="Calibri" w:hAnsi="Arial" w:cs="Arial"/>
        </w:rPr>
      </w:pPr>
      <w:r>
        <w:rPr>
          <w:rFonts w:ascii="Arial" w:eastAsia="Calibri" w:hAnsi="Arial" w:cs="Arial"/>
        </w:rPr>
        <w:t xml:space="preserve">No obstante, deben seguirse los siguientes parámetros: i) demostrar en los estudios previos que ha verificado las condiciones de mercado para la adquisición de los bienes o servicios adicionales al componente de obra pública, de tal forma que la experiencia adicional garantiza la pluralidad de oferentes, </w:t>
      </w:r>
      <w:proofErr w:type="spellStart"/>
      <w:r>
        <w:rPr>
          <w:rFonts w:ascii="Arial" w:eastAsia="Calibri" w:hAnsi="Arial" w:cs="Arial"/>
        </w:rPr>
        <w:t>ii</w:t>
      </w:r>
      <w:proofErr w:type="spellEnd"/>
      <w:r>
        <w:rPr>
          <w:rFonts w:ascii="Arial" w:eastAsia="Calibri" w:hAnsi="Arial" w:cs="Arial"/>
        </w:rPr>
        <w:t xml:space="preserve">) conservar los requisitos exigidos en los documentos tipo, </w:t>
      </w:r>
      <w:proofErr w:type="spellStart"/>
      <w:r>
        <w:rPr>
          <w:rFonts w:ascii="Arial" w:eastAsia="Calibri" w:hAnsi="Arial" w:cs="Arial"/>
        </w:rPr>
        <w:t>iii</w:t>
      </w:r>
      <w:proofErr w:type="spellEnd"/>
      <w:r>
        <w:rPr>
          <w:rFonts w:ascii="Arial" w:eastAsia="Calibri" w:hAnsi="Arial" w:cs="Arial"/>
        </w:rPr>
        <w:t xml:space="preserve">) abstenerse de pedir experiencia exclusiva con entidades de cualquier naturaleza, experiencia previa en un territorio específico, limitada en el tiempo o que incluya volúmenes o cantidades de obra específica, </w:t>
      </w:r>
      <w:proofErr w:type="spellStart"/>
      <w:r>
        <w:rPr>
          <w:rFonts w:ascii="Arial" w:eastAsia="Calibri" w:hAnsi="Arial" w:cs="Arial"/>
        </w:rPr>
        <w:t>iv</w:t>
      </w:r>
      <w:proofErr w:type="spellEnd"/>
      <w:r>
        <w:rPr>
          <w:rFonts w:ascii="Arial" w:eastAsia="Calibri" w:hAnsi="Arial" w:cs="Arial"/>
        </w:rPr>
        <w:t>) clasificar la experiencia requerida solo hasta el tercer nivel del clasificador de bienes y servicios, así como incluir exclusivamente los códigos que estén relacionados directamente con el objeto a contratar</w:t>
      </w:r>
      <w:r>
        <w:rPr>
          <w:rStyle w:val="Refdenotaalpie"/>
          <w:rFonts w:ascii="Arial" w:eastAsia="Calibri" w:hAnsi="Arial" w:cs="Arial"/>
        </w:rPr>
        <w:footnoteReference w:id="46"/>
      </w:r>
      <w:r>
        <w:rPr>
          <w:rFonts w:ascii="Arial" w:eastAsia="Calibri" w:hAnsi="Arial" w:cs="Arial"/>
        </w:rPr>
        <w:t>.</w:t>
      </w:r>
    </w:p>
    <w:p w14:paraId="54546B19" w14:textId="77777777" w:rsidR="008410D2" w:rsidRDefault="008410D2" w:rsidP="001A5552">
      <w:pPr>
        <w:spacing w:after="120" w:line="276" w:lineRule="auto"/>
        <w:ind w:firstLine="709"/>
        <w:jc w:val="both"/>
        <w:rPr>
          <w:rFonts w:ascii="Arial" w:eastAsia="Calibri" w:hAnsi="Arial" w:cs="Arial"/>
        </w:rPr>
      </w:pPr>
      <w:r w:rsidRPr="00456CCB">
        <w:rPr>
          <w:rFonts w:ascii="Arial" w:eastAsia="Calibri" w:hAnsi="Arial" w:cs="Arial"/>
          <w:i/>
          <w:iCs/>
        </w:rPr>
        <w:t>En primer lugar</w:t>
      </w:r>
      <w:r>
        <w:rPr>
          <w:rFonts w:ascii="Arial" w:eastAsia="Calibri" w:hAnsi="Arial" w:cs="Arial"/>
        </w:rPr>
        <w:t xml:space="preserve">, la entidad que opte por solicitar experiencia adicional en desarrollo de esta norma debe evidenciar en los documentos del proceso que agotó estos parámetros. Para ello, debe justificar en los estudios y documentos previos, como parte del deber de análisis, que ha verificado que la experiencia adicional relacionada con los bienes o servicios no afecta significativamente la pluralidad de oferentes. Es decir, la entidad debe revisar que al solicitar esta experiencia existen suficientes potenciales proponentes que puedan acreditar estas condiciones. </w:t>
      </w:r>
    </w:p>
    <w:p w14:paraId="459D76F2" w14:textId="77777777" w:rsidR="008410D2" w:rsidRDefault="008410D2" w:rsidP="001A5552">
      <w:pPr>
        <w:spacing w:after="120" w:line="276" w:lineRule="auto"/>
        <w:ind w:firstLine="709"/>
        <w:jc w:val="both"/>
        <w:rPr>
          <w:rFonts w:ascii="Arial" w:eastAsia="Calibri" w:hAnsi="Arial" w:cs="Arial"/>
        </w:rPr>
      </w:pPr>
      <w:r w:rsidRPr="00456CCB">
        <w:rPr>
          <w:rFonts w:ascii="Arial" w:eastAsia="Calibri" w:hAnsi="Arial" w:cs="Arial"/>
          <w:i/>
          <w:iCs/>
        </w:rPr>
        <w:t>En segundo lugar</w:t>
      </w:r>
      <w:r>
        <w:rPr>
          <w:rFonts w:ascii="Arial" w:eastAsia="Calibri" w:hAnsi="Arial" w:cs="Arial"/>
        </w:rPr>
        <w:t xml:space="preserve">, la solicitud de esta experiencia no permite que la entidad modifique los requisitos habilitantes y de ponderación de la propuesta, por lo cual se deben mantener los establecidos en los documentos tipo. </w:t>
      </w:r>
      <w:r w:rsidRPr="00456CCB">
        <w:rPr>
          <w:rFonts w:ascii="Arial" w:eastAsia="Calibri" w:hAnsi="Arial" w:cs="Arial"/>
          <w:i/>
          <w:iCs/>
        </w:rPr>
        <w:t>En tercer lugar</w:t>
      </w:r>
      <w:r>
        <w:rPr>
          <w:rFonts w:ascii="Arial" w:eastAsia="Calibri" w:hAnsi="Arial" w:cs="Arial"/>
        </w:rPr>
        <w:t>, la experiencia adicional solicitada debe relacionarse con los bienes y servicios sobre los cuales la entidad requiere que se demuestre idoneidad por parte de los proponentes. Esta experiencia no puede estar limitada o referida a que se haya adquirido en un territorio o con alguna entidad determinada, ni establecer limitantes temporales o la acreditación de volúmenes o cantidades. Este parámetro va encaminado a determinar si la experiencia solicitada es acorde, adecuada y proporcional a la necesidad identificada por la entidad, por lo cual no puede desbordar los límites racionales ni solicitar experiencias</w:t>
      </w:r>
      <w:r>
        <w:rPr>
          <w:rFonts w:ascii="Arial" w:hAnsi="Arial" w:cs="Arial"/>
        </w:rPr>
        <w:t xml:space="preserve"> de imposible cumplimiento. </w:t>
      </w:r>
      <w:r w:rsidRPr="00456CCB">
        <w:rPr>
          <w:rFonts w:ascii="Arial" w:eastAsia="Calibri" w:hAnsi="Arial" w:cs="Arial"/>
          <w:i/>
          <w:iCs/>
        </w:rPr>
        <w:t>Por último</w:t>
      </w:r>
      <w:r>
        <w:rPr>
          <w:rFonts w:ascii="Arial" w:eastAsia="Calibri" w:hAnsi="Arial" w:cs="Arial"/>
        </w:rPr>
        <w:t xml:space="preserve">, la experiencia requerida debe estar clasificada hasta el tercer nivel del clasificador de bienes y servicios, por lo tanto, la entidad no puede requerir que se acredite el “producto” de este clasificador. </w:t>
      </w:r>
    </w:p>
    <w:p w14:paraId="44E90C16" w14:textId="77777777" w:rsidR="008410D2" w:rsidRPr="001E088B" w:rsidRDefault="008410D2" w:rsidP="001A5552">
      <w:pPr>
        <w:spacing w:after="120" w:line="276" w:lineRule="auto"/>
        <w:ind w:firstLine="709"/>
        <w:jc w:val="both"/>
        <w:rPr>
          <w:rFonts w:ascii="Arial" w:eastAsia="Calibri" w:hAnsi="Arial" w:cs="Arial"/>
        </w:rPr>
      </w:pPr>
      <w:r>
        <w:rPr>
          <w:rFonts w:ascii="Arial" w:eastAsia="Calibri" w:hAnsi="Arial" w:cs="Arial"/>
        </w:rPr>
        <w:t xml:space="preserve">Para estos efectos, el parágrafo 2 del artículo 4 de la Resolución 219 del 6 de agosto de 2021 entiende por bienes y servicios adicionales “[…] </w:t>
      </w:r>
      <w:r w:rsidRPr="001E088B">
        <w:rPr>
          <w:rFonts w:ascii="Arial" w:eastAsia="Calibri" w:hAnsi="Arial" w:cs="Arial"/>
        </w:rPr>
        <w:t>aquellas actividades que no están incluidas en la matriz de experiencia de los documentos tipo de infraestructura social aplicable, pero que están relacionadas con el contrato a ejecutar</w:t>
      </w:r>
      <w:r>
        <w:rPr>
          <w:rFonts w:ascii="Arial" w:eastAsia="Calibri" w:hAnsi="Arial" w:cs="Arial"/>
        </w:rPr>
        <w:t xml:space="preserve">”. Asimismo, el parágrafo 3 </w:t>
      </w:r>
      <w:r w:rsidRPr="001E088B">
        <w:rPr>
          <w:rFonts w:ascii="Arial" w:eastAsia="Calibri" w:hAnsi="Arial" w:cs="Arial"/>
          <w:i/>
          <w:iCs/>
        </w:rPr>
        <w:t>ibidem</w:t>
      </w:r>
      <w:r>
        <w:rPr>
          <w:rFonts w:ascii="Arial" w:eastAsia="Calibri" w:hAnsi="Arial" w:cs="Arial"/>
        </w:rPr>
        <w:t xml:space="preserve"> prescribe que “[…] </w:t>
      </w:r>
      <w:r w:rsidRPr="001E088B">
        <w:rPr>
          <w:rFonts w:ascii="Arial" w:eastAsia="Calibri" w:hAnsi="Arial" w:cs="Arial"/>
        </w:rPr>
        <w:t>se entiende por experiencia adicional aquella que no está definida en la matriz de experiencia de infraestructura social aplicable, pero que la entidad estatal considera necesaria para garantizar la idoneidad del contratista para la ejecución del proyecto, puesto que está relacionada con el objeto a ejecutar</w:t>
      </w:r>
      <w:r>
        <w:rPr>
          <w:rFonts w:ascii="Arial" w:eastAsia="Calibri" w:hAnsi="Arial" w:cs="Arial"/>
        </w:rPr>
        <w:t>”</w:t>
      </w:r>
      <w:r w:rsidRPr="001E088B">
        <w:rPr>
          <w:rFonts w:ascii="Arial" w:eastAsia="Calibri" w:hAnsi="Arial" w:cs="Arial"/>
        </w:rPr>
        <w:t>.</w:t>
      </w:r>
    </w:p>
    <w:p w14:paraId="3B819098" w14:textId="77777777" w:rsidR="008410D2" w:rsidRDefault="008410D2" w:rsidP="001A5552">
      <w:pPr>
        <w:spacing w:after="120" w:line="276" w:lineRule="auto"/>
        <w:ind w:firstLine="709"/>
        <w:jc w:val="both"/>
        <w:rPr>
          <w:rFonts w:ascii="Arial" w:eastAsia="Calibri" w:hAnsi="Arial" w:cs="Arial"/>
        </w:rPr>
      </w:pPr>
      <w:r>
        <w:rPr>
          <w:rFonts w:ascii="Arial" w:eastAsia="Calibri" w:hAnsi="Arial" w:cs="Arial"/>
        </w:rPr>
        <w:t xml:space="preserve">Así las cosas, la posibilidad de solicitar experiencia adicional solo ocurre cuando el objeto contractual incluye bienes o servicios adicionales a la obra pública de infraestructura social. Esto implica que: i) la actividad que se requiere, si bien es una labor de obra, no está relacionada con la infraestructura social, por ejemplo, la construcción de una vía cerca de un parque recreativo, y </w:t>
      </w:r>
      <w:proofErr w:type="spellStart"/>
      <w:r>
        <w:rPr>
          <w:rFonts w:ascii="Arial" w:eastAsia="Calibri" w:hAnsi="Arial" w:cs="Arial"/>
        </w:rPr>
        <w:t>ii</w:t>
      </w:r>
      <w:proofErr w:type="spellEnd"/>
      <w:r>
        <w:rPr>
          <w:rFonts w:ascii="Arial" w:eastAsia="Calibri" w:hAnsi="Arial" w:cs="Arial"/>
        </w:rPr>
        <w:t>) el bien o servicio adicional es distinto a la actividad principal, aun cuando se relaciona con la infraestructura social, v. gr., cuando se requiere que el contratista realice los estudios y diseños de la obra. En supuestos como los indicados es posible que la entidad exija experiencia adicional para acreditar la idoneidad del contratista en la ejecución de estos bienes o servicios adicionales a la obra de infraestructura social. Sin embargo, esta opción se encuentra limitada por el parágrafo 1 del artículo 4 de la Resolución 219 del 6 de agosto de 2021, modificado por el artículo 177 de la Resolución 275 del 24 de junio de 2022, pues “</w:t>
      </w:r>
      <w:r w:rsidRPr="00456CCB">
        <w:rPr>
          <w:rFonts w:ascii="Arial" w:eastAsia="Calibri" w:hAnsi="Arial" w:cs="Arial"/>
        </w:rPr>
        <w:t>En los casos que el objeto contractual incluya actividades que son abarcadas por otros Documentos, la Entidad Estatal aplicará las reglas de combinación de experiencia previstas en el numeral 3.5.1 del documento base</w:t>
      </w:r>
      <w:r>
        <w:rPr>
          <w:rFonts w:ascii="Arial" w:eastAsia="Calibri" w:hAnsi="Arial" w:cs="Arial"/>
        </w:rPr>
        <w:t>”</w:t>
      </w:r>
      <w:r w:rsidRPr="00456CCB">
        <w:rPr>
          <w:rFonts w:ascii="Arial" w:eastAsia="Calibri" w:hAnsi="Arial" w:cs="Arial"/>
        </w:rPr>
        <w:t>.</w:t>
      </w:r>
    </w:p>
    <w:p w14:paraId="7494E092" w14:textId="77777777" w:rsidR="008410D2" w:rsidRPr="00A8780C" w:rsidRDefault="008410D2" w:rsidP="008410D2">
      <w:pPr>
        <w:spacing w:after="0" w:line="276" w:lineRule="auto"/>
        <w:ind w:firstLine="709"/>
        <w:jc w:val="both"/>
        <w:rPr>
          <w:rFonts w:ascii="Arial" w:eastAsia="Times New Roman" w:hAnsi="Arial" w:cs="Arial"/>
          <w:lang w:val="es-MX" w:eastAsia="es-ES_tradnl"/>
        </w:rPr>
      </w:pPr>
      <w:r>
        <w:rPr>
          <w:rFonts w:ascii="Arial" w:eastAsia="Times New Roman" w:hAnsi="Arial" w:cs="Arial"/>
          <w:lang w:val="es-ES_tradnl" w:eastAsia="es-ES_tradnl"/>
        </w:rPr>
        <w:t>Por tanto</w:t>
      </w:r>
      <w:r w:rsidRPr="00A8780C">
        <w:rPr>
          <w:rFonts w:ascii="Arial" w:eastAsia="Times New Roman" w:hAnsi="Arial" w:cs="Arial"/>
          <w:lang w:val="es-ES_tradnl" w:eastAsia="es-ES_tradnl"/>
        </w:rPr>
        <w:t>, según la norma reseñada, si de manera excepcional la entidad estatal considera que el contratista de la obra que debe contratarse a través de la aplicación de los documentos tipo de infraestructura social debe ejecutar bienes o servicios adicionales, como sería el caso de los estudios y diseños necesarios para la obra, puede incluir la experiencia adicional para evaluar la idoneidad de los proponentes,</w:t>
      </w:r>
      <w:r>
        <w:rPr>
          <w:rFonts w:ascii="Arial" w:eastAsia="Times New Roman" w:hAnsi="Arial" w:cs="Arial"/>
          <w:lang w:val="es-ES_tradnl" w:eastAsia="es-ES_tradnl"/>
        </w:rPr>
        <w:t xml:space="preserve"> </w:t>
      </w:r>
      <w:r w:rsidRPr="00A8780C">
        <w:rPr>
          <w:rFonts w:ascii="Arial" w:eastAsia="Times New Roman" w:hAnsi="Arial" w:cs="Arial"/>
          <w:lang w:val="es-MX" w:eastAsia="es-ES_tradnl"/>
        </w:rPr>
        <w:t xml:space="preserve">cumpliendo todas las demás exigencias de los documentos tipo. </w:t>
      </w:r>
      <w:r>
        <w:rPr>
          <w:rFonts w:ascii="Arial" w:eastAsia="Times New Roman" w:hAnsi="Arial" w:cs="Arial"/>
          <w:lang w:val="es-MX" w:eastAsia="es-ES_tradnl"/>
        </w:rPr>
        <w:t>En consecuencia</w:t>
      </w:r>
      <w:r w:rsidRPr="00A8780C">
        <w:rPr>
          <w:rFonts w:ascii="Arial" w:eastAsia="Times New Roman" w:hAnsi="Arial" w:cs="Arial"/>
          <w:lang w:val="es-MX" w:eastAsia="es-ES_tradnl"/>
        </w:rPr>
        <w:t xml:space="preserve">, si la obra que pretende ejecutar la entidad estatal se enmarca en alguno de los tipos de proyectos o </w:t>
      </w:r>
      <w:r>
        <w:rPr>
          <w:rFonts w:ascii="Arial" w:eastAsia="Times New Roman" w:hAnsi="Arial" w:cs="Arial"/>
          <w:lang w:val="es-MX" w:eastAsia="es-ES_tradnl"/>
        </w:rPr>
        <w:t>“</w:t>
      </w:r>
      <w:r w:rsidRPr="00A8780C">
        <w:rPr>
          <w:rFonts w:ascii="Arial" w:eastAsia="Times New Roman" w:hAnsi="Arial" w:cs="Arial"/>
          <w:lang w:val="es-MX" w:eastAsia="es-ES_tradnl"/>
        </w:rPr>
        <w:t>actividades</w:t>
      </w:r>
      <w:r>
        <w:rPr>
          <w:rFonts w:ascii="Arial" w:eastAsia="Times New Roman" w:hAnsi="Arial" w:cs="Arial"/>
          <w:lang w:val="es-MX" w:eastAsia="es-ES_tradnl"/>
        </w:rPr>
        <w:t>”</w:t>
      </w:r>
      <w:r w:rsidRPr="00A8780C">
        <w:rPr>
          <w:rFonts w:ascii="Arial" w:eastAsia="Times New Roman" w:hAnsi="Arial" w:cs="Arial"/>
          <w:lang w:val="es-MX" w:eastAsia="es-ES_tradnl"/>
        </w:rPr>
        <w:t xml:space="preserve"> incluidas en alguna de las matrices de experiencia de los documentos tipo </w:t>
      </w:r>
      <w:r w:rsidRPr="00A8780C">
        <w:rPr>
          <w:rFonts w:ascii="Arial" w:eastAsia="Times New Roman" w:hAnsi="Arial" w:cs="Arial"/>
          <w:i/>
          <w:iCs/>
          <w:lang w:val="es-MX" w:eastAsia="es-ES_tradnl"/>
        </w:rPr>
        <w:t>complementarios</w:t>
      </w:r>
      <w:r w:rsidRPr="00A8780C">
        <w:rPr>
          <w:rFonts w:ascii="Arial" w:eastAsia="Times New Roman" w:hAnsi="Arial" w:cs="Arial"/>
          <w:lang w:val="es-MX" w:eastAsia="es-ES_tradnl"/>
        </w:rPr>
        <w:t xml:space="preserve"> relacionados con la infraestructura social, el proceso de selección debe adelantarse utilizando dichos documentos tipo. Esto aplica, incluso, para los contratos de obra </w:t>
      </w:r>
      <w:r>
        <w:rPr>
          <w:rFonts w:ascii="Arial" w:eastAsia="Times New Roman" w:hAnsi="Arial" w:cs="Arial"/>
          <w:lang w:val="es-MX" w:eastAsia="es-ES_tradnl"/>
        </w:rPr>
        <w:t>“</w:t>
      </w:r>
      <w:r w:rsidRPr="00A8780C">
        <w:rPr>
          <w:rFonts w:ascii="Arial" w:eastAsia="Times New Roman" w:hAnsi="Arial" w:cs="Arial"/>
          <w:lang w:val="es-MX" w:eastAsia="es-ES_tradnl"/>
        </w:rPr>
        <w:t>llave en mano</w:t>
      </w:r>
      <w:r>
        <w:rPr>
          <w:rFonts w:ascii="Arial" w:eastAsia="Times New Roman" w:hAnsi="Arial" w:cs="Arial"/>
          <w:lang w:val="es-MX" w:eastAsia="es-ES_tradnl"/>
        </w:rPr>
        <w:t>”</w:t>
      </w:r>
      <w:r w:rsidRPr="00A8780C">
        <w:rPr>
          <w:rFonts w:ascii="Arial" w:eastAsia="Times New Roman" w:hAnsi="Arial" w:cs="Arial"/>
          <w:lang w:val="es-MX" w:eastAsia="es-ES_tradnl"/>
        </w:rPr>
        <w:t xml:space="preserve"> para infraestructura social, en donde se considere necesario exigir experiencia adicional para la ejecución de bienes o servicios adicionales a la obra pública, como sería la realización de los diseños de la obra. </w:t>
      </w:r>
    </w:p>
    <w:p w14:paraId="0E783A93" w14:textId="77777777" w:rsidR="008410D2" w:rsidRPr="00C046D8" w:rsidRDefault="008410D2" w:rsidP="008410D2">
      <w:pPr>
        <w:tabs>
          <w:tab w:val="left" w:pos="0"/>
        </w:tabs>
        <w:spacing w:after="0" w:line="276" w:lineRule="auto"/>
        <w:contextualSpacing/>
        <w:jc w:val="both"/>
        <w:rPr>
          <w:rFonts w:ascii="Arial" w:eastAsia="Calibri" w:hAnsi="Arial" w:cs="Arial"/>
          <w:b/>
          <w:szCs w:val="24"/>
          <w:lang w:val="es-ES_tradnl" w:eastAsia="es-ES_tradnl"/>
        </w:rPr>
      </w:pPr>
    </w:p>
    <w:p w14:paraId="356BE4DB" w14:textId="77777777" w:rsidR="008410D2" w:rsidRPr="00C046D8" w:rsidRDefault="008410D2" w:rsidP="008410D2">
      <w:pPr>
        <w:tabs>
          <w:tab w:val="left" w:pos="0"/>
        </w:tabs>
        <w:spacing w:after="0" w:line="276" w:lineRule="auto"/>
        <w:contextualSpacing/>
        <w:jc w:val="both"/>
        <w:rPr>
          <w:rFonts w:ascii="Arial" w:eastAsia="Calibri" w:hAnsi="Arial" w:cs="Arial"/>
          <w:b/>
          <w:szCs w:val="24"/>
          <w:lang w:val="es-ES_tradnl" w:eastAsia="es-ES_tradnl"/>
        </w:rPr>
      </w:pPr>
      <w:r w:rsidRPr="00C046D8">
        <w:rPr>
          <w:rFonts w:ascii="Arial" w:eastAsia="Calibri" w:hAnsi="Arial" w:cs="Arial"/>
          <w:b/>
          <w:szCs w:val="24"/>
          <w:lang w:val="es-ES_tradnl" w:eastAsia="es-ES_tradnl"/>
        </w:rPr>
        <w:t>3. Respuesta</w:t>
      </w:r>
      <w:r>
        <w:rPr>
          <w:rFonts w:ascii="Arial" w:eastAsia="Calibri" w:hAnsi="Arial" w:cs="Arial"/>
          <w:b/>
          <w:szCs w:val="24"/>
          <w:lang w:val="es-ES_tradnl" w:eastAsia="es-ES_tradnl"/>
        </w:rPr>
        <w:t>s</w:t>
      </w:r>
    </w:p>
    <w:p w14:paraId="07377C08" w14:textId="77777777" w:rsidR="008410D2" w:rsidRPr="00C046D8" w:rsidRDefault="008410D2" w:rsidP="008410D2">
      <w:pPr>
        <w:tabs>
          <w:tab w:val="left" w:pos="0"/>
        </w:tabs>
        <w:spacing w:after="0" w:line="276" w:lineRule="auto"/>
        <w:contextualSpacing/>
        <w:jc w:val="both"/>
        <w:rPr>
          <w:rFonts w:ascii="Arial" w:eastAsia="Calibri" w:hAnsi="Arial" w:cs="Arial"/>
          <w:szCs w:val="24"/>
          <w:lang w:val="es-ES_tradnl" w:eastAsia="es-ES_tradnl"/>
        </w:rPr>
      </w:pPr>
    </w:p>
    <w:p w14:paraId="769DE38B" w14:textId="77777777" w:rsidR="008410D2" w:rsidRDefault="008410D2" w:rsidP="008410D2">
      <w:pPr>
        <w:tabs>
          <w:tab w:val="decimal" w:pos="765"/>
          <w:tab w:val="right" w:pos="7371"/>
        </w:tabs>
        <w:spacing w:after="0" w:line="240" w:lineRule="auto"/>
        <w:ind w:left="709" w:right="709"/>
        <w:contextualSpacing/>
        <w:jc w:val="both"/>
        <w:rPr>
          <w:rFonts w:ascii="Arial" w:eastAsia="Times New Roman" w:hAnsi="Arial" w:cs="Arial"/>
          <w:bCs/>
          <w:sz w:val="21"/>
          <w:szCs w:val="21"/>
          <w:lang w:val="es-ES_tradnl" w:eastAsia="es-ES_tradnl"/>
        </w:rPr>
      </w:pPr>
      <w:r w:rsidRPr="003C4EE6">
        <w:rPr>
          <w:rFonts w:ascii="Arial" w:eastAsia="Times New Roman" w:hAnsi="Arial" w:cs="Arial"/>
          <w:bCs/>
          <w:sz w:val="21"/>
          <w:szCs w:val="21"/>
          <w:lang w:val="es-ES" w:eastAsia="es-ES_tradnl"/>
        </w:rPr>
        <w:t>“</w:t>
      </w:r>
      <w:r w:rsidRPr="006A7488">
        <w:rPr>
          <w:rFonts w:ascii="Arial" w:eastAsia="Times New Roman" w:hAnsi="Arial" w:cs="Arial"/>
          <w:bCs/>
          <w:sz w:val="21"/>
          <w:szCs w:val="21"/>
          <w:lang w:val="es-ES_tradnl" w:eastAsia="es-ES_tradnl"/>
        </w:rPr>
        <w:t>i) “¿El Municipio puede suscribir convenios con las empresas de servicios públicos ESP ya sea esta oficial, mixta, sociedad de economía mixta, empresa industrial y comercial del estado, privada, solidaria, cooperativa, o comunitaria, para la ejecución de contratos de obra pública en el sector de infraestructura de agua potable y saneamiento básico?”</w:t>
      </w:r>
      <w:r>
        <w:rPr>
          <w:rFonts w:ascii="Arial" w:eastAsia="Times New Roman" w:hAnsi="Arial" w:cs="Arial"/>
          <w:bCs/>
          <w:sz w:val="21"/>
          <w:szCs w:val="21"/>
          <w:lang w:val="es-ES_tradnl" w:eastAsia="es-ES_tradnl"/>
        </w:rPr>
        <w:t>.</w:t>
      </w:r>
    </w:p>
    <w:p w14:paraId="222F44E2" w14:textId="77777777" w:rsidR="008410D2" w:rsidRPr="006A7488" w:rsidRDefault="008410D2" w:rsidP="008410D2">
      <w:pPr>
        <w:tabs>
          <w:tab w:val="decimal" w:pos="765"/>
          <w:tab w:val="right" w:pos="7371"/>
        </w:tabs>
        <w:spacing w:after="0" w:line="240" w:lineRule="auto"/>
        <w:ind w:left="709" w:right="709"/>
        <w:contextualSpacing/>
        <w:jc w:val="both"/>
        <w:rPr>
          <w:rFonts w:ascii="Arial" w:eastAsia="Times New Roman" w:hAnsi="Arial" w:cs="Arial"/>
          <w:bCs/>
          <w:sz w:val="12"/>
          <w:szCs w:val="12"/>
          <w:lang w:val="es-ES_tradnl" w:eastAsia="es-ES_tradnl"/>
        </w:rPr>
      </w:pPr>
    </w:p>
    <w:p w14:paraId="0A724F79" w14:textId="77777777" w:rsidR="008410D2" w:rsidRDefault="008410D2" w:rsidP="008410D2">
      <w:pPr>
        <w:tabs>
          <w:tab w:val="decimal" w:pos="765"/>
          <w:tab w:val="right" w:pos="7371"/>
        </w:tabs>
        <w:spacing w:before="240" w:after="0" w:line="240" w:lineRule="auto"/>
        <w:ind w:left="709" w:right="709"/>
        <w:contextualSpacing/>
        <w:jc w:val="both"/>
        <w:rPr>
          <w:rFonts w:ascii="Arial" w:eastAsia="Times New Roman" w:hAnsi="Arial" w:cs="Arial"/>
          <w:bCs/>
          <w:sz w:val="21"/>
          <w:szCs w:val="21"/>
          <w:lang w:val="es-ES" w:eastAsia="es-ES_tradnl"/>
        </w:rPr>
      </w:pPr>
      <w:proofErr w:type="spellStart"/>
      <w:r w:rsidRPr="006A7488">
        <w:rPr>
          <w:rFonts w:ascii="Arial" w:eastAsia="Times New Roman" w:hAnsi="Arial" w:cs="Arial"/>
          <w:bCs/>
          <w:sz w:val="21"/>
          <w:szCs w:val="21"/>
          <w:lang w:val="es-ES_tradnl" w:eastAsia="es-ES_tradnl"/>
        </w:rPr>
        <w:t>ii</w:t>
      </w:r>
      <w:proofErr w:type="spellEnd"/>
      <w:r w:rsidRPr="006A7488">
        <w:rPr>
          <w:rFonts w:ascii="Arial" w:eastAsia="Times New Roman" w:hAnsi="Arial" w:cs="Arial"/>
          <w:bCs/>
          <w:sz w:val="21"/>
          <w:szCs w:val="21"/>
          <w:lang w:val="es-ES_tradnl" w:eastAsia="es-ES_tradnl"/>
        </w:rPr>
        <w:t>) “¿Qué clase de convenio puede suscribirse? ¿Se deben cumplir requisitos específicos para la suscripción y ejecución del convenio? ¿Existe alguna directiva presidencial o acto administrativo vinculante expedido por otra autoridad que rija para la materia?</w:t>
      </w:r>
      <w:r>
        <w:rPr>
          <w:rFonts w:ascii="Arial" w:eastAsia="Times New Roman" w:hAnsi="Arial" w:cs="Arial"/>
          <w:bCs/>
          <w:sz w:val="21"/>
          <w:szCs w:val="21"/>
          <w:lang w:val="es-ES_tradnl" w:eastAsia="es-ES_tradnl"/>
        </w:rPr>
        <w:t xml:space="preserve"> […]”.</w:t>
      </w:r>
    </w:p>
    <w:p w14:paraId="5E5F7F5D" w14:textId="77777777" w:rsidR="008410D2" w:rsidRPr="006A7488" w:rsidRDefault="008410D2" w:rsidP="008410D2">
      <w:pPr>
        <w:tabs>
          <w:tab w:val="decimal" w:pos="765"/>
          <w:tab w:val="right" w:pos="7371"/>
        </w:tabs>
        <w:spacing w:after="0" w:line="276" w:lineRule="auto"/>
        <w:ind w:left="709" w:right="709"/>
        <w:contextualSpacing/>
        <w:jc w:val="both"/>
        <w:rPr>
          <w:rFonts w:ascii="Arial" w:eastAsia="Times New Roman" w:hAnsi="Arial" w:cs="Arial"/>
          <w:highlight w:val="yellow"/>
          <w:lang w:eastAsia="es-ES"/>
        </w:rPr>
      </w:pPr>
    </w:p>
    <w:p w14:paraId="10A60BA6" w14:textId="77777777" w:rsidR="008410D2" w:rsidRDefault="008410D2" w:rsidP="008410D2">
      <w:pPr>
        <w:spacing w:after="0" w:line="276" w:lineRule="auto"/>
        <w:jc w:val="both"/>
        <w:rPr>
          <w:rFonts w:ascii="Arial" w:hAnsi="Arial" w:cs="Arial"/>
        </w:rPr>
      </w:pPr>
      <w:r w:rsidRPr="00165C4E">
        <w:rPr>
          <w:rFonts w:ascii="Arial" w:eastAsia="Calibri" w:hAnsi="Arial" w:cs="Arial"/>
          <w:lang w:val="es-ES" w:eastAsia="es-ES"/>
        </w:rPr>
        <w:t xml:space="preserve">Conforme </w:t>
      </w:r>
      <w:r>
        <w:rPr>
          <w:rFonts w:ascii="Arial" w:eastAsia="Calibri" w:hAnsi="Arial" w:cs="Arial"/>
          <w:lang w:val="es-ES" w:eastAsia="es-ES"/>
        </w:rPr>
        <w:t>a la interpretación de las normas generales del sistema de compras públicas</w:t>
      </w:r>
      <w:r w:rsidRPr="00165C4E">
        <w:rPr>
          <w:rFonts w:ascii="Arial" w:eastAsia="Calibri" w:hAnsi="Arial" w:cs="Arial"/>
          <w:lang w:val="es-ES" w:eastAsia="es-ES"/>
        </w:rPr>
        <w:t xml:space="preserve">, </w:t>
      </w:r>
      <w:bookmarkEnd w:id="0"/>
      <w:bookmarkEnd w:id="1"/>
      <w:r>
        <w:rPr>
          <w:rFonts w:ascii="Arial" w:hAnsi="Arial" w:cs="Arial"/>
        </w:rPr>
        <w:t>aunque ni la Ley 489 de 1998 ni la Ley 142 de 1994 tipifican la existencia de empresas de servicios públicos solidarias, cooperativas o comunitarias, de acuerdo con la Sentencia de la Corte Constitucional</w:t>
      </w:r>
      <w:r w:rsidRPr="003E0952">
        <w:rPr>
          <w:rFonts w:ascii="Arial" w:hAnsi="Arial" w:cs="Arial"/>
        </w:rPr>
        <w:t xml:space="preserve"> C-736 de 200</w:t>
      </w:r>
      <w:r>
        <w:rPr>
          <w:rFonts w:ascii="Arial" w:hAnsi="Arial" w:cs="Arial"/>
        </w:rPr>
        <w:t xml:space="preserve">7, con ponencia del Magistrado </w:t>
      </w:r>
      <w:r w:rsidRPr="003E0952">
        <w:rPr>
          <w:rFonts w:ascii="Arial" w:hAnsi="Arial" w:cs="Arial"/>
        </w:rPr>
        <w:t>Marco Gerardo Monroy Cabra</w:t>
      </w:r>
      <w:r>
        <w:rPr>
          <w:rFonts w:ascii="Arial" w:hAnsi="Arial" w:cs="Arial"/>
        </w:rPr>
        <w:t xml:space="preserve">, es necesario tener en cuenta que </w:t>
      </w:r>
      <w:r w:rsidRPr="002816F3">
        <w:rPr>
          <w:rFonts w:ascii="Arial" w:hAnsi="Arial" w:cs="Arial"/>
        </w:rPr>
        <w:t>las empresas de servicios públicos oficiales y mixtas o privadas en las cuales haya cualquier porcentaje de participación pública, son entidades descentralizadas que conforman la estructura de la rama ejecutiva del poder público</w:t>
      </w:r>
      <w:r>
        <w:rPr>
          <w:rFonts w:ascii="Arial" w:hAnsi="Arial" w:cs="Arial"/>
        </w:rPr>
        <w:t xml:space="preserve">. Por tanto, en la medida que concurran con otra entidad en la celebración de negocio jurídico, la tipología corresponderá a un convenio o contrato interadministrativo, el cual puede contener como objeto la ejecución de actividades de obra de agua potable y saneamiento básico, sin más requisitos ni restricciones que los previstos en la ley y reglamento. En caso de que por el criterio orgánico no exista una relación interadministrativa, por regla general el contrato será de obra y se someterá reglas de los demás procedimientos con pluralidad de oferentes del artículo 2 de la Ley 1150 de 2007, pues la contratación directa se reserva a los contratos o convenios del precitado artículo </w:t>
      </w:r>
      <w:r w:rsidRPr="00F62F80">
        <w:rPr>
          <w:rFonts w:ascii="Arial" w:hAnsi="Arial" w:cs="Arial"/>
        </w:rPr>
        <w:t>2.2.1.2.1.4.4</w:t>
      </w:r>
      <w:r>
        <w:rPr>
          <w:rFonts w:ascii="Arial" w:hAnsi="Arial" w:cs="Arial"/>
        </w:rPr>
        <w:t xml:space="preserve"> del Decreto 1082 de 2015, sin perjuicio de las demás causales previstas en el ordenamiento jurídico.</w:t>
      </w:r>
    </w:p>
    <w:p w14:paraId="4D199241" w14:textId="77777777" w:rsidR="008410D2" w:rsidRDefault="008410D2" w:rsidP="008410D2">
      <w:pPr>
        <w:spacing w:after="0" w:line="276" w:lineRule="auto"/>
        <w:jc w:val="both"/>
        <w:rPr>
          <w:rFonts w:ascii="Arial" w:hAnsi="Arial" w:cs="Arial"/>
        </w:rPr>
      </w:pPr>
    </w:p>
    <w:p w14:paraId="690CB53B" w14:textId="77777777" w:rsidR="008410D2" w:rsidRPr="0001657A" w:rsidRDefault="008410D2" w:rsidP="008410D2">
      <w:pPr>
        <w:spacing w:after="0" w:line="240" w:lineRule="auto"/>
        <w:ind w:left="709" w:right="709"/>
        <w:jc w:val="both"/>
        <w:rPr>
          <w:rFonts w:ascii="Arial" w:eastAsia="Calibri" w:hAnsi="Arial" w:cs="Arial"/>
          <w:bCs/>
          <w:sz w:val="21"/>
          <w:szCs w:val="21"/>
          <w:lang w:val="es-ES_tradnl" w:eastAsia="es-ES_tradnl"/>
        </w:rPr>
      </w:pPr>
      <w:proofErr w:type="spellStart"/>
      <w:r w:rsidRPr="0001657A">
        <w:rPr>
          <w:rFonts w:ascii="Arial" w:eastAsia="Calibri" w:hAnsi="Arial" w:cs="Arial"/>
          <w:bCs/>
          <w:sz w:val="21"/>
          <w:szCs w:val="21"/>
          <w:lang w:val="es-ES_tradnl" w:eastAsia="es-ES_tradnl"/>
        </w:rPr>
        <w:t>ii</w:t>
      </w:r>
      <w:proofErr w:type="spellEnd"/>
      <w:r w:rsidRPr="0001657A">
        <w:rPr>
          <w:rFonts w:ascii="Arial" w:eastAsia="Calibri" w:hAnsi="Arial" w:cs="Arial"/>
          <w:bCs/>
          <w:sz w:val="21"/>
          <w:szCs w:val="21"/>
          <w:lang w:val="es-ES_tradnl" w:eastAsia="es-ES_tradnl"/>
        </w:rPr>
        <w:t>. “[…] ¿En la ejecución del convenio pueden utilizarse los pliegos tipo vigentes para el sector?”.</w:t>
      </w:r>
    </w:p>
    <w:p w14:paraId="27918EAC" w14:textId="77777777" w:rsidR="008410D2" w:rsidRDefault="008410D2" w:rsidP="008410D2">
      <w:pPr>
        <w:spacing w:after="0" w:line="276" w:lineRule="auto"/>
        <w:jc w:val="both"/>
        <w:rPr>
          <w:rFonts w:ascii="Arial" w:hAnsi="Arial" w:cs="Arial"/>
          <w:lang w:val="es-ES_tradnl"/>
        </w:rPr>
      </w:pPr>
    </w:p>
    <w:p w14:paraId="161B2817" w14:textId="77777777" w:rsidR="008410D2" w:rsidRDefault="008410D2" w:rsidP="001A5552">
      <w:pPr>
        <w:spacing w:after="120" w:line="276" w:lineRule="auto"/>
        <w:ind w:firstLine="709"/>
        <w:jc w:val="both"/>
        <w:rPr>
          <w:rFonts w:ascii="Arial" w:hAnsi="Arial" w:cs="Arial"/>
          <w:lang w:val="es-ES_tradnl"/>
        </w:rPr>
      </w:pPr>
      <w:r>
        <w:rPr>
          <w:rFonts w:ascii="Arial" w:hAnsi="Arial" w:cs="Arial"/>
          <w:lang w:val="es-ES_tradnl"/>
        </w:rPr>
        <w:t>E</w:t>
      </w:r>
      <w:r w:rsidRPr="0001657A">
        <w:rPr>
          <w:rFonts w:ascii="Arial" w:hAnsi="Arial" w:cs="Arial"/>
          <w:lang w:val="es-ES_tradnl"/>
        </w:rPr>
        <w:t xml:space="preserve">n virtud de lo establecido en el parágrafo 7 del artículo 2 de la Ley 1150 de 2007, modificado por el artículo 1 de la Ley 2022 de 2020, las entidades estatales regidas por el Estatuto General de Contratación de la Administración Pública están obligadas a aplicar los documentos tipo en los procedimientos y contratos que adelanten en aplicación de dicha normativa. Adicionalmente, en atención a lo dispuesto en los dos primeros incisos del artículo 56 de la Ley 2195 de 2022, cuando estas entidades suscriban convenios o contratos de cualquier índole con entidades estatales de régimen especial o exceptuado, patrimonios autónomos, personas naturales o jurídicas de derecho privado, también deberán aplicar documentos tipo, y en general, las disposiciones del Estatuto General de Contratación de la Administración Pública.  </w:t>
      </w:r>
    </w:p>
    <w:p w14:paraId="2ADDB866" w14:textId="77777777" w:rsidR="008410D2" w:rsidRDefault="008410D2" w:rsidP="008410D2">
      <w:pPr>
        <w:spacing w:after="0" w:line="276" w:lineRule="auto"/>
        <w:ind w:firstLine="708"/>
        <w:jc w:val="both"/>
        <w:rPr>
          <w:rFonts w:ascii="Arial" w:eastAsia="Calibri" w:hAnsi="Arial" w:cs="Arial"/>
          <w:bCs/>
          <w:color w:val="000000" w:themeColor="text1"/>
          <w:lang w:val="es-ES_tradnl"/>
        </w:rPr>
      </w:pPr>
      <w:r w:rsidRPr="00864E72">
        <w:rPr>
          <w:rFonts w:ascii="Arial" w:hAnsi="Arial" w:cs="Arial"/>
          <w:shd w:val="clear" w:color="auto" w:fill="FFFFFF"/>
          <w:lang w:val="es-ES_tradnl"/>
        </w:rPr>
        <w:t xml:space="preserve">No obstante, se encuentran exceptuadas del ámbito de aplicación de la norma </w:t>
      </w:r>
      <w:r w:rsidRPr="00864E72">
        <w:rPr>
          <w:rFonts w:ascii="Arial" w:hAnsi="Arial" w:cs="Arial"/>
          <w:shd w:val="clear" w:color="auto" w:fill="FFFFFF"/>
        </w:rPr>
        <w:t>las instituciones de educación superior públicas, las empresas sociales del Estado, las sociedades de economía mixta y las empresas industriales y comerciales del Estado, únicamente en cuanto a la contratación de su giro ordinario</w:t>
      </w:r>
      <w:r w:rsidRPr="00864E72">
        <w:rPr>
          <w:rFonts w:ascii="Arial" w:hAnsi="Arial" w:cs="Arial"/>
          <w:shd w:val="clear" w:color="auto" w:fill="FFFFFF"/>
          <w:lang w:val="es-ES_tradnl"/>
        </w:rPr>
        <w:t>.</w:t>
      </w:r>
      <w:r>
        <w:rPr>
          <w:rFonts w:ascii="Arial" w:hAnsi="Arial" w:cs="Arial"/>
          <w:shd w:val="clear" w:color="auto" w:fill="FFFFFF"/>
          <w:lang w:val="es-ES_tradnl"/>
        </w:rPr>
        <w:t xml:space="preserve"> </w:t>
      </w:r>
      <w:r w:rsidRPr="00864E72">
        <w:rPr>
          <w:rFonts w:ascii="Arial" w:hAnsi="Arial" w:cs="Arial"/>
          <w:color w:val="000000" w:themeColor="text1"/>
          <w:shd w:val="clear" w:color="auto" w:fill="FFFFFF"/>
          <w:lang w:val="es-ES_tradnl"/>
        </w:rPr>
        <w:t xml:space="preserve">Bajo los lineamientos </w:t>
      </w:r>
      <w:r>
        <w:rPr>
          <w:rFonts w:ascii="Arial" w:hAnsi="Arial" w:cs="Arial"/>
          <w:color w:val="000000" w:themeColor="text1"/>
          <w:shd w:val="clear" w:color="auto" w:fill="FFFFFF"/>
          <w:lang w:val="es-ES_tradnl"/>
        </w:rPr>
        <w:t>descritos en el concepto</w:t>
      </w:r>
      <w:r w:rsidRPr="00864E72">
        <w:rPr>
          <w:rFonts w:ascii="Arial" w:hAnsi="Arial" w:cs="Arial"/>
          <w:color w:val="000000" w:themeColor="text1"/>
          <w:shd w:val="clear" w:color="auto" w:fill="FFFFFF"/>
          <w:lang w:val="es-ES_tradnl"/>
        </w:rPr>
        <w:t>, cada entidad pública debe hacer un ejercicio de subsunción a efectos de determinar si la no</w:t>
      </w:r>
      <w:r>
        <w:rPr>
          <w:rFonts w:ascii="Arial" w:hAnsi="Arial" w:cs="Arial"/>
          <w:color w:val="000000" w:themeColor="text1"/>
          <w:shd w:val="clear" w:color="auto" w:fill="FFFFFF"/>
          <w:lang w:val="es-ES_tradnl"/>
        </w:rPr>
        <w:t>r</w:t>
      </w:r>
      <w:r w:rsidRPr="00864E72">
        <w:rPr>
          <w:rFonts w:ascii="Arial" w:hAnsi="Arial" w:cs="Arial"/>
          <w:color w:val="000000" w:themeColor="text1"/>
          <w:shd w:val="clear" w:color="auto" w:fill="FFFFFF"/>
          <w:lang w:val="es-ES_tradnl"/>
        </w:rPr>
        <w:t xml:space="preserve">ma en cita resulta aplicable, dada su naturaleza jurídica. En todo caso, es de precisar </w:t>
      </w:r>
      <w:proofErr w:type="gramStart"/>
      <w:r w:rsidRPr="00864E72">
        <w:rPr>
          <w:rFonts w:ascii="Arial" w:hAnsi="Arial" w:cs="Arial"/>
          <w:color w:val="000000" w:themeColor="text1"/>
          <w:shd w:val="clear" w:color="auto" w:fill="FFFFFF"/>
          <w:lang w:val="es-ES_tradnl"/>
        </w:rPr>
        <w:t>que</w:t>
      </w:r>
      <w:proofErr w:type="gramEnd"/>
      <w:r w:rsidRPr="00864E72">
        <w:rPr>
          <w:rFonts w:ascii="Arial" w:hAnsi="Arial" w:cs="Arial"/>
          <w:color w:val="000000" w:themeColor="text1"/>
          <w:shd w:val="clear" w:color="auto" w:fill="FFFFFF"/>
          <w:lang w:val="es-ES_tradnl"/>
        </w:rPr>
        <w:t xml:space="preserve"> en el caso de las empresas prestadoras de servicios públicos domiciliarios, la entidad competente para absolver </w:t>
      </w:r>
      <w:r w:rsidRPr="00864E72">
        <w:rPr>
          <w:rFonts w:ascii="Arial" w:eastAsia="Calibri" w:hAnsi="Arial" w:cs="Arial"/>
          <w:bCs/>
          <w:color w:val="000000" w:themeColor="text1"/>
          <w:lang w:val="es-ES_tradnl"/>
        </w:rPr>
        <w:t>las consultas relacionadas con su naturaleza jurídica es la Superintendencia de Servicios Públicos Domiciliarios, de conformidad con el artículo 11, numeral 2, del Decreto 1369 de 2020</w:t>
      </w:r>
      <w:r>
        <w:rPr>
          <w:rFonts w:ascii="Arial" w:eastAsia="Calibri" w:hAnsi="Arial" w:cs="Arial"/>
          <w:bCs/>
          <w:color w:val="000000" w:themeColor="text1"/>
          <w:lang w:val="es-ES_tradnl"/>
        </w:rPr>
        <w:t>.</w:t>
      </w:r>
    </w:p>
    <w:p w14:paraId="16F7E3D2" w14:textId="77777777" w:rsidR="008410D2" w:rsidRDefault="008410D2" w:rsidP="008410D2">
      <w:pPr>
        <w:spacing w:after="0" w:line="276" w:lineRule="auto"/>
        <w:ind w:firstLine="708"/>
        <w:jc w:val="both"/>
        <w:rPr>
          <w:rFonts w:ascii="Arial" w:eastAsia="Calibri" w:hAnsi="Arial" w:cs="Arial"/>
          <w:bCs/>
          <w:color w:val="000000" w:themeColor="text1"/>
          <w:lang w:val="es-ES_tradnl"/>
        </w:rPr>
      </w:pPr>
    </w:p>
    <w:p w14:paraId="3EEB9CB2" w14:textId="77777777" w:rsidR="008410D2" w:rsidRPr="00476954" w:rsidRDefault="008410D2" w:rsidP="008410D2">
      <w:pPr>
        <w:spacing w:after="0" w:line="240" w:lineRule="auto"/>
        <w:ind w:left="709" w:right="709"/>
        <w:jc w:val="both"/>
        <w:rPr>
          <w:rFonts w:ascii="Arial" w:hAnsi="Arial" w:cs="Arial"/>
          <w:sz w:val="21"/>
          <w:szCs w:val="21"/>
          <w:shd w:val="clear" w:color="auto" w:fill="FFFFFF"/>
          <w:lang w:val="es-ES_tradnl"/>
        </w:rPr>
      </w:pPr>
      <w:proofErr w:type="spellStart"/>
      <w:r w:rsidRPr="00476954">
        <w:rPr>
          <w:rFonts w:ascii="Arial" w:hAnsi="Arial" w:cs="Arial"/>
          <w:sz w:val="21"/>
          <w:szCs w:val="21"/>
          <w:shd w:val="clear" w:color="auto" w:fill="FFFFFF"/>
          <w:lang w:val="es-ES_tradnl"/>
        </w:rPr>
        <w:t>iii</w:t>
      </w:r>
      <w:proofErr w:type="spellEnd"/>
      <w:r w:rsidRPr="00476954">
        <w:rPr>
          <w:rFonts w:ascii="Arial" w:hAnsi="Arial" w:cs="Arial"/>
          <w:sz w:val="21"/>
          <w:szCs w:val="21"/>
          <w:shd w:val="clear" w:color="auto" w:fill="FFFFFF"/>
          <w:lang w:val="es-ES_tradnl"/>
        </w:rPr>
        <w:t>) “Consecuencia de un convenio interadministrativo suscrito entre el Municipio y el Ministerio del Interior se va a contratar bajo la modalidad LLAVE EN MANO los estudios, diseños y construcción del proyecto SACUDETE AL PARQUES, y en principio este hace parte de Infraestructura Social - Sector Cultura, Recreación y Deporte; no obstante al revisar la matriz de experiencia de los pliego tipo no se encuentran consagrados ninguno de los ítems de estudios y/o diseños, ¿Es facultativo de la entidad contratante utilizar los pliegos tipo, o es obligatoria su utilización?”.</w:t>
      </w:r>
    </w:p>
    <w:p w14:paraId="6FE73559" w14:textId="77777777" w:rsidR="008410D2" w:rsidRDefault="008410D2" w:rsidP="008410D2">
      <w:pPr>
        <w:spacing w:after="0" w:line="276" w:lineRule="auto"/>
        <w:ind w:left="709" w:right="709"/>
        <w:jc w:val="both"/>
        <w:rPr>
          <w:rFonts w:ascii="Arial" w:hAnsi="Arial" w:cs="Arial"/>
          <w:shd w:val="clear" w:color="auto" w:fill="FFFFFF"/>
          <w:lang w:val="es-ES_tradnl"/>
        </w:rPr>
      </w:pPr>
    </w:p>
    <w:p w14:paraId="13F68BA0" w14:textId="77777777" w:rsidR="008410D2" w:rsidRDefault="008410D2" w:rsidP="001A5552">
      <w:pPr>
        <w:spacing w:after="120" w:line="276" w:lineRule="auto"/>
        <w:ind w:firstLine="709"/>
        <w:jc w:val="both"/>
        <w:rPr>
          <w:rFonts w:ascii="Arial" w:eastAsia="Calibri" w:hAnsi="Arial" w:cs="Arial"/>
        </w:rPr>
      </w:pPr>
      <w:r>
        <w:rPr>
          <w:rFonts w:ascii="Arial" w:eastAsia="Calibri" w:hAnsi="Arial" w:cs="Arial"/>
        </w:rPr>
        <w:t>Cuando la entidad requiere bienes y servicios que no se encuentran incluidos como infraestructura social en la matriz de experiencia y considera necesario exigir experiencia adicional, debe aplicar el artículo 4 de la Resolución 219 del 6 de agosto de 2021. Esta norma dispone los eventos en los que el objeto contractual incluye bienes o servicios adicionales a la obra pública de infraestructura de infraestructura social. En este caso, la entidad puede incluir experiencia adicional para evaluar la idoneidad del proponente respecto a esta clase de bienes y servicios.</w:t>
      </w:r>
    </w:p>
    <w:p w14:paraId="74572900" w14:textId="77777777" w:rsidR="008410D2" w:rsidRDefault="008410D2" w:rsidP="001A5552">
      <w:pPr>
        <w:spacing w:after="120" w:line="276" w:lineRule="auto"/>
        <w:ind w:firstLine="709"/>
        <w:jc w:val="both"/>
        <w:rPr>
          <w:rFonts w:ascii="Arial" w:eastAsia="Calibri" w:hAnsi="Arial" w:cs="Arial"/>
        </w:rPr>
      </w:pPr>
      <w:r>
        <w:rPr>
          <w:rFonts w:ascii="Arial" w:eastAsia="Calibri" w:hAnsi="Arial" w:cs="Arial"/>
        </w:rPr>
        <w:t xml:space="preserve">No obstante, deben seguirse los siguientes parámetros: i) demostrar en los estudios previos que ha verificado las condiciones de mercado para la adquisición de los bienes o servicios adicionales al componente de obra pública, de tal forma que la experiencia adicional garantiza la pluralidad de oferentes, </w:t>
      </w:r>
      <w:proofErr w:type="spellStart"/>
      <w:r>
        <w:rPr>
          <w:rFonts w:ascii="Arial" w:eastAsia="Calibri" w:hAnsi="Arial" w:cs="Arial"/>
        </w:rPr>
        <w:t>ii</w:t>
      </w:r>
      <w:proofErr w:type="spellEnd"/>
      <w:r>
        <w:rPr>
          <w:rFonts w:ascii="Arial" w:eastAsia="Calibri" w:hAnsi="Arial" w:cs="Arial"/>
        </w:rPr>
        <w:t xml:space="preserve">) conservar los requisitos exigidos en los documentos tipo, </w:t>
      </w:r>
      <w:proofErr w:type="spellStart"/>
      <w:r>
        <w:rPr>
          <w:rFonts w:ascii="Arial" w:eastAsia="Calibri" w:hAnsi="Arial" w:cs="Arial"/>
        </w:rPr>
        <w:t>iii</w:t>
      </w:r>
      <w:proofErr w:type="spellEnd"/>
      <w:r>
        <w:rPr>
          <w:rFonts w:ascii="Arial" w:eastAsia="Calibri" w:hAnsi="Arial" w:cs="Arial"/>
        </w:rPr>
        <w:t xml:space="preserve">) abstenerse de pedir experiencia exclusiva con entidades de cualquier naturaleza, experiencia previa en un territorio específico, limitada en el tiempo o que incluya volúmenes o cantidades de obra específica, </w:t>
      </w:r>
      <w:proofErr w:type="spellStart"/>
      <w:r>
        <w:rPr>
          <w:rFonts w:ascii="Arial" w:eastAsia="Calibri" w:hAnsi="Arial" w:cs="Arial"/>
        </w:rPr>
        <w:t>iv</w:t>
      </w:r>
      <w:proofErr w:type="spellEnd"/>
      <w:r>
        <w:rPr>
          <w:rFonts w:ascii="Arial" w:eastAsia="Calibri" w:hAnsi="Arial" w:cs="Arial"/>
        </w:rPr>
        <w:t>) clasificar la experiencia requerida solo hasta el tercer nivel del clasificador de bienes y servicios, así como incluir exclusivamente los códigos que estén relacionados directamente con el objeto a contratar.</w:t>
      </w:r>
    </w:p>
    <w:p w14:paraId="4ECCE7D3" w14:textId="77777777" w:rsidR="008410D2" w:rsidRDefault="008410D2" w:rsidP="008410D2">
      <w:pPr>
        <w:spacing w:after="0" w:line="276" w:lineRule="auto"/>
        <w:ind w:firstLine="709"/>
        <w:jc w:val="both"/>
        <w:rPr>
          <w:rFonts w:ascii="Arial" w:eastAsia="Calibri" w:hAnsi="Arial" w:cs="Arial"/>
        </w:rPr>
      </w:pPr>
      <w:r>
        <w:rPr>
          <w:rFonts w:ascii="Arial" w:eastAsia="Calibri" w:hAnsi="Arial" w:cs="Arial"/>
        </w:rPr>
        <w:t xml:space="preserve">En el marco de las definiciones de los parágrafos 2 y 3 de la norma precitada, la posibilidad de solicitar experiencia adicional solo ocurre cuando el objeto contractual incluye bienes o servicios adicionales a la obra pública de infraestructura social. Esto implica que: i) la actividad que se requiere, si bien es una labor de obra, no está relacionada con la infraestructura social, por ejemplo, la construcción de una vía cerca de un parque recreativo, y </w:t>
      </w:r>
      <w:proofErr w:type="spellStart"/>
      <w:r>
        <w:rPr>
          <w:rFonts w:ascii="Arial" w:eastAsia="Calibri" w:hAnsi="Arial" w:cs="Arial"/>
        </w:rPr>
        <w:t>ii</w:t>
      </w:r>
      <w:proofErr w:type="spellEnd"/>
      <w:r>
        <w:rPr>
          <w:rFonts w:ascii="Arial" w:eastAsia="Calibri" w:hAnsi="Arial" w:cs="Arial"/>
        </w:rPr>
        <w:t>) el bien o servicio adicional es distinto a la actividad principal, aun cuando se relaciona con la infraestructura social, v. gr., cuando se requiere que el contratista realice los estudios y diseños de la obra. En supuestos como los indicados es posible que la entidad exija experiencia adicional para acreditar la idoneidad del contratista en la ejecución de estos bienes o servicios adicionales a la obra de infraestructura social. Sin embargo, esta opción se encuentra limitada por el parágrafo 1 del artículo 4 de la Resolución 219 del 6 de agosto de 2021, modificado por el artículo 177 de la Resolución 275 del 24 de junio de 2022, pues “</w:t>
      </w:r>
      <w:r w:rsidRPr="00456CCB">
        <w:rPr>
          <w:rFonts w:ascii="Arial" w:eastAsia="Calibri" w:hAnsi="Arial" w:cs="Arial"/>
        </w:rPr>
        <w:t>En los casos que el objeto contractual incluya actividades que son abarcadas por otros Documentos, la Entidad Estatal aplicará las reglas de combinación de experiencia previstas en el numeral 3.5.1 del documento base</w:t>
      </w:r>
      <w:r>
        <w:rPr>
          <w:rFonts w:ascii="Arial" w:eastAsia="Calibri" w:hAnsi="Arial" w:cs="Arial"/>
        </w:rPr>
        <w:t>”</w:t>
      </w:r>
      <w:r w:rsidRPr="00456CCB">
        <w:rPr>
          <w:rFonts w:ascii="Arial" w:eastAsia="Calibri" w:hAnsi="Arial" w:cs="Arial"/>
        </w:rPr>
        <w:t>.</w:t>
      </w:r>
    </w:p>
    <w:p w14:paraId="25E66930" w14:textId="77777777" w:rsidR="008410D2" w:rsidRPr="0001657A" w:rsidRDefault="008410D2" w:rsidP="008410D2">
      <w:pPr>
        <w:spacing w:before="120" w:after="0" w:line="276" w:lineRule="auto"/>
        <w:ind w:firstLine="708"/>
        <w:jc w:val="both"/>
        <w:rPr>
          <w:rFonts w:ascii="Arial" w:hAnsi="Arial" w:cs="Arial"/>
          <w:shd w:val="clear" w:color="auto" w:fill="FFFFFF"/>
          <w:lang w:val="es-ES_tradnl"/>
        </w:rPr>
      </w:pPr>
      <w:r>
        <w:rPr>
          <w:rFonts w:ascii="Arial" w:eastAsia="Times New Roman" w:hAnsi="Arial" w:cs="Arial"/>
          <w:lang w:val="es-ES_tradnl" w:eastAsia="es-ES_tradnl"/>
        </w:rPr>
        <w:t>Por tanto</w:t>
      </w:r>
      <w:r w:rsidRPr="00A8780C">
        <w:rPr>
          <w:rFonts w:ascii="Arial" w:eastAsia="Times New Roman" w:hAnsi="Arial" w:cs="Arial"/>
          <w:lang w:val="es-ES_tradnl" w:eastAsia="es-ES_tradnl"/>
        </w:rPr>
        <w:t>, según la norma reseñada, si de manera excepcional la entidad estatal considera que el contratista de la obra que debe contratarse a través de la aplicación de los documentos tipo de infraestructura social debe ejecutar bienes o servicios adicionales, como sería el caso de los estudios y diseños necesarios para la obra, puede incluir la experiencia adicional para evaluar la idoneidad de los proponentes,</w:t>
      </w:r>
      <w:r>
        <w:rPr>
          <w:rFonts w:ascii="Arial" w:eastAsia="Times New Roman" w:hAnsi="Arial" w:cs="Arial"/>
          <w:lang w:val="es-ES_tradnl" w:eastAsia="es-ES_tradnl"/>
        </w:rPr>
        <w:t xml:space="preserve"> </w:t>
      </w:r>
      <w:r w:rsidRPr="00A8780C">
        <w:rPr>
          <w:rFonts w:ascii="Arial" w:eastAsia="Times New Roman" w:hAnsi="Arial" w:cs="Arial"/>
          <w:lang w:val="es-MX" w:eastAsia="es-ES_tradnl"/>
        </w:rPr>
        <w:t xml:space="preserve">cumpliendo todas las demás exigencias de los documentos tipo. </w:t>
      </w:r>
      <w:r>
        <w:rPr>
          <w:rFonts w:ascii="Arial" w:eastAsia="Times New Roman" w:hAnsi="Arial" w:cs="Arial"/>
          <w:lang w:val="es-MX" w:eastAsia="es-ES_tradnl"/>
        </w:rPr>
        <w:t>En consecuencia</w:t>
      </w:r>
      <w:r w:rsidRPr="00A8780C">
        <w:rPr>
          <w:rFonts w:ascii="Arial" w:eastAsia="Times New Roman" w:hAnsi="Arial" w:cs="Arial"/>
          <w:lang w:val="es-MX" w:eastAsia="es-ES_tradnl"/>
        </w:rPr>
        <w:t xml:space="preserve">, si la obra que pretende ejecutar la entidad estatal se enmarca en alguno de los tipos de proyectos o </w:t>
      </w:r>
      <w:r>
        <w:rPr>
          <w:rFonts w:ascii="Arial" w:eastAsia="Times New Roman" w:hAnsi="Arial" w:cs="Arial"/>
          <w:lang w:val="es-MX" w:eastAsia="es-ES_tradnl"/>
        </w:rPr>
        <w:t>“</w:t>
      </w:r>
      <w:r w:rsidRPr="00A8780C">
        <w:rPr>
          <w:rFonts w:ascii="Arial" w:eastAsia="Times New Roman" w:hAnsi="Arial" w:cs="Arial"/>
          <w:lang w:val="es-MX" w:eastAsia="es-ES_tradnl"/>
        </w:rPr>
        <w:t>actividades</w:t>
      </w:r>
      <w:r>
        <w:rPr>
          <w:rFonts w:ascii="Arial" w:eastAsia="Times New Roman" w:hAnsi="Arial" w:cs="Arial"/>
          <w:lang w:val="es-MX" w:eastAsia="es-ES_tradnl"/>
        </w:rPr>
        <w:t>”</w:t>
      </w:r>
      <w:r w:rsidRPr="00A8780C">
        <w:rPr>
          <w:rFonts w:ascii="Arial" w:eastAsia="Times New Roman" w:hAnsi="Arial" w:cs="Arial"/>
          <w:lang w:val="es-MX" w:eastAsia="es-ES_tradnl"/>
        </w:rPr>
        <w:t xml:space="preserve"> incluidas en alguna de las matrices de experiencia de los documentos tipo </w:t>
      </w:r>
      <w:r w:rsidRPr="00A8780C">
        <w:rPr>
          <w:rFonts w:ascii="Arial" w:eastAsia="Times New Roman" w:hAnsi="Arial" w:cs="Arial"/>
          <w:i/>
          <w:iCs/>
          <w:lang w:val="es-MX" w:eastAsia="es-ES_tradnl"/>
        </w:rPr>
        <w:t>complementarios</w:t>
      </w:r>
      <w:r w:rsidRPr="00A8780C">
        <w:rPr>
          <w:rFonts w:ascii="Arial" w:eastAsia="Times New Roman" w:hAnsi="Arial" w:cs="Arial"/>
          <w:lang w:val="es-MX" w:eastAsia="es-ES_tradnl"/>
        </w:rPr>
        <w:t xml:space="preserve"> relacionados con la infraestructura social, el proceso de selección debe adelantarse utilizando dichos documentos tipo. Esto aplica, incluso, para los contratos de obra </w:t>
      </w:r>
      <w:r>
        <w:rPr>
          <w:rFonts w:ascii="Arial" w:eastAsia="Times New Roman" w:hAnsi="Arial" w:cs="Arial"/>
          <w:lang w:val="es-MX" w:eastAsia="es-ES_tradnl"/>
        </w:rPr>
        <w:t>“</w:t>
      </w:r>
      <w:r w:rsidRPr="00A8780C">
        <w:rPr>
          <w:rFonts w:ascii="Arial" w:eastAsia="Times New Roman" w:hAnsi="Arial" w:cs="Arial"/>
          <w:lang w:val="es-MX" w:eastAsia="es-ES_tradnl"/>
        </w:rPr>
        <w:t>llave en mano</w:t>
      </w:r>
      <w:r>
        <w:rPr>
          <w:rFonts w:ascii="Arial" w:eastAsia="Times New Roman" w:hAnsi="Arial" w:cs="Arial"/>
          <w:lang w:val="es-MX" w:eastAsia="es-ES_tradnl"/>
        </w:rPr>
        <w:t>”</w:t>
      </w:r>
      <w:r w:rsidRPr="00A8780C">
        <w:rPr>
          <w:rFonts w:ascii="Arial" w:eastAsia="Times New Roman" w:hAnsi="Arial" w:cs="Arial"/>
          <w:lang w:val="es-MX" w:eastAsia="es-ES_tradnl"/>
        </w:rPr>
        <w:t xml:space="preserve"> para infraestructura social, en donde se considere necesario exigir experiencia adicional para la ejecución de bienes o servicios adicionales a la obra pública, como sería la realización de los diseños de la obra. </w:t>
      </w:r>
    </w:p>
    <w:p w14:paraId="135E209F" w14:textId="77777777" w:rsidR="008410D2" w:rsidRDefault="008410D2" w:rsidP="008410D2">
      <w:pPr>
        <w:spacing w:after="0" w:line="276" w:lineRule="auto"/>
        <w:jc w:val="both"/>
        <w:rPr>
          <w:rFonts w:ascii="Arial" w:hAnsi="Arial" w:cs="Arial"/>
        </w:rPr>
      </w:pPr>
    </w:p>
    <w:p w14:paraId="1D16207F" w14:textId="77777777" w:rsidR="008410D2" w:rsidRPr="00781AC2" w:rsidRDefault="008410D2" w:rsidP="008410D2">
      <w:pPr>
        <w:spacing w:after="0" w:line="276" w:lineRule="auto"/>
        <w:jc w:val="both"/>
        <w:rPr>
          <w:rFonts w:ascii="Arial" w:hAnsi="Arial" w:cs="Arial"/>
          <w:lang w:val="es-ES_tradnl"/>
        </w:rPr>
      </w:pPr>
      <w:r w:rsidRPr="00781AC2">
        <w:rPr>
          <w:rFonts w:ascii="Arial" w:hAnsi="Arial" w:cs="Arial"/>
          <w:lang w:val="es-ES_tradnl"/>
        </w:rPr>
        <w:t>Este concepto tiene el alcance previsto en el artículo 28 del Código de Procedimiento Administrativo y de lo Contencioso Administrativo.</w:t>
      </w:r>
    </w:p>
    <w:p w14:paraId="74E96C78" w14:textId="77777777" w:rsidR="008410D2" w:rsidRPr="000F4A3A" w:rsidRDefault="008410D2" w:rsidP="008410D2">
      <w:pPr>
        <w:tabs>
          <w:tab w:val="left" w:pos="426"/>
        </w:tabs>
        <w:spacing w:before="120" w:after="0" w:line="276" w:lineRule="auto"/>
        <w:jc w:val="both"/>
        <w:rPr>
          <w:rFonts w:ascii="Arial" w:eastAsia="Times New Roman" w:hAnsi="Arial" w:cs="Arial"/>
          <w:color w:val="000000" w:themeColor="text1"/>
        </w:rPr>
      </w:pPr>
      <w:r w:rsidRPr="000F4A3A">
        <w:rPr>
          <w:rFonts w:ascii="Arial" w:eastAsia="Times New Roman" w:hAnsi="Arial" w:cs="Arial"/>
          <w:color w:val="000000" w:themeColor="text1"/>
        </w:rPr>
        <w:t>Atentamente,</w:t>
      </w:r>
    </w:p>
    <w:p w14:paraId="39F32A9C" w14:textId="2A6A07F1" w:rsidR="008410D2" w:rsidRPr="00CB70D9" w:rsidRDefault="00395337" w:rsidP="008410D2">
      <w:pPr>
        <w:spacing w:after="0"/>
        <w:jc w:val="center"/>
        <w:rPr>
          <w:rFonts w:ascii="Arial" w:eastAsia="Times New Roman" w:hAnsi="Arial" w:cs="Arial"/>
          <w:lang w:eastAsia="es-CO"/>
        </w:rPr>
      </w:pPr>
      <w:r>
        <w:rPr>
          <w:rFonts w:ascii="Arial" w:hAnsi="Arial" w:cs="Arial"/>
          <w:noProof/>
          <w:lang w:eastAsia="es-CO"/>
        </w:rPr>
        <w:drawing>
          <wp:inline distT="0" distB="0" distL="0" distR="0" wp14:anchorId="6E90BFAC" wp14:editId="42162843">
            <wp:extent cx="3152775" cy="1209675"/>
            <wp:effectExtent l="0" t="0" r="9525" b="9525"/>
            <wp:docPr id="136766671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666717" name="Imagen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2775" cy="1209675"/>
                    </a:xfrm>
                    <a:prstGeom prst="rect">
                      <a:avLst/>
                    </a:prstGeom>
                    <a:noFill/>
                    <a:ln>
                      <a:noFill/>
                    </a:ln>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8410D2" w:rsidRPr="003F5F71" w14:paraId="3F902F81" w14:textId="77777777" w:rsidTr="00532A88">
        <w:trPr>
          <w:trHeight w:val="409"/>
        </w:trPr>
        <w:tc>
          <w:tcPr>
            <w:tcW w:w="817" w:type="dxa"/>
            <w:tcBorders>
              <w:top w:val="nil"/>
              <w:left w:val="nil"/>
              <w:bottom w:val="nil"/>
              <w:right w:val="nil"/>
            </w:tcBorders>
            <w:vAlign w:val="center"/>
            <w:hideMark/>
          </w:tcPr>
          <w:p w14:paraId="40B6759E" w14:textId="77777777" w:rsidR="008410D2" w:rsidRPr="009C1F1A" w:rsidRDefault="008410D2" w:rsidP="00532A88">
            <w:pPr>
              <w:spacing w:after="0" w:line="240" w:lineRule="auto"/>
              <w:jc w:val="both"/>
              <w:rPr>
                <w:rFonts w:ascii="Arial" w:hAnsi="Arial" w:cs="Arial"/>
                <w:sz w:val="16"/>
                <w:szCs w:val="16"/>
              </w:rPr>
            </w:pPr>
            <w:r w:rsidRPr="009C1F1A">
              <w:rPr>
                <w:rFonts w:ascii="Arial" w:hAnsi="Arial"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32CB0B29" w14:textId="77777777" w:rsidR="008410D2" w:rsidRPr="009C1F1A" w:rsidRDefault="008410D2" w:rsidP="00532A88">
            <w:pPr>
              <w:spacing w:after="0" w:line="240" w:lineRule="auto"/>
              <w:jc w:val="both"/>
              <w:rPr>
                <w:rFonts w:ascii="Arial" w:hAnsi="Arial" w:cs="Arial"/>
                <w:sz w:val="16"/>
                <w:szCs w:val="16"/>
              </w:rPr>
            </w:pPr>
            <w:r>
              <w:rPr>
                <w:rFonts w:ascii="Arial" w:hAnsi="Arial" w:cs="Arial"/>
                <w:sz w:val="16"/>
                <w:szCs w:val="16"/>
              </w:rPr>
              <w:t>Juan David Montoya Penagos</w:t>
            </w:r>
          </w:p>
          <w:p w14:paraId="3277F8CA" w14:textId="77777777" w:rsidR="008410D2" w:rsidRPr="009C1F1A" w:rsidRDefault="008410D2" w:rsidP="00532A88">
            <w:pPr>
              <w:spacing w:after="0" w:line="240" w:lineRule="auto"/>
              <w:jc w:val="both"/>
              <w:rPr>
                <w:rFonts w:ascii="Arial" w:hAnsi="Arial" w:cs="Arial"/>
                <w:sz w:val="16"/>
                <w:szCs w:val="16"/>
              </w:rPr>
            </w:pPr>
            <w:r w:rsidRPr="009C1F1A">
              <w:rPr>
                <w:rFonts w:ascii="Arial" w:hAnsi="Arial" w:cs="Arial"/>
                <w:sz w:val="16"/>
                <w:szCs w:val="16"/>
              </w:rPr>
              <w:t>Contratista de la Subdirección de Gestión Contractual</w:t>
            </w:r>
          </w:p>
        </w:tc>
      </w:tr>
      <w:tr w:rsidR="008410D2" w:rsidRPr="003F5F71" w14:paraId="3C32AC3A" w14:textId="77777777" w:rsidTr="00532A88">
        <w:trPr>
          <w:trHeight w:val="409"/>
        </w:trPr>
        <w:tc>
          <w:tcPr>
            <w:tcW w:w="817" w:type="dxa"/>
            <w:tcBorders>
              <w:top w:val="nil"/>
              <w:left w:val="nil"/>
              <w:right w:val="nil"/>
            </w:tcBorders>
            <w:vAlign w:val="center"/>
          </w:tcPr>
          <w:p w14:paraId="197B44B4" w14:textId="77777777" w:rsidR="008410D2" w:rsidRPr="1CF3ADA9" w:rsidRDefault="008410D2" w:rsidP="00532A88">
            <w:pPr>
              <w:spacing w:after="0"/>
              <w:jc w:val="both"/>
              <w:rPr>
                <w:rFonts w:ascii="Arial" w:hAnsi="Arial" w:cs="Arial"/>
                <w:sz w:val="16"/>
                <w:szCs w:val="16"/>
              </w:rPr>
            </w:pPr>
            <w:r w:rsidRPr="1CF3ADA9">
              <w:rPr>
                <w:rFonts w:ascii="Arial" w:hAnsi="Arial"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290762E4" w14:textId="77777777" w:rsidR="008410D2" w:rsidRPr="009C1F1A" w:rsidRDefault="008410D2" w:rsidP="00532A88">
            <w:pPr>
              <w:spacing w:after="0" w:line="240" w:lineRule="auto"/>
              <w:jc w:val="both"/>
              <w:rPr>
                <w:rFonts w:ascii="Arial" w:hAnsi="Arial" w:cs="Arial"/>
                <w:sz w:val="16"/>
                <w:szCs w:val="16"/>
              </w:rPr>
            </w:pPr>
            <w:r w:rsidRPr="009C1F1A">
              <w:rPr>
                <w:rFonts w:ascii="Arial" w:hAnsi="Arial" w:cs="Arial"/>
                <w:sz w:val="16"/>
                <w:szCs w:val="16"/>
              </w:rPr>
              <w:t>Alejandro Sarmiento Cantillo</w:t>
            </w:r>
          </w:p>
          <w:p w14:paraId="1B6992D5" w14:textId="77777777" w:rsidR="008410D2" w:rsidRPr="009C1F1A" w:rsidRDefault="008410D2" w:rsidP="00532A88">
            <w:pPr>
              <w:spacing w:after="0" w:line="240" w:lineRule="auto"/>
              <w:jc w:val="both"/>
              <w:rPr>
                <w:rFonts w:ascii="Arial" w:hAnsi="Arial" w:cs="Arial"/>
                <w:sz w:val="16"/>
                <w:szCs w:val="16"/>
              </w:rPr>
            </w:pPr>
            <w:r w:rsidRPr="009C1F1A">
              <w:rPr>
                <w:rFonts w:ascii="Arial" w:hAnsi="Arial" w:cs="Arial"/>
                <w:sz w:val="16"/>
                <w:szCs w:val="16"/>
              </w:rPr>
              <w:t>Gestor T1 ‒ 15 de la Subdirección de Gestión Contractual</w:t>
            </w:r>
          </w:p>
        </w:tc>
      </w:tr>
      <w:tr w:rsidR="008410D2" w:rsidRPr="003F5F71" w14:paraId="62CBE1D6" w14:textId="77777777" w:rsidTr="00532A88">
        <w:trPr>
          <w:trHeight w:val="389"/>
        </w:trPr>
        <w:tc>
          <w:tcPr>
            <w:tcW w:w="817" w:type="dxa"/>
            <w:tcBorders>
              <w:top w:val="nil"/>
              <w:left w:val="nil"/>
              <w:bottom w:val="nil"/>
              <w:right w:val="nil"/>
            </w:tcBorders>
            <w:vAlign w:val="center"/>
            <w:hideMark/>
          </w:tcPr>
          <w:p w14:paraId="7F060568" w14:textId="77777777" w:rsidR="008410D2" w:rsidRPr="009C1F1A" w:rsidRDefault="008410D2" w:rsidP="00532A88">
            <w:pPr>
              <w:spacing w:after="0" w:line="240" w:lineRule="auto"/>
              <w:jc w:val="both"/>
              <w:rPr>
                <w:rFonts w:ascii="Arial" w:hAnsi="Arial" w:cs="Arial"/>
                <w:sz w:val="16"/>
                <w:szCs w:val="16"/>
              </w:rPr>
            </w:pPr>
            <w:r w:rsidRPr="009C1F1A">
              <w:rPr>
                <w:rFonts w:ascii="Arial" w:hAnsi="Arial"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250A6CE8" w14:textId="77777777" w:rsidR="008410D2" w:rsidRPr="009C1F1A" w:rsidRDefault="008410D2" w:rsidP="00532A88">
            <w:pPr>
              <w:spacing w:after="0" w:line="240" w:lineRule="auto"/>
              <w:jc w:val="both"/>
              <w:rPr>
                <w:rFonts w:ascii="Arial" w:hAnsi="Arial" w:cs="Arial"/>
                <w:sz w:val="16"/>
                <w:szCs w:val="16"/>
              </w:rPr>
            </w:pPr>
            <w:r w:rsidRPr="009C1F1A">
              <w:rPr>
                <w:rFonts w:ascii="Arial" w:hAnsi="Arial" w:cs="Arial"/>
                <w:sz w:val="16"/>
                <w:szCs w:val="16"/>
              </w:rPr>
              <w:t xml:space="preserve">Nohelia del Carmen </w:t>
            </w:r>
            <w:proofErr w:type="spellStart"/>
            <w:r w:rsidRPr="009C1F1A">
              <w:rPr>
                <w:rFonts w:ascii="Arial" w:hAnsi="Arial" w:cs="Arial"/>
                <w:sz w:val="16"/>
                <w:szCs w:val="16"/>
              </w:rPr>
              <w:t>Zawady</w:t>
            </w:r>
            <w:proofErr w:type="spellEnd"/>
            <w:r w:rsidRPr="009C1F1A">
              <w:rPr>
                <w:rFonts w:ascii="Arial" w:hAnsi="Arial" w:cs="Arial"/>
                <w:sz w:val="16"/>
                <w:szCs w:val="16"/>
              </w:rPr>
              <w:t xml:space="preserve"> Palacio</w:t>
            </w:r>
          </w:p>
          <w:p w14:paraId="1C00B928" w14:textId="77777777" w:rsidR="008410D2" w:rsidRPr="009C1F1A" w:rsidRDefault="008410D2" w:rsidP="00532A88">
            <w:pPr>
              <w:spacing w:after="0" w:line="240" w:lineRule="auto"/>
              <w:jc w:val="both"/>
              <w:rPr>
                <w:rFonts w:ascii="Arial" w:hAnsi="Arial" w:cs="Arial"/>
                <w:sz w:val="16"/>
                <w:szCs w:val="16"/>
              </w:rPr>
            </w:pPr>
            <w:r w:rsidRPr="009C1F1A">
              <w:rPr>
                <w:rFonts w:ascii="Arial" w:hAnsi="Arial" w:cs="Arial"/>
                <w:sz w:val="16"/>
                <w:szCs w:val="16"/>
              </w:rPr>
              <w:t>Subdirectora de Gestión Contractual ANCP - CCE</w:t>
            </w:r>
          </w:p>
        </w:tc>
      </w:tr>
      <w:bookmarkEnd w:id="2"/>
    </w:tbl>
    <w:p w14:paraId="42A3B252" w14:textId="77777777" w:rsidR="008410D2" w:rsidRPr="006219F8" w:rsidRDefault="008410D2" w:rsidP="008410D2">
      <w:pPr>
        <w:tabs>
          <w:tab w:val="left" w:pos="0"/>
        </w:tabs>
        <w:spacing w:after="0" w:line="276" w:lineRule="auto"/>
        <w:contextualSpacing/>
        <w:jc w:val="both"/>
        <w:rPr>
          <w:lang w:val="es-MX"/>
        </w:rPr>
      </w:pPr>
    </w:p>
    <w:p w14:paraId="0F293BF4" w14:textId="0F6FB6C1" w:rsidR="00127233" w:rsidRPr="00D42C11" w:rsidRDefault="00127233" w:rsidP="00D42C11"/>
    <w:sectPr w:rsidR="00127233" w:rsidRPr="00D42C11"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6D9CE" w14:textId="77777777" w:rsidR="003378B4" w:rsidRDefault="003378B4" w:rsidP="004A1847">
      <w:pPr>
        <w:spacing w:after="0" w:line="240" w:lineRule="auto"/>
      </w:pPr>
      <w:r>
        <w:separator/>
      </w:r>
    </w:p>
  </w:endnote>
  <w:endnote w:type="continuationSeparator" w:id="0">
    <w:p w14:paraId="501E9B28" w14:textId="77777777" w:rsidR="003378B4" w:rsidRDefault="003378B4" w:rsidP="004A1847">
      <w:pPr>
        <w:spacing w:after="0" w:line="240" w:lineRule="auto"/>
      </w:pPr>
      <w:r>
        <w:continuationSeparator/>
      </w:r>
    </w:p>
  </w:endnote>
  <w:endnote w:type="continuationNotice" w:id="1">
    <w:p w14:paraId="63744DEE" w14:textId="77777777" w:rsidR="003378B4" w:rsidRDefault="003378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panose1 w:val="02000503000000020004"/>
    <w:charset w:val="00"/>
    <w:family w:val="modern"/>
    <w:notTrueType/>
    <w:pitch w:val="variable"/>
    <w:sig w:usb0="A000002F" w:usb1="1000004A" w:usb2="00000000" w:usb3="00000000" w:csb0="00000193" w:csb1="00000000"/>
  </w:font>
  <w:font w:name="Geomanist">
    <w:panose1 w:val="02000503000000020004"/>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060E2" w14:textId="77777777" w:rsidR="003378B4" w:rsidRDefault="003378B4" w:rsidP="004A1847">
      <w:pPr>
        <w:spacing w:after="0" w:line="240" w:lineRule="auto"/>
      </w:pPr>
      <w:r>
        <w:separator/>
      </w:r>
    </w:p>
  </w:footnote>
  <w:footnote w:type="continuationSeparator" w:id="0">
    <w:p w14:paraId="6D3C09A2" w14:textId="77777777" w:rsidR="003378B4" w:rsidRDefault="003378B4" w:rsidP="004A1847">
      <w:pPr>
        <w:spacing w:after="0" w:line="240" w:lineRule="auto"/>
      </w:pPr>
      <w:r>
        <w:continuationSeparator/>
      </w:r>
    </w:p>
  </w:footnote>
  <w:footnote w:type="continuationNotice" w:id="1">
    <w:p w14:paraId="4AD26A87" w14:textId="77777777" w:rsidR="003378B4" w:rsidRDefault="003378B4">
      <w:pPr>
        <w:spacing w:after="0" w:line="240" w:lineRule="auto"/>
      </w:pPr>
    </w:p>
  </w:footnote>
  <w:footnote w:id="2">
    <w:p w14:paraId="1AA3A8DF" w14:textId="77777777" w:rsidR="008410D2" w:rsidRDefault="008410D2" w:rsidP="008410D2">
      <w:pPr>
        <w:pStyle w:val="Textonotapie"/>
        <w:ind w:firstLine="708"/>
        <w:jc w:val="both"/>
        <w:rPr>
          <w:rFonts w:ascii="Arial" w:hAnsi="Arial" w:cs="Arial"/>
          <w:sz w:val="16"/>
          <w:szCs w:val="16"/>
          <w:lang w:val="es-CO"/>
        </w:rPr>
      </w:pPr>
      <w:r w:rsidRPr="001A5552">
        <w:rPr>
          <w:rStyle w:val="Refdenotaalpie"/>
          <w:rFonts w:ascii="Arial" w:hAnsi="Arial" w:cs="Arial"/>
          <w:sz w:val="16"/>
          <w:szCs w:val="16"/>
        </w:rPr>
        <w:footnoteRef/>
      </w:r>
      <w:r w:rsidRPr="001A5552">
        <w:rPr>
          <w:rFonts w:ascii="Arial" w:hAnsi="Arial" w:cs="Arial"/>
          <w:sz w:val="16"/>
          <w:szCs w:val="16"/>
        </w:rPr>
        <w:t xml:space="preserve"> </w:t>
      </w:r>
      <w:r w:rsidRPr="001A5552">
        <w:rPr>
          <w:rFonts w:ascii="Arial" w:hAnsi="Arial" w:cs="Arial"/>
          <w:sz w:val="16"/>
          <w:szCs w:val="16"/>
          <w:lang w:val="es-CO"/>
        </w:rPr>
        <w:t xml:space="preserve">Estos conceptos pueden ser consultados en la Relatoría de esta Agencia en el siguiente </w:t>
      </w:r>
      <w:proofErr w:type="gramStart"/>
      <w:r w:rsidRPr="001A5552">
        <w:rPr>
          <w:rFonts w:ascii="Arial" w:hAnsi="Arial" w:cs="Arial"/>
          <w:sz w:val="16"/>
          <w:szCs w:val="16"/>
          <w:lang w:val="es-CO"/>
        </w:rPr>
        <w:t>Link</w:t>
      </w:r>
      <w:proofErr w:type="gramEnd"/>
      <w:r w:rsidRPr="001A5552">
        <w:rPr>
          <w:rFonts w:ascii="Arial" w:hAnsi="Arial" w:cs="Arial"/>
          <w:sz w:val="16"/>
          <w:szCs w:val="16"/>
          <w:lang w:val="es-CO"/>
        </w:rPr>
        <w:t xml:space="preserve">: </w:t>
      </w:r>
      <w:hyperlink r:id="rId1" w:history="1">
        <w:r w:rsidRPr="001A5552">
          <w:rPr>
            <w:rStyle w:val="Hipervnculo"/>
            <w:rFonts w:ascii="Arial" w:hAnsi="Arial" w:cs="Arial"/>
            <w:sz w:val="16"/>
            <w:szCs w:val="16"/>
            <w:lang w:val="es-CO"/>
          </w:rPr>
          <w:t>https://relatoria.colombiacompra.gov.co/busqueda/conceptos</w:t>
        </w:r>
      </w:hyperlink>
      <w:r w:rsidRPr="001A5552">
        <w:rPr>
          <w:rFonts w:ascii="Arial" w:hAnsi="Arial" w:cs="Arial"/>
          <w:sz w:val="16"/>
          <w:szCs w:val="16"/>
          <w:lang w:val="es-CO"/>
        </w:rPr>
        <w:t xml:space="preserve"> </w:t>
      </w:r>
    </w:p>
    <w:p w14:paraId="232D3FD9" w14:textId="77777777" w:rsidR="008410D2" w:rsidRPr="007C211D" w:rsidRDefault="008410D2" w:rsidP="008410D2">
      <w:pPr>
        <w:pStyle w:val="Textonotapie"/>
        <w:ind w:firstLine="708"/>
        <w:jc w:val="both"/>
        <w:rPr>
          <w:rFonts w:ascii="Arial" w:hAnsi="Arial" w:cs="Arial"/>
          <w:sz w:val="16"/>
          <w:szCs w:val="16"/>
          <w:lang w:val="es-CO"/>
        </w:rPr>
      </w:pPr>
    </w:p>
  </w:footnote>
  <w:footnote w:id="3">
    <w:p w14:paraId="13924151" w14:textId="77777777" w:rsidR="008410D2" w:rsidRPr="001A5552" w:rsidRDefault="008410D2" w:rsidP="008410D2">
      <w:pPr>
        <w:spacing w:after="0"/>
        <w:ind w:firstLine="709"/>
        <w:jc w:val="both"/>
        <w:rPr>
          <w:rFonts w:ascii="Arial" w:hAnsi="Arial" w:cs="Arial"/>
          <w:sz w:val="16"/>
          <w:szCs w:val="16"/>
        </w:rPr>
      </w:pPr>
      <w:r w:rsidRPr="001A5552">
        <w:rPr>
          <w:rStyle w:val="Refdenotaalpie"/>
          <w:rFonts w:ascii="Arial" w:hAnsi="Arial" w:cs="Arial"/>
          <w:sz w:val="16"/>
          <w:szCs w:val="16"/>
        </w:rPr>
        <w:footnoteRef/>
      </w:r>
      <w:r w:rsidRPr="001A5552">
        <w:rPr>
          <w:rFonts w:ascii="Arial" w:hAnsi="Arial" w:cs="Arial"/>
          <w:sz w:val="16"/>
          <w:szCs w:val="16"/>
        </w:rPr>
        <w:t xml:space="preserve"> Decreto 1082 de 2015: “Artículo </w:t>
      </w:r>
      <w:bookmarkStart w:id="7" w:name="_Hlk132977831"/>
      <w:r w:rsidRPr="001A5552">
        <w:rPr>
          <w:rFonts w:ascii="Arial" w:hAnsi="Arial" w:cs="Arial"/>
          <w:sz w:val="16"/>
          <w:szCs w:val="16"/>
        </w:rPr>
        <w:t>2.2.1.2.1.4.4</w:t>
      </w:r>
      <w:bookmarkEnd w:id="7"/>
      <w:r w:rsidRPr="001A5552">
        <w:rPr>
          <w:rFonts w:ascii="Arial" w:hAnsi="Arial" w:cs="Arial"/>
          <w:sz w:val="16"/>
          <w:szCs w:val="16"/>
        </w:rPr>
        <w:t xml:space="preserve">. Convenios o contratos interadministrativos. La modalidad de selección para la contratación entre Entidades Estatales es la contratación directa; </w:t>
      </w:r>
      <w:proofErr w:type="gramStart"/>
      <w:r w:rsidRPr="001A5552">
        <w:rPr>
          <w:rFonts w:ascii="Arial" w:hAnsi="Arial" w:cs="Arial"/>
          <w:sz w:val="16"/>
          <w:szCs w:val="16"/>
        </w:rPr>
        <w:t>y</w:t>
      </w:r>
      <w:proofErr w:type="gramEnd"/>
      <w:r w:rsidRPr="001A5552">
        <w:rPr>
          <w:rFonts w:ascii="Arial" w:hAnsi="Arial" w:cs="Arial"/>
          <w:sz w:val="16"/>
          <w:szCs w:val="16"/>
        </w:rPr>
        <w:t xml:space="preserve"> en consecuencia, le es aplicable lo establecido en el artículo 2.2.1.2.1.4.1 del presente decreto.</w:t>
      </w:r>
    </w:p>
    <w:p w14:paraId="6CE06CC8" w14:textId="77777777" w:rsidR="008410D2" w:rsidRPr="001A5552" w:rsidRDefault="008410D2" w:rsidP="008410D2">
      <w:pPr>
        <w:spacing w:after="0"/>
        <w:ind w:firstLine="709"/>
        <w:jc w:val="both"/>
        <w:rPr>
          <w:rFonts w:ascii="Arial" w:hAnsi="Arial" w:cs="Arial"/>
          <w:sz w:val="16"/>
          <w:szCs w:val="16"/>
        </w:rPr>
      </w:pPr>
      <w:r w:rsidRPr="001A5552">
        <w:rPr>
          <w:rFonts w:ascii="Arial" w:hAnsi="Arial" w:cs="Arial"/>
          <w:sz w:val="16"/>
          <w:szCs w:val="16"/>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1A5552">
        <w:rPr>
          <w:rFonts w:ascii="Arial" w:hAnsi="Arial" w:cs="Arial"/>
          <w:spacing w:val="-1"/>
          <w:sz w:val="16"/>
          <w:szCs w:val="16"/>
        </w:rPr>
        <w:t xml:space="preserve"> </w:t>
      </w:r>
      <w:r w:rsidRPr="001A5552">
        <w:rPr>
          <w:rFonts w:ascii="Arial" w:hAnsi="Arial" w:cs="Arial"/>
          <w:sz w:val="16"/>
          <w:szCs w:val="16"/>
        </w:rPr>
        <w:t>Estatales”.</w:t>
      </w:r>
    </w:p>
  </w:footnote>
  <w:footnote w:id="4">
    <w:p w14:paraId="78BA22DF" w14:textId="77777777" w:rsidR="008410D2" w:rsidRDefault="008410D2" w:rsidP="008410D2">
      <w:pPr>
        <w:spacing w:after="0"/>
        <w:ind w:firstLine="709"/>
        <w:jc w:val="both"/>
        <w:rPr>
          <w:rFonts w:ascii="Arial" w:hAnsi="Arial" w:cs="Arial"/>
          <w:sz w:val="16"/>
          <w:szCs w:val="16"/>
        </w:rPr>
      </w:pPr>
      <w:r w:rsidRPr="001A5552">
        <w:rPr>
          <w:rStyle w:val="Refdenotaalpie"/>
          <w:rFonts w:ascii="Arial" w:hAnsi="Arial" w:cs="Arial"/>
          <w:sz w:val="16"/>
          <w:szCs w:val="16"/>
        </w:rPr>
        <w:footnoteRef/>
      </w:r>
      <w:r w:rsidRPr="001A5552">
        <w:rPr>
          <w:rFonts w:ascii="Arial" w:hAnsi="Arial" w:cs="Arial"/>
          <w:sz w:val="16"/>
          <w:szCs w:val="16"/>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1A5552">
        <w:rPr>
          <w:rFonts w:ascii="Arial" w:hAnsi="Arial" w:cs="Arial"/>
          <w:spacing w:val="-6"/>
          <w:sz w:val="16"/>
          <w:szCs w:val="16"/>
        </w:rPr>
        <w:t xml:space="preserve"> </w:t>
      </w:r>
      <w:r w:rsidRPr="001A5552">
        <w:rPr>
          <w:rFonts w:ascii="Arial" w:hAnsi="Arial" w:cs="Arial"/>
          <w:sz w:val="16"/>
          <w:szCs w:val="16"/>
        </w:rPr>
        <w:t>artículo”.</w:t>
      </w:r>
    </w:p>
    <w:p w14:paraId="2FF699A6" w14:textId="77777777" w:rsidR="008410D2" w:rsidRPr="007C211D" w:rsidRDefault="008410D2" w:rsidP="008410D2">
      <w:pPr>
        <w:spacing w:after="0"/>
        <w:ind w:firstLine="709"/>
        <w:jc w:val="both"/>
        <w:rPr>
          <w:rFonts w:ascii="Arial" w:hAnsi="Arial" w:cs="Arial"/>
          <w:sz w:val="16"/>
          <w:szCs w:val="16"/>
        </w:rPr>
      </w:pPr>
    </w:p>
  </w:footnote>
  <w:footnote w:id="5">
    <w:p w14:paraId="17D8CCB6" w14:textId="77777777" w:rsidR="008410D2" w:rsidRPr="001A5552" w:rsidRDefault="008410D2" w:rsidP="008410D2">
      <w:pPr>
        <w:spacing w:after="0"/>
        <w:ind w:firstLine="709"/>
        <w:jc w:val="both"/>
        <w:rPr>
          <w:rFonts w:ascii="Arial" w:hAnsi="Arial" w:cs="Arial"/>
          <w:sz w:val="16"/>
          <w:szCs w:val="16"/>
        </w:rPr>
      </w:pPr>
      <w:r w:rsidRPr="001A5552">
        <w:rPr>
          <w:rStyle w:val="Refdenotaalpie"/>
          <w:rFonts w:ascii="Arial" w:hAnsi="Arial" w:cs="Arial"/>
          <w:sz w:val="16"/>
          <w:szCs w:val="16"/>
        </w:rPr>
        <w:footnoteRef/>
      </w:r>
      <w:r w:rsidRPr="001A5552">
        <w:rPr>
          <w:rFonts w:ascii="Arial" w:hAnsi="Arial" w:cs="Arial"/>
          <w:position w:val="7"/>
          <w:sz w:val="16"/>
          <w:szCs w:val="16"/>
        </w:rPr>
        <w:t xml:space="preserve"> </w:t>
      </w:r>
      <w:r w:rsidRPr="001A5552">
        <w:rPr>
          <w:rFonts w:ascii="Arial" w:hAnsi="Arial" w:cs="Arial"/>
          <w:sz w:val="16"/>
          <w:szCs w:val="16"/>
        </w:rPr>
        <w:t>Consejo de Estado. Sección Tercera. Sentencia del 23 de junio de 2010. Radicación No. 66001-23-31-000-1998-00261-01(17.860). Consejero Ponente: Mauricio Fajardo Gómez.</w:t>
      </w:r>
    </w:p>
  </w:footnote>
  <w:footnote w:id="6">
    <w:p w14:paraId="733213CB" w14:textId="77777777" w:rsidR="008410D2" w:rsidRPr="001A5552" w:rsidRDefault="008410D2" w:rsidP="008410D2">
      <w:pPr>
        <w:spacing w:after="0"/>
        <w:ind w:firstLine="709"/>
        <w:jc w:val="both"/>
        <w:rPr>
          <w:rFonts w:ascii="Arial" w:hAnsi="Arial" w:cs="Arial"/>
          <w:sz w:val="16"/>
          <w:szCs w:val="16"/>
        </w:rPr>
      </w:pPr>
      <w:r w:rsidRPr="001A5552">
        <w:rPr>
          <w:rStyle w:val="Refdenotaalpie"/>
          <w:rFonts w:ascii="Arial" w:hAnsi="Arial" w:cs="Arial"/>
          <w:sz w:val="16"/>
          <w:szCs w:val="16"/>
        </w:rPr>
        <w:footnoteRef/>
      </w:r>
      <w:r w:rsidRPr="001A5552">
        <w:rPr>
          <w:rFonts w:ascii="Arial" w:hAnsi="Arial" w:cs="Arial"/>
          <w:sz w:val="16"/>
          <w:szCs w:val="16"/>
        </w:rPr>
        <w:t xml:space="preserve"> Consejo de Estado. Sección Tercera. Subsección C. Sentencia del 11 de diciembre de 2019. </w:t>
      </w:r>
      <w:proofErr w:type="spellStart"/>
      <w:r w:rsidRPr="001A5552">
        <w:rPr>
          <w:rFonts w:ascii="Arial" w:hAnsi="Arial" w:cs="Arial"/>
          <w:sz w:val="16"/>
          <w:szCs w:val="16"/>
        </w:rPr>
        <w:t>Exp</w:t>
      </w:r>
      <w:proofErr w:type="spellEnd"/>
      <w:r w:rsidRPr="001A5552">
        <w:rPr>
          <w:rFonts w:ascii="Arial" w:hAnsi="Arial" w:cs="Arial"/>
          <w:sz w:val="16"/>
          <w:szCs w:val="16"/>
        </w:rPr>
        <w:t>. 46.986. C.P. Jaime Enrique Rodríguez Navas.</w:t>
      </w:r>
    </w:p>
  </w:footnote>
  <w:footnote w:id="7">
    <w:p w14:paraId="632E3CFE" w14:textId="77777777" w:rsidR="008410D2" w:rsidRPr="001A5552" w:rsidRDefault="008410D2" w:rsidP="008410D2">
      <w:pPr>
        <w:pStyle w:val="Textonotapie"/>
        <w:ind w:firstLine="708"/>
        <w:jc w:val="both"/>
        <w:rPr>
          <w:rFonts w:ascii="Arial" w:hAnsi="Arial" w:cs="Arial"/>
          <w:sz w:val="16"/>
          <w:szCs w:val="16"/>
        </w:rPr>
      </w:pPr>
      <w:r w:rsidRPr="001A5552">
        <w:rPr>
          <w:rStyle w:val="Refdenotaalpie"/>
          <w:rFonts w:ascii="Arial" w:hAnsi="Arial" w:cs="Arial"/>
          <w:sz w:val="16"/>
          <w:szCs w:val="16"/>
        </w:rPr>
        <w:footnoteRef/>
      </w:r>
      <w:r w:rsidRPr="001A5552">
        <w:rPr>
          <w:rFonts w:ascii="Arial" w:hAnsi="Arial" w:cs="Arial"/>
          <w:sz w:val="16"/>
          <w:szCs w:val="16"/>
        </w:rPr>
        <w:t xml:space="preserve"> CONSEJO DE ESTADO. Sala de Consulta y Servicio Civil. Concepto 26 de julio de 2016. </w:t>
      </w:r>
      <w:proofErr w:type="spellStart"/>
      <w:r w:rsidRPr="001A5552">
        <w:rPr>
          <w:rFonts w:ascii="Arial" w:hAnsi="Arial" w:cs="Arial"/>
          <w:sz w:val="16"/>
          <w:szCs w:val="16"/>
        </w:rPr>
        <w:t>Exp</w:t>
      </w:r>
      <w:proofErr w:type="spellEnd"/>
      <w:r w:rsidRPr="001A5552">
        <w:rPr>
          <w:rFonts w:ascii="Arial" w:hAnsi="Arial" w:cs="Arial"/>
          <w:sz w:val="16"/>
          <w:szCs w:val="16"/>
        </w:rPr>
        <w:t xml:space="preserve">. 2.257. C.P. Álvaro </w:t>
      </w:r>
      <w:proofErr w:type="spellStart"/>
      <w:r w:rsidRPr="001A5552">
        <w:rPr>
          <w:rFonts w:ascii="Arial" w:hAnsi="Arial" w:cs="Arial"/>
          <w:sz w:val="16"/>
          <w:szCs w:val="16"/>
        </w:rPr>
        <w:t>Namén</w:t>
      </w:r>
      <w:proofErr w:type="spellEnd"/>
      <w:r w:rsidRPr="001A5552">
        <w:rPr>
          <w:rFonts w:ascii="Arial" w:hAnsi="Arial" w:cs="Arial"/>
          <w:sz w:val="16"/>
          <w:szCs w:val="16"/>
        </w:rPr>
        <w:t xml:space="preserve"> Vargas. </w:t>
      </w:r>
      <w:r w:rsidRPr="001A5552">
        <w:rPr>
          <w:rFonts w:ascii="Arial" w:hAnsi="Arial" w:cs="Arial"/>
          <w:sz w:val="16"/>
          <w:szCs w:val="16"/>
          <w:lang w:val="es-CO"/>
        </w:rPr>
        <w:t xml:space="preserve">Esta diferencia entre contrato y convenio está mucho más apuntalada en el derecho español de acuerdo con el artículo 47.1 de la Ley 40 de 2015, la cual regula el régimen jurídico del sector público. Por ello, la doctrina extrajera también estima que: “De la figura del “contrato” se diferencia la del “convenio”. Mientras el núcleo característico del “contrato” es el contenido económico de las obligaciones que asumen las partes que lo celebran, el “convenio” tiene por objeto el desarrollo de una actividad de una actividad de colaboración interadministrativa. El convenio tiene una función esencialmente </w:t>
      </w:r>
      <w:proofErr w:type="spellStart"/>
      <w:r w:rsidRPr="001A5552">
        <w:rPr>
          <w:rFonts w:ascii="Arial" w:hAnsi="Arial" w:cs="Arial"/>
          <w:sz w:val="16"/>
          <w:szCs w:val="16"/>
          <w:lang w:val="es-CO"/>
        </w:rPr>
        <w:t>organizatoria</w:t>
      </w:r>
      <w:proofErr w:type="spellEnd"/>
      <w:r w:rsidRPr="001A5552">
        <w:rPr>
          <w:rFonts w:ascii="Arial" w:hAnsi="Arial" w:cs="Arial"/>
          <w:sz w:val="16"/>
          <w:szCs w:val="16"/>
          <w:lang w:val="es-CO"/>
        </w:rPr>
        <w:t>, o de promoción y fomento de actividades públicas y privadas; de forma indirecta el convenio puede tener efectos económicos, pero el fundamento de la celebración del convenio es la colaboración entre dos personas” (Cfr. BLANQUER CRIADO, David. Los contratos del sector público. Valencia: Tirant lo Blanch, 2013. p. 39).</w:t>
      </w:r>
    </w:p>
  </w:footnote>
  <w:footnote w:id="8">
    <w:p w14:paraId="7FE6CBFD" w14:textId="77777777" w:rsidR="008410D2" w:rsidRPr="001A5552" w:rsidRDefault="008410D2" w:rsidP="001A5552">
      <w:pPr>
        <w:pStyle w:val="Textonotapie"/>
        <w:spacing w:after="120"/>
        <w:ind w:firstLine="709"/>
        <w:jc w:val="both"/>
        <w:rPr>
          <w:rFonts w:ascii="Arial" w:hAnsi="Arial" w:cs="Arial"/>
          <w:sz w:val="16"/>
          <w:szCs w:val="16"/>
        </w:rPr>
      </w:pPr>
      <w:r w:rsidRPr="001A5552">
        <w:rPr>
          <w:rStyle w:val="Refdenotaalpie"/>
          <w:rFonts w:ascii="Arial" w:hAnsi="Arial" w:cs="Arial"/>
          <w:sz w:val="16"/>
          <w:szCs w:val="16"/>
        </w:rPr>
        <w:footnoteRef/>
      </w:r>
      <w:r w:rsidRPr="001A5552">
        <w:rPr>
          <w:rFonts w:ascii="Arial" w:hAnsi="Arial" w:cs="Arial"/>
          <w:sz w:val="16"/>
          <w:szCs w:val="16"/>
        </w:rPr>
        <w:t xml:space="preserve"> Por ejemplo, </w:t>
      </w:r>
      <w:bookmarkStart w:id="9" w:name="_Hlk131016907"/>
      <w:r w:rsidRPr="001A5552">
        <w:rPr>
          <w:rFonts w:ascii="Arial" w:hAnsi="Arial" w:cs="Arial"/>
          <w:sz w:val="16"/>
          <w:szCs w:val="16"/>
        </w:rPr>
        <w:t xml:space="preserve">Peña Nossa </w:t>
      </w:r>
      <w:bookmarkEnd w:id="9"/>
      <w:r w:rsidRPr="001A5552">
        <w:rPr>
          <w:rFonts w:ascii="Arial" w:hAnsi="Arial" w:cs="Arial"/>
          <w:sz w:val="16"/>
          <w:szCs w:val="16"/>
        </w:rPr>
        <w:t>estima que “La noción tradicional de contrato restringe su aplicación a los actos jurídicos de contraprestación, esto es, aquellos en los que solo existen dos partes, dos manifestaciones de voluntad, con intereses distintos y opuestos, en donde las obligaciones de las partes son interdependientes, esto es, en donde el objeto de la obligación de una de las partes es causa de la obligación de la otra. Como ejemplo de este tipo de actos tenemos la compraventa y el arrendamiento.</w:t>
      </w:r>
    </w:p>
    <w:p w14:paraId="542CA271" w14:textId="77777777" w:rsidR="008410D2" w:rsidRPr="001A5552" w:rsidRDefault="008410D2" w:rsidP="008410D2">
      <w:pPr>
        <w:pStyle w:val="Textonotapie"/>
        <w:ind w:firstLine="708"/>
        <w:jc w:val="both"/>
        <w:rPr>
          <w:rFonts w:ascii="Arial" w:hAnsi="Arial" w:cs="Arial"/>
          <w:sz w:val="16"/>
          <w:szCs w:val="16"/>
        </w:rPr>
      </w:pPr>
      <w:r w:rsidRPr="001A5552">
        <w:rPr>
          <w:rFonts w:ascii="Arial" w:hAnsi="Arial" w:cs="Arial"/>
          <w:sz w:val="16"/>
          <w:szCs w:val="16"/>
        </w:rPr>
        <w:t xml:space="preserve">Una concepción moderna señala que el contrato no solo recoge relaciones jurídicas de contraprestación, debido a la existencia de actos o negocios jurídicos complejos o de colaboración en los que pueden intervenir más de dos partes, que persiguen intereses comunes y por tanto colaboran en su realización. Aquí, a diferencia de lo que sucede en los actos de contraprestación, las obligaciones de las partes son autónomas e independientes, por lo que el incumplimiento de una de ellas no afecta las obligaciones de las demás, y también difiere porque la nulidad que se pronuncie con relación a una de las partes no involucra a las demás ni afecta la validez del negocio jurídico, salvo que la nulidad sea esencial para la consecución del objeto (C. de Co., art. 903). Como ejemplo de este tipo de actos tenemos el contrato de sociedad, las uniones temporales, el contrato de </w:t>
      </w:r>
      <w:proofErr w:type="gramStart"/>
      <w:r w:rsidRPr="001A5552">
        <w:rPr>
          <w:rFonts w:ascii="Arial" w:hAnsi="Arial" w:cs="Arial"/>
          <w:i/>
          <w:sz w:val="16"/>
          <w:szCs w:val="16"/>
        </w:rPr>
        <w:t>joint venture</w:t>
      </w:r>
      <w:proofErr w:type="gramEnd"/>
      <w:r w:rsidRPr="001A5552">
        <w:rPr>
          <w:rFonts w:ascii="Arial" w:hAnsi="Arial" w:cs="Arial"/>
          <w:i/>
          <w:sz w:val="16"/>
          <w:szCs w:val="16"/>
        </w:rPr>
        <w:t>,</w:t>
      </w:r>
      <w:r w:rsidRPr="001A5552">
        <w:rPr>
          <w:rFonts w:ascii="Arial" w:hAnsi="Arial" w:cs="Arial"/>
          <w:sz w:val="16"/>
          <w:szCs w:val="16"/>
        </w:rPr>
        <w:t xml:space="preserve"> etc.” (Cfr. </w:t>
      </w:r>
      <w:r w:rsidRPr="001A5552">
        <w:rPr>
          <w:rFonts w:ascii="Arial" w:hAnsi="Arial" w:cs="Arial"/>
          <w:sz w:val="16"/>
          <w:szCs w:val="16"/>
          <w:lang w:val="es-CO"/>
        </w:rPr>
        <w:t>PEÑA NOSSA, Lisandro. De los contratos mercantiles nacionales e internacionales. Quinta edición. Bogotá: ECOE Ediciones, 2014. Libro electrónico en formato EPUB. En el mismo sentido, ARRUBLA PAUCAR, Jaime Alberto. Contratos mercantiles: teoría general del negocio mercantil. Tomo I. Decimotercera edición. Bogotá: Legis, 2012. pp. 89-91).</w:t>
      </w:r>
      <w:r w:rsidRPr="001A5552">
        <w:rPr>
          <w:rFonts w:ascii="Arial" w:hAnsi="Arial" w:cs="Arial"/>
          <w:sz w:val="16"/>
          <w:szCs w:val="16"/>
        </w:rPr>
        <w:t xml:space="preserve">  </w:t>
      </w:r>
    </w:p>
    <w:p w14:paraId="334A4959" w14:textId="77777777" w:rsidR="008410D2" w:rsidRPr="001A5552" w:rsidRDefault="008410D2" w:rsidP="008410D2">
      <w:pPr>
        <w:pStyle w:val="Textonotapie"/>
        <w:ind w:firstLine="708"/>
        <w:jc w:val="both"/>
        <w:rPr>
          <w:rFonts w:ascii="Arial" w:hAnsi="Arial" w:cs="Arial"/>
          <w:sz w:val="16"/>
          <w:szCs w:val="16"/>
        </w:rPr>
      </w:pPr>
    </w:p>
  </w:footnote>
  <w:footnote w:id="9">
    <w:p w14:paraId="4CEDAD1D" w14:textId="2ACB8D09" w:rsidR="008410D2" w:rsidRPr="001A5552" w:rsidRDefault="008410D2" w:rsidP="008410D2">
      <w:pPr>
        <w:pStyle w:val="Textonotapie"/>
        <w:ind w:firstLine="708"/>
        <w:rPr>
          <w:rFonts w:ascii="Arial" w:hAnsi="Arial" w:cs="Arial"/>
          <w:sz w:val="16"/>
          <w:szCs w:val="16"/>
        </w:rPr>
      </w:pPr>
      <w:r w:rsidRPr="001A5552">
        <w:rPr>
          <w:rStyle w:val="Refdenotaalpie"/>
          <w:rFonts w:ascii="Arial" w:hAnsi="Arial" w:cs="Arial"/>
          <w:sz w:val="16"/>
          <w:szCs w:val="16"/>
        </w:rPr>
        <w:footnoteRef/>
      </w:r>
      <w:r w:rsidRPr="001A5552">
        <w:rPr>
          <w:rFonts w:ascii="Arial" w:hAnsi="Arial" w:cs="Arial"/>
          <w:sz w:val="16"/>
          <w:szCs w:val="16"/>
        </w:rPr>
        <w:t xml:space="preserve"> PLANIOL, Marcel &amp; RIPERT, Jeorge. Tratado práctico de derecho civil francés. Tomo VI. La Habana: Cultural SA, 1940. p. 24. </w:t>
      </w:r>
    </w:p>
  </w:footnote>
  <w:footnote w:id="10">
    <w:p w14:paraId="551722E7" w14:textId="77777777" w:rsidR="008410D2" w:rsidRPr="001A5552" w:rsidRDefault="008410D2" w:rsidP="008410D2">
      <w:pPr>
        <w:pStyle w:val="Textonotapie"/>
        <w:ind w:firstLine="709"/>
        <w:contextualSpacing/>
        <w:jc w:val="both"/>
        <w:rPr>
          <w:rFonts w:ascii="Arial" w:hAnsi="Arial" w:cs="Arial"/>
          <w:sz w:val="16"/>
          <w:szCs w:val="16"/>
          <w:lang w:val="es-CO"/>
        </w:rPr>
      </w:pPr>
      <w:r w:rsidRPr="001A5552">
        <w:rPr>
          <w:rStyle w:val="Refdenotaalpie"/>
          <w:rFonts w:ascii="Arial" w:hAnsi="Arial" w:cs="Arial"/>
          <w:sz w:val="16"/>
          <w:szCs w:val="16"/>
        </w:rPr>
        <w:footnoteRef/>
      </w:r>
      <w:r w:rsidRPr="001A5552">
        <w:rPr>
          <w:rFonts w:ascii="Arial" w:hAnsi="Arial" w:cs="Arial"/>
          <w:sz w:val="16"/>
          <w:szCs w:val="16"/>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11">
    <w:p w14:paraId="73A2CAF0" w14:textId="77777777" w:rsidR="008410D2" w:rsidRPr="001A5552" w:rsidRDefault="008410D2" w:rsidP="008410D2">
      <w:pPr>
        <w:pStyle w:val="Textonotapie"/>
        <w:ind w:firstLine="709"/>
        <w:jc w:val="both"/>
        <w:rPr>
          <w:rFonts w:ascii="Arial" w:hAnsi="Arial" w:cs="Arial"/>
          <w:sz w:val="16"/>
          <w:szCs w:val="16"/>
        </w:rPr>
      </w:pPr>
      <w:r w:rsidRPr="001A5552">
        <w:rPr>
          <w:rStyle w:val="Refdenotaalpie"/>
          <w:rFonts w:ascii="Arial" w:hAnsi="Arial" w:cs="Arial"/>
          <w:sz w:val="16"/>
          <w:szCs w:val="16"/>
        </w:rPr>
        <w:footnoteRef/>
      </w:r>
      <w:r w:rsidRPr="001A5552">
        <w:rPr>
          <w:rFonts w:ascii="Arial" w:hAnsi="Arial" w:cs="Arial"/>
          <w:sz w:val="16"/>
          <w:szCs w:val="16"/>
        </w:rPr>
        <w:t xml:space="preserve"> </w:t>
      </w:r>
      <w:r w:rsidRPr="001A5552">
        <w:rPr>
          <w:rFonts w:ascii="Arial" w:hAnsi="Arial" w:cs="Arial"/>
          <w:sz w:val="16"/>
          <w:szCs w:val="16"/>
          <w:lang w:val="es-CO"/>
        </w:rPr>
        <w:t xml:space="preserve">Ley 1882 de 2018: “Artículo 4. </w:t>
      </w:r>
      <w:r w:rsidRPr="001A5552">
        <w:rPr>
          <w:rFonts w:ascii="Arial" w:hAnsi="Arial" w:cs="Arial"/>
          <w:sz w:val="16"/>
          <w:szCs w:val="16"/>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47503CEB" w14:textId="77777777" w:rsidR="008410D2" w:rsidRPr="001A5552" w:rsidRDefault="008410D2" w:rsidP="008410D2">
      <w:pPr>
        <w:pStyle w:val="Textonotapie"/>
        <w:ind w:firstLine="709"/>
        <w:jc w:val="both"/>
        <w:rPr>
          <w:rFonts w:ascii="Arial" w:hAnsi="Arial" w:cs="Arial"/>
          <w:sz w:val="16"/>
          <w:szCs w:val="16"/>
          <w:lang w:val="es-CO"/>
        </w:rPr>
      </w:pPr>
      <w:r w:rsidRPr="001A5552">
        <w:rPr>
          <w:rFonts w:ascii="Arial" w:hAnsi="Arial" w:cs="Arial"/>
          <w:sz w:val="16"/>
          <w:szCs w:val="16"/>
          <w:lang w:val="es-CO"/>
        </w:rPr>
        <w:t>La facultad de adoptar documentos tipo la tendrá el Gobierno nacional, cuando lo considere necesario, en relación con otros contratos o procesos de selección.</w:t>
      </w:r>
    </w:p>
    <w:p w14:paraId="6C3DD437" w14:textId="77777777" w:rsidR="008410D2" w:rsidRPr="001A5552" w:rsidRDefault="008410D2" w:rsidP="008410D2">
      <w:pPr>
        <w:pStyle w:val="Textonotapie"/>
        <w:ind w:firstLine="709"/>
        <w:contextualSpacing/>
        <w:jc w:val="both"/>
        <w:rPr>
          <w:rFonts w:ascii="Arial" w:hAnsi="Arial" w:cs="Arial"/>
          <w:sz w:val="16"/>
          <w:szCs w:val="16"/>
          <w:lang w:val="es-CO"/>
        </w:rPr>
      </w:pPr>
      <w:r w:rsidRPr="001A5552">
        <w:rPr>
          <w:rFonts w:ascii="Arial" w:hAnsi="Arial" w:cs="Arial"/>
          <w:sz w:val="16"/>
          <w:szCs w:val="16"/>
          <w:lang w:val="es-CO"/>
        </w:rPr>
        <w:t>Los pliegos tipo se adoptarán por categorías de acuerdo con la cuantía de la contratación, según la reglamentación que expida el Gobierno nacional”.</w:t>
      </w:r>
    </w:p>
  </w:footnote>
  <w:footnote w:id="12">
    <w:p w14:paraId="1B0341D0" w14:textId="77777777" w:rsidR="008410D2" w:rsidRPr="001A5552" w:rsidRDefault="008410D2" w:rsidP="008410D2">
      <w:pPr>
        <w:pStyle w:val="Textonotapie"/>
        <w:ind w:firstLine="709"/>
        <w:contextualSpacing/>
        <w:jc w:val="both"/>
        <w:rPr>
          <w:rFonts w:ascii="Arial" w:hAnsi="Arial" w:cs="Arial"/>
          <w:sz w:val="16"/>
          <w:szCs w:val="16"/>
        </w:rPr>
      </w:pPr>
      <w:r w:rsidRPr="001A5552">
        <w:rPr>
          <w:rStyle w:val="Refdenotaalpie"/>
          <w:rFonts w:ascii="Arial" w:hAnsi="Arial" w:cs="Arial"/>
          <w:sz w:val="16"/>
          <w:szCs w:val="16"/>
        </w:rPr>
        <w:footnoteRef/>
      </w:r>
      <w:r w:rsidRPr="001A5552">
        <w:rPr>
          <w:rFonts w:ascii="Arial" w:hAnsi="Arial" w:cs="Arial"/>
          <w:sz w:val="16"/>
          <w:szCs w:val="16"/>
        </w:rPr>
        <w:t xml:space="preserve"> CORTE CONSTITUCIONAL, sentencia C-119 de 2020. M.P. Alejandro Linares Cantillo. En dicha oportunidad se indicó que: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footnote>
  <w:footnote w:id="13">
    <w:p w14:paraId="6700778A" w14:textId="77777777" w:rsidR="008410D2" w:rsidRPr="001A5552" w:rsidRDefault="008410D2" w:rsidP="008410D2">
      <w:pPr>
        <w:pStyle w:val="NormalWeb"/>
        <w:spacing w:before="0" w:beforeAutospacing="0" w:after="0" w:afterAutospacing="0"/>
        <w:ind w:firstLine="708"/>
        <w:contextualSpacing/>
        <w:jc w:val="both"/>
        <w:rPr>
          <w:rFonts w:ascii="Arial" w:hAnsi="Arial" w:cs="Arial"/>
          <w:sz w:val="16"/>
          <w:szCs w:val="16"/>
        </w:rPr>
      </w:pPr>
      <w:r w:rsidRPr="001A5552">
        <w:rPr>
          <w:rStyle w:val="Refdenotaalpie"/>
          <w:rFonts w:ascii="Arial" w:eastAsiaTheme="majorEastAsia" w:hAnsi="Arial" w:cs="Arial"/>
          <w:sz w:val="16"/>
          <w:szCs w:val="16"/>
        </w:rPr>
        <w:footnoteRef/>
      </w:r>
      <w:r w:rsidRPr="001A5552">
        <w:rPr>
          <w:rFonts w:ascii="Arial" w:hAnsi="Arial" w:cs="Arial"/>
          <w:sz w:val="16"/>
          <w:szCs w:val="16"/>
        </w:rPr>
        <w:t xml:space="preserve"> Ley 2022 de 2020: “</w:t>
      </w:r>
      <w:r w:rsidRPr="001A5552">
        <w:rPr>
          <w:rStyle w:val="Textoennegrita"/>
          <w:rFonts w:ascii="Arial" w:hAnsi="Arial" w:cs="Arial"/>
          <w:b w:val="0"/>
          <w:sz w:val="16"/>
          <w:szCs w:val="16"/>
        </w:rPr>
        <w:t>Artículo 1º.</w:t>
      </w:r>
      <w:r w:rsidRPr="001A5552">
        <w:rPr>
          <w:rFonts w:ascii="Arial" w:hAnsi="Arial" w:cs="Arial"/>
          <w:sz w:val="16"/>
          <w:szCs w:val="16"/>
        </w:rPr>
        <w:t> Modifíquese el artículo 4º de la Ley 1882 de 2018, el cual quedará así:</w:t>
      </w:r>
    </w:p>
    <w:p w14:paraId="17F6E511" w14:textId="77777777" w:rsidR="008410D2" w:rsidRPr="001A5552" w:rsidRDefault="008410D2" w:rsidP="008410D2">
      <w:pPr>
        <w:pStyle w:val="NormalWeb"/>
        <w:spacing w:before="0" w:beforeAutospacing="0" w:after="0" w:afterAutospacing="0"/>
        <w:ind w:firstLine="708"/>
        <w:contextualSpacing/>
        <w:jc w:val="both"/>
        <w:rPr>
          <w:rFonts w:ascii="Arial" w:hAnsi="Arial" w:cs="Arial"/>
          <w:sz w:val="16"/>
          <w:szCs w:val="16"/>
        </w:rPr>
      </w:pPr>
      <w:r w:rsidRPr="001A5552">
        <w:rPr>
          <w:rStyle w:val="Textoennegrita"/>
          <w:rFonts w:ascii="Arial" w:hAnsi="Arial" w:cs="Arial"/>
          <w:b w:val="0"/>
          <w:sz w:val="16"/>
          <w:szCs w:val="16"/>
        </w:rPr>
        <w:t>“Artículo 4º.</w:t>
      </w:r>
      <w:r w:rsidRPr="001A5552">
        <w:rPr>
          <w:rFonts w:ascii="Arial" w:hAnsi="Arial" w:cs="Arial"/>
          <w:sz w:val="16"/>
          <w:szCs w:val="16"/>
        </w:rPr>
        <w:t> Adiciónese el siguiente parágrafo al artículo 2º de la Ley 1150 de 2007.</w:t>
      </w:r>
    </w:p>
    <w:p w14:paraId="75BE8148" w14:textId="77777777" w:rsidR="008410D2" w:rsidRPr="001A5552" w:rsidRDefault="008410D2" w:rsidP="008410D2">
      <w:pPr>
        <w:pStyle w:val="NormalWeb"/>
        <w:spacing w:before="0" w:beforeAutospacing="0" w:after="0" w:afterAutospacing="0"/>
        <w:ind w:firstLine="708"/>
        <w:contextualSpacing/>
        <w:jc w:val="both"/>
        <w:rPr>
          <w:rFonts w:ascii="Arial" w:hAnsi="Arial" w:cs="Arial"/>
          <w:sz w:val="16"/>
          <w:szCs w:val="16"/>
        </w:rPr>
      </w:pPr>
      <w:r w:rsidRPr="001A5552">
        <w:rPr>
          <w:rStyle w:val="Textoennegrita"/>
          <w:rFonts w:ascii="Arial" w:hAnsi="Arial" w:cs="Arial"/>
          <w:b w:val="0"/>
          <w:sz w:val="16"/>
          <w:szCs w:val="16"/>
        </w:rPr>
        <w:t>Parágrafo 7º.</w:t>
      </w:r>
      <w:r w:rsidRPr="001A5552">
        <w:rPr>
          <w:rFonts w:ascii="Arial" w:hAnsi="Arial" w:cs="Arial"/>
          <w:sz w:val="16"/>
          <w:szCs w:val="16"/>
        </w:rPr>
        <w:t>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2872ABA2" w14:textId="77777777" w:rsidR="008410D2" w:rsidRPr="001A5552" w:rsidRDefault="008410D2" w:rsidP="008410D2">
      <w:pPr>
        <w:pStyle w:val="NormalWeb"/>
        <w:spacing w:before="0" w:beforeAutospacing="0" w:after="0" w:afterAutospacing="0"/>
        <w:ind w:firstLine="708"/>
        <w:contextualSpacing/>
        <w:jc w:val="both"/>
        <w:rPr>
          <w:rFonts w:ascii="Arial" w:hAnsi="Arial" w:cs="Arial"/>
          <w:sz w:val="16"/>
          <w:szCs w:val="16"/>
        </w:rPr>
      </w:pPr>
      <w:r w:rsidRPr="001A5552">
        <w:rPr>
          <w:rFonts w:ascii="Arial" w:hAnsi="Arial" w:cs="Arial"/>
          <w:sz w:val="16"/>
          <w:szCs w:val="16"/>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522F1EB9" w14:textId="77777777" w:rsidR="008410D2" w:rsidRPr="001A5552" w:rsidRDefault="008410D2" w:rsidP="008410D2">
      <w:pPr>
        <w:pStyle w:val="NormalWeb"/>
        <w:spacing w:before="0" w:beforeAutospacing="0" w:after="0" w:afterAutospacing="0"/>
        <w:ind w:firstLine="708"/>
        <w:contextualSpacing/>
        <w:jc w:val="both"/>
        <w:rPr>
          <w:rFonts w:ascii="Arial" w:hAnsi="Arial" w:cs="Arial"/>
          <w:sz w:val="16"/>
          <w:szCs w:val="16"/>
        </w:rPr>
      </w:pPr>
      <w:r w:rsidRPr="001A5552">
        <w:rPr>
          <w:rFonts w:ascii="Arial" w:hAnsi="Arial" w:cs="Arial"/>
          <w:sz w:val="16"/>
          <w:szCs w:val="16"/>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74BA73E0" w14:textId="77777777" w:rsidR="008410D2" w:rsidRPr="001A5552" w:rsidRDefault="008410D2" w:rsidP="008410D2">
      <w:pPr>
        <w:pStyle w:val="NormalWeb"/>
        <w:spacing w:before="0" w:beforeAutospacing="0" w:after="0" w:afterAutospacing="0"/>
        <w:ind w:firstLine="708"/>
        <w:contextualSpacing/>
        <w:jc w:val="both"/>
        <w:rPr>
          <w:rFonts w:ascii="Arial" w:hAnsi="Arial" w:cs="Arial"/>
          <w:sz w:val="16"/>
          <w:szCs w:val="16"/>
        </w:rPr>
      </w:pPr>
      <w:r w:rsidRPr="001A5552">
        <w:rPr>
          <w:rFonts w:ascii="Arial" w:hAnsi="Arial" w:cs="Arial"/>
          <w:sz w:val="16"/>
          <w:szCs w:val="16"/>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2FFC3BF5" w14:textId="77777777" w:rsidR="008410D2" w:rsidRPr="001A5552" w:rsidRDefault="008410D2" w:rsidP="008410D2">
      <w:pPr>
        <w:pStyle w:val="NormalWeb"/>
        <w:spacing w:before="0" w:beforeAutospacing="0" w:after="0" w:afterAutospacing="0"/>
        <w:ind w:firstLine="708"/>
        <w:contextualSpacing/>
        <w:jc w:val="both"/>
        <w:rPr>
          <w:rFonts w:ascii="Arial" w:hAnsi="Arial" w:cs="Arial"/>
          <w:sz w:val="16"/>
          <w:szCs w:val="16"/>
        </w:rPr>
      </w:pPr>
      <w:r w:rsidRPr="001A5552">
        <w:rPr>
          <w:rFonts w:ascii="Arial" w:hAnsi="Arial" w:cs="Arial"/>
          <w:sz w:val="16"/>
          <w:szCs w:val="16"/>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14">
    <w:p w14:paraId="7A94E8E9" w14:textId="77777777" w:rsidR="008410D2" w:rsidRDefault="008410D2" w:rsidP="008410D2">
      <w:pPr>
        <w:pStyle w:val="Textonotapie"/>
        <w:ind w:firstLine="708"/>
        <w:jc w:val="both"/>
        <w:rPr>
          <w:rFonts w:ascii="Arial" w:hAnsi="Arial" w:cs="Arial"/>
          <w:sz w:val="16"/>
          <w:szCs w:val="16"/>
        </w:rPr>
      </w:pPr>
      <w:r w:rsidRPr="001A5552">
        <w:rPr>
          <w:rStyle w:val="Refdenotaalpie"/>
          <w:rFonts w:ascii="Arial" w:hAnsi="Arial" w:cs="Arial"/>
          <w:sz w:val="16"/>
          <w:szCs w:val="16"/>
        </w:rPr>
        <w:footnoteRef/>
      </w:r>
      <w:r w:rsidRPr="001A5552">
        <w:rPr>
          <w:rFonts w:ascii="Arial" w:hAnsi="Arial" w:cs="Arial"/>
          <w:sz w:val="16"/>
          <w:szCs w:val="16"/>
        </w:rPr>
        <w:t xml:space="preserve"> CONGRESO DE LA REPÚBLICA., Gaceta legislativa No. 1249 de 4 de noviembre de 2020 – Senado.</w:t>
      </w:r>
    </w:p>
    <w:p w14:paraId="6480C9E5" w14:textId="77777777" w:rsidR="008410D2" w:rsidRPr="001A5552" w:rsidRDefault="008410D2" w:rsidP="008410D2">
      <w:pPr>
        <w:pStyle w:val="Textonotapie"/>
        <w:ind w:firstLine="708"/>
        <w:jc w:val="both"/>
        <w:rPr>
          <w:rFonts w:ascii="Arial" w:hAnsi="Arial" w:cs="Arial"/>
          <w:sz w:val="16"/>
          <w:szCs w:val="16"/>
          <w:lang w:val="es-CO"/>
        </w:rPr>
      </w:pPr>
    </w:p>
  </w:footnote>
  <w:footnote w:id="15">
    <w:p w14:paraId="3DB83AB7" w14:textId="77777777" w:rsidR="008410D2" w:rsidRPr="001A5552" w:rsidRDefault="008410D2" w:rsidP="008410D2">
      <w:pPr>
        <w:pStyle w:val="Textonotapie"/>
        <w:ind w:firstLine="708"/>
        <w:jc w:val="both"/>
        <w:rPr>
          <w:rFonts w:ascii="Arial" w:hAnsi="Arial" w:cs="Arial"/>
          <w:sz w:val="16"/>
          <w:szCs w:val="16"/>
          <w:lang w:val="es-CO"/>
        </w:rPr>
      </w:pPr>
      <w:r w:rsidRPr="001A5552">
        <w:rPr>
          <w:rStyle w:val="Refdenotaalpie"/>
          <w:rFonts w:ascii="Arial" w:hAnsi="Arial" w:cs="Arial"/>
          <w:sz w:val="16"/>
          <w:szCs w:val="16"/>
        </w:rPr>
        <w:footnoteRef/>
      </w:r>
      <w:r w:rsidRPr="001A5552">
        <w:rPr>
          <w:rFonts w:ascii="Arial" w:hAnsi="Arial" w:cs="Arial"/>
          <w:sz w:val="16"/>
          <w:szCs w:val="16"/>
        </w:rPr>
        <w:t xml:space="preserve"> CONGRESO DE LA REPÚBLICA., </w:t>
      </w:r>
      <w:r w:rsidRPr="001A5552">
        <w:rPr>
          <w:rFonts w:ascii="Arial" w:hAnsi="Arial" w:cs="Arial"/>
          <w:sz w:val="16"/>
          <w:szCs w:val="16"/>
          <w:lang w:val="es-CO"/>
        </w:rPr>
        <w:t>Gaceta legislativa No.1677 de 23 de noviembre de 2021 – Cámara de Representantes.</w:t>
      </w:r>
    </w:p>
  </w:footnote>
  <w:footnote w:id="16">
    <w:p w14:paraId="271B8984" w14:textId="77777777" w:rsidR="0017508F" w:rsidRDefault="0017508F" w:rsidP="008410D2">
      <w:pPr>
        <w:pStyle w:val="Textonotapie"/>
        <w:ind w:firstLine="708"/>
        <w:jc w:val="both"/>
        <w:rPr>
          <w:rFonts w:ascii="Arial" w:hAnsi="Arial" w:cs="Arial"/>
          <w:sz w:val="16"/>
          <w:szCs w:val="16"/>
        </w:rPr>
      </w:pPr>
    </w:p>
    <w:p w14:paraId="5FB152EC" w14:textId="794A0129" w:rsidR="008410D2" w:rsidRPr="001A5552" w:rsidRDefault="008410D2" w:rsidP="008410D2">
      <w:pPr>
        <w:pStyle w:val="Textonotapie"/>
        <w:ind w:firstLine="708"/>
        <w:jc w:val="both"/>
        <w:rPr>
          <w:rFonts w:ascii="Arial" w:hAnsi="Arial" w:cs="Arial"/>
          <w:sz w:val="16"/>
          <w:szCs w:val="16"/>
          <w:lang w:val="es-CO"/>
        </w:rPr>
      </w:pPr>
      <w:r w:rsidRPr="001A5552">
        <w:rPr>
          <w:rStyle w:val="Refdenotaalpie"/>
          <w:rFonts w:ascii="Arial" w:hAnsi="Arial" w:cs="Arial"/>
          <w:sz w:val="16"/>
          <w:szCs w:val="16"/>
        </w:rPr>
        <w:footnoteRef/>
      </w:r>
      <w:r w:rsidRPr="001A5552">
        <w:rPr>
          <w:rFonts w:ascii="Arial" w:hAnsi="Arial" w:cs="Arial"/>
          <w:sz w:val="16"/>
          <w:szCs w:val="16"/>
        </w:rPr>
        <w:t xml:space="preserve"> </w:t>
      </w:r>
      <w:r w:rsidRPr="001A5552">
        <w:rPr>
          <w:rFonts w:ascii="Arial" w:hAnsi="Arial" w:cs="Arial"/>
          <w:sz w:val="16"/>
          <w:szCs w:val="16"/>
          <w:lang w:val="es-CO"/>
        </w:rPr>
        <w:t xml:space="preserve">Intervención realizada por </w:t>
      </w:r>
      <w:r w:rsidRPr="001A5552">
        <w:rPr>
          <w:rFonts w:ascii="Arial" w:eastAsia="Calibri" w:hAnsi="Arial" w:cs="Arial"/>
          <w:sz w:val="16"/>
          <w:szCs w:val="16"/>
          <w:lang w:val="es-ES_tradnl" w:eastAsia="es-ES_tradnl"/>
        </w:rPr>
        <w:t xml:space="preserve">el subdirector de Gestión Contractual de la Agencia, en ese entonces, el abogado Jorge Tirado, que reposa en la gaceta legislativa No. 274 del 13 de abril de 2021 - </w:t>
      </w:r>
      <w:r w:rsidRPr="001A5552">
        <w:rPr>
          <w:rFonts w:ascii="Arial" w:hAnsi="Arial" w:cs="Arial"/>
          <w:sz w:val="16"/>
          <w:szCs w:val="16"/>
        </w:rPr>
        <w:t>Senado del Congreso de la República.</w:t>
      </w:r>
    </w:p>
  </w:footnote>
  <w:footnote w:id="17">
    <w:p w14:paraId="30C71CC6" w14:textId="77777777" w:rsidR="008410D2" w:rsidRPr="001A5552" w:rsidRDefault="008410D2" w:rsidP="008410D2">
      <w:pPr>
        <w:pStyle w:val="Textonotapie"/>
        <w:ind w:firstLine="708"/>
        <w:jc w:val="both"/>
        <w:rPr>
          <w:rFonts w:ascii="Arial" w:hAnsi="Arial" w:cs="Arial"/>
          <w:sz w:val="16"/>
          <w:szCs w:val="16"/>
          <w:lang w:val="es-CO"/>
        </w:rPr>
      </w:pPr>
      <w:r w:rsidRPr="001A5552">
        <w:rPr>
          <w:rStyle w:val="Refdenotaalpie"/>
          <w:rFonts w:ascii="Arial" w:hAnsi="Arial" w:cs="Arial"/>
          <w:sz w:val="16"/>
          <w:szCs w:val="16"/>
        </w:rPr>
        <w:footnoteRef/>
      </w:r>
      <w:r w:rsidRPr="001A5552">
        <w:rPr>
          <w:rFonts w:ascii="Arial" w:hAnsi="Arial" w:cs="Arial"/>
          <w:sz w:val="16"/>
          <w:szCs w:val="16"/>
        </w:rPr>
        <w:t xml:space="preserve"> Ver articulado propuesto en el informe de ponencia para primer debate del </w:t>
      </w:r>
      <w:r w:rsidRPr="001A5552">
        <w:rPr>
          <w:rFonts w:ascii="Arial" w:eastAsia="Calibri" w:hAnsi="Arial" w:cs="Arial"/>
          <w:sz w:val="16"/>
          <w:szCs w:val="16"/>
          <w:lang w:val="es-ES_tradnl" w:eastAsia="es-ES_tradnl"/>
        </w:rPr>
        <w:t>Proyecto de Ley No. 341 de 2020</w:t>
      </w:r>
      <w:r w:rsidRPr="001A5552">
        <w:rPr>
          <w:rFonts w:ascii="Arial" w:hAnsi="Arial" w:cs="Arial"/>
          <w:sz w:val="16"/>
          <w:szCs w:val="16"/>
        </w:rPr>
        <w:t xml:space="preserve">del </w:t>
      </w:r>
      <w:r w:rsidRPr="001A5552">
        <w:rPr>
          <w:rFonts w:ascii="Arial" w:eastAsia="Calibri" w:hAnsi="Arial" w:cs="Arial"/>
          <w:sz w:val="16"/>
          <w:szCs w:val="16"/>
          <w:lang w:val="es-ES_tradnl" w:eastAsia="es-ES_tradnl"/>
        </w:rPr>
        <w:t xml:space="preserve">gaceta legislativa No. 274 del 13 de abril de 2021 - </w:t>
      </w:r>
      <w:r w:rsidRPr="001A5552">
        <w:rPr>
          <w:rFonts w:ascii="Arial" w:hAnsi="Arial" w:cs="Arial"/>
          <w:sz w:val="16"/>
          <w:szCs w:val="16"/>
        </w:rPr>
        <w:t>Senado del Congreso de la República.</w:t>
      </w:r>
    </w:p>
  </w:footnote>
  <w:footnote w:id="18">
    <w:p w14:paraId="61A7A721" w14:textId="77777777" w:rsidR="008410D2" w:rsidRPr="001A5552" w:rsidRDefault="008410D2" w:rsidP="008410D2">
      <w:pPr>
        <w:pStyle w:val="Textonotapie"/>
        <w:ind w:firstLine="708"/>
        <w:jc w:val="both"/>
        <w:rPr>
          <w:rFonts w:ascii="Arial" w:hAnsi="Arial" w:cs="Arial"/>
          <w:sz w:val="16"/>
          <w:szCs w:val="16"/>
        </w:rPr>
      </w:pPr>
      <w:r w:rsidRPr="001A5552">
        <w:rPr>
          <w:rStyle w:val="Refdenotaalpie"/>
          <w:rFonts w:ascii="Arial" w:hAnsi="Arial" w:cs="Arial"/>
          <w:sz w:val="16"/>
          <w:szCs w:val="16"/>
        </w:rPr>
        <w:footnoteRef/>
      </w:r>
      <w:r w:rsidRPr="001A5552">
        <w:rPr>
          <w:rFonts w:ascii="Arial" w:hAnsi="Arial" w:cs="Arial"/>
          <w:sz w:val="16"/>
          <w:szCs w:val="16"/>
        </w:rPr>
        <w:t xml:space="preserve">Ver aparte de pliego de modificaciones en el informe de ponencia para primer debate del </w:t>
      </w:r>
      <w:r w:rsidRPr="001A5552">
        <w:rPr>
          <w:rFonts w:ascii="Arial" w:eastAsia="Calibri" w:hAnsi="Arial" w:cs="Arial"/>
          <w:sz w:val="16"/>
          <w:szCs w:val="16"/>
          <w:lang w:val="es-ES_tradnl" w:eastAsia="es-ES_tradnl"/>
        </w:rPr>
        <w:t>Proyecto de Ley No. 341 de 2020</w:t>
      </w:r>
      <w:r w:rsidRPr="001A5552">
        <w:rPr>
          <w:rFonts w:ascii="Arial" w:hAnsi="Arial" w:cs="Arial"/>
          <w:sz w:val="16"/>
          <w:szCs w:val="16"/>
        </w:rPr>
        <w:t xml:space="preserve">del </w:t>
      </w:r>
      <w:r w:rsidRPr="001A5552">
        <w:rPr>
          <w:rFonts w:ascii="Arial" w:eastAsia="Calibri" w:hAnsi="Arial" w:cs="Arial"/>
          <w:sz w:val="16"/>
          <w:szCs w:val="16"/>
          <w:lang w:val="es-ES_tradnl" w:eastAsia="es-ES_tradnl"/>
        </w:rPr>
        <w:t xml:space="preserve">gaceta legislativa No. 274 del 13 de abril de 2021 - </w:t>
      </w:r>
      <w:r w:rsidRPr="001A5552">
        <w:rPr>
          <w:rFonts w:ascii="Arial" w:hAnsi="Arial" w:cs="Arial"/>
          <w:sz w:val="16"/>
          <w:szCs w:val="16"/>
        </w:rPr>
        <w:t>Senado del Congreso de la República.</w:t>
      </w:r>
    </w:p>
    <w:p w14:paraId="77C37699" w14:textId="77777777" w:rsidR="008410D2" w:rsidRPr="001A5552" w:rsidRDefault="008410D2" w:rsidP="008410D2">
      <w:pPr>
        <w:pStyle w:val="Textonotapie"/>
        <w:ind w:firstLine="708"/>
        <w:jc w:val="both"/>
        <w:rPr>
          <w:rFonts w:ascii="Arial" w:hAnsi="Arial" w:cs="Arial"/>
          <w:sz w:val="16"/>
          <w:szCs w:val="16"/>
          <w:lang w:val="es-CO"/>
        </w:rPr>
      </w:pPr>
    </w:p>
  </w:footnote>
  <w:footnote w:id="19">
    <w:p w14:paraId="20A9D514" w14:textId="77777777" w:rsidR="008410D2" w:rsidRPr="001A5552" w:rsidRDefault="008410D2" w:rsidP="008410D2">
      <w:pPr>
        <w:pStyle w:val="Textonotapie"/>
        <w:ind w:firstLine="708"/>
        <w:jc w:val="both"/>
        <w:rPr>
          <w:rFonts w:ascii="Arial" w:hAnsi="Arial" w:cs="Arial"/>
          <w:sz w:val="16"/>
          <w:szCs w:val="16"/>
          <w:lang w:val="es-CO"/>
        </w:rPr>
      </w:pPr>
      <w:r w:rsidRPr="001A5552">
        <w:rPr>
          <w:rStyle w:val="Refdenotaalpie"/>
          <w:rFonts w:ascii="Arial" w:hAnsi="Arial" w:cs="Arial"/>
          <w:sz w:val="16"/>
          <w:szCs w:val="16"/>
        </w:rPr>
        <w:footnoteRef/>
      </w:r>
      <w:r w:rsidRPr="001A5552">
        <w:rPr>
          <w:rFonts w:ascii="Arial" w:hAnsi="Arial" w:cs="Arial"/>
          <w:sz w:val="16"/>
          <w:szCs w:val="16"/>
        </w:rPr>
        <w:t xml:space="preserve"> CONGRESO DE LA REPÚBLICA., Gaceta legislativa No. 1160 del 9 de septiembre de 2021</w:t>
      </w:r>
      <w:r w:rsidRPr="001A5552">
        <w:rPr>
          <w:rFonts w:ascii="Arial" w:eastAsia="Calibri" w:hAnsi="Arial" w:cs="Arial"/>
          <w:sz w:val="16"/>
          <w:szCs w:val="16"/>
          <w:lang w:val="es-ES_tradnl" w:eastAsia="es-ES_tradnl"/>
        </w:rPr>
        <w:t xml:space="preserve">- </w:t>
      </w:r>
      <w:r w:rsidRPr="001A5552">
        <w:rPr>
          <w:rFonts w:ascii="Arial" w:hAnsi="Arial" w:cs="Arial"/>
          <w:sz w:val="16"/>
          <w:szCs w:val="16"/>
        </w:rPr>
        <w:t>Senado.</w:t>
      </w:r>
    </w:p>
  </w:footnote>
  <w:footnote w:id="20">
    <w:p w14:paraId="38AE1D01" w14:textId="77777777" w:rsidR="008410D2" w:rsidRPr="001A5552" w:rsidRDefault="008410D2" w:rsidP="008410D2">
      <w:pPr>
        <w:pStyle w:val="Textonotapie"/>
        <w:ind w:firstLine="708"/>
        <w:jc w:val="both"/>
        <w:rPr>
          <w:rFonts w:ascii="Arial" w:hAnsi="Arial" w:cs="Arial"/>
          <w:sz w:val="16"/>
          <w:szCs w:val="16"/>
          <w:lang w:val="es-CO"/>
        </w:rPr>
      </w:pPr>
      <w:r w:rsidRPr="001A5552">
        <w:rPr>
          <w:rStyle w:val="Refdenotaalpie"/>
          <w:rFonts w:ascii="Arial" w:hAnsi="Arial" w:cs="Arial"/>
          <w:sz w:val="16"/>
          <w:szCs w:val="16"/>
        </w:rPr>
        <w:footnoteRef/>
      </w:r>
      <w:r w:rsidRPr="001A5552">
        <w:rPr>
          <w:rFonts w:ascii="Arial" w:hAnsi="Arial" w:cs="Arial"/>
          <w:sz w:val="16"/>
          <w:szCs w:val="16"/>
        </w:rPr>
        <w:t xml:space="preserve"> CONGRESO DE LA REPÚBLICA., </w:t>
      </w:r>
      <w:r w:rsidRPr="001A5552">
        <w:rPr>
          <w:rFonts w:ascii="Arial" w:hAnsi="Arial" w:cs="Arial"/>
          <w:sz w:val="16"/>
          <w:szCs w:val="16"/>
          <w:lang w:val="es-CO"/>
        </w:rPr>
        <w:t>Gaceta legislativa No. 1589 del 9 de noviembre de 2021 – Senado.</w:t>
      </w:r>
    </w:p>
  </w:footnote>
  <w:footnote w:id="21">
    <w:p w14:paraId="0A9B8190" w14:textId="77777777" w:rsidR="008410D2" w:rsidRPr="001A5552" w:rsidRDefault="008410D2" w:rsidP="008410D2">
      <w:pPr>
        <w:pStyle w:val="Textonotapie"/>
        <w:ind w:firstLine="708"/>
        <w:jc w:val="both"/>
        <w:rPr>
          <w:rFonts w:ascii="Arial" w:hAnsi="Arial" w:cs="Arial"/>
          <w:sz w:val="16"/>
          <w:szCs w:val="16"/>
        </w:rPr>
      </w:pPr>
    </w:p>
    <w:p w14:paraId="0AC62EC2" w14:textId="77777777" w:rsidR="008410D2" w:rsidRPr="001A5552" w:rsidRDefault="008410D2" w:rsidP="008410D2">
      <w:pPr>
        <w:pStyle w:val="Textonotapie"/>
        <w:ind w:firstLine="708"/>
        <w:jc w:val="both"/>
        <w:rPr>
          <w:rFonts w:ascii="Arial" w:hAnsi="Arial" w:cs="Arial"/>
          <w:sz w:val="16"/>
          <w:szCs w:val="16"/>
          <w:lang w:val="es-CO"/>
        </w:rPr>
      </w:pPr>
      <w:r w:rsidRPr="001A5552">
        <w:rPr>
          <w:rStyle w:val="Refdenotaalpie"/>
          <w:rFonts w:ascii="Arial" w:hAnsi="Arial" w:cs="Arial"/>
          <w:sz w:val="16"/>
          <w:szCs w:val="16"/>
        </w:rPr>
        <w:footnoteRef/>
      </w:r>
      <w:r w:rsidRPr="001A5552">
        <w:rPr>
          <w:rFonts w:ascii="Arial" w:hAnsi="Arial" w:cs="Arial"/>
          <w:sz w:val="16"/>
          <w:szCs w:val="16"/>
        </w:rPr>
        <w:t xml:space="preserve"> </w:t>
      </w:r>
      <w:r w:rsidRPr="001A5552">
        <w:rPr>
          <w:rFonts w:ascii="Arial" w:hAnsi="Arial" w:cs="Arial"/>
          <w:sz w:val="16"/>
          <w:szCs w:val="16"/>
          <w:lang w:val="es-CO"/>
        </w:rPr>
        <w:t xml:space="preserve">Ver gacetas legislativas No. 1677 de 23 de noviembre de 2021, No. 1752 de 1 de diciembre de 2021 y No. 1828 del 14 de diciembre – Cámara de Representantes del Congreso de la República </w:t>
      </w:r>
    </w:p>
  </w:footnote>
  <w:footnote w:id="22">
    <w:p w14:paraId="66749A30" w14:textId="77777777" w:rsidR="0017508F" w:rsidRDefault="0017508F" w:rsidP="008410D2">
      <w:pPr>
        <w:pStyle w:val="Textonotapie"/>
        <w:ind w:firstLine="708"/>
        <w:jc w:val="both"/>
        <w:rPr>
          <w:rFonts w:ascii="Arial" w:hAnsi="Arial" w:cs="Arial"/>
          <w:sz w:val="16"/>
          <w:szCs w:val="16"/>
        </w:rPr>
      </w:pPr>
    </w:p>
    <w:p w14:paraId="6FFC79DA" w14:textId="121FBBCE" w:rsidR="008410D2" w:rsidRPr="001A5552" w:rsidRDefault="008410D2" w:rsidP="008410D2">
      <w:pPr>
        <w:pStyle w:val="Textonotapie"/>
        <w:ind w:firstLine="708"/>
        <w:jc w:val="both"/>
        <w:rPr>
          <w:rFonts w:ascii="Arial" w:hAnsi="Arial" w:cs="Arial"/>
          <w:sz w:val="16"/>
          <w:szCs w:val="16"/>
          <w:lang w:val="es-CO"/>
        </w:rPr>
      </w:pPr>
      <w:r w:rsidRPr="001A5552">
        <w:rPr>
          <w:rStyle w:val="Refdenotaalpie"/>
          <w:rFonts w:ascii="Arial" w:hAnsi="Arial" w:cs="Arial"/>
          <w:sz w:val="16"/>
          <w:szCs w:val="16"/>
        </w:rPr>
        <w:footnoteRef/>
      </w:r>
      <w:r w:rsidRPr="001A5552">
        <w:rPr>
          <w:rFonts w:ascii="Arial" w:hAnsi="Arial" w:cs="Arial"/>
          <w:sz w:val="16"/>
          <w:szCs w:val="16"/>
        </w:rPr>
        <w:t xml:space="preserve"> CONGRESO DE LA REPÚBLICA., Gacetas</w:t>
      </w:r>
      <w:r w:rsidRPr="001A5552">
        <w:rPr>
          <w:rFonts w:ascii="Arial" w:hAnsi="Arial" w:cs="Arial"/>
          <w:sz w:val="16"/>
          <w:szCs w:val="16"/>
          <w:lang w:val="es-CO"/>
        </w:rPr>
        <w:t xml:space="preserve"> legislativas No. 1860 y 1861 de 2021, de Cámara de Representantes y Senado, respectivamente.</w:t>
      </w:r>
    </w:p>
  </w:footnote>
  <w:footnote w:id="23">
    <w:p w14:paraId="43DB94EF" w14:textId="77777777" w:rsidR="008410D2" w:rsidRPr="001A5552" w:rsidRDefault="008410D2" w:rsidP="008410D2">
      <w:pPr>
        <w:pStyle w:val="Textonotapie"/>
        <w:ind w:firstLine="708"/>
        <w:contextualSpacing/>
        <w:jc w:val="both"/>
        <w:rPr>
          <w:rFonts w:ascii="Arial" w:hAnsi="Arial" w:cs="Arial"/>
          <w:sz w:val="16"/>
          <w:szCs w:val="16"/>
        </w:rPr>
      </w:pPr>
      <w:r w:rsidRPr="001A5552">
        <w:rPr>
          <w:rStyle w:val="Refdenotaalpie"/>
          <w:rFonts w:ascii="Arial" w:hAnsi="Arial" w:cs="Arial"/>
          <w:sz w:val="16"/>
          <w:szCs w:val="16"/>
        </w:rPr>
        <w:footnoteRef/>
      </w:r>
      <w:r w:rsidRPr="001A5552">
        <w:rPr>
          <w:rFonts w:ascii="Arial" w:hAnsi="Arial" w:cs="Arial"/>
          <w:sz w:val="16"/>
          <w:szCs w:val="16"/>
        </w:rPr>
        <w:t xml:space="preserve"> </w:t>
      </w:r>
      <w:bookmarkStart w:id="17" w:name="2"/>
      <w:r w:rsidRPr="001A5552">
        <w:rPr>
          <w:rFonts w:ascii="Arial" w:hAnsi="Arial" w:cs="Arial"/>
          <w:sz w:val="16"/>
          <w:szCs w:val="16"/>
        </w:rPr>
        <w:t>“Artículo 2o. De las modalidades de selección.</w:t>
      </w:r>
      <w:bookmarkEnd w:id="17"/>
      <w:r w:rsidRPr="001A5552">
        <w:rPr>
          <w:rFonts w:ascii="Arial" w:hAnsi="Arial" w:cs="Arial"/>
          <w:sz w:val="16"/>
          <w:szCs w:val="16"/>
        </w:rPr>
        <w:t> La escogencia del contratista se efectuará con arreglo a las modalidades de selección de licitación pública, selección abreviada, concurso de méritos y contratación directa, con base en las siguientes reglas:</w:t>
      </w:r>
    </w:p>
    <w:p w14:paraId="59ED6EA9" w14:textId="77777777" w:rsidR="008410D2" w:rsidRPr="001A5552" w:rsidRDefault="008410D2" w:rsidP="008410D2">
      <w:pPr>
        <w:pStyle w:val="Textonotapie"/>
        <w:ind w:firstLine="708"/>
        <w:contextualSpacing/>
        <w:jc w:val="both"/>
        <w:rPr>
          <w:rFonts w:ascii="Arial" w:hAnsi="Arial" w:cs="Arial"/>
          <w:sz w:val="16"/>
          <w:szCs w:val="16"/>
        </w:rPr>
      </w:pPr>
      <w:r w:rsidRPr="001A5552">
        <w:rPr>
          <w:rFonts w:ascii="Arial" w:hAnsi="Arial" w:cs="Arial"/>
          <w:sz w:val="16"/>
          <w:szCs w:val="16"/>
        </w:rPr>
        <w:t>[…]</w:t>
      </w:r>
    </w:p>
    <w:p w14:paraId="04BB416F" w14:textId="77777777" w:rsidR="008410D2" w:rsidRPr="001A5552" w:rsidRDefault="008410D2" w:rsidP="008410D2">
      <w:pPr>
        <w:pStyle w:val="Textonotapie"/>
        <w:ind w:firstLine="708"/>
        <w:contextualSpacing/>
        <w:jc w:val="both"/>
        <w:rPr>
          <w:rFonts w:ascii="Arial" w:hAnsi="Arial" w:cs="Arial"/>
          <w:sz w:val="16"/>
          <w:szCs w:val="16"/>
        </w:rPr>
      </w:pPr>
      <w:r w:rsidRPr="001A5552">
        <w:rPr>
          <w:rFonts w:ascii="Arial" w:hAnsi="Arial" w:cs="Arial"/>
          <w:sz w:val="16"/>
          <w:szCs w:val="16"/>
        </w:rPr>
        <w:t>“4. </w:t>
      </w:r>
      <w:r w:rsidRPr="001A5552">
        <w:rPr>
          <w:rStyle w:val="baj"/>
          <w:rFonts w:ascii="Arial" w:hAnsi="Arial" w:cs="Arial"/>
          <w:sz w:val="16"/>
          <w:szCs w:val="16"/>
        </w:rPr>
        <w:t>Contratación directa. </w:t>
      </w:r>
      <w:r w:rsidRPr="001A5552">
        <w:rPr>
          <w:rFonts w:ascii="Arial" w:hAnsi="Arial" w:cs="Arial"/>
          <w:sz w:val="16"/>
          <w:szCs w:val="16"/>
        </w:rPr>
        <w:t>La modalidad de selección de contratación directa solamente procederá en los siguientes casos:</w:t>
      </w:r>
    </w:p>
    <w:p w14:paraId="1EC9F25A" w14:textId="77777777" w:rsidR="008410D2" w:rsidRPr="001A5552" w:rsidRDefault="008410D2" w:rsidP="008410D2">
      <w:pPr>
        <w:pStyle w:val="Textonotapie"/>
        <w:ind w:firstLine="708"/>
        <w:contextualSpacing/>
        <w:jc w:val="both"/>
        <w:rPr>
          <w:rFonts w:ascii="Arial" w:hAnsi="Arial" w:cs="Arial"/>
          <w:sz w:val="16"/>
          <w:szCs w:val="16"/>
        </w:rPr>
      </w:pPr>
      <w:r w:rsidRPr="001A5552">
        <w:rPr>
          <w:rFonts w:ascii="Arial" w:hAnsi="Arial" w:cs="Arial"/>
          <w:sz w:val="16"/>
          <w:szCs w:val="16"/>
        </w:rPr>
        <w:t>[…]</w:t>
      </w:r>
    </w:p>
    <w:p w14:paraId="446334EC" w14:textId="77777777" w:rsidR="008410D2" w:rsidRPr="001A5552" w:rsidRDefault="008410D2" w:rsidP="008410D2">
      <w:pPr>
        <w:pStyle w:val="Textonotapie"/>
        <w:ind w:firstLine="708"/>
        <w:contextualSpacing/>
        <w:jc w:val="both"/>
        <w:rPr>
          <w:rFonts w:ascii="Arial" w:hAnsi="Arial" w:cs="Arial"/>
          <w:sz w:val="16"/>
          <w:szCs w:val="16"/>
        </w:rPr>
      </w:pPr>
      <w:r w:rsidRPr="001A5552">
        <w:rPr>
          <w:rFonts w:ascii="Arial" w:hAnsi="Arial" w:cs="Arial"/>
          <w:sz w:val="16"/>
          <w:szCs w:val="16"/>
        </w:rPr>
        <w:t>“C. […]</w:t>
      </w:r>
    </w:p>
    <w:p w14:paraId="2CF20D7D" w14:textId="74E9F5B7" w:rsidR="008410D2" w:rsidRPr="001A5552" w:rsidRDefault="008410D2" w:rsidP="008410D2">
      <w:pPr>
        <w:pStyle w:val="Textonotapie"/>
        <w:ind w:firstLine="708"/>
        <w:contextualSpacing/>
        <w:jc w:val="both"/>
        <w:rPr>
          <w:rFonts w:ascii="Arial" w:hAnsi="Arial" w:cs="Arial"/>
          <w:sz w:val="16"/>
          <w:szCs w:val="16"/>
        </w:rPr>
      </w:pPr>
      <w:r w:rsidRPr="001A5552">
        <w:rPr>
          <w:rFonts w:ascii="Arial" w:hAnsi="Arial" w:cs="Arial"/>
          <w:sz w:val="16"/>
          <w:szCs w:val="16"/>
        </w:rPr>
        <w:t>“Inciso 2o. modificado por el artículo 95 de la Ley 1474 de 2011</w:t>
      </w:r>
      <w:proofErr w:type="gramStart"/>
      <w:r w:rsidRPr="001A5552">
        <w:rPr>
          <w:rFonts w:ascii="Arial" w:hAnsi="Arial" w:cs="Arial"/>
          <w:sz w:val="16"/>
          <w:szCs w:val="16"/>
        </w:rPr>
        <w:t>–</w:t>
      </w:r>
      <w:r w:rsidRPr="001A5552" w:rsidDel="002C5C6D">
        <w:rPr>
          <w:rFonts w:ascii="Arial" w:hAnsi="Arial" w:cs="Arial"/>
          <w:sz w:val="16"/>
          <w:szCs w:val="16"/>
        </w:rPr>
        <w:t xml:space="preserve"> </w:t>
      </w:r>
      <w:r w:rsidRPr="001A5552">
        <w:rPr>
          <w:rFonts w:ascii="Arial" w:hAnsi="Arial" w:cs="Arial"/>
          <w:sz w:val="16"/>
          <w:szCs w:val="16"/>
        </w:rPr>
        <w:t xml:space="preserve"> En</w:t>
      </w:r>
      <w:proofErr w:type="gramEnd"/>
      <w:r w:rsidRPr="001A5552">
        <w:rPr>
          <w:rFonts w:ascii="Arial" w:hAnsi="Arial" w:cs="Arial"/>
          <w:sz w:val="16"/>
          <w:szCs w:val="16"/>
        </w:rPr>
        <w:t xml:space="preserve">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 […]”</w:t>
      </w:r>
    </w:p>
  </w:footnote>
  <w:footnote w:id="24">
    <w:p w14:paraId="5CFC4063" w14:textId="77777777" w:rsidR="008410D2" w:rsidRDefault="008410D2" w:rsidP="008410D2">
      <w:pPr>
        <w:pStyle w:val="Textonotapie"/>
        <w:ind w:firstLine="709"/>
        <w:contextualSpacing/>
        <w:jc w:val="both"/>
        <w:rPr>
          <w:rFonts w:ascii="Arial" w:hAnsi="Arial" w:cs="Arial"/>
          <w:sz w:val="16"/>
          <w:szCs w:val="16"/>
          <w:lang w:val="es-ES"/>
        </w:rPr>
      </w:pPr>
      <w:r w:rsidRPr="001A5552">
        <w:rPr>
          <w:rStyle w:val="Refdenotaalpie"/>
          <w:rFonts w:ascii="Arial" w:hAnsi="Arial" w:cs="Arial"/>
          <w:sz w:val="16"/>
          <w:szCs w:val="16"/>
        </w:rPr>
        <w:footnoteRef/>
      </w:r>
      <w:r w:rsidRPr="001A5552">
        <w:rPr>
          <w:rFonts w:ascii="Arial" w:hAnsi="Arial" w:cs="Arial"/>
          <w:sz w:val="16"/>
          <w:szCs w:val="16"/>
        </w:rPr>
        <w:t xml:space="preserve"> </w:t>
      </w:r>
      <w:r w:rsidRPr="001A5552">
        <w:rPr>
          <w:rFonts w:ascii="Arial" w:hAnsi="Arial" w:cs="Arial"/>
          <w:sz w:val="16"/>
          <w:szCs w:val="16"/>
          <w:lang w:val="es-ES"/>
        </w:rPr>
        <w:t xml:space="preserve">Según García de Enterría: “Estos conceptos jurídicos indeterminados, o que se contienen en lo que también se llaman las normas flexibles, son consustanciales a toda la técnica jurídica y no constituyen una particularidad del Derecho público […], son conceptos jurídicos indeterminados, en el sentido de que la medida concreta para la aplicación de </w:t>
      </w:r>
      <w:proofErr w:type="gramStart"/>
      <w:r w:rsidRPr="001A5552">
        <w:rPr>
          <w:rFonts w:ascii="Arial" w:hAnsi="Arial" w:cs="Arial"/>
          <w:sz w:val="16"/>
          <w:szCs w:val="16"/>
          <w:lang w:val="es-ES"/>
        </w:rPr>
        <w:t>los mismos</w:t>
      </w:r>
      <w:proofErr w:type="gramEnd"/>
      <w:r w:rsidRPr="001A5552">
        <w:rPr>
          <w:rFonts w:ascii="Arial" w:hAnsi="Arial" w:cs="Arial"/>
          <w:sz w:val="16"/>
          <w:szCs w:val="16"/>
          <w:lang w:val="es-ES"/>
        </w:rPr>
        <w:t xml:space="preserve"> en un caso particular no nos la resuelve o determina con exactitud la propia Ley que los ha creado y de cuya aplicación se trata”. (GARCÍA DE ENTERRÍA, Eduardo. La lucha contra las inmunidades del poder en el derecho administrativo. 3ª ed. Madrid: Civitas, 1983. pp. 33-34).</w:t>
      </w:r>
    </w:p>
    <w:p w14:paraId="43D8E13E" w14:textId="77777777" w:rsidR="008410D2" w:rsidRPr="001A5552" w:rsidRDefault="008410D2" w:rsidP="008410D2">
      <w:pPr>
        <w:pStyle w:val="Textonotapie"/>
        <w:ind w:firstLine="709"/>
        <w:contextualSpacing/>
        <w:jc w:val="both"/>
        <w:rPr>
          <w:rFonts w:ascii="Arial" w:hAnsi="Arial" w:cs="Arial"/>
          <w:sz w:val="16"/>
          <w:szCs w:val="16"/>
        </w:rPr>
      </w:pPr>
    </w:p>
  </w:footnote>
  <w:footnote w:id="25">
    <w:p w14:paraId="543EF6D9" w14:textId="77777777" w:rsidR="008410D2" w:rsidRPr="001A5552" w:rsidRDefault="008410D2" w:rsidP="008410D2">
      <w:pPr>
        <w:pStyle w:val="Textonotapie"/>
        <w:ind w:firstLine="709"/>
        <w:contextualSpacing/>
        <w:jc w:val="both"/>
        <w:rPr>
          <w:rFonts w:ascii="Arial" w:hAnsi="Arial" w:cs="Arial"/>
          <w:sz w:val="16"/>
          <w:szCs w:val="16"/>
        </w:rPr>
      </w:pPr>
      <w:r w:rsidRPr="001A5552">
        <w:rPr>
          <w:rStyle w:val="Refdenotaalpie"/>
          <w:rFonts w:ascii="Arial" w:hAnsi="Arial" w:cs="Arial"/>
          <w:sz w:val="16"/>
          <w:szCs w:val="16"/>
        </w:rPr>
        <w:footnoteRef/>
      </w:r>
      <w:r w:rsidRPr="001A5552">
        <w:rPr>
          <w:rFonts w:ascii="Arial" w:hAnsi="Arial" w:cs="Arial"/>
          <w:sz w:val="16"/>
          <w:szCs w:val="16"/>
        </w:rPr>
        <w:t xml:space="preserve"> CORTE CONSTITUCIONAL, Sentencia C-382 de 2019, M.P. Alejandro Linares Cantillo.</w:t>
      </w:r>
    </w:p>
  </w:footnote>
  <w:footnote w:id="26">
    <w:p w14:paraId="0E90B75B" w14:textId="77777777" w:rsidR="008410D2" w:rsidRDefault="008410D2" w:rsidP="008410D2">
      <w:pPr>
        <w:pStyle w:val="Textonotapie"/>
        <w:ind w:firstLine="709"/>
        <w:contextualSpacing/>
        <w:jc w:val="both"/>
        <w:rPr>
          <w:rFonts w:ascii="Arial" w:hAnsi="Arial" w:cs="Arial"/>
          <w:sz w:val="16"/>
          <w:szCs w:val="16"/>
        </w:rPr>
      </w:pPr>
      <w:r w:rsidRPr="001A5552">
        <w:rPr>
          <w:rStyle w:val="Refdenotaalpie"/>
          <w:rFonts w:ascii="Arial" w:hAnsi="Arial" w:cs="Arial"/>
          <w:sz w:val="16"/>
          <w:szCs w:val="16"/>
        </w:rPr>
        <w:footnoteRef/>
      </w:r>
      <w:r w:rsidRPr="001A5552">
        <w:rPr>
          <w:rFonts w:ascii="Arial" w:hAnsi="Arial" w:cs="Arial"/>
          <w:sz w:val="16"/>
          <w:szCs w:val="16"/>
        </w:rPr>
        <w:t xml:space="preserve"> La redacción original del parágrafo primero del artículo 32 de la Ley 80 de 1993, incluía la expresión giro ordinario, la cual servía de elemento calificante para la determinación del régimen aplicable a los contratos de los establecimientos de crédito público, las compañías de seguros y las demás entidades financieras públicas. Dicho parágrafo establecía “Sin perjuicio de lo dispuesto en esta ley sobre fiducia y encargo fiduciario, los contratos que celebren los establecimientos de crédito, las compañías de seguros y las demás entidades financieras de carácter estatal, que correspondan al giro ordinario de las actividades propias de su objeto social, no estarán sujetos a las disposiciones del presente estatuto y se regirán por las disposiciones legales y reglamentarias aplicables a dichas actividades” [Énfasis fuera de texto].</w:t>
      </w:r>
    </w:p>
    <w:p w14:paraId="7930F24F" w14:textId="77777777" w:rsidR="008410D2" w:rsidRPr="007C211D" w:rsidRDefault="008410D2" w:rsidP="008410D2">
      <w:pPr>
        <w:pStyle w:val="Textonotapie"/>
        <w:ind w:firstLine="709"/>
        <w:contextualSpacing/>
        <w:jc w:val="both"/>
        <w:rPr>
          <w:rFonts w:ascii="Arial" w:hAnsi="Arial" w:cs="Arial"/>
          <w:sz w:val="16"/>
          <w:szCs w:val="16"/>
        </w:rPr>
      </w:pPr>
    </w:p>
  </w:footnote>
  <w:footnote w:id="27">
    <w:p w14:paraId="60D6CD56" w14:textId="77777777" w:rsidR="008410D2" w:rsidRPr="001A5552" w:rsidRDefault="008410D2" w:rsidP="008410D2">
      <w:pPr>
        <w:pStyle w:val="Textonotapie"/>
        <w:ind w:firstLine="709"/>
        <w:contextualSpacing/>
        <w:jc w:val="both"/>
        <w:rPr>
          <w:rFonts w:ascii="Arial" w:hAnsi="Arial" w:cs="Arial"/>
          <w:sz w:val="16"/>
          <w:szCs w:val="16"/>
          <w:lang w:val="es-ES"/>
        </w:rPr>
      </w:pPr>
      <w:r w:rsidRPr="001A5552">
        <w:rPr>
          <w:rStyle w:val="Refdenotaalpie"/>
          <w:rFonts w:ascii="Arial" w:hAnsi="Arial" w:cs="Arial"/>
          <w:sz w:val="16"/>
          <w:szCs w:val="16"/>
        </w:rPr>
        <w:footnoteRef/>
      </w:r>
      <w:r w:rsidRPr="001A5552">
        <w:rPr>
          <w:rFonts w:ascii="Arial" w:hAnsi="Arial" w:cs="Arial"/>
          <w:sz w:val="16"/>
          <w:szCs w:val="16"/>
        </w:rPr>
        <w:t xml:space="preserve"> CONSEJO DE ESTADO. Sección Tercera. Subsección B. Sentencia del 12 de octubre de 2011. Exp. No. 20070. C.P. Danilo Rojas Betancourt.</w:t>
      </w:r>
    </w:p>
  </w:footnote>
  <w:footnote w:id="28">
    <w:p w14:paraId="038048E1" w14:textId="77777777" w:rsidR="00F32D91" w:rsidRDefault="008410D2" w:rsidP="008410D2">
      <w:pPr>
        <w:tabs>
          <w:tab w:val="left" w:pos="0"/>
        </w:tabs>
        <w:spacing w:after="0" w:line="240" w:lineRule="auto"/>
        <w:contextualSpacing/>
        <w:jc w:val="both"/>
        <w:rPr>
          <w:rFonts w:ascii="Arial" w:hAnsi="Arial" w:cs="Arial"/>
          <w:sz w:val="16"/>
          <w:szCs w:val="16"/>
        </w:rPr>
      </w:pPr>
      <w:r w:rsidRPr="001A5552">
        <w:rPr>
          <w:rFonts w:ascii="Arial" w:hAnsi="Arial" w:cs="Arial"/>
          <w:sz w:val="16"/>
          <w:szCs w:val="16"/>
        </w:rPr>
        <w:tab/>
      </w:r>
    </w:p>
    <w:p w14:paraId="2B904DAF" w14:textId="54B06B32" w:rsidR="008410D2" w:rsidRPr="001A5552" w:rsidRDefault="008410D2" w:rsidP="008410D2">
      <w:pPr>
        <w:tabs>
          <w:tab w:val="left" w:pos="0"/>
        </w:tabs>
        <w:spacing w:after="0" w:line="240" w:lineRule="auto"/>
        <w:contextualSpacing/>
        <w:jc w:val="both"/>
        <w:rPr>
          <w:rFonts w:ascii="Arial" w:hAnsi="Arial" w:cs="Arial"/>
          <w:sz w:val="16"/>
          <w:szCs w:val="16"/>
        </w:rPr>
      </w:pPr>
      <w:r>
        <w:rPr>
          <w:rFonts w:ascii="Arial" w:hAnsi="Arial" w:cs="Arial"/>
          <w:sz w:val="16"/>
          <w:szCs w:val="16"/>
        </w:rPr>
        <w:tab/>
      </w:r>
      <w:r w:rsidRPr="001A5552">
        <w:rPr>
          <w:rStyle w:val="Refdenotaalpie"/>
          <w:rFonts w:ascii="Arial" w:hAnsi="Arial" w:cs="Arial"/>
          <w:sz w:val="16"/>
          <w:szCs w:val="16"/>
        </w:rPr>
        <w:footnoteRef/>
      </w:r>
      <w:r w:rsidRPr="001A5552">
        <w:rPr>
          <w:rFonts w:ascii="Arial" w:hAnsi="Arial" w:cs="Arial"/>
          <w:sz w:val="16"/>
          <w:szCs w:val="16"/>
        </w:rPr>
        <w:t xml:space="preserve"> CONSEJO DE ESTADO. Sección Tercera. Subsección A. Sentencia del 3 de marzo de 2021. Exp. No. 51373. C.P. José Roberto Sáchica Méndez. </w:t>
      </w:r>
      <w:r w:rsidRPr="001A5552">
        <w:rPr>
          <w:rFonts w:ascii="Arial" w:eastAsia="Calibri" w:hAnsi="Arial" w:cs="Arial"/>
          <w:sz w:val="16"/>
          <w:szCs w:val="16"/>
          <w:lang w:val="es-ES_tradnl" w:eastAsia="es-ES_tradnl"/>
        </w:rPr>
        <w:t>“[E]l elemento central para la determinación de este concepto jurídico, remite al objeto social –cuando se trata de empresas públicas o privadas constituidas bajo alguno de los tipos societarios definidos en la ley– pero también se refiere, mutatis mutandis, al objeto y funciones expresamente definidas en los actos de creación de entidades públicas que, por su naturaleza, se orientan al desarrollo de actividades industriales y comerciales. De forma que, el giro ordinario de los negocios se explica a partir del objeto social o, también, de las funciones expresamente fijadas por ley, según se trate de una persona jurídica pública o privada, pues ambas categorías, para estos efectos, resultan equivalentes.”</w:t>
      </w:r>
    </w:p>
  </w:footnote>
  <w:footnote w:id="29">
    <w:p w14:paraId="086CDE5C" w14:textId="77777777" w:rsidR="00F32D91" w:rsidRDefault="00F32D91" w:rsidP="008410D2">
      <w:pPr>
        <w:pStyle w:val="Textonotapie"/>
        <w:ind w:firstLine="708"/>
        <w:jc w:val="both"/>
        <w:rPr>
          <w:rFonts w:ascii="Arial" w:hAnsi="Arial" w:cs="Arial"/>
          <w:sz w:val="16"/>
          <w:szCs w:val="16"/>
        </w:rPr>
      </w:pPr>
    </w:p>
    <w:p w14:paraId="5A010C90" w14:textId="2076CB95" w:rsidR="008410D2" w:rsidRPr="001A5552" w:rsidRDefault="008410D2" w:rsidP="008410D2">
      <w:pPr>
        <w:pStyle w:val="Textonotapie"/>
        <w:ind w:firstLine="708"/>
        <w:jc w:val="both"/>
        <w:rPr>
          <w:rFonts w:ascii="Arial" w:hAnsi="Arial" w:cs="Arial"/>
          <w:sz w:val="16"/>
          <w:szCs w:val="16"/>
          <w:lang w:val="es-ES_tradnl"/>
        </w:rPr>
      </w:pPr>
      <w:r w:rsidRPr="001A5552">
        <w:rPr>
          <w:rStyle w:val="Refdenotaalpie"/>
          <w:rFonts w:ascii="Arial" w:hAnsi="Arial" w:cs="Arial"/>
          <w:sz w:val="16"/>
          <w:szCs w:val="16"/>
        </w:rPr>
        <w:footnoteRef/>
      </w:r>
      <w:r w:rsidRPr="001A5552">
        <w:rPr>
          <w:rFonts w:ascii="Arial" w:hAnsi="Arial" w:cs="Arial"/>
          <w:sz w:val="16"/>
          <w:szCs w:val="16"/>
        </w:rPr>
        <w:t xml:space="preserve"> la Superintendencia de Sociedades, citando doctrina autorizada en la materia, ha señalado: “Si bien el llamado giro ordinario de los negocios se encuentra determinado por las actividades que constituyen el objeto social, resultan oportunas algunas precisiones conceptuales en torno al empleo constante en la práctica mercantil de la referida expresión "giro ordinario de los negocios". Partiendo de las anteriores consideraciones en cuanto al tema del objeto social, se concluye que éste alude a las actividades que desarrolla o se propone realizar el ente social, al paso que solamente quedan cobijadas por "giro ordinario" aquellas actividades que, en forma habitual u ordinaria, ejecuta la sociedad.</w:t>
      </w:r>
    </w:p>
  </w:footnote>
  <w:footnote w:id="30">
    <w:p w14:paraId="754BCFEB" w14:textId="77777777" w:rsidR="008410D2" w:rsidRDefault="008410D2" w:rsidP="008410D2">
      <w:pPr>
        <w:pStyle w:val="Textonotapie"/>
        <w:ind w:firstLine="709"/>
        <w:contextualSpacing/>
        <w:jc w:val="both"/>
        <w:rPr>
          <w:rFonts w:ascii="Arial" w:hAnsi="Arial" w:cs="Arial"/>
          <w:sz w:val="16"/>
          <w:szCs w:val="16"/>
        </w:rPr>
      </w:pPr>
      <w:r w:rsidRPr="001A5552">
        <w:rPr>
          <w:rStyle w:val="Refdenotaalpie"/>
          <w:rFonts w:ascii="Arial" w:hAnsi="Arial" w:cs="Arial"/>
          <w:sz w:val="16"/>
          <w:szCs w:val="16"/>
        </w:rPr>
        <w:footnoteRef/>
      </w:r>
      <w:r w:rsidRPr="001A5552">
        <w:rPr>
          <w:rFonts w:ascii="Arial" w:hAnsi="Arial" w:cs="Arial"/>
          <w:sz w:val="16"/>
          <w:szCs w:val="16"/>
        </w:rPr>
        <w:t xml:space="preserve"> El Consejo de Estado ha precisado que: “Según esta norma, 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del objeto de la sociedad. Tal es el caso de la contratación de la publicidad para promocionar la empresa o sus productos, o la contratación de profesionales para que realicen una consultoría o asesoría relacionada con las actividades de la empresa, etc.</w:t>
      </w:r>
    </w:p>
    <w:p w14:paraId="5EA3249B" w14:textId="77777777" w:rsidR="00F32D91" w:rsidRPr="001A5552" w:rsidRDefault="00F32D91" w:rsidP="008410D2">
      <w:pPr>
        <w:pStyle w:val="Textonotapie"/>
        <w:ind w:firstLine="709"/>
        <w:contextualSpacing/>
        <w:jc w:val="both"/>
        <w:rPr>
          <w:rFonts w:ascii="Arial" w:hAnsi="Arial" w:cs="Arial"/>
          <w:sz w:val="16"/>
          <w:szCs w:val="16"/>
        </w:rPr>
      </w:pPr>
    </w:p>
    <w:p w14:paraId="787461E1" w14:textId="77777777" w:rsidR="008410D2" w:rsidRPr="001A5552" w:rsidRDefault="008410D2" w:rsidP="008410D2">
      <w:pPr>
        <w:pStyle w:val="Textonotapie"/>
        <w:ind w:firstLine="709"/>
        <w:contextualSpacing/>
        <w:jc w:val="both"/>
        <w:rPr>
          <w:rFonts w:ascii="Arial" w:hAnsi="Arial" w:cs="Arial"/>
          <w:sz w:val="16"/>
          <w:szCs w:val="16"/>
        </w:rPr>
      </w:pPr>
      <w:r w:rsidRPr="001A5552">
        <w:rPr>
          <w:rFonts w:ascii="Arial" w:hAnsi="Arial" w:cs="Arial"/>
          <w:sz w:val="16"/>
          <w:szCs w:val="16"/>
        </w:rPr>
        <w:t>“En estos casos, mal podría decirse que la sociedad no puede realizar este tipo de actos necesarios para el buen desempeño de sus actividades comerciales. Lo propio cabe decir de las entidades financieras. De manera que la norma comercial citada es perfectamente trasladable al campo financiero”.  (Consejo de Estado. Sección Tercera. Sentencia del 6 de julio de 2005. Exp. No. 11575. C.P. Alier E. Hernández Enríquez).</w:t>
      </w:r>
    </w:p>
  </w:footnote>
  <w:footnote w:id="31">
    <w:p w14:paraId="6C7E1522" w14:textId="77777777" w:rsidR="00F32D91" w:rsidRDefault="00F32D91" w:rsidP="008410D2">
      <w:pPr>
        <w:pStyle w:val="Textonotapie"/>
        <w:ind w:firstLine="709"/>
        <w:contextualSpacing/>
        <w:jc w:val="both"/>
        <w:rPr>
          <w:rFonts w:ascii="Arial" w:hAnsi="Arial" w:cs="Arial"/>
          <w:sz w:val="16"/>
          <w:szCs w:val="16"/>
        </w:rPr>
      </w:pPr>
    </w:p>
    <w:p w14:paraId="23DBEA27" w14:textId="7D637B4C" w:rsidR="008410D2" w:rsidRDefault="008410D2" w:rsidP="008410D2">
      <w:pPr>
        <w:pStyle w:val="Textonotapie"/>
        <w:ind w:firstLine="709"/>
        <w:contextualSpacing/>
        <w:jc w:val="both"/>
        <w:rPr>
          <w:rFonts w:ascii="Arial" w:hAnsi="Arial" w:cs="Arial"/>
          <w:sz w:val="16"/>
          <w:szCs w:val="16"/>
        </w:rPr>
      </w:pPr>
      <w:r w:rsidRPr="001A5552">
        <w:rPr>
          <w:rStyle w:val="Refdenotaalpie"/>
          <w:rFonts w:ascii="Arial" w:hAnsi="Arial" w:cs="Arial"/>
          <w:sz w:val="16"/>
          <w:szCs w:val="16"/>
        </w:rPr>
        <w:footnoteRef/>
      </w:r>
      <w:r w:rsidRPr="001A5552">
        <w:rPr>
          <w:rFonts w:ascii="Arial" w:hAnsi="Arial" w:cs="Arial"/>
          <w:sz w:val="16"/>
          <w:szCs w:val="16"/>
        </w:rPr>
        <w:t xml:space="preserve"> En efecto, en audiencia Pública del 18 de marzo de 2021, esta Agencia llamó la atención sobre la necesidad  de incluir en el Proyecto de Ley  “[…] algunas disposiciones [..] relacionadas por ejemplo con impedir que las entidades sometidas al estatuto de contratación celebren contratos jurídicos de derecho privado, con lo que se prevé evitar escapar del ámbito del estatuto de contratación pública, asimismo fortalecer que en los convenios deben emplearse documentos tipos; extender la aplicación del estatuto de contratación algunos objetos en los cuales tienen un régimen especial y a patrimonios autónomos, así como empresas de servicios públicos”. CONGRESO DE LA REPÚBLICA. Gaceta Nº 1677 del 23 de noviembre de 2021. Justificación jurídica del Proyecto de Ley No. 226 de 2021 Cámara. p. 15.</w:t>
      </w:r>
    </w:p>
    <w:p w14:paraId="6EBA2168" w14:textId="77777777" w:rsidR="008410D2" w:rsidRPr="007C211D" w:rsidRDefault="008410D2" w:rsidP="008410D2">
      <w:pPr>
        <w:pStyle w:val="Textonotapie"/>
        <w:ind w:firstLine="709"/>
        <w:contextualSpacing/>
        <w:jc w:val="both"/>
        <w:rPr>
          <w:rFonts w:ascii="Arial" w:hAnsi="Arial" w:cs="Arial"/>
          <w:sz w:val="16"/>
          <w:szCs w:val="16"/>
        </w:rPr>
      </w:pPr>
    </w:p>
  </w:footnote>
  <w:footnote w:id="32">
    <w:p w14:paraId="46B2A5EC" w14:textId="138AF67A" w:rsidR="008410D2" w:rsidRPr="001A5552" w:rsidRDefault="008410D2" w:rsidP="008410D2">
      <w:pPr>
        <w:pStyle w:val="Textonotapie"/>
        <w:ind w:firstLine="709"/>
        <w:contextualSpacing/>
        <w:jc w:val="both"/>
        <w:rPr>
          <w:rFonts w:ascii="Arial" w:hAnsi="Arial" w:cs="Arial"/>
          <w:sz w:val="16"/>
          <w:szCs w:val="16"/>
        </w:rPr>
      </w:pPr>
      <w:r w:rsidRPr="001A5552">
        <w:rPr>
          <w:rStyle w:val="Refdenotaalpie"/>
          <w:rFonts w:ascii="Arial" w:hAnsi="Arial" w:cs="Arial"/>
          <w:sz w:val="16"/>
          <w:szCs w:val="16"/>
        </w:rPr>
        <w:footnoteRef/>
      </w:r>
      <w:r w:rsidRPr="001A5552">
        <w:rPr>
          <w:rFonts w:ascii="Arial" w:hAnsi="Arial" w:cs="Arial"/>
          <w:sz w:val="16"/>
          <w:szCs w:val="16"/>
        </w:rPr>
        <w:t xml:space="preserve"> Al respecto ha señalado la </w:t>
      </w:r>
      <w:r w:rsidR="00D022C4" w:rsidRPr="00D022C4">
        <w:rPr>
          <w:rFonts w:ascii="Arial" w:hAnsi="Arial" w:cs="Arial"/>
          <w:sz w:val="16"/>
          <w:szCs w:val="16"/>
        </w:rPr>
        <w:t>CORTE CONSTITUCIONAL</w:t>
      </w:r>
      <w:r w:rsidRPr="001A5552">
        <w:rPr>
          <w:rFonts w:ascii="Arial" w:hAnsi="Arial" w:cs="Arial"/>
          <w:sz w:val="16"/>
          <w:szCs w:val="16"/>
        </w:rPr>
        <w:t>: “En relación con el ámbito de configuración del legislador en materia contractual la jurisprudencia constitucional ha señalado los siguientes criterios:</w:t>
      </w:r>
    </w:p>
    <w:p w14:paraId="4E941AB6" w14:textId="77777777" w:rsidR="008410D2" w:rsidRPr="001A5552" w:rsidRDefault="008410D2" w:rsidP="008410D2">
      <w:pPr>
        <w:pStyle w:val="Textonotapie"/>
        <w:ind w:firstLine="709"/>
        <w:contextualSpacing/>
        <w:jc w:val="both"/>
        <w:rPr>
          <w:rFonts w:ascii="Arial" w:hAnsi="Arial" w:cs="Arial"/>
          <w:sz w:val="16"/>
          <w:szCs w:val="16"/>
        </w:rPr>
      </w:pPr>
      <w:r w:rsidRPr="001A5552">
        <w:rPr>
          <w:rFonts w:ascii="Arial" w:hAnsi="Arial" w:cs="Arial"/>
          <w:sz w:val="16"/>
          <w:szCs w:val="16"/>
        </w:rPr>
        <w:t>(i) De la Constitución no es posible inferir la obligación para el legislador de incorporar en un solo cuerpo normativo toda la legislación existente en materia contractual, pues si ésta hubiera sido la voluntad del constituyente, en el artículo 150 Fundamental se habría autorizado al Congreso de la República para expedir un estatuto único de contratación para el Estado y no un estatuto general como prevé la disposición constitucional.[27]</w:t>
      </w:r>
    </w:p>
    <w:p w14:paraId="22D19900" w14:textId="77777777" w:rsidR="008410D2" w:rsidRPr="001A5552" w:rsidRDefault="008410D2" w:rsidP="008410D2">
      <w:pPr>
        <w:pStyle w:val="Textonotapie"/>
        <w:ind w:firstLine="709"/>
        <w:contextualSpacing/>
        <w:jc w:val="both"/>
        <w:rPr>
          <w:rFonts w:ascii="Arial" w:hAnsi="Arial" w:cs="Arial"/>
          <w:sz w:val="16"/>
          <w:szCs w:val="16"/>
        </w:rPr>
      </w:pPr>
      <w:r w:rsidRPr="001A5552">
        <w:rPr>
          <w:rFonts w:ascii="Arial" w:hAnsi="Arial" w:cs="Arial"/>
          <w:sz w:val="16"/>
          <w:szCs w:val="16"/>
        </w:rPr>
        <w:t>(ii) El mandato otorgado al Congreso de la República, en el artículo 150 de la Carta, para que dicte un estatuto general de contratación de la administración pública y en especial de la administración nacional, implica el reconocimiento de una amplia libertad de configuración del legislador para diseñar un régimen legal cuya finalidad sea la de propender por el logro de los objetivos constitucionales del Estado Social de Derecho, toda vez que el cumplimiento de estas metas requiere del aprovisionamiento de bienes y servicios por parte de los órganos públicos mediante la contratación. En este orden de ideas, es innegable el carácter instrumental que ostenta el contrato estatal, puesto que no es un fin en sí mismo sino un medio para la consecución de los altos objetivos del Estado.[28]</w:t>
      </w:r>
    </w:p>
    <w:p w14:paraId="5DE76985" w14:textId="77777777" w:rsidR="008410D2" w:rsidRPr="001A5552" w:rsidRDefault="008410D2" w:rsidP="008410D2">
      <w:pPr>
        <w:pStyle w:val="Textonotapie"/>
        <w:ind w:firstLine="709"/>
        <w:contextualSpacing/>
        <w:jc w:val="both"/>
        <w:rPr>
          <w:rFonts w:ascii="Arial" w:hAnsi="Arial" w:cs="Arial"/>
          <w:sz w:val="16"/>
          <w:szCs w:val="16"/>
        </w:rPr>
      </w:pPr>
      <w:r w:rsidRPr="001A5552">
        <w:rPr>
          <w:rFonts w:ascii="Arial" w:hAnsi="Arial" w:cs="Arial"/>
          <w:sz w:val="16"/>
          <w:szCs w:val="16"/>
        </w:rPr>
        <w:t xml:space="preserve">(iii) En virtud de la potestad de configuración que se comenta el Congreso tiene libertad para regular los aspectos más significativos de la contratación pública como son los referentes a las cláusulas excepcionales, la clasificación de los contratos estatales, los deberes y derechos de las partes contratantes, la competencia y capacidad para contratar, principios fundamentales, nulidades, control de la gestión contractual, responsabilidad contractual, liquidación de los contratos y solución de las controversias contractuales, entre otros, todo dentro de los límites de razonabilidad y proporcionalidad y con arreglo a los parámetros constitucionales”. Sentencia C-713 del 7 de octubre de 2009. M.P. María Victoria Calle Correa. </w:t>
      </w:r>
    </w:p>
  </w:footnote>
  <w:footnote w:id="33">
    <w:p w14:paraId="3470E1D0" w14:textId="77777777" w:rsidR="00E74D95" w:rsidRDefault="00E74D95" w:rsidP="008410D2">
      <w:pPr>
        <w:pStyle w:val="Textonotapie"/>
        <w:ind w:firstLine="709"/>
        <w:contextualSpacing/>
        <w:jc w:val="both"/>
        <w:rPr>
          <w:rFonts w:ascii="Arial" w:hAnsi="Arial" w:cs="Arial"/>
          <w:sz w:val="16"/>
          <w:szCs w:val="16"/>
        </w:rPr>
      </w:pPr>
    </w:p>
    <w:p w14:paraId="11C7E8F6" w14:textId="59412D3A" w:rsidR="008410D2" w:rsidRPr="001A5552" w:rsidRDefault="008410D2" w:rsidP="008410D2">
      <w:pPr>
        <w:pStyle w:val="Textonotapie"/>
        <w:ind w:firstLine="709"/>
        <w:contextualSpacing/>
        <w:jc w:val="both"/>
        <w:rPr>
          <w:rFonts w:ascii="Arial" w:hAnsi="Arial" w:cs="Arial"/>
          <w:sz w:val="16"/>
          <w:szCs w:val="16"/>
        </w:rPr>
      </w:pPr>
      <w:r w:rsidRPr="001A5552">
        <w:rPr>
          <w:rStyle w:val="Refdenotaalpie"/>
          <w:rFonts w:ascii="Arial" w:hAnsi="Arial" w:cs="Arial"/>
          <w:sz w:val="16"/>
          <w:szCs w:val="16"/>
        </w:rPr>
        <w:footnoteRef/>
      </w:r>
      <w:r w:rsidRPr="001A5552">
        <w:rPr>
          <w:rFonts w:ascii="Arial" w:hAnsi="Arial" w:cs="Arial"/>
          <w:sz w:val="16"/>
          <w:szCs w:val="16"/>
        </w:rPr>
        <w:t xml:space="preserve"> CONSEJO DE ESTADO. Sección Tercera. Subsección A. Sentencia del 24 de junio de 2015. Exp. 40.635. Consejero Ponente: Hernán Andrade Rincón (E).</w:t>
      </w:r>
    </w:p>
  </w:footnote>
  <w:footnote w:id="34">
    <w:p w14:paraId="3D40F072" w14:textId="77777777" w:rsidR="008410D2" w:rsidRDefault="008410D2" w:rsidP="008410D2">
      <w:pPr>
        <w:pStyle w:val="Textonotapie"/>
        <w:ind w:firstLine="709"/>
        <w:jc w:val="both"/>
        <w:rPr>
          <w:rFonts w:ascii="Arial" w:hAnsi="Arial" w:cs="Arial"/>
          <w:color w:val="000000" w:themeColor="text1"/>
          <w:sz w:val="16"/>
          <w:szCs w:val="16"/>
          <w:lang w:val="es-ES"/>
        </w:rPr>
      </w:pPr>
      <w:r w:rsidRPr="001A5552">
        <w:rPr>
          <w:rStyle w:val="Refdenotaalpie"/>
          <w:rFonts w:ascii="Arial" w:hAnsi="Arial" w:cs="Arial"/>
          <w:color w:val="000000" w:themeColor="text1"/>
          <w:sz w:val="16"/>
          <w:szCs w:val="16"/>
        </w:rPr>
        <w:footnoteRef/>
      </w:r>
      <w:r w:rsidRPr="001A5552">
        <w:rPr>
          <w:rFonts w:ascii="Arial" w:hAnsi="Arial" w:cs="Arial"/>
          <w:color w:val="000000" w:themeColor="text1"/>
          <w:sz w:val="16"/>
          <w:szCs w:val="16"/>
        </w:rPr>
        <w:t xml:space="preserve"> </w:t>
      </w:r>
      <w:r w:rsidRPr="001A5552">
        <w:rPr>
          <w:rFonts w:ascii="Arial" w:hAnsi="Arial" w:cs="Arial"/>
          <w:color w:val="000000" w:themeColor="text1"/>
          <w:sz w:val="16"/>
          <w:szCs w:val="16"/>
          <w:lang w:val="es-ES"/>
        </w:rPr>
        <w:t>Magistrado Ponente: Marco Gerardo Monroy Cabra.</w:t>
      </w:r>
    </w:p>
    <w:p w14:paraId="35D781A2" w14:textId="77777777" w:rsidR="008410D2" w:rsidRPr="007C211D" w:rsidRDefault="008410D2" w:rsidP="008410D2">
      <w:pPr>
        <w:pStyle w:val="Textonotapie"/>
        <w:ind w:firstLine="709"/>
        <w:jc w:val="both"/>
        <w:rPr>
          <w:rFonts w:ascii="Arial" w:hAnsi="Arial" w:cs="Arial"/>
          <w:color w:val="000000" w:themeColor="text1"/>
          <w:sz w:val="16"/>
          <w:szCs w:val="16"/>
          <w:lang w:val="es-ES"/>
        </w:rPr>
      </w:pPr>
    </w:p>
  </w:footnote>
  <w:footnote w:id="35">
    <w:p w14:paraId="7F551F66" w14:textId="77777777" w:rsidR="008410D2" w:rsidRPr="001A5552" w:rsidRDefault="008410D2" w:rsidP="008410D2">
      <w:pPr>
        <w:pStyle w:val="Textonotapie"/>
        <w:ind w:firstLine="709"/>
        <w:jc w:val="both"/>
        <w:rPr>
          <w:rFonts w:ascii="Arial" w:hAnsi="Arial" w:cs="Arial"/>
          <w:color w:val="000000" w:themeColor="text1"/>
          <w:sz w:val="16"/>
          <w:szCs w:val="16"/>
        </w:rPr>
      </w:pPr>
      <w:r w:rsidRPr="001A5552">
        <w:rPr>
          <w:rStyle w:val="Refdenotaalpie"/>
          <w:rFonts w:ascii="Arial" w:hAnsi="Arial" w:cs="Arial"/>
          <w:color w:val="000000" w:themeColor="text1"/>
          <w:sz w:val="16"/>
          <w:szCs w:val="16"/>
        </w:rPr>
        <w:footnoteRef/>
      </w:r>
      <w:r w:rsidRPr="001A5552">
        <w:rPr>
          <w:rFonts w:ascii="Arial" w:hAnsi="Arial" w:cs="Arial"/>
          <w:color w:val="000000" w:themeColor="text1"/>
          <w:sz w:val="16"/>
          <w:szCs w:val="16"/>
        </w:rPr>
        <w:t xml:space="preserve"> En lo pertinente, dicho artículo señala: </w:t>
      </w:r>
    </w:p>
    <w:p w14:paraId="7FA29206" w14:textId="77777777" w:rsidR="008410D2" w:rsidRPr="001A5552" w:rsidRDefault="008410D2" w:rsidP="008410D2">
      <w:pPr>
        <w:pStyle w:val="Textonotapie"/>
        <w:ind w:firstLine="709"/>
        <w:jc w:val="both"/>
        <w:rPr>
          <w:rFonts w:ascii="Arial" w:hAnsi="Arial" w:cs="Arial"/>
          <w:color w:val="000000" w:themeColor="text1"/>
          <w:sz w:val="16"/>
          <w:szCs w:val="16"/>
          <w:lang w:val="es-ES"/>
        </w:rPr>
      </w:pPr>
      <w:r w:rsidRPr="001A5552">
        <w:rPr>
          <w:rFonts w:ascii="Arial" w:hAnsi="Arial" w:cs="Arial"/>
          <w:color w:val="000000" w:themeColor="text1"/>
          <w:sz w:val="16"/>
          <w:szCs w:val="16"/>
          <w:lang w:val="es-ES"/>
        </w:rPr>
        <w:t>“[…]</w:t>
      </w:r>
    </w:p>
    <w:p w14:paraId="1AC8E7B1" w14:textId="77777777" w:rsidR="008410D2" w:rsidRPr="001A5552" w:rsidRDefault="008410D2" w:rsidP="008410D2">
      <w:pPr>
        <w:pStyle w:val="Textonotapie"/>
        <w:ind w:firstLine="709"/>
        <w:jc w:val="both"/>
        <w:rPr>
          <w:rFonts w:ascii="Arial" w:hAnsi="Arial" w:cs="Arial"/>
          <w:color w:val="000000" w:themeColor="text1"/>
          <w:sz w:val="16"/>
          <w:szCs w:val="16"/>
          <w:lang w:val="es-ES"/>
        </w:rPr>
      </w:pPr>
      <w:r w:rsidRPr="001A5552">
        <w:rPr>
          <w:rFonts w:ascii="Arial" w:hAnsi="Arial" w:cs="Arial"/>
          <w:color w:val="000000" w:themeColor="text1"/>
          <w:sz w:val="16"/>
          <w:szCs w:val="16"/>
          <w:lang w:val="es-ES"/>
        </w:rPr>
        <w:t>14.5. EMPRESA DE SERVICIOS PÚBLICOS OFICIAL. Es aquella en cuyo capital la Nación, las entidades territoriales, o las entidades descentralizadas de aquella o estas tienen el 100% de los aportes.</w:t>
      </w:r>
    </w:p>
    <w:p w14:paraId="286D405A" w14:textId="77777777" w:rsidR="008410D2" w:rsidRPr="001A5552" w:rsidRDefault="008410D2" w:rsidP="008410D2">
      <w:pPr>
        <w:pStyle w:val="Textonotapie"/>
        <w:ind w:firstLine="709"/>
        <w:jc w:val="both"/>
        <w:rPr>
          <w:rFonts w:ascii="Arial" w:hAnsi="Arial" w:cs="Arial"/>
          <w:color w:val="000000" w:themeColor="text1"/>
          <w:sz w:val="16"/>
          <w:szCs w:val="16"/>
          <w:lang w:val="es-ES"/>
        </w:rPr>
      </w:pPr>
      <w:r w:rsidRPr="001A5552">
        <w:rPr>
          <w:rFonts w:ascii="Arial" w:hAnsi="Arial" w:cs="Arial"/>
          <w:color w:val="000000" w:themeColor="text1"/>
          <w:sz w:val="16"/>
          <w:szCs w:val="16"/>
          <w:lang w:val="es-ES"/>
        </w:rPr>
        <w:t>14.6. EMPRESA DE SERVICIOS PÚBLICOS MIXTA. Es aquella en cuyo capital la Nación, las entidades territoriales, o las entidades descentralizadas de aquella o éstas tienen aportes iguales o superiores al 50%.</w:t>
      </w:r>
    </w:p>
    <w:p w14:paraId="024A8861" w14:textId="77777777" w:rsidR="008410D2" w:rsidRPr="001A5552" w:rsidRDefault="008410D2" w:rsidP="008410D2">
      <w:pPr>
        <w:pStyle w:val="Textonotapie"/>
        <w:ind w:firstLine="709"/>
        <w:jc w:val="both"/>
        <w:rPr>
          <w:rFonts w:ascii="Arial" w:hAnsi="Arial" w:cs="Arial"/>
          <w:color w:val="000000" w:themeColor="text1"/>
          <w:sz w:val="16"/>
          <w:szCs w:val="16"/>
          <w:lang w:val="es-ES"/>
        </w:rPr>
      </w:pPr>
      <w:r w:rsidRPr="001A5552">
        <w:rPr>
          <w:rFonts w:ascii="Arial" w:hAnsi="Arial" w:cs="Arial"/>
          <w:color w:val="000000" w:themeColor="text1"/>
          <w:sz w:val="16"/>
          <w:szCs w:val="16"/>
          <w:lang w:val="es-ES"/>
        </w:rPr>
        <w:t>14.7. EMPRESA DE SERVICIOS PÚBLICOS PRIVADA. Es aquella cuyo capital pertenece mayoritariamente a particulares, o a entidades surgidas de convenios internacionales que deseen someterse íntegramente para estos efectos a las reglas a las que se someten los particulares”.</w:t>
      </w:r>
    </w:p>
  </w:footnote>
  <w:footnote w:id="36">
    <w:p w14:paraId="005E8FE3" w14:textId="77777777" w:rsidR="008410D2" w:rsidRPr="001A5552" w:rsidRDefault="008410D2" w:rsidP="008410D2">
      <w:pPr>
        <w:pStyle w:val="Textonotapie"/>
        <w:ind w:firstLine="709"/>
        <w:jc w:val="both"/>
        <w:rPr>
          <w:rFonts w:ascii="Arial" w:hAnsi="Arial" w:cs="Arial"/>
          <w:color w:val="000000" w:themeColor="text1"/>
          <w:sz w:val="16"/>
          <w:szCs w:val="16"/>
          <w:lang w:val="es-ES"/>
        </w:rPr>
      </w:pPr>
      <w:r w:rsidRPr="001A5552">
        <w:rPr>
          <w:rStyle w:val="Refdenotaalpie"/>
          <w:rFonts w:ascii="Arial" w:hAnsi="Arial" w:cs="Arial"/>
          <w:color w:val="000000" w:themeColor="text1"/>
          <w:sz w:val="16"/>
          <w:szCs w:val="16"/>
        </w:rPr>
        <w:footnoteRef/>
      </w:r>
      <w:r w:rsidRPr="001A5552">
        <w:rPr>
          <w:rFonts w:ascii="Arial" w:hAnsi="Arial" w:cs="Arial"/>
          <w:color w:val="000000" w:themeColor="text1"/>
          <w:sz w:val="16"/>
          <w:szCs w:val="16"/>
        </w:rPr>
        <w:t xml:space="preserve"> Sentencia C-736 de 2007.</w:t>
      </w:r>
    </w:p>
  </w:footnote>
  <w:footnote w:id="37">
    <w:p w14:paraId="46C2B61B" w14:textId="4E8468A9" w:rsidR="008410D2" w:rsidRPr="001A5552" w:rsidRDefault="008410D2" w:rsidP="008410D2">
      <w:pPr>
        <w:pStyle w:val="Textonotapie"/>
        <w:ind w:firstLine="709"/>
        <w:jc w:val="both"/>
        <w:rPr>
          <w:rFonts w:ascii="Arial" w:hAnsi="Arial" w:cs="Arial"/>
          <w:color w:val="000000" w:themeColor="text1"/>
          <w:sz w:val="16"/>
          <w:szCs w:val="16"/>
        </w:rPr>
      </w:pPr>
      <w:r w:rsidRPr="001A5552">
        <w:rPr>
          <w:rStyle w:val="Refdenotaalpie"/>
          <w:rFonts w:ascii="Arial" w:hAnsi="Arial" w:cs="Arial"/>
          <w:color w:val="000000" w:themeColor="text1"/>
          <w:sz w:val="16"/>
          <w:szCs w:val="16"/>
        </w:rPr>
        <w:footnoteRef/>
      </w:r>
      <w:r w:rsidRPr="001A5552">
        <w:rPr>
          <w:rFonts w:ascii="Arial" w:hAnsi="Arial" w:cs="Arial"/>
          <w:color w:val="000000" w:themeColor="text1"/>
          <w:sz w:val="16"/>
          <w:szCs w:val="16"/>
        </w:rPr>
        <w:t xml:space="preserve"> Consejo de Estado. </w:t>
      </w:r>
      <w:r w:rsidR="005470DF" w:rsidRPr="005470DF">
        <w:rPr>
          <w:rFonts w:ascii="Arial" w:hAnsi="Arial" w:cs="Arial"/>
          <w:color w:val="000000" w:themeColor="text1"/>
          <w:sz w:val="16"/>
          <w:szCs w:val="16"/>
        </w:rPr>
        <w:t>Sección</w:t>
      </w:r>
      <w:r w:rsidRPr="001A5552">
        <w:rPr>
          <w:rFonts w:ascii="Arial" w:hAnsi="Arial" w:cs="Arial"/>
          <w:color w:val="000000" w:themeColor="text1"/>
          <w:sz w:val="16"/>
          <w:szCs w:val="16"/>
        </w:rPr>
        <w:t xml:space="preserve"> Cuarta. Sentencia del 1 de 2012. Consejero ponente: William Giraldo Giraldo. Expediente 17907. </w:t>
      </w:r>
    </w:p>
  </w:footnote>
  <w:footnote w:id="38">
    <w:p w14:paraId="36D114F4" w14:textId="77777777" w:rsidR="008410D2" w:rsidRPr="001A5552" w:rsidRDefault="008410D2" w:rsidP="008410D2">
      <w:pPr>
        <w:pStyle w:val="Textonotapie"/>
        <w:ind w:firstLine="709"/>
        <w:jc w:val="both"/>
        <w:rPr>
          <w:rFonts w:ascii="Arial" w:hAnsi="Arial" w:cs="Arial"/>
          <w:color w:val="000000" w:themeColor="text1"/>
          <w:sz w:val="16"/>
          <w:szCs w:val="16"/>
          <w:lang w:val="es-ES"/>
        </w:rPr>
      </w:pPr>
      <w:r w:rsidRPr="001A5552">
        <w:rPr>
          <w:rStyle w:val="Refdenotaalpie"/>
          <w:rFonts w:ascii="Arial" w:hAnsi="Arial" w:cs="Arial"/>
          <w:color w:val="000000" w:themeColor="text1"/>
          <w:sz w:val="16"/>
          <w:szCs w:val="16"/>
        </w:rPr>
        <w:footnoteRef/>
      </w:r>
      <w:r w:rsidRPr="001A5552">
        <w:rPr>
          <w:rFonts w:ascii="Arial" w:hAnsi="Arial" w:cs="Arial"/>
          <w:color w:val="000000" w:themeColor="text1"/>
          <w:sz w:val="16"/>
          <w:szCs w:val="16"/>
        </w:rPr>
        <w:t xml:space="preserve"> Superitendencia de Servicios Públicos Domiciliarios. </w:t>
      </w:r>
      <w:r w:rsidRPr="001A5552">
        <w:rPr>
          <w:rFonts w:ascii="Arial" w:hAnsi="Arial" w:cs="Arial"/>
          <w:color w:val="000000" w:themeColor="text1"/>
          <w:sz w:val="16"/>
          <w:szCs w:val="16"/>
          <w:lang w:val="es-ES"/>
        </w:rPr>
        <w:t>Concepto C-766 de 2021.</w:t>
      </w:r>
    </w:p>
  </w:footnote>
  <w:footnote w:id="39">
    <w:p w14:paraId="0E1D947C" w14:textId="77777777" w:rsidR="008410D2" w:rsidRPr="001A5552" w:rsidRDefault="008410D2" w:rsidP="008410D2">
      <w:pPr>
        <w:pStyle w:val="Textonotapie"/>
        <w:ind w:firstLine="709"/>
        <w:contextualSpacing/>
        <w:jc w:val="both"/>
        <w:rPr>
          <w:rFonts w:ascii="Arial" w:hAnsi="Arial" w:cs="Arial"/>
          <w:sz w:val="16"/>
          <w:szCs w:val="16"/>
        </w:rPr>
      </w:pPr>
      <w:r w:rsidRPr="001A5552">
        <w:rPr>
          <w:rStyle w:val="Refdenotaalpie"/>
          <w:rFonts w:ascii="Arial" w:hAnsi="Arial" w:cs="Arial"/>
          <w:sz w:val="16"/>
          <w:szCs w:val="16"/>
        </w:rPr>
        <w:footnoteRef/>
      </w:r>
      <w:r w:rsidRPr="001A5552">
        <w:rPr>
          <w:rFonts w:ascii="Arial" w:hAnsi="Arial" w:cs="Arial"/>
          <w:sz w:val="16"/>
          <w:szCs w:val="16"/>
        </w:rPr>
        <w:t xml:space="preserve"> El inciso final del numeral 5 “encargos fiduciarios y fiducia pública” del artículo 32 de la Ley 80 de 1993 señala lo siguiente: “So pena de nulidad no podrá celebrarse contratos de fiducia o subcontratos en contravención del artículo 355 de la Constitución Política. Si tal evento se diese, la entidad fideicomitente deberá repetir contra la persona, natural o jurídica, adjudicataria del respectivo contrato”.</w:t>
      </w:r>
    </w:p>
  </w:footnote>
  <w:footnote w:id="40">
    <w:p w14:paraId="1FD6033C" w14:textId="77777777" w:rsidR="008410D2" w:rsidRPr="001A5552" w:rsidRDefault="008410D2" w:rsidP="008410D2">
      <w:pPr>
        <w:pStyle w:val="Textonotapie"/>
        <w:ind w:firstLine="709"/>
        <w:contextualSpacing/>
        <w:jc w:val="both"/>
        <w:rPr>
          <w:rFonts w:ascii="Arial" w:hAnsi="Arial" w:cs="Arial"/>
          <w:sz w:val="16"/>
          <w:szCs w:val="16"/>
          <w:lang w:val="es-CO"/>
        </w:rPr>
      </w:pPr>
      <w:r w:rsidRPr="001A5552">
        <w:rPr>
          <w:rStyle w:val="Refdenotaalpie"/>
          <w:rFonts w:ascii="Arial" w:hAnsi="Arial" w:cs="Arial"/>
          <w:sz w:val="16"/>
          <w:szCs w:val="16"/>
        </w:rPr>
        <w:footnoteRef/>
      </w:r>
      <w:r w:rsidRPr="001A5552">
        <w:rPr>
          <w:rFonts w:ascii="Arial" w:hAnsi="Arial" w:cs="Arial"/>
          <w:sz w:val="16"/>
          <w:szCs w:val="16"/>
        </w:rPr>
        <w:t xml:space="preserve">  El literal c del numeral 4 del artículo 2 de la Ley 1150 de 2007 dispone que: “</w:t>
      </w:r>
      <w:r w:rsidRPr="001A5552">
        <w:rPr>
          <w:rFonts w:ascii="Arial" w:hAnsi="Arial" w:cs="Arial"/>
          <w:sz w:val="16"/>
          <w:szCs w:val="16"/>
          <w:lang w:val="es-CO"/>
        </w:rPr>
        <w:t>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w:t>
      </w:r>
      <w:r w:rsidRPr="001A5552">
        <w:rPr>
          <w:rFonts w:ascii="Arial" w:hAnsi="Arial" w:cs="Arial"/>
          <w:sz w:val="16"/>
          <w:szCs w:val="16"/>
        </w:rPr>
        <w:t>”</w:t>
      </w:r>
      <w:r w:rsidRPr="001A5552">
        <w:rPr>
          <w:rFonts w:ascii="Arial" w:hAnsi="Arial" w:cs="Arial"/>
          <w:sz w:val="16"/>
          <w:szCs w:val="16"/>
          <w:lang w:val="es-CO"/>
        </w:rPr>
        <w:t>.</w:t>
      </w:r>
    </w:p>
  </w:footnote>
  <w:footnote w:id="41">
    <w:p w14:paraId="7046D263" w14:textId="77777777" w:rsidR="008410D2" w:rsidRPr="001A5552" w:rsidRDefault="008410D2" w:rsidP="008410D2">
      <w:pPr>
        <w:pStyle w:val="Textonotapie"/>
        <w:ind w:firstLine="709"/>
        <w:contextualSpacing/>
        <w:jc w:val="both"/>
        <w:rPr>
          <w:rFonts w:ascii="Arial" w:hAnsi="Arial" w:cs="Arial"/>
          <w:sz w:val="16"/>
          <w:szCs w:val="16"/>
          <w:lang w:val="es-CO"/>
        </w:rPr>
      </w:pPr>
      <w:r w:rsidRPr="001A5552">
        <w:rPr>
          <w:rStyle w:val="Refdenotaalpie"/>
          <w:rFonts w:ascii="Arial" w:hAnsi="Arial" w:cs="Arial"/>
          <w:sz w:val="16"/>
          <w:szCs w:val="16"/>
        </w:rPr>
        <w:footnoteRef/>
      </w:r>
      <w:r w:rsidRPr="001A5552">
        <w:rPr>
          <w:rFonts w:ascii="Arial" w:hAnsi="Arial" w:cs="Arial"/>
          <w:sz w:val="16"/>
          <w:szCs w:val="16"/>
        </w:rPr>
        <w:t xml:space="preserve"> El artículo 2.2.1.2.3.1.5 del Decreto 1082 de 2015 hace mención </w:t>
      </w:r>
      <w:proofErr w:type="gramStart"/>
      <w:r w:rsidRPr="001A5552">
        <w:rPr>
          <w:rFonts w:ascii="Arial" w:hAnsi="Arial" w:cs="Arial"/>
          <w:sz w:val="16"/>
          <w:szCs w:val="16"/>
        </w:rPr>
        <w:t>a</w:t>
      </w:r>
      <w:proofErr w:type="gramEnd"/>
      <w:r w:rsidRPr="001A5552">
        <w:rPr>
          <w:rFonts w:ascii="Arial" w:hAnsi="Arial" w:cs="Arial"/>
          <w:sz w:val="16"/>
          <w:szCs w:val="16"/>
        </w:rPr>
        <w:t xml:space="preserve"> la subcontratación en lo relacionado con las garantías, particularmente en l</w:t>
      </w:r>
      <w:r w:rsidRPr="001A5552">
        <w:rPr>
          <w:rFonts w:ascii="Arial" w:hAnsi="Arial" w:cs="Arial"/>
          <w:sz w:val="16"/>
          <w:szCs w:val="16"/>
          <w:lang w:val="es-CO"/>
        </w:rPr>
        <w:t xml:space="preserve">os riesgos a los que se encuentran expuestas las entidades estatales, derivados de la responsabilidad extracontractual que pueda surgir por las actuaciones, hechos u omisiones de sus contratistas y subcontratistas. </w:t>
      </w:r>
    </w:p>
  </w:footnote>
  <w:footnote w:id="42">
    <w:p w14:paraId="680205A4" w14:textId="77777777" w:rsidR="008410D2" w:rsidRDefault="008410D2" w:rsidP="008410D2">
      <w:pPr>
        <w:pStyle w:val="Textonotapie"/>
        <w:ind w:firstLine="709"/>
        <w:contextualSpacing/>
        <w:jc w:val="both"/>
        <w:rPr>
          <w:rFonts w:ascii="Arial" w:hAnsi="Arial" w:cs="Arial"/>
          <w:sz w:val="16"/>
          <w:szCs w:val="16"/>
          <w:lang w:val="es-CO"/>
        </w:rPr>
      </w:pPr>
      <w:r w:rsidRPr="001A5552">
        <w:rPr>
          <w:rStyle w:val="Refdenotaalpie"/>
          <w:rFonts w:ascii="Arial" w:hAnsi="Arial" w:cs="Arial"/>
          <w:sz w:val="16"/>
          <w:szCs w:val="16"/>
        </w:rPr>
        <w:footnoteRef/>
      </w:r>
      <w:r w:rsidRPr="001A5552">
        <w:rPr>
          <w:rFonts w:ascii="Arial" w:hAnsi="Arial" w:cs="Arial"/>
          <w:sz w:val="16"/>
          <w:szCs w:val="16"/>
        </w:rPr>
        <w:t xml:space="preserve"> </w:t>
      </w:r>
      <w:r w:rsidRPr="001A5552">
        <w:rPr>
          <w:rFonts w:ascii="Arial" w:hAnsi="Arial" w:cs="Arial"/>
          <w:sz w:val="16"/>
          <w:szCs w:val="16"/>
          <w:lang w:val="es-CO"/>
        </w:rPr>
        <w:t xml:space="preserve">RAMÍREZ GRISALES, Richard Steve. La Subcontratación. Serie: Las cláusulas del contrato estatal. Librería Jurídica Sánchez R. Ltda. y Centro de Estudios de Derecho Administrativo –CEDA-, Medellín, 2012, p. 26. </w:t>
      </w:r>
    </w:p>
    <w:p w14:paraId="5219D183" w14:textId="77777777" w:rsidR="008410D2" w:rsidRPr="007C211D" w:rsidRDefault="008410D2" w:rsidP="008410D2">
      <w:pPr>
        <w:pStyle w:val="Textonotapie"/>
        <w:ind w:firstLine="709"/>
        <w:contextualSpacing/>
        <w:jc w:val="both"/>
        <w:rPr>
          <w:rFonts w:ascii="Arial" w:hAnsi="Arial" w:cs="Arial"/>
          <w:sz w:val="16"/>
          <w:szCs w:val="16"/>
          <w:lang w:val="es-CO"/>
        </w:rPr>
      </w:pPr>
    </w:p>
  </w:footnote>
  <w:footnote w:id="43">
    <w:p w14:paraId="309F5127" w14:textId="77777777" w:rsidR="008410D2" w:rsidRPr="001A5552" w:rsidRDefault="008410D2" w:rsidP="008410D2">
      <w:pPr>
        <w:pStyle w:val="Textonotapie"/>
        <w:ind w:firstLine="709"/>
        <w:contextualSpacing/>
        <w:jc w:val="both"/>
        <w:rPr>
          <w:rFonts w:ascii="Arial" w:hAnsi="Arial" w:cs="Arial"/>
          <w:sz w:val="16"/>
          <w:szCs w:val="16"/>
        </w:rPr>
      </w:pPr>
      <w:r w:rsidRPr="001A5552">
        <w:rPr>
          <w:rStyle w:val="Refdenotaalpie"/>
          <w:rFonts w:ascii="Arial" w:hAnsi="Arial" w:cs="Arial"/>
          <w:sz w:val="16"/>
          <w:szCs w:val="16"/>
        </w:rPr>
        <w:footnoteRef/>
      </w:r>
      <w:r w:rsidRPr="001A5552">
        <w:rPr>
          <w:rFonts w:ascii="Arial" w:hAnsi="Arial" w:cs="Arial"/>
          <w:sz w:val="16"/>
          <w:szCs w:val="16"/>
        </w:rPr>
        <w:t xml:space="preserve"> TRABALÓN Cristóbal. Tratado Legal de Construcción. Editorial Tébar Flores. Madrid. 2015.</w:t>
      </w:r>
    </w:p>
    <w:p w14:paraId="6AF90036" w14:textId="77777777" w:rsidR="008410D2" w:rsidRPr="001A5552" w:rsidRDefault="008410D2" w:rsidP="008410D2">
      <w:pPr>
        <w:pStyle w:val="Textonotapie"/>
        <w:ind w:firstLine="709"/>
        <w:contextualSpacing/>
        <w:jc w:val="both"/>
        <w:rPr>
          <w:rFonts w:ascii="Arial" w:hAnsi="Arial" w:cs="Arial"/>
          <w:sz w:val="16"/>
          <w:szCs w:val="16"/>
          <w:lang w:val="es-CO"/>
        </w:rPr>
      </w:pPr>
    </w:p>
  </w:footnote>
  <w:footnote w:id="44">
    <w:p w14:paraId="6D89F68D" w14:textId="77777777" w:rsidR="008410D2" w:rsidRPr="001A5552" w:rsidRDefault="008410D2" w:rsidP="008410D2">
      <w:pPr>
        <w:pStyle w:val="Textonotapie"/>
        <w:ind w:firstLine="709"/>
        <w:contextualSpacing/>
        <w:jc w:val="both"/>
        <w:rPr>
          <w:rFonts w:ascii="Arial" w:hAnsi="Arial" w:cs="Arial"/>
          <w:sz w:val="16"/>
          <w:szCs w:val="16"/>
        </w:rPr>
      </w:pPr>
      <w:r w:rsidRPr="001A5552">
        <w:rPr>
          <w:rStyle w:val="Refdenotaalpie"/>
          <w:rFonts w:ascii="Arial" w:hAnsi="Arial" w:cs="Arial"/>
          <w:sz w:val="16"/>
          <w:szCs w:val="16"/>
        </w:rPr>
        <w:footnoteRef/>
      </w:r>
      <w:r w:rsidRPr="001A5552">
        <w:rPr>
          <w:rFonts w:ascii="Arial" w:hAnsi="Arial" w:cs="Arial"/>
          <w:sz w:val="16"/>
          <w:szCs w:val="16"/>
        </w:rPr>
        <w:t xml:space="preserve"> Ibidem </w:t>
      </w:r>
    </w:p>
  </w:footnote>
  <w:footnote w:id="45">
    <w:p w14:paraId="60C45E74" w14:textId="77777777" w:rsidR="008410D2" w:rsidRPr="001A5552" w:rsidRDefault="008410D2" w:rsidP="008410D2">
      <w:pPr>
        <w:pStyle w:val="Textonotapie"/>
        <w:ind w:firstLine="708"/>
        <w:contextualSpacing/>
        <w:jc w:val="both"/>
        <w:rPr>
          <w:rFonts w:ascii="Arial" w:hAnsi="Arial" w:cs="Arial"/>
          <w:sz w:val="16"/>
          <w:szCs w:val="16"/>
        </w:rPr>
      </w:pPr>
      <w:r w:rsidRPr="001A5552">
        <w:rPr>
          <w:rStyle w:val="Refdenotaalpie"/>
          <w:rFonts w:ascii="Arial" w:hAnsi="Arial" w:cs="Arial"/>
          <w:sz w:val="16"/>
          <w:szCs w:val="16"/>
        </w:rPr>
        <w:footnoteRef/>
      </w:r>
      <w:r w:rsidRPr="001A5552">
        <w:rPr>
          <w:rFonts w:ascii="Arial" w:hAnsi="Arial" w:cs="Arial"/>
          <w:sz w:val="16"/>
          <w:szCs w:val="16"/>
        </w:rPr>
        <w:t xml:space="preserve"> Código Civil. Artículo 31. </w:t>
      </w:r>
    </w:p>
    <w:p w14:paraId="6868833F" w14:textId="77777777" w:rsidR="008410D2" w:rsidRPr="001A5552" w:rsidRDefault="008410D2" w:rsidP="008410D2">
      <w:pPr>
        <w:pStyle w:val="Textonotapie"/>
        <w:ind w:firstLine="708"/>
        <w:contextualSpacing/>
        <w:jc w:val="both"/>
        <w:rPr>
          <w:rFonts w:ascii="Arial" w:hAnsi="Arial" w:cs="Arial"/>
          <w:sz w:val="16"/>
          <w:szCs w:val="16"/>
        </w:rPr>
      </w:pPr>
    </w:p>
  </w:footnote>
  <w:footnote w:id="46">
    <w:p w14:paraId="0C7FF270" w14:textId="77777777" w:rsidR="008410D2" w:rsidRPr="001A5552" w:rsidRDefault="008410D2" w:rsidP="008410D2">
      <w:pPr>
        <w:pStyle w:val="Textonotapie"/>
        <w:ind w:firstLine="708"/>
        <w:jc w:val="both"/>
        <w:rPr>
          <w:rFonts w:ascii="Arial" w:eastAsia="Calibri" w:hAnsi="Arial" w:cs="Arial"/>
          <w:sz w:val="16"/>
          <w:szCs w:val="16"/>
          <w:lang w:val="es-CO"/>
        </w:rPr>
      </w:pPr>
      <w:r w:rsidRPr="001A5552">
        <w:rPr>
          <w:rStyle w:val="Refdenotaalpie"/>
          <w:rFonts w:ascii="Arial" w:hAnsi="Arial" w:cs="Arial"/>
          <w:sz w:val="16"/>
          <w:szCs w:val="16"/>
        </w:rPr>
        <w:footnoteRef/>
      </w:r>
      <w:r w:rsidRPr="001A5552">
        <w:rPr>
          <w:rFonts w:ascii="Arial" w:hAnsi="Arial" w:cs="Arial"/>
          <w:sz w:val="16"/>
          <w:szCs w:val="16"/>
        </w:rPr>
        <w:t xml:space="preserve"> </w:t>
      </w:r>
      <w:r w:rsidRPr="001A5552">
        <w:rPr>
          <w:rFonts w:ascii="Arial" w:eastAsia="Calibri" w:hAnsi="Arial" w:cs="Arial"/>
          <w:sz w:val="16"/>
          <w:szCs w:val="16"/>
        </w:rPr>
        <w:t>En lo pertinente, el artículo 4 de la Resolución 219 del 6 de agosto de 2021 dispone que “</w:t>
      </w:r>
      <w:r w:rsidRPr="001A5552">
        <w:rPr>
          <w:rFonts w:ascii="Arial" w:eastAsia="Calibri" w:hAnsi="Arial" w:cs="Arial"/>
          <w:sz w:val="16"/>
          <w:szCs w:val="16"/>
          <w:lang w:val="es-CO"/>
        </w:rPr>
        <w:t xml:space="preserve">Cuando el objeto contractual incluya bienes o servicios ajenos a la obra pública de infraestructura social, la entidad estatal deberá aplicar los documentos tipo. Si de manera excepcional requiere incluir experiencia adicional para evaluar la idoneidad respecto de los bienes o servicios ajenos a la obra pública, deberá seguir los siguientes parámetros: </w:t>
      </w:r>
    </w:p>
    <w:p w14:paraId="23847168" w14:textId="77777777" w:rsidR="008410D2" w:rsidRPr="001A5552" w:rsidRDefault="008410D2" w:rsidP="008410D2">
      <w:pPr>
        <w:pStyle w:val="Textonotapie"/>
        <w:ind w:firstLine="708"/>
        <w:jc w:val="both"/>
        <w:rPr>
          <w:rFonts w:ascii="Arial" w:eastAsia="Calibri" w:hAnsi="Arial" w:cs="Arial"/>
          <w:sz w:val="16"/>
          <w:szCs w:val="16"/>
          <w:lang w:val="es-CO"/>
        </w:rPr>
      </w:pPr>
      <w:r w:rsidRPr="001A5552">
        <w:rPr>
          <w:rFonts w:ascii="Arial" w:eastAsia="Calibri" w:hAnsi="Arial" w:cs="Arial"/>
          <w:sz w:val="16"/>
          <w:szCs w:val="16"/>
          <w:lang w:val="es-CO"/>
        </w:rPr>
        <w:t xml:space="preserve">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 </w:t>
      </w:r>
    </w:p>
    <w:p w14:paraId="2AFF5788" w14:textId="77777777" w:rsidR="008410D2" w:rsidRPr="001A5552" w:rsidRDefault="008410D2" w:rsidP="008410D2">
      <w:pPr>
        <w:pStyle w:val="Textonotapie"/>
        <w:ind w:firstLine="708"/>
        <w:jc w:val="both"/>
        <w:rPr>
          <w:rFonts w:ascii="Arial" w:eastAsia="Calibri" w:hAnsi="Arial" w:cs="Arial"/>
          <w:sz w:val="16"/>
          <w:szCs w:val="16"/>
          <w:lang w:val="es-CO"/>
        </w:rPr>
      </w:pPr>
      <w:r w:rsidRPr="001A5552">
        <w:rPr>
          <w:rFonts w:ascii="Arial" w:eastAsia="Calibri" w:hAnsi="Arial" w:cs="Arial"/>
          <w:sz w:val="16"/>
          <w:szCs w:val="16"/>
          <w:lang w:val="es-CO"/>
        </w:rPr>
        <w:t xml:space="preserve">Para tal efecto, la entidad realizará el estudio previo y el análisis del sector en los términos de los artículos 2.2.1.1.1.6.1 y 2.2.1.1.1.6.2 del Decreto 1082 de 2015, o la norma que los adicione, complemente o sustituya. </w:t>
      </w:r>
    </w:p>
    <w:p w14:paraId="20CDD174" w14:textId="77777777" w:rsidR="008410D2" w:rsidRPr="001A5552" w:rsidRDefault="008410D2" w:rsidP="008410D2">
      <w:pPr>
        <w:pStyle w:val="Textonotapie"/>
        <w:ind w:firstLine="708"/>
        <w:jc w:val="both"/>
        <w:rPr>
          <w:rFonts w:ascii="Arial" w:eastAsia="Calibri" w:hAnsi="Arial" w:cs="Arial"/>
          <w:sz w:val="16"/>
          <w:szCs w:val="16"/>
          <w:lang w:val="es-CO"/>
        </w:rPr>
      </w:pPr>
      <w:r w:rsidRPr="001A5552">
        <w:rPr>
          <w:rFonts w:ascii="Arial" w:eastAsia="Calibri" w:hAnsi="Arial" w:cs="Arial"/>
          <w:sz w:val="16"/>
          <w:szCs w:val="16"/>
          <w:lang w:val="es-CO"/>
        </w:rPr>
        <w:t>2. Conservar los requisitos exigidos en los documentos tipo.</w:t>
      </w:r>
    </w:p>
    <w:p w14:paraId="12E908D7" w14:textId="77777777" w:rsidR="008410D2" w:rsidRPr="001A5552" w:rsidRDefault="008410D2" w:rsidP="008410D2">
      <w:pPr>
        <w:pStyle w:val="Textonotapie"/>
        <w:ind w:firstLine="708"/>
        <w:jc w:val="both"/>
        <w:rPr>
          <w:rFonts w:ascii="Arial" w:hAnsi="Arial" w:cs="Arial"/>
          <w:sz w:val="16"/>
          <w:szCs w:val="16"/>
          <w:lang w:val="es-ES"/>
        </w:rPr>
      </w:pPr>
      <w:r w:rsidRPr="001A5552">
        <w:rPr>
          <w:rFonts w:ascii="Arial" w:hAnsi="Arial" w:cs="Arial"/>
          <w:sz w:val="16"/>
          <w:szCs w:val="16"/>
          <w:lang w:val="es-ES"/>
        </w:rPr>
        <w:t>3. Abstenerse de pedir experiencia exclusiva con entidades de cualquier naturaleza, experiencia previa exclusiva en un territorio específico, limitada en el tiempo o que incluya volúmenes o cantidades de obra específica.</w:t>
      </w:r>
    </w:p>
    <w:p w14:paraId="1104CE57" w14:textId="77777777" w:rsidR="008410D2" w:rsidRPr="001A5552" w:rsidRDefault="008410D2" w:rsidP="008410D2">
      <w:pPr>
        <w:pStyle w:val="Textonotapie"/>
        <w:ind w:firstLine="708"/>
        <w:jc w:val="both"/>
        <w:rPr>
          <w:rFonts w:ascii="Arial" w:hAnsi="Arial" w:cs="Arial"/>
          <w:sz w:val="16"/>
          <w:szCs w:val="16"/>
          <w:lang w:val="es-ES"/>
        </w:rPr>
      </w:pPr>
      <w:r w:rsidRPr="001A5552">
        <w:rPr>
          <w:rFonts w:ascii="Arial" w:hAnsi="Arial" w:cs="Arial"/>
          <w:sz w:val="16"/>
          <w:szCs w:val="16"/>
          <w:lang w:val="es-ES"/>
        </w:rPr>
        <w:t>4. Clasificar la experiencia requerida solo hasta el tercer nivel del Clasificador de Bienes y Servicios e incluir exclusivamente los códigos que estén relacionados directamente con el objeto a contratar.</w:t>
      </w:r>
    </w:p>
    <w:p w14:paraId="006C95DC" w14:textId="77777777" w:rsidR="008410D2" w:rsidRPr="001A5552" w:rsidRDefault="008410D2" w:rsidP="008410D2">
      <w:pPr>
        <w:pStyle w:val="Textonotapie"/>
        <w:ind w:firstLine="708"/>
        <w:jc w:val="both"/>
        <w:rPr>
          <w:rFonts w:ascii="Arial" w:hAnsi="Arial" w:cs="Arial"/>
          <w:sz w:val="16"/>
          <w:szCs w:val="16"/>
          <w:lang w:val="es-ES"/>
        </w:rPr>
      </w:pPr>
      <w:r w:rsidRPr="001A5552">
        <w:rPr>
          <w:rFonts w:ascii="Arial" w:hAnsi="Arial" w:cs="Arial"/>
          <w:sz w:val="16"/>
          <w:szCs w:val="16"/>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57E6FCA"/>
    <w:multiLevelType w:val="hybridMultilevel"/>
    <w:tmpl w:val="747059BE"/>
    <w:lvl w:ilvl="0" w:tplc="0238763C">
      <w:start w:val="1"/>
      <w:numFmt w:val="lowerRoman"/>
      <w:lvlText w:val="%1)"/>
      <w:lvlJc w:val="left"/>
      <w:pPr>
        <w:ind w:left="1488" w:hanging="720"/>
      </w:pPr>
      <w:rPr>
        <w:rFonts w:hint="default"/>
      </w:rPr>
    </w:lvl>
    <w:lvl w:ilvl="1" w:tplc="240A0019" w:tentative="1">
      <w:start w:val="1"/>
      <w:numFmt w:val="lowerLetter"/>
      <w:lvlText w:val="%2."/>
      <w:lvlJc w:val="left"/>
      <w:pPr>
        <w:ind w:left="1848" w:hanging="360"/>
      </w:pPr>
    </w:lvl>
    <w:lvl w:ilvl="2" w:tplc="240A001B" w:tentative="1">
      <w:start w:val="1"/>
      <w:numFmt w:val="lowerRoman"/>
      <w:lvlText w:val="%3."/>
      <w:lvlJc w:val="right"/>
      <w:pPr>
        <w:ind w:left="2568" w:hanging="180"/>
      </w:pPr>
    </w:lvl>
    <w:lvl w:ilvl="3" w:tplc="240A000F" w:tentative="1">
      <w:start w:val="1"/>
      <w:numFmt w:val="decimal"/>
      <w:lvlText w:val="%4."/>
      <w:lvlJc w:val="left"/>
      <w:pPr>
        <w:ind w:left="3288" w:hanging="360"/>
      </w:pPr>
    </w:lvl>
    <w:lvl w:ilvl="4" w:tplc="240A0019" w:tentative="1">
      <w:start w:val="1"/>
      <w:numFmt w:val="lowerLetter"/>
      <w:lvlText w:val="%5."/>
      <w:lvlJc w:val="left"/>
      <w:pPr>
        <w:ind w:left="4008" w:hanging="360"/>
      </w:pPr>
    </w:lvl>
    <w:lvl w:ilvl="5" w:tplc="240A001B" w:tentative="1">
      <w:start w:val="1"/>
      <w:numFmt w:val="lowerRoman"/>
      <w:lvlText w:val="%6."/>
      <w:lvlJc w:val="right"/>
      <w:pPr>
        <w:ind w:left="4728" w:hanging="180"/>
      </w:pPr>
    </w:lvl>
    <w:lvl w:ilvl="6" w:tplc="240A000F" w:tentative="1">
      <w:start w:val="1"/>
      <w:numFmt w:val="decimal"/>
      <w:lvlText w:val="%7."/>
      <w:lvlJc w:val="left"/>
      <w:pPr>
        <w:ind w:left="5448" w:hanging="360"/>
      </w:pPr>
    </w:lvl>
    <w:lvl w:ilvl="7" w:tplc="240A0019" w:tentative="1">
      <w:start w:val="1"/>
      <w:numFmt w:val="lowerLetter"/>
      <w:lvlText w:val="%8."/>
      <w:lvlJc w:val="left"/>
      <w:pPr>
        <w:ind w:left="6168" w:hanging="360"/>
      </w:pPr>
    </w:lvl>
    <w:lvl w:ilvl="8" w:tplc="240A001B" w:tentative="1">
      <w:start w:val="1"/>
      <w:numFmt w:val="lowerRoman"/>
      <w:lvlText w:val="%9."/>
      <w:lvlJc w:val="right"/>
      <w:pPr>
        <w:ind w:left="6888" w:hanging="180"/>
      </w:p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B9030C5"/>
    <w:multiLevelType w:val="hybridMultilevel"/>
    <w:tmpl w:val="4AB68F80"/>
    <w:lvl w:ilvl="0" w:tplc="01825070">
      <w:start w:val="1"/>
      <w:numFmt w:val="lowerRoman"/>
      <w:lvlText w:val="%1)"/>
      <w:lvlJc w:val="left"/>
      <w:pPr>
        <w:ind w:left="1489" w:hanging="720"/>
      </w:pPr>
      <w:rPr>
        <w:rFonts w:hint="default"/>
      </w:rPr>
    </w:lvl>
    <w:lvl w:ilvl="1" w:tplc="240A0019" w:tentative="1">
      <w:start w:val="1"/>
      <w:numFmt w:val="lowerLetter"/>
      <w:lvlText w:val="%2."/>
      <w:lvlJc w:val="left"/>
      <w:pPr>
        <w:ind w:left="1849" w:hanging="360"/>
      </w:pPr>
    </w:lvl>
    <w:lvl w:ilvl="2" w:tplc="240A001B" w:tentative="1">
      <w:start w:val="1"/>
      <w:numFmt w:val="lowerRoman"/>
      <w:lvlText w:val="%3."/>
      <w:lvlJc w:val="right"/>
      <w:pPr>
        <w:ind w:left="2569" w:hanging="180"/>
      </w:pPr>
    </w:lvl>
    <w:lvl w:ilvl="3" w:tplc="240A000F" w:tentative="1">
      <w:start w:val="1"/>
      <w:numFmt w:val="decimal"/>
      <w:lvlText w:val="%4."/>
      <w:lvlJc w:val="left"/>
      <w:pPr>
        <w:ind w:left="3289" w:hanging="360"/>
      </w:pPr>
    </w:lvl>
    <w:lvl w:ilvl="4" w:tplc="240A0019" w:tentative="1">
      <w:start w:val="1"/>
      <w:numFmt w:val="lowerLetter"/>
      <w:lvlText w:val="%5."/>
      <w:lvlJc w:val="left"/>
      <w:pPr>
        <w:ind w:left="4009" w:hanging="360"/>
      </w:pPr>
    </w:lvl>
    <w:lvl w:ilvl="5" w:tplc="240A001B" w:tentative="1">
      <w:start w:val="1"/>
      <w:numFmt w:val="lowerRoman"/>
      <w:lvlText w:val="%6."/>
      <w:lvlJc w:val="right"/>
      <w:pPr>
        <w:ind w:left="4729" w:hanging="180"/>
      </w:pPr>
    </w:lvl>
    <w:lvl w:ilvl="6" w:tplc="240A000F" w:tentative="1">
      <w:start w:val="1"/>
      <w:numFmt w:val="decimal"/>
      <w:lvlText w:val="%7."/>
      <w:lvlJc w:val="left"/>
      <w:pPr>
        <w:ind w:left="5449" w:hanging="360"/>
      </w:pPr>
    </w:lvl>
    <w:lvl w:ilvl="7" w:tplc="240A0019" w:tentative="1">
      <w:start w:val="1"/>
      <w:numFmt w:val="lowerLetter"/>
      <w:lvlText w:val="%8."/>
      <w:lvlJc w:val="left"/>
      <w:pPr>
        <w:ind w:left="6169" w:hanging="360"/>
      </w:pPr>
    </w:lvl>
    <w:lvl w:ilvl="8" w:tplc="240A001B" w:tentative="1">
      <w:start w:val="1"/>
      <w:numFmt w:val="lowerRoman"/>
      <w:lvlText w:val="%9."/>
      <w:lvlJc w:val="right"/>
      <w:pPr>
        <w:ind w:left="6889" w:hanging="180"/>
      </w:pPr>
    </w:lvl>
  </w:abstractNum>
  <w:abstractNum w:abstractNumId="6" w15:restartNumberingAfterBreak="0">
    <w:nsid w:val="43D62203"/>
    <w:multiLevelType w:val="hybridMultilevel"/>
    <w:tmpl w:val="1FD0B122"/>
    <w:lvl w:ilvl="0" w:tplc="7C4E33AE">
      <w:start w:val="2"/>
      <w:numFmt w:val="lowerRoman"/>
      <w:lvlText w:val="%1)"/>
      <w:lvlJc w:val="left"/>
      <w:pPr>
        <w:ind w:left="1080" w:hanging="72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F986D1E"/>
    <w:multiLevelType w:val="hybridMultilevel"/>
    <w:tmpl w:val="A5CAB70C"/>
    <w:lvl w:ilvl="0" w:tplc="80FA80CC">
      <w:start w:val="2"/>
      <w:numFmt w:val="lowerRoman"/>
      <w:lvlText w:val="%1)"/>
      <w:lvlJc w:val="left"/>
      <w:pPr>
        <w:ind w:left="1080" w:hanging="72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00395951">
    <w:abstractNumId w:val="4"/>
  </w:num>
  <w:num w:numId="2" w16cid:durableId="1408454564">
    <w:abstractNumId w:val="2"/>
  </w:num>
  <w:num w:numId="3" w16cid:durableId="1897622572">
    <w:abstractNumId w:val="3"/>
  </w:num>
  <w:num w:numId="4" w16cid:durableId="1044789443">
    <w:abstractNumId w:val="0"/>
  </w:num>
  <w:num w:numId="5" w16cid:durableId="1249735065">
    <w:abstractNumId w:val="1"/>
  </w:num>
  <w:num w:numId="6" w16cid:durableId="1454249125">
    <w:abstractNumId w:val="5"/>
  </w:num>
  <w:num w:numId="7" w16cid:durableId="836000102">
    <w:abstractNumId w:val="7"/>
  </w:num>
  <w:num w:numId="8" w16cid:durableId="18364589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23ACA"/>
    <w:rsid w:val="0006537D"/>
    <w:rsid w:val="000677AC"/>
    <w:rsid w:val="00083334"/>
    <w:rsid w:val="000956CF"/>
    <w:rsid w:val="000A683E"/>
    <w:rsid w:val="0011595A"/>
    <w:rsid w:val="001220C5"/>
    <w:rsid w:val="0012417C"/>
    <w:rsid w:val="001267F7"/>
    <w:rsid w:val="00127233"/>
    <w:rsid w:val="00130999"/>
    <w:rsid w:val="00164D81"/>
    <w:rsid w:val="0017508F"/>
    <w:rsid w:val="001A076D"/>
    <w:rsid w:val="001A1011"/>
    <w:rsid w:val="001A48D0"/>
    <w:rsid w:val="001A5552"/>
    <w:rsid w:val="002653C1"/>
    <w:rsid w:val="0026611D"/>
    <w:rsid w:val="002951A0"/>
    <w:rsid w:val="00295E6F"/>
    <w:rsid w:val="002A64FD"/>
    <w:rsid w:val="002F0839"/>
    <w:rsid w:val="00301469"/>
    <w:rsid w:val="00306EE1"/>
    <w:rsid w:val="00310B9B"/>
    <w:rsid w:val="003170C9"/>
    <w:rsid w:val="00321BF5"/>
    <w:rsid w:val="003378B4"/>
    <w:rsid w:val="0036461C"/>
    <w:rsid w:val="00367884"/>
    <w:rsid w:val="0039439C"/>
    <w:rsid w:val="00395337"/>
    <w:rsid w:val="003B69E7"/>
    <w:rsid w:val="003C013B"/>
    <w:rsid w:val="003D0F4D"/>
    <w:rsid w:val="003F58A1"/>
    <w:rsid w:val="00410DD6"/>
    <w:rsid w:val="004134C9"/>
    <w:rsid w:val="0043138C"/>
    <w:rsid w:val="00462A59"/>
    <w:rsid w:val="00483384"/>
    <w:rsid w:val="004A1847"/>
    <w:rsid w:val="004B6B0E"/>
    <w:rsid w:val="004C175B"/>
    <w:rsid w:val="004D25B3"/>
    <w:rsid w:val="004E68D1"/>
    <w:rsid w:val="00511405"/>
    <w:rsid w:val="00517AF1"/>
    <w:rsid w:val="00522BD7"/>
    <w:rsid w:val="00526E9D"/>
    <w:rsid w:val="005470DF"/>
    <w:rsid w:val="00547856"/>
    <w:rsid w:val="00547A74"/>
    <w:rsid w:val="005566E8"/>
    <w:rsid w:val="005746AB"/>
    <w:rsid w:val="0059357F"/>
    <w:rsid w:val="0059360B"/>
    <w:rsid w:val="005A1130"/>
    <w:rsid w:val="005D65C8"/>
    <w:rsid w:val="006105A7"/>
    <w:rsid w:val="006219F8"/>
    <w:rsid w:val="006473EB"/>
    <w:rsid w:val="00681FDB"/>
    <w:rsid w:val="006A0877"/>
    <w:rsid w:val="006A7DAD"/>
    <w:rsid w:val="006D70BA"/>
    <w:rsid w:val="006F502E"/>
    <w:rsid w:val="0070516C"/>
    <w:rsid w:val="0074057F"/>
    <w:rsid w:val="007566FE"/>
    <w:rsid w:val="0076726F"/>
    <w:rsid w:val="0077144B"/>
    <w:rsid w:val="00793403"/>
    <w:rsid w:val="007C0CDF"/>
    <w:rsid w:val="007C211D"/>
    <w:rsid w:val="007E2A2F"/>
    <w:rsid w:val="007F2B7C"/>
    <w:rsid w:val="00811651"/>
    <w:rsid w:val="00820F5B"/>
    <w:rsid w:val="00833452"/>
    <w:rsid w:val="008410D2"/>
    <w:rsid w:val="008614E5"/>
    <w:rsid w:val="008678EB"/>
    <w:rsid w:val="00875894"/>
    <w:rsid w:val="00881C10"/>
    <w:rsid w:val="00890411"/>
    <w:rsid w:val="008B115D"/>
    <w:rsid w:val="008D5C70"/>
    <w:rsid w:val="009025AF"/>
    <w:rsid w:val="00904F23"/>
    <w:rsid w:val="00906B3C"/>
    <w:rsid w:val="0095342C"/>
    <w:rsid w:val="009F33F2"/>
    <w:rsid w:val="009F6C77"/>
    <w:rsid w:val="00A07532"/>
    <w:rsid w:val="00A1085C"/>
    <w:rsid w:val="00A309E2"/>
    <w:rsid w:val="00A67976"/>
    <w:rsid w:val="00A8066E"/>
    <w:rsid w:val="00AA4B8A"/>
    <w:rsid w:val="00AA6BF7"/>
    <w:rsid w:val="00AC3320"/>
    <w:rsid w:val="00AF4CB7"/>
    <w:rsid w:val="00B01ED6"/>
    <w:rsid w:val="00B06D09"/>
    <w:rsid w:val="00B771A9"/>
    <w:rsid w:val="00B809BB"/>
    <w:rsid w:val="00B8248A"/>
    <w:rsid w:val="00BB7726"/>
    <w:rsid w:val="00C2329E"/>
    <w:rsid w:val="00C30461"/>
    <w:rsid w:val="00C37E87"/>
    <w:rsid w:val="00C754BE"/>
    <w:rsid w:val="00C87572"/>
    <w:rsid w:val="00C9405D"/>
    <w:rsid w:val="00CC1B26"/>
    <w:rsid w:val="00CD284F"/>
    <w:rsid w:val="00CE25BC"/>
    <w:rsid w:val="00CF23AA"/>
    <w:rsid w:val="00D01921"/>
    <w:rsid w:val="00D022C4"/>
    <w:rsid w:val="00D42C11"/>
    <w:rsid w:val="00D752B7"/>
    <w:rsid w:val="00DA1854"/>
    <w:rsid w:val="00DB0887"/>
    <w:rsid w:val="00DF1E43"/>
    <w:rsid w:val="00E20894"/>
    <w:rsid w:val="00E26B7C"/>
    <w:rsid w:val="00E74D95"/>
    <w:rsid w:val="00E820A5"/>
    <w:rsid w:val="00EA3003"/>
    <w:rsid w:val="00EB1B2D"/>
    <w:rsid w:val="00EB3C91"/>
    <w:rsid w:val="00EB66DA"/>
    <w:rsid w:val="00F32D91"/>
    <w:rsid w:val="00F558E8"/>
    <w:rsid w:val="00F605F2"/>
    <w:rsid w:val="00F76AFC"/>
    <w:rsid w:val="00F8319B"/>
    <w:rsid w:val="00FA5516"/>
    <w:rsid w:val="00FD6F73"/>
    <w:rsid w:val="1CC63BF5"/>
    <w:rsid w:val="2F9951DC"/>
    <w:rsid w:val="3EA2D60F"/>
    <w:rsid w:val="5DE941BD"/>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character" w:styleId="Hipervnculo">
    <w:name w:val="Hyperlink"/>
    <w:basedOn w:val="Fuentedeprrafopredeter"/>
    <w:uiPriority w:val="99"/>
    <w:unhideWhenUsed/>
    <w:rsid w:val="008410D2"/>
    <w:rPr>
      <w:color w:val="0563C1" w:themeColor="hyperlink"/>
      <w:u w:val="single"/>
    </w:rPr>
  </w:style>
  <w:style w:type="character" w:styleId="Textoennegrita">
    <w:name w:val="Strong"/>
    <w:basedOn w:val="Fuentedeprrafopredeter"/>
    <w:uiPriority w:val="22"/>
    <w:qFormat/>
    <w:rsid w:val="008410D2"/>
    <w:rPr>
      <w:b/>
      <w:bCs/>
    </w:rPr>
  </w:style>
  <w:style w:type="paragraph" w:customStyle="1" w:styleId="Appelnotedebasde">
    <w:name w:val="Appel note de bas de..."/>
    <w:basedOn w:val="Normal"/>
    <w:link w:val="Refdenotaalpie"/>
    <w:uiPriority w:val="99"/>
    <w:rsid w:val="008410D2"/>
    <w:pPr>
      <w:spacing w:line="240" w:lineRule="exact"/>
    </w:pPr>
    <w:rPr>
      <w:vertAlign w:val="superscript"/>
    </w:rPr>
  </w:style>
  <w:style w:type="paragraph" w:styleId="NormalWeb">
    <w:name w:val="Normal (Web)"/>
    <w:basedOn w:val="Normal"/>
    <w:link w:val="NormalWebCar"/>
    <w:uiPriority w:val="99"/>
    <w:unhideWhenUsed/>
    <w:rsid w:val="008410D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rsid w:val="008410D2"/>
    <w:rPr>
      <w:rFonts w:ascii="Times New Roman" w:eastAsia="Times New Roman" w:hAnsi="Times New Roman" w:cs="Times New Roman"/>
      <w:sz w:val="24"/>
      <w:szCs w:val="24"/>
      <w:lang w:eastAsia="es-CO"/>
    </w:rPr>
  </w:style>
  <w:style w:type="character" w:customStyle="1" w:styleId="baj">
    <w:name w:val="b_aj"/>
    <w:basedOn w:val="Fuentedeprrafopredeter"/>
    <w:rsid w:val="008410D2"/>
  </w:style>
  <w:style w:type="paragraph" w:customStyle="1" w:styleId="paragraph">
    <w:name w:val="paragraph"/>
    <w:basedOn w:val="Normal"/>
    <w:rsid w:val="008410D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8410D2"/>
  </w:style>
  <w:style w:type="character" w:styleId="Mencinsinresolver">
    <w:name w:val="Unresolved Mention"/>
    <w:basedOn w:val="Fuentedeprrafopredeter"/>
    <w:uiPriority w:val="99"/>
    <w:semiHidden/>
    <w:unhideWhenUsed/>
    <w:rsid w:val="008410D2"/>
    <w:rPr>
      <w:color w:val="605E5C"/>
      <w:shd w:val="clear" w:color="auto" w:fill="E1DFDD"/>
    </w:rPr>
  </w:style>
  <w:style w:type="character" w:customStyle="1" w:styleId="markedcontent">
    <w:name w:val="markedcontent"/>
    <w:basedOn w:val="Fuentedeprrafopredeter"/>
    <w:rsid w:val="008410D2"/>
  </w:style>
  <w:style w:type="paragraph" w:styleId="Textoindependiente">
    <w:name w:val="Body Text"/>
    <w:basedOn w:val="Normal"/>
    <w:link w:val="TextoindependienteCar"/>
    <w:uiPriority w:val="99"/>
    <w:unhideWhenUsed/>
    <w:rsid w:val="008410D2"/>
    <w:pPr>
      <w:spacing w:after="120" w:line="276" w:lineRule="auto"/>
    </w:pPr>
    <w:rPr>
      <w:rFonts w:eastAsiaTheme="minorEastAsia"/>
      <w:lang w:eastAsia="es-CO"/>
    </w:rPr>
  </w:style>
  <w:style w:type="character" w:customStyle="1" w:styleId="TextoindependienteCar">
    <w:name w:val="Texto independiente Car"/>
    <w:basedOn w:val="Fuentedeprrafopredeter"/>
    <w:link w:val="Textoindependiente"/>
    <w:uiPriority w:val="99"/>
    <w:rsid w:val="008410D2"/>
    <w:rPr>
      <w:rFonts w:eastAsiaTheme="minorEastAsia"/>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8" ma:contentTypeDescription="Crear nuevo documento." ma:contentTypeScope="" ma:versionID="4f954c4b2d3ebe2c209a18a5ec488f7b">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1e1c95cf024982f2370a944107abc8a6"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ABFD5696-F60D-403E-9F95-73EA01AEA9A9}"/>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15408</Words>
  <Characters>84746</Characters>
  <Application>Microsoft Office Word</Application>
  <DocSecurity>0</DocSecurity>
  <Lines>706</Lines>
  <Paragraphs>199</Paragraphs>
  <ScaleCrop>false</ScaleCrop>
  <Company/>
  <LinksUpToDate>false</LinksUpToDate>
  <CharactersWithSpaces>99955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ANCP-CCE-</cp:lastModifiedBy>
  <cp:revision>7</cp:revision>
  <dcterms:created xsi:type="dcterms:W3CDTF">2023-04-27T01:56:00Z</dcterms:created>
  <dcterms:modified xsi:type="dcterms:W3CDTF">2023-09-12T14:33:00Z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