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C886" w14:textId="77777777" w:rsidR="00D06040" w:rsidRPr="00D96DE8" w:rsidRDefault="00D06040" w:rsidP="00D96DE8">
      <w:pPr>
        <w:pStyle w:val="paragraph"/>
        <w:jc w:val="both"/>
        <w:textAlignment w:val="baseline"/>
        <w:rPr>
          <w:rFonts w:ascii="Century Gothic" w:hAnsi="Century Gothic" w:cs="Arial"/>
          <w:b/>
          <w:color w:val="000000" w:themeColor="text1"/>
          <w:sz w:val="20"/>
          <w:szCs w:val="20"/>
        </w:rPr>
      </w:pPr>
      <w:r w:rsidRPr="00D96DE8">
        <w:rPr>
          <w:rFonts w:ascii="Century Gothic" w:hAnsi="Century Gothic" w:cs="Arial"/>
          <w:b/>
          <w:color w:val="000000" w:themeColor="text1"/>
          <w:sz w:val="20"/>
          <w:szCs w:val="20"/>
        </w:rPr>
        <w:t xml:space="preserve">REQUISITOS HABILITANTES – Noción </w:t>
      </w:r>
    </w:p>
    <w:p w14:paraId="62E0AD2B" w14:textId="5AD4A2CC" w:rsidR="00D06040" w:rsidRPr="00D96DE8" w:rsidRDefault="00D06040" w:rsidP="00D96DE8">
      <w:pPr>
        <w:pStyle w:val="paragraph"/>
        <w:jc w:val="both"/>
        <w:textAlignment w:val="baseline"/>
        <w:rPr>
          <w:rFonts w:ascii="Century Gothic" w:hAnsi="Century Gothic" w:cs="Arial"/>
          <w:bCs/>
          <w:color w:val="000000" w:themeColor="text1"/>
          <w:sz w:val="20"/>
          <w:szCs w:val="20"/>
        </w:rPr>
      </w:pPr>
      <w:r w:rsidRPr="00D96DE8">
        <w:rPr>
          <w:rFonts w:ascii="Century Gothic" w:hAnsi="Century Gothic" w:cs="Arial"/>
          <w:bCs/>
          <w:color w:val="000000" w:themeColor="text1"/>
          <w:sz w:val="20"/>
          <w:szCs w:val="20"/>
        </w:rPr>
        <w:t>Los requisitos habilitantes se definen como exigencias de participación en los procedimientos de selección, establecidas en disposiciones normativas, de carácter legal o reglamentario, o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w:t>
      </w:r>
    </w:p>
    <w:p w14:paraId="4E44BAEA" w14:textId="4C92B37C" w:rsidR="00D06040" w:rsidRPr="00D96DE8" w:rsidRDefault="00D06040" w:rsidP="00D96DE8">
      <w:pPr>
        <w:pStyle w:val="paragraph"/>
        <w:jc w:val="both"/>
        <w:textAlignment w:val="baseline"/>
        <w:rPr>
          <w:rFonts w:ascii="Century Gothic" w:hAnsi="Century Gothic" w:cs="Arial"/>
          <w:bCs/>
          <w:color w:val="000000" w:themeColor="text1"/>
          <w:sz w:val="20"/>
          <w:szCs w:val="20"/>
        </w:rPr>
      </w:pPr>
      <w:r w:rsidRPr="00D96DE8">
        <w:rPr>
          <w:rFonts w:ascii="Century Gothic" w:hAnsi="Century Gothic" w:cs="Arial"/>
          <w:bCs/>
          <w:color w:val="000000" w:themeColor="text1"/>
          <w:sz w:val="20"/>
          <w:szCs w:val="20"/>
        </w:rPr>
        <w:t>A partir de lo dicho se deduce entonces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779FA452" w14:textId="77777777" w:rsidR="00D06040" w:rsidRPr="00D96DE8" w:rsidRDefault="00D06040" w:rsidP="00D96DE8">
      <w:pPr>
        <w:pStyle w:val="paragraph"/>
        <w:jc w:val="both"/>
        <w:textAlignment w:val="baseline"/>
        <w:rPr>
          <w:rStyle w:val="normaltextrun"/>
          <w:rFonts w:ascii="Century Gothic" w:hAnsi="Century Gothic" w:cs="Arial"/>
          <w:b/>
          <w:sz w:val="20"/>
          <w:szCs w:val="20"/>
          <w:lang w:val="es-ES"/>
        </w:rPr>
      </w:pPr>
      <w:r w:rsidRPr="00D96DE8">
        <w:rPr>
          <w:rFonts w:ascii="Century Gothic" w:hAnsi="Century Gothic" w:cs="Arial"/>
          <w:b/>
          <w:color w:val="000000" w:themeColor="text1"/>
          <w:sz w:val="20"/>
          <w:szCs w:val="20"/>
        </w:rPr>
        <w:t xml:space="preserve">REQUISITOS HABILITANTES – </w:t>
      </w:r>
      <w:r w:rsidRPr="00D96DE8">
        <w:rPr>
          <w:rStyle w:val="normaltextrun"/>
          <w:rFonts w:ascii="Century Gothic" w:hAnsi="Century Gothic" w:cs="Arial"/>
          <w:b/>
          <w:sz w:val="20"/>
          <w:szCs w:val="20"/>
          <w:lang w:val="es-ES"/>
        </w:rPr>
        <w:t>Carácter enunciativo</w:t>
      </w:r>
    </w:p>
    <w:p w14:paraId="1EC22534" w14:textId="6E77DD14" w:rsidR="00D06040" w:rsidRPr="00D96DE8" w:rsidRDefault="00D06040" w:rsidP="00D96DE8">
      <w:pPr>
        <w:pStyle w:val="paragraph"/>
        <w:jc w:val="both"/>
        <w:textAlignment w:val="baseline"/>
        <w:rPr>
          <w:rStyle w:val="normaltextrun"/>
          <w:rFonts w:ascii="Century Gothic" w:hAnsi="Century Gothic" w:cs="Arial"/>
          <w:bCs/>
          <w:sz w:val="20"/>
          <w:szCs w:val="20"/>
          <w:lang w:val="es-ES"/>
        </w:rPr>
      </w:pPr>
      <w:r w:rsidRPr="00D96DE8">
        <w:rPr>
          <w:rStyle w:val="normaltextrun"/>
          <w:rFonts w:ascii="Century Gothic" w:hAnsi="Century Gothic" w:cs="Arial"/>
          <w:bCs/>
          <w:sz w:val="20"/>
          <w:szCs w:val="20"/>
          <w:lang w:val="es-ES"/>
        </w:rPr>
        <w:t>Es necesario indagar si los requisitos habilitantes establecidos en el artículo 5, numeral 1, de la Ley 1150 de 2007, tienen la característica de taxativos, esto es, si son los únicos requisitos habilitantes que puede exigirles una entidad a los proponentes. Esta pregunta tiene, al menos, dos respuestas posibles. Por un lado, que sí lo son, pues la norma no hace referencia a otros diferentes. Por el otro, que no lo son, pues esta no contiene una expresión como “únicamente” o “solo</w:t>
      </w:r>
      <w:proofErr w:type="gramStart"/>
      <w:r w:rsidRPr="00D96DE8">
        <w:rPr>
          <w:rStyle w:val="normaltextrun"/>
          <w:rFonts w:ascii="Century Gothic" w:hAnsi="Century Gothic" w:cs="Arial"/>
          <w:bCs/>
          <w:sz w:val="20"/>
          <w:szCs w:val="20"/>
          <w:lang w:val="es-ES"/>
        </w:rPr>
        <w:t>” ,</w:t>
      </w:r>
      <w:proofErr w:type="gramEnd"/>
      <w:r w:rsidRPr="00D96DE8">
        <w:rPr>
          <w:rStyle w:val="normaltextrun"/>
          <w:rFonts w:ascii="Century Gothic" w:hAnsi="Century Gothic" w:cs="Arial"/>
          <w:bCs/>
          <w:sz w:val="20"/>
          <w:szCs w:val="20"/>
          <w:lang w:val="es-ES"/>
        </w:rPr>
        <w:t xml:space="preserve"> al referirse a los requisitos habilitantes y, además, debido a que la lectura integral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20073. Esta segunda respuesta contiene la interpretación jurídica que comparte la Agencia Nacional de Contratación Pública.</w:t>
      </w:r>
    </w:p>
    <w:p w14:paraId="7327DE18" w14:textId="6D7B4F73" w:rsidR="00D06040" w:rsidRPr="00D96DE8" w:rsidRDefault="00D06040" w:rsidP="00D96DE8">
      <w:pPr>
        <w:pStyle w:val="paragraph"/>
        <w:jc w:val="both"/>
        <w:textAlignment w:val="baseline"/>
        <w:rPr>
          <w:rStyle w:val="normaltextrun"/>
          <w:rFonts w:ascii="Century Gothic" w:hAnsi="Century Gothic" w:cs="Arial"/>
          <w:bCs/>
          <w:sz w:val="20"/>
          <w:szCs w:val="20"/>
          <w:lang w:val="es-ES"/>
        </w:rPr>
      </w:pPr>
      <w:r w:rsidRPr="00D96DE8">
        <w:rPr>
          <w:rStyle w:val="normaltextrun"/>
          <w:rFonts w:ascii="Century Gothic" w:hAnsi="Century Gothic" w:cs="Arial"/>
          <w:bCs/>
          <w:sz w:val="20"/>
          <w:szCs w:val="20"/>
          <w:lang w:val="es-ES"/>
        </w:rPr>
        <w:t xml:space="preserve">Existen otros argumentos que sustentan dicha elección interpretativa. Como lo han considerado la Corte Constitucional4 y el Consejo de Estado5, en virtud del “principio del efecto útil”, el texto de una norma debe ser interpretado de manera que todo cuanto ella prescribe produzca consecuencias jurídicas. En ese contexto, surge la inquietud en relación con los efectos del parágrafo 2 del mismo artículo 5 de la Ley 1150 de 2007, pues si la intención del legislador era que sólo fueran requisitos habilitantes los cuatro que contiene el numeral 1 de dicha disposición, ¿cómo se explica que el referido parágrafo aclare que “las certificaciones de sistemas de gestión de calidad no serán objeto de calificación, ni podrán establecerse como documento habilitante para participar en licitaciones o concursos”? Si se interpreta que solo son cuatro los requisitos habilitantes, el parágrafo 2 carecería de </w:t>
      </w:r>
      <w:r w:rsidRPr="00D96DE8">
        <w:rPr>
          <w:rStyle w:val="normaltextrun"/>
          <w:rFonts w:ascii="Century Gothic" w:hAnsi="Century Gothic" w:cs="Arial"/>
          <w:bCs/>
          <w:sz w:val="20"/>
          <w:szCs w:val="20"/>
          <w:lang w:val="es-ES"/>
        </w:rPr>
        <w:lastRenderedPageBreak/>
        <w:t>efectos jurídicos y, por ende, no tendría ninguna consecuencia normativa que</w:t>
      </w:r>
      <w:r w:rsidR="005B7750" w:rsidRPr="00D96DE8">
        <w:rPr>
          <w:rStyle w:val="normaltextrun"/>
          <w:rFonts w:ascii="Century Gothic" w:hAnsi="Century Gothic" w:cs="Arial"/>
          <w:bCs/>
          <w:sz w:val="20"/>
          <w:szCs w:val="20"/>
          <w:lang w:val="es-ES"/>
        </w:rPr>
        <w:t xml:space="preserve"> </w:t>
      </w:r>
      <w:r w:rsidRPr="00D96DE8">
        <w:rPr>
          <w:rStyle w:val="normaltextrun"/>
          <w:rFonts w:ascii="Century Gothic" w:hAnsi="Century Gothic" w:cs="Arial"/>
          <w:bCs/>
          <w:sz w:val="20"/>
          <w:szCs w:val="20"/>
          <w:lang w:val="es-ES"/>
        </w:rPr>
        <w:t>en el mismo artículo se aclare que una exigencia no puede ser considera como requisito</w:t>
      </w:r>
      <w:r w:rsidR="005B7750" w:rsidRPr="00D96DE8">
        <w:rPr>
          <w:rStyle w:val="normaltextrun"/>
          <w:rFonts w:ascii="Century Gothic" w:hAnsi="Century Gothic" w:cs="Arial"/>
          <w:bCs/>
          <w:sz w:val="20"/>
          <w:szCs w:val="20"/>
          <w:lang w:val="es-ES"/>
        </w:rPr>
        <w:t xml:space="preserve"> </w:t>
      </w:r>
      <w:r w:rsidRPr="00D96DE8">
        <w:rPr>
          <w:rStyle w:val="normaltextrun"/>
          <w:rFonts w:ascii="Century Gothic" w:hAnsi="Century Gothic" w:cs="Arial"/>
          <w:bCs/>
          <w:sz w:val="20"/>
          <w:szCs w:val="20"/>
          <w:lang w:val="es-ES"/>
        </w:rPr>
        <w:t>habilitante.</w:t>
      </w:r>
    </w:p>
    <w:p w14:paraId="18B3C91E" w14:textId="29CE6481" w:rsidR="00D06040" w:rsidRPr="00D96DE8" w:rsidRDefault="00D06040" w:rsidP="00D96DE8">
      <w:pPr>
        <w:pStyle w:val="paragraph"/>
        <w:jc w:val="both"/>
        <w:textAlignment w:val="baseline"/>
        <w:rPr>
          <w:rStyle w:val="normaltextrun"/>
          <w:rFonts w:ascii="Century Gothic" w:hAnsi="Century Gothic" w:cs="Arial"/>
          <w:bCs/>
          <w:sz w:val="20"/>
          <w:szCs w:val="20"/>
          <w:lang w:val="es-ES"/>
        </w:rPr>
      </w:pPr>
      <w:r w:rsidRPr="00D96DE8">
        <w:rPr>
          <w:rStyle w:val="normaltextrun"/>
          <w:rFonts w:ascii="Century Gothic" w:hAnsi="Century Gothic" w:cs="Arial"/>
          <w:bCs/>
          <w:sz w:val="20"/>
          <w:szCs w:val="20"/>
          <w:lang w:val="es-ES"/>
        </w:rPr>
        <w:t>La intención del legislador, de la cual dan cuenta los antecedentes legislativos de la</w:t>
      </w:r>
      <w:r w:rsidR="005B7750" w:rsidRPr="00D96DE8">
        <w:rPr>
          <w:rStyle w:val="normaltextrun"/>
          <w:rFonts w:ascii="Century Gothic" w:hAnsi="Century Gothic" w:cs="Arial"/>
          <w:bCs/>
          <w:sz w:val="20"/>
          <w:szCs w:val="20"/>
          <w:lang w:val="es-ES"/>
        </w:rPr>
        <w:t xml:space="preserve"> </w:t>
      </w:r>
      <w:r w:rsidRPr="00D96DE8">
        <w:rPr>
          <w:rStyle w:val="normaltextrun"/>
          <w:rFonts w:ascii="Century Gothic" w:hAnsi="Century Gothic" w:cs="Arial"/>
          <w:bCs/>
          <w:sz w:val="20"/>
          <w:szCs w:val="20"/>
          <w:lang w:val="es-ES"/>
        </w:rPr>
        <w:t>norma sub examine, también justifica la interpretación propuesta por esta Agencia, ya que</w:t>
      </w:r>
      <w:r w:rsidR="005B7750" w:rsidRPr="00D96DE8">
        <w:rPr>
          <w:rStyle w:val="normaltextrun"/>
          <w:rFonts w:ascii="Century Gothic" w:hAnsi="Century Gothic" w:cs="Arial"/>
          <w:bCs/>
          <w:sz w:val="20"/>
          <w:szCs w:val="20"/>
          <w:lang w:val="es-ES"/>
        </w:rPr>
        <w:t xml:space="preserve"> </w:t>
      </w:r>
      <w:r w:rsidRPr="00D96DE8">
        <w:rPr>
          <w:rStyle w:val="normaltextrun"/>
          <w:rFonts w:ascii="Century Gothic" w:hAnsi="Century Gothic" w:cs="Arial"/>
          <w:bCs/>
          <w:sz w:val="20"/>
          <w:szCs w:val="20"/>
          <w:lang w:val="es-ES"/>
        </w:rPr>
        <w:t>fue hasta el cuarto debate legislativo en donde se incluyó el parágrafo comentado</w:t>
      </w:r>
      <w:r w:rsidR="005B7750" w:rsidRPr="00D96DE8">
        <w:rPr>
          <w:rStyle w:val="normaltextrun"/>
          <w:rFonts w:ascii="Century Gothic" w:hAnsi="Century Gothic" w:cs="Arial"/>
          <w:bCs/>
          <w:sz w:val="20"/>
          <w:szCs w:val="20"/>
          <w:lang w:val="es-ES"/>
        </w:rPr>
        <w:t xml:space="preserve"> </w:t>
      </w:r>
      <w:r w:rsidRPr="00D96DE8">
        <w:rPr>
          <w:rStyle w:val="normaltextrun"/>
          <w:rFonts w:ascii="Century Gothic" w:hAnsi="Century Gothic" w:cs="Arial"/>
          <w:bCs/>
          <w:sz w:val="20"/>
          <w:szCs w:val="20"/>
          <w:lang w:val="es-ES"/>
        </w:rPr>
        <w:t>anteriormente, lo que deja ver la necesidad que tenía el Congreso de aclarar que unos</w:t>
      </w:r>
      <w:r w:rsidR="005B7750" w:rsidRPr="00D96DE8">
        <w:rPr>
          <w:rStyle w:val="normaltextrun"/>
          <w:rFonts w:ascii="Century Gothic" w:hAnsi="Century Gothic" w:cs="Arial"/>
          <w:bCs/>
          <w:sz w:val="20"/>
          <w:szCs w:val="20"/>
          <w:lang w:val="es-ES"/>
        </w:rPr>
        <w:t xml:space="preserve"> </w:t>
      </w:r>
      <w:r w:rsidRPr="00D96DE8">
        <w:rPr>
          <w:rStyle w:val="normaltextrun"/>
          <w:rFonts w:ascii="Century Gothic" w:hAnsi="Century Gothic" w:cs="Arial"/>
          <w:bCs/>
          <w:sz w:val="20"/>
          <w:szCs w:val="20"/>
          <w:lang w:val="es-ES"/>
        </w:rPr>
        <w:t>documentos no podrían ser tenidos como requisitos habilitantes, lo que da cuenta, a su vez,</w:t>
      </w:r>
      <w:r w:rsidR="005B7750" w:rsidRPr="00D96DE8">
        <w:rPr>
          <w:rStyle w:val="normaltextrun"/>
          <w:rFonts w:ascii="Century Gothic" w:hAnsi="Century Gothic" w:cs="Arial"/>
          <w:bCs/>
          <w:sz w:val="20"/>
          <w:szCs w:val="20"/>
          <w:lang w:val="es-ES"/>
        </w:rPr>
        <w:t xml:space="preserve"> </w:t>
      </w:r>
      <w:r w:rsidRPr="00D96DE8">
        <w:rPr>
          <w:rStyle w:val="normaltextrun"/>
          <w:rFonts w:ascii="Century Gothic" w:hAnsi="Century Gothic" w:cs="Arial"/>
          <w:bCs/>
          <w:sz w:val="20"/>
          <w:szCs w:val="20"/>
          <w:lang w:val="es-ES"/>
        </w:rPr>
        <w:t>del reconocimiento tácito de la existencia de otros requisitos habilitantes, distintos a los</w:t>
      </w:r>
      <w:r w:rsidR="005B7750" w:rsidRPr="00D96DE8">
        <w:rPr>
          <w:rStyle w:val="normaltextrun"/>
          <w:rFonts w:ascii="Century Gothic" w:hAnsi="Century Gothic" w:cs="Arial"/>
          <w:bCs/>
          <w:sz w:val="20"/>
          <w:szCs w:val="20"/>
          <w:lang w:val="es-ES"/>
        </w:rPr>
        <w:t xml:space="preserve"> </w:t>
      </w:r>
      <w:r w:rsidRPr="00D96DE8">
        <w:rPr>
          <w:rStyle w:val="normaltextrun"/>
          <w:rFonts w:ascii="Century Gothic" w:hAnsi="Century Gothic" w:cs="Arial"/>
          <w:bCs/>
          <w:sz w:val="20"/>
          <w:szCs w:val="20"/>
          <w:lang w:val="es-ES"/>
        </w:rPr>
        <w:t>cuatro que establece el artículo 5, parágrafo 1, de la Ley 1150 de 2007, reglamentados en</w:t>
      </w:r>
      <w:r w:rsidR="005B7750" w:rsidRPr="00D96DE8">
        <w:rPr>
          <w:rStyle w:val="normaltextrun"/>
          <w:rFonts w:ascii="Century Gothic" w:hAnsi="Century Gothic" w:cs="Arial"/>
          <w:bCs/>
          <w:sz w:val="20"/>
          <w:szCs w:val="20"/>
          <w:lang w:val="es-ES"/>
        </w:rPr>
        <w:t xml:space="preserve"> </w:t>
      </w:r>
      <w:r w:rsidRPr="00D96DE8">
        <w:rPr>
          <w:rStyle w:val="normaltextrun"/>
          <w:rFonts w:ascii="Century Gothic" w:hAnsi="Century Gothic" w:cs="Arial"/>
          <w:bCs/>
          <w:sz w:val="20"/>
          <w:szCs w:val="20"/>
          <w:lang w:val="es-ES"/>
        </w:rPr>
        <w:t>el artículo 2.2.1.1.1.5.3 del Decreto 1082 de 201</w:t>
      </w:r>
      <w:r w:rsidR="005B7750" w:rsidRPr="00D96DE8">
        <w:rPr>
          <w:rStyle w:val="normaltextrun"/>
          <w:rFonts w:ascii="Century Gothic" w:hAnsi="Century Gothic" w:cs="Arial"/>
          <w:bCs/>
          <w:sz w:val="20"/>
          <w:szCs w:val="20"/>
          <w:lang w:val="es-ES"/>
        </w:rPr>
        <w:t>5.</w:t>
      </w:r>
    </w:p>
    <w:p w14:paraId="0CE42028" w14:textId="77777777" w:rsidR="00D06040" w:rsidRPr="00D96DE8" w:rsidRDefault="00D06040" w:rsidP="00D96DE8">
      <w:pPr>
        <w:pStyle w:val="paragraph"/>
        <w:jc w:val="both"/>
        <w:textAlignment w:val="baseline"/>
        <w:rPr>
          <w:rStyle w:val="normaltextrun"/>
          <w:rFonts w:ascii="Century Gothic" w:hAnsi="Century Gothic" w:cs="Arial"/>
          <w:b/>
          <w:color w:val="000000"/>
          <w:sz w:val="20"/>
          <w:szCs w:val="20"/>
        </w:rPr>
      </w:pPr>
      <w:r w:rsidRPr="00D96DE8">
        <w:rPr>
          <w:rStyle w:val="normaltextrun"/>
          <w:rFonts w:ascii="Century Gothic" w:hAnsi="Century Gothic" w:cs="Arial"/>
          <w:b/>
          <w:color w:val="000000"/>
          <w:sz w:val="20"/>
          <w:szCs w:val="20"/>
          <w:lang w:val="es-ES"/>
        </w:rPr>
        <w:t xml:space="preserve">REQUISITOS HABILITANTES </w:t>
      </w:r>
      <w:r w:rsidRPr="00D96DE8">
        <w:rPr>
          <w:rFonts w:ascii="Century Gothic" w:hAnsi="Century Gothic" w:cs="Arial"/>
          <w:b/>
          <w:color w:val="000000" w:themeColor="text1"/>
          <w:sz w:val="20"/>
          <w:szCs w:val="20"/>
        </w:rPr>
        <w:t xml:space="preserve">– </w:t>
      </w:r>
      <w:r w:rsidRPr="00D96DE8">
        <w:rPr>
          <w:rStyle w:val="normaltextrun"/>
          <w:rFonts w:ascii="Century Gothic" w:hAnsi="Century Gothic" w:cs="Arial"/>
          <w:b/>
          <w:color w:val="000000"/>
          <w:sz w:val="20"/>
          <w:szCs w:val="20"/>
          <w:lang w:val="es-ES"/>
        </w:rPr>
        <w:t>Autonomía de la voluntad de las entidades estatales para establecerlos</w:t>
      </w:r>
      <w:r w:rsidRPr="00D96DE8">
        <w:rPr>
          <w:rStyle w:val="normaltextrun"/>
          <w:rFonts w:ascii="Century Gothic" w:hAnsi="Century Gothic" w:cs="Arial"/>
          <w:b/>
          <w:color w:val="000000"/>
          <w:sz w:val="20"/>
          <w:szCs w:val="20"/>
        </w:rPr>
        <w:t xml:space="preserve"> </w:t>
      </w:r>
    </w:p>
    <w:p w14:paraId="45FFDDF4" w14:textId="66780969" w:rsidR="005B7750" w:rsidRPr="00D96DE8" w:rsidRDefault="005B7750" w:rsidP="00D96DE8">
      <w:pPr>
        <w:pStyle w:val="paragraph"/>
        <w:jc w:val="both"/>
        <w:textAlignment w:val="baseline"/>
        <w:rPr>
          <w:rFonts w:ascii="Century Gothic" w:hAnsi="Century Gothic" w:cs="Arial"/>
          <w:bCs/>
          <w:color w:val="000000" w:themeColor="text1"/>
          <w:sz w:val="20"/>
          <w:szCs w:val="20"/>
        </w:rPr>
      </w:pPr>
      <w:r w:rsidRPr="00D96DE8">
        <w:rPr>
          <w:rFonts w:ascii="Century Gothic" w:hAnsi="Century Gothic" w:cs="Arial"/>
          <w:bCs/>
          <w:color w:val="000000" w:themeColor="text1"/>
          <w:sz w:val="20"/>
          <w:szCs w:val="20"/>
        </w:rPr>
        <w:t>El principio de autonomía de la voluntad, reconocido en los artículos 13, 32 y 40 de la Ley 80 de 1993 para las entidades sometidas a esta, y en el artículo 1602 del Código Civil, para las exceptuadas de aquella, actúa entonces como el fundamento normativo que otorga a las entidades estatales competencia para que puedan solicitar requisitos habilitantes adicionales o diferentes a los establecidos en el numeral 1º del artículo 5 de la Ley 1150 de 2007. En realidad, lo que este numeral establece es una limitación a la discrecionalidad administrativa para la estipulación de los requisitos de participación, bajo la óptica de que, si se incluyen los que aquel prevé, por regla general, no otorgan puntaje; pero tal enunciado no ha de interpretarse en el sentido de que las entidades solo pueden exigir, única y exclusivamente, dichos requisitos habilitantes. Esto en la medida que además de los argumentos que ya se han planteado, esa lectura negaría la autonomía reconocida en el Estatuto General de Contratación de la Administración Pública a los órganos del Estado para confeccionar el pliego de condiciones o los documentos equivalentes y, específicamente, para definir los requisitos que deben reunir los oferentes, según los factores advertidos durante los estudios previos, en armonía con los principios de legalidad y proporcionalidad.</w:t>
      </w:r>
    </w:p>
    <w:p w14:paraId="57FD0664" w14:textId="52919184" w:rsidR="005B7750" w:rsidRPr="00D96DE8" w:rsidRDefault="005B7750" w:rsidP="00D96DE8">
      <w:pPr>
        <w:pStyle w:val="paragraph"/>
        <w:jc w:val="both"/>
        <w:textAlignment w:val="baseline"/>
        <w:rPr>
          <w:rFonts w:ascii="Century Gothic" w:hAnsi="Century Gothic" w:cs="Arial"/>
          <w:bCs/>
          <w:color w:val="000000" w:themeColor="text1"/>
          <w:sz w:val="20"/>
          <w:szCs w:val="20"/>
        </w:rPr>
      </w:pPr>
      <w:r w:rsidRPr="00D96DE8">
        <w:rPr>
          <w:rFonts w:ascii="Century Gothic" w:hAnsi="Century Gothic" w:cs="Arial"/>
          <w:bCs/>
          <w:color w:val="000000" w:themeColor="text1"/>
          <w:sz w:val="20"/>
          <w:szCs w:val="20"/>
        </w:rPr>
        <w:t>Considerando la discrecionalidad para establecer requisitos habilitantes, es necesario tener en cuenta que 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Dado lo anterior, para efectos de configurar requisitos habilitantes como los expuestos en los numerales 1 y 2 de la consulta, la Entidad Estatal tiene la carga de justificar en los estudios previos y análisis del sector del proceso de selección su procedencia, de conformidad con el artículo 2.2.1.1.1.6.2 del Decreto 1082 de 2015.</w:t>
      </w:r>
    </w:p>
    <w:p w14:paraId="3FE1E7C2" w14:textId="77777777" w:rsidR="00D05A8B" w:rsidRPr="00D96DE8" w:rsidRDefault="00D06040" w:rsidP="00D96DE8">
      <w:pPr>
        <w:pStyle w:val="paragraph"/>
        <w:jc w:val="both"/>
        <w:textAlignment w:val="baseline"/>
        <w:rPr>
          <w:rFonts w:ascii="Century Gothic" w:hAnsi="Century Gothic" w:cs="Arial"/>
          <w:b/>
          <w:color w:val="000000" w:themeColor="text1"/>
          <w:sz w:val="20"/>
          <w:szCs w:val="20"/>
        </w:rPr>
      </w:pPr>
      <w:r w:rsidRPr="00D96DE8">
        <w:rPr>
          <w:rFonts w:ascii="Century Gothic" w:hAnsi="Century Gothic" w:cs="Arial"/>
          <w:b/>
          <w:color w:val="000000" w:themeColor="text1"/>
          <w:sz w:val="20"/>
          <w:szCs w:val="20"/>
        </w:rPr>
        <w:t>CAPACIDAD FINANCIERA Y ORGANIZACIONAL – Conceptos – Requisitos habilitantes</w:t>
      </w:r>
    </w:p>
    <w:p w14:paraId="4F6436C7" w14:textId="46F33A29" w:rsidR="00D05A8B" w:rsidRPr="00D96DE8" w:rsidRDefault="00D05A8B" w:rsidP="00D96DE8">
      <w:pPr>
        <w:pStyle w:val="paragraph"/>
        <w:jc w:val="both"/>
        <w:textAlignment w:val="baseline"/>
        <w:rPr>
          <w:rFonts w:ascii="Century Gothic" w:hAnsi="Century Gothic" w:cs="Arial"/>
          <w:bCs/>
          <w:color w:val="000000" w:themeColor="text1"/>
          <w:sz w:val="20"/>
          <w:szCs w:val="20"/>
        </w:rPr>
      </w:pPr>
      <w:r w:rsidRPr="00D96DE8">
        <w:rPr>
          <w:rFonts w:ascii="Century Gothic" w:hAnsi="Century Gothic" w:cs="Arial"/>
          <w:bCs/>
          <w:color w:val="000000" w:themeColor="text1"/>
          <w:sz w:val="20"/>
          <w:szCs w:val="20"/>
        </w:rPr>
        <w:t xml:space="preserve">La capacidad financiera se deriva del comportamiento contable de la empresa, su liquidez y endeudamiento, para determinar que sus recursos y solidez financiera le permita cumplir </w:t>
      </w:r>
      <w:r w:rsidRPr="00D96DE8">
        <w:rPr>
          <w:rFonts w:ascii="Century Gothic" w:hAnsi="Century Gothic" w:cs="Arial"/>
          <w:bCs/>
          <w:color w:val="000000" w:themeColor="text1"/>
          <w:sz w:val="20"/>
          <w:szCs w:val="20"/>
        </w:rPr>
        <w:lastRenderedPageBreak/>
        <w:t>los compromisos que adquiera. Como explica la Agencia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09C4CA92" w14:textId="3CE81A91" w:rsidR="00D06040" w:rsidRPr="00D96DE8" w:rsidRDefault="00D05A8B" w:rsidP="00D96DE8">
      <w:pPr>
        <w:pStyle w:val="paragraph"/>
        <w:jc w:val="both"/>
        <w:textAlignment w:val="baseline"/>
        <w:rPr>
          <w:rFonts w:ascii="Century Gothic" w:hAnsi="Century Gothic" w:cs="Arial"/>
          <w:bCs/>
          <w:color w:val="000000" w:themeColor="text1"/>
          <w:sz w:val="20"/>
          <w:szCs w:val="20"/>
        </w:rPr>
      </w:pPr>
      <w:r w:rsidRPr="00D96DE8">
        <w:rPr>
          <w:rFonts w:ascii="Century Gothic" w:hAnsi="Century Gothic" w:cs="Arial"/>
          <w:bCs/>
          <w:color w:val="000000" w:themeColor="text1"/>
          <w:sz w:val="20"/>
          <w:szCs w:val="20"/>
        </w:rPr>
        <w:t>Como se expuso previamente, tanto la capacidad financiera como organizacional debe acreditarse en el RUP, esto es, a través de los estados financieros del proponente, suscritos por el representante legal y el revisor fiscal, si cuenta con tales documentos. De este modo, lo que se verifica con el registro es que el proponente tenga los indicadores financieros y organizacionales mínimos solicitados por la entidad, que le permitan satisfacer la necesidad que se contratará una vez desarrollado el procedimiento de selección.</w:t>
      </w:r>
      <w:r w:rsidR="00D06040" w:rsidRPr="00D96DE8">
        <w:rPr>
          <w:rFonts w:ascii="Century Gothic" w:hAnsi="Century Gothic" w:cs="Arial"/>
          <w:bCs/>
          <w:color w:val="000000" w:themeColor="text1"/>
          <w:sz w:val="20"/>
          <w:szCs w:val="20"/>
        </w:rPr>
        <w:t xml:space="preserve"> </w:t>
      </w:r>
    </w:p>
    <w:p w14:paraId="45618FD1" w14:textId="5D9C0593" w:rsidR="00D06040" w:rsidRPr="00D96DE8" w:rsidRDefault="00D06040" w:rsidP="00D96DE8">
      <w:pPr>
        <w:pStyle w:val="paragraph"/>
        <w:jc w:val="both"/>
        <w:textAlignment w:val="baseline"/>
        <w:rPr>
          <w:rFonts w:ascii="Century Gothic" w:hAnsi="Century Gothic" w:cs="Arial"/>
          <w:b/>
          <w:color w:val="000000" w:themeColor="text1"/>
          <w:sz w:val="20"/>
          <w:szCs w:val="20"/>
        </w:rPr>
      </w:pPr>
      <w:r w:rsidRPr="00D96DE8">
        <w:rPr>
          <w:rFonts w:ascii="Century Gothic" w:hAnsi="Century Gothic" w:cs="Arial"/>
          <w:b/>
          <w:color w:val="000000" w:themeColor="text1"/>
          <w:sz w:val="20"/>
          <w:szCs w:val="20"/>
        </w:rPr>
        <w:t xml:space="preserve">CAPACIDAD FINANCIERA Y ORGANIZACIONAL – Opciones – Cálculo </w:t>
      </w:r>
    </w:p>
    <w:p w14:paraId="6773E89B" w14:textId="77777777" w:rsidR="00D05A8B" w:rsidRPr="00D96DE8" w:rsidRDefault="00D05A8B" w:rsidP="00D96DE8">
      <w:pPr>
        <w:jc w:val="both"/>
        <w:rPr>
          <w:rFonts w:ascii="Century Gothic" w:hAnsi="Century Gothic" w:cs="Arial"/>
          <w:sz w:val="20"/>
          <w:szCs w:val="20"/>
        </w:rPr>
      </w:pPr>
      <w:r w:rsidRPr="00D96DE8">
        <w:rPr>
          <w:rFonts w:ascii="Century Gothic" w:hAnsi="Century Gothic" w:cs="Arial"/>
          <w:sz w:val="20"/>
          <w:szCs w:val="20"/>
        </w:rPr>
        <w:t>Según el artículo 2.2.1.1.1.5.3. del Decreto 1082 de 2015, son indicadores de capacidad financiera que las entidades pueden incluir en sus procesos de selección, los siguientes: i) el índice de liquidez, que corresponde a la división entre el activo corriente y el pasivo corriente, y que determina la capacidad que tiene el proponente para cumplir con sus obligaciones de corto plazo; ii) el índice de endeudamiento, que se calcula dividiendo el pasivo total por el activo total, el cual determina el grado de endeudamiento en la estructura de financiación del proponente; y iii) la razón de cobertura de intereses, que es igual a la utilidad operacional, sobre los gastos de intereses, y que refleja la capacidad del proponente para cumplir con sus obligaciones financieras.</w:t>
      </w:r>
    </w:p>
    <w:p w14:paraId="2020696D" w14:textId="48BB3761" w:rsidR="00D05A8B" w:rsidRPr="00D96DE8" w:rsidRDefault="00D05A8B" w:rsidP="00D96DE8">
      <w:pPr>
        <w:jc w:val="both"/>
        <w:rPr>
          <w:rFonts w:ascii="Century Gothic" w:hAnsi="Century Gothic"/>
          <w:sz w:val="20"/>
          <w:szCs w:val="20"/>
        </w:rPr>
      </w:pPr>
      <w:r w:rsidRPr="00D96DE8">
        <w:rPr>
          <w:rFonts w:ascii="Century Gothic" w:hAnsi="Century Gothic"/>
          <w:sz w:val="20"/>
          <w:szCs w:val="20"/>
        </w:rPr>
        <w:br/>
      </w:r>
      <w:r w:rsidRPr="00D96DE8">
        <w:rPr>
          <w:rFonts w:ascii="Century Gothic" w:hAnsi="Century Gothic" w:cs="Arial"/>
          <w:sz w:val="20"/>
          <w:szCs w:val="20"/>
        </w:rPr>
        <w:t>Adicionalmente, la Agencia recomienda valorar otro tipo de indicadores como el capital de trabajo, la razón de efectivo, la denominada prueba ácida18, la concentración de endeudamiento a corto y a largo plazo y el patrimonio19. Por su parte, según el artículo 2.2.1.1.1.5.3., numeral 4, del Decreto 1082 de 2015, los indicadores para medir la capacidad organizacional de un proponente son: por un lado, la rentabilidad del patrimonio,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w:t>
      </w:r>
    </w:p>
    <w:p w14:paraId="0CEBA903" w14:textId="71F16399" w:rsidR="00D05A8B" w:rsidRPr="00D96DE8" w:rsidRDefault="00D05A8B" w:rsidP="00D96DE8">
      <w:pPr>
        <w:pStyle w:val="paragraph"/>
        <w:jc w:val="both"/>
        <w:textAlignment w:val="baseline"/>
        <w:rPr>
          <w:rFonts w:ascii="Century Gothic" w:hAnsi="Century Gothic" w:cs="Arial"/>
          <w:b/>
          <w:color w:val="000000" w:themeColor="text1"/>
          <w:sz w:val="20"/>
          <w:szCs w:val="20"/>
        </w:rPr>
      </w:pPr>
      <w:r w:rsidRPr="00D96DE8">
        <w:rPr>
          <w:rFonts w:ascii="Century Gothic" w:hAnsi="Century Gothic" w:cs="Arial"/>
          <w:sz w:val="20"/>
          <w:szCs w:val="20"/>
        </w:rPr>
        <w:t xml:space="preserve">Por el otro, la rentabilidad del activo,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w:t>
      </w:r>
      <w:r w:rsidRPr="00D96DE8">
        <w:rPr>
          <w:rFonts w:ascii="Century Gothic" w:hAnsi="Century Gothic" w:cs="Arial"/>
          <w:sz w:val="20"/>
          <w:szCs w:val="20"/>
        </w:rPr>
        <w:lastRenderedPageBreak/>
        <w:t xml:space="preserve">menor o igual que el referido indicador de rentabilidad sobre patrimonio. A juicio de esta Agencia, también son relevantes los siguientes indicadores, pero únicamente en aquellos casos en los que, por las características del objeto a contratar, la naturaleza o la complejidad del proceso de contratación, se requieran: i) margen bruto; ii) margen operacional; iii) margen neto; </w:t>
      </w:r>
      <w:proofErr w:type="spellStart"/>
      <w:r w:rsidRPr="00D96DE8">
        <w:rPr>
          <w:rFonts w:ascii="Century Gothic" w:hAnsi="Century Gothic" w:cs="Arial"/>
          <w:sz w:val="20"/>
          <w:szCs w:val="20"/>
        </w:rPr>
        <w:t>iv</w:t>
      </w:r>
      <w:proofErr w:type="spellEnd"/>
      <w:r w:rsidRPr="00D96DE8">
        <w:rPr>
          <w:rFonts w:ascii="Century Gothic" w:hAnsi="Century Gothic" w:cs="Arial"/>
          <w:sz w:val="20"/>
          <w:szCs w:val="20"/>
        </w:rPr>
        <w:t>) retorno sobre capital invertido; v) rotación de activos totales; vi) rotación de activos fijos; y vii) rotación de inventarios.</w:t>
      </w:r>
    </w:p>
    <w:p w14:paraId="79CAA566" w14:textId="77777777" w:rsidR="00D06040" w:rsidRPr="00D96DE8" w:rsidRDefault="00D06040" w:rsidP="00D96DE8">
      <w:pPr>
        <w:pStyle w:val="paragraph"/>
        <w:jc w:val="both"/>
        <w:textAlignment w:val="baseline"/>
        <w:rPr>
          <w:rFonts w:ascii="Century Gothic" w:eastAsia="Calibri" w:hAnsi="Century Gothic" w:cs="Arial"/>
          <w:b/>
          <w:sz w:val="20"/>
          <w:szCs w:val="20"/>
          <w:lang w:val="es-MX" w:eastAsia="es-ES_tradnl"/>
        </w:rPr>
      </w:pPr>
      <w:r w:rsidRPr="00D96DE8">
        <w:rPr>
          <w:rFonts w:ascii="Century Gothic" w:eastAsia="Calibri" w:hAnsi="Century Gothic" w:cs="Arial"/>
          <w:b/>
          <w:sz w:val="20"/>
          <w:szCs w:val="20"/>
          <w:lang w:val="es-MX" w:eastAsia="es-ES_tradnl"/>
        </w:rPr>
        <w:t xml:space="preserve">EXPERIENCIA – Noción </w:t>
      </w:r>
      <w:r w:rsidRPr="00D96DE8">
        <w:rPr>
          <w:rFonts w:ascii="Arial" w:eastAsia="Calibri" w:hAnsi="Arial" w:cs="Arial"/>
          <w:b/>
          <w:sz w:val="20"/>
          <w:szCs w:val="20"/>
          <w:lang w:val="es-MX" w:eastAsia="es-ES_tradnl"/>
        </w:rPr>
        <w:t>‒</w:t>
      </w:r>
      <w:r w:rsidRPr="00D96DE8">
        <w:rPr>
          <w:rFonts w:ascii="Century Gothic" w:eastAsia="Calibri" w:hAnsi="Century Gothic" w:cs="Arial"/>
          <w:b/>
          <w:sz w:val="20"/>
          <w:szCs w:val="20"/>
          <w:lang w:val="es-MX" w:eastAsia="es-ES_tradnl"/>
        </w:rPr>
        <w:t xml:space="preserve"> Colombia Compra Eficiente</w:t>
      </w:r>
    </w:p>
    <w:p w14:paraId="77B8120E" w14:textId="43F92E52" w:rsidR="00D05A8B" w:rsidRPr="00D96DE8" w:rsidRDefault="00D05A8B" w:rsidP="00D96DE8">
      <w:pPr>
        <w:pStyle w:val="paragraph"/>
        <w:jc w:val="both"/>
        <w:textAlignment w:val="baseline"/>
        <w:rPr>
          <w:rFonts w:ascii="Century Gothic" w:eastAsia="Calibri" w:hAnsi="Century Gothic" w:cs="Arial"/>
          <w:bCs/>
          <w:sz w:val="20"/>
          <w:szCs w:val="20"/>
          <w:lang w:val="es-MX" w:eastAsia="es-ES_tradnl"/>
        </w:rPr>
      </w:pPr>
      <w:r w:rsidRPr="00D96DE8">
        <w:rPr>
          <w:rFonts w:ascii="Century Gothic" w:eastAsia="Calibri" w:hAnsi="Century Gothic" w:cs="Arial"/>
          <w:bCs/>
          <w:sz w:val="20"/>
          <w:szCs w:val="20"/>
          <w:lang w:val="es-MX" w:eastAsia="es-ES_tradnl"/>
        </w:rPr>
        <w:t>Por lo demás, el “Manual para determinar y verificar requisitos habilitantes en los procesos de contratación”, indica que la experiencia tiene un carácter personal, lo cual significa que la experiencia se obtiene en razón a la participación, con anterioridad, en actividades que le permitieron conocer cómo ejecutar determinado objeto contractual, que la entidad ahora pretende desarrollar.</w:t>
      </w:r>
    </w:p>
    <w:p w14:paraId="51ADDAAC" w14:textId="5CDFB8AC" w:rsidR="00D05A8B" w:rsidRPr="00D96DE8" w:rsidRDefault="00D05A8B" w:rsidP="00D96DE8">
      <w:pPr>
        <w:pStyle w:val="paragraph"/>
        <w:jc w:val="both"/>
        <w:textAlignment w:val="baseline"/>
        <w:rPr>
          <w:rFonts w:ascii="Century Gothic" w:eastAsia="Calibri" w:hAnsi="Century Gothic" w:cs="Arial"/>
          <w:bCs/>
          <w:sz w:val="20"/>
          <w:szCs w:val="20"/>
          <w:lang w:val="es-MX" w:eastAsia="es-ES_tradnl"/>
        </w:rPr>
      </w:pPr>
      <w:r w:rsidRPr="00D96DE8">
        <w:rPr>
          <w:rFonts w:ascii="Century Gothic" w:eastAsia="Calibri" w:hAnsi="Century Gothic" w:cs="Arial"/>
          <w:bCs/>
          <w:sz w:val="20"/>
          <w:szCs w:val="20"/>
          <w:lang w:val="es-MX" w:eastAsia="es-ES_tradnl"/>
        </w:rPr>
        <w:t>Lo anterior es determinante, porque no es posible tener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w:t>
      </w:r>
    </w:p>
    <w:p w14:paraId="757938B9" w14:textId="77777777" w:rsidR="00D06040" w:rsidRPr="00D96DE8" w:rsidRDefault="00D06040" w:rsidP="00D96DE8">
      <w:pPr>
        <w:pStyle w:val="paragraph"/>
        <w:jc w:val="both"/>
        <w:textAlignment w:val="baseline"/>
        <w:rPr>
          <w:rFonts w:ascii="Century Gothic" w:eastAsia="Calibri" w:hAnsi="Century Gothic" w:cs="Arial"/>
          <w:b/>
          <w:sz w:val="20"/>
          <w:szCs w:val="20"/>
          <w:lang w:val="es-MX" w:eastAsia="es-ES_tradnl"/>
        </w:rPr>
      </w:pPr>
      <w:r w:rsidRPr="00D96DE8">
        <w:rPr>
          <w:rFonts w:ascii="Century Gothic" w:eastAsia="Calibri" w:hAnsi="Century Gothic" w:cs="Arial"/>
          <w:b/>
          <w:sz w:val="20"/>
          <w:szCs w:val="20"/>
          <w:lang w:val="es-MX" w:eastAsia="es-ES_tradnl"/>
        </w:rPr>
        <w:t xml:space="preserve">SOCIEDADES NUEVAS </w:t>
      </w:r>
      <w:r w:rsidRPr="00D96DE8">
        <w:rPr>
          <w:rFonts w:ascii="Arial" w:eastAsia="Calibri" w:hAnsi="Arial" w:cs="Arial"/>
          <w:b/>
          <w:sz w:val="20"/>
          <w:szCs w:val="20"/>
          <w:lang w:val="es-MX" w:eastAsia="es-ES_tradnl"/>
        </w:rPr>
        <w:t>‒</w:t>
      </w:r>
      <w:r w:rsidRPr="00D96DE8">
        <w:rPr>
          <w:rFonts w:ascii="Century Gothic" w:eastAsia="Calibri" w:hAnsi="Century Gothic" w:cs="Arial"/>
          <w:b/>
          <w:sz w:val="20"/>
          <w:szCs w:val="20"/>
          <w:lang w:val="es-MX" w:eastAsia="es-ES_tradnl"/>
        </w:rPr>
        <w:t xml:space="preserve"> Experiencia </w:t>
      </w:r>
      <w:r w:rsidRPr="00D96DE8">
        <w:rPr>
          <w:rFonts w:ascii="Arial" w:eastAsia="Calibri" w:hAnsi="Arial" w:cs="Arial"/>
          <w:b/>
          <w:sz w:val="20"/>
          <w:szCs w:val="20"/>
          <w:lang w:val="es-MX" w:eastAsia="es-ES_tradnl"/>
        </w:rPr>
        <w:t>‒</w:t>
      </w:r>
      <w:r w:rsidRPr="00D96DE8">
        <w:rPr>
          <w:rFonts w:ascii="Century Gothic" w:eastAsia="Calibri" w:hAnsi="Century Gothic" w:cs="Arial"/>
          <w:b/>
          <w:sz w:val="20"/>
          <w:szCs w:val="20"/>
          <w:lang w:val="es-MX" w:eastAsia="es-ES_tradnl"/>
        </w:rPr>
        <w:t xml:space="preserve"> Sociedades </w:t>
      </w:r>
      <w:r w:rsidRPr="00D96DE8">
        <w:rPr>
          <w:rFonts w:ascii="Century Gothic" w:eastAsia="Calibri" w:hAnsi="Century Gothic" w:cs="Century Gothic"/>
          <w:b/>
          <w:sz w:val="20"/>
          <w:szCs w:val="20"/>
          <w:lang w:val="es-MX" w:eastAsia="es-ES_tradnl"/>
        </w:rPr>
        <w:t>–</w:t>
      </w:r>
      <w:r w:rsidRPr="00D96DE8">
        <w:rPr>
          <w:rFonts w:ascii="Century Gothic" w:eastAsia="Calibri" w:hAnsi="Century Gothic" w:cs="Arial"/>
          <w:b/>
          <w:sz w:val="20"/>
          <w:szCs w:val="20"/>
          <w:lang w:val="es-MX" w:eastAsia="es-ES_tradnl"/>
        </w:rPr>
        <w:t xml:space="preserve"> Menor a 3 a</w:t>
      </w:r>
      <w:r w:rsidRPr="00D96DE8">
        <w:rPr>
          <w:rFonts w:ascii="Century Gothic" w:eastAsia="Calibri" w:hAnsi="Century Gothic" w:cs="Century Gothic"/>
          <w:b/>
          <w:sz w:val="20"/>
          <w:szCs w:val="20"/>
          <w:lang w:val="es-MX" w:eastAsia="es-ES_tradnl"/>
        </w:rPr>
        <w:t>ñ</w:t>
      </w:r>
      <w:r w:rsidRPr="00D96DE8">
        <w:rPr>
          <w:rFonts w:ascii="Century Gothic" w:eastAsia="Calibri" w:hAnsi="Century Gothic" w:cs="Arial"/>
          <w:b/>
          <w:sz w:val="20"/>
          <w:szCs w:val="20"/>
          <w:lang w:val="es-MX" w:eastAsia="es-ES_tradnl"/>
        </w:rPr>
        <w:t>os de constituci</w:t>
      </w:r>
      <w:r w:rsidRPr="00D96DE8">
        <w:rPr>
          <w:rFonts w:ascii="Century Gothic" w:eastAsia="Calibri" w:hAnsi="Century Gothic" w:cs="Century Gothic"/>
          <w:b/>
          <w:sz w:val="20"/>
          <w:szCs w:val="20"/>
          <w:lang w:val="es-MX" w:eastAsia="es-ES_tradnl"/>
        </w:rPr>
        <w:t>ó</w:t>
      </w:r>
      <w:r w:rsidRPr="00D96DE8">
        <w:rPr>
          <w:rFonts w:ascii="Century Gothic" w:eastAsia="Calibri" w:hAnsi="Century Gothic" w:cs="Arial"/>
          <w:b/>
          <w:sz w:val="20"/>
          <w:szCs w:val="20"/>
          <w:lang w:val="es-MX" w:eastAsia="es-ES_tradnl"/>
        </w:rPr>
        <w:t xml:space="preserve">n </w:t>
      </w:r>
    </w:p>
    <w:p w14:paraId="4FF8E022" w14:textId="4DCB706A" w:rsidR="00D05A8B" w:rsidRPr="00D96DE8" w:rsidRDefault="00D05A8B" w:rsidP="00D96DE8">
      <w:pPr>
        <w:pStyle w:val="paragraph"/>
        <w:jc w:val="both"/>
        <w:textAlignment w:val="baseline"/>
        <w:rPr>
          <w:rFonts w:ascii="Century Gothic" w:eastAsia="Calibri" w:hAnsi="Century Gothic" w:cs="Arial"/>
          <w:bCs/>
          <w:sz w:val="20"/>
          <w:szCs w:val="20"/>
          <w:lang w:val="es-MX" w:eastAsia="es-ES_tradnl"/>
        </w:rPr>
      </w:pPr>
      <w:r w:rsidRPr="00D96DE8">
        <w:rPr>
          <w:rFonts w:ascii="Century Gothic" w:eastAsia="Calibri" w:hAnsi="Century Gothic" w:cs="Arial"/>
          <w:bCs/>
          <w:sz w:val="20"/>
          <w:szCs w:val="20"/>
          <w:lang w:val="es-MX" w:eastAsia="es-ES_tradnl"/>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13F62798" w14:textId="5D62F0B1" w:rsidR="00D05A8B" w:rsidRPr="00D96DE8" w:rsidRDefault="00D05A8B" w:rsidP="00D96DE8">
      <w:pPr>
        <w:pStyle w:val="paragraph"/>
        <w:jc w:val="both"/>
        <w:textAlignment w:val="baseline"/>
        <w:rPr>
          <w:rFonts w:ascii="Century Gothic" w:eastAsia="Calibri" w:hAnsi="Century Gothic" w:cs="Arial"/>
          <w:bCs/>
          <w:sz w:val="20"/>
          <w:szCs w:val="20"/>
          <w:lang w:val="es-MX" w:eastAsia="es-ES_tradnl"/>
        </w:rPr>
      </w:pPr>
      <w:r w:rsidRPr="00D96DE8">
        <w:rPr>
          <w:rFonts w:ascii="Century Gothic" w:eastAsia="Calibri" w:hAnsi="Century Gothic" w:cs="Arial"/>
          <w:bCs/>
          <w:sz w:val="20"/>
          <w:szCs w:val="20"/>
          <w:lang w:val="es-MX" w:eastAsia="es-ES_tradnl"/>
        </w:rPr>
        <w:t>La parte final del numeral 2.5 del artículo citado incluye una medida diferenciada</w:t>
      </w:r>
      <w:r w:rsidR="00D96DE8" w:rsidRPr="00D96DE8">
        <w:rPr>
          <w:rFonts w:ascii="Century Gothic" w:eastAsia="Calibri" w:hAnsi="Century Gothic" w:cs="Arial"/>
          <w:bCs/>
          <w:sz w:val="20"/>
          <w:szCs w:val="20"/>
          <w:lang w:val="es-MX" w:eastAsia="es-ES_tradnl"/>
        </w:rPr>
        <w:t xml:space="preserve"> </w:t>
      </w:r>
      <w:r w:rsidRPr="00D96DE8">
        <w:rPr>
          <w:rFonts w:ascii="Century Gothic" w:eastAsia="Calibri" w:hAnsi="Century Gothic" w:cs="Arial"/>
          <w:bCs/>
          <w:sz w:val="20"/>
          <w:szCs w:val="20"/>
          <w:lang w:val="es-MX" w:eastAsia="es-ES_tradnl"/>
        </w:rPr>
        <w:t>para las personas jurídicas cuya constitución sea menor a 3 años al momento del registro.</w:t>
      </w:r>
      <w:r w:rsidR="00D96DE8" w:rsidRPr="00D96DE8">
        <w:rPr>
          <w:rFonts w:ascii="Century Gothic" w:eastAsia="Calibri" w:hAnsi="Century Gothic" w:cs="Arial"/>
          <w:bCs/>
          <w:sz w:val="20"/>
          <w:szCs w:val="20"/>
          <w:lang w:val="es-MX" w:eastAsia="es-ES_tradnl"/>
        </w:rPr>
        <w:t xml:space="preserve"> </w:t>
      </w:r>
      <w:r w:rsidRPr="00D96DE8">
        <w:rPr>
          <w:rFonts w:ascii="Century Gothic" w:eastAsia="Calibri" w:hAnsi="Century Gothic" w:cs="Arial"/>
          <w:bCs/>
          <w:sz w:val="20"/>
          <w:szCs w:val="20"/>
          <w:lang w:val="es-MX" w:eastAsia="es-ES_tradnl"/>
        </w:rPr>
        <w:t>Esta prerrogativa, que puede ser entendida como de fomento a la participación de</w:t>
      </w:r>
      <w:r w:rsidR="00D96DE8" w:rsidRPr="00D96DE8">
        <w:rPr>
          <w:rFonts w:ascii="Century Gothic" w:eastAsia="Calibri" w:hAnsi="Century Gothic" w:cs="Arial"/>
          <w:bCs/>
          <w:sz w:val="20"/>
          <w:szCs w:val="20"/>
          <w:lang w:val="es-MX" w:eastAsia="es-ES_tradnl"/>
        </w:rPr>
        <w:t xml:space="preserve"> </w:t>
      </w:r>
      <w:r w:rsidRPr="00D96DE8">
        <w:rPr>
          <w:rFonts w:ascii="Century Gothic" w:eastAsia="Calibri" w:hAnsi="Century Gothic" w:cs="Arial"/>
          <w:bCs/>
          <w:sz w:val="20"/>
          <w:szCs w:val="20"/>
          <w:lang w:val="es-MX" w:eastAsia="es-ES_tradnl"/>
        </w:rPr>
        <w:t>pequeños oferentes en la contratación estatal, permite que las sociedades relativamente</w:t>
      </w:r>
      <w:r w:rsidR="00D96DE8" w:rsidRPr="00D96DE8">
        <w:rPr>
          <w:rFonts w:ascii="Century Gothic" w:eastAsia="Calibri" w:hAnsi="Century Gothic" w:cs="Arial"/>
          <w:bCs/>
          <w:sz w:val="20"/>
          <w:szCs w:val="20"/>
          <w:lang w:val="es-MX" w:eastAsia="es-ES_tradnl"/>
        </w:rPr>
        <w:t xml:space="preserve"> </w:t>
      </w:r>
      <w:r w:rsidRPr="00D96DE8">
        <w:rPr>
          <w:rFonts w:ascii="Century Gothic" w:eastAsia="Calibri" w:hAnsi="Century Gothic" w:cs="Arial"/>
          <w:bCs/>
          <w:sz w:val="20"/>
          <w:szCs w:val="20"/>
          <w:lang w:val="es-MX" w:eastAsia="es-ES_tradnl"/>
        </w:rPr>
        <w:t>nuevas ─con menos de 3 años de constitución─ puedan acreditar como experiencia en el</w:t>
      </w:r>
      <w:r w:rsidR="00D96DE8" w:rsidRPr="00D96DE8">
        <w:rPr>
          <w:rFonts w:ascii="Century Gothic" w:eastAsia="Calibri" w:hAnsi="Century Gothic" w:cs="Arial"/>
          <w:bCs/>
          <w:sz w:val="20"/>
          <w:szCs w:val="20"/>
          <w:lang w:val="es-MX" w:eastAsia="es-ES_tradnl"/>
        </w:rPr>
        <w:t xml:space="preserve"> </w:t>
      </w:r>
      <w:r w:rsidRPr="00D96DE8">
        <w:rPr>
          <w:rFonts w:ascii="Century Gothic" w:eastAsia="Calibri" w:hAnsi="Century Gothic" w:cs="Arial"/>
          <w:bCs/>
          <w:sz w:val="20"/>
          <w:szCs w:val="20"/>
          <w:lang w:val="es-MX" w:eastAsia="es-ES_tradnl"/>
        </w:rPr>
        <w:t>RUP la de sus accionistas, socios o constituyentes. A pesar de que la experiencia es</w:t>
      </w:r>
      <w:r w:rsidR="00D96DE8" w:rsidRPr="00D96DE8">
        <w:rPr>
          <w:rFonts w:ascii="Century Gothic" w:eastAsia="Calibri" w:hAnsi="Century Gothic" w:cs="Arial"/>
          <w:bCs/>
          <w:sz w:val="20"/>
          <w:szCs w:val="20"/>
          <w:lang w:val="es-MX" w:eastAsia="es-ES_tradnl"/>
        </w:rPr>
        <w:t xml:space="preserve"> </w:t>
      </w:r>
      <w:r w:rsidRPr="00D96DE8">
        <w:rPr>
          <w:rFonts w:ascii="Century Gothic" w:eastAsia="Calibri" w:hAnsi="Century Gothic" w:cs="Arial"/>
          <w:bCs/>
          <w:sz w:val="20"/>
          <w:szCs w:val="20"/>
          <w:lang w:val="es-MX" w:eastAsia="es-ES_tradnl"/>
        </w:rPr>
        <w:t>inherente a la persona que la ha obtenido, razón por la cual es intransferible en virtud de su</w:t>
      </w:r>
      <w:r w:rsidR="00D96DE8" w:rsidRPr="00D96DE8">
        <w:rPr>
          <w:rFonts w:ascii="Century Gothic" w:eastAsia="Calibri" w:hAnsi="Century Gothic" w:cs="Arial"/>
          <w:bCs/>
          <w:sz w:val="20"/>
          <w:szCs w:val="20"/>
          <w:lang w:val="es-MX" w:eastAsia="es-ES_tradnl"/>
        </w:rPr>
        <w:t xml:space="preserve"> </w:t>
      </w:r>
      <w:r w:rsidRPr="00D96DE8">
        <w:rPr>
          <w:rFonts w:ascii="Century Gothic" w:eastAsia="Calibri" w:hAnsi="Century Gothic" w:cs="Arial"/>
          <w:bCs/>
          <w:sz w:val="20"/>
          <w:szCs w:val="20"/>
          <w:lang w:val="es-MX" w:eastAsia="es-ES_tradnl"/>
        </w:rPr>
        <w:t>carácter personalísimo, por disposición legal o reglamentaria, en casos excepcionales,</w:t>
      </w:r>
      <w:r w:rsidR="00D96DE8" w:rsidRPr="00D96DE8">
        <w:rPr>
          <w:rFonts w:ascii="Century Gothic" w:eastAsia="Calibri" w:hAnsi="Century Gothic" w:cs="Arial"/>
          <w:bCs/>
          <w:sz w:val="20"/>
          <w:szCs w:val="20"/>
          <w:lang w:val="es-MX" w:eastAsia="es-ES_tradnl"/>
        </w:rPr>
        <w:t xml:space="preserve"> </w:t>
      </w:r>
      <w:r w:rsidRPr="00D96DE8">
        <w:rPr>
          <w:rFonts w:ascii="Century Gothic" w:eastAsia="Calibri" w:hAnsi="Century Gothic" w:cs="Arial"/>
          <w:bCs/>
          <w:sz w:val="20"/>
          <w:szCs w:val="20"/>
          <w:lang w:val="es-MX" w:eastAsia="es-ES_tradnl"/>
        </w:rPr>
        <w:t>como el descrito por el artículo mencionado, se aplica de otra forma.</w:t>
      </w:r>
    </w:p>
    <w:p w14:paraId="41BA6181" w14:textId="7D1F1C4E" w:rsidR="00D96DE8" w:rsidRPr="00D96DE8" w:rsidRDefault="00D96DE8" w:rsidP="00D96DE8">
      <w:pPr>
        <w:pStyle w:val="paragraph"/>
        <w:jc w:val="both"/>
        <w:textAlignment w:val="baseline"/>
        <w:rPr>
          <w:rFonts w:ascii="Century Gothic" w:eastAsia="Calibri" w:hAnsi="Century Gothic" w:cs="Arial"/>
          <w:bCs/>
          <w:sz w:val="20"/>
          <w:szCs w:val="20"/>
          <w:lang w:val="es-MX" w:eastAsia="es-ES_tradnl"/>
        </w:rPr>
      </w:pPr>
      <w:r w:rsidRPr="00D96DE8">
        <w:rPr>
          <w:rFonts w:ascii="Century Gothic" w:eastAsia="Calibri" w:hAnsi="Century Gothic" w:cs="Arial"/>
          <w:bCs/>
          <w:sz w:val="20"/>
          <w:szCs w:val="20"/>
          <w:lang w:val="es-MX" w:eastAsia="es-ES_tradnl"/>
        </w:rPr>
        <w:lastRenderedPageBreak/>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18300109" w14:textId="77777777" w:rsidR="00D06040" w:rsidRPr="00D96DE8" w:rsidRDefault="00D06040" w:rsidP="00D96DE8">
      <w:pPr>
        <w:pStyle w:val="paragraph"/>
        <w:jc w:val="both"/>
        <w:textAlignment w:val="baseline"/>
        <w:rPr>
          <w:rFonts w:ascii="Century Gothic" w:eastAsia="Calibri" w:hAnsi="Century Gothic" w:cs="Arial"/>
          <w:b/>
          <w:sz w:val="20"/>
          <w:szCs w:val="20"/>
          <w:lang w:val="es-MX" w:eastAsia="es-ES_tradnl"/>
        </w:rPr>
      </w:pPr>
      <w:r w:rsidRPr="00D96DE8">
        <w:rPr>
          <w:rFonts w:ascii="Century Gothic" w:eastAsia="Calibri" w:hAnsi="Century Gothic" w:cs="Arial"/>
          <w:b/>
          <w:sz w:val="20"/>
          <w:szCs w:val="20"/>
          <w:lang w:val="es-MX" w:eastAsia="es-ES_tradnl"/>
        </w:rPr>
        <w:t xml:space="preserve">EXPERIENCIA </w:t>
      </w:r>
      <w:r w:rsidRPr="00D96DE8">
        <w:rPr>
          <w:rFonts w:ascii="Century Gothic" w:eastAsia="Calibri" w:hAnsi="Century Gothic" w:cs="Century Gothic"/>
          <w:b/>
          <w:sz w:val="20"/>
          <w:szCs w:val="20"/>
          <w:lang w:val="es-MX" w:eastAsia="es-ES_tradnl"/>
        </w:rPr>
        <w:t>–</w:t>
      </w:r>
      <w:r w:rsidRPr="00D96DE8">
        <w:rPr>
          <w:rFonts w:ascii="Century Gothic" w:eastAsia="Calibri" w:hAnsi="Century Gothic" w:cs="Arial"/>
          <w:b/>
          <w:sz w:val="20"/>
          <w:szCs w:val="20"/>
          <w:lang w:val="es-MX" w:eastAsia="es-ES_tradnl"/>
        </w:rPr>
        <w:t xml:space="preserve"> Conservación – Sociedades – Menor a 3 años de constitución – Posibilidad de acreditar la experiencia de los socios en procesos donde el RUP no es exigible </w:t>
      </w:r>
    </w:p>
    <w:p w14:paraId="19E73709" w14:textId="63914C24" w:rsidR="00D96DE8" w:rsidRPr="00D96DE8" w:rsidRDefault="00D96DE8" w:rsidP="00D96DE8">
      <w:pPr>
        <w:pStyle w:val="paragraph"/>
        <w:jc w:val="both"/>
        <w:textAlignment w:val="baseline"/>
        <w:rPr>
          <w:rFonts w:ascii="Century Gothic" w:eastAsia="Calibri" w:hAnsi="Century Gothic" w:cs="Arial"/>
          <w:bCs/>
          <w:sz w:val="20"/>
          <w:szCs w:val="20"/>
          <w:lang w:val="es-MX" w:eastAsia="es-ES_tradnl"/>
        </w:rPr>
      </w:pPr>
      <w:r w:rsidRPr="00D96DE8">
        <w:rPr>
          <w:rFonts w:ascii="Century Gothic" w:eastAsia="Calibri" w:hAnsi="Century Gothic" w:cs="Arial"/>
          <w:bCs/>
          <w:sz w:val="20"/>
          <w:szCs w:val="20"/>
          <w:lang w:val="es-MX" w:eastAsia="es-ES_tradnl"/>
        </w:rPr>
        <w:t>En línea con lo anterior, el numeral 2.5. del artículo 2.2.1.1.1.5.2 del Decreto 1082 de 2015 consagra, como se dijo, una prerrogativa para las sociedades nuevas, que busca fomentar la competencia de las mismas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w:t>
      </w:r>
    </w:p>
    <w:p w14:paraId="32F132E2" w14:textId="04EABC13" w:rsidR="00D96DE8" w:rsidRPr="00D96DE8" w:rsidRDefault="00D96DE8" w:rsidP="00D96DE8">
      <w:pPr>
        <w:pStyle w:val="paragraph"/>
        <w:jc w:val="both"/>
        <w:textAlignment w:val="baseline"/>
        <w:rPr>
          <w:rFonts w:ascii="Century Gothic" w:eastAsia="Calibri" w:hAnsi="Century Gothic" w:cs="Arial"/>
          <w:bCs/>
          <w:sz w:val="20"/>
          <w:szCs w:val="20"/>
          <w:lang w:val="es-MX" w:eastAsia="es-ES_tradnl"/>
        </w:rPr>
      </w:pPr>
      <w:r w:rsidRPr="00D96DE8">
        <w:rPr>
          <w:rFonts w:ascii="Century Gothic" w:eastAsia="Calibri" w:hAnsi="Century Gothic" w:cs="Arial"/>
          <w:bCs/>
          <w:sz w:val="20"/>
          <w:szCs w:val="20"/>
          <w:lang w:val="es-MX" w:eastAsia="es-ES_tradnl"/>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en aquellos procesos que en principio no requieren de la presentación del RUP para verificar requisitos habilitantes, así haya vencido los 3 años de constitución, siempre que no hayan cesado los efectos del RUP por el incumplimiento del deber de renovación.</w:t>
      </w:r>
      <w:r w:rsidRPr="00D96DE8">
        <w:rPr>
          <w:rFonts w:ascii="Century Gothic" w:eastAsia="Calibri" w:hAnsi="Century Gothic" w:cs="Arial"/>
          <w:bCs/>
          <w:sz w:val="20"/>
          <w:szCs w:val="20"/>
          <w:lang w:val="es-MX" w:eastAsia="es-ES_tradnl"/>
        </w:rPr>
        <w:tab/>
      </w:r>
    </w:p>
    <w:p w14:paraId="5A935C4C" w14:textId="6F4B9E6C" w:rsidR="00D96DE8" w:rsidRPr="00D96DE8" w:rsidRDefault="00D96DE8" w:rsidP="00D96DE8">
      <w:pPr>
        <w:pStyle w:val="paragraph"/>
        <w:tabs>
          <w:tab w:val="left" w:pos="3020"/>
        </w:tabs>
        <w:jc w:val="both"/>
        <w:textAlignment w:val="baseline"/>
        <w:rPr>
          <w:rFonts w:ascii="Century Gothic" w:eastAsia="Calibri" w:hAnsi="Century Gothic" w:cs="Arial"/>
          <w:bCs/>
          <w:sz w:val="20"/>
          <w:szCs w:val="20"/>
          <w:lang w:val="es-MX" w:eastAsia="es-ES_tradnl"/>
        </w:rPr>
      </w:pPr>
      <w:r w:rsidRPr="00D96DE8">
        <w:rPr>
          <w:rFonts w:ascii="Century Gothic" w:eastAsia="Calibri" w:hAnsi="Century Gothic" w:cs="Arial"/>
          <w:bCs/>
          <w:sz w:val="20"/>
          <w:szCs w:val="20"/>
          <w:lang w:val="es-MX" w:eastAsia="es-ES_tradnl"/>
        </w:rPr>
        <w:t>Lo anterior implica que, una vez en firme la inscripción, actualización o renovación en el marco del cual una sociedad con menos de tres años de constitución presenta certificados de experiencia adquirida por sus socios o constituyentes, de acuerdo con el numeral 2.5 del artículo 2.2.1.1.1.5.2 del Decreto 1082 de 2015, dicha experiencia queda consolidada en el RUP de la persona jurídica quien por el efecto de la prerrogativa podrá acreditar esa experiencia como propia, mientras no cesen los efectos del RUP por su no renovación. De esta manera la experiencia inscrita de acuerdo con la referida prerrogativa podrá ser acreditada en procesos de selección mediante el respectivo RUP, con efectos de plena prueba de las circunstancias de las que en el constan. En ese orden de ideas, en procesos de selección donde el RUP no es exigible por excepción de la Ley,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entidades con régimen especial de contratación, podrá hacerse válida la experiencia de los socios, accionistas o constituyentes a nombre de la persona jurídica quien por el efecto de la prerrogativa acredita esa experiencia como propia, siempre y cuando la Entidad Estatal verifique en el RUP que no han cesado sus efectos por la no renovación de este registro.</w:t>
      </w:r>
    </w:p>
    <w:p w14:paraId="2A00B7D0" w14:textId="4D4982E9" w:rsidR="00D06040" w:rsidRPr="00D96DE8" w:rsidRDefault="00D06040" w:rsidP="00D96DE8">
      <w:pPr>
        <w:pStyle w:val="paragraph"/>
        <w:jc w:val="both"/>
        <w:textAlignment w:val="baseline"/>
        <w:rPr>
          <w:rFonts w:ascii="Century Gothic" w:eastAsia="Calibri" w:hAnsi="Century Gothic" w:cs="Arial"/>
          <w:b/>
          <w:sz w:val="20"/>
          <w:szCs w:val="20"/>
        </w:rPr>
      </w:pPr>
      <w:r w:rsidRPr="00D96DE8">
        <w:rPr>
          <w:rFonts w:ascii="Century Gothic" w:eastAsia="Calibri" w:hAnsi="Century Gothic" w:cs="Arial"/>
          <w:b/>
          <w:sz w:val="20"/>
          <w:szCs w:val="20"/>
        </w:rPr>
        <w:lastRenderedPageBreak/>
        <w:t>MÍNIMA CUANTÍA – Garantía de seriedad de la oferta – Limitación del proceso a MiPymes.</w:t>
      </w:r>
    </w:p>
    <w:p w14:paraId="081BD460" w14:textId="547FC648" w:rsidR="00D96DE8" w:rsidRPr="00D96DE8" w:rsidRDefault="00D96DE8" w:rsidP="00D96DE8">
      <w:pPr>
        <w:spacing w:after="160"/>
        <w:jc w:val="both"/>
        <w:rPr>
          <w:rFonts w:ascii="Century Gothic" w:hAnsi="Century Gothic"/>
          <w:sz w:val="20"/>
          <w:szCs w:val="20"/>
        </w:rPr>
      </w:pPr>
      <w:r w:rsidRPr="00D96DE8">
        <w:rPr>
          <w:rFonts w:ascii="Century Gothic" w:hAnsi="Century Gothic"/>
          <w:sz w:val="20"/>
          <w:szCs w:val="20"/>
        </w:rPr>
        <w:t>De esta forma encontramos que la limitación a MiPyme de procesos de contratación de mínima cuantía no es potestativa de la Entidad Estatal, toda vez que si se cumplen con los presupuestos establecidos en el artículo 2.2.1.2.4.2.2. del Decreto 1082 de 2015, esto es que se presenten por lo menos dos (2) solicitudes de MiPymes colombianas de mínimo un (1) año de existencia, dentro del término establecido en la invitación para limitar la convocatoria a MiPyme colombianas, y el valor del Proceso de Contratación sea menor a ciento veinticinco mil dólares de los Estados Unidos de América (US$125.000), liquidados con la tasa de cambio que para el efecto determina el Ministerio de Comercio, Industria y Turismo; la Entidad Estatal estará obligada a limitar la participación de la invitación a MiPymes.</w:t>
      </w:r>
    </w:p>
    <w:p w14:paraId="670DE803" w14:textId="3E8F8438" w:rsidR="00D96DE8" w:rsidRPr="00D96DE8" w:rsidRDefault="00D96DE8" w:rsidP="00D96DE8">
      <w:pPr>
        <w:spacing w:after="160"/>
        <w:jc w:val="both"/>
        <w:rPr>
          <w:rFonts w:ascii="Century Gothic" w:hAnsi="Century Gothic"/>
          <w:sz w:val="20"/>
          <w:szCs w:val="20"/>
        </w:rPr>
      </w:pPr>
      <w:r w:rsidRPr="00D96DE8">
        <w:rPr>
          <w:rFonts w:ascii="Century Gothic" w:hAnsi="Century Gothic"/>
          <w:sz w:val="20"/>
          <w:szCs w:val="20"/>
        </w:rPr>
        <w:t>Por su parte, en lo que respecta a la potestad de exigir en los procesos de selección por mínima cuantía la garantía de seriedad de la oferta, es pertinente señalar que el artículo 2.2.1.2.1.5.5. del Decreto 1082 de 2015, indica que la Entidad Estatal es libre de exigir o no garantías en el proceso de selección de mínima cuantía y en la adquisición de "grandes almacenes".</w:t>
      </w:r>
    </w:p>
    <w:p w14:paraId="312D180F" w14:textId="5C72E0FA" w:rsidR="00D06040" w:rsidRPr="00D96DE8" w:rsidRDefault="00D96DE8" w:rsidP="00D96DE8">
      <w:pPr>
        <w:spacing w:after="160"/>
        <w:jc w:val="both"/>
        <w:rPr>
          <w:rFonts w:ascii="Century Gothic" w:hAnsi="Century Gothic"/>
          <w:sz w:val="20"/>
          <w:szCs w:val="20"/>
        </w:rPr>
      </w:pPr>
      <w:r w:rsidRPr="00D96DE8">
        <w:rPr>
          <w:rFonts w:ascii="Century Gothic" w:hAnsi="Century Gothic"/>
          <w:sz w:val="20"/>
          <w:szCs w:val="20"/>
        </w:rPr>
        <w:t>Conforme lo anterior, es posible concluir que, para establecer la obligación de la Entidad Estatal de exigir a los oferentes la constitución de la garantía de seriedad de oferta es necesario determinar la modalidad de selección del contratista a emplear. En los procesos de contratación que se adelanten mediante la modalidad de mínima cuantía, la Entidad Estatal deberá justificar la exigencia o no de la garantía de seriedad de oferta en el estudio previo o documento equivalente.</w:t>
      </w:r>
    </w:p>
    <w:p w14:paraId="5D6FED65" w14:textId="7BC78B04" w:rsidR="00D06040" w:rsidRDefault="00D06040">
      <w:pPr>
        <w:spacing w:after="160" w:line="259" w:lineRule="auto"/>
        <w:rPr>
          <w:rFonts w:ascii="Century Gothic" w:hAnsi="Century Gothic"/>
          <w:sz w:val="22"/>
          <w:szCs w:val="22"/>
        </w:rPr>
      </w:pPr>
      <w:r>
        <w:rPr>
          <w:rFonts w:ascii="Century Gothic" w:hAnsi="Century Gothic"/>
          <w:sz w:val="22"/>
          <w:szCs w:val="22"/>
        </w:rPr>
        <w:br w:type="page"/>
      </w:r>
    </w:p>
    <w:p w14:paraId="3FE2184B" w14:textId="5B22B468" w:rsidR="00E245AB" w:rsidRPr="00A466A7" w:rsidRDefault="00D06040" w:rsidP="00E245AB">
      <w:pPr>
        <w:rPr>
          <w:rFonts w:ascii="Century Gothic" w:hAnsi="Century Gothic"/>
          <w:sz w:val="22"/>
          <w:szCs w:val="22"/>
        </w:rPr>
      </w:pPr>
      <w:r w:rsidRPr="00D06040">
        <w:rPr>
          <w:rFonts w:ascii="Century Gothic" w:hAnsi="Century Gothic"/>
          <w:noProof/>
          <w:sz w:val="22"/>
          <w:szCs w:val="22"/>
        </w:rPr>
        <w:lastRenderedPageBreak/>
        <w:drawing>
          <wp:anchor distT="0" distB="0" distL="114300" distR="114300" simplePos="0" relativeHeight="251658240" behindDoc="1" locked="0" layoutInCell="1" allowOverlap="1" wp14:anchorId="4EEAEB80" wp14:editId="0C0F6BD8">
            <wp:simplePos x="0" y="0"/>
            <wp:positionH relativeFrom="column">
              <wp:posOffset>3352165</wp:posOffset>
            </wp:positionH>
            <wp:positionV relativeFrom="paragraph">
              <wp:posOffset>5715</wp:posOffset>
            </wp:positionV>
            <wp:extent cx="2235200" cy="666750"/>
            <wp:effectExtent l="0" t="0" r="0" b="0"/>
            <wp:wrapNone/>
            <wp:docPr id="12070298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29807" name=""/>
                    <pic:cNvPicPr/>
                  </pic:nvPicPr>
                  <pic:blipFill>
                    <a:blip r:embed="rId10">
                      <a:extLst>
                        <a:ext uri="{28A0092B-C50C-407E-A947-70E740481C1C}">
                          <a14:useLocalDpi xmlns:a14="http://schemas.microsoft.com/office/drawing/2010/main" val="0"/>
                        </a:ext>
                      </a:extLst>
                    </a:blip>
                    <a:stretch>
                      <a:fillRect/>
                    </a:stretch>
                  </pic:blipFill>
                  <pic:spPr>
                    <a:xfrm>
                      <a:off x="0" y="0"/>
                      <a:ext cx="2235200" cy="666750"/>
                    </a:xfrm>
                    <a:prstGeom prst="rect">
                      <a:avLst/>
                    </a:prstGeom>
                  </pic:spPr>
                </pic:pic>
              </a:graphicData>
            </a:graphic>
          </wp:anchor>
        </w:drawing>
      </w:r>
      <w:r w:rsidR="00E245AB" w:rsidRPr="00A466A7">
        <w:rPr>
          <w:rFonts w:ascii="Century Gothic" w:hAnsi="Century Gothic"/>
          <w:sz w:val="22"/>
          <w:szCs w:val="22"/>
        </w:rPr>
        <w:t xml:space="preserve">Bogotá D.C., </w:t>
      </w:r>
      <w:r>
        <w:rPr>
          <w:rFonts w:ascii="Century Gothic" w:hAnsi="Century Gothic"/>
          <w:sz w:val="22"/>
          <w:szCs w:val="22"/>
        </w:rPr>
        <w:t>13 de julio de 2023</w:t>
      </w:r>
      <w:r w:rsidRPr="00D06040">
        <w:rPr>
          <w:noProof/>
        </w:rPr>
        <w:t xml:space="preserve"> </w:t>
      </w:r>
    </w:p>
    <w:p w14:paraId="28E397D6" w14:textId="77777777" w:rsidR="00AA24D4" w:rsidRPr="00A466A7" w:rsidRDefault="00AA24D4" w:rsidP="00AA24D4">
      <w:pPr>
        <w:jc w:val="both"/>
        <w:rPr>
          <w:rFonts w:ascii="Century Gothic" w:hAnsi="Century Gothic" w:cs="Arial"/>
          <w:sz w:val="22"/>
          <w:szCs w:val="22"/>
        </w:rPr>
      </w:pPr>
    </w:p>
    <w:p w14:paraId="18872D7E" w14:textId="77777777" w:rsidR="00F55E3A" w:rsidRPr="00A466A7" w:rsidRDefault="00F55E3A" w:rsidP="00AA24D4">
      <w:pPr>
        <w:jc w:val="both"/>
        <w:rPr>
          <w:rFonts w:ascii="Century Gothic" w:hAnsi="Century Gothic" w:cs="Arial"/>
          <w:sz w:val="22"/>
          <w:szCs w:val="22"/>
        </w:rPr>
      </w:pPr>
    </w:p>
    <w:p w14:paraId="3E44AB88" w14:textId="0309A929" w:rsidR="00AA24D4" w:rsidRPr="00A466A7" w:rsidRDefault="00AA24D4" w:rsidP="00AA24D4">
      <w:pPr>
        <w:jc w:val="both"/>
        <w:rPr>
          <w:rFonts w:ascii="Century Gothic" w:hAnsi="Century Gothic" w:cs="Arial"/>
          <w:sz w:val="22"/>
          <w:szCs w:val="22"/>
          <w:lang w:val="es-MX"/>
        </w:rPr>
      </w:pPr>
      <w:r w:rsidRPr="00A466A7">
        <w:rPr>
          <w:rFonts w:ascii="Century Gothic" w:hAnsi="Century Gothic" w:cs="Arial"/>
          <w:sz w:val="22"/>
          <w:szCs w:val="22"/>
          <w:lang w:val="es-MX"/>
        </w:rPr>
        <w:t xml:space="preserve">Señor </w:t>
      </w:r>
    </w:p>
    <w:p w14:paraId="6B75627C" w14:textId="434C0C2F" w:rsidR="00AA24D4" w:rsidRPr="00B3707F" w:rsidRDefault="002504DE" w:rsidP="00AA24D4">
      <w:pPr>
        <w:rPr>
          <w:rFonts w:ascii="Century Gothic" w:hAnsi="Century Gothic" w:cs="Arial"/>
          <w:b/>
          <w:sz w:val="22"/>
          <w:szCs w:val="22"/>
        </w:rPr>
      </w:pPr>
      <w:r w:rsidRPr="00B3707F">
        <w:rPr>
          <w:rFonts w:ascii="Century Gothic" w:hAnsi="Century Gothic" w:cs="Arial"/>
          <w:b/>
          <w:sz w:val="22"/>
          <w:szCs w:val="22"/>
        </w:rPr>
        <w:t>Ricardo Saavedra Sierra</w:t>
      </w:r>
    </w:p>
    <w:p w14:paraId="4ADB6B50" w14:textId="77777777" w:rsidR="00AA24D4" w:rsidRPr="00A466A7" w:rsidRDefault="00AA24D4" w:rsidP="00AA24D4">
      <w:pPr>
        <w:rPr>
          <w:rFonts w:ascii="Century Gothic" w:hAnsi="Century Gothic" w:cs="Arial"/>
          <w:sz w:val="22"/>
          <w:szCs w:val="22"/>
        </w:rPr>
      </w:pPr>
      <w:r w:rsidRPr="00A466A7">
        <w:rPr>
          <w:rFonts w:ascii="Century Gothic" w:hAnsi="Century Gothic" w:cs="Arial"/>
          <w:sz w:val="22"/>
          <w:szCs w:val="22"/>
        </w:rPr>
        <w:t>Bogotá D.C.</w:t>
      </w:r>
    </w:p>
    <w:p w14:paraId="5EB0AD22" w14:textId="77777777" w:rsidR="00AA24D4" w:rsidRPr="00A466A7" w:rsidRDefault="00AA24D4" w:rsidP="00AA24D4">
      <w:pPr>
        <w:jc w:val="both"/>
        <w:rPr>
          <w:rFonts w:ascii="Century Gothic" w:hAnsi="Century Gothic" w:cs="Arial"/>
          <w:sz w:val="22"/>
          <w:szCs w:val="22"/>
        </w:rPr>
      </w:pPr>
    </w:p>
    <w:p w14:paraId="3AEEDFB9" w14:textId="56622B0D" w:rsidR="00AA24D4" w:rsidRPr="00A466A7" w:rsidRDefault="00AA24D4" w:rsidP="00AA24D4">
      <w:pPr>
        <w:spacing w:line="276" w:lineRule="auto"/>
        <w:contextualSpacing/>
        <w:jc w:val="both"/>
        <w:rPr>
          <w:rFonts w:ascii="Century Gothic" w:eastAsia="Calibri" w:hAnsi="Century Gothic" w:cs="Arial"/>
          <w:b/>
          <w:color w:val="000000" w:themeColor="text1"/>
          <w:sz w:val="22"/>
          <w:szCs w:val="22"/>
        </w:rPr>
      </w:pPr>
      <w:bookmarkStart w:id="0" w:name="_Hlk137525426"/>
      <w:r w:rsidRPr="00A466A7">
        <w:rPr>
          <w:rFonts w:ascii="Century Gothic" w:eastAsia="Calibri" w:hAnsi="Century Gothic" w:cs="Arial"/>
          <w:b/>
          <w:color w:val="000000" w:themeColor="text1"/>
          <w:sz w:val="22"/>
          <w:szCs w:val="22"/>
        </w:rPr>
        <w:t xml:space="preserve">                                </w:t>
      </w:r>
      <w:r w:rsidRPr="00A466A7">
        <w:rPr>
          <w:rFonts w:ascii="Century Gothic" w:eastAsia="Calibri" w:hAnsi="Century Gothic" w:cs="Arial"/>
          <w:b/>
          <w:color w:val="000000" w:themeColor="text1"/>
          <w:sz w:val="22"/>
          <w:szCs w:val="22"/>
        </w:rPr>
        <w:tab/>
      </w:r>
      <w:r w:rsidRPr="00A466A7">
        <w:rPr>
          <w:rFonts w:ascii="Century Gothic" w:eastAsia="Calibri" w:hAnsi="Century Gothic" w:cs="Arial"/>
          <w:b/>
          <w:color w:val="000000" w:themeColor="text1"/>
          <w:sz w:val="22"/>
          <w:szCs w:val="22"/>
        </w:rPr>
        <w:tab/>
        <w:t>Concepto C – 26</w:t>
      </w:r>
      <w:r w:rsidR="0064790A" w:rsidRPr="00A466A7">
        <w:rPr>
          <w:rFonts w:ascii="Century Gothic" w:eastAsia="Calibri" w:hAnsi="Century Gothic" w:cs="Arial"/>
          <w:b/>
          <w:color w:val="000000" w:themeColor="text1"/>
          <w:sz w:val="22"/>
          <w:szCs w:val="22"/>
        </w:rPr>
        <w:t>2</w:t>
      </w:r>
      <w:r w:rsidRPr="00A466A7">
        <w:rPr>
          <w:rFonts w:ascii="Century Gothic" w:eastAsia="Calibri" w:hAnsi="Century Gothic" w:cs="Arial"/>
          <w:b/>
          <w:color w:val="000000" w:themeColor="text1"/>
          <w:sz w:val="22"/>
          <w:szCs w:val="22"/>
        </w:rPr>
        <w:t xml:space="preserve"> de 2023 </w:t>
      </w:r>
    </w:p>
    <w:p w14:paraId="79098509" w14:textId="77777777" w:rsidR="00AA24D4" w:rsidRPr="00A466A7" w:rsidRDefault="00AA24D4" w:rsidP="00AA24D4">
      <w:pPr>
        <w:spacing w:line="276" w:lineRule="auto"/>
        <w:contextualSpacing/>
        <w:jc w:val="both"/>
        <w:rPr>
          <w:rFonts w:ascii="Century Gothic" w:eastAsia="Calibri" w:hAnsi="Century Gothic" w:cs="Arial"/>
          <w:b/>
          <w:color w:val="000000" w:themeColor="text1"/>
          <w:sz w:val="22"/>
          <w:szCs w:val="22"/>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5949"/>
      </w:tblGrid>
      <w:tr w:rsidR="00AA24D4" w:rsidRPr="00A466A7" w14:paraId="3274F3AC" w14:textId="77777777" w:rsidTr="00CE0C03">
        <w:trPr>
          <w:trHeight w:val="822"/>
        </w:trPr>
        <w:tc>
          <w:tcPr>
            <w:tcW w:w="2835" w:type="dxa"/>
          </w:tcPr>
          <w:p w14:paraId="7D419963" w14:textId="77777777" w:rsidR="00AA24D4" w:rsidRPr="00A466A7" w:rsidRDefault="00AA24D4" w:rsidP="00CE0C03">
            <w:pPr>
              <w:pStyle w:val="Textoindependiente"/>
              <w:spacing w:line="276" w:lineRule="auto"/>
              <w:contextualSpacing/>
              <w:jc w:val="both"/>
              <w:rPr>
                <w:rFonts w:ascii="Century Gothic" w:eastAsia="Calibri" w:hAnsi="Century Gothic"/>
                <w:b/>
                <w:bCs/>
                <w:sz w:val="22"/>
                <w:szCs w:val="22"/>
                <w:lang w:val="es-CO"/>
              </w:rPr>
            </w:pPr>
            <w:r w:rsidRPr="00A466A7">
              <w:rPr>
                <w:rFonts w:ascii="Century Gothic" w:eastAsia="Calibri" w:hAnsi="Century Gothic"/>
                <w:b/>
                <w:color w:val="000000" w:themeColor="text1"/>
                <w:sz w:val="22"/>
                <w:szCs w:val="22"/>
              </w:rPr>
              <w:t>Temas:</w:t>
            </w:r>
          </w:p>
          <w:p w14:paraId="58A65330" w14:textId="77777777" w:rsidR="00AA24D4" w:rsidRPr="00A466A7" w:rsidRDefault="00AA24D4" w:rsidP="00CE0C03">
            <w:pPr>
              <w:pStyle w:val="Textoindependiente"/>
              <w:spacing w:line="276" w:lineRule="auto"/>
              <w:contextualSpacing/>
              <w:jc w:val="both"/>
              <w:rPr>
                <w:rFonts w:ascii="Century Gothic" w:eastAsia="Calibri" w:hAnsi="Century Gothic"/>
                <w:b/>
                <w:bCs/>
                <w:sz w:val="22"/>
                <w:szCs w:val="22"/>
                <w:lang w:val="es-CO"/>
              </w:rPr>
            </w:pPr>
          </w:p>
          <w:p w14:paraId="7FD24BC0" w14:textId="77777777" w:rsidR="00AA24D4" w:rsidRPr="00A466A7" w:rsidRDefault="00AA24D4" w:rsidP="00CE0C03">
            <w:pPr>
              <w:spacing w:line="276" w:lineRule="auto"/>
              <w:contextualSpacing/>
              <w:jc w:val="both"/>
              <w:rPr>
                <w:rFonts w:ascii="Century Gothic" w:eastAsia="Calibri" w:hAnsi="Century Gothic" w:cs="Arial"/>
                <w:color w:val="000000" w:themeColor="text1"/>
                <w:sz w:val="22"/>
                <w:szCs w:val="22"/>
              </w:rPr>
            </w:pPr>
            <w:r w:rsidRPr="00A466A7">
              <w:rPr>
                <w:rFonts w:ascii="Century Gothic" w:eastAsia="Calibri" w:hAnsi="Century Gothic" w:cs="Arial"/>
                <w:color w:val="000000" w:themeColor="text1"/>
                <w:sz w:val="22"/>
                <w:szCs w:val="22"/>
              </w:rPr>
              <w:t xml:space="preserve">        </w:t>
            </w:r>
          </w:p>
        </w:tc>
        <w:tc>
          <w:tcPr>
            <w:tcW w:w="5949" w:type="dxa"/>
          </w:tcPr>
          <w:p w14:paraId="7591BD71" w14:textId="105759DC" w:rsidR="00AA24D4" w:rsidRPr="00A466A7" w:rsidRDefault="003740BC" w:rsidP="00C26E25">
            <w:pPr>
              <w:pStyle w:val="paragraph"/>
              <w:jc w:val="both"/>
              <w:textAlignment w:val="baseline"/>
              <w:rPr>
                <w:rFonts w:ascii="Century Gothic" w:eastAsia="Calibri" w:hAnsi="Century Gothic" w:cs="Arial"/>
                <w:bCs/>
                <w:sz w:val="22"/>
                <w:szCs w:val="22"/>
              </w:rPr>
            </w:pPr>
            <w:r w:rsidRPr="00A466A7">
              <w:rPr>
                <w:rFonts w:ascii="Century Gothic" w:hAnsi="Century Gothic" w:cs="Arial"/>
                <w:bCs/>
                <w:color w:val="000000" w:themeColor="text1"/>
                <w:sz w:val="22"/>
                <w:szCs w:val="22"/>
              </w:rPr>
              <w:t>REQUISITOS HABILITANTES – Noción / REQUISITOS HABILITANTES –</w:t>
            </w:r>
            <w:r w:rsidR="007568CC">
              <w:rPr>
                <w:rFonts w:ascii="Century Gothic" w:hAnsi="Century Gothic" w:cs="Arial"/>
                <w:bCs/>
                <w:color w:val="000000" w:themeColor="text1"/>
                <w:sz w:val="22"/>
                <w:szCs w:val="22"/>
              </w:rPr>
              <w:t xml:space="preserve"> </w:t>
            </w:r>
            <w:r w:rsidR="00986CB3" w:rsidRPr="00A466A7">
              <w:rPr>
                <w:rStyle w:val="normaltextrun"/>
                <w:rFonts w:ascii="Century Gothic" w:hAnsi="Century Gothic" w:cs="Arial"/>
                <w:sz w:val="22"/>
                <w:szCs w:val="22"/>
                <w:lang w:val="es-ES"/>
              </w:rPr>
              <w:t xml:space="preserve">Carácter enunciativo </w:t>
            </w:r>
            <w:r w:rsidR="00986CB3" w:rsidRPr="00A466A7">
              <w:rPr>
                <w:rStyle w:val="normaltextrun"/>
                <w:rFonts w:ascii="Century Gothic" w:hAnsi="Century Gothic" w:cs="Arial"/>
                <w:sz w:val="22"/>
                <w:szCs w:val="22"/>
              </w:rPr>
              <w:t xml:space="preserve">/ </w:t>
            </w:r>
            <w:r w:rsidR="00986CB3" w:rsidRPr="00A466A7">
              <w:rPr>
                <w:rStyle w:val="normaltextrun"/>
                <w:rFonts w:ascii="Century Gothic" w:hAnsi="Century Gothic" w:cs="Arial"/>
                <w:color w:val="000000"/>
                <w:sz w:val="22"/>
                <w:szCs w:val="22"/>
                <w:lang w:val="es-ES"/>
              </w:rPr>
              <w:t xml:space="preserve">REQUISITOS HABILITANTES </w:t>
            </w:r>
            <w:r w:rsidR="007568CC" w:rsidRPr="00A466A7">
              <w:rPr>
                <w:rFonts w:ascii="Century Gothic" w:hAnsi="Century Gothic" w:cs="Arial"/>
                <w:bCs/>
                <w:color w:val="000000" w:themeColor="text1"/>
                <w:sz w:val="22"/>
                <w:szCs w:val="22"/>
              </w:rPr>
              <w:t>–</w:t>
            </w:r>
            <w:r w:rsidR="007568CC">
              <w:rPr>
                <w:rFonts w:ascii="Century Gothic" w:hAnsi="Century Gothic" w:cs="Arial"/>
                <w:bCs/>
                <w:color w:val="000000" w:themeColor="text1"/>
                <w:sz w:val="22"/>
                <w:szCs w:val="22"/>
              </w:rPr>
              <w:t xml:space="preserve"> </w:t>
            </w:r>
            <w:r w:rsidR="009C32A5" w:rsidRPr="00A466A7">
              <w:rPr>
                <w:rStyle w:val="normaltextrun"/>
                <w:rFonts w:ascii="Century Gothic" w:hAnsi="Century Gothic" w:cs="Arial"/>
                <w:color w:val="000000"/>
                <w:sz w:val="22"/>
                <w:szCs w:val="22"/>
                <w:lang w:val="es-ES"/>
              </w:rPr>
              <w:t>A</w:t>
            </w:r>
            <w:r w:rsidR="00986CB3" w:rsidRPr="00A466A7">
              <w:rPr>
                <w:rStyle w:val="normaltextrun"/>
                <w:rFonts w:ascii="Century Gothic" w:hAnsi="Century Gothic" w:cs="Arial"/>
                <w:color w:val="000000"/>
                <w:sz w:val="22"/>
                <w:szCs w:val="22"/>
                <w:lang w:val="es-ES"/>
              </w:rPr>
              <w:t>utonomía de la voluntad de las entidades estatales para establecerlos</w:t>
            </w:r>
            <w:r w:rsidR="005C4FB3" w:rsidRPr="00A466A7">
              <w:rPr>
                <w:rStyle w:val="normaltextrun"/>
                <w:rFonts w:ascii="Century Gothic" w:hAnsi="Century Gothic" w:cs="Arial"/>
                <w:color w:val="000000"/>
                <w:sz w:val="22"/>
                <w:szCs w:val="22"/>
              </w:rPr>
              <w:t xml:space="preserve"> </w:t>
            </w:r>
            <w:r w:rsidRPr="00A466A7">
              <w:rPr>
                <w:rFonts w:ascii="Century Gothic" w:hAnsi="Century Gothic" w:cs="Arial"/>
                <w:bCs/>
                <w:color w:val="000000" w:themeColor="text1"/>
                <w:sz w:val="22"/>
                <w:szCs w:val="22"/>
              </w:rPr>
              <w:t xml:space="preserve">/ </w:t>
            </w:r>
            <w:r w:rsidR="002402CC" w:rsidRPr="00A466A7">
              <w:rPr>
                <w:rFonts w:ascii="Century Gothic" w:hAnsi="Century Gothic" w:cs="Arial"/>
                <w:bCs/>
                <w:color w:val="000000" w:themeColor="text1"/>
                <w:sz w:val="22"/>
                <w:szCs w:val="22"/>
              </w:rPr>
              <w:t xml:space="preserve"> CAPACIDAD FINANCIERA Y ORGANIZACIONAL – Conceptos – Requisitos habilitantes – Op</w:t>
            </w:r>
            <w:r w:rsidR="00605454" w:rsidRPr="00A466A7">
              <w:rPr>
                <w:rFonts w:ascii="Century Gothic" w:hAnsi="Century Gothic" w:cs="Arial"/>
                <w:bCs/>
                <w:color w:val="000000" w:themeColor="text1"/>
                <w:sz w:val="22"/>
                <w:szCs w:val="22"/>
              </w:rPr>
              <w:t xml:space="preserve">ciones – Cálculo / </w:t>
            </w:r>
            <w:r w:rsidR="00AA24D4" w:rsidRPr="00A466A7">
              <w:rPr>
                <w:rFonts w:ascii="Century Gothic" w:eastAsia="Calibri" w:hAnsi="Century Gothic" w:cs="Arial"/>
                <w:bCs/>
                <w:sz w:val="22"/>
                <w:szCs w:val="22"/>
                <w:lang w:val="es-MX" w:eastAsia="es-ES_tradnl"/>
              </w:rPr>
              <w:t xml:space="preserve">EXPERIENCIA – Noción </w:t>
            </w:r>
            <w:r w:rsidR="00AA24D4" w:rsidRPr="00A466A7">
              <w:rPr>
                <w:rFonts w:ascii="Arial" w:eastAsia="Calibri" w:hAnsi="Arial" w:cs="Arial"/>
                <w:bCs/>
                <w:sz w:val="22"/>
                <w:szCs w:val="22"/>
                <w:lang w:val="es-MX" w:eastAsia="es-ES_tradnl"/>
              </w:rPr>
              <w:t>‒</w:t>
            </w:r>
            <w:r w:rsidR="00AA24D4" w:rsidRPr="00A466A7">
              <w:rPr>
                <w:rFonts w:ascii="Century Gothic" w:eastAsia="Calibri" w:hAnsi="Century Gothic" w:cs="Arial"/>
                <w:bCs/>
                <w:sz w:val="22"/>
                <w:szCs w:val="22"/>
                <w:lang w:val="es-MX" w:eastAsia="es-ES_tradnl"/>
              </w:rPr>
              <w:t xml:space="preserve"> Colombia Compra Eficiente / SOCIEDADES NUEVAS </w:t>
            </w:r>
            <w:r w:rsidR="00AA24D4" w:rsidRPr="00A466A7">
              <w:rPr>
                <w:rFonts w:ascii="Arial" w:eastAsia="Calibri" w:hAnsi="Arial" w:cs="Arial"/>
                <w:bCs/>
                <w:sz w:val="22"/>
                <w:szCs w:val="22"/>
                <w:lang w:val="es-MX" w:eastAsia="es-ES_tradnl"/>
              </w:rPr>
              <w:t>‒</w:t>
            </w:r>
            <w:r w:rsidR="00AA24D4" w:rsidRPr="00A466A7">
              <w:rPr>
                <w:rFonts w:ascii="Century Gothic" w:eastAsia="Calibri" w:hAnsi="Century Gothic" w:cs="Arial"/>
                <w:bCs/>
                <w:sz w:val="22"/>
                <w:szCs w:val="22"/>
                <w:lang w:val="es-MX" w:eastAsia="es-ES_tradnl"/>
              </w:rPr>
              <w:t xml:space="preserve"> Experiencia </w:t>
            </w:r>
            <w:r w:rsidR="00AA24D4" w:rsidRPr="00A466A7">
              <w:rPr>
                <w:rFonts w:ascii="Arial" w:eastAsia="Calibri" w:hAnsi="Arial" w:cs="Arial"/>
                <w:bCs/>
                <w:sz w:val="22"/>
                <w:szCs w:val="22"/>
                <w:lang w:val="es-MX" w:eastAsia="es-ES_tradnl"/>
              </w:rPr>
              <w:t>‒</w:t>
            </w:r>
            <w:r w:rsidR="00AA24D4" w:rsidRPr="00A466A7">
              <w:rPr>
                <w:rFonts w:ascii="Century Gothic" w:eastAsia="Calibri" w:hAnsi="Century Gothic" w:cs="Arial"/>
                <w:bCs/>
                <w:sz w:val="22"/>
                <w:szCs w:val="22"/>
                <w:lang w:val="es-MX" w:eastAsia="es-ES_tradnl"/>
              </w:rPr>
              <w:t xml:space="preserve"> </w:t>
            </w:r>
            <w:r w:rsidR="00D26138" w:rsidRPr="00A466A7">
              <w:rPr>
                <w:rFonts w:ascii="Century Gothic" w:eastAsia="Calibri" w:hAnsi="Century Gothic" w:cs="Arial"/>
                <w:bCs/>
                <w:sz w:val="22"/>
                <w:szCs w:val="22"/>
                <w:lang w:val="es-MX" w:eastAsia="es-ES_tradnl"/>
              </w:rPr>
              <w:t xml:space="preserve">Sociedades </w:t>
            </w:r>
            <w:r w:rsidR="00D26138" w:rsidRPr="00A466A7">
              <w:rPr>
                <w:rFonts w:ascii="Century Gothic" w:eastAsia="Calibri" w:hAnsi="Century Gothic" w:cs="Century Gothic"/>
                <w:bCs/>
                <w:sz w:val="22"/>
                <w:szCs w:val="22"/>
                <w:lang w:val="es-MX" w:eastAsia="es-ES_tradnl"/>
              </w:rPr>
              <w:t>–</w:t>
            </w:r>
            <w:r w:rsidR="00D26138" w:rsidRPr="00A466A7">
              <w:rPr>
                <w:rFonts w:ascii="Century Gothic" w:eastAsia="Calibri" w:hAnsi="Century Gothic" w:cs="Arial"/>
                <w:bCs/>
                <w:sz w:val="22"/>
                <w:szCs w:val="22"/>
                <w:lang w:val="es-MX" w:eastAsia="es-ES_tradnl"/>
              </w:rPr>
              <w:t xml:space="preserve"> Menor a 3 a</w:t>
            </w:r>
            <w:r w:rsidR="00D26138" w:rsidRPr="00A466A7">
              <w:rPr>
                <w:rFonts w:ascii="Century Gothic" w:eastAsia="Calibri" w:hAnsi="Century Gothic" w:cs="Century Gothic"/>
                <w:bCs/>
                <w:sz w:val="22"/>
                <w:szCs w:val="22"/>
                <w:lang w:val="es-MX" w:eastAsia="es-ES_tradnl"/>
              </w:rPr>
              <w:t>ñ</w:t>
            </w:r>
            <w:r w:rsidR="00D26138" w:rsidRPr="00A466A7">
              <w:rPr>
                <w:rFonts w:ascii="Century Gothic" w:eastAsia="Calibri" w:hAnsi="Century Gothic" w:cs="Arial"/>
                <w:bCs/>
                <w:sz w:val="22"/>
                <w:szCs w:val="22"/>
                <w:lang w:val="es-MX" w:eastAsia="es-ES_tradnl"/>
              </w:rPr>
              <w:t>os de constituci</w:t>
            </w:r>
            <w:r w:rsidR="00D26138" w:rsidRPr="00A466A7">
              <w:rPr>
                <w:rFonts w:ascii="Century Gothic" w:eastAsia="Calibri" w:hAnsi="Century Gothic" w:cs="Century Gothic"/>
                <w:bCs/>
                <w:sz w:val="22"/>
                <w:szCs w:val="22"/>
                <w:lang w:val="es-MX" w:eastAsia="es-ES_tradnl"/>
              </w:rPr>
              <w:t>ó</w:t>
            </w:r>
            <w:r w:rsidR="00D26138" w:rsidRPr="00A466A7">
              <w:rPr>
                <w:rFonts w:ascii="Century Gothic" w:eastAsia="Calibri" w:hAnsi="Century Gothic" w:cs="Arial"/>
                <w:bCs/>
                <w:sz w:val="22"/>
                <w:szCs w:val="22"/>
                <w:lang w:val="es-MX" w:eastAsia="es-ES_tradnl"/>
              </w:rPr>
              <w:t>n</w:t>
            </w:r>
            <w:r w:rsidR="00E94630">
              <w:rPr>
                <w:rFonts w:ascii="Century Gothic" w:eastAsia="Calibri" w:hAnsi="Century Gothic" w:cs="Arial"/>
                <w:bCs/>
                <w:sz w:val="22"/>
                <w:szCs w:val="22"/>
                <w:lang w:val="es-MX" w:eastAsia="es-ES_tradnl"/>
              </w:rPr>
              <w:t xml:space="preserve"> </w:t>
            </w:r>
            <w:r w:rsidR="00802107" w:rsidRPr="00A466A7">
              <w:rPr>
                <w:rFonts w:ascii="Century Gothic" w:eastAsia="Calibri" w:hAnsi="Century Gothic" w:cs="Arial"/>
                <w:bCs/>
                <w:sz w:val="22"/>
                <w:szCs w:val="22"/>
                <w:lang w:val="es-MX" w:eastAsia="es-ES_tradnl"/>
              </w:rPr>
              <w:t>/</w:t>
            </w:r>
            <w:r w:rsidR="009C32A5" w:rsidRPr="00A466A7">
              <w:rPr>
                <w:rFonts w:ascii="Century Gothic" w:eastAsia="Calibri" w:hAnsi="Century Gothic" w:cs="Arial"/>
                <w:bCs/>
                <w:sz w:val="22"/>
                <w:szCs w:val="22"/>
                <w:lang w:val="es-MX" w:eastAsia="es-ES_tradnl"/>
              </w:rPr>
              <w:t xml:space="preserve"> </w:t>
            </w:r>
            <w:r w:rsidR="00AA24D4" w:rsidRPr="00A466A7">
              <w:rPr>
                <w:rFonts w:ascii="Century Gothic" w:eastAsia="Calibri" w:hAnsi="Century Gothic" w:cs="Arial"/>
                <w:bCs/>
                <w:sz w:val="22"/>
                <w:szCs w:val="22"/>
                <w:lang w:val="es-MX" w:eastAsia="es-ES_tradnl"/>
              </w:rPr>
              <w:t xml:space="preserve">EXPERIENCIA </w:t>
            </w:r>
            <w:r w:rsidR="00AA24D4" w:rsidRPr="00A466A7">
              <w:rPr>
                <w:rFonts w:ascii="Century Gothic" w:eastAsia="Calibri" w:hAnsi="Century Gothic" w:cs="Century Gothic"/>
                <w:bCs/>
                <w:sz w:val="22"/>
                <w:szCs w:val="22"/>
                <w:lang w:val="es-MX" w:eastAsia="es-ES_tradnl"/>
              </w:rPr>
              <w:t>–</w:t>
            </w:r>
            <w:r w:rsidR="00AA24D4" w:rsidRPr="00A466A7">
              <w:rPr>
                <w:rFonts w:ascii="Century Gothic" w:eastAsia="Calibri" w:hAnsi="Century Gothic" w:cs="Arial"/>
                <w:bCs/>
                <w:sz w:val="22"/>
                <w:szCs w:val="22"/>
                <w:lang w:val="es-MX" w:eastAsia="es-ES_tradnl"/>
              </w:rPr>
              <w:t xml:space="preserve"> Conservación – Sociedades – Menor a 3 años de constitución – Posibilidad de </w:t>
            </w:r>
            <w:r w:rsidR="008F687F" w:rsidRPr="00A466A7">
              <w:rPr>
                <w:rFonts w:ascii="Century Gothic" w:eastAsia="Calibri" w:hAnsi="Century Gothic" w:cs="Arial"/>
                <w:bCs/>
                <w:sz w:val="22"/>
                <w:szCs w:val="22"/>
                <w:lang w:val="es-MX" w:eastAsia="es-ES_tradnl"/>
              </w:rPr>
              <w:t>acreditar la</w:t>
            </w:r>
            <w:r w:rsidR="00AA24D4" w:rsidRPr="00A466A7">
              <w:rPr>
                <w:rFonts w:ascii="Century Gothic" w:eastAsia="Calibri" w:hAnsi="Century Gothic" w:cs="Arial"/>
                <w:bCs/>
                <w:sz w:val="22"/>
                <w:szCs w:val="22"/>
                <w:lang w:val="es-MX" w:eastAsia="es-ES_tradnl"/>
              </w:rPr>
              <w:t xml:space="preserve"> experiencia de los socios </w:t>
            </w:r>
            <w:r w:rsidR="008F687F" w:rsidRPr="00A466A7">
              <w:rPr>
                <w:rFonts w:ascii="Century Gothic" w:eastAsia="Calibri" w:hAnsi="Century Gothic" w:cs="Arial"/>
                <w:bCs/>
                <w:sz w:val="22"/>
                <w:szCs w:val="22"/>
                <w:lang w:val="es-MX" w:eastAsia="es-ES_tradnl"/>
              </w:rPr>
              <w:t>en procesos donde el RUP no es exigible</w:t>
            </w:r>
            <w:r w:rsidR="004A13C8">
              <w:rPr>
                <w:rFonts w:ascii="Century Gothic" w:eastAsia="Calibri" w:hAnsi="Century Gothic" w:cs="Arial"/>
                <w:bCs/>
                <w:sz w:val="22"/>
                <w:szCs w:val="22"/>
                <w:lang w:val="es-MX" w:eastAsia="es-ES_tradnl"/>
              </w:rPr>
              <w:t xml:space="preserve"> </w:t>
            </w:r>
            <w:r w:rsidR="00AA24D4" w:rsidRPr="00A466A7">
              <w:rPr>
                <w:rFonts w:ascii="Century Gothic" w:eastAsia="Calibri" w:hAnsi="Century Gothic" w:cs="Arial"/>
                <w:bCs/>
                <w:sz w:val="22"/>
                <w:szCs w:val="22"/>
                <w:lang w:val="es-MX" w:eastAsia="es-ES_tradnl"/>
              </w:rPr>
              <w:t>/</w:t>
            </w:r>
            <w:r w:rsidR="00AA24D4" w:rsidRPr="00A466A7">
              <w:rPr>
                <w:rFonts w:ascii="Century Gothic" w:eastAsia="Calibri" w:hAnsi="Century Gothic" w:cs="Arial"/>
                <w:bCs/>
                <w:sz w:val="22"/>
                <w:szCs w:val="22"/>
              </w:rPr>
              <w:t xml:space="preserve"> </w:t>
            </w:r>
            <w:r w:rsidR="008722F7" w:rsidRPr="00A466A7">
              <w:rPr>
                <w:rFonts w:ascii="Century Gothic" w:eastAsia="Calibri" w:hAnsi="Century Gothic" w:cs="Arial"/>
                <w:bCs/>
                <w:sz w:val="22"/>
                <w:szCs w:val="22"/>
              </w:rPr>
              <w:t>MÍNIMA CUANTÍA</w:t>
            </w:r>
            <w:r w:rsidR="004C6C24" w:rsidRPr="00A466A7">
              <w:rPr>
                <w:rFonts w:ascii="Century Gothic" w:eastAsia="Calibri" w:hAnsi="Century Gothic" w:cs="Arial"/>
                <w:bCs/>
                <w:sz w:val="22"/>
                <w:szCs w:val="22"/>
              </w:rPr>
              <w:t xml:space="preserve"> – Garantía de seriedad de la oferta – Limitación del proceso a M</w:t>
            </w:r>
            <w:r w:rsidR="001B2C33" w:rsidRPr="00A466A7">
              <w:rPr>
                <w:rFonts w:ascii="Century Gothic" w:eastAsia="Calibri" w:hAnsi="Century Gothic" w:cs="Arial"/>
                <w:bCs/>
                <w:sz w:val="22"/>
                <w:szCs w:val="22"/>
              </w:rPr>
              <w:t>iPymes</w:t>
            </w:r>
            <w:r w:rsidR="00AA24D4" w:rsidRPr="00A466A7">
              <w:rPr>
                <w:rFonts w:ascii="Century Gothic" w:eastAsia="Calibri" w:hAnsi="Century Gothic" w:cs="Arial"/>
                <w:bCs/>
                <w:sz w:val="22"/>
                <w:szCs w:val="22"/>
              </w:rPr>
              <w:t>.</w:t>
            </w:r>
          </w:p>
          <w:p w14:paraId="3C7A1499" w14:textId="67DC0DAE" w:rsidR="00C26E25" w:rsidRPr="00A466A7" w:rsidRDefault="00C26E25" w:rsidP="00C26E25">
            <w:pPr>
              <w:pStyle w:val="paragraph"/>
              <w:jc w:val="both"/>
              <w:textAlignment w:val="baseline"/>
              <w:rPr>
                <w:rFonts w:ascii="Century Gothic" w:eastAsia="Calibri" w:hAnsi="Century Gothic"/>
                <w:bCs/>
                <w:color w:val="000000" w:themeColor="text1"/>
                <w:sz w:val="22"/>
                <w:szCs w:val="22"/>
                <w:highlight w:val="yellow"/>
              </w:rPr>
            </w:pPr>
          </w:p>
        </w:tc>
      </w:tr>
      <w:tr w:rsidR="00AA24D4" w:rsidRPr="00A466A7" w14:paraId="27E7846F" w14:textId="77777777" w:rsidTr="00CE0C03">
        <w:tc>
          <w:tcPr>
            <w:tcW w:w="2835" w:type="dxa"/>
          </w:tcPr>
          <w:p w14:paraId="4BB4C8E7" w14:textId="77777777" w:rsidR="00AA24D4" w:rsidRPr="00A466A7" w:rsidRDefault="00AA24D4" w:rsidP="00CE0C03">
            <w:pPr>
              <w:spacing w:line="276" w:lineRule="auto"/>
              <w:contextualSpacing/>
              <w:jc w:val="both"/>
              <w:rPr>
                <w:rFonts w:ascii="Century Gothic" w:eastAsia="Calibri" w:hAnsi="Century Gothic" w:cs="Arial"/>
                <w:color w:val="000000" w:themeColor="text1"/>
                <w:sz w:val="22"/>
                <w:szCs w:val="22"/>
              </w:rPr>
            </w:pPr>
            <w:r w:rsidRPr="00A466A7">
              <w:rPr>
                <w:rFonts w:ascii="Century Gothic" w:eastAsia="Calibri" w:hAnsi="Century Gothic" w:cs="Arial"/>
                <w:b/>
                <w:color w:val="000000" w:themeColor="text1"/>
                <w:sz w:val="22"/>
                <w:szCs w:val="22"/>
              </w:rPr>
              <w:t>Radicación:</w:t>
            </w:r>
            <w:r w:rsidRPr="00A466A7">
              <w:rPr>
                <w:rFonts w:ascii="Century Gothic" w:eastAsia="Calibri" w:hAnsi="Century Gothic" w:cs="Arial"/>
                <w:color w:val="000000" w:themeColor="text1"/>
                <w:sz w:val="22"/>
                <w:szCs w:val="22"/>
              </w:rPr>
              <w:t xml:space="preserve">                              </w:t>
            </w:r>
          </w:p>
        </w:tc>
        <w:tc>
          <w:tcPr>
            <w:tcW w:w="5949" w:type="dxa"/>
          </w:tcPr>
          <w:p w14:paraId="718C2154" w14:textId="4F057090" w:rsidR="00AA24D4" w:rsidRPr="00A466A7" w:rsidRDefault="00AA24D4" w:rsidP="00CE0C03">
            <w:pPr>
              <w:spacing w:line="276" w:lineRule="auto"/>
              <w:contextualSpacing/>
              <w:jc w:val="both"/>
              <w:rPr>
                <w:rFonts w:ascii="Century Gothic" w:eastAsia="Calibri" w:hAnsi="Century Gothic" w:cs="Arial"/>
                <w:color w:val="000000" w:themeColor="text1"/>
                <w:sz w:val="22"/>
                <w:szCs w:val="22"/>
              </w:rPr>
            </w:pPr>
            <w:r w:rsidRPr="00A466A7">
              <w:rPr>
                <w:rFonts w:ascii="Century Gothic" w:eastAsia="Calibri" w:hAnsi="Century Gothic" w:cs="Arial"/>
                <w:color w:val="000000" w:themeColor="text1"/>
                <w:sz w:val="22"/>
                <w:szCs w:val="22"/>
              </w:rPr>
              <w:t xml:space="preserve">Respuesta a la consulta No. </w:t>
            </w:r>
            <w:r w:rsidRPr="00A466A7">
              <w:rPr>
                <w:rFonts w:ascii="Century Gothic" w:eastAsia="Calibri" w:hAnsi="Century Gothic" w:cs="Arial"/>
                <w:bCs/>
                <w:color w:val="000000" w:themeColor="text1"/>
                <w:sz w:val="22"/>
                <w:szCs w:val="22"/>
              </w:rPr>
              <w:t>P202305290117</w:t>
            </w:r>
            <w:r w:rsidR="00FC0AA5" w:rsidRPr="00A466A7">
              <w:rPr>
                <w:rFonts w:ascii="Century Gothic" w:eastAsia="Calibri" w:hAnsi="Century Gothic" w:cs="Arial"/>
                <w:bCs/>
                <w:color w:val="000000" w:themeColor="text1"/>
                <w:sz w:val="22"/>
                <w:szCs w:val="22"/>
              </w:rPr>
              <w:t>52</w:t>
            </w:r>
          </w:p>
        </w:tc>
      </w:tr>
    </w:tbl>
    <w:p w14:paraId="77D065F8" w14:textId="77777777" w:rsidR="00AA24D4" w:rsidRPr="00A466A7" w:rsidRDefault="00AA24D4" w:rsidP="00AA24D4">
      <w:pPr>
        <w:spacing w:line="276" w:lineRule="auto"/>
        <w:contextualSpacing/>
        <w:jc w:val="both"/>
        <w:rPr>
          <w:rFonts w:ascii="Century Gothic" w:eastAsia="Calibri" w:hAnsi="Century Gothic" w:cs="Arial"/>
          <w:color w:val="000000" w:themeColor="text1"/>
          <w:sz w:val="22"/>
          <w:szCs w:val="22"/>
        </w:rPr>
      </w:pPr>
    </w:p>
    <w:p w14:paraId="10E4DE85" w14:textId="1068C286" w:rsidR="00AA24D4" w:rsidRPr="00A466A7" w:rsidRDefault="00AA24D4" w:rsidP="004C3EDB">
      <w:pPr>
        <w:spacing w:line="276" w:lineRule="auto"/>
        <w:jc w:val="both"/>
        <w:rPr>
          <w:rFonts w:ascii="Century Gothic" w:hAnsi="Century Gothic" w:cs="Arial"/>
          <w:sz w:val="22"/>
          <w:szCs w:val="22"/>
          <w:lang w:val="es-MX"/>
        </w:rPr>
      </w:pPr>
      <w:r w:rsidRPr="00A466A7">
        <w:rPr>
          <w:rFonts w:ascii="Century Gothic" w:eastAsia="Calibri" w:hAnsi="Century Gothic" w:cs="Arial"/>
          <w:color w:val="000000" w:themeColor="text1"/>
          <w:sz w:val="22"/>
          <w:szCs w:val="22"/>
        </w:rPr>
        <w:t xml:space="preserve">Respetado </w:t>
      </w:r>
      <w:r w:rsidRPr="00A466A7">
        <w:rPr>
          <w:rFonts w:ascii="Century Gothic" w:hAnsi="Century Gothic" w:cs="Arial"/>
          <w:sz w:val="22"/>
          <w:szCs w:val="22"/>
          <w:lang w:val="es-MX"/>
        </w:rPr>
        <w:t xml:space="preserve">Señor </w:t>
      </w:r>
      <w:r w:rsidR="00C26E25" w:rsidRPr="00A466A7">
        <w:rPr>
          <w:rFonts w:ascii="Century Gothic" w:hAnsi="Century Gothic" w:cs="Arial"/>
          <w:sz w:val="22"/>
          <w:szCs w:val="22"/>
          <w:lang w:val="es-MX"/>
        </w:rPr>
        <w:t>Saavedra</w:t>
      </w:r>
      <w:r w:rsidRPr="00A466A7">
        <w:rPr>
          <w:rFonts w:ascii="Century Gothic" w:hAnsi="Century Gothic" w:cs="Arial"/>
          <w:sz w:val="22"/>
          <w:szCs w:val="22"/>
          <w:lang w:val="es-MX"/>
        </w:rPr>
        <w:t>,</w:t>
      </w:r>
    </w:p>
    <w:p w14:paraId="37395EDF" w14:textId="77777777" w:rsidR="00AA24D4" w:rsidRPr="00A466A7" w:rsidRDefault="00AA24D4" w:rsidP="004C3EDB">
      <w:pPr>
        <w:spacing w:line="276" w:lineRule="auto"/>
        <w:jc w:val="both"/>
        <w:rPr>
          <w:rFonts w:ascii="Century Gothic" w:eastAsia="Calibri" w:hAnsi="Century Gothic" w:cs="Arial"/>
          <w:color w:val="000000" w:themeColor="text1"/>
          <w:sz w:val="22"/>
          <w:szCs w:val="22"/>
        </w:rPr>
      </w:pPr>
    </w:p>
    <w:p w14:paraId="2EF96096" w14:textId="195726BF" w:rsidR="00AA24D4" w:rsidRPr="00A466A7" w:rsidRDefault="00AA24D4" w:rsidP="004C3EDB">
      <w:pPr>
        <w:pStyle w:val="Prrafodelista"/>
        <w:spacing w:line="276" w:lineRule="auto"/>
        <w:ind w:left="0"/>
        <w:jc w:val="both"/>
        <w:rPr>
          <w:rFonts w:ascii="Century Gothic" w:eastAsia="Calibri" w:hAnsi="Century Gothic" w:cs="Arial"/>
          <w:sz w:val="22"/>
          <w:szCs w:val="22"/>
          <w:lang w:val="es-ES_tradnl"/>
        </w:rPr>
      </w:pPr>
      <w:r w:rsidRPr="00A466A7">
        <w:rPr>
          <w:rFonts w:ascii="Century Gothic" w:eastAsia="Calibri" w:hAnsi="Century Gothic" w:cs="Arial"/>
          <w:sz w:val="22"/>
          <w:szCs w:val="22"/>
          <w:lang w:val="es-ES_tradnl"/>
        </w:rPr>
        <w:t xml:space="preserve">En ejercicio de la competencia otorgada por </w:t>
      </w:r>
      <w:r w:rsidRPr="00A466A7">
        <w:rPr>
          <w:rFonts w:ascii="Century Gothic" w:eastAsia="Calibri" w:hAnsi="Century Gothic" w:cs="Arial"/>
          <w:color w:val="000000" w:themeColor="text1"/>
          <w:sz w:val="22"/>
          <w:szCs w:val="22"/>
          <w:lang w:val="es-ES_tradnl"/>
        </w:rPr>
        <w:t>el numeral 8 del artículo 11 y el numeral 5 del artículo 3 del Decreto Ley 4170 de 2011</w:t>
      </w:r>
      <w:r w:rsidRPr="00A466A7">
        <w:rPr>
          <w:rFonts w:ascii="Century Gothic" w:eastAsia="Calibri" w:hAnsi="Century Gothic" w:cs="Arial"/>
          <w:sz w:val="22"/>
          <w:szCs w:val="22"/>
          <w:lang w:val="es-ES_tradnl"/>
        </w:rPr>
        <w:t xml:space="preserve">, la Agencia Nacional de Contratación Pública − Colombia Compra Eficiente responde su consulta remitida </w:t>
      </w:r>
      <w:r w:rsidRPr="00A466A7">
        <w:rPr>
          <w:rFonts w:ascii="Century Gothic" w:eastAsia="Calibri" w:hAnsi="Century Gothic" w:cs="Arial"/>
          <w:sz w:val="22"/>
          <w:szCs w:val="22"/>
          <w:lang w:val="es-CO"/>
        </w:rPr>
        <w:t xml:space="preserve">el 29 </w:t>
      </w:r>
      <w:r w:rsidR="00E84588">
        <w:rPr>
          <w:rFonts w:ascii="Century Gothic" w:eastAsia="Calibri" w:hAnsi="Century Gothic" w:cs="Arial"/>
          <w:sz w:val="22"/>
          <w:szCs w:val="22"/>
          <w:lang w:val="es-CO"/>
        </w:rPr>
        <w:t xml:space="preserve">de </w:t>
      </w:r>
      <w:r w:rsidRPr="00A466A7">
        <w:rPr>
          <w:rFonts w:ascii="Century Gothic" w:eastAsia="Calibri" w:hAnsi="Century Gothic" w:cs="Arial"/>
          <w:sz w:val="22"/>
          <w:szCs w:val="22"/>
          <w:lang w:val="es-CO"/>
        </w:rPr>
        <w:t xml:space="preserve">mayo de 2023. </w:t>
      </w:r>
    </w:p>
    <w:p w14:paraId="2FFB3096" w14:textId="77777777" w:rsidR="00AA24D4" w:rsidRPr="00A466A7" w:rsidRDefault="00AA24D4" w:rsidP="004C3EDB">
      <w:pPr>
        <w:pStyle w:val="Prrafodelista"/>
        <w:spacing w:line="276" w:lineRule="auto"/>
        <w:ind w:left="0"/>
        <w:jc w:val="both"/>
        <w:rPr>
          <w:rFonts w:ascii="Century Gothic" w:eastAsia="Calibri" w:hAnsi="Century Gothic" w:cs="Arial"/>
          <w:color w:val="000000" w:themeColor="text1"/>
          <w:sz w:val="22"/>
          <w:szCs w:val="22"/>
          <w:lang w:val="es-ES_tradnl"/>
        </w:rPr>
      </w:pPr>
    </w:p>
    <w:p w14:paraId="5283B904" w14:textId="77777777" w:rsidR="00AA24D4" w:rsidRPr="00A466A7" w:rsidRDefault="00AA24D4" w:rsidP="004C3EDB">
      <w:pPr>
        <w:tabs>
          <w:tab w:val="left" w:pos="0"/>
        </w:tabs>
        <w:spacing w:line="276" w:lineRule="auto"/>
        <w:contextualSpacing/>
        <w:jc w:val="both"/>
        <w:rPr>
          <w:rFonts w:ascii="Century Gothic" w:eastAsia="Calibri" w:hAnsi="Century Gothic" w:cs="Arial"/>
          <w:b/>
          <w:color w:val="000000" w:themeColor="text1"/>
          <w:sz w:val="22"/>
          <w:szCs w:val="22"/>
        </w:rPr>
      </w:pPr>
      <w:r w:rsidRPr="00A466A7">
        <w:rPr>
          <w:rFonts w:ascii="Century Gothic" w:eastAsia="Calibri" w:hAnsi="Century Gothic" w:cs="Arial"/>
          <w:b/>
          <w:color w:val="000000" w:themeColor="text1"/>
          <w:sz w:val="22"/>
          <w:szCs w:val="22"/>
        </w:rPr>
        <w:t>1. Problema planteado</w:t>
      </w:r>
    </w:p>
    <w:p w14:paraId="225DB615" w14:textId="77777777" w:rsidR="00AA24D4" w:rsidRPr="00A466A7" w:rsidRDefault="00AA24D4" w:rsidP="004C3EDB">
      <w:pPr>
        <w:spacing w:line="276" w:lineRule="auto"/>
        <w:contextualSpacing/>
        <w:jc w:val="both"/>
        <w:rPr>
          <w:rFonts w:ascii="Century Gothic" w:eastAsia="Calibri" w:hAnsi="Century Gothic" w:cs="Arial"/>
          <w:color w:val="000000" w:themeColor="text1"/>
          <w:sz w:val="22"/>
          <w:szCs w:val="22"/>
        </w:rPr>
      </w:pPr>
    </w:p>
    <w:p w14:paraId="593D0AE1" w14:textId="114E0062" w:rsidR="00942FAC" w:rsidRPr="000F27FB" w:rsidRDefault="00AA24D4" w:rsidP="000F27FB">
      <w:pPr>
        <w:tabs>
          <w:tab w:val="left" w:pos="426"/>
        </w:tabs>
        <w:spacing w:after="120" w:line="276" w:lineRule="auto"/>
        <w:jc w:val="both"/>
        <w:rPr>
          <w:rFonts w:ascii="Century Gothic" w:eastAsia="Calibri" w:hAnsi="Century Gothic" w:cs="Arial"/>
          <w:color w:val="000000" w:themeColor="text1"/>
          <w:sz w:val="22"/>
          <w:szCs w:val="22"/>
          <w:lang w:eastAsia="es-MX"/>
        </w:rPr>
      </w:pPr>
      <w:r w:rsidRPr="00A466A7">
        <w:rPr>
          <w:rFonts w:ascii="Century Gothic" w:eastAsia="Calibri" w:hAnsi="Century Gothic" w:cs="Arial"/>
          <w:sz w:val="22"/>
          <w:szCs w:val="22"/>
        </w:rPr>
        <w:t xml:space="preserve">Usted </w:t>
      </w:r>
      <w:r w:rsidR="00A812DB" w:rsidRPr="00A466A7">
        <w:rPr>
          <w:rFonts w:ascii="Century Gothic" w:eastAsia="Calibri" w:hAnsi="Century Gothic" w:cs="Arial"/>
          <w:sz w:val="22"/>
          <w:szCs w:val="22"/>
        </w:rPr>
        <w:t xml:space="preserve">expone en su consulta, en </w:t>
      </w:r>
      <w:r w:rsidR="00BD6F65" w:rsidRPr="00A466A7">
        <w:rPr>
          <w:rFonts w:ascii="Century Gothic" w:eastAsia="Calibri" w:hAnsi="Century Gothic" w:cs="Arial"/>
          <w:sz w:val="22"/>
          <w:szCs w:val="22"/>
        </w:rPr>
        <w:t>los numerales 1</w:t>
      </w:r>
      <w:r w:rsidR="00A812DB" w:rsidRPr="00A466A7">
        <w:rPr>
          <w:rFonts w:ascii="Century Gothic" w:eastAsia="Calibri" w:hAnsi="Century Gothic" w:cs="Arial"/>
          <w:sz w:val="22"/>
          <w:szCs w:val="22"/>
        </w:rPr>
        <w:t xml:space="preserve"> </w:t>
      </w:r>
      <w:r w:rsidR="00BD6F65" w:rsidRPr="00A466A7">
        <w:rPr>
          <w:rFonts w:ascii="Century Gothic" w:eastAsia="Calibri" w:hAnsi="Century Gothic" w:cs="Arial"/>
          <w:sz w:val="22"/>
          <w:szCs w:val="22"/>
        </w:rPr>
        <w:t xml:space="preserve">al </w:t>
      </w:r>
      <w:r w:rsidR="00A812DB" w:rsidRPr="00A466A7">
        <w:rPr>
          <w:rFonts w:ascii="Century Gothic" w:eastAsia="Calibri" w:hAnsi="Century Gothic" w:cs="Arial"/>
          <w:sz w:val="22"/>
          <w:szCs w:val="22"/>
        </w:rPr>
        <w:t xml:space="preserve">3, </w:t>
      </w:r>
      <w:r w:rsidR="00295284" w:rsidRPr="00A466A7">
        <w:rPr>
          <w:rFonts w:ascii="Century Gothic" w:eastAsia="Calibri" w:hAnsi="Century Gothic" w:cs="Arial"/>
          <w:sz w:val="22"/>
          <w:szCs w:val="22"/>
        </w:rPr>
        <w:t>varias situaciones</w:t>
      </w:r>
      <w:r w:rsidR="00BD6F65" w:rsidRPr="00A466A7">
        <w:rPr>
          <w:rFonts w:ascii="Century Gothic" w:eastAsia="Calibri" w:hAnsi="Century Gothic" w:cs="Arial"/>
          <w:sz w:val="22"/>
          <w:szCs w:val="22"/>
        </w:rPr>
        <w:t xml:space="preserve"> frente a las cuales </w:t>
      </w:r>
      <w:r w:rsidR="00295284" w:rsidRPr="00A466A7">
        <w:rPr>
          <w:rFonts w:ascii="Century Gothic" w:eastAsia="Calibri" w:hAnsi="Century Gothic" w:cs="Arial"/>
          <w:sz w:val="22"/>
          <w:szCs w:val="22"/>
        </w:rPr>
        <w:t xml:space="preserve">solicita se aclare </w:t>
      </w:r>
      <w:r w:rsidR="00942FAC" w:rsidRPr="00A466A7">
        <w:rPr>
          <w:rFonts w:ascii="Century Gothic" w:eastAsia="Calibri" w:hAnsi="Century Gothic" w:cs="Arial"/>
          <w:sz w:val="22"/>
          <w:szCs w:val="22"/>
        </w:rPr>
        <w:t>la</w:t>
      </w:r>
      <w:r w:rsidR="00295284" w:rsidRPr="00A466A7">
        <w:rPr>
          <w:rFonts w:ascii="Century Gothic" w:eastAsia="Calibri" w:hAnsi="Century Gothic" w:cs="Arial"/>
          <w:sz w:val="22"/>
          <w:szCs w:val="22"/>
        </w:rPr>
        <w:t xml:space="preserve"> validez de solicitar</w:t>
      </w:r>
      <w:r w:rsidR="00942FAC" w:rsidRPr="00A466A7">
        <w:rPr>
          <w:rFonts w:ascii="Century Gothic" w:eastAsia="Calibri" w:hAnsi="Century Gothic" w:cs="Arial"/>
          <w:sz w:val="22"/>
          <w:szCs w:val="22"/>
        </w:rPr>
        <w:t xml:space="preserve"> ciertos requisitos</w:t>
      </w:r>
      <w:r w:rsidR="00992D50" w:rsidRPr="00A466A7">
        <w:rPr>
          <w:rFonts w:ascii="Century Gothic" w:eastAsia="Calibri" w:hAnsi="Century Gothic" w:cs="Arial"/>
          <w:sz w:val="22"/>
          <w:szCs w:val="22"/>
        </w:rPr>
        <w:t xml:space="preserve"> </w:t>
      </w:r>
      <w:r w:rsidR="00942FAC" w:rsidRPr="00A466A7">
        <w:rPr>
          <w:rFonts w:ascii="Century Gothic" w:eastAsia="Calibri" w:hAnsi="Century Gothic" w:cs="Arial"/>
          <w:sz w:val="22"/>
          <w:szCs w:val="22"/>
        </w:rPr>
        <w:t xml:space="preserve">en el marco de un proceso de selección contractual, </w:t>
      </w:r>
      <w:r w:rsidR="00992D50" w:rsidRPr="00A466A7">
        <w:rPr>
          <w:rFonts w:ascii="Century Gothic" w:eastAsia="Calibri" w:hAnsi="Century Gothic" w:cs="Arial"/>
          <w:sz w:val="22"/>
          <w:szCs w:val="22"/>
        </w:rPr>
        <w:t>por</w:t>
      </w:r>
      <w:r w:rsidR="006078FB" w:rsidRPr="00A466A7">
        <w:rPr>
          <w:rFonts w:ascii="Century Gothic" w:eastAsia="Calibri" w:hAnsi="Century Gothic" w:cs="Arial"/>
          <w:sz w:val="22"/>
          <w:szCs w:val="22"/>
        </w:rPr>
        <w:t xml:space="preserve"> parte de l</w:t>
      </w:r>
      <w:r w:rsidR="00BD6F65" w:rsidRPr="00A466A7">
        <w:rPr>
          <w:rFonts w:ascii="Century Gothic" w:eastAsia="Calibri" w:hAnsi="Century Gothic" w:cs="Arial"/>
          <w:sz w:val="22"/>
          <w:szCs w:val="22"/>
        </w:rPr>
        <w:t>as</w:t>
      </w:r>
      <w:r w:rsidR="006078FB" w:rsidRPr="00A466A7">
        <w:rPr>
          <w:rFonts w:ascii="Century Gothic" w:eastAsia="Calibri" w:hAnsi="Century Gothic" w:cs="Arial"/>
          <w:sz w:val="22"/>
          <w:szCs w:val="22"/>
        </w:rPr>
        <w:t xml:space="preserve"> </w:t>
      </w:r>
      <w:r w:rsidR="00172DB8" w:rsidRPr="00172DB8">
        <w:rPr>
          <w:rFonts w:ascii="Century Gothic" w:eastAsia="Calibri" w:hAnsi="Century Gothic" w:cs="Arial"/>
          <w:i/>
          <w:iCs/>
          <w:sz w:val="22"/>
          <w:szCs w:val="22"/>
        </w:rPr>
        <w:t>Entidad</w:t>
      </w:r>
      <w:r w:rsidR="00E84588">
        <w:rPr>
          <w:rFonts w:ascii="Century Gothic" w:eastAsia="Calibri" w:hAnsi="Century Gothic" w:cs="Arial"/>
          <w:i/>
          <w:iCs/>
          <w:sz w:val="22"/>
          <w:szCs w:val="22"/>
        </w:rPr>
        <w:t>es</w:t>
      </w:r>
      <w:r w:rsidR="00172DB8" w:rsidRPr="00172DB8">
        <w:rPr>
          <w:rFonts w:ascii="Century Gothic" w:eastAsia="Calibri" w:hAnsi="Century Gothic" w:cs="Arial"/>
          <w:i/>
          <w:iCs/>
          <w:sz w:val="22"/>
          <w:szCs w:val="22"/>
        </w:rPr>
        <w:t xml:space="preserve"> Estatal</w:t>
      </w:r>
      <w:r w:rsidR="00E84588">
        <w:rPr>
          <w:rFonts w:ascii="Century Gothic" w:eastAsia="Calibri" w:hAnsi="Century Gothic" w:cs="Arial"/>
          <w:i/>
          <w:iCs/>
          <w:sz w:val="22"/>
          <w:szCs w:val="22"/>
        </w:rPr>
        <w:t>es</w:t>
      </w:r>
      <w:r w:rsidR="006078FB" w:rsidRPr="00A466A7">
        <w:rPr>
          <w:rFonts w:ascii="Century Gothic" w:eastAsia="Calibri" w:hAnsi="Century Gothic" w:cs="Arial"/>
          <w:sz w:val="22"/>
          <w:szCs w:val="22"/>
        </w:rPr>
        <w:t xml:space="preserve"> </w:t>
      </w:r>
      <w:r w:rsidR="001A25D6" w:rsidRPr="00A466A7">
        <w:rPr>
          <w:rFonts w:ascii="Century Gothic" w:eastAsia="Calibri" w:hAnsi="Century Gothic" w:cs="Arial"/>
          <w:sz w:val="22"/>
          <w:szCs w:val="22"/>
        </w:rPr>
        <w:t>como requisitos habilitantes</w:t>
      </w:r>
      <w:r w:rsidR="00942FAC" w:rsidRPr="00A466A7">
        <w:rPr>
          <w:rFonts w:ascii="Century Gothic" w:eastAsia="Calibri" w:hAnsi="Century Gothic" w:cs="Arial"/>
          <w:sz w:val="22"/>
          <w:szCs w:val="22"/>
        </w:rPr>
        <w:t>.</w:t>
      </w:r>
      <w:r w:rsidR="000C6392" w:rsidRPr="00A466A7">
        <w:rPr>
          <w:rFonts w:ascii="Century Gothic" w:eastAsia="Calibri" w:hAnsi="Century Gothic" w:cs="Arial"/>
          <w:sz w:val="22"/>
          <w:szCs w:val="22"/>
        </w:rPr>
        <w:t xml:space="preserve"> De igual forma, en torno a la configuración de los requisitos </w:t>
      </w:r>
      <w:r w:rsidR="000C6392" w:rsidRPr="00A466A7">
        <w:rPr>
          <w:rFonts w:ascii="Century Gothic" w:eastAsia="Calibri" w:hAnsi="Century Gothic" w:cs="Arial"/>
          <w:sz w:val="22"/>
          <w:szCs w:val="22"/>
        </w:rPr>
        <w:lastRenderedPageBreak/>
        <w:t xml:space="preserve">habilitantes pregunta en el numeral 6 de su </w:t>
      </w:r>
      <w:r w:rsidR="00331225" w:rsidRPr="00A466A7">
        <w:rPr>
          <w:rFonts w:ascii="Century Gothic" w:eastAsia="Calibri" w:hAnsi="Century Gothic" w:cs="Arial"/>
          <w:sz w:val="22"/>
          <w:szCs w:val="22"/>
        </w:rPr>
        <w:t>consulta</w:t>
      </w:r>
      <w:r w:rsidR="000C6392" w:rsidRPr="00A466A7">
        <w:rPr>
          <w:rFonts w:ascii="Century Gothic" w:eastAsia="Calibri" w:hAnsi="Century Gothic" w:cs="Arial"/>
          <w:sz w:val="22"/>
          <w:szCs w:val="22"/>
        </w:rPr>
        <w:t xml:space="preserve">, si es potestativo de una </w:t>
      </w:r>
      <w:r w:rsidR="00172DB8" w:rsidRPr="00172DB8">
        <w:rPr>
          <w:rFonts w:ascii="Century Gothic" w:eastAsia="Calibri" w:hAnsi="Century Gothic" w:cs="Arial"/>
          <w:i/>
          <w:iCs/>
          <w:sz w:val="22"/>
          <w:szCs w:val="22"/>
        </w:rPr>
        <w:t>Entidad Estatal</w:t>
      </w:r>
      <w:r w:rsidR="00331225" w:rsidRPr="00A466A7">
        <w:rPr>
          <w:rFonts w:ascii="Century Gothic" w:eastAsia="Calibri" w:hAnsi="Century Gothic" w:cs="Arial"/>
          <w:sz w:val="22"/>
          <w:szCs w:val="22"/>
        </w:rPr>
        <w:t xml:space="preserve">, exigir o no capital de trabajo y unos indicadores mínimos respecto de la </w:t>
      </w:r>
      <w:r w:rsidR="00331225" w:rsidRPr="000F27FB">
        <w:rPr>
          <w:rFonts w:ascii="Century Gothic" w:eastAsia="Calibri" w:hAnsi="Century Gothic" w:cs="Arial"/>
          <w:color w:val="000000" w:themeColor="text1"/>
          <w:sz w:val="22"/>
          <w:szCs w:val="22"/>
          <w:lang w:eastAsia="es-MX"/>
        </w:rPr>
        <w:t>capacidad financiera y organizacional.</w:t>
      </w:r>
    </w:p>
    <w:p w14:paraId="001EFF20" w14:textId="763180FF" w:rsidR="00AA24D4" w:rsidRPr="00A466A7" w:rsidRDefault="006F34E8" w:rsidP="000F27FB">
      <w:pPr>
        <w:tabs>
          <w:tab w:val="left" w:pos="426"/>
        </w:tabs>
        <w:spacing w:after="120" w:line="276" w:lineRule="auto"/>
        <w:jc w:val="both"/>
        <w:rPr>
          <w:rFonts w:ascii="Century Gothic" w:eastAsia="Calibri" w:hAnsi="Century Gothic" w:cs="Arial"/>
          <w:sz w:val="22"/>
          <w:szCs w:val="22"/>
        </w:rPr>
      </w:pPr>
      <w:r>
        <w:rPr>
          <w:rFonts w:ascii="Century Gothic" w:hAnsi="Century Gothic" w:cs="Arial"/>
          <w:bCs/>
          <w:color w:val="000000" w:themeColor="text1"/>
          <w:sz w:val="22"/>
          <w:szCs w:val="22"/>
          <w:lang w:eastAsia="es-MX"/>
        </w:rPr>
        <w:tab/>
      </w:r>
      <w:r w:rsidR="001A25D6" w:rsidRPr="000F27FB">
        <w:rPr>
          <w:rFonts w:ascii="Century Gothic" w:eastAsia="Calibri" w:hAnsi="Century Gothic" w:cs="Arial"/>
          <w:color w:val="000000" w:themeColor="text1"/>
          <w:sz w:val="22"/>
          <w:szCs w:val="22"/>
          <w:lang w:eastAsia="es-MX"/>
        </w:rPr>
        <w:t>Asimismo</w:t>
      </w:r>
      <w:r w:rsidR="001A25D6" w:rsidRPr="00A466A7">
        <w:rPr>
          <w:rFonts w:ascii="Century Gothic" w:eastAsia="Calibri" w:hAnsi="Century Gothic" w:cs="Arial"/>
          <w:sz w:val="22"/>
          <w:szCs w:val="22"/>
        </w:rPr>
        <w:t xml:space="preserve">, en </w:t>
      </w:r>
      <w:r w:rsidR="00992D50" w:rsidRPr="00A466A7">
        <w:rPr>
          <w:rFonts w:ascii="Century Gothic" w:eastAsia="Calibri" w:hAnsi="Century Gothic" w:cs="Arial"/>
          <w:sz w:val="22"/>
          <w:szCs w:val="22"/>
        </w:rPr>
        <w:t>el numeral 4</w:t>
      </w:r>
      <w:r w:rsidR="00BC50EA" w:rsidRPr="00A466A7">
        <w:rPr>
          <w:rFonts w:ascii="Century Gothic" w:eastAsia="Calibri" w:hAnsi="Century Gothic" w:cs="Arial"/>
          <w:sz w:val="22"/>
          <w:szCs w:val="22"/>
        </w:rPr>
        <w:t xml:space="preserve"> </w:t>
      </w:r>
      <w:r w:rsidR="00331225" w:rsidRPr="00A466A7">
        <w:rPr>
          <w:rFonts w:ascii="Century Gothic" w:eastAsia="Calibri" w:hAnsi="Century Gothic" w:cs="Arial"/>
          <w:sz w:val="22"/>
          <w:szCs w:val="22"/>
        </w:rPr>
        <w:t xml:space="preserve">de su </w:t>
      </w:r>
      <w:r w:rsidR="00FD04E6" w:rsidRPr="00A466A7">
        <w:rPr>
          <w:rFonts w:ascii="Century Gothic" w:eastAsia="Calibri" w:hAnsi="Century Gothic" w:cs="Arial"/>
          <w:sz w:val="22"/>
          <w:szCs w:val="22"/>
        </w:rPr>
        <w:t>consulta solicita</w:t>
      </w:r>
      <w:r w:rsidR="00BC50EA" w:rsidRPr="00A466A7">
        <w:rPr>
          <w:rFonts w:ascii="Century Gothic" w:eastAsia="Calibri" w:hAnsi="Century Gothic" w:cs="Arial"/>
          <w:sz w:val="22"/>
          <w:szCs w:val="22"/>
        </w:rPr>
        <w:t xml:space="preserve"> se explique: </w:t>
      </w:r>
      <w:r w:rsidR="00BC50EA" w:rsidRPr="00A466A7">
        <w:rPr>
          <w:rFonts w:ascii="Century Gothic" w:eastAsia="Calibri" w:hAnsi="Century Gothic" w:cs="Arial"/>
          <w:i/>
          <w:iCs/>
          <w:sz w:val="22"/>
          <w:szCs w:val="22"/>
        </w:rPr>
        <w:t>“¿cómo se puede hacer extensiva esta regla de la validez de la experiencia de socios y accionistas incluso después de los tres años para el caso de los procesos que el RUP no es exigible?” (sic)</w:t>
      </w:r>
      <w:r w:rsidR="00A34414" w:rsidRPr="00A466A7">
        <w:rPr>
          <w:rFonts w:ascii="Century Gothic" w:eastAsia="Calibri" w:hAnsi="Century Gothic" w:cs="Arial"/>
          <w:i/>
          <w:iCs/>
          <w:sz w:val="22"/>
          <w:szCs w:val="22"/>
        </w:rPr>
        <w:t>.</w:t>
      </w:r>
    </w:p>
    <w:p w14:paraId="39357892" w14:textId="3C8A14E8" w:rsidR="00AA24D4" w:rsidRPr="00A466A7" w:rsidRDefault="00FD04E6" w:rsidP="004C3EDB">
      <w:pPr>
        <w:spacing w:line="276" w:lineRule="auto"/>
        <w:contextualSpacing/>
        <w:jc w:val="both"/>
        <w:rPr>
          <w:rFonts w:ascii="Century Gothic" w:hAnsi="Century Gothic" w:cs="Arial"/>
          <w:i/>
          <w:iCs/>
          <w:sz w:val="22"/>
          <w:szCs w:val="22"/>
        </w:rPr>
      </w:pPr>
      <w:r w:rsidRPr="00A466A7">
        <w:rPr>
          <w:rFonts w:ascii="Century Gothic" w:eastAsia="Calibri" w:hAnsi="Century Gothic" w:cs="Arial"/>
          <w:sz w:val="22"/>
          <w:szCs w:val="22"/>
        </w:rPr>
        <w:tab/>
        <w:t xml:space="preserve">Por último, pregunta en el numeral 5 de su consulta si </w:t>
      </w:r>
      <w:r w:rsidR="00687622" w:rsidRPr="00A466A7">
        <w:rPr>
          <w:rFonts w:ascii="Century Gothic" w:eastAsia="Calibri" w:hAnsi="Century Gothic" w:cs="Arial"/>
          <w:sz w:val="22"/>
          <w:szCs w:val="22"/>
        </w:rPr>
        <w:t>para los proceso</w:t>
      </w:r>
      <w:r w:rsidR="00753089">
        <w:rPr>
          <w:rFonts w:ascii="Century Gothic" w:eastAsia="Calibri" w:hAnsi="Century Gothic" w:cs="Arial"/>
          <w:sz w:val="22"/>
          <w:szCs w:val="22"/>
        </w:rPr>
        <w:t>s</w:t>
      </w:r>
      <w:r w:rsidR="00687622" w:rsidRPr="00A466A7">
        <w:rPr>
          <w:rFonts w:ascii="Century Gothic" w:eastAsia="Calibri" w:hAnsi="Century Gothic" w:cs="Arial"/>
          <w:sz w:val="22"/>
          <w:szCs w:val="22"/>
        </w:rPr>
        <w:t xml:space="preserve"> de selección adelantados bajo la modalidad de mínima cuantía, es potestativo de la </w:t>
      </w:r>
      <w:r w:rsidR="00172DB8" w:rsidRPr="00172DB8">
        <w:rPr>
          <w:rFonts w:ascii="Century Gothic" w:eastAsia="Calibri" w:hAnsi="Century Gothic" w:cs="Arial"/>
          <w:i/>
          <w:iCs/>
          <w:sz w:val="22"/>
          <w:szCs w:val="22"/>
        </w:rPr>
        <w:t>Entidad Estatal</w:t>
      </w:r>
      <w:r w:rsidR="00687622" w:rsidRPr="00A466A7">
        <w:rPr>
          <w:rFonts w:ascii="Century Gothic" w:eastAsia="Calibri" w:hAnsi="Century Gothic" w:cs="Arial"/>
          <w:sz w:val="22"/>
          <w:szCs w:val="22"/>
        </w:rPr>
        <w:t xml:space="preserve"> exigir garantía de seriedad de la oferta y limitar el proceso a </w:t>
      </w:r>
      <w:r w:rsidR="00687622" w:rsidRPr="00A466A7">
        <w:rPr>
          <w:rFonts w:ascii="Century Gothic" w:eastAsia="Calibri" w:hAnsi="Century Gothic" w:cs="Arial"/>
          <w:i/>
          <w:iCs/>
          <w:sz w:val="22"/>
          <w:szCs w:val="22"/>
        </w:rPr>
        <w:t>“</w:t>
      </w:r>
      <w:r w:rsidR="00A34414" w:rsidRPr="00A466A7">
        <w:rPr>
          <w:rFonts w:ascii="Century Gothic" w:eastAsia="Calibri" w:hAnsi="Century Gothic" w:cs="Arial"/>
          <w:i/>
          <w:iCs/>
          <w:sz w:val="22"/>
          <w:szCs w:val="22"/>
        </w:rPr>
        <w:t xml:space="preserve">PYMES y MIPYMES” </w:t>
      </w:r>
      <w:bookmarkStart w:id="1" w:name="_Hlk136419030"/>
      <w:r w:rsidR="00AA24D4" w:rsidRPr="00A466A7">
        <w:rPr>
          <w:rFonts w:ascii="Century Gothic" w:hAnsi="Century Gothic" w:cs="Arial"/>
          <w:i/>
          <w:iCs/>
          <w:sz w:val="22"/>
          <w:szCs w:val="22"/>
        </w:rPr>
        <w:t>(sic)</w:t>
      </w:r>
      <w:r w:rsidR="00A34414" w:rsidRPr="00A466A7">
        <w:rPr>
          <w:rFonts w:ascii="Century Gothic" w:hAnsi="Century Gothic" w:cs="Arial"/>
          <w:i/>
          <w:iCs/>
          <w:sz w:val="22"/>
          <w:szCs w:val="22"/>
        </w:rPr>
        <w:t>.</w:t>
      </w:r>
    </w:p>
    <w:p w14:paraId="535F537A" w14:textId="77777777" w:rsidR="00AA24D4" w:rsidRPr="00A466A7" w:rsidRDefault="00AA24D4" w:rsidP="004C3EDB">
      <w:pPr>
        <w:autoSpaceDE w:val="0"/>
        <w:autoSpaceDN w:val="0"/>
        <w:adjustRightInd w:val="0"/>
        <w:spacing w:line="276" w:lineRule="auto"/>
        <w:ind w:left="709" w:right="709"/>
        <w:jc w:val="both"/>
        <w:rPr>
          <w:rFonts w:ascii="Century Gothic" w:eastAsia="Calibri" w:hAnsi="Century Gothic" w:cs="Arial"/>
          <w:sz w:val="22"/>
          <w:szCs w:val="22"/>
        </w:rPr>
      </w:pPr>
    </w:p>
    <w:bookmarkEnd w:id="1"/>
    <w:p w14:paraId="0B125261" w14:textId="77777777" w:rsidR="00AA24D4" w:rsidRPr="00A466A7" w:rsidRDefault="00AA24D4" w:rsidP="004C3EDB">
      <w:pPr>
        <w:spacing w:line="276" w:lineRule="auto"/>
        <w:contextualSpacing/>
        <w:jc w:val="both"/>
        <w:rPr>
          <w:rFonts w:ascii="Century Gothic" w:eastAsia="Calibri" w:hAnsi="Century Gothic" w:cs="Arial"/>
          <w:color w:val="000000" w:themeColor="text1"/>
          <w:sz w:val="22"/>
          <w:szCs w:val="22"/>
        </w:rPr>
      </w:pPr>
      <w:r w:rsidRPr="00A466A7">
        <w:rPr>
          <w:rFonts w:ascii="Century Gothic" w:eastAsia="Calibri" w:hAnsi="Century Gothic" w:cs="Arial"/>
          <w:b/>
          <w:color w:val="000000" w:themeColor="text1"/>
          <w:sz w:val="22"/>
          <w:szCs w:val="22"/>
        </w:rPr>
        <w:t>2. Consideraciones</w:t>
      </w:r>
    </w:p>
    <w:p w14:paraId="58EF0BA8" w14:textId="77777777" w:rsidR="00AA24D4" w:rsidRPr="00A466A7" w:rsidRDefault="00AA24D4" w:rsidP="004C3EDB">
      <w:pPr>
        <w:tabs>
          <w:tab w:val="left" w:pos="426"/>
        </w:tabs>
        <w:spacing w:line="276" w:lineRule="auto"/>
        <w:contextualSpacing/>
        <w:jc w:val="both"/>
        <w:rPr>
          <w:rFonts w:ascii="Century Gothic" w:eastAsia="Calibri" w:hAnsi="Century Gothic" w:cs="Arial"/>
          <w:color w:val="000000" w:themeColor="text1"/>
          <w:sz w:val="22"/>
          <w:szCs w:val="22"/>
        </w:rPr>
      </w:pPr>
    </w:p>
    <w:p w14:paraId="659F239D" w14:textId="77777777" w:rsidR="00AA24D4" w:rsidRPr="00A466A7" w:rsidRDefault="00AA24D4" w:rsidP="004C3EDB">
      <w:pPr>
        <w:tabs>
          <w:tab w:val="left" w:pos="426"/>
        </w:tabs>
        <w:spacing w:after="120" w:line="276" w:lineRule="auto"/>
        <w:jc w:val="both"/>
        <w:rPr>
          <w:rFonts w:ascii="Century Gothic" w:hAnsi="Century Gothic" w:cs="Arial"/>
          <w:bCs/>
          <w:color w:val="000000" w:themeColor="text1"/>
          <w:sz w:val="22"/>
          <w:szCs w:val="22"/>
          <w:lang w:eastAsia="es-MX"/>
        </w:rPr>
      </w:pPr>
      <w:r w:rsidRPr="00A466A7">
        <w:rPr>
          <w:rFonts w:ascii="Century Gothic" w:hAnsi="Century Gothic" w:cs="Arial"/>
          <w:bCs/>
          <w:sz w:val="22"/>
          <w:szCs w:val="22"/>
        </w:rPr>
        <w:t xml:space="preserve">La Agencia Nacional de Contratación Pública – Colombia Compra Eficiente resuelve </w:t>
      </w:r>
      <w:r w:rsidRPr="00A466A7">
        <w:rPr>
          <w:rFonts w:ascii="Century Gothic" w:hAnsi="Century Gothic" w:cs="Arial"/>
          <w:bCs/>
          <w:color w:val="000000" w:themeColor="text1"/>
          <w:sz w:val="22"/>
          <w:szCs w:val="22"/>
          <w:lang w:eastAsia="es-MX"/>
        </w:rPr>
        <w:t>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los partícipes de la contratación estatal ni para interpretar el alcance de cualquier norma vigente en el ordenamiento jurídico.</w:t>
      </w:r>
    </w:p>
    <w:p w14:paraId="25263A58" w14:textId="77777777" w:rsidR="00AA24D4" w:rsidRPr="00A466A7" w:rsidRDefault="00AA24D4" w:rsidP="004C3EDB">
      <w:pPr>
        <w:spacing w:before="120" w:after="120" w:line="276" w:lineRule="auto"/>
        <w:ind w:firstLine="708"/>
        <w:jc w:val="both"/>
        <w:rPr>
          <w:rFonts w:ascii="Century Gothic" w:hAnsi="Century Gothic" w:cs="Arial"/>
          <w:sz w:val="22"/>
          <w:szCs w:val="22"/>
          <w:lang w:val="es-ES"/>
        </w:rPr>
      </w:pPr>
      <w:r w:rsidRPr="00A466A7">
        <w:rPr>
          <w:rFonts w:ascii="Century Gothic" w:hAnsi="Century Gothic" w:cs="Arial"/>
          <w:bCs/>
          <w:color w:val="000000" w:themeColor="text1"/>
          <w:sz w:val="22"/>
          <w:szCs w:val="22"/>
          <w:lang w:eastAsia="es-MX"/>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466A7">
        <w:rPr>
          <w:rStyle w:val="Refdenotaalpie"/>
          <w:rFonts w:ascii="Century Gothic" w:hAnsi="Century Gothic" w:cs="Arial"/>
          <w:sz w:val="22"/>
          <w:szCs w:val="22"/>
        </w:rPr>
        <w:footnoteReference w:id="2"/>
      </w:r>
      <w:r w:rsidRPr="00A466A7">
        <w:rPr>
          <w:rStyle w:val="Refdenotaalpie"/>
          <w:rFonts w:ascii="Century Gothic" w:hAnsi="Century Gothic" w:cs="Arial"/>
          <w:sz w:val="22"/>
          <w:szCs w:val="22"/>
        </w:rPr>
        <w:t>.</w:t>
      </w:r>
      <w:r w:rsidRPr="00A466A7">
        <w:rPr>
          <w:rFonts w:ascii="Century Gothic" w:hAnsi="Century Gothic" w:cs="Arial"/>
          <w:bCs/>
          <w:color w:val="000000" w:themeColor="text1"/>
          <w:sz w:val="22"/>
          <w:szCs w:val="22"/>
          <w:lang w:eastAsia="es-MX"/>
        </w:rPr>
        <w:t xml:space="preserve"> Esta competencia de interpretación de normas generales, por definición, no puede extenderse a la resolución de controversias, brindar </w:t>
      </w:r>
      <w:r w:rsidRPr="00A466A7">
        <w:rPr>
          <w:rFonts w:ascii="Century Gothic" w:hAnsi="Century Gothic" w:cs="Arial"/>
          <w:bCs/>
          <w:color w:val="000000" w:themeColor="text1"/>
          <w:sz w:val="22"/>
          <w:szCs w:val="22"/>
          <w:lang w:eastAsia="es-MX"/>
        </w:rPr>
        <w:lastRenderedPageBreak/>
        <w:t>asesorías sobre casos puntuales ni interpretar normas ajenas al sistema de compras públicas. Por lo anterior, previo concepto de sus órganos asesores, la solución de estos temas corresponde a la entidad de adoptar la decisión correspondiente y, en caso de conflicto, a las autoridades judiciales, fiscales y disciplinarias</w:t>
      </w:r>
      <w:r w:rsidRPr="00A466A7">
        <w:rPr>
          <w:rFonts w:ascii="Century Gothic" w:hAnsi="Century Gothic" w:cs="Arial"/>
          <w:sz w:val="22"/>
          <w:szCs w:val="22"/>
          <w:lang w:val="es-ES"/>
        </w:rPr>
        <w:t>.</w:t>
      </w:r>
    </w:p>
    <w:p w14:paraId="4699028F" w14:textId="34C4A453" w:rsidR="00AA24D4" w:rsidRPr="00A466A7" w:rsidRDefault="00AA24D4" w:rsidP="004C3EDB">
      <w:pPr>
        <w:spacing w:before="120" w:after="120" w:line="276" w:lineRule="auto"/>
        <w:ind w:firstLine="708"/>
        <w:jc w:val="both"/>
        <w:rPr>
          <w:rFonts w:ascii="Century Gothic" w:eastAsia="Calibri" w:hAnsi="Century Gothic" w:cs="Arial"/>
          <w:color w:val="000000" w:themeColor="text1"/>
          <w:sz w:val="22"/>
          <w:szCs w:val="22"/>
          <w:lang w:val="es-ES" w:eastAsia="es-MX"/>
        </w:rPr>
      </w:pPr>
      <w:r w:rsidRPr="00A466A7">
        <w:rPr>
          <w:rFonts w:ascii="Century Gothic" w:hAnsi="Century Gothic" w:cs="Arial"/>
          <w:bCs/>
          <w:color w:val="000000" w:themeColor="text1"/>
          <w:sz w:val="22"/>
          <w:szCs w:val="22"/>
          <w:lang w:eastAsia="es-MX"/>
        </w:rPr>
        <w:t>Sin perjuicio de lo anterior, la Subdirección de Gestión Contractual, dentro de los límites de sus atribuciones, resolverá la consulta de forma general conforme a las normas generales del sistema de compras y contratación pública. Con este objetivo se analizarán los siguientes temas:</w:t>
      </w:r>
      <w:r w:rsidR="009C4481" w:rsidRPr="00A466A7">
        <w:rPr>
          <w:rFonts w:ascii="Century Gothic" w:hAnsi="Century Gothic" w:cs="Arial"/>
          <w:bCs/>
          <w:color w:val="000000" w:themeColor="text1"/>
          <w:sz w:val="22"/>
          <w:szCs w:val="22"/>
          <w:lang w:eastAsia="es-MX"/>
        </w:rPr>
        <w:t xml:space="preserve"> i</w:t>
      </w:r>
      <w:r w:rsidR="00815422" w:rsidRPr="00A466A7">
        <w:rPr>
          <w:rFonts w:ascii="Century Gothic" w:hAnsi="Century Gothic" w:cs="Arial"/>
          <w:bCs/>
          <w:color w:val="000000" w:themeColor="text1"/>
          <w:sz w:val="22"/>
          <w:szCs w:val="22"/>
          <w:lang w:eastAsia="es-MX"/>
        </w:rPr>
        <w:t xml:space="preserve">) </w:t>
      </w:r>
      <w:r w:rsidR="009C4481" w:rsidRPr="00A466A7">
        <w:rPr>
          <w:rFonts w:ascii="Century Gothic" w:hAnsi="Century Gothic" w:cs="Arial"/>
          <w:bCs/>
          <w:color w:val="000000" w:themeColor="text1"/>
          <w:sz w:val="22"/>
          <w:szCs w:val="22"/>
          <w:lang w:eastAsia="es-MX"/>
        </w:rPr>
        <w:t xml:space="preserve">requisitos habilitantes: criterios obligatorios para participar en los procedimientos de selección contractual; </w:t>
      </w:r>
      <w:r w:rsidR="009C3A0F" w:rsidRPr="00A466A7">
        <w:rPr>
          <w:rFonts w:ascii="Century Gothic" w:hAnsi="Century Gothic" w:cs="Arial"/>
          <w:bCs/>
          <w:color w:val="000000" w:themeColor="text1"/>
          <w:sz w:val="22"/>
          <w:szCs w:val="22"/>
          <w:lang w:eastAsia="es-MX"/>
        </w:rPr>
        <w:t>ii) carácter enunciativo de los requisitos habilitantes previstos en el artículo 5, numeral 1, de la Ley 1150 de 2007 y autonomía de la voluntad de las entidades estatales para establecerlos;</w:t>
      </w:r>
      <w:r w:rsidR="00815422" w:rsidRPr="00A466A7">
        <w:rPr>
          <w:rFonts w:ascii="Century Gothic" w:hAnsi="Century Gothic" w:cs="Arial"/>
          <w:bCs/>
          <w:color w:val="000000" w:themeColor="text1"/>
          <w:sz w:val="22"/>
          <w:szCs w:val="22"/>
          <w:lang w:eastAsia="es-MX"/>
        </w:rPr>
        <w:t xml:space="preserve"> i</w:t>
      </w:r>
      <w:r w:rsidR="009C3A0F" w:rsidRPr="00A466A7">
        <w:rPr>
          <w:rFonts w:ascii="Century Gothic" w:hAnsi="Century Gothic" w:cs="Arial"/>
          <w:bCs/>
          <w:color w:val="000000" w:themeColor="text1"/>
          <w:sz w:val="22"/>
          <w:szCs w:val="22"/>
          <w:lang w:eastAsia="es-MX"/>
        </w:rPr>
        <w:t>i</w:t>
      </w:r>
      <w:r w:rsidR="00815422" w:rsidRPr="00A466A7">
        <w:rPr>
          <w:rFonts w:ascii="Century Gothic" w:hAnsi="Century Gothic" w:cs="Arial"/>
          <w:bCs/>
          <w:color w:val="000000" w:themeColor="text1"/>
          <w:sz w:val="22"/>
          <w:szCs w:val="22"/>
          <w:lang w:eastAsia="es-MX"/>
        </w:rPr>
        <w:t>i) el Registro Único de Proponente –RUP–y otros documentos que acreditan el cumplimiento de requisitos habilitantes</w:t>
      </w:r>
      <w:r w:rsidR="0082531B" w:rsidRPr="00A466A7">
        <w:rPr>
          <w:rFonts w:ascii="Century Gothic" w:hAnsi="Century Gothic" w:cs="Arial"/>
          <w:bCs/>
          <w:color w:val="000000" w:themeColor="text1"/>
          <w:sz w:val="22"/>
          <w:szCs w:val="22"/>
          <w:lang w:eastAsia="es-MX"/>
        </w:rPr>
        <w:t xml:space="preserve">; </w:t>
      </w:r>
      <w:proofErr w:type="spellStart"/>
      <w:r w:rsidR="0082531B" w:rsidRPr="00A466A7">
        <w:rPr>
          <w:rFonts w:ascii="Century Gothic" w:hAnsi="Century Gothic" w:cs="Arial"/>
          <w:bCs/>
          <w:color w:val="000000" w:themeColor="text1"/>
          <w:sz w:val="22"/>
          <w:szCs w:val="22"/>
          <w:lang w:eastAsia="es-MX"/>
        </w:rPr>
        <w:t>iv</w:t>
      </w:r>
      <w:proofErr w:type="spellEnd"/>
      <w:r w:rsidR="0082531B" w:rsidRPr="00A466A7">
        <w:rPr>
          <w:rFonts w:ascii="Century Gothic" w:hAnsi="Century Gothic" w:cs="Arial"/>
          <w:bCs/>
          <w:color w:val="000000" w:themeColor="text1"/>
          <w:sz w:val="22"/>
          <w:szCs w:val="22"/>
          <w:lang w:eastAsia="es-MX"/>
        </w:rPr>
        <w:t xml:space="preserve">) requisitos habilitantes de la capacidad financiera y organizacional; </w:t>
      </w:r>
      <w:r w:rsidR="00F4400D" w:rsidRPr="00A466A7">
        <w:rPr>
          <w:rFonts w:ascii="Century Gothic" w:hAnsi="Century Gothic" w:cs="Arial"/>
          <w:bCs/>
          <w:color w:val="000000" w:themeColor="text1"/>
          <w:sz w:val="22"/>
          <w:szCs w:val="22"/>
          <w:lang w:eastAsia="es-MX"/>
        </w:rPr>
        <w:t xml:space="preserve">v) </w:t>
      </w:r>
      <w:r w:rsidRPr="00A466A7">
        <w:rPr>
          <w:rFonts w:ascii="Century Gothic" w:eastAsia="Calibri" w:hAnsi="Century Gothic" w:cs="Arial"/>
          <w:color w:val="000000" w:themeColor="text1"/>
          <w:sz w:val="22"/>
          <w:szCs w:val="22"/>
          <w:lang w:val="es-ES" w:eastAsia="es-MX"/>
        </w:rPr>
        <w:t xml:space="preserve">aproximación general al concepto de experiencia en la contratación pública; </w:t>
      </w:r>
      <w:r w:rsidR="00F4400D" w:rsidRPr="00A466A7">
        <w:rPr>
          <w:rFonts w:ascii="Century Gothic" w:eastAsia="Calibri" w:hAnsi="Century Gothic" w:cs="Arial"/>
          <w:color w:val="000000" w:themeColor="text1"/>
          <w:sz w:val="22"/>
          <w:szCs w:val="22"/>
          <w:lang w:val="es-ES" w:eastAsia="es-MX"/>
        </w:rPr>
        <w:t>v</w:t>
      </w:r>
      <w:r w:rsidRPr="00A466A7">
        <w:rPr>
          <w:rFonts w:ascii="Century Gothic" w:eastAsia="Calibri" w:hAnsi="Century Gothic" w:cs="Arial"/>
          <w:color w:val="000000" w:themeColor="text1"/>
          <w:sz w:val="22"/>
          <w:szCs w:val="22"/>
          <w:lang w:val="es-ES" w:eastAsia="es-MX"/>
        </w:rPr>
        <w:t xml:space="preserve">i) acreditación de experiencia de socios por parte de sociedades con menos de tres años de constitución y la posibilidad </w:t>
      </w:r>
      <w:r w:rsidR="00DD0D02" w:rsidRPr="00A466A7">
        <w:rPr>
          <w:rFonts w:ascii="Century Gothic" w:eastAsia="Calibri" w:hAnsi="Century Gothic" w:cs="Arial"/>
          <w:bCs/>
          <w:sz w:val="22"/>
          <w:szCs w:val="22"/>
          <w:lang w:val="es-MX" w:eastAsia="es-ES_tradnl"/>
        </w:rPr>
        <w:t>de acreditar la experiencia de los socios en procesos donde el RUP no es exigible</w:t>
      </w:r>
      <w:r w:rsidRPr="00A466A7">
        <w:rPr>
          <w:rFonts w:ascii="Century Gothic" w:eastAsia="Calibri" w:hAnsi="Century Gothic" w:cs="Arial"/>
          <w:color w:val="000000" w:themeColor="text1"/>
          <w:sz w:val="22"/>
          <w:szCs w:val="22"/>
          <w:lang w:val="es-ES" w:eastAsia="es-MX"/>
        </w:rPr>
        <w:t xml:space="preserve">; </w:t>
      </w:r>
      <w:r w:rsidR="008009EC" w:rsidRPr="00A466A7">
        <w:rPr>
          <w:rFonts w:ascii="Century Gothic" w:eastAsia="Calibri" w:hAnsi="Century Gothic" w:cs="Arial"/>
          <w:color w:val="000000" w:themeColor="text1"/>
          <w:sz w:val="22"/>
          <w:szCs w:val="22"/>
          <w:lang w:val="es-ES" w:eastAsia="es-MX"/>
        </w:rPr>
        <w:t>v</w:t>
      </w:r>
      <w:r w:rsidRPr="00A466A7">
        <w:rPr>
          <w:rFonts w:ascii="Century Gothic" w:eastAsia="Calibri" w:hAnsi="Century Gothic" w:cs="Arial"/>
          <w:color w:val="000000" w:themeColor="text1"/>
          <w:sz w:val="22"/>
          <w:szCs w:val="22"/>
          <w:lang w:val="es-ES" w:eastAsia="es-MX"/>
        </w:rPr>
        <w:t xml:space="preserve">ii) </w:t>
      </w:r>
      <w:r w:rsidR="000C5077" w:rsidRPr="00A466A7">
        <w:rPr>
          <w:rFonts w:ascii="Century Gothic" w:eastAsia="Calibri" w:hAnsi="Century Gothic" w:cs="Arial"/>
          <w:color w:val="000000" w:themeColor="text1"/>
          <w:sz w:val="22"/>
          <w:szCs w:val="22"/>
          <w:lang w:val="es-ES" w:eastAsia="es-MX"/>
        </w:rPr>
        <w:t xml:space="preserve">limitación a MiPymes en los Procesos de Contratación adelantados </w:t>
      </w:r>
      <w:r w:rsidR="00ED6927" w:rsidRPr="00A466A7">
        <w:rPr>
          <w:rFonts w:ascii="Century Gothic" w:eastAsia="Calibri" w:hAnsi="Century Gothic" w:cs="Arial"/>
          <w:color w:val="000000" w:themeColor="text1"/>
          <w:sz w:val="22"/>
          <w:szCs w:val="22"/>
          <w:lang w:val="es-ES" w:eastAsia="es-MX"/>
        </w:rPr>
        <w:t>bajo la modalidad de mínima cuantía</w:t>
      </w:r>
      <w:r w:rsidR="002F4797" w:rsidRPr="00A466A7">
        <w:rPr>
          <w:rFonts w:ascii="Century Gothic" w:eastAsia="Calibri" w:hAnsi="Century Gothic" w:cs="Arial"/>
          <w:color w:val="000000" w:themeColor="text1"/>
          <w:sz w:val="22"/>
          <w:szCs w:val="22"/>
          <w:lang w:val="es-ES" w:eastAsia="es-MX"/>
        </w:rPr>
        <w:t xml:space="preserve"> </w:t>
      </w:r>
      <w:r w:rsidR="00001184" w:rsidRPr="00A466A7">
        <w:rPr>
          <w:rFonts w:ascii="Century Gothic" w:eastAsia="Calibri" w:hAnsi="Century Gothic" w:cs="Arial"/>
          <w:color w:val="000000" w:themeColor="text1"/>
          <w:sz w:val="22"/>
          <w:szCs w:val="22"/>
          <w:lang w:val="es-ES" w:eastAsia="es-MX"/>
        </w:rPr>
        <w:t>y</w:t>
      </w:r>
      <w:r w:rsidR="000C5077" w:rsidRPr="00A466A7">
        <w:rPr>
          <w:rFonts w:ascii="Century Gothic" w:eastAsia="Calibri" w:hAnsi="Century Gothic" w:cs="Arial"/>
          <w:color w:val="000000" w:themeColor="text1"/>
          <w:sz w:val="22"/>
          <w:szCs w:val="22"/>
          <w:lang w:val="es-ES" w:eastAsia="es-MX"/>
        </w:rPr>
        <w:t xml:space="preserve"> la no exigencia de garantía de seriedad de la oferta.</w:t>
      </w:r>
    </w:p>
    <w:p w14:paraId="4A5673B5" w14:textId="645E3C7E" w:rsidR="00DB646F" w:rsidRPr="00A466A7" w:rsidRDefault="00DB646F" w:rsidP="004C3EDB">
      <w:pPr>
        <w:spacing w:before="120" w:after="120" w:line="276" w:lineRule="auto"/>
        <w:ind w:firstLine="708"/>
        <w:jc w:val="both"/>
        <w:rPr>
          <w:rFonts w:ascii="Century Gothic" w:hAnsi="Century Gothic" w:cs="Arial"/>
          <w:color w:val="000000" w:themeColor="text1"/>
          <w:sz w:val="22"/>
          <w:lang w:val="es-ES_tradnl"/>
        </w:rPr>
      </w:pPr>
      <w:r w:rsidRPr="00A466A7">
        <w:rPr>
          <w:rFonts w:ascii="Century Gothic" w:hAnsi="Century Gothic" w:cs="Arial"/>
          <w:color w:val="000000" w:themeColor="text1"/>
          <w:sz w:val="22"/>
          <w:lang w:val="es-ES_tradnl"/>
        </w:rPr>
        <w:t>Al respecto, conviene indicar que la Agencia Nacional de Contratación Pública – Colombia Compra Eficiente, en los conceptos del 15 de noviembre, del 28 de noviembre, 16 de diciembre de 2019 –radicados No. 2201913000008520, 4201912000007329 y 2201913000009295–, así como en los conceptos C-120 del 3 de marzo de 2020, C-204 del 31 de marzo de 2020, C-099 del 6 de abril  de 2020, C-195 del 13 de abril de 2020, C-013 del 17 de abril de 2020, C-330 del 27 de mayo de 2020, C-396 de 16 de julio de 2020</w:t>
      </w:r>
      <w:r w:rsidR="00A356A6" w:rsidRPr="00A466A7">
        <w:rPr>
          <w:rFonts w:ascii="Century Gothic" w:hAnsi="Century Gothic" w:cs="Arial"/>
          <w:color w:val="000000" w:themeColor="text1"/>
          <w:sz w:val="22"/>
          <w:lang w:val="es-ES_tradnl"/>
        </w:rPr>
        <w:t>,</w:t>
      </w:r>
      <w:r w:rsidRPr="00A466A7">
        <w:rPr>
          <w:rFonts w:ascii="Century Gothic" w:hAnsi="Century Gothic" w:cs="Arial"/>
          <w:color w:val="000000" w:themeColor="text1"/>
          <w:sz w:val="22"/>
          <w:lang w:val="es-ES_tradnl"/>
        </w:rPr>
        <w:t xml:space="preserve"> C-387 de 3 de agosto de 2021</w:t>
      </w:r>
      <w:r w:rsidR="00A356A6" w:rsidRPr="00A466A7">
        <w:rPr>
          <w:rFonts w:ascii="Century Gothic" w:hAnsi="Century Gothic" w:cs="Arial"/>
          <w:color w:val="000000" w:themeColor="text1"/>
          <w:sz w:val="22"/>
          <w:lang w:val="es-ES_tradnl"/>
        </w:rPr>
        <w:t>,</w:t>
      </w:r>
      <w:r w:rsidR="00F32AF2" w:rsidRPr="00A466A7">
        <w:rPr>
          <w:rFonts w:ascii="Century Gothic" w:hAnsi="Century Gothic" w:cs="Arial"/>
          <w:color w:val="000000" w:themeColor="text1"/>
          <w:sz w:val="22"/>
          <w:lang w:val="es-ES_tradnl"/>
        </w:rPr>
        <w:t xml:space="preserve"> C-66</w:t>
      </w:r>
      <w:r w:rsidR="002D4E41" w:rsidRPr="00A466A7">
        <w:rPr>
          <w:rFonts w:ascii="Century Gothic" w:hAnsi="Century Gothic" w:cs="Arial"/>
          <w:color w:val="000000" w:themeColor="text1"/>
          <w:sz w:val="22"/>
          <w:lang w:val="es-ES_tradnl"/>
        </w:rPr>
        <w:t>9 de 3 de diciembre de 2021,</w:t>
      </w:r>
      <w:r w:rsidR="00A356A6" w:rsidRPr="00A466A7">
        <w:rPr>
          <w:rFonts w:ascii="Century Gothic" w:hAnsi="Century Gothic" w:cs="Arial"/>
          <w:color w:val="000000" w:themeColor="text1"/>
          <w:sz w:val="22"/>
          <w:lang w:val="es-ES_tradnl"/>
        </w:rPr>
        <w:t xml:space="preserve"> </w:t>
      </w:r>
      <w:r w:rsidR="002D4E41" w:rsidRPr="00A466A7">
        <w:rPr>
          <w:rFonts w:ascii="Century Gothic" w:hAnsi="Century Gothic" w:cs="Arial"/>
          <w:color w:val="000000" w:themeColor="text1"/>
          <w:sz w:val="22"/>
          <w:lang w:val="es-ES_tradnl"/>
        </w:rPr>
        <w:t xml:space="preserve">C-573 de 13 de septiembre de 2022, </w:t>
      </w:r>
      <w:r w:rsidR="00A356A6" w:rsidRPr="00A466A7">
        <w:rPr>
          <w:rFonts w:ascii="Century Gothic" w:hAnsi="Century Gothic" w:cs="Arial"/>
          <w:color w:val="000000" w:themeColor="text1"/>
          <w:sz w:val="22"/>
          <w:lang w:val="es-ES_tradnl"/>
        </w:rPr>
        <w:t xml:space="preserve">C- 831 de </w:t>
      </w:r>
      <w:r w:rsidR="00762A0A" w:rsidRPr="00A466A7">
        <w:rPr>
          <w:rFonts w:ascii="Century Gothic" w:hAnsi="Century Gothic" w:cs="Arial"/>
          <w:color w:val="000000" w:themeColor="text1"/>
          <w:sz w:val="22"/>
          <w:lang w:val="es-ES_tradnl"/>
        </w:rPr>
        <w:t xml:space="preserve">28 de noviembre de </w:t>
      </w:r>
      <w:r w:rsidR="00A356A6" w:rsidRPr="00A466A7">
        <w:rPr>
          <w:rFonts w:ascii="Century Gothic" w:hAnsi="Century Gothic" w:cs="Arial"/>
          <w:color w:val="000000" w:themeColor="text1"/>
          <w:sz w:val="22"/>
          <w:lang w:val="es-ES_tradnl"/>
        </w:rPr>
        <w:t>2022</w:t>
      </w:r>
      <w:r w:rsidR="00E2435D" w:rsidRPr="00A466A7">
        <w:rPr>
          <w:rFonts w:ascii="Century Gothic" w:hAnsi="Century Gothic" w:cs="Arial"/>
          <w:color w:val="000000" w:themeColor="text1"/>
          <w:sz w:val="22"/>
          <w:lang w:val="es-ES_tradnl"/>
        </w:rPr>
        <w:t xml:space="preserve"> y C-868 del 19 de diciembre de 2022, entre otros, </w:t>
      </w:r>
      <w:r w:rsidRPr="00A466A7">
        <w:rPr>
          <w:rFonts w:ascii="Century Gothic" w:hAnsi="Century Gothic" w:cs="Arial"/>
          <w:color w:val="000000" w:themeColor="text1"/>
          <w:sz w:val="22"/>
          <w:lang w:val="es-ES_tradnl"/>
        </w:rPr>
        <w:t>analizó la naturaleza de los requisitos habilitantes y su carácter enunciativo en el artículo 5, numeral 1, de la Ley 1150 de 200</w:t>
      </w:r>
      <w:r w:rsidR="00B902D5" w:rsidRPr="00A466A7">
        <w:rPr>
          <w:rFonts w:ascii="Century Gothic" w:hAnsi="Century Gothic" w:cs="Arial"/>
          <w:color w:val="000000" w:themeColor="text1"/>
          <w:sz w:val="22"/>
          <w:lang w:val="es-ES_tradnl"/>
        </w:rPr>
        <w:t>7.</w:t>
      </w:r>
    </w:p>
    <w:p w14:paraId="1BD688A3" w14:textId="2C0BB03F" w:rsidR="00BF4BA3" w:rsidRPr="00A466A7" w:rsidRDefault="00B902D5" w:rsidP="004C3EDB">
      <w:pPr>
        <w:spacing w:before="120" w:after="120" w:line="276" w:lineRule="auto"/>
        <w:ind w:firstLine="708"/>
        <w:jc w:val="both"/>
        <w:rPr>
          <w:rFonts w:ascii="Century Gothic" w:eastAsia="Calibri" w:hAnsi="Century Gothic" w:cs="Arial"/>
          <w:sz w:val="22"/>
          <w:szCs w:val="22"/>
          <w:lang w:val="es-ES"/>
        </w:rPr>
      </w:pPr>
      <w:r w:rsidRPr="00A466A7">
        <w:rPr>
          <w:rFonts w:ascii="Century Gothic" w:hAnsi="Century Gothic" w:cs="Arial"/>
          <w:color w:val="000000" w:themeColor="text1"/>
          <w:sz w:val="22"/>
          <w:lang w:val="es-ES_tradnl"/>
        </w:rPr>
        <w:t xml:space="preserve">Por su parte, </w:t>
      </w:r>
      <w:r w:rsidR="00BF4BA3" w:rsidRPr="00A466A7">
        <w:rPr>
          <w:rFonts w:ascii="Century Gothic" w:hAnsi="Century Gothic" w:cs="Arial"/>
          <w:color w:val="000000" w:themeColor="text1"/>
          <w:sz w:val="22"/>
          <w:lang w:val="es-ES_tradnl"/>
        </w:rPr>
        <w:t xml:space="preserve">sobre la acreditación </w:t>
      </w:r>
      <w:r w:rsidR="00E774B7" w:rsidRPr="00A466A7">
        <w:rPr>
          <w:rFonts w:ascii="Century Gothic" w:hAnsi="Century Gothic" w:cs="Arial"/>
          <w:color w:val="000000" w:themeColor="text1"/>
          <w:sz w:val="22"/>
          <w:lang w:val="es-ES_tradnl"/>
        </w:rPr>
        <w:t xml:space="preserve">de los requisitos habilitantes </w:t>
      </w:r>
      <w:r w:rsidR="00BF4BA3" w:rsidRPr="00A466A7">
        <w:rPr>
          <w:rFonts w:ascii="Century Gothic" w:hAnsi="Century Gothic" w:cs="Arial"/>
          <w:color w:val="000000" w:themeColor="text1"/>
          <w:sz w:val="22"/>
          <w:lang w:val="es-ES_tradnl"/>
        </w:rPr>
        <w:t>de los oferentes</w:t>
      </w:r>
      <w:r w:rsidR="00E774B7" w:rsidRPr="00A466A7">
        <w:rPr>
          <w:rFonts w:ascii="Century Gothic" w:hAnsi="Century Gothic" w:cs="Arial"/>
          <w:color w:val="000000" w:themeColor="text1"/>
          <w:sz w:val="22"/>
          <w:lang w:val="es-ES_tradnl"/>
        </w:rPr>
        <w:t xml:space="preserve"> en el Registro Único de Proponentes,</w:t>
      </w:r>
      <w:r w:rsidR="00BF4BA3" w:rsidRPr="00A466A7">
        <w:rPr>
          <w:rFonts w:ascii="Century Gothic" w:hAnsi="Century Gothic" w:cs="Arial"/>
          <w:color w:val="000000" w:themeColor="text1"/>
          <w:sz w:val="22"/>
          <w:lang w:val="es-ES_tradnl"/>
        </w:rPr>
        <w:t xml:space="preserve"> </w:t>
      </w:r>
      <w:r w:rsidR="0004499B" w:rsidRPr="00A466A7">
        <w:rPr>
          <w:rFonts w:ascii="Century Gothic" w:hAnsi="Century Gothic" w:cs="Arial"/>
          <w:color w:val="000000" w:themeColor="text1"/>
          <w:sz w:val="22"/>
          <w:lang w:val="es-ES_tradnl"/>
        </w:rPr>
        <w:t>se</w:t>
      </w:r>
      <w:r w:rsidR="00FC3EA2" w:rsidRPr="00A466A7">
        <w:rPr>
          <w:rFonts w:ascii="Century Gothic" w:hAnsi="Century Gothic" w:cs="Arial"/>
          <w:color w:val="000000" w:themeColor="text1"/>
          <w:sz w:val="22"/>
          <w:lang w:val="es-ES_tradnl"/>
        </w:rPr>
        <w:t xml:space="preserve"> emitió, entre otros, </w:t>
      </w:r>
      <w:r w:rsidR="00BF4BA3" w:rsidRPr="00A466A7">
        <w:rPr>
          <w:rFonts w:ascii="Century Gothic" w:hAnsi="Century Gothic" w:cs="Arial"/>
          <w:color w:val="000000" w:themeColor="text1"/>
          <w:sz w:val="22"/>
          <w:lang w:val="es-ES_tradnl"/>
        </w:rPr>
        <w:t>los</w:t>
      </w:r>
      <w:r w:rsidR="00FC3EA2" w:rsidRPr="00A466A7">
        <w:rPr>
          <w:rFonts w:ascii="Century Gothic" w:hAnsi="Century Gothic" w:cs="Arial"/>
          <w:color w:val="000000" w:themeColor="text1"/>
          <w:sz w:val="22"/>
          <w:lang w:val="es-ES_tradnl"/>
        </w:rPr>
        <w:t xml:space="preserve"> siguientes</w:t>
      </w:r>
      <w:r w:rsidR="00BF4BA3" w:rsidRPr="00A466A7">
        <w:rPr>
          <w:rFonts w:ascii="Century Gothic" w:hAnsi="Century Gothic" w:cs="Arial"/>
          <w:color w:val="000000" w:themeColor="text1"/>
          <w:sz w:val="22"/>
          <w:lang w:val="es-ES_tradnl"/>
        </w:rPr>
        <w:t xml:space="preserve"> conceptos No. 4201912000006798 del 24 de octubre de 2019, C-002 del 12 de febrero de 2020, C-089 del 4 de marzo de 2020, C-099 del 06 de abril de 2020, C-166 </w:t>
      </w:r>
      <w:r w:rsidR="00BF4BA3" w:rsidRPr="00A466A7">
        <w:rPr>
          <w:rFonts w:ascii="Century Gothic" w:hAnsi="Century Gothic" w:cs="Arial"/>
          <w:color w:val="000000" w:themeColor="text1"/>
          <w:sz w:val="22"/>
          <w:lang w:val="es-ES_tradnl"/>
        </w:rPr>
        <w:lastRenderedPageBreak/>
        <w:t>del 14 de abril de 2020, C-233 del 16 de abril de 2020, C-326 del 9 de junio de 2020, C-140 del 9 de abril de 2021</w:t>
      </w:r>
      <w:r w:rsidR="007753E7" w:rsidRPr="00A466A7">
        <w:rPr>
          <w:rFonts w:ascii="Century Gothic" w:hAnsi="Century Gothic" w:cs="Arial"/>
          <w:color w:val="000000" w:themeColor="text1"/>
          <w:sz w:val="22"/>
          <w:lang w:val="es-ES_tradnl"/>
        </w:rPr>
        <w:t xml:space="preserve">, C-831 de </w:t>
      </w:r>
      <w:r w:rsidR="00762A0A" w:rsidRPr="00A466A7">
        <w:rPr>
          <w:rFonts w:ascii="Century Gothic" w:hAnsi="Century Gothic" w:cs="Arial"/>
          <w:color w:val="000000" w:themeColor="text1"/>
          <w:sz w:val="22"/>
          <w:lang w:val="es-ES_tradnl"/>
        </w:rPr>
        <w:t xml:space="preserve">28 de noviembre de </w:t>
      </w:r>
      <w:r w:rsidR="007753E7" w:rsidRPr="00A466A7">
        <w:rPr>
          <w:rFonts w:ascii="Century Gothic" w:hAnsi="Century Gothic" w:cs="Arial"/>
          <w:color w:val="000000" w:themeColor="text1"/>
          <w:sz w:val="22"/>
          <w:lang w:val="es-ES_tradnl"/>
        </w:rPr>
        <w:t>2022</w:t>
      </w:r>
      <w:r w:rsidR="00FC3EA2" w:rsidRPr="00A466A7">
        <w:rPr>
          <w:rFonts w:ascii="Century Gothic" w:hAnsi="Century Gothic" w:cs="Arial"/>
          <w:color w:val="000000" w:themeColor="text1"/>
          <w:sz w:val="22"/>
          <w:lang w:val="es-ES_tradnl"/>
        </w:rPr>
        <w:t>.</w:t>
      </w:r>
    </w:p>
    <w:p w14:paraId="7B16C0FB" w14:textId="7B2DA11B" w:rsidR="008B7E3D" w:rsidRPr="00A466A7" w:rsidRDefault="00FC3EA2" w:rsidP="004C3EDB">
      <w:pPr>
        <w:spacing w:before="120" w:after="120" w:line="276" w:lineRule="auto"/>
        <w:ind w:firstLine="708"/>
        <w:jc w:val="both"/>
        <w:rPr>
          <w:rFonts w:ascii="Century Gothic" w:hAnsi="Century Gothic" w:cs="Arial"/>
          <w:bCs/>
          <w:color w:val="000000" w:themeColor="text1"/>
          <w:sz w:val="22"/>
          <w:szCs w:val="22"/>
          <w:lang w:eastAsia="es-MX"/>
        </w:rPr>
      </w:pPr>
      <w:r w:rsidRPr="00A466A7">
        <w:rPr>
          <w:rFonts w:ascii="Century Gothic" w:eastAsia="Calibri" w:hAnsi="Century Gothic" w:cs="Arial"/>
          <w:sz w:val="22"/>
          <w:szCs w:val="22"/>
          <w:lang w:val="es-ES"/>
        </w:rPr>
        <w:t>De igual forma, la Agencia</w:t>
      </w:r>
      <w:r w:rsidR="008B7E3D" w:rsidRPr="00A466A7">
        <w:rPr>
          <w:rFonts w:ascii="Century Gothic" w:eastAsia="Calibri" w:hAnsi="Century Gothic" w:cs="Arial"/>
          <w:sz w:val="22"/>
          <w:szCs w:val="22"/>
          <w:lang w:val="es-ES"/>
        </w:rPr>
        <w:t xml:space="preserve"> se pronunció </w:t>
      </w:r>
      <w:r w:rsidR="008B7E3D" w:rsidRPr="00A466A7">
        <w:rPr>
          <w:rStyle w:val="normaltextrun"/>
          <w:rFonts w:ascii="Century Gothic" w:hAnsi="Century Gothic" w:cs="Arial"/>
          <w:sz w:val="22"/>
          <w:szCs w:val="22"/>
          <w:shd w:val="clear" w:color="auto" w:fill="FFFFFF"/>
          <w:lang w:val="es-ES"/>
        </w:rPr>
        <w:t xml:space="preserve">sobre </w:t>
      </w:r>
      <w:r w:rsidR="008B7E3D" w:rsidRPr="00A466A7">
        <w:rPr>
          <w:rFonts w:ascii="Century Gothic" w:hAnsi="Century Gothic" w:cs="Arial"/>
          <w:sz w:val="22"/>
          <w:szCs w:val="22"/>
          <w:lang w:val="es-ES"/>
        </w:rPr>
        <w:t xml:space="preserve">la acreditación de los indicadores de la capacidad financiera y organizacional, </w:t>
      </w:r>
      <w:r w:rsidR="008B7E3D" w:rsidRPr="00A466A7">
        <w:rPr>
          <w:rFonts w:ascii="Century Gothic" w:eastAsia="Calibri" w:hAnsi="Century Gothic" w:cs="Arial"/>
          <w:sz w:val="22"/>
          <w:szCs w:val="22"/>
          <w:lang w:val="es-ES"/>
        </w:rPr>
        <w:t>en los conceptos No. 4201912000006798 del 24 de octubre de 2019, C-002 del 12 de febrero de 2020, C-089 del 4 de marzo de 2020, C-099 del 06 de abril de 2020, C-166 del 14 de abril de 2020, C-233 del 16 de abril de 2020, C-326 del 9 de junio de 2020, C-140 del 9 de abril de 2021</w:t>
      </w:r>
      <w:r w:rsidR="009D5166" w:rsidRPr="00A466A7">
        <w:rPr>
          <w:rFonts w:ascii="Century Gothic" w:eastAsia="Calibri" w:hAnsi="Century Gothic" w:cs="Arial"/>
          <w:sz w:val="22"/>
          <w:szCs w:val="22"/>
          <w:lang w:val="es-ES"/>
        </w:rPr>
        <w:t xml:space="preserve">, </w:t>
      </w:r>
      <w:r w:rsidR="008B7E3D" w:rsidRPr="00A466A7">
        <w:rPr>
          <w:rFonts w:ascii="Century Gothic" w:eastAsia="Calibri" w:hAnsi="Century Gothic" w:cs="Arial"/>
          <w:sz w:val="22"/>
          <w:szCs w:val="22"/>
          <w:lang w:val="es-ES"/>
        </w:rPr>
        <w:t xml:space="preserve">C-439 del </w:t>
      </w:r>
      <w:r w:rsidR="008B7E3D" w:rsidRPr="00A466A7">
        <w:rPr>
          <w:rFonts w:ascii="Century Gothic" w:eastAsia="Calibri" w:hAnsi="Century Gothic" w:cs="Arial"/>
          <w:color w:val="000000" w:themeColor="text1"/>
          <w:sz w:val="22"/>
          <w:szCs w:val="22"/>
          <w:lang w:val="es-ES_tradnl"/>
        </w:rPr>
        <w:t>5 de julio de 2022</w:t>
      </w:r>
      <w:r w:rsidR="009D5166" w:rsidRPr="00A466A7">
        <w:rPr>
          <w:rFonts w:ascii="Century Gothic" w:eastAsia="Calibri" w:hAnsi="Century Gothic" w:cs="Arial"/>
          <w:color w:val="000000" w:themeColor="text1"/>
          <w:sz w:val="22"/>
          <w:szCs w:val="22"/>
          <w:lang w:val="es-ES_tradnl"/>
        </w:rPr>
        <w:t xml:space="preserve">, C-673 de </w:t>
      </w:r>
      <w:r w:rsidR="00A96009" w:rsidRPr="00A466A7">
        <w:rPr>
          <w:rFonts w:ascii="Century Gothic" w:eastAsia="Calibri" w:hAnsi="Century Gothic" w:cs="Arial"/>
          <w:color w:val="000000" w:themeColor="text1"/>
          <w:sz w:val="22"/>
          <w:szCs w:val="22"/>
          <w:lang w:val="es-ES_tradnl"/>
        </w:rPr>
        <w:t xml:space="preserve">19 de octubre de </w:t>
      </w:r>
      <w:r w:rsidR="009D5166" w:rsidRPr="00A466A7">
        <w:rPr>
          <w:rFonts w:ascii="Century Gothic" w:eastAsia="Calibri" w:hAnsi="Century Gothic" w:cs="Arial"/>
          <w:color w:val="000000" w:themeColor="text1"/>
          <w:sz w:val="22"/>
          <w:szCs w:val="22"/>
          <w:lang w:val="es-ES_tradnl"/>
        </w:rPr>
        <w:t>202</w:t>
      </w:r>
      <w:r w:rsidRPr="00A466A7">
        <w:rPr>
          <w:rFonts w:ascii="Century Gothic" w:eastAsia="Calibri" w:hAnsi="Century Gothic" w:cs="Arial"/>
          <w:color w:val="000000" w:themeColor="text1"/>
          <w:sz w:val="22"/>
          <w:szCs w:val="22"/>
          <w:lang w:val="es-ES_tradnl"/>
        </w:rPr>
        <w:t xml:space="preserve">2, </w:t>
      </w:r>
      <w:r w:rsidRPr="00A466A7">
        <w:rPr>
          <w:rFonts w:ascii="Century Gothic" w:hAnsi="Century Gothic" w:cs="Arial"/>
          <w:sz w:val="22"/>
          <w:szCs w:val="22"/>
          <w:lang w:val="es-ES"/>
        </w:rPr>
        <w:t>entre otros.</w:t>
      </w:r>
    </w:p>
    <w:p w14:paraId="7703F173" w14:textId="2B615A6F" w:rsidR="00AA24D4" w:rsidRPr="00A466A7" w:rsidRDefault="00FC3EA2" w:rsidP="004C3EDB">
      <w:pPr>
        <w:spacing w:line="276" w:lineRule="auto"/>
        <w:ind w:firstLine="708"/>
        <w:jc w:val="both"/>
        <w:rPr>
          <w:rFonts w:ascii="Century Gothic" w:eastAsia="Calibri" w:hAnsi="Century Gothic" w:cs="Arial"/>
          <w:sz w:val="22"/>
          <w:szCs w:val="22"/>
        </w:rPr>
      </w:pPr>
      <w:r w:rsidRPr="00A466A7">
        <w:rPr>
          <w:rFonts w:ascii="Century Gothic" w:eastAsia="Calibri" w:hAnsi="Century Gothic" w:cs="Arial"/>
          <w:color w:val="000000" w:themeColor="text1"/>
          <w:sz w:val="22"/>
          <w:szCs w:val="22"/>
          <w:lang w:val="es-ES"/>
        </w:rPr>
        <w:t>Por su parte, s</w:t>
      </w:r>
      <w:r w:rsidR="00AA24D4" w:rsidRPr="00A466A7">
        <w:rPr>
          <w:rFonts w:ascii="Century Gothic" w:eastAsia="Calibri" w:hAnsi="Century Gothic" w:cs="Arial"/>
          <w:color w:val="000000" w:themeColor="text1"/>
          <w:sz w:val="22"/>
          <w:szCs w:val="22"/>
          <w:lang w:val="es-ES"/>
        </w:rPr>
        <w:t xml:space="preserve">obre la </w:t>
      </w:r>
      <w:r w:rsidR="00AA24D4" w:rsidRPr="00A466A7">
        <w:rPr>
          <w:rFonts w:ascii="Century Gothic" w:hAnsi="Century Gothic" w:cs="Arial"/>
          <w:color w:val="000000" w:themeColor="text1"/>
          <w:sz w:val="22"/>
          <w:szCs w:val="22"/>
          <w:lang w:val="es-ES_tradnl"/>
        </w:rPr>
        <w:t xml:space="preserve">acreditación de experiencia de socios por parte de sociedades con menos de tres años de constitución, </w:t>
      </w:r>
      <w:r w:rsidR="00AA24D4" w:rsidRPr="00A466A7">
        <w:rPr>
          <w:rFonts w:ascii="Century Gothic" w:eastAsia="Calibri" w:hAnsi="Century Gothic" w:cs="Arial"/>
          <w:sz w:val="22"/>
          <w:szCs w:val="22"/>
        </w:rPr>
        <w:t xml:space="preserve">se </w:t>
      </w:r>
      <w:r w:rsidR="0060504C" w:rsidRPr="00A466A7">
        <w:rPr>
          <w:rFonts w:ascii="Century Gothic" w:eastAsia="Calibri" w:hAnsi="Century Gothic" w:cs="Arial"/>
          <w:sz w:val="22"/>
          <w:szCs w:val="22"/>
        </w:rPr>
        <w:t>ha</w:t>
      </w:r>
      <w:r w:rsidR="00A142D5">
        <w:rPr>
          <w:rFonts w:ascii="Century Gothic" w:eastAsia="Calibri" w:hAnsi="Century Gothic" w:cs="Arial"/>
          <w:sz w:val="22"/>
          <w:szCs w:val="22"/>
        </w:rPr>
        <w:t>n</w:t>
      </w:r>
      <w:r w:rsidR="0060504C" w:rsidRPr="00A466A7">
        <w:rPr>
          <w:rFonts w:ascii="Century Gothic" w:eastAsia="Calibri" w:hAnsi="Century Gothic" w:cs="Arial"/>
          <w:sz w:val="22"/>
          <w:szCs w:val="22"/>
        </w:rPr>
        <w:t xml:space="preserve"> emitido los siguientes</w:t>
      </w:r>
      <w:r w:rsidR="00AA24D4" w:rsidRPr="00A466A7">
        <w:rPr>
          <w:rFonts w:ascii="Century Gothic" w:eastAsia="Calibri" w:hAnsi="Century Gothic" w:cs="Arial"/>
          <w:color w:val="000000" w:themeColor="text1"/>
          <w:sz w:val="22"/>
          <w:szCs w:val="22"/>
          <w:lang w:val="es-ES"/>
        </w:rPr>
        <w:t xml:space="preserve"> </w:t>
      </w:r>
      <w:r w:rsidR="0060504C" w:rsidRPr="00A466A7">
        <w:rPr>
          <w:rFonts w:ascii="Century Gothic" w:eastAsia="Calibri" w:hAnsi="Century Gothic" w:cs="Arial"/>
          <w:color w:val="000000" w:themeColor="text1"/>
          <w:sz w:val="22"/>
          <w:szCs w:val="22"/>
          <w:lang w:val="es-ES"/>
        </w:rPr>
        <w:t>c</w:t>
      </w:r>
      <w:r w:rsidR="00AA24D4" w:rsidRPr="00A466A7">
        <w:rPr>
          <w:rFonts w:ascii="Century Gothic" w:eastAsia="Calibri" w:hAnsi="Century Gothic" w:cs="Arial"/>
          <w:color w:val="000000" w:themeColor="text1"/>
          <w:sz w:val="22"/>
          <w:szCs w:val="22"/>
          <w:lang w:val="es-ES"/>
        </w:rPr>
        <w:t xml:space="preserve">onceptos 4201913000006797 del 19 de noviembre de 2019, </w:t>
      </w:r>
      <w:r w:rsidR="00AA24D4" w:rsidRPr="00A466A7">
        <w:rPr>
          <w:rFonts w:ascii="Century Gothic" w:eastAsia="Calibri" w:hAnsi="Century Gothic" w:cs="Arial"/>
          <w:color w:val="000000" w:themeColor="text1"/>
          <w:sz w:val="22"/>
          <w:szCs w:val="22"/>
          <w:lang w:val="es-MX"/>
        </w:rPr>
        <w:t>C-025 del 16 de marzo de 2020, C-051 del 2 de marzo de 2020, C-113 del 25 de marzo de 2020, C-165 del 1 de abril de 2020, C-233 del 16 de abril de 2020, C-350 del 1° de junio de 2020, C-407 de 12 de junio de 2020, C-398 de 30 de junio de 2020, C-470 del 14 de julio de 2020 C-584 de 31 de agosto 2020, C-619 de 21 de septiembre 2020, C-662 del 9 de noviembre de 2020, C-710 del 9 de diciembre de 2020, C-717 del 10 de diciembre de 2020, C-729 del del 11 de diciembre de 2020, C-008 del 15 de febrero de 2021, C-103 del 24 de marzo de 2021, C-230 del 25 de mayo de 2021, C-316 del 29 de junio de 2021, C-318 del 29 de junio de 2021, C-474 del 6 de septiembre de 2021, C-589 del 19 de octubre de 2021, C-608 del 29 de octubre de 2021, C-696 del 31 de diciembre de 2021, C-725 del 25 de enero de 2022, C-034 del 2 de marzo de 2022, C-144 del 1° de abril de 2022, C-239 del 26 de julio de 2022, C-324 del 19 de mayo de 2022, C-447 del 19 de julio de 2022, C-456 del 15 de julio de 2022, C-592 del 20 de septiembre de 2022, C-623 del 29 de septiembre de 2022, C-837 del 6 de diciembre de 2022, C-841 del 6 de diciembre de 2022, C-929 del 30 de diciembre de 2022</w:t>
      </w:r>
      <w:r w:rsidR="00AA24D4" w:rsidRPr="00A466A7">
        <w:rPr>
          <w:rFonts w:ascii="Century Gothic" w:eastAsia="Calibri" w:hAnsi="Century Gothic" w:cs="Arial"/>
          <w:color w:val="000000" w:themeColor="text1"/>
          <w:sz w:val="22"/>
          <w:szCs w:val="22"/>
          <w:lang w:val="es-ES"/>
        </w:rPr>
        <w:t>, C-128 del 18 de mayo de 2023 y C-146 de 13 de junio de 2023, entre otros</w:t>
      </w:r>
      <w:r w:rsidR="00AA24D4" w:rsidRPr="00A466A7">
        <w:rPr>
          <w:rFonts w:ascii="Century Gothic" w:eastAsia="Calibri" w:hAnsi="Century Gothic" w:cs="Arial"/>
          <w:sz w:val="22"/>
          <w:szCs w:val="22"/>
        </w:rPr>
        <w:t xml:space="preserve">. </w:t>
      </w:r>
    </w:p>
    <w:p w14:paraId="761CEA55" w14:textId="571AB961" w:rsidR="008B100C" w:rsidRPr="00A466A7" w:rsidRDefault="001D5B1A" w:rsidP="00C1189E">
      <w:pPr>
        <w:spacing w:before="120" w:after="240" w:line="276" w:lineRule="auto"/>
        <w:ind w:firstLine="708"/>
        <w:jc w:val="both"/>
        <w:rPr>
          <w:rFonts w:ascii="Century Gothic" w:hAnsi="Century Gothic" w:cs="Arial"/>
          <w:sz w:val="22"/>
          <w:szCs w:val="22"/>
        </w:rPr>
      </w:pPr>
      <w:r w:rsidRPr="00A466A7">
        <w:rPr>
          <w:rFonts w:ascii="Century Gothic" w:eastAsia="Calibri" w:hAnsi="Century Gothic" w:cs="Arial"/>
          <w:bCs/>
          <w:color w:val="000000" w:themeColor="text1"/>
          <w:sz w:val="22"/>
          <w:szCs w:val="22"/>
          <w:lang w:val="es-ES_tradnl"/>
        </w:rPr>
        <w:t xml:space="preserve">Aunado a ello, </w:t>
      </w:r>
      <w:r w:rsidR="00563354" w:rsidRPr="00A466A7">
        <w:rPr>
          <w:rFonts w:ascii="Century Gothic" w:eastAsia="Calibri" w:hAnsi="Century Gothic" w:cs="Arial"/>
          <w:bCs/>
          <w:color w:val="000000" w:themeColor="text1"/>
          <w:sz w:val="22"/>
          <w:szCs w:val="22"/>
          <w:lang w:val="es-ES_tradnl"/>
        </w:rPr>
        <w:t xml:space="preserve">en los conceptos </w:t>
      </w:r>
      <w:r w:rsidR="008B100C" w:rsidRPr="00A466A7">
        <w:rPr>
          <w:rFonts w:ascii="Century Gothic" w:eastAsia="Calibri" w:hAnsi="Century Gothic" w:cs="Arial"/>
          <w:bCs/>
          <w:color w:val="000000" w:themeColor="text1"/>
          <w:sz w:val="22"/>
          <w:szCs w:val="22"/>
          <w:lang w:val="es-ES_tradnl"/>
        </w:rPr>
        <w:t>C-005 del 16 de febrero de 2021, C-037 del 26 de febrero de 2021, C-035 del 02 de marzo de 2021, C-126 del 06 de abril de 2021, C-127 del 06 de abril de 2021, C-144 del 07 de abril de 2021, C-141 del 08 de abril de 2021, C-163 y C-164 del 19 de abril de 2021, C-242 del 25 de mayo de 2021, C-496 del 14 de septiembre de 2021, C-573 de 13 de octubre de 2021 y C-001 del 17 de febrero de 2022</w:t>
      </w:r>
      <w:r w:rsidR="001C7F64" w:rsidRPr="00A466A7">
        <w:rPr>
          <w:rFonts w:ascii="Century Gothic" w:eastAsia="Calibri" w:hAnsi="Century Gothic" w:cs="Arial"/>
          <w:bCs/>
          <w:color w:val="000000" w:themeColor="text1"/>
          <w:sz w:val="22"/>
          <w:szCs w:val="22"/>
          <w:lang w:val="es-ES_tradnl"/>
        </w:rPr>
        <w:t>, C-293 del 12 de mayo de 2022</w:t>
      </w:r>
      <w:r w:rsidR="005F71A5" w:rsidRPr="00A466A7">
        <w:rPr>
          <w:rFonts w:ascii="Century Gothic" w:eastAsia="Calibri" w:hAnsi="Century Gothic" w:cs="Arial"/>
          <w:bCs/>
          <w:color w:val="000000" w:themeColor="text1"/>
          <w:sz w:val="22"/>
          <w:szCs w:val="22"/>
          <w:lang w:val="es-ES_tradnl"/>
        </w:rPr>
        <w:t>, entre otros,</w:t>
      </w:r>
      <w:r w:rsidR="00563354" w:rsidRPr="00A466A7">
        <w:rPr>
          <w:rFonts w:ascii="Century Gothic" w:eastAsia="Calibri" w:hAnsi="Century Gothic" w:cs="Arial"/>
          <w:bCs/>
          <w:color w:val="000000" w:themeColor="text1"/>
          <w:sz w:val="22"/>
          <w:szCs w:val="22"/>
          <w:lang w:val="es-ES_tradnl"/>
        </w:rPr>
        <w:t xml:space="preserve"> </w:t>
      </w:r>
      <w:r w:rsidR="005F71A5" w:rsidRPr="00A466A7">
        <w:rPr>
          <w:rFonts w:ascii="Century Gothic" w:eastAsia="Calibri" w:hAnsi="Century Gothic" w:cs="Arial"/>
          <w:bCs/>
          <w:color w:val="000000" w:themeColor="text1"/>
          <w:sz w:val="22"/>
          <w:szCs w:val="22"/>
          <w:lang w:val="es-ES_tradnl"/>
        </w:rPr>
        <w:t>se</w:t>
      </w:r>
      <w:r w:rsidR="008B100C" w:rsidRPr="00A466A7">
        <w:rPr>
          <w:rFonts w:ascii="Century Gothic" w:eastAsia="Calibri" w:hAnsi="Century Gothic" w:cs="Arial"/>
          <w:bCs/>
          <w:color w:val="000000" w:themeColor="text1"/>
          <w:sz w:val="22"/>
          <w:szCs w:val="22"/>
          <w:lang w:val="es-ES_tradnl"/>
        </w:rPr>
        <w:t xml:space="preserve"> analizó el alcance del artículo 30 de la Ley 2069 de 2020</w:t>
      </w:r>
      <w:r w:rsidR="001C7F64" w:rsidRPr="00A466A7">
        <w:rPr>
          <w:rFonts w:ascii="Century Gothic" w:eastAsia="Calibri" w:hAnsi="Century Gothic" w:cs="Arial"/>
          <w:bCs/>
          <w:color w:val="000000" w:themeColor="text1"/>
          <w:sz w:val="22"/>
          <w:szCs w:val="22"/>
          <w:lang w:val="es-ES_tradnl"/>
        </w:rPr>
        <w:t xml:space="preserve">. </w:t>
      </w:r>
      <w:r w:rsidR="001C7F64" w:rsidRPr="00A466A7">
        <w:rPr>
          <w:rFonts w:ascii="Century Gothic" w:eastAsia="Calibri" w:hAnsi="Century Gothic" w:cs="Arial"/>
          <w:sz w:val="22"/>
          <w:szCs w:val="22"/>
          <w:lang w:val="es-ES_tradnl"/>
        </w:rPr>
        <w:t xml:space="preserve">Igualmente, en los conceptos C-043 del 09 de febrero de 2021, C-005 del 16 de febrero de 2021, C-081 del 23 de febrero de 2021, C-087 del 23 de febrero de 2021, C-025 del 25 de febrero de 2021, C-037 del </w:t>
      </w:r>
      <w:r w:rsidR="001C7F64" w:rsidRPr="00A466A7">
        <w:rPr>
          <w:rFonts w:ascii="Century Gothic" w:eastAsia="Calibri" w:hAnsi="Century Gothic" w:cs="Arial"/>
          <w:sz w:val="22"/>
          <w:szCs w:val="22"/>
          <w:lang w:val="es-ES_tradnl"/>
        </w:rPr>
        <w:lastRenderedPageBreak/>
        <w:t>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 esta Agencia se pronunció sobre la nueva regulación de la promoción del desarrollo en la contratación estatal contenida en el artículo 34 de la Ley 2069 de 2020</w:t>
      </w:r>
      <w:r w:rsidR="003C4518" w:rsidRPr="00A466A7">
        <w:rPr>
          <w:rFonts w:ascii="Century Gothic" w:eastAsia="Calibri" w:hAnsi="Century Gothic" w:cs="Arial"/>
          <w:sz w:val="22"/>
          <w:szCs w:val="22"/>
          <w:lang w:val="es-ES_tradnl"/>
        </w:rPr>
        <w:t xml:space="preserve"> y la posibilidad de limitar a MiPymes en los procesos de selección de mínima cuantía.</w:t>
      </w:r>
    </w:p>
    <w:p w14:paraId="6D28C86A" w14:textId="11C1998B" w:rsidR="00AA24D4" w:rsidRPr="00A466A7" w:rsidRDefault="003C4518" w:rsidP="00C1189E">
      <w:pPr>
        <w:spacing w:after="240" w:line="276" w:lineRule="auto"/>
        <w:ind w:firstLine="709"/>
        <w:jc w:val="both"/>
        <w:rPr>
          <w:rFonts w:ascii="Century Gothic" w:eastAsia="Calibri" w:hAnsi="Century Gothic" w:cs="Arial"/>
          <w:sz w:val="22"/>
          <w:szCs w:val="22"/>
          <w:lang w:val="es-ES"/>
        </w:rPr>
      </w:pPr>
      <w:r w:rsidRPr="00A466A7">
        <w:rPr>
          <w:rFonts w:ascii="Century Gothic" w:hAnsi="Century Gothic" w:cs="Arial"/>
          <w:sz w:val="22"/>
          <w:szCs w:val="22"/>
          <w:lang w:val="es-ES"/>
        </w:rPr>
        <w:t>Finalmente,</w:t>
      </w:r>
      <w:r w:rsidR="00C70C66" w:rsidRPr="00A466A7">
        <w:rPr>
          <w:rFonts w:ascii="Century Gothic" w:hAnsi="Century Gothic" w:cs="Arial"/>
          <w:sz w:val="22"/>
          <w:szCs w:val="22"/>
          <w:lang w:val="es-ES"/>
        </w:rPr>
        <w:t xml:space="preserve"> </w:t>
      </w:r>
      <w:r w:rsidRPr="00A466A7">
        <w:rPr>
          <w:rFonts w:ascii="Century Gothic" w:hAnsi="Century Gothic" w:cs="Arial"/>
          <w:sz w:val="22"/>
          <w:szCs w:val="22"/>
          <w:lang w:val="es-ES"/>
        </w:rPr>
        <w:t>sobre</w:t>
      </w:r>
      <w:r w:rsidR="00C70C66" w:rsidRPr="00A466A7">
        <w:rPr>
          <w:rFonts w:ascii="Century Gothic" w:hAnsi="Century Gothic" w:cs="Arial"/>
          <w:sz w:val="22"/>
          <w:szCs w:val="22"/>
          <w:lang w:val="es-ES"/>
        </w:rPr>
        <w:t xml:space="preserve"> la garantía de seriedad de la oferta, esta Agencia profirió los siguientes conceptos:</w:t>
      </w:r>
      <w:r w:rsidR="00C70C66" w:rsidRPr="00A466A7">
        <w:rPr>
          <w:rFonts w:ascii="Century Gothic" w:eastAsia="Calibri" w:hAnsi="Century Gothic" w:cs="Arial"/>
          <w:sz w:val="22"/>
          <w:szCs w:val="22"/>
          <w:lang w:val="es-ES"/>
        </w:rPr>
        <w:t xml:space="preserve"> 2</w:t>
      </w:r>
      <w:r w:rsidR="00C70C66" w:rsidRPr="00A466A7">
        <w:rPr>
          <w:rFonts w:ascii="Century Gothic" w:eastAsia="Calibri" w:hAnsi="Century Gothic" w:cs="Arial"/>
          <w:sz w:val="22"/>
          <w:szCs w:val="22"/>
          <w:lang w:val="es-MX"/>
        </w:rPr>
        <w:t>201913000008068 del</w:t>
      </w:r>
      <w:r w:rsidR="00C70C66" w:rsidRPr="00A466A7">
        <w:rPr>
          <w:rFonts w:ascii="Century Gothic" w:eastAsia="Calibri" w:hAnsi="Century Gothic" w:cs="Arial"/>
          <w:spacing w:val="-6"/>
          <w:sz w:val="22"/>
          <w:szCs w:val="22"/>
          <w:lang w:val="es-MX"/>
        </w:rPr>
        <w:t xml:space="preserve"> </w:t>
      </w:r>
      <w:r w:rsidR="00C70C66" w:rsidRPr="00A466A7">
        <w:rPr>
          <w:rFonts w:ascii="Century Gothic" w:eastAsia="Calibri" w:hAnsi="Century Gothic" w:cs="Arial"/>
          <w:sz w:val="22"/>
          <w:szCs w:val="22"/>
          <w:lang w:val="es-MX"/>
        </w:rPr>
        <w:t>28</w:t>
      </w:r>
      <w:r w:rsidR="00C70C66" w:rsidRPr="00A466A7">
        <w:rPr>
          <w:rFonts w:ascii="Century Gothic" w:eastAsia="Calibri" w:hAnsi="Century Gothic" w:cs="Arial"/>
          <w:spacing w:val="-5"/>
          <w:sz w:val="22"/>
          <w:szCs w:val="22"/>
          <w:lang w:val="es-MX"/>
        </w:rPr>
        <w:t xml:space="preserve"> </w:t>
      </w:r>
      <w:r w:rsidR="00C70C66" w:rsidRPr="00A466A7">
        <w:rPr>
          <w:rFonts w:ascii="Century Gothic" w:eastAsia="Calibri" w:hAnsi="Century Gothic" w:cs="Arial"/>
          <w:sz w:val="22"/>
          <w:szCs w:val="22"/>
          <w:lang w:val="es-MX"/>
        </w:rPr>
        <w:t>de</w:t>
      </w:r>
      <w:r w:rsidR="00C70C66" w:rsidRPr="00A466A7">
        <w:rPr>
          <w:rFonts w:ascii="Century Gothic" w:eastAsia="Calibri" w:hAnsi="Century Gothic" w:cs="Arial"/>
          <w:spacing w:val="-5"/>
          <w:sz w:val="22"/>
          <w:szCs w:val="22"/>
          <w:lang w:val="es-MX"/>
        </w:rPr>
        <w:t xml:space="preserve"> </w:t>
      </w:r>
      <w:r w:rsidR="00C70C66" w:rsidRPr="00A466A7">
        <w:rPr>
          <w:rFonts w:ascii="Century Gothic" w:eastAsia="Calibri" w:hAnsi="Century Gothic" w:cs="Arial"/>
          <w:sz w:val="22"/>
          <w:szCs w:val="22"/>
          <w:lang w:val="es-MX"/>
        </w:rPr>
        <w:t>octubre</w:t>
      </w:r>
      <w:r w:rsidR="00C70C66" w:rsidRPr="00A466A7">
        <w:rPr>
          <w:rFonts w:ascii="Century Gothic" w:eastAsia="Calibri" w:hAnsi="Century Gothic" w:cs="Arial"/>
          <w:spacing w:val="-5"/>
          <w:sz w:val="22"/>
          <w:szCs w:val="22"/>
          <w:lang w:val="es-MX"/>
        </w:rPr>
        <w:t xml:space="preserve"> </w:t>
      </w:r>
      <w:r w:rsidR="00C70C66" w:rsidRPr="00A466A7">
        <w:rPr>
          <w:rFonts w:ascii="Century Gothic" w:eastAsia="Calibri" w:hAnsi="Century Gothic" w:cs="Arial"/>
          <w:sz w:val="22"/>
          <w:szCs w:val="22"/>
          <w:lang w:val="es-MX"/>
        </w:rPr>
        <w:t>del 2019</w:t>
      </w:r>
      <w:r w:rsidR="00C70C66" w:rsidRPr="00A466A7">
        <w:rPr>
          <w:rFonts w:ascii="Century Gothic" w:eastAsia="Calibri" w:hAnsi="Century Gothic" w:cs="Arial"/>
          <w:spacing w:val="9"/>
          <w:sz w:val="22"/>
          <w:szCs w:val="22"/>
          <w:lang w:val="es-MX"/>
        </w:rPr>
        <w:t xml:space="preserve">, </w:t>
      </w:r>
      <w:r w:rsidR="00C70C66" w:rsidRPr="00A466A7">
        <w:rPr>
          <w:rFonts w:ascii="Century Gothic" w:eastAsia="Calibri" w:hAnsi="Century Gothic" w:cs="Arial"/>
          <w:sz w:val="22"/>
          <w:szCs w:val="22"/>
          <w:lang w:val="es-MX"/>
        </w:rPr>
        <w:t>2201913000008484</w:t>
      </w:r>
      <w:r w:rsidR="00C70C66" w:rsidRPr="00A466A7">
        <w:rPr>
          <w:rFonts w:ascii="Century Gothic" w:eastAsia="Calibri" w:hAnsi="Century Gothic" w:cs="Arial"/>
          <w:spacing w:val="9"/>
          <w:sz w:val="22"/>
          <w:szCs w:val="22"/>
          <w:lang w:val="es-MX"/>
        </w:rPr>
        <w:t xml:space="preserve"> </w:t>
      </w:r>
      <w:r w:rsidR="00C70C66" w:rsidRPr="00A466A7">
        <w:rPr>
          <w:rFonts w:ascii="Century Gothic" w:eastAsia="Calibri" w:hAnsi="Century Gothic" w:cs="Arial"/>
          <w:sz w:val="22"/>
          <w:szCs w:val="22"/>
          <w:lang w:val="es-MX"/>
        </w:rPr>
        <w:t>del</w:t>
      </w:r>
      <w:r w:rsidR="00C70C66" w:rsidRPr="00A466A7">
        <w:rPr>
          <w:rFonts w:ascii="Century Gothic" w:eastAsia="Calibri" w:hAnsi="Century Gothic" w:cs="Arial"/>
          <w:spacing w:val="9"/>
          <w:sz w:val="22"/>
          <w:szCs w:val="22"/>
          <w:lang w:val="es-MX"/>
        </w:rPr>
        <w:t xml:space="preserve"> </w:t>
      </w:r>
      <w:r w:rsidR="00C70C66" w:rsidRPr="00A466A7">
        <w:rPr>
          <w:rFonts w:ascii="Century Gothic" w:eastAsia="Calibri" w:hAnsi="Century Gothic" w:cs="Arial"/>
          <w:sz w:val="22"/>
          <w:szCs w:val="22"/>
          <w:lang w:val="es-MX"/>
        </w:rPr>
        <w:t>14</w:t>
      </w:r>
      <w:r w:rsidR="00C70C66" w:rsidRPr="00A466A7">
        <w:rPr>
          <w:rFonts w:ascii="Century Gothic" w:eastAsia="Calibri" w:hAnsi="Century Gothic" w:cs="Arial"/>
          <w:spacing w:val="9"/>
          <w:sz w:val="22"/>
          <w:szCs w:val="22"/>
          <w:lang w:val="es-MX"/>
        </w:rPr>
        <w:t xml:space="preserve"> </w:t>
      </w:r>
      <w:r w:rsidR="00C70C66" w:rsidRPr="00A466A7">
        <w:rPr>
          <w:rFonts w:ascii="Century Gothic" w:eastAsia="Calibri" w:hAnsi="Century Gothic" w:cs="Arial"/>
          <w:sz w:val="22"/>
          <w:szCs w:val="22"/>
          <w:lang w:val="es-MX"/>
        </w:rPr>
        <w:t>de</w:t>
      </w:r>
      <w:r w:rsidR="00C70C66" w:rsidRPr="00A466A7">
        <w:rPr>
          <w:rFonts w:ascii="Century Gothic" w:eastAsia="Calibri" w:hAnsi="Century Gothic" w:cs="Arial"/>
          <w:spacing w:val="9"/>
          <w:sz w:val="22"/>
          <w:szCs w:val="22"/>
          <w:lang w:val="es-MX"/>
        </w:rPr>
        <w:t xml:space="preserve"> </w:t>
      </w:r>
      <w:r w:rsidR="00C70C66" w:rsidRPr="00A466A7">
        <w:rPr>
          <w:rFonts w:ascii="Century Gothic" w:eastAsia="Calibri" w:hAnsi="Century Gothic" w:cs="Arial"/>
          <w:sz w:val="22"/>
          <w:szCs w:val="22"/>
          <w:lang w:val="es-MX"/>
        </w:rPr>
        <w:t>noviembre</w:t>
      </w:r>
      <w:r w:rsidR="00C70C66" w:rsidRPr="00A466A7">
        <w:rPr>
          <w:rFonts w:ascii="Century Gothic" w:eastAsia="Calibri" w:hAnsi="Century Gothic" w:cs="Arial"/>
          <w:spacing w:val="9"/>
          <w:sz w:val="22"/>
          <w:szCs w:val="22"/>
          <w:lang w:val="es-MX"/>
        </w:rPr>
        <w:t xml:space="preserve"> </w:t>
      </w:r>
      <w:r w:rsidR="00C70C66" w:rsidRPr="00A466A7">
        <w:rPr>
          <w:rFonts w:ascii="Century Gothic" w:eastAsia="Calibri" w:hAnsi="Century Gothic" w:cs="Arial"/>
          <w:sz w:val="22"/>
          <w:szCs w:val="22"/>
          <w:lang w:val="es-MX"/>
        </w:rPr>
        <w:t>del</w:t>
      </w:r>
      <w:r w:rsidR="00C70C66" w:rsidRPr="00A466A7">
        <w:rPr>
          <w:rFonts w:ascii="Century Gothic" w:eastAsia="Calibri" w:hAnsi="Century Gothic" w:cs="Arial"/>
          <w:spacing w:val="9"/>
          <w:sz w:val="22"/>
          <w:szCs w:val="22"/>
          <w:lang w:val="es-MX"/>
        </w:rPr>
        <w:t xml:space="preserve"> </w:t>
      </w:r>
      <w:r w:rsidR="00C70C66" w:rsidRPr="00A466A7">
        <w:rPr>
          <w:rFonts w:ascii="Century Gothic" w:eastAsia="Calibri" w:hAnsi="Century Gothic" w:cs="Arial"/>
          <w:sz w:val="22"/>
          <w:szCs w:val="22"/>
          <w:lang w:val="es-MX"/>
        </w:rPr>
        <w:t>2019,</w:t>
      </w:r>
      <w:r w:rsidR="00C70C66" w:rsidRPr="00A466A7">
        <w:rPr>
          <w:rFonts w:ascii="Century Gothic" w:eastAsia="Calibri" w:hAnsi="Century Gothic" w:cs="Arial"/>
          <w:spacing w:val="6"/>
          <w:sz w:val="22"/>
          <w:szCs w:val="22"/>
          <w:lang w:val="es-MX"/>
        </w:rPr>
        <w:t xml:space="preserve"> </w:t>
      </w:r>
      <w:r w:rsidR="00C70C66" w:rsidRPr="00A466A7">
        <w:rPr>
          <w:rFonts w:ascii="Century Gothic" w:eastAsia="Calibri" w:hAnsi="Century Gothic" w:cs="Arial"/>
          <w:sz w:val="22"/>
          <w:szCs w:val="22"/>
          <w:lang w:val="es-MX"/>
        </w:rPr>
        <w:t>C-218</w:t>
      </w:r>
      <w:r w:rsidR="00C70C66" w:rsidRPr="00A466A7">
        <w:rPr>
          <w:rFonts w:ascii="Century Gothic" w:eastAsia="Calibri" w:hAnsi="Century Gothic" w:cs="Arial"/>
          <w:spacing w:val="7"/>
          <w:sz w:val="22"/>
          <w:szCs w:val="22"/>
          <w:lang w:val="es-MX"/>
        </w:rPr>
        <w:t xml:space="preserve"> </w:t>
      </w:r>
      <w:r w:rsidR="00C70C66" w:rsidRPr="00A466A7">
        <w:rPr>
          <w:rFonts w:ascii="Century Gothic" w:eastAsia="Calibri" w:hAnsi="Century Gothic" w:cs="Arial"/>
          <w:sz w:val="22"/>
          <w:szCs w:val="22"/>
          <w:lang w:val="es-MX"/>
        </w:rPr>
        <w:t>del</w:t>
      </w:r>
      <w:r w:rsidR="00C70C66" w:rsidRPr="00A466A7">
        <w:rPr>
          <w:rFonts w:ascii="Century Gothic" w:eastAsia="Calibri" w:hAnsi="Century Gothic" w:cs="Arial"/>
          <w:spacing w:val="7"/>
          <w:sz w:val="22"/>
          <w:szCs w:val="22"/>
          <w:lang w:val="es-MX"/>
        </w:rPr>
        <w:t xml:space="preserve"> </w:t>
      </w:r>
      <w:r w:rsidR="00C70C66" w:rsidRPr="00A466A7">
        <w:rPr>
          <w:rFonts w:ascii="Century Gothic" w:eastAsia="Calibri" w:hAnsi="Century Gothic" w:cs="Arial"/>
          <w:sz w:val="22"/>
          <w:szCs w:val="22"/>
          <w:lang w:val="es-MX"/>
        </w:rPr>
        <w:t>2</w:t>
      </w:r>
      <w:r w:rsidR="00C70C66" w:rsidRPr="00A466A7">
        <w:rPr>
          <w:rFonts w:ascii="Century Gothic" w:eastAsia="Calibri" w:hAnsi="Century Gothic" w:cs="Arial"/>
          <w:spacing w:val="7"/>
          <w:sz w:val="22"/>
          <w:szCs w:val="22"/>
          <w:lang w:val="es-MX"/>
        </w:rPr>
        <w:t xml:space="preserve"> </w:t>
      </w:r>
      <w:r w:rsidR="00C70C66" w:rsidRPr="00A466A7">
        <w:rPr>
          <w:rFonts w:ascii="Century Gothic" w:eastAsia="Calibri" w:hAnsi="Century Gothic" w:cs="Arial"/>
          <w:sz w:val="22"/>
          <w:szCs w:val="22"/>
          <w:lang w:val="es-MX"/>
        </w:rPr>
        <w:t>de</w:t>
      </w:r>
      <w:r w:rsidR="00C70C66" w:rsidRPr="00A466A7">
        <w:rPr>
          <w:rFonts w:ascii="Century Gothic" w:eastAsia="Calibri" w:hAnsi="Century Gothic" w:cs="Arial"/>
          <w:spacing w:val="7"/>
          <w:sz w:val="22"/>
          <w:szCs w:val="22"/>
          <w:lang w:val="es-MX"/>
        </w:rPr>
        <w:t xml:space="preserve"> </w:t>
      </w:r>
      <w:r w:rsidR="00C70C66" w:rsidRPr="00A466A7">
        <w:rPr>
          <w:rFonts w:ascii="Century Gothic" w:eastAsia="Calibri" w:hAnsi="Century Gothic" w:cs="Arial"/>
          <w:sz w:val="22"/>
          <w:szCs w:val="22"/>
          <w:lang w:val="es-MX"/>
        </w:rPr>
        <w:t>abril</w:t>
      </w:r>
      <w:r w:rsidR="00C70C66" w:rsidRPr="00A466A7">
        <w:rPr>
          <w:rFonts w:ascii="Century Gothic" w:eastAsia="Calibri" w:hAnsi="Century Gothic" w:cs="Arial"/>
          <w:spacing w:val="7"/>
          <w:sz w:val="22"/>
          <w:szCs w:val="22"/>
          <w:lang w:val="es-MX"/>
        </w:rPr>
        <w:t xml:space="preserve"> </w:t>
      </w:r>
      <w:r w:rsidR="00C70C66" w:rsidRPr="00A466A7">
        <w:rPr>
          <w:rFonts w:ascii="Century Gothic" w:eastAsia="Calibri" w:hAnsi="Century Gothic" w:cs="Arial"/>
          <w:sz w:val="22"/>
          <w:szCs w:val="22"/>
          <w:lang w:val="es-MX"/>
        </w:rPr>
        <w:t>de</w:t>
      </w:r>
      <w:r w:rsidR="00C70C66" w:rsidRPr="00A466A7">
        <w:rPr>
          <w:rFonts w:ascii="Century Gothic" w:eastAsia="Calibri" w:hAnsi="Century Gothic" w:cs="Arial"/>
          <w:spacing w:val="7"/>
          <w:sz w:val="22"/>
          <w:szCs w:val="22"/>
          <w:lang w:val="es-MX"/>
        </w:rPr>
        <w:t xml:space="preserve"> </w:t>
      </w:r>
      <w:r w:rsidR="00C70C66" w:rsidRPr="00A466A7">
        <w:rPr>
          <w:rFonts w:ascii="Century Gothic" w:eastAsia="Calibri" w:hAnsi="Century Gothic" w:cs="Arial"/>
          <w:sz w:val="22"/>
          <w:szCs w:val="22"/>
          <w:lang w:val="es-MX"/>
        </w:rPr>
        <w:t>2020,</w:t>
      </w:r>
      <w:r w:rsidR="00C70C66" w:rsidRPr="00A466A7">
        <w:rPr>
          <w:rFonts w:ascii="Century Gothic" w:eastAsia="Calibri" w:hAnsi="Century Gothic" w:cs="Arial"/>
          <w:spacing w:val="6"/>
          <w:sz w:val="22"/>
          <w:szCs w:val="22"/>
          <w:lang w:val="es-MX"/>
        </w:rPr>
        <w:t xml:space="preserve"> </w:t>
      </w:r>
      <w:r w:rsidR="00C70C66" w:rsidRPr="00A466A7">
        <w:rPr>
          <w:rFonts w:ascii="Century Gothic" w:eastAsia="Calibri" w:hAnsi="Century Gothic" w:cs="Arial"/>
          <w:sz w:val="22"/>
          <w:szCs w:val="22"/>
          <w:lang w:val="es-MX"/>
        </w:rPr>
        <w:t>C-307</w:t>
      </w:r>
      <w:r w:rsidR="00C70C66" w:rsidRPr="00A466A7">
        <w:rPr>
          <w:rFonts w:ascii="Century Gothic" w:eastAsia="Calibri" w:hAnsi="Century Gothic" w:cs="Arial"/>
          <w:spacing w:val="7"/>
          <w:sz w:val="22"/>
          <w:szCs w:val="22"/>
          <w:lang w:val="es-MX"/>
        </w:rPr>
        <w:t xml:space="preserve"> </w:t>
      </w:r>
      <w:r w:rsidR="00C70C66" w:rsidRPr="00A466A7">
        <w:rPr>
          <w:rFonts w:ascii="Century Gothic" w:eastAsia="Calibri" w:hAnsi="Century Gothic" w:cs="Arial"/>
          <w:sz w:val="22"/>
          <w:szCs w:val="22"/>
          <w:lang w:val="es-MX"/>
        </w:rPr>
        <w:t>del</w:t>
      </w:r>
      <w:r w:rsidR="00C70C66" w:rsidRPr="00A466A7">
        <w:rPr>
          <w:rFonts w:ascii="Century Gothic" w:eastAsia="Calibri" w:hAnsi="Century Gothic" w:cs="Arial"/>
          <w:spacing w:val="7"/>
          <w:sz w:val="22"/>
          <w:szCs w:val="22"/>
          <w:lang w:val="es-MX"/>
        </w:rPr>
        <w:t xml:space="preserve"> </w:t>
      </w:r>
      <w:r w:rsidR="00C70C66" w:rsidRPr="00A466A7">
        <w:rPr>
          <w:rFonts w:ascii="Century Gothic" w:eastAsia="Calibri" w:hAnsi="Century Gothic" w:cs="Arial"/>
          <w:sz w:val="22"/>
          <w:szCs w:val="22"/>
          <w:lang w:val="es-MX"/>
        </w:rPr>
        <w:t>21</w:t>
      </w:r>
      <w:r w:rsidR="00C70C66" w:rsidRPr="00A466A7">
        <w:rPr>
          <w:rFonts w:ascii="Century Gothic" w:eastAsia="Calibri" w:hAnsi="Century Gothic" w:cs="Arial"/>
          <w:spacing w:val="7"/>
          <w:sz w:val="22"/>
          <w:szCs w:val="22"/>
          <w:lang w:val="es-MX"/>
        </w:rPr>
        <w:t xml:space="preserve"> </w:t>
      </w:r>
      <w:r w:rsidR="00C70C66" w:rsidRPr="00A466A7">
        <w:rPr>
          <w:rFonts w:ascii="Century Gothic" w:eastAsia="Calibri" w:hAnsi="Century Gothic" w:cs="Arial"/>
          <w:sz w:val="22"/>
          <w:szCs w:val="22"/>
          <w:lang w:val="es-MX"/>
        </w:rPr>
        <w:t>de</w:t>
      </w:r>
      <w:r w:rsidR="00C70C66" w:rsidRPr="00A466A7">
        <w:rPr>
          <w:rFonts w:ascii="Century Gothic" w:eastAsia="Calibri" w:hAnsi="Century Gothic" w:cs="Arial"/>
          <w:spacing w:val="7"/>
          <w:sz w:val="22"/>
          <w:szCs w:val="22"/>
          <w:lang w:val="es-MX"/>
        </w:rPr>
        <w:t xml:space="preserve"> </w:t>
      </w:r>
      <w:r w:rsidR="00C70C66" w:rsidRPr="00A466A7">
        <w:rPr>
          <w:rFonts w:ascii="Century Gothic" w:eastAsia="Calibri" w:hAnsi="Century Gothic" w:cs="Arial"/>
          <w:sz w:val="22"/>
          <w:szCs w:val="22"/>
          <w:lang w:val="es-MX"/>
        </w:rPr>
        <w:t>mayo</w:t>
      </w:r>
      <w:r w:rsidR="00C70C66" w:rsidRPr="00A466A7">
        <w:rPr>
          <w:rFonts w:ascii="Century Gothic" w:eastAsia="Calibri" w:hAnsi="Century Gothic" w:cs="Arial"/>
          <w:spacing w:val="7"/>
          <w:sz w:val="22"/>
          <w:szCs w:val="22"/>
          <w:lang w:val="es-MX"/>
        </w:rPr>
        <w:t xml:space="preserve"> </w:t>
      </w:r>
      <w:r w:rsidR="00C70C66" w:rsidRPr="00A466A7">
        <w:rPr>
          <w:rFonts w:ascii="Century Gothic" w:eastAsia="Calibri" w:hAnsi="Century Gothic" w:cs="Arial"/>
          <w:sz w:val="22"/>
          <w:szCs w:val="22"/>
          <w:lang w:val="es-MX"/>
        </w:rPr>
        <w:t>de</w:t>
      </w:r>
      <w:r w:rsidR="00C70C66" w:rsidRPr="00A466A7">
        <w:rPr>
          <w:rFonts w:ascii="Century Gothic" w:eastAsia="Calibri" w:hAnsi="Century Gothic" w:cs="Arial"/>
          <w:spacing w:val="7"/>
          <w:sz w:val="22"/>
          <w:szCs w:val="22"/>
          <w:lang w:val="es-MX"/>
        </w:rPr>
        <w:t xml:space="preserve"> </w:t>
      </w:r>
      <w:r w:rsidR="00C70C66" w:rsidRPr="00A466A7">
        <w:rPr>
          <w:rFonts w:ascii="Century Gothic" w:eastAsia="Calibri" w:hAnsi="Century Gothic" w:cs="Arial"/>
          <w:sz w:val="22"/>
          <w:szCs w:val="22"/>
          <w:lang w:val="es-MX"/>
        </w:rPr>
        <w:t>2020,</w:t>
      </w:r>
      <w:r w:rsidR="00C70C66" w:rsidRPr="00A466A7">
        <w:rPr>
          <w:rFonts w:ascii="Century Gothic" w:eastAsia="Calibri" w:hAnsi="Century Gothic" w:cs="Arial"/>
          <w:spacing w:val="7"/>
          <w:sz w:val="22"/>
          <w:szCs w:val="22"/>
          <w:lang w:val="es-MX"/>
        </w:rPr>
        <w:t xml:space="preserve"> </w:t>
      </w:r>
      <w:r w:rsidR="00C70C66" w:rsidRPr="00A466A7">
        <w:rPr>
          <w:rFonts w:ascii="Century Gothic" w:eastAsia="Calibri" w:hAnsi="Century Gothic" w:cs="Arial"/>
          <w:sz w:val="22"/>
          <w:szCs w:val="22"/>
          <w:lang w:val="es-MX"/>
        </w:rPr>
        <w:t>C-391 del 10 de agosto de 2020, C-675 del 25 de noviembre de 2020 y C-683 del 21 de noviembre de 2020, C-010 del 16 de febrero de 2021</w:t>
      </w:r>
      <w:r w:rsidR="003C52C1" w:rsidRPr="00A466A7">
        <w:rPr>
          <w:rFonts w:ascii="Century Gothic" w:eastAsia="Calibri" w:hAnsi="Century Gothic" w:cs="Arial"/>
          <w:sz w:val="22"/>
          <w:szCs w:val="22"/>
          <w:lang w:val="es-MX"/>
        </w:rPr>
        <w:t xml:space="preserve"> y C-036 de 31 de marzo de 2023,</w:t>
      </w:r>
      <w:r w:rsidR="00C70C66" w:rsidRPr="00A466A7">
        <w:rPr>
          <w:rFonts w:ascii="Century Gothic" w:eastAsia="Calibri" w:hAnsi="Century Gothic" w:cs="Arial"/>
          <w:sz w:val="22"/>
          <w:szCs w:val="22"/>
          <w:lang w:val="es-MX"/>
        </w:rPr>
        <w:t xml:space="preserve"> entre otros</w:t>
      </w:r>
      <w:r w:rsidR="00C1189E" w:rsidRPr="00A466A7">
        <w:rPr>
          <w:rStyle w:val="Refdenotaalpie"/>
          <w:rFonts w:ascii="Century Gothic" w:eastAsia="Calibri" w:hAnsi="Century Gothic" w:cs="Arial"/>
          <w:sz w:val="22"/>
          <w:szCs w:val="22"/>
        </w:rPr>
        <w:footnoteReference w:id="3"/>
      </w:r>
      <w:r w:rsidR="00C70C66" w:rsidRPr="00A466A7">
        <w:rPr>
          <w:rFonts w:ascii="Century Gothic" w:eastAsia="Calibri" w:hAnsi="Century Gothic" w:cs="Arial"/>
          <w:sz w:val="22"/>
          <w:szCs w:val="22"/>
          <w:lang w:val="es-MX"/>
        </w:rPr>
        <w:t xml:space="preserve">. </w:t>
      </w:r>
      <w:r w:rsidR="00C70C66" w:rsidRPr="00A466A7">
        <w:rPr>
          <w:rFonts w:ascii="Century Gothic" w:eastAsia="Calibri" w:hAnsi="Century Gothic" w:cs="Arial"/>
          <w:sz w:val="22"/>
          <w:szCs w:val="22"/>
          <w:lang w:val="es-ES"/>
        </w:rPr>
        <w:t xml:space="preserve">Las tesis expuestas en estos conceptos se reiteran a continuación y se complementan en lo pertinente, teniendo en cuenta los interrogantes planteados. </w:t>
      </w:r>
    </w:p>
    <w:p w14:paraId="48D51823" w14:textId="27E890D8" w:rsidR="00F10546" w:rsidRPr="00A466A7" w:rsidRDefault="00B83E53" w:rsidP="00B83E53">
      <w:pPr>
        <w:spacing w:after="240" w:line="276" w:lineRule="auto"/>
        <w:jc w:val="both"/>
        <w:rPr>
          <w:rFonts w:ascii="Century Gothic" w:hAnsi="Century Gothic" w:cs="Arial"/>
          <w:b/>
          <w:color w:val="000000" w:themeColor="text1"/>
          <w:sz w:val="22"/>
          <w:szCs w:val="22"/>
          <w:lang w:eastAsia="es-MX"/>
        </w:rPr>
      </w:pPr>
      <w:r w:rsidRPr="00A466A7">
        <w:rPr>
          <w:rFonts w:ascii="Century Gothic" w:hAnsi="Century Gothic" w:cs="Arial"/>
          <w:b/>
          <w:color w:val="000000" w:themeColor="text1"/>
          <w:sz w:val="22"/>
          <w:szCs w:val="22"/>
          <w:lang w:val="es-ES" w:eastAsia="es-MX"/>
        </w:rPr>
        <w:t xml:space="preserve">2.1. </w:t>
      </w:r>
      <w:r w:rsidR="00F10546" w:rsidRPr="00A466A7">
        <w:rPr>
          <w:rFonts w:ascii="Century Gothic" w:hAnsi="Century Gothic" w:cs="Arial"/>
          <w:b/>
          <w:color w:val="000000" w:themeColor="text1"/>
          <w:sz w:val="22"/>
          <w:szCs w:val="22"/>
          <w:lang w:val="es-ES" w:eastAsia="es-MX"/>
        </w:rPr>
        <w:tab/>
        <w:t>Requisitos</w:t>
      </w:r>
      <w:r w:rsidRPr="00A466A7">
        <w:rPr>
          <w:rFonts w:ascii="Century Gothic" w:hAnsi="Century Gothic" w:cs="Arial"/>
          <w:b/>
          <w:color w:val="000000" w:themeColor="text1"/>
          <w:sz w:val="22"/>
          <w:szCs w:val="22"/>
          <w:lang w:eastAsia="es-MX"/>
        </w:rPr>
        <w:t xml:space="preserve"> habilitantes: criterios obligatorios para participar en los procedimientos de selección contractual</w:t>
      </w:r>
    </w:p>
    <w:p w14:paraId="21DDE5D9" w14:textId="27A33DB2" w:rsidR="00A643B0" w:rsidRPr="00A466A7" w:rsidRDefault="00A643B0" w:rsidP="00A643B0">
      <w:pPr>
        <w:spacing w:after="120" w:line="276" w:lineRule="auto"/>
        <w:jc w:val="both"/>
        <w:rPr>
          <w:rFonts w:ascii="Century Gothic" w:eastAsia="Calibri" w:hAnsi="Century Gothic" w:cs="Arial"/>
          <w:color w:val="000000" w:themeColor="text1"/>
          <w:sz w:val="22"/>
          <w:lang w:val="es-ES_tradnl"/>
        </w:rPr>
      </w:pPr>
      <w:r w:rsidRPr="00A466A7">
        <w:rPr>
          <w:rFonts w:ascii="Century Gothic" w:eastAsia="Calibri" w:hAnsi="Century Gothic" w:cs="Arial"/>
          <w:color w:val="000000" w:themeColor="text1"/>
          <w:sz w:val="22"/>
          <w:lang w:val="es-ES_tradnl"/>
        </w:rPr>
        <w:t xml:space="preserve">Los </w:t>
      </w:r>
      <w:r w:rsidRPr="00A466A7">
        <w:rPr>
          <w:rFonts w:ascii="Century Gothic" w:eastAsia="Calibri" w:hAnsi="Century Gothic" w:cs="Arial"/>
          <w:i/>
          <w:iCs/>
          <w:color w:val="000000" w:themeColor="text1"/>
          <w:sz w:val="22"/>
          <w:lang w:val="es-ES_tradnl"/>
        </w:rPr>
        <w:t>requisitos habilitantes</w:t>
      </w:r>
      <w:r w:rsidRPr="00A466A7">
        <w:rPr>
          <w:rFonts w:ascii="Century Gothic" w:eastAsia="Calibri" w:hAnsi="Century Gothic" w:cs="Arial"/>
          <w:color w:val="000000" w:themeColor="text1"/>
          <w:sz w:val="22"/>
          <w:lang w:val="es-ES_tradnl"/>
        </w:rPr>
        <w:t xml:space="preserve"> se definen como exigencias de participación en los procedimientos de selección, establecidas en disposiciones normativas, de carácter legal o reglamentario, o contenidas en el acto administrativo que regula las reglas de la convocatoria, es decir, en el pliego de condiciones o el documento equivalente a este. Se diferencian de los </w:t>
      </w:r>
      <w:r w:rsidRPr="00A466A7">
        <w:rPr>
          <w:rFonts w:ascii="Century Gothic" w:eastAsia="Calibri" w:hAnsi="Century Gothic" w:cs="Arial"/>
          <w:i/>
          <w:iCs/>
          <w:color w:val="000000" w:themeColor="text1"/>
          <w:sz w:val="22"/>
          <w:lang w:val="es-ES_tradnl"/>
        </w:rPr>
        <w:t>criterios de evaluación</w:t>
      </w:r>
      <w:r w:rsidRPr="00A466A7">
        <w:rPr>
          <w:rFonts w:ascii="Century Gothic" w:eastAsia="Calibri" w:hAnsi="Century Gothic" w:cs="Arial"/>
          <w:color w:val="000000" w:themeColor="text1"/>
          <w:sz w:val="22"/>
          <w:lang w:val="es-ES_tradnl"/>
        </w:rPr>
        <w:t xml:space="preserve"> –también conocidos como </w:t>
      </w:r>
      <w:r w:rsidRPr="00A466A7">
        <w:rPr>
          <w:rFonts w:ascii="Century Gothic" w:eastAsia="Calibri" w:hAnsi="Century Gothic" w:cs="Arial"/>
          <w:i/>
          <w:iCs/>
          <w:color w:val="000000" w:themeColor="text1"/>
          <w:sz w:val="22"/>
          <w:lang w:val="es-ES_tradnl"/>
        </w:rPr>
        <w:t>criterios de calificación</w:t>
      </w:r>
      <w:r w:rsidRPr="00A466A7">
        <w:rPr>
          <w:rFonts w:ascii="Century Gothic" w:eastAsia="Calibri" w:hAnsi="Century Gothic" w:cs="Arial"/>
          <w:color w:val="000000" w:themeColor="text1"/>
          <w:sz w:val="22"/>
          <w:lang w:val="es-ES_tradnl"/>
        </w:rPr>
        <w:t xml:space="preserve">– en que estos son los factores definidos por la </w:t>
      </w:r>
      <w:r w:rsidR="00172DB8" w:rsidRPr="00963AD1">
        <w:rPr>
          <w:rFonts w:ascii="Century Gothic" w:eastAsia="Calibri" w:hAnsi="Century Gothic" w:cs="Arial"/>
          <w:color w:val="000000" w:themeColor="text1"/>
          <w:sz w:val="22"/>
          <w:lang w:val="es-ES_tradnl"/>
        </w:rPr>
        <w:t>Entidad Estatal</w:t>
      </w:r>
      <w:r w:rsidRPr="00A466A7">
        <w:rPr>
          <w:rFonts w:ascii="Century Gothic" w:eastAsia="Calibri" w:hAnsi="Century Gothic" w:cs="Arial"/>
          <w:color w:val="000000" w:themeColor="text1"/>
          <w:sz w:val="22"/>
          <w:lang w:val="es-ES_tradnl"/>
        </w:rPr>
        <w:t xml:space="preserve"> para la asignación de puntaje en el momento de la </w:t>
      </w:r>
      <w:r w:rsidRPr="00A466A7">
        <w:rPr>
          <w:rFonts w:ascii="Century Gothic" w:eastAsia="Calibri" w:hAnsi="Century Gothic" w:cs="Arial"/>
          <w:color w:val="000000" w:themeColor="text1"/>
          <w:sz w:val="22"/>
          <w:lang w:val="es-ES_tradnl"/>
        </w:rPr>
        <w:lastRenderedPageBreak/>
        <w:t xml:space="preserve">comparación de las ofertas, y que, a partir de su ponderación, permiten establecer el orden de elegibilidad y, por ende, la propuesta ganadora. </w:t>
      </w:r>
    </w:p>
    <w:p w14:paraId="58C77213" w14:textId="77777777" w:rsidR="00A643B0" w:rsidRPr="00A466A7" w:rsidRDefault="00A643B0" w:rsidP="00A643B0">
      <w:pPr>
        <w:spacing w:after="120" w:line="276" w:lineRule="auto"/>
        <w:ind w:firstLine="708"/>
        <w:jc w:val="both"/>
        <w:rPr>
          <w:rFonts w:ascii="Century Gothic" w:eastAsia="Calibri" w:hAnsi="Century Gothic" w:cs="Arial"/>
          <w:color w:val="000000" w:themeColor="text1"/>
          <w:sz w:val="22"/>
          <w:lang w:val="es-ES_tradnl"/>
        </w:rPr>
      </w:pPr>
      <w:r w:rsidRPr="00A466A7">
        <w:rPr>
          <w:rFonts w:ascii="Century Gothic" w:eastAsia="Calibri" w:hAnsi="Century Gothic" w:cs="Arial"/>
          <w:color w:val="000000" w:themeColor="text1"/>
          <w:sz w:val="22"/>
          <w:lang w:val="es-ES_tradnl"/>
        </w:rPr>
        <w:t>A partir de lo dicho se deduce entonces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76701E3D" w14:textId="2118C0B6" w:rsidR="00A643B0" w:rsidRPr="00A466A7" w:rsidRDefault="00A643B0" w:rsidP="00A643B0">
      <w:pPr>
        <w:spacing w:line="276" w:lineRule="auto"/>
        <w:ind w:firstLine="708"/>
        <w:jc w:val="both"/>
        <w:rPr>
          <w:rFonts w:ascii="Century Gothic" w:eastAsia="Calibri" w:hAnsi="Century Gothic" w:cs="Arial"/>
          <w:color w:val="000000" w:themeColor="text1"/>
          <w:sz w:val="22"/>
          <w:lang w:val="es-ES_tradnl"/>
        </w:rPr>
      </w:pPr>
      <w:r w:rsidRPr="00A466A7">
        <w:rPr>
          <w:rFonts w:ascii="Century Gothic" w:eastAsia="Calibri" w:hAnsi="Century Gothic" w:cs="Arial"/>
          <w:color w:val="000000" w:themeColor="text1"/>
          <w:sz w:val="22"/>
          <w:lang w:val="es-ES_tradnl"/>
        </w:rPr>
        <w:t xml:space="preserve">El mencionado artículo dispone que se considera </w:t>
      </w:r>
      <w:r w:rsidR="003C0036" w:rsidRPr="003C0036">
        <w:rPr>
          <w:rFonts w:ascii="Century Gothic" w:eastAsia="Calibri" w:hAnsi="Century Gothic" w:cs="Arial"/>
          <w:i/>
          <w:iCs/>
          <w:color w:val="000000" w:themeColor="text1"/>
          <w:sz w:val="22"/>
          <w:lang w:val="es-ES_tradnl"/>
        </w:rPr>
        <w:t>“</w:t>
      </w:r>
      <w:r w:rsidRPr="00A466A7">
        <w:rPr>
          <w:rFonts w:ascii="Century Gothic" w:eastAsia="Calibri" w:hAnsi="Century Gothic" w:cs="Arial"/>
          <w:color w:val="000000" w:themeColor="text1"/>
          <w:sz w:val="22"/>
          <w:lang w:val="es-ES_tradnl"/>
        </w:rPr>
        <w:t>objetiva la selección en la cual la escogencia se haga al ofrecimiento más favorable a la entidad y a los fines que ella busca, sin tener en consideración factores de afecto o de interés y, en general, cualquier clase de motivación subjetiva</w:t>
      </w:r>
      <w:r w:rsidR="003C0036" w:rsidRPr="003C0036">
        <w:rPr>
          <w:rFonts w:ascii="Century Gothic" w:eastAsia="Calibri" w:hAnsi="Century Gothic" w:cs="Arial"/>
          <w:i/>
          <w:iCs/>
          <w:color w:val="000000" w:themeColor="text1"/>
          <w:sz w:val="22"/>
          <w:lang w:val="es-ES_tradnl"/>
        </w:rPr>
        <w:t>”</w:t>
      </w:r>
      <w:r w:rsidRPr="00A466A7">
        <w:rPr>
          <w:rFonts w:ascii="Century Gothic" w:eastAsia="Calibri" w:hAnsi="Century Gothic" w:cs="Arial"/>
          <w:color w:val="000000" w:themeColor="text1"/>
          <w:sz w:val="22"/>
          <w:lang w:val="es-ES_tradnl"/>
        </w:rPr>
        <w:t xml:space="preserve">. En ese contexto, los factores de escogencia y calificación que establezcan las entidades en los pliegos de condiciones o sus documentos equivalentes deberán tener en cuenta, entre otras cuestiones, los criterios establecidos en dicha disposición. </w:t>
      </w:r>
    </w:p>
    <w:p w14:paraId="4644F41C" w14:textId="77777777" w:rsidR="00A643B0" w:rsidRPr="00A466A7" w:rsidRDefault="00A643B0" w:rsidP="00A643B0">
      <w:pPr>
        <w:spacing w:before="120" w:line="276" w:lineRule="auto"/>
        <w:ind w:firstLine="709"/>
        <w:jc w:val="both"/>
        <w:rPr>
          <w:rFonts w:ascii="Century Gothic" w:eastAsia="Calibri" w:hAnsi="Century Gothic" w:cs="Arial"/>
          <w:color w:val="000000" w:themeColor="text1"/>
          <w:sz w:val="22"/>
          <w:lang w:val="es-ES_tradnl"/>
        </w:rPr>
      </w:pPr>
      <w:r w:rsidRPr="00A466A7">
        <w:rPr>
          <w:rFonts w:ascii="Century Gothic" w:eastAsia="Calibri" w:hAnsi="Century Gothic" w:cs="Arial"/>
          <w:color w:val="000000" w:themeColor="text1"/>
          <w:sz w:val="22"/>
          <w:lang w:val="es-ES_tradnl"/>
        </w:rPr>
        <w:t xml:space="preserve">Específicamente, el numeral 1º del artículo referido establece que en los procesos de selección de contratistas serán objeto de verificación, como requisitos habilitantes, </w:t>
      </w:r>
      <w:r w:rsidRPr="00A466A7">
        <w:rPr>
          <w:rFonts w:ascii="Century Gothic" w:eastAsia="Calibri" w:hAnsi="Century Gothic" w:cs="Arial"/>
          <w:i/>
          <w:iCs/>
          <w:color w:val="000000" w:themeColor="text1"/>
          <w:sz w:val="22"/>
          <w:lang w:val="es-ES_tradnl"/>
        </w:rPr>
        <w:t>entre otros</w:t>
      </w:r>
      <w:r w:rsidRPr="00A466A7">
        <w:rPr>
          <w:rFonts w:ascii="Century Gothic" w:eastAsia="Calibri" w:hAnsi="Century Gothic" w:cs="Arial"/>
          <w:color w:val="000000" w:themeColor="text1"/>
          <w:sz w:val="22"/>
          <w:lang w:val="es-ES_tradnl"/>
        </w:rPr>
        <w:t xml:space="preserve">, los siguientes: i) la capacidad jurídica; ii) la experiencia; iii) la capacidad financiera y </w:t>
      </w:r>
      <w:proofErr w:type="spellStart"/>
      <w:r w:rsidRPr="00A466A7">
        <w:rPr>
          <w:rFonts w:ascii="Century Gothic" w:eastAsia="Calibri" w:hAnsi="Century Gothic" w:cs="Arial"/>
          <w:color w:val="000000" w:themeColor="text1"/>
          <w:sz w:val="22"/>
          <w:lang w:val="es-ES_tradnl"/>
        </w:rPr>
        <w:t>iv</w:t>
      </w:r>
      <w:proofErr w:type="spellEnd"/>
      <w:r w:rsidRPr="00A466A7">
        <w:rPr>
          <w:rFonts w:ascii="Century Gothic" w:eastAsia="Calibri" w:hAnsi="Century Gothic" w:cs="Arial"/>
          <w:color w:val="000000" w:themeColor="text1"/>
          <w:sz w:val="22"/>
          <w:lang w:val="es-ES_tradnl"/>
        </w:rPr>
        <w:t xml:space="preserve">) la capacidad de organización. En efecto, la normativa citada dispone: </w:t>
      </w:r>
    </w:p>
    <w:p w14:paraId="5E55AA04" w14:textId="77777777" w:rsidR="00A643B0" w:rsidRPr="00A466A7" w:rsidRDefault="00A643B0" w:rsidP="00A643B0">
      <w:pPr>
        <w:jc w:val="both"/>
        <w:rPr>
          <w:rFonts w:ascii="Century Gothic" w:eastAsia="Calibri" w:hAnsi="Century Gothic" w:cs="Arial"/>
          <w:color w:val="000000" w:themeColor="text1"/>
          <w:sz w:val="22"/>
          <w:lang w:val="es-ES_tradnl"/>
        </w:rPr>
      </w:pPr>
    </w:p>
    <w:p w14:paraId="17683F1C" w14:textId="0C897A4D" w:rsidR="00A643B0" w:rsidRPr="00A466A7" w:rsidRDefault="00F12AAE" w:rsidP="00A643B0">
      <w:pPr>
        <w:ind w:left="709" w:right="709"/>
        <w:jc w:val="both"/>
        <w:rPr>
          <w:rFonts w:ascii="Century Gothic" w:eastAsia="Calibri" w:hAnsi="Century Gothic" w:cs="Arial"/>
          <w:color w:val="000000" w:themeColor="text1"/>
          <w:sz w:val="21"/>
          <w:szCs w:val="21"/>
          <w:lang w:val="es-ES_tradnl"/>
        </w:rPr>
      </w:pPr>
      <w:r>
        <w:rPr>
          <w:rFonts w:ascii="Century Gothic" w:eastAsia="Calibri" w:hAnsi="Century Gothic" w:cs="Arial"/>
          <w:color w:val="000000" w:themeColor="text1"/>
          <w:sz w:val="21"/>
          <w:szCs w:val="21"/>
          <w:lang w:val="es-ES_tradnl"/>
        </w:rPr>
        <w:t>“</w:t>
      </w:r>
      <w:r w:rsidR="00A643B0" w:rsidRPr="00A466A7">
        <w:rPr>
          <w:rFonts w:ascii="Century Gothic" w:eastAsia="Calibri" w:hAnsi="Century Gothic" w:cs="Arial"/>
          <w:color w:val="000000" w:themeColor="text1"/>
          <w:sz w:val="21"/>
          <w:szCs w:val="21"/>
          <w:lang w:val="es-ES_tradnl"/>
        </w:rPr>
        <w:t xml:space="preserve">Artículo 5. De la Selección Objetiva. </w:t>
      </w:r>
    </w:p>
    <w:p w14:paraId="1549DEFB" w14:textId="77777777" w:rsidR="00A643B0" w:rsidRPr="00A466A7" w:rsidRDefault="00A643B0" w:rsidP="00A643B0">
      <w:pPr>
        <w:spacing w:after="120"/>
        <w:ind w:left="709" w:right="709"/>
        <w:jc w:val="both"/>
        <w:rPr>
          <w:rFonts w:ascii="Century Gothic" w:eastAsia="Calibri" w:hAnsi="Century Gothic" w:cs="Arial"/>
          <w:color w:val="000000" w:themeColor="text1"/>
          <w:sz w:val="21"/>
          <w:szCs w:val="21"/>
          <w:lang w:val="es-ES_tradnl"/>
        </w:rPr>
      </w:pPr>
      <w:r w:rsidRPr="00A466A7">
        <w:rPr>
          <w:rFonts w:ascii="Century Gothic" w:eastAsia="Calibri" w:hAnsi="Century Gothic" w:cs="Arial"/>
          <w:color w:val="000000" w:themeColor="text1"/>
          <w:sz w:val="21"/>
          <w:szCs w:val="21"/>
          <w:lang w:val="es-ES_tradnl"/>
        </w:rPr>
        <w:t>[…]</w:t>
      </w:r>
    </w:p>
    <w:p w14:paraId="236A85C8" w14:textId="5F56D666" w:rsidR="00F12AAE" w:rsidRPr="00A466A7" w:rsidRDefault="00A643B0" w:rsidP="00F12AAE">
      <w:pPr>
        <w:spacing w:after="120"/>
        <w:ind w:left="709" w:right="709"/>
        <w:jc w:val="both"/>
        <w:rPr>
          <w:rFonts w:ascii="Century Gothic" w:eastAsia="Calibri" w:hAnsi="Century Gothic" w:cs="Arial"/>
          <w:color w:val="000000" w:themeColor="text1"/>
          <w:sz w:val="21"/>
          <w:szCs w:val="21"/>
          <w:lang w:val="es-ES_tradnl"/>
        </w:rPr>
      </w:pPr>
      <w:r w:rsidRPr="00A466A7">
        <w:rPr>
          <w:rFonts w:ascii="Century Gothic" w:eastAsia="Calibri" w:hAnsi="Century Gothic"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r w:rsidR="00F12AAE">
        <w:rPr>
          <w:rFonts w:ascii="Century Gothic" w:eastAsia="Calibri" w:hAnsi="Century Gothic" w:cs="Arial"/>
          <w:color w:val="000000" w:themeColor="text1"/>
          <w:sz w:val="21"/>
          <w:szCs w:val="21"/>
          <w:lang w:val="es-ES_tradnl"/>
        </w:rPr>
        <w:t xml:space="preserve"> </w:t>
      </w:r>
      <w:r w:rsidR="00F12AAE" w:rsidRPr="00A466A7">
        <w:rPr>
          <w:rFonts w:ascii="Century Gothic" w:eastAsia="Calibri" w:hAnsi="Century Gothic" w:cs="Arial"/>
          <w:color w:val="000000" w:themeColor="text1"/>
          <w:sz w:val="21"/>
          <w:szCs w:val="21"/>
          <w:lang w:val="es-ES_tradnl"/>
        </w:rPr>
        <w:t>[…]</w:t>
      </w:r>
      <w:r w:rsidR="00F12AAE">
        <w:rPr>
          <w:rFonts w:ascii="Century Gothic" w:eastAsia="Calibri" w:hAnsi="Century Gothic" w:cs="Arial"/>
          <w:color w:val="000000" w:themeColor="text1"/>
          <w:sz w:val="21"/>
          <w:szCs w:val="21"/>
          <w:lang w:val="es-ES_tradnl"/>
        </w:rPr>
        <w:t>”</w:t>
      </w:r>
    </w:p>
    <w:p w14:paraId="60469C2E" w14:textId="5B114850" w:rsidR="00A643B0" w:rsidRDefault="00A643B0" w:rsidP="001C20C5">
      <w:pPr>
        <w:spacing w:after="120" w:line="276" w:lineRule="auto"/>
        <w:ind w:firstLine="709"/>
        <w:jc w:val="both"/>
        <w:rPr>
          <w:rFonts w:ascii="Century Gothic" w:eastAsia="Calibri" w:hAnsi="Century Gothic" w:cs="Arial"/>
          <w:color w:val="000000" w:themeColor="text1"/>
          <w:sz w:val="22"/>
          <w:lang w:val="es-ES_tradnl"/>
        </w:rPr>
      </w:pPr>
      <w:r w:rsidRPr="00A466A7">
        <w:rPr>
          <w:rFonts w:ascii="Century Gothic" w:hAnsi="Century Gothic" w:cs="Arial"/>
          <w:color w:val="000000" w:themeColor="text1"/>
          <w:sz w:val="22"/>
          <w:lang w:val="es-ES_tradnl"/>
        </w:rPr>
        <w:lastRenderedPageBreak/>
        <w:t xml:space="preserve">Una vez fijados los requisitos habilitantes por la </w:t>
      </w:r>
      <w:r w:rsidR="00172DB8" w:rsidRPr="00B00A49">
        <w:rPr>
          <w:rFonts w:ascii="Century Gothic" w:hAnsi="Century Gothic" w:cs="Arial"/>
          <w:color w:val="000000" w:themeColor="text1"/>
          <w:sz w:val="22"/>
          <w:lang w:val="es-ES_tradnl"/>
        </w:rPr>
        <w:t>Entidad Estatal</w:t>
      </w:r>
      <w:r w:rsidRPr="00A466A7">
        <w:rPr>
          <w:rFonts w:ascii="Century Gothic" w:hAnsi="Century Gothic" w:cs="Arial"/>
          <w:color w:val="000000" w:themeColor="text1"/>
          <w:sz w:val="22"/>
          <w:lang w:val="es-ES_tradnl"/>
        </w:rPr>
        <w:t xml:space="preserve">, quienes presenten ofertas deben </w:t>
      </w:r>
      <w:r w:rsidRPr="00A466A7">
        <w:rPr>
          <w:rFonts w:ascii="Century Gothic" w:hAnsi="Century Gothic" w:cs="Arial"/>
          <w:bCs/>
          <w:i/>
          <w:iCs/>
          <w:color w:val="000000" w:themeColor="text1"/>
          <w:sz w:val="22"/>
          <w:lang w:val="es-ES_tradnl"/>
        </w:rPr>
        <w:t>acreditar</w:t>
      </w:r>
      <w:r w:rsidRPr="00A466A7">
        <w:rPr>
          <w:rFonts w:ascii="Century Gothic" w:hAnsi="Century Gothic" w:cs="Arial"/>
          <w:color w:val="000000" w:themeColor="text1"/>
          <w:sz w:val="22"/>
          <w:lang w:val="es-ES_tradnl"/>
        </w:rPr>
        <w:t xml:space="preserve"> que cumplen con los mismos, pues, en el evento contrario, las propuestas deberán ser rechazadas. </w:t>
      </w:r>
    </w:p>
    <w:p w14:paraId="753B3248" w14:textId="77777777" w:rsidR="005D7780" w:rsidRPr="00A466A7" w:rsidRDefault="005D7780" w:rsidP="001C20C5">
      <w:pPr>
        <w:spacing w:after="120" w:line="276" w:lineRule="auto"/>
        <w:ind w:firstLine="709"/>
        <w:jc w:val="both"/>
        <w:rPr>
          <w:rFonts w:ascii="Century Gothic" w:eastAsia="Calibri" w:hAnsi="Century Gothic" w:cs="Arial"/>
          <w:color w:val="000000" w:themeColor="text1"/>
          <w:sz w:val="22"/>
          <w:lang w:val="es-ES_tradnl"/>
        </w:rPr>
      </w:pPr>
    </w:p>
    <w:p w14:paraId="7FD94DC3" w14:textId="0E4393D4" w:rsidR="00F10546" w:rsidRPr="00A466A7" w:rsidRDefault="00F10546" w:rsidP="00B83E53">
      <w:pPr>
        <w:spacing w:after="240" w:line="276" w:lineRule="auto"/>
        <w:jc w:val="both"/>
        <w:rPr>
          <w:rFonts w:ascii="Century Gothic" w:hAnsi="Century Gothic" w:cs="Arial"/>
          <w:b/>
          <w:color w:val="000000" w:themeColor="text1"/>
          <w:sz w:val="22"/>
          <w:szCs w:val="22"/>
          <w:lang w:eastAsia="es-MX"/>
        </w:rPr>
      </w:pPr>
      <w:r w:rsidRPr="00A466A7">
        <w:rPr>
          <w:rFonts w:ascii="Century Gothic" w:hAnsi="Century Gothic" w:cs="Arial"/>
          <w:b/>
          <w:color w:val="000000" w:themeColor="text1"/>
          <w:sz w:val="22"/>
          <w:szCs w:val="22"/>
          <w:lang w:eastAsia="es-MX"/>
        </w:rPr>
        <w:t>2.2.</w:t>
      </w:r>
      <w:r w:rsidRPr="00A466A7">
        <w:rPr>
          <w:rFonts w:ascii="Century Gothic" w:hAnsi="Century Gothic" w:cs="Arial"/>
          <w:b/>
          <w:color w:val="000000" w:themeColor="text1"/>
          <w:sz w:val="22"/>
          <w:szCs w:val="22"/>
          <w:lang w:eastAsia="es-MX"/>
        </w:rPr>
        <w:tab/>
        <w:t>C</w:t>
      </w:r>
      <w:r w:rsidR="00B83E53" w:rsidRPr="00A466A7">
        <w:rPr>
          <w:rFonts w:ascii="Century Gothic" w:hAnsi="Century Gothic" w:cs="Arial"/>
          <w:b/>
          <w:color w:val="000000" w:themeColor="text1"/>
          <w:sz w:val="22"/>
          <w:szCs w:val="22"/>
          <w:lang w:eastAsia="es-MX"/>
        </w:rPr>
        <w:t xml:space="preserve">arácter enunciativo de los requisitos habilitantes previstos en el artículo 5, numeral 1, de la Ley 1150 de 2007 y autonomía de la voluntad de las entidades estatales para establecerlos </w:t>
      </w:r>
    </w:p>
    <w:p w14:paraId="02B60EB2" w14:textId="2FFC86AB" w:rsidR="001118AB" w:rsidRPr="00F875E0" w:rsidRDefault="001118AB" w:rsidP="001118AB">
      <w:pPr>
        <w:spacing w:line="276" w:lineRule="auto"/>
        <w:jc w:val="both"/>
        <w:rPr>
          <w:rFonts w:ascii="Century Gothic" w:hAnsi="Century Gothic" w:cs="Arial"/>
          <w:color w:val="000000" w:themeColor="text1"/>
          <w:sz w:val="22"/>
          <w:szCs w:val="22"/>
          <w:lang w:val="es-ES_tradnl"/>
        </w:rPr>
      </w:pPr>
      <w:r w:rsidRPr="00F875E0">
        <w:rPr>
          <w:rFonts w:ascii="Century Gothic" w:hAnsi="Century Gothic" w:cs="Arial"/>
          <w:color w:val="000000" w:themeColor="text1"/>
          <w:sz w:val="22"/>
          <w:szCs w:val="22"/>
          <w:lang w:val="es-ES_tradnl"/>
        </w:rPr>
        <w:t xml:space="preserve">Es necesario indagar si los requisitos habilitantes establecidos en el artículo 5, numeral 1, de la Ley 1150 de 2007, tienen la característica de taxativos, esto es, si son los únicos requisitos habilitantes que puede exigirles una entidad a los proponentes. Esta pregunta tiene, al menos, dos respuestas posibles. Por un lado, que sí lo son, pues la norma no hace referencia a otros diferentes. Por el otro, que no lo son, pues esta no contiene una expresión como </w:t>
      </w:r>
      <w:r w:rsidR="003C0036" w:rsidRPr="00F875E0">
        <w:rPr>
          <w:rFonts w:ascii="Century Gothic" w:hAnsi="Century Gothic" w:cs="Arial"/>
          <w:i/>
          <w:iCs/>
          <w:color w:val="000000" w:themeColor="text1"/>
          <w:sz w:val="22"/>
          <w:szCs w:val="22"/>
          <w:lang w:val="es-ES_tradnl"/>
        </w:rPr>
        <w:t>“</w:t>
      </w:r>
      <w:r w:rsidRPr="00F875E0">
        <w:rPr>
          <w:rFonts w:ascii="Century Gothic" w:hAnsi="Century Gothic" w:cs="Arial"/>
          <w:color w:val="000000" w:themeColor="text1"/>
          <w:sz w:val="22"/>
          <w:szCs w:val="22"/>
          <w:lang w:val="es-ES_tradnl"/>
        </w:rPr>
        <w:t>únicamente</w:t>
      </w:r>
      <w:r w:rsidR="003C0036" w:rsidRPr="00F875E0">
        <w:rPr>
          <w:rFonts w:ascii="Century Gothic" w:hAnsi="Century Gothic" w:cs="Arial"/>
          <w:i/>
          <w:iCs/>
          <w:color w:val="000000" w:themeColor="text1"/>
          <w:sz w:val="22"/>
          <w:szCs w:val="22"/>
          <w:lang w:val="es-ES_tradnl"/>
        </w:rPr>
        <w:t>”</w:t>
      </w:r>
      <w:r w:rsidRPr="00F875E0">
        <w:rPr>
          <w:rFonts w:ascii="Century Gothic" w:hAnsi="Century Gothic" w:cs="Arial"/>
          <w:color w:val="000000" w:themeColor="text1"/>
          <w:sz w:val="22"/>
          <w:szCs w:val="22"/>
          <w:lang w:val="es-ES_tradnl"/>
        </w:rPr>
        <w:t xml:space="preserve"> o </w:t>
      </w:r>
      <w:r w:rsidR="003C0036" w:rsidRPr="00F875E0">
        <w:rPr>
          <w:rFonts w:ascii="Century Gothic" w:hAnsi="Century Gothic" w:cs="Arial"/>
          <w:i/>
          <w:iCs/>
          <w:color w:val="000000" w:themeColor="text1"/>
          <w:sz w:val="22"/>
          <w:szCs w:val="22"/>
          <w:lang w:val="es-ES_tradnl"/>
        </w:rPr>
        <w:t>“</w:t>
      </w:r>
      <w:r w:rsidRPr="00F875E0">
        <w:rPr>
          <w:rFonts w:ascii="Century Gothic" w:hAnsi="Century Gothic" w:cs="Arial"/>
          <w:color w:val="000000" w:themeColor="text1"/>
          <w:sz w:val="22"/>
          <w:szCs w:val="22"/>
          <w:lang w:val="es-ES_tradnl"/>
        </w:rPr>
        <w:t>solo</w:t>
      </w:r>
      <w:r w:rsidR="003C0036" w:rsidRPr="00F875E0">
        <w:rPr>
          <w:rFonts w:ascii="Century Gothic" w:hAnsi="Century Gothic" w:cs="Arial"/>
          <w:i/>
          <w:iCs/>
          <w:color w:val="000000" w:themeColor="text1"/>
          <w:sz w:val="22"/>
          <w:szCs w:val="22"/>
          <w:lang w:val="es-ES_tradnl"/>
        </w:rPr>
        <w:t>”</w:t>
      </w:r>
      <w:r w:rsidRPr="00F875E0">
        <w:rPr>
          <w:rFonts w:ascii="Century Gothic" w:hAnsi="Century Gothic" w:cs="Arial"/>
          <w:color w:val="000000" w:themeColor="text1"/>
          <w:sz w:val="22"/>
          <w:szCs w:val="22"/>
          <w:lang w:val="es-ES_tradnl"/>
        </w:rPr>
        <w:t>, al referirse a los requisitos habilitantes y, además, debido a que la lectura integral de las normas que regulan la contratación estatal permite concluir que existen otras condiciones que deben cumplirse para la contratación con una entidad pública, como pasa, por ejemplo, con la capacidad residual a la que se refiere el artículo 6º, parágrafo 1, de la Ley 1150 de 2007</w:t>
      </w:r>
      <w:r w:rsidRPr="00F875E0">
        <w:rPr>
          <w:rFonts w:ascii="Century Gothic" w:hAnsi="Century Gothic" w:cs="Arial"/>
          <w:color w:val="000000" w:themeColor="text1"/>
          <w:sz w:val="22"/>
          <w:szCs w:val="22"/>
          <w:vertAlign w:val="superscript"/>
          <w:lang w:val="es-ES_tradnl"/>
        </w:rPr>
        <w:footnoteReference w:id="4"/>
      </w:r>
      <w:r w:rsidRPr="00F875E0">
        <w:rPr>
          <w:rFonts w:ascii="Century Gothic" w:hAnsi="Century Gothic" w:cs="Arial"/>
          <w:color w:val="000000" w:themeColor="text1"/>
          <w:sz w:val="22"/>
          <w:szCs w:val="22"/>
          <w:lang w:val="es-ES_tradnl"/>
        </w:rPr>
        <w:t xml:space="preserve">. Esta segunda respuesta contiene la interpretación jurídica que comparte la Agencia Nacional de Contratación Pública. </w:t>
      </w:r>
    </w:p>
    <w:p w14:paraId="1D5E67AE" w14:textId="2AD0F48F" w:rsidR="001118AB" w:rsidRPr="00F875E0" w:rsidRDefault="001118AB" w:rsidP="001118AB">
      <w:pPr>
        <w:spacing w:before="120" w:line="276" w:lineRule="auto"/>
        <w:ind w:firstLine="709"/>
        <w:jc w:val="both"/>
        <w:rPr>
          <w:rFonts w:ascii="Century Gothic" w:hAnsi="Century Gothic" w:cs="Arial"/>
          <w:color w:val="000000" w:themeColor="text1"/>
          <w:sz w:val="22"/>
          <w:szCs w:val="22"/>
          <w:lang w:val="es-ES_tradnl"/>
        </w:rPr>
      </w:pPr>
      <w:r w:rsidRPr="00F875E0">
        <w:rPr>
          <w:rFonts w:ascii="Century Gothic" w:hAnsi="Century Gothic" w:cs="Arial"/>
          <w:color w:val="000000" w:themeColor="text1"/>
          <w:sz w:val="22"/>
          <w:szCs w:val="22"/>
          <w:lang w:val="es-ES_tradnl"/>
        </w:rPr>
        <w:t>Existen otros argumentos que sustentan dicha elección interpretativa. Como lo han considerado la Corte Constitucional</w:t>
      </w:r>
      <w:r w:rsidRPr="00F875E0">
        <w:rPr>
          <w:rFonts w:ascii="Century Gothic" w:hAnsi="Century Gothic" w:cs="Arial"/>
          <w:color w:val="000000" w:themeColor="text1"/>
          <w:sz w:val="22"/>
          <w:szCs w:val="22"/>
          <w:vertAlign w:val="superscript"/>
          <w:lang w:val="es-ES_tradnl"/>
        </w:rPr>
        <w:footnoteReference w:id="5"/>
      </w:r>
      <w:r w:rsidRPr="00F875E0">
        <w:rPr>
          <w:rFonts w:ascii="Century Gothic" w:hAnsi="Century Gothic" w:cs="Arial"/>
          <w:color w:val="000000" w:themeColor="text1"/>
          <w:sz w:val="22"/>
          <w:szCs w:val="22"/>
          <w:lang w:val="es-ES_tradnl"/>
        </w:rPr>
        <w:t xml:space="preserve"> y el Consejo de Estado</w:t>
      </w:r>
      <w:r w:rsidRPr="00F875E0">
        <w:rPr>
          <w:rFonts w:ascii="Century Gothic" w:hAnsi="Century Gothic" w:cs="Arial"/>
          <w:color w:val="000000" w:themeColor="text1"/>
          <w:sz w:val="22"/>
          <w:szCs w:val="22"/>
          <w:vertAlign w:val="superscript"/>
          <w:lang w:val="es-ES_tradnl"/>
        </w:rPr>
        <w:footnoteReference w:id="6"/>
      </w:r>
      <w:r w:rsidRPr="00F875E0">
        <w:rPr>
          <w:rFonts w:ascii="Century Gothic" w:hAnsi="Century Gothic" w:cs="Arial"/>
          <w:color w:val="000000" w:themeColor="text1"/>
          <w:sz w:val="22"/>
          <w:szCs w:val="22"/>
          <w:lang w:val="es-ES_tradnl"/>
        </w:rPr>
        <w:t xml:space="preserve">, en virtud del </w:t>
      </w:r>
      <w:r w:rsidR="003C0036" w:rsidRPr="00F875E0">
        <w:rPr>
          <w:rFonts w:ascii="Century Gothic" w:hAnsi="Century Gothic" w:cs="Arial"/>
          <w:i/>
          <w:iCs/>
          <w:color w:val="000000" w:themeColor="text1"/>
          <w:sz w:val="22"/>
          <w:szCs w:val="22"/>
          <w:lang w:val="es-ES_tradnl"/>
        </w:rPr>
        <w:t>“</w:t>
      </w:r>
      <w:r w:rsidRPr="00F875E0">
        <w:rPr>
          <w:rFonts w:ascii="Century Gothic" w:hAnsi="Century Gothic" w:cs="Arial"/>
          <w:color w:val="000000" w:themeColor="text1"/>
          <w:sz w:val="22"/>
          <w:szCs w:val="22"/>
          <w:lang w:val="es-ES_tradnl"/>
        </w:rPr>
        <w:t>principio del efecto útil</w:t>
      </w:r>
      <w:r w:rsidR="003C0036" w:rsidRPr="00F875E0">
        <w:rPr>
          <w:rFonts w:ascii="Century Gothic" w:hAnsi="Century Gothic" w:cs="Arial"/>
          <w:i/>
          <w:iCs/>
          <w:color w:val="000000" w:themeColor="text1"/>
          <w:sz w:val="22"/>
          <w:szCs w:val="22"/>
          <w:lang w:val="es-ES_tradnl"/>
        </w:rPr>
        <w:t>”</w:t>
      </w:r>
      <w:r w:rsidRPr="00F875E0">
        <w:rPr>
          <w:rFonts w:ascii="Century Gothic" w:hAnsi="Century Gothic" w:cs="Arial"/>
          <w:color w:val="000000" w:themeColor="text1"/>
          <w:sz w:val="22"/>
          <w:szCs w:val="22"/>
          <w:lang w:val="es-ES_tradnl"/>
        </w:rPr>
        <w:t xml:space="preserve">, el texto de una norma debe ser interpretado de manera que todo cuanto ella prescribe produzca consecuencias jurídicas. En ese contexto, </w:t>
      </w:r>
      <w:r w:rsidRPr="00F875E0">
        <w:rPr>
          <w:rFonts w:ascii="Century Gothic" w:hAnsi="Century Gothic" w:cs="Arial"/>
          <w:color w:val="000000" w:themeColor="text1"/>
          <w:sz w:val="22"/>
          <w:szCs w:val="22"/>
          <w:lang w:val="es-ES_tradnl"/>
        </w:rPr>
        <w:lastRenderedPageBreak/>
        <w:t>surge la inquietud en relación con los efectos del parágrafo 2 del mismo artículo 5 de la Ley 1150 de 2007, pues si la intención del legislador era que s</w:t>
      </w:r>
      <w:r w:rsidR="00632DEF" w:rsidRPr="00F875E0">
        <w:rPr>
          <w:rFonts w:ascii="Century Gothic" w:hAnsi="Century Gothic" w:cs="Arial"/>
          <w:color w:val="000000" w:themeColor="text1"/>
          <w:sz w:val="22"/>
          <w:szCs w:val="22"/>
          <w:lang w:val="es-ES_tradnl"/>
        </w:rPr>
        <w:t>ó</w:t>
      </w:r>
      <w:r w:rsidRPr="00F875E0">
        <w:rPr>
          <w:rFonts w:ascii="Century Gothic" w:hAnsi="Century Gothic" w:cs="Arial"/>
          <w:color w:val="000000" w:themeColor="text1"/>
          <w:sz w:val="22"/>
          <w:szCs w:val="22"/>
          <w:lang w:val="es-ES_tradnl"/>
        </w:rPr>
        <w:t xml:space="preserve">lo fueran requisitos habilitantes los cuatro que contiene el numeral 1 de dicha disposición, ¿cómo se explica que el referido parágrafo aclare que </w:t>
      </w:r>
      <w:r w:rsidR="003C0036" w:rsidRPr="00F875E0">
        <w:rPr>
          <w:rFonts w:ascii="Century Gothic" w:hAnsi="Century Gothic" w:cs="Arial"/>
          <w:i/>
          <w:iCs/>
          <w:color w:val="000000" w:themeColor="text1"/>
          <w:sz w:val="22"/>
          <w:szCs w:val="22"/>
          <w:lang w:val="es-ES_tradnl"/>
        </w:rPr>
        <w:t>“</w:t>
      </w:r>
      <w:r w:rsidRPr="00F875E0">
        <w:rPr>
          <w:rFonts w:ascii="Century Gothic" w:hAnsi="Century Gothic" w:cs="Arial"/>
          <w:color w:val="000000" w:themeColor="text1"/>
          <w:sz w:val="22"/>
          <w:szCs w:val="22"/>
          <w:lang w:val="es-ES_tradnl"/>
        </w:rPr>
        <w:t>las certificaciones de sistemas de gestión de calidad no serán objeto de calificación, ni podrán establecerse como documento habilitante para participar en licitaciones o concursos</w:t>
      </w:r>
      <w:r w:rsidR="003C0036" w:rsidRPr="00F875E0">
        <w:rPr>
          <w:rFonts w:ascii="Century Gothic" w:hAnsi="Century Gothic" w:cs="Arial"/>
          <w:i/>
          <w:iCs/>
          <w:color w:val="000000" w:themeColor="text1"/>
          <w:sz w:val="22"/>
          <w:szCs w:val="22"/>
          <w:lang w:val="es-ES_tradnl"/>
        </w:rPr>
        <w:t>”</w:t>
      </w:r>
      <w:r w:rsidRPr="00F875E0">
        <w:rPr>
          <w:rFonts w:ascii="Century Gothic" w:hAnsi="Century Gothic" w:cs="Arial"/>
          <w:color w:val="000000" w:themeColor="text1"/>
          <w:sz w:val="22"/>
          <w:szCs w:val="22"/>
          <w:lang w:val="es-ES_tradnl"/>
        </w:rPr>
        <w:t xml:space="preserve">? Si se interpreta que solo son cuatro los requisitos habilitantes, el parágrafo 2 carecería de efectos jurídicos y, por ende, no tendría ninguna consecuencia normativa que en el mismo artículo se aclare que una exigencia no puede ser considera como requisito habilitante. </w:t>
      </w:r>
    </w:p>
    <w:p w14:paraId="49BC4DB6" w14:textId="77777777" w:rsidR="001118AB" w:rsidRPr="00F875E0" w:rsidRDefault="001118AB" w:rsidP="001118AB">
      <w:pPr>
        <w:spacing w:before="120" w:line="276" w:lineRule="auto"/>
        <w:ind w:firstLine="709"/>
        <w:jc w:val="both"/>
        <w:rPr>
          <w:rFonts w:ascii="Century Gothic" w:hAnsi="Century Gothic" w:cs="Arial"/>
          <w:color w:val="000000" w:themeColor="text1"/>
          <w:sz w:val="22"/>
          <w:szCs w:val="22"/>
          <w:lang w:val="es-ES_tradnl"/>
        </w:rPr>
      </w:pPr>
      <w:r w:rsidRPr="00F875E0">
        <w:rPr>
          <w:rFonts w:ascii="Century Gothic" w:hAnsi="Century Gothic" w:cs="Arial"/>
          <w:color w:val="000000" w:themeColor="text1"/>
          <w:sz w:val="22"/>
          <w:szCs w:val="22"/>
          <w:lang w:val="es-ES_tradnl"/>
        </w:rPr>
        <w:t xml:space="preserve">La intención del legislador, de la cual dan cuenta los antecedentes legislativos de la norma </w:t>
      </w:r>
      <w:r w:rsidRPr="00F875E0">
        <w:rPr>
          <w:rFonts w:ascii="Century Gothic" w:hAnsi="Century Gothic" w:cs="Arial"/>
          <w:i/>
          <w:iCs/>
          <w:color w:val="000000" w:themeColor="text1"/>
          <w:sz w:val="22"/>
          <w:szCs w:val="22"/>
          <w:lang w:val="es-ES_tradnl"/>
        </w:rPr>
        <w:t>sub examine</w:t>
      </w:r>
      <w:r w:rsidRPr="00F875E0">
        <w:rPr>
          <w:rFonts w:ascii="Century Gothic" w:hAnsi="Century Gothic" w:cs="Arial"/>
          <w:color w:val="000000" w:themeColor="text1"/>
          <w:sz w:val="22"/>
          <w:szCs w:val="22"/>
          <w:lang w:val="es-ES_tradnl"/>
        </w:rPr>
        <w:t>, también justifica la interpretación propuesta por esta Agencia, ya que fue hasta el cuarto debate legislativo en donde se incluyó el parágrafo comentado anteriormente</w:t>
      </w:r>
      <w:r w:rsidRPr="00F875E0">
        <w:rPr>
          <w:rFonts w:ascii="Century Gothic" w:hAnsi="Century Gothic" w:cs="Arial"/>
          <w:color w:val="000000" w:themeColor="text1"/>
          <w:sz w:val="22"/>
          <w:szCs w:val="22"/>
          <w:vertAlign w:val="superscript"/>
          <w:lang w:val="es-ES_tradnl"/>
        </w:rPr>
        <w:footnoteReference w:id="7"/>
      </w:r>
      <w:r w:rsidRPr="00F875E0">
        <w:rPr>
          <w:rFonts w:ascii="Century Gothic" w:hAnsi="Century Gothic" w:cs="Arial"/>
          <w:color w:val="000000" w:themeColor="text1"/>
          <w:sz w:val="22"/>
          <w:szCs w:val="22"/>
          <w:lang w:val="es-ES_tradnl"/>
        </w:rPr>
        <w:t>, lo que deja ver la necesidad que tenía el Congreso de aclarar que unos documentos no podrían ser tenidos como requisitos habilitantes, lo que da cuenta, a su vez, del reconocimiento tácito de la existencia de otros requisitos habilitantes, distintos a los cuatro que establece el artículo 5, parágrafo 1, de la Ley 1150 de 2007, reglamentados en el artículo 2.2.1.1.1.5.3 del Decreto 1082 de 2015</w:t>
      </w:r>
      <w:r w:rsidRPr="00F875E0">
        <w:rPr>
          <w:rStyle w:val="Refdenotaalpie"/>
          <w:rFonts w:ascii="Century Gothic" w:hAnsi="Century Gothic" w:cs="Arial"/>
          <w:color w:val="000000" w:themeColor="text1"/>
          <w:sz w:val="22"/>
          <w:szCs w:val="22"/>
          <w:lang w:val="es-ES_tradnl"/>
        </w:rPr>
        <w:footnoteReference w:id="8"/>
      </w:r>
      <w:r w:rsidRPr="00F875E0">
        <w:rPr>
          <w:rFonts w:ascii="Century Gothic" w:hAnsi="Century Gothic" w:cs="Arial"/>
          <w:color w:val="000000" w:themeColor="text1"/>
          <w:sz w:val="22"/>
          <w:szCs w:val="22"/>
          <w:lang w:val="es-ES_tradnl"/>
        </w:rPr>
        <w:t>.</w:t>
      </w:r>
    </w:p>
    <w:p w14:paraId="57FE253E" w14:textId="11D9EFF9" w:rsidR="001118AB" w:rsidRPr="00F875E0" w:rsidRDefault="001118AB" w:rsidP="001118AB">
      <w:pPr>
        <w:spacing w:before="120" w:line="276" w:lineRule="auto"/>
        <w:ind w:firstLine="709"/>
        <w:jc w:val="both"/>
        <w:rPr>
          <w:rFonts w:ascii="Century Gothic" w:hAnsi="Century Gothic" w:cs="Arial"/>
          <w:color w:val="000000" w:themeColor="text1"/>
          <w:sz w:val="22"/>
          <w:szCs w:val="22"/>
          <w:lang w:val="es-ES_tradnl"/>
        </w:rPr>
      </w:pPr>
      <w:r w:rsidRPr="00F875E0">
        <w:rPr>
          <w:rFonts w:ascii="Century Gothic" w:hAnsi="Century Gothic" w:cs="Arial"/>
          <w:color w:val="000000" w:themeColor="text1"/>
          <w:sz w:val="22"/>
          <w:szCs w:val="22"/>
          <w:lang w:val="es-ES_tradnl"/>
        </w:rPr>
        <w:lastRenderedPageBreak/>
        <w:t xml:space="preserve">Por otro lado, en el </w:t>
      </w:r>
      <w:r w:rsidR="003C0036" w:rsidRPr="00F875E0">
        <w:rPr>
          <w:rFonts w:ascii="Century Gothic" w:hAnsi="Century Gothic" w:cs="Arial"/>
          <w:i/>
          <w:iCs/>
          <w:color w:val="000000" w:themeColor="text1"/>
          <w:sz w:val="22"/>
          <w:szCs w:val="22"/>
          <w:lang w:val="es-ES_tradnl"/>
        </w:rPr>
        <w:t>“</w:t>
      </w:r>
      <w:r w:rsidRPr="00F875E0">
        <w:rPr>
          <w:rFonts w:ascii="Century Gothic" w:hAnsi="Century Gothic" w:cs="Arial"/>
          <w:i/>
          <w:iCs/>
          <w:color w:val="000000" w:themeColor="text1"/>
          <w:sz w:val="22"/>
          <w:szCs w:val="22"/>
          <w:lang w:val="es-ES_tradnl"/>
        </w:rPr>
        <w:t>Manual para determinar y verificar los requisitos habilitantes en los Procesos de Contratación</w:t>
      </w:r>
      <w:r w:rsidR="003C0036" w:rsidRPr="00F875E0">
        <w:rPr>
          <w:rFonts w:ascii="Century Gothic" w:hAnsi="Century Gothic" w:cs="Arial"/>
          <w:i/>
          <w:iCs/>
          <w:color w:val="000000" w:themeColor="text1"/>
          <w:sz w:val="22"/>
          <w:szCs w:val="22"/>
          <w:lang w:val="es-ES_tradnl"/>
        </w:rPr>
        <w:t>”</w:t>
      </w:r>
      <w:r w:rsidR="00464ACB" w:rsidRPr="00F875E0">
        <w:rPr>
          <w:rStyle w:val="Refdenotaalpie"/>
          <w:rFonts w:ascii="Century Gothic" w:hAnsi="Century Gothic" w:cs="Arial"/>
          <w:i/>
          <w:iCs/>
          <w:color w:val="000000" w:themeColor="text1"/>
          <w:sz w:val="22"/>
          <w:szCs w:val="22"/>
          <w:lang w:val="es-ES_tradnl"/>
        </w:rPr>
        <w:footnoteReference w:id="9"/>
      </w:r>
      <w:r w:rsidRPr="00F875E0">
        <w:rPr>
          <w:rFonts w:ascii="Century Gothic" w:hAnsi="Century Gothic" w:cs="Arial"/>
          <w:color w:val="000000" w:themeColor="text1"/>
          <w:sz w:val="22"/>
          <w:szCs w:val="22"/>
          <w:lang w:val="es-ES_tradnl"/>
        </w:rPr>
        <w:t xml:space="preserve"> </w:t>
      </w:r>
      <w:r w:rsidR="008664B2" w:rsidRPr="00F875E0">
        <w:rPr>
          <w:rFonts w:ascii="Century Gothic" w:hAnsi="Century Gothic" w:cs="Arial"/>
          <w:color w:val="000000" w:themeColor="text1"/>
          <w:sz w:val="22"/>
          <w:szCs w:val="22"/>
          <w:lang w:val="es-ES_tradnl"/>
        </w:rPr>
        <w:t>expedido por esta</w:t>
      </w:r>
      <w:r w:rsidR="00A705B1" w:rsidRPr="00F875E0">
        <w:rPr>
          <w:rFonts w:ascii="Century Gothic" w:hAnsi="Century Gothic" w:cs="Arial"/>
          <w:color w:val="000000" w:themeColor="text1"/>
          <w:sz w:val="22"/>
          <w:szCs w:val="22"/>
          <w:lang w:val="es-ES_tradnl"/>
        </w:rPr>
        <w:t xml:space="preserve"> Agencia, </w:t>
      </w:r>
      <w:r w:rsidRPr="00F875E0">
        <w:rPr>
          <w:rFonts w:ascii="Century Gothic" w:hAnsi="Century Gothic" w:cs="Arial"/>
          <w:color w:val="000000" w:themeColor="text1"/>
          <w:sz w:val="22"/>
          <w:szCs w:val="22"/>
          <w:lang w:val="es-ES_tradnl"/>
        </w:rPr>
        <w:t xml:space="preserve">se determinaron los parámetros para </w:t>
      </w:r>
      <w:r w:rsidRPr="00F875E0">
        <w:rPr>
          <w:rFonts w:ascii="Century Gothic" w:hAnsi="Century Gothic" w:cs="Arial"/>
          <w:i/>
          <w:iCs/>
          <w:color w:val="000000" w:themeColor="text1"/>
          <w:sz w:val="22"/>
          <w:szCs w:val="22"/>
          <w:lang w:val="es-ES_tradnl"/>
        </w:rPr>
        <w:t>establecer</w:t>
      </w:r>
      <w:r w:rsidRPr="00F875E0">
        <w:rPr>
          <w:rFonts w:ascii="Century Gothic" w:hAnsi="Century Gothic" w:cs="Arial"/>
          <w:color w:val="000000" w:themeColor="text1"/>
          <w:sz w:val="22"/>
          <w:szCs w:val="22"/>
          <w:lang w:val="es-ES_tradnl"/>
        </w:rPr>
        <w:t xml:space="preserve">, </w:t>
      </w:r>
      <w:r w:rsidRPr="00F875E0">
        <w:rPr>
          <w:rFonts w:ascii="Century Gothic" w:hAnsi="Century Gothic" w:cs="Arial"/>
          <w:i/>
          <w:iCs/>
          <w:color w:val="000000" w:themeColor="text1"/>
          <w:sz w:val="22"/>
          <w:szCs w:val="22"/>
          <w:lang w:val="es-ES_tradnl"/>
        </w:rPr>
        <w:t>acreditar</w:t>
      </w:r>
      <w:r w:rsidRPr="00F875E0">
        <w:rPr>
          <w:rFonts w:ascii="Century Gothic" w:hAnsi="Century Gothic" w:cs="Arial"/>
          <w:color w:val="000000" w:themeColor="text1"/>
          <w:sz w:val="22"/>
          <w:szCs w:val="22"/>
          <w:lang w:val="es-ES_tradnl"/>
        </w:rPr>
        <w:t xml:space="preserve"> y </w:t>
      </w:r>
      <w:r w:rsidRPr="00F875E0">
        <w:rPr>
          <w:rFonts w:ascii="Century Gothic" w:hAnsi="Century Gothic" w:cs="Arial"/>
          <w:i/>
          <w:iCs/>
          <w:color w:val="000000" w:themeColor="text1"/>
          <w:sz w:val="22"/>
          <w:szCs w:val="22"/>
          <w:lang w:val="es-ES_tradnl"/>
        </w:rPr>
        <w:t>subsanar</w:t>
      </w:r>
      <w:r w:rsidRPr="00F875E0">
        <w:rPr>
          <w:rFonts w:ascii="Century Gothic" w:hAnsi="Century Gothic" w:cs="Arial"/>
          <w:color w:val="000000" w:themeColor="text1"/>
          <w:sz w:val="22"/>
          <w:szCs w:val="22"/>
          <w:lang w:val="es-ES_tradnl"/>
        </w:rPr>
        <w:t xml:space="preserve"> los requisitos habilitantes estudiados en los párrafos precedentes. Allí también se precisó que los requisitos habilitantes tienen como fin primordial medir </w:t>
      </w:r>
      <w:r w:rsidR="003C0036" w:rsidRPr="00F875E0">
        <w:rPr>
          <w:rFonts w:ascii="Century Gothic" w:hAnsi="Century Gothic" w:cs="Arial"/>
          <w:i/>
          <w:iCs/>
          <w:color w:val="000000" w:themeColor="text1"/>
          <w:sz w:val="22"/>
          <w:szCs w:val="22"/>
          <w:lang w:val="es-ES_tradnl"/>
        </w:rPr>
        <w:t>“</w:t>
      </w:r>
      <w:r w:rsidRPr="00F875E0">
        <w:rPr>
          <w:rFonts w:ascii="Century Gothic" w:hAnsi="Century Gothic" w:cs="Arial"/>
          <w:color w:val="000000" w:themeColor="text1"/>
          <w:sz w:val="22"/>
          <w:szCs w:val="22"/>
          <w:lang w:val="es-ES_tradnl"/>
        </w:rPr>
        <w:t>la aptitud del proponente para participar en un Proceso de Contratación como oferente y están referidos a su capacidad jurídica, financiera, organizacional y su experiencia</w:t>
      </w:r>
      <w:r w:rsidR="003C0036" w:rsidRPr="00F875E0">
        <w:rPr>
          <w:rFonts w:ascii="Century Gothic" w:hAnsi="Century Gothic" w:cs="Arial"/>
          <w:i/>
          <w:iCs/>
          <w:color w:val="000000" w:themeColor="text1"/>
          <w:sz w:val="22"/>
          <w:szCs w:val="22"/>
          <w:lang w:val="es-ES_tradnl"/>
        </w:rPr>
        <w:t>”</w:t>
      </w:r>
      <w:r w:rsidRPr="00F875E0">
        <w:rPr>
          <w:rFonts w:ascii="Century Gothic" w:hAnsi="Century Gothic" w:cs="Arial"/>
          <w:color w:val="000000" w:themeColor="text1"/>
          <w:sz w:val="22"/>
          <w:szCs w:val="22"/>
          <w:lang w:val="es-ES_tradnl"/>
        </w:rPr>
        <w:t xml:space="preserve">. De acuerdo con el Manual, su propósito consiste en </w:t>
      </w:r>
      <w:r w:rsidR="003C0036" w:rsidRPr="00F875E0">
        <w:rPr>
          <w:rFonts w:ascii="Century Gothic" w:hAnsi="Century Gothic" w:cs="Arial"/>
          <w:i/>
          <w:iCs/>
          <w:color w:val="000000" w:themeColor="text1"/>
          <w:sz w:val="22"/>
          <w:szCs w:val="22"/>
          <w:lang w:val="es-ES_tradnl"/>
        </w:rPr>
        <w:t>“</w:t>
      </w:r>
      <w:r w:rsidRPr="00F875E0">
        <w:rPr>
          <w:rFonts w:ascii="Century Gothic" w:hAnsi="Century Gothic" w:cs="Arial"/>
          <w:color w:val="000000" w:themeColor="text1"/>
          <w:sz w:val="22"/>
          <w:szCs w:val="22"/>
          <w:lang w:val="es-ES_tradnl"/>
        </w:rPr>
        <w:t xml:space="preserve">establecer unas condiciones mínimas para los proponentes de tal manera que la </w:t>
      </w:r>
      <w:r w:rsidR="00172DB8" w:rsidRPr="00F875E0">
        <w:rPr>
          <w:rFonts w:ascii="Century Gothic" w:hAnsi="Century Gothic" w:cs="Arial"/>
          <w:i/>
          <w:iCs/>
          <w:color w:val="000000" w:themeColor="text1"/>
          <w:sz w:val="22"/>
          <w:szCs w:val="22"/>
          <w:lang w:val="es-ES_tradnl"/>
        </w:rPr>
        <w:t>Entidad Estatal</w:t>
      </w:r>
      <w:r w:rsidRPr="00F875E0">
        <w:rPr>
          <w:rFonts w:ascii="Century Gothic" w:hAnsi="Century Gothic" w:cs="Arial"/>
          <w:color w:val="000000" w:themeColor="text1"/>
          <w:sz w:val="22"/>
          <w:szCs w:val="22"/>
          <w:lang w:val="es-ES_tradnl"/>
        </w:rPr>
        <w:t xml:space="preserve"> sólo evalúe las ofertas de aquellos que están en condiciones de cumplir con el objeto del Proceso de Contratación</w:t>
      </w:r>
      <w:r w:rsidR="003C0036" w:rsidRPr="00F875E0">
        <w:rPr>
          <w:rFonts w:ascii="Century Gothic" w:hAnsi="Century Gothic" w:cs="Arial"/>
          <w:i/>
          <w:iCs/>
          <w:color w:val="000000" w:themeColor="text1"/>
          <w:sz w:val="22"/>
          <w:szCs w:val="22"/>
          <w:lang w:val="es-ES_tradnl"/>
        </w:rPr>
        <w:t>”</w:t>
      </w:r>
      <w:r w:rsidRPr="00F875E0">
        <w:rPr>
          <w:rFonts w:ascii="Century Gothic" w:hAnsi="Century Gothic" w:cs="Arial"/>
          <w:color w:val="000000" w:themeColor="text1"/>
          <w:sz w:val="22"/>
          <w:szCs w:val="22"/>
          <w:lang w:val="es-ES_tradnl"/>
        </w:rPr>
        <w:t>. En otras palabras, al tratarse de condiciones mínimas, significa que las entidades podrían establecer otras, según su autonomía de la voluntad, y teniendo en cuenta el objeto del contrato, los riesgos detectados en los estudios previos, el presupuesto oficial, entre otros factores.</w:t>
      </w:r>
    </w:p>
    <w:p w14:paraId="2A76E7D0" w14:textId="77777777" w:rsidR="007B4114" w:rsidRPr="00F875E0" w:rsidRDefault="001118AB" w:rsidP="001118AB">
      <w:pPr>
        <w:spacing w:before="120" w:after="120" w:line="276" w:lineRule="auto"/>
        <w:ind w:firstLine="709"/>
        <w:jc w:val="both"/>
        <w:rPr>
          <w:rFonts w:ascii="Century Gothic" w:hAnsi="Century Gothic" w:cs="Arial"/>
          <w:color w:val="000000" w:themeColor="text1"/>
          <w:sz w:val="22"/>
          <w:szCs w:val="22"/>
          <w:lang w:val="es-ES_tradnl"/>
        </w:rPr>
      </w:pPr>
      <w:r w:rsidRPr="00F875E0">
        <w:rPr>
          <w:rFonts w:ascii="Century Gothic" w:hAnsi="Century Gothic" w:cs="Arial"/>
          <w:color w:val="000000" w:themeColor="text1"/>
          <w:sz w:val="22"/>
          <w:szCs w:val="22"/>
          <w:lang w:val="es-ES_tradnl"/>
        </w:rPr>
        <w:t xml:space="preserve">En consecuencia, corresponde a las entidades estatales, durante la etapa de planeación del contrato estatal, estudiar y </w:t>
      </w:r>
      <w:r w:rsidRPr="00F875E0">
        <w:rPr>
          <w:rFonts w:ascii="Century Gothic" w:hAnsi="Century Gothic" w:cs="Arial"/>
          <w:bCs/>
          <w:iCs/>
          <w:color w:val="000000" w:themeColor="text1"/>
          <w:sz w:val="22"/>
          <w:szCs w:val="22"/>
          <w:lang w:val="es-ES_tradnl"/>
        </w:rPr>
        <w:t>determinar</w:t>
      </w:r>
      <w:r w:rsidRPr="00F875E0">
        <w:rPr>
          <w:rFonts w:ascii="Century Gothic" w:hAnsi="Century Gothic" w:cs="Arial"/>
          <w:color w:val="000000" w:themeColor="text1"/>
          <w:sz w:val="22"/>
          <w:szCs w:val="22"/>
          <w:lang w:val="es-ES_tradnl"/>
        </w:rPr>
        <w:t xml:space="preserve"> los requisitos habilitantes que establecerán en los pliegos de condiciones, los cuales deben fijarse de forma adecuada y proporcional. Esto último, según se deriva de la lectura del artículo 2.2.1.1.1.6.2 del Decreto 1082 de 2015, debe hacerse de acuerdo con la naturaleza, el valor del contrato, la forma de pago, los </w:t>
      </w:r>
      <w:r w:rsidRPr="00F875E0">
        <w:rPr>
          <w:rFonts w:ascii="Century Gothic" w:hAnsi="Century Gothic" w:cs="Arial"/>
          <w:i/>
          <w:iCs/>
          <w:color w:val="000000" w:themeColor="text1"/>
          <w:sz w:val="22"/>
          <w:szCs w:val="22"/>
          <w:lang w:val="es-ES_tradnl"/>
        </w:rPr>
        <w:t>riesgos</w:t>
      </w:r>
      <w:r w:rsidRPr="00F875E0">
        <w:rPr>
          <w:rFonts w:ascii="Century Gothic" w:hAnsi="Century Gothic" w:cs="Arial"/>
          <w:color w:val="000000" w:themeColor="text1"/>
          <w:sz w:val="22"/>
          <w:szCs w:val="22"/>
          <w:lang w:val="es-ES_tradnl"/>
        </w:rPr>
        <w:t xml:space="preserve"> </w:t>
      </w:r>
      <w:r w:rsidRPr="00F875E0">
        <w:rPr>
          <w:rFonts w:ascii="Century Gothic" w:hAnsi="Century Gothic" w:cs="Arial"/>
          <w:i/>
          <w:iCs/>
          <w:color w:val="000000" w:themeColor="text1"/>
          <w:sz w:val="22"/>
          <w:szCs w:val="22"/>
          <w:lang w:val="es-ES_tradnl"/>
        </w:rPr>
        <w:t>asociados al contrato</w:t>
      </w:r>
      <w:r w:rsidRPr="00F875E0">
        <w:rPr>
          <w:rFonts w:ascii="Century Gothic" w:hAnsi="Century Gothic" w:cs="Arial"/>
          <w:color w:val="000000" w:themeColor="text1"/>
          <w:sz w:val="22"/>
          <w:szCs w:val="22"/>
          <w:lang w:val="es-ES_tradnl"/>
        </w:rPr>
        <w:t>, el plazo y la complejidad de ejecución del objeto</w:t>
      </w:r>
      <w:r w:rsidRPr="00F875E0">
        <w:rPr>
          <w:rStyle w:val="Refdenotaalpie"/>
          <w:rFonts w:ascii="Century Gothic" w:hAnsi="Century Gothic" w:cs="Arial"/>
          <w:bCs/>
          <w:sz w:val="22"/>
          <w:szCs w:val="22"/>
          <w:lang w:val="es-ES" w:eastAsia="es-ES_tradnl"/>
        </w:rPr>
        <w:footnoteReference w:id="10"/>
      </w:r>
      <w:r w:rsidRPr="00F875E0">
        <w:rPr>
          <w:rFonts w:ascii="Century Gothic" w:hAnsi="Century Gothic" w:cs="Arial"/>
          <w:color w:val="000000" w:themeColor="text1"/>
          <w:sz w:val="22"/>
          <w:szCs w:val="22"/>
          <w:lang w:val="es-ES_tradnl"/>
        </w:rPr>
        <w:t xml:space="preserve">. Todo porque la facultad de establecer los requisitos habilitantes no puede ejercerse de forma arbitraria, caprichosa y, </w:t>
      </w:r>
      <w:r w:rsidRPr="00F875E0">
        <w:rPr>
          <w:rFonts w:ascii="Century Gothic" w:hAnsi="Century Gothic" w:cs="Arial"/>
          <w:color w:val="000000" w:themeColor="text1"/>
          <w:sz w:val="22"/>
          <w:szCs w:val="22"/>
          <w:lang w:val="es-ES_tradnl"/>
        </w:rPr>
        <w:lastRenderedPageBreak/>
        <w:t xml:space="preserve">mucho menos, con el ánimo de direccionar el proceso de contratación o favorecer a alguno de los proponentes, así como tampoco puede ejercerse desconociendo límites legales, como, por ejemplo, el que estable el artículo 5, parágrafo 2, de la Ley 1150 de 2007, relacionado con la prohibición de exigir certificaciones de sistemas de gestión de calidad como requisito habilitante. </w:t>
      </w:r>
    </w:p>
    <w:p w14:paraId="11A9DC4F" w14:textId="660057CA" w:rsidR="001118AB" w:rsidRPr="00A466A7" w:rsidRDefault="001118AB" w:rsidP="001118AB">
      <w:pPr>
        <w:spacing w:before="120" w:after="120" w:line="276" w:lineRule="auto"/>
        <w:ind w:firstLine="709"/>
        <w:jc w:val="both"/>
        <w:rPr>
          <w:rFonts w:ascii="Century Gothic" w:hAnsi="Century Gothic" w:cs="Arial"/>
          <w:color w:val="000000" w:themeColor="text1"/>
          <w:sz w:val="22"/>
          <w:lang w:val="es-ES_tradnl"/>
        </w:rPr>
      </w:pPr>
      <w:r w:rsidRPr="00A466A7">
        <w:rPr>
          <w:rFonts w:ascii="Century Gothic" w:hAnsi="Century Gothic" w:cs="Arial"/>
          <w:color w:val="000000" w:themeColor="text1"/>
          <w:sz w:val="22"/>
          <w:lang w:val="es-ES_tradnl"/>
        </w:rPr>
        <w:t xml:space="preserve">Al respecto, en la Sentencia C-004 de 2017, la Corte Constitucional señaló que </w:t>
      </w:r>
      <w:r w:rsidR="003C0036" w:rsidRPr="003C0036">
        <w:rPr>
          <w:rFonts w:ascii="Century Gothic" w:hAnsi="Century Gothic" w:cs="Arial"/>
          <w:i/>
          <w:iCs/>
          <w:color w:val="000000" w:themeColor="text1"/>
          <w:sz w:val="22"/>
          <w:lang w:val="es-ES_tradnl"/>
        </w:rPr>
        <w:t>“</w:t>
      </w:r>
      <w:r w:rsidRPr="00A466A7">
        <w:rPr>
          <w:rFonts w:ascii="Century Gothic" w:hAnsi="Century Gothic" w:cs="Arial"/>
          <w:color w:val="000000" w:themeColor="text1"/>
          <w:sz w:val="22"/>
          <w:lang w:val="es-ES_tradnl"/>
        </w:rPr>
        <w:t>[l]a determinación de dichas condiciones habilitantes para participar, es competencia de la entidad que planee la celebración del contrato, a través de la valoración en concreto de las características mínimas de idoneidad, experiencia, capacidad jurídica y financiera para que la realización del objeto contractual resulte eficiente y eficaz frente a la necesidad identificada</w:t>
      </w:r>
      <w:r w:rsidR="003C0036" w:rsidRPr="003C0036">
        <w:rPr>
          <w:rFonts w:ascii="Century Gothic" w:hAnsi="Century Gothic" w:cs="Arial"/>
          <w:i/>
          <w:iCs/>
          <w:color w:val="000000" w:themeColor="text1"/>
          <w:sz w:val="22"/>
          <w:lang w:val="es-ES_tradnl"/>
        </w:rPr>
        <w:t>”</w:t>
      </w:r>
      <w:r w:rsidRPr="00A466A7">
        <w:rPr>
          <w:rFonts w:ascii="Century Gothic" w:hAnsi="Century Gothic" w:cs="Arial"/>
          <w:color w:val="000000" w:themeColor="text1"/>
          <w:sz w:val="22"/>
          <w:lang w:val="es-ES_tradnl"/>
        </w:rPr>
        <w:t>.</w:t>
      </w:r>
    </w:p>
    <w:p w14:paraId="3C7581A4" w14:textId="3B348E19" w:rsidR="001118AB" w:rsidRPr="00A466A7" w:rsidRDefault="001118AB" w:rsidP="001118AB">
      <w:pPr>
        <w:spacing w:before="120" w:after="120" w:line="276" w:lineRule="auto"/>
        <w:ind w:firstLine="709"/>
        <w:jc w:val="both"/>
        <w:rPr>
          <w:rFonts w:ascii="Century Gothic" w:hAnsi="Century Gothic" w:cs="Arial"/>
          <w:color w:val="000000" w:themeColor="text1"/>
          <w:sz w:val="22"/>
          <w:lang w:val="es-ES_tradnl"/>
        </w:rPr>
      </w:pPr>
      <w:r w:rsidRPr="00A466A7">
        <w:rPr>
          <w:rFonts w:ascii="Century Gothic" w:hAnsi="Century Gothic" w:cs="Arial"/>
          <w:color w:val="000000" w:themeColor="text1"/>
          <w:sz w:val="22"/>
          <w:lang w:val="es-ES_tradnl"/>
        </w:rPr>
        <w:t xml:space="preserve">El </w:t>
      </w:r>
      <w:r w:rsidRPr="00A466A7">
        <w:rPr>
          <w:rFonts w:ascii="Century Gothic" w:hAnsi="Century Gothic" w:cs="Arial"/>
          <w:i/>
          <w:iCs/>
          <w:color w:val="000000" w:themeColor="text1"/>
          <w:sz w:val="22"/>
          <w:lang w:val="es-ES_tradnl"/>
        </w:rPr>
        <w:t>principio de autonomía de la voluntad</w:t>
      </w:r>
      <w:r w:rsidRPr="00A466A7">
        <w:rPr>
          <w:rFonts w:ascii="Century Gothic" w:hAnsi="Century Gothic" w:cs="Arial"/>
          <w:color w:val="000000" w:themeColor="text1"/>
          <w:sz w:val="22"/>
          <w:lang w:val="es-ES_tradnl"/>
        </w:rPr>
        <w:t xml:space="preserve">, reconocido en los artículos 13, 32 y 40 de la Ley 80 de 1993 para las entidades sometidas a esta, y en el artículo 1602 del Código Civil, para las exceptuadas de aquella, actúa entonces como el fundamento normativo que otorga a las entidades estatales competencia para que puedan solicitar requisitos habilitantes adicionales o diferentes a los establecidos en el numeral 1º del artículo 5 de la Ley 1150 de 2007. En realidad, lo que este numeral establece es una limitación a la discrecionalidad administrativa para la estipulación de los requisitos de participación, bajo la óptica de </w:t>
      </w:r>
      <w:r w:rsidR="0028229E" w:rsidRPr="00A466A7">
        <w:rPr>
          <w:rFonts w:ascii="Century Gothic" w:hAnsi="Century Gothic" w:cs="Arial"/>
          <w:color w:val="000000" w:themeColor="text1"/>
          <w:sz w:val="22"/>
          <w:lang w:val="es-ES_tradnl"/>
        </w:rPr>
        <w:t>que,</w:t>
      </w:r>
      <w:r w:rsidRPr="00A466A7">
        <w:rPr>
          <w:rFonts w:ascii="Century Gothic" w:hAnsi="Century Gothic" w:cs="Arial"/>
          <w:color w:val="000000" w:themeColor="text1"/>
          <w:sz w:val="22"/>
          <w:lang w:val="es-ES_tradnl"/>
        </w:rPr>
        <w:t xml:space="preserve"> si se incluyen los que aquel prevé, por regla general, no otorgan puntaje; pero tal enunciado no ha de interpretarse en el sentido de que las entidades solo pueden exigir, única y exclusivamente, dichos requisitos habilitantes. Esto en la medida que además de los argumentos que ya se han planteado, esa lectura negaría la autonomía reconocida en el Estatuto General de Contratación de la Administración Pública a los órganos del Estado para confeccionar el pliego de condiciones o los documentos equivalentes y, específicamente, para definir los requisitos que deben reunir los oferentes, según los factores advertidos durante los estudios previos, en armonía con los principios de legalidad y proporcionalidad.</w:t>
      </w:r>
    </w:p>
    <w:p w14:paraId="02FB3A3D" w14:textId="4E076D9C" w:rsidR="001118AB" w:rsidRDefault="001118AB" w:rsidP="001118AB">
      <w:pPr>
        <w:spacing w:before="120" w:line="276" w:lineRule="auto"/>
        <w:ind w:firstLine="709"/>
        <w:jc w:val="both"/>
        <w:rPr>
          <w:rFonts w:ascii="Century Gothic" w:eastAsia="Calibri" w:hAnsi="Century Gothic" w:cs="Arial"/>
          <w:color w:val="000000" w:themeColor="text1"/>
          <w:sz w:val="22"/>
          <w:lang w:val="es-ES_tradnl"/>
        </w:rPr>
      </w:pPr>
      <w:r w:rsidRPr="00A466A7">
        <w:rPr>
          <w:rFonts w:ascii="Century Gothic" w:eastAsia="Calibri" w:hAnsi="Century Gothic" w:cs="Arial"/>
          <w:color w:val="000000" w:themeColor="text1"/>
          <w:sz w:val="22"/>
          <w:lang w:val="es-ES_tradnl"/>
        </w:rPr>
        <w:t xml:space="preserve">Considerando la discrecionalidad para establecer requisitos habilitantes, es necesario tener en cuenta que </w:t>
      </w:r>
      <w:r w:rsidRPr="00A466A7">
        <w:rPr>
          <w:rFonts w:ascii="Century Gothic" w:eastAsia="Calibri" w:hAnsi="Century Gothic" w:cs="Arial"/>
          <w:sz w:val="22"/>
        </w:rPr>
        <w:t xml:space="preserve">el artículo 44 de la Ley 1437 de 2011 –aplicable en los procedimientos contractuales en virtud del artículo 77 de la Ley 80 de 1993– dispone que </w:t>
      </w:r>
      <w:r w:rsidR="003C0036" w:rsidRPr="003C0036">
        <w:rPr>
          <w:rFonts w:ascii="Century Gothic" w:eastAsia="Calibri" w:hAnsi="Century Gothic" w:cs="Arial"/>
          <w:i/>
          <w:iCs/>
          <w:sz w:val="22"/>
        </w:rPr>
        <w:t>“</w:t>
      </w:r>
      <w:r w:rsidRPr="00A466A7">
        <w:rPr>
          <w:rFonts w:ascii="Century Gothic" w:eastAsia="Calibri" w:hAnsi="Century Gothic" w:cs="Arial"/>
          <w:sz w:val="22"/>
        </w:rPr>
        <w:t>En la medida en que el contenido de una decisión de carácter general o particular sea discrecional, debe ser adecuada a los fines de la norma que la autoriza, y proporcional a los hechos que le sirven de causa</w:t>
      </w:r>
      <w:r w:rsidR="003C0036" w:rsidRPr="003C0036">
        <w:rPr>
          <w:rFonts w:ascii="Century Gothic" w:eastAsia="Calibri" w:hAnsi="Century Gothic" w:cs="Arial"/>
          <w:i/>
          <w:iCs/>
          <w:sz w:val="22"/>
        </w:rPr>
        <w:t>”</w:t>
      </w:r>
      <w:r w:rsidRPr="00A466A7">
        <w:rPr>
          <w:rFonts w:ascii="Century Gothic" w:eastAsia="Calibri" w:hAnsi="Century Gothic" w:cs="Arial"/>
          <w:sz w:val="22"/>
        </w:rPr>
        <w:t xml:space="preserve">. Dado lo anterior, para efectos de configurar requisitos habilitantes como </w:t>
      </w:r>
      <w:r w:rsidR="0028229E">
        <w:rPr>
          <w:rFonts w:ascii="Century Gothic" w:eastAsia="Calibri" w:hAnsi="Century Gothic" w:cs="Arial"/>
          <w:sz w:val="22"/>
        </w:rPr>
        <w:t>los expuesto</w:t>
      </w:r>
      <w:r w:rsidR="00410887">
        <w:rPr>
          <w:rFonts w:ascii="Century Gothic" w:eastAsia="Calibri" w:hAnsi="Century Gothic" w:cs="Arial"/>
          <w:sz w:val="22"/>
        </w:rPr>
        <w:t>s</w:t>
      </w:r>
      <w:r w:rsidR="0028229E">
        <w:rPr>
          <w:rFonts w:ascii="Century Gothic" w:eastAsia="Calibri" w:hAnsi="Century Gothic" w:cs="Arial"/>
          <w:sz w:val="22"/>
        </w:rPr>
        <w:t xml:space="preserve"> en los numerales 1 y 2 de</w:t>
      </w:r>
      <w:r w:rsidRPr="00A466A7">
        <w:rPr>
          <w:rFonts w:ascii="Century Gothic" w:eastAsia="Calibri" w:hAnsi="Century Gothic" w:cs="Arial"/>
          <w:sz w:val="22"/>
        </w:rPr>
        <w:t xml:space="preserve"> la consulta, la </w:t>
      </w:r>
      <w:r w:rsidR="0028229E">
        <w:rPr>
          <w:rFonts w:ascii="Century Gothic" w:eastAsia="Calibri" w:hAnsi="Century Gothic" w:cs="Arial"/>
          <w:sz w:val="22"/>
        </w:rPr>
        <w:t xml:space="preserve">Entidad Estatal tiene </w:t>
      </w:r>
      <w:r w:rsidRPr="00A466A7">
        <w:rPr>
          <w:rFonts w:ascii="Century Gothic" w:eastAsia="Calibri" w:hAnsi="Century Gothic" w:cs="Arial"/>
          <w:sz w:val="22"/>
        </w:rPr>
        <w:t>la carga</w:t>
      </w:r>
      <w:r w:rsidR="0028229E">
        <w:rPr>
          <w:rFonts w:ascii="Century Gothic" w:eastAsia="Calibri" w:hAnsi="Century Gothic" w:cs="Arial"/>
          <w:sz w:val="22"/>
        </w:rPr>
        <w:t xml:space="preserve"> de</w:t>
      </w:r>
      <w:r w:rsidRPr="00A466A7">
        <w:rPr>
          <w:rFonts w:ascii="Century Gothic" w:eastAsia="Calibri" w:hAnsi="Century Gothic" w:cs="Arial"/>
          <w:sz w:val="22"/>
        </w:rPr>
        <w:t xml:space="preserve"> justifica</w:t>
      </w:r>
      <w:r w:rsidR="0028229E">
        <w:rPr>
          <w:rFonts w:ascii="Century Gothic" w:eastAsia="Calibri" w:hAnsi="Century Gothic" w:cs="Arial"/>
          <w:sz w:val="22"/>
        </w:rPr>
        <w:t xml:space="preserve">r </w:t>
      </w:r>
      <w:r w:rsidRPr="00A466A7">
        <w:rPr>
          <w:rFonts w:ascii="Century Gothic" w:eastAsia="Calibri" w:hAnsi="Century Gothic" w:cs="Arial"/>
          <w:sz w:val="22"/>
        </w:rPr>
        <w:t xml:space="preserve">en </w:t>
      </w:r>
      <w:r w:rsidRPr="00A466A7">
        <w:rPr>
          <w:rFonts w:ascii="Century Gothic" w:eastAsia="Calibri" w:hAnsi="Century Gothic" w:cs="Arial"/>
          <w:sz w:val="22"/>
        </w:rPr>
        <w:lastRenderedPageBreak/>
        <w:t>los estudios previos y análisis del sector del proceso de selección</w:t>
      </w:r>
      <w:r w:rsidR="0028229E">
        <w:rPr>
          <w:rFonts w:ascii="Century Gothic" w:eastAsia="Calibri" w:hAnsi="Century Gothic" w:cs="Arial"/>
          <w:sz w:val="22"/>
        </w:rPr>
        <w:t xml:space="preserve"> su </w:t>
      </w:r>
      <w:r w:rsidR="000C3895">
        <w:rPr>
          <w:rFonts w:ascii="Century Gothic" w:eastAsia="Calibri" w:hAnsi="Century Gothic" w:cs="Arial"/>
          <w:sz w:val="22"/>
        </w:rPr>
        <w:t>procedencia</w:t>
      </w:r>
      <w:r w:rsidRPr="00A466A7">
        <w:rPr>
          <w:rFonts w:ascii="Century Gothic" w:eastAsia="Calibri" w:hAnsi="Century Gothic" w:cs="Arial"/>
          <w:sz w:val="22"/>
        </w:rPr>
        <w:t>, de conformidad con el artículo</w:t>
      </w:r>
      <w:r w:rsidRPr="00A466A7">
        <w:rPr>
          <w:rFonts w:ascii="Century Gothic" w:eastAsia="Calibri" w:hAnsi="Century Gothic" w:cs="Arial"/>
          <w:color w:val="000000" w:themeColor="text1"/>
          <w:sz w:val="22"/>
          <w:lang w:val="es-ES_tradnl"/>
        </w:rPr>
        <w:t xml:space="preserve"> 2.2.1.1.1.6.2 del Decreto 1082 de 2015.</w:t>
      </w:r>
    </w:p>
    <w:p w14:paraId="3B844617" w14:textId="1C04B648" w:rsidR="00054FCF" w:rsidRDefault="0008695F" w:rsidP="00B8632D">
      <w:pPr>
        <w:spacing w:before="120" w:line="276" w:lineRule="auto"/>
        <w:ind w:firstLine="709"/>
        <w:jc w:val="both"/>
        <w:rPr>
          <w:rFonts w:ascii="Century Gothic" w:eastAsia="Calibri" w:hAnsi="Century Gothic" w:cs="Arial"/>
          <w:color w:val="000000" w:themeColor="text1"/>
          <w:sz w:val="22"/>
          <w:lang w:val="es-ES_tradnl"/>
        </w:rPr>
      </w:pPr>
      <w:r w:rsidRPr="0008695F">
        <w:rPr>
          <w:rFonts w:ascii="Century Gothic" w:eastAsia="Calibri" w:hAnsi="Century Gothic" w:cs="Arial"/>
          <w:color w:val="000000" w:themeColor="text1"/>
          <w:sz w:val="22"/>
          <w:lang w:val="es-ES_tradnl"/>
        </w:rPr>
        <w:t xml:space="preserve">Ahora bien, </w:t>
      </w:r>
      <w:r w:rsidR="00B8632D">
        <w:rPr>
          <w:rFonts w:ascii="Century Gothic" w:eastAsia="Calibri" w:hAnsi="Century Gothic" w:cs="Arial"/>
          <w:color w:val="000000" w:themeColor="text1"/>
          <w:sz w:val="22"/>
          <w:lang w:val="es-ES_tradnl"/>
        </w:rPr>
        <w:t xml:space="preserve">respecto de </w:t>
      </w:r>
      <w:r w:rsidR="000B64E0">
        <w:rPr>
          <w:rFonts w:ascii="Century Gothic" w:eastAsia="Calibri" w:hAnsi="Century Gothic" w:cs="Arial"/>
          <w:color w:val="000000" w:themeColor="text1"/>
          <w:sz w:val="22"/>
          <w:lang w:val="es-ES_tradnl"/>
        </w:rPr>
        <w:t xml:space="preserve">los otros requisitos expuestos en el numeral 3 de la consulta, que a consideración del solicitando no acreditan ningún requisito habilitante, y por el contrario, pueden encasillarse en verificaciones que por </w:t>
      </w:r>
      <w:r w:rsidRPr="0008695F">
        <w:rPr>
          <w:rFonts w:ascii="Century Gothic" w:eastAsia="Calibri" w:hAnsi="Century Gothic" w:cs="Arial"/>
          <w:color w:val="000000" w:themeColor="text1"/>
          <w:sz w:val="22"/>
          <w:lang w:val="es-ES_tradnl"/>
        </w:rPr>
        <w:t xml:space="preserve">disposición </w:t>
      </w:r>
      <w:r w:rsidR="000B64E0">
        <w:rPr>
          <w:rFonts w:ascii="Century Gothic" w:eastAsia="Calibri" w:hAnsi="Century Gothic" w:cs="Arial"/>
          <w:color w:val="000000" w:themeColor="text1"/>
          <w:sz w:val="22"/>
          <w:lang w:val="es-ES_tradnl"/>
        </w:rPr>
        <w:t xml:space="preserve">legal deben </w:t>
      </w:r>
      <w:r w:rsidRPr="0008695F">
        <w:rPr>
          <w:rFonts w:ascii="Century Gothic" w:eastAsia="Calibri" w:hAnsi="Century Gothic" w:cs="Arial"/>
          <w:color w:val="000000" w:themeColor="text1"/>
          <w:sz w:val="22"/>
          <w:lang w:val="es-ES_tradnl"/>
        </w:rPr>
        <w:t>cumpli</w:t>
      </w:r>
      <w:r w:rsidR="000B64E0">
        <w:rPr>
          <w:rFonts w:ascii="Century Gothic" w:eastAsia="Calibri" w:hAnsi="Century Gothic" w:cs="Arial"/>
          <w:color w:val="000000" w:themeColor="text1"/>
          <w:sz w:val="22"/>
          <w:lang w:val="es-ES_tradnl"/>
        </w:rPr>
        <w:t>r</w:t>
      </w:r>
      <w:r w:rsidRPr="0008695F">
        <w:rPr>
          <w:rFonts w:ascii="Century Gothic" w:eastAsia="Calibri" w:hAnsi="Century Gothic" w:cs="Arial"/>
          <w:color w:val="000000" w:themeColor="text1"/>
          <w:sz w:val="22"/>
          <w:lang w:val="es-ES_tradnl"/>
        </w:rPr>
        <w:t xml:space="preserve"> las empresas</w:t>
      </w:r>
      <w:r w:rsidR="000B64E0">
        <w:rPr>
          <w:rFonts w:ascii="Century Gothic" w:eastAsia="Calibri" w:hAnsi="Century Gothic" w:cs="Arial"/>
          <w:color w:val="000000" w:themeColor="text1"/>
          <w:sz w:val="22"/>
          <w:lang w:val="es-ES_tradnl"/>
        </w:rPr>
        <w:t>, como por ejemplo, el a</w:t>
      </w:r>
      <w:r w:rsidRPr="0008695F">
        <w:rPr>
          <w:rFonts w:ascii="Century Gothic" w:eastAsia="Calibri" w:hAnsi="Century Gothic" w:cs="Arial"/>
          <w:color w:val="000000" w:themeColor="text1"/>
          <w:sz w:val="22"/>
          <w:lang w:val="es-ES_tradnl"/>
        </w:rPr>
        <w:t xml:space="preserve">creditar el cumplimiento del Sistema de Gestión de Seguridad y Salud en el Trabajo, </w:t>
      </w:r>
      <w:r w:rsidR="000B64E0">
        <w:rPr>
          <w:rFonts w:ascii="Century Gothic" w:eastAsia="Calibri" w:hAnsi="Century Gothic" w:cs="Arial"/>
          <w:color w:val="000000" w:themeColor="text1"/>
          <w:sz w:val="22"/>
          <w:lang w:val="es-ES_tradnl"/>
        </w:rPr>
        <w:t xml:space="preserve">esta Agencia ha indicado que </w:t>
      </w:r>
      <w:r w:rsidRPr="0008695F">
        <w:rPr>
          <w:rFonts w:ascii="Century Gothic" w:eastAsia="Calibri" w:hAnsi="Century Gothic" w:cs="Arial"/>
          <w:color w:val="000000" w:themeColor="text1"/>
          <w:sz w:val="22"/>
          <w:lang w:val="es-ES_tradnl"/>
        </w:rPr>
        <w:t xml:space="preserve">las Entidades Estatales al momento de realizar sus Procesos de Contratación, </w:t>
      </w:r>
      <w:r w:rsidR="00073B18">
        <w:rPr>
          <w:rFonts w:ascii="Century Gothic" w:eastAsia="Calibri" w:hAnsi="Century Gothic" w:cs="Arial"/>
          <w:color w:val="000000" w:themeColor="text1"/>
          <w:sz w:val="22"/>
          <w:lang w:val="es-ES_tradnl"/>
        </w:rPr>
        <w:t>podrán</w:t>
      </w:r>
      <w:r w:rsidRPr="0008695F">
        <w:rPr>
          <w:rFonts w:ascii="Century Gothic" w:eastAsia="Calibri" w:hAnsi="Century Gothic" w:cs="Arial"/>
          <w:color w:val="000000" w:themeColor="text1"/>
          <w:sz w:val="22"/>
          <w:lang w:val="es-ES_tradnl"/>
        </w:rPr>
        <w:t xml:space="preserve"> establecer</w:t>
      </w:r>
      <w:r w:rsidR="00073B18">
        <w:rPr>
          <w:rFonts w:ascii="Century Gothic" w:eastAsia="Calibri" w:hAnsi="Century Gothic" w:cs="Arial"/>
          <w:color w:val="000000" w:themeColor="text1"/>
          <w:sz w:val="22"/>
          <w:lang w:val="es-ES_tradnl"/>
        </w:rPr>
        <w:t xml:space="preserve"> reglas que les </w:t>
      </w:r>
      <w:r w:rsidRPr="0008695F">
        <w:rPr>
          <w:rFonts w:ascii="Century Gothic" w:eastAsia="Calibri" w:hAnsi="Century Gothic" w:cs="Arial"/>
          <w:color w:val="000000" w:themeColor="text1"/>
          <w:sz w:val="22"/>
          <w:lang w:val="es-ES_tradnl"/>
        </w:rPr>
        <w:t xml:space="preserve">permitan conocer que el proponente a contratar cuenta con </w:t>
      </w:r>
      <w:r w:rsidR="004705CB">
        <w:rPr>
          <w:rFonts w:ascii="Century Gothic" w:eastAsia="Calibri" w:hAnsi="Century Gothic" w:cs="Arial"/>
          <w:color w:val="000000" w:themeColor="text1"/>
          <w:sz w:val="22"/>
          <w:lang w:val="es-ES_tradnl"/>
        </w:rPr>
        <w:t xml:space="preserve">el cumplimiento de </w:t>
      </w:r>
      <w:r w:rsidRPr="0008695F">
        <w:rPr>
          <w:rFonts w:ascii="Century Gothic" w:eastAsia="Calibri" w:hAnsi="Century Gothic" w:cs="Arial"/>
          <w:color w:val="000000" w:themeColor="text1"/>
          <w:sz w:val="22"/>
          <w:lang w:val="es-ES_tradnl"/>
        </w:rPr>
        <w:t>dicho requisito</w:t>
      </w:r>
      <w:r w:rsidR="00893DBD">
        <w:rPr>
          <w:rFonts w:ascii="Century Gothic" w:eastAsia="Calibri" w:hAnsi="Century Gothic" w:cs="Arial"/>
          <w:color w:val="000000" w:themeColor="text1"/>
          <w:sz w:val="22"/>
          <w:lang w:val="es-ES_tradnl"/>
        </w:rPr>
        <w:t xml:space="preserve"> e incluso como obligaciones contractuales a cargo del contratista</w:t>
      </w:r>
      <w:r w:rsidR="004705CB">
        <w:rPr>
          <w:rFonts w:ascii="Century Gothic" w:eastAsia="Calibri" w:hAnsi="Century Gothic" w:cs="Arial"/>
          <w:color w:val="000000" w:themeColor="text1"/>
          <w:sz w:val="22"/>
          <w:lang w:val="es-ES_tradnl"/>
        </w:rPr>
        <w:t xml:space="preserve"> y a verificar por el supervisor o interventor del contrato</w:t>
      </w:r>
      <w:r w:rsidRPr="0008695F">
        <w:rPr>
          <w:rFonts w:ascii="Century Gothic" w:eastAsia="Calibri" w:hAnsi="Century Gothic" w:cs="Arial"/>
          <w:color w:val="000000" w:themeColor="text1"/>
          <w:sz w:val="22"/>
          <w:lang w:val="es-ES_tradnl"/>
        </w:rPr>
        <w:t>, pero en todo caso,</w:t>
      </w:r>
      <w:r w:rsidR="00054FCF">
        <w:rPr>
          <w:rFonts w:ascii="Century Gothic" w:eastAsia="Calibri" w:hAnsi="Century Gothic" w:cs="Arial"/>
          <w:color w:val="000000" w:themeColor="text1"/>
          <w:sz w:val="22"/>
          <w:lang w:val="es-ES_tradnl"/>
        </w:rPr>
        <w:t xml:space="preserve"> se recomienda</w:t>
      </w:r>
      <w:r w:rsidRPr="0008695F">
        <w:rPr>
          <w:rFonts w:ascii="Century Gothic" w:eastAsia="Calibri" w:hAnsi="Century Gothic" w:cs="Arial"/>
          <w:color w:val="000000" w:themeColor="text1"/>
          <w:sz w:val="22"/>
          <w:lang w:val="es-ES_tradnl"/>
        </w:rPr>
        <w:t xml:space="preserve"> no </w:t>
      </w:r>
      <w:r w:rsidR="00054FCF">
        <w:rPr>
          <w:rFonts w:ascii="Century Gothic" w:eastAsia="Calibri" w:hAnsi="Century Gothic" w:cs="Arial"/>
          <w:color w:val="000000" w:themeColor="text1"/>
          <w:sz w:val="22"/>
          <w:lang w:val="es-ES_tradnl"/>
        </w:rPr>
        <w:t>disponer dicho requisito a título de</w:t>
      </w:r>
      <w:r w:rsidRPr="0008695F">
        <w:rPr>
          <w:rFonts w:ascii="Century Gothic" w:eastAsia="Calibri" w:hAnsi="Century Gothic" w:cs="Arial"/>
          <w:color w:val="000000" w:themeColor="text1"/>
          <w:sz w:val="22"/>
          <w:lang w:val="es-ES_tradnl"/>
        </w:rPr>
        <w:t xml:space="preserve"> habilitante</w:t>
      </w:r>
      <w:r w:rsidR="00073B18">
        <w:rPr>
          <w:rFonts w:ascii="Century Gothic" w:eastAsia="Calibri" w:hAnsi="Century Gothic" w:cs="Arial"/>
          <w:color w:val="000000" w:themeColor="text1"/>
          <w:sz w:val="22"/>
          <w:lang w:val="es-ES_tradnl"/>
        </w:rPr>
        <w:t>,</w:t>
      </w:r>
      <w:r w:rsidR="00054FCF">
        <w:rPr>
          <w:rFonts w:ascii="Century Gothic" w:eastAsia="Calibri" w:hAnsi="Century Gothic" w:cs="Arial"/>
          <w:color w:val="000000" w:themeColor="text1"/>
          <w:sz w:val="22"/>
          <w:lang w:val="es-ES_tradnl"/>
        </w:rPr>
        <w:t xml:space="preserve"> dado que con él no se relacion</w:t>
      </w:r>
      <w:r w:rsidR="00AF7B42">
        <w:rPr>
          <w:rFonts w:ascii="Century Gothic" w:eastAsia="Calibri" w:hAnsi="Century Gothic" w:cs="Arial"/>
          <w:color w:val="000000" w:themeColor="text1"/>
          <w:sz w:val="22"/>
          <w:lang w:val="es-ES_tradnl"/>
        </w:rPr>
        <w:t>a o acredita</w:t>
      </w:r>
      <w:r w:rsidR="00054FCF">
        <w:rPr>
          <w:rFonts w:ascii="Century Gothic" w:eastAsia="Calibri" w:hAnsi="Century Gothic" w:cs="Arial"/>
          <w:color w:val="000000" w:themeColor="text1"/>
          <w:sz w:val="22"/>
          <w:lang w:val="es-ES_tradnl"/>
        </w:rPr>
        <w:t xml:space="preserve"> </w:t>
      </w:r>
      <w:r w:rsidR="008B346A">
        <w:rPr>
          <w:rFonts w:ascii="Century Gothic" w:eastAsia="Calibri" w:hAnsi="Century Gothic" w:cs="Arial"/>
          <w:color w:val="000000" w:themeColor="text1"/>
          <w:sz w:val="22"/>
          <w:lang w:val="es-ES_tradnl"/>
        </w:rPr>
        <w:t xml:space="preserve">ningún criterio de </w:t>
      </w:r>
      <w:r w:rsidR="00054FCF">
        <w:rPr>
          <w:rFonts w:ascii="Century Gothic" w:eastAsia="Calibri" w:hAnsi="Century Gothic" w:cs="Arial"/>
          <w:color w:val="000000" w:themeColor="text1"/>
          <w:sz w:val="22"/>
          <w:lang w:val="es-ES_tradnl"/>
        </w:rPr>
        <w:t>capacidad</w:t>
      </w:r>
      <w:r w:rsidR="00AF7B42">
        <w:rPr>
          <w:rFonts w:ascii="Century Gothic" w:eastAsia="Calibri" w:hAnsi="Century Gothic" w:cs="Arial"/>
          <w:color w:val="000000" w:themeColor="text1"/>
          <w:sz w:val="22"/>
          <w:lang w:val="es-ES_tradnl"/>
        </w:rPr>
        <w:t xml:space="preserve"> del proponente para ejecutar el contrato</w:t>
      </w:r>
      <w:r w:rsidR="00054FCF">
        <w:rPr>
          <w:rFonts w:ascii="Century Gothic" w:eastAsia="Calibri" w:hAnsi="Century Gothic" w:cs="Arial"/>
          <w:color w:val="000000" w:themeColor="text1"/>
          <w:sz w:val="22"/>
          <w:lang w:val="es-ES_tradnl"/>
        </w:rPr>
        <w:t xml:space="preserve">. </w:t>
      </w:r>
      <w:r w:rsidR="00073B18">
        <w:rPr>
          <w:rFonts w:ascii="Century Gothic" w:eastAsia="Calibri" w:hAnsi="Century Gothic" w:cs="Arial"/>
          <w:color w:val="000000" w:themeColor="text1"/>
          <w:sz w:val="22"/>
          <w:lang w:val="es-ES_tradnl"/>
        </w:rPr>
        <w:t xml:space="preserve"> </w:t>
      </w:r>
    </w:p>
    <w:p w14:paraId="7AF5D879" w14:textId="675C7CEE" w:rsidR="001118AB" w:rsidRPr="00A466A7" w:rsidRDefault="001118AB" w:rsidP="00F90C2E">
      <w:pPr>
        <w:spacing w:before="120" w:after="240" w:line="276" w:lineRule="auto"/>
        <w:ind w:firstLine="709"/>
        <w:jc w:val="both"/>
        <w:rPr>
          <w:rFonts w:ascii="Century Gothic" w:eastAsia="Calibri" w:hAnsi="Century Gothic" w:cs="Arial"/>
          <w:bCs/>
          <w:sz w:val="22"/>
          <w:lang w:val="es-ES_tradnl"/>
        </w:rPr>
      </w:pPr>
      <w:r w:rsidRPr="00A466A7">
        <w:rPr>
          <w:rFonts w:ascii="Century Gothic" w:eastAsia="Calibri" w:hAnsi="Century Gothic" w:cs="Arial"/>
          <w:color w:val="000000" w:themeColor="text1"/>
          <w:sz w:val="22"/>
          <w:lang w:val="es-ES_tradnl"/>
        </w:rPr>
        <w:t>Como conclusión de lo anterior, puede decirse que aunque la Ley 1150 de 2007 estableció unos requisitos habilitantes para los proponentes: la capacidad jurídica, las condiciones de experiencia, la capacidad financiera y la capacidad de organización, lo cierto es que los mismos no son taxativos; que los requisitos habilitantes deben ser establecidos por la entidad en cada proceso contractual</w:t>
      </w:r>
      <w:r w:rsidR="008676CF">
        <w:rPr>
          <w:rFonts w:ascii="Century Gothic" w:eastAsia="Calibri" w:hAnsi="Century Gothic" w:cs="Arial"/>
          <w:color w:val="000000" w:themeColor="text1"/>
          <w:sz w:val="22"/>
          <w:lang w:val="es-ES_tradnl"/>
        </w:rPr>
        <w:t xml:space="preserve">, debidamente justificados y </w:t>
      </w:r>
      <w:r w:rsidRPr="00A466A7">
        <w:rPr>
          <w:rFonts w:ascii="Century Gothic" w:eastAsia="Calibri" w:hAnsi="Century Gothic" w:cs="Arial"/>
          <w:color w:val="000000" w:themeColor="text1"/>
          <w:sz w:val="22"/>
          <w:lang w:val="es-ES_tradnl"/>
        </w:rPr>
        <w:t xml:space="preserve">de acuerdo con los parámetros fijados en el Decreto 1082 de 2015; </w:t>
      </w:r>
      <w:r w:rsidR="008676CF">
        <w:rPr>
          <w:rFonts w:ascii="Century Gothic" w:eastAsia="Calibri" w:hAnsi="Century Gothic" w:cs="Arial"/>
          <w:color w:val="000000" w:themeColor="text1"/>
          <w:sz w:val="22"/>
          <w:lang w:val="es-ES_tradnl"/>
        </w:rPr>
        <w:t xml:space="preserve">y </w:t>
      </w:r>
      <w:r w:rsidRPr="00A466A7">
        <w:rPr>
          <w:rFonts w:ascii="Century Gothic" w:eastAsia="Calibri" w:hAnsi="Century Gothic" w:cs="Arial"/>
          <w:color w:val="000000" w:themeColor="text1"/>
          <w:sz w:val="22"/>
          <w:lang w:val="es-ES_tradnl"/>
        </w:rPr>
        <w:t xml:space="preserve">que una vez establecidos los requisitos habilitantes, quienes presenten ofertas deben acreditar que cumplen con ellos, so pena de que sus propuestas sean rechazadas. Esto sin perjuicio de la posibilidad de subsanarlas, cuando a ello haya lugar. </w:t>
      </w:r>
    </w:p>
    <w:p w14:paraId="54DC09BF" w14:textId="518AEEA0" w:rsidR="00B83E53" w:rsidRPr="00A466A7" w:rsidRDefault="00F10546" w:rsidP="00F90C2E">
      <w:pPr>
        <w:spacing w:after="240" w:line="276" w:lineRule="auto"/>
        <w:jc w:val="both"/>
        <w:rPr>
          <w:rFonts w:ascii="Century Gothic" w:hAnsi="Century Gothic" w:cs="Arial"/>
          <w:b/>
          <w:color w:val="000000" w:themeColor="text1"/>
          <w:sz w:val="22"/>
          <w:szCs w:val="22"/>
          <w:lang w:eastAsia="es-MX"/>
        </w:rPr>
      </w:pPr>
      <w:r w:rsidRPr="00A466A7">
        <w:rPr>
          <w:rFonts w:ascii="Century Gothic" w:hAnsi="Century Gothic" w:cs="Arial"/>
          <w:b/>
          <w:color w:val="000000" w:themeColor="text1"/>
          <w:sz w:val="22"/>
          <w:szCs w:val="22"/>
          <w:lang w:eastAsia="es-MX"/>
        </w:rPr>
        <w:t>2.3. E</w:t>
      </w:r>
      <w:r w:rsidR="00B83E53" w:rsidRPr="00A466A7">
        <w:rPr>
          <w:rFonts w:ascii="Century Gothic" w:hAnsi="Century Gothic" w:cs="Arial"/>
          <w:b/>
          <w:color w:val="000000" w:themeColor="text1"/>
          <w:sz w:val="22"/>
          <w:szCs w:val="22"/>
          <w:lang w:eastAsia="es-MX"/>
        </w:rPr>
        <w:t>l Registro Único de Proponente –RUP–y otros documentos que acreditan el cumplimiento de requisitos habilitantes</w:t>
      </w:r>
    </w:p>
    <w:p w14:paraId="5B26554B" w14:textId="392921A6" w:rsidR="00096D8C" w:rsidRPr="00691291" w:rsidRDefault="00096D8C" w:rsidP="00096D8C">
      <w:pPr>
        <w:spacing w:after="120" w:line="276" w:lineRule="auto"/>
        <w:jc w:val="both"/>
        <w:rPr>
          <w:rFonts w:ascii="Century Gothic" w:hAnsi="Century Gothic" w:cs="Arial"/>
          <w:sz w:val="22"/>
          <w:szCs w:val="22"/>
        </w:rPr>
      </w:pPr>
      <w:bookmarkStart w:id="2" w:name="_Hlk99548176"/>
      <w:r w:rsidRPr="00691291">
        <w:rPr>
          <w:rFonts w:ascii="Century Gothic" w:hAnsi="Century Gothic" w:cs="Arial"/>
          <w:sz w:val="22"/>
          <w:szCs w:val="22"/>
        </w:rPr>
        <w:t>En cuanto a</w:t>
      </w:r>
      <w:r w:rsidR="00390826" w:rsidRPr="00691291">
        <w:rPr>
          <w:rFonts w:ascii="Century Gothic" w:hAnsi="Century Gothic" w:cs="Arial"/>
          <w:sz w:val="22"/>
          <w:szCs w:val="22"/>
        </w:rPr>
        <w:t xml:space="preserve"> la forma para acreditar el</w:t>
      </w:r>
      <w:r w:rsidRPr="00691291">
        <w:rPr>
          <w:rFonts w:ascii="Century Gothic" w:hAnsi="Century Gothic" w:cs="Arial"/>
          <w:sz w:val="22"/>
          <w:szCs w:val="22"/>
        </w:rPr>
        <w:t xml:space="preserve"> cumplimiento de los requisitos habilitantes, las entidades estatales sometidas al Estatuto General de Contratación de la Administración Pública, en virtud de lo establecido en el artículo 5 y 6 de la Ley 1150 de 2007, están obligadas a efectuar la evaluación correspondiente teniendo en cuenta la información que reposa en el certificado del Registro Único de Proponentes –en adelante RUP–, documento que constituye plena prueba de la </w:t>
      </w:r>
      <w:r w:rsidRPr="00691291">
        <w:rPr>
          <w:rFonts w:ascii="Century Gothic" w:hAnsi="Century Gothic" w:cs="Arial"/>
          <w:sz w:val="22"/>
          <w:szCs w:val="22"/>
        </w:rPr>
        <w:lastRenderedPageBreak/>
        <w:t>información que contiene</w:t>
      </w:r>
      <w:r w:rsidRPr="00691291">
        <w:rPr>
          <w:rFonts w:ascii="Century Gothic" w:hAnsi="Century Gothic"/>
          <w:sz w:val="22"/>
          <w:szCs w:val="22"/>
          <w:vertAlign w:val="superscript"/>
        </w:rPr>
        <w:footnoteReference w:id="11"/>
      </w:r>
      <w:r w:rsidRPr="00691291">
        <w:rPr>
          <w:rFonts w:ascii="Century Gothic" w:hAnsi="Century Gothic" w:cs="Arial"/>
          <w:sz w:val="22"/>
          <w:szCs w:val="22"/>
        </w:rPr>
        <w:t xml:space="preserve">, tal como lo establece el artículo 6.1 de la Ley 1150 de 2007. Por su parte, el artículo 5.1 ibidem, al fijar los criterios que deben tener en cuenta las entidades estatales para garantizar la selección objetiva, dispone que las Cámaras de Comercio verificarán la información suministrada por las personas naturales o jurídicas para la inscripción en el Registro. </w:t>
      </w:r>
    </w:p>
    <w:bookmarkEnd w:id="2"/>
    <w:p w14:paraId="68A3165B" w14:textId="1E0C4CB7" w:rsidR="00096D8C" w:rsidRPr="00691291" w:rsidRDefault="00096D8C" w:rsidP="00096D8C">
      <w:pPr>
        <w:spacing w:after="120" w:line="276" w:lineRule="auto"/>
        <w:ind w:firstLine="708"/>
        <w:jc w:val="both"/>
        <w:rPr>
          <w:rFonts w:ascii="Century Gothic" w:hAnsi="Century Gothic" w:cs="Arial"/>
          <w:sz w:val="22"/>
          <w:szCs w:val="22"/>
        </w:rPr>
      </w:pPr>
      <w:r w:rsidRPr="00691291">
        <w:rPr>
          <w:rFonts w:ascii="Century Gothic" w:hAnsi="Century Gothic" w:cs="Arial"/>
          <w:sz w:val="22"/>
          <w:szCs w:val="22"/>
        </w:rPr>
        <w:t xml:space="preserve">Dicha información debe tenerse en cuenta por las entidades en los procedimientos de contratación en los que es exigible el RUP. Así las cosas, </w:t>
      </w:r>
      <w:r w:rsidR="00181DB8">
        <w:rPr>
          <w:rFonts w:ascii="Century Gothic" w:hAnsi="Century Gothic" w:cs="Arial"/>
          <w:sz w:val="22"/>
          <w:szCs w:val="22"/>
        </w:rPr>
        <w:t xml:space="preserve">los requisitos habilitantes </w:t>
      </w:r>
      <w:r w:rsidRPr="00691291">
        <w:rPr>
          <w:rFonts w:ascii="Century Gothic" w:hAnsi="Century Gothic" w:cs="Arial"/>
          <w:sz w:val="22"/>
          <w:szCs w:val="22"/>
        </w:rPr>
        <w:t>deberán ser verificadas exclusivamente a través del Registro Único de Proponentes, pues de acuerdo con lo expuesto, este documento es plena prueba de la información financiera, de experiencia y de capacidad acreditada por la persona natural o jurídica</w:t>
      </w:r>
      <w:r w:rsidRPr="00691291">
        <w:rPr>
          <w:rStyle w:val="Refdenotaalpie"/>
          <w:rFonts w:ascii="Century Gothic" w:hAnsi="Century Gothic" w:cs="Arial"/>
          <w:sz w:val="22"/>
          <w:szCs w:val="22"/>
        </w:rPr>
        <w:footnoteReference w:id="12"/>
      </w:r>
      <w:r w:rsidRPr="00691291">
        <w:rPr>
          <w:rFonts w:ascii="Century Gothic" w:hAnsi="Century Gothic" w:cs="Arial"/>
          <w:sz w:val="22"/>
          <w:szCs w:val="22"/>
        </w:rPr>
        <w:t xml:space="preserve">. </w:t>
      </w:r>
    </w:p>
    <w:p w14:paraId="539D816A" w14:textId="77777777" w:rsidR="00096D8C" w:rsidRPr="00691291" w:rsidRDefault="00096D8C" w:rsidP="00096D8C">
      <w:pPr>
        <w:spacing w:after="120" w:line="276" w:lineRule="auto"/>
        <w:ind w:firstLine="709"/>
        <w:jc w:val="both"/>
        <w:rPr>
          <w:rFonts w:ascii="Century Gothic" w:hAnsi="Century Gothic" w:cs="Arial"/>
          <w:sz w:val="22"/>
          <w:szCs w:val="22"/>
        </w:rPr>
      </w:pPr>
      <w:bookmarkStart w:id="3" w:name="_Hlk99548308"/>
      <w:r w:rsidRPr="00691291">
        <w:rPr>
          <w:rFonts w:ascii="Century Gothic" w:hAnsi="Century Gothic" w:cs="Arial"/>
          <w:sz w:val="22"/>
          <w:szCs w:val="22"/>
        </w:rPr>
        <w:t xml:space="preserve">No obstante, el RUP no es exigible en algunos procedimientos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w:t>
      </w:r>
      <w:r w:rsidRPr="00691291">
        <w:rPr>
          <w:rFonts w:ascii="Century Gothic" w:hAnsi="Century Gothic" w:cs="Arial"/>
          <w:sz w:val="22"/>
          <w:szCs w:val="22"/>
        </w:rPr>
        <w:lastRenderedPageBreak/>
        <w:t>requisitos habilitantes</w:t>
      </w:r>
      <w:bookmarkEnd w:id="3"/>
      <w:r w:rsidRPr="00691291">
        <w:rPr>
          <w:rStyle w:val="Refdenotaalpie"/>
          <w:rFonts w:ascii="Century Gothic" w:hAnsi="Century Gothic" w:cs="Arial"/>
          <w:sz w:val="22"/>
          <w:szCs w:val="22"/>
        </w:rPr>
        <w:footnoteReference w:id="13"/>
      </w:r>
      <w:r w:rsidRPr="00691291">
        <w:rPr>
          <w:rFonts w:ascii="Century Gothic" w:hAnsi="Century Gothic" w:cs="Arial"/>
          <w:sz w:val="22"/>
          <w:szCs w:val="22"/>
        </w:rPr>
        <w:t xml:space="preserve">. </w:t>
      </w:r>
      <w:r w:rsidRPr="00691291">
        <w:rPr>
          <w:rFonts w:ascii="Century Gothic" w:hAnsi="Century Gothic" w:cs="Arial"/>
          <w:sz w:val="22"/>
          <w:szCs w:val="22"/>
          <w:lang w:val="es-ES_tradnl"/>
        </w:rPr>
        <w:t xml:space="preserve">Estas excepciones son taxativas y se rigen por una interpretación restrictiva. Así lo dispone el artículo 2.2.1.1.1.5.1 del Decreto 1082 de 2015, al prescribir que la inscripción en el RUP es imperativa para los sujetos mencionados en el primer inciso del artículo 6 de la Ley 1150 de 2007, salvo las excepciones previstas de forma taxativa en la ley. </w:t>
      </w:r>
      <w:r w:rsidRPr="00691291">
        <w:rPr>
          <w:rFonts w:ascii="Century Gothic" w:hAnsi="Century Gothic" w:cs="Arial"/>
          <w:sz w:val="22"/>
          <w:szCs w:val="22"/>
        </w:rPr>
        <w:t>Adicionalmente, en el numeral 6.1. del artículo 6 de la Ley 1150 de 2007 establece que cuando sea necesario verificar requisitos o información que no reposa en RUP, la entidad podrá solicitar información adicional solo para complementar la información contenida en el RUP</w:t>
      </w:r>
      <w:r w:rsidRPr="00691291">
        <w:rPr>
          <w:rStyle w:val="Refdenotaalpie"/>
          <w:rFonts w:ascii="Century Gothic" w:hAnsi="Century Gothic" w:cs="Arial"/>
          <w:sz w:val="22"/>
          <w:szCs w:val="22"/>
        </w:rPr>
        <w:footnoteReference w:id="14"/>
      </w:r>
      <w:r w:rsidRPr="00691291">
        <w:rPr>
          <w:rFonts w:ascii="Century Gothic" w:hAnsi="Century Gothic" w:cs="Arial"/>
          <w:sz w:val="22"/>
          <w:szCs w:val="22"/>
        </w:rPr>
        <w:t>.</w:t>
      </w:r>
    </w:p>
    <w:p w14:paraId="5C7AAFF9" w14:textId="5AF087C0" w:rsidR="00096D8C" w:rsidRPr="00691291" w:rsidRDefault="00096D8C" w:rsidP="00096D8C">
      <w:pPr>
        <w:spacing w:after="120" w:line="276" w:lineRule="auto"/>
        <w:ind w:firstLine="709"/>
        <w:jc w:val="both"/>
        <w:rPr>
          <w:rFonts w:ascii="Century Gothic" w:eastAsia="Calibri" w:hAnsi="Century Gothic" w:cs="Arial"/>
          <w:sz w:val="22"/>
          <w:szCs w:val="22"/>
          <w:lang w:val="es-ES"/>
        </w:rPr>
      </w:pPr>
      <w:r w:rsidRPr="00691291">
        <w:rPr>
          <w:rFonts w:ascii="Century Gothic" w:eastAsia="Calibri" w:hAnsi="Century Gothic" w:cs="Arial"/>
          <w:sz w:val="22"/>
          <w:szCs w:val="22"/>
          <w:lang w:val="es-ES"/>
        </w:rPr>
        <w:t xml:space="preserve">Por tanto, las entidades que se rigen por el Estatuto General de Contratación de la Administración Pública, como regla general deben tener en cuenta el certificado del RUP en la determinación y evaluación de los requisitos habilitantes. Por su parte, las entidades exceptuadas de dicho régimen no están obligadas a utilizar el RUP, precisamente por ser un registro propio de los contratos sometidos al </w:t>
      </w:r>
      <w:r w:rsidR="00764069" w:rsidRPr="00691291">
        <w:rPr>
          <w:rFonts w:ascii="Century Gothic" w:eastAsia="Calibri" w:hAnsi="Century Gothic" w:cs="Arial"/>
          <w:sz w:val="22"/>
          <w:szCs w:val="22"/>
          <w:lang w:val="es-ES"/>
        </w:rPr>
        <w:t>EGCAP.</w:t>
      </w:r>
    </w:p>
    <w:p w14:paraId="01013AA8" w14:textId="59F15C52" w:rsidR="0025640D" w:rsidRDefault="00096D8C" w:rsidP="00096D8C">
      <w:pPr>
        <w:spacing w:after="120" w:line="276" w:lineRule="auto"/>
        <w:ind w:firstLine="709"/>
        <w:jc w:val="both"/>
        <w:rPr>
          <w:rFonts w:ascii="Century Gothic" w:eastAsia="Calibri" w:hAnsi="Century Gothic" w:cs="Arial"/>
          <w:sz w:val="22"/>
          <w:szCs w:val="22"/>
        </w:rPr>
      </w:pPr>
      <w:bookmarkStart w:id="4" w:name="_Hlk63643037"/>
      <w:r w:rsidRPr="00691291">
        <w:rPr>
          <w:rFonts w:ascii="Century Gothic" w:eastAsia="Calibri" w:hAnsi="Century Gothic" w:cs="Arial"/>
          <w:sz w:val="22"/>
          <w:szCs w:val="22"/>
        </w:rPr>
        <w:t xml:space="preserve">Sin perjuicio de lo anterior, cuando por las características del objeto a contratar y con la finalidad de acreditar una debida idoneidad y experiencia del proponente, se requieran verificar requisitos o información adicional a los contenidos en el RUP, las entidades deben hacer la verificación de forma directa. Esto también sucede en los procedimientos de selección en los cuales no es exigible el RUP, de acuerdo con lo establecido en el inciso segundo del artículo 6 de la Ley </w:t>
      </w:r>
      <w:r w:rsidRPr="00691291">
        <w:rPr>
          <w:rFonts w:ascii="Century Gothic" w:eastAsia="Calibri" w:hAnsi="Century Gothic" w:cs="Arial"/>
          <w:sz w:val="22"/>
          <w:szCs w:val="22"/>
        </w:rPr>
        <w:lastRenderedPageBreak/>
        <w:t>1150 de 2007</w:t>
      </w:r>
      <w:r w:rsidRPr="00691291">
        <w:rPr>
          <w:rStyle w:val="Refdenotaalpie"/>
          <w:rFonts w:ascii="Century Gothic" w:eastAsia="Calibri" w:hAnsi="Century Gothic" w:cs="Arial"/>
          <w:sz w:val="22"/>
          <w:szCs w:val="22"/>
        </w:rPr>
        <w:footnoteReference w:id="15"/>
      </w:r>
      <w:r w:rsidRPr="00691291">
        <w:rPr>
          <w:rFonts w:ascii="Century Gothic" w:eastAsia="Calibri" w:hAnsi="Century Gothic" w:cs="Arial"/>
          <w:sz w:val="22"/>
          <w:szCs w:val="22"/>
        </w:rPr>
        <w:t xml:space="preserve">. En ambos supuestos, la </w:t>
      </w:r>
      <w:r w:rsidR="00172DB8" w:rsidRPr="00A351C5">
        <w:rPr>
          <w:rFonts w:ascii="Century Gothic" w:eastAsia="Calibri" w:hAnsi="Century Gothic" w:cs="Arial"/>
          <w:sz w:val="22"/>
          <w:szCs w:val="22"/>
        </w:rPr>
        <w:t>Entidad Estatal</w:t>
      </w:r>
      <w:r w:rsidRPr="00691291">
        <w:rPr>
          <w:rFonts w:ascii="Century Gothic" w:eastAsia="Calibri" w:hAnsi="Century Gothic" w:cs="Arial"/>
          <w:sz w:val="22"/>
          <w:szCs w:val="22"/>
        </w:rPr>
        <w:t>, en el marco de la autonomía y la potestad de dirección que le asiste en los procesos de contratación que adelanta debe establecer en los Documentos del Proceso –particularmente en el pliego de condiciones o la invitación– los documentos o instrumentos que exigirá a los proponentes para acreditar dicha experiencia, contando con cierta discrecionalidad para establecer qu</w:t>
      </w:r>
      <w:r w:rsidR="007D5E02">
        <w:rPr>
          <w:rFonts w:ascii="Century Gothic" w:eastAsia="Calibri" w:hAnsi="Century Gothic" w:cs="Arial"/>
          <w:sz w:val="22"/>
          <w:szCs w:val="22"/>
        </w:rPr>
        <w:t>é</w:t>
      </w:r>
      <w:r w:rsidRPr="00691291">
        <w:rPr>
          <w:rFonts w:ascii="Century Gothic" w:eastAsia="Calibri" w:hAnsi="Century Gothic" w:cs="Arial"/>
          <w:sz w:val="22"/>
          <w:szCs w:val="22"/>
        </w:rPr>
        <w:t xml:space="preserve"> documentos son adecuados y proporcionales para verificar el requisito de experiencia establecido. Las entidades por ejemplo suelen requerir documentos como actas de liquidación, actas de entrega, terminación, final o de recibo definitivo, certificaciones expedidas con posterioridad a la fecha de terminación del contrato, entre otros documentos.</w:t>
      </w:r>
    </w:p>
    <w:p w14:paraId="32C593BC" w14:textId="6F8CA0C9" w:rsidR="00096D8C" w:rsidRPr="00691291" w:rsidRDefault="00096D8C" w:rsidP="00096D8C">
      <w:pPr>
        <w:spacing w:after="120" w:line="276" w:lineRule="auto"/>
        <w:ind w:firstLine="709"/>
        <w:jc w:val="both"/>
        <w:rPr>
          <w:rFonts w:ascii="Century Gothic" w:eastAsia="Calibri" w:hAnsi="Century Gothic" w:cs="Arial"/>
          <w:sz w:val="22"/>
          <w:szCs w:val="22"/>
        </w:rPr>
      </w:pPr>
      <w:r w:rsidRPr="00691291">
        <w:rPr>
          <w:rFonts w:ascii="Century Gothic" w:eastAsia="Calibri" w:hAnsi="Century Gothic" w:cs="Arial"/>
          <w:sz w:val="22"/>
          <w:szCs w:val="22"/>
        </w:rPr>
        <w:t xml:space="preserve">  </w:t>
      </w:r>
    </w:p>
    <w:bookmarkEnd w:id="4"/>
    <w:p w14:paraId="01C9CE87" w14:textId="55FC1AE9" w:rsidR="00AF2905" w:rsidRPr="00A466A7" w:rsidRDefault="00AF2905" w:rsidP="00B83E53">
      <w:pPr>
        <w:spacing w:after="240" w:line="276" w:lineRule="auto"/>
        <w:jc w:val="both"/>
        <w:rPr>
          <w:rFonts w:ascii="Century Gothic" w:hAnsi="Century Gothic" w:cs="Arial"/>
          <w:b/>
          <w:color w:val="000000" w:themeColor="text1"/>
          <w:sz w:val="22"/>
          <w:szCs w:val="22"/>
          <w:lang w:val="es-ES"/>
        </w:rPr>
      </w:pPr>
      <w:r w:rsidRPr="00A466A7">
        <w:rPr>
          <w:rFonts w:ascii="Century Gothic" w:hAnsi="Century Gothic" w:cs="Arial"/>
          <w:b/>
          <w:color w:val="000000" w:themeColor="text1"/>
          <w:sz w:val="22"/>
          <w:szCs w:val="22"/>
          <w:lang w:eastAsia="es-MX"/>
        </w:rPr>
        <w:t xml:space="preserve">2.4. </w:t>
      </w:r>
      <w:r w:rsidRPr="00A466A7">
        <w:rPr>
          <w:rFonts w:ascii="Century Gothic" w:hAnsi="Century Gothic" w:cs="Arial"/>
          <w:b/>
          <w:color w:val="000000" w:themeColor="text1"/>
          <w:sz w:val="22"/>
          <w:szCs w:val="22"/>
          <w:lang w:eastAsia="es-MX"/>
        </w:rPr>
        <w:tab/>
        <w:t>Requisitos habilitantes de la capacidad financiera y organizacional</w:t>
      </w:r>
    </w:p>
    <w:p w14:paraId="15989F74" w14:textId="77777777" w:rsidR="0068463E" w:rsidRPr="007E28D7" w:rsidRDefault="0068463E" w:rsidP="007E28D7">
      <w:pPr>
        <w:spacing w:before="120" w:after="120" w:line="276" w:lineRule="auto"/>
        <w:jc w:val="both"/>
        <w:rPr>
          <w:rFonts w:ascii="Century Gothic" w:eastAsia="Calibri" w:hAnsi="Century Gothic" w:cs="Arial"/>
          <w:color w:val="000000"/>
          <w:sz w:val="22"/>
          <w:szCs w:val="22"/>
          <w:highlight w:val="yellow"/>
          <w:lang w:val="es-MX" w:eastAsia="es-ES_tradnl"/>
        </w:rPr>
      </w:pPr>
      <w:r w:rsidRPr="007E28D7">
        <w:rPr>
          <w:rFonts w:ascii="Century Gothic" w:eastAsia="Calibri" w:hAnsi="Century Gothic" w:cs="Arial"/>
          <w:color w:val="000000"/>
          <w:sz w:val="22"/>
          <w:szCs w:val="22"/>
        </w:rPr>
        <w:t>Dentro de los requisitos habilitantes se destaca la capacidad financiera y organizacional del proponente. Al respecto, la entidad, como responsable de la estructuración de su procedimiento de selección, es autónoma para requerir la capacidad financiera y la capacidad organizacional necesaria de acuerdo con el objeto contractual que se pretende satisfacer. Según el artículo 2.2.1.1.1.6.2 del Decreto 1082 de 2015, la entidad debe tener en cuenta, para la determinación de la capacidad financiera y organizacional, el estudio del sector y sus componentes como la identificación de riesgos y el mercado y precio del bien, obra o servicio a contratar</w:t>
      </w:r>
      <w:r w:rsidRPr="007E28D7">
        <w:rPr>
          <w:rFonts w:ascii="Century Gothic" w:eastAsia="Calibri" w:hAnsi="Century Gothic" w:cs="Arial"/>
          <w:color w:val="000000"/>
          <w:sz w:val="22"/>
          <w:szCs w:val="22"/>
          <w:vertAlign w:val="superscript"/>
        </w:rPr>
        <w:footnoteReference w:id="16"/>
      </w:r>
      <w:r w:rsidRPr="007E28D7">
        <w:rPr>
          <w:rFonts w:ascii="Century Gothic" w:eastAsia="Calibri" w:hAnsi="Century Gothic" w:cs="Arial"/>
          <w:color w:val="000000"/>
          <w:sz w:val="22"/>
          <w:szCs w:val="22"/>
        </w:rPr>
        <w:t>.</w:t>
      </w:r>
    </w:p>
    <w:p w14:paraId="1B29D0AD" w14:textId="569EE858" w:rsidR="0068463E" w:rsidRPr="007E28D7" w:rsidRDefault="0068463E" w:rsidP="007E28D7">
      <w:pPr>
        <w:spacing w:before="120" w:after="120" w:line="276" w:lineRule="auto"/>
        <w:ind w:firstLine="708"/>
        <w:jc w:val="both"/>
        <w:rPr>
          <w:rFonts w:ascii="Century Gothic" w:eastAsia="Calibri" w:hAnsi="Century Gothic" w:cs="Arial"/>
          <w:i/>
          <w:iCs/>
          <w:color w:val="000000"/>
          <w:sz w:val="22"/>
          <w:szCs w:val="22"/>
          <w:lang w:val="es-ES_tradnl" w:eastAsia="en-US"/>
        </w:rPr>
      </w:pPr>
      <w:r w:rsidRPr="007E28D7">
        <w:rPr>
          <w:rFonts w:ascii="Century Gothic" w:eastAsia="Calibri" w:hAnsi="Century Gothic" w:cs="Arial"/>
          <w:color w:val="000000"/>
          <w:sz w:val="22"/>
          <w:szCs w:val="22"/>
        </w:rPr>
        <w:lastRenderedPageBreak/>
        <w:t xml:space="preserve">La capacidad financiera se deriva del comportamiento contable de la empresa, su liquidez y endeudamiento, para determinar que sus recursos y solidez financiera le permita cumplir los compromisos que adquiera. </w:t>
      </w:r>
      <w:r w:rsidRPr="007E28D7">
        <w:rPr>
          <w:rFonts w:ascii="Century Gothic" w:eastAsia="Calibri" w:hAnsi="Century Gothic" w:cs="Arial"/>
          <w:color w:val="000000"/>
          <w:sz w:val="22"/>
          <w:szCs w:val="22"/>
          <w:lang w:val="es-ES_tradnl"/>
        </w:rPr>
        <w:t xml:space="preserve">Como explica la Agencia en el </w:t>
      </w:r>
      <w:r w:rsidR="00FE1956" w:rsidRPr="007E28D7">
        <w:rPr>
          <w:rFonts w:ascii="Century Gothic" w:eastAsia="Calibri" w:hAnsi="Century Gothic" w:cs="Arial"/>
          <w:color w:val="000000"/>
          <w:sz w:val="22"/>
          <w:szCs w:val="22"/>
          <w:lang w:val="es-ES_tradnl"/>
        </w:rPr>
        <w:t>“</w:t>
      </w:r>
      <w:r w:rsidRPr="007E28D7">
        <w:rPr>
          <w:rFonts w:ascii="Century Gothic" w:eastAsia="Calibri" w:hAnsi="Century Gothic" w:cs="Arial"/>
          <w:i/>
          <w:iCs/>
          <w:color w:val="000000"/>
          <w:sz w:val="22"/>
          <w:szCs w:val="22"/>
          <w:lang w:val="es-ES_tradnl"/>
        </w:rPr>
        <w:t>Manual para determinar y verificar los requisitos habilitantes en los Procesos de Contratación</w:t>
      </w:r>
      <w:r w:rsidR="00FE1956" w:rsidRPr="007E28D7">
        <w:rPr>
          <w:rFonts w:ascii="Century Gothic" w:eastAsia="Calibri" w:hAnsi="Century Gothic" w:cs="Arial"/>
          <w:i/>
          <w:iCs/>
          <w:color w:val="000000"/>
          <w:sz w:val="22"/>
          <w:szCs w:val="22"/>
          <w:lang w:val="es-ES_tradnl"/>
        </w:rPr>
        <w:t>”</w:t>
      </w:r>
      <w:r w:rsidR="007E28D7" w:rsidRPr="007E28D7">
        <w:rPr>
          <w:rFonts w:ascii="Century Gothic" w:eastAsia="Calibri" w:hAnsi="Century Gothic" w:cs="Arial"/>
          <w:color w:val="000000"/>
          <w:sz w:val="22"/>
          <w:szCs w:val="22"/>
          <w:lang w:val="es-ES_tradnl"/>
        </w:rPr>
        <w:t>, l</w:t>
      </w:r>
      <w:r w:rsidRPr="007E28D7">
        <w:rPr>
          <w:rFonts w:ascii="Century Gothic" w:eastAsia="Calibri" w:hAnsi="Century Gothic" w:cs="Arial"/>
          <w:i/>
          <w:iCs/>
          <w:color w:val="000000"/>
          <w:sz w:val="22"/>
          <w:szCs w:val="22"/>
          <w:lang w:val="es-ES_tradnl"/>
        </w:rPr>
        <w:t xml:space="preserve">os indicadores </w:t>
      </w:r>
      <w:r w:rsidRPr="005563C7">
        <w:rPr>
          <w:rFonts w:ascii="Century Gothic" w:eastAsia="Calibri" w:hAnsi="Century Gothic" w:cs="Arial"/>
          <w:color w:val="000000"/>
          <w:sz w:val="22"/>
          <w:szCs w:val="22"/>
          <w:lang w:val="es-ES_tradnl"/>
        </w:rPr>
        <w:t>de capacidad financiera</w:t>
      </w:r>
      <w:r w:rsidRPr="007E28D7">
        <w:rPr>
          <w:rFonts w:ascii="Century Gothic" w:eastAsia="Calibri" w:hAnsi="Century Gothic" w:cs="Arial"/>
          <w:i/>
          <w:iCs/>
          <w:color w:val="000000"/>
          <w:sz w:val="22"/>
          <w:szCs w:val="22"/>
          <w:lang w:val="es-ES_tradnl"/>
        </w:rPr>
        <w:t xml:space="preserve"> </w:t>
      </w:r>
      <w:r w:rsidR="005563C7">
        <w:rPr>
          <w:rFonts w:ascii="Century Gothic" w:eastAsia="Calibri" w:hAnsi="Century Gothic" w:cs="Arial"/>
          <w:i/>
          <w:iCs/>
          <w:color w:val="000000"/>
          <w:sz w:val="22"/>
          <w:szCs w:val="22"/>
          <w:lang w:val="es-ES_tradnl"/>
        </w:rPr>
        <w:t>“</w:t>
      </w:r>
      <w:r w:rsidRPr="007E28D7">
        <w:rPr>
          <w:rFonts w:ascii="Century Gothic" w:eastAsia="Calibri" w:hAnsi="Century Gothic" w:cs="Arial"/>
          <w:i/>
          <w:iCs/>
          <w:color w:val="000000"/>
          <w:sz w:val="22"/>
          <w:szCs w:val="22"/>
          <w:lang w:val="es-ES_tradnl"/>
        </w:rPr>
        <w:t>buscan establecer unas condiciones mínimas que reflejan la salud financiera de los proponentes a través de su liquidez y endeudamiento. Estas condiciones muestran la aptitud del proponente para cumplir oportuna y cabalmente el objeto del contrato</w:t>
      </w:r>
      <w:r w:rsidR="003C0036" w:rsidRPr="007E28D7">
        <w:rPr>
          <w:rFonts w:ascii="Century Gothic" w:eastAsia="Calibri" w:hAnsi="Century Gothic" w:cs="Arial"/>
          <w:i/>
          <w:iCs/>
          <w:color w:val="000000"/>
          <w:sz w:val="22"/>
          <w:szCs w:val="22"/>
          <w:lang w:val="es-ES_tradnl"/>
        </w:rPr>
        <w:t>”</w:t>
      </w:r>
      <w:r w:rsidRPr="007E28D7">
        <w:rPr>
          <w:rFonts w:ascii="Century Gothic" w:eastAsia="Calibri" w:hAnsi="Century Gothic" w:cs="Arial"/>
          <w:i/>
          <w:iCs/>
          <w:color w:val="000000"/>
          <w:sz w:val="22"/>
          <w:szCs w:val="22"/>
          <w:vertAlign w:val="superscript"/>
          <w:lang w:val="es-ES_tradnl"/>
        </w:rPr>
        <w:footnoteReference w:id="17"/>
      </w:r>
      <w:r w:rsidRPr="007E28D7">
        <w:rPr>
          <w:rFonts w:ascii="Century Gothic" w:eastAsia="Calibri" w:hAnsi="Century Gothic" w:cs="Arial"/>
          <w:i/>
          <w:iCs/>
          <w:color w:val="000000"/>
          <w:sz w:val="22"/>
          <w:szCs w:val="22"/>
          <w:lang w:val="es-ES_tradnl"/>
        </w:rPr>
        <w:t>.</w:t>
      </w:r>
      <w:r w:rsidRPr="007E28D7">
        <w:rPr>
          <w:rFonts w:ascii="Century Gothic" w:eastAsia="Calibri" w:hAnsi="Century Gothic" w:cs="Arial"/>
          <w:color w:val="000000"/>
          <w:sz w:val="22"/>
          <w:szCs w:val="22"/>
          <w:lang w:val="es-ES_tradnl"/>
        </w:rPr>
        <w:t xml:space="preserve"> La capacidad organizacional, por su parte, </w:t>
      </w:r>
      <w:r w:rsidR="003C0036" w:rsidRPr="007E28D7">
        <w:rPr>
          <w:rFonts w:ascii="Century Gothic" w:eastAsia="Calibri" w:hAnsi="Century Gothic" w:cs="Arial"/>
          <w:i/>
          <w:iCs/>
          <w:color w:val="000000"/>
          <w:sz w:val="22"/>
          <w:szCs w:val="22"/>
          <w:lang w:val="es-ES_tradnl"/>
        </w:rPr>
        <w:t>“</w:t>
      </w:r>
      <w:r w:rsidRPr="007E28D7">
        <w:rPr>
          <w:rFonts w:ascii="Century Gothic" w:eastAsia="Calibri" w:hAnsi="Century Gothic" w:cs="Arial"/>
          <w:i/>
          <w:iCs/>
          <w:color w:val="000000"/>
          <w:sz w:val="22"/>
          <w:szCs w:val="22"/>
          <w:lang w:val="es-ES_tradnl"/>
        </w:rPr>
        <w:t>[…]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003C0036" w:rsidRPr="007E28D7">
        <w:rPr>
          <w:rFonts w:ascii="Century Gothic" w:eastAsia="Calibri" w:hAnsi="Century Gothic" w:cs="Arial"/>
          <w:i/>
          <w:iCs/>
          <w:color w:val="000000"/>
          <w:sz w:val="22"/>
          <w:szCs w:val="22"/>
          <w:lang w:val="es-ES_tradnl"/>
        </w:rPr>
        <w:t>”</w:t>
      </w:r>
      <w:r w:rsidRPr="007E28D7">
        <w:rPr>
          <w:rFonts w:ascii="Century Gothic" w:eastAsia="Calibri" w:hAnsi="Century Gothic" w:cs="Arial"/>
          <w:i/>
          <w:iCs/>
          <w:color w:val="000000"/>
          <w:sz w:val="22"/>
          <w:szCs w:val="22"/>
          <w:vertAlign w:val="superscript"/>
          <w:lang w:val="es-ES_tradnl"/>
        </w:rPr>
        <w:footnoteReference w:id="18"/>
      </w:r>
      <w:r w:rsidRPr="007E28D7">
        <w:rPr>
          <w:rFonts w:ascii="Century Gothic" w:eastAsia="Calibri" w:hAnsi="Century Gothic" w:cs="Arial"/>
          <w:i/>
          <w:iCs/>
          <w:color w:val="000000"/>
          <w:sz w:val="22"/>
          <w:szCs w:val="22"/>
          <w:lang w:val="es-ES_tradnl"/>
        </w:rPr>
        <w:t xml:space="preserve">. </w:t>
      </w:r>
    </w:p>
    <w:p w14:paraId="2E3744C8" w14:textId="5044BFD3" w:rsidR="0068463E" w:rsidRPr="007E28D7" w:rsidRDefault="009D5CF7" w:rsidP="007E28D7">
      <w:pPr>
        <w:spacing w:before="120" w:after="120" w:line="276" w:lineRule="auto"/>
        <w:ind w:firstLine="709"/>
        <w:jc w:val="both"/>
        <w:rPr>
          <w:rFonts w:ascii="Century Gothic" w:eastAsia="Calibri" w:hAnsi="Century Gothic" w:cs="Arial"/>
          <w:color w:val="000000"/>
          <w:sz w:val="22"/>
          <w:szCs w:val="22"/>
          <w:lang w:val="es-ES_tradnl"/>
        </w:rPr>
      </w:pPr>
      <w:r>
        <w:rPr>
          <w:rFonts w:ascii="Century Gothic" w:eastAsia="Calibri" w:hAnsi="Century Gothic" w:cs="Arial"/>
          <w:color w:val="000000"/>
          <w:sz w:val="22"/>
          <w:szCs w:val="22"/>
          <w:lang w:val="es-ES_tradnl"/>
        </w:rPr>
        <w:t>Como se expuso previamente</w:t>
      </w:r>
      <w:r w:rsidR="0068463E" w:rsidRPr="007E28D7">
        <w:rPr>
          <w:rFonts w:ascii="Century Gothic" w:eastAsia="Calibri" w:hAnsi="Century Gothic" w:cs="Arial"/>
          <w:color w:val="000000"/>
          <w:sz w:val="22"/>
          <w:szCs w:val="22"/>
          <w:lang w:val="es-ES_tradnl"/>
        </w:rPr>
        <w:t xml:space="preserve">, </w:t>
      </w:r>
      <w:r>
        <w:rPr>
          <w:rFonts w:ascii="Century Gothic" w:eastAsia="Calibri" w:hAnsi="Century Gothic" w:cs="Arial"/>
          <w:color w:val="000000"/>
          <w:sz w:val="22"/>
          <w:szCs w:val="22"/>
          <w:lang w:val="es-ES_tradnl"/>
        </w:rPr>
        <w:t>tanto la capacidad financiera como organizacional d</w:t>
      </w:r>
      <w:r w:rsidR="0068463E" w:rsidRPr="007E28D7">
        <w:rPr>
          <w:rFonts w:ascii="Century Gothic" w:eastAsia="Calibri" w:hAnsi="Century Gothic" w:cs="Arial"/>
          <w:color w:val="000000"/>
          <w:sz w:val="22"/>
          <w:szCs w:val="22"/>
          <w:lang w:val="es-ES_tradnl"/>
        </w:rPr>
        <w:t>ebe acreditarse en el RUP</w:t>
      </w:r>
      <w:r>
        <w:rPr>
          <w:rFonts w:ascii="Century Gothic" w:eastAsia="Calibri" w:hAnsi="Century Gothic" w:cs="Arial"/>
          <w:color w:val="000000"/>
          <w:sz w:val="22"/>
          <w:szCs w:val="22"/>
          <w:lang w:val="es-ES_tradnl"/>
        </w:rPr>
        <w:t xml:space="preserve">, esto es, a través de </w:t>
      </w:r>
      <w:r w:rsidR="0068463E" w:rsidRPr="007E28D7">
        <w:rPr>
          <w:rFonts w:ascii="Century Gothic" w:eastAsia="Calibri" w:hAnsi="Century Gothic" w:cs="Arial"/>
          <w:color w:val="000000"/>
          <w:sz w:val="22"/>
          <w:szCs w:val="22"/>
          <w:lang w:val="es-ES_tradnl"/>
        </w:rPr>
        <w:t xml:space="preserve">los estados financieros del proponente, suscritos por el representante legal y el revisor fiscal, si cuenta con tales documentos. De este modo, lo que se verifica con el registro es que el proponente tenga los indicadores financieros </w:t>
      </w:r>
      <w:r w:rsidR="001B1F56">
        <w:rPr>
          <w:rFonts w:ascii="Century Gothic" w:eastAsia="Calibri" w:hAnsi="Century Gothic" w:cs="Arial"/>
          <w:color w:val="000000"/>
          <w:sz w:val="22"/>
          <w:szCs w:val="22"/>
          <w:lang w:val="es-ES_tradnl"/>
        </w:rPr>
        <w:t xml:space="preserve">y organizacionales mínimos </w:t>
      </w:r>
      <w:r w:rsidR="0068463E" w:rsidRPr="007E28D7">
        <w:rPr>
          <w:rFonts w:ascii="Century Gothic" w:eastAsia="Calibri" w:hAnsi="Century Gothic" w:cs="Arial"/>
          <w:color w:val="000000"/>
          <w:sz w:val="22"/>
          <w:szCs w:val="22"/>
          <w:lang w:val="es-ES_tradnl"/>
        </w:rPr>
        <w:t xml:space="preserve">solicitados por la entidad, que le permitan satisfacer la necesidad que se contratará una vez desarrollado el procedimiento de selección. </w:t>
      </w:r>
    </w:p>
    <w:p w14:paraId="556CDE6F" w14:textId="651840BD" w:rsidR="006D5E52" w:rsidRDefault="00515A90" w:rsidP="00CA141E">
      <w:pPr>
        <w:spacing w:before="120" w:after="120" w:line="276" w:lineRule="auto"/>
        <w:ind w:firstLine="708"/>
        <w:jc w:val="both"/>
        <w:rPr>
          <w:rFonts w:ascii="Century Gothic" w:eastAsia="Calibri" w:hAnsi="Century Gothic" w:cs="Arial"/>
          <w:color w:val="000000"/>
          <w:sz w:val="22"/>
          <w:szCs w:val="22"/>
          <w:lang w:val="es-ES_tradnl"/>
        </w:rPr>
      </w:pPr>
      <w:r>
        <w:rPr>
          <w:rFonts w:ascii="Century Gothic" w:eastAsia="Calibri" w:hAnsi="Century Gothic" w:cs="Arial"/>
          <w:color w:val="000000"/>
          <w:sz w:val="22"/>
          <w:szCs w:val="22"/>
          <w:lang w:val="es-ES_tradnl"/>
        </w:rPr>
        <w:t>A manera de ejemplo, l</w:t>
      </w:r>
      <w:r w:rsidR="0068463E" w:rsidRPr="007E28D7">
        <w:rPr>
          <w:rFonts w:ascii="Century Gothic" w:eastAsia="Calibri" w:hAnsi="Century Gothic" w:cs="Arial"/>
          <w:color w:val="000000"/>
          <w:sz w:val="22"/>
          <w:szCs w:val="22"/>
          <w:lang w:val="es-ES_tradnl"/>
        </w:rPr>
        <w:t xml:space="preserve">a Agencia puso a disposición de los interesados </w:t>
      </w:r>
      <w:r>
        <w:rPr>
          <w:rFonts w:ascii="Century Gothic" w:eastAsia="Calibri" w:hAnsi="Century Gothic" w:cs="Arial"/>
          <w:color w:val="000000"/>
          <w:sz w:val="22"/>
          <w:szCs w:val="22"/>
          <w:lang w:val="es-ES_tradnl"/>
        </w:rPr>
        <w:t xml:space="preserve">en </w:t>
      </w:r>
      <w:r w:rsidR="0068463E" w:rsidRPr="007E28D7">
        <w:rPr>
          <w:rFonts w:ascii="Century Gothic" w:eastAsia="Calibri" w:hAnsi="Century Gothic" w:cs="Arial"/>
          <w:color w:val="000000"/>
          <w:sz w:val="22"/>
          <w:szCs w:val="22"/>
          <w:lang w:val="es-ES_tradnl"/>
        </w:rPr>
        <w:t xml:space="preserve">el </w:t>
      </w:r>
      <w:r w:rsidR="003C0036" w:rsidRPr="007E28D7">
        <w:rPr>
          <w:rFonts w:ascii="Century Gothic" w:eastAsia="Calibri" w:hAnsi="Century Gothic" w:cs="Arial"/>
          <w:i/>
          <w:iCs/>
          <w:color w:val="000000"/>
          <w:sz w:val="22"/>
          <w:szCs w:val="22"/>
          <w:lang w:val="es-ES_tradnl"/>
        </w:rPr>
        <w:t>“</w:t>
      </w:r>
      <w:r w:rsidR="0068463E" w:rsidRPr="00515A90">
        <w:rPr>
          <w:rFonts w:ascii="Century Gothic" w:eastAsia="Calibri" w:hAnsi="Century Gothic" w:cs="Arial"/>
          <w:i/>
          <w:iCs/>
          <w:color w:val="000000"/>
          <w:sz w:val="22"/>
          <w:szCs w:val="22"/>
          <w:lang w:val="es-ES_tradnl"/>
        </w:rPr>
        <w:t>Manual para determinar y verificar los requisitos habilitantes en los Procesos de Contratación</w:t>
      </w:r>
      <w:r w:rsidR="003C0036" w:rsidRPr="00515A90">
        <w:rPr>
          <w:rFonts w:ascii="Century Gothic" w:eastAsia="Calibri" w:hAnsi="Century Gothic" w:cs="Arial"/>
          <w:i/>
          <w:iCs/>
          <w:color w:val="000000"/>
          <w:sz w:val="22"/>
          <w:szCs w:val="22"/>
          <w:lang w:val="es-ES_tradnl"/>
        </w:rPr>
        <w:t>”</w:t>
      </w:r>
      <w:r w:rsidR="0068463E" w:rsidRPr="007E28D7">
        <w:rPr>
          <w:rFonts w:ascii="Century Gothic" w:eastAsia="Calibri" w:hAnsi="Century Gothic" w:cs="Arial"/>
          <w:color w:val="000000"/>
          <w:sz w:val="22"/>
          <w:szCs w:val="22"/>
          <w:lang w:val="es-ES_tradnl"/>
        </w:rPr>
        <w:t xml:space="preserve"> definiciones para cada requisito habilitante </w:t>
      </w:r>
      <w:r>
        <w:rPr>
          <w:rFonts w:ascii="Century Gothic" w:eastAsia="Calibri" w:hAnsi="Century Gothic" w:cs="Arial"/>
          <w:color w:val="000000"/>
          <w:sz w:val="22"/>
          <w:szCs w:val="22"/>
          <w:lang w:val="es-ES_tradnl"/>
        </w:rPr>
        <w:t xml:space="preserve">propuesto, e </w:t>
      </w:r>
      <w:r w:rsidR="0068463E" w:rsidRPr="007E28D7">
        <w:rPr>
          <w:rFonts w:ascii="Century Gothic" w:eastAsia="Calibri" w:hAnsi="Century Gothic" w:cs="Arial"/>
          <w:color w:val="000000"/>
          <w:sz w:val="22"/>
          <w:szCs w:val="22"/>
          <w:lang w:val="es-ES_tradnl"/>
        </w:rPr>
        <w:t>indica lineamientos orientadores que las entidades pueden considerar para establecerlos,</w:t>
      </w:r>
      <w:r w:rsidR="00CA141E">
        <w:rPr>
          <w:rFonts w:ascii="Century Gothic" w:eastAsia="Calibri" w:hAnsi="Century Gothic" w:cs="Arial"/>
          <w:color w:val="000000"/>
          <w:sz w:val="22"/>
          <w:szCs w:val="22"/>
          <w:lang w:val="es-ES_tradnl"/>
        </w:rPr>
        <w:t xml:space="preserve"> siempre y cuando su inclusión sea </w:t>
      </w:r>
      <w:r w:rsidR="0068463E" w:rsidRPr="007E28D7">
        <w:rPr>
          <w:rFonts w:ascii="Century Gothic" w:eastAsia="Calibri" w:hAnsi="Century Gothic" w:cs="Arial"/>
          <w:color w:val="000000"/>
          <w:sz w:val="22"/>
          <w:szCs w:val="22"/>
          <w:lang w:val="es-ES_tradnl"/>
        </w:rPr>
        <w:t>adecuada y proporcional a la naturaleza del contrato a suscribir</w:t>
      </w:r>
      <w:r w:rsidR="00B56190">
        <w:rPr>
          <w:rFonts w:ascii="Century Gothic" w:eastAsia="Calibri" w:hAnsi="Century Gothic" w:cs="Arial"/>
          <w:color w:val="000000"/>
          <w:sz w:val="22"/>
          <w:szCs w:val="22"/>
          <w:lang w:val="es-ES_tradnl"/>
        </w:rPr>
        <w:t xml:space="preserve">, </w:t>
      </w:r>
      <w:r w:rsidR="0068463E" w:rsidRPr="007E28D7">
        <w:rPr>
          <w:rFonts w:ascii="Century Gothic" w:eastAsia="Calibri" w:hAnsi="Century Gothic" w:cs="Arial"/>
          <w:color w:val="000000"/>
          <w:sz w:val="22"/>
          <w:szCs w:val="22"/>
          <w:lang w:val="es-ES_tradnl"/>
        </w:rPr>
        <w:t>su valor, plazo</w:t>
      </w:r>
      <w:r w:rsidR="00E36E6A">
        <w:rPr>
          <w:rFonts w:ascii="Century Gothic" w:eastAsia="Calibri" w:hAnsi="Century Gothic" w:cs="Arial"/>
          <w:color w:val="000000"/>
          <w:sz w:val="22"/>
          <w:szCs w:val="22"/>
          <w:lang w:val="es-ES_tradnl"/>
        </w:rPr>
        <w:t>,</w:t>
      </w:r>
      <w:r w:rsidR="0068463E" w:rsidRPr="007E28D7">
        <w:rPr>
          <w:rFonts w:ascii="Century Gothic" w:eastAsia="Calibri" w:hAnsi="Century Gothic" w:cs="Arial"/>
          <w:color w:val="000000"/>
          <w:sz w:val="22"/>
          <w:szCs w:val="22"/>
          <w:lang w:val="es-ES_tradnl"/>
        </w:rPr>
        <w:t xml:space="preserve"> forma de pago </w:t>
      </w:r>
      <w:r w:rsidR="006D5E52">
        <w:rPr>
          <w:rFonts w:ascii="Century Gothic" w:eastAsia="Calibri" w:hAnsi="Century Gothic" w:cs="Arial"/>
          <w:color w:val="000000"/>
          <w:sz w:val="22"/>
          <w:szCs w:val="22"/>
          <w:lang w:val="es-ES_tradnl"/>
        </w:rPr>
        <w:t>y</w:t>
      </w:r>
      <w:r w:rsidR="0068463E" w:rsidRPr="007E28D7">
        <w:rPr>
          <w:rFonts w:ascii="Century Gothic" w:eastAsia="Calibri" w:hAnsi="Century Gothic" w:cs="Arial"/>
          <w:color w:val="000000"/>
          <w:sz w:val="22"/>
          <w:szCs w:val="22"/>
          <w:lang w:val="es-ES_tradnl"/>
        </w:rPr>
        <w:t xml:space="preserve"> objeto </w:t>
      </w:r>
      <w:r w:rsidR="00E36E6A">
        <w:rPr>
          <w:rFonts w:ascii="Century Gothic" w:eastAsia="Calibri" w:hAnsi="Century Gothic" w:cs="Arial"/>
          <w:color w:val="000000"/>
          <w:sz w:val="22"/>
          <w:szCs w:val="22"/>
          <w:lang w:val="es-ES_tradnl"/>
        </w:rPr>
        <w:t>contractual</w:t>
      </w:r>
      <w:r w:rsidR="0068463E" w:rsidRPr="007E28D7">
        <w:rPr>
          <w:rFonts w:ascii="Century Gothic" w:eastAsia="Calibri" w:hAnsi="Century Gothic" w:cs="Arial"/>
          <w:color w:val="000000"/>
          <w:sz w:val="22"/>
          <w:szCs w:val="22"/>
          <w:lang w:val="es-ES_tradnl"/>
        </w:rPr>
        <w:t>, p</w:t>
      </w:r>
      <w:r w:rsidR="00E36E6A">
        <w:rPr>
          <w:rFonts w:ascii="Century Gothic" w:eastAsia="Calibri" w:hAnsi="Century Gothic" w:cs="Arial"/>
          <w:color w:val="000000"/>
          <w:sz w:val="22"/>
          <w:szCs w:val="22"/>
          <w:lang w:val="es-ES_tradnl"/>
        </w:rPr>
        <w:t>or</w:t>
      </w:r>
      <w:r w:rsidR="0068463E" w:rsidRPr="007E28D7">
        <w:rPr>
          <w:rFonts w:ascii="Century Gothic" w:eastAsia="Calibri" w:hAnsi="Century Gothic" w:cs="Arial"/>
          <w:color w:val="000000"/>
          <w:sz w:val="22"/>
          <w:szCs w:val="22"/>
          <w:lang w:val="es-ES_tradnl"/>
        </w:rPr>
        <w:t xml:space="preserve"> lo cual no es suficiente la aplicación mecánica de fórmulas financieras, pues </w:t>
      </w:r>
      <w:r w:rsidR="0078753C">
        <w:rPr>
          <w:rFonts w:ascii="Century Gothic" w:eastAsia="Calibri" w:hAnsi="Century Gothic" w:cs="Arial"/>
          <w:color w:val="000000"/>
          <w:sz w:val="22"/>
          <w:szCs w:val="22"/>
          <w:lang w:val="es-ES_tradnl"/>
        </w:rPr>
        <w:t xml:space="preserve">la Entidad Estatal </w:t>
      </w:r>
      <w:r w:rsidR="0068463E" w:rsidRPr="007E28D7">
        <w:rPr>
          <w:rFonts w:ascii="Century Gothic" w:eastAsia="Calibri" w:hAnsi="Century Gothic" w:cs="Arial"/>
          <w:color w:val="000000"/>
          <w:sz w:val="22"/>
          <w:szCs w:val="22"/>
          <w:lang w:val="es-ES_tradnl"/>
        </w:rPr>
        <w:t xml:space="preserve">debe conocer cada indicador, sus fórmulas de cálculo y su interpretación. </w:t>
      </w:r>
    </w:p>
    <w:p w14:paraId="4769A872" w14:textId="7DBCDB07" w:rsidR="006D62F0" w:rsidRDefault="0068463E" w:rsidP="00CA141E">
      <w:pPr>
        <w:spacing w:before="120" w:after="120" w:line="276" w:lineRule="auto"/>
        <w:ind w:firstLine="708"/>
        <w:jc w:val="both"/>
        <w:rPr>
          <w:rFonts w:ascii="Century Gothic" w:eastAsia="Calibri" w:hAnsi="Century Gothic" w:cs="Arial"/>
          <w:color w:val="000000"/>
          <w:sz w:val="22"/>
          <w:szCs w:val="22"/>
          <w:lang w:val="es-ES_tradnl"/>
        </w:rPr>
      </w:pPr>
      <w:r w:rsidRPr="007E28D7">
        <w:rPr>
          <w:rFonts w:ascii="Century Gothic" w:eastAsia="Calibri" w:hAnsi="Century Gothic" w:cs="Arial"/>
          <w:color w:val="000000"/>
          <w:sz w:val="22"/>
          <w:szCs w:val="22"/>
          <w:lang w:val="es-ES_tradnl"/>
        </w:rPr>
        <w:t>Según el artículo 2.2.1.1.1.5.3. del Decreto 1082 de 2015, son indicadores de capacidad financiera</w:t>
      </w:r>
      <w:r w:rsidR="006D62F0">
        <w:rPr>
          <w:rFonts w:ascii="Century Gothic" w:eastAsia="Calibri" w:hAnsi="Century Gothic" w:cs="Arial"/>
          <w:color w:val="000000"/>
          <w:sz w:val="22"/>
          <w:szCs w:val="22"/>
          <w:lang w:val="es-ES_tradnl"/>
        </w:rPr>
        <w:t xml:space="preserve"> que las entidades pueden incluir en sus procesos de selección</w:t>
      </w:r>
      <w:r w:rsidR="00140557">
        <w:rPr>
          <w:rFonts w:ascii="Century Gothic" w:eastAsia="Calibri" w:hAnsi="Century Gothic" w:cs="Arial"/>
          <w:color w:val="000000"/>
          <w:sz w:val="22"/>
          <w:szCs w:val="22"/>
          <w:lang w:val="es-ES_tradnl"/>
        </w:rPr>
        <w:t>,</w:t>
      </w:r>
      <w:r w:rsidRPr="007E28D7">
        <w:rPr>
          <w:rFonts w:ascii="Century Gothic" w:eastAsia="Calibri" w:hAnsi="Century Gothic" w:cs="Arial"/>
          <w:color w:val="000000"/>
          <w:sz w:val="22"/>
          <w:szCs w:val="22"/>
          <w:lang w:val="es-ES_tradnl"/>
        </w:rPr>
        <w:t xml:space="preserve"> los siguientes: i) el </w:t>
      </w:r>
      <w:r w:rsidRPr="007E28D7">
        <w:rPr>
          <w:rFonts w:ascii="Century Gothic" w:eastAsia="Calibri" w:hAnsi="Century Gothic" w:cs="Arial"/>
          <w:i/>
          <w:iCs/>
          <w:color w:val="000000"/>
          <w:sz w:val="22"/>
          <w:szCs w:val="22"/>
          <w:lang w:val="es-ES_tradnl"/>
        </w:rPr>
        <w:t>índice de liquidez</w:t>
      </w:r>
      <w:r w:rsidRPr="007E28D7">
        <w:rPr>
          <w:rFonts w:ascii="Century Gothic" w:eastAsia="Calibri" w:hAnsi="Century Gothic" w:cs="Arial"/>
          <w:color w:val="000000"/>
          <w:sz w:val="22"/>
          <w:szCs w:val="22"/>
          <w:lang w:val="es-ES_tradnl"/>
        </w:rPr>
        <w:t xml:space="preserve">, que corresponde a la división entre </w:t>
      </w:r>
      <w:r w:rsidRPr="007E28D7">
        <w:rPr>
          <w:rFonts w:ascii="Century Gothic" w:eastAsia="Calibri" w:hAnsi="Century Gothic" w:cs="Arial"/>
          <w:color w:val="000000"/>
          <w:sz w:val="22"/>
          <w:szCs w:val="22"/>
          <w:lang w:val="es-ES_tradnl"/>
        </w:rPr>
        <w:lastRenderedPageBreak/>
        <w:t xml:space="preserve">el activo corriente y el pasivo corriente, y que determina la capacidad que tiene el proponente para cumplir con sus obligaciones de corto plazo; ii) el </w:t>
      </w:r>
      <w:r w:rsidRPr="007E28D7">
        <w:rPr>
          <w:rFonts w:ascii="Century Gothic" w:eastAsia="Calibri" w:hAnsi="Century Gothic" w:cs="Arial"/>
          <w:i/>
          <w:iCs/>
          <w:color w:val="000000"/>
          <w:sz w:val="22"/>
          <w:szCs w:val="22"/>
          <w:lang w:val="es-ES_tradnl"/>
        </w:rPr>
        <w:t>índice de endeudamiento</w:t>
      </w:r>
      <w:r w:rsidRPr="007E28D7">
        <w:rPr>
          <w:rFonts w:ascii="Century Gothic" w:eastAsia="Calibri" w:hAnsi="Century Gothic" w:cs="Arial"/>
          <w:color w:val="000000"/>
          <w:sz w:val="22"/>
          <w:szCs w:val="22"/>
          <w:lang w:val="es-ES_tradnl"/>
        </w:rPr>
        <w:t xml:space="preserve">, que se calcula dividiendo el pasivo total por el activo total, el cual determina el grado de endeudamiento en la estructura de financiación del proponente; y iii) la </w:t>
      </w:r>
      <w:r w:rsidRPr="007E28D7">
        <w:rPr>
          <w:rFonts w:ascii="Century Gothic" w:eastAsia="Calibri" w:hAnsi="Century Gothic" w:cs="Arial"/>
          <w:i/>
          <w:iCs/>
          <w:color w:val="000000"/>
          <w:sz w:val="22"/>
          <w:szCs w:val="22"/>
          <w:lang w:val="es-ES_tradnl"/>
        </w:rPr>
        <w:t>razón de cobertura de intereses</w:t>
      </w:r>
      <w:r w:rsidRPr="007E28D7">
        <w:rPr>
          <w:rFonts w:ascii="Century Gothic" w:eastAsia="Calibri" w:hAnsi="Century Gothic" w:cs="Arial"/>
          <w:color w:val="000000"/>
          <w:sz w:val="22"/>
          <w:szCs w:val="22"/>
          <w:lang w:val="es-ES_tradnl"/>
        </w:rPr>
        <w:t xml:space="preserve">, que es igual a la utilidad operacional, sobre los gastos de intereses, y que refleja la capacidad del proponente para cumplir con sus obligaciones financieras. </w:t>
      </w:r>
    </w:p>
    <w:p w14:paraId="23DAB132" w14:textId="512B8724" w:rsidR="0068463E" w:rsidRPr="007E28D7" w:rsidRDefault="0068463E" w:rsidP="00CA141E">
      <w:pPr>
        <w:spacing w:before="120" w:after="120" w:line="276" w:lineRule="auto"/>
        <w:ind w:firstLine="708"/>
        <w:jc w:val="both"/>
        <w:rPr>
          <w:rFonts w:ascii="Century Gothic" w:eastAsia="Calibri" w:hAnsi="Century Gothic" w:cs="Arial"/>
          <w:color w:val="000000"/>
          <w:sz w:val="22"/>
          <w:szCs w:val="22"/>
          <w:lang w:val="es-ES_tradnl"/>
        </w:rPr>
      </w:pPr>
      <w:r w:rsidRPr="007E28D7">
        <w:rPr>
          <w:rFonts w:ascii="Century Gothic" w:eastAsia="Calibri" w:hAnsi="Century Gothic" w:cs="Arial"/>
          <w:color w:val="000000"/>
          <w:sz w:val="22"/>
          <w:szCs w:val="22"/>
          <w:lang w:val="es-ES_tradnl"/>
        </w:rPr>
        <w:t xml:space="preserve">Adicionalmente, la Agencia recomienda valorar otro tipo de indicadores como el </w:t>
      </w:r>
      <w:r w:rsidRPr="007E28D7">
        <w:rPr>
          <w:rFonts w:ascii="Century Gothic" w:eastAsia="Calibri" w:hAnsi="Century Gothic" w:cs="Arial"/>
          <w:i/>
          <w:iCs/>
          <w:color w:val="000000"/>
          <w:sz w:val="22"/>
          <w:szCs w:val="22"/>
          <w:lang w:val="es-ES_tradnl"/>
        </w:rPr>
        <w:t>capital de trabajo</w:t>
      </w:r>
      <w:r w:rsidRPr="007E28D7">
        <w:rPr>
          <w:rFonts w:ascii="Century Gothic" w:eastAsia="Calibri" w:hAnsi="Century Gothic" w:cs="Arial"/>
          <w:color w:val="000000"/>
          <w:sz w:val="22"/>
          <w:szCs w:val="22"/>
          <w:lang w:val="es-ES_tradnl"/>
        </w:rPr>
        <w:t xml:space="preserve">, la </w:t>
      </w:r>
      <w:r w:rsidRPr="007E28D7">
        <w:rPr>
          <w:rFonts w:ascii="Century Gothic" w:eastAsia="Calibri" w:hAnsi="Century Gothic" w:cs="Arial"/>
          <w:i/>
          <w:iCs/>
          <w:color w:val="000000"/>
          <w:sz w:val="22"/>
          <w:szCs w:val="22"/>
          <w:lang w:val="es-ES_tradnl"/>
        </w:rPr>
        <w:t>razón de efectivo</w:t>
      </w:r>
      <w:r w:rsidRPr="007E28D7">
        <w:rPr>
          <w:rFonts w:ascii="Century Gothic" w:eastAsia="Calibri" w:hAnsi="Century Gothic" w:cs="Arial"/>
          <w:color w:val="000000"/>
          <w:sz w:val="22"/>
          <w:szCs w:val="22"/>
          <w:lang w:val="es-ES_tradnl"/>
        </w:rPr>
        <w:t xml:space="preserve">, la denominada </w:t>
      </w:r>
      <w:r w:rsidRPr="007E28D7">
        <w:rPr>
          <w:rFonts w:ascii="Century Gothic" w:eastAsia="Calibri" w:hAnsi="Century Gothic" w:cs="Arial"/>
          <w:i/>
          <w:iCs/>
          <w:color w:val="000000"/>
          <w:sz w:val="22"/>
          <w:szCs w:val="22"/>
          <w:lang w:val="es-ES_tradnl"/>
        </w:rPr>
        <w:t>prueba ácida</w:t>
      </w:r>
      <w:r w:rsidRPr="007E28D7">
        <w:rPr>
          <w:rFonts w:ascii="Century Gothic" w:eastAsia="Calibri" w:hAnsi="Century Gothic" w:cs="Arial"/>
          <w:color w:val="000000"/>
          <w:sz w:val="22"/>
          <w:szCs w:val="22"/>
          <w:vertAlign w:val="superscript"/>
          <w:lang w:val="es-ES_tradnl"/>
        </w:rPr>
        <w:footnoteReference w:id="19"/>
      </w:r>
      <w:r w:rsidRPr="007E28D7">
        <w:rPr>
          <w:rFonts w:ascii="Century Gothic" w:eastAsia="Calibri" w:hAnsi="Century Gothic" w:cs="Arial"/>
          <w:color w:val="000000"/>
          <w:sz w:val="22"/>
          <w:szCs w:val="22"/>
          <w:lang w:val="es-ES_tradnl"/>
        </w:rPr>
        <w:t xml:space="preserve">, la </w:t>
      </w:r>
      <w:r w:rsidRPr="007E28D7">
        <w:rPr>
          <w:rFonts w:ascii="Century Gothic" w:eastAsia="Calibri" w:hAnsi="Century Gothic" w:cs="Arial"/>
          <w:i/>
          <w:iCs/>
          <w:color w:val="000000"/>
          <w:sz w:val="22"/>
          <w:szCs w:val="22"/>
          <w:lang w:val="es-ES_tradnl"/>
        </w:rPr>
        <w:t xml:space="preserve">concentración de endeudamiento a corto </w:t>
      </w:r>
      <w:r w:rsidRPr="007E28D7">
        <w:rPr>
          <w:rFonts w:ascii="Century Gothic" w:eastAsia="Calibri" w:hAnsi="Century Gothic" w:cs="Arial"/>
          <w:color w:val="000000"/>
          <w:sz w:val="22"/>
          <w:szCs w:val="22"/>
          <w:lang w:val="es-ES_tradnl"/>
        </w:rPr>
        <w:t>y</w:t>
      </w:r>
      <w:r w:rsidRPr="007E28D7">
        <w:rPr>
          <w:rFonts w:ascii="Century Gothic" w:eastAsia="Calibri" w:hAnsi="Century Gothic" w:cs="Arial"/>
          <w:i/>
          <w:iCs/>
          <w:color w:val="000000"/>
          <w:sz w:val="22"/>
          <w:szCs w:val="22"/>
          <w:lang w:val="es-ES_tradnl"/>
        </w:rPr>
        <w:t xml:space="preserve"> a largo plazo</w:t>
      </w:r>
      <w:r w:rsidRPr="007E28D7">
        <w:rPr>
          <w:rFonts w:ascii="Century Gothic" w:eastAsia="Calibri" w:hAnsi="Century Gothic" w:cs="Arial"/>
          <w:color w:val="000000"/>
          <w:sz w:val="22"/>
          <w:szCs w:val="22"/>
          <w:lang w:val="es-ES_tradnl"/>
        </w:rPr>
        <w:t xml:space="preserve"> y el </w:t>
      </w:r>
      <w:r w:rsidRPr="007E28D7">
        <w:rPr>
          <w:rFonts w:ascii="Century Gothic" w:eastAsia="Calibri" w:hAnsi="Century Gothic" w:cs="Arial"/>
          <w:i/>
          <w:iCs/>
          <w:color w:val="000000"/>
          <w:sz w:val="22"/>
          <w:szCs w:val="22"/>
          <w:lang w:val="es-ES_tradnl"/>
        </w:rPr>
        <w:t>patrimonio</w:t>
      </w:r>
      <w:r w:rsidRPr="007E28D7">
        <w:rPr>
          <w:rStyle w:val="Refdenotaalpie"/>
          <w:rFonts w:ascii="Century Gothic" w:eastAsia="Calibri" w:hAnsi="Century Gothic" w:cs="Arial"/>
          <w:i/>
          <w:iCs/>
          <w:color w:val="000000"/>
          <w:sz w:val="22"/>
          <w:szCs w:val="22"/>
          <w:lang w:val="es-ES_tradnl"/>
        </w:rPr>
        <w:footnoteReference w:id="20"/>
      </w:r>
      <w:r w:rsidRPr="007E28D7">
        <w:rPr>
          <w:rFonts w:ascii="Century Gothic" w:eastAsia="Calibri" w:hAnsi="Century Gothic" w:cs="Arial"/>
          <w:color w:val="000000"/>
          <w:sz w:val="22"/>
          <w:szCs w:val="22"/>
          <w:lang w:val="es-ES_tradnl"/>
        </w:rPr>
        <w:t>.</w:t>
      </w:r>
    </w:p>
    <w:p w14:paraId="17CC8C94" w14:textId="0E5D860E" w:rsidR="0068463E" w:rsidRPr="007E28D7" w:rsidRDefault="00271CDC" w:rsidP="007E28D7">
      <w:pPr>
        <w:spacing w:before="120" w:after="120" w:line="276" w:lineRule="auto"/>
        <w:ind w:firstLine="709"/>
        <w:jc w:val="both"/>
        <w:rPr>
          <w:rFonts w:ascii="Century Gothic" w:eastAsia="Calibri" w:hAnsi="Century Gothic" w:cs="Arial"/>
          <w:color w:val="000000"/>
          <w:sz w:val="22"/>
          <w:szCs w:val="22"/>
          <w:lang w:val="es-ES_tradnl"/>
        </w:rPr>
      </w:pPr>
      <w:r>
        <w:rPr>
          <w:rFonts w:ascii="Century Gothic" w:eastAsia="Calibri" w:hAnsi="Century Gothic" w:cs="Arial"/>
          <w:color w:val="000000"/>
          <w:sz w:val="22"/>
          <w:szCs w:val="22"/>
          <w:lang w:val="es-ES_tradnl"/>
        </w:rPr>
        <w:t xml:space="preserve">Por su parte, </w:t>
      </w:r>
      <w:r w:rsidR="00F85E6A">
        <w:rPr>
          <w:rFonts w:ascii="Century Gothic" w:eastAsia="Calibri" w:hAnsi="Century Gothic" w:cs="Arial"/>
          <w:color w:val="000000"/>
          <w:sz w:val="22"/>
          <w:szCs w:val="22"/>
          <w:lang w:val="es-ES_tradnl"/>
        </w:rPr>
        <w:t>s</w:t>
      </w:r>
      <w:r w:rsidR="0068463E" w:rsidRPr="007E28D7">
        <w:rPr>
          <w:rFonts w:ascii="Century Gothic" w:eastAsia="Calibri" w:hAnsi="Century Gothic" w:cs="Arial"/>
          <w:color w:val="000000"/>
          <w:sz w:val="22"/>
          <w:szCs w:val="22"/>
          <w:lang w:val="es-ES_tradnl"/>
        </w:rPr>
        <w:t xml:space="preserve">egún el artículo 2.2.1.1.1.5.3., numeral 4, del Decreto 1082 de 2015, los indicadores para medir la capacidad organizacional de un proponente son: por un lado, la </w:t>
      </w:r>
      <w:r w:rsidR="0068463E" w:rsidRPr="007E28D7">
        <w:rPr>
          <w:rFonts w:ascii="Century Gothic" w:eastAsia="Calibri" w:hAnsi="Century Gothic" w:cs="Arial"/>
          <w:i/>
          <w:iCs/>
          <w:color w:val="000000"/>
          <w:sz w:val="22"/>
          <w:szCs w:val="22"/>
          <w:lang w:val="es-ES_tradnl"/>
        </w:rPr>
        <w:t>rentabilidad del patrimonio</w:t>
      </w:r>
      <w:r w:rsidR="0068463E" w:rsidRPr="007E28D7">
        <w:rPr>
          <w:rFonts w:ascii="Century Gothic" w:eastAsia="Calibri" w:hAnsi="Century Gothic" w:cs="Arial"/>
          <w:color w:val="000000"/>
          <w:sz w:val="22"/>
          <w:szCs w:val="22"/>
          <w:lang w:val="es-ES_tradnl"/>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w:t>
      </w:r>
    </w:p>
    <w:p w14:paraId="1D39D333" w14:textId="77777777" w:rsidR="0068463E" w:rsidRPr="007E28D7" w:rsidRDefault="0068463E" w:rsidP="007E28D7">
      <w:pPr>
        <w:spacing w:before="120" w:after="120" w:line="276" w:lineRule="auto"/>
        <w:ind w:firstLine="709"/>
        <w:jc w:val="both"/>
        <w:rPr>
          <w:rFonts w:ascii="Century Gothic" w:eastAsia="Calibri" w:hAnsi="Century Gothic" w:cs="Arial"/>
          <w:color w:val="000000"/>
          <w:sz w:val="22"/>
          <w:szCs w:val="22"/>
          <w:lang w:val="es-ES_tradnl"/>
        </w:rPr>
      </w:pPr>
      <w:r w:rsidRPr="007E28D7">
        <w:rPr>
          <w:rFonts w:ascii="Century Gothic" w:eastAsia="Calibri" w:hAnsi="Century Gothic" w:cs="Arial"/>
          <w:color w:val="000000"/>
          <w:sz w:val="22"/>
          <w:szCs w:val="22"/>
          <w:lang w:val="es-ES_tradnl"/>
        </w:rPr>
        <w:t xml:space="preserve">Por el otro, la </w:t>
      </w:r>
      <w:r w:rsidRPr="007E28D7">
        <w:rPr>
          <w:rFonts w:ascii="Century Gothic" w:eastAsia="Calibri" w:hAnsi="Century Gothic" w:cs="Arial"/>
          <w:i/>
          <w:iCs/>
          <w:color w:val="000000"/>
          <w:sz w:val="22"/>
          <w:szCs w:val="22"/>
          <w:lang w:val="es-ES_tradnl"/>
        </w:rPr>
        <w:t>rentabilidad del activo</w:t>
      </w:r>
      <w:r w:rsidRPr="007E28D7">
        <w:rPr>
          <w:rFonts w:ascii="Century Gothic" w:eastAsia="Calibri" w:hAnsi="Century Gothic" w:cs="Arial"/>
          <w:color w:val="000000"/>
          <w:sz w:val="22"/>
          <w:szCs w:val="22"/>
          <w:lang w:val="es-ES_tradnl"/>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4E67FF4D" w14:textId="77777777" w:rsidR="0068463E" w:rsidRPr="007E28D7" w:rsidRDefault="0068463E" w:rsidP="007E28D7">
      <w:pPr>
        <w:spacing w:before="120" w:after="120" w:line="276" w:lineRule="auto"/>
        <w:ind w:firstLine="709"/>
        <w:jc w:val="both"/>
        <w:rPr>
          <w:rFonts w:ascii="Century Gothic" w:eastAsia="Calibri" w:hAnsi="Century Gothic" w:cs="Arial"/>
          <w:color w:val="000000"/>
          <w:sz w:val="22"/>
          <w:szCs w:val="22"/>
          <w:lang w:val="es-ES_tradnl"/>
        </w:rPr>
      </w:pPr>
      <w:r w:rsidRPr="007E28D7">
        <w:rPr>
          <w:rFonts w:ascii="Century Gothic" w:eastAsia="Calibri" w:hAnsi="Century Gothic" w:cs="Arial"/>
          <w:color w:val="000000"/>
          <w:sz w:val="22"/>
          <w:szCs w:val="22"/>
          <w:lang w:val="es-ES_tradnl"/>
        </w:rPr>
        <w:t xml:space="preserve">A juicio de esta Agencia, también son relevantes los siguientes indicadores, pero únicamente en aquellos casos en los que, por las características del objeto a </w:t>
      </w:r>
      <w:r w:rsidRPr="007E28D7">
        <w:rPr>
          <w:rFonts w:ascii="Century Gothic" w:eastAsia="Calibri" w:hAnsi="Century Gothic" w:cs="Arial"/>
          <w:color w:val="000000"/>
          <w:sz w:val="22"/>
          <w:szCs w:val="22"/>
          <w:lang w:val="es-ES_tradnl"/>
        </w:rPr>
        <w:lastRenderedPageBreak/>
        <w:t xml:space="preserve">contratar, la naturaleza o la complejidad del proceso de contratación, se requieran: i) margen bruto; ii) margen operacional; iii) margen neto; </w:t>
      </w:r>
      <w:proofErr w:type="spellStart"/>
      <w:r w:rsidRPr="007E28D7">
        <w:rPr>
          <w:rFonts w:ascii="Century Gothic" w:eastAsia="Calibri" w:hAnsi="Century Gothic" w:cs="Arial"/>
          <w:color w:val="000000"/>
          <w:sz w:val="22"/>
          <w:szCs w:val="22"/>
          <w:lang w:val="es-ES_tradnl"/>
        </w:rPr>
        <w:t>iv</w:t>
      </w:r>
      <w:proofErr w:type="spellEnd"/>
      <w:r w:rsidRPr="007E28D7">
        <w:rPr>
          <w:rFonts w:ascii="Century Gothic" w:eastAsia="Calibri" w:hAnsi="Century Gothic" w:cs="Arial"/>
          <w:color w:val="000000"/>
          <w:sz w:val="22"/>
          <w:szCs w:val="22"/>
          <w:lang w:val="es-ES_tradnl"/>
        </w:rPr>
        <w:t>) retorno sobre capital invertido; v) rotación de activos totales; vi) rotación de activos fijos; y vii) rotación de inventarios</w:t>
      </w:r>
      <w:r w:rsidRPr="007E28D7">
        <w:rPr>
          <w:rStyle w:val="Refdenotaalpie"/>
          <w:rFonts w:ascii="Century Gothic" w:eastAsia="Calibri" w:hAnsi="Century Gothic" w:cs="Arial"/>
          <w:color w:val="000000"/>
          <w:sz w:val="22"/>
          <w:szCs w:val="22"/>
          <w:lang w:val="es-ES_tradnl"/>
        </w:rPr>
        <w:footnoteReference w:id="21"/>
      </w:r>
      <w:r w:rsidRPr="007E28D7">
        <w:rPr>
          <w:rFonts w:ascii="Century Gothic" w:eastAsia="Calibri" w:hAnsi="Century Gothic" w:cs="Arial"/>
          <w:color w:val="000000"/>
          <w:sz w:val="22"/>
          <w:szCs w:val="22"/>
          <w:lang w:val="es-ES_tradnl"/>
        </w:rPr>
        <w:t>.</w:t>
      </w:r>
    </w:p>
    <w:p w14:paraId="6E2D669D" w14:textId="77777777" w:rsidR="0038595A" w:rsidRDefault="004D66A9" w:rsidP="007E28D7">
      <w:pPr>
        <w:spacing w:before="120" w:line="276" w:lineRule="auto"/>
        <w:ind w:firstLine="708"/>
        <w:jc w:val="both"/>
        <w:rPr>
          <w:rFonts w:ascii="Century Gothic" w:eastAsia="Calibri" w:hAnsi="Century Gothic" w:cs="Arial"/>
          <w:color w:val="000000"/>
          <w:sz w:val="22"/>
          <w:szCs w:val="22"/>
          <w:lang w:val="es-ES_tradnl"/>
        </w:rPr>
      </w:pPr>
      <w:r>
        <w:rPr>
          <w:rFonts w:ascii="Century Gothic" w:eastAsia="Calibri" w:hAnsi="Century Gothic" w:cs="Arial"/>
          <w:color w:val="000000"/>
          <w:sz w:val="22"/>
          <w:szCs w:val="22"/>
          <w:lang w:val="es-ES_tradnl"/>
        </w:rPr>
        <w:t>En ese sentido, para justificar la determinación de alguno de los requisitos anteriormente expuestos, tanto para</w:t>
      </w:r>
      <w:r w:rsidR="0068463E" w:rsidRPr="007E28D7">
        <w:rPr>
          <w:rFonts w:ascii="Century Gothic" w:eastAsia="Calibri" w:hAnsi="Century Gothic" w:cs="Arial"/>
          <w:color w:val="000000"/>
          <w:sz w:val="22"/>
          <w:szCs w:val="22"/>
          <w:lang w:val="es-ES_tradnl"/>
        </w:rPr>
        <w:t xml:space="preserve"> capacidad financiera</w:t>
      </w:r>
      <w:r>
        <w:rPr>
          <w:rFonts w:ascii="Century Gothic" w:eastAsia="Calibri" w:hAnsi="Century Gothic" w:cs="Arial"/>
          <w:color w:val="000000"/>
          <w:sz w:val="22"/>
          <w:szCs w:val="22"/>
          <w:lang w:val="es-ES_tradnl"/>
        </w:rPr>
        <w:t xml:space="preserve"> y organizacional</w:t>
      </w:r>
      <w:r w:rsidR="0068463E" w:rsidRPr="007E28D7">
        <w:rPr>
          <w:rFonts w:ascii="Century Gothic" w:eastAsia="Calibri" w:hAnsi="Century Gothic" w:cs="Arial"/>
          <w:color w:val="000000"/>
          <w:sz w:val="22"/>
          <w:szCs w:val="22"/>
          <w:lang w:val="es-ES_tradnl"/>
        </w:rPr>
        <w:t xml:space="preserve">, </w:t>
      </w:r>
      <w:r>
        <w:rPr>
          <w:rFonts w:ascii="Century Gothic" w:eastAsia="Calibri" w:hAnsi="Century Gothic" w:cs="Arial"/>
          <w:color w:val="000000"/>
          <w:sz w:val="22"/>
          <w:szCs w:val="22"/>
          <w:lang w:val="es-ES_tradnl"/>
        </w:rPr>
        <w:t>la Entidad Estatal debe tener en cuenta</w:t>
      </w:r>
      <w:r w:rsidR="0068463E" w:rsidRPr="007E28D7">
        <w:rPr>
          <w:rFonts w:ascii="Century Gothic" w:eastAsia="Calibri" w:hAnsi="Century Gothic" w:cs="Arial"/>
          <w:color w:val="000000"/>
          <w:sz w:val="22"/>
          <w:szCs w:val="22"/>
          <w:lang w:val="es-ES_tradnl"/>
        </w:rPr>
        <w:t xml:space="preserve">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sidR="0068463E" w:rsidRPr="007E28D7">
        <w:rPr>
          <w:rFonts w:ascii="Century Gothic" w:eastAsia="Calibri" w:hAnsi="Century Gothic" w:cs="Arial"/>
          <w:color w:val="000000"/>
          <w:sz w:val="22"/>
          <w:szCs w:val="22"/>
          <w:vertAlign w:val="superscript"/>
          <w:lang w:val="es-ES_tradnl"/>
        </w:rPr>
        <w:footnoteReference w:id="22"/>
      </w:r>
      <w:r w:rsidR="0068463E" w:rsidRPr="007E28D7">
        <w:rPr>
          <w:rFonts w:ascii="Century Gothic" w:eastAsia="Calibri" w:hAnsi="Century Gothic" w:cs="Arial"/>
          <w:color w:val="000000"/>
          <w:sz w:val="22"/>
          <w:szCs w:val="22"/>
          <w:lang w:val="es-ES_tradnl"/>
        </w:rPr>
        <w:t xml:space="preserve">. </w:t>
      </w:r>
      <w:r w:rsidR="0038595A">
        <w:rPr>
          <w:rFonts w:ascii="Century Gothic" w:eastAsia="Calibri" w:hAnsi="Century Gothic" w:cs="Arial"/>
          <w:color w:val="000000"/>
          <w:sz w:val="22"/>
          <w:szCs w:val="22"/>
          <w:lang w:val="es-ES_tradnl"/>
        </w:rPr>
        <w:t>Esto permitirá que s</w:t>
      </w:r>
      <w:r w:rsidR="0068463E" w:rsidRPr="007E28D7">
        <w:rPr>
          <w:rFonts w:ascii="Century Gothic" w:eastAsia="Calibri" w:hAnsi="Century Gothic" w:cs="Arial"/>
          <w:color w:val="000000"/>
          <w:sz w:val="22"/>
          <w:szCs w:val="22"/>
          <w:lang w:val="es-ES_tradnl"/>
        </w:rPr>
        <w:t xml:space="preserve">us resultados </w:t>
      </w:r>
      <w:r w:rsidR="0038595A">
        <w:rPr>
          <w:rFonts w:ascii="Century Gothic" w:eastAsia="Calibri" w:hAnsi="Century Gothic" w:cs="Arial"/>
          <w:color w:val="000000"/>
          <w:sz w:val="22"/>
          <w:szCs w:val="22"/>
          <w:lang w:val="es-ES_tradnl"/>
        </w:rPr>
        <w:t>se interpreten</w:t>
      </w:r>
      <w:r w:rsidR="0068463E" w:rsidRPr="007E28D7">
        <w:rPr>
          <w:rFonts w:ascii="Century Gothic" w:eastAsia="Calibri" w:hAnsi="Century Gothic" w:cs="Arial"/>
          <w:color w:val="000000"/>
          <w:sz w:val="22"/>
          <w:szCs w:val="22"/>
          <w:lang w:val="es-ES_tradnl"/>
        </w:rPr>
        <w:t xml:space="preserve"> observando el riesgo que un indicador alto o bajo representa para el procedimiento</w:t>
      </w:r>
      <w:r w:rsidR="0038595A">
        <w:rPr>
          <w:rFonts w:ascii="Century Gothic" w:eastAsia="Calibri" w:hAnsi="Century Gothic" w:cs="Arial"/>
          <w:color w:val="000000"/>
          <w:sz w:val="22"/>
          <w:szCs w:val="22"/>
          <w:lang w:val="es-ES_tradnl"/>
        </w:rPr>
        <w:t xml:space="preserve"> de contratación</w:t>
      </w:r>
      <w:r w:rsidR="0068463E" w:rsidRPr="007E28D7">
        <w:rPr>
          <w:rFonts w:ascii="Century Gothic" w:eastAsia="Calibri" w:hAnsi="Century Gothic" w:cs="Arial"/>
          <w:color w:val="000000"/>
          <w:sz w:val="22"/>
          <w:szCs w:val="22"/>
          <w:lang w:val="es-ES_tradnl"/>
        </w:rPr>
        <w:t>. Por ende, la entidad debe establecer unos límites dentro de los cuales se garantice que el proponente pueda cumplir el contrato en caso de celebrarlo</w:t>
      </w:r>
      <w:r w:rsidR="0068463E" w:rsidRPr="007E28D7">
        <w:rPr>
          <w:rFonts w:ascii="Century Gothic" w:eastAsia="Calibri" w:hAnsi="Century Gothic" w:cs="Arial"/>
          <w:color w:val="000000"/>
          <w:sz w:val="22"/>
          <w:szCs w:val="22"/>
          <w:vertAlign w:val="superscript"/>
          <w:lang w:val="es-ES_tradnl"/>
        </w:rPr>
        <w:footnoteReference w:id="23"/>
      </w:r>
      <w:r w:rsidR="0068463E" w:rsidRPr="007E28D7">
        <w:rPr>
          <w:rFonts w:ascii="Century Gothic" w:eastAsia="Calibri" w:hAnsi="Century Gothic" w:cs="Arial"/>
          <w:color w:val="000000"/>
          <w:sz w:val="22"/>
          <w:szCs w:val="22"/>
          <w:lang w:val="es-ES_tradnl"/>
        </w:rPr>
        <w:t xml:space="preserve">. </w:t>
      </w:r>
    </w:p>
    <w:p w14:paraId="215017D3" w14:textId="1BF728A1" w:rsidR="0090490B" w:rsidRDefault="0068463E" w:rsidP="0090490B">
      <w:pPr>
        <w:spacing w:before="120" w:line="276" w:lineRule="auto"/>
        <w:ind w:firstLine="708"/>
        <w:jc w:val="both"/>
        <w:rPr>
          <w:rFonts w:ascii="Century Gothic" w:eastAsia="Calibri" w:hAnsi="Century Gothic" w:cs="Arial"/>
          <w:sz w:val="22"/>
          <w:szCs w:val="22"/>
        </w:rPr>
      </w:pPr>
      <w:r w:rsidRPr="007E28D7">
        <w:rPr>
          <w:rFonts w:ascii="Century Gothic" w:eastAsia="Calibri" w:hAnsi="Century Gothic" w:cs="Arial"/>
          <w:color w:val="000000"/>
          <w:sz w:val="22"/>
          <w:szCs w:val="22"/>
          <w:lang w:val="es-ES_tradnl"/>
        </w:rPr>
        <w:t xml:space="preserve">No obstante, </w:t>
      </w:r>
      <w:r w:rsidR="001026D1">
        <w:rPr>
          <w:rFonts w:ascii="Century Gothic" w:eastAsia="Calibri" w:hAnsi="Century Gothic" w:cs="Arial"/>
          <w:color w:val="000000"/>
          <w:sz w:val="22"/>
          <w:szCs w:val="22"/>
          <w:lang w:val="es-ES_tradnl"/>
        </w:rPr>
        <w:t xml:space="preserve">como se ha expuesto </w:t>
      </w:r>
      <w:r w:rsidRPr="007E28D7">
        <w:rPr>
          <w:rFonts w:ascii="Century Gothic" w:eastAsia="Calibri" w:hAnsi="Century Gothic" w:cs="Arial"/>
          <w:color w:val="000000"/>
          <w:sz w:val="22"/>
          <w:szCs w:val="22"/>
          <w:lang w:val="es-ES_tradnl"/>
        </w:rPr>
        <w:t xml:space="preserve">las Entidades Estatales son autónomas en la estructuración de sus procedimientos contractuales, por lo cual en sus pliegos de condiciones o documentos equivalentes pueden establecer los indicadores financieros y organizacionales necesarios, siempre que estos sean proporcionales </w:t>
      </w:r>
      <w:r w:rsidR="00D211FE">
        <w:rPr>
          <w:rFonts w:ascii="Century Gothic" w:eastAsia="Calibri" w:hAnsi="Century Gothic" w:cs="Arial"/>
          <w:color w:val="000000"/>
          <w:sz w:val="22"/>
          <w:szCs w:val="22"/>
          <w:lang w:val="es-ES_tradnl"/>
        </w:rPr>
        <w:t>y así lo justifiquen</w:t>
      </w:r>
      <w:r w:rsidR="00515978">
        <w:rPr>
          <w:rFonts w:ascii="Century Gothic" w:eastAsia="Calibri" w:hAnsi="Century Gothic" w:cs="Arial"/>
          <w:color w:val="000000"/>
          <w:sz w:val="22"/>
          <w:szCs w:val="22"/>
          <w:lang w:val="es-ES_tradnl"/>
        </w:rPr>
        <w:t xml:space="preserve">, en ese orden de ideas, para responder la pregunta </w:t>
      </w:r>
      <w:r w:rsidR="00D211FE">
        <w:rPr>
          <w:rFonts w:ascii="Century Gothic" w:eastAsia="Calibri" w:hAnsi="Century Gothic" w:cs="Arial"/>
          <w:color w:val="000000"/>
          <w:sz w:val="22"/>
          <w:szCs w:val="22"/>
          <w:lang w:val="es-ES_tradnl"/>
        </w:rPr>
        <w:t xml:space="preserve">del numeral 6 </w:t>
      </w:r>
      <w:r w:rsidR="007D6802">
        <w:rPr>
          <w:rFonts w:ascii="Century Gothic" w:eastAsia="Calibri" w:hAnsi="Century Gothic" w:cs="Arial"/>
          <w:color w:val="000000"/>
          <w:sz w:val="22"/>
          <w:szCs w:val="22"/>
          <w:lang w:val="es-ES_tradnl"/>
        </w:rPr>
        <w:t>la consulta</w:t>
      </w:r>
      <w:r w:rsidR="00D211FE">
        <w:rPr>
          <w:rFonts w:ascii="Century Gothic" w:eastAsia="Calibri" w:hAnsi="Century Gothic" w:cs="Arial"/>
          <w:color w:val="000000"/>
          <w:sz w:val="22"/>
          <w:szCs w:val="22"/>
          <w:lang w:val="es-ES_tradnl"/>
        </w:rPr>
        <w:t xml:space="preserve">, </w:t>
      </w:r>
      <w:r w:rsidR="003C6366">
        <w:rPr>
          <w:rFonts w:ascii="Century Gothic" w:eastAsia="Calibri" w:hAnsi="Century Gothic" w:cs="Arial"/>
          <w:color w:val="000000"/>
          <w:sz w:val="22"/>
          <w:szCs w:val="22"/>
          <w:lang w:val="es-ES_tradnl"/>
        </w:rPr>
        <w:t xml:space="preserve">resulta ser totalmente </w:t>
      </w:r>
      <w:r w:rsidR="007D6802">
        <w:rPr>
          <w:rFonts w:ascii="Century Gothic" w:eastAsia="Calibri" w:hAnsi="Century Gothic" w:cs="Arial"/>
          <w:color w:val="000000"/>
          <w:sz w:val="22"/>
          <w:szCs w:val="22"/>
          <w:lang w:val="es-ES_tradnl"/>
        </w:rPr>
        <w:t xml:space="preserve">potestativo de la Entidad Estatal el exigir capital de trabajo </w:t>
      </w:r>
      <w:r w:rsidR="00A905DC">
        <w:rPr>
          <w:rFonts w:ascii="Century Gothic" w:eastAsia="Calibri" w:hAnsi="Century Gothic" w:cs="Arial"/>
          <w:color w:val="000000"/>
          <w:sz w:val="22"/>
          <w:szCs w:val="22"/>
          <w:lang w:val="es-ES_tradnl"/>
        </w:rPr>
        <w:t xml:space="preserve">e indicadores mínimos conforme dicho </w:t>
      </w:r>
      <w:r w:rsidR="009277CB">
        <w:rPr>
          <w:rFonts w:ascii="Century Gothic" w:eastAsia="Calibri" w:hAnsi="Century Gothic" w:cs="Arial"/>
          <w:sz w:val="22"/>
          <w:szCs w:val="22"/>
        </w:rPr>
        <w:t>i</w:t>
      </w:r>
      <w:r w:rsidRPr="007E28D7">
        <w:rPr>
          <w:rFonts w:ascii="Century Gothic" w:eastAsia="Calibri" w:hAnsi="Century Gothic" w:cs="Arial"/>
          <w:sz w:val="22"/>
          <w:szCs w:val="22"/>
        </w:rPr>
        <w:t>ndicador</w:t>
      </w:r>
      <w:r w:rsidR="009277CB">
        <w:rPr>
          <w:rFonts w:ascii="Century Gothic" w:eastAsia="Calibri" w:hAnsi="Century Gothic" w:cs="Arial"/>
          <w:sz w:val="22"/>
          <w:szCs w:val="22"/>
        </w:rPr>
        <w:t xml:space="preserve">, </w:t>
      </w:r>
      <w:r w:rsidRPr="007E28D7">
        <w:rPr>
          <w:rFonts w:ascii="Century Gothic" w:eastAsia="Calibri" w:hAnsi="Century Gothic" w:cs="Arial"/>
          <w:sz w:val="22"/>
          <w:szCs w:val="22"/>
        </w:rPr>
        <w:t xml:space="preserve">de manera que entre más fuerte sea </w:t>
      </w:r>
      <w:r w:rsidR="009277CB">
        <w:rPr>
          <w:rFonts w:ascii="Century Gothic" w:eastAsia="Calibri" w:hAnsi="Century Gothic" w:cs="Arial"/>
          <w:sz w:val="22"/>
          <w:szCs w:val="22"/>
        </w:rPr>
        <w:t>el</w:t>
      </w:r>
      <w:r w:rsidRPr="007E28D7">
        <w:rPr>
          <w:rFonts w:ascii="Century Gothic" w:eastAsia="Calibri" w:hAnsi="Century Gothic" w:cs="Arial"/>
          <w:sz w:val="22"/>
          <w:szCs w:val="22"/>
        </w:rPr>
        <w:t xml:space="preserve"> nexo</w:t>
      </w:r>
      <w:r w:rsidR="009277CB">
        <w:rPr>
          <w:rFonts w:ascii="Century Gothic" w:eastAsia="Calibri" w:hAnsi="Century Gothic" w:cs="Arial"/>
          <w:sz w:val="22"/>
          <w:szCs w:val="22"/>
        </w:rPr>
        <w:t xml:space="preserve"> entre el objeto contractual y el indicador</w:t>
      </w:r>
      <w:r w:rsidRPr="007E28D7">
        <w:rPr>
          <w:rFonts w:ascii="Century Gothic" w:eastAsia="Calibri" w:hAnsi="Century Gothic" w:cs="Arial"/>
          <w:sz w:val="22"/>
          <w:szCs w:val="22"/>
        </w:rPr>
        <w:t xml:space="preserve">, con mayor rigurosidad debe ser el análisis </w:t>
      </w:r>
      <w:r w:rsidR="0090490B">
        <w:rPr>
          <w:rFonts w:ascii="Century Gothic" w:eastAsia="Calibri" w:hAnsi="Century Gothic" w:cs="Arial"/>
          <w:sz w:val="22"/>
          <w:szCs w:val="22"/>
        </w:rPr>
        <w:t xml:space="preserve">por parte de la Entidad Estatal </w:t>
      </w:r>
      <w:r w:rsidRPr="007E28D7">
        <w:rPr>
          <w:rFonts w:ascii="Century Gothic" w:eastAsia="Calibri" w:hAnsi="Century Gothic" w:cs="Arial"/>
          <w:sz w:val="22"/>
          <w:szCs w:val="22"/>
        </w:rPr>
        <w:t xml:space="preserve">de los datos para establecer los límites de los requisitos habilitantes y </w:t>
      </w:r>
      <w:r w:rsidR="0090490B">
        <w:rPr>
          <w:rFonts w:ascii="Century Gothic" w:eastAsia="Calibri" w:hAnsi="Century Gothic" w:cs="Arial"/>
          <w:sz w:val="22"/>
          <w:szCs w:val="22"/>
        </w:rPr>
        <w:t>su nivel de</w:t>
      </w:r>
      <w:r w:rsidRPr="007E28D7">
        <w:rPr>
          <w:rFonts w:ascii="Century Gothic" w:eastAsia="Calibri" w:hAnsi="Century Gothic" w:cs="Arial"/>
          <w:sz w:val="22"/>
          <w:szCs w:val="22"/>
        </w:rPr>
        <w:t xml:space="preserve"> exigen</w:t>
      </w:r>
      <w:r w:rsidR="0090490B">
        <w:rPr>
          <w:rFonts w:ascii="Century Gothic" w:eastAsia="Calibri" w:hAnsi="Century Gothic" w:cs="Arial"/>
          <w:sz w:val="22"/>
          <w:szCs w:val="22"/>
        </w:rPr>
        <w:t>cia.</w:t>
      </w:r>
    </w:p>
    <w:p w14:paraId="7EE433D1" w14:textId="49124150" w:rsidR="00123149" w:rsidRPr="007E28D7" w:rsidRDefault="00123149" w:rsidP="0090490B">
      <w:pPr>
        <w:spacing w:before="120" w:line="276" w:lineRule="auto"/>
        <w:ind w:firstLine="708"/>
        <w:jc w:val="both"/>
        <w:rPr>
          <w:rFonts w:ascii="Century Gothic" w:hAnsi="Century Gothic" w:cs="Arial"/>
          <w:color w:val="000000" w:themeColor="text1"/>
          <w:sz w:val="22"/>
          <w:szCs w:val="22"/>
          <w:lang w:val="es-ES_tradnl"/>
        </w:rPr>
      </w:pPr>
      <w:r w:rsidRPr="007E28D7">
        <w:rPr>
          <w:rFonts w:ascii="Century Gothic" w:hAnsi="Century Gothic" w:cs="Arial"/>
          <w:sz w:val="22"/>
          <w:szCs w:val="22"/>
        </w:rPr>
        <w:lastRenderedPageBreak/>
        <w:t xml:space="preserve">En consecuencia, para efectos de los escenarios descritos en el párrafo precedente, la inclusión o exclusión de </w:t>
      </w:r>
      <w:r w:rsidRPr="007E28D7">
        <w:rPr>
          <w:rFonts w:ascii="Century Gothic" w:hAnsi="Century Gothic" w:cs="Arial"/>
          <w:color w:val="000000" w:themeColor="text1"/>
          <w:sz w:val="22"/>
          <w:szCs w:val="22"/>
          <w:lang w:val="es-ES_tradnl"/>
        </w:rPr>
        <w:t>los indicadores previstos en el artículo 2.2.1.1.1.5.3. del Decreto 1082 de 2015</w:t>
      </w:r>
      <w:r w:rsidRPr="007E28D7">
        <w:rPr>
          <w:rFonts w:ascii="Century Gothic" w:hAnsi="Century Gothic" w:cs="Arial"/>
          <w:sz w:val="22"/>
          <w:szCs w:val="22"/>
        </w:rPr>
        <w:t xml:space="preserve"> está unida a la carga justificativa de la </w:t>
      </w:r>
      <w:r w:rsidR="00172DB8" w:rsidRPr="007E28D7">
        <w:rPr>
          <w:rFonts w:ascii="Century Gothic" w:hAnsi="Century Gothic" w:cs="Arial"/>
          <w:i/>
          <w:iCs/>
          <w:sz w:val="22"/>
          <w:szCs w:val="22"/>
        </w:rPr>
        <w:t>Entidad Estatal</w:t>
      </w:r>
      <w:r w:rsidRPr="007E28D7">
        <w:rPr>
          <w:rFonts w:ascii="Century Gothic" w:hAnsi="Century Gothic" w:cs="Arial"/>
          <w:sz w:val="22"/>
          <w:szCs w:val="22"/>
        </w:rPr>
        <w:t xml:space="preserve"> en los estudios y documentos previos del proceso de selección.</w:t>
      </w:r>
      <w:r w:rsidRPr="007E28D7">
        <w:rPr>
          <w:rFonts w:ascii="Century Gothic" w:hAnsi="Century Gothic" w:cs="Arial"/>
          <w:color w:val="000000" w:themeColor="text1"/>
          <w:sz w:val="22"/>
          <w:szCs w:val="22"/>
          <w:lang w:val="es-ES_tradnl"/>
        </w:rPr>
        <w:t xml:space="preserve">   </w:t>
      </w:r>
    </w:p>
    <w:p w14:paraId="0FC89B11" w14:textId="77777777" w:rsidR="0068463E" w:rsidRPr="00A466A7" w:rsidRDefault="0068463E" w:rsidP="0068463E">
      <w:pPr>
        <w:pStyle w:val="Sinespaciado"/>
        <w:spacing w:line="276" w:lineRule="auto"/>
        <w:jc w:val="both"/>
        <w:rPr>
          <w:rFonts w:ascii="Century Gothic" w:hAnsi="Century Gothic" w:cs="Arial"/>
          <w:b/>
          <w:bCs/>
          <w:color w:val="000000" w:themeColor="text1"/>
          <w:sz w:val="22"/>
          <w:lang w:val="es-CO"/>
        </w:rPr>
      </w:pPr>
    </w:p>
    <w:p w14:paraId="509D840A" w14:textId="3FF6DF22" w:rsidR="00AA24D4" w:rsidRPr="00A466A7" w:rsidRDefault="00AA24D4" w:rsidP="000F27FB">
      <w:pPr>
        <w:pStyle w:val="Sinespaciado"/>
        <w:numPr>
          <w:ilvl w:val="1"/>
          <w:numId w:val="11"/>
        </w:numPr>
        <w:spacing w:line="276" w:lineRule="auto"/>
        <w:jc w:val="both"/>
        <w:rPr>
          <w:rFonts w:ascii="Century Gothic" w:hAnsi="Century Gothic" w:cs="Arial"/>
          <w:b/>
          <w:bCs/>
          <w:color w:val="000000" w:themeColor="text1"/>
          <w:sz w:val="22"/>
        </w:rPr>
      </w:pPr>
      <w:r w:rsidRPr="00A466A7">
        <w:rPr>
          <w:rFonts w:ascii="Century Gothic" w:eastAsia="Calibri" w:hAnsi="Century Gothic" w:cs="Arial"/>
          <w:b/>
          <w:bCs/>
          <w:color w:val="000000" w:themeColor="text1"/>
          <w:sz w:val="22"/>
          <w:lang w:val="es-ES" w:eastAsia="es-MX"/>
        </w:rPr>
        <w:t>Aproximación general al concepto de experiencia en la contratación pública</w:t>
      </w:r>
    </w:p>
    <w:p w14:paraId="45DF6573" w14:textId="77777777" w:rsidR="00AA24D4" w:rsidRPr="00A466A7" w:rsidRDefault="00AA24D4" w:rsidP="004C3EDB">
      <w:pPr>
        <w:spacing w:line="276" w:lineRule="auto"/>
        <w:jc w:val="both"/>
        <w:rPr>
          <w:rFonts w:ascii="Century Gothic" w:eastAsia="Calibri" w:hAnsi="Century Gothic" w:cs="Arial"/>
          <w:sz w:val="22"/>
          <w:szCs w:val="22"/>
        </w:rPr>
      </w:pPr>
    </w:p>
    <w:p w14:paraId="10A612E5" w14:textId="6E2F55EE" w:rsidR="00AA24D4" w:rsidRPr="00A466A7" w:rsidRDefault="00AA24D4" w:rsidP="00E21F0C">
      <w:pPr>
        <w:spacing w:after="240" w:line="276" w:lineRule="auto"/>
        <w:jc w:val="both"/>
        <w:rPr>
          <w:rFonts w:ascii="Century Gothic" w:eastAsia="Calibri" w:hAnsi="Century Gothic" w:cs="Arial"/>
          <w:sz w:val="22"/>
          <w:szCs w:val="22"/>
        </w:rPr>
      </w:pPr>
      <w:r w:rsidRPr="00A466A7">
        <w:rPr>
          <w:rFonts w:ascii="Century Gothic" w:eastAsia="Calibri" w:hAnsi="Century Gothic" w:cs="Arial"/>
          <w:sz w:val="22"/>
          <w:szCs w:val="22"/>
        </w:rPr>
        <w:t xml:space="preserve">El artículo 5 de la Ley 1150 de 2007 establece </w:t>
      </w:r>
      <w:r w:rsidR="000B501D">
        <w:rPr>
          <w:rFonts w:ascii="Century Gothic" w:eastAsia="Calibri" w:hAnsi="Century Gothic" w:cs="Arial"/>
          <w:sz w:val="22"/>
          <w:szCs w:val="22"/>
        </w:rPr>
        <w:t xml:space="preserve">a la </w:t>
      </w:r>
      <w:r w:rsidRPr="00A466A7">
        <w:rPr>
          <w:rFonts w:ascii="Century Gothic" w:eastAsia="Calibri" w:hAnsi="Century Gothic" w:cs="Arial"/>
          <w:sz w:val="22"/>
          <w:szCs w:val="22"/>
        </w:rPr>
        <w:t xml:space="preserve">experiencia </w:t>
      </w:r>
      <w:r w:rsidR="00C75FAA">
        <w:rPr>
          <w:rFonts w:ascii="Century Gothic" w:eastAsia="Calibri" w:hAnsi="Century Gothic" w:cs="Arial"/>
          <w:sz w:val="22"/>
          <w:szCs w:val="22"/>
        </w:rPr>
        <w:t xml:space="preserve">como requisito habilitante, y debe ser entendida como aquella </w:t>
      </w:r>
      <w:r w:rsidRPr="00A466A7">
        <w:rPr>
          <w:rFonts w:ascii="Century Gothic" w:eastAsia="Calibri" w:hAnsi="Century Gothic" w:cs="Arial"/>
          <w:sz w:val="22"/>
          <w:szCs w:val="22"/>
        </w:rPr>
        <w:t>que se deriva de los contratos que el proponente ha celebrado y ejecutado con diferentes contratantes, sin importar la naturaleza de estos</w:t>
      </w:r>
      <w:r w:rsidR="009223EF">
        <w:rPr>
          <w:rFonts w:ascii="Century Gothic" w:eastAsia="Calibri" w:hAnsi="Century Gothic" w:cs="Arial"/>
          <w:sz w:val="22"/>
          <w:szCs w:val="22"/>
        </w:rPr>
        <w:t xml:space="preserve"> y </w:t>
      </w:r>
      <w:r w:rsidRPr="00A466A7">
        <w:rPr>
          <w:rFonts w:ascii="Century Gothic" w:eastAsia="Calibri" w:hAnsi="Century Gothic" w:cs="Arial"/>
          <w:sz w:val="22"/>
          <w:szCs w:val="22"/>
        </w:rPr>
        <w:t>se verifica con el</w:t>
      </w:r>
      <w:r w:rsidR="009223EF">
        <w:rPr>
          <w:rFonts w:ascii="Century Gothic" w:eastAsia="Calibri" w:hAnsi="Century Gothic" w:cs="Arial"/>
          <w:sz w:val="22"/>
          <w:szCs w:val="22"/>
        </w:rPr>
        <w:t xml:space="preserve"> </w:t>
      </w:r>
      <w:r w:rsidRPr="00A466A7">
        <w:rPr>
          <w:rFonts w:ascii="Century Gothic" w:eastAsia="Calibri" w:hAnsi="Century Gothic" w:cs="Arial"/>
          <w:sz w:val="22"/>
          <w:szCs w:val="22"/>
        </w:rPr>
        <w:t>RUP</w:t>
      </w:r>
      <w:r w:rsidRPr="00A466A7">
        <w:rPr>
          <w:rStyle w:val="Refdenotaalpie"/>
          <w:rFonts w:ascii="Century Gothic" w:eastAsia="Calibri" w:hAnsi="Century Gothic" w:cs="Arial"/>
          <w:sz w:val="22"/>
          <w:szCs w:val="22"/>
        </w:rPr>
        <w:footnoteReference w:id="24"/>
      </w:r>
      <w:r w:rsidRPr="00A466A7">
        <w:rPr>
          <w:rFonts w:ascii="Century Gothic" w:eastAsia="Calibri" w:hAnsi="Century Gothic" w:cs="Arial"/>
          <w:sz w:val="22"/>
          <w:szCs w:val="22"/>
        </w:rPr>
        <w:t xml:space="preserve">, </w:t>
      </w:r>
      <w:r w:rsidR="009223EF">
        <w:rPr>
          <w:rFonts w:ascii="Century Gothic" w:eastAsia="Calibri" w:hAnsi="Century Gothic" w:cs="Arial"/>
          <w:sz w:val="22"/>
          <w:szCs w:val="22"/>
        </w:rPr>
        <w:t>siempre y cuando este s</w:t>
      </w:r>
      <w:r w:rsidRPr="00A466A7">
        <w:rPr>
          <w:rFonts w:ascii="Century Gothic" w:eastAsia="Calibri" w:hAnsi="Century Gothic" w:cs="Arial"/>
          <w:sz w:val="22"/>
          <w:szCs w:val="22"/>
        </w:rPr>
        <w:t xml:space="preserve">ea exigible de acuerdo con la ley, </w:t>
      </w:r>
      <w:r w:rsidR="009223EF">
        <w:rPr>
          <w:rFonts w:ascii="Century Gothic" w:eastAsia="Calibri" w:hAnsi="Century Gothic" w:cs="Arial"/>
          <w:sz w:val="22"/>
          <w:szCs w:val="22"/>
        </w:rPr>
        <w:t xml:space="preserve">sobre el cual se predica que </w:t>
      </w:r>
      <w:r w:rsidRPr="00A466A7">
        <w:rPr>
          <w:rFonts w:ascii="Century Gothic" w:eastAsia="Calibri" w:hAnsi="Century Gothic" w:cs="Arial"/>
          <w:sz w:val="22"/>
          <w:szCs w:val="22"/>
        </w:rPr>
        <w:t>los requisitos habilitantes que se evalúan exclusivamente con este documento</w:t>
      </w:r>
      <w:r w:rsidR="00E21F0C">
        <w:rPr>
          <w:rFonts w:ascii="Century Gothic" w:eastAsia="Calibri" w:hAnsi="Century Gothic" w:cs="Arial"/>
          <w:sz w:val="22"/>
          <w:szCs w:val="22"/>
        </w:rPr>
        <w:t xml:space="preserve"> son</w:t>
      </w:r>
      <w:r w:rsidRPr="00A466A7">
        <w:rPr>
          <w:rFonts w:ascii="Century Gothic" w:eastAsia="Calibri" w:hAnsi="Century Gothic" w:cs="Arial"/>
          <w:sz w:val="22"/>
          <w:szCs w:val="22"/>
        </w:rPr>
        <w:t xml:space="preserve"> plena prueba, sin que la entidad o el proponente puedan solicitar o aportar otra documentación</w:t>
      </w:r>
      <w:r w:rsidRPr="00A466A7">
        <w:rPr>
          <w:rStyle w:val="Refdenotaalpie"/>
          <w:rFonts w:ascii="Century Gothic" w:eastAsia="Calibri" w:hAnsi="Century Gothic" w:cs="Arial"/>
          <w:sz w:val="22"/>
          <w:szCs w:val="22"/>
        </w:rPr>
        <w:footnoteReference w:id="25"/>
      </w:r>
      <w:r w:rsidRPr="00A466A7">
        <w:rPr>
          <w:rFonts w:ascii="Century Gothic" w:eastAsia="Calibri" w:hAnsi="Century Gothic" w:cs="Arial"/>
          <w:sz w:val="22"/>
          <w:szCs w:val="22"/>
        </w:rPr>
        <w:t>.</w:t>
      </w:r>
    </w:p>
    <w:p w14:paraId="4E2F87D9" w14:textId="3F869732" w:rsidR="00AA24D4" w:rsidRPr="00A466A7" w:rsidRDefault="008D5B25" w:rsidP="00E21F0C">
      <w:pPr>
        <w:pStyle w:val="Prrafodelista"/>
        <w:spacing w:after="240" w:line="276" w:lineRule="auto"/>
        <w:ind w:left="0" w:firstLine="708"/>
        <w:jc w:val="both"/>
        <w:rPr>
          <w:rFonts w:ascii="Century Gothic" w:eastAsia="Calibri" w:hAnsi="Century Gothic" w:cs="Arial"/>
          <w:sz w:val="22"/>
          <w:szCs w:val="22"/>
        </w:rPr>
      </w:pPr>
      <w:r>
        <w:rPr>
          <w:rFonts w:ascii="Century Gothic" w:eastAsia="Calibri" w:hAnsi="Century Gothic" w:cs="Arial"/>
          <w:sz w:val="22"/>
          <w:szCs w:val="22"/>
        </w:rPr>
        <w:t xml:space="preserve">Igualmente se ha indicado que </w:t>
      </w:r>
      <w:r w:rsidR="00AA24D4" w:rsidRPr="00A466A7">
        <w:rPr>
          <w:rFonts w:ascii="Century Gothic" w:eastAsia="Calibri" w:hAnsi="Century Gothic" w:cs="Arial"/>
          <w:sz w:val="22"/>
          <w:szCs w:val="22"/>
        </w:rPr>
        <w:t xml:space="preserve">la experiencia, esta debe inscribirse, renovarse o actualizarse en el RUP con copia de los contratos o con certificados de los contratos celebrados por el proponente con diferentes contratantes, quienes son terceros que los expiden cuando el contrato fue ejecutado y recibieron los </w:t>
      </w:r>
      <w:r w:rsidR="00AA24D4" w:rsidRPr="00A466A7">
        <w:rPr>
          <w:rFonts w:ascii="Century Gothic" w:eastAsia="Calibri" w:hAnsi="Century Gothic" w:cs="Arial"/>
          <w:sz w:val="22"/>
          <w:szCs w:val="22"/>
        </w:rPr>
        <w:lastRenderedPageBreak/>
        <w:t>bienes, obras o servicios de parte del proponente</w:t>
      </w:r>
      <w:r w:rsidR="00AA24D4" w:rsidRPr="00A466A7">
        <w:rPr>
          <w:rStyle w:val="Refdenotaalpie"/>
          <w:rFonts w:ascii="Century Gothic" w:eastAsia="Calibri" w:hAnsi="Century Gothic" w:cs="Arial"/>
          <w:sz w:val="22"/>
          <w:szCs w:val="22"/>
        </w:rPr>
        <w:footnoteReference w:id="26"/>
      </w:r>
      <w:r w:rsidR="00AA24D4" w:rsidRPr="00A466A7">
        <w:rPr>
          <w:rFonts w:ascii="Century Gothic" w:eastAsia="Calibri" w:hAnsi="Century Gothic" w:cs="Arial"/>
          <w:sz w:val="22"/>
          <w:szCs w:val="22"/>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107B7391" w14:textId="3AA89BCA" w:rsidR="00AA24D4" w:rsidRPr="00A466A7" w:rsidRDefault="00AA24D4" w:rsidP="00AA24D4">
      <w:pPr>
        <w:spacing w:line="276" w:lineRule="auto"/>
        <w:ind w:firstLine="708"/>
        <w:jc w:val="both"/>
        <w:rPr>
          <w:rFonts w:ascii="Century Gothic" w:eastAsia="Calibri" w:hAnsi="Century Gothic" w:cs="Arial"/>
          <w:sz w:val="22"/>
          <w:szCs w:val="22"/>
        </w:rPr>
      </w:pPr>
      <w:r w:rsidRPr="00A466A7">
        <w:rPr>
          <w:rFonts w:ascii="Century Gothic" w:eastAsia="Calibri" w:hAnsi="Century Gothic" w:cs="Arial"/>
          <w:sz w:val="22"/>
          <w:szCs w:val="22"/>
        </w:rPr>
        <w:t xml:space="preserve">Por lo demás, el </w:t>
      </w:r>
      <w:r w:rsidR="00A41078">
        <w:rPr>
          <w:rFonts w:ascii="Century Gothic" w:eastAsia="Calibri" w:hAnsi="Century Gothic" w:cs="Arial"/>
          <w:sz w:val="22"/>
          <w:szCs w:val="22"/>
        </w:rPr>
        <w:t>“</w:t>
      </w:r>
      <w:r w:rsidRPr="00A41078">
        <w:rPr>
          <w:rFonts w:ascii="Century Gothic" w:eastAsia="Calibri" w:hAnsi="Century Gothic" w:cs="Arial"/>
          <w:i/>
          <w:iCs/>
          <w:sz w:val="22"/>
          <w:szCs w:val="22"/>
        </w:rPr>
        <w:t>Manual para determinar y verificar requisitos habilitantes en los procesos de contratación</w:t>
      </w:r>
      <w:r w:rsidR="00A41078" w:rsidRPr="00A41078">
        <w:rPr>
          <w:rFonts w:ascii="Century Gothic" w:eastAsia="Calibri" w:hAnsi="Century Gothic" w:cs="Arial"/>
          <w:i/>
          <w:iCs/>
          <w:sz w:val="22"/>
          <w:szCs w:val="22"/>
        </w:rPr>
        <w:t>”</w:t>
      </w:r>
      <w:r w:rsidRPr="00A41078">
        <w:rPr>
          <w:rFonts w:ascii="Century Gothic" w:eastAsia="Calibri" w:hAnsi="Century Gothic" w:cs="Arial"/>
          <w:i/>
          <w:iCs/>
          <w:sz w:val="22"/>
          <w:szCs w:val="22"/>
        </w:rPr>
        <w:t>,</w:t>
      </w:r>
      <w:r w:rsidRPr="00A466A7">
        <w:rPr>
          <w:rFonts w:ascii="Century Gothic" w:eastAsia="Calibri" w:hAnsi="Century Gothic" w:cs="Arial"/>
          <w:sz w:val="22"/>
          <w:szCs w:val="22"/>
        </w:rPr>
        <w:t xml:space="preserve"> </w:t>
      </w:r>
      <w:r w:rsidR="00A41078">
        <w:rPr>
          <w:rFonts w:ascii="Century Gothic" w:eastAsia="Calibri" w:hAnsi="Century Gothic" w:cs="Arial"/>
          <w:sz w:val="22"/>
          <w:szCs w:val="22"/>
        </w:rPr>
        <w:t>indica que la experiencia tiene un</w:t>
      </w:r>
      <w:r w:rsidRPr="00A466A7">
        <w:rPr>
          <w:rFonts w:ascii="Century Gothic" w:eastAsia="Calibri" w:hAnsi="Century Gothic" w:cs="Arial"/>
          <w:sz w:val="22"/>
          <w:szCs w:val="22"/>
        </w:rPr>
        <w:t xml:space="preserve"> carácter personal, lo cual significa que la experiencia se obtiene en razón a la participación, con anterioridad, en actividades que le permitieron conocer cómo ejecutar determinado objeto contractual, que la entidad ahora pretende desarrollar</w:t>
      </w:r>
      <w:r w:rsidRPr="00A466A7">
        <w:rPr>
          <w:rStyle w:val="Refdenotaalpie"/>
          <w:rFonts w:ascii="Century Gothic" w:eastAsia="Calibri" w:hAnsi="Century Gothic" w:cs="Arial"/>
          <w:sz w:val="22"/>
          <w:szCs w:val="22"/>
        </w:rPr>
        <w:footnoteReference w:id="27"/>
      </w:r>
      <w:r w:rsidRPr="00A466A7">
        <w:rPr>
          <w:rFonts w:ascii="Century Gothic" w:eastAsia="Calibri" w:hAnsi="Century Gothic" w:cs="Arial"/>
          <w:sz w:val="22"/>
          <w:szCs w:val="22"/>
        </w:rPr>
        <w:t>.</w:t>
      </w:r>
    </w:p>
    <w:p w14:paraId="6B0D2C15" w14:textId="77777777" w:rsidR="00AA24D4" w:rsidRPr="00A466A7" w:rsidRDefault="00AA24D4" w:rsidP="00AA24D4">
      <w:pPr>
        <w:spacing w:before="120" w:after="120" w:line="276" w:lineRule="auto"/>
        <w:ind w:firstLine="708"/>
        <w:jc w:val="both"/>
        <w:rPr>
          <w:rFonts w:ascii="Century Gothic" w:eastAsia="Calibri" w:hAnsi="Century Gothic" w:cs="Arial"/>
          <w:sz w:val="22"/>
          <w:szCs w:val="22"/>
        </w:rPr>
      </w:pPr>
      <w:r w:rsidRPr="00A466A7">
        <w:rPr>
          <w:rFonts w:ascii="Century Gothic" w:eastAsia="Calibri" w:hAnsi="Century Gothic" w:cs="Arial"/>
          <w:sz w:val="22"/>
          <w:szCs w:val="22"/>
        </w:rPr>
        <w:lastRenderedPageBreak/>
        <w:t xml:space="preserve">Lo anterior es determinante, porque no es posible tener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Finalmente, pueden extraerse cuatro (4) conclusiones relevantes para evaluar las figuras y reformas estatutarias de las sociedades comerciales, respecto de la experiencia: </w:t>
      </w:r>
    </w:p>
    <w:p w14:paraId="73611A7C" w14:textId="77777777" w:rsidR="00AA24D4" w:rsidRPr="00A466A7" w:rsidRDefault="00AA24D4" w:rsidP="00AA24D4">
      <w:pPr>
        <w:spacing w:before="120" w:after="120" w:line="276" w:lineRule="auto"/>
        <w:ind w:firstLine="708"/>
        <w:jc w:val="both"/>
        <w:rPr>
          <w:rFonts w:ascii="Century Gothic" w:eastAsia="Calibri" w:hAnsi="Century Gothic" w:cs="Arial"/>
          <w:sz w:val="22"/>
          <w:szCs w:val="22"/>
        </w:rPr>
      </w:pPr>
      <w:bookmarkStart w:id="5" w:name="_Hlk132125885"/>
      <w:r w:rsidRPr="00A466A7">
        <w:rPr>
          <w:rFonts w:ascii="Century Gothic" w:eastAsia="Calibri" w:hAnsi="Century Gothic" w:cs="Arial"/>
          <w:sz w:val="22"/>
          <w:szCs w:val="22"/>
        </w:rPr>
        <w:t xml:space="preserve">i) La experiencia es </w:t>
      </w:r>
      <w:r w:rsidRPr="00A466A7">
        <w:rPr>
          <w:rFonts w:ascii="Century Gothic" w:eastAsia="Calibri" w:hAnsi="Century Gothic" w:cs="Arial"/>
          <w:i/>
          <w:iCs/>
          <w:sz w:val="22"/>
          <w:szCs w:val="22"/>
        </w:rPr>
        <w:t>personal</w:t>
      </w:r>
      <w:r w:rsidRPr="00A466A7">
        <w:rPr>
          <w:rFonts w:ascii="Century Gothic" w:eastAsia="Calibri" w:hAnsi="Century Gothic" w:cs="Arial"/>
          <w:sz w:val="22"/>
          <w:szCs w:val="22"/>
        </w:rPr>
        <w:t>, esto es, se adquiere participando, directa o indirectamente, sin que sea posible no hacerlo y tener experiencia.</w:t>
      </w:r>
    </w:p>
    <w:p w14:paraId="6F4206CC" w14:textId="77777777" w:rsidR="00AA24D4" w:rsidRPr="00A466A7" w:rsidRDefault="00AA24D4" w:rsidP="00AA24D4">
      <w:pPr>
        <w:spacing w:before="120" w:after="120" w:line="276" w:lineRule="auto"/>
        <w:ind w:firstLine="708"/>
        <w:jc w:val="both"/>
        <w:rPr>
          <w:rFonts w:ascii="Century Gothic" w:eastAsia="Calibri" w:hAnsi="Century Gothic" w:cs="Arial"/>
          <w:sz w:val="22"/>
          <w:szCs w:val="22"/>
          <w:lang w:val="es-MX"/>
        </w:rPr>
      </w:pPr>
      <w:r w:rsidRPr="00A466A7">
        <w:rPr>
          <w:rFonts w:ascii="Century Gothic" w:eastAsia="Calibri" w:hAnsi="Century Gothic" w:cs="Arial"/>
          <w:sz w:val="22"/>
          <w:szCs w:val="22"/>
        </w:rPr>
        <w:t xml:space="preserve">ii) </w:t>
      </w:r>
      <w:r w:rsidRPr="00A466A7">
        <w:rPr>
          <w:rFonts w:ascii="Century Gothic" w:eastAsia="Calibri" w:hAnsi="Century Gothic" w:cs="Arial"/>
          <w:sz w:val="22"/>
          <w:szCs w:val="22"/>
          <w:lang w:val="es-MX"/>
        </w:rPr>
        <w:t xml:space="preserve">La experiencia se puede </w:t>
      </w:r>
      <w:r w:rsidRPr="00A466A7">
        <w:rPr>
          <w:rFonts w:ascii="Century Gothic" w:eastAsia="Calibri" w:hAnsi="Century Gothic" w:cs="Arial"/>
          <w:i/>
          <w:iCs/>
          <w:sz w:val="22"/>
          <w:szCs w:val="22"/>
          <w:lang w:val="es-MX"/>
        </w:rPr>
        <w:t>compartir</w:t>
      </w:r>
      <w:r w:rsidRPr="00A466A7">
        <w:rPr>
          <w:rFonts w:ascii="Century Gothic" w:eastAsia="Calibri" w:hAnsi="Century Gothic" w:cs="Arial"/>
          <w:sz w:val="22"/>
          <w:szCs w:val="22"/>
          <w:lang w:val="es-MX"/>
        </w:rPr>
        <w:t xml:space="preserve">,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w:t>
      </w:r>
      <w:proofErr w:type="gramStart"/>
      <w:r w:rsidRPr="00A466A7">
        <w:rPr>
          <w:rFonts w:ascii="Century Gothic" w:eastAsia="Calibri" w:hAnsi="Century Gothic" w:cs="Arial"/>
          <w:sz w:val="22"/>
          <w:szCs w:val="22"/>
          <w:lang w:val="es-MX"/>
        </w:rPr>
        <w:t xml:space="preserve">asociativas  </w:t>
      </w:r>
      <w:r w:rsidRPr="00A466A7">
        <w:rPr>
          <w:rFonts w:ascii="Arial" w:eastAsia="Calibri" w:hAnsi="Arial" w:cs="Arial"/>
          <w:sz w:val="22"/>
          <w:szCs w:val="22"/>
          <w:lang w:val="es-MX"/>
        </w:rPr>
        <w:t>̶</w:t>
      </w:r>
      <w:proofErr w:type="gramEnd"/>
      <w:r w:rsidRPr="00A466A7">
        <w:rPr>
          <w:rFonts w:ascii="Century Gothic" w:eastAsia="Calibri" w:hAnsi="Century Gothic" w:cs="Arial"/>
          <w:sz w:val="22"/>
          <w:szCs w:val="22"/>
          <w:lang w:val="es-MX"/>
        </w:rPr>
        <w:t xml:space="preserve"> consorcios y uniones temporales </w:t>
      </w:r>
      <w:r w:rsidRPr="00A466A7">
        <w:rPr>
          <w:rFonts w:ascii="Arial" w:eastAsia="Calibri" w:hAnsi="Arial" w:cs="Arial"/>
          <w:sz w:val="22"/>
          <w:szCs w:val="22"/>
          <w:lang w:val="es-MX"/>
        </w:rPr>
        <w:t>̶</w:t>
      </w:r>
      <w:r w:rsidRPr="00A466A7">
        <w:rPr>
          <w:rFonts w:ascii="Century Gothic" w:eastAsia="Calibri" w:hAnsi="Century Gothic" w:cs="Arial"/>
          <w:sz w:val="22"/>
          <w:szCs w:val="22"/>
          <w:lang w:val="es-MX"/>
        </w:rPr>
        <w:t xml:space="preserve">  que se verificar</w:t>
      </w:r>
      <w:r w:rsidRPr="00A466A7">
        <w:rPr>
          <w:rFonts w:ascii="Century Gothic" w:eastAsia="Calibri" w:hAnsi="Century Gothic" w:cs="Century Gothic"/>
          <w:sz w:val="22"/>
          <w:szCs w:val="22"/>
          <w:lang w:val="es-MX"/>
        </w:rPr>
        <w:t>á</w:t>
      </w:r>
      <w:r w:rsidRPr="00A466A7">
        <w:rPr>
          <w:rFonts w:ascii="Century Gothic" w:eastAsia="Calibri" w:hAnsi="Century Gothic" w:cs="Arial"/>
          <w:sz w:val="22"/>
          <w:szCs w:val="22"/>
          <w:lang w:val="es-MX"/>
        </w:rPr>
        <w:t xml:space="preserve"> en el documento privado de constituci</w:t>
      </w:r>
      <w:r w:rsidRPr="00A466A7">
        <w:rPr>
          <w:rFonts w:ascii="Century Gothic" w:eastAsia="Calibri" w:hAnsi="Century Gothic" w:cs="Century Gothic"/>
          <w:sz w:val="22"/>
          <w:szCs w:val="22"/>
          <w:lang w:val="es-MX"/>
        </w:rPr>
        <w:t>ó</w:t>
      </w:r>
      <w:r w:rsidRPr="00A466A7">
        <w:rPr>
          <w:rFonts w:ascii="Century Gothic" w:eastAsia="Calibri" w:hAnsi="Century Gothic" w:cs="Arial"/>
          <w:sz w:val="22"/>
          <w:szCs w:val="22"/>
          <w:lang w:val="es-MX"/>
        </w:rPr>
        <w:t>n.</w:t>
      </w:r>
    </w:p>
    <w:p w14:paraId="530BB4C6" w14:textId="77777777" w:rsidR="00AA24D4" w:rsidRPr="00A466A7" w:rsidRDefault="00AA24D4" w:rsidP="00AA24D4">
      <w:pPr>
        <w:spacing w:before="120" w:after="120" w:line="276" w:lineRule="auto"/>
        <w:ind w:firstLine="708"/>
        <w:jc w:val="both"/>
        <w:rPr>
          <w:rFonts w:ascii="Century Gothic" w:eastAsia="Calibri" w:hAnsi="Century Gothic" w:cs="Arial"/>
          <w:sz w:val="22"/>
          <w:szCs w:val="22"/>
        </w:rPr>
      </w:pPr>
      <w:r w:rsidRPr="00A466A7">
        <w:rPr>
          <w:rFonts w:ascii="Century Gothic" w:eastAsia="Calibri" w:hAnsi="Century Gothic" w:cs="Arial"/>
          <w:sz w:val="22"/>
          <w:szCs w:val="22"/>
        </w:rPr>
        <w:t xml:space="preserve">iii) La experiencia se puede </w:t>
      </w:r>
      <w:r w:rsidRPr="00A466A7">
        <w:rPr>
          <w:rFonts w:ascii="Century Gothic" w:eastAsia="Calibri" w:hAnsi="Century Gothic" w:cs="Arial"/>
          <w:i/>
          <w:iCs/>
          <w:sz w:val="22"/>
          <w:szCs w:val="22"/>
        </w:rPr>
        <w:t>transferir</w:t>
      </w:r>
      <w:r w:rsidRPr="00A466A7">
        <w:rPr>
          <w:rFonts w:ascii="Century Gothic" w:eastAsia="Calibri" w:hAnsi="Century Gothic" w:cs="Arial"/>
          <w:sz w:val="22"/>
          <w:szCs w:val="22"/>
        </w:rPr>
        <w:t>, y esto es diferente a compartir, lo que implica que la experiencia de una persona se traslada a otra, y esta última acredita la experiencia como propia, como sucede con algunas figuras y reformas estatutarias como la transformación, fusión o escisión.</w:t>
      </w:r>
    </w:p>
    <w:p w14:paraId="0322E2BB" w14:textId="77777777" w:rsidR="00AA24D4" w:rsidRPr="00A466A7" w:rsidRDefault="00AA24D4" w:rsidP="00AA24D4">
      <w:pPr>
        <w:spacing w:line="276" w:lineRule="auto"/>
        <w:ind w:firstLine="708"/>
        <w:jc w:val="both"/>
        <w:rPr>
          <w:rFonts w:ascii="Century Gothic" w:eastAsia="Calibri" w:hAnsi="Century Gothic" w:cs="Arial"/>
          <w:sz w:val="22"/>
          <w:szCs w:val="22"/>
        </w:rPr>
      </w:pPr>
      <w:proofErr w:type="spellStart"/>
      <w:r w:rsidRPr="00A466A7">
        <w:rPr>
          <w:rFonts w:ascii="Century Gothic" w:eastAsia="Calibri" w:hAnsi="Century Gothic" w:cs="Arial"/>
          <w:sz w:val="22"/>
          <w:szCs w:val="22"/>
        </w:rPr>
        <w:t>iv</w:t>
      </w:r>
      <w:proofErr w:type="spellEnd"/>
      <w:r w:rsidRPr="00A466A7">
        <w:rPr>
          <w:rFonts w:ascii="Century Gothic" w:eastAsia="Calibri" w:hAnsi="Century Gothic" w:cs="Arial"/>
          <w:sz w:val="22"/>
          <w:szCs w:val="22"/>
        </w:rPr>
        <w:t xml:space="preserve">) Solo es posible transferir o compartir la experiencia de una persona natural o jurídica a otra, en los casos señalados en los numerales anteriores, por lo cual no es posible que se acredite la experiencia adquirida por un </w:t>
      </w:r>
      <w:proofErr w:type="gramStart"/>
      <w:r w:rsidRPr="00A466A7">
        <w:rPr>
          <w:rFonts w:ascii="Century Gothic" w:eastAsia="Calibri" w:hAnsi="Century Gothic" w:cs="Arial"/>
          <w:sz w:val="22"/>
          <w:szCs w:val="22"/>
        </w:rPr>
        <w:t xml:space="preserve">tercero  </w:t>
      </w:r>
      <w:r w:rsidRPr="00A466A7">
        <w:rPr>
          <w:rFonts w:ascii="Arial" w:eastAsia="Calibri" w:hAnsi="Arial" w:cs="Arial"/>
          <w:sz w:val="22"/>
          <w:szCs w:val="22"/>
        </w:rPr>
        <w:t>̶</w:t>
      </w:r>
      <w:proofErr w:type="gramEnd"/>
      <w:r w:rsidRPr="00A466A7">
        <w:rPr>
          <w:rFonts w:ascii="Century Gothic" w:eastAsia="Calibri" w:hAnsi="Century Gothic" w:cs="Arial"/>
          <w:sz w:val="22"/>
          <w:szCs w:val="22"/>
        </w:rPr>
        <w:t xml:space="preserve"> que es otra persona diferente a la principal </w:t>
      </w:r>
      <w:r w:rsidRPr="00A466A7">
        <w:rPr>
          <w:rFonts w:ascii="Arial" w:eastAsia="Calibri" w:hAnsi="Arial" w:cs="Arial"/>
          <w:sz w:val="22"/>
          <w:szCs w:val="22"/>
        </w:rPr>
        <w:t>̶</w:t>
      </w:r>
      <w:r w:rsidRPr="00A466A7">
        <w:rPr>
          <w:rFonts w:ascii="Century Gothic" w:eastAsia="Calibri" w:hAnsi="Century Gothic" w:cs="Arial"/>
          <w:sz w:val="22"/>
          <w:szCs w:val="22"/>
        </w:rPr>
        <w:t xml:space="preserve">  sin que se relacione con lo establecido, ya que la </w:t>
      </w:r>
      <w:r w:rsidRPr="00A466A7">
        <w:rPr>
          <w:rFonts w:ascii="Century Gothic" w:eastAsia="Calibri" w:hAnsi="Century Gothic" w:cs="Arial"/>
          <w:sz w:val="22"/>
          <w:szCs w:val="22"/>
        </w:rPr>
        <w:lastRenderedPageBreak/>
        <w:t xml:space="preserve">experiencia es personal, esto es, de quien la adquirió. Asimismo, cuando la persona que adquirió la experiencia </w:t>
      </w:r>
      <w:r w:rsidRPr="00A466A7">
        <w:rPr>
          <w:rFonts w:ascii="Century Gothic" w:eastAsia="Calibri" w:hAnsi="Century Gothic" w:cs="Arial"/>
          <w:i/>
          <w:iCs/>
          <w:sz w:val="22"/>
          <w:szCs w:val="22"/>
        </w:rPr>
        <w:t>desaparece</w:t>
      </w:r>
      <w:r w:rsidRPr="00A466A7">
        <w:rPr>
          <w:rFonts w:ascii="Century Gothic" w:eastAsia="Calibri" w:hAnsi="Century Gothic" w:cs="Arial"/>
          <w:sz w:val="22"/>
          <w:szCs w:val="22"/>
        </w:rPr>
        <w:t xml:space="preserve"> o se liquida no es posible que comparta o transfiera su experiencia, porque al ser personal sigue la suerte de quien la adquirió.</w:t>
      </w:r>
    </w:p>
    <w:bookmarkEnd w:id="5"/>
    <w:p w14:paraId="6C60C864" w14:textId="77777777" w:rsidR="00AA24D4" w:rsidRPr="00A466A7" w:rsidRDefault="00AA24D4" w:rsidP="00AA24D4">
      <w:pPr>
        <w:spacing w:before="120" w:line="276" w:lineRule="auto"/>
        <w:ind w:firstLine="708"/>
        <w:jc w:val="both"/>
        <w:rPr>
          <w:rFonts w:ascii="Century Gothic" w:eastAsia="Calibri" w:hAnsi="Century Gothic" w:cs="Arial"/>
          <w:color w:val="000000" w:themeColor="text1"/>
          <w:sz w:val="22"/>
          <w:szCs w:val="22"/>
        </w:rPr>
      </w:pPr>
      <w:r w:rsidRPr="00A466A7">
        <w:rPr>
          <w:rFonts w:ascii="Century Gothic" w:eastAsia="Calibri" w:hAnsi="Century Gothic" w:cs="Arial"/>
          <w:color w:val="000000" w:themeColor="text1"/>
          <w:sz w:val="22"/>
          <w:szCs w:val="22"/>
        </w:rPr>
        <w:t>No obstante, las entidades estatales son autónomas en la estructuración de sus procedimientos contractuales, por lo cual en sus pliegos de condiciones pueden establecer una regla de acreditación de la experiencia que permita que el proponente incluya la de otras personas o terceros para cumplir el requisito habilitante. Lo anterior, salvo que se trate de objetos contractuales regidos por documentos tipo, evento en el cual las reglas relativas a la experiencia exigida y a la forma de acreditación están allí previstas.</w:t>
      </w:r>
    </w:p>
    <w:p w14:paraId="7A25779C" w14:textId="7FDC888E" w:rsidR="00AA24D4" w:rsidRPr="00A466A7" w:rsidRDefault="00AA24D4" w:rsidP="00B53475">
      <w:pPr>
        <w:spacing w:before="120" w:after="120" w:line="276" w:lineRule="auto"/>
        <w:ind w:firstLine="708"/>
        <w:jc w:val="both"/>
        <w:rPr>
          <w:rFonts w:ascii="Century Gothic" w:hAnsi="Century Gothic" w:cs="Arial"/>
          <w:sz w:val="22"/>
          <w:szCs w:val="22"/>
        </w:rPr>
      </w:pPr>
      <w:r w:rsidRPr="00A466A7">
        <w:rPr>
          <w:rFonts w:ascii="Century Gothic" w:hAnsi="Century Gothic" w:cs="Arial"/>
          <w:sz w:val="22"/>
          <w:szCs w:val="22"/>
        </w:rPr>
        <w:t xml:space="preserve">Ahora, </w:t>
      </w:r>
      <w:r w:rsidR="00934222">
        <w:rPr>
          <w:rFonts w:ascii="Century Gothic" w:hAnsi="Century Gothic" w:cs="Arial"/>
          <w:sz w:val="22"/>
          <w:szCs w:val="22"/>
        </w:rPr>
        <w:t xml:space="preserve">como bien se expuso previamente, </w:t>
      </w:r>
      <w:r w:rsidRPr="00A466A7">
        <w:rPr>
          <w:rFonts w:ascii="Century Gothic" w:hAnsi="Century Gothic" w:cs="Arial"/>
          <w:sz w:val="22"/>
          <w:szCs w:val="22"/>
        </w:rPr>
        <w:t xml:space="preserve">el RUP fue creado por el artículo 6 de la Ley 1150 de 2007 y constituye el medio idóneo para verificar las condiciones de los proponentes en procesos de contratación pública. 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w:t>
      </w:r>
      <w:r w:rsidR="00EE3547">
        <w:rPr>
          <w:rFonts w:ascii="Century Gothic" w:hAnsi="Century Gothic" w:cs="Arial"/>
          <w:sz w:val="22"/>
          <w:szCs w:val="22"/>
        </w:rPr>
        <w:t>dicho registro</w:t>
      </w:r>
      <w:r w:rsidRPr="00A466A7">
        <w:rPr>
          <w:rFonts w:ascii="Century Gothic" w:hAnsi="Century Gothic" w:cs="Arial"/>
          <w:sz w:val="22"/>
          <w:szCs w:val="22"/>
        </w:rPr>
        <w:t xml:space="preserve">. </w:t>
      </w:r>
    </w:p>
    <w:p w14:paraId="2759D7F8" w14:textId="77777777" w:rsidR="00A86171" w:rsidRPr="00A466A7" w:rsidRDefault="00A86171" w:rsidP="00B53475">
      <w:pPr>
        <w:spacing w:before="120" w:after="120" w:line="276" w:lineRule="auto"/>
        <w:ind w:firstLine="708"/>
        <w:jc w:val="both"/>
        <w:rPr>
          <w:rFonts w:ascii="Century Gothic" w:hAnsi="Century Gothic" w:cs="Arial"/>
          <w:sz w:val="22"/>
          <w:szCs w:val="22"/>
        </w:rPr>
      </w:pPr>
    </w:p>
    <w:p w14:paraId="5D469C57" w14:textId="73DE6135" w:rsidR="00AA24D4" w:rsidRPr="00A466A7" w:rsidRDefault="00A66EE7" w:rsidP="00A66EE7">
      <w:pPr>
        <w:tabs>
          <w:tab w:val="left" w:pos="426"/>
        </w:tabs>
        <w:spacing w:after="120" w:line="276" w:lineRule="auto"/>
        <w:ind w:right="49"/>
        <w:jc w:val="both"/>
        <w:rPr>
          <w:rFonts w:ascii="Century Gothic" w:hAnsi="Century Gothic" w:cs="Arial"/>
          <w:b/>
          <w:bCs/>
          <w:sz w:val="22"/>
          <w:szCs w:val="22"/>
        </w:rPr>
      </w:pPr>
      <w:bookmarkStart w:id="6" w:name="_Hlk136958112"/>
      <w:r w:rsidRPr="00A466A7">
        <w:rPr>
          <w:rFonts w:ascii="Century Gothic" w:hAnsi="Century Gothic" w:cs="Arial"/>
          <w:b/>
          <w:bCs/>
          <w:sz w:val="22"/>
          <w:szCs w:val="22"/>
        </w:rPr>
        <w:t>2.</w:t>
      </w:r>
      <w:r w:rsidR="00E76A67" w:rsidRPr="00A466A7">
        <w:rPr>
          <w:rFonts w:ascii="Century Gothic" w:hAnsi="Century Gothic" w:cs="Arial"/>
          <w:b/>
          <w:bCs/>
          <w:sz w:val="22"/>
          <w:szCs w:val="22"/>
        </w:rPr>
        <w:t>6</w:t>
      </w:r>
      <w:r w:rsidRPr="00A466A7">
        <w:rPr>
          <w:rFonts w:ascii="Century Gothic" w:hAnsi="Century Gothic" w:cs="Arial"/>
          <w:b/>
          <w:bCs/>
          <w:sz w:val="22"/>
          <w:szCs w:val="22"/>
        </w:rPr>
        <w:t xml:space="preserve">. </w:t>
      </w:r>
      <w:r w:rsidR="00AA24D4" w:rsidRPr="00A466A7">
        <w:rPr>
          <w:rFonts w:ascii="Century Gothic" w:hAnsi="Century Gothic" w:cs="Arial"/>
          <w:b/>
          <w:bCs/>
          <w:sz w:val="22"/>
          <w:szCs w:val="22"/>
        </w:rPr>
        <w:t>Acreditación de experiencia de socios por parte de sociedades con menos de tres años de constitución</w:t>
      </w:r>
      <w:bookmarkEnd w:id="6"/>
      <w:r w:rsidR="00C275D4" w:rsidRPr="00A466A7">
        <w:rPr>
          <w:rFonts w:ascii="Century Gothic" w:hAnsi="Century Gothic" w:cs="Arial"/>
          <w:b/>
          <w:bCs/>
          <w:sz w:val="22"/>
          <w:szCs w:val="22"/>
        </w:rPr>
        <w:t xml:space="preserve"> y la </w:t>
      </w:r>
      <w:r w:rsidR="00C275D4" w:rsidRPr="00A466A7">
        <w:rPr>
          <w:rFonts w:ascii="Century Gothic" w:eastAsia="Calibri" w:hAnsi="Century Gothic" w:cs="Arial"/>
          <w:b/>
          <w:bCs/>
          <w:color w:val="000000" w:themeColor="text1"/>
          <w:sz w:val="22"/>
          <w:szCs w:val="22"/>
          <w:lang w:val="es-ES" w:eastAsia="es-MX"/>
        </w:rPr>
        <w:t xml:space="preserve">posibilidad </w:t>
      </w:r>
      <w:r w:rsidR="00C275D4" w:rsidRPr="00A466A7">
        <w:rPr>
          <w:rFonts w:ascii="Century Gothic" w:eastAsia="Calibri" w:hAnsi="Century Gothic" w:cs="Arial"/>
          <w:b/>
          <w:bCs/>
          <w:sz w:val="22"/>
          <w:szCs w:val="22"/>
          <w:lang w:val="es-MX" w:eastAsia="es-ES_tradnl"/>
        </w:rPr>
        <w:t>de acreditar la experiencia de los socios en procesos donde el RUP no es exigible</w:t>
      </w:r>
    </w:p>
    <w:p w14:paraId="108BD2AD" w14:textId="77777777" w:rsidR="00AA24D4" w:rsidRPr="00A466A7" w:rsidRDefault="00AA24D4" w:rsidP="003A2B85">
      <w:pPr>
        <w:spacing w:before="120" w:after="120" w:line="276" w:lineRule="auto"/>
        <w:jc w:val="both"/>
        <w:rPr>
          <w:rFonts w:ascii="Century Gothic" w:hAnsi="Century Gothic" w:cs="Arial"/>
          <w:sz w:val="22"/>
          <w:szCs w:val="22"/>
        </w:rPr>
      </w:pPr>
      <w:r w:rsidRPr="00A466A7">
        <w:rPr>
          <w:rFonts w:ascii="Century Gothic" w:hAnsi="Century Gothic" w:cs="Arial"/>
          <w:sz w:val="22"/>
          <w:szCs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A466A7">
        <w:rPr>
          <w:rStyle w:val="Refdenotaalpie"/>
          <w:rFonts w:ascii="Century Gothic" w:hAnsi="Century Gothic" w:cs="Arial"/>
          <w:sz w:val="22"/>
          <w:szCs w:val="22"/>
        </w:rPr>
        <w:footnoteReference w:id="28"/>
      </w:r>
      <w:r w:rsidRPr="00A466A7">
        <w:rPr>
          <w:rFonts w:ascii="Century Gothic" w:hAnsi="Century Gothic" w:cs="Arial"/>
          <w:sz w:val="22"/>
          <w:szCs w:val="22"/>
        </w:rPr>
        <w:t xml:space="preserve">.  </w:t>
      </w:r>
    </w:p>
    <w:p w14:paraId="5F1DE6A6" w14:textId="77777777" w:rsidR="00AA24D4" w:rsidRPr="00A466A7" w:rsidRDefault="00AA24D4" w:rsidP="00AA24D4">
      <w:pPr>
        <w:spacing w:before="120" w:after="120" w:line="276" w:lineRule="auto"/>
        <w:ind w:firstLine="708"/>
        <w:jc w:val="both"/>
        <w:rPr>
          <w:rFonts w:ascii="Century Gothic" w:hAnsi="Century Gothic" w:cs="Arial"/>
          <w:sz w:val="22"/>
          <w:szCs w:val="22"/>
        </w:rPr>
      </w:pPr>
      <w:r w:rsidRPr="00A466A7">
        <w:rPr>
          <w:rFonts w:ascii="Century Gothic" w:hAnsi="Century Gothic" w:cs="Arial"/>
          <w:sz w:val="22"/>
          <w:szCs w:val="22"/>
        </w:rPr>
        <w:lastRenderedPageBreak/>
        <w:t>El numeral 2.5</w:t>
      </w:r>
      <w:r w:rsidRPr="00A466A7">
        <w:rPr>
          <w:rStyle w:val="Refdenotaalpie"/>
          <w:rFonts w:ascii="Century Gothic" w:hAnsi="Century Gothic" w:cs="Arial"/>
          <w:sz w:val="22"/>
          <w:szCs w:val="22"/>
        </w:rPr>
        <w:footnoteReference w:id="29"/>
      </w:r>
      <w:r w:rsidRPr="00A466A7">
        <w:rPr>
          <w:rFonts w:ascii="Century Gothic" w:hAnsi="Century Gothic" w:cs="Arial"/>
          <w:sz w:val="22"/>
          <w:szCs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19266A2A" w14:textId="77777777" w:rsidR="00AA24D4" w:rsidRPr="00A466A7" w:rsidRDefault="00AA24D4" w:rsidP="00AA24D4">
      <w:pPr>
        <w:spacing w:before="120" w:after="120" w:line="276" w:lineRule="auto"/>
        <w:ind w:firstLine="708"/>
        <w:jc w:val="both"/>
        <w:rPr>
          <w:rFonts w:ascii="Century Gothic" w:hAnsi="Century Gothic" w:cs="Arial"/>
          <w:sz w:val="22"/>
          <w:szCs w:val="22"/>
        </w:rPr>
      </w:pPr>
      <w:r w:rsidRPr="00A466A7">
        <w:rPr>
          <w:rFonts w:ascii="Century Gothic" w:hAnsi="Century Gothic" w:cs="Arial"/>
          <w:sz w:val="22"/>
          <w:szCs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71C38A66" w14:textId="77777777" w:rsidR="00AA24D4" w:rsidRPr="00A466A7" w:rsidRDefault="00AA24D4" w:rsidP="00AA24D4">
      <w:pPr>
        <w:spacing w:before="120" w:after="120" w:line="276" w:lineRule="auto"/>
        <w:ind w:firstLine="708"/>
        <w:jc w:val="both"/>
        <w:rPr>
          <w:rFonts w:ascii="Century Gothic" w:hAnsi="Century Gothic" w:cs="Arial"/>
          <w:sz w:val="22"/>
          <w:szCs w:val="22"/>
        </w:rPr>
      </w:pPr>
      <w:bookmarkStart w:id="7" w:name="_Hlk132126019"/>
      <w:r w:rsidRPr="00A466A7">
        <w:rPr>
          <w:rFonts w:ascii="Century Gothic" w:hAnsi="Century Gothic" w:cs="Arial"/>
          <w:sz w:val="22"/>
          <w:szCs w:val="22"/>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Pr="00A466A7">
        <w:rPr>
          <w:rFonts w:ascii="Century Gothic" w:eastAsia="Calibri" w:hAnsi="Century Gothic" w:cs="Arial"/>
          <w:sz w:val="22"/>
          <w:szCs w:val="22"/>
        </w:rPr>
        <w:t>─</w:t>
      </w:r>
      <w:r w:rsidRPr="00A466A7">
        <w:rPr>
          <w:rFonts w:ascii="Century Gothic" w:hAnsi="Century Gothic" w:cs="Arial"/>
          <w:sz w:val="22"/>
          <w:szCs w:val="22"/>
        </w:rPr>
        <w:t>con menos de 3 años de constitución</w:t>
      </w:r>
      <w:r w:rsidRPr="00A466A7">
        <w:rPr>
          <w:rFonts w:ascii="Century Gothic" w:eastAsia="Calibri" w:hAnsi="Century Gothic" w:cs="Arial"/>
          <w:sz w:val="22"/>
          <w:szCs w:val="22"/>
        </w:rPr>
        <w:t>─</w:t>
      </w:r>
      <w:r w:rsidRPr="00A466A7">
        <w:rPr>
          <w:rFonts w:ascii="Century Gothic" w:hAnsi="Century Gothic" w:cs="Arial"/>
          <w:sz w:val="22"/>
          <w:szCs w:val="22"/>
        </w:rPr>
        <w:t xml:space="preserve">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75A14D48" w14:textId="77777777" w:rsidR="00AA24D4" w:rsidRPr="00A466A7" w:rsidRDefault="00AA24D4" w:rsidP="00AA24D4">
      <w:pPr>
        <w:spacing w:before="120" w:after="120" w:line="276" w:lineRule="auto"/>
        <w:ind w:firstLine="708"/>
        <w:jc w:val="both"/>
        <w:rPr>
          <w:rFonts w:ascii="Century Gothic" w:hAnsi="Century Gothic" w:cs="Arial"/>
          <w:sz w:val="22"/>
          <w:szCs w:val="22"/>
        </w:rPr>
      </w:pPr>
      <w:r w:rsidRPr="00A466A7">
        <w:rPr>
          <w:rFonts w:ascii="Century Gothic" w:hAnsi="Century Gothic" w:cs="Arial"/>
          <w:sz w:val="22"/>
          <w:szCs w:val="22"/>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w:t>
      </w:r>
      <w:r w:rsidRPr="00A466A7">
        <w:rPr>
          <w:rFonts w:ascii="Century Gothic" w:hAnsi="Century Gothic" w:cs="Arial"/>
          <w:sz w:val="22"/>
          <w:szCs w:val="22"/>
        </w:rPr>
        <w:lastRenderedPageBreak/>
        <w:t>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7"/>
    <w:p w14:paraId="481EC874" w14:textId="445941B2" w:rsidR="00AA24D4" w:rsidRPr="00A466A7" w:rsidRDefault="00AA24D4" w:rsidP="00AA24D4">
      <w:pPr>
        <w:spacing w:before="120" w:after="120" w:line="276" w:lineRule="auto"/>
        <w:ind w:firstLine="708"/>
        <w:jc w:val="both"/>
        <w:rPr>
          <w:rFonts w:ascii="Century Gothic" w:hAnsi="Century Gothic" w:cs="Arial"/>
          <w:sz w:val="22"/>
          <w:szCs w:val="22"/>
        </w:rPr>
      </w:pPr>
      <w:r w:rsidRPr="00A466A7">
        <w:rPr>
          <w:rFonts w:ascii="Century Gothic" w:hAnsi="Century Gothic" w:cs="Arial"/>
          <w:sz w:val="22"/>
          <w:szCs w:val="22"/>
        </w:rPr>
        <w:t xml:space="preserve">Asimismo, esta Agencia ha indicado que la persona jurídica que tenga más de tres años de constituida y haya registrado inicialmente la experiencia de sus socios en el RUP </w:t>
      </w:r>
      <w:r w:rsidRPr="00A466A7">
        <w:rPr>
          <w:rFonts w:ascii="Century Gothic" w:eastAsia="Calibri" w:hAnsi="Century Gothic" w:cs="Arial"/>
          <w:sz w:val="22"/>
          <w:szCs w:val="22"/>
        </w:rPr>
        <w:t>―</w:t>
      </w:r>
      <w:r w:rsidRPr="00A466A7">
        <w:rPr>
          <w:rFonts w:ascii="Century Gothic" w:hAnsi="Century Gothic" w:cs="Arial"/>
          <w:sz w:val="22"/>
          <w:szCs w:val="22"/>
        </w:rPr>
        <w:t>pues su constitución era inferior a tres años</w:t>
      </w:r>
      <w:r w:rsidRPr="00A466A7">
        <w:rPr>
          <w:rFonts w:ascii="Century Gothic" w:eastAsia="Calibri" w:hAnsi="Century Gothic" w:cs="Arial"/>
          <w:sz w:val="22"/>
          <w:szCs w:val="22"/>
        </w:rPr>
        <w:t>―</w:t>
      </w:r>
      <w:r w:rsidRPr="00A466A7">
        <w:rPr>
          <w:rFonts w:ascii="Century Gothic" w:hAnsi="Century Gothic" w:cs="Arial"/>
          <w:sz w:val="22"/>
          <w:szCs w:val="22"/>
        </w:rPr>
        <w:t xml:space="preserve"> y 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5FFCE95F" w14:textId="77777777" w:rsidR="00AA24D4" w:rsidRPr="00A466A7" w:rsidRDefault="00AA24D4" w:rsidP="00AA24D4">
      <w:pPr>
        <w:spacing w:before="120" w:after="120" w:line="276" w:lineRule="auto"/>
        <w:ind w:firstLine="708"/>
        <w:jc w:val="both"/>
        <w:rPr>
          <w:rFonts w:ascii="Century Gothic" w:hAnsi="Century Gothic" w:cs="Arial"/>
          <w:sz w:val="22"/>
          <w:szCs w:val="22"/>
        </w:rPr>
      </w:pPr>
      <w:r w:rsidRPr="00A466A7">
        <w:rPr>
          <w:rFonts w:ascii="Century Gothic" w:hAnsi="Century Gothic" w:cs="Arial"/>
          <w:sz w:val="22"/>
          <w:szCs w:val="22"/>
        </w:rPr>
        <w:t>Igualmente, se ha reiterado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A466A7">
        <w:rPr>
          <w:rStyle w:val="Refdenotaalpie"/>
          <w:rFonts w:ascii="Century Gothic" w:hAnsi="Century Gothic" w:cs="Arial"/>
          <w:sz w:val="22"/>
          <w:szCs w:val="22"/>
        </w:rPr>
        <w:footnoteReference w:id="30"/>
      </w:r>
      <w:r w:rsidRPr="00A466A7">
        <w:rPr>
          <w:rFonts w:ascii="Century Gothic" w:hAnsi="Century Gothic" w:cs="Arial"/>
          <w:sz w:val="22"/>
          <w:szCs w:val="22"/>
        </w:rPr>
        <w:t xml:space="preserve">. En la actualidad, las cámaras de comercio solo pueden eliminar la experiencia registrada en el RUP a solicitud del proponente, por tanto, les corresponde a las personas jurídicas mantener su RUP actualizado y a las entidades estatales verificar el RUP para efectos de evaluar la experiencia. </w:t>
      </w:r>
    </w:p>
    <w:p w14:paraId="0491DC8C" w14:textId="77777777" w:rsidR="00AA24D4" w:rsidRPr="00A466A7" w:rsidRDefault="00AA24D4" w:rsidP="00AA24D4">
      <w:pPr>
        <w:spacing w:before="120" w:after="120" w:line="276" w:lineRule="auto"/>
        <w:ind w:firstLine="708"/>
        <w:jc w:val="both"/>
        <w:rPr>
          <w:rFonts w:ascii="Century Gothic" w:hAnsi="Century Gothic" w:cs="Arial"/>
          <w:sz w:val="22"/>
          <w:szCs w:val="22"/>
        </w:rPr>
      </w:pPr>
      <w:r w:rsidRPr="00A466A7">
        <w:rPr>
          <w:rFonts w:ascii="Century Gothic" w:hAnsi="Century Gothic" w:cs="Arial"/>
          <w:sz w:val="22"/>
          <w:szCs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w:t>
      </w:r>
      <w:r w:rsidRPr="00A466A7">
        <w:rPr>
          <w:rFonts w:ascii="Century Gothic" w:hAnsi="Century Gothic" w:cs="Arial"/>
          <w:sz w:val="22"/>
          <w:szCs w:val="22"/>
        </w:rPr>
        <w:lastRenderedPageBreak/>
        <w:t xml:space="preserve">nuevamente la verificación documental de la información presentada al momento de inscribirse en el registro.  </w:t>
      </w:r>
    </w:p>
    <w:p w14:paraId="6AC6A413" w14:textId="77777777" w:rsidR="00AA24D4" w:rsidRPr="00A466A7" w:rsidRDefault="00AA24D4" w:rsidP="00AA24D4">
      <w:pPr>
        <w:spacing w:line="276" w:lineRule="auto"/>
        <w:ind w:firstLine="708"/>
        <w:jc w:val="both"/>
        <w:rPr>
          <w:rFonts w:ascii="Century Gothic" w:hAnsi="Century Gothic" w:cs="Arial"/>
          <w:sz w:val="22"/>
          <w:szCs w:val="22"/>
        </w:rPr>
      </w:pPr>
      <w:r w:rsidRPr="00A466A7">
        <w:rPr>
          <w:rFonts w:ascii="Century Gothic" w:hAnsi="Century Gothic" w:cs="Arial"/>
          <w:sz w:val="22"/>
          <w:szCs w:val="22"/>
        </w:rPr>
        <w:t xml:space="preserve">Lo anterior, tiene fundamento en la Circular Única de la Superintendencia de Industria y Comercio, en el numeral 4.2, sobre el procedimiento para llevar el Registro Único de Proponentes, que establece:  </w:t>
      </w:r>
    </w:p>
    <w:p w14:paraId="6191561A" w14:textId="77777777" w:rsidR="00AA24D4" w:rsidRPr="00A466A7" w:rsidRDefault="00AA24D4" w:rsidP="00AA24D4">
      <w:pPr>
        <w:pStyle w:val="Prrafodelista"/>
        <w:spacing w:line="276" w:lineRule="auto"/>
        <w:ind w:left="360"/>
        <w:jc w:val="both"/>
        <w:rPr>
          <w:rFonts w:ascii="Century Gothic" w:hAnsi="Century Gothic" w:cs="Arial"/>
          <w:sz w:val="22"/>
          <w:szCs w:val="22"/>
        </w:rPr>
      </w:pPr>
    </w:p>
    <w:p w14:paraId="1FA0FE30" w14:textId="77777777" w:rsidR="00AA24D4" w:rsidRPr="00A466A7" w:rsidRDefault="00AA24D4" w:rsidP="00AA24D4">
      <w:pPr>
        <w:pStyle w:val="Prrafodelista"/>
        <w:ind w:left="709" w:right="709"/>
        <w:jc w:val="both"/>
        <w:rPr>
          <w:rFonts w:ascii="Century Gothic" w:hAnsi="Century Gothic" w:cs="Arial"/>
          <w:sz w:val="22"/>
          <w:szCs w:val="22"/>
        </w:rPr>
      </w:pPr>
      <w:r w:rsidRPr="00A466A7">
        <w:rPr>
          <w:rFonts w:ascii="Century Gothic" w:hAnsi="Century Gothic" w:cs="Arial"/>
          <w:sz w:val="22"/>
          <w:szCs w:val="22"/>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7E4429A3" w14:textId="77777777" w:rsidR="00AA24D4" w:rsidRPr="00A466A7" w:rsidRDefault="00AA24D4" w:rsidP="00AA24D4">
      <w:pPr>
        <w:pStyle w:val="Prrafodelista"/>
        <w:spacing w:line="276" w:lineRule="auto"/>
        <w:ind w:left="360" w:right="709"/>
        <w:jc w:val="both"/>
        <w:rPr>
          <w:rFonts w:ascii="Century Gothic" w:hAnsi="Century Gothic" w:cs="Arial"/>
          <w:sz w:val="22"/>
          <w:szCs w:val="22"/>
        </w:rPr>
      </w:pPr>
    </w:p>
    <w:p w14:paraId="17FE46E2" w14:textId="77777777" w:rsidR="00AA24D4" w:rsidRPr="00A466A7" w:rsidRDefault="00AA24D4" w:rsidP="00AA24D4">
      <w:pPr>
        <w:spacing w:line="276" w:lineRule="auto"/>
        <w:ind w:firstLine="708"/>
        <w:jc w:val="both"/>
        <w:rPr>
          <w:rFonts w:ascii="Century Gothic" w:hAnsi="Century Gothic" w:cs="Arial"/>
          <w:sz w:val="22"/>
          <w:szCs w:val="22"/>
        </w:rPr>
      </w:pPr>
      <w:r w:rsidRPr="00A466A7">
        <w:rPr>
          <w:rFonts w:ascii="Century Gothic" w:hAnsi="Century Gothic" w:cs="Arial"/>
          <w:sz w:val="22"/>
          <w:szCs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10F1F88A" w14:textId="77777777" w:rsidR="00AA24D4" w:rsidRPr="00A466A7" w:rsidRDefault="00AA24D4" w:rsidP="00AA24D4">
      <w:pPr>
        <w:spacing w:before="120" w:after="120" w:line="276" w:lineRule="auto"/>
        <w:ind w:firstLine="708"/>
        <w:jc w:val="both"/>
        <w:rPr>
          <w:rFonts w:ascii="Century Gothic" w:hAnsi="Century Gothic" w:cs="Arial"/>
          <w:sz w:val="22"/>
          <w:szCs w:val="22"/>
        </w:rPr>
      </w:pPr>
      <w:r w:rsidRPr="00A466A7">
        <w:rPr>
          <w:rFonts w:ascii="Century Gothic" w:hAnsi="Century Gothic" w:cs="Arial"/>
          <w:sz w:val="22"/>
          <w:szCs w:val="22"/>
        </w:rPr>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2DD86E98" w14:textId="77777777" w:rsidR="00AA24D4" w:rsidRPr="00A466A7" w:rsidRDefault="00AA24D4" w:rsidP="00AA24D4">
      <w:pPr>
        <w:spacing w:before="120" w:after="120" w:line="276" w:lineRule="auto"/>
        <w:ind w:firstLine="708"/>
        <w:jc w:val="both"/>
        <w:rPr>
          <w:rFonts w:ascii="Century Gothic" w:hAnsi="Century Gothic" w:cs="Arial"/>
          <w:sz w:val="22"/>
          <w:szCs w:val="22"/>
        </w:rPr>
      </w:pPr>
      <w:r w:rsidRPr="00A466A7">
        <w:rPr>
          <w:rFonts w:ascii="Century Gothic" w:hAnsi="Century Gothic" w:cs="Arial"/>
          <w:sz w:val="22"/>
          <w:szCs w:val="22"/>
        </w:rPr>
        <w:t xml:space="preserve">En línea con lo anterior, el numeral 2.5. del artículo 2.2.1.1.1.5.2 del Decreto 1082 de 2015 consagra, como se dijo, una prerrogativa para las sociedades nuevas, que busca fomentar la competencia de las mismas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63179A5A" w14:textId="547176C4" w:rsidR="00AA24D4" w:rsidRPr="00A466A7" w:rsidRDefault="00AA24D4" w:rsidP="001947C8">
      <w:pPr>
        <w:spacing w:before="120" w:after="240" w:line="276" w:lineRule="auto"/>
        <w:ind w:firstLine="708"/>
        <w:jc w:val="both"/>
        <w:rPr>
          <w:rFonts w:ascii="Century Gothic" w:hAnsi="Century Gothic" w:cs="Arial"/>
          <w:sz w:val="22"/>
          <w:szCs w:val="22"/>
        </w:rPr>
      </w:pPr>
      <w:r w:rsidRPr="00A466A7">
        <w:rPr>
          <w:rFonts w:ascii="Century Gothic" w:hAnsi="Century Gothic" w:cs="Arial"/>
          <w:sz w:val="22"/>
          <w:szCs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w:t>
      </w:r>
      <w:r w:rsidR="00625413">
        <w:rPr>
          <w:rFonts w:ascii="Century Gothic" w:hAnsi="Century Gothic" w:cs="Arial"/>
          <w:sz w:val="22"/>
          <w:szCs w:val="22"/>
        </w:rPr>
        <w:t xml:space="preserve">, en </w:t>
      </w:r>
      <w:r w:rsidR="00625413">
        <w:rPr>
          <w:rFonts w:ascii="Century Gothic" w:hAnsi="Century Gothic" w:cs="Arial"/>
          <w:sz w:val="22"/>
          <w:szCs w:val="22"/>
        </w:rPr>
        <w:lastRenderedPageBreak/>
        <w:t xml:space="preserve">aquellos procesos que en principio no requieren </w:t>
      </w:r>
      <w:r w:rsidR="00BA602A">
        <w:rPr>
          <w:rFonts w:ascii="Century Gothic" w:hAnsi="Century Gothic" w:cs="Arial"/>
          <w:sz w:val="22"/>
          <w:szCs w:val="22"/>
        </w:rPr>
        <w:t xml:space="preserve">de la presentación del RUP para verificar requisitos habilitantes, </w:t>
      </w:r>
      <w:r w:rsidRPr="00A466A7">
        <w:rPr>
          <w:rFonts w:ascii="Century Gothic" w:hAnsi="Century Gothic" w:cs="Arial"/>
          <w:sz w:val="22"/>
          <w:szCs w:val="22"/>
        </w:rPr>
        <w:t xml:space="preserve"> </w:t>
      </w:r>
      <w:r w:rsidR="00BA602A">
        <w:rPr>
          <w:rFonts w:ascii="Century Gothic" w:hAnsi="Century Gothic" w:cs="Arial"/>
          <w:sz w:val="22"/>
          <w:szCs w:val="22"/>
        </w:rPr>
        <w:t>así haya vencido</w:t>
      </w:r>
      <w:r w:rsidRPr="00A466A7">
        <w:rPr>
          <w:rFonts w:ascii="Century Gothic" w:hAnsi="Century Gothic" w:cs="Arial"/>
          <w:sz w:val="22"/>
          <w:szCs w:val="22"/>
        </w:rPr>
        <w:t xml:space="preserve"> los 3 años de constitución, siempre que no hayan cesado los efectos del RUP por el incumplimiento del deber de renovación.</w:t>
      </w:r>
    </w:p>
    <w:p w14:paraId="7318A34F" w14:textId="44D2BB8F" w:rsidR="00D72BB4" w:rsidRDefault="00AA24D4" w:rsidP="001947C8">
      <w:pPr>
        <w:tabs>
          <w:tab w:val="left" w:pos="709"/>
        </w:tabs>
        <w:spacing w:after="240" w:line="276" w:lineRule="auto"/>
        <w:jc w:val="both"/>
        <w:rPr>
          <w:rFonts w:ascii="Century Gothic" w:eastAsia="Calibri" w:hAnsi="Century Gothic" w:cs="Arial"/>
          <w:sz w:val="22"/>
          <w:szCs w:val="22"/>
        </w:rPr>
      </w:pPr>
      <w:r w:rsidRPr="00A466A7">
        <w:rPr>
          <w:rFonts w:ascii="Century Gothic" w:eastAsia="Calibri" w:hAnsi="Century Gothic" w:cs="Arial"/>
          <w:sz w:val="22"/>
          <w:szCs w:val="22"/>
        </w:rPr>
        <w:tab/>
        <w:t>Lo anterior implica que, una vez en firme la inscripción, actualización o renovación en el marco del cual una sociedad con menos de tres años de constitución presenta certificados de experiencia adquirida por sus socios o constituyentes, de acuerdo con el numeral 2.5 del artículo 2.2.1.1.1.5.2 del Decreto 1082 de 2015, dicha experiencia queda consolidada en el RUP de la persona jurídica quien por el efecto de la prerrogativa podrá acreditar esa experiencia como propia, mientras no cesen los efectos del RUP por su no renovación. De esta manera la experiencia inscrita de acuerdo con la referida prerrogativa podrá ser acreditada en procesos de selección mediante el respectivo RUP, con efectos de plena prueba de las circunstancias de las que en el constan.</w:t>
      </w:r>
      <w:r w:rsidR="004507AF">
        <w:rPr>
          <w:rFonts w:ascii="Century Gothic" w:eastAsia="Calibri" w:hAnsi="Century Gothic" w:cs="Arial"/>
          <w:sz w:val="22"/>
          <w:szCs w:val="22"/>
        </w:rPr>
        <w:t xml:space="preserve"> En ese orden de ideas, en procesos de selección donde el RUP no es exigible por excepción de la Ley, </w:t>
      </w:r>
      <w:r w:rsidR="004507AF" w:rsidRPr="00691291">
        <w:rPr>
          <w:rFonts w:ascii="Century Gothic" w:hAnsi="Century Gothic" w:cs="Arial"/>
          <w:sz w:val="22"/>
          <w:szCs w:val="22"/>
        </w:rPr>
        <w:t xml:space="preserve">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w:t>
      </w:r>
      <w:r w:rsidR="004507AF">
        <w:rPr>
          <w:rFonts w:ascii="Century Gothic" w:hAnsi="Century Gothic" w:cs="Arial"/>
          <w:sz w:val="22"/>
          <w:szCs w:val="22"/>
        </w:rPr>
        <w:t>entidades</w:t>
      </w:r>
      <w:r w:rsidR="000B49AD">
        <w:rPr>
          <w:rFonts w:ascii="Century Gothic" w:hAnsi="Century Gothic" w:cs="Arial"/>
          <w:sz w:val="22"/>
          <w:szCs w:val="22"/>
        </w:rPr>
        <w:t xml:space="preserve"> con régimen especial de contratación, podrá hacerse v</w:t>
      </w:r>
      <w:r w:rsidR="00D14D5D">
        <w:rPr>
          <w:rFonts w:ascii="Century Gothic" w:hAnsi="Century Gothic" w:cs="Arial"/>
          <w:sz w:val="22"/>
          <w:szCs w:val="22"/>
        </w:rPr>
        <w:t>á</w:t>
      </w:r>
      <w:r w:rsidR="000B49AD">
        <w:rPr>
          <w:rFonts w:ascii="Century Gothic" w:hAnsi="Century Gothic" w:cs="Arial"/>
          <w:sz w:val="22"/>
          <w:szCs w:val="22"/>
        </w:rPr>
        <w:t>lid</w:t>
      </w:r>
      <w:r w:rsidR="00D14D5D">
        <w:rPr>
          <w:rFonts w:ascii="Century Gothic" w:hAnsi="Century Gothic" w:cs="Arial"/>
          <w:sz w:val="22"/>
          <w:szCs w:val="22"/>
        </w:rPr>
        <w:t>a</w:t>
      </w:r>
      <w:r w:rsidR="000B49AD">
        <w:rPr>
          <w:rFonts w:ascii="Century Gothic" w:hAnsi="Century Gothic" w:cs="Arial"/>
          <w:sz w:val="22"/>
          <w:szCs w:val="22"/>
        </w:rPr>
        <w:t xml:space="preserve"> </w:t>
      </w:r>
      <w:r w:rsidR="0096047C" w:rsidRPr="00A466A7">
        <w:rPr>
          <w:rFonts w:ascii="Century Gothic" w:eastAsia="Calibri" w:hAnsi="Century Gothic" w:cs="Arial"/>
          <w:sz w:val="22"/>
          <w:szCs w:val="22"/>
        </w:rPr>
        <w:t xml:space="preserve">la </w:t>
      </w:r>
      <w:r w:rsidR="00111F1E">
        <w:rPr>
          <w:rFonts w:ascii="Century Gothic" w:eastAsia="Calibri" w:hAnsi="Century Gothic" w:cs="Arial"/>
          <w:sz w:val="22"/>
          <w:szCs w:val="22"/>
        </w:rPr>
        <w:t>experiencia de los</w:t>
      </w:r>
      <w:r w:rsidR="00D72BB4">
        <w:rPr>
          <w:rFonts w:ascii="Century Gothic" w:eastAsia="Calibri" w:hAnsi="Century Gothic" w:cs="Arial"/>
          <w:sz w:val="22"/>
          <w:szCs w:val="22"/>
        </w:rPr>
        <w:t xml:space="preserve"> </w:t>
      </w:r>
      <w:r w:rsidR="00D72BB4" w:rsidRPr="00A466A7">
        <w:rPr>
          <w:rFonts w:ascii="Century Gothic" w:hAnsi="Century Gothic" w:cs="Arial"/>
          <w:sz w:val="22"/>
          <w:szCs w:val="22"/>
        </w:rPr>
        <w:t>socios, accionistas o constituyentes</w:t>
      </w:r>
      <w:r w:rsidR="00D72BB4">
        <w:rPr>
          <w:rFonts w:ascii="Century Gothic" w:hAnsi="Century Gothic" w:cs="Arial"/>
          <w:sz w:val="22"/>
          <w:szCs w:val="22"/>
        </w:rPr>
        <w:t xml:space="preserve"> a nombre de la</w:t>
      </w:r>
      <w:r w:rsidR="00111F1E">
        <w:rPr>
          <w:rFonts w:ascii="Century Gothic" w:eastAsia="Calibri" w:hAnsi="Century Gothic" w:cs="Arial"/>
          <w:sz w:val="22"/>
          <w:szCs w:val="22"/>
        </w:rPr>
        <w:t xml:space="preserve"> </w:t>
      </w:r>
      <w:r w:rsidR="0096047C" w:rsidRPr="00A466A7">
        <w:rPr>
          <w:rFonts w:ascii="Century Gothic" w:eastAsia="Calibri" w:hAnsi="Century Gothic" w:cs="Arial"/>
          <w:sz w:val="22"/>
          <w:szCs w:val="22"/>
        </w:rPr>
        <w:t xml:space="preserve">persona jurídica </w:t>
      </w:r>
      <w:r w:rsidR="00D72BB4">
        <w:rPr>
          <w:rFonts w:ascii="Century Gothic" w:eastAsia="Calibri" w:hAnsi="Century Gothic" w:cs="Arial"/>
          <w:sz w:val="22"/>
          <w:szCs w:val="22"/>
        </w:rPr>
        <w:t>qui</w:t>
      </w:r>
      <w:r w:rsidR="00D14D5D">
        <w:rPr>
          <w:rFonts w:ascii="Century Gothic" w:eastAsia="Calibri" w:hAnsi="Century Gothic" w:cs="Arial"/>
          <w:sz w:val="22"/>
          <w:szCs w:val="22"/>
        </w:rPr>
        <w:t>e</w:t>
      </w:r>
      <w:r w:rsidR="00D72BB4">
        <w:rPr>
          <w:rFonts w:ascii="Century Gothic" w:eastAsia="Calibri" w:hAnsi="Century Gothic" w:cs="Arial"/>
          <w:sz w:val="22"/>
          <w:szCs w:val="22"/>
        </w:rPr>
        <w:t xml:space="preserve">n por el </w:t>
      </w:r>
      <w:r w:rsidR="0096047C" w:rsidRPr="00A466A7">
        <w:rPr>
          <w:rFonts w:ascii="Century Gothic" w:eastAsia="Calibri" w:hAnsi="Century Gothic" w:cs="Arial"/>
          <w:sz w:val="22"/>
          <w:szCs w:val="22"/>
        </w:rPr>
        <w:t xml:space="preserve">efecto de la prerrogativa acredita esa experiencia como propia, </w:t>
      </w:r>
      <w:r w:rsidR="00475F22">
        <w:rPr>
          <w:rFonts w:ascii="Century Gothic" w:eastAsia="Calibri" w:hAnsi="Century Gothic" w:cs="Arial"/>
          <w:sz w:val="22"/>
          <w:szCs w:val="22"/>
        </w:rPr>
        <w:t xml:space="preserve">siempre y cuando la Entidad Estatal verifique en el RUP que </w:t>
      </w:r>
      <w:r w:rsidR="008C0CF6">
        <w:rPr>
          <w:rFonts w:ascii="Century Gothic" w:eastAsia="Calibri" w:hAnsi="Century Gothic" w:cs="Arial"/>
          <w:sz w:val="22"/>
          <w:szCs w:val="22"/>
        </w:rPr>
        <w:t xml:space="preserve">no han cesado sus efectos por la </w:t>
      </w:r>
      <w:r w:rsidR="0096047C" w:rsidRPr="00A466A7">
        <w:rPr>
          <w:rFonts w:ascii="Century Gothic" w:eastAsia="Calibri" w:hAnsi="Century Gothic" w:cs="Arial"/>
          <w:sz w:val="22"/>
          <w:szCs w:val="22"/>
        </w:rPr>
        <w:t>no renovación</w:t>
      </w:r>
      <w:r w:rsidR="008C0CF6">
        <w:rPr>
          <w:rFonts w:ascii="Century Gothic" w:eastAsia="Calibri" w:hAnsi="Century Gothic" w:cs="Arial"/>
          <w:sz w:val="22"/>
          <w:szCs w:val="22"/>
        </w:rPr>
        <w:t xml:space="preserve"> de este registro</w:t>
      </w:r>
      <w:r w:rsidR="00D72BB4">
        <w:rPr>
          <w:rFonts w:ascii="Century Gothic" w:eastAsia="Calibri" w:hAnsi="Century Gothic" w:cs="Arial"/>
          <w:sz w:val="22"/>
          <w:szCs w:val="22"/>
        </w:rPr>
        <w:t xml:space="preserve">. </w:t>
      </w:r>
    </w:p>
    <w:p w14:paraId="7A21AFD0" w14:textId="2F117C0A" w:rsidR="00AA24D4" w:rsidRPr="00A466A7" w:rsidRDefault="00D72BB4" w:rsidP="001D0347">
      <w:pPr>
        <w:tabs>
          <w:tab w:val="left" w:pos="709"/>
        </w:tabs>
        <w:spacing w:after="240" w:line="276" w:lineRule="auto"/>
        <w:jc w:val="both"/>
        <w:rPr>
          <w:rFonts w:ascii="Century Gothic" w:eastAsia="Calibri" w:hAnsi="Century Gothic" w:cs="Arial"/>
          <w:sz w:val="22"/>
          <w:szCs w:val="22"/>
        </w:rPr>
      </w:pPr>
      <w:r>
        <w:rPr>
          <w:rFonts w:ascii="Century Gothic" w:eastAsia="Calibri" w:hAnsi="Century Gothic" w:cs="Arial"/>
          <w:sz w:val="22"/>
          <w:szCs w:val="22"/>
        </w:rPr>
        <w:tab/>
        <w:t xml:space="preserve">De </w:t>
      </w:r>
      <w:r w:rsidR="008C0CF6">
        <w:rPr>
          <w:rFonts w:ascii="Century Gothic" w:eastAsia="Calibri" w:hAnsi="Century Gothic" w:cs="Arial"/>
          <w:sz w:val="22"/>
          <w:szCs w:val="22"/>
        </w:rPr>
        <w:t>esta manera,</w:t>
      </w:r>
      <w:r>
        <w:rPr>
          <w:rFonts w:ascii="Century Gothic" w:eastAsia="Calibri" w:hAnsi="Century Gothic" w:cs="Arial"/>
          <w:sz w:val="22"/>
          <w:szCs w:val="22"/>
        </w:rPr>
        <w:t xml:space="preserve"> </w:t>
      </w:r>
      <w:r w:rsidR="008C0CF6">
        <w:rPr>
          <w:rFonts w:ascii="Century Gothic" w:eastAsia="Calibri" w:hAnsi="Century Gothic" w:cs="Arial"/>
          <w:sz w:val="22"/>
          <w:szCs w:val="22"/>
        </w:rPr>
        <w:t>en los p</w:t>
      </w:r>
      <w:r w:rsidR="002A73F0">
        <w:rPr>
          <w:rFonts w:ascii="Century Gothic" w:eastAsia="Calibri" w:hAnsi="Century Gothic" w:cs="Arial"/>
          <w:sz w:val="22"/>
          <w:szCs w:val="22"/>
        </w:rPr>
        <w:t xml:space="preserve">rocesos de contratación que no es exigible ni obligatoria la presentación del RUP para acreditar requisitos habilitantes, deberán los proponentes aportar su RUP, además de los </w:t>
      </w:r>
      <w:r w:rsidR="008B0029">
        <w:rPr>
          <w:rFonts w:ascii="Century Gothic" w:eastAsia="Calibri" w:hAnsi="Century Gothic" w:cs="Arial"/>
          <w:sz w:val="22"/>
          <w:szCs w:val="22"/>
        </w:rPr>
        <w:t xml:space="preserve">otros requisitos establecidos en el pliego de condiciones o invitación para acreditar requisitos habilitantes, con el fin </w:t>
      </w:r>
      <w:r w:rsidR="006C070C">
        <w:rPr>
          <w:rFonts w:ascii="Century Gothic" w:eastAsia="Calibri" w:hAnsi="Century Gothic" w:cs="Arial"/>
          <w:sz w:val="22"/>
          <w:szCs w:val="22"/>
        </w:rPr>
        <w:t>de que las Entidades Estatales puedan</w:t>
      </w:r>
      <w:r w:rsidR="008B0029">
        <w:rPr>
          <w:rFonts w:ascii="Century Gothic" w:eastAsia="Calibri" w:hAnsi="Century Gothic" w:cs="Arial"/>
          <w:sz w:val="22"/>
          <w:szCs w:val="22"/>
        </w:rPr>
        <w:t xml:space="preserve"> validar </w:t>
      </w:r>
      <w:r w:rsidR="008B0029" w:rsidRPr="00A466A7">
        <w:rPr>
          <w:rFonts w:ascii="Century Gothic" w:eastAsia="Calibri" w:hAnsi="Century Gothic" w:cs="Arial"/>
          <w:sz w:val="22"/>
          <w:szCs w:val="22"/>
        </w:rPr>
        <w:t xml:space="preserve">la </w:t>
      </w:r>
      <w:r w:rsidR="008B0029">
        <w:rPr>
          <w:rFonts w:ascii="Century Gothic" w:eastAsia="Calibri" w:hAnsi="Century Gothic" w:cs="Arial"/>
          <w:sz w:val="22"/>
          <w:szCs w:val="22"/>
        </w:rPr>
        <w:t xml:space="preserve">experiencia de los </w:t>
      </w:r>
      <w:r w:rsidR="008B0029" w:rsidRPr="00A466A7">
        <w:rPr>
          <w:rFonts w:ascii="Century Gothic" w:hAnsi="Century Gothic" w:cs="Arial"/>
          <w:sz w:val="22"/>
          <w:szCs w:val="22"/>
        </w:rPr>
        <w:t>socios, accionistas o constituyentes</w:t>
      </w:r>
      <w:r w:rsidR="008B0029">
        <w:rPr>
          <w:rFonts w:ascii="Century Gothic" w:hAnsi="Century Gothic" w:cs="Arial"/>
          <w:sz w:val="22"/>
          <w:szCs w:val="22"/>
        </w:rPr>
        <w:t xml:space="preserve"> a nombre de la</w:t>
      </w:r>
      <w:r w:rsidR="008B0029">
        <w:rPr>
          <w:rFonts w:ascii="Century Gothic" w:eastAsia="Calibri" w:hAnsi="Century Gothic" w:cs="Arial"/>
          <w:sz w:val="22"/>
          <w:szCs w:val="22"/>
        </w:rPr>
        <w:t xml:space="preserve"> </w:t>
      </w:r>
      <w:r w:rsidR="008B0029" w:rsidRPr="00A466A7">
        <w:rPr>
          <w:rFonts w:ascii="Century Gothic" w:eastAsia="Calibri" w:hAnsi="Century Gothic" w:cs="Arial"/>
          <w:sz w:val="22"/>
          <w:szCs w:val="22"/>
        </w:rPr>
        <w:t>persona jurídica</w:t>
      </w:r>
      <w:r w:rsidR="008F52CC">
        <w:rPr>
          <w:rFonts w:ascii="Century Gothic" w:eastAsia="Calibri" w:hAnsi="Century Gothic" w:cs="Arial"/>
          <w:sz w:val="22"/>
          <w:szCs w:val="22"/>
        </w:rPr>
        <w:t xml:space="preserve">, </w:t>
      </w:r>
      <w:r w:rsidR="008B0029">
        <w:rPr>
          <w:rFonts w:ascii="Century Gothic" w:eastAsia="Calibri" w:hAnsi="Century Gothic" w:cs="Arial"/>
          <w:sz w:val="22"/>
          <w:szCs w:val="22"/>
        </w:rPr>
        <w:t>qui</w:t>
      </w:r>
      <w:r w:rsidR="001F2364">
        <w:rPr>
          <w:rFonts w:ascii="Century Gothic" w:eastAsia="Calibri" w:hAnsi="Century Gothic" w:cs="Arial"/>
          <w:sz w:val="22"/>
          <w:szCs w:val="22"/>
        </w:rPr>
        <w:t>e</w:t>
      </w:r>
      <w:r w:rsidR="008B0029">
        <w:rPr>
          <w:rFonts w:ascii="Century Gothic" w:eastAsia="Calibri" w:hAnsi="Century Gothic" w:cs="Arial"/>
          <w:sz w:val="22"/>
          <w:szCs w:val="22"/>
        </w:rPr>
        <w:t xml:space="preserve">n por el </w:t>
      </w:r>
      <w:r w:rsidR="008B0029" w:rsidRPr="00A466A7">
        <w:rPr>
          <w:rFonts w:ascii="Century Gothic" w:eastAsia="Calibri" w:hAnsi="Century Gothic" w:cs="Arial"/>
          <w:sz w:val="22"/>
          <w:szCs w:val="22"/>
        </w:rPr>
        <w:t xml:space="preserve">efecto de la prerrogativa </w:t>
      </w:r>
      <w:r w:rsidR="00907378">
        <w:rPr>
          <w:rFonts w:ascii="Century Gothic" w:eastAsia="Calibri" w:hAnsi="Century Gothic" w:cs="Arial"/>
          <w:sz w:val="22"/>
          <w:szCs w:val="22"/>
        </w:rPr>
        <w:t>d</w:t>
      </w:r>
      <w:r w:rsidR="00907378" w:rsidRPr="00A466A7">
        <w:rPr>
          <w:rFonts w:ascii="Century Gothic" w:eastAsia="Calibri" w:hAnsi="Century Gothic" w:cs="Arial"/>
          <w:sz w:val="22"/>
          <w:szCs w:val="22"/>
        </w:rPr>
        <w:t>el numeral 2.5 del artículo 2.2.1.1.1.5.2 del Decreto 1082 de 2015</w:t>
      </w:r>
      <w:r w:rsidR="008F52CC">
        <w:rPr>
          <w:rFonts w:ascii="Century Gothic" w:eastAsia="Calibri" w:hAnsi="Century Gothic" w:cs="Arial"/>
          <w:sz w:val="22"/>
          <w:szCs w:val="22"/>
        </w:rPr>
        <w:t xml:space="preserve">, </w:t>
      </w:r>
      <w:r w:rsidR="008B0029" w:rsidRPr="00A466A7">
        <w:rPr>
          <w:rFonts w:ascii="Century Gothic" w:eastAsia="Calibri" w:hAnsi="Century Gothic" w:cs="Arial"/>
          <w:sz w:val="22"/>
          <w:szCs w:val="22"/>
        </w:rPr>
        <w:t xml:space="preserve">acredita </w:t>
      </w:r>
      <w:r w:rsidR="00907378">
        <w:rPr>
          <w:rFonts w:ascii="Century Gothic" w:eastAsia="Calibri" w:hAnsi="Century Gothic" w:cs="Arial"/>
          <w:sz w:val="22"/>
          <w:szCs w:val="22"/>
        </w:rPr>
        <w:t xml:space="preserve">esa </w:t>
      </w:r>
      <w:r w:rsidR="008F52CC">
        <w:rPr>
          <w:rFonts w:ascii="Century Gothic" w:eastAsia="Calibri" w:hAnsi="Century Gothic" w:cs="Arial"/>
          <w:sz w:val="22"/>
          <w:szCs w:val="22"/>
        </w:rPr>
        <w:t xml:space="preserve">experiencia </w:t>
      </w:r>
      <w:r w:rsidR="008B0029" w:rsidRPr="00A466A7">
        <w:rPr>
          <w:rFonts w:ascii="Century Gothic" w:eastAsia="Calibri" w:hAnsi="Century Gothic" w:cs="Arial"/>
          <w:sz w:val="22"/>
          <w:szCs w:val="22"/>
        </w:rPr>
        <w:t xml:space="preserve">como propia, </w:t>
      </w:r>
      <w:r w:rsidR="008B0029">
        <w:rPr>
          <w:rFonts w:ascii="Century Gothic" w:eastAsia="Calibri" w:hAnsi="Century Gothic" w:cs="Arial"/>
          <w:sz w:val="22"/>
          <w:szCs w:val="22"/>
        </w:rPr>
        <w:t xml:space="preserve">siempre y cuando </w:t>
      </w:r>
      <w:r w:rsidR="008F52CC">
        <w:rPr>
          <w:rFonts w:ascii="Century Gothic" w:eastAsia="Calibri" w:hAnsi="Century Gothic" w:cs="Arial"/>
          <w:sz w:val="22"/>
          <w:szCs w:val="22"/>
        </w:rPr>
        <w:t>el RUP no se haya dejado de renovar a tiempo</w:t>
      </w:r>
      <w:r w:rsidR="001D0347">
        <w:rPr>
          <w:rFonts w:ascii="Century Gothic" w:eastAsia="Calibri" w:hAnsi="Century Gothic" w:cs="Arial"/>
          <w:sz w:val="22"/>
          <w:szCs w:val="22"/>
        </w:rPr>
        <w:t xml:space="preserve">, pues </w:t>
      </w:r>
      <w:r w:rsidR="00060EEF">
        <w:rPr>
          <w:rFonts w:ascii="Century Gothic" w:eastAsia="Calibri" w:hAnsi="Century Gothic" w:cs="Arial"/>
          <w:sz w:val="22"/>
          <w:szCs w:val="22"/>
        </w:rPr>
        <w:t xml:space="preserve">en este caso, la norma estableció una tarifa legal probatoria </w:t>
      </w:r>
      <w:r w:rsidR="00BB1154">
        <w:rPr>
          <w:rFonts w:ascii="Century Gothic" w:eastAsia="Calibri" w:hAnsi="Century Gothic" w:cs="Arial"/>
          <w:sz w:val="22"/>
          <w:szCs w:val="22"/>
        </w:rPr>
        <w:t xml:space="preserve">en el RUP </w:t>
      </w:r>
      <w:r w:rsidR="00FF2838">
        <w:rPr>
          <w:rFonts w:ascii="Century Gothic" w:eastAsia="Calibri" w:hAnsi="Century Gothic" w:cs="Arial"/>
          <w:sz w:val="22"/>
          <w:szCs w:val="22"/>
        </w:rPr>
        <w:t xml:space="preserve">para la acreditación </w:t>
      </w:r>
      <w:r w:rsidR="001F416F">
        <w:rPr>
          <w:rFonts w:ascii="Century Gothic" w:eastAsia="Calibri" w:hAnsi="Century Gothic" w:cs="Arial"/>
          <w:sz w:val="22"/>
          <w:szCs w:val="22"/>
        </w:rPr>
        <w:t>de dicha experiencia, sin distinción en su trámite frente a las distinta</w:t>
      </w:r>
      <w:r w:rsidR="001F2364">
        <w:rPr>
          <w:rFonts w:ascii="Century Gothic" w:eastAsia="Calibri" w:hAnsi="Century Gothic" w:cs="Arial"/>
          <w:sz w:val="22"/>
          <w:szCs w:val="22"/>
        </w:rPr>
        <w:t>s</w:t>
      </w:r>
      <w:r w:rsidR="001F416F">
        <w:rPr>
          <w:rFonts w:ascii="Century Gothic" w:eastAsia="Calibri" w:hAnsi="Century Gothic" w:cs="Arial"/>
          <w:sz w:val="22"/>
          <w:szCs w:val="22"/>
        </w:rPr>
        <w:t xml:space="preserve"> modalidades de selección de contratistas.</w:t>
      </w:r>
    </w:p>
    <w:p w14:paraId="5C7D6B85" w14:textId="77777777" w:rsidR="00631DE8" w:rsidRPr="00A466A7" w:rsidRDefault="00631DE8" w:rsidP="001D0347">
      <w:pPr>
        <w:tabs>
          <w:tab w:val="left" w:pos="709"/>
        </w:tabs>
        <w:spacing w:after="240" w:line="276" w:lineRule="auto"/>
        <w:jc w:val="both"/>
        <w:rPr>
          <w:rFonts w:ascii="Century Gothic" w:eastAsia="Calibri" w:hAnsi="Century Gothic" w:cs="Arial"/>
          <w:sz w:val="22"/>
          <w:szCs w:val="22"/>
        </w:rPr>
      </w:pPr>
    </w:p>
    <w:p w14:paraId="7D81A6C8" w14:textId="4CD05D61" w:rsidR="00E76A67" w:rsidRPr="00A466A7" w:rsidRDefault="00E76A67" w:rsidP="00E76A67">
      <w:pPr>
        <w:spacing w:before="120" w:after="120" w:line="276" w:lineRule="auto"/>
        <w:jc w:val="both"/>
        <w:rPr>
          <w:rFonts w:ascii="Century Gothic" w:eastAsia="Calibri" w:hAnsi="Century Gothic" w:cs="Arial"/>
          <w:b/>
          <w:bCs/>
          <w:sz w:val="22"/>
          <w:szCs w:val="22"/>
        </w:rPr>
      </w:pPr>
      <w:r w:rsidRPr="00A466A7">
        <w:rPr>
          <w:rFonts w:ascii="Century Gothic" w:eastAsia="Calibri" w:hAnsi="Century Gothic" w:cs="Arial"/>
          <w:b/>
          <w:bCs/>
          <w:color w:val="000000" w:themeColor="text1"/>
          <w:sz w:val="22"/>
          <w:szCs w:val="22"/>
          <w:lang w:val="es-ES" w:eastAsia="es-MX"/>
        </w:rPr>
        <w:t>2.7. Limitación a MiPymes en los Procesos de Contratación adelantados bajo la modalidad de mínima cuantía y la no exigencia de garantía de seriedad de la oferta</w:t>
      </w:r>
    </w:p>
    <w:p w14:paraId="3928B502" w14:textId="77AE4BB7" w:rsidR="00812B4C" w:rsidRPr="00B27520" w:rsidRDefault="00812B4C" w:rsidP="00812B4C">
      <w:pPr>
        <w:tabs>
          <w:tab w:val="left" w:pos="709"/>
        </w:tabs>
        <w:spacing w:after="120" w:line="276" w:lineRule="auto"/>
        <w:jc w:val="both"/>
        <w:rPr>
          <w:rFonts w:ascii="Century Gothic" w:eastAsia="Calibri" w:hAnsi="Century Gothic" w:cs="Arial"/>
          <w:bCs/>
          <w:color w:val="000000"/>
          <w:sz w:val="22"/>
          <w:szCs w:val="22"/>
          <w:lang w:val="es-ES_tradnl"/>
        </w:rPr>
      </w:pPr>
      <w:r w:rsidRPr="00B27520">
        <w:rPr>
          <w:rFonts w:ascii="Century Gothic" w:eastAsia="Calibri" w:hAnsi="Century Gothic" w:cs="Arial"/>
          <w:bCs/>
          <w:color w:val="000000"/>
          <w:sz w:val="22"/>
          <w:szCs w:val="22"/>
          <w:lang w:val="es-ES_tradnl"/>
        </w:rPr>
        <w:t>El artículo 30 de la Ley 2069 de 2020 modific</w:t>
      </w:r>
      <w:r w:rsidR="00B27520" w:rsidRPr="00B27520">
        <w:rPr>
          <w:rFonts w:ascii="Century Gothic" w:eastAsia="Calibri" w:hAnsi="Century Gothic" w:cs="Arial"/>
          <w:bCs/>
          <w:color w:val="000000"/>
          <w:sz w:val="22"/>
          <w:szCs w:val="22"/>
          <w:lang w:val="es-ES_tradnl"/>
        </w:rPr>
        <w:t>ó</w:t>
      </w:r>
      <w:r w:rsidRPr="00B27520">
        <w:rPr>
          <w:rFonts w:ascii="Century Gothic" w:eastAsia="Calibri" w:hAnsi="Century Gothic" w:cs="Arial"/>
          <w:bCs/>
          <w:color w:val="000000"/>
          <w:sz w:val="22"/>
          <w:szCs w:val="22"/>
          <w:lang w:val="es-ES_tradnl"/>
        </w:rPr>
        <w:t xml:space="preserve"> el numeral 5 del artículo 2 de la Ley 1150 de 2007, el cual regula la mínima cuantía. En esta modalidad de selección, la </w:t>
      </w:r>
      <w:r w:rsidR="00172DB8" w:rsidRPr="00B27520">
        <w:rPr>
          <w:rFonts w:ascii="Century Gothic" w:eastAsia="Calibri" w:hAnsi="Century Gothic" w:cs="Arial"/>
          <w:bCs/>
          <w:i/>
          <w:iCs/>
          <w:color w:val="000000"/>
          <w:sz w:val="22"/>
          <w:szCs w:val="22"/>
          <w:lang w:val="es-ES_tradnl"/>
        </w:rPr>
        <w:t>Entidad Estatal</w:t>
      </w:r>
      <w:r w:rsidRPr="00B27520">
        <w:rPr>
          <w:rFonts w:ascii="Century Gothic" w:eastAsia="Calibri" w:hAnsi="Century Gothic" w:cs="Arial"/>
          <w:bCs/>
          <w:color w:val="000000"/>
          <w:sz w:val="22"/>
          <w:szCs w:val="22"/>
          <w:lang w:val="es-ES_tradnl"/>
        </w:rPr>
        <w:t xml:space="preserve"> realiza una convocatoria pública para recibir ofertas de bienes o servicios cuyo valor no excede el diez por ciento –10%– de la menor cuantía. Fue creada por el artículo 274 de la Ley 1450 de 2011 y modificada por </w:t>
      </w:r>
      <w:bookmarkStart w:id="8" w:name="_Hlk69566698"/>
      <w:r w:rsidRPr="00B27520">
        <w:rPr>
          <w:rFonts w:ascii="Century Gothic" w:eastAsia="Calibri" w:hAnsi="Century Gothic" w:cs="Arial"/>
          <w:bCs/>
          <w:color w:val="000000"/>
          <w:sz w:val="22"/>
          <w:szCs w:val="22"/>
          <w:lang w:val="es-ES_tradnl"/>
        </w:rPr>
        <w:t>el artículo 94 de la Ley 1474 de 2011</w:t>
      </w:r>
      <w:bookmarkEnd w:id="8"/>
      <w:r w:rsidRPr="00B27520">
        <w:rPr>
          <w:rFonts w:ascii="Century Gothic" w:eastAsia="Calibri" w:hAnsi="Century Gothic" w:cs="Arial"/>
          <w:bCs/>
          <w:color w:val="000000"/>
          <w:sz w:val="22"/>
          <w:szCs w:val="22"/>
          <w:lang w:val="es-ES_tradnl"/>
        </w:rPr>
        <w:t xml:space="preserve">, disponiendo que el factor determinante para adelantarla es el valor del presupuesto oficial con independencia de su objeto. Por lo demás, como en este procedimiento el contrato se perfecciona con la aceptación de la oferta, se considera un sucedáneo de los denominados </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contratos sin formalidades plenas</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vertAlign w:val="superscript"/>
          <w:lang w:val="es-ES_tradnl"/>
        </w:rPr>
        <w:footnoteReference w:id="31"/>
      </w:r>
      <w:r w:rsidRPr="00B27520">
        <w:rPr>
          <w:rFonts w:ascii="Century Gothic" w:eastAsia="Calibri" w:hAnsi="Century Gothic" w:cs="Arial"/>
          <w:bCs/>
          <w:color w:val="000000"/>
          <w:sz w:val="22"/>
          <w:szCs w:val="22"/>
          <w:lang w:val="es-ES_tradnl"/>
        </w:rPr>
        <w:t>.</w:t>
      </w:r>
    </w:p>
    <w:p w14:paraId="69B4E0D2" w14:textId="02CAA5DC" w:rsidR="00812B4C" w:rsidRPr="00B27520" w:rsidRDefault="00812B4C" w:rsidP="00812B4C">
      <w:pPr>
        <w:tabs>
          <w:tab w:val="left" w:pos="709"/>
        </w:tabs>
        <w:spacing w:after="120" w:line="276" w:lineRule="auto"/>
        <w:jc w:val="both"/>
        <w:rPr>
          <w:rFonts w:ascii="Century Gothic" w:eastAsia="Calibri" w:hAnsi="Century Gothic" w:cs="Arial"/>
          <w:bCs/>
          <w:color w:val="000000"/>
          <w:sz w:val="22"/>
          <w:szCs w:val="22"/>
          <w:lang w:val="es-ES_tradnl"/>
        </w:rPr>
      </w:pPr>
      <w:r w:rsidRPr="00B27520">
        <w:rPr>
          <w:rFonts w:ascii="Century Gothic" w:eastAsia="Calibri" w:hAnsi="Century Gothic" w:cs="Arial"/>
          <w:bCs/>
          <w:color w:val="000000"/>
          <w:sz w:val="22"/>
          <w:szCs w:val="22"/>
          <w:lang w:val="es-ES_tradnl"/>
        </w:rPr>
        <w:tab/>
        <w:t>En esencia, el artículo 30 de la Ley 2069 de 2020 conserva a grandes rasgos el procedimiento previsto en el derogado artículo 94 de la Ley 1474 de 2011, el cual define los aspectos generales del procedimiento contractual</w:t>
      </w:r>
      <w:r w:rsidRPr="00B27520">
        <w:rPr>
          <w:rFonts w:ascii="Century Gothic" w:eastAsia="Calibri" w:hAnsi="Century Gothic" w:cs="Arial"/>
          <w:bCs/>
          <w:color w:val="000000"/>
          <w:sz w:val="22"/>
          <w:szCs w:val="22"/>
          <w:vertAlign w:val="superscript"/>
          <w:lang w:val="es-ES_tradnl"/>
        </w:rPr>
        <w:footnoteReference w:id="32"/>
      </w:r>
      <w:r w:rsidRPr="00B27520">
        <w:rPr>
          <w:rFonts w:ascii="Century Gothic" w:eastAsia="Calibri" w:hAnsi="Century Gothic" w:cs="Arial"/>
          <w:bCs/>
          <w:color w:val="000000"/>
          <w:sz w:val="22"/>
          <w:szCs w:val="22"/>
          <w:lang w:val="es-ES_tradnl"/>
        </w:rPr>
        <w:t xml:space="preserve">. No obstante, </w:t>
      </w:r>
      <w:r w:rsidRPr="00B27520">
        <w:rPr>
          <w:rFonts w:ascii="Century Gothic" w:eastAsia="Calibri" w:hAnsi="Century Gothic" w:cs="Arial"/>
          <w:bCs/>
          <w:color w:val="000000"/>
          <w:sz w:val="22"/>
          <w:szCs w:val="22"/>
          <w:lang w:val="es-ES_tradnl"/>
        </w:rPr>
        <w:lastRenderedPageBreak/>
        <w:t xml:space="preserve">aludiendo expresamente al desarrollo reglamentario, el parágrafo primero introduce el siguiente cambio: </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 xml:space="preserve">Las particularidades del procedimiento aquí previsto, así como la posibilidad que tengan las entidades de realizar estas adquisiciones </w:t>
      </w:r>
      <w:r w:rsidRPr="00B27520">
        <w:rPr>
          <w:rFonts w:ascii="Century Gothic" w:eastAsia="Calibri" w:hAnsi="Century Gothic" w:cs="Arial"/>
          <w:bCs/>
          <w:i/>
          <w:iCs/>
          <w:color w:val="000000"/>
          <w:sz w:val="22"/>
          <w:szCs w:val="22"/>
          <w:lang w:val="es-ES_tradnl"/>
        </w:rPr>
        <w:t>a Mipymes</w:t>
      </w:r>
      <w:r w:rsidRPr="00B27520">
        <w:rPr>
          <w:rFonts w:ascii="Century Gothic" w:eastAsia="Calibri" w:hAnsi="Century Gothic" w:cs="Arial"/>
          <w:bCs/>
          <w:color w:val="000000"/>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 xml:space="preserve"> (Énfasis fuera de texto). </w:t>
      </w:r>
    </w:p>
    <w:p w14:paraId="5B21C2FC" w14:textId="3D97AA0F" w:rsidR="00812B4C" w:rsidRPr="00B27520" w:rsidRDefault="00812B4C" w:rsidP="00812B4C">
      <w:pPr>
        <w:tabs>
          <w:tab w:val="left" w:pos="709"/>
        </w:tabs>
        <w:spacing w:after="120" w:line="276" w:lineRule="auto"/>
        <w:jc w:val="both"/>
        <w:rPr>
          <w:rFonts w:ascii="Century Gothic" w:eastAsia="Calibri" w:hAnsi="Century Gothic" w:cs="Arial"/>
          <w:bCs/>
          <w:color w:val="000000"/>
          <w:sz w:val="22"/>
          <w:szCs w:val="22"/>
          <w:lang w:val="es-ES_tradnl"/>
        </w:rPr>
      </w:pPr>
      <w:r w:rsidRPr="00B27520">
        <w:rPr>
          <w:rFonts w:ascii="Century Gothic" w:eastAsia="Calibri" w:hAnsi="Century Gothic" w:cs="Arial"/>
          <w:bCs/>
          <w:color w:val="000000"/>
          <w:sz w:val="22"/>
          <w:szCs w:val="22"/>
          <w:lang w:val="es-ES_tradnl"/>
        </w:rPr>
        <w:tab/>
        <w:t xml:space="preserve">Esta modificación es importante, pues antes de la Ley de Emprendimiento era imposible limitar a Mipyme la mínima cuantía, especialmente, cuando el artículo 94 la Ley 1474 de 2011 disponía que no era aplicable la Ley 816 de 2003, </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Por medio de la cual se apoya a la industria nacional a través de la contratación pública</w:t>
      </w:r>
      <w:r w:rsidR="003C0036" w:rsidRPr="00B27520">
        <w:rPr>
          <w:rFonts w:ascii="Century Gothic" w:eastAsia="Calibri" w:hAnsi="Century Gothic" w:cs="Arial"/>
          <w:i/>
          <w:iCs/>
          <w:color w:val="000000"/>
          <w:sz w:val="22"/>
          <w:szCs w:val="22"/>
          <w:lang w:val="es-ES_tradnl"/>
        </w:rPr>
        <w:t>”</w:t>
      </w:r>
      <w:r w:rsidRPr="00B27520">
        <w:rPr>
          <w:rFonts w:ascii="Century Gothic" w:eastAsia="Calibri" w:hAnsi="Century Gothic" w:cs="Arial"/>
          <w:color w:val="000000"/>
          <w:sz w:val="22"/>
          <w:szCs w:val="22"/>
          <w:lang w:val="es-ES_tradnl"/>
        </w:rPr>
        <w:t xml:space="preserve">, ni </w:t>
      </w:r>
      <w:r w:rsidRPr="00B27520">
        <w:rPr>
          <w:rFonts w:ascii="Century Gothic" w:eastAsia="Calibri" w:hAnsi="Century Gothic" w:cs="Arial"/>
          <w:bCs/>
          <w:color w:val="000000"/>
          <w:sz w:val="22"/>
          <w:szCs w:val="22"/>
          <w:lang w:val="es-ES_tradnl"/>
        </w:rPr>
        <w:t xml:space="preserve">el artículo 12 de la Ley 1150 de 2007, relacionado con la promoción del desarrollo en la contratación pública. A partir de la expedición del artículo 30, parágrafo 2, de la Ley 2069 de 2020, </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La contratación a que se refiere el presente artículo se realizará exclusivamente con las reglas en él contempladas y en su reglamentación. En particular no se aplicará lo previsto en la Ley 816 de 2003</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 xml:space="preserve">. Es decir, al no prohibir la aplicación del artículo 12 de la Ley 1150 de 2007, la norma –además de reiterar la importancia de su reglamentación posterior– permite las convocatorias limitadas a </w:t>
      </w:r>
      <w:r w:rsidR="00134ECE" w:rsidRPr="00B27520">
        <w:rPr>
          <w:rFonts w:ascii="Century Gothic" w:eastAsia="Calibri" w:hAnsi="Century Gothic" w:cs="Arial"/>
          <w:bCs/>
          <w:color w:val="000000"/>
          <w:sz w:val="22"/>
          <w:szCs w:val="22"/>
          <w:lang w:val="es-ES_tradnl"/>
        </w:rPr>
        <w:t>MiPymes</w:t>
      </w:r>
      <w:r w:rsidRPr="00B27520">
        <w:rPr>
          <w:rFonts w:ascii="Century Gothic" w:eastAsia="Calibri" w:hAnsi="Century Gothic" w:cs="Arial"/>
          <w:bCs/>
          <w:color w:val="000000"/>
          <w:sz w:val="22"/>
          <w:szCs w:val="22"/>
          <w:lang w:val="es-ES_tradnl"/>
        </w:rPr>
        <w:t xml:space="preserve"> en esta modalidad de selección. Como se observa, el parágrafo 1 del artículo 30 de la Ley 2069 de 2020 dispone que el reglamento es importante para regular: i) las </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particularidades del procedimiento de selección</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 xml:space="preserve"> y ii) la posibilidad de realizar estas adquisiciones a </w:t>
      </w:r>
      <w:r w:rsidR="005B4001" w:rsidRPr="00B27520">
        <w:rPr>
          <w:rFonts w:ascii="Century Gothic" w:eastAsia="Calibri" w:hAnsi="Century Gothic" w:cs="Arial"/>
          <w:bCs/>
          <w:color w:val="000000"/>
          <w:sz w:val="22"/>
          <w:szCs w:val="22"/>
          <w:lang w:val="es-ES_tradnl"/>
        </w:rPr>
        <w:t>MiPymes</w:t>
      </w:r>
      <w:r w:rsidRPr="00B27520">
        <w:rPr>
          <w:rFonts w:ascii="Century Gothic" w:eastAsia="Calibri" w:hAnsi="Century Gothic" w:cs="Arial"/>
          <w:bCs/>
          <w:color w:val="000000"/>
          <w:sz w:val="22"/>
          <w:szCs w:val="22"/>
          <w:lang w:val="es-ES_tradnl"/>
        </w:rPr>
        <w:t xml:space="preserve"> o establecimientos que correspondan a la definición de </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gran almacén</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w:t>
      </w:r>
    </w:p>
    <w:p w14:paraId="6CB35912" w14:textId="77777777" w:rsidR="0060472C" w:rsidRDefault="00812B4C" w:rsidP="00812B4C">
      <w:pPr>
        <w:tabs>
          <w:tab w:val="left" w:pos="709"/>
        </w:tabs>
        <w:spacing w:after="120" w:line="276" w:lineRule="auto"/>
        <w:ind w:firstLine="709"/>
        <w:jc w:val="both"/>
        <w:rPr>
          <w:rFonts w:ascii="Century Gothic" w:eastAsia="Calibri" w:hAnsi="Century Gothic" w:cs="Arial"/>
          <w:bCs/>
          <w:color w:val="000000"/>
          <w:sz w:val="22"/>
          <w:szCs w:val="22"/>
          <w:lang w:val="es-ES_tradnl"/>
        </w:rPr>
      </w:pPr>
      <w:r w:rsidRPr="00B27520">
        <w:rPr>
          <w:rFonts w:ascii="Century Gothic" w:eastAsia="Calibri" w:hAnsi="Century Gothic" w:cs="Arial"/>
          <w:bCs/>
          <w:color w:val="000000"/>
          <w:sz w:val="22"/>
          <w:szCs w:val="22"/>
          <w:lang w:val="es-ES_tradnl"/>
        </w:rPr>
        <w:t xml:space="preserve">Con fundamento en lo anterior, </w:t>
      </w:r>
      <w:r w:rsidRPr="00B27520">
        <w:rPr>
          <w:rFonts w:ascii="Century Gothic" w:eastAsia="Calibri" w:hAnsi="Century Gothic" w:cs="Arial"/>
          <w:color w:val="000000"/>
          <w:sz w:val="22"/>
          <w:szCs w:val="22"/>
          <w:lang w:val="es-ES_tradnl"/>
        </w:rPr>
        <w:t xml:space="preserve">el Gobierno Nacional expidió el Decreto 1860 del 24 de diciembre de 2021, </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 xml:space="preserve">. Entre los aspectos reglamentados por el mencionado decreto se encuentra el procedimiento de mínima cuantía. </w:t>
      </w:r>
    </w:p>
    <w:p w14:paraId="3B4DD72F" w14:textId="6C087EC4" w:rsidR="00812B4C" w:rsidRPr="00B27520" w:rsidRDefault="00812B4C" w:rsidP="00812B4C">
      <w:pPr>
        <w:tabs>
          <w:tab w:val="left" w:pos="709"/>
        </w:tabs>
        <w:spacing w:after="120" w:line="276" w:lineRule="auto"/>
        <w:ind w:firstLine="709"/>
        <w:jc w:val="both"/>
        <w:rPr>
          <w:rFonts w:ascii="Century Gothic" w:eastAsia="Calibri" w:hAnsi="Century Gothic" w:cs="Arial"/>
          <w:bCs/>
          <w:color w:val="000000"/>
          <w:sz w:val="22"/>
          <w:szCs w:val="22"/>
          <w:lang w:val="es-ES_tradnl"/>
        </w:rPr>
      </w:pPr>
      <w:r w:rsidRPr="00B27520">
        <w:rPr>
          <w:rFonts w:ascii="Century Gothic" w:eastAsia="Calibri" w:hAnsi="Century Gothic" w:cs="Arial"/>
          <w:bCs/>
          <w:color w:val="000000"/>
          <w:sz w:val="22"/>
          <w:szCs w:val="22"/>
          <w:lang w:val="es-ES_tradnl"/>
        </w:rPr>
        <w:t>Así las cosas, el artículo 2 modific</w:t>
      </w:r>
      <w:r w:rsidR="0060472C">
        <w:rPr>
          <w:rFonts w:ascii="Century Gothic" w:eastAsia="Calibri" w:hAnsi="Century Gothic" w:cs="Arial"/>
          <w:bCs/>
          <w:color w:val="000000"/>
          <w:sz w:val="22"/>
          <w:szCs w:val="22"/>
          <w:lang w:val="es-ES_tradnl"/>
        </w:rPr>
        <w:t>ó</w:t>
      </w:r>
      <w:r w:rsidRPr="00B27520">
        <w:rPr>
          <w:rFonts w:ascii="Century Gothic" w:eastAsia="Calibri" w:hAnsi="Century Gothic" w:cs="Arial"/>
          <w:bCs/>
          <w:color w:val="000000"/>
          <w:sz w:val="22"/>
          <w:szCs w:val="22"/>
          <w:lang w:val="es-ES_tradnl"/>
        </w:rPr>
        <w:t xml:space="preserve"> la Subsección 5 de la Sección 1 del Capítulo 2 del Título 1 de la Parte 2 del Libro 2 del Decreto 1082 de 2015, que se </w:t>
      </w:r>
      <w:r w:rsidRPr="00B27520">
        <w:rPr>
          <w:rFonts w:ascii="Century Gothic" w:eastAsia="Calibri" w:hAnsi="Century Gothic" w:cs="Arial"/>
          <w:bCs/>
          <w:color w:val="000000"/>
          <w:sz w:val="22"/>
          <w:szCs w:val="22"/>
          <w:lang w:val="es-ES_tradnl"/>
        </w:rPr>
        <w:lastRenderedPageBreak/>
        <w:t xml:space="preserve">titula </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mínima cuantía</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 xml:space="preserve">, por lo que reglamenta esta modalidad de selección con fundamento en lo establecido en el artículo 30 de la Ley 2069 de 2020. Teniendo en cuenta lo anterior, la nueva Subsección 5 a que se hizo referencia contiene los siguientes artículos: i) 2.2.1.2.1.5.1. que se ocupa de desarrollar el contenido de los estudios previos para la contratación de mínima cuantía. ii) 2.2.1.2.1.5.2. que contiene el procedimiento general de la mínima cuantía, señalando el contenido mínimo de la </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invitación</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 xml:space="preserve"> y las distintas etapas y reglas que estructuran esta modalidad de selección, incluyendo la forma en que procederán las convocatorias limitadas a Mipyme, de acuerdo con el mandato del parágrafo 1 del artículo 30 de la Ley 2069 de 2020. iii) 2.2.1.2.1.5.3. que regula un procedimiento especial para las adquisiciones en grandes almacenes cuando se trate de mínima cuantía. </w:t>
      </w:r>
      <w:proofErr w:type="spellStart"/>
      <w:r w:rsidRPr="00B27520">
        <w:rPr>
          <w:rFonts w:ascii="Century Gothic" w:eastAsia="Calibri" w:hAnsi="Century Gothic" w:cs="Arial"/>
          <w:bCs/>
          <w:color w:val="000000"/>
          <w:sz w:val="22"/>
          <w:szCs w:val="22"/>
          <w:lang w:val="es-ES_tradnl"/>
        </w:rPr>
        <w:t>iv</w:t>
      </w:r>
      <w:proofErr w:type="spellEnd"/>
      <w:r w:rsidRPr="00B27520">
        <w:rPr>
          <w:rFonts w:ascii="Century Gothic" w:eastAsia="Calibri" w:hAnsi="Century Gothic" w:cs="Arial"/>
          <w:bCs/>
          <w:color w:val="000000"/>
          <w:sz w:val="22"/>
          <w:szCs w:val="22"/>
          <w:lang w:val="es-ES_tradnl"/>
        </w:rPr>
        <w:t xml:space="preserve">)  2.2.1.2.1.5.4. el cual establece la posibilidad de la Agencia Nacional de Contratación Pública – Colombia Compra Eficiente defina las reglas para la utilización de instrumentos de agregación de demanda en la Tienda Virtual del Estado Colombiano para adquisiciones hasta el monto de la mínima cuantía con Mipyme y con grandes almacenes. Y v) 2.2.1.2.1.5.5. el cual establece que la </w:t>
      </w:r>
      <w:r w:rsidR="00172DB8" w:rsidRPr="00B27520">
        <w:rPr>
          <w:rFonts w:ascii="Century Gothic" w:eastAsia="Calibri" w:hAnsi="Century Gothic" w:cs="Arial"/>
          <w:bCs/>
          <w:i/>
          <w:iCs/>
          <w:color w:val="000000"/>
          <w:sz w:val="22"/>
          <w:szCs w:val="22"/>
          <w:lang w:val="es-ES_tradnl"/>
        </w:rPr>
        <w:t>Entidad Estatal</w:t>
      </w:r>
      <w:r w:rsidRPr="00B27520">
        <w:rPr>
          <w:rFonts w:ascii="Century Gothic" w:eastAsia="Calibri" w:hAnsi="Century Gothic" w:cs="Arial"/>
          <w:bCs/>
          <w:color w:val="000000"/>
          <w:sz w:val="22"/>
          <w:szCs w:val="22"/>
          <w:lang w:val="es-ES_tradnl"/>
        </w:rPr>
        <w:t xml:space="preserve"> es libre de exigir o no garantías en el proceso de selección de mínima cuantía y en la adquisición de </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grandes almacenes</w:t>
      </w:r>
      <w:r w:rsidR="003C0036" w:rsidRPr="00B27520">
        <w:rPr>
          <w:rFonts w:ascii="Century Gothic" w:eastAsia="Calibri" w:hAnsi="Century Gothic" w:cs="Arial"/>
          <w:bCs/>
          <w:i/>
          <w:iCs/>
          <w:color w:val="000000"/>
          <w:sz w:val="22"/>
          <w:szCs w:val="22"/>
          <w:lang w:val="es-ES_tradnl"/>
        </w:rPr>
        <w:t>”</w:t>
      </w:r>
      <w:r w:rsidRPr="00B27520">
        <w:rPr>
          <w:rFonts w:ascii="Century Gothic" w:eastAsia="Calibri" w:hAnsi="Century Gothic" w:cs="Arial"/>
          <w:bCs/>
          <w:color w:val="000000"/>
          <w:sz w:val="22"/>
          <w:szCs w:val="22"/>
          <w:lang w:val="es-ES_tradnl"/>
        </w:rPr>
        <w:t>.</w:t>
      </w:r>
    </w:p>
    <w:p w14:paraId="2DF1A6B7" w14:textId="41C3ED22" w:rsidR="00844F01" w:rsidRPr="00D72A54" w:rsidRDefault="003116FB" w:rsidP="00E55CF9">
      <w:pPr>
        <w:tabs>
          <w:tab w:val="left" w:pos="709"/>
        </w:tabs>
        <w:spacing w:after="120" w:line="276" w:lineRule="auto"/>
        <w:jc w:val="both"/>
        <w:rPr>
          <w:rFonts w:ascii="Century Gothic" w:eastAsia="Calibri" w:hAnsi="Century Gothic" w:cs="Arial"/>
          <w:color w:val="000000"/>
          <w:sz w:val="22"/>
          <w:szCs w:val="22"/>
          <w:lang w:eastAsia="es-ES_tradnl"/>
        </w:rPr>
      </w:pPr>
      <w:r>
        <w:rPr>
          <w:rFonts w:ascii="Century Gothic" w:eastAsia="Calibri" w:hAnsi="Century Gothic" w:cs="Arial"/>
          <w:bCs/>
          <w:color w:val="000000"/>
          <w:sz w:val="22"/>
          <w:szCs w:val="22"/>
          <w:lang w:val="es-ES_tradnl"/>
        </w:rPr>
        <w:tab/>
      </w:r>
      <w:r w:rsidR="00812B4C" w:rsidRPr="00B27520">
        <w:rPr>
          <w:rFonts w:ascii="Century Gothic" w:eastAsia="Calibri" w:hAnsi="Century Gothic" w:cs="Arial"/>
          <w:color w:val="000000"/>
          <w:sz w:val="22"/>
          <w:szCs w:val="22"/>
          <w:lang w:val="es-ES_tradnl" w:eastAsia="es-ES_tradnl"/>
        </w:rPr>
        <w:t>En efecto, a partir de las modificaciones reguladas en el Decreto 1860 de 202</w:t>
      </w:r>
      <w:r w:rsidR="007C14F7">
        <w:rPr>
          <w:rFonts w:ascii="Century Gothic" w:eastAsia="Calibri" w:hAnsi="Century Gothic" w:cs="Arial"/>
          <w:color w:val="000000"/>
          <w:sz w:val="22"/>
          <w:szCs w:val="22"/>
          <w:lang w:val="es-ES_tradnl" w:eastAsia="es-ES_tradnl"/>
        </w:rPr>
        <w:t>1</w:t>
      </w:r>
      <w:r w:rsidR="004952AD">
        <w:rPr>
          <w:rFonts w:ascii="Century Gothic" w:eastAsia="Calibri" w:hAnsi="Century Gothic" w:cs="Arial"/>
          <w:color w:val="000000"/>
          <w:sz w:val="22"/>
          <w:szCs w:val="22"/>
          <w:lang w:val="es-ES_tradnl" w:eastAsia="es-ES_tradnl"/>
        </w:rPr>
        <w:t xml:space="preserve">, </w:t>
      </w:r>
      <w:r w:rsidR="002226C7">
        <w:rPr>
          <w:rFonts w:ascii="Century Gothic" w:eastAsia="Calibri" w:hAnsi="Century Gothic" w:cs="Arial"/>
          <w:color w:val="000000"/>
          <w:sz w:val="22"/>
          <w:szCs w:val="22"/>
          <w:lang w:val="es-ES_tradnl" w:eastAsia="es-ES_tradnl"/>
        </w:rPr>
        <w:t>l</w:t>
      </w:r>
      <w:r w:rsidR="00812B4C" w:rsidRPr="00B27520">
        <w:rPr>
          <w:rFonts w:ascii="Century Gothic" w:eastAsia="Calibri" w:hAnsi="Century Gothic" w:cs="Arial"/>
          <w:color w:val="000000"/>
          <w:sz w:val="22"/>
          <w:szCs w:val="22"/>
          <w:lang w:val="es-ES_tradnl" w:eastAsia="es-ES_tradnl"/>
        </w:rPr>
        <w:t xml:space="preserve">a invitación se debe publicar por un término no inferior a un (1) día hábil, para que </w:t>
      </w:r>
      <w:r w:rsidR="00812B4C" w:rsidRPr="00B27520">
        <w:rPr>
          <w:rFonts w:ascii="Century Gothic" w:eastAsia="Calibri" w:hAnsi="Century Gothic" w:cs="Arial"/>
          <w:color w:val="000000"/>
          <w:sz w:val="22"/>
          <w:szCs w:val="22"/>
          <w:lang w:eastAsia="es-ES_tradnl"/>
        </w:rPr>
        <w:t>los interesados se informen de su contenido y formulen observaciones o comentarios.</w:t>
      </w:r>
      <w:r w:rsidR="00812B4C" w:rsidRPr="00B27520">
        <w:rPr>
          <w:rFonts w:ascii="Century Gothic" w:eastAsia="Calibri" w:hAnsi="Century Gothic" w:cs="Arial"/>
          <w:color w:val="000000"/>
          <w:sz w:val="22"/>
          <w:szCs w:val="22"/>
          <w:lang w:val="es-ES_tradnl" w:eastAsia="es-ES_tradnl"/>
        </w:rPr>
        <w:t xml:space="preserve"> En este plazo </w:t>
      </w:r>
      <w:r w:rsidR="00812B4C" w:rsidRPr="00B27520">
        <w:rPr>
          <w:rFonts w:ascii="Century Gothic" w:eastAsia="Calibri" w:hAnsi="Century Gothic" w:cs="Arial"/>
          <w:color w:val="000000"/>
          <w:sz w:val="22"/>
          <w:szCs w:val="22"/>
          <w:lang w:eastAsia="es-ES_tradnl"/>
        </w:rPr>
        <w:t xml:space="preserve">se podrán presentar las solicitudes para limitar la convocatoria a </w:t>
      </w:r>
      <w:r w:rsidR="002226C7" w:rsidRPr="00B27520">
        <w:rPr>
          <w:rFonts w:ascii="Century Gothic" w:eastAsia="Calibri" w:hAnsi="Century Gothic" w:cs="Arial"/>
          <w:color w:val="000000"/>
          <w:sz w:val="22"/>
          <w:szCs w:val="22"/>
          <w:lang w:eastAsia="es-ES_tradnl"/>
        </w:rPr>
        <w:t>MiPyme</w:t>
      </w:r>
      <w:r w:rsidR="002226C7">
        <w:rPr>
          <w:rFonts w:ascii="Century Gothic" w:eastAsia="Calibri" w:hAnsi="Century Gothic" w:cs="Arial"/>
          <w:color w:val="000000"/>
          <w:sz w:val="22"/>
          <w:szCs w:val="22"/>
          <w:lang w:eastAsia="es-ES_tradnl"/>
        </w:rPr>
        <w:t>s</w:t>
      </w:r>
      <w:r w:rsidR="00812B4C" w:rsidRPr="00B27520">
        <w:rPr>
          <w:rFonts w:ascii="Century Gothic" w:eastAsia="Calibri" w:hAnsi="Century Gothic" w:cs="Arial"/>
          <w:color w:val="000000"/>
          <w:sz w:val="22"/>
          <w:szCs w:val="22"/>
          <w:lang w:eastAsia="es-ES_tradnl"/>
        </w:rPr>
        <w:t xml:space="preserve"> colombianas</w:t>
      </w:r>
      <w:r w:rsidR="00D72A54">
        <w:rPr>
          <w:rFonts w:ascii="Century Gothic" w:eastAsia="Calibri" w:hAnsi="Century Gothic" w:cs="Arial"/>
          <w:color w:val="000000"/>
          <w:sz w:val="22"/>
          <w:szCs w:val="22"/>
          <w:lang w:eastAsia="es-ES_tradnl"/>
        </w:rPr>
        <w:t>, las cuales se tramitarán de conformidad a lo contemplado en el parágrafo de a</w:t>
      </w:r>
      <w:r w:rsidR="00D72A54" w:rsidRPr="00D72A54">
        <w:rPr>
          <w:rFonts w:ascii="Century Gothic" w:eastAsia="Calibri" w:hAnsi="Century Gothic" w:cs="Arial"/>
          <w:color w:val="000000"/>
          <w:sz w:val="22"/>
          <w:szCs w:val="22"/>
          <w:lang w:eastAsia="es-ES_tradnl"/>
        </w:rPr>
        <w:t>rtículo 2.2.1.2.1.5.2.</w:t>
      </w:r>
      <w:r w:rsidR="00D72A54">
        <w:rPr>
          <w:rFonts w:ascii="Century Gothic" w:eastAsia="Calibri" w:hAnsi="Century Gothic" w:cs="Arial"/>
          <w:color w:val="000000"/>
          <w:sz w:val="22"/>
          <w:szCs w:val="22"/>
          <w:lang w:eastAsia="es-ES_tradnl"/>
        </w:rPr>
        <w:t xml:space="preserve"> del Decreto 1082 de 2015, esto es, d</w:t>
      </w:r>
      <w:proofErr w:type="spellStart"/>
      <w:r w:rsidR="00844F01" w:rsidRPr="00844F01">
        <w:rPr>
          <w:rFonts w:ascii="Century Gothic" w:eastAsia="Calibri" w:hAnsi="Century Gothic" w:cs="Arial"/>
          <w:color w:val="000000"/>
          <w:sz w:val="22"/>
          <w:szCs w:val="22"/>
          <w:lang w:val="es-ES_tradnl" w:eastAsia="es-ES_tradnl"/>
        </w:rPr>
        <w:t>e</w:t>
      </w:r>
      <w:proofErr w:type="spellEnd"/>
      <w:r w:rsidR="00844F01" w:rsidRPr="00844F01">
        <w:rPr>
          <w:rFonts w:ascii="Century Gothic" w:eastAsia="Calibri" w:hAnsi="Century Gothic" w:cs="Arial"/>
          <w:color w:val="000000"/>
          <w:sz w:val="22"/>
          <w:szCs w:val="22"/>
          <w:lang w:val="es-ES_tradnl" w:eastAsia="es-ES_tradnl"/>
        </w:rPr>
        <w:t xml:space="preserve"> conformidad con lo prescrito en los artículos 2.2.1.2.4.2.2 a 2.2.1.2.4.2.4 de</w:t>
      </w:r>
      <w:r w:rsidR="00DF4192">
        <w:rPr>
          <w:rFonts w:ascii="Century Gothic" w:eastAsia="Calibri" w:hAnsi="Century Gothic" w:cs="Arial"/>
          <w:color w:val="000000"/>
          <w:sz w:val="22"/>
          <w:szCs w:val="22"/>
          <w:lang w:val="es-ES_tradnl" w:eastAsia="es-ES_tradnl"/>
        </w:rPr>
        <w:t xml:space="preserve">l citado </w:t>
      </w:r>
      <w:r w:rsidR="00844F01" w:rsidRPr="00844F01">
        <w:rPr>
          <w:rFonts w:ascii="Century Gothic" w:eastAsia="Calibri" w:hAnsi="Century Gothic" w:cs="Arial"/>
          <w:color w:val="000000"/>
          <w:sz w:val="22"/>
          <w:szCs w:val="22"/>
          <w:lang w:val="es-ES_tradnl" w:eastAsia="es-ES_tradnl"/>
        </w:rPr>
        <w:t>Decreto</w:t>
      </w:r>
      <w:r w:rsidR="00651439">
        <w:rPr>
          <w:rFonts w:ascii="Century Gothic" w:eastAsia="Calibri" w:hAnsi="Century Gothic" w:cs="Arial"/>
          <w:color w:val="000000"/>
          <w:sz w:val="22"/>
          <w:szCs w:val="22"/>
          <w:lang w:val="es-ES_tradnl" w:eastAsia="es-ES_tradnl"/>
        </w:rPr>
        <w:t xml:space="preserve"> para la limitación a MiPymes en las otras modalidades de selección</w:t>
      </w:r>
      <w:r w:rsidR="00121C35">
        <w:rPr>
          <w:rFonts w:ascii="Century Gothic" w:eastAsia="Calibri" w:hAnsi="Century Gothic" w:cs="Arial"/>
          <w:color w:val="000000"/>
          <w:sz w:val="22"/>
          <w:szCs w:val="22"/>
          <w:lang w:val="es-ES_tradnl" w:eastAsia="es-ES_tradnl"/>
        </w:rPr>
        <w:t xml:space="preserve">, con el único cambio de que </w:t>
      </w:r>
      <w:r w:rsidR="00844F01" w:rsidRPr="00844F01">
        <w:rPr>
          <w:rFonts w:ascii="Century Gothic" w:eastAsia="Calibri" w:hAnsi="Century Gothic" w:cs="Arial"/>
          <w:color w:val="000000"/>
          <w:sz w:val="22"/>
          <w:szCs w:val="22"/>
          <w:lang w:val="es-ES_tradnl" w:eastAsia="es-ES_tradnl"/>
        </w:rPr>
        <w:t xml:space="preserve">las solicitudes para limitar el proceso a </w:t>
      </w:r>
      <w:r w:rsidR="00121C35" w:rsidRPr="00844F01">
        <w:rPr>
          <w:rFonts w:ascii="Century Gothic" w:eastAsia="Calibri" w:hAnsi="Century Gothic" w:cs="Arial"/>
          <w:color w:val="000000"/>
          <w:sz w:val="22"/>
          <w:szCs w:val="22"/>
          <w:lang w:val="es-ES_tradnl" w:eastAsia="es-ES_tradnl"/>
        </w:rPr>
        <w:t>MiPyme</w:t>
      </w:r>
      <w:r w:rsidR="00844F01" w:rsidRPr="00844F01">
        <w:rPr>
          <w:rFonts w:ascii="Century Gothic" w:eastAsia="Calibri" w:hAnsi="Century Gothic" w:cs="Arial"/>
          <w:color w:val="000000"/>
          <w:sz w:val="22"/>
          <w:szCs w:val="22"/>
          <w:lang w:val="es-ES_tradnl" w:eastAsia="es-ES_tradnl"/>
        </w:rPr>
        <w:t xml:space="preserve"> se recibirán durante el término previsto </w:t>
      </w:r>
      <w:r w:rsidR="00945426">
        <w:rPr>
          <w:rFonts w:ascii="Century Gothic" w:eastAsia="Calibri" w:hAnsi="Century Gothic" w:cs="Arial"/>
          <w:color w:val="000000"/>
          <w:sz w:val="22"/>
          <w:szCs w:val="22"/>
          <w:lang w:val="es-ES_tradnl" w:eastAsia="es-ES_tradnl"/>
        </w:rPr>
        <w:t xml:space="preserve">para la publicación de la invitación. </w:t>
      </w:r>
    </w:p>
    <w:p w14:paraId="504A3F55" w14:textId="58FAE524" w:rsidR="00812B4C" w:rsidRPr="00B27520" w:rsidRDefault="00812B4C" w:rsidP="00812B4C">
      <w:pPr>
        <w:spacing w:after="120" w:line="276" w:lineRule="auto"/>
        <w:ind w:firstLine="709"/>
        <w:jc w:val="both"/>
        <w:rPr>
          <w:rFonts w:ascii="Century Gothic" w:eastAsia="Calibri" w:hAnsi="Century Gothic" w:cs="Arial"/>
          <w:color w:val="000000"/>
          <w:sz w:val="22"/>
          <w:szCs w:val="22"/>
          <w:lang w:val="es-ES_tradnl" w:eastAsia="es-ES_tradnl"/>
        </w:rPr>
      </w:pPr>
      <w:r w:rsidRPr="00B27520">
        <w:rPr>
          <w:rFonts w:ascii="Century Gothic" w:eastAsia="Calibri" w:hAnsi="Century Gothic" w:cs="Arial"/>
          <w:color w:val="000000"/>
          <w:sz w:val="22"/>
          <w:szCs w:val="22"/>
          <w:lang w:val="es-ES_tradnl" w:eastAsia="es-ES_tradnl"/>
        </w:rPr>
        <w:t xml:space="preserve">En la invitación se deberá incluir un cronograma que tenga en cuenta los términos mínimos establecidos en el artículo </w:t>
      </w:r>
      <w:r w:rsidRPr="00B27520">
        <w:rPr>
          <w:rFonts w:ascii="Century Gothic" w:eastAsia="Calibri" w:hAnsi="Century Gothic" w:cs="Arial"/>
          <w:bCs/>
          <w:color w:val="000000"/>
          <w:sz w:val="22"/>
          <w:szCs w:val="22"/>
          <w:lang w:val="es-ES_tradnl" w:eastAsia="es-ES_tradnl"/>
        </w:rPr>
        <w:t>2.2.1.2.1.5.2. del Decreto 1082 de 2015</w:t>
      </w:r>
      <w:r w:rsidRPr="00B27520">
        <w:rPr>
          <w:rFonts w:ascii="Century Gothic" w:eastAsia="Calibri" w:hAnsi="Century Gothic" w:cs="Arial"/>
          <w:color w:val="000000"/>
          <w:sz w:val="22"/>
          <w:szCs w:val="22"/>
          <w:lang w:eastAsia="es-ES_tradnl"/>
        </w:rPr>
        <w:t>,</w:t>
      </w:r>
      <w:r w:rsidR="00945426">
        <w:rPr>
          <w:rFonts w:ascii="Century Gothic" w:eastAsia="Calibri" w:hAnsi="Century Gothic" w:cs="Arial"/>
          <w:color w:val="000000"/>
          <w:sz w:val="22"/>
          <w:szCs w:val="22"/>
          <w:lang w:eastAsia="es-ES_tradnl"/>
        </w:rPr>
        <w:t xml:space="preserve"> entre ellos </w:t>
      </w:r>
      <w:r w:rsidRPr="00B27520">
        <w:rPr>
          <w:rFonts w:ascii="Century Gothic" w:eastAsia="Calibri" w:hAnsi="Century Gothic" w:cs="Arial"/>
          <w:color w:val="000000"/>
          <w:sz w:val="22"/>
          <w:szCs w:val="22"/>
          <w:lang w:eastAsia="es-ES_tradnl"/>
        </w:rPr>
        <w:t xml:space="preserve">el momento en que publicará un aviso en el SECOP precisando si el proceso efectivamente se limitó a </w:t>
      </w:r>
      <w:r w:rsidR="00E61686" w:rsidRPr="00B27520">
        <w:rPr>
          <w:rFonts w:ascii="Century Gothic" w:eastAsia="Calibri" w:hAnsi="Century Gothic" w:cs="Arial"/>
          <w:color w:val="000000"/>
          <w:sz w:val="22"/>
          <w:szCs w:val="22"/>
          <w:lang w:eastAsia="es-ES_tradnl"/>
        </w:rPr>
        <w:t>MiPyme</w:t>
      </w:r>
      <w:r w:rsidRPr="00B27520">
        <w:rPr>
          <w:rFonts w:ascii="Century Gothic" w:eastAsia="Calibri" w:hAnsi="Century Gothic" w:cs="Arial"/>
          <w:color w:val="000000"/>
          <w:sz w:val="22"/>
          <w:szCs w:val="22"/>
          <w:lang w:eastAsia="es-ES_tradnl"/>
        </w:rPr>
        <w:t xml:space="preserve"> o si podrá participar cualquier otro interesado</w:t>
      </w:r>
      <w:r w:rsidR="00E61686">
        <w:rPr>
          <w:rFonts w:ascii="Century Gothic" w:eastAsia="Calibri" w:hAnsi="Century Gothic" w:cs="Arial"/>
          <w:color w:val="000000"/>
          <w:sz w:val="22"/>
          <w:szCs w:val="22"/>
          <w:lang w:eastAsia="es-ES_tradnl"/>
        </w:rPr>
        <w:t xml:space="preserve"> y el</w:t>
      </w:r>
      <w:r w:rsidRPr="00B27520">
        <w:rPr>
          <w:rFonts w:ascii="Century Gothic" w:eastAsia="Calibri" w:hAnsi="Century Gothic" w:cs="Arial"/>
          <w:color w:val="000000"/>
          <w:sz w:val="22"/>
          <w:szCs w:val="22"/>
          <w:lang w:eastAsia="es-ES_tradnl"/>
        </w:rPr>
        <w:t xml:space="preserve"> término adicional dentro del cual los proponentes podrán presentar sus ofertas, el cual será de mínimo un (1) día hábil luego de publicado el aviso en que se informe si el proceso se limita o no a </w:t>
      </w:r>
      <w:r w:rsidR="00E61686" w:rsidRPr="00B27520">
        <w:rPr>
          <w:rFonts w:ascii="Century Gothic" w:eastAsia="Calibri" w:hAnsi="Century Gothic" w:cs="Arial"/>
          <w:color w:val="000000"/>
          <w:sz w:val="22"/>
          <w:szCs w:val="22"/>
          <w:lang w:eastAsia="es-ES_tradnl"/>
        </w:rPr>
        <w:t>MiPyme</w:t>
      </w:r>
      <w:r w:rsidRPr="00B27520">
        <w:rPr>
          <w:rFonts w:ascii="Century Gothic" w:eastAsia="Calibri" w:hAnsi="Century Gothic" w:cs="Arial"/>
          <w:color w:val="000000"/>
          <w:sz w:val="22"/>
          <w:szCs w:val="22"/>
          <w:lang w:eastAsia="es-ES_tradnl"/>
        </w:rPr>
        <w:t>.</w:t>
      </w:r>
    </w:p>
    <w:p w14:paraId="57D8E076" w14:textId="2712D981" w:rsidR="00855072" w:rsidRDefault="006A6A6D" w:rsidP="00855072">
      <w:pPr>
        <w:spacing w:after="240" w:line="276" w:lineRule="auto"/>
        <w:jc w:val="both"/>
        <w:rPr>
          <w:rFonts w:ascii="Century Gothic" w:eastAsia="Calibri" w:hAnsi="Century Gothic" w:cs="Arial"/>
          <w:color w:val="000000"/>
          <w:sz w:val="22"/>
          <w:szCs w:val="22"/>
          <w:lang w:val="es-ES_tradnl" w:eastAsia="es-ES_tradnl"/>
        </w:rPr>
      </w:pPr>
      <w:r>
        <w:rPr>
          <w:rFonts w:ascii="Century Gothic" w:eastAsia="Calibri" w:hAnsi="Century Gothic" w:cs="Arial"/>
          <w:color w:val="000000"/>
          <w:sz w:val="22"/>
          <w:szCs w:val="22"/>
          <w:lang w:val="es-ES_tradnl" w:eastAsia="es-ES_tradnl"/>
        </w:rPr>
        <w:lastRenderedPageBreak/>
        <w:tab/>
        <w:t xml:space="preserve">De esta forma encontramos que </w:t>
      </w:r>
      <w:r w:rsidR="00182FA9">
        <w:rPr>
          <w:rFonts w:ascii="Century Gothic" w:eastAsia="Calibri" w:hAnsi="Century Gothic" w:cs="Arial"/>
          <w:color w:val="000000"/>
          <w:sz w:val="22"/>
          <w:szCs w:val="22"/>
          <w:lang w:val="es-ES_tradnl" w:eastAsia="es-ES_tradnl"/>
        </w:rPr>
        <w:t>la limitación a MiPyme d</w:t>
      </w:r>
      <w:r>
        <w:rPr>
          <w:rFonts w:ascii="Century Gothic" w:eastAsia="Calibri" w:hAnsi="Century Gothic" w:cs="Arial"/>
          <w:color w:val="000000"/>
          <w:sz w:val="22"/>
          <w:szCs w:val="22"/>
          <w:lang w:val="es-ES_tradnl" w:eastAsia="es-ES_tradnl"/>
        </w:rPr>
        <w:t xml:space="preserve">e procesos de contratación de mínima cuantía </w:t>
      </w:r>
      <w:r w:rsidR="00182FA9">
        <w:rPr>
          <w:rFonts w:ascii="Century Gothic" w:eastAsia="Calibri" w:hAnsi="Century Gothic" w:cs="Arial"/>
          <w:color w:val="000000"/>
          <w:sz w:val="22"/>
          <w:szCs w:val="22"/>
          <w:lang w:val="es-ES_tradnl" w:eastAsia="es-ES_tradnl"/>
        </w:rPr>
        <w:t>no es potestativa de la Entidad Estatal, toda vez que si se cumplen con los presupuestos establecidos en el artículo 2.2.1.2.4.2.2. del Decreto 1082 de 2015</w:t>
      </w:r>
      <w:r w:rsidR="00481557">
        <w:rPr>
          <w:rFonts w:ascii="Century Gothic" w:eastAsia="Calibri" w:hAnsi="Century Gothic" w:cs="Arial"/>
          <w:color w:val="000000"/>
          <w:sz w:val="22"/>
          <w:szCs w:val="22"/>
          <w:lang w:val="es-ES_tradnl" w:eastAsia="es-ES_tradnl"/>
        </w:rPr>
        <w:t>, esto es</w:t>
      </w:r>
      <w:r w:rsidR="00BF02F6">
        <w:rPr>
          <w:rFonts w:ascii="Century Gothic" w:eastAsia="Calibri" w:hAnsi="Century Gothic" w:cs="Arial"/>
          <w:color w:val="000000"/>
          <w:sz w:val="22"/>
          <w:szCs w:val="22"/>
          <w:lang w:val="es-ES_tradnl" w:eastAsia="es-ES_tradnl"/>
        </w:rPr>
        <w:t xml:space="preserve"> que se presenten por lo menos dos (2) solicitudes de MiPymes colombianas</w:t>
      </w:r>
      <w:r w:rsidR="00262FC9">
        <w:rPr>
          <w:rFonts w:ascii="Century Gothic" w:eastAsia="Calibri" w:hAnsi="Century Gothic" w:cs="Arial"/>
          <w:color w:val="000000"/>
          <w:sz w:val="22"/>
          <w:szCs w:val="22"/>
          <w:lang w:val="es-ES_tradnl" w:eastAsia="es-ES_tradnl"/>
        </w:rPr>
        <w:t xml:space="preserve"> de mínimo un (1) </w:t>
      </w:r>
      <w:r w:rsidR="00636E16">
        <w:rPr>
          <w:rFonts w:ascii="Century Gothic" w:eastAsia="Calibri" w:hAnsi="Century Gothic" w:cs="Arial"/>
          <w:color w:val="000000"/>
          <w:sz w:val="22"/>
          <w:szCs w:val="22"/>
          <w:lang w:val="es-ES_tradnl" w:eastAsia="es-ES_tradnl"/>
        </w:rPr>
        <w:t>año de</w:t>
      </w:r>
      <w:r w:rsidR="00262FC9">
        <w:rPr>
          <w:rFonts w:ascii="Century Gothic" w:eastAsia="Calibri" w:hAnsi="Century Gothic" w:cs="Arial"/>
          <w:color w:val="000000"/>
          <w:sz w:val="22"/>
          <w:szCs w:val="22"/>
          <w:lang w:val="es-ES_tradnl" w:eastAsia="es-ES_tradnl"/>
        </w:rPr>
        <w:t xml:space="preserve"> existencia,</w:t>
      </w:r>
      <w:r w:rsidR="00BF02F6">
        <w:rPr>
          <w:rFonts w:ascii="Century Gothic" w:eastAsia="Calibri" w:hAnsi="Century Gothic" w:cs="Arial"/>
          <w:color w:val="000000"/>
          <w:sz w:val="22"/>
          <w:szCs w:val="22"/>
          <w:lang w:val="es-ES_tradnl" w:eastAsia="es-ES_tradnl"/>
        </w:rPr>
        <w:t xml:space="preserve"> </w:t>
      </w:r>
      <w:r w:rsidR="00193E55">
        <w:rPr>
          <w:rFonts w:ascii="Century Gothic" w:eastAsia="Calibri" w:hAnsi="Century Gothic" w:cs="Arial"/>
          <w:color w:val="000000"/>
          <w:sz w:val="22"/>
          <w:szCs w:val="22"/>
          <w:lang w:val="es-ES_tradnl" w:eastAsia="es-ES_tradnl"/>
        </w:rPr>
        <w:t xml:space="preserve">dentro del término establecido en la invitación </w:t>
      </w:r>
      <w:r w:rsidR="00BF02F6">
        <w:rPr>
          <w:rFonts w:ascii="Century Gothic" w:eastAsia="Calibri" w:hAnsi="Century Gothic" w:cs="Arial"/>
          <w:color w:val="000000"/>
          <w:sz w:val="22"/>
          <w:szCs w:val="22"/>
          <w:lang w:val="es-ES_tradnl" w:eastAsia="es-ES_tradnl"/>
        </w:rPr>
        <w:t>para limitar la convocatoria</w:t>
      </w:r>
      <w:r w:rsidR="00636E16">
        <w:rPr>
          <w:rFonts w:ascii="Century Gothic" w:eastAsia="Calibri" w:hAnsi="Century Gothic" w:cs="Arial"/>
          <w:color w:val="000000"/>
          <w:sz w:val="22"/>
          <w:szCs w:val="22"/>
          <w:lang w:val="es-ES_tradnl" w:eastAsia="es-ES_tradnl"/>
        </w:rPr>
        <w:t xml:space="preserve"> a MiPyme colombianas, </w:t>
      </w:r>
      <w:r w:rsidR="00637C61">
        <w:rPr>
          <w:rFonts w:ascii="Century Gothic" w:eastAsia="Calibri" w:hAnsi="Century Gothic" w:cs="Arial"/>
          <w:color w:val="000000"/>
          <w:sz w:val="22"/>
          <w:szCs w:val="22"/>
          <w:lang w:val="es-ES_tradnl" w:eastAsia="es-ES_tradnl"/>
        </w:rPr>
        <w:t>y el</w:t>
      </w:r>
      <w:r w:rsidR="00636E16" w:rsidRPr="00636E16">
        <w:rPr>
          <w:rFonts w:ascii="Century Gothic" w:eastAsia="Calibri" w:hAnsi="Century Gothic" w:cs="Arial"/>
          <w:color w:val="000000"/>
          <w:sz w:val="22"/>
          <w:szCs w:val="22"/>
          <w:lang w:val="es-ES_tradnl" w:eastAsia="es-ES_tradnl"/>
        </w:rPr>
        <w:t xml:space="preserve"> valor del Proceso de Contratación sea menor a ciento veinticinco mil dólares de los Estados Unidos de América (US$125.000), liquidados con la tasa de cambio que para el efecto determina el Ministerio de Comercio, Industria y Turismo</w:t>
      </w:r>
      <w:r w:rsidR="006409C1">
        <w:rPr>
          <w:rFonts w:ascii="Century Gothic" w:eastAsia="Calibri" w:hAnsi="Century Gothic" w:cs="Arial"/>
          <w:color w:val="000000"/>
          <w:sz w:val="22"/>
          <w:szCs w:val="22"/>
          <w:lang w:val="es-ES_tradnl" w:eastAsia="es-ES_tradnl"/>
        </w:rPr>
        <w:t>;</w:t>
      </w:r>
      <w:r w:rsidR="00637C61">
        <w:rPr>
          <w:rFonts w:ascii="Century Gothic" w:eastAsia="Calibri" w:hAnsi="Century Gothic" w:cs="Arial"/>
          <w:color w:val="000000"/>
          <w:sz w:val="22"/>
          <w:szCs w:val="22"/>
          <w:lang w:val="es-ES_tradnl" w:eastAsia="es-ES_tradnl"/>
        </w:rPr>
        <w:t xml:space="preserve"> </w:t>
      </w:r>
      <w:r w:rsidR="00636E16">
        <w:rPr>
          <w:rFonts w:ascii="Century Gothic" w:eastAsia="Calibri" w:hAnsi="Century Gothic" w:cs="Arial"/>
          <w:color w:val="000000"/>
          <w:sz w:val="22"/>
          <w:szCs w:val="22"/>
          <w:lang w:val="es-ES_tradnl" w:eastAsia="es-ES_tradnl"/>
        </w:rPr>
        <w:t xml:space="preserve">la </w:t>
      </w:r>
      <w:r w:rsidR="006409C1">
        <w:rPr>
          <w:rFonts w:ascii="Century Gothic" w:eastAsia="Calibri" w:hAnsi="Century Gothic" w:cs="Arial"/>
          <w:color w:val="000000"/>
          <w:sz w:val="22"/>
          <w:szCs w:val="22"/>
          <w:lang w:val="es-ES_tradnl" w:eastAsia="es-ES_tradnl"/>
        </w:rPr>
        <w:t>E</w:t>
      </w:r>
      <w:r w:rsidR="00636E16">
        <w:rPr>
          <w:rFonts w:ascii="Century Gothic" w:eastAsia="Calibri" w:hAnsi="Century Gothic" w:cs="Arial"/>
          <w:color w:val="000000"/>
          <w:sz w:val="22"/>
          <w:szCs w:val="22"/>
          <w:lang w:val="es-ES_tradnl" w:eastAsia="es-ES_tradnl"/>
        </w:rPr>
        <w:t>ntidad Estatal</w:t>
      </w:r>
      <w:r w:rsidR="00637C61">
        <w:rPr>
          <w:rFonts w:ascii="Century Gothic" w:eastAsia="Calibri" w:hAnsi="Century Gothic" w:cs="Arial"/>
          <w:color w:val="000000"/>
          <w:sz w:val="22"/>
          <w:szCs w:val="22"/>
          <w:lang w:val="es-ES_tradnl" w:eastAsia="es-ES_tradnl"/>
        </w:rPr>
        <w:t xml:space="preserve"> </w:t>
      </w:r>
      <w:r w:rsidR="00855072">
        <w:rPr>
          <w:rFonts w:ascii="Century Gothic" w:eastAsia="Calibri" w:hAnsi="Century Gothic" w:cs="Arial"/>
          <w:color w:val="000000"/>
          <w:sz w:val="22"/>
          <w:szCs w:val="22"/>
          <w:lang w:val="es-ES_tradnl" w:eastAsia="es-ES_tradnl"/>
        </w:rPr>
        <w:t>estará obligada a limitar la participación de la invitación a MiPymes.</w:t>
      </w:r>
      <w:r w:rsidR="00637C61">
        <w:rPr>
          <w:rFonts w:ascii="Century Gothic" w:eastAsia="Calibri" w:hAnsi="Century Gothic" w:cs="Arial"/>
          <w:color w:val="000000"/>
          <w:sz w:val="22"/>
          <w:szCs w:val="22"/>
          <w:lang w:val="es-ES_tradnl" w:eastAsia="es-ES_tradnl"/>
        </w:rPr>
        <w:t xml:space="preserve"> </w:t>
      </w:r>
    </w:p>
    <w:p w14:paraId="6EDB1DB2" w14:textId="5285C432" w:rsidR="00A50C3C" w:rsidRPr="00B27520" w:rsidRDefault="00855072" w:rsidP="00855072">
      <w:pPr>
        <w:spacing w:after="240" w:line="276" w:lineRule="auto"/>
        <w:ind w:firstLine="708"/>
        <w:jc w:val="both"/>
        <w:rPr>
          <w:rFonts w:ascii="Century Gothic" w:hAnsi="Century Gothic"/>
          <w:sz w:val="22"/>
          <w:szCs w:val="22"/>
        </w:rPr>
      </w:pPr>
      <w:r w:rsidRPr="00855072">
        <w:rPr>
          <w:rStyle w:val="Textoennegrita"/>
          <w:rFonts w:ascii="Century Gothic" w:hAnsi="Century Gothic"/>
          <w:b w:val="0"/>
          <w:bCs w:val="0"/>
          <w:sz w:val="22"/>
          <w:szCs w:val="22"/>
        </w:rPr>
        <w:t>Po</w:t>
      </w:r>
      <w:r>
        <w:rPr>
          <w:rStyle w:val="Textoennegrita"/>
          <w:rFonts w:ascii="Century Gothic" w:hAnsi="Century Gothic"/>
          <w:b w:val="0"/>
          <w:bCs w:val="0"/>
          <w:sz w:val="22"/>
          <w:szCs w:val="22"/>
        </w:rPr>
        <w:t xml:space="preserve">r su parte, en lo que respecta </w:t>
      </w:r>
      <w:r w:rsidR="00674C6F">
        <w:rPr>
          <w:rStyle w:val="Textoennegrita"/>
          <w:rFonts w:ascii="Century Gothic" w:hAnsi="Century Gothic"/>
          <w:b w:val="0"/>
          <w:bCs w:val="0"/>
          <w:sz w:val="22"/>
          <w:szCs w:val="22"/>
        </w:rPr>
        <w:t xml:space="preserve">a la potestad de exigir en los procesos de selección por mínima </w:t>
      </w:r>
      <w:r w:rsidR="004B032F">
        <w:rPr>
          <w:rStyle w:val="Textoennegrita"/>
          <w:rFonts w:ascii="Century Gothic" w:hAnsi="Century Gothic"/>
          <w:b w:val="0"/>
          <w:bCs w:val="0"/>
          <w:sz w:val="22"/>
          <w:szCs w:val="22"/>
        </w:rPr>
        <w:t>cuantía la</w:t>
      </w:r>
      <w:r w:rsidR="00674C6F">
        <w:rPr>
          <w:rStyle w:val="Textoennegrita"/>
          <w:rFonts w:ascii="Century Gothic" w:hAnsi="Century Gothic"/>
          <w:b w:val="0"/>
          <w:bCs w:val="0"/>
          <w:sz w:val="22"/>
          <w:szCs w:val="22"/>
        </w:rPr>
        <w:t xml:space="preserve"> garantía de seriedad de la oferta, es pertinente señalar que el a</w:t>
      </w:r>
      <w:r w:rsidR="00A50C3C" w:rsidRPr="00855072">
        <w:rPr>
          <w:rStyle w:val="Textoennegrita"/>
          <w:rFonts w:ascii="Century Gothic" w:hAnsi="Century Gothic"/>
          <w:b w:val="0"/>
          <w:bCs w:val="0"/>
          <w:sz w:val="22"/>
          <w:szCs w:val="22"/>
        </w:rPr>
        <w:t xml:space="preserve">rtículo 2.2.1.2.1.5.5. </w:t>
      </w:r>
      <w:r w:rsidR="00674C6F">
        <w:rPr>
          <w:rStyle w:val="Textoennegrita"/>
          <w:rFonts w:ascii="Century Gothic" w:hAnsi="Century Gothic"/>
          <w:b w:val="0"/>
          <w:bCs w:val="0"/>
          <w:sz w:val="22"/>
          <w:szCs w:val="22"/>
        </w:rPr>
        <w:t xml:space="preserve">del Decreto 1082 de 2015, indica que la Entidad Estatal es </w:t>
      </w:r>
      <w:r w:rsidR="00A50C3C" w:rsidRPr="00B27520">
        <w:rPr>
          <w:rFonts w:ascii="Century Gothic" w:hAnsi="Century Gothic"/>
          <w:sz w:val="22"/>
          <w:szCs w:val="22"/>
        </w:rPr>
        <w:t>libre de exigir o no garantías en el proceso de selección de mínima cuantía y en la adquisición de "grandes almacenes".</w:t>
      </w:r>
    </w:p>
    <w:p w14:paraId="4CF7EE8F" w14:textId="55623343" w:rsidR="00A50C3C" w:rsidRPr="00A466A7" w:rsidRDefault="00393920" w:rsidP="00FC019E">
      <w:pPr>
        <w:spacing w:line="276" w:lineRule="auto"/>
        <w:ind w:firstLine="709"/>
        <w:jc w:val="both"/>
        <w:rPr>
          <w:rFonts w:ascii="Century Gothic" w:eastAsia="Calibri" w:hAnsi="Century Gothic" w:cs="Arial"/>
          <w:color w:val="000000"/>
          <w:sz w:val="22"/>
          <w:szCs w:val="22"/>
          <w:lang w:eastAsia="es-ES_tradnl"/>
        </w:rPr>
      </w:pPr>
      <w:r w:rsidRPr="00B27520">
        <w:rPr>
          <w:rFonts w:ascii="Century Gothic" w:hAnsi="Century Gothic" w:cs="Arial"/>
          <w:color w:val="000000" w:themeColor="text1"/>
          <w:sz w:val="22"/>
          <w:szCs w:val="22"/>
          <w:lang w:val="es-ES_tradnl"/>
        </w:rPr>
        <w:t>Conforme lo anterior</w:t>
      </w:r>
      <w:r>
        <w:rPr>
          <w:rFonts w:ascii="Century Gothic" w:hAnsi="Century Gothic" w:cs="Arial"/>
          <w:color w:val="000000" w:themeColor="text1"/>
          <w:sz w:val="22"/>
          <w:szCs w:val="22"/>
          <w:lang w:val="es-ES_tradnl"/>
        </w:rPr>
        <w:t>,</w:t>
      </w:r>
      <w:r w:rsidRPr="00B27520">
        <w:rPr>
          <w:rFonts w:ascii="Century Gothic" w:hAnsi="Century Gothic" w:cs="Arial"/>
          <w:color w:val="000000" w:themeColor="text1"/>
          <w:sz w:val="22"/>
          <w:szCs w:val="22"/>
          <w:lang w:val="es-ES_tradnl"/>
        </w:rPr>
        <w:t xml:space="preserve"> es posible concluir que, para establecer la obligación de la </w:t>
      </w:r>
      <w:r w:rsidRPr="00B27520">
        <w:rPr>
          <w:rFonts w:ascii="Century Gothic" w:hAnsi="Century Gothic" w:cs="Arial"/>
          <w:i/>
          <w:iCs/>
          <w:color w:val="000000" w:themeColor="text1"/>
          <w:sz w:val="22"/>
          <w:szCs w:val="22"/>
          <w:lang w:val="es-ES_tradnl"/>
        </w:rPr>
        <w:t>Entidad Estatal</w:t>
      </w:r>
      <w:r w:rsidRPr="00B27520">
        <w:rPr>
          <w:rFonts w:ascii="Century Gothic" w:hAnsi="Century Gothic" w:cs="Arial"/>
          <w:color w:val="000000" w:themeColor="text1"/>
          <w:sz w:val="22"/>
          <w:szCs w:val="22"/>
          <w:lang w:val="es-ES_tradnl"/>
        </w:rPr>
        <w:t xml:space="preserve"> de exigir a los oferentes la constitución de la garantía de seriedad de oferta es necesario determinar la modalidad de selección del contratista a emplear. </w:t>
      </w:r>
      <w:r>
        <w:rPr>
          <w:rFonts w:ascii="Century Gothic" w:hAnsi="Century Gothic" w:cs="Arial"/>
          <w:color w:val="000000" w:themeColor="text1"/>
          <w:sz w:val="22"/>
          <w:szCs w:val="22"/>
          <w:lang w:val="es-ES_tradnl"/>
        </w:rPr>
        <w:t>En los p</w:t>
      </w:r>
      <w:r w:rsidRPr="00B27520">
        <w:rPr>
          <w:rFonts w:ascii="Century Gothic" w:hAnsi="Century Gothic" w:cs="Arial"/>
          <w:color w:val="000000" w:themeColor="text1"/>
          <w:sz w:val="22"/>
          <w:szCs w:val="22"/>
          <w:lang w:val="es-ES_tradnl"/>
        </w:rPr>
        <w:t>roceso</w:t>
      </w:r>
      <w:r>
        <w:rPr>
          <w:rFonts w:ascii="Century Gothic" w:hAnsi="Century Gothic" w:cs="Arial"/>
          <w:color w:val="000000" w:themeColor="text1"/>
          <w:sz w:val="22"/>
          <w:szCs w:val="22"/>
          <w:lang w:val="es-ES_tradnl"/>
        </w:rPr>
        <w:t>s</w:t>
      </w:r>
      <w:r w:rsidRPr="00B27520">
        <w:rPr>
          <w:rFonts w:ascii="Century Gothic" w:hAnsi="Century Gothic" w:cs="Arial"/>
          <w:color w:val="000000" w:themeColor="text1"/>
          <w:sz w:val="22"/>
          <w:szCs w:val="22"/>
          <w:lang w:val="es-ES_tradnl"/>
        </w:rPr>
        <w:t xml:space="preserve"> de </w:t>
      </w:r>
      <w:r>
        <w:rPr>
          <w:rFonts w:ascii="Century Gothic" w:hAnsi="Century Gothic" w:cs="Arial"/>
          <w:color w:val="000000" w:themeColor="text1"/>
          <w:sz w:val="22"/>
          <w:szCs w:val="22"/>
          <w:lang w:val="es-ES_tradnl"/>
        </w:rPr>
        <w:t>c</w:t>
      </w:r>
      <w:r w:rsidRPr="00B27520">
        <w:rPr>
          <w:rFonts w:ascii="Century Gothic" w:hAnsi="Century Gothic" w:cs="Arial"/>
          <w:color w:val="000000" w:themeColor="text1"/>
          <w:sz w:val="22"/>
          <w:szCs w:val="22"/>
          <w:lang w:val="es-ES_tradnl"/>
        </w:rPr>
        <w:t xml:space="preserve">ontratación </w:t>
      </w:r>
      <w:r>
        <w:rPr>
          <w:rFonts w:ascii="Century Gothic" w:hAnsi="Century Gothic" w:cs="Arial"/>
          <w:color w:val="000000" w:themeColor="text1"/>
          <w:sz w:val="22"/>
          <w:szCs w:val="22"/>
          <w:lang w:val="es-ES_tradnl"/>
        </w:rPr>
        <w:t xml:space="preserve">que </w:t>
      </w:r>
      <w:r w:rsidRPr="00B27520">
        <w:rPr>
          <w:rFonts w:ascii="Century Gothic" w:hAnsi="Century Gothic" w:cs="Arial"/>
          <w:color w:val="000000" w:themeColor="text1"/>
          <w:sz w:val="22"/>
          <w:szCs w:val="22"/>
          <w:lang w:val="es-ES_tradnl"/>
        </w:rPr>
        <w:t>se adelante</w:t>
      </w:r>
      <w:r w:rsidR="00F26819">
        <w:rPr>
          <w:rFonts w:ascii="Century Gothic" w:hAnsi="Century Gothic" w:cs="Arial"/>
          <w:color w:val="000000" w:themeColor="text1"/>
          <w:sz w:val="22"/>
          <w:szCs w:val="22"/>
          <w:lang w:val="es-ES_tradnl"/>
        </w:rPr>
        <w:t>n</w:t>
      </w:r>
      <w:r w:rsidRPr="00B27520">
        <w:rPr>
          <w:rFonts w:ascii="Century Gothic" w:hAnsi="Century Gothic" w:cs="Arial"/>
          <w:color w:val="000000" w:themeColor="text1"/>
          <w:sz w:val="22"/>
          <w:szCs w:val="22"/>
          <w:lang w:val="es-ES_tradnl"/>
        </w:rPr>
        <w:t xml:space="preserve"> mediante la modalidad de mínima cuantía, la </w:t>
      </w:r>
      <w:r w:rsidRPr="00B27520">
        <w:rPr>
          <w:rFonts w:ascii="Century Gothic" w:hAnsi="Century Gothic" w:cs="Arial"/>
          <w:i/>
          <w:iCs/>
          <w:color w:val="000000" w:themeColor="text1"/>
          <w:sz w:val="22"/>
          <w:szCs w:val="22"/>
          <w:lang w:val="es-ES_tradnl"/>
        </w:rPr>
        <w:t>Entidad Estatal</w:t>
      </w:r>
      <w:r w:rsidRPr="00B27520">
        <w:rPr>
          <w:rFonts w:ascii="Century Gothic" w:hAnsi="Century Gothic" w:cs="Arial"/>
          <w:color w:val="000000" w:themeColor="text1"/>
          <w:sz w:val="22"/>
          <w:szCs w:val="22"/>
          <w:lang w:val="es-ES_tradnl"/>
        </w:rPr>
        <w:t xml:space="preserve"> deberá justificar la exigencia o no de la garantía de seriedad de oferta en el estudio previo o documento equivalente. </w:t>
      </w:r>
    </w:p>
    <w:p w14:paraId="25944615" w14:textId="77777777" w:rsidR="00AA24D4" w:rsidRPr="00A466A7" w:rsidRDefault="00AA24D4" w:rsidP="00AA24D4">
      <w:pPr>
        <w:tabs>
          <w:tab w:val="left" w:pos="709"/>
        </w:tabs>
        <w:spacing w:line="276" w:lineRule="auto"/>
        <w:jc w:val="both"/>
        <w:rPr>
          <w:rFonts w:ascii="Century Gothic" w:eastAsia="Calibri" w:hAnsi="Century Gothic" w:cs="Arial"/>
          <w:b/>
          <w:bCs/>
          <w:sz w:val="22"/>
          <w:szCs w:val="22"/>
        </w:rPr>
      </w:pPr>
    </w:p>
    <w:p w14:paraId="44515245" w14:textId="4D278727" w:rsidR="00AA24D4" w:rsidRPr="007F2E6C" w:rsidRDefault="00A3669F" w:rsidP="000F27FB">
      <w:pPr>
        <w:tabs>
          <w:tab w:val="left" w:pos="709"/>
        </w:tabs>
        <w:spacing w:line="276" w:lineRule="auto"/>
        <w:jc w:val="both"/>
        <w:rPr>
          <w:rFonts w:ascii="Century Gothic" w:eastAsia="Calibri" w:hAnsi="Century Gothic" w:cs="Arial"/>
          <w:b/>
          <w:sz w:val="22"/>
          <w:szCs w:val="22"/>
          <w:lang w:val="es-ES_tradnl"/>
        </w:rPr>
      </w:pPr>
      <w:r>
        <w:rPr>
          <w:rFonts w:ascii="Century Gothic" w:eastAsia="Calibri" w:hAnsi="Century Gothic" w:cs="Arial"/>
          <w:b/>
          <w:sz w:val="22"/>
          <w:szCs w:val="22"/>
          <w:lang w:val="es-ES_tradnl"/>
        </w:rPr>
        <w:t xml:space="preserve">3. </w:t>
      </w:r>
      <w:r w:rsidR="00AA24D4" w:rsidRPr="000F27FB">
        <w:rPr>
          <w:rFonts w:ascii="Century Gothic" w:eastAsia="Calibri" w:hAnsi="Century Gothic" w:cs="Arial"/>
          <w:b/>
          <w:sz w:val="22"/>
          <w:szCs w:val="22"/>
          <w:lang w:val="es-ES_tradnl"/>
        </w:rPr>
        <w:t>Respuesta</w:t>
      </w:r>
      <w:r>
        <w:rPr>
          <w:rFonts w:ascii="Century Gothic" w:eastAsia="Calibri" w:hAnsi="Century Gothic" w:cs="Arial"/>
          <w:b/>
          <w:sz w:val="22"/>
          <w:szCs w:val="22"/>
          <w:lang w:val="es-ES_tradnl"/>
        </w:rPr>
        <w:t>s</w:t>
      </w:r>
      <w:r w:rsidR="00AA24D4" w:rsidRPr="000F27FB">
        <w:rPr>
          <w:rFonts w:ascii="Century Gothic" w:eastAsia="Calibri" w:hAnsi="Century Gothic" w:cs="Arial"/>
          <w:b/>
          <w:sz w:val="22"/>
          <w:szCs w:val="22"/>
          <w:lang w:val="es-ES_tradnl"/>
        </w:rPr>
        <w:t>:</w:t>
      </w:r>
    </w:p>
    <w:p w14:paraId="4FCF353B" w14:textId="77777777" w:rsidR="00FC019E" w:rsidRPr="00FC019E" w:rsidRDefault="00FC019E" w:rsidP="00FC019E">
      <w:pPr>
        <w:pStyle w:val="Prrafodelista"/>
        <w:tabs>
          <w:tab w:val="left" w:pos="709"/>
        </w:tabs>
        <w:spacing w:line="276" w:lineRule="auto"/>
        <w:ind w:left="360"/>
        <w:jc w:val="both"/>
        <w:rPr>
          <w:rFonts w:ascii="Century Gothic" w:eastAsia="Calibri" w:hAnsi="Century Gothic" w:cs="Arial"/>
          <w:b/>
          <w:sz w:val="22"/>
          <w:szCs w:val="22"/>
          <w:lang w:val="es-ES_tradnl"/>
        </w:rPr>
      </w:pPr>
    </w:p>
    <w:p w14:paraId="668BFCBB" w14:textId="7C5177F1" w:rsidR="004C3EDB" w:rsidRPr="00F66371" w:rsidRDefault="004C3EDB" w:rsidP="000F27FB">
      <w:pPr>
        <w:spacing w:before="120" w:after="120" w:line="276" w:lineRule="auto"/>
        <w:jc w:val="both"/>
        <w:rPr>
          <w:rFonts w:ascii="Century Gothic" w:eastAsia="Calibri" w:hAnsi="Century Gothic" w:cs="Arial"/>
          <w:sz w:val="22"/>
          <w:szCs w:val="22"/>
        </w:rPr>
      </w:pPr>
      <w:r w:rsidRPr="00F66371">
        <w:rPr>
          <w:rFonts w:ascii="Century Gothic" w:eastAsia="Calibri" w:hAnsi="Century Gothic" w:cs="Arial"/>
          <w:sz w:val="22"/>
          <w:szCs w:val="22"/>
        </w:rPr>
        <w:t xml:space="preserve">Usted expone en su consulta, en los numerales 1 al 3, varias situaciones frente a las cuales solicita se aclare la validez de solicitar ciertos requisitos en el marco de un proceso de selección contractual, por parte de las </w:t>
      </w:r>
      <w:r w:rsidR="00172DB8" w:rsidRPr="00F66371">
        <w:rPr>
          <w:rFonts w:ascii="Century Gothic" w:eastAsia="Calibri" w:hAnsi="Century Gothic" w:cs="Arial"/>
          <w:i/>
          <w:iCs/>
          <w:sz w:val="22"/>
          <w:szCs w:val="22"/>
        </w:rPr>
        <w:t>Entidad Estatal</w:t>
      </w:r>
      <w:r w:rsidRPr="00F66371">
        <w:rPr>
          <w:rFonts w:ascii="Century Gothic" w:eastAsia="Calibri" w:hAnsi="Century Gothic" w:cs="Arial"/>
          <w:sz w:val="22"/>
          <w:szCs w:val="22"/>
        </w:rPr>
        <w:t xml:space="preserve"> como requisitos habilitantes. De igual forma, en torno a la configuración de los requisitos habilitantes pregunta en el numeral 6 de su consulta, si es potestativo de una </w:t>
      </w:r>
      <w:r w:rsidR="00172DB8" w:rsidRPr="00F66371">
        <w:rPr>
          <w:rFonts w:ascii="Century Gothic" w:eastAsia="Calibri" w:hAnsi="Century Gothic" w:cs="Arial"/>
          <w:i/>
          <w:iCs/>
          <w:sz w:val="22"/>
          <w:szCs w:val="22"/>
        </w:rPr>
        <w:t>Entidad Estatal</w:t>
      </w:r>
      <w:r w:rsidRPr="00F66371">
        <w:rPr>
          <w:rFonts w:ascii="Century Gothic" w:eastAsia="Calibri" w:hAnsi="Century Gothic" w:cs="Arial"/>
          <w:sz w:val="22"/>
          <w:szCs w:val="22"/>
        </w:rPr>
        <w:t>, exigir o no capital de trabajo y unos indicadores mínimos respecto de la capacidad financiera y organizacional.</w:t>
      </w:r>
    </w:p>
    <w:p w14:paraId="03EC64BC" w14:textId="6FDCBB01" w:rsidR="00795124" w:rsidRPr="00F66371" w:rsidRDefault="00DE7896" w:rsidP="000F27FB">
      <w:pPr>
        <w:spacing w:before="120" w:after="120" w:line="276" w:lineRule="auto"/>
        <w:ind w:firstLine="708"/>
        <w:jc w:val="both"/>
        <w:rPr>
          <w:rFonts w:ascii="Century Gothic" w:hAnsi="Century Gothic" w:cs="Arial"/>
          <w:color w:val="000000"/>
          <w:sz w:val="22"/>
          <w:szCs w:val="22"/>
          <w:bdr w:val="none" w:sz="0" w:space="0" w:color="auto" w:frame="1"/>
        </w:rPr>
      </w:pPr>
      <w:r w:rsidRPr="00F66371">
        <w:rPr>
          <w:rFonts w:ascii="Century Gothic" w:hAnsi="Century Gothic" w:cs="Arial"/>
          <w:sz w:val="22"/>
          <w:szCs w:val="22"/>
        </w:rPr>
        <w:t xml:space="preserve">Al respecto, </w:t>
      </w:r>
      <w:r w:rsidR="00F66371" w:rsidRPr="00F66371">
        <w:rPr>
          <w:rFonts w:ascii="Century Gothic" w:hAnsi="Century Gothic" w:cs="Arial"/>
          <w:sz w:val="22"/>
          <w:szCs w:val="22"/>
        </w:rPr>
        <w:t>es importante resaltar que, c</w:t>
      </w:r>
      <w:r w:rsidR="00795124" w:rsidRPr="00F66371">
        <w:rPr>
          <w:rFonts w:ascii="Century Gothic" w:hAnsi="Century Gothic" w:cs="Arial"/>
          <w:sz w:val="22"/>
          <w:szCs w:val="22"/>
        </w:rPr>
        <w:t>onforme</w:t>
      </w:r>
      <w:r w:rsidR="00F66371" w:rsidRPr="00F66371">
        <w:rPr>
          <w:rFonts w:ascii="Century Gothic" w:hAnsi="Century Gothic" w:cs="Arial"/>
          <w:sz w:val="22"/>
          <w:szCs w:val="22"/>
        </w:rPr>
        <w:t xml:space="preserve"> a</w:t>
      </w:r>
      <w:r w:rsidR="00795124" w:rsidRPr="00F66371">
        <w:rPr>
          <w:rFonts w:ascii="Century Gothic" w:hAnsi="Century Gothic" w:cs="Arial"/>
          <w:sz w:val="22"/>
          <w:szCs w:val="22"/>
        </w:rPr>
        <w:t xml:space="preserve"> lo </w:t>
      </w:r>
      <w:r w:rsidR="00F66371">
        <w:rPr>
          <w:rFonts w:ascii="Century Gothic" w:hAnsi="Century Gothic" w:cs="Arial"/>
          <w:sz w:val="22"/>
          <w:szCs w:val="22"/>
        </w:rPr>
        <w:t xml:space="preserve">enunciado previamente, </w:t>
      </w:r>
      <w:r w:rsidR="00795124" w:rsidRPr="00F66371">
        <w:rPr>
          <w:rFonts w:ascii="Century Gothic" w:hAnsi="Century Gothic" w:cs="Arial"/>
          <w:color w:val="000000"/>
          <w:sz w:val="22"/>
          <w:szCs w:val="22"/>
          <w:bdr w:val="none" w:sz="0" w:space="0" w:color="auto" w:frame="1"/>
          <w:lang w:eastAsia="es-MX"/>
        </w:rPr>
        <w:t>en nuestro ordenamiento jurídico</w:t>
      </w:r>
      <w:r w:rsidR="00F66371">
        <w:rPr>
          <w:rFonts w:ascii="Century Gothic" w:hAnsi="Century Gothic" w:cs="Arial"/>
          <w:color w:val="000000"/>
          <w:sz w:val="22"/>
          <w:szCs w:val="22"/>
          <w:bdr w:val="none" w:sz="0" w:space="0" w:color="auto" w:frame="1"/>
          <w:lang w:eastAsia="es-MX"/>
        </w:rPr>
        <w:t xml:space="preserve"> </w:t>
      </w:r>
      <w:r w:rsidR="00F66371" w:rsidRPr="00F66371">
        <w:rPr>
          <w:rFonts w:ascii="Century Gothic" w:hAnsi="Century Gothic" w:cs="Arial"/>
          <w:color w:val="000000"/>
          <w:sz w:val="22"/>
          <w:szCs w:val="22"/>
          <w:bdr w:val="none" w:sz="0" w:space="0" w:color="auto" w:frame="1"/>
          <w:lang w:eastAsia="es-MX"/>
        </w:rPr>
        <w:t>no existe una configuración taxativa</w:t>
      </w:r>
      <w:r w:rsidR="008C7FF1">
        <w:rPr>
          <w:rFonts w:ascii="Century Gothic" w:hAnsi="Century Gothic" w:cs="Arial"/>
          <w:color w:val="000000"/>
          <w:sz w:val="22"/>
          <w:szCs w:val="22"/>
          <w:bdr w:val="none" w:sz="0" w:space="0" w:color="auto" w:frame="1"/>
          <w:lang w:eastAsia="es-MX"/>
        </w:rPr>
        <w:t xml:space="preserve"> de </w:t>
      </w:r>
      <w:r w:rsidR="00795124" w:rsidRPr="00F66371">
        <w:rPr>
          <w:rFonts w:ascii="Century Gothic" w:hAnsi="Century Gothic" w:cs="Arial"/>
          <w:color w:val="000000"/>
          <w:sz w:val="22"/>
          <w:szCs w:val="22"/>
          <w:bdr w:val="none" w:sz="0" w:space="0" w:color="auto" w:frame="1"/>
          <w:lang w:eastAsia="es-MX"/>
        </w:rPr>
        <w:t>los requisitos habilitantes en cada proceso contractual</w:t>
      </w:r>
      <w:r w:rsidR="00756EA7">
        <w:rPr>
          <w:rFonts w:ascii="Century Gothic" w:hAnsi="Century Gothic" w:cs="Arial"/>
          <w:color w:val="000000"/>
          <w:sz w:val="22"/>
          <w:szCs w:val="22"/>
          <w:bdr w:val="none" w:sz="0" w:space="0" w:color="auto" w:frame="1"/>
          <w:lang w:eastAsia="es-MX"/>
        </w:rPr>
        <w:t>.</w:t>
      </w:r>
      <w:r w:rsidR="00795124" w:rsidRPr="00F66371">
        <w:rPr>
          <w:rFonts w:ascii="Century Gothic" w:hAnsi="Century Gothic" w:cs="Arial"/>
          <w:color w:val="000000"/>
          <w:sz w:val="22"/>
          <w:szCs w:val="22"/>
          <w:bdr w:val="none" w:sz="0" w:space="0" w:color="auto" w:frame="1"/>
          <w:lang w:eastAsia="es-MX"/>
        </w:rPr>
        <w:t xml:space="preserve"> Por el contrario, </w:t>
      </w:r>
      <w:r w:rsidR="00795124" w:rsidRPr="00F66371">
        <w:rPr>
          <w:rFonts w:ascii="Century Gothic" w:hAnsi="Century Gothic" w:cs="Arial"/>
          <w:color w:val="000000"/>
          <w:sz w:val="22"/>
          <w:szCs w:val="22"/>
          <w:bdr w:val="none" w:sz="0" w:space="0" w:color="auto" w:frame="1"/>
          <w:lang w:eastAsia="es-MX"/>
        </w:rPr>
        <w:lastRenderedPageBreak/>
        <w:t xml:space="preserve">las entidades estatales, en ejercicio de su autonomía de la voluntad, deben decidir el contenido de los requisitos habilitantes que en cada caso o proceso de selección permitirán comprobar que los eventuales oferentes puedan estar habilitados para participar. En ese sentido, las entidades estatales podrán optar por aplicar los requisitos habilitantes señalados en el artículo 6 de la Ley 1150 de 2007, o si opta por aplicar requisitos adicionales a estos. En este último caso, la entidad deberá realizar directamente la verificación de la información relativa a la acreditación del correspondiente requisito adicional. </w:t>
      </w:r>
    </w:p>
    <w:p w14:paraId="71DB8A95" w14:textId="01FEFE44" w:rsidR="007971EC" w:rsidRDefault="00BA6C8C" w:rsidP="007971EC">
      <w:pPr>
        <w:spacing w:before="120" w:line="276" w:lineRule="auto"/>
        <w:ind w:firstLine="708"/>
        <w:jc w:val="both"/>
        <w:rPr>
          <w:rFonts w:ascii="Century Gothic" w:eastAsia="Calibri" w:hAnsi="Century Gothic" w:cs="Arial"/>
          <w:sz w:val="22"/>
          <w:szCs w:val="22"/>
        </w:rPr>
      </w:pPr>
      <w:r>
        <w:rPr>
          <w:rFonts w:ascii="Century Gothic" w:eastAsia="Calibri" w:hAnsi="Century Gothic" w:cs="Arial"/>
          <w:color w:val="000000" w:themeColor="text1"/>
          <w:sz w:val="22"/>
          <w:szCs w:val="22"/>
          <w:lang w:val="es-ES_tradnl"/>
        </w:rPr>
        <w:t>Sin embargo</w:t>
      </w:r>
      <w:r w:rsidR="00795124" w:rsidRPr="00BA6C8C">
        <w:rPr>
          <w:rFonts w:ascii="Century Gothic" w:eastAsia="Calibri" w:hAnsi="Century Gothic" w:cs="Arial"/>
          <w:color w:val="000000" w:themeColor="text1"/>
          <w:sz w:val="22"/>
          <w:szCs w:val="22"/>
          <w:lang w:val="es-ES_tradnl"/>
        </w:rPr>
        <w:t>, considerando la discrecionalidad para establecer requisitos habilitantes</w:t>
      </w:r>
      <w:r>
        <w:rPr>
          <w:rFonts w:ascii="Century Gothic" w:eastAsia="Calibri" w:hAnsi="Century Gothic" w:cs="Arial"/>
          <w:color w:val="000000" w:themeColor="text1"/>
          <w:sz w:val="22"/>
          <w:szCs w:val="22"/>
          <w:lang w:val="es-ES_tradnl"/>
        </w:rPr>
        <w:t xml:space="preserve"> con </w:t>
      </w:r>
      <w:r w:rsidR="00756429">
        <w:rPr>
          <w:rFonts w:ascii="Century Gothic" w:eastAsia="Calibri" w:hAnsi="Century Gothic" w:cs="Arial"/>
          <w:color w:val="000000" w:themeColor="text1"/>
          <w:sz w:val="22"/>
          <w:szCs w:val="22"/>
          <w:lang w:val="es-ES_tradnl"/>
        </w:rPr>
        <w:t>la</w:t>
      </w:r>
      <w:r>
        <w:rPr>
          <w:rFonts w:ascii="Century Gothic" w:eastAsia="Calibri" w:hAnsi="Century Gothic" w:cs="Arial"/>
          <w:color w:val="000000" w:themeColor="text1"/>
          <w:sz w:val="22"/>
          <w:szCs w:val="22"/>
          <w:lang w:val="es-ES_tradnl"/>
        </w:rPr>
        <w:t xml:space="preserve"> que cuentan las entidades estatales</w:t>
      </w:r>
      <w:r w:rsidR="00795124" w:rsidRPr="00BA6C8C">
        <w:rPr>
          <w:rFonts w:ascii="Century Gothic" w:eastAsia="Calibri" w:hAnsi="Century Gothic" w:cs="Arial"/>
          <w:color w:val="000000" w:themeColor="text1"/>
          <w:sz w:val="22"/>
          <w:szCs w:val="22"/>
          <w:lang w:val="es-ES_tradnl"/>
        </w:rPr>
        <w:t xml:space="preserve">, es necesario tener en cuenta que </w:t>
      </w:r>
      <w:r w:rsidR="00795124" w:rsidRPr="00BA6C8C">
        <w:rPr>
          <w:rFonts w:ascii="Century Gothic" w:eastAsia="Calibri" w:hAnsi="Century Gothic" w:cs="Arial"/>
          <w:sz w:val="22"/>
          <w:szCs w:val="22"/>
        </w:rPr>
        <w:t xml:space="preserve">el artículo 44 de la Ley 1437 de 2011 –aplicable en los procedimientos contractuales en virtud del artículo 77 de la Ley 80 de 1993– dispone que </w:t>
      </w:r>
      <w:r w:rsidR="003C0036" w:rsidRPr="00BA6C8C">
        <w:rPr>
          <w:rFonts w:ascii="Century Gothic" w:eastAsia="Calibri" w:hAnsi="Century Gothic" w:cs="Arial"/>
          <w:i/>
          <w:iCs/>
          <w:sz w:val="22"/>
          <w:szCs w:val="22"/>
        </w:rPr>
        <w:t>“</w:t>
      </w:r>
      <w:r w:rsidR="00795124" w:rsidRPr="00BA6C8C">
        <w:rPr>
          <w:rFonts w:ascii="Century Gothic" w:eastAsia="Calibri" w:hAnsi="Century Gothic" w:cs="Arial"/>
          <w:sz w:val="22"/>
          <w:szCs w:val="22"/>
        </w:rPr>
        <w:t>En la medida en que el contenido de una decisión de carácter general o particular sea discrecional, debe ser adecuada a los fines de la norma que la autoriza, y proporcional a los hechos que le sirven de causa</w:t>
      </w:r>
      <w:r w:rsidR="003C0036" w:rsidRPr="00BA6C8C">
        <w:rPr>
          <w:rFonts w:ascii="Century Gothic" w:eastAsia="Calibri" w:hAnsi="Century Gothic" w:cs="Arial"/>
          <w:i/>
          <w:iCs/>
          <w:sz w:val="22"/>
          <w:szCs w:val="22"/>
        </w:rPr>
        <w:t>”</w:t>
      </w:r>
      <w:r w:rsidR="00795124" w:rsidRPr="00BA6C8C">
        <w:rPr>
          <w:rFonts w:ascii="Century Gothic" w:eastAsia="Calibri" w:hAnsi="Century Gothic" w:cs="Arial"/>
          <w:sz w:val="22"/>
          <w:szCs w:val="22"/>
        </w:rPr>
        <w:t xml:space="preserve">. Para efectos de establecer requisitos habilitantes como </w:t>
      </w:r>
      <w:r>
        <w:rPr>
          <w:rFonts w:ascii="Century Gothic" w:eastAsia="Calibri" w:hAnsi="Century Gothic" w:cs="Arial"/>
          <w:sz w:val="22"/>
          <w:szCs w:val="22"/>
        </w:rPr>
        <w:t xml:space="preserve">los expuestos en su </w:t>
      </w:r>
      <w:r w:rsidR="00795124" w:rsidRPr="00BA6C8C">
        <w:rPr>
          <w:rFonts w:ascii="Century Gothic" w:eastAsia="Calibri" w:hAnsi="Century Gothic" w:cs="Arial"/>
          <w:sz w:val="22"/>
          <w:szCs w:val="22"/>
        </w:rPr>
        <w:t xml:space="preserve">consulta, </w:t>
      </w:r>
      <w:r w:rsidR="00EF2835">
        <w:rPr>
          <w:rFonts w:ascii="Century Gothic" w:eastAsia="Calibri" w:hAnsi="Century Gothic" w:cs="Arial"/>
          <w:sz w:val="22"/>
          <w:szCs w:val="22"/>
        </w:rPr>
        <w:t>le asiste a la Entidad Estatal la</w:t>
      </w:r>
      <w:r w:rsidR="00795124" w:rsidRPr="00BA6C8C">
        <w:rPr>
          <w:rFonts w:ascii="Century Gothic" w:eastAsia="Calibri" w:hAnsi="Century Gothic" w:cs="Arial"/>
          <w:sz w:val="22"/>
          <w:szCs w:val="22"/>
        </w:rPr>
        <w:t xml:space="preserve"> carga justificativa de </w:t>
      </w:r>
      <w:r w:rsidR="00EF2835">
        <w:rPr>
          <w:rFonts w:ascii="Century Gothic" w:eastAsia="Calibri" w:hAnsi="Century Gothic" w:cs="Arial"/>
          <w:sz w:val="22"/>
          <w:szCs w:val="22"/>
        </w:rPr>
        <w:t>su adopción</w:t>
      </w:r>
      <w:r w:rsidR="00795124" w:rsidRPr="00BA6C8C">
        <w:rPr>
          <w:rFonts w:ascii="Century Gothic" w:eastAsia="Calibri" w:hAnsi="Century Gothic" w:cs="Arial"/>
          <w:sz w:val="22"/>
          <w:szCs w:val="22"/>
        </w:rPr>
        <w:t xml:space="preserve"> en los estudios y documentos previos del proceso de selección.</w:t>
      </w:r>
    </w:p>
    <w:p w14:paraId="0505317F" w14:textId="4B10DF5E" w:rsidR="008A1D7D" w:rsidRPr="007971EC" w:rsidRDefault="00814A33" w:rsidP="007971EC">
      <w:pPr>
        <w:spacing w:before="120" w:line="276" w:lineRule="auto"/>
        <w:ind w:firstLine="708"/>
        <w:jc w:val="both"/>
        <w:rPr>
          <w:rFonts w:ascii="Century Gothic" w:eastAsia="Calibri" w:hAnsi="Century Gothic" w:cs="Arial"/>
          <w:sz w:val="22"/>
          <w:szCs w:val="22"/>
        </w:rPr>
      </w:pPr>
      <w:r>
        <w:rPr>
          <w:rFonts w:ascii="Century Gothic" w:hAnsi="Century Gothic" w:cs="Arial"/>
          <w:sz w:val="22"/>
          <w:szCs w:val="22"/>
        </w:rPr>
        <w:t>E</w:t>
      </w:r>
      <w:r w:rsidR="008A1D7D" w:rsidRPr="00F66371">
        <w:rPr>
          <w:rFonts w:ascii="Century Gothic" w:hAnsi="Century Gothic" w:cs="Arial"/>
          <w:sz w:val="22"/>
          <w:szCs w:val="22"/>
        </w:rPr>
        <w:t>s preciso señalar que el</w:t>
      </w:r>
      <w:r w:rsidR="008A1D7D" w:rsidRPr="00F66371">
        <w:rPr>
          <w:rFonts w:ascii="Century Gothic" w:hAnsi="Century Gothic" w:cs="Arial"/>
          <w:i/>
          <w:iCs/>
          <w:sz w:val="22"/>
          <w:szCs w:val="22"/>
        </w:rPr>
        <w:t xml:space="preserve"> </w:t>
      </w:r>
      <w:r w:rsidR="007971EC">
        <w:rPr>
          <w:rFonts w:ascii="Century Gothic" w:hAnsi="Century Gothic" w:cs="Arial"/>
          <w:i/>
          <w:iCs/>
          <w:sz w:val="22"/>
          <w:szCs w:val="22"/>
        </w:rPr>
        <w:t>“</w:t>
      </w:r>
      <w:r w:rsidR="008A1D7D" w:rsidRPr="00F66371">
        <w:rPr>
          <w:rFonts w:ascii="Century Gothic" w:eastAsia="Arial" w:hAnsi="Century Gothic" w:cs="Arial"/>
          <w:i/>
          <w:iCs/>
          <w:color w:val="000000"/>
          <w:sz w:val="22"/>
          <w:szCs w:val="22"/>
        </w:rPr>
        <w:t xml:space="preserve">Manual para determinar y verificar los requisitos habilitantes </w:t>
      </w:r>
      <w:r w:rsidR="008A1D7D" w:rsidRPr="007971EC">
        <w:rPr>
          <w:rFonts w:ascii="Century Gothic" w:eastAsia="Arial" w:hAnsi="Century Gothic" w:cs="Arial"/>
          <w:i/>
          <w:iCs/>
          <w:color w:val="000000"/>
          <w:sz w:val="22"/>
          <w:szCs w:val="22"/>
        </w:rPr>
        <w:t>en los Procesos de Contratación</w:t>
      </w:r>
      <w:r w:rsidR="007971EC">
        <w:rPr>
          <w:rFonts w:ascii="Century Gothic" w:eastAsia="Arial" w:hAnsi="Century Gothic" w:cs="Arial"/>
          <w:color w:val="000000"/>
          <w:sz w:val="22"/>
          <w:szCs w:val="22"/>
        </w:rPr>
        <w:t>”</w:t>
      </w:r>
      <w:r w:rsidR="008A1D7D" w:rsidRPr="00F66371">
        <w:rPr>
          <w:rFonts w:ascii="Century Gothic" w:eastAsia="Arial" w:hAnsi="Century Gothic" w:cs="Arial"/>
          <w:color w:val="000000"/>
          <w:sz w:val="22"/>
          <w:szCs w:val="22"/>
        </w:rPr>
        <w:t xml:space="preserve"> adoptado por esta Agencia, contiene recomendaciones para determinar los requisitos habilitantes en los Procesos de Contratación </w:t>
      </w:r>
      <w:r w:rsidR="00FE606C" w:rsidRPr="00F66371">
        <w:rPr>
          <w:rFonts w:ascii="Century Gothic" w:eastAsia="Arial" w:hAnsi="Century Gothic" w:cs="Arial"/>
          <w:color w:val="000000"/>
          <w:sz w:val="22"/>
          <w:szCs w:val="22"/>
        </w:rPr>
        <w:t>y,</w:t>
      </w:r>
      <w:r w:rsidR="008A1D7D" w:rsidRPr="00F66371">
        <w:rPr>
          <w:rFonts w:ascii="Century Gothic" w:eastAsia="Arial" w:hAnsi="Century Gothic" w:cs="Arial"/>
          <w:color w:val="000000"/>
          <w:sz w:val="22"/>
          <w:szCs w:val="22"/>
        </w:rPr>
        <w:t xml:space="preserve"> por ende, su contenido no es de obligatorio cumplimiento. </w:t>
      </w:r>
      <w:r w:rsidR="008A1D7D" w:rsidRPr="00F66371">
        <w:rPr>
          <w:rFonts w:ascii="Century Gothic" w:eastAsia="Arial" w:hAnsi="Century Gothic" w:cs="Arial"/>
          <w:color w:val="000000"/>
          <w:sz w:val="22"/>
          <w:szCs w:val="22"/>
          <w:lang w:val="es-ES_tradnl"/>
        </w:rPr>
        <w:t xml:space="preserve">De esta manera, les corresponde a las Entidades Estatales, durante la etapa de planeación del contrato estatal, estudiar y </w:t>
      </w:r>
      <w:r w:rsidR="008A1D7D" w:rsidRPr="00F66371">
        <w:rPr>
          <w:rFonts w:ascii="Century Gothic" w:eastAsia="Arial" w:hAnsi="Century Gothic" w:cs="Arial"/>
          <w:iCs/>
          <w:color w:val="000000"/>
          <w:sz w:val="22"/>
          <w:szCs w:val="22"/>
          <w:lang w:val="es-ES_tradnl"/>
        </w:rPr>
        <w:t>determinar</w:t>
      </w:r>
      <w:r w:rsidR="008A1D7D" w:rsidRPr="00F66371">
        <w:rPr>
          <w:rFonts w:ascii="Century Gothic" w:eastAsia="Arial" w:hAnsi="Century Gothic" w:cs="Arial"/>
          <w:color w:val="000000"/>
          <w:sz w:val="22"/>
          <w:szCs w:val="22"/>
          <w:lang w:val="es-ES_tradnl"/>
        </w:rPr>
        <w:t xml:space="preserve"> los requisitos habilitantes que establecerán en los pliegos de condiciones, los cuales deben fijarse de forma adecuada y proporcional, para lo cual </w:t>
      </w:r>
      <w:r w:rsidR="00FE606C">
        <w:rPr>
          <w:rFonts w:ascii="Century Gothic" w:eastAsia="Arial" w:hAnsi="Century Gothic" w:cs="Arial"/>
          <w:color w:val="000000"/>
          <w:sz w:val="22"/>
          <w:szCs w:val="22"/>
          <w:lang w:val="es-ES_tradnl"/>
        </w:rPr>
        <w:t>deberán tener en cuenta</w:t>
      </w:r>
      <w:r w:rsidR="008A1D7D" w:rsidRPr="00F66371">
        <w:rPr>
          <w:rFonts w:ascii="Century Gothic" w:eastAsia="Arial" w:hAnsi="Century Gothic" w:cs="Arial"/>
          <w:color w:val="000000"/>
          <w:sz w:val="22"/>
          <w:szCs w:val="22"/>
          <w:lang w:val="es-ES_tradnl"/>
        </w:rPr>
        <w:t xml:space="preserve"> la naturaleza, el valor del contrato, la forma de pago, los riesgos asociados al contrato, el plazo y la complejidad de ejecución del objeto. </w:t>
      </w:r>
    </w:p>
    <w:p w14:paraId="3348962D" w14:textId="601F46DB" w:rsidR="008A1D7D" w:rsidRPr="00F66371" w:rsidRDefault="00814A33" w:rsidP="008A1D7D">
      <w:pPr>
        <w:spacing w:before="120" w:line="276" w:lineRule="auto"/>
        <w:ind w:firstLine="708"/>
        <w:jc w:val="both"/>
        <w:rPr>
          <w:rFonts w:ascii="Century Gothic" w:eastAsia="Calibri" w:hAnsi="Century Gothic" w:cs="Arial"/>
          <w:sz w:val="22"/>
          <w:szCs w:val="22"/>
        </w:rPr>
      </w:pPr>
      <w:r>
        <w:rPr>
          <w:rFonts w:ascii="Century Gothic" w:eastAsia="Calibri" w:hAnsi="Century Gothic" w:cs="Arial"/>
          <w:sz w:val="22"/>
          <w:szCs w:val="22"/>
        </w:rPr>
        <w:t xml:space="preserve">Por su parte, </w:t>
      </w:r>
      <w:r w:rsidR="002A5047">
        <w:rPr>
          <w:rFonts w:ascii="Century Gothic" w:eastAsia="Calibri" w:hAnsi="Century Gothic" w:cs="Arial"/>
          <w:sz w:val="22"/>
          <w:szCs w:val="22"/>
        </w:rPr>
        <w:t>se aclar</w:t>
      </w:r>
      <w:r w:rsidR="009D04E9">
        <w:rPr>
          <w:rFonts w:ascii="Century Gothic" w:eastAsia="Calibri" w:hAnsi="Century Gothic" w:cs="Arial"/>
          <w:sz w:val="22"/>
          <w:szCs w:val="22"/>
        </w:rPr>
        <w:t xml:space="preserve">a </w:t>
      </w:r>
      <w:r w:rsidR="00674D70">
        <w:rPr>
          <w:rFonts w:ascii="Century Gothic" w:eastAsia="Calibri" w:hAnsi="Century Gothic" w:cs="Arial"/>
          <w:sz w:val="22"/>
          <w:szCs w:val="22"/>
        </w:rPr>
        <w:t>que,</w:t>
      </w:r>
      <w:r w:rsidR="009D04E9">
        <w:rPr>
          <w:rFonts w:ascii="Century Gothic" w:eastAsia="Calibri" w:hAnsi="Century Gothic" w:cs="Arial"/>
          <w:sz w:val="22"/>
          <w:szCs w:val="22"/>
        </w:rPr>
        <w:t xml:space="preserve"> </w:t>
      </w:r>
      <w:r w:rsidR="002A5047">
        <w:rPr>
          <w:rFonts w:ascii="Century Gothic" w:eastAsia="Calibri" w:hAnsi="Century Gothic" w:cs="Arial"/>
          <w:sz w:val="22"/>
          <w:szCs w:val="22"/>
        </w:rPr>
        <w:t>p</w:t>
      </w:r>
      <w:r w:rsidR="008A1D7D" w:rsidRPr="00F66371">
        <w:rPr>
          <w:rFonts w:ascii="Century Gothic" w:eastAsia="Calibri" w:hAnsi="Century Gothic" w:cs="Arial"/>
          <w:sz w:val="22"/>
          <w:szCs w:val="22"/>
        </w:rPr>
        <w:t xml:space="preserve">ara efectos de fijar los indicadores de capacidad financiera y organizacional, </w:t>
      </w:r>
      <w:r w:rsidR="005F5A8D">
        <w:rPr>
          <w:rFonts w:ascii="Century Gothic" w:eastAsia="Calibri" w:hAnsi="Century Gothic" w:cs="Arial"/>
          <w:sz w:val="22"/>
          <w:szCs w:val="22"/>
        </w:rPr>
        <w:t>en</w:t>
      </w:r>
      <w:r w:rsidR="008A1D7D" w:rsidRPr="00F66371">
        <w:rPr>
          <w:rFonts w:ascii="Century Gothic" w:eastAsia="Calibri" w:hAnsi="Century Gothic" w:cs="Arial"/>
          <w:sz w:val="22"/>
          <w:szCs w:val="22"/>
        </w:rPr>
        <w:t xml:space="preserve"> la sección VI del </w:t>
      </w:r>
      <w:r w:rsidR="009D04E9">
        <w:rPr>
          <w:rFonts w:ascii="Century Gothic" w:eastAsia="Calibri" w:hAnsi="Century Gothic" w:cs="Arial"/>
          <w:sz w:val="22"/>
          <w:szCs w:val="22"/>
        </w:rPr>
        <w:t xml:space="preserve">citado </w:t>
      </w:r>
      <w:r w:rsidR="008A1D7D" w:rsidRPr="00F66371">
        <w:rPr>
          <w:rFonts w:ascii="Century Gothic" w:eastAsia="Calibri" w:hAnsi="Century Gothic" w:cs="Arial"/>
          <w:sz w:val="22"/>
          <w:szCs w:val="22"/>
        </w:rPr>
        <w:t>Manual</w:t>
      </w:r>
      <w:r w:rsidR="009D04E9">
        <w:rPr>
          <w:rFonts w:ascii="Century Gothic" w:eastAsia="Calibri" w:hAnsi="Century Gothic" w:cs="Arial"/>
          <w:sz w:val="22"/>
          <w:szCs w:val="22"/>
        </w:rPr>
        <w:t xml:space="preserve"> se</w:t>
      </w:r>
      <w:r w:rsidR="008A1D7D" w:rsidRPr="00F66371">
        <w:rPr>
          <w:rFonts w:ascii="Century Gothic" w:eastAsia="Calibri" w:hAnsi="Century Gothic" w:cs="Arial"/>
          <w:sz w:val="22"/>
          <w:szCs w:val="22"/>
        </w:rPr>
        <w:t xml:space="preserve"> indica que la </w:t>
      </w:r>
      <w:r w:rsidR="00172DB8" w:rsidRPr="00F66371">
        <w:rPr>
          <w:rFonts w:ascii="Century Gothic" w:eastAsia="Calibri" w:hAnsi="Century Gothic" w:cs="Arial"/>
          <w:i/>
          <w:iCs/>
          <w:sz w:val="22"/>
          <w:szCs w:val="22"/>
        </w:rPr>
        <w:t>Entidad Estatal</w:t>
      </w:r>
      <w:r w:rsidR="008A1D7D" w:rsidRPr="00F66371">
        <w:rPr>
          <w:rFonts w:ascii="Century Gothic" w:eastAsia="Calibri" w:hAnsi="Century Gothic" w:cs="Arial"/>
          <w:sz w:val="22"/>
          <w:szCs w:val="22"/>
        </w:rPr>
        <w:t xml:space="preserve"> </w:t>
      </w:r>
      <w:r w:rsidR="003C0036" w:rsidRPr="00F66371">
        <w:rPr>
          <w:rFonts w:ascii="Century Gothic" w:eastAsia="Calibri" w:hAnsi="Century Gothic" w:cs="Arial"/>
          <w:i/>
          <w:iCs/>
          <w:sz w:val="22"/>
          <w:szCs w:val="22"/>
        </w:rPr>
        <w:t>“</w:t>
      </w:r>
      <w:r w:rsidR="008A1D7D" w:rsidRPr="00F66371">
        <w:rPr>
          <w:rFonts w:ascii="Century Gothic" w:eastAsia="Calibri" w:hAnsi="Century Gothic" w:cs="Arial"/>
          <w:i/>
          <w:iCs/>
          <w:sz w:val="22"/>
          <w:szCs w:val="22"/>
          <w:lang w:val="es-ES_tradnl"/>
        </w:rPr>
        <w:t>debe establecer el límite para los indicadores de capacidad financiera y organizacional como resultado del análisis de los criterios previstos en la sección I.B. y evitar hacerlo de manera mecánica, pues cada Proceso de Contratación tiene una naturaleza distinta y está asociado a Riesgos particulares</w:t>
      </w:r>
      <w:r w:rsidR="003C0036" w:rsidRPr="00F66371">
        <w:rPr>
          <w:rFonts w:ascii="Century Gothic" w:eastAsia="Calibri" w:hAnsi="Century Gothic" w:cs="Arial"/>
          <w:i/>
          <w:iCs/>
          <w:sz w:val="22"/>
          <w:szCs w:val="22"/>
        </w:rPr>
        <w:t>”</w:t>
      </w:r>
      <w:r w:rsidR="008A1D7D" w:rsidRPr="00F66371">
        <w:rPr>
          <w:rFonts w:ascii="Century Gothic" w:eastAsia="Calibri" w:hAnsi="Century Gothic" w:cs="Arial"/>
          <w:sz w:val="22"/>
          <w:szCs w:val="22"/>
          <w:lang w:val="es-ES_tradnl"/>
        </w:rPr>
        <w:t xml:space="preserve">. De esta manera, es deber de la entidad establecer en los pliegos de condiciones la forma en la cual se calcularán los indicadores de capacidad </w:t>
      </w:r>
      <w:r w:rsidR="008A1D7D" w:rsidRPr="00F66371">
        <w:rPr>
          <w:rFonts w:ascii="Century Gothic" w:eastAsia="Calibri" w:hAnsi="Century Gothic" w:cs="Arial"/>
          <w:sz w:val="22"/>
          <w:szCs w:val="22"/>
          <w:lang w:val="es-ES_tradnl"/>
        </w:rPr>
        <w:lastRenderedPageBreak/>
        <w:t>financiera y organizacional de los proponentes</w:t>
      </w:r>
      <w:r w:rsidR="009D04E9">
        <w:rPr>
          <w:rFonts w:ascii="Century Gothic" w:eastAsia="Calibri" w:hAnsi="Century Gothic" w:cs="Arial"/>
          <w:sz w:val="22"/>
          <w:szCs w:val="22"/>
          <w:lang w:val="es-ES_tradnl"/>
        </w:rPr>
        <w:t xml:space="preserve">, para lo cual puede optar por exigir capital de trabajo, </w:t>
      </w:r>
      <w:r w:rsidR="008A1D7D" w:rsidRPr="00F66371">
        <w:rPr>
          <w:rFonts w:ascii="Century Gothic" w:eastAsia="Calibri" w:hAnsi="Century Gothic" w:cs="Arial"/>
          <w:sz w:val="22"/>
          <w:szCs w:val="22"/>
          <w:lang w:val="es-ES_tradnl"/>
        </w:rPr>
        <w:t xml:space="preserve">sin perjuicio de utilizar opciones distintas, pues como se indicó, </w:t>
      </w:r>
      <w:r w:rsidR="00674D70">
        <w:rPr>
          <w:rFonts w:ascii="Century Gothic" w:eastAsia="Calibri" w:hAnsi="Century Gothic" w:cs="Arial"/>
          <w:sz w:val="22"/>
          <w:szCs w:val="22"/>
          <w:lang w:val="es-ES_tradnl"/>
        </w:rPr>
        <w:t>existe discrecionalidad en las entidades estatales para determinar sus requisitos habilitantes</w:t>
      </w:r>
      <w:r w:rsidR="008A1D7D" w:rsidRPr="00F66371">
        <w:rPr>
          <w:rFonts w:ascii="Century Gothic" w:eastAsia="Calibri" w:hAnsi="Century Gothic" w:cs="Arial"/>
          <w:sz w:val="22"/>
          <w:szCs w:val="22"/>
          <w:lang w:val="es-ES_tradnl"/>
        </w:rPr>
        <w:t xml:space="preserve">. </w:t>
      </w:r>
    </w:p>
    <w:p w14:paraId="35D96F9B" w14:textId="77777777" w:rsidR="005475AB" w:rsidRDefault="00770807" w:rsidP="005475AB">
      <w:pPr>
        <w:spacing w:before="120" w:line="276" w:lineRule="auto"/>
        <w:ind w:firstLine="709"/>
        <w:jc w:val="both"/>
        <w:rPr>
          <w:rFonts w:ascii="Century Gothic" w:eastAsia="Calibri" w:hAnsi="Century Gothic" w:cs="Arial"/>
          <w:color w:val="000000" w:themeColor="text1"/>
          <w:sz w:val="22"/>
          <w:szCs w:val="22"/>
          <w:lang w:val="es-ES_tradnl"/>
        </w:rPr>
      </w:pPr>
      <w:r w:rsidRPr="00F66371">
        <w:rPr>
          <w:rFonts w:ascii="Century Gothic" w:eastAsia="Calibri" w:hAnsi="Century Gothic" w:cs="Arial"/>
          <w:color w:val="000000" w:themeColor="text1"/>
          <w:sz w:val="22"/>
          <w:szCs w:val="22"/>
          <w:lang w:val="es-ES_tradnl"/>
        </w:rPr>
        <w:t xml:space="preserve">Ahora bien, respecto de los otros requisitos expuestos en el numeral 3 de la consulta, que a consideración del solicitando no acreditan ningún requisito habilitante, y por el contrario, pueden encasillarse en verificaciones que por disposición legal deben cumplir las empresas, como por ejemplo, el acreditar el cumplimiento del Sistema de Gestión de Seguridad y Salud en el Trabajo, esta Agencia ha indicado que las Entidades Estatales al momento de realizar sus Procesos de Contratación, podrán establecer reglas que les permitan conocer que el proponente a contratar cuenta con el cumplimiento de dicho requisito e incluso como obligaciones contractuales a cargo del contratista </w:t>
      </w:r>
      <w:r w:rsidR="003D46C0">
        <w:rPr>
          <w:rFonts w:ascii="Century Gothic" w:eastAsia="Calibri" w:hAnsi="Century Gothic" w:cs="Arial"/>
          <w:color w:val="000000" w:themeColor="text1"/>
          <w:sz w:val="22"/>
          <w:szCs w:val="22"/>
          <w:lang w:val="es-ES_tradnl"/>
        </w:rPr>
        <w:t>par</w:t>
      </w:r>
      <w:r w:rsidRPr="00F66371">
        <w:rPr>
          <w:rFonts w:ascii="Century Gothic" w:eastAsia="Calibri" w:hAnsi="Century Gothic" w:cs="Arial"/>
          <w:color w:val="000000" w:themeColor="text1"/>
          <w:sz w:val="22"/>
          <w:szCs w:val="22"/>
          <w:lang w:val="es-ES_tradnl"/>
        </w:rPr>
        <w:t>a verifica</w:t>
      </w:r>
      <w:r w:rsidR="003D46C0">
        <w:rPr>
          <w:rFonts w:ascii="Century Gothic" w:eastAsia="Calibri" w:hAnsi="Century Gothic" w:cs="Arial"/>
          <w:color w:val="000000" w:themeColor="text1"/>
          <w:sz w:val="22"/>
          <w:szCs w:val="22"/>
          <w:lang w:val="es-ES_tradnl"/>
        </w:rPr>
        <w:t>ción</w:t>
      </w:r>
      <w:r w:rsidRPr="00F66371">
        <w:rPr>
          <w:rFonts w:ascii="Century Gothic" w:eastAsia="Calibri" w:hAnsi="Century Gothic" w:cs="Arial"/>
          <w:color w:val="000000" w:themeColor="text1"/>
          <w:sz w:val="22"/>
          <w:szCs w:val="22"/>
          <w:lang w:val="es-ES_tradnl"/>
        </w:rPr>
        <w:t xml:space="preserve"> por </w:t>
      </w:r>
      <w:r w:rsidR="003D46C0">
        <w:rPr>
          <w:rFonts w:ascii="Century Gothic" w:eastAsia="Calibri" w:hAnsi="Century Gothic" w:cs="Arial"/>
          <w:color w:val="000000" w:themeColor="text1"/>
          <w:sz w:val="22"/>
          <w:szCs w:val="22"/>
          <w:lang w:val="es-ES_tradnl"/>
        </w:rPr>
        <w:t>parte d</w:t>
      </w:r>
      <w:r w:rsidRPr="00F66371">
        <w:rPr>
          <w:rFonts w:ascii="Century Gothic" w:eastAsia="Calibri" w:hAnsi="Century Gothic" w:cs="Arial"/>
          <w:color w:val="000000" w:themeColor="text1"/>
          <w:sz w:val="22"/>
          <w:szCs w:val="22"/>
          <w:lang w:val="es-ES_tradnl"/>
        </w:rPr>
        <w:t xml:space="preserve">el supervisor o interventor del contrato, pero en todo caso, se recomienda no disponer dicho requisito a título de habilitante, dado que con él no se relaciona o acredita ningún criterio de capacidad del proponente para ejecutar el contrato.  </w:t>
      </w:r>
    </w:p>
    <w:p w14:paraId="5C8C28DE" w14:textId="77777777" w:rsidR="005475AB" w:rsidRDefault="00202BDA" w:rsidP="005475AB">
      <w:pPr>
        <w:spacing w:before="120" w:line="276" w:lineRule="auto"/>
        <w:ind w:firstLine="709"/>
        <w:jc w:val="both"/>
        <w:rPr>
          <w:rFonts w:ascii="Century Gothic" w:eastAsia="Calibri" w:hAnsi="Century Gothic" w:cs="Arial"/>
          <w:color w:val="000000" w:themeColor="text1"/>
          <w:sz w:val="22"/>
          <w:szCs w:val="22"/>
        </w:rPr>
      </w:pPr>
      <w:r>
        <w:rPr>
          <w:rFonts w:ascii="Century Gothic" w:eastAsia="Calibri" w:hAnsi="Century Gothic" w:cs="Arial"/>
          <w:sz w:val="22"/>
          <w:szCs w:val="22"/>
        </w:rPr>
        <w:t xml:space="preserve">En segundo lugar, </w:t>
      </w:r>
      <w:r w:rsidR="001D0F7F">
        <w:rPr>
          <w:rFonts w:ascii="Century Gothic" w:eastAsia="Calibri" w:hAnsi="Century Gothic" w:cs="Arial"/>
          <w:sz w:val="22"/>
          <w:szCs w:val="22"/>
        </w:rPr>
        <w:t xml:space="preserve">Usted </w:t>
      </w:r>
      <w:r w:rsidR="008449EB">
        <w:rPr>
          <w:rFonts w:ascii="Century Gothic" w:eastAsia="Calibri" w:hAnsi="Century Gothic" w:cs="Arial"/>
          <w:sz w:val="22"/>
          <w:szCs w:val="22"/>
        </w:rPr>
        <w:t xml:space="preserve">pregunta </w:t>
      </w:r>
      <w:r w:rsidR="001D0F7F">
        <w:rPr>
          <w:rFonts w:ascii="Century Gothic" w:eastAsia="Calibri" w:hAnsi="Century Gothic" w:cs="Arial"/>
          <w:sz w:val="22"/>
          <w:szCs w:val="22"/>
        </w:rPr>
        <w:t xml:space="preserve">en el </w:t>
      </w:r>
      <w:r w:rsidR="004C3EDB" w:rsidRPr="00202BDA">
        <w:rPr>
          <w:rFonts w:ascii="Century Gothic" w:eastAsia="Calibri" w:hAnsi="Century Gothic" w:cs="Arial"/>
          <w:sz w:val="22"/>
          <w:szCs w:val="22"/>
        </w:rPr>
        <w:t xml:space="preserve">numeral 4 de su consulta: </w:t>
      </w:r>
      <w:r w:rsidR="004C3EDB" w:rsidRPr="00202BDA">
        <w:rPr>
          <w:rFonts w:ascii="Century Gothic" w:eastAsia="Calibri" w:hAnsi="Century Gothic" w:cs="Arial"/>
          <w:i/>
          <w:iCs/>
          <w:sz w:val="22"/>
          <w:szCs w:val="22"/>
        </w:rPr>
        <w:t>“¿cómo se puede hacer extensiva esta regla de la validez de la experiencia de socios y accionistas incluso después de los tres años para el caso de los procesos que el RUP no es exigible?” (sic).</w:t>
      </w:r>
    </w:p>
    <w:p w14:paraId="3CDFB46F" w14:textId="2E6D3592" w:rsidR="004B032F" w:rsidRDefault="005475AB" w:rsidP="004B032F">
      <w:pPr>
        <w:spacing w:before="120" w:line="276" w:lineRule="auto"/>
        <w:ind w:firstLine="709"/>
        <w:jc w:val="both"/>
        <w:rPr>
          <w:rFonts w:ascii="Century Gothic" w:eastAsia="Calibri" w:hAnsi="Century Gothic" w:cs="Arial"/>
          <w:color w:val="000000" w:themeColor="text1"/>
          <w:sz w:val="22"/>
          <w:szCs w:val="22"/>
          <w:lang w:val="es-ES_tradnl"/>
        </w:rPr>
      </w:pPr>
      <w:r>
        <w:rPr>
          <w:rFonts w:ascii="Century Gothic" w:eastAsia="Calibri" w:hAnsi="Century Gothic" w:cs="Arial"/>
          <w:color w:val="000000" w:themeColor="text1"/>
          <w:sz w:val="22"/>
          <w:szCs w:val="22"/>
        </w:rPr>
        <w:t>Para dar respuesta a dicho interrogante,</w:t>
      </w:r>
      <w:r w:rsidR="007A2B6A">
        <w:rPr>
          <w:rFonts w:ascii="Century Gothic" w:eastAsia="Calibri" w:hAnsi="Century Gothic" w:cs="Arial"/>
          <w:sz w:val="22"/>
          <w:szCs w:val="22"/>
        </w:rPr>
        <w:t xml:space="preserve"> se concluye que</w:t>
      </w:r>
      <w:r>
        <w:rPr>
          <w:rFonts w:ascii="Century Gothic" w:eastAsia="Calibri" w:hAnsi="Century Gothic" w:cs="Arial"/>
          <w:sz w:val="22"/>
          <w:szCs w:val="22"/>
        </w:rPr>
        <w:t xml:space="preserve"> en los procesos de contratación que no es exigible ni obligatoria la presentación del RUP para acreditar requisitos habilitantes, deberán los proponentes aportar su RUP, además de los otros requisitos establecidos en el pliego de condiciones o invitación </w:t>
      </w:r>
      <w:r w:rsidR="007A2B6A">
        <w:rPr>
          <w:rFonts w:ascii="Century Gothic" w:eastAsia="Calibri" w:hAnsi="Century Gothic" w:cs="Arial"/>
          <w:sz w:val="22"/>
          <w:szCs w:val="22"/>
        </w:rPr>
        <w:t xml:space="preserve">pública </w:t>
      </w:r>
      <w:r>
        <w:rPr>
          <w:rFonts w:ascii="Century Gothic" w:eastAsia="Calibri" w:hAnsi="Century Gothic" w:cs="Arial"/>
          <w:sz w:val="22"/>
          <w:szCs w:val="22"/>
        </w:rPr>
        <w:t xml:space="preserve">para acreditar </w:t>
      </w:r>
      <w:r w:rsidR="007A2B6A">
        <w:rPr>
          <w:rFonts w:ascii="Century Gothic" w:eastAsia="Calibri" w:hAnsi="Century Gothic" w:cs="Arial"/>
          <w:sz w:val="22"/>
          <w:szCs w:val="22"/>
        </w:rPr>
        <w:t xml:space="preserve">los demás </w:t>
      </w:r>
      <w:r>
        <w:rPr>
          <w:rFonts w:ascii="Century Gothic" w:eastAsia="Calibri" w:hAnsi="Century Gothic" w:cs="Arial"/>
          <w:sz w:val="22"/>
          <w:szCs w:val="22"/>
        </w:rPr>
        <w:t xml:space="preserve">requisitos habilitantes, con el fin de que las Entidades Estatales puedan validar </w:t>
      </w:r>
      <w:r w:rsidRPr="00A466A7">
        <w:rPr>
          <w:rFonts w:ascii="Century Gothic" w:eastAsia="Calibri" w:hAnsi="Century Gothic" w:cs="Arial"/>
          <w:sz w:val="22"/>
          <w:szCs w:val="22"/>
        </w:rPr>
        <w:t xml:space="preserve">la </w:t>
      </w:r>
      <w:r>
        <w:rPr>
          <w:rFonts w:ascii="Century Gothic" w:eastAsia="Calibri" w:hAnsi="Century Gothic" w:cs="Arial"/>
          <w:sz w:val="22"/>
          <w:szCs w:val="22"/>
        </w:rPr>
        <w:t xml:space="preserve">experiencia de los </w:t>
      </w:r>
      <w:r w:rsidRPr="00A466A7">
        <w:rPr>
          <w:rFonts w:ascii="Century Gothic" w:hAnsi="Century Gothic" w:cs="Arial"/>
          <w:sz w:val="22"/>
          <w:szCs w:val="22"/>
        </w:rPr>
        <w:t>socios, accionistas o constituyentes</w:t>
      </w:r>
      <w:r>
        <w:rPr>
          <w:rFonts w:ascii="Century Gothic" w:hAnsi="Century Gothic" w:cs="Arial"/>
          <w:sz w:val="22"/>
          <w:szCs w:val="22"/>
        </w:rPr>
        <w:t xml:space="preserve"> a nombre de la</w:t>
      </w:r>
      <w:r>
        <w:rPr>
          <w:rFonts w:ascii="Century Gothic" w:eastAsia="Calibri" w:hAnsi="Century Gothic" w:cs="Arial"/>
          <w:sz w:val="22"/>
          <w:szCs w:val="22"/>
        </w:rPr>
        <w:t xml:space="preserve"> </w:t>
      </w:r>
      <w:r w:rsidRPr="00A466A7">
        <w:rPr>
          <w:rFonts w:ascii="Century Gothic" w:eastAsia="Calibri" w:hAnsi="Century Gothic" w:cs="Arial"/>
          <w:sz w:val="22"/>
          <w:szCs w:val="22"/>
        </w:rPr>
        <w:t>persona jurídica</w:t>
      </w:r>
      <w:r>
        <w:rPr>
          <w:rFonts w:ascii="Century Gothic" w:eastAsia="Calibri" w:hAnsi="Century Gothic" w:cs="Arial"/>
          <w:sz w:val="22"/>
          <w:szCs w:val="22"/>
        </w:rPr>
        <w:t>, qui</w:t>
      </w:r>
      <w:r w:rsidR="00F4530E">
        <w:rPr>
          <w:rFonts w:ascii="Century Gothic" w:eastAsia="Calibri" w:hAnsi="Century Gothic" w:cs="Arial"/>
          <w:sz w:val="22"/>
          <w:szCs w:val="22"/>
        </w:rPr>
        <w:t>e</w:t>
      </w:r>
      <w:r>
        <w:rPr>
          <w:rFonts w:ascii="Century Gothic" w:eastAsia="Calibri" w:hAnsi="Century Gothic" w:cs="Arial"/>
          <w:sz w:val="22"/>
          <w:szCs w:val="22"/>
        </w:rPr>
        <w:t xml:space="preserve">n por el </w:t>
      </w:r>
      <w:r w:rsidRPr="00A466A7">
        <w:rPr>
          <w:rFonts w:ascii="Century Gothic" w:eastAsia="Calibri" w:hAnsi="Century Gothic" w:cs="Arial"/>
          <w:sz w:val="22"/>
          <w:szCs w:val="22"/>
        </w:rPr>
        <w:t xml:space="preserve">efecto de la prerrogativa  </w:t>
      </w:r>
      <w:r>
        <w:rPr>
          <w:rFonts w:ascii="Century Gothic" w:eastAsia="Calibri" w:hAnsi="Century Gothic" w:cs="Arial"/>
          <w:sz w:val="22"/>
          <w:szCs w:val="22"/>
        </w:rPr>
        <w:t>d</w:t>
      </w:r>
      <w:r w:rsidRPr="00A466A7">
        <w:rPr>
          <w:rFonts w:ascii="Century Gothic" w:eastAsia="Calibri" w:hAnsi="Century Gothic" w:cs="Arial"/>
          <w:sz w:val="22"/>
          <w:szCs w:val="22"/>
        </w:rPr>
        <w:t>el numeral 2.5 del artículo 2.2.1.1.1.5.2 del Decreto 1082 de 2015</w:t>
      </w:r>
      <w:r>
        <w:rPr>
          <w:rFonts w:ascii="Century Gothic" w:eastAsia="Calibri" w:hAnsi="Century Gothic" w:cs="Arial"/>
          <w:sz w:val="22"/>
          <w:szCs w:val="22"/>
        </w:rPr>
        <w:t xml:space="preserve">, </w:t>
      </w:r>
      <w:r w:rsidRPr="00A466A7">
        <w:rPr>
          <w:rFonts w:ascii="Century Gothic" w:eastAsia="Calibri" w:hAnsi="Century Gothic" w:cs="Arial"/>
          <w:sz w:val="22"/>
          <w:szCs w:val="22"/>
        </w:rPr>
        <w:t xml:space="preserve">acredita </w:t>
      </w:r>
      <w:r>
        <w:rPr>
          <w:rFonts w:ascii="Century Gothic" w:eastAsia="Calibri" w:hAnsi="Century Gothic" w:cs="Arial"/>
          <w:sz w:val="22"/>
          <w:szCs w:val="22"/>
        </w:rPr>
        <w:t xml:space="preserve">esa experiencia </w:t>
      </w:r>
      <w:r w:rsidRPr="00A466A7">
        <w:rPr>
          <w:rFonts w:ascii="Century Gothic" w:eastAsia="Calibri" w:hAnsi="Century Gothic" w:cs="Arial"/>
          <w:sz w:val="22"/>
          <w:szCs w:val="22"/>
        </w:rPr>
        <w:t xml:space="preserve">como propia, </w:t>
      </w:r>
      <w:r>
        <w:rPr>
          <w:rFonts w:ascii="Century Gothic" w:eastAsia="Calibri" w:hAnsi="Century Gothic" w:cs="Arial"/>
          <w:sz w:val="22"/>
          <w:szCs w:val="22"/>
        </w:rPr>
        <w:t>siempre y cuando el RUP no se haya dejado de renovar a tiempo, pues en este caso, la norma estableció una tarifa legal probatoria en el RUP para la acreditación de dicha experiencia, sin distinción en su trámite frente a l</w:t>
      </w:r>
      <w:r w:rsidR="00F9688A">
        <w:rPr>
          <w:rFonts w:ascii="Century Gothic" w:eastAsia="Calibri" w:hAnsi="Century Gothic" w:cs="Arial"/>
          <w:sz w:val="22"/>
          <w:szCs w:val="22"/>
        </w:rPr>
        <w:t>as diferentes</w:t>
      </w:r>
      <w:r>
        <w:rPr>
          <w:rFonts w:ascii="Century Gothic" w:eastAsia="Calibri" w:hAnsi="Century Gothic" w:cs="Arial"/>
          <w:sz w:val="22"/>
          <w:szCs w:val="22"/>
        </w:rPr>
        <w:t xml:space="preserve"> modalidades de selección.</w:t>
      </w:r>
    </w:p>
    <w:p w14:paraId="71FB3698" w14:textId="10C9F22E" w:rsidR="004B032F" w:rsidRDefault="004C3EDB" w:rsidP="004B032F">
      <w:pPr>
        <w:spacing w:before="120" w:line="276" w:lineRule="auto"/>
        <w:ind w:firstLine="709"/>
        <w:jc w:val="both"/>
        <w:rPr>
          <w:rFonts w:ascii="Century Gothic" w:eastAsia="Calibri" w:hAnsi="Century Gothic" w:cs="Arial"/>
          <w:color w:val="000000" w:themeColor="text1"/>
          <w:sz w:val="22"/>
          <w:szCs w:val="22"/>
          <w:lang w:val="es-ES_tradnl"/>
        </w:rPr>
      </w:pPr>
      <w:r w:rsidRPr="004B032F">
        <w:rPr>
          <w:rFonts w:ascii="Century Gothic" w:eastAsia="Calibri" w:hAnsi="Century Gothic" w:cs="Arial"/>
          <w:sz w:val="22"/>
          <w:szCs w:val="22"/>
        </w:rPr>
        <w:t>Por último, pregunta en el numeral 5 de su consulta si para los proceso</w:t>
      </w:r>
      <w:r w:rsidR="00EA2BDE">
        <w:rPr>
          <w:rFonts w:ascii="Century Gothic" w:eastAsia="Calibri" w:hAnsi="Century Gothic" w:cs="Arial"/>
          <w:sz w:val="22"/>
          <w:szCs w:val="22"/>
        </w:rPr>
        <w:t>s</w:t>
      </w:r>
      <w:r w:rsidRPr="004B032F">
        <w:rPr>
          <w:rFonts w:ascii="Century Gothic" w:eastAsia="Calibri" w:hAnsi="Century Gothic" w:cs="Arial"/>
          <w:sz w:val="22"/>
          <w:szCs w:val="22"/>
        </w:rPr>
        <w:t xml:space="preserve"> de selección adelantados bajo la modalidad de mínima cuantía, es potestativo de la </w:t>
      </w:r>
      <w:r w:rsidR="00172DB8" w:rsidRPr="004B032F">
        <w:rPr>
          <w:rFonts w:ascii="Century Gothic" w:eastAsia="Calibri" w:hAnsi="Century Gothic" w:cs="Arial"/>
          <w:i/>
          <w:iCs/>
          <w:sz w:val="22"/>
          <w:szCs w:val="22"/>
        </w:rPr>
        <w:lastRenderedPageBreak/>
        <w:t>Entidad Estatal</w:t>
      </w:r>
      <w:r w:rsidRPr="004B032F">
        <w:rPr>
          <w:rFonts w:ascii="Century Gothic" w:eastAsia="Calibri" w:hAnsi="Century Gothic" w:cs="Arial"/>
          <w:sz w:val="22"/>
          <w:szCs w:val="22"/>
        </w:rPr>
        <w:t xml:space="preserve"> exigir garantía de seriedad de la oferta y limitar el proceso a </w:t>
      </w:r>
      <w:r w:rsidRPr="004B032F">
        <w:rPr>
          <w:rFonts w:ascii="Century Gothic" w:eastAsia="Calibri" w:hAnsi="Century Gothic" w:cs="Arial"/>
          <w:i/>
          <w:iCs/>
          <w:sz w:val="22"/>
          <w:szCs w:val="22"/>
        </w:rPr>
        <w:t xml:space="preserve">“PYMES y MIPYMES” </w:t>
      </w:r>
      <w:r w:rsidRPr="004B032F">
        <w:rPr>
          <w:rFonts w:ascii="Century Gothic" w:hAnsi="Century Gothic" w:cs="Arial"/>
          <w:i/>
          <w:iCs/>
          <w:sz w:val="22"/>
          <w:szCs w:val="22"/>
        </w:rPr>
        <w:t>(sic).</w:t>
      </w:r>
    </w:p>
    <w:p w14:paraId="6265E72B" w14:textId="6BEF159D" w:rsidR="00107909" w:rsidRDefault="00107909" w:rsidP="00107909">
      <w:pPr>
        <w:spacing w:before="120" w:line="276" w:lineRule="auto"/>
        <w:ind w:firstLine="709"/>
        <w:jc w:val="both"/>
        <w:rPr>
          <w:rFonts w:ascii="Century Gothic" w:eastAsia="Calibri" w:hAnsi="Century Gothic" w:cs="Arial"/>
          <w:color w:val="000000" w:themeColor="text1"/>
          <w:sz w:val="22"/>
          <w:szCs w:val="22"/>
          <w:lang w:val="es-ES_tradnl"/>
        </w:rPr>
      </w:pPr>
      <w:r>
        <w:rPr>
          <w:rFonts w:ascii="Century Gothic" w:eastAsia="Calibri" w:hAnsi="Century Gothic" w:cs="Arial"/>
          <w:color w:val="000000" w:themeColor="text1"/>
          <w:sz w:val="22"/>
          <w:szCs w:val="22"/>
          <w:lang w:val="es-ES_tradnl"/>
        </w:rPr>
        <w:t xml:space="preserve">Sobre el tema, se indicó que la </w:t>
      </w:r>
      <w:r w:rsidR="004B032F">
        <w:rPr>
          <w:rFonts w:ascii="Century Gothic" w:eastAsia="Calibri" w:hAnsi="Century Gothic" w:cs="Arial"/>
          <w:color w:val="000000"/>
          <w:sz w:val="22"/>
          <w:szCs w:val="22"/>
          <w:lang w:val="es-ES_tradnl" w:eastAsia="es-ES_tradnl"/>
        </w:rPr>
        <w:t>limitación a MiPyme de procesos de contratación de mínima cuantía no es potestativa de la Entidad Estatal, toda vez que si se cumplen con los presupuestos establecidos en el artículo 2.2.1.2.4.2.2. del Decreto 1082 de 2015, esto es que se presenten por lo menos dos (2) solicitudes de MiPymes colombianas de mínimo un (1) año de existencia, dentro del término establecido en la invitación para limitar la convocatoria a MiPyme colombianas, y el</w:t>
      </w:r>
      <w:r w:rsidR="004B032F" w:rsidRPr="00636E16">
        <w:rPr>
          <w:rFonts w:ascii="Century Gothic" w:eastAsia="Calibri" w:hAnsi="Century Gothic" w:cs="Arial"/>
          <w:color w:val="000000"/>
          <w:sz w:val="22"/>
          <w:szCs w:val="22"/>
          <w:lang w:val="es-ES_tradnl" w:eastAsia="es-ES_tradnl"/>
        </w:rPr>
        <w:t xml:space="preserve"> valor del Proceso de Contratación sea menor a ciento veinticinco mil dólares de los Estados Unidos de América (US$125.000), liquidados con la tasa de cambio que para el efecto determina el Ministerio de Comercio, Industria y Turismo</w:t>
      </w:r>
      <w:r w:rsidR="000A280A">
        <w:rPr>
          <w:rFonts w:ascii="Century Gothic" w:eastAsia="Calibri" w:hAnsi="Century Gothic" w:cs="Arial"/>
          <w:color w:val="000000"/>
          <w:sz w:val="22"/>
          <w:szCs w:val="22"/>
          <w:lang w:val="es-ES_tradnl" w:eastAsia="es-ES_tradnl"/>
        </w:rPr>
        <w:t>;</w:t>
      </w:r>
      <w:r w:rsidR="004B032F">
        <w:rPr>
          <w:rFonts w:ascii="Century Gothic" w:eastAsia="Calibri" w:hAnsi="Century Gothic" w:cs="Arial"/>
          <w:color w:val="000000"/>
          <w:sz w:val="22"/>
          <w:szCs w:val="22"/>
          <w:lang w:val="es-ES_tradnl" w:eastAsia="es-ES_tradnl"/>
        </w:rPr>
        <w:t xml:space="preserve"> la entidad Estatal estará obligada a limitar la participación de la invitación a MiPymes. </w:t>
      </w:r>
    </w:p>
    <w:p w14:paraId="49B4D8ED" w14:textId="09CD1C47" w:rsidR="004B032F" w:rsidRDefault="004B032F" w:rsidP="00107909">
      <w:pPr>
        <w:spacing w:before="120" w:line="276" w:lineRule="auto"/>
        <w:ind w:firstLine="709"/>
        <w:jc w:val="both"/>
        <w:rPr>
          <w:rFonts w:ascii="Century Gothic" w:hAnsi="Century Gothic"/>
          <w:sz w:val="22"/>
          <w:szCs w:val="22"/>
        </w:rPr>
      </w:pPr>
      <w:r w:rsidRPr="00855072">
        <w:rPr>
          <w:rStyle w:val="Textoennegrita"/>
          <w:rFonts w:ascii="Century Gothic" w:hAnsi="Century Gothic"/>
          <w:b w:val="0"/>
          <w:bCs w:val="0"/>
          <w:sz w:val="22"/>
          <w:szCs w:val="22"/>
        </w:rPr>
        <w:t>Po</w:t>
      </w:r>
      <w:r>
        <w:rPr>
          <w:rStyle w:val="Textoennegrita"/>
          <w:rFonts w:ascii="Century Gothic" w:hAnsi="Century Gothic"/>
          <w:b w:val="0"/>
          <w:bCs w:val="0"/>
          <w:sz w:val="22"/>
          <w:szCs w:val="22"/>
        </w:rPr>
        <w:t xml:space="preserve">r </w:t>
      </w:r>
      <w:r w:rsidR="00583371">
        <w:rPr>
          <w:rStyle w:val="Textoennegrita"/>
          <w:rFonts w:ascii="Century Gothic" w:hAnsi="Century Gothic"/>
          <w:b w:val="0"/>
          <w:bCs w:val="0"/>
          <w:sz w:val="22"/>
          <w:szCs w:val="22"/>
        </w:rPr>
        <w:t xml:space="preserve">el contrario, si </w:t>
      </w:r>
      <w:proofErr w:type="gramStart"/>
      <w:r w:rsidR="00583371">
        <w:rPr>
          <w:rStyle w:val="Textoennegrita"/>
          <w:rFonts w:ascii="Century Gothic" w:hAnsi="Century Gothic"/>
          <w:b w:val="0"/>
          <w:bCs w:val="0"/>
          <w:sz w:val="22"/>
          <w:szCs w:val="22"/>
        </w:rPr>
        <w:t>le</w:t>
      </w:r>
      <w:proofErr w:type="gramEnd"/>
      <w:r w:rsidR="00583371">
        <w:rPr>
          <w:rStyle w:val="Textoennegrita"/>
          <w:rFonts w:ascii="Century Gothic" w:hAnsi="Century Gothic"/>
          <w:b w:val="0"/>
          <w:bCs w:val="0"/>
          <w:sz w:val="22"/>
          <w:szCs w:val="22"/>
        </w:rPr>
        <w:t xml:space="preserve"> asiste potestad a las entidades</w:t>
      </w:r>
      <w:r w:rsidR="00A85166">
        <w:rPr>
          <w:rStyle w:val="Textoennegrita"/>
          <w:rFonts w:ascii="Century Gothic" w:hAnsi="Century Gothic"/>
          <w:b w:val="0"/>
          <w:bCs w:val="0"/>
          <w:sz w:val="22"/>
          <w:szCs w:val="22"/>
        </w:rPr>
        <w:t xml:space="preserve"> estatal</w:t>
      </w:r>
      <w:r w:rsidR="000A280A">
        <w:rPr>
          <w:rStyle w:val="Textoennegrita"/>
          <w:rFonts w:ascii="Century Gothic" w:hAnsi="Century Gothic"/>
          <w:b w:val="0"/>
          <w:bCs w:val="0"/>
          <w:sz w:val="22"/>
          <w:szCs w:val="22"/>
        </w:rPr>
        <w:t>es</w:t>
      </w:r>
      <w:r w:rsidR="00A85166">
        <w:rPr>
          <w:rStyle w:val="Textoennegrita"/>
          <w:rFonts w:ascii="Century Gothic" w:hAnsi="Century Gothic"/>
          <w:b w:val="0"/>
          <w:bCs w:val="0"/>
          <w:sz w:val="22"/>
          <w:szCs w:val="22"/>
        </w:rPr>
        <w:t xml:space="preserve"> de</w:t>
      </w:r>
      <w:r>
        <w:rPr>
          <w:rStyle w:val="Textoennegrita"/>
          <w:rFonts w:ascii="Century Gothic" w:hAnsi="Century Gothic"/>
          <w:b w:val="0"/>
          <w:bCs w:val="0"/>
          <w:sz w:val="22"/>
          <w:szCs w:val="22"/>
        </w:rPr>
        <w:t xml:space="preserve"> exigir </w:t>
      </w:r>
      <w:r w:rsidR="00A85166">
        <w:rPr>
          <w:rStyle w:val="Textoennegrita"/>
          <w:rFonts w:ascii="Century Gothic" w:hAnsi="Century Gothic"/>
          <w:b w:val="0"/>
          <w:bCs w:val="0"/>
          <w:sz w:val="22"/>
          <w:szCs w:val="22"/>
        </w:rPr>
        <w:t xml:space="preserve">o no </w:t>
      </w:r>
      <w:r>
        <w:rPr>
          <w:rStyle w:val="Textoennegrita"/>
          <w:rFonts w:ascii="Century Gothic" w:hAnsi="Century Gothic"/>
          <w:b w:val="0"/>
          <w:bCs w:val="0"/>
          <w:sz w:val="22"/>
          <w:szCs w:val="22"/>
        </w:rPr>
        <w:t xml:space="preserve">en los procesos de selección por mínima cuantía la garantía de seriedad de la oferta, </w:t>
      </w:r>
      <w:r w:rsidR="00A85166">
        <w:rPr>
          <w:rStyle w:val="Textoennegrita"/>
          <w:rFonts w:ascii="Century Gothic" w:hAnsi="Century Gothic"/>
          <w:b w:val="0"/>
          <w:bCs w:val="0"/>
          <w:sz w:val="22"/>
          <w:szCs w:val="22"/>
        </w:rPr>
        <w:t>pues en virtud del</w:t>
      </w:r>
      <w:r>
        <w:rPr>
          <w:rStyle w:val="Textoennegrita"/>
          <w:rFonts w:ascii="Century Gothic" w:hAnsi="Century Gothic"/>
          <w:b w:val="0"/>
          <w:bCs w:val="0"/>
          <w:sz w:val="22"/>
          <w:szCs w:val="22"/>
        </w:rPr>
        <w:t xml:space="preserve"> a</w:t>
      </w:r>
      <w:r w:rsidRPr="00855072">
        <w:rPr>
          <w:rStyle w:val="Textoennegrita"/>
          <w:rFonts w:ascii="Century Gothic" w:hAnsi="Century Gothic"/>
          <w:b w:val="0"/>
          <w:bCs w:val="0"/>
          <w:sz w:val="22"/>
          <w:szCs w:val="22"/>
        </w:rPr>
        <w:t xml:space="preserve">rtículo 2.2.1.2.1.5.5. </w:t>
      </w:r>
      <w:r>
        <w:rPr>
          <w:rStyle w:val="Textoennegrita"/>
          <w:rFonts w:ascii="Century Gothic" w:hAnsi="Century Gothic"/>
          <w:b w:val="0"/>
          <w:bCs w:val="0"/>
          <w:sz w:val="22"/>
          <w:szCs w:val="22"/>
        </w:rPr>
        <w:t xml:space="preserve">del Decreto 1082 de 2015, la Entidad Estatal es </w:t>
      </w:r>
      <w:r w:rsidRPr="00B27520">
        <w:rPr>
          <w:rFonts w:ascii="Century Gothic" w:hAnsi="Century Gothic"/>
          <w:sz w:val="22"/>
          <w:szCs w:val="22"/>
        </w:rPr>
        <w:t>libre de exigir o no garantías en el proceso de selección de mínima cuantía y en la adquisición de "grandes almacenes".</w:t>
      </w:r>
    </w:p>
    <w:p w14:paraId="26612B2B" w14:textId="77777777" w:rsidR="00A85166" w:rsidRDefault="00A85166" w:rsidP="00A85166">
      <w:pPr>
        <w:shd w:val="clear" w:color="auto" w:fill="FFFFFF" w:themeFill="background1"/>
        <w:spacing w:line="276" w:lineRule="auto"/>
        <w:jc w:val="both"/>
        <w:textAlignment w:val="baseline"/>
        <w:rPr>
          <w:rFonts w:ascii="Century Gothic" w:hAnsi="Century Gothic" w:cs="Arial"/>
          <w:color w:val="000000" w:themeColor="text1"/>
          <w:sz w:val="22"/>
          <w:szCs w:val="22"/>
          <w:lang w:val="es-ES_tradnl"/>
        </w:rPr>
      </w:pPr>
    </w:p>
    <w:p w14:paraId="28D9C144" w14:textId="77777777" w:rsidR="0051462B" w:rsidRDefault="0051462B" w:rsidP="0051462B">
      <w:pPr>
        <w:shd w:val="clear" w:color="auto" w:fill="FFFFFF" w:themeFill="background1"/>
        <w:spacing w:line="276" w:lineRule="auto"/>
        <w:jc w:val="both"/>
        <w:textAlignment w:val="baseline"/>
        <w:rPr>
          <w:rFonts w:ascii="Century Gothic" w:hAnsi="Century Gothic" w:cs="Arial"/>
          <w:color w:val="000000" w:themeColor="text1"/>
          <w:sz w:val="22"/>
          <w:szCs w:val="22"/>
          <w:lang w:eastAsia="es-MX"/>
        </w:rPr>
      </w:pPr>
    </w:p>
    <w:p w14:paraId="7647EAFB" w14:textId="5C32EDCD" w:rsidR="00AA24D4" w:rsidRPr="00F66371" w:rsidRDefault="00AA24D4" w:rsidP="000F27FB">
      <w:pPr>
        <w:shd w:val="clear" w:color="auto" w:fill="FFFFFF" w:themeFill="background1"/>
        <w:spacing w:line="276" w:lineRule="auto"/>
        <w:jc w:val="both"/>
        <w:textAlignment w:val="baseline"/>
        <w:rPr>
          <w:rFonts w:ascii="Century Gothic" w:hAnsi="Century Gothic" w:cs="Arial"/>
          <w:color w:val="000000" w:themeColor="text1"/>
          <w:sz w:val="22"/>
          <w:szCs w:val="22"/>
          <w:lang w:eastAsia="es-MX"/>
        </w:rPr>
      </w:pPr>
      <w:r w:rsidRPr="00F66371">
        <w:rPr>
          <w:rFonts w:ascii="Century Gothic" w:hAnsi="Century Gothic" w:cs="Arial"/>
          <w:color w:val="000000" w:themeColor="text1"/>
          <w:sz w:val="22"/>
          <w:szCs w:val="22"/>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00E9978" w14:textId="77777777" w:rsidR="00AA24D4" w:rsidRPr="00F66371" w:rsidRDefault="00AA24D4" w:rsidP="00AA24D4">
      <w:pPr>
        <w:spacing w:line="276" w:lineRule="auto"/>
        <w:contextualSpacing/>
        <w:jc w:val="both"/>
        <w:textAlignment w:val="baseline"/>
        <w:rPr>
          <w:rFonts w:ascii="Century Gothic" w:hAnsi="Century Gothic" w:cs="Arial"/>
          <w:sz w:val="22"/>
          <w:szCs w:val="22"/>
          <w:lang w:val="es-ES"/>
        </w:rPr>
      </w:pPr>
    </w:p>
    <w:p w14:paraId="0B2254DB" w14:textId="77777777" w:rsidR="00AA24D4" w:rsidRPr="00F66371" w:rsidRDefault="00AA24D4" w:rsidP="00AA24D4">
      <w:pPr>
        <w:spacing w:line="276" w:lineRule="auto"/>
        <w:contextualSpacing/>
        <w:jc w:val="both"/>
        <w:textAlignment w:val="baseline"/>
        <w:rPr>
          <w:rFonts w:ascii="Century Gothic" w:hAnsi="Century Gothic" w:cs="Arial"/>
          <w:sz w:val="22"/>
          <w:szCs w:val="22"/>
        </w:rPr>
      </w:pPr>
      <w:r w:rsidRPr="00F66371">
        <w:rPr>
          <w:rFonts w:ascii="Century Gothic" w:hAnsi="Century Gothic" w:cs="Arial"/>
          <w:sz w:val="22"/>
          <w:szCs w:val="22"/>
          <w:lang w:val="es-ES"/>
        </w:rPr>
        <w:t>Atentamente</w:t>
      </w:r>
      <w:r w:rsidRPr="00F66371">
        <w:rPr>
          <w:rFonts w:ascii="Century Gothic" w:hAnsi="Century Gothic" w:cs="Arial"/>
          <w:sz w:val="22"/>
          <w:szCs w:val="22"/>
          <w:lang w:val="es-MX"/>
        </w:rPr>
        <w:t>,</w:t>
      </w:r>
      <w:r w:rsidRPr="00F66371">
        <w:rPr>
          <w:rFonts w:ascii="Century Gothic" w:hAnsi="Century Gothic" w:cs="Arial"/>
          <w:sz w:val="22"/>
          <w:szCs w:val="22"/>
        </w:rPr>
        <w:t> </w:t>
      </w:r>
    </w:p>
    <w:p w14:paraId="3F1E1B3E" w14:textId="1E1E620C" w:rsidR="00AA24D4" w:rsidRPr="00F66371" w:rsidRDefault="00D06040" w:rsidP="00AA24D4">
      <w:pPr>
        <w:spacing w:line="276" w:lineRule="auto"/>
        <w:jc w:val="center"/>
        <w:textAlignment w:val="baseline"/>
        <w:rPr>
          <w:rFonts w:ascii="Century Gothic" w:hAnsi="Century Gothic" w:cs="Arial"/>
          <w:sz w:val="22"/>
          <w:szCs w:val="22"/>
        </w:rPr>
      </w:pPr>
      <w:r>
        <w:rPr>
          <w:noProof/>
        </w:rPr>
        <w:drawing>
          <wp:inline distT="0" distB="0" distL="0" distR="0" wp14:anchorId="0EA43A6F" wp14:editId="4D626028">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p w14:paraId="0107F085" w14:textId="77777777" w:rsidR="00AA24D4" w:rsidRPr="00F66371" w:rsidRDefault="00AA24D4" w:rsidP="00AA24D4">
      <w:pPr>
        <w:spacing w:line="276" w:lineRule="auto"/>
        <w:jc w:val="both"/>
        <w:textAlignment w:val="baseline"/>
        <w:rPr>
          <w:rFonts w:ascii="Century Gothic" w:hAnsi="Century Gothic" w:cs="Arial"/>
          <w:sz w:val="22"/>
          <w:szCs w:val="22"/>
        </w:rPr>
      </w:pPr>
      <w:r w:rsidRPr="00F66371">
        <w:rPr>
          <w:rFonts w:ascii="Century Gothic" w:hAnsi="Century Gothic" w:cs="Arial"/>
          <w:sz w:val="22"/>
          <w:szCs w:val="22"/>
        </w:rPr>
        <w:t> </w:t>
      </w:r>
    </w:p>
    <w:tbl>
      <w:tblPr>
        <w:tblW w:w="66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
        <w:gridCol w:w="5765"/>
      </w:tblGrid>
      <w:tr w:rsidR="00AA24D4" w:rsidRPr="00F66371" w14:paraId="02B5ACC1" w14:textId="77777777" w:rsidTr="007053E4">
        <w:trPr>
          <w:trHeight w:val="453"/>
        </w:trPr>
        <w:tc>
          <w:tcPr>
            <w:tcW w:w="896" w:type="dxa"/>
            <w:tcBorders>
              <w:top w:val="nil"/>
              <w:left w:val="nil"/>
              <w:bottom w:val="nil"/>
              <w:right w:val="nil"/>
            </w:tcBorders>
            <w:vAlign w:val="center"/>
            <w:hideMark/>
          </w:tcPr>
          <w:p w14:paraId="28A2CD60" w14:textId="77777777" w:rsidR="00AA24D4" w:rsidRPr="00F66371" w:rsidRDefault="00AA24D4" w:rsidP="00CE0C03">
            <w:pPr>
              <w:spacing w:line="276" w:lineRule="auto"/>
              <w:jc w:val="both"/>
              <w:textAlignment w:val="baseline"/>
              <w:rPr>
                <w:rFonts w:ascii="Century Gothic" w:hAnsi="Century Gothic" w:cs="Arial"/>
                <w:sz w:val="18"/>
                <w:szCs w:val="18"/>
              </w:rPr>
            </w:pPr>
            <w:r w:rsidRPr="00F66371">
              <w:rPr>
                <w:rFonts w:ascii="Century Gothic" w:hAnsi="Century Gothic" w:cs="Arial"/>
                <w:sz w:val="18"/>
                <w:szCs w:val="18"/>
                <w:lang w:val="es-MX"/>
              </w:rPr>
              <w:t>Elaboró:</w:t>
            </w:r>
            <w:r w:rsidRPr="00F66371">
              <w:rPr>
                <w:rFonts w:ascii="Century Gothic" w:hAnsi="Century Gothic" w:cs="Arial"/>
                <w:sz w:val="18"/>
                <w:szCs w:val="18"/>
              </w:rPr>
              <w:t> </w:t>
            </w:r>
          </w:p>
        </w:tc>
        <w:tc>
          <w:tcPr>
            <w:tcW w:w="5765" w:type="dxa"/>
            <w:tcBorders>
              <w:top w:val="nil"/>
              <w:left w:val="nil"/>
              <w:bottom w:val="dotted" w:sz="6" w:space="0" w:color="7F7F7F"/>
              <w:right w:val="nil"/>
            </w:tcBorders>
            <w:vAlign w:val="center"/>
            <w:hideMark/>
          </w:tcPr>
          <w:p w14:paraId="08AD920E" w14:textId="77777777" w:rsidR="00AA24D4" w:rsidRPr="00F66371" w:rsidRDefault="00AA24D4" w:rsidP="00CE0C03">
            <w:pPr>
              <w:jc w:val="both"/>
              <w:textAlignment w:val="baseline"/>
              <w:rPr>
                <w:rFonts w:ascii="Century Gothic" w:hAnsi="Century Gothic" w:cs="Arial"/>
                <w:sz w:val="18"/>
                <w:szCs w:val="18"/>
                <w:lang w:val="es-MX"/>
              </w:rPr>
            </w:pPr>
            <w:r w:rsidRPr="00F66371">
              <w:rPr>
                <w:rFonts w:ascii="Century Gothic" w:hAnsi="Century Gothic" w:cs="Arial"/>
                <w:sz w:val="18"/>
                <w:szCs w:val="18"/>
                <w:lang w:val="es-MX"/>
              </w:rPr>
              <w:t>Any Alejandra Tovar Castillo</w:t>
            </w:r>
          </w:p>
          <w:p w14:paraId="05C8C837" w14:textId="77777777" w:rsidR="00AA24D4" w:rsidRPr="00F66371" w:rsidRDefault="00AA24D4" w:rsidP="00CE0C03">
            <w:pPr>
              <w:jc w:val="both"/>
              <w:textAlignment w:val="baseline"/>
              <w:rPr>
                <w:rFonts w:ascii="Century Gothic" w:hAnsi="Century Gothic" w:cs="Arial"/>
                <w:sz w:val="18"/>
                <w:szCs w:val="18"/>
              </w:rPr>
            </w:pPr>
            <w:r w:rsidRPr="00F66371">
              <w:rPr>
                <w:rFonts w:ascii="Century Gothic" w:hAnsi="Century Gothic" w:cs="Arial"/>
                <w:sz w:val="18"/>
                <w:szCs w:val="18"/>
                <w:lang w:val="es-MX"/>
              </w:rPr>
              <w:t xml:space="preserve">Contratista </w:t>
            </w:r>
            <w:r w:rsidRPr="00F66371">
              <w:rPr>
                <w:rFonts w:ascii="Century Gothic" w:hAnsi="Century Gothic" w:cs="Arial"/>
                <w:sz w:val="18"/>
                <w:szCs w:val="18"/>
              </w:rPr>
              <w:t>Subdirección de Gestión Contractual</w:t>
            </w:r>
          </w:p>
        </w:tc>
      </w:tr>
      <w:tr w:rsidR="00AA24D4" w:rsidRPr="00F66371" w14:paraId="76AFC411" w14:textId="77777777" w:rsidTr="007053E4">
        <w:trPr>
          <w:trHeight w:val="453"/>
        </w:trPr>
        <w:tc>
          <w:tcPr>
            <w:tcW w:w="896" w:type="dxa"/>
            <w:tcBorders>
              <w:top w:val="nil"/>
              <w:left w:val="nil"/>
              <w:bottom w:val="nil"/>
              <w:right w:val="nil"/>
            </w:tcBorders>
            <w:vAlign w:val="center"/>
            <w:hideMark/>
          </w:tcPr>
          <w:p w14:paraId="0EB11DE1" w14:textId="77777777" w:rsidR="00AA24D4" w:rsidRPr="00F66371" w:rsidRDefault="00AA24D4" w:rsidP="00CE0C03">
            <w:pPr>
              <w:spacing w:line="276" w:lineRule="auto"/>
              <w:jc w:val="both"/>
              <w:textAlignment w:val="baseline"/>
              <w:rPr>
                <w:rFonts w:ascii="Century Gothic" w:hAnsi="Century Gothic" w:cs="Arial"/>
                <w:sz w:val="18"/>
                <w:szCs w:val="18"/>
              </w:rPr>
            </w:pPr>
            <w:r w:rsidRPr="00F66371">
              <w:rPr>
                <w:rFonts w:ascii="Century Gothic" w:hAnsi="Century Gothic" w:cs="Arial"/>
                <w:sz w:val="18"/>
                <w:szCs w:val="18"/>
                <w:lang w:val="es-MX"/>
              </w:rPr>
              <w:t>Revisó:</w:t>
            </w:r>
            <w:r w:rsidRPr="00F66371">
              <w:rPr>
                <w:rFonts w:ascii="Century Gothic" w:hAnsi="Century Gothic" w:cs="Arial"/>
                <w:sz w:val="18"/>
                <w:szCs w:val="18"/>
              </w:rPr>
              <w:t> </w:t>
            </w:r>
          </w:p>
        </w:tc>
        <w:tc>
          <w:tcPr>
            <w:tcW w:w="5765" w:type="dxa"/>
            <w:tcBorders>
              <w:top w:val="dotted" w:sz="6" w:space="0" w:color="7F7F7F"/>
              <w:left w:val="nil"/>
              <w:bottom w:val="dotted" w:sz="6" w:space="0" w:color="7F7F7F"/>
              <w:right w:val="nil"/>
            </w:tcBorders>
            <w:vAlign w:val="center"/>
            <w:hideMark/>
          </w:tcPr>
          <w:p w14:paraId="56CD6804" w14:textId="77777777" w:rsidR="007053E4" w:rsidRPr="00F66371" w:rsidRDefault="007053E4" w:rsidP="007053E4">
            <w:pPr>
              <w:shd w:val="clear" w:color="auto" w:fill="FFFFFF" w:themeFill="background1"/>
              <w:jc w:val="both"/>
              <w:rPr>
                <w:rFonts w:ascii="Century Gothic" w:hAnsi="Century Gothic" w:cs="Arial"/>
                <w:sz w:val="18"/>
                <w:szCs w:val="18"/>
              </w:rPr>
            </w:pPr>
            <w:r w:rsidRPr="00F66371">
              <w:rPr>
                <w:rFonts w:ascii="Century Gothic" w:hAnsi="Century Gothic" w:cs="Arial"/>
                <w:sz w:val="18"/>
                <w:szCs w:val="18"/>
              </w:rPr>
              <w:t xml:space="preserve">Ximena Ríos López </w:t>
            </w:r>
          </w:p>
          <w:p w14:paraId="4C4E661A" w14:textId="211C4A81" w:rsidR="00AA24D4" w:rsidRPr="00F66371" w:rsidRDefault="007053E4" w:rsidP="007053E4">
            <w:pPr>
              <w:jc w:val="both"/>
              <w:textAlignment w:val="baseline"/>
              <w:rPr>
                <w:rFonts w:ascii="Century Gothic" w:hAnsi="Century Gothic" w:cs="Arial"/>
                <w:sz w:val="18"/>
                <w:szCs w:val="18"/>
              </w:rPr>
            </w:pPr>
            <w:r w:rsidRPr="00F66371">
              <w:rPr>
                <w:rFonts w:ascii="Century Gothic" w:hAnsi="Century Gothic" w:cs="Arial"/>
                <w:sz w:val="18"/>
                <w:szCs w:val="18"/>
              </w:rPr>
              <w:t>Gestor código T1 grado 11 de la Subdirecci</w:t>
            </w:r>
            <w:r w:rsidRPr="00F66371">
              <w:rPr>
                <w:rFonts w:ascii="Century Gothic" w:hAnsi="Century Gothic" w:cs="Century Gothic"/>
                <w:sz w:val="18"/>
                <w:szCs w:val="18"/>
              </w:rPr>
              <w:t>ó</w:t>
            </w:r>
            <w:r w:rsidRPr="00F66371">
              <w:rPr>
                <w:rFonts w:ascii="Century Gothic" w:hAnsi="Century Gothic" w:cs="Arial"/>
                <w:sz w:val="18"/>
                <w:szCs w:val="18"/>
              </w:rPr>
              <w:t>n de Gesti</w:t>
            </w:r>
            <w:r w:rsidRPr="00F66371">
              <w:rPr>
                <w:rFonts w:ascii="Century Gothic" w:hAnsi="Century Gothic" w:cs="Century Gothic"/>
                <w:sz w:val="18"/>
                <w:szCs w:val="18"/>
              </w:rPr>
              <w:t>ó</w:t>
            </w:r>
            <w:r w:rsidRPr="00F66371">
              <w:rPr>
                <w:rFonts w:ascii="Century Gothic" w:hAnsi="Century Gothic" w:cs="Arial"/>
                <w:sz w:val="18"/>
                <w:szCs w:val="18"/>
              </w:rPr>
              <w:t>n Contractual</w:t>
            </w:r>
          </w:p>
        </w:tc>
      </w:tr>
      <w:tr w:rsidR="00AA24D4" w:rsidRPr="00F66371" w14:paraId="261235F4" w14:textId="77777777" w:rsidTr="007053E4">
        <w:trPr>
          <w:trHeight w:val="432"/>
        </w:trPr>
        <w:tc>
          <w:tcPr>
            <w:tcW w:w="896" w:type="dxa"/>
            <w:tcBorders>
              <w:top w:val="nil"/>
              <w:left w:val="nil"/>
              <w:bottom w:val="nil"/>
              <w:right w:val="nil"/>
            </w:tcBorders>
            <w:vAlign w:val="center"/>
            <w:hideMark/>
          </w:tcPr>
          <w:p w14:paraId="5001AB19" w14:textId="77777777" w:rsidR="00AA24D4" w:rsidRPr="00F66371" w:rsidRDefault="00AA24D4" w:rsidP="00CE0C03">
            <w:pPr>
              <w:spacing w:line="276" w:lineRule="auto"/>
              <w:jc w:val="both"/>
              <w:textAlignment w:val="baseline"/>
              <w:rPr>
                <w:rFonts w:ascii="Century Gothic" w:hAnsi="Century Gothic" w:cs="Arial"/>
                <w:sz w:val="18"/>
                <w:szCs w:val="18"/>
              </w:rPr>
            </w:pPr>
            <w:r w:rsidRPr="00F66371">
              <w:rPr>
                <w:rFonts w:ascii="Century Gothic" w:hAnsi="Century Gothic" w:cs="Arial"/>
                <w:sz w:val="18"/>
                <w:szCs w:val="18"/>
                <w:lang w:val="es-MX"/>
              </w:rPr>
              <w:lastRenderedPageBreak/>
              <w:t>Aprobó:</w:t>
            </w:r>
            <w:r w:rsidRPr="00F66371">
              <w:rPr>
                <w:rFonts w:ascii="Century Gothic" w:hAnsi="Century Gothic" w:cs="Arial"/>
                <w:sz w:val="18"/>
                <w:szCs w:val="18"/>
              </w:rPr>
              <w:t> </w:t>
            </w:r>
          </w:p>
        </w:tc>
        <w:tc>
          <w:tcPr>
            <w:tcW w:w="5765" w:type="dxa"/>
            <w:tcBorders>
              <w:top w:val="dotted" w:sz="6" w:space="0" w:color="7F7F7F"/>
              <w:left w:val="nil"/>
              <w:bottom w:val="dotted" w:sz="6" w:space="0" w:color="7F7F7F"/>
              <w:right w:val="nil"/>
            </w:tcBorders>
            <w:vAlign w:val="center"/>
            <w:hideMark/>
          </w:tcPr>
          <w:p w14:paraId="6B0DBFB6" w14:textId="77777777" w:rsidR="00AA24D4" w:rsidRPr="00F66371" w:rsidRDefault="00AA24D4" w:rsidP="00CE0C03">
            <w:pPr>
              <w:jc w:val="both"/>
              <w:textAlignment w:val="baseline"/>
              <w:rPr>
                <w:rFonts w:ascii="Century Gothic" w:hAnsi="Century Gothic" w:cs="Arial"/>
                <w:sz w:val="18"/>
                <w:szCs w:val="18"/>
                <w:lang w:val="es-ES_tradnl"/>
              </w:rPr>
            </w:pPr>
            <w:r w:rsidRPr="00F66371">
              <w:rPr>
                <w:rFonts w:ascii="Century Gothic" w:hAnsi="Century Gothic" w:cs="Arial"/>
                <w:sz w:val="18"/>
                <w:szCs w:val="18"/>
                <w:lang w:val="es-ES_tradnl"/>
              </w:rPr>
              <w:t>Nohelia del Carmen Zawady Palacio</w:t>
            </w:r>
          </w:p>
          <w:p w14:paraId="09809CF6" w14:textId="77777777" w:rsidR="00AA24D4" w:rsidRPr="00F66371" w:rsidRDefault="00AA24D4" w:rsidP="00CE0C03">
            <w:pPr>
              <w:jc w:val="both"/>
              <w:textAlignment w:val="baseline"/>
              <w:rPr>
                <w:rFonts w:ascii="Century Gothic" w:hAnsi="Century Gothic" w:cs="Arial"/>
                <w:sz w:val="18"/>
                <w:szCs w:val="18"/>
              </w:rPr>
            </w:pPr>
            <w:r w:rsidRPr="00F66371">
              <w:rPr>
                <w:rFonts w:ascii="Century Gothic" w:hAnsi="Century Gothic" w:cs="Arial"/>
                <w:sz w:val="18"/>
                <w:szCs w:val="18"/>
                <w:lang w:val="es-ES_tradnl"/>
              </w:rPr>
              <w:t>Subdirectora de Gestión Contractual ANCP-CCE</w:t>
            </w:r>
          </w:p>
        </w:tc>
      </w:tr>
      <w:bookmarkEnd w:id="0"/>
    </w:tbl>
    <w:p w14:paraId="23AC880A" w14:textId="77777777" w:rsidR="00AA24D4" w:rsidRPr="00F66371" w:rsidRDefault="00AA24D4" w:rsidP="00AA24D4">
      <w:pPr>
        <w:rPr>
          <w:rFonts w:ascii="Century Gothic" w:hAnsi="Century Gothic"/>
          <w:sz w:val="22"/>
          <w:szCs w:val="22"/>
        </w:rPr>
      </w:pPr>
    </w:p>
    <w:p w14:paraId="0F293BF4" w14:textId="5FA0EECA" w:rsidR="00127233" w:rsidRPr="00F66371" w:rsidRDefault="00127233" w:rsidP="00AA24D4">
      <w:pPr>
        <w:rPr>
          <w:rFonts w:ascii="Century Gothic" w:hAnsi="Century Gothic"/>
          <w:sz w:val="22"/>
          <w:szCs w:val="22"/>
        </w:rPr>
      </w:pPr>
    </w:p>
    <w:sectPr w:rsidR="00127233" w:rsidRPr="00F66371"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1257" w14:textId="77777777" w:rsidR="00873A21" w:rsidRDefault="00873A21" w:rsidP="004A1847">
      <w:r>
        <w:separator/>
      </w:r>
    </w:p>
  </w:endnote>
  <w:endnote w:type="continuationSeparator" w:id="0">
    <w:p w14:paraId="2B938E75" w14:textId="77777777" w:rsidR="00873A21" w:rsidRDefault="00873A21" w:rsidP="004A1847">
      <w:r>
        <w:continuationSeparator/>
      </w:r>
    </w:p>
  </w:endnote>
  <w:endnote w:type="continuationNotice" w:id="1">
    <w:p w14:paraId="10DE93F4" w14:textId="77777777" w:rsidR="00873A21" w:rsidRDefault="00873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rPr>
            <w:t>CCE-</w:t>
          </w:r>
          <w:r w:rsidR="00B72CD3">
            <w:rPr>
              <w:rFonts w:ascii="Century Gothic" w:eastAsia="Geo" w:hAnsi="Century Gothic" w:cs="Geo"/>
              <w:b/>
              <w:color w:val="000000"/>
              <w:sz w:val="16"/>
              <w:szCs w:val="16"/>
            </w:rPr>
            <w:t>REC</w:t>
          </w:r>
          <w:r w:rsidRPr="003F3941">
            <w:rPr>
              <w:rFonts w:ascii="Century Gothic" w:eastAsia="Geo" w:hAnsi="Century Gothic" w:cs="Geo"/>
              <w:b/>
              <w:color w:val="000000"/>
              <w:sz w:val="16"/>
              <w:szCs w:val="16"/>
            </w:rPr>
            <w:t>-FM-</w:t>
          </w:r>
          <w:r w:rsidR="00CB6357">
            <w:rPr>
              <w:rFonts w:ascii="Century Gothic" w:eastAsia="Geo" w:hAnsi="Century Gothic" w:cs="Geo"/>
              <w:b/>
              <w:color w:val="000000"/>
              <w:sz w:val="16"/>
              <w:szCs w:val="16"/>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9FED" w14:textId="77777777" w:rsidR="00873A21" w:rsidRDefault="00873A21" w:rsidP="004A1847">
      <w:r>
        <w:separator/>
      </w:r>
    </w:p>
  </w:footnote>
  <w:footnote w:type="continuationSeparator" w:id="0">
    <w:p w14:paraId="45001C21" w14:textId="77777777" w:rsidR="00873A21" w:rsidRDefault="00873A21" w:rsidP="004A1847">
      <w:r>
        <w:continuationSeparator/>
      </w:r>
    </w:p>
  </w:footnote>
  <w:footnote w:type="continuationNotice" w:id="1">
    <w:p w14:paraId="3A8191F2" w14:textId="77777777" w:rsidR="00873A21" w:rsidRDefault="00873A21"/>
  </w:footnote>
  <w:footnote w:id="2">
    <w:p w14:paraId="70E57D17" w14:textId="77777777" w:rsidR="00AA24D4" w:rsidRPr="00464ACB" w:rsidRDefault="00AA24D4" w:rsidP="005B3FF1">
      <w:pPr>
        <w:pStyle w:val="Textonotapie"/>
        <w:ind w:firstLine="708"/>
        <w:contextualSpacing/>
        <w:jc w:val="both"/>
        <w:rPr>
          <w:rFonts w:ascii="Century Gothic" w:hAnsi="Century Gothic" w:cs="Arial"/>
          <w:sz w:val="18"/>
          <w:szCs w:val="18"/>
          <w:lang w:val="es-ES"/>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La Agencia Nacional de Contratación Pública </w:t>
      </w:r>
      <w:r w:rsidRPr="00464ACB">
        <w:rPr>
          <w:rFonts w:ascii="Arial" w:hAnsi="Arial" w:cs="Arial"/>
          <w:sz w:val="18"/>
          <w:szCs w:val="18"/>
        </w:rPr>
        <w:t>‒</w:t>
      </w:r>
      <w:r w:rsidRPr="00464ACB">
        <w:rPr>
          <w:rFonts w:ascii="Century Gothic" w:hAnsi="Century Gothic" w:cs="Arial"/>
          <w:sz w:val="18"/>
          <w:szCs w:val="18"/>
        </w:rPr>
        <w:t xml:space="preserve"> Colombia Compra Eficiente fue creada por el Decreto Ley 4170 de 2011. Su objetivo es servir como ente rector de la pol</w:t>
      </w:r>
      <w:r w:rsidRPr="00464ACB">
        <w:rPr>
          <w:rFonts w:ascii="Century Gothic" w:hAnsi="Century Gothic" w:cs="Century Gothic"/>
          <w:sz w:val="18"/>
          <w:szCs w:val="18"/>
        </w:rPr>
        <w:t>í</w:t>
      </w:r>
      <w:r w:rsidRPr="00464ACB">
        <w:rPr>
          <w:rFonts w:ascii="Century Gothic" w:hAnsi="Century Gothic" w:cs="Arial"/>
          <w:sz w:val="18"/>
          <w:szCs w:val="18"/>
        </w:rPr>
        <w:t>tica de compras y contrataci</w:t>
      </w:r>
      <w:r w:rsidRPr="00464ACB">
        <w:rPr>
          <w:rFonts w:ascii="Century Gothic" w:hAnsi="Century Gothic" w:cs="Century Gothic"/>
          <w:sz w:val="18"/>
          <w:szCs w:val="18"/>
        </w:rPr>
        <w:t>ó</w:t>
      </w:r>
      <w:r w:rsidRPr="00464ACB">
        <w:rPr>
          <w:rFonts w:ascii="Century Gothic" w:hAnsi="Century Gothic" w:cs="Arial"/>
          <w:sz w:val="18"/>
          <w:szCs w:val="18"/>
        </w:rPr>
        <w:t xml:space="preserve">n del Estado. Para tales fines, como </w:t>
      </w:r>
      <w:r w:rsidRPr="00464ACB">
        <w:rPr>
          <w:rFonts w:ascii="Century Gothic" w:hAnsi="Century Gothic" w:cs="Century Gothic"/>
          <w:sz w:val="18"/>
          <w:szCs w:val="18"/>
        </w:rPr>
        <w:t>ó</w:t>
      </w:r>
      <w:r w:rsidRPr="00464ACB">
        <w:rPr>
          <w:rFonts w:ascii="Century Gothic" w:hAnsi="Century Gothic" w:cs="Arial"/>
          <w:sz w:val="18"/>
          <w:szCs w:val="18"/>
        </w:rPr>
        <w:t>rgano t</w:t>
      </w:r>
      <w:r w:rsidRPr="00464ACB">
        <w:rPr>
          <w:rFonts w:ascii="Century Gothic" w:hAnsi="Century Gothic" w:cs="Century Gothic"/>
          <w:sz w:val="18"/>
          <w:szCs w:val="18"/>
        </w:rPr>
        <w:t>é</w:t>
      </w:r>
      <w:r w:rsidRPr="00464ACB">
        <w:rPr>
          <w:rFonts w:ascii="Century Gothic" w:hAnsi="Century Gothic" w:cs="Arial"/>
          <w:sz w:val="18"/>
          <w:szCs w:val="18"/>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464ACB">
        <w:rPr>
          <w:rFonts w:ascii="Century Gothic" w:hAnsi="Century Gothic" w:cs="Arial"/>
          <w:i/>
          <w:iCs/>
          <w:sz w:val="18"/>
          <w:szCs w:val="18"/>
        </w:rPr>
        <w:t xml:space="preserve">ibidem </w:t>
      </w:r>
      <w:r w:rsidRPr="00464ACB">
        <w:rPr>
          <w:rFonts w:ascii="Century Gothic" w:hAnsi="Century Gothic"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B2C2B22" w14:textId="77777777" w:rsidR="00C1189E" w:rsidRPr="00464ACB" w:rsidRDefault="00C1189E" w:rsidP="005B3FF1">
      <w:pPr>
        <w:pStyle w:val="Textonotapie"/>
        <w:spacing w:after="160"/>
        <w:ind w:firstLine="708"/>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464ACB">
          <w:rPr>
            <w:rStyle w:val="Hipervnculo"/>
            <w:rFonts w:ascii="Century Gothic" w:hAnsi="Century Gothic" w:cs="Arial"/>
            <w:sz w:val="18"/>
            <w:szCs w:val="18"/>
          </w:rPr>
          <w:t>https://relatoria.colombiacompra.gov.co/busqueda/conceptos</w:t>
        </w:r>
      </w:hyperlink>
    </w:p>
  </w:footnote>
  <w:footnote w:id="4">
    <w:p w14:paraId="447EA181" w14:textId="77777777" w:rsidR="001118AB" w:rsidRPr="00464ACB" w:rsidRDefault="001118AB" w:rsidP="005B3FF1">
      <w:pPr>
        <w:pStyle w:val="NormalWeb"/>
        <w:spacing w:before="0" w:beforeAutospacing="0" w:after="0" w:afterAutospacing="0"/>
        <w:ind w:firstLine="709"/>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w:t>
      </w:r>
      <w:r w:rsidRPr="00464ACB">
        <w:rPr>
          <w:rFonts w:ascii="Century Gothic" w:hAnsi="Century Gothic" w:cs="Arial"/>
          <w:sz w:val="18"/>
          <w:szCs w:val="18"/>
          <w:lang w:val="es-ES"/>
        </w:rPr>
        <w:t>“</w:t>
      </w:r>
      <w:r w:rsidRPr="00464ACB">
        <w:rPr>
          <w:rFonts w:ascii="Century Gothic" w:hAnsi="Century Gothic" w:cs="Arial"/>
          <w:sz w:val="18"/>
          <w:szCs w:val="18"/>
        </w:rPr>
        <w:t>Para poder participar en los procesos de selección de los contratos de obra, la capacidad residual del proponente o K de contratación deberá ser igual o superior al que la entidad haya establecido para el efecto en los pliegos de condiciones</w:t>
      </w:r>
    </w:p>
    <w:p w14:paraId="4906B2E5" w14:textId="77777777" w:rsidR="001118AB" w:rsidRPr="00464ACB" w:rsidRDefault="001118AB" w:rsidP="005B3FF1">
      <w:pPr>
        <w:ind w:firstLine="709"/>
        <w:jc w:val="both"/>
        <w:rPr>
          <w:rFonts w:ascii="Century Gothic" w:hAnsi="Century Gothic" w:cs="Arial"/>
          <w:sz w:val="18"/>
          <w:szCs w:val="18"/>
        </w:rPr>
      </w:pPr>
      <w:r w:rsidRPr="00464ACB">
        <w:rPr>
          <w:rFonts w:ascii="Century Gothic" w:hAnsi="Century Gothic" w:cs="Arial"/>
          <w:sz w:val="18"/>
          <w:szCs w:val="18"/>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2109DDA6" w14:textId="77777777" w:rsidR="001118AB" w:rsidRPr="00464ACB" w:rsidRDefault="001118AB" w:rsidP="005B3FF1">
      <w:pPr>
        <w:ind w:firstLine="709"/>
        <w:jc w:val="both"/>
        <w:rPr>
          <w:rFonts w:ascii="Century Gothic" w:hAnsi="Century Gothic" w:cs="Arial"/>
          <w:sz w:val="18"/>
          <w:szCs w:val="18"/>
        </w:rPr>
      </w:pPr>
    </w:p>
  </w:footnote>
  <w:footnote w:id="5">
    <w:p w14:paraId="1288F6B5" w14:textId="77777777" w:rsidR="001118AB" w:rsidRPr="00464ACB" w:rsidRDefault="001118AB" w:rsidP="005B3FF1">
      <w:pPr>
        <w:pStyle w:val="Textonotapie"/>
        <w:ind w:firstLine="708"/>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Cfr. Corte Constitucional. Sentencia C-569 de 2004. M.P. Rodrigo Uprimny Yepes.</w:t>
      </w:r>
    </w:p>
    <w:p w14:paraId="2B6D4995" w14:textId="77777777" w:rsidR="001118AB" w:rsidRPr="00464ACB" w:rsidRDefault="001118AB" w:rsidP="005B3FF1">
      <w:pPr>
        <w:pStyle w:val="Textonotapie"/>
        <w:ind w:firstLine="708"/>
        <w:jc w:val="both"/>
        <w:rPr>
          <w:rFonts w:ascii="Century Gothic" w:hAnsi="Century Gothic" w:cs="Arial"/>
          <w:sz w:val="18"/>
          <w:szCs w:val="18"/>
          <w:lang w:val="es-ES"/>
        </w:rPr>
      </w:pPr>
    </w:p>
  </w:footnote>
  <w:footnote w:id="6">
    <w:p w14:paraId="1AACAC14" w14:textId="77777777" w:rsidR="001118AB" w:rsidRPr="00464ACB" w:rsidRDefault="001118AB" w:rsidP="005B3FF1">
      <w:pPr>
        <w:pStyle w:val="Textonotapie"/>
        <w:ind w:firstLine="708"/>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Cfr. Consejo de Estado. Sección Tercera. Providencias del 11 de diciembre de 2002, dictada dentro del expediente AG-1683, y del 18 de octubre de 2001, proferida dentro del plenario AG-021.</w:t>
      </w:r>
    </w:p>
    <w:p w14:paraId="6D5231A9" w14:textId="77777777" w:rsidR="001118AB" w:rsidRPr="00464ACB" w:rsidRDefault="001118AB" w:rsidP="005B3FF1">
      <w:pPr>
        <w:pStyle w:val="Textonotapie"/>
        <w:ind w:firstLine="708"/>
        <w:jc w:val="both"/>
        <w:rPr>
          <w:rFonts w:ascii="Century Gothic" w:hAnsi="Century Gothic" w:cs="Arial"/>
          <w:sz w:val="18"/>
          <w:szCs w:val="18"/>
          <w:lang w:val="es-ES"/>
        </w:rPr>
      </w:pPr>
    </w:p>
  </w:footnote>
  <w:footnote w:id="7">
    <w:p w14:paraId="05481BA8" w14:textId="750E0BE3" w:rsidR="001118AB" w:rsidRPr="00464ACB" w:rsidRDefault="001118AB" w:rsidP="005B3FF1">
      <w:pPr>
        <w:pStyle w:val="Textonotapie"/>
        <w:ind w:firstLine="708"/>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Gaceta 096 de 2007. Pág. 9. Allí se lee: </w:t>
      </w:r>
      <w:r w:rsidR="00CF5F23" w:rsidRPr="00464ACB">
        <w:rPr>
          <w:rFonts w:ascii="Century Gothic" w:hAnsi="Century Gothic" w:cs="Arial"/>
          <w:i/>
          <w:iCs/>
          <w:sz w:val="18"/>
          <w:szCs w:val="18"/>
        </w:rPr>
        <w:t>“</w:t>
      </w:r>
      <w:r w:rsidRPr="00464ACB">
        <w:rPr>
          <w:rFonts w:ascii="Century Gothic" w:hAnsi="Century Gothic" w:cs="Arial"/>
          <w:sz w:val="18"/>
          <w:szCs w:val="18"/>
        </w:rPr>
        <w:t xml:space="preserve">Parágrafo 2°. Nuevo. Se adiciona un parágrafo nuevo para </w:t>
      </w:r>
      <w:r w:rsidRPr="00464ACB">
        <w:rPr>
          <w:rFonts w:ascii="Century Gothic" w:hAnsi="Century Gothic" w:cs="Arial"/>
          <w:i/>
          <w:iCs/>
          <w:sz w:val="18"/>
          <w:szCs w:val="18"/>
        </w:rPr>
        <w:t>establecer de manera concreta</w:t>
      </w:r>
      <w:r w:rsidRPr="00464ACB">
        <w:rPr>
          <w:rFonts w:ascii="Century Gothic" w:hAnsi="Century Gothic" w:cs="Arial"/>
          <w:sz w:val="18"/>
          <w:szCs w:val="18"/>
        </w:rPr>
        <w:t xml:space="preserve"> que las certificaciones de sistemas de gestión de calidad no serán objeto de calificación, ni podrán establecerse como documento habilitante para participar en licitaciones o concursos, con el fin de evitar la exclusión de aquellas personas o empresas principalmente en regiones apartadas que carecen de tal requisito. Dejando sin embargo a la administración la posibilidad de fijar la implementación de planes de calidad</w:t>
      </w:r>
      <w:r w:rsidR="00CF5F23" w:rsidRPr="00464ACB">
        <w:rPr>
          <w:rFonts w:ascii="Century Gothic" w:hAnsi="Century Gothic" w:cs="Arial"/>
          <w:i/>
          <w:iCs/>
          <w:sz w:val="18"/>
          <w:szCs w:val="18"/>
        </w:rPr>
        <w:t>”</w:t>
      </w:r>
      <w:r w:rsidRPr="00464ACB">
        <w:rPr>
          <w:rFonts w:ascii="Century Gothic" w:hAnsi="Century Gothic" w:cs="Arial"/>
          <w:sz w:val="18"/>
          <w:szCs w:val="18"/>
        </w:rPr>
        <w:t xml:space="preserve"> (Cursivas propias). </w:t>
      </w:r>
    </w:p>
    <w:p w14:paraId="3A59A7DD" w14:textId="77777777" w:rsidR="001118AB" w:rsidRPr="00464ACB" w:rsidRDefault="001118AB" w:rsidP="005B3FF1">
      <w:pPr>
        <w:pStyle w:val="Textonotapie"/>
        <w:ind w:firstLine="708"/>
        <w:jc w:val="both"/>
        <w:rPr>
          <w:rFonts w:ascii="Century Gothic" w:hAnsi="Century Gothic" w:cs="Arial"/>
          <w:sz w:val="18"/>
          <w:szCs w:val="18"/>
          <w:lang w:val="es-ES"/>
        </w:rPr>
      </w:pPr>
    </w:p>
  </w:footnote>
  <w:footnote w:id="8">
    <w:p w14:paraId="1C89AD18" w14:textId="35D63077" w:rsidR="001118AB" w:rsidRPr="00464ACB" w:rsidRDefault="001118AB" w:rsidP="00464ACB">
      <w:pPr>
        <w:pStyle w:val="NormalWeb"/>
        <w:spacing w:before="0" w:beforeAutospacing="0" w:after="0" w:afterAutospacing="0"/>
        <w:ind w:firstLine="708"/>
        <w:jc w:val="both"/>
        <w:rPr>
          <w:rFonts w:ascii="Century Gothic" w:hAnsi="Century Gothic" w:cs="Arial"/>
          <w:color w:val="000000"/>
          <w:sz w:val="18"/>
          <w:szCs w:val="18"/>
        </w:rPr>
      </w:pPr>
      <w:r w:rsidRPr="00464ACB">
        <w:rPr>
          <w:rStyle w:val="Refdenotaalpie"/>
          <w:rFonts w:ascii="Century Gothic" w:hAnsi="Century Gothic" w:cs="Arial"/>
          <w:sz w:val="18"/>
          <w:szCs w:val="18"/>
        </w:rPr>
        <w:footnoteRef/>
      </w:r>
      <w:r w:rsidR="00CF5F23" w:rsidRPr="00464ACB">
        <w:rPr>
          <w:rFonts w:ascii="Century Gothic" w:hAnsi="Century Gothic" w:cs="Arial"/>
          <w:i/>
          <w:iCs/>
          <w:sz w:val="18"/>
          <w:szCs w:val="18"/>
        </w:rPr>
        <w:t>“</w:t>
      </w:r>
      <w:r w:rsidRPr="00464ACB">
        <w:rPr>
          <w:rStyle w:val="Textoennegrita"/>
          <w:rFonts w:ascii="Century Gothic" w:hAnsi="Century Gothic" w:cs="Arial"/>
          <w:b w:val="0"/>
          <w:bCs w:val="0"/>
          <w:color w:val="000000"/>
          <w:sz w:val="18"/>
          <w:szCs w:val="18"/>
        </w:rPr>
        <w:t>Artículo 2.2.1.1.1.5.3. </w:t>
      </w:r>
      <w:r w:rsidRPr="00464ACB">
        <w:rPr>
          <w:rStyle w:val="nfasis"/>
          <w:rFonts w:ascii="Century Gothic" w:hAnsi="Century Gothic" w:cs="Arial"/>
          <w:color w:val="000000"/>
          <w:sz w:val="18"/>
          <w:szCs w:val="18"/>
        </w:rPr>
        <w:t>Requisitos habilitantes contenidos en el RUP. </w:t>
      </w:r>
      <w:r w:rsidRPr="00464ACB">
        <w:rPr>
          <w:rFonts w:ascii="Century Gothic" w:hAnsi="Century Gothic" w:cs="Arial"/>
          <w:color w:val="000000"/>
          <w:sz w:val="18"/>
          <w:szCs w:val="18"/>
        </w:rPr>
        <w:t>Las cámaras de comercio, con base en la información a la que hace referencia el artículo anterior, deben verificar y certificar los siguientes requisitos habilitantes:</w:t>
      </w:r>
    </w:p>
    <w:p w14:paraId="68C22318" w14:textId="4402ADE6" w:rsidR="001118AB" w:rsidRPr="00464ACB" w:rsidRDefault="001118AB" w:rsidP="00464ACB">
      <w:pPr>
        <w:pStyle w:val="NormalWeb"/>
        <w:spacing w:before="0" w:beforeAutospacing="0" w:after="0" w:afterAutospacing="0"/>
        <w:ind w:firstLine="708"/>
        <w:jc w:val="both"/>
        <w:rPr>
          <w:rFonts w:ascii="Century Gothic" w:hAnsi="Century Gothic" w:cs="Arial"/>
          <w:color w:val="000000"/>
          <w:sz w:val="18"/>
          <w:szCs w:val="18"/>
        </w:rPr>
      </w:pPr>
      <w:r w:rsidRPr="00464ACB">
        <w:rPr>
          <w:rFonts w:ascii="Century Gothic" w:hAnsi="Century Gothic" w:cs="Arial"/>
          <w:color w:val="000000"/>
          <w:sz w:val="18"/>
          <w:szCs w:val="18"/>
        </w:rPr>
        <w:t xml:space="preserve">1. Experiencia – Los contratos celebrados por el interesado para cada uno de los bienes, obras y servicios que ofrecerá a las Entidades Estatales, identificados con el Clasificador de Bienes y Servicios en el tercer nivel y su valor expresado en </w:t>
      </w:r>
      <w:r w:rsidRPr="00464ACB">
        <w:rPr>
          <w:rFonts w:ascii="Century Gothic" w:hAnsi="Century Gothic" w:cs="Arial"/>
          <w:color w:val="000000"/>
          <w:sz w:val="18"/>
          <w:szCs w:val="18"/>
        </w:rPr>
        <w:t>smmlv.</w:t>
      </w:r>
    </w:p>
    <w:p w14:paraId="7AC94474" w14:textId="6AD768C4" w:rsidR="001118AB" w:rsidRPr="00464ACB" w:rsidRDefault="001118AB" w:rsidP="00464ACB">
      <w:pPr>
        <w:pStyle w:val="NormalWeb"/>
        <w:spacing w:before="0" w:beforeAutospacing="0" w:after="0" w:afterAutospacing="0"/>
        <w:ind w:firstLine="708"/>
        <w:jc w:val="both"/>
        <w:rPr>
          <w:rFonts w:ascii="Century Gothic" w:hAnsi="Century Gothic" w:cs="Arial"/>
          <w:color w:val="000000"/>
          <w:sz w:val="18"/>
          <w:szCs w:val="18"/>
        </w:rPr>
      </w:pPr>
      <w:r w:rsidRPr="00464ACB">
        <w:rPr>
          <w:rFonts w:ascii="Century Gothic" w:hAnsi="Century Gothic" w:cs="Arial"/>
          <w:color w:val="000000"/>
          <w:sz w:val="18"/>
          <w:szCs w:val="18"/>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p>
    <w:p w14:paraId="16541632" w14:textId="0E72B9C2" w:rsidR="001118AB" w:rsidRPr="00464ACB" w:rsidRDefault="001118AB" w:rsidP="00464ACB">
      <w:pPr>
        <w:pStyle w:val="NormalWeb"/>
        <w:spacing w:before="0" w:beforeAutospacing="0" w:after="0" w:afterAutospacing="0"/>
        <w:ind w:firstLine="708"/>
        <w:jc w:val="both"/>
        <w:rPr>
          <w:rFonts w:ascii="Century Gothic" w:hAnsi="Century Gothic" w:cs="Arial"/>
          <w:color w:val="000000"/>
          <w:sz w:val="18"/>
          <w:szCs w:val="18"/>
        </w:rPr>
      </w:pPr>
      <w:r w:rsidRPr="00464ACB">
        <w:rPr>
          <w:rFonts w:ascii="Century Gothic" w:hAnsi="Century Gothic" w:cs="Arial"/>
          <w:color w:val="000000"/>
          <w:sz w:val="18"/>
          <w:szCs w:val="18"/>
        </w:rPr>
        <w:t>2. Capacidad Jurídica – La capacidad jurídica del proponente para prestar los bienes, obras, o servicios que ofrecerá a las Entidades Estatales y la capacidad del representante legal de las personas jurídicas para celebrar contratos y si requiere, autorizaciones para el efecto con ocasión de los límites a la capacidad del representante legal del interesado en relación con el monto y el tipo de las obligaciones que puede adquirir a nombre del interesado.</w:t>
      </w:r>
    </w:p>
    <w:p w14:paraId="32E43FFA" w14:textId="481CE241" w:rsidR="001118AB" w:rsidRPr="00464ACB" w:rsidRDefault="001118AB" w:rsidP="00464ACB">
      <w:pPr>
        <w:pStyle w:val="NormalWeb"/>
        <w:spacing w:before="0" w:beforeAutospacing="0" w:after="0" w:afterAutospacing="0"/>
        <w:ind w:firstLine="708"/>
        <w:jc w:val="both"/>
        <w:rPr>
          <w:rFonts w:ascii="Century Gothic" w:hAnsi="Century Gothic" w:cs="Arial"/>
          <w:color w:val="000000"/>
          <w:sz w:val="18"/>
          <w:szCs w:val="18"/>
        </w:rPr>
      </w:pPr>
      <w:r w:rsidRPr="00464ACB">
        <w:rPr>
          <w:rFonts w:ascii="Century Gothic" w:hAnsi="Century Gothic" w:cs="Arial"/>
          <w:color w:val="000000"/>
          <w:sz w:val="18"/>
          <w:szCs w:val="18"/>
        </w:rPr>
        <w:t>3. Capacidad Financiera – los siguientes indicadores miden la fortaleza financiera del interesado:</w:t>
      </w:r>
    </w:p>
    <w:p w14:paraId="79771C0E" w14:textId="74DC7531" w:rsidR="001118AB" w:rsidRPr="00464ACB" w:rsidRDefault="001118AB" w:rsidP="00464ACB">
      <w:pPr>
        <w:pStyle w:val="NormalWeb"/>
        <w:spacing w:before="0" w:beforeAutospacing="0" w:after="0" w:afterAutospacing="0"/>
        <w:ind w:firstLine="708"/>
        <w:jc w:val="both"/>
        <w:rPr>
          <w:rFonts w:ascii="Century Gothic" w:hAnsi="Century Gothic" w:cs="Arial"/>
          <w:color w:val="000000"/>
          <w:sz w:val="18"/>
          <w:szCs w:val="18"/>
        </w:rPr>
      </w:pPr>
      <w:r w:rsidRPr="00464ACB">
        <w:rPr>
          <w:rFonts w:ascii="Century Gothic" w:hAnsi="Century Gothic" w:cs="Arial"/>
          <w:color w:val="000000"/>
          <w:sz w:val="18"/>
          <w:szCs w:val="18"/>
        </w:rPr>
        <w:t>3.1. Índice de liquidez: activo corriente dividido por el pasivo corriente.</w:t>
      </w:r>
    </w:p>
    <w:p w14:paraId="697C34CD" w14:textId="08F7B3E3" w:rsidR="001118AB" w:rsidRPr="00464ACB" w:rsidRDefault="001118AB" w:rsidP="004C49B7">
      <w:pPr>
        <w:pStyle w:val="NormalWeb"/>
        <w:spacing w:before="0" w:beforeAutospacing="0" w:after="0" w:afterAutospacing="0"/>
        <w:ind w:firstLine="708"/>
        <w:jc w:val="both"/>
        <w:rPr>
          <w:rFonts w:ascii="Century Gothic" w:hAnsi="Century Gothic" w:cs="Arial"/>
          <w:color w:val="000000"/>
          <w:sz w:val="18"/>
          <w:szCs w:val="18"/>
        </w:rPr>
      </w:pPr>
      <w:r w:rsidRPr="00464ACB">
        <w:rPr>
          <w:rFonts w:ascii="Century Gothic" w:hAnsi="Century Gothic" w:cs="Arial"/>
          <w:color w:val="000000"/>
          <w:sz w:val="18"/>
          <w:szCs w:val="18"/>
        </w:rPr>
        <w:t>3.2. Índice de endeudamiento: pasivo total dividido por el activo total.</w:t>
      </w:r>
    </w:p>
    <w:p w14:paraId="5D029614" w14:textId="14BE7113" w:rsidR="001118AB" w:rsidRPr="00464ACB" w:rsidRDefault="001118AB" w:rsidP="004C49B7">
      <w:pPr>
        <w:pStyle w:val="NormalWeb"/>
        <w:spacing w:before="0" w:beforeAutospacing="0" w:after="0" w:afterAutospacing="0"/>
        <w:ind w:firstLine="708"/>
        <w:jc w:val="both"/>
        <w:rPr>
          <w:rFonts w:ascii="Century Gothic" w:hAnsi="Century Gothic" w:cs="Arial"/>
          <w:color w:val="000000"/>
          <w:sz w:val="18"/>
          <w:szCs w:val="18"/>
        </w:rPr>
      </w:pPr>
      <w:r w:rsidRPr="00464ACB">
        <w:rPr>
          <w:rFonts w:ascii="Century Gothic" w:hAnsi="Century Gothic" w:cs="Arial"/>
          <w:color w:val="000000"/>
          <w:sz w:val="18"/>
          <w:szCs w:val="18"/>
        </w:rPr>
        <w:t>3.3. Razón de cobertura de intereses: utilidad operacional dividida por los gastos de intereses.</w:t>
      </w:r>
    </w:p>
    <w:p w14:paraId="474475E6" w14:textId="24CAB686" w:rsidR="001118AB" w:rsidRPr="00464ACB" w:rsidRDefault="001118AB" w:rsidP="004C49B7">
      <w:pPr>
        <w:pStyle w:val="NormalWeb"/>
        <w:spacing w:before="0" w:beforeAutospacing="0" w:after="0" w:afterAutospacing="0"/>
        <w:ind w:firstLine="708"/>
        <w:jc w:val="both"/>
        <w:rPr>
          <w:rFonts w:ascii="Century Gothic" w:hAnsi="Century Gothic" w:cs="Arial"/>
          <w:color w:val="000000"/>
          <w:sz w:val="18"/>
          <w:szCs w:val="18"/>
        </w:rPr>
      </w:pPr>
      <w:r w:rsidRPr="00464ACB">
        <w:rPr>
          <w:rFonts w:ascii="Century Gothic" w:hAnsi="Century Gothic" w:cs="Arial"/>
          <w:color w:val="000000"/>
          <w:sz w:val="18"/>
          <w:szCs w:val="18"/>
        </w:rPr>
        <w:t>4. Capacidad Organizacional – los siguientes indicadores miden el rendimiento de las inversiones y la eficiencia en el uso de activos del interesado:</w:t>
      </w:r>
    </w:p>
    <w:p w14:paraId="286BE354" w14:textId="52BFB34D" w:rsidR="001118AB" w:rsidRPr="00464ACB" w:rsidRDefault="001118AB" w:rsidP="004C49B7">
      <w:pPr>
        <w:pStyle w:val="NormalWeb"/>
        <w:spacing w:before="0" w:beforeAutospacing="0" w:after="0" w:afterAutospacing="0"/>
        <w:ind w:firstLine="708"/>
        <w:jc w:val="both"/>
        <w:rPr>
          <w:rFonts w:ascii="Century Gothic" w:hAnsi="Century Gothic" w:cs="Arial"/>
          <w:color w:val="000000"/>
          <w:sz w:val="18"/>
          <w:szCs w:val="18"/>
        </w:rPr>
      </w:pPr>
      <w:r w:rsidRPr="00464ACB">
        <w:rPr>
          <w:rFonts w:ascii="Century Gothic" w:hAnsi="Century Gothic" w:cs="Arial"/>
          <w:color w:val="000000"/>
          <w:sz w:val="18"/>
          <w:szCs w:val="18"/>
        </w:rPr>
        <w:t>4.1. Rentabilidad del patrimonio: utilidad operacional dividida por el patrimonio.</w:t>
      </w:r>
    </w:p>
    <w:p w14:paraId="6FA9DB18" w14:textId="77777777" w:rsidR="00FF6404" w:rsidRDefault="00FF6404" w:rsidP="00FF6404">
      <w:pPr>
        <w:pStyle w:val="NormalWeb"/>
        <w:spacing w:before="0" w:beforeAutospacing="0" w:after="0" w:afterAutospacing="0"/>
        <w:ind w:firstLine="708"/>
        <w:jc w:val="both"/>
        <w:rPr>
          <w:rFonts w:ascii="Century Gothic" w:hAnsi="Century Gothic" w:cs="Arial"/>
          <w:color w:val="000000"/>
          <w:sz w:val="18"/>
          <w:szCs w:val="18"/>
        </w:rPr>
      </w:pPr>
      <w:r>
        <w:rPr>
          <w:rFonts w:ascii="Century Gothic" w:hAnsi="Century Gothic" w:cs="Arial"/>
          <w:color w:val="000000"/>
          <w:sz w:val="18"/>
          <w:szCs w:val="18"/>
        </w:rPr>
        <w:t>4</w:t>
      </w:r>
      <w:r w:rsidR="001118AB" w:rsidRPr="00464ACB">
        <w:rPr>
          <w:rFonts w:ascii="Century Gothic" w:hAnsi="Century Gothic" w:cs="Arial"/>
          <w:color w:val="000000"/>
          <w:sz w:val="18"/>
          <w:szCs w:val="18"/>
        </w:rPr>
        <w:t>.2. Rentabilidad del activo: utilidad operacional dividida por el activo total</w:t>
      </w:r>
      <w:r w:rsidR="00CF5F23" w:rsidRPr="00464ACB">
        <w:rPr>
          <w:rFonts w:ascii="Century Gothic" w:hAnsi="Century Gothic" w:cs="Arial"/>
          <w:i/>
          <w:iCs/>
          <w:color w:val="000000"/>
          <w:sz w:val="18"/>
          <w:szCs w:val="18"/>
        </w:rPr>
        <w:t>”</w:t>
      </w:r>
      <w:r w:rsidR="001118AB" w:rsidRPr="00464ACB">
        <w:rPr>
          <w:rFonts w:ascii="Century Gothic" w:hAnsi="Century Gothic" w:cs="Arial"/>
          <w:color w:val="000000"/>
          <w:sz w:val="18"/>
          <w:szCs w:val="18"/>
        </w:rPr>
        <w:t>.</w:t>
      </w:r>
    </w:p>
    <w:p w14:paraId="7955CA76" w14:textId="4785B627" w:rsidR="001118AB" w:rsidRPr="00464ACB" w:rsidRDefault="001118AB" w:rsidP="00FF6404">
      <w:pPr>
        <w:pStyle w:val="NormalWeb"/>
        <w:spacing w:before="0" w:beforeAutospacing="0" w:after="0" w:afterAutospacing="0"/>
        <w:ind w:firstLine="708"/>
        <w:jc w:val="both"/>
        <w:rPr>
          <w:rFonts w:ascii="Century Gothic" w:hAnsi="Century Gothic" w:cs="Arial"/>
          <w:sz w:val="18"/>
          <w:szCs w:val="18"/>
        </w:rPr>
      </w:pPr>
      <w:r w:rsidRPr="00464ACB">
        <w:rPr>
          <w:rFonts w:ascii="Century Gothic" w:hAnsi="Century Gothic" w:cs="Arial"/>
          <w:sz w:val="18"/>
          <w:szCs w:val="18"/>
        </w:rPr>
        <w:t xml:space="preserve"> </w:t>
      </w:r>
    </w:p>
  </w:footnote>
  <w:footnote w:id="9">
    <w:p w14:paraId="70D7E29E" w14:textId="12A9EA46" w:rsidR="00464ACB" w:rsidRDefault="00464ACB" w:rsidP="00464ACB">
      <w:pPr>
        <w:pStyle w:val="Textonotapie"/>
        <w:ind w:firstLine="708"/>
        <w:rPr>
          <w:rFonts w:ascii="Century Gothic" w:hAnsi="Century Gothic"/>
          <w:sz w:val="18"/>
          <w:szCs w:val="18"/>
          <w:lang w:val="es-CO"/>
        </w:rPr>
      </w:pPr>
      <w:r w:rsidRPr="00464ACB">
        <w:rPr>
          <w:rStyle w:val="Refdenotaalpie"/>
          <w:rFonts w:ascii="Century Gothic" w:hAnsi="Century Gothic"/>
          <w:sz w:val="18"/>
          <w:szCs w:val="18"/>
        </w:rPr>
        <w:footnoteRef/>
      </w:r>
      <w:r w:rsidRPr="00464ACB">
        <w:rPr>
          <w:rFonts w:ascii="Century Gothic" w:hAnsi="Century Gothic"/>
          <w:sz w:val="18"/>
          <w:szCs w:val="18"/>
        </w:rPr>
        <w:t xml:space="preserve"> </w:t>
      </w:r>
      <w:r w:rsidRPr="00464ACB">
        <w:rPr>
          <w:rFonts w:ascii="Century Gothic" w:hAnsi="Century Gothic"/>
          <w:sz w:val="18"/>
          <w:szCs w:val="18"/>
          <w:lang w:val="es-CO"/>
        </w:rPr>
        <w:t xml:space="preserve">Ver en línea: </w:t>
      </w:r>
      <w:hyperlink r:id="rId2" w:history="1">
        <w:r w:rsidRPr="00464ACB">
          <w:rPr>
            <w:rStyle w:val="Hipervnculo"/>
            <w:rFonts w:ascii="Century Gothic" w:hAnsi="Century Gothic"/>
            <w:sz w:val="18"/>
            <w:szCs w:val="18"/>
            <w:lang w:val="es-CO"/>
          </w:rPr>
          <w:t>https://colombiacompra.gov.co/manuales-guias-y-pliegos-tipo/manuales-y-guias/manual-para-determinar-y-verificar-los-requisitos</w:t>
        </w:r>
      </w:hyperlink>
      <w:r w:rsidRPr="00464ACB">
        <w:rPr>
          <w:rFonts w:ascii="Century Gothic" w:hAnsi="Century Gothic"/>
          <w:sz w:val="18"/>
          <w:szCs w:val="18"/>
          <w:lang w:val="es-CO"/>
        </w:rPr>
        <w:t xml:space="preserve"> </w:t>
      </w:r>
    </w:p>
    <w:p w14:paraId="2C638233" w14:textId="77777777" w:rsidR="00FF6404" w:rsidRPr="00464ACB" w:rsidRDefault="00FF6404" w:rsidP="00464ACB">
      <w:pPr>
        <w:pStyle w:val="Textonotapie"/>
        <w:ind w:firstLine="708"/>
        <w:rPr>
          <w:rFonts w:ascii="Century Gothic" w:hAnsi="Century Gothic"/>
          <w:sz w:val="18"/>
          <w:szCs w:val="18"/>
          <w:lang w:val="es-CO"/>
        </w:rPr>
      </w:pPr>
    </w:p>
  </w:footnote>
  <w:footnote w:id="10">
    <w:p w14:paraId="6B450D65" w14:textId="04A699CB" w:rsidR="001118AB" w:rsidRPr="00464ACB" w:rsidRDefault="001118AB" w:rsidP="005B3FF1">
      <w:pPr>
        <w:pStyle w:val="Textonotapie"/>
        <w:jc w:val="both"/>
        <w:rPr>
          <w:rFonts w:ascii="Century Gothic" w:hAnsi="Century Gothic" w:cs="Arial"/>
          <w:sz w:val="18"/>
          <w:szCs w:val="18"/>
        </w:rPr>
      </w:pPr>
      <w:r w:rsidRPr="00464ACB">
        <w:rPr>
          <w:rFonts w:ascii="Century Gothic" w:hAnsi="Century Gothic" w:cs="Arial"/>
          <w:sz w:val="18"/>
          <w:szCs w:val="18"/>
        </w:rPr>
        <w:tab/>
      </w: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w:t>
      </w:r>
      <w:r w:rsidR="00CF5F23" w:rsidRPr="00464ACB">
        <w:rPr>
          <w:rFonts w:ascii="Century Gothic" w:hAnsi="Century Gothic" w:cs="Arial"/>
          <w:i/>
          <w:iCs/>
          <w:sz w:val="18"/>
          <w:szCs w:val="18"/>
        </w:rPr>
        <w:t>“</w:t>
      </w:r>
      <w:r w:rsidRPr="00464ACB">
        <w:rPr>
          <w:rFonts w:ascii="Century Gothic" w:hAnsi="Century Gothic" w:cs="Arial"/>
          <w:sz w:val="18"/>
          <w:szCs w:val="18"/>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r w:rsidR="00CF5F23" w:rsidRPr="00464ACB">
        <w:rPr>
          <w:rFonts w:ascii="Century Gothic" w:hAnsi="Century Gothic" w:cs="Arial"/>
          <w:i/>
          <w:iCs/>
          <w:sz w:val="18"/>
          <w:szCs w:val="18"/>
        </w:rPr>
        <w:t>”</w:t>
      </w:r>
      <w:r w:rsidRPr="00464ACB">
        <w:rPr>
          <w:rFonts w:ascii="Century Gothic" w:hAnsi="Century Gothic" w:cs="Arial"/>
          <w:sz w:val="18"/>
          <w:szCs w:val="18"/>
        </w:rPr>
        <w:t>.</w:t>
      </w:r>
    </w:p>
  </w:footnote>
  <w:footnote w:id="11">
    <w:p w14:paraId="1A1C0096" w14:textId="62BA1CA4" w:rsidR="00096D8C" w:rsidRPr="00464ACB" w:rsidRDefault="00096D8C" w:rsidP="005B3FF1">
      <w:pPr>
        <w:pStyle w:val="Textonotapie"/>
        <w:ind w:firstLine="709"/>
        <w:contextualSpacing/>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Ley 1150 de 2007: </w:t>
      </w:r>
      <w:r w:rsidR="00CF5F23" w:rsidRPr="00464ACB">
        <w:rPr>
          <w:rFonts w:ascii="Century Gothic" w:hAnsi="Century Gothic" w:cs="Arial"/>
          <w:i/>
          <w:iCs/>
          <w:sz w:val="18"/>
          <w:szCs w:val="18"/>
        </w:rPr>
        <w:t>“</w:t>
      </w:r>
      <w:r w:rsidRPr="00464ACB">
        <w:rPr>
          <w:rFonts w:ascii="Century Gothic" w:hAnsi="Century Gothic" w:cs="Arial"/>
          <w:sz w:val="18"/>
          <w:szCs w:val="18"/>
        </w:rPr>
        <w:t>Artículo 6. De la verificación de las condiciones de los proponentes.</w:t>
      </w:r>
    </w:p>
    <w:p w14:paraId="3F4F377C" w14:textId="77777777" w:rsidR="00096D8C" w:rsidRPr="00464ACB" w:rsidRDefault="00096D8C" w:rsidP="005B3FF1">
      <w:pPr>
        <w:pStyle w:val="Textonotapie"/>
        <w:ind w:firstLine="709"/>
        <w:contextualSpacing/>
        <w:jc w:val="both"/>
        <w:rPr>
          <w:rFonts w:ascii="Century Gothic" w:hAnsi="Century Gothic" w:cs="Arial"/>
          <w:sz w:val="18"/>
          <w:szCs w:val="18"/>
        </w:rPr>
      </w:pPr>
      <w:r w:rsidRPr="00464ACB">
        <w:rPr>
          <w:rFonts w:ascii="Century Gothic" w:hAnsi="Century Gothic" w:cs="Arial"/>
          <w:sz w:val="18"/>
          <w:szCs w:val="18"/>
        </w:rPr>
        <w:t>[…]</w:t>
      </w:r>
    </w:p>
    <w:p w14:paraId="5D106457" w14:textId="2B34165E" w:rsidR="00096D8C" w:rsidRPr="00464ACB" w:rsidRDefault="00CF5F23" w:rsidP="005B3FF1">
      <w:pPr>
        <w:pStyle w:val="Textonotapie"/>
        <w:ind w:firstLine="709"/>
        <w:contextualSpacing/>
        <w:jc w:val="both"/>
        <w:rPr>
          <w:rFonts w:ascii="Century Gothic" w:hAnsi="Century Gothic" w:cs="Arial"/>
          <w:sz w:val="18"/>
          <w:szCs w:val="18"/>
        </w:rPr>
      </w:pPr>
      <w:r w:rsidRPr="00464ACB">
        <w:rPr>
          <w:rFonts w:ascii="Century Gothic" w:hAnsi="Century Gothic" w:cs="Arial"/>
          <w:i/>
          <w:iCs/>
          <w:sz w:val="18"/>
          <w:szCs w:val="18"/>
        </w:rPr>
        <w:t>“</w:t>
      </w:r>
      <w:r w:rsidR="00096D8C" w:rsidRPr="00464ACB">
        <w:rPr>
          <w:rFonts w:ascii="Century Gothic" w:hAnsi="Century Gothic" w:cs="Arial"/>
          <w:sz w:val="18"/>
          <w:szCs w:val="18"/>
        </w:rPr>
        <w:t>6.1. […]</w:t>
      </w:r>
    </w:p>
    <w:p w14:paraId="58E644B5" w14:textId="3949063E" w:rsidR="00096D8C" w:rsidRPr="00464ACB" w:rsidRDefault="00CF5F23" w:rsidP="005B3FF1">
      <w:pPr>
        <w:pStyle w:val="Textonotapie"/>
        <w:ind w:firstLine="709"/>
        <w:contextualSpacing/>
        <w:jc w:val="both"/>
        <w:rPr>
          <w:rFonts w:ascii="Century Gothic" w:hAnsi="Century Gothic" w:cs="Arial"/>
          <w:sz w:val="18"/>
          <w:szCs w:val="18"/>
        </w:rPr>
      </w:pPr>
      <w:r w:rsidRPr="00464ACB">
        <w:rPr>
          <w:rFonts w:ascii="Century Gothic" w:hAnsi="Century Gothic" w:cs="Arial"/>
          <w:i/>
          <w:iCs/>
          <w:sz w:val="18"/>
          <w:szCs w:val="18"/>
        </w:rPr>
        <w:t>“</w:t>
      </w:r>
      <w:r w:rsidR="00096D8C" w:rsidRPr="00464ACB">
        <w:rPr>
          <w:rFonts w:ascii="Century Gothic" w:hAnsi="Century Gothic" w:cs="Arial"/>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4E6AB33" w14:textId="1AA03BAF" w:rsidR="00096D8C" w:rsidRPr="00464ACB" w:rsidRDefault="00CF5F23" w:rsidP="005B3FF1">
      <w:pPr>
        <w:pStyle w:val="Textonotapie"/>
        <w:ind w:firstLine="709"/>
        <w:contextualSpacing/>
        <w:jc w:val="both"/>
        <w:rPr>
          <w:rFonts w:ascii="Century Gothic" w:hAnsi="Century Gothic" w:cs="Arial"/>
          <w:sz w:val="18"/>
          <w:szCs w:val="18"/>
        </w:rPr>
      </w:pPr>
      <w:r w:rsidRPr="00464ACB">
        <w:rPr>
          <w:rFonts w:ascii="Century Gothic" w:hAnsi="Century Gothic" w:cs="Arial"/>
          <w:i/>
          <w:iCs/>
          <w:sz w:val="18"/>
          <w:szCs w:val="18"/>
        </w:rPr>
        <w:t>“</w:t>
      </w:r>
      <w:r w:rsidR="00096D8C" w:rsidRPr="00464ACB">
        <w:rPr>
          <w:rFonts w:ascii="Century Gothic" w:hAnsi="Century Gothic" w:cs="Arial"/>
          <w:sz w:val="18"/>
          <w:szCs w:val="18"/>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70427607" w14:textId="7711B827" w:rsidR="00096D8C" w:rsidRPr="00464ACB" w:rsidRDefault="00096D8C" w:rsidP="005B3FF1">
      <w:pPr>
        <w:pStyle w:val="Textonotapie"/>
        <w:ind w:firstLine="709"/>
        <w:contextualSpacing/>
        <w:jc w:val="both"/>
        <w:rPr>
          <w:rFonts w:ascii="Century Gothic" w:hAnsi="Century Gothic" w:cs="Arial"/>
          <w:sz w:val="18"/>
          <w:szCs w:val="18"/>
        </w:rPr>
      </w:pPr>
      <w:r w:rsidRPr="00464ACB">
        <w:rPr>
          <w:rFonts w:ascii="Century Gothic" w:hAnsi="Century Gothic" w:cs="Arial"/>
          <w:sz w:val="18"/>
          <w:szCs w:val="18"/>
        </w:rPr>
        <w:t>[…]</w:t>
      </w:r>
      <w:r w:rsidR="00CF5F23" w:rsidRPr="00464ACB">
        <w:rPr>
          <w:rFonts w:ascii="Century Gothic" w:hAnsi="Century Gothic" w:cs="Arial"/>
          <w:i/>
          <w:iCs/>
          <w:sz w:val="18"/>
          <w:szCs w:val="18"/>
        </w:rPr>
        <w:t>”</w:t>
      </w:r>
      <w:r w:rsidRPr="00464ACB">
        <w:rPr>
          <w:rFonts w:ascii="Century Gothic" w:hAnsi="Century Gothic" w:cs="Arial"/>
          <w:sz w:val="18"/>
          <w:szCs w:val="18"/>
        </w:rPr>
        <w:t>.</w:t>
      </w:r>
    </w:p>
    <w:p w14:paraId="40B6D4B7" w14:textId="77777777" w:rsidR="00096D8C" w:rsidRPr="00464ACB" w:rsidRDefault="00096D8C" w:rsidP="005B3FF1">
      <w:pPr>
        <w:pStyle w:val="Textonotapie"/>
        <w:ind w:firstLine="709"/>
        <w:contextualSpacing/>
        <w:jc w:val="both"/>
        <w:rPr>
          <w:rFonts w:ascii="Century Gothic" w:hAnsi="Century Gothic" w:cs="Arial"/>
          <w:sz w:val="18"/>
          <w:szCs w:val="18"/>
          <w:lang w:val="es-ES"/>
        </w:rPr>
      </w:pPr>
    </w:p>
  </w:footnote>
  <w:footnote w:id="12">
    <w:p w14:paraId="091C6C94" w14:textId="18965DA9" w:rsidR="00096D8C" w:rsidRPr="00464ACB" w:rsidRDefault="00096D8C" w:rsidP="005B3FF1">
      <w:pPr>
        <w:pStyle w:val="Textonotapie"/>
        <w:ind w:firstLine="709"/>
        <w:contextualSpacing/>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Consejo de Estado. Sección Tercera. Subsección A. Sentencia del 12 de febrero de 2014. </w:t>
      </w:r>
      <w:r w:rsidRPr="00464ACB">
        <w:rPr>
          <w:rFonts w:ascii="Century Gothic" w:hAnsi="Century Gothic" w:cs="Arial"/>
          <w:sz w:val="18"/>
          <w:szCs w:val="18"/>
        </w:rPr>
        <w:t xml:space="preserve">Exp. 31.753. C.P. Mauricio Fajardo Gómez: </w:t>
      </w:r>
      <w:r w:rsidR="00CF5F23" w:rsidRPr="00464ACB">
        <w:rPr>
          <w:rFonts w:ascii="Century Gothic" w:hAnsi="Century Gothic" w:cs="Arial"/>
          <w:i/>
          <w:iCs/>
          <w:sz w:val="18"/>
          <w:szCs w:val="18"/>
        </w:rPr>
        <w:t>“</w:t>
      </w:r>
      <w:r w:rsidRPr="00464ACB">
        <w:rPr>
          <w:rFonts w:ascii="Century Gothic" w:hAnsi="Century Gothic" w:cs="Arial"/>
          <w:sz w:val="18"/>
          <w:szCs w:val="18"/>
        </w:rPr>
        <w:t>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r w:rsidR="00CF5F23" w:rsidRPr="00464ACB">
        <w:rPr>
          <w:rFonts w:ascii="Century Gothic" w:hAnsi="Century Gothic" w:cs="Arial"/>
          <w:i/>
          <w:iCs/>
          <w:sz w:val="18"/>
          <w:szCs w:val="18"/>
        </w:rPr>
        <w:t>”</w:t>
      </w:r>
      <w:r w:rsidRPr="00464ACB">
        <w:rPr>
          <w:rFonts w:ascii="Century Gothic" w:hAnsi="Century Gothic" w:cs="Arial"/>
          <w:sz w:val="18"/>
          <w:szCs w:val="18"/>
        </w:rPr>
        <w:t>.</w:t>
      </w:r>
    </w:p>
    <w:p w14:paraId="227E2449" w14:textId="77777777" w:rsidR="00096D8C" w:rsidRPr="00464ACB" w:rsidRDefault="00096D8C" w:rsidP="005B3FF1">
      <w:pPr>
        <w:pStyle w:val="Textonotapie"/>
        <w:ind w:firstLine="709"/>
        <w:contextualSpacing/>
        <w:jc w:val="both"/>
        <w:rPr>
          <w:rFonts w:ascii="Century Gothic" w:hAnsi="Century Gothic" w:cs="Arial"/>
          <w:sz w:val="18"/>
          <w:szCs w:val="18"/>
          <w:lang w:val="es-ES"/>
        </w:rPr>
      </w:pPr>
    </w:p>
  </w:footnote>
  <w:footnote w:id="13">
    <w:p w14:paraId="5C42D90A" w14:textId="5A968D0C" w:rsidR="00096D8C" w:rsidRPr="00464ACB" w:rsidRDefault="00096D8C" w:rsidP="005B3FF1">
      <w:pPr>
        <w:pStyle w:val="Textonotapie"/>
        <w:ind w:firstLine="709"/>
        <w:contextualSpacing/>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Ley 1150 de 2007: </w:t>
      </w:r>
      <w:r w:rsidR="00CF5F23" w:rsidRPr="00464ACB">
        <w:rPr>
          <w:rFonts w:ascii="Century Gothic" w:hAnsi="Century Gothic" w:cs="Arial"/>
          <w:i/>
          <w:iCs/>
          <w:sz w:val="18"/>
          <w:szCs w:val="18"/>
        </w:rPr>
        <w:t>“</w:t>
      </w:r>
      <w:r w:rsidRPr="00464ACB">
        <w:rPr>
          <w:rFonts w:ascii="Century Gothic" w:hAnsi="Century Gothic" w:cs="Arial"/>
          <w:sz w:val="18"/>
          <w:szCs w:val="18"/>
        </w:rPr>
        <w:t xml:space="preserve">Artículo 6.  De la verificación de las condiciones de los proponentes. </w:t>
      </w:r>
    </w:p>
    <w:p w14:paraId="0B8D2A48" w14:textId="77777777" w:rsidR="00096D8C" w:rsidRPr="00464ACB" w:rsidRDefault="00096D8C" w:rsidP="005B3FF1">
      <w:pPr>
        <w:pStyle w:val="Textonotapie"/>
        <w:ind w:firstLine="709"/>
        <w:contextualSpacing/>
        <w:jc w:val="both"/>
        <w:rPr>
          <w:rFonts w:ascii="Century Gothic" w:hAnsi="Century Gothic" w:cs="Arial"/>
          <w:sz w:val="18"/>
          <w:szCs w:val="18"/>
        </w:rPr>
      </w:pPr>
      <w:r w:rsidRPr="00464ACB">
        <w:rPr>
          <w:rFonts w:ascii="Century Gothic" w:hAnsi="Century Gothic" w:cs="Arial"/>
          <w:sz w:val="18"/>
          <w:szCs w:val="18"/>
        </w:rPr>
        <w:t xml:space="preserve">[...] </w:t>
      </w:r>
    </w:p>
    <w:p w14:paraId="419BB0DF" w14:textId="52DF158F" w:rsidR="00096D8C" w:rsidRPr="00464ACB" w:rsidRDefault="00CF5F23" w:rsidP="005B3FF1">
      <w:pPr>
        <w:pStyle w:val="Textonotapie"/>
        <w:ind w:firstLine="709"/>
        <w:contextualSpacing/>
        <w:jc w:val="both"/>
        <w:rPr>
          <w:rFonts w:ascii="Century Gothic" w:hAnsi="Century Gothic" w:cs="Arial"/>
          <w:sz w:val="18"/>
          <w:szCs w:val="18"/>
        </w:rPr>
      </w:pPr>
      <w:r w:rsidRPr="00464ACB">
        <w:rPr>
          <w:rFonts w:ascii="Century Gothic" w:hAnsi="Century Gothic" w:cs="Arial"/>
          <w:i/>
          <w:iCs/>
          <w:sz w:val="18"/>
          <w:szCs w:val="18"/>
        </w:rPr>
        <w:t>“</w:t>
      </w:r>
      <w:r w:rsidR="00096D8C" w:rsidRPr="00464ACB">
        <w:rPr>
          <w:rFonts w:ascii="Century Gothic" w:hAnsi="Century Gothic" w:cs="Arial"/>
          <w:sz w:val="18"/>
          <w:szCs w:val="18"/>
        </w:rPr>
        <w:t>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0CDD3501" w14:textId="7D7ACBE9" w:rsidR="00096D8C" w:rsidRPr="00464ACB" w:rsidRDefault="00096D8C" w:rsidP="005B3FF1">
      <w:pPr>
        <w:pStyle w:val="Textonotapie"/>
        <w:ind w:firstLine="709"/>
        <w:contextualSpacing/>
        <w:jc w:val="both"/>
        <w:rPr>
          <w:rFonts w:ascii="Century Gothic" w:hAnsi="Century Gothic" w:cs="Arial"/>
          <w:sz w:val="18"/>
          <w:szCs w:val="18"/>
        </w:rPr>
      </w:pPr>
      <w:r w:rsidRPr="00464ACB">
        <w:rPr>
          <w:rFonts w:ascii="Century Gothic" w:hAnsi="Century Gothic" w:cs="Arial"/>
          <w:sz w:val="18"/>
          <w:szCs w:val="18"/>
        </w:rPr>
        <w:t>[...]</w:t>
      </w:r>
      <w:r w:rsidR="00CF5F23" w:rsidRPr="00464ACB">
        <w:rPr>
          <w:rFonts w:ascii="Century Gothic" w:hAnsi="Century Gothic" w:cs="Arial"/>
          <w:i/>
          <w:iCs/>
          <w:sz w:val="18"/>
          <w:szCs w:val="18"/>
        </w:rPr>
        <w:t>”</w:t>
      </w:r>
      <w:r w:rsidRPr="00464ACB">
        <w:rPr>
          <w:rFonts w:ascii="Century Gothic" w:hAnsi="Century Gothic" w:cs="Arial"/>
          <w:sz w:val="18"/>
          <w:szCs w:val="18"/>
        </w:rPr>
        <w:t xml:space="preserve">. </w:t>
      </w:r>
    </w:p>
    <w:p w14:paraId="1D47209C" w14:textId="77777777" w:rsidR="00096D8C" w:rsidRPr="00464ACB" w:rsidRDefault="00096D8C" w:rsidP="005B3FF1">
      <w:pPr>
        <w:pStyle w:val="Textonotapie"/>
        <w:ind w:firstLine="709"/>
        <w:contextualSpacing/>
        <w:jc w:val="both"/>
        <w:rPr>
          <w:rFonts w:ascii="Century Gothic" w:hAnsi="Century Gothic" w:cs="Arial"/>
          <w:sz w:val="18"/>
          <w:szCs w:val="18"/>
        </w:rPr>
      </w:pPr>
    </w:p>
  </w:footnote>
  <w:footnote w:id="14">
    <w:p w14:paraId="4CBAD1D2" w14:textId="3B1DF5A1" w:rsidR="00096D8C" w:rsidRPr="00464ACB" w:rsidRDefault="00096D8C" w:rsidP="005B3FF1">
      <w:pPr>
        <w:pStyle w:val="Textonotapie"/>
        <w:ind w:firstLine="709"/>
        <w:contextualSpacing/>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w:t>
      </w:r>
      <w:r w:rsidR="00CF5F23" w:rsidRPr="00464ACB">
        <w:rPr>
          <w:rFonts w:ascii="Century Gothic" w:hAnsi="Century Gothic" w:cs="Arial"/>
          <w:i/>
          <w:iCs/>
          <w:sz w:val="18"/>
          <w:szCs w:val="18"/>
        </w:rPr>
        <w:t>“</w:t>
      </w:r>
      <w:r w:rsidRPr="00464ACB">
        <w:rPr>
          <w:rFonts w:ascii="Century Gothic" w:hAnsi="Century Gothic" w:cs="Arial"/>
          <w:sz w:val="18"/>
          <w:szCs w:val="18"/>
        </w:rPr>
        <w:t>6.1. [...] No obstante lo anterior, sólo en aquellos casos en que por las características del objeto a contratar se requiera la verificación de requisitos del proponente adicionales a los contenidos en el Registro, la entidad podrá hacer tal verificación en forma directa</w:t>
      </w:r>
      <w:r w:rsidR="00CF5F23" w:rsidRPr="00464ACB">
        <w:rPr>
          <w:rFonts w:ascii="Century Gothic" w:hAnsi="Century Gothic" w:cs="Arial"/>
          <w:i/>
          <w:iCs/>
          <w:sz w:val="18"/>
          <w:szCs w:val="18"/>
        </w:rPr>
        <w:t>”</w:t>
      </w:r>
      <w:r w:rsidRPr="00464ACB">
        <w:rPr>
          <w:rFonts w:ascii="Century Gothic" w:hAnsi="Century Gothic" w:cs="Arial"/>
          <w:sz w:val="18"/>
          <w:szCs w:val="18"/>
        </w:rPr>
        <w:t>.</w:t>
      </w:r>
    </w:p>
    <w:p w14:paraId="36103444" w14:textId="77777777" w:rsidR="00096D8C" w:rsidRPr="00464ACB" w:rsidRDefault="00096D8C" w:rsidP="005B3FF1">
      <w:pPr>
        <w:pStyle w:val="Textonotapie"/>
        <w:ind w:firstLine="709"/>
        <w:contextualSpacing/>
        <w:jc w:val="both"/>
        <w:rPr>
          <w:rFonts w:ascii="Century Gothic" w:hAnsi="Century Gothic" w:cs="Arial"/>
          <w:sz w:val="18"/>
          <w:szCs w:val="18"/>
        </w:rPr>
      </w:pPr>
    </w:p>
  </w:footnote>
  <w:footnote w:id="15">
    <w:p w14:paraId="59658259" w14:textId="77777777" w:rsidR="00096D8C" w:rsidRPr="00464ACB" w:rsidRDefault="00096D8C" w:rsidP="005B3FF1">
      <w:pPr>
        <w:pStyle w:val="Textonotapie"/>
        <w:ind w:firstLine="708"/>
        <w:contextualSpacing/>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Como se señaló, el artículo 6 de la Ley 1150 de 2007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p>
    <w:p w14:paraId="2646793C" w14:textId="77777777" w:rsidR="00096D8C" w:rsidRPr="00464ACB" w:rsidRDefault="00096D8C" w:rsidP="005B3FF1">
      <w:pPr>
        <w:pStyle w:val="Textonotapie"/>
        <w:ind w:firstLine="708"/>
        <w:contextualSpacing/>
        <w:jc w:val="both"/>
        <w:rPr>
          <w:rFonts w:ascii="Century Gothic" w:hAnsi="Century Gothic" w:cs="Arial"/>
          <w:sz w:val="18"/>
          <w:szCs w:val="18"/>
          <w:lang w:val="es-CO"/>
        </w:rPr>
      </w:pPr>
    </w:p>
  </w:footnote>
  <w:footnote w:id="16">
    <w:p w14:paraId="016BF60F" w14:textId="1FC0527A" w:rsidR="0068463E" w:rsidRPr="00464ACB" w:rsidRDefault="0068463E" w:rsidP="005B3FF1">
      <w:pPr>
        <w:pStyle w:val="Textonotapie"/>
        <w:ind w:firstLine="708"/>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Decreto 1082 de 2015: </w:t>
      </w:r>
      <w:r w:rsidR="00CF5F23" w:rsidRPr="00464ACB">
        <w:rPr>
          <w:rFonts w:ascii="Century Gothic" w:hAnsi="Century Gothic" w:cs="Arial"/>
          <w:i/>
          <w:iCs/>
          <w:sz w:val="18"/>
          <w:szCs w:val="18"/>
        </w:rPr>
        <w:t>“</w:t>
      </w:r>
      <w:r w:rsidRPr="00464ACB">
        <w:rPr>
          <w:rFonts w:ascii="Century Gothic" w:hAnsi="Century Gothic" w:cs="Arial"/>
          <w:sz w:val="18"/>
          <w:szCs w:val="18"/>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r w:rsidR="00CF5F23" w:rsidRPr="00464ACB">
        <w:rPr>
          <w:rFonts w:ascii="Century Gothic" w:hAnsi="Century Gothic" w:cs="Arial"/>
          <w:i/>
          <w:iCs/>
          <w:sz w:val="18"/>
          <w:szCs w:val="18"/>
        </w:rPr>
        <w:t>”</w:t>
      </w:r>
      <w:r w:rsidRPr="00464ACB">
        <w:rPr>
          <w:rFonts w:ascii="Century Gothic" w:hAnsi="Century Gothic" w:cs="Arial"/>
          <w:sz w:val="18"/>
          <w:szCs w:val="18"/>
        </w:rPr>
        <w:t>.</w:t>
      </w:r>
    </w:p>
    <w:p w14:paraId="25CB5A85" w14:textId="77777777" w:rsidR="0068463E" w:rsidRPr="00464ACB" w:rsidRDefault="0068463E" w:rsidP="005B3FF1">
      <w:pPr>
        <w:pStyle w:val="Textonotapie"/>
        <w:ind w:firstLine="708"/>
        <w:jc w:val="both"/>
        <w:rPr>
          <w:rFonts w:ascii="Century Gothic" w:hAnsi="Century Gothic" w:cs="Arial"/>
          <w:sz w:val="18"/>
          <w:szCs w:val="18"/>
          <w:lang w:val="es-ES"/>
        </w:rPr>
      </w:pPr>
    </w:p>
  </w:footnote>
  <w:footnote w:id="17">
    <w:p w14:paraId="055C5539" w14:textId="77777777" w:rsidR="0068463E" w:rsidRPr="00464ACB" w:rsidRDefault="0068463E" w:rsidP="005B3FF1">
      <w:pPr>
        <w:pStyle w:val="Textonotapie"/>
        <w:ind w:firstLine="709"/>
        <w:jc w:val="both"/>
        <w:rPr>
          <w:rFonts w:ascii="Century Gothic" w:hAnsi="Century Gothic" w:cs="Arial"/>
          <w:sz w:val="18"/>
          <w:szCs w:val="18"/>
          <w:lang w:val="es-ES"/>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w:t>
      </w:r>
      <w:r w:rsidRPr="00464ACB">
        <w:rPr>
          <w:rFonts w:ascii="Century Gothic" w:hAnsi="Century Gothic" w:cs="Arial"/>
          <w:sz w:val="18"/>
          <w:szCs w:val="18"/>
          <w:lang w:val="es-ES"/>
        </w:rPr>
        <w:t xml:space="preserve">Disponible en: </w:t>
      </w:r>
      <w:hyperlink r:id="rId3" w:history="1">
        <w:r w:rsidRPr="00464ACB">
          <w:rPr>
            <w:rStyle w:val="Hipervnculo"/>
            <w:rFonts w:ascii="Century Gothic" w:eastAsiaTheme="majorEastAsia" w:hAnsi="Century Gothic" w:cs="Arial"/>
            <w:sz w:val="18"/>
            <w:szCs w:val="18"/>
          </w:rPr>
          <w:t>https://www.colombiacompra.gov.co/sites/cce_public/files/cce_documents/cce_manual_requisitos_habilitantes.pdf</w:t>
        </w:r>
      </w:hyperlink>
      <w:r w:rsidRPr="00464ACB">
        <w:rPr>
          <w:rFonts w:ascii="Century Gothic" w:hAnsi="Century Gothic" w:cs="Arial"/>
          <w:sz w:val="18"/>
          <w:szCs w:val="18"/>
          <w:lang w:val="es-ES"/>
        </w:rPr>
        <w:t xml:space="preserve">. </w:t>
      </w:r>
    </w:p>
  </w:footnote>
  <w:footnote w:id="18">
    <w:p w14:paraId="423E0D76" w14:textId="77777777" w:rsidR="0068463E" w:rsidRPr="00464ACB" w:rsidRDefault="0068463E" w:rsidP="005B3FF1">
      <w:pPr>
        <w:pStyle w:val="Textonotapie"/>
        <w:ind w:firstLine="709"/>
        <w:jc w:val="both"/>
        <w:rPr>
          <w:rFonts w:ascii="Century Gothic" w:hAnsi="Century Gothic" w:cs="Arial"/>
          <w:sz w:val="18"/>
          <w:szCs w:val="18"/>
        </w:rPr>
      </w:pPr>
    </w:p>
    <w:p w14:paraId="61974E54" w14:textId="77777777" w:rsidR="0068463E" w:rsidRPr="00464ACB" w:rsidRDefault="0068463E" w:rsidP="005B3FF1">
      <w:pPr>
        <w:pStyle w:val="Textonotapie"/>
        <w:ind w:firstLine="709"/>
        <w:jc w:val="both"/>
        <w:rPr>
          <w:rFonts w:ascii="Century Gothic" w:hAnsi="Century Gothic" w:cs="Arial"/>
          <w:sz w:val="18"/>
          <w:szCs w:val="18"/>
          <w:lang w:val="es-ES"/>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w:t>
      </w:r>
      <w:r w:rsidRPr="00464ACB">
        <w:rPr>
          <w:rFonts w:ascii="Century Gothic" w:hAnsi="Century Gothic" w:cs="Arial"/>
          <w:sz w:val="18"/>
          <w:szCs w:val="18"/>
          <w:lang w:val="es-ES"/>
        </w:rPr>
        <w:t>Ibidem.</w:t>
      </w:r>
    </w:p>
  </w:footnote>
  <w:footnote w:id="19">
    <w:p w14:paraId="04A4E89A" w14:textId="77777777" w:rsidR="0068463E" w:rsidRPr="00464ACB" w:rsidRDefault="0068463E" w:rsidP="005B3FF1">
      <w:pPr>
        <w:pStyle w:val="Textonotapie"/>
        <w:ind w:firstLine="708"/>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p w14:paraId="457C07A1" w14:textId="77777777" w:rsidR="0068463E" w:rsidRPr="00464ACB" w:rsidRDefault="0068463E" w:rsidP="005B3FF1">
      <w:pPr>
        <w:pStyle w:val="Textonotapie"/>
        <w:ind w:firstLine="708"/>
        <w:jc w:val="both"/>
        <w:rPr>
          <w:rFonts w:ascii="Century Gothic" w:hAnsi="Century Gothic" w:cs="Arial"/>
          <w:sz w:val="18"/>
          <w:szCs w:val="18"/>
          <w:lang w:val="es-ES"/>
        </w:rPr>
      </w:pPr>
    </w:p>
  </w:footnote>
  <w:footnote w:id="20">
    <w:p w14:paraId="423D815B" w14:textId="77777777" w:rsidR="0068463E" w:rsidRPr="00464ACB" w:rsidRDefault="0068463E" w:rsidP="005B3FF1">
      <w:pPr>
        <w:pStyle w:val="Textonotapie"/>
        <w:ind w:firstLine="708"/>
        <w:jc w:val="both"/>
        <w:rPr>
          <w:rFonts w:ascii="Century Gothic" w:hAnsi="Century Gothic" w:cs="Arial"/>
          <w:sz w:val="18"/>
          <w:szCs w:val="18"/>
          <w:lang w:val="es-ES"/>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w:t>
      </w:r>
      <w:r w:rsidRPr="00464ACB">
        <w:rPr>
          <w:rFonts w:ascii="Century Gothic" w:hAnsi="Century Gothic" w:cs="Arial"/>
          <w:sz w:val="18"/>
          <w:szCs w:val="18"/>
          <w:lang w:val="es-ES"/>
        </w:rPr>
        <w:t xml:space="preserve">Agencia Nacional de Contratación Pública – Colombia Compra Eficiente, Manual para determinar y verificar los requisitos habilitantes en los Procesos de Contratación. El citado Manual puede ser consultado en el siguiente en lace: </w:t>
      </w:r>
      <w:hyperlink r:id="rId4" w:history="1">
        <w:r w:rsidRPr="00464ACB">
          <w:rPr>
            <w:rStyle w:val="Hipervnculo"/>
            <w:rFonts w:ascii="Century Gothic" w:eastAsiaTheme="majorEastAsia" w:hAnsi="Century Gothic" w:cs="Arial"/>
            <w:sz w:val="18"/>
            <w:szCs w:val="18"/>
          </w:rPr>
          <w:t>https://colombiacompra.gov.co/sites/default/files/manuales/20140901_manual_requisitos_habilitantes_4_web.pdf</w:t>
        </w:r>
      </w:hyperlink>
      <w:r w:rsidRPr="00464ACB">
        <w:rPr>
          <w:rFonts w:ascii="Century Gothic" w:hAnsi="Century Gothic" w:cs="Arial"/>
          <w:sz w:val="18"/>
          <w:szCs w:val="18"/>
          <w:lang w:val="es-ES"/>
        </w:rPr>
        <w:t xml:space="preserve">. </w:t>
      </w:r>
    </w:p>
    <w:p w14:paraId="4C98600B" w14:textId="77777777" w:rsidR="0068463E" w:rsidRPr="00464ACB" w:rsidRDefault="0068463E" w:rsidP="005B3FF1">
      <w:pPr>
        <w:pStyle w:val="Textonotapie"/>
        <w:ind w:firstLine="567"/>
        <w:jc w:val="both"/>
        <w:rPr>
          <w:rFonts w:ascii="Century Gothic" w:hAnsi="Century Gothic" w:cs="Arial"/>
          <w:sz w:val="18"/>
          <w:szCs w:val="18"/>
          <w:lang w:val="es-ES"/>
        </w:rPr>
      </w:pPr>
    </w:p>
  </w:footnote>
  <w:footnote w:id="21">
    <w:p w14:paraId="0CA953A0" w14:textId="77777777" w:rsidR="0068463E" w:rsidRPr="00464ACB" w:rsidRDefault="0068463E" w:rsidP="005B3FF1">
      <w:pPr>
        <w:pStyle w:val="Textonotapie"/>
        <w:ind w:firstLine="709"/>
        <w:jc w:val="both"/>
        <w:rPr>
          <w:rFonts w:ascii="Century Gothic" w:hAnsi="Century Gothic" w:cs="Arial"/>
          <w:sz w:val="18"/>
          <w:szCs w:val="18"/>
          <w:lang w:val="es-ES"/>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w:t>
      </w:r>
      <w:r w:rsidRPr="00464ACB">
        <w:rPr>
          <w:rFonts w:ascii="Century Gothic" w:hAnsi="Century Gothic" w:cs="Arial"/>
          <w:sz w:val="18"/>
          <w:szCs w:val="18"/>
        </w:rPr>
        <w:t>Ibídem.</w:t>
      </w:r>
    </w:p>
  </w:footnote>
  <w:footnote w:id="22">
    <w:p w14:paraId="56F9DB7E" w14:textId="07171C54" w:rsidR="0068463E" w:rsidRPr="00464ACB" w:rsidRDefault="0068463E" w:rsidP="005B3FF1">
      <w:pPr>
        <w:pStyle w:val="Textonotapie"/>
        <w:ind w:firstLine="709"/>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Dice el Manual que: </w:t>
      </w:r>
      <w:r w:rsidR="00CF5F23" w:rsidRPr="00464ACB">
        <w:rPr>
          <w:rFonts w:ascii="Century Gothic" w:hAnsi="Century Gothic" w:cs="Arial"/>
          <w:i/>
          <w:iCs/>
          <w:sz w:val="18"/>
          <w:szCs w:val="18"/>
        </w:rPr>
        <w:t>“</w:t>
      </w:r>
      <w:r w:rsidRPr="00464ACB">
        <w:rPr>
          <w:rFonts w:ascii="Century Gothic" w:hAnsi="Century Gothic" w:cs="Arial"/>
          <w:sz w:val="18"/>
          <w:szCs w:val="18"/>
        </w:rPr>
        <w:t>[...] En atención a la naturaleza del contrato a suscribir y de su valor, plazo y forma de pago, la Entidad Estatal debe hacer uso de los indicadores que considere adecuados respecto al objeto del Proceso de Contratación.</w:t>
      </w:r>
    </w:p>
    <w:p w14:paraId="4A665DB8" w14:textId="2A32B283" w:rsidR="0068463E" w:rsidRPr="00464ACB" w:rsidRDefault="00CF5F23" w:rsidP="005B3FF1">
      <w:pPr>
        <w:pStyle w:val="Textonotapie"/>
        <w:ind w:firstLine="709"/>
        <w:jc w:val="both"/>
        <w:rPr>
          <w:rFonts w:ascii="Century Gothic" w:hAnsi="Century Gothic" w:cs="Arial"/>
          <w:sz w:val="18"/>
          <w:szCs w:val="18"/>
        </w:rPr>
      </w:pPr>
      <w:r w:rsidRPr="00464ACB">
        <w:rPr>
          <w:rFonts w:ascii="Century Gothic" w:hAnsi="Century Gothic" w:cs="Arial"/>
          <w:i/>
          <w:iCs/>
          <w:sz w:val="18"/>
          <w:szCs w:val="18"/>
        </w:rPr>
        <w:t>“</w:t>
      </w:r>
      <w:r w:rsidR="0068463E" w:rsidRPr="00464ACB">
        <w:rPr>
          <w:rFonts w:ascii="Century Gothic" w:hAnsi="Century Gothic" w:cs="Arial"/>
          <w:sz w:val="18"/>
          <w:szCs w:val="18"/>
        </w:rPr>
        <w:t>Las Entidades Estatales no deben limitarse a determinar y aplicar de forma mecánica fórmulas financieras para determinar los indicadores. Deben conocer cada indicador, sus fórmulas de cálculo y su interpretación</w:t>
      </w:r>
      <w:r w:rsidRPr="00464ACB">
        <w:rPr>
          <w:rFonts w:ascii="Century Gothic" w:hAnsi="Century Gothic" w:cs="Arial"/>
          <w:i/>
          <w:iCs/>
          <w:sz w:val="18"/>
          <w:szCs w:val="18"/>
        </w:rPr>
        <w:t>”</w:t>
      </w:r>
      <w:r w:rsidR="0068463E" w:rsidRPr="00464ACB">
        <w:rPr>
          <w:rFonts w:ascii="Century Gothic" w:hAnsi="Century Gothic" w:cs="Arial"/>
          <w:sz w:val="18"/>
          <w:szCs w:val="18"/>
        </w:rPr>
        <w:t>.</w:t>
      </w:r>
    </w:p>
  </w:footnote>
  <w:footnote w:id="23">
    <w:p w14:paraId="542639BA" w14:textId="22A37E52" w:rsidR="0068463E" w:rsidRPr="00464ACB" w:rsidRDefault="0068463E" w:rsidP="005B3FF1">
      <w:pPr>
        <w:pStyle w:val="Textonotapie"/>
        <w:ind w:firstLine="709"/>
        <w:jc w:val="both"/>
        <w:rPr>
          <w:rFonts w:ascii="Century Gothic" w:hAnsi="Century Gothic" w:cs="Arial"/>
          <w:sz w:val="18"/>
          <w:szCs w:val="18"/>
          <w:lang w:val="es-ES"/>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Al respecto, el Manual indica: </w:t>
      </w:r>
      <w:r w:rsidR="00CF5F23" w:rsidRPr="00464ACB">
        <w:rPr>
          <w:rFonts w:ascii="Century Gothic" w:hAnsi="Century Gothic" w:cs="Arial"/>
          <w:i/>
          <w:iCs/>
          <w:sz w:val="18"/>
          <w:szCs w:val="18"/>
        </w:rPr>
        <w:t>“</w:t>
      </w:r>
      <w:r w:rsidRPr="00464ACB">
        <w:rPr>
          <w:rFonts w:ascii="Century Gothic" w:hAnsi="Century Gothic" w:cs="Arial"/>
          <w:sz w:val="18"/>
          <w:szCs w:val="18"/>
        </w:rPr>
        <w:t>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r w:rsidR="00CF5F23" w:rsidRPr="00464ACB">
        <w:rPr>
          <w:rFonts w:ascii="Century Gothic" w:hAnsi="Century Gothic" w:cs="Arial"/>
          <w:i/>
          <w:iCs/>
          <w:sz w:val="18"/>
          <w:szCs w:val="18"/>
        </w:rPr>
        <w:t>”</w:t>
      </w:r>
      <w:r w:rsidRPr="00464ACB">
        <w:rPr>
          <w:rFonts w:ascii="Century Gothic" w:hAnsi="Century Gothic" w:cs="Arial"/>
          <w:sz w:val="18"/>
          <w:szCs w:val="18"/>
        </w:rPr>
        <w:t>.</w:t>
      </w:r>
    </w:p>
  </w:footnote>
  <w:footnote w:id="24">
    <w:p w14:paraId="46307332" w14:textId="77777777" w:rsidR="00AA24D4" w:rsidRPr="00464ACB" w:rsidRDefault="00AA24D4" w:rsidP="005B3FF1">
      <w:pPr>
        <w:pStyle w:val="Textonotapie"/>
        <w:ind w:firstLine="708"/>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4BC00E5E" w14:textId="77777777"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rPr>
        <w:t>1. Experiencia – Los contratos celebrados por el interesado para cada uno de los bienes, obras y servicios que ofrecerá a las Entidades Estatales, identificados con el Clasificador de Bienes y Servicios en el tercer nivel y su valor expresado en SMMLV.</w:t>
      </w:r>
    </w:p>
    <w:p w14:paraId="21F417BF" w14:textId="77777777"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rPr>
        <w:t>[...]”.</w:t>
      </w:r>
    </w:p>
    <w:p w14:paraId="2C3FCDEF" w14:textId="77777777" w:rsidR="00AA24D4" w:rsidRPr="00464ACB" w:rsidRDefault="00AA24D4" w:rsidP="005B3FF1">
      <w:pPr>
        <w:pStyle w:val="Textonotapie"/>
        <w:ind w:firstLine="708"/>
        <w:jc w:val="both"/>
        <w:rPr>
          <w:rFonts w:ascii="Century Gothic" w:hAnsi="Century Gothic" w:cs="Arial"/>
          <w:sz w:val="18"/>
          <w:szCs w:val="18"/>
        </w:rPr>
      </w:pPr>
    </w:p>
  </w:footnote>
  <w:footnote w:id="25">
    <w:p w14:paraId="26CC119B" w14:textId="77777777" w:rsidR="00AA24D4" w:rsidRPr="00464ACB" w:rsidRDefault="00AA24D4" w:rsidP="005B3FF1">
      <w:pPr>
        <w:pStyle w:val="Textonotapie"/>
        <w:ind w:firstLine="708"/>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DCC4198" w14:textId="77777777"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rPr>
        <w:t>[...]</w:t>
      </w:r>
    </w:p>
    <w:p w14:paraId="1FFD5FB4" w14:textId="77777777"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64D3D0D" w14:textId="55BB8A12"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rPr>
        <w:t xml:space="preserve">No </w:t>
      </w:r>
      <w:r w:rsidR="008D5B25" w:rsidRPr="00464ACB">
        <w:rPr>
          <w:rFonts w:ascii="Century Gothic" w:hAnsi="Century Gothic" w:cs="Arial"/>
          <w:sz w:val="18"/>
          <w:szCs w:val="18"/>
        </w:rPr>
        <w:t>obstante,</w:t>
      </w:r>
      <w:r w:rsidRPr="00464ACB">
        <w:rPr>
          <w:rFonts w:ascii="Century Gothic" w:hAnsi="Century Gothic" w:cs="Arial"/>
          <w:sz w:val="18"/>
          <w:szCs w:val="18"/>
        </w:rPr>
        <w:t xml:space="preserv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26">
    <w:p w14:paraId="6C2C128E" w14:textId="77777777" w:rsidR="00AA24D4" w:rsidRPr="00464ACB" w:rsidRDefault="00AA24D4" w:rsidP="005B3FF1">
      <w:pPr>
        <w:pStyle w:val="Textonotapie"/>
        <w:ind w:firstLine="708"/>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1D0D4EF" w14:textId="77777777"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rPr>
        <w:t>1.    Si es una persona natural:</w:t>
      </w:r>
    </w:p>
    <w:p w14:paraId="7385BEB2" w14:textId="77777777"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rPr>
        <w:t>1.1. Bienes, obras y servicios que ofrecerá a las Entidades Estatales, identificados con el Clasificador de Bienes y Servicios en el tercer nivel.</w:t>
      </w:r>
    </w:p>
    <w:p w14:paraId="6CF1A5D4" w14:textId="77777777"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0D7396E7" w14:textId="77777777" w:rsidR="00AA24D4" w:rsidRPr="00464ACB" w:rsidRDefault="00AA24D4" w:rsidP="005B3FF1">
      <w:pPr>
        <w:pStyle w:val="Textonotapie"/>
        <w:ind w:firstLine="708"/>
        <w:jc w:val="both"/>
        <w:rPr>
          <w:rFonts w:ascii="Century Gothic" w:hAnsi="Century Gothic" w:cs="Arial"/>
          <w:sz w:val="18"/>
          <w:szCs w:val="18"/>
        </w:rPr>
      </w:pPr>
    </w:p>
  </w:footnote>
  <w:footnote w:id="27">
    <w:p w14:paraId="2670CA27" w14:textId="77777777" w:rsidR="00AA24D4" w:rsidRPr="00464ACB" w:rsidRDefault="00AA24D4" w:rsidP="005B3FF1">
      <w:pPr>
        <w:pStyle w:val="Textonotapie"/>
        <w:ind w:firstLine="708"/>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5007F06A" w14:textId="77777777"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5B9EFFD4" w14:textId="77777777"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rPr>
        <w:t>[...]</w:t>
      </w:r>
    </w:p>
    <w:p w14:paraId="7DC94260" w14:textId="77777777"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2D045F54" w14:textId="77777777"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1BC9D623" w14:textId="77777777"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rPr>
        <w:t>[...]”.</w:t>
      </w:r>
    </w:p>
  </w:footnote>
  <w:footnote w:id="28">
    <w:p w14:paraId="78FCE54C" w14:textId="77777777" w:rsidR="00AA24D4" w:rsidRPr="00464ACB" w:rsidRDefault="00AA24D4" w:rsidP="005B3FF1">
      <w:pPr>
        <w:pStyle w:val="Textonotapie"/>
        <w:ind w:firstLine="708"/>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8F57F16" w14:textId="77777777"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rPr>
        <w:t>[…]</w:t>
      </w:r>
    </w:p>
    <w:p w14:paraId="1D1926D1" w14:textId="77777777"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shd w:val="clear" w:color="auto" w:fill="FFFFFF"/>
        </w:rPr>
        <w:t>2.1.   Bienes, obras y servicios que ofrecerá a las Entidades Estatales, identificados con el Clasificador de Bienes y Servicios en el tercer nivel</w:t>
      </w:r>
      <w:r w:rsidRPr="00464ACB">
        <w:rPr>
          <w:rFonts w:ascii="Century Gothic" w:hAnsi="Century Gothic" w:cs="Arial"/>
          <w:sz w:val="18"/>
          <w:szCs w:val="18"/>
        </w:rPr>
        <w:t>”</w:t>
      </w:r>
      <w:r w:rsidRPr="00464ACB">
        <w:rPr>
          <w:rFonts w:ascii="Century Gothic" w:hAnsi="Century Gothic" w:cs="Arial"/>
          <w:sz w:val="18"/>
          <w:szCs w:val="18"/>
          <w:shd w:val="clear" w:color="auto" w:fill="FFFFFF"/>
        </w:rPr>
        <w:t>.</w:t>
      </w:r>
    </w:p>
  </w:footnote>
  <w:footnote w:id="29">
    <w:p w14:paraId="68F2DFC3" w14:textId="77777777" w:rsidR="00AA24D4" w:rsidRPr="00464ACB" w:rsidRDefault="00AA24D4" w:rsidP="005B3FF1">
      <w:pPr>
        <w:pStyle w:val="Textonotapie"/>
        <w:ind w:firstLine="708"/>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87F32C0" w14:textId="77777777" w:rsidR="00AA24D4" w:rsidRPr="00464ACB" w:rsidRDefault="00AA24D4" w:rsidP="005B3FF1">
      <w:pPr>
        <w:pStyle w:val="Textonotapie"/>
        <w:ind w:firstLine="708"/>
        <w:jc w:val="both"/>
        <w:rPr>
          <w:rFonts w:ascii="Century Gothic" w:hAnsi="Century Gothic" w:cs="Arial"/>
          <w:sz w:val="18"/>
          <w:szCs w:val="18"/>
        </w:rPr>
      </w:pPr>
      <w:r w:rsidRPr="00464ACB">
        <w:rPr>
          <w:rFonts w:ascii="Century Gothic" w:hAnsi="Century Gothic" w:cs="Arial"/>
          <w:sz w:val="18"/>
          <w:szCs w:val="18"/>
        </w:rPr>
        <w:t>[…]</w:t>
      </w:r>
    </w:p>
    <w:p w14:paraId="52CAD3B4" w14:textId="77777777" w:rsidR="00AA24D4" w:rsidRPr="00464ACB" w:rsidRDefault="00AA24D4" w:rsidP="005B3FF1">
      <w:pPr>
        <w:pStyle w:val="Textonotapie"/>
        <w:ind w:firstLine="708"/>
        <w:jc w:val="both"/>
        <w:rPr>
          <w:rFonts w:ascii="Century Gothic" w:hAnsi="Century Gothic" w:cs="Arial"/>
          <w:sz w:val="18"/>
          <w:szCs w:val="18"/>
          <w:lang w:val="es-CO"/>
        </w:rPr>
      </w:pPr>
      <w:r w:rsidRPr="00464ACB">
        <w:rPr>
          <w:rFonts w:ascii="Century Gothic" w:hAnsi="Century Gothic" w:cs="Arial"/>
          <w:sz w:val="18"/>
          <w:szCs w:val="18"/>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r w:rsidRPr="00464ACB">
        <w:rPr>
          <w:rFonts w:ascii="Century Gothic" w:hAnsi="Century Gothic" w:cs="Arial"/>
          <w:sz w:val="18"/>
          <w:szCs w:val="18"/>
        </w:rPr>
        <w:t>”.</w:t>
      </w:r>
    </w:p>
  </w:footnote>
  <w:footnote w:id="30">
    <w:p w14:paraId="4A288611" w14:textId="77777777" w:rsidR="00AA24D4" w:rsidRPr="00464ACB" w:rsidRDefault="00AA24D4" w:rsidP="005B3FF1">
      <w:pPr>
        <w:pStyle w:val="Textocomentario"/>
        <w:ind w:firstLine="708"/>
        <w:jc w:val="both"/>
        <w:rPr>
          <w:rFonts w:ascii="Century Gothic" w:hAnsi="Century Gothic" w:cs="Arial"/>
          <w:sz w:val="18"/>
          <w:szCs w:val="18"/>
        </w:rPr>
      </w:pPr>
      <w:r w:rsidRPr="00464ACB">
        <w:rPr>
          <w:rStyle w:val="Refdenotaalpie"/>
          <w:rFonts w:ascii="Century Gothic" w:hAnsi="Century Gothic" w:cs="Arial"/>
          <w:sz w:val="18"/>
          <w:szCs w:val="18"/>
        </w:rPr>
        <w:footnoteRef/>
      </w:r>
      <w:r w:rsidRPr="00464ACB">
        <w:rPr>
          <w:rFonts w:ascii="Century Gothic" w:hAnsi="Century Gothic" w:cs="Arial"/>
          <w:sz w:val="18"/>
          <w:szCs w:val="18"/>
        </w:rPr>
        <w:t xml:space="preserve"> En el marco del Estado de emergencia económica, social y ecológica declarado por el Gobierno Nacional a través del Decreto 417 de 2020, a causa de la pandemia mundial desatada por el virus del </w:t>
      </w:r>
      <w:r w:rsidRPr="00464ACB">
        <w:rPr>
          <w:rFonts w:ascii="Century Gothic" w:hAnsi="Century Gothic" w:cs="Arial"/>
          <w:sz w:val="18"/>
          <w:szCs w:val="18"/>
        </w:rPr>
        <w:t>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31">
    <w:p w14:paraId="53407CB8" w14:textId="2BF3E7D6" w:rsidR="00812B4C" w:rsidRPr="00464ACB" w:rsidRDefault="00812B4C" w:rsidP="005B3FF1">
      <w:pPr>
        <w:pStyle w:val="Textonotapie"/>
        <w:ind w:firstLine="709"/>
        <w:jc w:val="both"/>
        <w:rPr>
          <w:rFonts w:ascii="Century Gothic" w:hAnsi="Century Gothic" w:cs="Arial"/>
          <w:color w:val="000000"/>
          <w:sz w:val="18"/>
          <w:szCs w:val="18"/>
        </w:rPr>
      </w:pPr>
      <w:r w:rsidRPr="00464ACB">
        <w:rPr>
          <w:rStyle w:val="Refdenotaalpie"/>
          <w:rFonts w:ascii="Century Gothic" w:hAnsi="Century Gothic" w:cs="Arial"/>
          <w:color w:val="000000"/>
          <w:sz w:val="18"/>
          <w:szCs w:val="18"/>
        </w:rPr>
        <w:footnoteRef/>
      </w:r>
      <w:r w:rsidRPr="00464ACB">
        <w:rPr>
          <w:rFonts w:ascii="Century Gothic" w:hAnsi="Century Gothic" w:cs="Arial"/>
          <w:color w:val="000000"/>
          <w:sz w:val="18"/>
          <w:szCs w:val="18"/>
        </w:rPr>
        <w:t xml:space="preserve"> Al respecto, la jurisprudencia explica que </w:t>
      </w:r>
      <w:r w:rsidR="00CF5F23" w:rsidRPr="00464ACB">
        <w:rPr>
          <w:rFonts w:ascii="Century Gothic" w:hAnsi="Century Gothic" w:cs="Arial"/>
          <w:i/>
          <w:iCs/>
          <w:color w:val="000000"/>
          <w:sz w:val="18"/>
          <w:szCs w:val="18"/>
        </w:rPr>
        <w:t>“</w:t>
      </w:r>
      <w:r w:rsidRPr="00464ACB">
        <w:rPr>
          <w:rFonts w:ascii="Century Gothic" w:hAnsi="Century Gothic" w:cs="Arial"/>
          <w:color w:val="000000"/>
          <w:sz w:val="18"/>
          <w:szCs w:val="18"/>
        </w:rPr>
        <w:t>[…]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w:t>
      </w:r>
      <w:r w:rsidR="00CF5F23" w:rsidRPr="00464ACB">
        <w:rPr>
          <w:rFonts w:ascii="Century Gothic" w:hAnsi="Century Gothic" w:cs="Arial"/>
          <w:i/>
          <w:iCs/>
          <w:color w:val="000000"/>
          <w:sz w:val="18"/>
          <w:szCs w:val="18"/>
        </w:rPr>
        <w:t>”</w:t>
      </w:r>
      <w:r w:rsidRPr="00464ACB">
        <w:rPr>
          <w:rFonts w:ascii="Century Gothic" w:hAnsi="Century Gothic" w:cs="Arial"/>
          <w:color w:val="000000"/>
          <w:sz w:val="18"/>
          <w:szCs w:val="18"/>
        </w:rPr>
        <w:t xml:space="preserve"> (CONSEJO DE ESTADO. Sección Tercera. Subsección A. Sentencia del 3 de octubre de 2012. </w:t>
      </w:r>
      <w:r w:rsidRPr="00464ACB">
        <w:rPr>
          <w:rFonts w:ascii="Century Gothic" w:hAnsi="Century Gothic" w:cs="Arial"/>
          <w:color w:val="000000"/>
          <w:sz w:val="18"/>
          <w:szCs w:val="18"/>
        </w:rPr>
        <w:t>Exp. 26.140. C.P. Carlos Alberto Zambrano Barrera).</w:t>
      </w:r>
    </w:p>
    <w:p w14:paraId="6BFD736F" w14:textId="77777777" w:rsidR="00812B4C" w:rsidRPr="00464ACB" w:rsidRDefault="00812B4C" w:rsidP="005B3FF1">
      <w:pPr>
        <w:pStyle w:val="Textonotapie"/>
        <w:ind w:firstLine="709"/>
        <w:jc w:val="both"/>
        <w:rPr>
          <w:rFonts w:ascii="Century Gothic" w:hAnsi="Century Gothic" w:cs="Arial"/>
          <w:color w:val="000000"/>
          <w:sz w:val="18"/>
          <w:szCs w:val="18"/>
        </w:rPr>
      </w:pPr>
    </w:p>
  </w:footnote>
  <w:footnote w:id="32">
    <w:p w14:paraId="75426C4C" w14:textId="0E6603E3" w:rsidR="00812B4C" w:rsidRPr="00464ACB" w:rsidRDefault="00812B4C" w:rsidP="005B3FF1">
      <w:pPr>
        <w:pStyle w:val="Textonotapie"/>
        <w:ind w:firstLine="709"/>
        <w:jc w:val="both"/>
        <w:rPr>
          <w:rFonts w:ascii="Century Gothic" w:hAnsi="Century Gothic" w:cs="Arial"/>
          <w:color w:val="000000"/>
          <w:sz w:val="18"/>
          <w:szCs w:val="18"/>
        </w:rPr>
      </w:pPr>
      <w:r w:rsidRPr="00464ACB">
        <w:rPr>
          <w:rStyle w:val="Refdenotaalpie"/>
          <w:rFonts w:ascii="Century Gothic" w:hAnsi="Century Gothic" w:cs="Arial"/>
          <w:color w:val="000000"/>
          <w:sz w:val="18"/>
          <w:szCs w:val="18"/>
        </w:rPr>
        <w:footnoteRef/>
      </w:r>
      <w:r w:rsidRPr="00464ACB">
        <w:rPr>
          <w:rFonts w:ascii="Century Gothic" w:hAnsi="Century Gothic" w:cs="Arial"/>
          <w:color w:val="000000"/>
          <w:sz w:val="18"/>
          <w:szCs w:val="18"/>
        </w:rPr>
        <w:t xml:space="preserve"> Ambas normas disponen lo siguiente: </w:t>
      </w:r>
      <w:r w:rsidR="00CF5F23" w:rsidRPr="00464ACB">
        <w:rPr>
          <w:rFonts w:ascii="Century Gothic" w:hAnsi="Century Gothic" w:cs="Arial"/>
          <w:i/>
          <w:iCs/>
          <w:color w:val="000000"/>
          <w:sz w:val="18"/>
          <w:szCs w:val="18"/>
        </w:rPr>
        <w:t>“</w:t>
      </w:r>
      <w:r w:rsidRPr="00464ACB">
        <w:rPr>
          <w:rFonts w:ascii="Century Gothic" w:hAnsi="Century Gothic" w:cs="Arial"/>
          <w:color w:val="000000"/>
          <w:sz w:val="18"/>
          <w:szCs w:val="18"/>
        </w:rPr>
        <w:t>5) Contratación mínima cuantía. La contratación cuyo valor no excede del 10 por ciento de la menor cuantía de la entidad independientemente de su objeto, se efectuará de conformidad con las siguientes reglas:</w:t>
      </w:r>
    </w:p>
    <w:p w14:paraId="10418CEF" w14:textId="0FEF3FFF" w:rsidR="00812B4C" w:rsidRPr="00464ACB" w:rsidRDefault="00CF5F23" w:rsidP="005B3FF1">
      <w:pPr>
        <w:pStyle w:val="Textonotapie"/>
        <w:ind w:firstLine="709"/>
        <w:jc w:val="both"/>
        <w:rPr>
          <w:rFonts w:ascii="Century Gothic" w:hAnsi="Century Gothic" w:cs="Arial"/>
          <w:color w:val="000000"/>
          <w:sz w:val="18"/>
          <w:szCs w:val="18"/>
        </w:rPr>
      </w:pPr>
      <w:r w:rsidRPr="00464ACB">
        <w:rPr>
          <w:rFonts w:ascii="Century Gothic" w:hAnsi="Century Gothic" w:cs="Arial"/>
          <w:i/>
          <w:iCs/>
          <w:color w:val="000000"/>
          <w:sz w:val="18"/>
          <w:szCs w:val="18"/>
        </w:rPr>
        <w:t>“</w:t>
      </w:r>
      <w:r w:rsidR="00812B4C" w:rsidRPr="00464ACB">
        <w:rPr>
          <w:rFonts w:ascii="Century Gothic" w:hAnsi="Century Gothic" w:cs="Arial"/>
          <w:color w:val="000000"/>
          <w:sz w:val="18"/>
          <w:szCs w:val="18"/>
        </w:rPr>
        <w:t>a) Se publicará una invitación, por un término no inferior a un día hábil, en la cual se señalará el objeto a contratar, el presupuesto destinado para tal fin, así como las condiciones técnicas exigidas;</w:t>
      </w:r>
    </w:p>
    <w:p w14:paraId="3DC860E6" w14:textId="32FD884F" w:rsidR="00812B4C" w:rsidRPr="00464ACB" w:rsidRDefault="00CF5F23" w:rsidP="005B3FF1">
      <w:pPr>
        <w:pStyle w:val="Textonotapie"/>
        <w:ind w:firstLine="709"/>
        <w:jc w:val="both"/>
        <w:rPr>
          <w:rFonts w:ascii="Century Gothic" w:hAnsi="Century Gothic" w:cs="Arial"/>
          <w:color w:val="000000"/>
          <w:sz w:val="18"/>
          <w:szCs w:val="18"/>
        </w:rPr>
      </w:pPr>
      <w:r w:rsidRPr="00464ACB">
        <w:rPr>
          <w:rFonts w:ascii="Century Gothic" w:hAnsi="Century Gothic" w:cs="Arial"/>
          <w:i/>
          <w:iCs/>
          <w:color w:val="000000"/>
          <w:sz w:val="18"/>
          <w:szCs w:val="18"/>
        </w:rPr>
        <w:t>“</w:t>
      </w:r>
      <w:r w:rsidR="00812B4C" w:rsidRPr="00464ACB">
        <w:rPr>
          <w:rFonts w:ascii="Century Gothic" w:hAnsi="Century Gothic" w:cs="Arial"/>
          <w:color w:val="000000"/>
          <w:sz w:val="18"/>
          <w:szCs w:val="18"/>
        </w:rPr>
        <w:t>b) El término previsto en la invitación para presentar la oferta no podrá ser inferior a un día hábil;</w:t>
      </w:r>
    </w:p>
    <w:p w14:paraId="4B3A3A9C" w14:textId="49A60F57" w:rsidR="00812B4C" w:rsidRPr="00464ACB" w:rsidRDefault="00CF5F23" w:rsidP="005B3FF1">
      <w:pPr>
        <w:pStyle w:val="Textonotapie"/>
        <w:ind w:firstLine="709"/>
        <w:jc w:val="both"/>
        <w:rPr>
          <w:rFonts w:ascii="Century Gothic" w:hAnsi="Century Gothic" w:cs="Arial"/>
          <w:color w:val="000000"/>
          <w:sz w:val="18"/>
          <w:szCs w:val="18"/>
        </w:rPr>
      </w:pPr>
      <w:r w:rsidRPr="00464ACB">
        <w:rPr>
          <w:rFonts w:ascii="Century Gothic" w:hAnsi="Century Gothic" w:cs="Arial"/>
          <w:i/>
          <w:iCs/>
          <w:color w:val="000000"/>
          <w:sz w:val="18"/>
          <w:szCs w:val="18"/>
        </w:rPr>
        <w:t>“</w:t>
      </w:r>
      <w:r w:rsidR="00812B4C" w:rsidRPr="00464ACB">
        <w:rPr>
          <w:rFonts w:ascii="Century Gothic" w:hAnsi="Century Gothic" w:cs="Arial"/>
          <w:color w:val="000000"/>
          <w:sz w:val="18"/>
          <w:szCs w:val="18"/>
        </w:rPr>
        <w:t>c) La entidad seleccionará, mediante comunicación de aceptación de la oferta, la propuesta con el menor precio, siempre y cuando cumpla con las condiciones exigidas;</w:t>
      </w:r>
    </w:p>
    <w:p w14:paraId="13E75176" w14:textId="45378ACB" w:rsidR="00812B4C" w:rsidRPr="00464ACB" w:rsidRDefault="00CF5F23" w:rsidP="005B3FF1">
      <w:pPr>
        <w:pStyle w:val="Textonotapie"/>
        <w:ind w:firstLine="709"/>
        <w:jc w:val="both"/>
        <w:rPr>
          <w:rFonts w:ascii="Century Gothic" w:hAnsi="Century Gothic" w:cs="Arial"/>
          <w:color w:val="000000"/>
          <w:sz w:val="18"/>
          <w:szCs w:val="18"/>
          <w:lang w:val="es-ES"/>
        </w:rPr>
      </w:pPr>
      <w:r w:rsidRPr="00464ACB">
        <w:rPr>
          <w:rFonts w:ascii="Century Gothic" w:hAnsi="Century Gothic" w:cs="Arial"/>
          <w:i/>
          <w:iCs/>
          <w:color w:val="000000"/>
          <w:sz w:val="18"/>
          <w:szCs w:val="18"/>
        </w:rPr>
        <w:t>“</w:t>
      </w:r>
      <w:r w:rsidR="00812B4C" w:rsidRPr="00464ACB">
        <w:rPr>
          <w:rFonts w:ascii="Century Gothic" w:hAnsi="Century Gothic" w:cs="Arial"/>
          <w:color w:val="000000"/>
          <w:sz w:val="18"/>
          <w:szCs w:val="18"/>
        </w:rPr>
        <w:t>d) La comunicación de aceptación junto con la oferta constituye para todos los efectos el contrato celebrado, con base en lo cual se efectuará el respectivo registro presupuestal</w:t>
      </w:r>
      <w:r w:rsidRPr="00464ACB">
        <w:rPr>
          <w:rFonts w:ascii="Century Gothic" w:hAnsi="Century Gothic" w:cs="Arial"/>
          <w:i/>
          <w:iCs/>
          <w:color w:val="000000"/>
          <w:sz w:val="18"/>
          <w:szCs w:val="18"/>
        </w:rPr>
        <w:t>”</w:t>
      </w:r>
      <w:r w:rsidR="00812B4C" w:rsidRPr="00464ACB">
        <w:rPr>
          <w:rFonts w:ascii="Century Gothic" w:hAnsi="Century Gothic" w:cs="Arial"/>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rPr>
    </w:pPr>
    <w:r w:rsidRPr="004A305D">
      <w:rPr>
        <w:rFonts w:ascii="Century Gothic" w:eastAsia="Geo" w:hAnsi="Century Gothic" w:cs="Geo"/>
        <w:b/>
        <w:color w:val="000000"/>
        <w:sz w:val="16"/>
        <w:szCs w:val="16"/>
      </w:rPr>
      <w:t xml:space="preserve">Código: </w:t>
    </w:r>
    <w:r w:rsidRPr="004A305D">
      <w:rPr>
        <w:rFonts w:ascii="Century Gothic" w:eastAsia="Geo" w:hAnsi="Century Gothic" w:cs="Geo"/>
        <w:bCs/>
        <w:color w:val="000000"/>
        <w:sz w:val="16"/>
        <w:szCs w:val="16"/>
      </w:rPr>
      <w:t>CCE-</w:t>
    </w:r>
    <w:r w:rsidR="00CB6357">
      <w:rPr>
        <w:rFonts w:ascii="Century Gothic" w:eastAsia="Geo" w:hAnsi="Century Gothic" w:cs="Geo"/>
        <w:bCs/>
        <w:color w:val="000000"/>
        <w:sz w:val="16"/>
        <w:szCs w:val="16"/>
      </w:rPr>
      <w:t>REC</w:t>
    </w:r>
    <w:r w:rsidRPr="004A305D">
      <w:rPr>
        <w:rFonts w:ascii="Century Gothic" w:eastAsia="Geo" w:hAnsi="Century Gothic" w:cs="Geo"/>
        <w:bCs/>
        <w:color w:val="000000"/>
        <w:sz w:val="16"/>
        <w:szCs w:val="16"/>
      </w:rPr>
      <w:t>-FM-</w:t>
    </w:r>
    <w:r w:rsidR="00CB6357">
      <w:rPr>
        <w:rFonts w:ascii="Century Gothic" w:eastAsia="Geo" w:hAnsi="Century Gothic" w:cs="Geo"/>
        <w:bCs/>
        <w:color w:val="000000"/>
        <w:sz w:val="16"/>
        <w:szCs w:val="16"/>
      </w:rPr>
      <w:t>13</w:t>
    </w:r>
  </w:p>
  <w:p w14:paraId="5E18350A" w14:textId="3833E343" w:rsidR="004A305D" w:rsidRPr="004A305D" w:rsidRDefault="004A305D" w:rsidP="004A305D">
    <w:pPr>
      <w:rPr>
        <w:rFonts w:ascii="Century Gothic" w:eastAsia="Geo" w:hAnsi="Century Gothic" w:cs="Geo"/>
        <w:sz w:val="16"/>
        <w:szCs w:val="16"/>
      </w:rPr>
    </w:pPr>
    <w:r w:rsidRPr="004A305D">
      <w:rPr>
        <w:rFonts w:ascii="Century Gothic" w:eastAsia="Geo" w:hAnsi="Century Gothic" w:cs="Geo"/>
        <w:b/>
        <w:color w:val="000000"/>
        <w:sz w:val="16"/>
        <w:szCs w:val="16"/>
      </w:rPr>
      <w:t>Versión</w:t>
    </w:r>
    <w:r w:rsidRPr="004A305D">
      <w:rPr>
        <w:rFonts w:ascii="Century Gothic" w:eastAsia="Arial Nova" w:hAnsi="Century Gothic" w:cs="Arial Nova"/>
        <w:b/>
        <w:color w:val="000000"/>
        <w:sz w:val="16"/>
        <w:szCs w:val="16"/>
      </w:rPr>
      <w:t xml:space="preserve">: </w:t>
    </w:r>
    <w:r w:rsidRPr="004A305D">
      <w:rPr>
        <w:rFonts w:ascii="Century Gothic" w:eastAsia="Geo" w:hAnsi="Century Gothic" w:cs="Geo"/>
        <w:sz w:val="16"/>
        <w:szCs w:val="16"/>
      </w:rPr>
      <w:t>0</w:t>
    </w:r>
    <w:r w:rsidR="00CB6357">
      <w:rPr>
        <w:rFonts w:ascii="Century Gothic" w:eastAsia="Geo" w:hAnsi="Century Gothic" w:cs="Geo"/>
        <w:sz w:val="16"/>
        <w:szCs w:val="16"/>
      </w:rPr>
      <w:t>1</w:t>
    </w:r>
    <w:r w:rsidRPr="004A305D">
      <w:rPr>
        <w:rFonts w:ascii="Century Gothic" w:eastAsia="Geo" w:hAnsi="Century Gothic" w:cs="Geo"/>
        <w:sz w:val="16"/>
        <w:szCs w:val="16"/>
      </w:rPr>
      <w:t xml:space="preserve"> DEL </w:t>
    </w:r>
    <w:r w:rsidR="00CB6357">
      <w:rPr>
        <w:rFonts w:ascii="Century Gothic" w:eastAsia="Geo" w:hAnsi="Century Gothic" w:cs="Geo"/>
        <w:sz w:val="16"/>
        <w:szCs w:val="16"/>
      </w:rPr>
      <w:t xml:space="preserve">15 </w:t>
    </w:r>
    <w:r w:rsidRPr="004A305D">
      <w:rPr>
        <w:rFonts w:ascii="Century Gothic" w:eastAsia="Geo" w:hAnsi="Century Gothic" w:cs="Geo"/>
        <w:sz w:val="16"/>
        <w:szCs w:val="16"/>
      </w:rPr>
      <w:t xml:space="preserve">DE </w:t>
    </w:r>
    <w:r w:rsidR="00961B09">
      <w:rPr>
        <w:rFonts w:ascii="Century Gothic" w:eastAsia="Geo" w:hAnsi="Century Gothic" w:cs="Geo"/>
        <w:sz w:val="16"/>
        <w:szCs w:val="16"/>
      </w:rPr>
      <w:t>JUNIO</w:t>
    </w:r>
    <w:r w:rsidRPr="004A305D">
      <w:rPr>
        <w:rFonts w:ascii="Century Gothic" w:eastAsia="Geo" w:hAnsi="Century Gothic" w:cs="Geo"/>
        <w:sz w:val="16"/>
        <w:szCs w:val="16"/>
      </w:rPr>
      <w:t xml:space="preserve"> DE 202</w:t>
    </w:r>
    <w:r w:rsidR="00961B09">
      <w:rPr>
        <w:rFonts w:ascii="Century Gothic" w:eastAsia="Geo" w:hAnsi="Century Gothic" w:cs="Geo"/>
        <w:sz w:val="16"/>
        <w:szCs w:val="16"/>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EA10B4"/>
    <w:multiLevelType w:val="hybridMultilevel"/>
    <w:tmpl w:val="166C8A8E"/>
    <w:lvl w:ilvl="0" w:tplc="3370B248">
      <w:start w:val="1"/>
      <w:numFmt w:val="decimal"/>
      <w:lvlText w:val="%1."/>
      <w:lvlJc w:val="left"/>
      <w:pPr>
        <w:ind w:left="765"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 w15:restartNumberingAfterBreak="0">
    <w:nsid w:val="30403860"/>
    <w:multiLevelType w:val="multilevel"/>
    <w:tmpl w:val="0DB899DC"/>
    <w:lvl w:ilvl="0">
      <w:start w:val="2"/>
      <w:numFmt w:val="decimal"/>
      <w:lvlText w:val="%1."/>
      <w:lvlJc w:val="left"/>
      <w:pPr>
        <w:ind w:left="360" w:hanging="360"/>
      </w:pPr>
      <w:rPr>
        <w:rFonts w:eastAsia="Calibri" w:hint="default"/>
      </w:rPr>
    </w:lvl>
    <w:lvl w:ilvl="1">
      <w:start w:val="4"/>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FB4D76"/>
    <w:multiLevelType w:val="multilevel"/>
    <w:tmpl w:val="F7309608"/>
    <w:lvl w:ilvl="0">
      <w:start w:val="2"/>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5F31268A"/>
    <w:multiLevelType w:val="multilevel"/>
    <w:tmpl w:val="696CC23C"/>
    <w:lvl w:ilvl="0">
      <w:start w:val="2"/>
      <w:numFmt w:val="decimal"/>
      <w:lvlText w:val="%1."/>
      <w:lvlJc w:val="left"/>
      <w:pPr>
        <w:ind w:left="360" w:hanging="360"/>
      </w:pPr>
      <w:rPr>
        <w:rFonts w:eastAsia="Calibri" w:hint="default"/>
      </w:rPr>
    </w:lvl>
    <w:lvl w:ilvl="1">
      <w:start w:val="5"/>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7" w15:restartNumberingAfterBreak="0">
    <w:nsid w:val="5F632390"/>
    <w:multiLevelType w:val="multilevel"/>
    <w:tmpl w:val="17D83164"/>
    <w:lvl w:ilvl="0">
      <w:start w:val="2"/>
      <w:numFmt w:val="decimal"/>
      <w:lvlText w:val="%1."/>
      <w:lvlJc w:val="left"/>
      <w:pPr>
        <w:ind w:left="360" w:hanging="360"/>
      </w:pPr>
      <w:rPr>
        <w:rFonts w:eastAsia="Calibri" w:hint="default"/>
      </w:rPr>
    </w:lvl>
    <w:lvl w:ilvl="1">
      <w:start w:val="3"/>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7CCD0A55"/>
    <w:multiLevelType w:val="multilevel"/>
    <w:tmpl w:val="05701A6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48779781">
    <w:abstractNumId w:val="4"/>
  </w:num>
  <w:num w:numId="2" w16cid:durableId="19822139">
    <w:abstractNumId w:val="0"/>
  </w:num>
  <w:num w:numId="3" w16cid:durableId="876742304">
    <w:abstractNumId w:val="3"/>
  </w:num>
  <w:num w:numId="4" w16cid:durableId="245186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 w:numId="6" w16cid:durableId="1925525957">
    <w:abstractNumId w:val="8"/>
  </w:num>
  <w:num w:numId="7" w16cid:durableId="678775055">
    <w:abstractNumId w:val="7"/>
  </w:num>
  <w:num w:numId="8" w16cid:durableId="2058431305">
    <w:abstractNumId w:val="2"/>
  </w:num>
  <w:num w:numId="9" w16cid:durableId="232665461">
    <w:abstractNumId w:val="6"/>
  </w:num>
  <w:num w:numId="10" w16cid:durableId="231161534">
    <w:abstractNumId w:val="1"/>
  </w:num>
  <w:num w:numId="11" w16cid:durableId="1435512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184"/>
    <w:rsid w:val="000245A2"/>
    <w:rsid w:val="0004499B"/>
    <w:rsid w:val="00054FCF"/>
    <w:rsid w:val="00060EEF"/>
    <w:rsid w:val="00073B18"/>
    <w:rsid w:val="0008654B"/>
    <w:rsid w:val="0008695F"/>
    <w:rsid w:val="0009253A"/>
    <w:rsid w:val="00096D8C"/>
    <w:rsid w:val="000A280A"/>
    <w:rsid w:val="000A375F"/>
    <w:rsid w:val="000A683E"/>
    <w:rsid w:val="000B19B9"/>
    <w:rsid w:val="000B49AD"/>
    <w:rsid w:val="000B501D"/>
    <w:rsid w:val="000B64E0"/>
    <w:rsid w:val="000C0F4F"/>
    <w:rsid w:val="000C3895"/>
    <w:rsid w:val="000C5077"/>
    <w:rsid w:val="000C6392"/>
    <w:rsid w:val="000D0334"/>
    <w:rsid w:val="000E7C6A"/>
    <w:rsid w:val="000F27FB"/>
    <w:rsid w:val="000F6486"/>
    <w:rsid w:val="001026D1"/>
    <w:rsid w:val="00107909"/>
    <w:rsid w:val="00107DFA"/>
    <w:rsid w:val="001118AB"/>
    <w:rsid w:val="00111F1E"/>
    <w:rsid w:val="00121C35"/>
    <w:rsid w:val="00123149"/>
    <w:rsid w:val="00125105"/>
    <w:rsid w:val="00127233"/>
    <w:rsid w:val="00134ECE"/>
    <w:rsid w:val="00140557"/>
    <w:rsid w:val="001426E6"/>
    <w:rsid w:val="00154AEC"/>
    <w:rsid w:val="00166EA1"/>
    <w:rsid w:val="00172BB6"/>
    <w:rsid w:val="00172DB8"/>
    <w:rsid w:val="00181DB8"/>
    <w:rsid w:val="00182FA9"/>
    <w:rsid w:val="00193E55"/>
    <w:rsid w:val="001947C8"/>
    <w:rsid w:val="001A25D6"/>
    <w:rsid w:val="001B1F56"/>
    <w:rsid w:val="001B2C33"/>
    <w:rsid w:val="001B349A"/>
    <w:rsid w:val="001C20C5"/>
    <w:rsid w:val="001C7F64"/>
    <w:rsid w:val="001D0347"/>
    <w:rsid w:val="001D063F"/>
    <w:rsid w:val="001D0F7F"/>
    <w:rsid w:val="001D5B1A"/>
    <w:rsid w:val="001E0816"/>
    <w:rsid w:val="001E4177"/>
    <w:rsid w:val="001F2364"/>
    <w:rsid w:val="001F416F"/>
    <w:rsid w:val="00202BDA"/>
    <w:rsid w:val="002226C7"/>
    <w:rsid w:val="002371AC"/>
    <w:rsid w:val="002402CC"/>
    <w:rsid w:val="002504DE"/>
    <w:rsid w:val="00253BF0"/>
    <w:rsid w:val="0025640D"/>
    <w:rsid w:val="00262FC9"/>
    <w:rsid w:val="00271CDC"/>
    <w:rsid w:val="0028229E"/>
    <w:rsid w:val="0028251A"/>
    <w:rsid w:val="002951A0"/>
    <w:rsid w:val="00295284"/>
    <w:rsid w:val="002962BC"/>
    <w:rsid w:val="002A093D"/>
    <w:rsid w:val="002A18CA"/>
    <w:rsid w:val="002A49AC"/>
    <w:rsid w:val="002A5047"/>
    <w:rsid w:val="002A64FD"/>
    <w:rsid w:val="002A73F0"/>
    <w:rsid w:val="002C7A84"/>
    <w:rsid w:val="002D4E41"/>
    <w:rsid w:val="002F4797"/>
    <w:rsid w:val="003116FB"/>
    <w:rsid w:val="00331225"/>
    <w:rsid w:val="0033601D"/>
    <w:rsid w:val="003448F4"/>
    <w:rsid w:val="00363960"/>
    <w:rsid w:val="003740BC"/>
    <w:rsid w:val="0038595A"/>
    <w:rsid w:val="00390826"/>
    <w:rsid w:val="00393920"/>
    <w:rsid w:val="003A2B85"/>
    <w:rsid w:val="003A779E"/>
    <w:rsid w:val="003C0036"/>
    <w:rsid w:val="003C4518"/>
    <w:rsid w:val="003C52C1"/>
    <w:rsid w:val="003C6366"/>
    <w:rsid w:val="003D0F4D"/>
    <w:rsid w:val="003D46C0"/>
    <w:rsid w:val="003D647C"/>
    <w:rsid w:val="003D6B0D"/>
    <w:rsid w:val="003E0499"/>
    <w:rsid w:val="003E5452"/>
    <w:rsid w:val="003F3941"/>
    <w:rsid w:val="00400548"/>
    <w:rsid w:val="00410887"/>
    <w:rsid w:val="0042550D"/>
    <w:rsid w:val="004507AF"/>
    <w:rsid w:val="00464ACB"/>
    <w:rsid w:val="004705CB"/>
    <w:rsid w:val="00475F22"/>
    <w:rsid w:val="00481557"/>
    <w:rsid w:val="004952AD"/>
    <w:rsid w:val="004A13C8"/>
    <w:rsid w:val="004A1847"/>
    <w:rsid w:val="004A305D"/>
    <w:rsid w:val="004B032F"/>
    <w:rsid w:val="004C0896"/>
    <w:rsid w:val="004C1FB2"/>
    <w:rsid w:val="004C3EDB"/>
    <w:rsid w:val="004C49B7"/>
    <w:rsid w:val="004C6C24"/>
    <w:rsid w:val="004D66A9"/>
    <w:rsid w:val="004F21C4"/>
    <w:rsid w:val="004F685F"/>
    <w:rsid w:val="005034EF"/>
    <w:rsid w:val="0051462B"/>
    <w:rsid w:val="00515978"/>
    <w:rsid w:val="00515A90"/>
    <w:rsid w:val="00545B49"/>
    <w:rsid w:val="0054727D"/>
    <w:rsid w:val="005475AB"/>
    <w:rsid w:val="005563C7"/>
    <w:rsid w:val="005566E8"/>
    <w:rsid w:val="00563354"/>
    <w:rsid w:val="00571BC8"/>
    <w:rsid w:val="00574867"/>
    <w:rsid w:val="00583371"/>
    <w:rsid w:val="00583D5D"/>
    <w:rsid w:val="005871F1"/>
    <w:rsid w:val="005A02BC"/>
    <w:rsid w:val="005A108A"/>
    <w:rsid w:val="005B3FF1"/>
    <w:rsid w:val="005B4001"/>
    <w:rsid w:val="005B7750"/>
    <w:rsid w:val="005C4FB3"/>
    <w:rsid w:val="005C5CDC"/>
    <w:rsid w:val="005D476C"/>
    <w:rsid w:val="005D7780"/>
    <w:rsid w:val="005F5A8D"/>
    <w:rsid w:val="005F71A5"/>
    <w:rsid w:val="0060472C"/>
    <w:rsid w:val="0060504C"/>
    <w:rsid w:val="00605454"/>
    <w:rsid w:val="006078FB"/>
    <w:rsid w:val="00607E26"/>
    <w:rsid w:val="00613E98"/>
    <w:rsid w:val="006219F8"/>
    <w:rsid w:val="00625413"/>
    <w:rsid w:val="00631DE8"/>
    <w:rsid w:val="00632DEF"/>
    <w:rsid w:val="00636E16"/>
    <w:rsid w:val="00637C61"/>
    <w:rsid w:val="006409C1"/>
    <w:rsid w:val="0064790A"/>
    <w:rsid w:val="00651439"/>
    <w:rsid w:val="00665D70"/>
    <w:rsid w:val="00674C6F"/>
    <w:rsid w:val="00674D70"/>
    <w:rsid w:val="0068463E"/>
    <w:rsid w:val="00687622"/>
    <w:rsid w:val="00691291"/>
    <w:rsid w:val="00694778"/>
    <w:rsid w:val="006A6A6D"/>
    <w:rsid w:val="006B2153"/>
    <w:rsid w:val="006C070C"/>
    <w:rsid w:val="006D14D3"/>
    <w:rsid w:val="006D5E52"/>
    <w:rsid w:val="006D62F0"/>
    <w:rsid w:val="006D65B3"/>
    <w:rsid w:val="006F34E8"/>
    <w:rsid w:val="00704A94"/>
    <w:rsid w:val="007053E4"/>
    <w:rsid w:val="00706C16"/>
    <w:rsid w:val="007337AB"/>
    <w:rsid w:val="00753089"/>
    <w:rsid w:val="0075520F"/>
    <w:rsid w:val="00756429"/>
    <w:rsid w:val="00756841"/>
    <w:rsid w:val="007568CC"/>
    <w:rsid w:val="00756EA7"/>
    <w:rsid w:val="00762A0A"/>
    <w:rsid w:val="00764069"/>
    <w:rsid w:val="007649AB"/>
    <w:rsid w:val="00770807"/>
    <w:rsid w:val="00772534"/>
    <w:rsid w:val="007753E7"/>
    <w:rsid w:val="007833AC"/>
    <w:rsid w:val="0078753C"/>
    <w:rsid w:val="00795124"/>
    <w:rsid w:val="007971EC"/>
    <w:rsid w:val="007A2B6A"/>
    <w:rsid w:val="007B4114"/>
    <w:rsid w:val="007B7171"/>
    <w:rsid w:val="007C14F7"/>
    <w:rsid w:val="007C2FF4"/>
    <w:rsid w:val="007C3DC2"/>
    <w:rsid w:val="007D5E02"/>
    <w:rsid w:val="007D6252"/>
    <w:rsid w:val="007D6802"/>
    <w:rsid w:val="007E28D7"/>
    <w:rsid w:val="007E5497"/>
    <w:rsid w:val="007F2E6C"/>
    <w:rsid w:val="008009EC"/>
    <w:rsid w:val="00802107"/>
    <w:rsid w:val="00806F5F"/>
    <w:rsid w:val="00812B4C"/>
    <w:rsid w:val="00814A33"/>
    <w:rsid w:val="00815422"/>
    <w:rsid w:val="00820278"/>
    <w:rsid w:val="0082531B"/>
    <w:rsid w:val="008449EB"/>
    <w:rsid w:val="00844F01"/>
    <w:rsid w:val="00853088"/>
    <w:rsid w:val="00855072"/>
    <w:rsid w:val="008664B2"/>
    <w:rsid w:val="008676CF"/>
    <w:rsid w:val="008722F7"/>
    <w:rsid w:val="00873A21"/>
    <w:rsid w:val="008843B6"/>
    <w:rsid w:val="00891928"/>
    <w:rsid w:val="00893DBD"/>
    <w:rsid w:val="008A1D7D"/>
    <w:rsid w:val="008A446D"/>
    <w:rsid w:val="008A6AC9"/>
    <w:rsid w:val="008B0029"/>
    <w:rsid w:val="008B100C"/>
    <w:rsid w:val="008B346A"/>
    <w:rsid w:val="008B37F8"/>
    <w:rsid w:val="008B7E3D"/>
    <w:rsid w:val="008C0CF6"/>
    <w:rsid w:val="008C7FF1"/>
    <w:rsid w:val="008D082E"/>
    <w:rsid w:val="008D2A8C"/>
    <w:rsid w:val="008D5B25"/>
    <w:rsid w:val="008F0EA7"/>
    <w:rsid w:val="008F52CC"/>
    <w:rsid w:val="008F687F"/>
    <w:rsid w:val="0090490B"/>
    <w:rsid w:val="00907378"/>
    <w:rsid w:val="009223EF"/>
    <w:rsid w:val="00923EEF"/>
    <w:rsid w:val="009277CB"/>
    <w:rsid w:val="00927B30"/>
    <w:rsid w:val="00934222"/>
    <w:rsid w:val="009419F9"/>
    <w:rsid w:val="00942FAC"/>
    <w:rsid w:val="00945426"/>
    <w:rsid w:val="00956451"/>
    <w:rsid w:val="0096047C"/>
    <w:rsid w:val="00961B09"/>
    <w:rsid w:val="00963AD1"/>
    <w:rsid w:val="00965334"/>
    <w:rsid w:val="0097093E"/>
    <w:rsid w:val="00986CB3"/>
    <w:rsid w:val="00992ACA"/>
    <w:rsid w:val="00992D50"/>
    <w:rsid w:val="009A4041"/>
    <w:rsid w:val="009C32A5"/>
    <w:rsid w:val="009C3A0F"/>
    <w:rsid w:val="009C4481"/>
    <w:rsid w:val="009C71FA"/>
    <w:rsid w:val="009C72E7"/>
    <w:rsid w:val="009D04E9"/>
    <w:rsid w:val="009D5166"/>
    <w:rsid w:val="009D5CF7"/>
    <w:rsid w:val="00A142D5"/>
    <w:rsid w:val="00A17F13"/>
    <w:rsid w:val="00A20739"/>
    <w:rsid w:val="00A33C78"/>
    <w:rsid w:val="00A34414"/>
    <w:rsid w:val="00A351C5"/>
    <w:rsid w:val="00A356A6"/>
    <w:rsid w:val="00A3669F"/>
    <w:rsid w:val="00A41078"/>
    <w:rsid w:val="00A466A7"/>
    <w:rsid w:val="00A50C3C"/>
    <w:rsid w:val="00A643B0"/>
    <w:rsid w:val="00A66EE7"/>
    <w:rsid w:val="00A705B1"/>
    <w:rsid w:val="00A72B62"/>
    <w:rsid w:val="00A812DB"/>
    <w:rsid w:val="00A85166"/>
    <w:rsid w:val="00A86171"/>
    <w:rsid w:val="00A86B6D"/>
    <w:rsid w:val="00A905DC"/>
    <w:rsid w:val="00A96009"/>
    <w:rsid w:val="00AA0AD8"/>
    <w:rsid w:val="00AA22F9"/>
    <w:rsid w:val="00AA24D4"/>
    <w:rsid w:val="00AA5E6B"/>
    <w:rsid w:val="00AB0ADB"/>
    <w:rsid w:val="00AF2905"/>
    <w:rsid w:val="00AF7B42"/>
    <w:rsid w:val="00B00A49"/>
    <w:rsid w:val="00B03EED"/>
    <w:rsid w:val="00B05FF3"/>
    <w:rsid w:val="00B11232"/>
    <w:rsid w:val="00B27520"/>
    <w:rsid w:val="00B3707F"/>
    <w:rsid w:val="00B53475"/>
    <w:rsid w:val="00B56190"/>
    <w:rsid w:val="00B72CD3"/>
    <w:rsid w:val="00B72FFF"/>
    <w:rsid w:val="00B77860"/>
    <w:rsid w:val="00B83E53"/>
    <w:rsid w:val="00B8632D"/>
    <w:rsid w:val="00B877B3"/>
    <w:rsid w:val="00B902D5"/>
    <w:rsid w:val="00BA602A"/>
    <w:rsid w:val="00BA6C8C"/>
    <w:rsid w:val="00BB1154"/>
    <w:rsid w:val="00BC50EA"/>
    <w:rsid w:val="00BD6F65"/>
    <w:rsid w:val="00BD7F72"/>
    <w:rsid w:val="00BE1798"/>
    <w:rsid w:val="00BE3963"/>
    <w:rsid w:val="00BF02F6"/>
    <w:rsid w:val="00BF4BA3"/>
    <w:rsid w:val="00C04C2E"/>
    <w:rsid w:val="00C04FB3"/>
    <w:rsid w:val="00C1189E"/>
    <w:rsid w:val="00C21789"/>
    <w:rsid w:val="00C26E25"/>
    <w:rsid w:val="00C275D4"/>
    <w:rsid w:val="00C330EB"/>
    <w:rsid w:val="00C4150F"/>
    <w:rsid w:val="00C61EA0"/>
    <w:rsid w:val="00C70C66"/>
    <w:rsid w:val="00C754BE"/>
    <w:rsid w:val="00C75FAA"/>
    <w:rsid w:val="00CA141E"/>
    <w:rsid w:val="00CB6357"/>
    <w:rsid w:val="00CC1B26"/>
    <w:rsid w:val="00CC6E8F"/>
    <w:rsid w:val="00CF5F23"/>
    <w:rsid w:val="00D05A8B"/>
    <w:rsid w:val="00D06040"/>
    <w:rsid w:val="00D14D5D"/>
    <w:rsid w:val="00D211FE"/>
    <w:rsid w:val="00D26138"/>
    <w:rsid w:val="00D423A2"/>
    <w:rsid w:val="00D63AC2"/>
    <w:rsid w:val="00D63FF3"/>
    <w:rsid w:val="00D72A54"/>
    <w:rsid w:val="00D72BB4"/>
    <w:rsid w:val="00D7383B"/>
    <w:rsid w:val="00D92402"/>
    <w:rsid w:val="00D96DE8"/>
    <w:rsid w:val="00DA231B"/>
    <w:rsid w:val="00DB4461"/>
    <w:rsid w:val="00DB646F"/>
    <w:rsid w:val="00DD0D02"/>
    <w:rsid w:val="00DE7896"/>
    <w:rsid w:val="00DF4192"/>
    <w:rsid w:val="00DF5C7F"/>
    <w:rsid w:val="00E10654"/>
    <w:rsid w:val="00E16408"/>
    <w:rsid w:val="00E20894"/>
    <w:rsid w:val="00E219EC"/>
    <w:rsid w:val="00E21F0C"/>
    <w:rsid w:val="00E22B4E"/>
    <w:rsid w:val="00E2435D"/>
    <w:rsid w:val="00E245AB"/>
    <w:rsid w:val="00E36E6A"/>
    <w:rsid w:val="00E50AFE"/>
    <w:rsid w:val="00E55CF9"/>
    <w:rsid w:val="00E61686"/>
    <w:rsid w:val="00E72411"/>
    <w:rsid w:val="00E76A67"/>
    <w:rsid w:val="00E771DC"/>
    <w:rsid w:val="00E774B7"/>
    <w:rsid w:val="00E81B1A"/>
    <w:rsid w:val="00E84588"/>
    <w:rsid w:val="00E8772A"/>
    <w:rsid w:val="00E90F6B"/>
    <w:rsid w:val="00E92C27"/>
    <w:rsid w:val="00E94630"/>
    <w:rsid w:val="00E96423"/>
    <w:rsid w:val="00EA0E3D"/>
    <w:rsid w:val="00EA2BDE"/>
    <w:rsid w:val="00EA2D11"/>
    <w:rsid w:val="00ED6927"/>
    <w:rsid w:val="00EE1AA8"/>
    <w:rsid w:val="00EE3547"/>
    <w:rsid w:val="00EE521B"/>
    <w:rsid w:val="00EF2835"/>
    <w:rsid w:val="00F05B20"/>
    <w:rsid w:val="00F10546"/>
    <w:rsid w:val="00F12AAE"/>
    <w:rsid w:val="00F204AB"/>
    <w:rsid w:val="00F26819"/>
    <w:rsid w:val="00F31EDC"/>
    <w:rsid w:val="00F32AF2"/>
    <w:rsid w:val="00F4400D"/>
    <w:rsid w:val="00F4530E"/>
    <w:rsid w:val="00F55E3A"/>
    <w:rsid w:val="00F5664F"/>
    <w:rsid w:val="00F66371"/>
    <w:rsid w:val="00F76AFC"/>
    <w:rsid w:val="00F773FE"/>
    <w:rsid w:val="00F85E6A"/>
    <w:rsid w:val="00F875E0"/>
    <w:rsid w:val="00F90C2E"/>
    <w:rsid w:val="00F95B54"/>
    <w:rsid w:val="00F9688A"/>
    <w:rsid w:val="00FB5DD1"/>
    <w:rsid w:val="00FC019E"/>
    <w:rsid w:val="00FC0AA5"/>
    <w:rsid w:val="00FC2B5D"/>
    <w:rsid w:val="00FC3EA2"/>
    <w:rsid w:val="00FD04E6"/>
    <w:rsid w:val="00FE1956"/>
    <w:rsid w:val="00FE20DF"/>
    <w:rsid w:val="00FE606C"/>
    <w:rsid w:val="00FF1449"/>
    <w:rsid w:val="00FF2838"/>
    <w:rsid w:val="00FF6404"/>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3C"/>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A24D4"/>
    <w:rPr>
      <w:rFonts w:ascii="Geomanist Light" w:hAnsi="Geomanist Light"/>
      <w:lang w:val="es-ES"/>
    </w:rPr>
  </w:style>
  <w:style w:type="paragraph" w:styleId="Textoindependiente">
    <w:name w:val="Body Text"/>
    <w:basedOn w:val="Normal"/>
    <w:link w:val="TextoindependienteCar"/>
    <w:uiPriority w:val="1"/>
    <w:qFormat/>
    <w:rsid w:val="00AA24D4"/>
    <w:pPr>
      <w:widowControl w:val="0"/>
      <w:autoSpaceDE w:val="0"/>
      <w:autoSpaceDN w:val="0"/>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AA24D4"/>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AA24D4"/>
    <w:pPr>
      <w:spacing w:line="240" w:lineRule="exact"/>
    </w:pPr>
    <w:rPr>
      <w:vertAlign w:val="superscript"/>
    </w:rPr>
  </w:style>
  <w:style w:type="paragraph" w:styleId="Sinespaciado">
    <w:name w:val="No Spacing"/>
    <w:aliases w:val="No Indent"/>
    <w:uiPriority w:val="3"/>
    <w:qFormat/>
    <w:rsid w:val="00AA24D4"/>
    <w:pPr>
      <w:spacing w:after="0" w:line="240" w:lineRule="auto"/>
    </w:pPr>
    <w:rPr>
      <w:sz w:val="24"/>
      <w:lang w:val="es-MX"/>
    </w:rPr>
  </w:style>
  <w:style w:type="paragraph" w:styleId="Textocomentario">
    <w:name w:val="annotation text"/>
    <w:basedOn w:val="Normal"/>
    <w:link w:val="TextocomentarioCar"/>
    <w:uiPriority w:val="99"/>
    <w:unhideWhenUsed/>
    <w:rsid w:val="00AA24D4"/>
    <w:rPr>
      <w:sz w:val="20"/>
      <w:szCs w:val="20"/>
    </w:rPr>
  </w:style>
  <w:style w:type="character" w:customStyle="1" w:styleId="TextocomentarioCar">
    <w:name w:val="Texto comentario Car"/>
    <w:basedOn w:val="Fuentedeprrafopredeter"/>
    <w:link w:val="Textocomentario"/>
    <w:uiPriority w:val="99"/>
    <w:rsid w:val="00AA24D4"/>
    <w:rPr>
      <w:sz w:val="20"/>
      <w:szCs w:val="20"/>
    </w:rPr>
  </w:style>
  <w:style w:type="character" w:customStyle="1" w:styleId="Hipervnculo1">
    <w:name w:val="Hipervínculo1"/>
    <w:basedOn w:val="Fuentedeprrafopredeter"/>
    <w:uiPriority w:val="99"/>
    <w:unhideWhenUsed/>
    <w:rsid w:val="00AA24D4"/>
    <w:rPr>
      <w:color w:val="F2F2F2"/>
      <w:u w:val="single"/>
    </w:rPr>
  </w:style>
  <w:style w:type="paragraph" w:styleId="NormalWeb">
    <w:name w:val="Normal (Web)"/>
    <w:basedOn w:val="Normal"/>
    <w:link w:val="NormalWebCar"/>
    <w:uiPriority w:val="99"/>
    <w:unhideWhenUsed/>
    <w:rsid w:val="00AA24D4"/>
    <w:pPr>
      <w:spacing w:before="100" w:beforeAutospacing="1" w:after="100" w:afterAutospacing="1"/>
    </w:pPr>
  </w:style>
  <w:style w:type="character" w:customStyle="1" w:styleId="NormalWebCar">
    <w:name w:val="Normal (Web) Car"/>
    <w:link w:val="NormalWeb"/>
    <w:uiPriority w:val="99"/>
    <w:rsid w:val="00AA24D4"/>
    <w:rPr>
      <w:rFonts w:ascii="Times New Roman" w:eastAsia="Times New Roman" w:hAnsi="Times New Roman" w:cs="Times New Roman"/>
      <w:sz w:val="24"/>
      <w:szCs w:val="24"/>
      <w:lang w:eastAsia="es-CO"/>
    </w:rPr>
  </w:style>
  <w:style w:type="paragraph" w:customStyle="1" w:styleId="paragraph">
    <w:name w:val="paragraph"/>
    <w:basedOn w:val="Normal"/>
    <w:rsid w:val="00986CB3"/>
    <w:pPr>
      <w:spacing w:before="100" w:beforeAutospacing="1" w:after="100" w:afterAutospacing="1"/>
    </w:pPr>
  </w:style>
  <w:style w:type="character" w:customStyle="1" w:styleId="eop">
    <w:name w:val="eop"/>
    <w:basedOn w:val="Fuentedeprrafopredeter"/>
    <w:rsid w:val="00986CB3"/>
  </w:style>
  <w:style w:type="character" w:styleId="Textoennegrita">
    <w:name w:val="Strong"/>
    <w:basedOn w:val="Fuentedeprrafopredeter"/>
    <w:uiPriority w:val="22"/>
    <w:qFormat/>
    <w:rsid w:val="00253BF0"/>
    <w:rPr>
      <w:b/>
      <w:bCs/>
    </w:rPr>
  </w:style>
  <w:style w:type="character" w:styleId="nfasis">
    <w:name w:val="Emphasis"/>
    <w:basedOn w:val="Fuentedeprrafopredeter"/>
    <w:uiPriority w:val="20"/>
    <w:qFormat/>
    <w:rsid w:val="001118AB"/>
    <w:rPr>
      <w:i/>
      <w:iCs/>
    </w:rPr>
  </w:style>
  <w:style w:type="paragraph" w:customStyle="1" w:styleId="gmail-msonospacing">
    <w:name w:val="gmail-msonospacing"/>
    <w:basedOn w:val="Normal"/>
    <w:rsid w:val="00795124"/>
    <w:pPr>
      <w:spacing w:before="100" w:beforeAutospacing="1" w:after="100" w:afterAutospacing="1"/>
    </w:pPr>
    <w:rPr>
      <w:rFonts w:ascii="Calibri" w:eastAsiaTheme="minorHAnsi" w:hAnsi="Calibri" w:cs="Calibri"/>
      <w:sz w:val="22"/>
      <w:szCs w:val="22"/>
      <w:lang w:val="es-ES" w:eastAsia="es-ES"/>
    </w:rPr>
  </w:style>
  <w:style w:type="character" w:styleId="Mencinsinresolver">
    <w:name w:val="Unresolved Mention"/>
    <w:basedOn w:val="Fuentedeprrafopredeter"/>
    <w:uiPriority w:val="99"/>
    <w:semiHidden/>
    <w:unhideWhenUsed/>
    <w:rsid w:val="00464ACB"/>
    <w:rPr>
      <w:color w:val="605E5C"/>
      <w:shd w:val="clear" w:color="auto" w:fill="E1DFDD"/>
    </w:rPr>
  </w:style>
  <w:style w:type="paragraph" w:styleId="Revisin">
    <w:name w:val="Revision"/>
    <w:hidden/>
    <w:uiPriority w:val="99"/>
    <w:semiHidden/>
    <w:rsid w:val="007F2E6C"/>
    <w:pPr>
      <w:spacing w:after="0" w:line="240" w:lineRule="auto"/>
    </w:pPr>
    <w:rPr>
      <w:rFonts w:ascii="Times New Roman" w:eastAsia="Times New Roman" w:hAnsi="Times New Roman" w:cs="Times New Roman"/>
      <w:sz w:val="24"/>
      <w:szCs w:val="24"/>
      <w:lang w:eastAsia="es-CO"/>
    </w:rPr>
  </w:style>
  <w:style w:type="paragraph" w:customStyle="1" w:styleId="msonormal0">
    <w:name w:val="msonormal"/>
    <w:basedOn w:val="Normal"/>
    <w:rsid w:val="00D05A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548057935">
      <w:bodyDiv w:val="1"/>
      <w:marLeft w:val="0"/>
      <w:marRight w:val="0"/>
      <w:marTop w:val="0"/>
      <w:marBottom w:val="0"/>
      <w:divBdr>
        <w:top w:val="none" w:sz="0" w:space="0" w:color="auto"/>
        <w:left w:val="none" w:sz="0" w:space="0" w:color="auto"/>
        <w:bottom w:val="none" w:sz="0" w:space="0" w:color="auto"/>
        <w:right w:val="none" w:sz="0" w:space="0" w:color="auto"/>
      </w:divBdr>
      <w:divsChild>
        <w:div w:id="653023250">
          <w:marLeft w:val="0"/>
          <w:marRight w:val="0"/>
          <w:marTop w:val="0"/>
          <w:marBottom w:val="0"/>
          <w:divBdr>
            <w:top w:val="none" w:sz="0" w:space="0" w:color="auto"/>
            <w:left w:val="none" w:sz="0" w:space="0" w:color="auto"/>
            <w:bottom w:val="none" w:sz="0" w:space="0" w:color="auto"/>
            <w:right w:val="none" w:sz="0" w:space="0" w:color="auto"/>
          </w:divBdr>
        </w:div>
      </w:divsChild>
    </w:div>
    <w:div w:id="2085254380">
      <w:bodyDiv w:val="1"/>
      <w:marLeft w:val="0"/>
      <w:marRight w:val="0"/>
      <w:marTop w:val="0"/>
      <w:marBottom w:val="0"/>
      <w:divBdr>
        <w:top w:val="none" w:sz="0" w:space="0" w:color="auto"/>
        <w:left w:val="none" w:sz="0" w:space="0" w:color="auto"/>
        <w:bottom w:val="none" w:sz="0" w:space="0" w:color="auto"/>
        <w:right w:val="none" w:sz="0" w:space="0" w:color="auto"/>
      </w:divBdr>
    </w:div>
    <w:div w:id="2113041170">
      <w:bodyDiv w:val="1"/>
      <w:marLeft w:val="0"/>
      <w:marRight w:val="0"/>
      <w:marTop w:val="0"/>
      <w:marBottom w:val="0"/>
      <w:divBdr>
        <w:top w:val="none" w:sz="0" w:space="0" w:color="auto"/>
        <w:left w:val="none" w:sz="0" w:space="0" w:color="auto"/>
        <w:bottom w:val="none" w:sz="0" w:space="0" w:color="auto"/>
        <w:right w:val="none" w:sz="0" w:space="0" w:color="auto"/>
      </w:divBdr>
      <w:divsChild>
        <w:div w:id="234244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cce_documents/cce_manual_requisitos_habilitantes.pdf" TargetMode="External"/><Relationship Id="rId2" Type="http://schemas.openxmlformats.org/officeDocument/2006/relationships/hyperlink" Target="https://colombiacompra.gov.co/manuales-guias-y-pliegos-tipo/manuales-y-guias/manual-para-determinar-y-verificar-los-requisitos"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colombiacompra.gov.co/sites/default/files/manuales/20140901_manual_requisitos_habilitantes_4_web.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4C87A194-0F18-49BA-AFD5-97339C54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13070</Words>
  <Characters>71887</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2023-11-14T22:06:00Z</dcterms:created>
  <dcterms:modified xsi:type="dcterms:W3CDTF">2023-11-14T22:06:00Z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