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D0C6" w14:textId="77777777" w:rsidR="006B2C60" w:rsidRPr="00E766D0" w:rsidRDefault="006B2C60" w:rsidP="00E766D0">
      <w:pPr>
        <w:spacing w:line="240" w:lineRule="auto"/>
        <w:contextualSpacing/>
        <w:jc w:val="both"/>
        <w:rPr>
          <w:rFonts w:ascii="Century Gothic" w:eastAsia="Calibri" w:hAnsi="Century Gothic" w:cs="Arial"/>
          <w:b/>
          <w:bCs/>
          <w:sz w:val="20"/>
          <w:szCs w:val="20"/>
          <w:lang w:val="es-MX" w:eastAsia="es-ES_tradnl"/>
        </w:rPr>
      </w:pPr>
      <w:r w:rsidRPr="00E766D0">
        <w:rPr>
          <w:rFonts w:ascii="Century Gothic" w:eastAsia="Calibri" w:hAnsi="Century Gothic" w:cs="Arial"/>
          <w:b/>
          <w:bCs/>
          <w:sz w:val="20"/>
          <w:szCs w:val="20"/>
          <w:lang w:val="es-MX" w:eastAsia="es-ES_tradnl"/>
        </w:rPr>
        <w:t xml:space="preserve">EXPERIENCIA – Noción </w:t>
      </w:r>
      <w:r w:rsidRPr="00E766D0">
        <w:rPr>
          <w:rFonts w:ascii="Arial" w:eastAsia="Calibri" w:hAnsi="Arial" w:cs="Arial"/>
          <w:b/>
          <w:bCs/>
          <w:sz w:val="20"/>
          <w:szCs w:val="20"/>
          <w:lang w:val="es-MX" w:eastAsia="es-ES_tradnl"/>
        </w:rPr>
        <w:t>‒</w:t>
      </w:r>
      <w:r w:rsidRPr="00E766D0">
        <w:rPr>
          <w:rFonts w:ascii="Century Gothic" w:eastAsia="Calibri" w:hAnsi="Century Gothic" w:cs="Arial"/>
          <w:b/>
          <w:bCs/>
          <w:sz w:val="20"/>
          <w:szCs w:val="20"/>
          <w:lang w:val="es-MX" w:eastAsia="es-ES_tradnl"/>
        </w:rPr>
        <w:t xml:space="preserve"> Colombia Compra Eficiente </w:t>
      </w:r>
    </w:p>
    <w:p w14:paraId="661AD19F" w14:textId="77777777" w:rsidR="006B2C60" w:rsidRPr="00E766D0" w:rsidRDefault="006B2C60" w:rsidP="00E766D0">
      <w:pPr>
        <w:spacing w:line="240" w:lineRule="auto"/>
        <w:contextualSpacing/>
        <w:jc w:val="both"/>
        <w:rPr>
          <w:rFonts w:ascii="Century Gothic" w:hAnsi="Century Gothic"/>
          <w:sz w:val="20"/>
          <w:szCs w:val="20"/>
        </w:rPr>
      </w:pPr>
    </w:p>
    <w:p w14:paraId="06B9E68C" w14:textId="77777777" w:rsidR="006B2C60" w:rsidRPr="00E766D0" w:rsidRDefault="006B2C60" w:rsidP="00E766D0">
      <w:pPr>
        <w:spacing w:line="240" w:lineRule="auto"/>
        <w:contextualSpacing/>
        <w:jc w:val="both"/>
        <w:rPr>
          <w:rFonts w:ascii="Century Gothic" w:hAnsi="Century Gothic"/>
          <w:sz w:val="20"/>
          <w:szCs w:val="20"/>
        </w:rPr>
      </w:pPr>
      <w:r w:rsidRPr="00E766D0">
        <w:rPr>
          <w:rFonts w:ascii="Century Gothic" w:hAnsi="Century Gothic"/>
          <w:sz w:val="20"/>
          <w:szCs w:val="20"/>
        </w:rPr>
        <w:t>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p>
    <w:p w14:paraId="12B8EA60" w14:textId="77777777" w:rsidR="006B2C60" w:rsidRPr="00E766D0" w:rsidRDefault="006B2C60" w:rsidP="00E766D0">
      <w:pPr>
        <w:spacing w:line="240" w:lineRule="auto"/>
        <w:contextualSpacing/>
        <w:jc w:val="both"/>
        <w:rPr>
          <w:rFonts w:ascii="Century Gothic" w:hAnsi="Century Gothic"/>
          <w:sz w:val="20"/>
          <w:szCs w:val="20"/>
        </w:rPr>
      </w:pPr>
    </w:p>
    <w:p w14:paraId="70852DB3" w14:textId="1829B2B1" w:rsidR="006B2C60" w:rsidRPr="00E766D0" w:rsidRDefault="006B2C60" w:rsidP="00E766D0">
      <w:pPr>
        <w:spacing w:line="240" w:lineRule="auto"/>
        <w:contextualSpacing/>
        <w:jc w:val="both"/>
        <w:rPr>
          <w:rFonts w:ascii="Century Gothic" w:hAnsi="Century Gothic"/>
          <w:sz w:val="20"/>
          <w:szCs w:val="20"/>
        </w:rPr>
      </w:pPr>
      <w:r w:rsidRPr="00E766D0">
        <w:rPr>
          <w:rFonts w:ascii="Century Gothic" w:hAnsi="Century Gothic"/>
          <w:sz w:val="20"/>
          <w:szCs w:val="20"/>
        </w:rPr>
        <w:t>Lo anterior es determinante, porque no es posible tener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w:t>
      </w:r>
    </w:p>
    <w:p w14:paraId="45D6B580" w14:textId="77777777" w:rsidR="006B2C60" w:rsidRPr="00E766D0" w:rsidRDefault="006B2C60" w:rsidP="00E766D0">
      <w:pPr>
        <w:spacing w:line="240" w:lineRule="auto"/>
        <w:contextualSpacing/>
        <w:jc w:val="both"/>
        <w:rPr>
          <w:rFonts w:ascii="Century Gothic" w:eastAsia="Calibri" w:hAnsi="Century Gothic" w:cs="Arial"/>
          <w:b/>
          <w:bCs/>
          <w:sz w:val="20"/>
          <w:szCs w:val="20"/>
          <w:lang w:val="es-MX" w:eastAsia="es-ES_tradnl"/>
        </w:rPr>
      </w:pPr>
    </w:p>
    <w:p w14:paraId="2A80C6C6" w14:textId="77777777" w:rsidR="006B2C60" w:rsidRPr="00E766D0" w:rsidRDefault="006B2C60" w:rsidP="00E766D0">
      <w:pPr>
        <w:spacing w:line="240" w:lineRule="auto"/>
        <w:contextualSpacing/>
        <w:jc w:val="both"/>
        <w:rPr>
          <w:rFonts w:ascii="Century Gothic" w:eastAsia="Calibri" w:hAnsi="Century Gothic" w:cs="Arial"/>
          <w:b/>
          <w:bCs/>
          <w:sz w:val="20"/>
          <w:szCs w:val="20"/>
        </w:rPr>
      </w:pPr>
      <w:r w:rsidRPr="00E766D0">
        <w:rPr>
          <w:rFonts w:ascii="Century Gothic" w:eastAsia="Calibri" w:hAnsi="Century Gothic" w:cs="Arial"/>
          <w:b/>
          <w:bCs/>
          <w:sz w:val="20"/>
          <w:szCs w:val="20"/>
        </w:rPr>
        <w:t xml:space="preserve">SUBSANACIÓN – Requisitos Habilitantes – Reglas </w:t>
      </w:r>
    </w:p>
    <w:p w14:paraId="7AED7071" w14:textId="77777777" w:rsidR="00E766D0" w:rsidRPr="00E766D0" w:rsidRDefault="00E766D0" w:rsidP="00E766D0">
      <w:pPr>
        <w:spacing w:line="240" w:lineRule="auto"/>
        <w:contextualSpacing/>
        <w:jc w:val="both"/>
        <w:rPr>
          <w:rFonts w:ascii="Century Gothic" w:eastAsia="Calibri" w:hAnsi="Century Gothic" w:cs="Arial"/>
          <w:b/>
          <w:bCs/>
          <w:sz w:val="20"/>
          <w:szCs w:val="20"/>
        </w:rPr>
      </w:pPr>
    </w:p>
    <w:p w14:paraId="1C476C2F" w14:textId="433279E8" w:rsidR="006B2C60" w:rsidRPr="00E766D0" w:rsidRDefault="00E766D0" w:rsidP="00E766D0">
      <w:pPr>
        <w:spacing w:line="240" w:lineRule="auto"/>
        <w:contextualSpacing/>
        <w:jc w:val="both"/>
        <w:rPr>
          <w:rFonts w:ascii="Century Gothic" w:eastAsia="Calibri" w:hAnsi="Century Gothic" w:cs="Arial"/>
          <w:b/>
          <w:bCs/>
          <w:sz w:val="20"/>
          <w:szCs w:val="20"/>
        </w:rPr>
      </w:pPr>
      <w:r w:rsidRPr="00E766D0">
        <w:rPr>
          <w:rFonts w:ascii="Century Gothic" w:hAnsi="Century Gothic"/>
          <w:sz w:val="20"/>
          <w:szCs w:val="20"/>
        </w:rPr>
        <w:t>En consecuencia, una vez verificada la ausencia de requisitos y/o documentos de la oferta, para efectos de saber si se pueden subsanar, la Entidad Estatal se debe preguntar, en primer lugar, si lo que hace falta o debe corregirse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w:t>
      </w:r>
    </w:p>
    <w:p w14:paraId="0E239AA1" w14:textId="77777777" w:rsidR="00E766D0" w:rsidRPr="00E766D0" w:rsidRDefault="00E766D0" w:rsidP="00E766D0">
      <w:pPr>
        <w:spacing w:line="240" w:lineRule="auto"/>
        <w:contextualSpacing/>
        <w:jc w:val="both"/>
        <w:rPr>
          <w:rFonts w:ascii="Century Gothic" w:eastAsia="Calibri" w:hAnsi="Century Gothic" w:cs="Arial"/>
          <w:b/>
          <w:bCs/>
          <w:sz w:val="20"/>
          <w:szCs w:val="20"/>
        </w:rPr>
      </w:pPr>
    </w:p>
    <w:p w14:paraId="79C66402" w14:textId="284642E3" w:rsidR="006B2C60" w:rsidRPr="00E766D0" w:rsidRDefault="006B2C60" w:rsidP="00E766D0">
      <w:pPr>
        <w:spacing w:line="240" w:lineRule="auto"/>
        <w:contextualSpacing/>
        <w:jc w:val="both"/>
        <w:rPr>
          <w:rFonts w:ascii="Century Gothic" w:eastAsia="Calibri" w:hAnsi="Century Gothic" w:cs="Arial"/>
          <w:b/>
          <w:bCs/>
          <w:sz w:val="20"/>
          <w:szCs w:val="20"/>
        </w:rPr>
      </w:pPr>
      <w:r w:rsidRPr="00E766D0">
        <w:rPr>
          <w:rFonts w:ascii="Century Gothic" w:eastAsia="Calibri" w:hAnsi="Century Gothic" w:cs="Arial"/>
          <w:b/>
          <w:bCs/>
          <w:sz w:val="20"/>
          <w:szCs w:val="20"/>
        </w:rPr>
        <w:t>MÍNIMA CUANTÍA – Subsanación</w:t>
      </w:r>
    </w:p>
    <w:p w14:paraId="7BF4CF6C" w14:textId="77777777" w:rsidR="006B2C60" w:rsidRPr="00E766D0" w:rsidRDefault="006B2C60" w:rsidP="00E766D0">
      <w:pPr>
        <w:spacing w:line="240" w:lineRule="auto"/>
        <w:jc w:val="both"/>
        <w:rPr>
          <w:rFonts w:ascii="Century Gothic" w:hAnsi="Century Gothic" w:cs="Arial"/>
          <w:sz w:val="20"/>
          <w:szCs w:val="20"/>
        </w:rPr>
      </w:pPr>
    </w:p>
    <w:p w14:paraId="4C2D8D4D" w14:textId="77777777" w:rsidR="00E766D0" w:rsidRPr="00E766D0" w:rsidRDefault="00E766D0" w:rsidP="00E766D0">
      <w:pPr>
        <w:spacing w:line="240" w:lineRule="auto"/>
        <w:jc w:val="both"/>
        <w:rPr>
          <w:rFonts w:ascii="Century Gothic" w:hAnsi="Century Gothic"/>
          <w:sz w:val="20"/>
          <w:szCs w:val="20"/>
        </w:rPr>
      </w:pPr>
      <w:r w:rsidRPr="00E766D0">
        <w:rPr>
          <w:rFonts w:ascii="Century Gothic" w:hAnsi="Century Gothic"/>
          <w:sz w:val="20"/>
          <w:szCs w:val="20"/>
        </w:rPr>
        <w:t xml:space="preserve">Finalmente, en relación con el término para subsanar ofertas, esta Subdirección indicó en los conceptos C-082 del 25 de febrero de 2020, C-013 del 17 de abril de 2020 y C–250 del 2 de junio de 2021, que los requisitos a subsanar “deberán ser solicitados por las entidades estatales y deberán ser entregados por los proponentes hasta el término de traslado del informe de evaluación que corresponda a cada modalidad de selección, salvo lo dispuesto para el proceso de Mínima cuantía […]”, señalando que si bien no se observa una disposición legal que expresamente establezca un término para aportar tales documentos en los procesos de selección por mínima cuantía, previo a la expedición del Decreto 1860 de 2021, surgían tres posibles interpretaciones: i) que en la mínima cuantía no se permite la subsanabilidad –interpretación que no es acorde con el principio de la prevalencia de lo </w:t>
      </w:r>
      <w:r w:rsidRPr="00E766D0">
        <w:rPr>
          <w:rFonts w:ascii="Century Gothic" w:hAnsi="Century Gothic"/>
          <w:sz w:val="20"/>
          <w:szCs w:val="20"/>
        </w:rPr>
        <w:lastRenderedPageBreak/>
        <w:t xml:space="preserve">sustancial sobre lo formal–, ii) que el término para presentar los requisitos subsanados es el mismo de publicación del informe de evaluación, es decir, un (1) día hábil, iii) que existe un vacío y que este puede llenarse discrecionalmente por la entidad estatal, disponiendo de un término razonable de subsanabilidad. </w:t>
      </w:r>
    </w:p>
    <w:p w14:paraId="43BEB2B1" w14:textId="4E311633" w:rsidR="00E766D0" w:rsidRPr="00E766D0" w:rsidRDefault="00E766D0" w:rsidP="00E766D0">
      <w:pPr>
        <w:spacing w:line="240" w:lineRule="auto"/>
        <w:jc w:val="both"/>
        <w:rPr>
          <w:rFonts w:ascii="Century Gothic" w:hAnsi="Century Gothic"/>
          <w:sz w:val="20"/>
          <w:szCs w:val="20"/>
        </w:rPr>
      </w:pPr>
      <w:r w:rsidRPr="00E766D0">
        <w:rPr>
          <w:rFonts w:ascii="Century Gothic" w:hAnsi="Century Gothic"/>
          <w:sz w:val="20"/>
          <w:szCs w:val="20"/>
        </w:rPr>
        <w:t>Esta Subdirección acogió hasta la expedición del Decreto 1860 de 2021 la tercera opción, en concordancia con el numeral 6.1. de la Circular Externa Única de la Agencia Nacional de Contratación Pública – Colombia Compra Eficiente, que atiende a la discrecionalidad administrativa, respetando los principios de proporcionalidad y razonabilidad. Sin embargo, esto evidenció la necesidad que a través de la facultad reglamentaria el Gobierno Nacional limitara estos criterios interpretativos en los procesos de mínima cuantía, y se establezca un plazo límite para recibir los documentos subsanables, so pena de verificar la oferta con el siguiente proponente que ofrezca el mejor precio.</w:t>
      </w:r>
    </w:p>
    <w:p w14:paraId="34A813F8" w14:textId="55315E73" w:rsidR="00E766D0" w:rsidRPr="00E766D0" w:rsidRDefault="00E766D0" w:rsidP="00E766D0">
      <w:pPr>
        <w:spacing w:line="240" w:lineRule="auto"/>
        <w:jc w:val="both"/>
        <w:rPr>
          <w:rFonts w:ascii="Century Gothic" w:hAnsi="Century Gothic" w:cs="Arial"/>
          <w:sz w:val="20"/>
          <w:szCs w:val="20"/>
        </w:rPr>
      </w:pPr>
      <w:r w:rsidRPr="00E766D0">
        <w:rPr>
          <w:rFonts w:ascii="Century Gothic" w:hAnsi="Century Gothic"/>
          <w:sz w:val="20"/>
          <w:szCs w:val="20"/>
        </w:rPr>
        <w:t>Se destaca nuevamente, que el inciso final del artículo 150 de la Constitución estableció que al Congreso le compete expedir el Estatuto General de Contratación de la Administración Pública, norma con fundamento en la cual la Corte Constitucional reconoce un amplio margen de configuración del legislador para desarrollar dicho estatuto, y que en virtud de la leyes expedidas, dejó en manos del Gobierno Nacional la reglamentación de ciertos procedimientos como los que reglamentó el Decreto 1860 de 2021, y especialmente, sobre la posibilidad de subsanar las ofertas en los procesos de selección de mínima cuantía, se consideró necesaria su inclusión en virtud de garantizar: i)una prevalencia de lo sustancial sobre lo formal; ii) una mayor concurrencia real en los procedimientos de selección; iii) una mayor posibilidad de que las entidades estatales se beneficien al poder seleccionar entre un abanico más amplio la oferta que le resulte materialmente más favorable a sus intereses, por lo que beneficia y robustece el principio de selección objetiva</w:t>
      </w:r>
    </w:p>
    <w:p w14:paraId="7D482E9D" w14:textId="5322DFE9" w:rsidR="006B2C60" w:rsidRDefault="006B2C60">
      <w:pPr>
        <w:rPr>
          <w:rFonts w:ascii="Century Gothic" w:hAnsi="Century Gothic" w:cs="Arial"/>
        </w:rPr>
      </w:pPr>
      <w:r>
        <w:rPr>
          <w:rFonts w:ascii="Century Gothic" w:hAnsi="Century Gothic" w:cs="Arial"/>
        </w:rPr>
        <w:br w:type="page"/>
      </w:r>
    </w:p>
    <w:p w14:paraId="384190FC" w14:textId="0941B7F3" w:rsidR="00112832" w:rsidRPr="0029340D" w:rsidRDefault="006B2C60" w:rsidP="00112832">
      <w:pPr>
        <w:spacing w:after="0"/>
        <w:jc w:val="both"/>
        <w:rPr>
          <w:rFonts w:ascii="Century Gothic" w:hAnsi="Century Gothic" w:cs="Arial"/>
        </w:rPr>
      </w:pPr>
      <w:r>
        <w:rPr>
          <w:noProof/>
        </w:rPr>
        <w:lastRenderedPageBreak/>
        <w:drawing>
          <wp:anchor distT="0" distB="0" distL="114300" distR="114300" simplePos="0" relativeHeight="251658240" behindDoc="1" locked="0" layoutInCell="1" allowOverlap="1" wp14:anchorId="111AFEDC" wp14:editId="7967B7FD">
            <wp:simplePos x="0" y="0"/>
            <wp:positionH relativeFrom="margin">
              <wp:posOffset>3052034</wp:posOffset>
            </wp:positionH>
            <wp:positionV relativeFrom="paragraph">
              <wp:posOffset>-135255</wp:posOffset>
            </wp:positionV>
            <wp:extent cx="2563906" cy="733425"/>
            <wp:effectExtent l="0" t="0" r="8255" b="0"/>
            <wp:wrapNone/>
            <wp:docPr id="89516265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6265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568725" cy="734803"/>
                    </a:xfrm>
                    <a:prstGeom prst="rect">
                      <a:avLst/>
                    </a:prstGeom>
                  </pic:spPr>
                </pic:pic>
              </a:graphicData>
            </a:graphic>
            <wp14:sizeRelH relativeFrom="margin">
              <wp14:pctWidth>0</wp14:pctWidth>
            </wp14:sizeRelH>
            <wp14:sizeRelV relativeFrom="margin">
              <wp14:pctHeight>0</wp14:pctHeight>
            </wp14:sizeRelV>
          </wp:anchor>
        </w:drawing>
      </w:r>
      <w:r w:rsidR="00112832" w:rsidRPr="0029340D">
        <w:rPr>
          <w:rFonts w:ascii="Century Gothic" w:hAnsi="Century Gothic" w:cs="Arial"/>
        </w:rPr>
        <w:t xml:space="preserve">Bogotá D.C., 16 de </w:t>
      </w:r>
      <w:r w:rsidR="75D81C30" w:rsidRPr="0029340D">
        <w:rPr>
          <w:rFonts w:ascii="Century Gothic" w:hAnsi="Century Gothic" w:cs="Arial"/>
        </w:rPr>
        <w:t>agosto</w:t>
      </w:r>
      <w:r w:rsidR="00112832" w:rsidRPr="0029340D">
        <w:rPr>
          <w:rFonts w:ascii="Century Gothic" w:hAnsi="Century Gothic" w:cs="Arial"/>
        </w:rPr>
        <w:t xml:space="preserve"> de 2023</w:t>
      </w:r>
      <w:r w:rsidR="00112832" w:rsidRPr="0029340D">
        <w:rPr>
          <w:rFonts w:ascii="Century Gothic" w:hAnsi="Century Gothic"/>
        </w:rPr>
        <w:tab/>
      </w:r>
    </w:p>
    <w:p w14:paraId="4663E37F" w14:textId="77777777" w:rsidR="00112832" w:rsidRPr="0029340D" w:rsidRDefault="00112832" w:rsidP="00112832">
      <w:pPr>
        <w:spacing w:after="0"/>
        <w:jc w:val="both"/>
        <w:rPr>
          <w:rFonts w:ascii="Century Gothic" w:hAnsi="Century Gothic" w:cs="Arial"/>
        </w:rPr>
      </w:pPr>
    </w:p>
    <w:p w14:paraId="011B51B6" w14:textId="77777777" w:rsidR="00112832" w:rsidRPr="0029340D" w:rsidRDefault="00112832" w:rsidP="00112832">
      <w:pPr>
        <w:spacing w:after="0"/>
        <w:jc w:val="both"/>
        <w:rPr>
          <w:rFonts w:ascii="Century Gothic" w:hAnsi="Century Gothic" w:cs="Arial"/>
        </w:rPr>
      </w:pPr>
    </w:p>
    <w:p w14:paraId="101A6D0A" w14:textId="15625531" w:rsidR="00112832" w:rsidRPr="0029340D" w:rsidRDefault="00112832" w:rsidP="00112832">
      <w:pPr>
        <w:spacing w:after="0"/>
        <w:jc w:val="both"/>
        <w:rPr>
          <w:rFonts w:ascii="Century Gothic" w:hAnsi="Century Gothic" w:cs="Arial"/>
          <w:lang w:val="es-MX"/>
        </w:rPr>
      </w:pPr>
      <w:r w:rsidRPr="0029340D">
        <w:rPr>
          <w:rFonts w:ascii="Century Gothic" w:hAnsi="Century Gothic" w:cs="Arial"/>
          <w:lang w:val="es-MX"/>
        </w:rPr>
        <w:t xml:space="preserve">Señor </w:t>
      </w:r>
    </w:p>
    <w:p w14:paraId="60D5DBC5" w14:textId="37AE6B5F" w:rsidR="00112832" w:rsidRPr="00294457" w:rsidRDefault="005C756F" w:rsidP="00112832">
      <w:pPr>
        <w:spacing w:after="0"/>
        <w:rPr>
          <w:rFonts w:ascii="Century Gothic" w:hAnsi="Century Gothic" w:cs="Arial"/>
          <w:b/>
          <w:bCs/>
        </w:rPr>
      </w:pPr>
      <w:r w:rsidRPr="00294457">
        <w:rPr>
          <w:rFonts w:ascii="Century Gothic" w:hAnsi="Century Gothic" w:cs="Arial"/>
          <w:b/>
          <w:bCs/>
        </w:rPr>
        <w:t>Francisco Javier Reina Murillo</w:t>
      </w:r>
    </w:p>
    <w:p w14:paraId="4A7CB6FF" w14:textId="6DC95EFE" w:rsidR="005C756F" w:rsidRPr="0029340D" w:rsidRDefault="007B7905" w:rsidP="00112832">
      <w:pPr>
        <w:spacing w:after="0"/>
        <w:rPr>
          <w:rFonts w:ascii="Century Gothic" w:hAnsi="Century Gothic" w:cs="Arial"/>
        </w:rPr>
      </w:pPr>
      <w:r>
        <w:rPr>
          <w:rFonts w:ascii="Century Gothic" w:hAnsi="Century Gothic" w:cs="Arial"/>
        </w:rPr>
        <w:t>Corporación Vaupés Desarrollo y Cultura VDC</w:t>
      </w:r>
    </w:p>
    <w:p w14:paraId="137C2A32" w14:textId="5CC26FA6" w:rsidR="00112832" w:rsidRPr="0029340D" w:rsidRDefault="00B6735E" w:rsidP="00112832">
      <w:pPr>
        <w:spacing w:after="0"/>
        <w:rPr>
          <w:rFonts w:ascii="Century Gothic" w:hAnsi="Century Gothic" w:cs="Arial"/>
        </w:rPr>
      </w:pPr>
      <w:r>
        <w:rPr>
          <w:rFonts w:ascii="Century Gothic" w:hAnsi="Century Gothic" w:cs="Arial"/>
        </w:rPr>
        <w:t>Mitú, Vaupés</w:t>
      </w:r>
    </w:p>
    <w:p w14:paraId="1D6B80AE" w14:textId="77777777" w:rsidR="00112832" w:rsidRPr="0029340D" w:rsidRDefault="00112832" w:rsidP="00112832">
      <w:pPr>
        <w:spacing w:after="0"/>
        <w:jc w:val="both"/>
        <w:rPr>
          <w:rFonts w:ascii="Century Gothic" w:hAnsi="Century Gothic" w:cs="Arial"/>
        </w:rPr>
      </w:pPr>
    </w:p>
    <w:p w14:paraId="403455BF" w14:textId="37C47423" w:rsidR="00112832" w:rsidRPr="0029340D" w:rsidRDefault="00112832" w:rsidP="00112832">
      <w:pPr>
        <w:spacing w:after="0" w:line="276" w:lineRule="auto"/>
        <w:contextualSpacing/>
        <w:jc w:val="both"/>
        <w:rPr>
          <w:rFonts w:ascii="Century Gothic" w:eastAsia="Calibri" w:hAnsi="Century Gothic" w:cs="Arial"/>
          <w:b/>
          <w:color w:val="000000" w:themeColor="text1"/>
        </w:rPr>
      </w:pPr>
      <w:bookmarkStart w:id="0" w:name="_Hlk137525426"/>
      <w:r w:rsidRPr="0029340D">
        <w:rPr>
          <w:rFonts w:ascii="Century Gothic" w:eastAsia="Calibri" w:hAnsi="Century Gothic" w:cs="Arial"/>
          <w:b/>
          <w:color w:val="000000" w:themeColor="text1"/>
        </w:rPr>
        <w:t xml:space="preserve">                                </w:t>
      </w:r>
      <w:r w:rsidRPr="0029340D">
        <w:rPr>
          <w:rFonts w:ascii="Century Gothic" w:eastAsia="Calibri" w:hAnsi="Century Gothic" w:cs="Arial"/>
          <w:b/>
          <w:color w:val="000000" w:themeColor="text1"/>
        </w:rPr>
        <w:tab/>
      </w:r>
      <w:r w:rsidRPr="0029340D">
        <w:rPr>
          <w:rFonts w:ascii="Century Gothic" w:eastAsia="Calibri" w:hAnsi="Century Gothic" w:cs="Arial"/>
          <w:b/>
          <w:color w:val="000000" w:themeColor="text1"/>
        </w:rPr>
        <w:tab/>
        <w:t xml:space="preserve">Concepto C – </w:t>
      </w:r>
      <w:r w:rsidR="008643CE">
        <w:rPr>
          <w:rFonts w:ascii="Century Gothic" w:eastAsia="Calibri" w:hAnsi="Century Gothic" w:cs="Arial"/>
          <w:b/>
          <w:color w:val="000000" w:themeColor="text1"/>
        </w:rPr>
        <w:t>333</w:t>
      </w:r>
      <w:r w:rsidRPr="0029340D">
        <w:rPr>
          <w:rFonts w:ascii="Century Gothic" w:eastAsia="Calibri" w:hAnsi="Century Gothic" w:cs="Arial"/>
          <w:b/>
          <w:color w:val="000000" w:themeColor="text1"/>
        </w:rPr>
        <w:t xml:space="preserve"> de 2023 </w:t>
      </w:r>
    </w:p>
    <w:p w14:paraId="32CA659E" w14:textId="77777777" w:rsidR="00112832" w:rsidRPr="0029340D" w:rsidRDefault="00112832" w:rsidP="00112832">
      <w:pPr>
        <w:spacing w:after="0" w:line="276" w:lineRule="auto"/>
        <w:contextualSpacing/>
        <w:jc w:val="both"/>
        <w:rPr>
          <w:rFonts w:ascii="Century Gothic" w:eastAsia="Calibri" w:hAnsi="Century Gothic" w:cs="Arial"/>
          <w:b/>
          <w:color w:val="000000" w:themeColor="text1"/>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5949"/>
      </w:tblGrid>
      <w:tr w:rsidR="00112832" w:rsidRPr="0029340D" w14:paraId="375BEF42" w14:textId="77777777" w:rsidTr="00EB596C">
        <w:trPr>
          <w:trHeight w:val="822"/>
        </w:trPr>
        <w:tc>
          <w:tcPr>
            <w:tcW w:w="2835" w:type="dxa"/>
          </w:tcPr>
          <w:p w14:paraId="19A92116" w14:textId="77777777" w:rsidR="00112832" w:rsidRPr="0029340D" w:rsidRDefault="00112832" w:rsidP="00EB596C">
            <w:pPr>
              <w:pStyle w:val="Textoindependiente"/>
              <w:spacing w:line="276" w:lineRule="auto"/>
              <w:contextualSpacing/>
              <w:jc w:val="both"/>
              <w:rPr>
                <w:rFonts w:ascii="Century Gothic" w:eastAsia="Calibri" w:hAnsi="Century Gothic"/>
                <w:b/>
                <w:sz w:val="22"/>
                <w:szCs w:val="22"/>
                <w:lang w:val="es-CO"/>
              </w:rPr>
            </w:pPr>
            <w:r w:rsidRPr="0029340D">
              <w:rPr>
                <w:rFonts w:ascii="Century Gothic" w:eastAsia="Calibri" w:hAnsi="Century Gothic"/>
                <w:b/>
                <w:color w:val="000000" w:themeColor="text1"/>
                <w:sz w:val="22"/>
                <w:szCs w:val="22"/>
              </w:rPr>
              <w:t>Temas:</w:t>
            </w:r>
          </w:p>
          <w:p w14:paraId="086715CC" w14:textId="77777777" w:rsidR="00112832" w:rsidRPr="0029340D" w:rsidRDefault="00112832" w:rsidP="00EB596C">
            <w:pPr>
              <w:pStyle w:val="Textoindependiente"/>
              <w:spacing w:line="276" w:lineRule="auto"/>
              <w:contextualSpacing/>
              <w:jc w:val="both"/>
              <w:rPr>
                <w:rFonts w:ascii="Century Gothic" w:eastAsia="Calibri" w:hAnsi="Century Gothic"/>
                <w:b/>
                <w:sz w:val="22"/>
                <w:szCs w:val="22"/>
                <w:lang w:val="es-CO"/>
              </w:rPr>
            </w:pPr>
          </w:p>
          <w:p w14:paraId="75BBED8D" w14:textId="77777777" w:rsidR="00112832" w:rsidRPr="0029340D" w:rsidRDefault="00112832" w:rsidP="00EB596C">
            <w:pPr>
              <w:spacing w:line="276" w:lineRule="auto"/>
              <w:contextualSpacing/>
              <w:jc w:val="both"/>
              <w:rPr>
                <w:rFonts w:ascii="Century Gothic" w:eastAsia="Calibri" w:hAnsi="Century Gothic" w:cs="Arial"/>
                <w:color w:val="000000" w:themeColor="text1"/>
              </w:rPr>
            </w:pPr>
            <w:r w:rsidRPr="0029340D">
              <w:rPr>
                <w:rFonts w:ascii="Century Gothic" w:eastAsia="Calibri" w:hAnsi="Century Gothic" w:cs="Arial"/>
                <w:color w:val="000000" w:themeColor="text1"/>
              </w:rPr>
              <w:t xml:space="preserve">        </w:t>
            </w:r>
          </w:p>
        </w:tc>
        <w:tc>
          <w:tcPr>
            <w:tcW w:w="5949" w:type="dxa"/>
          </w:tcPr>
          <w:p w14:paraId="45952E23" w14:textId="622BA9EC" w:rsidR="00112832" w:rsidRPr="0029340D" w:rsidRDefault="00112832" w:rsidP="00EB596C">
            <w:pPr>
              <w:spacing w:line="276" w:lineRule="auto"/>
              <w:contextualSpacing/>
              <w:jc w:val="both"/>
              <w:rPr>
                <w:rFonts w:ascii="Century Gothic" w:eastAsia="Calibri" w:hAnsi="Century Gothic" w:cs="Arial"/>
              </w:rPr>
            </w:pPr>
            <w:r w:rsidRPr="0029340D">
              <w:rPr>
                <w:rFonts w:ascii="Century Gothic" w:eastAsia="Calibri" w:hAnsi="Century Gothic" w:cs="Arial"/>
                <w:lang w:val="es-MX" w:eastAsia="es-ES_tradnl"/>
              </w:rPr>
              <w:t xml:space="preserve">EXPERIENCIA – Noción </w:t>
            </w:r>
            <w:r w:rsidRPr="0029340D">
              <w:rPr>
                <w:rFonts w:ascii="Arial" w:eastAsia="Calibri" w:hAnsi="Arial" w:cs="Arial"/>
                <w:bCs/>
                <w:lang w:val="es-MX" w:eastAsia="es-ES_tradnl"/>
              </w:rPr>
              <w:t>‒</w:t>
            </w:r>
            <w:r w:rsidRPr="0029340D">
              <w:rPr>
                <w:rFonts w:ascii="Century Gothic" w:eastAsia="Calibri" w:hAnsi="Century Gothic" w:cs="Arial"/>
                <w:lang w:val="es-MX" w:eastAsia="es-ES_tradnl"/>
              </w:rPr>
              <w:t xml:space="preserve"> Colombia Compra Eficiente </w:t>
            </w:r>
            <w:r w:rsidRPr="0029340D">
              <w:rPr>
                <w:rFonts w:ascii="Century Gothic" w:eastAsia="Calibri" w:hAnsi="Century Gothic" w:cs="Arial"/>
              </w:rPr>
              <w:t xml:space="preserve">/ SUBSANACIÓN – Requisitos Habilitantes – </w:t>
            </w:r>
            <w:r w:rsidR="00305083" w:rsidRPr="0029340D">
              <w:rPr>
                <w:rFonts w:ascii="Century Gothic" w:eastAsia="Calibri" w:hAnsi="Century Gothic" w:cs="Arial"/>
              </w:rPr>
              <w:t>Reglas</w:t>
            </w:r>
            <w:r w:rsidR="00305083">
              <w:rPr>
                <w:rFonts w:ascii="Century Gothic" w:eastAsia="Calibri" w:hAnsi="Century Gothic" w:cs="Arial"/>
              </w:rPr>
              <w:t xml:space="preserve"> / MÍNIMA CUANTÍA </w:t>
            </w:r>
            <w:r w:rsidR="00FE18FC" w:rsidRPr="0029340D">
              <w:rPr>
                <w:rFonts w:ascii="Century Gothic" w:eastAsia="Calibri" w:hAnsi="Century Gothic" w:cs="Arial"/>
              </w:rPr>
              <w:t>–</w:t>
            </w:r>
            <w:r w:rsidR="00305083">
              <w:rPr>
                <w:rFonts w:ascii="Century Gothic" w:eastAsia="Calibri" w:hAnsi="Century Gothic" w:cs="Arial"/>
              </w:rPr>
              <w:t xml:space="preserve"> Subsanación</w:t>
            </w:r>
          </w:p>
          <w:p w14:paraId="0717CE8F" w14:textId="77777777" w:rsidR="00112832" w:rsidRPr="0029340D" w:rsidRDefault="00112832" w:rsidP="00EB596C">
            <w:pPr>
              <w:spacing w:line="276" w:lineRule="auto"/>
              <w:contextualSpacing/>
              <w:jc w:val="both"/>
              <w:rPr>
                <w:rFonts w:ascii="Century Gothic" w:eastAsia="Calibri" w:hAnsi="Century Gothic" w:cs="Arial"/>
                <w:color w:val="000000" w:themeColor="text1"/>
                <w:highlight w:val="yellow"/>
              </w:rPr>
            </w:pPr>
          </w:p>
        </w:tc>
      </w:tr>
      <w:tr w:rsidR="00112832" w:rsidRPr="0029340D" w14:paraId="679F12A0" w14:textId="77777777" w:rsidTr="00EB596C">
        <w:tc>
          <w:tcPr>
            <w:tcW w:w="2835" w:type="dxa"/>
          </w:tcPr>
          <w:p w14:paraId="5CF6905D" w14:textId="77777777" w:rsidR="00112832" w:rsidRPr="0029340D" w:rsidRDefault="00112832" w:rsidP="00EB596C">
            <w:pPr>
              <w:spacing w:line="276" w:lineRule="auto"/>
              <w:contextualSpacing/>
              <w:jc w:val="both"/>
              <w:rPr>
                <w:rFonts w:ascii="Century Gothic" w:eastAsia="Calibri" w:hAnsi="Century Gothic" w:cs="Arial"/>
                <w:color w:val="000000" w:themeColor="text1"/>
              </w:rPr>
            </w:pPr>
            <w:r w:rsidRPr="0029340D">
              <w:rPr>
                <w:rFonts w:ascii="Century Gothic" w:eastAsia="Calibri" w:hAnsi="Century Gothic" w:cs="Arial"/>
                <w:b/>
                <w:color w:val="000000" w:themeColor="text1"/>
              </w:rPr>
              <w:t>Radicación:</w:t>
            </w:r>
            <w:r w:rsidRPr="0029340D">
              <w:rPr>
                <w:rFonts w:ascii="Century Gothic" w:eastAsia="Calibri" w:hAnsi="Century Gothic" w:cs="Arial"/>
                <w:color w:val="000000" w:themeColor="text1"/>
              </w:rPr>
              <w:t xml:space="preserve">                              </w:t>
            </w:r>
          </w:p>
        </w:tc>
        <w:tc>
          <w:tcPr>
            <w:tcW w:w="5949" w:type="dxa"/>
          </w:tcPr>
          <w:p w14:paraId="7A0D345F" w14:textId="6028B5DC" w:rsidR="00112832" w:rsidRPr="0029340D" w:rsidRDefault="00112832" w:rsidP="00EB596C">
            <w:pPr>
              <w:spacing w:line="276" w:lineRule="auto"/>
              <w:contextualSpacing/>
              <w:jc w:val="both"/>
              <w:rPr>
                <w:rFonts w:ascii="Century Gothic" w:eastAsia="Calibri" w:hAnsi="Century Gothic" w:cs="Arial"/>
                <w:color w:val="000000" w:themeColor="text1"/>
              </w:rPr>
            </w:pPr>
            <w:r w:rsidRPr="0029340D">
              <w:rPr>
                <w:rFonts w:ascii="Century Gothic" w:eastAsia="Calibri" w:hAnsi="Century Gothic" w:cs="Arial"/>
                <w:color w:val="000000" w:themeColor="text1"/>
              </w:rPr>
              <w:t xml:space="preserve">Respuesta a la consulta No. </w:t>
            </w:r>
            <w:r w:rsidR="004206B5">
              <w:rPr>
                <w:rFonts w:ascii="Century Gothic" w:eastAsia="Calibri" w:hAnsi="Century Gothic" w:cs="Arial"/>
                <w:color w:val="000000" w:themeColor="text1"/>
              </w:rPr>
              <w:t>P202307040129</w:t>
            </w:r>
            <w:r w:rsidR="00C233DE">
              <w:rPr>
                <w:rFonts w:ascii="Century Gothic" w:eastAsia="Calibri" w:hAnsi="Century Gothic" w:cs="Arial"/>
                <w:color w:val="000000" w:themeColor="text1"/>
              </w:rPr>
              <w:t>40</w:t>
            </w:r>
          </w:p>
        </w:tc>
      </w:tr>
    </w:tbl>
    <w:p w14:paraId="5C9A768A" w14:textId="77777777" w:rsidR="00112832" w:rsidRPr="0029340D" w:rsidRDefault="00112832" w:rsidP="00112832">
      <w:pPr>
        <w:spacing w:after="0" w:line="276" w:lineRule="auto"/>
        <w:contextualSpacing/>
        <w:jc w:val="both"/>
        <w:rPr>
          <w:rFonts w:ascii="Century Gothic" w:eastAsia="Calibri" w:hAnsi="Century Gothic" w:cs="Arial"/>
          <w:color w:val="000000" w:themeColor="text1"/>
        </w:rPr>
      </w:pPr>
    </w:p>
    <w:p w14:paraId="2CC273FC" w14:textId="6C164BF8" w:rsidR="00112832" w:rsidRPr="0029340D" w:rsidRDefault="00112832" w:rsidP="00112832">
      <w:pPr>
        <w:spacing w:after="0"/>
        <w:jc w:val="both"/>
        <w:rPr>
          <w:rFonts w:ascii="Century Gothic" w:hAnsi="Century Gothic" w:cs="Arial"/>
          <w:lang w:val="es-MX"/>
        </w:rPr>
      </w:pPr>
      <w:r w:rsidRPr="0029340D">
        <w:rPr>
          <w:rFonts w:ascii="Century Gothic" w:eastAsia="Calibri" w:hAnsi="Century Gothic" w:cs="Arial"/>
          <w:color w:val="000000" w:themeColor="text1"/>
        </w:rPr>
        <w:t xml:space="preserve">Respetado </w:t>
      </w:r>
      <w:r w:rsidRPr="0029340D">
        <w:rPr>
          <w:rFonts w:ascii="Century Gothic" w:hAnsi="Century Gothic" w:cs="Arial"/>
          <w:lang w:val="es-MX"/>
        </w:rPr>
        <w:t>Señor</w:t>
      </w:r>
      <w:r w:rsidR="00A72706">
        <w:rPr>
          <w:rFonts w:ascii="Century Gothic" w:hAnsi="Century Gothic" w:cs="Arial"/>
          <w:lang w:val="es-MX"/>
        </w:rPr>
        <w:t xml:space="preserve"> Reina</w:t>
      </w:r>
      <w:r w:rsidRPr="0029340D">
        <w:rPr>
          <w:rFonts w:ascii="Century Gothic" w:hAnsi="Century Gothic" w:cs="Arial"/>
          <w:lang w:val="es-MX"/>
        </w:rPr>
        <w:t>,</w:t>
      </w:r>
    </w:p>
    <w:p w14:paraId="3AE85AF2" w14:textId="77777777" w:rsidR="00112832" w:rsidRPr="0029340D" w:rsidRDefault="00112832" w:rsidP="00112832">
      <w:pPr>
        <w:spacing w:after="0"/>
        <w:jc w:val="both"/>
        <w:rPr>
          <w:rFonts w:ascii="Century Gothic" w:eastAsia="Calibri" w:hAnsi="Century Gothic" w:cs="Arial"/>
          <w:color w:val="000000" w:themeColor="text1"/>
        </w:rPr>
      </w:pPr>
    </w:p>
    <w:p w14:paraId="7EF5CBEE" w14:textId="4F8D9F96" w:rsidR="00112832" w:rsidRPr="0029340D" w:rsidRDefault="00112832" w:rsidP="00112832">
      <w:pPr>
        <w:pStyle w:val="Prrafodelista"/>
        <w:spacing w:after="0" w:line="276" w:lineRule="auto"/>
        <w:ind w:left="0"/>
        <w:jc w:val="both"/>
        <w:rPr>
          <w:rFonts w:ascii="Century Gothic" w:eastAsia="Calibri" w:hAnsi="Century Gothic" w:cs="Arial"/>
          <w:lang w:val="es-ES_tradnl"/>
        </w:rPr>
      </w:pPr>
      <w:r w:rsidRPr="0029340D">
        <w:rPr>
          <w:rFonts w:ascii="Century Gothic" w:eastAsia="Calibri" w:hAnsi="Century Gothic" w:cs="Arial"/>
          <w:lang w:val="es-ES_tradnl"/>
        </w:rPr>
        <w:t xml:space="preserve">En ejercicio de la competencia otorgada por </w:t>
      </w:r>
      <w:r w:rsidRPr="0029340D">
        <w:rPr>
          <w:rFonts w:ascii="Century Gothic" w:eastAsia="Calibri" w:hAnsi="Century Gothic" w:cs="Arial"/>
          <w:color w:val="000000" w:themeColor="text1"/>
          <w:lang w:val="es-ES_tradnl"/>
        </w:rPr>
        <w:t>el numeral 8 del artículo 11 y el numeral 5 del artículo 3 del Decreto Ley 4170 de 2011</w:t>
      </w:r>
      <w:r w:rsidRPr="0029340D">
        <w:rPr>
          <w:rFonts w:ascii="Century Gothic" w:eastAsia="Calibri" w:hAnsi="Century Gothic" w:cs="Arial"/>
          <w:lang w:val="es-ES_tradnl"/>
        </w:rPr>
        <w:t xml:space="preserve">, la Agencia Nacional de Contratación Pública − Colombia Compra Eficiente responde su consulta </w:t>
      </w:r>
      <w:r w:rsidR="00A86D46">
        <w:rPr>
          <w:rFonts w:ascii="Century Gothic" w:eastAsia="Calibri" w:hAnsi="Century Gothic" w:cs="Arial"/>
          <w:lang w:val="es-ES_tradnl"/>
        </w:rPr>
        <w:t>d</w:t>
      </w:r>
      <w:r w:rsidRPr="0029340D">
        <w:rPr>
          <w:rFonts w:ascii="Century Gothic" w:eastAsia="Calibri" w:hAnsi="Century Gothic" w:cs="Arial"/>
          <w:lang w:val="es-CO"/>
        </w:rPr>
        <w:t xml:space="preserve">el </w:t>
      </w:r>
      <w:r w:rsidR="00A72706">
        <w:rPr>
          <w:rFonts w:ascii="Century Gothic" w:eastAsia="Calibri" w:hAnsi="Century Gothic" w:cs="Arial"/>
          <w:lang w:val="es-CO"/>
        </w:rPr>
        <w:t>4 de juli</w:t>
      </w:r>
      <w:r w:rsidRPr="0029340D">
        <w:rPr>
          <w:rFonts w:ascii="Century Gothic" w:eastAsia="Calibri" w:hAnsi="Century Gothic" w:cs="Arial"/>
          <w:lang w:val="es-CO"/>
        </w:rPr>
        <w:t xml:space="preserve">o de 2023. </w:t>
      </w:r>
    </w:p>
    <w:p w14:paraId="369D5762" w14:textId="77777777" w:rsidR="00112832" w:rsidRPr="0029340D" w:rsidRDefault="00112832" w:rsidP="00112832">
      <w:pPr>
        <w:pStyle w:val="Prrafodelista"/>
        <w:spacing w:after="0" w:line="276" w:lineRule="auto"/>
        <w:ind w:left="0"/>
        <w:jc w:val="both"/>
        <w:rPr>
          <w:rFonts w:ascii="Century Gothic" w:eastAsia="Calibri" w:hAnsi="Century Gothic" w:cs="Arial"/>
          <w:color w:val="000000" w:themeColor="text1"/>
          <w:lang w:val="es-ES_tradnl"/>
        </w:rPr>
      </w:pPr>
    </w:p>
    <w:p w14:paraId="4D2E100F" w14:textId="77777777" w:rsidR="00112832" w:rsidRPr="0029340D" w:rsidRDefault="00112832" w:rsidP="00112832">
      <w:pPr>
        <w:tabs>
          <w:tab w:val="left" w:pos="0"/>
        </w:tabs>
        <w:spacing w:after="0" w:line="276" w:lineRule="auto"/>
        <w:contextualSpacing/>
        <w:jc w:val="both"/>
        <w:rPr>
          <w:rFonts w:ascii="Century Gothic" w:eastAsia="Calibri" w:hAnsi="Century Gothic" w:cs="Arial"/>
          <w:b/>
          <w:color w:val="000000" w:themeColor="text1"/>
        </w:rPr>
      </w:pPr>
      <w:r w:rsidRPr="0029340D">
        <w:rPr>
          <w:rFonts w:ascii="Century Gothic" w:eastAsia="Calibri" w:hAnsi="Century Gothic" w:cs="Arial"/>
          <w:b/>
          <w:color w:val="000000" w:themeColor="text1"/>
        </w:rPr>
        <w:t>1. Problema planteado</w:t>
      </w:r>
    </w:p>
    <w:p w14:paraId="7B2AF7E5" w14:textId="77777777" w:rsidR="00112832" w:rsidRPr="0029340D" w:rsidRDefault="00112832" w:rsidP="00112832">
      <w:pPr>
        <w:spacing w:after="0" w:line="276" w:lineRule="auto"/>
        <w:contextualSpacing/>
        <w:jc w:val="both"/>
        <w:rPr>
          <w:rFonts w:ascii="Century Gothic" w:eastAsia="Calibri" w:hAnsi="Century Gothic" w:cs="Arial"/>
          <w:color w:val="000000" w:themeColor="text1"/>
        </w:rPr>
      </w:pPr>
    </w:p>
    <w:p w14:paraId="3A751456" w14:textId="77777777" w:rsidR="00112832" w:rsidRPr="0029340D" w:rsidRDefault="00112832" w:rsidP="00112832">
      <w:pPr>
        <w:spacing w:after="0" w:line="276" w:lineRule="auto"/>
        <w:contextualSpacing/>
        <w:jc w:val="both"/>
        <w:rPr>
          <w:rFonts w:ascii="Century Gothic" w:eastAsia="Calibri" w:hAnsi="Century Gothic" w:cs="Arial"/>
        </w:rPr>
      </w:pPr>
      <w:r w:rsidRPr="0029340D">
        <w:rPr>
          <w:rFonts w:ascii="Century Gothic" w:eastAsia="Calibri" w:hAnsi="Century Gothic" w:cs="Arial"/>
        </w:rPr>
        <w:t>Usted realiza la siguiente consulta</w:t>
      </w:r>
    </w:p>
    <w:p w14:paraId="389A02BB" w14:textId="77777777" w:rsidR="00112832" w:rsidRPr="0029340D" w:rsidRDefault="00112832" w:rsidP="00112832">
      <w:pPr>
        <w:spacing w:after="0" w:line="276" w:lineRule="auto"/>
        <w:contextualSpacing/>
        <w:jc w:val="both"/>
        <w:rPr>
          <w:rFonts w:ascii="Century Gothic" w:eastAsia="Calibri" w:hAnsi="Century Gothic" w:cs="Arial"/>
        </w:rPr>
      </w:pPr>
    </w:p>
    <w:p w14:paraId="4E070554" w14:textId="44B086FE" w:rsidR="00112832" w:rsidRPr="0029340D" w:rsidRDefault="00B92E93" w:rsidP="00B92E93">
      <w:pPr>
        <w:autoSpaceDE w:val="0"/>
        <w:autoSpaceDN w:val="0"/>
        <w:adjustRightInd w:val="0"/>
        <w:spacing w:after="0" w:line="240" w:lineRule="auto"/>
        <w:ind w:left="709" w:right="709"/>
        <w:jc w:val="both"/>
        <w:rPr>
          <w:rFonts w:ascii="Century Gothic" w:hAnsi="Century Gothic" w:cs="Arial"/>
          <w:i/>
          <w:sz w:val="21"/>
          <w:szCs w:val="21"/>
        </w:rPr>
      </w:pPr>
      <w:bookmarkStart w:id="1" w:name="_Hlk136419030"/>
      <w:r>
        <w:rPr>
          <w:rFonts w:ascii="Century Gothic" w:hAnsi="Century Gothic" w:cs="Arial"/>
          <w:i/>
          <w:sz w:val="21"/>
          <w:szCs w:val="21"/>
        </w:rPr>
        <w:t>“</w:t>
      </w:r>
      <w:r w:rsidRPr="00B92E93">
        <w:rPr>
          <w:rFonts w:ascii="Century Gothic" w:hAnsi="Century Gothic" w:cs="Arial"/>
          <w:i/>
          <w:sz w:val="21"/>
          <w:szCs w:val="21"/>
        </w:rPr>
        <w:t>En un proceso de selección de mínima cuantía donde se solicita como experiencia un</w:t>
      </w:r>
      <w:r w:rsidR="003F2516">
        <w:rPr>
          <w:rFonts w:ascii="Century Gothic" w:hAnsi="Century Gothic" w:cs="Arial"/>
          <w:i/>
          <w:sz w:val="21"/>
          <w:szCs w:val="21"/>
        </w:rPr>
        <w:t xml:space="preserve"> </w:t>
      </w:r>
      <w:r w:rsidRPr="00B92E93">
        <w:rPr>
          <w:rFonts w:ascii="Century Gothic" w:hAnsi="Century Gothic" w:cs="Arial"/>
          <w:i/>
          <w:sz w:val="21"/>
          <w:szCs w:val="21"/>
        </w:rPr>
        <w:t>solo contrato para acreditar este requisito y un oferente presenta un contrato que no</w:t>
      </w:r>
      <w:r w:rsidR="003F2516">
        <w:rPr>
          <w:rFonts w:ascii="Century Gothic" w:hAnsi="Century Gothic" w:cs="Arial"/>
          <w:i/>
          <w:sz w:val="21"/>
          <w:szCs w:val="21"/>
        </w:rPr>
        <w:t xml:space="preserve"> </w:t>
      </w:r>
      <w:r w:rsidRPr="00B92E93">
        <w:rPr>
          <w:rFonts w:ascii="Century Gothic" w:hAnsi="Century Gothic" w:cs="Arial"/>
          <w:i/>
          <w:sz w:val="21"/>
          <w:szCs w:val="21"/>
        </w:rPr>
        <w:t>cumple con lo exigido por la entidad, entonces ¿Éste oferente puede subsanar este</w:t>
      </w:r>
      <w:r w:rsidR="003F2516">
        <w:rPr>
          <w:rFonts w:ascii="Century Gothic" w:hAnsi="Century Gothic" w:cs="Arial"/>
          <w:i/>
          <w:sz w:val="21"/>
          <w:szCs w:val="21"/>
        </w:rPr>
        <w:t xml:space="preserve"> </w:t>
      </w:r>
      <w:r w:rsidRPr="00B92E93">
        <w:rPr>
          <w:rFonts w:ascii="Century Gothic" w:hAnsi="Century Gothic" w:cs="Arial"/>
          <w:i/>
          <w:sz w:val="21"/>
          <w:szCs w:val="21"/>
        </w:rPr>
        <w:t>requisito presentando un contrato completamente diferente que cumpla con lo que</w:t>
      </w:r>
      <w:r w:rsidR="003F2516">
        <w:rPr>
          <w:rFonts w:ascii="Century Gothic" w:hAnsi="Century Gothic" w:cs="Arial"/>
          <w:i/>
          <w:sz w:val="21"/>
          <w:szCs w:val="21"/>
        </w:rPr>
        <w:t xml:space="preserve"> </w:t>
      </w:r>
      <w:r w:rsidRPr="00B92E93">
        <w:rPr>
          <w:rFonts w:ascii="Century Gothic" w:hAnsi="Century Gothic" w:cs="Arial"/>
          <w:i/>
          <w:sz w:val="21"/>
          <w:szCs w:val="21"/>
        </w:rPr>
        <w:t xml:space="preserve">exige la </w:t>
      </w:r>
      <w:r w:rsidR="003F2516" w:rsidRPr="00B92E93">
        <w:rPr>
          <w:rFonts w:ascii="Century Gothic" w:hAnsi="Century Gothic" w:cs="Arial"/>
          <w:i/>
          <w:sz w:val="21"/>
          <w:szCs w:val="21"/>
        </w:rPr>
        <w:t>entidad?</w:t>
      </w:r>
      <w:r w:rsidR="00112832" w:rsidRPr="0029340D">
        <w:rPr>
          <w:rFonts w:ascii="Century Gothic" w:hAnsi="Century Gothic" w:cs="Arial"/>
          <w:i/>
          <w:sz w:val="21"/>
          <w:szCs w:val="21"/>
        </w:rPr>
        <w:t>” (sic)</w:t>
      </w:r>
    </w:p>
    <w:p w14:paraId="7E643A62" w14:textId="77777777" w:rsidR="00112832" w:rsidRPr="0029340D" w:rsidRDefault="00112832" w:rsidP="00112832">
      <w:pPr>
        <w:autoSpaceDE w:val="0"/>
        <w:autoSpaceDN w:val="0"/>
        <w:adjustRightInd w:val="0"/>
        <w:spacing w:after="0" w:line="240" w:lineRule="auto"/>
        <w:ind w:left="709" w:right="709"/>
        <w:jc w:val="both"/>
        <w:rPr>
          <w:rFonts w:ascii="Century Gothic" w:eastAsia="Calibri" w:hAnsi="Century Gothic" w:cs="Arial"/>
          <w:sz w:val="21"/>
          <w:szCs w:val="21"/>
        </w:rPr>
      </w:pPr>
    </w:p>
    <w:bookmarkEnd w:id="1"/>
    <w:p w14:paraId="6620BDC1" w14:textId="77777777" w:rsidR="00112832" w:rsidRPr="0029340D" w:rsidRDefault="00112832" w:rsidP="00112832">
      <w:pPr>
        <w:spacing w:after="0" w:line="276" w:lineRule="auto"/>
        <w:contextualSpacing/>
        <w:jc w:val="both"/>
        <w:rPr>
          <w:rFonts w:ascii="Century Gothic" w:eastAsia="Calibri" w:hAnsi="Century Gothic" w:cs="Arial"/>
          <w:color w:val="000000" w:themeColor="text1"/>
        </w:rPr>
      </w:pPr>
      <w:r w:rsidRPr="0029340D">
        <w:rPr>
          <w:rFonts w:ascii="Century Gothic" w:eastAsia="Calibri" w:hAnsi="Century Gothic" w:cs="Arial"/>
          <w:b/>
          <w:color w:val="000000" w:themeColor="text1"/>
        </w:rPr>
        <w:t>2. Consideraciones</w:t>
      </w:r>
    </w:p>
    <w:p w14:paraId="3D2B4C28" w14:textId="71CA6FE6" w:rsidR="00112832" w:rsidRPr="0029340D" w:rsidRDefault="00C41FCB" w:rsidP="00C41FCB">
      <w:pPr>
        <w:spacing w:before="120" w:after="120"/>
        <w:jc w:val="both"/>
        <w:rPr>
          <w:rFonts w:ascii="Century Gothic" w:hAnsi="Century Gothic" w:cs="Arial"/>
          <w:color w:val="000000" w:themeColor="text1"/>
          <w:lang w:eastAsia="es-MX"/>
        </w:rPr>
      </w:pPr>
      <w:r>
        <w:rPr>
          <w:rFonts w:ascii="Century Gothic" w:eastAsia="Calibri" w:hAnsi="Century Gothic" w:cs="Arial"/>
          <w:color w:val="000000"/>
          <w:szCs w:val="24"/>
          <w:lang w:val="es-ES_tradnl" w:eastAsia="es-ES_tradnl"/>
        </w:rPr>
        <w:t>L</w:t>
      </w:r>
      <w:r w:rsidRPr="00FE1B85">
        <w:rPr>
          <w:rFonts w:ascii="Century Gothic" w:eastAsia="Calibri" w:hAnsi="Century Gothic" w:cs="Arial"/>
          <w:color w:val="000000"/>
          <w:szCs w:val="24"/>
          <w:lang w:val="es-ES_tradnl" w:eastAsia="es-ES_tradnl"/>
        </w:rPr>
        <w:t xml:space="preserve">a Agencia Nacional de Contratación Pública – Colombia Compra Eficiente, resuelve consultas sobre la aplicación de normas de carácter general en materia de compras y contratación pública relacionadas en los artículos previamente </w:t>
      </w:r>
      <w:r w:rsidRPr="00FE1B85">
        <w:rPr>
          <w:rFonts w:ascii="Century Gothic" w:eastAsia="Calibri" w:hAnsi="Century Gothic" w:cs="Arial"/>
          <w:color w:val="000000"/>
          <w:szCs w:val="24"/>
          <w:lang w:val="es-ES_tradnl" w:eastAsia="es-ES_tradnl"/>
        </w:rPr>
        <w:lastRenderedPageBreak/>
        <w:t>citados</w:t>
      </w:r>
      <w:r w:rsidRPr="00FE1B85">
        <w:rPr>
          <w:rStyle w:val="Refdenotaalpie"/>
          <w:rFonts w:ascii="Century Gothic" w:hAnsi="Century Gothic" w:cs="Arial"/>
          <w:lang w:val="es-ES_tradnl"/>
        </w:rPr>
        <w:footnoteReference w:id="1"/>
      </w:r>
      <w:r w:rsidRPr="00FE1B85">
        <w:rPr>
          <w:rFonts w:ascii="Century Gothic" w:eastAsia="Calibri" w:hAnsi="Century Gothic" w:cs="Arial"/>
          <w:color w:val="000000"/>
          <w:szCs w:val="24"/>
          <w:lang w:val="es-ES_tradnl" w:eastAsia="es-ES_tradnl"/>
        </w:rPr>
        <w:t>. En ese sentido</w:t>
      </w:r>
      <w:r w:rsidRPr="00FE1B85">
        <w:rPr>
          <w:rFonts w:ascii="Century Gothic" w:eastAsia="Calibri" w:hAnsi="Century Gothic" w:cs="Arial"/>
          <w:color w:val="000000" w:themeColor="text1"/>
          <w:lang w:val="es-ES"/>
        </w:rPr>
        <w:t>, esta Subdirección dentro de los límites de sus atribuciones resolverá su consulta previ</w:t>
      </w:r>
      <w:r>
        <w:rPr>
          <w:rFonts w:ascii="Century Gothic" w:eastAsia="Calibri" w:hAnsi="Century Gothic" w:cs="Arial"/>
          <w:color w:val="000000" w:themeColor="text1"/>
          <w:lang w:val="es-ES"/>
        </w:rPr>
        <w:t>o</w:t>
      </w:r>
      <w:r w:rsidRPr="00FE1B85">
        <w:rPr>
          <w:rFonts w:ascii="Century Gothic" w:eastAsia="Calibri" w:hAnsi="Century Gothic" w:cs="Arial"/>
          <w:color w:val="000000" w:themeColor="text1"/>
          <w:lang w:val="es-ES"/>
        </w:rPr>
        <w:t xml:space="preserve"> análisis de </w:t>
      </w:r>
      <w:r w:rsidR="00112832" w:rsidRPr="0029340D">
        <w:rPr>
          <w:rFonts w:ascii="Century Gothic" w:hAnsi="Century Gothic" w:cs="Arial"/>
          <w:color w:val="000000" w:themeColor="text1"/>
          <w:lang w:eastAsia="es-MX"/>
        </w:rPr>
        <w:t xml:space="preserve">los siguientes temas: i) </w:t>
      </w:r>
      <w:r w:rsidR="00112832" w:rsidRPr="0029340D">
        <w:rPr>
          <w:rFonts w:ascii="Century Gothic" w:eastAsia="Calibri" w:hAnsi="Century Gothic" w:cs="Arial"/>
          <w:color w:val="000000" w:themeColor="text1"/>
          <w:lang w:val="es-ES" w:eastAsia="es-MX"/>
        </w:rPr>
        <w:t>aproximación general al concepto de experiencia en la contratación pública; ii)</w:t>
      </w:r>
      <w:r w:rsidR="00C912A8">
        <w:rPr>
          <w:rFonts w:ascii="Century Gothic" w:eastAsia="Calibri" w:hAnsi="Century Gothic" w:cs="Arial"/>
          <w:color w:val="000000" w:themeColor="text1"/>
          <w:lang w:val="es-ES" w:eastAsia="es-MX"/>
        </w:rPr>
        <w:t xml:space="preserve"> </w:t>
      </w:r>
      <w:r w:rsidR="00112832" w:rsidRPr="0029340D">
        <w:rPr>
          <w:rFonts w:ascii="Century Gothic" w:eastAsia="Calibri" w:hAnsi="Century Gothic" w:cs="Arial"/>
          <w:color w:val="000000" w:themeColor="text1"/>
          <w:lang w:val="es-ES" w:eastAsia="es-MX"/>
        </w:rPr>
        <w:t>subsana</w:t>
      </w:r>
      <w:r w:rsidR="00EE39B7">
        <w:rPr>
          <w:rFonts w:ascii="Century Gothic" w:eastAsia="Calibri" w:hAnsi="Century Gothic" w:cs="Arial"/>
          <w:color w:val="000000" w:themeColor="text1"/>
          <w:lang w:val="es-ES" w:eastAsia="es-MX"/>
        </w:rPr>
        <w:t xml:space="preserve">ción </w:t>
      </w:r>
      <w:r w:rsidR="00112832" w:rsidRPr="0029340D">
        <w:rPr>
          <w:rFonts w:ascii="Century Gothic" w:eastAsia="Calibri" w:hAnsi="Century Gothic" w:cs="Arial"/>
          <w:color w:val="000000" w:themeColor="text1"/>
          <w:lang w:val="es-ES" w:eastAsia="es-MX"/>
        </w:rPr>
        <w:t>de las ofertas</w:t>
      </w:r>
      <w:r w:rsidR="000325FB">
        <w:rPr>
          <w:rFonts w:ascii="Century Gothic" w:eastAsia="Calibri" w:hAnsi="Century Gothic" w:cs="Arial"/>
          <w:color w:val="000000" w:themeColor="text1"/>
          <w:lang w:val="es-ES" w:eastAsia="es-MX"/>
        </w:rPr>
        <w:t>; y, iii)</w:t>
      </w:r>
      <w:r w:rsidR="0009440D">
        <w:rPr>
          <w:rFonts w:ascii="Century Gothic" w:eastAsia="Calibri" w:hAnsi="Century Gothic" w:cs="Arial"/>
          <w:color w:val="000000" w:themeColor="text1"/>
          <w:lang w:val="es-ES" w:eastAsia="es-MX"/>
        </w:rPr>
        <w:t xml:space="preserve"> </w:t>
      </w:r>
      <w:r w:rsidR="00A5540E">
        <w:rPr>
          <w:rFonts w:ascii="Century Gothic" w:eastAsia="Calibri" w:hAnsi="Century Gothic" w:cs="Arial"/>
          <w:color w:val="000000" w:themeColor="text1"/>
          <w:lang w:val="es-ES" w:eastAsia="es-MX"/>
        </w:rPr>
        <w:t xml:space="preserve">la </w:t>
      </w:r>
      <w:r w:rsidR="00C912A8">
        <w:rPr>
          <w:rFonts w:ascii="Century Gothic" w:eastAsia="Calibri" w:hAnsi="Century Gothic" w:cs="Arial"/>
          <w:color w:val="000000" w:themeColor="text1"/>
          <w:lang w:val="es-ES" w:eastAsia="es-MX"/>
        </w:rPr>
        <w:t>s</w:t>
      </w:r>
      <w:r w:rsidR="0009440D">
        <w:rPr>
          <w:rFonts w:ascii="Century Gothic" w:eastAsia="Calibri" w:hAnsi="Century Gothic" w:cs="Arial"/>
          <w:color w:val="000000" w:themeColor="text1"/>
          <w:lang w:val="es-ES" w:eastAsia="es-MX"/>
        </w:rPr>
        <w:t>ubsanación en los procesos de mínima cuantía</w:t>
      </w:r>
      <w:r w:rsidR="00DE363D">
        <w:rPr>
          <w:rFonts w:ascii="Century Gothic" w:eastAsia="Calibri" w:hAnsi="Century Gothic" w:cs="Arial"/>
          <w:color w:val="000000" w:themeColor="text1"/>
          <w:lang w:val="es-ES" w:eastAsia="es-MX"/>
        </w:rPr>
        <w:t>.</w:t>
      </w:r>
    </w:p>
    <w:p w14:paraId="463FAAE5" w14:textId="77DEDCCE" w:rsidR="00112832" w:rsidRDefault="00112832" w:rsidP="000D70B4">
      <w:pPr>
        <w:spacing w:line="276" w:lineRule="auto"/>
        <w:ind w:firstLine="708"/>
        <w:jc w:val="both"/>
        <w:rPr>
          <w:rFonts w:ascii="Century Gothic" w:hAnsi="Century Gothic" w:cs="Arial"/>
          <w:color w:val="000000" w:themeColor="text1"/>
          <w:lang w:val="es-ES"/>
        </w:rPr>
      </w:pPr>
      <w:r w:rsidRPr="0029340D">
        <w:rPr>
          <w:rFonts w:ascii="Century Gothic" w:eastAsia="Calibri" w:hAnsi="Century Gothic" w:cs="Arial"/>
          <w:color w:val="000000" w:themeColor="text1"/>
          <w:lang w:val="es-ES"/>
        </w:rPr>
        <w:t xml:space="preserve">Sobre </w:t>
      </w:r>
      <w:r w:rsidRPr="0029340D">
        <w:rPr>
          <w:rFonts w:ascii="Century Gothic" w:hAnsi="Century Gothic" w:cs="Arial"/>
          <w:lang w:val="es-ES_tradnl"/>
        </w:rPr>
        <w:t xml:space="preserve">la regla de subsanabilidad de la oferta esta entidad unificó </w:t>
      </w:r>
      <w:r w:rsidRPr="0029340D">
        <w:rPr>
          <w:rFonts w:ascii="Century Gothic" w:hAnsi="Century Gothic" w:cs="Arial"/>
        </w:rPr>
        <w:t>concepto CU — 060 de 16 de enero de 2020, posición que ha sido reiterada en los conceptos 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C-250 del 2 de junio de 2021 C-568 del 11 de octubre de 2021, C-728 del 25 de enero de 2022, C-140 del 28 de marzo de 2022, C-285 del 20 de mayo de 2022, C-416 del 30 de junio de 2022, C-431 del 7 de julio de 2022, C-470 del 25 de julio de 2022, C-505 de 8 de agosto de 2022, C-681 de 19 de octubre de 2022</w:t>
      </w:r>
      <w:r w:rsidR="001420A0">
        <w:rPr>
          <w:rFonts w:ascii="Century Gothic" w:hAnsi="Century Gothic" w:cs="Arial"/>
        </w:rPr>
        <w:t>, C-793</w:t>
      </w:r>
      <w:r w:rsidR="00E13246">
        <w:rPr>
          <w:rFonts w:ascii="Century Gothic" w:hAnsi="Century Gothic" w:cs="Arial"/>
        </w:rPr>
        <w:t xml:space="preserve"> del 21 de noviembre de 2022, C-882 de</w:t>
      </w:r>
      <w:r w:rsidR="00CD58D2">
        <w:rPr>
          <w:rFonts w:ascii="Century Gothic" w:hAnsi="Century Gothic" w:cs="Arial"/>
        </w:rPr>
        <w:t xml:space="preserve"> 21 de diciembre de 2022</w:t>
      </w:r>
      <w:r w:rsidR="003A58E9">
        <w:rPr>
          <w:rFonts w:ascii="Century Gothic" w:hAnsi="Century Gothic" w:cs="Arial"/>
        </w:rPr>
        <w:t xml:space="preserve">, </w:t>
      </w:r>
      <w:r w:rsidRPr="0029340D">
        <w:rPr>
          <w:rFonts w:ascii="Century Gothic" w:hAnsi="Century Gothic" w:cs="Arial"/>
        </w:rPr>
        <w:t>C-216 de 6 de junio de 2023,</w:t>
      </w:r>
      <w:r w:rsidR="003A58E9">
        <w:rPr>
          <w:rFonts w:ascii="Century Gothic" w:hAnsi="Century Gothic" w:cs="Arial"/>
        </w:rPr>
        <w:t xml:space="preserve"> </w:t>
      </w:r>
      <w:r w:rsidR="00BD4563">
        <w:rPr>
          <w:rFonts w:ascii="Century Gothic" w:hAnsi="Century Gothic" w:cs="Arial"/>
        </w:rPr>
        <w:t xml:space="preserve">y </w:t>
      </w:r>
      <w:r w:rsidR="003A58E9">
        <w:rPr>
          <w:rFonts w:ascii="Century Gothic" w:hAnsi="Century Gothic" w:cs="Arial"/>
        </w:rPr>
        <w:t>C-</w:t>
      </w:r>
      <w:r w:rsidR="004D3F12">
        <w:rPr>
          <w:rFonts w:ascii="Century Gothic" w:hAnsi="Century Gothic" w:cs="Arial"/>
        </w:rPr>
        <w:t>261de 13 de julio de 2023,</w:t>
      </w:r>
      <w:r w:rsidRPr="0029340D">
        <w:rPr>
          <w:rFonts w:ascii="Century Gothic" w:hAnsi="Century Gothic" w:cs="Arial"/>
        </w:rPr>
        <w:t xml:space="preserve"> entre otros</w:t>
      </w:r>
      <w:r w:rsidR="00217D6E">
        <w:rPr>
          <w:rStyle w:val="Refdenotaalpie"/>
          <w:rFonts w:ascii="Century Gothic" w:hAnsi="Century Gothic" w:cs="Arial"/>
        </w:rPr>
        <w:footnoteReference w:id="2"/>
      </w:r>
      <w:r w:rsidRPr="0029340D">
        <w:rPr>
          <w:rFonts w:ascii="Century Gothic" w:hAnsi="Century Gothic" w:cs="Arial"/>
        </w:rPr>
        <w:t>.</w:t>
      </w:r>
      <w:r w:rsidR="00BD4563">
        <w:rPr>
          <w:rFonts w:ascii="Century Gothic" w:hAnsi="Century Gothic" w:cs="Arial"/>
        </w:rPr>
        <w:t xml:space="preserve"> Por su parte</w:t>
      </w:r>
      <w:r w:rsidR="006701BE">
        <w:rPr>
          <w:rFonts w:ascii="Century Gothic" w:hAnsi="Century Gothic" w:cs="Arial"/>
        </w:rPr>
        <w:t>,</w:t>
      </w:r>
      <w:r w:rsidR="00BD4563">
        <w:rPr>
          <w:rFonts w:ascii="Century Gothic" w:hAnsi="Century Gothic" w:cs="Arial"/>
        </w:rPr>
        <w:t xml:space="preserve"> </w:t>
      </w:r>
      <w:r w:rsidR="006701BE">
        <w:rPr>
          <w:rFonts w:ascii="Century Gothic" w:hAnsi="Century Gothic" w:cs="Arial"/>
        </w:rPr>
        <w:t>frente a la subsanación en procesos de mínima cuantía</w:t>
      </w:r>
      <w:r w:rsidR="00B470F0">
        <w:rPr>
          <w:rFonts w:ascii="Century Gothic" w:hAnsi="Century Gothic" w:cs="Arial"/>
        </w:rPr>
        <w:t>,</w:t>
      </w:r>
      <w:r w:rsidR="006701BE">
        <w:rPr>
          <w:rFonts w:ascii="Century Gothic" w:hAnsi="Century Gothic" w:cs="Arial"/>
        </w:rPr>
        <w:t xml:space="preserve"> la Agencia </w:t>
      </w:r>
      <w:r w:rsidR="0041429B">
        <w:rPr>
          <w:rFonts w:ascii="Century Gothic" w:hAnsi="Century Gothic" w:cs="Arial"/>
        </w:rPr>
        <w:t xml:space="preserve">emitió </w:t>
      </w:r>
      <w:r w:rsidR="009C2307">
        <w:rPr>
          <w:rFonts w:ascii="Century Gothic" w:hAnsi="Century Gothic" w:cs="Arial"/>
        </w:rPr>
        <w:t>el concept</w:t>
      </w:r>
      <w:r w:rsidR="00217D6E">
        <w:rPr>
          <w:rFonts w:ascii="Century Gothic" w:hAnsi="Century Gothic" w:cs="Arial"/>
        </w:rPr>
        <w:t xml:space="preserve">o </w:t>
      </w:r>
      <w:r w:rsidR="007F1DE6">
        <w:rPr>
          <w:rFonts w:ascii="Century Gothic" w:hAnsi="Century Gothic" w:cs="Arial"/>
        </w:rPr>
        <w:t>C</w:t>
      </w:r>
      <w:r w:rsidR="00E81A7C">
        <w:rPr>
          <w:rFonts w:ascii="Century Gothic" w:hAnsi="Century Gothic" w:cs="Arial"/>
        </w:rPr>
        <w:t xml:space="preserve">-877 del 26 de diciembre de 2023 </w:t>
      </w:r>
      <w:r w:rsidR="00217D6E">
        <w:rPr>
          <w:rFonts w:ascii="Century Gothic" w:hAnsi="Century Gothic" w:cs="Arial"/>
        </w:rPr>
        <w:t xml:space="preserve">y la respuesta con radicado de salida </w:t>
      </w:r>
      <w:r w:rsidR="00520D93">
        <w:rPr>
          <w:rFonts w:ascii="Century Gothic" w:hAnsi="Century Gothic" w:cs="Arial"/>
        </w:rPr>
        <w:t>RS20230623006465</w:t>
      </w:r>
      <w:r w:rsidR="00A46AA4">
        <w:rPr>
          <w:rFonts w:ascii="Century Gothic" w:hAnsi="Century Gothic" w:cs="Arial"/>
        </w:rPr>
        <w:t xml:space="preserve"> del 22 de junio de 2023</w:t>
      </w:r>
      <w:r w:rsidR="00161CB2">
        <w:rPr>
          <w:rFonts w:ascii="Century Gothic" w:hAnsi="Century Gothic" w:cs="Arial"/>
        </w:rPr>
        <w:t>.</w:t>
      </w:r>
      <w:r w:rsidR="00A46AA4">
        <w:rPr>
          <w:rFonts w:ascii="Century Gothic" w:hAnsi="Century Gothic" w:cs="Arial"/>
        </w:rPr>
        <w:t xml:space="preserve"> </w:t>
      </w:r>
      <w:r w:rsidRPr="0029340D">
        <w:rPr>
          <w:rFonts w:ascii="Century Gothic" w:hAnsi="Century Gothic" w:cs="Arial"/>
          <w:color w:val="000000" w:themeColor="text1"/>
          <w:lang w:val="es-ES"/>
        </w:rPr>
        <w:t xml:space="preserve">La tesis propuesta en estos conceptos </w:t>
      </w:r>
      <w:r w:rsidR="005E75E6">
        <w:rPr>
          <w:rFonts w:ascii="Century Gothic" w:hAnsi="Century Gothic" w:cs="Arial"/>
          <w:color w:val="000000" w:themeColor="text1"/>
          <w:lang w:val="es-ES"/>
        </w:rPr>
        <w:t xml:space="preserve">se </w:t>
      </w:r>
      <w:r w:rsidRPr="0029340D">
        <w:rPr>
          <w:rFonts w:ascii="Century Gothic" w:hAnsi="Century Gothic" w:cs="Arial"/>
          <w:color w:val="000000" w:themeColor="text1"/>
          <w:lang w:val="es-ES"/>
        </w:rPr>
        <w:t>expone a continuación y se complementa en lo pertinente:</w:t>
      </w:r>
    </w:p>
    <w:p w14:paraId="47F7CAF3" w14:textId="77777777" w:rsidR="005E75E6" w:rsidRPr="0029340D" w:rsidRDefault="005E75E6" w:rsidP="000D70B4">
      <w:pPr>
        <w:spacing w:line="276" w:lineRule="auto"/>
        <w:ind w:firstLine="708"/>
        <w:jc w:val="both"/>
        <w:rPr>
          <w:rFonts w:ascii="Century Gothic" w:hAnsi="Century Gothic" w:cs="Arial"/>
          <w:color w:val="000000" w:themeColor="text1"/>
          <w:lang w:val="es-ES"/>
        </w:rPr>
      </w:pPr>
    </w:p>
    <w:p w14:paraId="138BEA43" w14:textId="77777777" w:rsidR="00112832" w:rsidRPr="0029340D" w:rsidRDefault="00112832" w:rsidP="00112832">
      <w:pPr>
        <w:pStyle w:val="Sinespaciado"/>
        <w:numPr>
          <w:ilvl w:val="1"/>
          <w:numId w:val="6"/>
        </w:numPr>
        <w:spacing w:line="276" w:lineRule="auto"/>
        <w:jc w:val="both"/>
        <w:rPr>
          <w:rFonts w:ascii="Century Gothic" w:hAnsi="Century Gothic" w:cs="Arial"/>
          <w:b/>
          <w:color w:val="000000" w:themeColor="text1"/>
          <w:sz w:val="22"/>
        </w:rPr>
      </w:pPr>
      <w:r w:rsidRPr="0029340D">
        <w:rPr>
          <w:rFonts w:ascii="Century Gothic" w:eastAsia="Calibri" w:hAnsi="Century Gothic" w:cs="Arial"/>
          <w:b/>
          <w:color w:val="000000" w:themeColor="text1"/>
          <w:lang w:val="es-ES" w:eastAsia="es-MX"/>
        </w:rPr>
        <w:t>Aproximación general al concepto de experiencia en la contratación pública</w:t>
      </w:r>
    </w:p>
    <w:p w14:paraId="0D7B4234" w14:textId="77777777" w:rsidR="00112832" w:rsidRPr="0029340D" w:rsidRDefault="00112832" w:rsidP="00112832">
      <w:pPr>
        <w:spacing w:line="276" w:lineRule="auto"/>
        <w:jc w:val="both"/>
        <w:rPr>
          <w:rFonts w:ascii="Century Gothic" w:eastAsia="Calibri" w:hAnsi="Century Gothic" w:cs="Arial"/>
        </w:rPr>
      </w:pPr>
      <w:r w:rsidRPr="0029340D">
        <w:rPr>
          <w:rFonts w:ascii="Century Gothic" w:eastAsia="Calibri" w:hAnsi="Century Gothic" w:cs="Arial"/>
        </w:rPr>
        <w:lastRenderedPageBreak/>
        <w:t>El artículo 5 de la Ley 1150 de 2007 establece los requisitos habilitantes para participar en un procedimiento contractual, dentro de los cuales se destaca la experiencia. El propósito es que las entidades fijen unos requisitos mínimos que debe tener y acreditar el proponente, para que la entidad pueda verificar su aptitud para participar en el procedimiento de contratación y, si se le adjudica, ejecutar el contrato estatal</w:t>
      </w:r>
      <w:r w:rsidRPr="0029340D">
        <w:rPr>
          <w:rStyle w:val="Refdenotaalpie"/>
          <w:rFonts w:ascii="Century Gothic" w:eastAsia="Calibri" w:hAnsi="Century Gothic" w:cs="Arial"/>
        </w:rPr>
        <w:footnoteReference w:id="3"/>
      </w:r>
      <w:r w:rsidRPr="0029340D">
        <w:rPr>
          <w:rFonts w:ascii="Century Gothic" w:eastAsia="Calibri" w:hAnsi="Century Gothic" w:cs="Arial"/>
        </w:rPr>
        <w:t>. Con los matices requeridos para la aplicación de los documentos tipo,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29340D">
        <w:rPr>
          <w:rStyle w:val="Refdenotaalpie"/>
          <w:rFonts w:ascii="Century Gothic" w:eastAsia="Calibri" w:hAnsi="Century Gothic" w:cs="Arial"/>
        </w:rPr>
        <w:footnoteReference w:id="4"/>
      </w:r>
      <w:r w:rsidRPr="0029340D">
        <w:rPr>
          <w:rFonts w:ascii="Century Gothic" w:eastAsia="Calibri" w:hAnsi="Century Gothic" w:cs="Arial"/>
        </w:rPr>
        <w:t>.</w:t>
      </w:r>
    </w:p>
    <w:p w14:paraId="4CA78541" w14:textId="7359FC3D" w:rsidR="00112832" w:rsidRPr="0029340D" w:rsidRDefault="00112832" w:rsidP="00112832">
      <w:pPr>
        <w:spacing w:before="120" w:after="120" w:line="276" w:lineRule="auto"/>
        <w:ind w:firstLine="708"/>
        <w:jc w:val="both"/>
        <w:rPr>
          <w:rFonts w:ascii="Century Gothic" w:eastAsia="Calibri" w:hAnsi="Century Gothic" w:cs="Arial"/>
        </w:rPr>
      </w:pPr>
      <w:r w:rsidRPr="0029340D">
        <w:rPr>
          <w:rFonts w:ascii="Century Gothic" w:eastAsia="Calibri" w:hAnsi="Century Gothic" w:cs="Arial"/>
        </w:rPr>
        <w:t>La experiencia que se deriva de los contratos que el proponente ha celebrado y ejecutado con diferentes contratantes, sin importar la naturaleza de estos, se verifica</w:t>
      </w:r>
      <w:r w:rsidR="0093617E">
        <w:rPr>
          <w:rFonts w:ascii="Century Gothic" w:eastAsia="Calibri" w:hAnsi="Century Gothic" w:cs="Arial"/>
        </w:rPr>
        <w:t>, en principio</w:t>
      </w:r>
      <w:r w:rsidRPr="0029340D">
        <w:rPr>
          <w:rFonts w:ascii="Century Gothic" w:eastAsia="Calibri" w:hAnsi="Century Gothic" w:cs="Arial"/>
        </w:rPr>
        <w:t xml:space="preserve"> con el Registro Único de Proponentes –RUP–</w:t>
      </w:r>
      <w:r w:rsidRPr="0029340D">
        <w:rPr>
          <w:rStyle w:val="Refdenotaalpie"/>
          <w:rFonts w:ascii="Century Gothic" w:eastAsia="Calibri" w:hAnsi="Century Gothic" w:cs="Arial"/>
        </w:rPr>
        <w:footnoteReference w:id="5"/>
      </w:r>
      <w:r w:rsidRPr="0029340D">
        <w:rPr>
          <w:rFonts w:ascii="Century Gothic" w:eastAsia="Calibri" w:hAnsi="Century Gothic" w:cs="Arial"/>
        </w:rPr>
        <w:t xml:space="preserve">, cuando </w:t>
      </w:r>
      <w:r w:rsidRPr="0029340D">
        <w:rPr>
          <w:rFonts w:ascii="Century Gothic" w:eastAsia="Calibri" w:hAnsi="Century Gothic" w:cs="Arial"/>
        </w:rPr>
        <w:lastRenderedPageBreak/>
        <w:t>este certificado sea exigible de acuerdo con la ley, en el cual constan los requisitos habilitantes que se evalúan exclusivamente con este documento, que es plena prueba, sin que la entidad o el proponente puedan solicitar o aportar otra documentación</w:t>
      </w:r>
      <w:r w:rsidRPr="0029340D">
        <w:rPr>
          <w:rStyle w:val="Refdenotaalpie"/>
          <w:rFonts w:ascii="Century Gothic" w:eastAsia="Calibri" w:hAnsi="Century Gothic" w:cs="Arial"/>
        </w:rPr>
        <w:footnoteReference w:id="6"/>
      </w:r>
      <w:r w:rsidRPr="0029340D">
        <w:rPr>
          <w:rFonts w:ascii="Century Gothic" w:eastAsia="Calibri" w:hAnsi="Century Gothic" w:cs="Arial"/>
        </w:rPr>
        <w:t>.</w:t>
      </w:r>
    </w:p>
    <w:p w14:paraId="51AFE993" w14:textId="7961ED4D" w:rsidR="00112832" w:rsidRPr="0029340D" w:rsidRDefault="00112832" w:rsidP="00112832">
      <w:pPr>
        <w:pStyle w:val="Prrafodelista"/>
        <w:spacing w:line="276" w:lineRule="auto"/>
        <w:ind w:left="0" w:firstLine="708"/>
        <w:jc w:val="both"/>
        <w:rPr>
          <w:rFonts w:ascii="Century Gothic" w:eastAsia="Calibri" w:hAnsi="Century Gothic" w:cs="Arial"/>
        </w:rPr>
      </w:pPr>
      <w:r w:rsidRPr="0029340D">
        <w:rPr>
          <w:rFonts w:ascii="Century Gothic" w:eastAsia="Calibri" w:hAnsi="Century Gothic" w:cs="Arial"/>
        </w:rPr>
        <w:t xml:space="preserve">Respecto de la experiencia, </w:t>
      </w:r>
      <w:r w:rsidR="00CD0EEB">
        <w:rPr>
          <w:rFonts w:ascii="Century Gothic" w:eastAsia="Calibri" w:hAnsi="Century Gothic" w:cs="Arial"/>
        </w:rPr>
        <w:t>en los procesos de mínima cuantía no e</w:t>
      </w:r>
      <w:r w:rsidR="00791F8A">
        <w:rPr>
          <w:rFonts w:ascii="Century Gothic" w:eastAsia="Calibri" w:hAnsi="Century Gothic" w:cs="Arial"/>
        </w:rPr>
        <w:t>s exigible el RUP, por lo tanto, la Entidad Estatal deberá establecer en la invitación la forma en la que se verificará la acreditación de este requisito</w:t>
      </w:r>
      <w:r w:rsidR="00BE0F2A">
        <w:rPr>
          <w:rFonts w:ascii="Century Gothic" w:eastAsia="Calibri" w:hAnsi="Century Gothic" w:cs="Arial"/>
        </w:rPr>
        <w:t>,</w:t>
      </w:r>
      <w:r w:rsidR="007119BC">
        <w:rPr>
          <w:rFonts w:ascii="Century Gothic" w:eastAsia="Calibri" w:hAnsi="Century Gothic" w:cs="Arial"/>
        </w:rPr>
        <w:t xml:space="preserve"> ya sea con la </w:t>
      </w:r>
      <w:r w:rsidRPr="0029340D">
        <w:rPr>
          <w:rFonts w:ascii="Century Gothic" w:eastAsia="Calibri" w:hAnsi="Century Gothic" w:cs="Arial"/>
        </w:rPr>
        <w:t>copia de los contratos o con certificados de los contratos celebrados por el proponente con diferentes contratantes, quienes son terceros que los expiden cuando el contrato fue ejecutado y recibieron los bienes, obras o servicios de parte del proponente</w:t>
      </w:r>
      <w:r w:rsidRPr="0029340D">
        <w:rPr>
          <w:rStyle w:val="Refdenotaalpie"/>
          <w:rFonts w:ascii="Century Gothic" w:eastAsia="Calibri" w:hAnsi="Century Gothic" w:cs="Arial"/>
        </w:rPr>
        <w:footnoteReference w:id="7"/>
      </w:r>
      <w:r w:rsidRPr="0029340D">
        <w:rPr>
          <w:rFonts w:ascii="Century Gothic" w:eastAsia="Calibri" w:hAnsi="Century Gothic" w:cs="Arial"/>
        </w:rPr>
        <w:t>. De esta manera</w:t>
      </w:r>
      <w:r w:rsidR="00BE0F2A">
        <w:rPr>
          <w:rFonts w:ascii="Century Gothic" w:eastAsia="Calibri" w:hAnsi="Century Gothic" w:cs="Arial"/>
        </w:rPr>
        <w:t>, la entidad deberá</w:t>
      </w:r>
      <w:r w:rsidRPr="0029340D">
        <w:rPr>
          <w:rFonts w:ascii="Century Gothic" w:eastAsia="Calibri" w:hAnsi="Century Gothic" w:cs="Arial"/>
        </w:rPr>
        <w:t xml:space="preserve"> verifica</w:t>
      </w:r>
      <w:r w:rsidR="00BE0F2A">
        <w:rPr>
          <w:rFonts w:ascii="Century Gothic" w:eastAsia="Calibri" w:hAnsi="Century Gothic" w:cs="Arial"/>
        </w:rPr>
        <w:t>r</w:t>
      </w:r>
      <w:r w:rsidRPr="0029340D">
        <w:rPr>
          <w:rFonts w:ascii="Century Gothic" w:eastAsia="Calibri" w:hAnsi="Century Gothic" w:cs="Arial"/>
        </w:rPr>
        <w:t xml:space="preserve"> que el proponente tenga experiencia </w:t>
      </w:r>
      <w:r w:rsidRPr="0029340D">
        <w:rPr>
          <w:rFonts w:ascii="Century Gothic" w:eastAsia="Calibri" w:hAnsi="Century Gothic" w:cs="Arial"/>
        </w:rPr>
        <w:lastRenderedPageBreak/>
        <w:t xml:space="preserve">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64A099DF" w14:textId="77777777" w:rsidR="00112832" w:rsidRPr="0029340D" w:rsidRDefault="00112832" w:rsidP="00112832">
      <w:pPr>
        <w:spacing w:line="276" w:lineRule="auto"/>
        <w:ind w:firstLine="708"/>
        <w:jc w:val="both"/>
        <w:rPr>
          <w:rFonts w:ascii="Century Gothic" w:eastAsia="Calibri" w:hAnsi="Century Gothic" w:cs="Arial"/>
        </w:rPr>
      </w:pPr>
      <w:r w:rsidRPr="0029340D">
        <w:rPr>
          <w:rFonts w:ascii="Century Gothic" w:eastAsia="Calibri" w:hAnsi="Century Gothic" w:cs="Arial"/>
        </w:rPr>
        <w:t>Por lo demás, 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29340D">
        <w:rPr>
          <w:rStyle w:val="Refdenotaalpie"/>
          <w:rFonts w:ascii="Century Gothic" w:eastAsia="Calibri" w:hAnsi="Century Gothic" w:cs="Arial"/>
        </w:rPr>
        <w:footnoteReference w:id="8"/>
      </w:r>
      <w:r w:rsidRPr="0029340D">
        <w:rPr>
          <w:rFonts w:ascii="Century Gothic" w:eastAsia="Calibri" w:hAnsi="Century Gothic" w:cs="Arial"/>
        </w:rPr>
        <w:t>.</w:t>
      </w:r>
    </w:p>
    <w:p w14:paraId="003BE851" w14:textId="535B34C7" w:rsidR="00112832" w:rsidRPr="0029340D" w:rsidRDefault="00112832" w:rsidP="00112832">
      <w:pPr>
        <w:spacing w:before="120" w:after="120" w:line="276" w:lineRule="auto"/>
        <w:ind w:firstLine="708"/>
        <w:jc w:val="both"/>
        <w:rPr>
          <w:rFonts w:ascii="Century Gothic" w:eastAsia="Calibri" w:hAnsi="Century Gothic" w:cs="Arial"/>
        </w:rPr>
      </w:pPr>
      <w:r w:rsidRPr="0029340D">
        <w:rPr>
          <w:rFonts w:ascii="Century Gothic" w:eastAsia="Calibri" w:hAnsi="Century Gothic" w:cs="Arial"/>
        </w:rPr>
        <w:t xml:space="preserve">Lo anterior es determinante, porque no es posible tener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w:t>
      </w:r>
      <w:r w:rsidRPr="0029340D">
        <w:rPr>
          <w:rFonts w:ascii="Century Gothic" w:eastAsia="Calibri" w:hAnsi="Century Gothic" w:cs="Arial"/>
        </w:rPr>
        <w:lastRenderedPageBreak/>
        <w:t xml:space="preserve">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Finalmente, pueden extraerse cuatro (4) conclusiones relevantes respecto de la experiencia: </w:t>
      </w:r>
    </w:p>
    <w:p w14:paraId="154C18E9" w14:textId="77777777" w:rsidR="00112832" w:rsidRPr="0029340D" w:rsidRDefault="00112832" w:rsidP="00112832">
      <w:pPr>
        <w:spacing w:before="120" w:after="120" w:line="276" w:lineRule="auto"/>
        <w:ind w:firstLine="708"/>
        <w:jc w:val="both"/>
        <w:rPr>
          <w:rFonts w:ascii="Century Gothic" w:eastAsia="Calibri" w:hAnsi="Century Gothic" w:cs="Arial"/>
        </w:rPr>
      </w:pPr>
      <w:bookmarkStart w:id="2" w:name="_Hlk132125885"/>
      <w:r w:rsidRPr="0029340D">
        <w:rPr>
          <w:rFonts w:ascii="Century Gothic" w:eastAsia="Calibri" w:hAnsi="Century Gothic" w:cs="Arial"/>
        </w:rPr>
        <w:t xml:space="preserve">i) La experiencia es </w:t>
      </w:r>
      <w:r w:rsidRPr="0029340D">
        <w:rPr>
          <w:rFonts w:ascii="Century Gothic" w:eastAsia="Calibri" w:hAnsi="Century Gothic" w:cs="Arial"/>
          <w:i/>
        </w:rPr>
        <w:t>personal</w:t>
      </w:r>
      <w:r w:rsidRPr="0029340D">
        <w:rPr>
          <w:rFonts w:ascii="Century Gothic" w:eastAsia="Calibri" w:hAnsi="Century Gothic" w:cs="Arial"/>
        </w:rPr>
        <w:t>, esto es, se adquiere participando, directa o indirectamente, sin que sea posible no hacerlo y tener experiencia.</w:t>
      </w:r>
    </w:p>
    <w:p w14:paraId="23645FF0" w14:textId="77777777" w:rsidR="00112832" w:rsidRPr="0029340D" w:rsidRDefault="00112832" w:rsidP="00112832">
      <w:pPr>
        <w:spacing w:before="120" w:after="120" w:line="276" w:lineRule="auto"/>
        <w:ind w:firstLine="708"/>
        <w:jc w:val="both"/>
        <w:rPr>
          <w:rFonts w:ascii="Century Gothic" w:eastAsia="Calibri" w:hAnsi="Century Gothic" w:cs="Arial"/>
          <w:lang w:val="es-MX"/>
        </w:rPr>
      </w:pPr>
      <w:r w:rsidRPr="0029340D">
        <w:rPr>
          <w:rFonts w:ascii="Century Gothic" w:eastAsia="Calibri" w:hAnsi="Century Gothic" w:cs="Arial"/>
        </w:rPr>
        <w:t xml:space="preserve">ii) </w:t>
      </w:r>
      <w:r w:rsidRPr="0029340D">
        <w:rPr>
          <w:rFonts w:ascii="Century Gothic" w:eastAsia="Calibri" w:hAnsi="Century Gothic" w:cs="Arial"/>
          <w:lang w:val="es-MX"/>
        </w:rPr>
        <w:t xml:space="preserve">La experiencia se puede </w:t>
      </w:r>
      <w:r w:rsidRPr="0029340D">
        <w:rPr>
          <w:rFonts w:ascii="Century Gothic" w:eastAsia="Calibri" w:hAnsi="Century Gothic" w:cs="Arial"/>
          <w:i/>
          <w:lang w:val="es-MX"/>
        </w:rPr>
        <w:t>compartir</w:t>
      </w:r>
      <w:r w:rsidRPr="0029340D">
        <w:rPr>
          <w:rFonts w:ascii="Century Gothic" w:eastAsia="Calibri" w:hAnsi="Century Gothic" w:cs="Arial"/>
          <w:lang w:val="es-MX"/>
        </w:rPr>
        <w:t xml:space="preserve">,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w:t>
      </w:r>
      <w:proofErr w:type="gramStart"/>
      <w:r w:rsidRPr="0029340D">
        <w:rPr>
          <w:rFonts w:ascii="Century Gothic" w:eastAsia="Calibri" w:hAnsi="Century Gothic" w:cs="Arial"/>
          <w:lang w:val="es-MX"/>
        </w:rPr>
        <w:t xml:space="preserve">asociativas  </w:t>
      </w:r>
      <w:r w:rsidRPr="0029340D">
        <w:rPr>
          <w:rFonts w:ascii="Arial" w:eastAsia="Calibri" w:hAnsi="Arial" w:cs="Arial"/>
          <w:lang w:val="es-MX"/>
        </w:rPr>
        <w:t>̶</w:t>
      </w:r>
      <w:proofErr w:type="gramEnd"/>
      <w:r w:rsidRPr="0029340D">
        <w:rPr>
          <w:rFonts w:ascii="Century Gothic" w:eastAsia="Calibri" w:hAnsi="Century Gothic" w:cs="Arial"/>
          <w:lang w:val="es-MX"/>
        </w:rPr>
        <w:t xml:space="preserve"> consorcios y uniones temporales </w:t>
      </w:r>
      <w:r w:rsidRPr="0029340D">
        <w:rPr>
          <w:rFonts w:ascii="Arial" w:eastAsia="Calibri" w:hAnsi="Arial" w:cs="Arial"/>
          <w:lang w:val="es-MX"/>
        </w:rPr>
        <w:t>̶</w:t>
      </w:r>
      <w:r w:rsidRPr="0029340D">
        <w:rPr>
          <w:rFonts w:ascii="Century Gothic" w:eastAsia="Calibri" w:hAnsi="Century Gothic" w:cs="Arial"/>
          <w:lang w:val="es-MX"/>
        </w:rPr>
        <w:t xml:space="preserve">  que se verificará en el documento privado de constitución.</w:t>
      </w:r>
    </w:p>
    <w:p w14:paraId="5CC1525C" w14:textId="77777777" w:rsidR="00112832" w:rsidRPr="0029340D" w:rsidRDefault="00112832" w:rsidP="00112832">
      <w:pPr>
        <w:spacing w:before="120" w:after="120" w:line="276" w:lineRule="auto"/>
        <w:ind w:firstLine="708"/>
        <w:jc w:val="both"/>
        <w:rPr>
          <w:rFonts w:ascii="Century Gothic" w:eastAsia="Calibri" w:hAnsi="Century Gothic" w:cs="Arial"/>
        </w:rPr>
      </w:pPr>
      <w:r w:rsidRPr="0029340D">
        <w:rPr>
          <w:rFonts w:ascii="Century Gothic" w:eastAsia="Calibri" w:hAnsi="Century Gothic" w:cs="Arial"/>
        </w:rPr>
        <w:t xml:space="preserve">iii) La experiencia se puede </w:t>
      </w:r>
      <w:r w:rsidRPr="0029340D">
        <w:rPr>
          <w:rFonts w:ascii="Century Gothic" w:eastAsia="Calibri" w:hAnsi="Century Gothic" w:cs="Arial"/>
          <w:i/>
        </w:rPr>
        <w:t>transferir</w:t>
      </w:r>
      <w:r w:rsidRPr="0029340D">
        <w:rPr>
          <w:rFonts w:ascii="Century Gothic" w:eastAsia="Calibri" w:hAnsi="Century Gothic" w:cs="Arial"/>
        </w:rPr>
        <w:t>, y esto es diferente a compartir, lo que implica que la experiencia de una persona se traslada a otra, y esta última acredita la experiencia como propia, como sucede con algunas figuras y reformas estatutarias como la transformación, fusión o escisión.</w:t>
      </w:r>
    </w:p>
    <w:p w14:paraId="7F816D1C" w14:textId="77777777" w:rsidR="00112832" w:rsidRPr="0029340D" w:rsidRDefault="00112832" w:rsidP="00112832">
      <w:pPr>
        <w:spacing w:line="276" w:lineRule="auto"/>
        <w:ind w:firstLine="708"/>
        <w:jc w:val="both"/>
        <w:rPr>
          <w:rFonts w:ascii="Century Gothic" w:eastAsia="Calibri" w:hAnsi="Century Gothic" w:cs="Arial"/>
        </w:rPr>
      </w:pPr>
      <w:proofErr w:type="spellStart"/>
      <w:r w:rsidRPr="0029340D">
        <w:rPr>
          <w:rFonts w:ascii="Century Gothic" w:eastAsia="Calibri" w:hAnsi="Century Gothic" w:cs="Arial"/>
        </w:rPr>
        <w:t>iv</w:t>
      </w:r>
      <w:proofErr w:type="spellEnd"/>
      <w:r w:rsidRPr="0029340D">
        <w:rPr>
          <w:rFonts w:ascii="Century Gothic" w:eastAsia="Calibri" w:hAnsi="Century Gothic" w:cs="Arial"/>
        </w:rPr>
        <w:t xml:space="preserve">) Solo es posible transferir o compartir la experiencia de una persona natural o jurídica a otra, en los casos señalados en los numerales anteriores, por lo cual no es posible que se acredite la experiencia adquirida por un </w:t>
      </w:r>
      <w:proofErr w:type="gramStart"/>
      <w:r w:rsidRPr="0029340D">
        <w:rPr>
          <w:rFonts w:ascii="Century Gothic" w:eastAsia="Calibri" w:hAnsi="Century Gothic" w:cs="Arial"/>
        </w:rPr>
        <w:t xml:space="preserve">tercero  </w:t>
      </w:r>
      <w:r w:rsidRPr="0029340D">
        <w:rPr>
          <w:rFonts w:ascii="Arial" w:eastAsia="Calibri" w:hAnsi="Arial" w:cs="Arial"/>
        </w:rPr>
        <w:t>̶</w:t>
      </w:r>
      <w:proofErr w:type="gramEnd"/>
      <w:r w:rsidRPr="0029340D">
        <w:rPr>
          <w:rFonts w:ascii="Century Gothic" w:eastAsia="Calibri" w:hAnsi="Century Gothic" w:cs="Arial"/>
        </w:rPr>
        <w:t xml:space="preserve"> que es otra persona diferente a la principal </w:t>
      </w:r>
      <w:r w:rsidRPr="0029340D">
        <w:rPr>
          <w:rFonts w:ascii="Arial" w:eastAsia="Calibri" w:hAnsi="Arial" w:cs="Arial"/>
        </w:rPr>
        <w:t>̶</w:t>
      </w:r>
      <w:r w:rsidRPr="0029340D">
        <w:rPr>
          <w:rFonts w:ascii="Century Gothic" w:eastAsia="Calibri" w:hAnsi="Century Gothic" w:cs="Arial"/>
        </w:rPr>
        <w:t xml:space="preserve">  sin que se relacione con lo establecido, ya que la experiencia es personal, esto es, de quien la adquirió. Asimismo, cuando la persona que adquirió la experiencia </w:t>
      </w:r>
      <w:r w:rsidRPr="0029340D">
        <w:rPr>
          <w:rFonts w:ascii="Century Gothic" w:eastAsia="Calibri" w:hAnsi="Century Gothic" w:cs="Arial"/>
          <w:i/>
        </w:rPr>
        <w:t>desaparece</w:t>
      </w:r>
      <w:r w:rsidRPr="0029340D">
        <w:rPr>
          <w:rFonts w:ascii="Century Gothic" w:eastAsia="Calibri" w:hAnsi="Century Gothic" w:cs="Arial"/>
        </w:rPr>
        <w:t xml:space="preserve"> o se liquida no es posible que comparta o transfiera su experiencia, porque al ser personal sigue la suerte de quien la adquirió.</w:t>
      </w:r>
    </w:p>
    <w:bookmarkEnd w:id="2"/>
    <w:p w14:paraId="2343B546" w14:textId="77777777" w:rsidR="00112832" w:rsidRPr="0029340D" w:rsidRDefault="00112832" w:rsidP="00112832">
      <w:pPr>
        <w:spacing w:before="120" w:line="276" w:lineRule="auto"/>
        <w:ind w:firstLine="708"/>
        <w:jc w:val="both"/>
        <w:rPr>
          <w:rFonts w:ascii="Century Gothic" w:eastAsia="Calibri" w:hAnsi="Century Gothic" w:cs="Arial"/>
          <w:color w:val="000000" w:themeColor="text1"/>
        </w:rPr>
      </w:pPr>
      <w:r w:rsidRPr="0029340D">
        <w:rPr>
          <w:rFonts w:ascii="Century Gothic" w:eastAsia="Calibri" w:hAnsi="Century Gothic" w:cs="Arial"/>
          <w:color w:val="000000" w:themeColor="text1"/>
        </w:rPr>
        <w:t>No obstante, las entidades estatales son autónomas en la estructuración de sus procedimientos contractuales, por lo cual en sus pliegos de condiciones pueden establecer una regla de acreditación de la experiencia que permita que el proponente incluya la de otras personas o terceros para cumplir el requisito habilitante. Lo anterior, salvo que se trate de objetos contractuales regidos por documentos tipo, evento en el cual las reglas relativas a la experiencia exigida y a la forma de acreditación están allí previstas.</w:t>
      </w:r>
    </w:p>
    <w:p w14:paraId="1A3A43ED" w14:textId="17598951" w:rsidR="00112832" w:rsidRPr="00A5540E" w:rsidRDefault="00112832" w:rsidP="00AA4F66">
      <w:pPr>
        <w:pStyle w:val="Prrafodelista"/>
        <w:numPr>
          <w:ilvl w:val="1"/>
          <w:numId w:val="6"/>
        </w:numPr>
        <w:tabs>
          <w:tab w:val="left" w:pos="426"/>
        </w:tabs>
        <w:spacing w:after="0" w:line="276" w:lineRule="auto"/>
        <w:ind w:right="49"/>
        <w:jc w:val="both"/>
        <w:rPr>
          <w:rFonts w:ascii="Century Gothic" w:eastAsia="Calibri" w:hAnsi="Century Gothic" w:cs="Arial"/>
          <w:b/>
        </w:rPr>
      </w:pPr>
      <w:bookmarkStart w:id="3" w:name="_Hlk136958112"/>
      <w:r w:rsidRPr="00A5540E">
        <w:rPr>
          <w:rFonts w:ascii="Century Gothic" w:hAnsi="Century Gothic" w:cs="Arial"/>
          <w:b/>
        </w:rPr>
        <w:lastRenderedPageBreak/>
        <w:t xml:space="preserve">     </w:t>
      </w:r>
      <w:bookmarkEnd w:id="3"/>
      <w:r w:rsidRPr="00A5540E">
        <w:rPr>
          <w:rFonts w:ascii="Century Gothic" w:eastAsia="Calibri" w:hAnsi="Century Gothic" w:cs="Arial"/>
          <w:b/>
          <w:color w:val="000000" w:themeColor="text1"/>
          <w:lang w:eastAsia="es-MX"/>
        </w:rPr>
        <w:t>Subsana</w:t>
      </w:r>
      <w:r w:rsidR="00A5540E">
        <w:rPr>
          <w:rFonts w:ascii="Century Gothic" w:eastAsia="Calibri" w:hAnsi="Century Gothic" w:cs="Arial"/>
          <w:b/>
          <w:color w:val="000000" w:themeColor="text1"/>
          <w:lang w:eastAsia="es-MX"/>
        </w:rPr>
        <w:t>ción</w:t>
      </w:r>
      <w:r w:rsidRPr="00A5540E">
        <w:rPr>
          <w:rFonts w:ascii="Century Gothic" w:eastAsia="Calibri" w:hAnsi="Century Gothic" w:cs="Arial"/>
          <w:b/>
          <w:color w:val="000000" w:themeColor="text1"/>
          <w:lang w:eastAsia="es-MX"/>
        </w:rPr>
        <w:t xml:space="preserve"> de las ofertas</w:t>
      </w:r>
    </w:p>
    <w:p w14:paraId="484CAA85" w14:textId="77777777" w:rsidR="00112832" w:rsidRPr="0029340D" w:rsidRDefault="00112832" w:rsidP="00112832">
      <w:pPr>
        <w:tabs>
          <w:tab w:val="left" w:pos="709"/>
        </w:tabs>
        <w:spacing w:after="0" w:line="276" w:lineRule="auto"/>
        <w:jc w:val="both"/>
        <w:rPr>
          <w:rFonts w:ascii="Century Gothic" w:eastAsia="Calibri" w:hAnsi="Century Gothic" w:cs="Arial"/>
          <w:b/>
        </w:rPr>
      </w:pPr>
    </w:p>
    <w:p w14:paraId="40369ED6" w14:textId="77777777" w:rsidR="00112832" w:rsidRPr="0029340D" w:rsidRDefault="00112832" w:rsidP="00112832">
      <w:pPr>
        <w:spacing w:line="276" w:lineRule="auto"/>
        <w:jc w:val="both"/>
        <w:rPr>
          <w:rFonts w:ascii="Century Gothic" w:hAnsi="Century Gothic" w:cs="Arial"/>
          <w:lang w:val="es-ES_tradnl"/>
        </w:rPr>
      </w:pPr>
      <w:r w:rsidRPr="0029340D">
        <w:rPr>
          <w:rFonts w:ascii="Century Gothic" w:hAnsi="Century Gothic" w:cs="Arial"/>
          <w:lang w:val="es-ES_tradnl"/>
        </w:rPr>
        <w:t xml:space="preserve">Por regla general, la falta de entrega y los defectos, en la acreditación de los requisitos habilitantes de la oferta presentada por los proponentes son aspectos subsanables. La excepción se encuentra en los casos, previstos en la ley, que limitan la subsanabilidad, por ejemplo, en la prohibición de permitir la entrega de la garantía de seriedad de la oferta que no fue aportada con la propuesta y de valer la acreditación de circunstancias ocurridas con posterioridad al cierre del proceso. En esta línea, la posibilidad de enmendar, corregir o subsanar los errores en los que se incurre en los documentos contentivos de la oferta es un tema que ha tenido diferentes momentos o etapas en el ordenamiento jurídico colombiano. </w:t>
      </w:r>
    </w:p>
    <w:p w14:paraId="0A784E83" w14:textId="77777777" w:rsidR="00112832" w:rsidRPr="0029340D" w:rsidRDefault="00112832" w:rsidP="00112832">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En un </w:t>
      </w:r>
      <w:r w:rsidRPr="0029340D">
        <w:rPr>
          <w:rFonts w:ascii="Century Gothic" w:hAnsi="Century Gothic" w:cs="Arial"/>
          <w:i/>
          <w:lang w:val="es-ES_tradnl"/>
        </w:rPr>
        <w:t>primer momento</w:t>
      </w:r>
      <w:r w:rsidRPr="0029340D">
        <w:rPr>
          <w:rFonts w:ascii="Century Gothic" w:hAnsi="Century Gothic" w:cs="Arial"/>
          <w:lang w:val="es-ES_tradnl"/>
        </w:rPr>
        <w:t xml:space="preserve">, antes de la entrada en vigor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4468B81A" w14:textId="77777777" w:rsidR="00112832" w:rsidRPr="0029340D" w:rsidRDefault="00112832" w:rsidP="00112832">
      <w:pPr>
        <w:spacing w:before="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En un </w:t>
      </w:r>
      <w:r w:rsidRPr="0029340D">
        <w:rPr>
          <w:rFonts w:ascii="Century Gothic" w:hAnsi="Century Gothic" w:cs="Arial"/>
          <w:i/>
          <w:lang w:val="es-ES_tradnl"/>
        </w:rPr>
        <w:t>segundo momento</w:t>
      </w:r>
      <w:r w:rsidRPr="0029340D">
        <w:rPr>
          <w:rFonts w:ascii="Century Gothic" w:hAnsi="Century Gothic" w:cs="Arial"/>
          <w:lang w:val="es-ES_tradnl"/>
        </w:rPr>
        <w:t xml:space="preserve"> se expidió la Ley 80 de 1993, bajo el nuevo paradigma que supuso la Constitución de 1991, particularmente en la forma como se relaciona lo formal y lo sustancial en las actuaciones judiciales y administrativas. Este cambio quedó consignado en el artículo 228, que introdujo un principio de supremacía o prevalencia del derecho sustancial sobre lo procedimental. En este nuevo escenario constitucional, el numeral 15 del artículo 25 de la Ley 80 de 1993 dispuso lo siguiente: </w:t>
      </w:r>
    </w:p>
    <w:p w14:paraId="006BA659" w14:textId="77777777" w:rsidR="00112832" w:rsidRPr="0029340D" w:rsidRDefault="00112832" w:rsidP="00112832">
      <w:pPr>
        <w:spacing w:after="120" w:line="240" w:lineRule="auto"/>
        <w:ind w:left="709" w:right="709"/>
        <w:jc w:val="both"/>
        <w:rPr>
          <w:rFonts w:ascii="Century Gothic" w:hAnsi="Century Gothic" w:cs="Arial"/>
          <w:sz w:val="21"/>
          <w:szCs w:val="21"/>
          <w:lang w:val="es-ES_tradnl"/>
        </w:rPr>
      </w:pPr>
      <w:r w:rsidRPr="0029340D">
        <w:rPr>
          <w:rFonts w:ascii="Century Gothic" w:eastAsia="Arial" w:hAnsi="Century Gothic" w:cs="Arial"/>
          <w:color w:val="000000"/>
          <w:sz w:val="21"/>
          <w:szCs w:val="21"/>
        </w:rPr>
        <w:t>“</w:t>
      </w:r>
      <w:r w:rsidRPr="0029340D">
        <w:rPr>
          <w:rFonts w:ascii="Century Gothic" w:hAnsi="Century Gothic" w:cs="Arial"/>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3CD96333" w14:textId="77777777" w:rsidR="00112832" w:rsidRPr="0029340D" w:rsidRDefault="00112832" w:rsidP="00112832">
      <w:pPr>
        <w:spacing w:before="120" w:line="240" w:lineRule="auto"/>
        <w:ind w:left="709" w:right="709"/>
        <w:jc w:val="both"/>
        <w:rPr>
          <w:rFonts w:ascii="Century Gothic" w:hAnsi="Century Gothic" w:cs="Arial"/>
          <w:sz w:val="21"/>
          <w:szCs w:val="21"/>
          <w:lang w:val="es-ES_tradnl"/>
        </w:rPr>
      </w:pPr>
      <w:r w:rsidRPr="0029340D">
        <w:rPr>
          <w:rFonts w:ascii="Century Gothic" w:hAnsi="Century Gothic" w:cs="Arial"/>
          <w:sz w:val="21"/>
          <w:szCs w:val="21"/>
          <w:lang w:val="es-ES_tradnl"/>
        </w:rPr>
        <w:t>La ausencia de requisitos o la falta de documentos referentes a la futura contratación o al proponente, no necesarios para la comparación de propuestas, no servirá de título suficiente para el rechazo de los ofrecimientos hechos.</w:t>
      </w:r>
      <w:r w:rsidRPr="0029340D">
        <w:rPr>
          <w:rFonts w:ascii="Century Gothic" w:eastAsia="Arial" w:hAnsi="Century Gothic" w:cs="Arial"/>
          <w:i/>
          <w:color w:val="000000"/>
          <w:sz w:val="21"/>
          <w:szCs w:val="21"/>
        </w:rPr>
        <w:t>”</w:t>
      </w:r>
      <w:r w:rsidRPr="0029340D">
        <w:rPr>
          <w:rFonts w:ascii="Century Gothic" w:hAnsi="Century Gothic" w:cs="Arial"/>
          <w:sz w:val="21"/>
          <w:szCs w:val="21"/>
          <w:lang w:val="es-ES_tradnl"/>
        </w:rPr>
        <w:t xml:space="preserve"> </w:t>
      </w:r>
    </w:p>
    <w:p w14:paraId="7ABF5E36" w14:textId="77777777" w:rsidR="00112832" w:rsidRPr="0029340D" w:rsidRDefault="00112832" w:rsidP="00112832">
      <w:pPr>
        <w:spacing w:after="120" w:line="276" w:lineRule="auto"/>
        <w:ind w:firstLine="709"/>
        <w:jc w:val="both"/>
        <w:rPr>
          <w:rFonts w:ascii="Century Gothic" w:hAnsi="Century Gothic" w:cs="Arial"/>
          <w:lang w:val="es-ES_tradnl"/>
        </w:rPr>
      </w:pPr>
      <w:r w:rsidRPr="0029340D">
        <w:rPr>
          <w:rFonts w:ascii="Century Gothic" w:hAnsi="Century Gothic" w:cs="Arial"/>
          <w:lang w:val="es-ES_tradnl"/>
        </w:rPr>
        <w:t>Bajo el amparo de esta norma, el régimen jurídico de subsanabilidad de las ofertas sufre un cambio fundamental, pues ya no era posible rechazar las ofertas por falta de requisitos o documentos que no fueran “</w:t>
      </w:r>
      <w:r w:rsidRPr="0029340D">
        <w:rPr>
          <w:rFonts w:ascii="Century Gothic" w:hAnsi="Century Gothic" w:cs="Arial"/>
          <w:i/>
          <w:lang w:val="es-ES_tradnl"/>
        </w:rPr>
        <w:t xml:space="preserve">necesarios para la </w:t>
      </w:r>
      <w:r w:rsidRPr="0029340D">
        <w:rPr>
          <w:rFonts w:ascii="Century Gothic" w:hAnsi="Century Gothic" w:cs="Arial"/>
          <w:i/>
          <w:lang w:val="es-ES_tradnl"/>
        </w:rPr>
        <w:lastRenderedPageBreak/>
        <w:t>comparación de propuestas”.</w:t>
      </w:r>
      <w:r w:rsidRPr="0029340D">
        <w:rPr>
          <w:rFonts w:ascii="Century Gothic" w:hAnsi="Century Gothic" w:cs="Arial"/>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1A8E3C40" w14:textId="77777777" w:rsidR="00112832" w:rsidRPr="0029340D" w:rsidRDefault="00112832" w:rsidP="00112832">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Esta norma debía leerse en conjunto con otras de la Ley 80 de 1993, particularmente con el artículo 30.7</w:t>
      </w:r>
      <w:r w:rsidRPr="0029340D">
        <w:rPr>
          <w:rFonts w:ascii="Century Gothic" w:hAnsi="Century Gothic" w:cs="Arial"/>
          <w:vertAlign w:val="superscript"/>
          <w:lang w:val="es-ES_tradnl"/>
        </w:rPr>
        <w:footnoteReference w:id="9"/>
      </w:r>
      <w:r w:rsidRPr="0029340D">
        <w:rPr>
          <w:rFonts w:ascii="Century Gothic" w:hAnsi="Century Gothic" w:cs="Arial"/>
          <w:lang w:val="es-ES_tradnl"/>
        </w:rPr>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Pr="0029340D">
        <w:rPr>
          <w:rFonts w:ascii="Century Gothic" w:hAnsi="Century Gothic" w:cs="Arial"/>
          <w:vertAlign w:val="superscript"/>
          <w:lang w:val="es-ES_tradnl"/>
        </w:rPr>
        <w:footnoteReference w:id="10"/>
      </w:r>
      <w:r w:rsidRPr="0029340D">
        <w:rPr>
          <w:rFonts w:ascii="Century Gothic" w:hAnsi="Century Gothic" w:cs="Arial"/>
          <w:lang w:val="es-ES_tradnl"/>
        </w:rPr>
        <w:t xml:space="preserve">, que consagró el término de 5 días hábiles para que los oferentes presenten observaciones al informe de evaluación de las propuestas, sin que sea posible completar, adicionar, modificar o mejorar su oferta.  </w:t>
      </w:r>
    </w:p>
    <w:p w14:paraId="5DAA15D3" w14:textId="77777777" w:rsidR="00112832" w:rsidRPr="0029340D" w:rsidRDefault="00112832" w:rsidP="00112832">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w14:paraId="611430CB" w14:textId="77777777" w:rsidR="00112832" w:rsidRPr="0029340D" w:rsidRDefault="00112832" w:rsidP="00112832">
      <w:pPr>
        <w:spacing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En un </w:t>
      </w:r>
      <w:r w:rsidRPr="0029340D">
        <w:rPr>
          <w:rFonts w:ascii="Century Gothic" w:hAnsi="Century Gothic" w:cs="Arial"/>
          <w:i/>
          <w:lang w:val="es-ES_tradnl"/>
        </w:rPr>
        <w:t>tercer momento</w:t>
      </w:r>
      <w:r w:rsidRPr="0029340D">
        <w:rPr>
          <w:rFonts w:ascii="Century Gothic" w:hAnsi="Century Gothic" w:cs="Arial"/>
          <w:lang w:val="es-ES_tradnl"/>
        </w:rPr>
        <w:t xml:space="preserve">, siguiendo la línea trazada por la Ley 80 de 1993, el legislador expidió la Ley 1150 de 2007, que, en el parágrafo 1º del artículo 5, determinó lo siguiente: </w:t>
      </w:r>
    </w:p>
    <w:p w14:paraId="5EA0C039" w14:textId="77777777" w:rsidR="00112832" w:rsidRPr="0029340D" w:rsidRDefault="00112832" w:rsidP="00112832">
      <w:pPr>
        <w:spacing w:line="240" w:lineRule="auto"/>
        <w:ind w:left="709" w:right="709"/>
        <w:jc w:val="both"/>
        <w:rPr>
          <w:rFonts w:ascii="Century Gothic" w:hAnsi="Century Gothic" w:cs="Arial"/>
          <w:sz w:val="21"/>
          <w:szCs w:val="21"/>
          <w:lang w:val="es-ES_tradnl"/>
        </w:rPr>
      </w:pPr>
      <w:r w:rsidRPr="0029340D">
        <w:rPr>
          <w:rFonts w:ascii="Century Gothic" w:eastAsia="Arial" w:hAnsi="Century Gothic" w:cs="Arial"/>
          <w:color w:val="000000"/>
        </w:rPr>
        <w:t>“</w:t>
      </w:r>
      <w:r w:rsidRPr="0029340D">
        <w:rPr>
          <w:rFonts w:ascii="Century Gothic" w:hAnsi="Century Gothic" w:cs="Arial"/>
          <w:sz w:val="21"/>
          <w:szCs w:val="21"/>
          <w:lang w:val="es-ES_tradnl"/>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29340D">
        <w:rPr>
          <w:rFonts w:ascii="Century Gothic" w:hAnsi="Century Gothic" w:cs="Arial"/>
          <w:b/>
          <w:sz w:val="21"/>
          <w:szCs w:val="21"/>
          <w:lang w:val="es-ES_tradnl"/>
        </w:rPr>
        <w:t xml:space="preserve">, </w:t>
      </w:r>
      <w:r w:rsidRPr="0029340D">
        <w:rPr>
          <w:rFonts w:ascii="Century Gothic" w:hAnsi="Century Gothic" w:cs="Arial"/>
          <w:sz w:val="21"/>
          <w:szCs w:val="21"/>
          <w:lang w:val="es-ES_tradnl"/>
        </w:rPr>
        <w:t xml:space="preserve">todos aquellos requisitos de la propuesta que no afecten la asignación de </w:t>
      </w:r>
      <w:proofErr w:type="gramStart"/>
      <w:r w:rsidRPr="0029340D">
        <w:rPr>
          <w:rFonts w:ascii="Century Gothic" w:hAnsi="Century Gothic" w:cs="Arial"/>
          <w:sz w:val="21"/>
          <w:szCs w:val="21"/>
          <w:lang w:val="es-ES_tradnl"/>
        </w:rPr>
        <w:t>puntaje,</w:t>
      </w:r>
      <w:proofErr w:type="gramEnd"/>
      <w:r w:rsidRPr="0029340D">
        <w:rPr>
          <w:rFonts w:ascii="Century Gothic" w:hAnsi="Century Gothic" w:cs="Arial"/>
          <w:sz w:val="21"/>
          <w:szCs w:val="21"/>
          <w:lang w:val="es-ES_tradnl"/>
        </w:rPr>
        <w:t xml:space="preserve"> podrán ser solicitados por las entidades en cualquier momento, hasta la adjudicación. No obstante lo anterior, en aquellos procesos de selección </w:t>
      </w:r>
      <w:r w:rsidRPr="0029340D">
        <w:rPr>
          <w:rFonts w:ascii="Century Gothic" w:hAnsi="Century Gothic" w:cs="Arial"/>
          <w:sz w:val="21"/>
          <w:szCs w:val="21"/>
          <w:lang w:val="es-ES_tradnl"/>
        </w:rPr>
        <w:lastRenderedPageBreak/>
        <w:t>en los que se utilice el mecanismo de subasta, deberán ser solicitados hasta el momento previo a su realización.</w:t>
      </w:r>
      <w:r w:rsidRPr="0029340D">
        <w:rPr>
          <w:rFonts w:ascii="Century Gothic" w:eastAsia="Arial" w:hAnsi="Century Gothic" w:cs="Arial"/>
          <w:i/>
          <w:color w:val="000000"/>
        </w:rPr>
        <w:t>”</w:t>
      </w:r>
      <w:r w:rsidRPr="0029340D">
        <w:rPr>
          <w:rFonts w:ascii="Century Gothic" w:hAnsi="Century Gothic" w:cs="Arial"/>
          <w:sz w:val="21"/>
          <w:szCs w:val="21"/>
          <w:lang w:val="es-ES_tradnl"/>
        </w:rPr>
        <w:t xml:space="preserve"> </w:t>
      </w:r>
    </w:p>
    <w:p w14:paraId="57FB3ACC" w14:textId="77777777" w:rsidR="00112832" w:rsidRPr="0029340D" w:rsidRDefault="00112832" w:rsidP="00112832">
      <w:pPr>
        <w:spacing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5C0B9A1F" w14:textId="77777777" w:rsidR="00112832" w:rsidRPr="0029340D" w:rsidRDefault="00112832" w:rsidP="00112832">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44247453" w14:textId="77777777" w:rsidR="00112832" w:rsidRPr="0029340D" w:rsidRDefault="00112832" w:rsidP="00112832">
      <w:pPr>
        <w:spacing w:before="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El artículo 5 de la Ley 1150 de 2007, además de consagrar un criterio más claro, y, de paso, reducir la discrecionalidad de la Administración, fijó un ámbito temporal para que las entidades requirieran la 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458F5E8E" w14:textId="77777777" w:rsidR="00112832" w:rsidRPr="0029340D" w:rsidRDefault="00112832" w:rsidP="00112832">
      <w:pPr>
        <w:spacing w:line="240" w:lineRule="auto"/>
        <w:ind w:left="709" w:right="709"/>
        <w:jc w:val="both"/>
        <w:rPr>
          <w:rFonts w:ascii="Century Gothic" w:hAnsi="Century Gothic" w:cs="Arial"/>
          <w:sz w:val="21"/>
          <w:szCs w:val="21"/>
          <w:lang w:val="es-ES_tradnl"/>
        </w:rPr>
      </w:pPr>
      <w:r w:rsidRPr="0029340D">
        <w:rPr>
          <w:rFonts w:ascii="Century Gothic" w:eastAsia="Arial" w:hAnsi="Century Gothic" w:cs="Arial"/>
          <w:color w:val="000000"/>
        </w:rPr>
        <w:t>“</w:t>
      </w:r>
      <w:r w:rsidRPr="0029340D">
        <w:rPr>
          <w:rFonts w:ascii="Century Gothic" w:hAnsi="Century Gothic" w:cs="Arial"/>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29340D">
        <w:rPr>
          <w:rFonts w:ascii="Century Gothic" w:hAnsi="Century Gothic" w:cs="Arial"/>
          <w:sz w:val="21"/>
          <w:szCs w:val="21"/>
          <w:vertAlign w:val="superscript"/>
          <w:lang w:val="es-ES_tradnl"/>
        </w:rPr>
        <w:footnoteReference w:id="11"/>
      </w:r>
      <w:r w:rsidRPr="0029340D">
        <w:rPr>
          <w:rFonts w:ascii="Century Gothic" w:hAnsi="Century Gothic" w:cs="Arial"/>
          <w:sz w:val="21"/>
          <w:szCs w:val="21"/>
          <w:lang w:val="es-ES_tradnl"/>
        </w:rPr>
        <w:t>.</w:t>
      </w:r>
      <w:r w:rsidRPr="0029340D">
        <w:rPr>
          <w:rFonts w:ascii="Century Gothic" w:eastAsia="Arial" w:hAnsi="Century Gothic" w:cs="Arial"/>
          <w:i/>
          <w:color w:val="000000"/>
        </w:rPr>
        <w:t>”</w:t>
      </w:r>
    </w:p>
    <w:p w14:paraId="282B5597" w14:textId="77777777" w:rsidR="00112832" w:rsidRPr="0029340D" w:rsidRDefault="00112832" w:rsidP="00112832">
      <w:pPr>
        <w:tabs>
          <w:tab w:val="left" w:pos="284"/>
        </w:tabs>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lastRenderedPageBreak/>
        <w:t xml:space="preserve">Esa interpretación fue compartida por la </w:t>
      </w:r>
      <w:r w:rsidRPr="0029340D">
        <w:rPr>
          <w:rFonts w:ascii="Century Gothic" w:eastAsia="Times New Roman" w:hAnsi="Century Gothic" w:cs="Arial"/>
          <w:lang w:val="es-ES_tradnl" w:eastAsia="es-CO"/>
        </w:rPr>
        <w:t>Agencia Nacional de Contratación Pública – Colombia Compra Eficiente</w:t>
      </w:r>
      <w:r w:rsidRPr="0029340D">
        <w:rPr>
          <w:rFonts w:ascii="Century Gothic" w:hAnsi="Century Gothic" w:cs="Arial"/>
          <w:lang w:val="es-ES_tradnl"/>
        </w:rPr>
        <w:t>, pues en la Circular Externa Única</w:t>
      </w:r>
      <w:r w:rsidRPr="0029340D">
        <w:rPr>
          <w:rStyle w:val="Refdenotaalpie"/>
          <w:rFonts w:ascii="Century Gothic" w:hAnsi="Century Gothic" w:cs="Arial"/>
          <w:lang w:val="es-ES_tradnl"/>
        </w:rPr>
        <w:footnoteReference w:id="12"/>
      </w:r>
      <w:r w:rsidRPr="0029340D">
        <w:rPr>
          <w:rFonts w:ascii="Century Gothic" w:hAnsi="Century Gothic" w:cs="Arial"/>
          <w:lang w:val="es-ES_tradnl"/>
        </w:rPr>
        <w:t xml:space="preserve"> se precisó que, si durante un Proceso de Contratación hay proponentes que no acreditaron en sus ofertas requisitos que no afectan la asignación de puntaje, la Entidad Estatal deberá indicarlo en el informe de evaluación y advertir que la correspondiente oferta puede ser subsanada.</w:t>
      </w:r>
    </w:p>
    <w:p w14:paraId="217F39D4" w14:textId="77777777" w:rsidR="00112832" w:rsidRPr="0029340D" w:rsidRDefault="00112832" w:rsidP="00112832">
      <w:pPr>
        <w:tabs>
          <w:tab w:val="left" w:pos="284"/>
        </w:tabs>
        <w:spacing w:line="276" w:lineRule="auto"/>
        <w:ind w:firstLine="709"/>
        <w:jc w:val="both"/>
        <w:rPr>
          <w:rFonts w:ascii="Century Gothic" w:eastAsia="Times New Roman" w:hAnsi="Century Gothic" w:cs="Arial"/>
          <w:lang w:val="es-ES_tradnl" w:eastAsia="es-CO"/>
        </w:rPr>
      </w:pPr>
      <w:r w:rsidRPr="0029340D">
        <w:rPr>
          <w:rFonts w:ascii="Century Gothic" w:eastAsia="Times New Roman" w:hAnsi="Century Gothic" w:cs="Arial"/>
          <w:lang w:val="es-ES_tradnl" w:eastAsia="es-CO"/>
        </w:rPr>
        <w:t xml:space="preserve">Finalmente, en un </w:t>
      </w:r>
      <w:r w:rsidRPr="0029340D">
        <w:rPr>
          <w:rFonts w:ascii="Century Gothic" w:eastAsia="Times New Roman" w:hAnsi="Century Gothic" w:cs="Arial"/>
          <w:i/>
          <w:lang w:val="es-ES_tradnl" w:eastAsia="es-CO"/>
        </w:rPr>
        <w:t>cuarto momento</w:t>
      </w:r>
      <w:r w:rsidRPr="0029340D">
        <w:rPr>
          <w:rFonts w:ascii="Century Gothic" w:eastAsia="Times New Roman" w:hAnsi="Century Gothic" w:cs="Arial"/>
          <w:lang w:val="es-ES_tradnl" w:eastAsia="es-CO"/>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28DA47CB" w14:textId="77777777" w:rsidR="00112832" w:rsidRPr="0029340D" w:rsidRDefault="00112832" w:rsidP="00112832">
      <w:pPr>
        <w:spacing w:line="240" w:lineRule="auto"/>
        <w:ind w:left="709" w:right="709"/>
        <w:jc w:val="both"/>
        <w:rPr>
          <w:rFonts w:ascii="Century Gothic" w:hAnsi="Century Gothic" w:cs="Arial"/>
          <w:sz w:val="21"/>
          <w:szCs w:val="21"/>
          <w:lang w:val="es-ES_tradnl"/>
        </w:rPr>
      </w:pPr>
      <w:r w:rsidRPr="0029340D">
        <w:rPr>
          <w:rFonts w:ascii="Century Gothic" w:eastAsia="Arial" w:hAnsi="Century Gothic" w:cs="Arial"/>
          <w:color w:val="000000"/>
          <w:sz w:val="21"/>
          <w:szCs w:val="21"/>
        </w:rPr>
        <w:t>“</w:t>
      </w:r>
      <w:r w:rsidRPr="0029340D">
        <w:rPr>
          <w:rFonts w:ascii="Century Gothic" w:hAnsi="Century Gothic" w:cs="Arial"/>
          <w:sz w:val="21"/>
          <w:szCs w:val="21"/>
          <w:lang w:val="es-ES_tradnl"/>
        </w:rPr>
        <w:t xml:space="preserve">Artículo 5°. De la selección objetiva. </w:t>
      </w:r>
    </w:p>
    <w:p w14:paraId="5900FF0D" w14:textId="77777777" w:rsidR="00112832" w:rsidRPr="0029340D" w:rsidRDefault="00112832" w:rsidP="00112832">
      <w:pPr>
        <w:spacing w:before="120" w:after="120" w:line="240" w:lineRule="auto"/>
        <w:ind w:left="709" w:right="709"/>
        <w:jc w:val="both"/>
        <w:rPr>
          <w:rFonts w:ascii="Century Gothic" w:hAnsi="Century Gothic" w:cs="Arial"/>
          <w:sz w:val="21"/>
          <w:szCs w:val="21"/>
          <w:lang w:val="es-ES_tradnl"/>
        </w:rPr>
      </w:pPr>
      <w:r w:rsidRPr="0029340D">
        <w:rPr>
          <w:rFonts w:ascii="Century Gothic" w:hAnsi="Century Gothic" w:cs="Arial"/>
          <w:sz w:val="21"/>
          <w:szCs w:val="21"/>
          <w:lang w:val="es-ES_tradnl"/>
        </w:rPr>
        <w:t>[... ]</w:t>
      </w:r>
    </w:p>
    <w:p w14:paraId="16457A6E" w14:textId="77777777" w:rsidR="00112832" w:rsidRPr="0029340D" w:rsidRDefault="00112832" w:rsidP="00112832">
      <w:pPr>
        <w:spacing w:line="240" w:lineRule="auto"/>
        <w:ind w:left="709" w:right="709"/>
        <w:jc w:val="both"/>
        <w:rPr>
          <w:rFonts w:ascii="Century Gothic" w:hAnsi="Century Gothic" w:cs="Arial"/>
          <w:sz w:val="21"/>
          <w:szCs w:val="21"/>
          <w:lang w:val="es-ES_tradnl"/>
        </w:rPr>
      </w:pPr>
      <w:r w:rsidRPr="0029340D">
        <w:rPr>
          <w:rFonts w:ascii="Century Gothic" w:hAnsi="Century Gothic" w:cs="Arial"/>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29340D">
        <w:rPr>
          <w:rFonts w:ascii="Century Gothic" w:hAnsi="Century Gothic" w:cs="Arial"/>
          <w:sz w:val="21"/>
          <w:szCs w:val="21"/>
          <w:lang w:val="es-ES_tradnl"/>
        </w:rPr>
        <w:t>puntaje,</w:t>
      </w:r>
      <w:proofErr w:type="gramEnd"/>
      <w:r w:rsidRPr="0029340D">
        <w:rPr>
          <w:rFonts w:ascii="Century Gothic" w:hAnsi="Century Gothic" w:cs="Arial"/>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r w:rsidRPr="0029340D">
        <w:rPr>
          <w:rFonts w:ascii="Century Gothic" w:eastAsia="Arial" w:hAnsi="Century Gothic" w:cs="Arial"/>
          <w:i/>
          <w:color w:val="000000"/>
          <w:sz w:val="21"/>
          <w:szCs w:val="21"/>
        </w:rPr>
        <w:t>”</w:t>
      </w:r>
      <w:r w:rsidRPr="0029340D">
        <w:rPr>
          <w:rFonts w:ascii="Century Gothic" w:hAnsi="Century Gothic" w:cs="Arial"/>
          <w:sz w:val="21"/>
          <w:szCs w:val="21"/>
          <w:lang w:val="es-ES_tradnl"/>
        </w:rPr>
        <w:t xml:space="preserve"> </w:t>
      </w:r>
    </w:p>
    <w:p w14:paraId="0276863C" w14:textId="77777777" w:rsidR="00112832" w:rsidRPr="0029340D" w:rsidRDefault="00112832" w:rsidP="00112832">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Como puede observarse, la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algunos aspectos que se analizarán a continuación. </w:t>
      </w:r>
    </w:p>
    <w:p w14:paraId="18086F16" w14:textId="77777777" w:rsidR="00112832" w:rsidRPr="0029340D" w:rsidRDefault="00112832" w:rsidP="00112832">
      <w:pPr>
        <w:spacing w:after="120" w:line="276" w:lineRule="auto"/>
        <w:ind w:right="51" w:firstLine="709"/>
        <w:jc w:val="both"/>
        <w:rPr>
          <w:rFonts w:ascii="Century Gothic" w:hAnsi="Century Gothic" w:cs="Arial"/>
          <w:lang w:val="es-ES_tradnl"/>
        </w:rPr>
      </w:pPr>
      <w:r w:rsidRPr="0029340D">
        <w:rPr>
          <w:rFonts w:ascii="Century Gothic" w:hAnsi="Century Gothic" w:cs="Arial"/>
          <w:i/>
          <w:lang w:val="es-ES_tradnl"/>
        </w:rPr>
        <w:lastRenderedPageBreak/>
        <w:t>El primero</w:t>
      </w:r>
      <w:r w:rsidRPr="0029340D">
        <w:rPr>
          <w:rFonts w:ascii="Century Gothic" w:hAnsi="Century Gothic" w:cs="Arial"/>
          <w:lang w:val="es-ES_tradn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w:t>
      </w:r>
      <w:r w:rsidRPr="0029340D">
        <w:rPr>
          <w:rFonts w:ascii="Century Gothic" w:hAnsi="Century Gothic" w:cs="Arial"/>
          <w:vertAlign w:val="superscript"/>
          <w:lang w:val="es-ES_tradnl"/>
        </w:rPr>
        <w:footnoteReference w:id="13"/>
      </w:r>
      <w:r w:rsidRPr="0029340D">
        <w:rPr>
          <w:rFonts w:ascii="Century Gothic" w:hAnsi="Century Gothic" w:cs="Arial"/>
          <w:lang w:val="es-ES_tradnl"/>
        </w:rPr>
        <w:t>; en el último los documentos o requisitos subsanables pueden y deben solicitarse hasta el momento previo a la celebración de la audiencia. En cuanto al proceso de mínima cuantía, el Decreto 1860 de 2021 que modifica el Decreto 1082 de 2015, en su artículo 2.2.1.2.1.5.2., numeral 5° dispone que sin perjuicio de la oportunidad que deben otorgar las Entidades para subsanar las ofertas, de acuerdo con el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0029340D">
        <w:rPr>
          <w:rFonts w:ascii="Century Gothic" w:hAnsi="Century Gothic" w:cs="Arial"/>
          <w:vertAlign w:val="superscript"/>
          <w:lang w:val="es-ES_tradnl"/>
        </w:rPr>
        <w:footnoteReference w:id="14"/>
      </w:r>
      <w:r w:rsidRPr="0029340D">
        <w:rPr>
          <w:rFonts w:ascii="Century Gothic" w:hAnsi="Century Gothic" w:cs="Arial"/>
          <w:lang w:val="es-ES_tradnl"/>
        </w:rPr>
        <w:t xml:space="preserve">. </w:t>
      </w:r>
    </w:p>
    <w:p w14:paraId="169A56D2" w14:textId="77777777" w:rsidR="00112832" w:rsidRPr="0029340D" w:rsidRDefault="00112832" w:rsidP="00112832">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29340D">
        <w:rPr>
          <w:rFonts w:ascii="Century Gothic" w:hAnsi="Century Gothic" w:cs="Arial"/>
          <w:i/>
          <w:lang w:val="es-ES_tradnl"/>
        </w:rPr>
        <w:t>deberán ser solicitados por las entidades estatales y deberán ser entregados por los proponentes hasta el término de traslado del informe de evaluación que corresponda a cada modalidad de selección”.</w:t>
      </w:r>
      <w:r w:rsidRPr="0029340D">
        <w:rPr>
          <w:rFonts w:ascii="Century Gothic" w:hAnsi="Century Gothic" w:cs="Arial"/>
          <w:lang w:val="es-ES_tradnl"/>
        </w:rPr>
        <w:t xml:space="preserve"> </w:t>
      </w:r>
    </w:p>
    <w:p w14:paraId="3A0166C5" w14:textId="77777777" w:rsidR="00112832" w:rsidRPr="0029340D" w:rsidRDefault="00112832" w:rsidP="00112832">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El segundo cambio importante de la Ley 1882 de 2018 fue la introducción de un criterio material, directamente relacionado con los aspectos subsanables: </w:t>
      </w:r>
      <w:r w:rsidRPr="0029340D">
        <w:rPr>
          <w:rFonts w:ascii="Century Gothic" w:hAnsi="Century Gothic" w:cs="Arial"/>
          <w:i/>
          <w:lang w:val="es-ES_tradnl"/>
        </w:rPr>
        <w:t>“los proponentes no podrán acreditar circunstancias ocurridas con posterioridad al cierre del proceso”.</w:t>
      </w:r>
      <w:r w:rsidRPr="0029340D">
        <w:rPr>
          <w:rFonts w:ascii="Century Gothic" w:hAnsi="Century Gothic" w:cs="Arial"/>
          <w:lang w:val="es-ES_tradnl"/>
        </w:rPr>
        <w:t xml:space="preserve"> Lo anterior ofrece dos aspectos que merecen clarificación; primero, qué debe entenderse por circunstancias ocurridas con posterioridad; y segundo, qué es el cierre del proceso. </w:t>
      </w:r>
    </w:p>
    <w:p w14:paraId="62D05B0C" w14:textId="77777777" w:rsidR="00112832" w:rsidRPr="0029340D" w:rsidRDefault="00112832" w:rsidP="00112832">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29340D">
        <w:rPr>
          <w:rFonts w:ascii="Century Gothic" w:hAnsi="Century Gothic" w:cs="Arial"/>
          <w:vertAlign w:val="superscript"/>
          <w:lang w:val="es-ES_tradnl"/>
        </w:rPr>
        <w:footnoteReference w:id="15"/>
      </w:r>
      <w:r w:rsidRPr="0029340D">
        <w:rPr>
          <w:rFonts w:ascii="Century Gothic" w:hAnsi="Century Gothic" w:cs="Arial"/>
          <w:lang w:val="es-ES_tradnl"/>
        </w:rPr>
        <w:t>.</w:t>
      </w:r>
    </w:p>
    <w:p w14:paraId="6E41C023" w14:textId="77777777" w:rsidR="00112832" w:rsidRPr="0029340D" w:rsidRDefault="00112832" w:rsidP="00112832">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6B74E451" w14:textId="77777777" w:rsidR="00112832" w:rsidRPr="0029340D" w:rsidRDefault="00112832" w:rsidP="00112832">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Un mejor entendimiento del significado de la expresión </w:t>
      </w:r>
      <w:r w:rsidRPr="0029340D">
        <w:rPr>
          <w:rFonts w:ascii="Century Gothic" w:hAnsi="Century Gothic" w:cs="Arial"/>
          <w:i/>
          <w:lang w:val="es-ES_tradnl"/>
        </w:rPr>
        <w:t>“circunstancias ocurridas con posterioridad al cierre del proceso”</w:t>
      </w:r>
      <w:r w:rsidRPr="0029340D">
        <w:rPr>
          <w:rFonts w:ascii="Century Gothic" w:hAnsi="Century Gothic" w:cs="Arial"/>
          <w:lang w:val="es-ES_tradnl"/>
        </w:rPr>
        <w:t xml:space="preserve">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29340D">
        <w:rPr>
          <w:rFonts w:ascii="Century Gothic" w:hAnsi="Century Gothic" w:cs="Arial"/>
          <w:vertAlign w:val="superscript"/>
          <w:lang w:val="es-ES_tradnl"/>
        </w:rPr>
        <w:footnoteReference w:id="16"/>
      </w:r>
      <w:r w:rsidRPr="0029340D">
        <w:rPr>
          <w:rFonts w:ascii="Century Gothic" w:hAnsi="Century Gothic" w:cs="Arial"/>
          <w:lang w:val="es-ES_tradnl"/>
        </w:rPr>
        <w:t xml:space="preserve">. </w:t>
      </w:r>
    </w:p>
    <w:p w14:paraId="7E67DCF3" w14:textId="65C658E0" w:rsidR="00112832" w:rsidRPr="0029340D" w:rsidRDefault="00112832" w:rsidP="00112832">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29340D">
        <w:rPr>
          <w:rFonts w:ascii="Century Gothic" w:hAnsi="Century Gothic" w:cs="Arial"/>
          <w:vertAlign w:val="superscript"/>
          <w:lang w:val="es-ES_tradnl"/>
        </w:rPr>
        <w:footnoteReference w:id="17"/>
      </w:r>
      <w:r w:rsidRPr="0029340D">
        <w:rPr>
          <w:rFonts w:ascii="Century Gothic" w:hAnsi="Century Gothic" w:cs="Arial"/>
          <w:lang w:val="es-ES_tradnl"/>
        </w:rPr>
        <w:t>; iii) si un oferente no anexó el Certificado de existencia y representación legal, el documento aportado con posterioridad debe dar cuenta de que la sociedad existía antes del cierre del proceso</w:t>
      </w:r>
      <w:r w:rsidRPr="0029340D">
        <w:rPr>
          <w:rFonts w:ascii="Century Gothic" w:hAnsi="Century Gothic" w:cs="Arial"/>
          <w:vertAlign w:val="superscript"/>
          <w:lang w:val="es-ES_tradnl"/>
        </w:rPr>
        <w:footnoteReference w:id="18"/>
      </w:r>
      <w:r w:rsidRPr="0029340D">
        <w:rPr>
          <w:rFonts w:ascii="Century Gothic" w:hAnsi="Century Gothic" w:cs="Arial"/>
          <w:lang w:val="es-ES_tradnl"/>
        </w:rPr>
        <w:t xml:space="preserve">; </w:t>
      </w:r>
      <w:proofErr w:type="spellStart"/>
      <w:r w:rsidRPr="0029340D">
        <w:rPr>
          <w:rFonts w:ascii="Century Gothic" w:hAnsi="Century Gothic" w:cs="Arial"/>
          <w:lang w:val="es-ES_tradnl"/>
        </w:rPr>
        <w:t>iv</w:t>
      </w:r>
      <w:proofErr w:type="spellEnd"/>
      <w:r w:rsidRPr="0029340D">
        <w:rPr>
          <w:rFonts w:ascii="Century Gothic" w:hAnsi="Century Gothic" w:cs="Arial"/>
          <w:lang w:val="es-ES_tradnl"/>
        </w:rPr>
        <w:t>)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w:t>
      </w:r>
      <w:r w:rsidR="0010092E">
        <w:rPr>
          <w:rFonts w:ascii="Century Gothic" w:hAnsi="Century Gothic" w:cs="Arial"/>
          <w:lang w:val="es-ES_tradnl"/>
        </w:rPr>
        <w:t>,</w:t>
      </w:r>
      <w:r w:rsidRPr="0029340D">
        <w:rPr>
          <w:rFonts w:ascii="Century Gothic" w:hAnsi="Century Gothic" w:cs="Arial"/>
          <w:lang w:val="es-ES_tradnl"/>
        </w:rPr>
        <w:t xml:space="preserve"> vi) si el oferente olvidó firmar la propuesta o presentar una copia de ella, puede subsanar sin que con ello se entienda que acreditó una circunstancia ocurrida con posterioridad al cierre del proceso. </w:t>
      </w:r>
    </w:p>
    <w:p w14:paraId="71945B46" w14:textId="77777777" w:rsidR="00112832" w:rsidRPr="0029340D" w:rsidRDefault="00112832" w:rsidP="00112832">
      <w:pPr>
        <w:spacing w:before="120" w:after="120" w:line="276" w:lineRule="auto"/>
        <w:ind w:firstLine="709"/>
        <w:jc w:val="both"/>
        <w:rPr>
          <w:rFonts w:ascii="Century Gothic" w:hAnsi="Century Gothic" w:cs="Arial"/>
          <w:i/>
          <w:lang w:val="es-ES_tradnl"/>
        </w:rPr>
      </w:pPr>
      <w:r w:rsidRPr="0029340D">
        <w:rPr>
          <w:rFonts w:ascii="Century Gothic" w:hAnsi="Century Gothic" w:cs="Arial"/>
          <w:lang w:val="es-ES_tradnl"/>
        </w:rPr>
        <w:t>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por lo que el Consejo de Estado sostiene que “</w:t>
      </w:r>
      <w:r w:rsidRPr="0029340D">
        <w:rPr>
          <w:rFonts w:ascii="Century Gothic" w:hAnsi="Century Gothic" w:cs="Arial"/>
          <w:i/>
          <w:lang w:val="es-ES_tradnl"/>
        </w:rPr>
        <w:t>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29340D">
        <w:rPr>
          <w:rFonts w:ascii="Century Gothic" w:hAnsi="Century Gothic" w:cs="Arial"/>
          <w:i/>
          <w:vertAlign w:val="superscript"/>
          <w:lang w:val="es-ES_tradnl"/>
        </w:rPr>
        <w:footnoteReference w:id="19"/>
      </w:r>
      <w:r w:rsidRPr="0029340D">
        <w:rPr>
          <w:rFonts w:ascii="Century Gothic" w:hAnsi="Century Gothic" w:cs="Arial"/>
          <w:i/>
          <w:lang w:val="es-ES_tradnl"/>
        </w:rPr>
        <w:t xml:space="preserve">. </w:t>
      </w:r>
    </w:p>
    <w:p w14:paraId="637E7627" w14:textId="77777777" w:rsidR="00112832" w:rsidRPr="0029340D" w:rsidRDefault="00112832" w:rsidP="00112832">
      <w:pPr>
        <w:spacing w:before="120" w:line="276" w:lineRule="auto"/>
        <w:ind w:firstLine="709"/>
        <w:jc w:val="both"/>
        <w:rPr>
          <w:rFonts w:ascii="Century Gothic" w:hAnsi="Century Gothic" w:cs="Arial"/>
          <w:lang w:val="es-ES"/>
        </w:rPr>
      </w:pPr>
      <w:r w:rsidRPr="0029340D">
        <w:rPr>
          <w:rFonts w:ascii="Century Gothic" w:hAnsi="Century Gothic" w:cs="Arial"/>
          <w:lang w:val="es-ES"/>
        </w:rPr>
        <w:t xml:space="preserve">En consecuencia, una vez verificada la ausencia de requisitos y/o documentos de la oferta, para efectos de saber si se pueden subsanar, la Entidad Estatal se debe preguntar, en primer lugar, si lo que hace falta o debe corregirse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 </w:t>
      </w:r>
    </w:p>
    <w:p w14:paraId="47552F9F" w14:textId="14F7000D" w:rsidR="009A0DB1" w:rsidRDefault="006C4D95" w:rsidP="00112832">
      <w:pPr>
        <w:tabs>
          <w:tab w:val="left" w:pos="709"/>
        </w:tabs>
        <w:spacing w:after="0" w:line="276" w:lineRule="auto"/>
        <w:jc w:val="both"/>
        <w:rPr>
          <w:rFonts w:ascii="Century Gothic" w:eastAsia="Calibri" w:hAnsi="Century Gothic" w:cs="Arial"/>
          <w:b/>
        </w:rPr>
      </w:pPr>
      <w:r>
        <w:rPr>
          <w:rFonts w:ascii="Century Gothic" w:eastAsia="Calibri" w:hAnsi="Century Gothic" w:cs="Arial"/>
          <w:b/>
        </w:rPr>
        <w:t>2.3.</w:t>
      </w:r>
      <w:r>
        <w:rPr>
          <w:rFonts w:ascii="Century Gothic" w:eastAsia="Calibri" w:hAnsi="Century Gothic" w:cs="Arial"/>
          <w:b/>
        </w:rPr>
        <w:tab/>
      </w:r>
      <w:r w:rsidR="00DE363D" w:rsidRPr="00DE363D">
        <w:rPr>
          <w:rFonts w:ascii="Century Gothic" w:eastAsia="Calibri" w:hAnsi="Century Gothic" w:cs="Arial"/>
          <w:b/>
          <w:bCs/>
          <w:color w:val="000000" w:themeColor="text1"/>
          <w:lang w:val="es-ES" w:eastAsia="es-MX"/>
        </w:rPr>
        <w:t>La subsanación en los procesos de mínima cuantía</w:t>
      </w:r>
    </w:p>
    <w:p w14:paraId="7A9A91F5" w14:textId="77777777" w:rsidR="00DE363D" w:rsidRDefault="00DE363D" w:rsidP="00112832">
      <w:pPr>
        <w:tabs>
          <w:tab w:val="left" w:pos="709"/>
        </w:tabs>
        <w:spacing w:after="0" w:line="276" w:lineRule="auto"/>
        <w:jc w:val="both"/>
        <w:rPr>
          <w:rFonts w:ascii="Century Gothic" w:eastAsia="Calibri" w:hAnsi="Century Gothic" w:cs="Arial"/>
          <w:b/>
        </w:rPr>
      </w:pPr>
    </w:p>
    <w:p w14:paraId="3FD8B6E0" w14:textId="77777777" w:rsidR="00021A45" w:rsidRDefault="00CD6114" w:rsidP="00021A45">
      <w:pPr>
        <w:spacing w:line="276" w:lineRule="auto"/>
        <w:jc w:val="both"/>
        <w:rPr>
          <w:rFonts w:ascii="Century Gothic" w:eastAsia="Calibri" w:hAnsi="Century Gothic" w:cs="Arial"/>
          <w:color w:val="000000" w:themeColor="text1"/>
        </w:rPr>
      </w:pPr>
      <w:r>
        <w:rPr>
          <w:rFonts w:ascii="Century Gothic" w:eastAsia="Arial" w:hAnsi="Century Gothic" w:cs="Arial"/>
          <w:szCs w:val="24"/>
          <w:lang w:eastAsia="es-MX"/>
        </w:rPr>
        <w:t>L</w:t>
      </w:r>
      <w:r w:rsidR="00A674FA">
        <w:rPr>
          <w:rFonts w:ascii="Century Gothic" w:eastAsia="Arial" w:hAnsi="Century Gothic" w:cs="Arial"/>
          <w:szCs w:val="24"/>
          <w:lang w:eastAsia="es-MX"/>
        </w:rPr>
        <w:t xml:space="preserve">a </w:t>
      </w:r>
      <w:r w:rsidR="00A674FA" w:rsidRPr="00FE1B85">
        <w:rPr>
          <w:rFonts w:ascii="Century Gothic" w:eastAsia="Calibri" w:hAnsi="Century Gothic" w:cs="Arial"/>
          <w:color w:val="000000" w:themeColor="text1"/>
          <w:lang w:val="es-ES"/>
        </w:rPr>
        <w:t>memoria</w:t>
      </w:r>
      <w:r w:rsidR="00A742A0" w:rsidRPr="00FE1B85">
        <w:rPr>
          <w:rFonts w:ascii="Century Gothic" w:eastAsia="Calibri" w:hAnsi="Century Gothic" w:cs="Arial"/>
          <w:color w:val="000000" w:themeColor="text1"/>
          <w:lang w:val="es-ES"/>
        </w:rPr>
        <w:t xml:space="preserve"> </w:t>
      </w:r>
      <w:r w:rsidR="00A742A0" w:rsidRPr="00FE1B85">
        <w:rPr>
          <w:rFonts w:ascii="Century Gothic" w:eastAsia="Calibri" w:hAnsi="Century Gothic" w:cs="Arial"/>
          <w:color w:val="000000" w:themeColor="text1"/>
        </w:rPr>
        <w:t>justificativa del Decreto 1860 de 2021</w:t>
      </w:r>
      <w:r w:rsidR="00A742A0" w:rsidRPr="00FE1B85">
        <w:rPr>
          <w:rStyle w:val="Refdenotaalpie"/>
          <w:rFonts w:ascii="Century Gothic" w:eastAsia="Calibri" w:hAnsi="Century Gothic" w:cs="Arial"/>
          <w:color w:val="000000" w:themeColor="text1"/>
        </w:rPr>
        <w:footnoteReference w:id="20"/>
      </w:r>
      <w:r w:rsidR="00A742A0" w:rsidRPr="00FE1B85">
        <w:rPr>
          <w:rFonts w:ascii="Century Gothic" w:eastAsia="Calibri" w:hAnsi="Century Gothic" w:cs="Arial"/>
          <w:color w:val="000000" w:themeColor="text1"/>
        </w:rPr>
        <w:t xml:space="preserve"> informa que a través de esta norma se da paso a la reglamentación de los artículos 30, 31, 32, 34 y 35 de la Ley 2069 de 2020 por medio de la cual </w:t>
      </w:r>
      <w:r w:rsidR="00A742A0" w:rsidRPr="00FE1B85">
        <w:rPr>
          <w:rFonts w:ascii="Century Gothic" w:eastAsia="Calibri" w:hAnsi="Century Gothic" w:cs="Arial"/>
          <w:i/>
          <w:iCs/>
          <w:color w:val="000000" w:themeColor="text1"/>
        </w:rPr>
        <w:t>“se impulsa el emprendimiento en Colombia”</w:t>
      </w:r>
      <w:r w:rsidR="00A742A0" w:rsidRPr="00FE1B85">
        <w:rPr>
          <w:rFonts w:ascii="Century Gothic" w:eastAsia="Calibri" w:hAnsi="Century Gothic" w:cs="Arial"/>
          <w:color w:val="000000" w:themeColor="text1"/>
        </w:rPr>
        <w:t>. Las razones de oportunidad y conveniencia de su reglamentación se justifican en señalar que el Capítulo III del Título I de la Ley 2069 de 2020 creó una serie de incentivos para las Mipymes, los emprendimientos y empresas de mujeres interesadas en celebrar contratos con el Estado</w:t>
      </w:r>
      <w:r w:rsidR="00A742A0">
        <w:rPr>
          <w:rFonts w:ascii="Century Gothic" w:eastAsia="Calibri" w:hAnsi="Century Gothic" w:cs="Arial"/>
          <w:color w:val="000000" w:themeColor="text1"/>
        </w:rPr>
        <w:t>,</w:t>
      </w:r>
      <w:r w:rsidR="00A742A0" w:rsidRPr="00FE1B85">
        <w:rPr>
          <w:rFonts w:ascii="Century Gothic" w:eastAsia="Calibri" w:hAnsi="Century Gothic" w:cs="Arial"/>
          <w:color w:val="000000" w:themeColor="text1"/>
        </w:rPr>
        <w:t xml:space="preserve"> y el fomento en la ejecución de contratos de la provisión de bienes y servicios por parte de sujetos de especial protección constitucional, que requieren de reglamentación para poder introducir estos incentivos en el sistema de compra</w:t>
      </w:r>
      <w:r w:rsidR="00A742A0">
        <w:rPr>
          <w:rFonts w:ascii="Century Gothic" w:eastAsia="Calibri" w:hAnsi="Century Gothic" w:cs="Arial"/>
          <w:color w:val="000000" w:themeColor="text1"/>
        </w:rPr>
        <w:t xml:space="preserve">s </w:t>
      </w:r>
      <w:r w:rsidR="00A742A0" w:rsidRPr="00FE1B85">
        <w:rPr>
          <w:rFonts w:ascii="Century Gothic" w:eastAsia="Calibri" w:hAnsi="Century Gothic" w:cs="Arial"/>
          <w:color w:val="000000" w:themeColor="text1"/>
        </w:rPr>
        <w:t xml:space="preserve">y contratación pública. </w:t>
      </w:r>
    </w:p>
    <w:p w14:paraId="49C4865B" w14:textId="34759964" w:rsidR="00A742A0" w:rsidRPr="00FE1B85" w:rsidRDefault="00A742A0" w:rsidP="005B23EC">
      <w:pPr>
        <w:spacing w:line="276" w:lineRule="auto"/>
        <w:ind w:firstLine="708"/>
        <w:jc w:val="both"/>
        <w:rPr>
          <w:rFonts w:ascii="Century Gothic" w:eastAsia="Calibri" w:hAnsi="Century Gothic" w:cs="Arial"/>
          <w:color w:val="000000" w:themeColor="text1"/>
        </w:rPr>
      </w:pPr>
      <w:r w:rsidRPr="00FE1B85">
        <w:rPr>
          <w:rFonts w:ascii="Century Gothic" w:eastAsia="Calibri" w:hAnsi="Century Gothic" w:cs="Arial"/>
          <w:color w:val="000000" w:themeColor="text1"/>
        </w:rPr>
        <w:t xml:space="preserve">Aunado a ello, informa que, al modificarse varias disposiciones legales por el capítulo en mención, es necesario hacer las respectivas modificaciones en las normas reglamentarias, de tal modo que, a través de dicho decreto se ajuste la reglamentación a través de la cual las entidades estatales desarrollan los procedimientos con los que </w:t>
      </w:r>
      <w:r>
        <w:rPr>
          <w:rFonts w:ascii="Century Gothic" w:eastAsia="Calibri" w:hAnsi="Century Gothic" w:cs="Arial"/>
          <w:color w:val="000000" w:themeColor="text1"/>
        </w:rPr>
        <w:t>suplen</w:t>
      </w:r>
      <w:r w:rsidRPr="00FE1B85">
        <w:rPr>
          <w:rFonts w:ascii="Century Gothic" w:eastAsia="Calibri" w:hAnsi="Century Gothic" w:cs="Arial"/>
          <w:color w:val="000000" w:themeColor="text1"/>
        </w:rPr>
        <w:t xml:space="preserve"> sus necesidades de bienes y servicios, y se contemple a detalle la reglamentación de la introducción de nuevos incentivos contractuales, garantizando la efectividad de la </w:t>
      </w:r>
      <w:r w:rsidRPr="007247A9">
        <w:rPr>
          <w:rFonts w:ascii="Century Gothic" w:eastAsia="Calibri" w:hAnsi="Century Gothic" w:cs="Arial"/>
          <w:i/>
          <w:iCs/>
          <w:color w:val="000000" w:themeColor="text1"/>
        </w:rPr>
        <w:t>Ley de Emprendimiento</w:t>
      </w:r>
      <w:r w:rsidRPr="00FE1B85">
        <w:rPr>
          <w:rFonts w:ascii="Century Gothic" w:eastAsia="Calibri" w:hAnsi="Century Gothic" w:cs="Arial"/>
          <w:color w:val="000000" w:themeColor="text1"/>
        </w:rPr>
        <w:t>, además de “incluir algunas disposiciones adicionales para la reglamentación efectiva de la citada Ley”. Igualmente, dicho documento indic</w:t>
      </w:r>
      <w:r>
        <w:rPr>
          <w:rFonts w:ascii="Century Gothic" w:eastAsia="Calibri" w:hAnsi="Century Gothic" w:cs="Arial"/>
          <w:color w:val="000000" w:themeColor="text1"/>
        </w:rPr>
        <w:t>ó</w:t>
      </w:r>
      <w:r w:rsidRPr="00FE1B85">
        <w:rPr>
          <w:rFonts w:ascii="Century Gothic" w:eastAsia="Calibri" w:hAnsi="Century Gothic" w:cs="Arial"/>
          <w:color w:val="000000" w:themeColor="text1"/>
        </w:rPr>
        <w:t xml:space="preserve"> que:</w:t>
      </w:r>
    </w:p>
    <w:p w14:paraId="13632163" w14:textId="77777777" w:rsidR="00A742A0" w:rsidRPr="00FE1B85" w:rsidRDefault="00A742A0" w:rsidP="00A742A0">
      <w:pPr>
        <w:spacing w:after="120" w:line="240" w:lineRule="auto"/>
        <w:ind w:left="709" w:right="709"/>
        <w:jc w:val="both"/>
        <w:rPr>
          <w:rFonts w:ascii="Century Gothic" w:eastAsia="Calibri" w:hAnsi="Century Gothic" w:cs="Arial"/>
          <w:color w:val="000000" w:themeColor="text1"/>
          <w:sz w:val="21"/>
          <w:szCs w:val="21"/>
        </w:rPr>
      </w:pPr>
      <w:r w:rsidRPr="00FE1B85">
        <w:rPr>
          <w:rFonts w:ascii="Century Gothic" w:eastAsia="Calibri" w:hAnsi="Century Gothic" w:cs="Arial"/>
          <w:color w:val="000000" w:themeColor="text1"/>
          <w:sz w:val="21"/>
          <w:szCs w:val="21"/>
        </w:rPr>
        <w:t>“La expedición de estas normas reglamentarias no solo se fundamenta en las atribuciones realizadas al Gobierno nacional en el articulado de la Ley 2069 de 2020, sino también en el numeral 11 del artículo 189 de la Constitución Política, según el cual corresponde al Presidente de la República ejercer la potestad reglamentaria, mediante la expedición de los decretos, resoluciones y órdenes necesarios para la cumplida ejecución de las leyes” (Sic).</w:t>
      </w:r>
    </w:p>
    <w:p w14:paraId="5D047BA6" w14:textId="77777777" w:rsidR="00A742A0" w:rsidRDefault="00A742A0" w:rsidP="00A742A0">
      <w:pPr>
        <w:spacing w:after="120" w:line="276" w:lineRule="auto"/>
        <w:ind w:firstLine="708"/>
        <w:jc w:val="both"/>
        <w:rPr>
          <w:rFonts w:ascii="Century Gothic" w:eastAsia="Calibri" w:hAnsi="Century Gothic" w:cs="Arial"/>
          <w:color w:val="000000" w:themeColor="text1"/>
        </w:rPr>
      </w:pPr>
      <w:r w:rsidRPr="00FE1B85">
        <w:rPr>
          <w:rFonts w:ascii="Century Gothic" w:eastAsia="Calibri" w:hAnsi="Century Gothic" w:cs="Arial"/>
          <w:color w:val="000000" w:themeColor="text1"/>
        </w:rPr>
        <w:t xml:space="preserve">Al respecto, sobre el ejercicio de la potestad reglamentaria, esta Agencia </w:t>
      </w:r>
      <w:r>
        <w:rPr>
          <w:rFonts w:ascii="Century Gothic" w:eastAsia="Calibri" w:hAnsi="Century Gothic" w:cs="Arial"/>
          <w:color w:val="000000" w:themeColor="text1"/>
        </w:rPr>
        <w:t>h</w:t>
      </w:r>
      <w:r w:rsidRPr="00FE1B85">
        <w:rPr>
          <w:rFonts w:ascii="Century Gothic" w:eastAsia="Calibri" w:hAnsi="Century Gothic" w:cs="Arial"/>
          <w:color w:val="000000" w:themeColor="text1"/>
        </w:rPr>
        <w:t xml:space="preserve">a </w:t>
      </w:r>
      <w:r>
        <w:rPr>
          <w:rFonts w:ascii="Century Gothic" w:eastAsia="Calibri" w:hAnsi="Century Gothic" w:cs="Arial"/>
          <w:color w:val="000000" w:themeColor="text1"/>
        </w:rPr>
        <w:t>reiterado</w:t>
      </w:r>
      <w:r w:rsidRPr="00FE1B85">
        <w:rPr>
          <w:rFonts w:ascii="Century Gothic" w:eastAsia="Calibri" w:hAnsi="Century Gothic" w:cs="Arial"/>
          <w:color w:val="000000" w:themeColor="text1"/>
        </w:rPr>
        <w:t xml:space="preserve"> lo señalado por la Corte Constitucional en sentencia C-1005 de 2008</w:t>
      </w:r>
      <w:r w:rsidRPr="00FE1B85">
        <w:rPr>
          <w:rStyle w:val="Refdenotaalpie"/>
          <w:rFonts w:ascii="Century Gothic" w:eastAsia="Calibri" w:hAnsi="Century Gothic" w:cs="Arial"/>
          <w:color w:val="000000" w:themeColor="text1"/>
        </w:rPr>
        <w:footnoteReference w:id="21"/>
      </w:r>
      <w:r w:rsidRPr="00FE1B85">
        <w:rPr>
          <w:rFonts w:ascii="Century Gothic" w:eastAsia="Calibri" w:hAnsi="Century Gothic" w:cs="Arial"/>
          <w:color w:val="000000" w:themeColor="text1"/>
        </w:rPr>
        <w:t xml:space="preserve"> y por el Consejo de Estado en sentencia del 20 de noviembre de 2014</w:t>
      </w:r>
      <w:r w:rsidRPr="00FE1B85">
        <w:rPr>
          <w:rStyle w:val="Refdenotaalpie"/>
          <w:rFonts w:ascii="Century Gothic" w:eastAsia="Calibri" w:hAnsi="Century Gothic" w:cs="Arial"/>
          <w:color w:val="000000" w:themeColor="text1"/>
        </w:rPr>
        <w:footnoteReference w:id="22"/>
      </w:r>
      <w:r>
        <w:rPr>
          <w:rFonts w:ascii="Century Gothic" w:eastAsia="Calibri" w:hAnsi="Century Gothic" w:cs="Arial"/>
          <w:color w:val="000000" w:themeColor="text1"/>
        </w:rPr>
        <w:t>,</w:t>
      </w:r>
      <w:r w:rsidRPr="00FE1B85">
        <w:rPr>
          <w:rFonts w:ascii="Century Gothic" w:eastAsia="Calibri" w:hAnsi="Century Gothic" w:cs="Arial"/>
          <w:color w:val="000000" w:themeColor="text1"/>
        </w:rPr>
        <w:t xml:space="preserve"> que coinciden en afirmar que </w:t>
      </w:r>
      <w:r>
        <w:rPr>
          <w:rFonts w:ascii="Century Gothic" w:eastAsia="Calibri" w:hAnsi="Century Gothic" w:cs="Arial"/>
          <w:color w:val="000000" w:themeColor="text1"/>
        </w:rPr>
        <w:t>aquella</w:t>
      </w:r>
      <w:r w:rsidRPr="00FE1B85">
        <w:rPr>
          <w:rFonts w:ascii="Century Gothic" w:eastAsia="Calibri" w:hAnsi="Century Gothic" w:cs="Arial"/>
          <w:color w:val="000000" w:themeColor="text1"/>
        </w:rPr>
        <w:t xml:space="preserve"> tiene dos elementos fundamentales, a saber, el primero de ellos es la necesidad</w:t>
      </w:r>
      <w:r>
        <w:rPr>
          <w:rFonts w:ascii="Century Gothic" w:eastAsia="Calibri" w:hAnsi="Century Gothic" w:cs="Arial"/>
          <w:color w:val="000000" w:themeColor="text1"/>
        </w:rPr>
        <w:t>,</w:t>
      </w:r>
      <w:r w:rsidRPr="00FE1B85">
        <w:rPr>
          <w:rFonts w:ascii="Century Gothic" w:eastAsia="Calibri" w:hAnsi="Century Gothic" w:cs="Arial"/>
          <w:color w:val="000000" w:themeColor="text1"/>
        </w:rPr>
        <w:t xml:space="preserve"> </w:t>
      </w:r>
      <w:r>
        <w:rPr>
          <w:rFonts w:ascii="Century Gothic" w:eastAsia="Calibri" w:hAnsi="Century Gothic" w:cs="Arial"/>
          <w:color w:val="000000" w:themeColor="text1"/>
        </w:rPr>
        <w:t>consistente en</w:t>
      </w:r>
      <w:r w:rsidRPr="00FE1B85">
        <w:rPr>
          <w:rFonts w:ascii="Century Gothic" w:eastAsia="Calibri" w:hAnsi="Century Gothic" w:cs="Arial"/>
          <w:color w:val="000000" w:themeColor="text1"/>
        </w:rPr>
        <w:t xml:space="preserve"> que el ejercicio de la potestad reglamentaria se justifica en la medida en que la ley deje espacios de regulación que necesitan llenarse para la ejecución de esta</w:t>
      </w:r>
      <w:r>
        <w:rPr>
          <w:rFonts w:ascii="Century Gothic" w:eastAsia="Calibri" w:hAnsi="Century Gothic" w:cs="Arial"/>
          <w:color w:val="000000" w:themeColor="text1"/>
        </w:rPr>
        <w:t>,</w:t>
      </w:r>
      <w:r w:rsidRPr="00FE1B85">
        <w:rPr>
          <w:rFonts w:ascii="Century Gothic" w:eastAsia="Calibri" w:hAnsi="Century Gothic" w:cs="Arial"/>
          <w:color w:val="000000" w:themeColor="text1"/>
        </w:rPr>
        <w:t xml:space="preserve"> mediante la expedición de actos jurídicos de contenido normativo, y el segundo, consistente en la finalidad</w:t>
      </w:r>
      <w:r>
        <w:rPr>
          <w:rFonts w:ascii="Century Gothic" w:eastAsia="Calibri" w:hAnsi="Century Gothic" w:cs="Arial"/>
          <w:color w:val="000000" w:themeColor="text1"/>
        </w:rPr>
        <w:t>,</w:t>
      </w:r>
      <w:r w:rsidRPr="00FE1B85">
        <w:rPr>
          <w:rFonts w:ascii="Century Gothic" w:eastAsia="Calibri" w:hAnsi="Century Gothic" w:cs="Arial"/>
          <w:color w:val="000000" w:themeColor="text1"/>
        </w:rPr>
        <w:t xml:space="preserve"> que se refiere a que el contenido de estas normas reglamentarias no pueden ni ampliar ni restringir los efectos de la Ley. </w:t>
      </w:r>
    </w:p>
    <w:p w14:paraId="10088159" w14:textId="77777777" w:rsidR="00A742A0" w:rsidRDefault="00A742A0" w:rsidP="00A742A0">
      <w:pPr>
        <w:spacing w:after="120" w:line="276" w:lineRule="auto"/>
        <w:ind w:firstLine="708"/>
        <w:jc w:val="both"/>
        <w:rPr>
          <w:rFonts w:ascii="Century Gothic" w:eastAsia="Calibri" w:hAnsi="Century Gothic" w:cs="Arial"/>
          <w:color w:val="000000" w:themeColor="text1"/>
        </w:rPr>
      </w:pPr>
      <w:r w:rsidRPr="00FE1B85">
        <w:rPr>
          <w:rFonts w:ascii="Century Gothic" w:eastAsia="Calibri" w:hAnsi="Century Gothic" w:cs="Arial"/>
          <w:color w:val="000000" w:themeColor="text1"/>
        </w:rPr>
        <w:t xml:space="preserve">En efecto, </w:t>
      </w:r>
      <w:r>
        <w:rPr>
          <w:rFonts w:ascii="Century Gothic" w:eastAsia="Calibri" w:hAnsi="Century Gothic" w:cs="Arial"/>
          <w:color w:val="000000" w:themeColor="text1"/>
        </w:rPr>
        <w:t xml:space="preserve">en la memoria justificativa del Decreto 1860 de 2021 se informa que la norma reglamentaria cumple con los dos elementos fundamentales de regulación, y, en esa medida, indicó que era </w:t>
      </w:r>
      <w:r w:rsidRPr="00847562">
        <w:rPr>
          <w:rFonts w:ascii="Century Gothic" w:eastAsia="Calibri" w:hAnsi="Century Gothic" w:cs="Arial"/>
          <w:color w:val="000000" w:themeColor="text1"/>
        </w:rPr>
        <w:t>proced</w:t>
      </w:r>
      <w:r>
        <w:rPr>
          <w:rFonts w:ascii="Century Gothic" w:eastAsia="Calibri" w:hAnsi="Century Gothic" w:cs="Arial"/>
          <w:color w:val="000000" w:themeColor="text1"/>
        </w:rPr>
        <w:t xml:space="preserve">ente </w:t>
      </w:r>
      <w:r w:rsidRPr="00847562">
        <w:rPr>
          <w:rFonts w:ascii="Century Gothic" w:eastAsia="Calibri" w:hAnsi="Century Gothic" w:cs="Arial"/>
          <w:color w:val="000000" w:themeColor="text1"/>
        </w:rPr>
        <w:t>reglamentar la Ley de 2069 de 2020 por dicha vía</w:t>
      </w:r>
      <w:r>
        <w:rPr>
          <w:rFonts w:ascii="Century Gothic" w:eastAsia="Calibri" w:hAnsi="Century Gothic" w:cs="Arial"/>
          <w:color w:val="000000" w:themeColor="text1"/>
        </w:rPr>
        <w:t xml:space="preserve">, pues con el Decreto no se está contraviniendo ni dando mayor alcance a la </w:t>
      </w:r>
      <w:r w:rsidRPr="00BB1EDE">
        <w:rPr>
          <w:rFonts w:ascii="Century Gothic" w:eastAsia="Calibri" w:hAnsi="Century Gothic" w:cs="Arial"/>
          <w:color w:val="000000" w:themeColor="text1"/>
        </w:rPr>
        <w:t>extensión de la ley</w:t>
      </w:r>
      <w:r>
        <w:rPr>
          <w:rFonts w:ascii="Century Gothic" w:eastAsia="Calibri" w:hAnsi="Century Gothic" w:cs="Arial"/>
          <w:color w:val="000000" w:themeColor="text1"/>
        </w:rPr>
        <w:t xml:space="preserve">, ni mucho menos se está desfigurando la </w:t>
      </w:r>
      <w:r w:rsidRPr="00BB1EDE">
        <w:rPr>
          <w:rFonts w:ascii="Century Gothic" w:eastAsia="Calibri" w:hAnsi="Century Gothic" w:cs="Arial"/>
          <w:color w:val="000000" w:themeColor="text1"/>
        </w:rPr>
        <w:t>situación</w:t>
      </w:r>
      <w:r>
        <w:rPr>
          <w:rFonts w:ascii="Century Gothic" w:eastAsia="Calibri" w:hAnsi="Century Gothic" w:cs="Arial"/>
          <w:color w:val="000000" w:themeColor="text1"/>
        </w:rPr>
        <w:t xml:space="preserve"> </w:t>
      </w:r>
      <w:r w:rsidRPr="00BB1EDE">
        <w:rPr>
          <w:rFonts w:ascii="Century Gothic" w:eastAsia="Calibri" w:hAnsi="Century Gothic" w:cs="Arial"/>
          <w:color w:val="000000" w:themeColor="text1"/>
        </w:rPr>
        <w:t>regulada</w:t>
      </w:r>
      <w:r>
        <w:rPr>
          <w:rFonts w:ascii="Century Gothic" w:eastAsia="Calibri" w:hAnsi="Century Gothic" w:cs="Arial"/>
          <w:color w:val="000000" w:themeColor="text1"/>
        </w:rPr>
        <w:t xml:space="preserve">, </w:t>
      </w:r>
      <w:r w:rsidRPr="00BB1EDE">
        <w:rPr>
          <w:rFonts w:ascii="Century Gothic" w:eastAsia="Calibri" w:hAnsi="Century Gothic" w:cs="Arial"/>
          <w:color w:val="000000" w:themeColor="text1"/>
        </w:rPr>
        <w:t xml:space="preserve">ni </w:t>
      </w:r>
      <w:r>
        <w:rPr>
          <w:rFonts w:ascii="Century Gothic" w:eastAsia="Calibri" w:hAnsi="Century Gothic" w:cs="Arial"/>
          <w:color w:val="000000" w:themeColor="text1"/>
        </w:rPr>
        <w:t xml:space="preserve">tampoco la </w:t>
      </w:r>
      <w:r w:rsidRPr="00BB1EDE">
        <w:rPr>
          <w:rFonts w:ascii="Century Gothic" w:eastAsia="Calibri" w:hAnsi="Century Gothic" w:cs="Arial"/>
          <w:color w:val="000000" w:themeColor="text1"/>
        </w:rPr>
        <w:t>hace nugatoria.</w:t>
      </w:r>
      <w:r w:rsidRPr="000A79DF">
        <w:rPr>
          <w:rFonts w:ascii="Century Gothic" w:eastAsia="Calibri" w:hAnsi="Century Gothic" w:cs="Arial"/>
          <w:color w:val="000000" w:themeColor="text1"/>
        </w:rPr>
        <w:t xml:space="preserve"> </w:t>
      </w:r>
    </w:p>
    <w:p w14:paraId="7082069B" w14:textId="42E9CACA" w:rsidR="00A742A0" w:rsidRPr="00BB1EDE" w:rsidRDefault="00A742A0" w:rsidP="00F95D49">
      <w:pPr>
        <w:spacing w:after="120" w:line="276" w:lineRule="auto"/>
        <w:ind w:firstLine="708"/>
        <w:jc w:val="both"/>
        <w:rPr>
          <w:rFonts w:ascii="Century Gothic" w:eastAsia="Calibri" w:hAnsi="Century Gothic" w:cs="Arial"/>
          <w:color w:val="000000" w:themeColor="text1"/>
        </w:rPr>
      </w:pPr>
      <w:r>
        <w:rPr>
          <w:rFonts w:ascii="Century Gothic" w:eastAsia="Calibri" w:hAnsi="Century Gothic" w:cs="Arial"/>
          <w:color w:val="000000" w:themeColor="text1"/>
        </w:rPr>
        <w:t>Conforme a lo anterior, en lo que respecta a los artículos 30 y 35 de la Ley 2069 de 2020, la memoria justificativa indicó que estas son</w:t>
      </w:r>
      <w:r w:rsidRPr="00FE1B85">
        <w:rPr>
          <w:rFonts w:ascii="Century Gothic" w:eastAsia="Calibri" w:hAnsi="Century Gothic" w:cs="Arial"/>
          <w:color w:val="000000" w:themeColor="text1"/>
        </w:rPr>
        <w:t xml:space="preserve"> normas de aplicación directa, por lo que, en principio, la intervención del</w:t>
      </w:r>
      <w:r>
        <w:rPr>
          <w:rFonts w:ascii="Century Gothic" w:eastAsia="Calibri" w:hAnsi="Century Gothic" w:cs="Arial"/>
          <w:color w:val="000000" w:themeColor="text1"/>
        </w:rPr>
        <w:t xml:space="preserve"> </w:t>
      </w:r>
      <w:r w:rsidRPr="00FE1B85">
        <w:rPr>
          <w:rFonts w:ascii="Century Gothic" w:eastAsia="Calibri" w:hAnsi="Century Gothic" w:cs="Arial"/>
          <w:color w:val="000000" w:themeColor="text1"/>
        </w:rPr>
        <w:t xml:space="preserve">reglamento es accesoria, más no necesaria para su aplicación. </w:t>
      </w:r>
      <w:r>
        <w:rPr>
          <w:rFonts w:ascii="Century Gothic" w:eastAsia="Calibri" w:hAnsi="Century Gothic" w:cs="Arial"/>
          <w:color w:val="000000" w:themeColor="text1"/>
        </w:rPr>
        <w:t xml:space="preserve">Sin embargo, resaltó que su reglamentación resultaba ser necesaria puesto que </w:t>
      </w:r>
      <w:r w:rsidRPr="00FE1B85">
        <w:rPr>
          <w:rFonts w:ascii="Century Gothic" w:eastAsia="Calibri" w:hAnsi="Century Gothic" w:cs="Arial"/>
          <w:color w:val="000000" w:themeColor="text1"/>
        </w:rPr>
        <w:t>cualquier espacio abierto de decisión, siempre</w:t>
      </w:r>
      <w:r>
        <w:rPr>
          <w:rFonts w:ascii="Century Gothic" w:eastAsia="Calibri" w:hAnsi="Century Gothic" w:cs="Arial"/>
          <w:color w:val="000000" w:themeColor="text1"/>
        </w:rPr>
        <w:t xml:space="preserve"> </w:t>
      </w:r>
      <w:r w:rsidRPr="00FE1B85">
        <w:rPr>
          <w:rFonts w:ascii="Century Gothic" w:eastAsia="Calibri" w:hAnsi="Century Gothic" w:cs="Arial"/>
          <w:color w:val="000000" w:themeColor="text1"/>
        </w:rPr>
        <w:t>que no esté sometido a reserva, habilita el ejercicio de potestades discrecionales por parte de las</w:t>
      </w:r>
      <w:r>
        <w:rPr>
          <w:rFonts w:ascii="Century Gothic" w:eastAsia="Calibri" w:hAnsi="Century Gothic" w:cs="Arial"/>
          <w:color w:val="000000" w:themeColor="text1"/>
        </w:rPr>
        <w:t xml:space="preserve"> </w:t>
      </w:r>
      <w:r w:rsidRPr="00FE1B85">
        <w:rPr>
          <w:rFonts w:ascii="Century Gothic" w:eastAsia="Calibri" w:hAnsi="Century Gothic" w:cs="Arial"/>
          <w:color w:val="000000" w:themeColor="text1"/>
        </w:rPr>
        <w:t>entidades estatales y demás sujetos que deben aplicar tales normas, salvo que el reglamento</w:t>
      </w:r>
      <w:r>
        <w:rPr>
          <w:rFonts w:ascii="Century Gothic" w:eastAsia="Calibri" w:hAnsi="Century Gothic" w:cs="Arial"/>
          <w:color w:val="000000" w:themeColor="text1"/>
        </w:rPr>
        <w:t xml:space="preserve"> </w:t>
      </w:r>
      <w:r w:rsidRPr="00FE1B85">
        <w:rPr>
          <w:rFonts w:ascii="Century Gothic" w:eastAsia="Calibri" w:hAnsi="Century Gothic" w:cs="Arial"/>
          <w:color w:val="000000" w:themeColor="text1"/>
        </w:rPr>
        <w:t>eventualmente los limite</w:t>
      </w:r>
      <w:r>
        <w:rPr>
          <w:rFonts w:ascii="Century Gothic" w:eastAsia="Calibri" w:hAnsi="Century Gothic" w:cs="Arial"/>
          <w:color w:val="000000" w:themeColor="text1"/>
        </w:rPr>
        <w:t>, lo que podría afectar los principios de transparencia y de selección objetiva que operan en la contratación estatal.</w:t>
      </w:r>
    </w:p>
    <w:p w14:paraId="474462D1" w14:textId="1CF16F80" w:rsidR="00A742A0" w:rsidRPr="00F95D49" w:rsidRDefault="00A742A0" w:rsidP="00F95D49">
      <w:pPr>
        <w:pStyle w:val="Textoindependiente"/>
        <w:spacing w:line="276" w:lineRule="auto"/>
        <w:ind w:firstLine="708"/>
        <w:contextualSpacing/>
        <w:jc w:val="both"/>
        <w:rPr>
          <w:rFonts w:ascii="Century Gothic" w:eastAsia="Calibri" w:hAnsi="Century Gothic"/>
          <w:color w:val="000000" w:themeColor="text1"/>
          <w:sz w:val="22"/>
          <w:szCs w:val="22"/>
        </w:rPr>
      </w:pPr>
      <w:r w:rsidRPr="00F95D49">
        <w:rPr>
          <w:rFonts w:ascii="Century Gothic" w:eastAsia="Calibri" w:hAnsi="Century Gothic"/>
          <w:color w:val="000000" w:themeColor="text1"/>
          <w:sz w:val="22"/>
          <w:szCs w:val="22"/>
        </w:rPr>
        <w:t xml:space="preserve">Por tal razón, y teniendo en cuenta el objeto de su consulta, la memoria justificativa del Decreto 1860 de 2021 indicó que, en relación con las Mipymes y el procedimiento de mínima cuantía, el artículo 30 de la Ley 2069 de 2020 reguló aspectos como: i) el término mínimo para publicar la invitación, ii) el plazo mínimo de recepción de las ofertas, iii) el factor de evaluación que define la selección del proponente y </w:t>
      </w:r>
      <w:proofErr w:type="spellStart"/>
      <w:r w:rsidRPr="00F95D49">
        <w:rPr>
          <w:rFonts w:ascii="Century Gothic" w:eastAsia="Calibri" w:hAnsi="Century Gothic"/>
          <w:color w:val="000000" w:themeColor="text1"/>
          <w:sz w:val="22"/>
          <w:szCs w:val="22"/>
        </w:rPr>
        <w:t>iv</w:t>
      </w:r>
      <w:proofErr w:type="spellEnd"/>
      <w:r w:rsidRPr="00F95D49">
        <w:rPr>
          <w:rFonts w:ascii="Century Gothic" w:eastAsia="Calibri" w:hAnsi="Century Gothic"/>
          <w:color w:val="000000" w:themeColor="text1"/>
          <w:sz w:val="22"/>
          <w:szCs w:val="22"/>
        </w:rPr>
        <w:t>) el perfeccionamiento del contrato. Con los anteriores parámetros las entidades podían estructurar sus procedimientos de selección, sin embargo, señaló que “en virtud de lo dispuesto en el parágrafo 1 del citado artículo, el Gobierno nacional puede ejercer su potestad reglamentaria para regular tanto las particularidades del procedimiento de selección como la posibilidad de realizar estas adquisiciones a Mipymes o establecimientos que correspondan a la definición de “gran almacén”.</w:t>
      </w:r>
    </w:p>
    <w:p w14:paraId="258FC52B" w14:textId="77777777" w:rsidR="00A742A0" w:rsidRDefault="00A742A0" w:rsidP="00A742A0">
      <w:pPr>
        <w:pStyle w:val="Textoindependiente"/>
        <w:ind w:firstLine="708"/>
        <w:contextualSpacing/>
        <w:jc w:val="both"/>
        <w:rPr>
          <w:rFonts w:ascii="Century Gothic" w:eastAsia="Calibri" w:hAnsi="Century Gothic"/>
          <w:color w:val="000000" w:themeColor="text1"/>
        </w:rPr>
      </w:pPr>
    </w:p>
    <w:p w14:paraId="67C138A3" w14:textId="431C1EE8" w:rsidR="00A742A0" w:rsidRDefault="00A742A0" w:rsidP="00A742A0">
      <w:pPr>
        <w:spacing w:after="120" w:line="276" w:lineRule="auto"/>
        <w:jc w:val="both"/>
        <w:rPr>
          <w:rFonts w:ascii="Century Gothic" w:eastAsia="Calibri" w:hAnsi="Century Gothic" w:cs="Arial"/>
          <w:color w:val="000000" w:themeColor="text1"/>
        </w:rPr>
      </w:pPr>
      <w:r>
        <w:rPr>
          <w:rFonts w:ascii="Century Gothic" w:eastAsia="Calibri" w:hAnsi="Century Gothic" w:cs="Arial"/>
          <w:color w:val="000000" w:themeColor="text1"/>
        </w:rPr>
        <w:tab/>
      </w:r>
      <w:r w:rsidRPr="00FE1B85">
        <w:rPr>
          <w:rFonts w:ascii="Century Gothic" w:eastAsia="Calibri" w:hAnsi="Century Gothic" w:cs="Arial"/>
          <w:color w:val="000000" w:themeColor="text1"/>
        </w:rPr>
        <w:t xml:space="preserve">Adicionalmente, </w:t>
      </w:r>
      <w:r>
        <w:rPr>
          <w:rFonts w:ascii="Century Gothic" w:eastAsia="Calibri" w:hAnsi="Century Gothic" w:cs="Arial"/>
          <w:color w:val="000000" w:themeColor="text1"/>
        </w:rPr>
        <w:t xml:space="preserve">se indicó que era necesario reglamentar </w:t>
      </w:r>
      <w:r w:rsidRPr="000C69C2">
        <w:rPr>
          <w:rFonts w:ascii="Century Gothic" w:eastAsia="Calibri" w:hAnsi="Century Gothic" w:cs="Arial"/>
          <w:color w:val="000000" w:themeColor="text1"/>
        </w:rPr>
        <w:t>la subsanabilidad</w:t>
      </w:r>
      <w:r>
        <w:rPr>
          <w:rFonts w:ascii="Century Gothic" w:eastAsia="Calibri" w:hAnsi="Century Gothic" w:cs="Arial"/>
          <w:color w:val="000000" w:themeColor="text1"/>
        </w:rPr>
        <w:t xml:space="preserve"> </w:t>
      </w:r>
      <w:r w:rsidRPr="000C69C2">
        <w:rPr>
          <w:rFonts w:ascii="Century Gothic" w:eastAsia="Calibri" w:hAnsi="Century Gothic" w:cs="Arial"/>
          <w:color w:val="000000" w:themeColor="text1"/>
        </w:rPr>
        <w:t>de las ofertas y la aplicación</w:t>
      </w:r>
      <w:r>
        <w:rPr>
          <w:rFonts w:ascii="Century Gothic" w:eastAsia="Calibri" w:hAnsi="Century Gothic" w:cs="Arial"/>
          <w:color w:val="000000" w:themeColor="text1"/>
        </w:rPr>
        <w:t xml:space="preserve"> </w:t>
      </w:r>
      <w:r w:rsidRPr="000C69C2">
        <w:rPr>
          <w:rFonts w:ascii="Century Gothic" w:eastAsia="Calibri" w:hAnsi="Century Gothic" w:cs="Arial"/>
          <w:color w:val="000000" w:themeColor="text1"/>
        </w:rPr>
        <w:t>de los factores de desempate</w:t>
      </w:r>
      <w:r>
        <w:rPr>
          <w:rFonts w:ascii="Century Gothic" w:eastAsia="Calibri" w:hAnsi="Century Gothic" w:cs="Arial"/>
          <w:color w:val="000000" w:themeColor="text1"/>
        </w:rPr>
        <w:t xml:space="preserve"> dentro del proceso de selección de mínima cuantía, considerando que</w:t>
      </w:r>
      <w:r w:rsidRPr="000C69C2">
        <w:rPr>
          <w:rFonts w:ascii="Century Gothic" w:eastAsia="Calibri" w:hAnsi="Century Gothic" w:cs="Arial"/>
          <w:color w:val="000000" w:themeColor="text1"/>
        </w:rPr>
        <w:t xml:space="preserve"> las entidades “(…) establecerán un término</w:t>
      </w:r>
      <w:r>
        <w:rPr>
          <w:rFonts w:ascii="Century Gothic" w:eastAsia="Calibri" w:hAnsi="Century Gothic" w:cs="Arial"/>
          <w:color w:val="000000" w:themeColor="text1"/>
        </w:rPr>
        <w:t xml:space="preserve"> </w:t>
      </w:r>
      <w:r w:rsidRPr="000C69C2">
        <w:rPr>
          <w:rFonts w:ascii="Century Gothic" w:eastAsia="Calibri" w:hAnsi="Century Gothic" w:cs="Arial"/>
          <w:color w:val="000000" w:themeColor="text1"/>
        </w:rPr>
        <w:t>preclusivo en la invitación para recibir los documentos subsanables, frente a cada uno de los</w:t>
      </w:r>
      <w:r>
        <w:rPr>
          <w:rFonts w:ascii="Century Gothic" w:eastAsia="Calibri" w:hAnsi="Century Gothic" w:cs="Arial"/>
          <w:color w:val="000000" w:themeColor="text1"/>
        </w:rPr>
        <w:t xml:space="preserve"> </w:t>
      </w:r>
      <w:r w:rsidRPr="000C69C2">
        <w:rPr>
          <w:rFonts w:ascii="Century Gothic" w:eastAsia="Calibri" w:hAnsi="Century Gothic" w:cs="Arial"/>
          <w:color w:val="000000" w:themeColor="text1"/>
        </w:rPr>
        <w:t>requerimientos. En caso de que no se establezca este término, los proponentes podrán subsanar sus</w:t>
      </w:r>
      <w:r>
        <w:rPr>
          <w:rFonts w:ascii="Century Gothic" w:eastAsia="Calibri" w:hAnsi="Century Gothic" w:cs="Arial"/>
          <w:color w:val="000000" w:themeColor="text1"/>
        </w:rPr>
        <w:t xml:space="preserve"> </w:t>
      </w:r>
      <w:r w:rsidRPr="000C69C2">
        <w:rPr>
          <w:rFonts w:ascii="Century Gothic" w:eastAsia="Calibri" w:hAnsi="Century Gothic" w:cs="Arial"/>
          <w:color w:val="000000" w:themeColor="text1"/>
        </w:rPr>
        <w:t xml:space="preserve">ofertas hasta antes de que finalice el traslado del informe de evaluación”. </w:t>
      </w:r>
    </w:p>
    <w:p w14:paraId="7AA6B6CE" w14:textId="77777777" w:rsidR="00A742A0" w:rsidRDefault="00A742A0" w:rsidP="00A742A0">
      <w:pPr>
        <w:spacing w:after="120" w:line="276" w:lineRule="auto"/>
        <w:jc w:val="both"/>
        <w:rPr>
          <w:rFonts w:ascii="Century Gothic" w:eastAsia="Calibri" w:hAnsi="Century Gothic" w:cs="Arial"/>
          <w:color w:val="000000" w:themeColor="text1"/>
        </w:rPr>
      </w:pPr>
      <w:r>
        <w:rPr>
          <w:rFonts w:ascii="Century Gothic" w:eastAsia="Calibri" w:hAnsi="Century Gothic" w:cs="Arial"/>
          <w:color w:val="000000" w:themeColor="text1"/>
        </w:rPr>
        <w:tab/>
      </w:r>
      <w:r w:rsidRPr="007247A9">
        <w:rPr>
          <w:rFonts w:ascii="Century Gothic" w:eastAsia="Calibri" w:hAnsi="Century Gothic" w:cs="Arial"/>
          <w:color w:val="000000" w:themeColor="text1"/>
        </w:rPr>
        <w:t xml:space="preserve">Ahora bien, </w:t>
      </w:r>
      <w:r w:rsidRPr="007247A9">
        <w:rPr>
          <w:rFonts w:ascii="Century Gothic" w:hAnsi="Century Gothic"/>
        </w:rPr>
        <w:t xml:space="preserve">en cuanto al alcance de la reglamentación de límites temporales para la subsanación de ofertas en la modalidad de mínima cuantía, dicha reglamentación </w:t>
      </w:r>
      <w:r w:rsidRPr="007247A9">
        <w:rPr>
          <w:rFonts w:ascii="Century Gothic" w:eastAsia="Calibri" w:hAnsi="Century Gothic" w:cs="Arial"/>
          <w:color w:val="000000" w:themeColor="text1"/>
        </w:rPr>
        <w:t xml:space="preserve">se justificó con el fin de acotar criterios discrecionales en el mencionado proceso de selección por parte de las entidades estatales y demás personas intervinientes en los Procesos de Contratación, más aún cuando </w:t>
      </w:r>
      <w:r>
        <w:rPr>
          <w:rFonts w:ascii="Century Gothic" w:eastAsia="Calibri" w:hAnsi="Century Gothic" w:cs="Arial"/>
          <w:color w:val="000000" w:themeColor="text1"/>
        </w:rPr>
        <w:t>se ha establecido por vía jurisprudencial y doctrinaria el derecho a la subsanación de las ofertas, en virtud de lo cual no pueden rechazarse a proponentes por aspectos meramente formales.</w:t>
      </w:r>
    </w:p>
    <w:p w14:paraId="68BFE4C2" w14:textId="77777777" w:rsidR="00A742A0" w:rsidRPr="007247A9" w:rsidRDefault="00A742A0" w:rsidP="00A742A0">
      <w:pPr>
        <w:spacing w:after="120" w:line="276" w:lineRule="auto"/>
        <w:jc w:val="both"/>
        <w:rPr>
          <w:rFonts w:ascii="Century Gothic" w:eastAsia="Calibri" w:hAnsi="Century Gothic" w:cs="Arial"/>
          <w:color w:val="000000" w:themeColor="text1"/>
          <w:lang w:val="es-ES"/>
        </w:rPr>
      </w:pPr>
      <w:r>
        <w:rPr>
          <w:rFonts w:ascii="Century Gothic" w:eastAsia="Calibri" w:hAnsi="Century Gothic" w:cs="Arial"/>
          <w:color w:val="000000" w:themeColor="text1"/>
        </w:rPr>
        <w:tab/>
        <w:t>Sobre este tema, l</w:t>
      </w:r>
      <w:r w:rsidRPr="007247A9">
        <w:rPr>
          <w:rFonts w:ascii="Century Gothic" w:eastAsia="Calibri" w:hAnsi="Century Gothic" w:cs="Arial"/>
          <w:color w:val="000000" w:themeColor="text1"/>
        </w:rPr>
        <w:t xml:space="preserve">a Agencia se ha pronunciado en desarrollo del principio de selección objetiva en los conceptos </w:t>
      </w:r>
      <w:r w:rsidRPr="007247A9">
        <w:rPr>
          <w:rFonts w:ascii="Century Gothic" w:hAnsi="Century Gothic" w:cs="Arial"/>
          <w:color w:val="000000" w:themeColor="text1"/>
          <w:lang w:val="es-MX"/>
        </w:rPr>
        <w:t>con radicado</w:t>
      </w:r>
      <w:r>
        <w:rPr>
          <w:rFonts w:ascii="Century Gothic" w:hAnsi="Century Gothic" w:cs="Arial"/>
          <w:color w:val="000000" w:themeColor="text1"/>
          <w:lang w:val="es-MX"/>
        </w:rPr>
        <w:t>s</w:t>
      </w:r>
      <w:r w:rsidRPr="007247A9">
        <w:rPr>
          <w:rFonts w:ascii="Century Gothic" w:hAnsi="Century Gothic" w:cs="Arial"/>
          <w:color w:val="000000" w:themeColor="text1"/>
          <w:lang w:val="es-MX"/>
        </w:rPr>
        <w:t xml:space="preserve"> No: 4201913000006471 del 28 de octubre de 2019, 4201912000006711 del 12 de noviembre de 2019 y 4201912000006496 del 15 de noviembre de 2019, l</w:t>
      </w:r>
      <w:r>
        <w:rPr>
          <w:rFonts w:ascii="Century Gothic" w:hAnsi="Century Gothic" w:cs="Arial"/>
          <w:color w:val="000000" w:themeColor="text1"/>
          <w:lang w:val="es-MX"/>
        </w:rPr>
        <w:t>o</w:t>
      </w:r>
      <w:r w:rsidRPr="007247A9">
        <w:rPr>
          <w:rFonts w:ascii="Century Gothic" w:hAnsi="Century Gothic" w:cs="Arial"/>
          <w:color w:val="000000" w:themeColor="text1"/>
          <w:lang w:val="es-MX"/>
        </w:rPr>
        <w:t>s cuales se unificaron en el Concepto CU–060 del 24 de febrero de 2020, que se reitera en forma pacífica, entre otros, en los conceptos: C-121 del 3 de marzo de 2020, C-160 del 3 de abril de 2020,  C-013 del 17 de abril de 2020,  C-465 del 27 de julio de 2020,  C-557 del 21 de agosto de 2020, C-573 del 27 de agosto de 2020, C-595 del 21 de septiembre de 2020, C-634 de 21 de noviembre de 2020, C–779 del 18 de enero de 2021, C–802 del 1 de febrero de 2021, C–010 del 16 de febrero de 2021, C–217 del 14 de mayo de 2021</w:t>
      </w:r>
      <w:r>
        <w:rPr>
          <w:rFonts w:ascii="Century Gothic" w:hAnsi="Century Gothic" w:cs="Arial"/>
          <w:color w:val="000000" w:themeColor="text1"/>
          <w:lang w:val="es-MX"/>
        </w:rPr>
        <w:t xml:space="preserve"> y</w:t>
      </w:r>
      <w:r w:rsidRPr="007247A9">
        <w:rPr>
          <w:rFonts w:ascii="Century Gothic" w:hAnsi="Century Gothic" w:cs="Arial"/>
          <w:color w:val="000000" w:themeColor="text1"/>
          <w:lang w:val="es-MX"/>
        </w:rPr>
        <w:t xml:space="preserve"> C–250 del 2 </w:t>
      </w:r>
      <w:r w:rsidRPr="000658FD">
        <w:rPr>
          <w:rFonts w:ascii="Century Gothic" w:eastAsia="Calibri" w:hAnsi="Century Gothic" w:cs="Arial"/>
          <w:color w:val="000000" w:themeColor="text1"/>
        </w:rPr>
        <w:t>de</w:t>
      </w:r>
      <w:r w:rsidRPr="007247A9">
        <w:rPr>
          <w:rFonts w:ascii="Century Gothic" w:hAnsi="Century Gothic" w:cs="Arial"/>
          <w:color w:val="000000" w:themeColor="text1"/>
          <w:lang w:val="es-MX"/>
        </w:rPr>
        <w:t xml:space="preserve"> junio de 202</w:t>
      </w:r>
      <w:r>
        <w:rPr>
          <w:rFonts w:ascii="Century Gothic" w:hAnsi="Century Gothic" w:cs="Arial"/>
          <w:color w:val="000000" w:themeColor="text1"/>
          <w:lang w:val="es-MX"/>
        </w:rPr>
        <w:t>2</w:t>
      </w:r>
      <w:r w:rsidRPr="007247A9">
        <w:rPr>
          <w:rStyle w:val="Refdenotaalpie"/>
          <w:rFonts w:ascii="Century Gothic" w:eastAsia="Calibri" w:hAnsi="Century Gothic" w:cs="Arial"/>
          <w:color w:val="000000" w:themeColor="text1"/>
        </w:rPr>
        <w:footnoteReference w:id="23"/>
      </w:r>
      <w:r w:rsidRPr="007247A9">
        <w:rPr>
          <w:rFonts w:ascii="Century Gothic" w:eastAsia="Calibri" w:hAnsi="Century Gothic" w:cs="Arial"/>
          <w:color w:val="000000" w:themeColor="text1"/>
        </w:rPr>
        <w:t>.</w:t>
      </w:r>
    </w:p>
    <w:p w14:paraId="24B7E448" w14:textId="77777777" w:rsidR="00A742A0" w:rsidRPr="00FE1B85" w:rsidRDefault="00A742A0" w:rsidP="00A742A0">
      <w:pPr>
        <w:spacing w:after="120" w:line="276" w:lineRule="auto"/>
        <w:jc w:val="both"/>
        <w:rPr>
          <w:rFonts w:ascii="Century Gothic" w:eastAsia="Calibri" w:hAnsi="Century Gothic" w:cs="Arial"/>
          <w:color w:val="000000" w:themeColor="text1"/>
          <w:lang w:val="es-ES_tradnl"/>
        </w:rPr>
      </w:pPr>
      <w:r>
        <w:rPr>
          <w:rFonts w:ascii="Century Gothic" w:eastAsia="Calibri" w:hAnsi="Century Gothic" w:cs="Arial"/>
          <w:color w:val="000000" w:themeColor="text1"/>
          <w:lang w:val="es-ES"/>
        </w:rPr>
        <w:tab/>
      </w:r>
      <w:r>
        <w:rPr>
          <w:rFonts w:ascii="Century Gothic" w:eastAsia="Calibri" w:hAnsi="Century Gothic" w:cs="Arial"/>
          <w:color w:val="000000" w:themeColor="text1"/>
          <w:lang w:val="es-ES_tradnl"/>
        </w:rPr>
        <w:t>En los mencionados conceptos se ha indicado que u</w:t>
      </w:r>
      <w:r w:rsidRPr="00FE1B85">
        <w:rPr>
          <w:rFonts w:ascii="Century Gothic" w:eastAsia="Calibri" w:hAnsi="Century Gothic" w:cs="Arial"/>
          <w:color w:val="000000" w:themeColor="text1"/>
          <w:lang w:val="es-ES_tradnl"/>
        </w:rPr>
        <w:t xml:space="preserve">no de los principios transversales de los procedimientos de selección es el de </w:t>
      </w:r>
      <w:r w:rsidRPr="00FE1B85">
        <w:rPr>
          <w:rFonts w:ascii="Century Gothic" w:eastAsia="Calibri" w:hAnsi="Century Gothic" w:cs="Arial"/>
          <w:i/>
          <w:color w:val="000000" w:themeColor="text1"/>
          <w:lang w:val="es-ES_tradnl"/>
        </w:rPr>
        <w:t>selección objetiva</w:t>
      </w:r>
      <w:r>
        <w:rPr>
          <w:rFonts w:ascii="Century Gothic" w:eastAsia="Calibri" w:hAnsi="Century Gothic" w:cs="Arial"/>
          <w:color w:val="000000" w:themeColor="text1"/>
          <w:lang w:val="es-ES_tradnl"/>
        </w:rPr>
        <w:t>, que</w:t>
      </w:r>
      <w:r w:rsidRPr="00FE1B85">
        <w:rPr>
          <w:rFonts w:ascii="Century Gothic" w:eastAsia="Calibri" w:hAnsi="Century Gothic" w:cs="Arial"/>
          <w:color w:val="000000" w:themeColor="text1"/>
          <w:lang w:val="es-ES_tradnl"/>
        </w:rPr>
        <w:t xml:space="preserve"> exige que la escogencia de la oferta ganadora se debe fundamentar en factores objetivos, de carácter técnico, jurídico y financiero, y no en criterios subjetivos, como el afecto, la amistad, el ánimo de ayuda, el interés personal, etc. Si bien dentro de la historia de la contratación pública en Colombia, se vislumbran antecedentes normativos que consagraban dicho principio</w:t>
      </w:r>
      <w:r w:rsidRPr="00FE1B85">
        <w:rPr>
          <w:rStyle w:val="Refdenotaalpie"/>
          <w:rFonts w:ascii="Century Gothic" w:eastAsia="Calibri" w:hAnsi="Century Gothic" w:cs="Arial"/>
          <w:color w:val="000000" w:themeColor="text1"/>
          <w:lang w:val="es-ES_tradnl"/>
        </w:rPr>
        <w:footnoteReference w:id="24"/>
      </w:r>
      <w:r w:rsidRPr="00FE1B85">
        <w:rPr>
          <w:rFonts w:ascii="Century Gothic" w:eastAsia="Calibri" w:hAnsi="Century Gothic" w:cs="Arial"/>
          <w:color w:val="000000" w:themeColor="text1"/>
          <w:lang w:val="es-ES_tradnl"/>
        </w:rPr>
        <w:t xml:space="preserve">, en la actualidad la disposición legal que lo prevé de manera más clara y contundente es el artículo 5 de la Ley 1150 de 2007, modificado por el artículo 88 de la Ley 1474 de 2011 y por el artículo 5 de la Ley </w:t>
      </w:r>
      <w:r w:rsidRPr="000658FD">
        <w:rPr>
          <w:rFonts w:ascii="Century Gothic" w:hAnsi="Century Gothic" w:cs="Arial"/>
          <w:color w:val="000000" w:themeColor="text1"/>
          <w:lang w:val="es-MX"/>
        </w:rPr>
        <w:t>1882</w:t>
      </w:r>
      <w:r w:rsidRPr="00FE1B85">
        <w:rPr>
          <w:rFonts w:ascii="Century Gothic" w:eastAsia="Calibri" w:hAnsi="Century Gothic" w:cs="Arial"/>
          <w:color w:val="000000" w:themeColor="text1"/>
          <w:lang w:val="es-ES_tradnl"/>
        </w:rPr>
        <w:t xml:space="preserve"> de 2018</w:t>
      </w:r>
      <w:r>
        <w:rPr>
          <w:rFonts w:ascii="Century Gothic" w:eastAsia="Calibri" w:hAnsi="Century Gothic" w:cs="Arial"/>
          <w:color w:val="000000" w:themeColor="text1"/>
          <w:lang w:val="es-ES_tradnl"/>
        </w:rPr>
        <w:t xml:space="preserve">. </w:t>
      </w:r>
    </w:p>
    <w:p w14:paraId="3DBD7706" w14:textId="77777777" w:rsidR="00A742A0" w:rsidRPr="00FE1B85" w:rsidRDefault="00A742A0" w:rsidP="00A742A0">
      <w:pPr>
        <w:tabs>
          <w:tab w:val="left" w:pos="0"/>
        </w:tabs>
        <w:spacing w:after="120" w:line="276" w:lineRule="auto"/>
        <w:jc w:val="both"/>
        <w:rPr>
          <w:rFonts w:ascii="Century Gothic" w:eastAsia="Calibri" w:hAnsi="Century Gothic" w:cs="Arial"/>
        </w:rPr>
      </w:pPr>
      <w:r w:rsidRPr="00FE1B85">
        <w:rPr>
          <w:rFonts w:ascii="Century Gothic" w:eastAsia="Calibri" w:hAnsi="Century Gothic" w:cs="Arial"/>
          <w:bCs/>
        </w:rPr>
        <w:tab/>
      </w:r>
      <w:r w:rsidRPr="00FE1B85">
        <w:rPr>
          <w:rFonts w:ascii="Century Gothic" w:eastAsia="Calibri" w:hAnsi="Century Gothic" w:cs="Arial"/>
        </w:rPr>
        <w:t xml:space="preserve">De acuerdo con el artículo 5 de la Ley 1150 de 2007, y conforme con lo expresado en el concepto C–166 del 23 de abril de 2021, </w:t>
      </w:r>
      <w:r>
        <w:rPr>
          <w:rFonts w:ascii="Century Gothic" w:eastAsia="Calibri" w:hAnsi="Century Gothic" w:cs="Arial"/>
        </w:rPr>
        <w:t xml:space="preserve">emitido por esta Agencia, el </w:t>
      </w:r>
      <w:r w:rsidRPr="00FE1B85">
        <w:rPr>
          <w:rFonts w:ascii="Century Gothic" w:eastAsia="Calibri" w:hAnsi="Century Gothic" w:cs="Arial"/>
        </w:rPr>
        <w:t xml:space="preserve">deber de selección objetiva supone que las entidades escojan en los </w:t>
      </w:r>
      <w:r w:rsidRPr="00FE1B85">
        <w:rPr>
          <w:rFonts w:ascii="Century Gothic" w:eastAsia="Calibri" w:hAnsi="Century Gothic" w:cs="Arial"/>
          <w:bCs/>
        </w:rPr>
        <w:t>Procesos</w:t>
      </w:r>
      <w:r w:rsidRPr="00FE1B85">
        <w:rPr>
          <w:rFonts w:ascii="Century Gothic" w:eastAsia="Calibri" w:hAnsi="Century Gothic" w:cs="Arial"/>
        </w:rPr>
        <w:t xml:space="preserve"> de </w:t>
      </w:r>
      <w:r w:rsidRPr="00FE1B85">
        <w:rPr>
          <w:rFonts w:ascii="Century Gothic" w:eastAsia="Calibri" w:hAnsi="Century Gothic" w:cs="Arial"/>
          <w:bCs/>
        </w:rPr>
        <w:t xml:space="preserve">Contratación </w:t>
      </w:r>
      <w:r w:rsidRPr="00FE1B85">
        <w:rPr>
          <w:rFonts w:ascii="Century Gothic" w:eastAsia="Calibri" w:hAnsi="Century Gothic" w:cs="Arial"/>
        </w:rPr>
        <w:t xml:space="preserve">el “[…] ofrecimiento más favorable a la entidad y a los fines que ella busca </w:t>
      </w:r>
      <w:r w:rsidRPr="00FE1B85">
        <w:rPr>
          <w:rFonts w:ascii="Century Gothic" w:hAnsi="Century Gothic" w:cs="Arial"/>
        </w:rPr>
        <w:t>[…]</w:t>
      </w:r>
      <w:r w:rsidRPr="00FE1B85">
        <w:rPr>
          <w:rFonts w:ascii="Century Gothic" w:eastAsia="Calibri" w:hAnsi="Century Gothic" w:cs="Arial"/>
        </w:rPr>
        <w:t xml:space="preserve">”.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 </w:t>
      </w:r>
    </w:p>
    <w:p w14:paraId="288BE4FE" w14:textId="77777777" w:rsidR="00A742A0" w:rsidRDefault="00A742A0" w:rsidP="00A742A0">
      <w:pPr>
        <w:tabs>
          <w:tab w:val="left" w:pos="0"/>
        </w:tabs>
        <w:spacing w:after="120" w:line="276" w:lineRule="auto"/>
        <w:jc w:val="both"/>
        <w:rPr>
          <w:rFonts w:ascii="Century Gothic" w:eastAsia="Calibri" w:hAnsi="Century Gothic" w:cs="Arial"/>
          <w:color w:val="000000" w:themeColor="text1"/>
          <w:lang w:val="es-ES_tradnl"/>
        </w:rPr>
      </w:pPr>
      <w:r w:rsidRPr="00FE1B85">
        <w:rPr>
          <w:rFonts w:ascii="Century Gothic" w:eastAsia="Calibri" w:hAnsi="Century Gothic" w:cs="Arial"/>
        </w:rPr>
        <w:tab/>
      </w:r>
      <w:r>
        <w:rPr>
          <w:rFonts w:ascii="Century Gothic" w:eastAsia="Calibri" w:hAnsi="Century Gothic" w:cs="Arial"/>
        </w:rPr>
        <w:t xml:space="preserve">Por su parte, </w:t>
      </w:r>
      <w:r>
        <w:rPr>
          <w:rFonts w:ascii="Century Gothic" w:eastAsia="Calibri" w:hAnsi="Century Gothic" w:cs="Arial"/>
          <w:color w:val="000000" w:themeColor="text1"/>
          <w:lang w:val="es-ES_tradnl"/>
        </w:rPr>
        <w:t xml:space="preserve">en virtud de dicho principio se ha indicado que las entidades estatales deben </w:t>
      </w:r>
      <w:r w:rsidRPr="00FE1B85">
        <w:rPr>
          <w:rFonts w:ascii="Century Gothic" w:eastAsia="Calibri" w:hAnsi="Century Gothic" w:cs="Arial"/>
          <w:color w:val="000000" w:themeColor="text1"/>
          <w:lang w:val="es-ES_tradnl"/>
        </w:rPr>
        <w:t>garantizar la participación de los oferentes de bienes y servicios de origen nacional</w:t>
      </w:r>
      <w:r>
        <w:rPr>
          <w:rFonts w:ascii="Century Gothic" w:eastAsia="Calibri" w:hAnsi="Century Gothic" w:cs="Arial"/>
          <w:color w:val="000000" w:themeColor="text1"/>
          <w:lang w:val="es-ES_tradnl"/>
        </w:rPr>
        <w:t xml:space="preserve"> y para ello </w:t>
      </w:r>
      <w:r w:rsidRPr="00FE1B85">
        <w:rPr>
          <w:rFonts w:ascii="Century Gothic" w:eastAsia="Calibri" w:hAnsi="Century Gothic" w:cs="Arial"/>
          <w:color w:val="000000" w:themeColor="text1"/>
          <w:lang w:val="es-ES_tradnl"/>
        </w:rPr>
        <w:t>deben definir</w:t>
      </w:r>
      <w:r>
        <w:rPr>
          <w:rFonts w:ascii="Century Gothic" w:eastAsia="Calibri" w:hAnsi="Century Gothic" w:cs="Arial"/>
          <w:color w:val="000000" w:themeColor="text1"/>
          <w:lang w:val="es-ES_tradnl"/>
        </w:rPr>
        <w:t xml:space="preserve"> </w:t>
      </w:r>
      <w:r w:rsidRPr="00FE1B85">
        <w:rPr>
          <w:rFonts w:ascii="Century Gothic" w:eastAsia="Calibri" w:hAnsi="Century Gothic" w:cs="Arial"/>
          <w:color w:val="000000" w:themeColor="text1"/>
          <w:lang w:val="es-ES_tradnl"/>
        </w:rPr>
        <w:t>reglas objetivas, justas, claras y completas que permitan la confección de ofrecimientos de la misma índole,</w:t>
      </w:r>
      <w:r>
        <w:rPr>
          <w:rFonts w:ascii="Century Gothic" w:eastAsia="Calibri" w:hAnsi="Century Gothic" w:cs="Arial"/>
          <w:color w:val="000000" w:themeColor="text1"/>
          <w:lang w:val="es-ES_tradnl"/>
        </w:rPr>
        <w:t xml:space="preserve"> </w:t>
      </w:r>
      <w:r w:rsidRPr="00FE1B85">
        <w:rPr>
          <w:rFonts w:ascii="Century Gothic" w:eastAsia="Calibri" w:hAnsi="Century Gothic" w:cs="Arial"/>
          <w:color w:val="000000" w:themeColor="text1"/>
          <w:lang w:val="es-ES_tradnl"/>
        </w:rPr>
        <w:t>aseguren una escogencia objetiva</w:t>
      </w:r>
      <w:r>
        <w:rPr>
          <w:rFonts w:ascii="Century Gothic" w:eastAsia="Calibri" w:hAnsi="Century Gothic" w:cs="Arial"/>
          <w:color w:val="000000" w:themeColor="text1"/>
          <w:lang w:val="es-ES_tradnl"/>
        </w:rPr>
        <w:t xml:space="preserve"> y </w:t>
      </w:r>
      <w:r w:rsidRPr="00FE1B85">
        <w:rPr>
          <w:rFonts w:ascii="Century Gothic" w:eastAsia="Calibri" w:hAnsi="Century Gothic" w:cs="Arial"/>
          <w:color w:val="000000" w:themeColor="text1"/>
          <w:lang w:val="es-ES_tradnl"/>
        </w:rPr>
        <w:t>eviten la declaratoria de desierta de la licitación</w:t>
      </w:r>
      <w:r>
        <w:rPr>
          <w:rFonts w:ascii="Century Gothic" w:eastAsia="Calibri" w:hAnsi="Century Gothic" w:cs="Arial"/>
          <w:color w:val="000000" w:themeColor="text1"/>
          <w:lang w:val="es-ES_tradnl"/>
        </w:rPr>
        <w:t xml:space="preserve">. Asimismo, </w:t>
      </w:r>
      <w:r w:rsidRPr="00FE1B85">
        <w:rPr>
          <w:rFonts w:ascii="Century Gothic" w:eastAsia="Calibri" w:hAnsi="Century Gothic" w:cs="Arial"/>
          <w:color w:val="000000" w:themeColor="text1"/>
          <w:lang w:val="es-ES_tradnl"/>
        </w:rPr>
        <w:t>la Sección Tercera del Consejo de Estado ha dicho que</w:t>
      </w:r>
      <w:r>
        <w:rPr>
          <w:rFonts w:ascii="Century Gothic" w:eastAsia="Calibri" w:hAnsi="Century Gothic" w:cs="Arial"/>
          <w:color w:val="000000" w:themeColor="text1"/>
          <w:lang w:val="es-ES_tradnl"/>
        </w:rPr>
        <w:t>:</w:t>
      </w:r>
    </w:p>
    <w:p w14:paraId="19DCA683" w14:textId="77777777" w:rsidR="00A742A0" w:rsidRPr="008D7C4B" w:rsidRDefault="00A742A0" w:rsidP="00A742A0">
      <w:pPr>
        <w:tabs>
          <w:tab w:val="left" w:pos="0"/>
        </w:tabs>
        <w:spacing w:after="120" w:line="240" w:lineRule="auto"/>
        <w:ind w:left="709" w:right="709"/>
        <w:jc w:val="both"/>
        <w:rPr>
          <w:rFonts w:ascii="Century Gothic" w:eastAsia="Calibri" w:hAnsi="Century Gothic" w:cs="Arial"/>
          <w:color w:val="000000" w:themeColor="text1"/>
          <w:sz w:val="21"/>
          <w:szCs w:val="21"/>
          <w:lang w:val="es-ES_tradnl"/>
        </w:rPr>
      </w:pPr>
      <w:r w:rsidRPr="008D7C4B">
        <w:rPr>
          <w:rFonts w:ascii="Century Gothic" w:eastAsia="Calibri" w:hAnsi="Century Gothic" w:cs="Arial"/>
          <w:color w:val="000000" w:themeColor="text1"/>
          <w:sz w:val="21"/>
          <w:szCs w:val="21"/>
          <w:lang w:val="es-ES_tradnl"/>
        </w:rPr>
        <w:t>“la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8D7C4B">
        <w:rPr>
          <w:rStyle w:val="Refdenotaalpie"/>
          <w:rFonts w:ascii="Century Gothic" w:eastAsia="Calibri" w:hAnsi="Century Gothic" w:cs="Arial"/>
          <w:color w:val="000000" w:themeColor="text1"/>
          <w:sz w:val="21"/>
          <w:szCs w:val="21"/>
          <w:lang w:val="es-ES_tradnl"/>
        </w:rPr>
        <w:footnoteReference w:id="25"/>
      </w:r>
      <w:r w:rsidRPr="008D7C4B">
        <w:rPr>
          <w:rFonts w:ascii="Century Gothic" w:eastAsia="Calibri" w:hAnsi="Century Gothic" w:cs="Arial"/>
          <w:color w:val="000000" w:themeColor="text1"/>
          <w:sz w:val="21"/>
          <w:szCs w:val="21"/>
          <w:lang w:val="es-ES_tradn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8D7C4B">
        <w:rPr>
          <w:rStyle w:val="Refdenotaalpie"/>
          <w:rFonts w:ascii="Century Gothic" w:eastAsia="Calibri" w:hAnsi="Century Gothic" w:cs="Arial"/>
          <w:color w:val="000000" w:themeColor="text1"/>
          <w:sz w:val="21"/>
          <w:szCs w:val="21"/>
          <w:lang w:val="es-ES_tradnl"/>
        </w:rPr>
        <w:footnoteReference w:id="26"/>
      </w:r>
      <w:r w:rsidRPr="008D7C4B">
        <w:rPr>
          <w:rFonts w:ascii="Century Gothic" w:eastAsia="Calibri" w:hAnsi="Century Gothic" w:cs="Arial"/>
          <w:color w:val="000000" w:themeColor="text1"/>
          <w:sz w:val="21"/>
          <w:szCs w:val="21"/>
          <w:lang w:val="es-ES_tradnl"/>
        </w:rPr>
        <w:t>.</w:t>
      </w:r>
    </w:p>
    <w:p w14:paraId="40ECB8F2" w14:textId="77777777" w:rsidR="00A742A0" w:rsidRDefault="00A742A0" w:rsidP="00A742A0">
      <w:pPr>
        <w:tabs>
          <w:tab w:val="left" w:pos="0"/>
        </w:tabs>
        <w:spacing w:after="120" w:line="276" w:lineRule="auto"/>
        <w:jc w:val="both"/>
        <w:rPr>
          <w:rFonts w:ascii="Century Gothic" w:eastAsia="Calibri" w:hAnsi="Century Gothic" w:cs="Arial"/>
          <w:color w:val="000000" w:themeColor="text1"/>
          <w:lang w:val="es-ES_tradnl"/>
        </w:rPr>
      </w:pPr>
      <w:r>
        <w:rPr>
          <w:rFonts w:ascii="Century Gothic" w:eastAsia="Calibri" w:hAnsi="Century Gothic" w:cs="Arial"/>
          <w:color w:val="000000" w:themeColor="text1"/>
          <w:lang w:val="es-ES_tradnl"/>
        </w:rPr>
        <w:tab/>
      </w:r>
      <w:r w:rsidRPr="00FE1B85">
        <w:rPr>
          <w:rFonts w:ascii="Century Gothic" w:eastAsia="Calibri" w:hAnsi="Century Gothic" w:cs="Arial"/>
          <w:color w:val="000000" w:themeColor="text1"/>
          <w:lang w:val="es-ES_tradnl"/>
        </w:rPr>
        <w:t xml:space="preserve">Ahora bien, para garantizar el principio de selección objetiva, </w:t>
      </w:r>
      <w:r>
        <w:rPr>
          <w:rFonts w:ascii="Century Gothic" w:eastAsia="Calibri" w:hAnsi="Century Gothic" w:cs="Arial"/>
          <w:color w:val="000000" w:themeColor="text1"/>
          <w:lang w:val="es-ES_tradnl"/>
        </w:rPr>
        <w:t xml:space="preserve">se ha indicado que </w:t>
      </w:r>
      <w:r w:rsidRPr="00FE1B85">
        <w:rPr>
          <w:rFonts w:ascii="Century Gothic" w:eastAsia="Calibri" w:hAnsi="Century Gothic" w:cs="Arial"/>
          <w:color w:val="000000" w:themeColor="text1"/>
          <w:lang w:val="es-ES_tradnl"/>
        </w:rPr>
        <w:t xml:space="preserve">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 </w:t>
      </w:r>
    </w:p>
    <w:p w14:paraId="547FEF15" w14:textId="77777777" w:rsidR="00A742A0" w:rsidRPr="00FE1B85" w:rsidRDefault="00A742A0" w:rsidP="00A742A0">
      <w:pPr>
        <w:tabs>
          <w:tab w:val="left" w:pos="0"/>
        </w:tabs>
        <w:spacing w:after="120" w:line="276" w:lineRule="auto"/>
        <w:jc w:val="both"/>
        <w:rPr>
          <w:rFonts w:ascii="Century Gothic" w:hAnsi="Century Gothic" w:cs="Arial"/>
          <w:color w:val="000000" w:themeColor="text1"/>
        </w:rPr>
      </w:pPr>
      <w:r>
        <w:rPr>
          <w:rFonts w:ascii="Century Gothic" w:eastAsia="Calibri" w:hAnsi="Century Gothic" w:cs="Arial"/>
          <w:color w:val="000000" w:themeColor="text1"/>
          <w:lang w:val="es-ES_tradnl"/>
        </w:rPr>
        <w:tab/>
      </w:r>
      <w:r w:rsidRPr="00FE1B85">
        <w:rPr>
          <w:rFonts w:ascii="Century Gothic" w:hAnsi="Century Gothic" w:cs="Arial"/>
          <w:color w:val="000000" w:themeColor="text1"/>
          <w:lang w:val="es-ES_tradnl"/>
        </w:rPr>
        <w:t>En este sentido, la postura que se reitera en el presente concepto es la siguiente: por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w:t>
      </w:r>
      <w:r>
        <w:rPr>
          <w:rFonts w:ascii="Century Gothic" w:hAnsi="Century Gothic" w:cs="Arial"/>
          <w:color w:val="000000" w:themeColor="text1"/>
          <w:lang w:val="es-ES_tradnl"/>
        </w:rPr>
        <w:t xml:space="preserve">, con fundamento </w:t>
      </w:r>
      <w:r>
        <w:rPr>
          <w:rFonts w:ascii="Century Gothic" w:hAnsi="Century Gothic" w:cs="Arial"/>
          <w:color w:val="000000" w:themeColor="text1"/>
        </w:rPr>
        <w:t>en el</w:t>
      </w:r>
      <w:r w:rsidRPr="00FE1B85">
        <w:rPr>
          <w:rFonts w:ascii="Century Gothic" w:hAnsi="Century Gothic" w:cs="Arial"/>
          <w:color w:val="000000" w:themeColor="text1"/>
        </w:rPr>
        <w:t xml:space="preserve"> parágrafo 4 de la Ley 1150 de 2007</w:t>
      </w:r>
      <w:r>
        <w:rPr>
          <w:rFonts w:ascii="Century Gothic" w:hAnsi="Century Gothic" w:cs="Arial"/>
          <w:color w:val="000000" w:themeColor="text1"/>
        </w:rPr>
        <w:t>.</w:t>
      </w:r>
    </w:p>
    <w:p w14:paraId="4B03EA4B" w14:textId="77777777" w:rsidR="00A742A0" w:rsidRPr="00FE1B85" w:rsidRDefault="00A742A0" w:rsidP="00A742A0">
      <w:pPr>
        <w:spacing w:after="120" w:line="276" w:lineRule="auto"/>
        <w:ind w:firstLine="709"/>
        <w:jc w:val="both"/>
        <w:rPr>
          <w:rFonts w:ascii="Century Gothic" w:hAnsi="Century Gothic" w:cs="Arial"/>
          <w:color w:val="000000" w:themeColor="text1"/>
          <w:lang w:val="es-ES_tradnl"/>
        </w:rPr>
      </w:pPr>
      <w:r w:rsidRPr="00FE1B85">
        <w:rPr>
          <w:rFonts w:ascii="Century Gothic" w:hAnsi="Century Gothic" w:cs="Arial"/>
          <w:color w:val="000000" w:themeColor="text1"/>
          <w:lang w:val="es-ES_tradnl"/>
        </w:rPr>
        <w:t xml:space="preserve">Finalmente, en relación con el término para subsanar ofertas, esta Subdirección </w:t>
      </w:r>
      <w:r>
        <w:rPr>
          <w:rFonts w:ascii="Century Gothic" w:hAnsi="Century Gothic" w:cs="Arial"/>
          <w:color w:val="000000" w:themeColor="text1"/>
          <w:lang w:val="es-ES_tradnl"/>
        </w:rPr>
        <w:t xml:space="preserve">indicó </w:t>
      </w:r>
      <w:r w:rsidRPr="00FE1B85">
        <w:rPr>
          <w:rFonts w:ascii="Century Gothic" w:hAnsi="Century Gothic" w:cs="Arial"/>
          <w:color w:val="000000" w:themeColor="text1"/>
          <w:lang w:val="es-ES_tradnl"/>
        </w:rPr>
        <w:t>en los conceptos C-082 del 25 de febrero de 2020</w:t>
      </w:r>
      <w:r>
        <w:rPr>
          <w:rFonts w:ascii="Century Gothic" w:hAnsi="Century Gothic" w:cs="Arial"/>
          <w:color w:val="000000" w:themeColor="text1"/>
          <w:lang w:val="es-ES_tradnl"/>
        </w:rPr>
        <w:t>,</w:t>
      </w:r>
      <w:r w:rsidRPr="00FE1B85">
        <w:rPr>
          <w:rFonts w:ascii="Century Gothic" w:hAnsi="Century Gothic" w:cs="Arial"/>
          <w:color w:val="000000" w:themeColor="text1"/>
          <w:lang w:val="es-ES_tradnl"/>
        </w:rPr>
        <w:t xml:space="preserve"> C-013 del 17 de abril de 2020</w:t>
      </w:r>
      <w:r>
        <w:rPr>
          <w:rFonts w:ascii="Century Gothic" w:hAnsi="Century Gothic" w:cs="Arial"/>
          <w:color w:val="000000" w:themeColor="text1"/>
          <w:lang w:val="es-ES_tradnl"/>
        </w:rPr>
        <w:t xml:space="preserve"> y </w:t>
      </w:r>
      <w:r w:rsidRPr="00FE1B85">
        <w:rPr>
          <w:rFonts w:ascii="Century Gothic" w:hAnsi="Century Gothic" w:cs="Arial"/>
          <w:color w:val="000000" w:themeColor="text1"/>
          <w:lang w:val="es-ES_tradnl"/>
        </w:rPr>
        <w:t xml:space="preserve">C–250 del 2 de junio de 2021, que los requisitos a subsanar “deberán ser solicitados por las entidades estatales y deberán ser entregados por los proponentes hasta el término de traslado del informe de evaluación que corresponda a cada modalidad de selección, </w:t>
      </w:r>
      <w:r w:rsidRPr="00FE1B85">
        <w:rPr>
          <w:rFonts w:ascii="Century Gothic" w:hAnsi="Century Gothic" w:cs="Arial"/>
          <w:i/>
          <w:color w:val="000000" w:themeColor="text1"/>
          <w:lang w:val="es-ES_tradnl"/>
        </w:rPr>
        <w:t>salvo lo dispuesto para el proceso de Mínima cuantía</w:t>
      </w:r>
      <w:r w:rsidRPr="00FE1B85">
        <w:rPr>
          <w:rFonts w:ascii="Century Gothic" w:hAnsi="Century Gothic" w:cs="Arial"/>
          <w:color w:val="000000" w:themeColor="text1"/>
          <w:lang w:val="es-ES_tradnl"/>
        </w:rPr>
        <w:t xml:space="preserve"> […]”</w:t>
      </w:r>
      <w:r>
        <w:rPr>
          <w:rFonts w:ascii="Century Gothic" w:hAnsi="Century Gothic" w:cs="Arial"/>
          <w:color w:val="000000" w:themeColor="text1"/>
          <w:lang w:val="es-ES_tradnl"/>
        </w:rPr>
        <w:t xml:space="preserve">, señalando que si bien </w:t>
      </w:r>
      <w:r w:rsidRPr="00FE1B85">
        <w:rPr>
          <w:rFonts w:ascii="Century Gothic" w:hAnsi="Century Gothic" w:cs="Arial"/>
          <w:color w:val="000000" w:themeColor="text1"/>
          <w:lang w:val="es-ES_tradnl"/>
        </w:rPr>
        <w:t xml:space="preserve">no se observa una disposición legal que expresamente establezca un término para aportar tales documentos </w:t>
      </w:r>
      <w:r>
        <w:rPr>
          <w:rFonts w:ascii="Century Gothic" w:hAnsi="Century Gothic" w:cs="Arial"/>
          <w:color w:val="000000" w:themeColor="text1"/>
          <w:lang w:val="es-ES_tradnl"/>
        </w:rPr>
        <w:t>en los procesos de selección por mínima cuantía</w:t>
      </w:r>
      <w:r w:rsidRPr="00FE1B85">
        <w:rPr>
          <w:rFonts w:ascii="Century Gothic" w:hAnsi="Century Gothic" w:cs="Arial"/>
          <w:color w:val="000000" w:themeColor="text1"/>
          <w:lang w:val="es-ES_tradnl"/>
        </w:rPr>
        <w:t>,</w:t>
      </w:r>
      <w:r>
        <w:rPr>
          <w:rFonts w:ascii="Century Gothic" w:hAnsi="Century Gothic" w:cs="Arial"/>
          <w:color w:val="000000" w:themeColor="text1"/>
          <w:lang w:val="es-ES_tradnl"/>
        </w:rPr>
        <w:t xml:space="preserve"> previo a la expedición del Decreto 1860 de 2021, </w:t>
      </w:r>
      <w:r w:rsidRPr="00FE1B85">
        <w:rPr>
          <w:rFonts w:ascii="Century Gothic" w:hAnsi="Century Gothic" w:cs="Arial"/>
          <w:color w:val="000000" w:themeColor="text1"/>
          <w:lang w:val="es-ES_tradnl"/>
        </w:rPr>
        <w:t>surg</w:t>
      </w:r>
      <w:r>
        <w:rPr>
          <w:rFonts w:ascii="Century Gothic" w:hAnsi="Century Gothic" w:cs="Arial"/>
          <w:color w:val="000000" w:themeColor="text1"/>
          <w:lang w:val="es-ES_tradnl"/>
        </w:rPr>
        <w:t>ía</w:t>
      </w:r>
      <w:r w:rsidRPr="00FE1B85">
        <w:rPr>
          <w:rFonts w:ascii="Century Gothic" w:hAnsi="Century Gothic" w:cs="Arial"/>
          <w:color w:val="000000" w:themeColor="text1"/>
          <w:lang w:val="es-ES_tradnl"/>
        </w:rPr>
        <w:t xml:space="preserve">n tres posibles interpretaciones: i) que en la mínima cuantía no se permite la subsanabilidad –interpretación que no es acorde con el principio de la prevalencia de lo sustancial sobre lo formal–, ii) que el término para presentar los requisitos subsanados es el mismo de publicación del informe de evaluación, es decir, un (1) día hábil, iii) que existe un vacío y que este puede llenarse discrecionalmente por la entidad estatal, disponiendo de un término razonable de </w:t>
      </w:r>
      <w:r>
        <w:rPr>
          <w:rFonts w:ascii="Century Gothic" w:hAnsi="Century Gothic" w:cs="Arial"/>
          <w:color w:val="000000" w:themeColor="text1"/>
          <w:lang w:val="es-ES_tradnl"/>
        </w:rPr>
        <w:t>s</w:t>
      </w:r>
      <w:r w:rsidRPr="00FE1B85">
        <w:rPr>
          <w:rFonts w:ascii="Century Gothic" w:hAnsi="Century Gothic" w:cs="Arial"/>
          <w:color w:val="000000" w:themeColor="text1"/>
          <w:lang w:val="es-ES_tradnl"/>
        </w:rPr>
        <w:t>ubsanabilidad.</w:t>
      </w:r>
      <w:r>
        <w:rPr>
          <w:rFonts w:ascii="Century Gothic" w:hAnsi="Century Gothic" w:cs="Arial"/>
          <w:color w:val="000000" w:themeColor="text1"/>
          <w:lang w:val="es-ES_tradnl"/>
        </w:rPr>
        <w:t xml:space="preserve"> </w:t>
      </w:r>
    </w:p>
    <w:p w14:paraId="70402E23" w14:textId="77777777" w:rsidR="00A742A0" w:rsidRPr="00FE1B85" w:rsidRDefault="00A742A0" w:rsidP="00A742A0">
      <w:pPr>
        <w:spacing w:after="120" w:line="276" w:lineRule="auto"/>
        <w:ind w:firstLine="709"/>
        <w:jc w:val="both"/>
        <w:rPr>
          <w:rFonts w:ascii="Century Gothic" w:eastAsia="Calibri" w:hAnsi="Century Gothic" w:cs="Arial"/>
          <w:color w:val="000000" w:themeColor="text1"/>
          <w:lang w:val="es-ES_tradnl"/>
        </w:rPr>
      </w:pPr>
      <w:r w:rsidRPr="00FE1B85">
        <w:rPr>
          <w:rFonts w:ascii="Century Gothic" w:hAnsi="Century Gothic" w:cs="Arial"/>
          <w:color w:val="000000" w:themeColor="text1"/>
          <w:lang w:val="es-ES_tradnl"/>
        </w:rPr>
        <w:t>Esta Subdirección acog</w:t>
      </w:r>
      <w:r>
        <w:rPr>
          <w:rFonts w:ascii="Century Gothic" w:hAnsi="Century Gothic" w:cs="Arial"/>
          <w:color w:val="000000" w:themeColor="text1"/>
          <w:lang w:val="es-ES_tradnl"/>
        </w:rPr>
        <w:t xml:space="preserve">ió hasta la expedición del Decreto 1860 de 2021 </w:t>
      </w:r>
      <w:r w:rsidRPr="00FE1B85">
        <w:rPr>
          <w:rFonts w:ascii="Century Gothic" w:hAnsi="Century Gothic" w:cs="Arial"/>
          <w:color w:val="000000" w:themeColor="text1"/>
          <w:lang w:val="es-ES_tradnl"/>
        </w:rPr>
        <w:t xml:space="preserve">la tercera opción, en concordancia con el numeral 6.1. de la Circular Externa Única de la Agencia Nacional de Contratación Pública – Colombia Compra Eficiente, que atiende a la discrecionalidad administrativa, respetando los principios de proporcionalidad y razonabilidad. </w:t>
      </w:r>
      <w:r>
        <w:rPr>
          <w:rFonts w:ascii="Century Gothic" w:hAnsi="Century Gothic" w:cs="Arial"/>
          <w:color w:val="000000" w:themeColor="text1"/>
          <w:lang w:val="es-ES_tradnl"/>
        </w:rPr>
        <w:t xml:space="preserve">Sin embargo, esto evidenció la necesidad que a través de la facultad reglamentaria el Gobierno Nacional limitara estos criterios interpretativos </w:t>
      </w:r>
      <w:r w:rsidRPr="00FE1B85">
        <w:rPr>
          <w:rFonts w:ascii="Century Gothic" w:hAnsi="Century Gothic" w:cs="Arial"/>
          <w:color w:val="000000" w:themeColor="text1"/>
          <w:lang w:val="es-ES_tradnl"/>
        </w:rPr>
        <w:t>en los procesos de mínima cuantía</w:t>
      </w:r>
      <w:r>
        <w:rPr>
          <w:rFonts w:ascii="Century Gothic" w:hAnsi="Century Gothic" w:cs="Arial"/>
          <w:color w:val="000000" w:themeColor="text1"/>
          <w:lang w:val="es-ES_tradnl"/>
        </w:rPr>
        <w:t xml:space="preserve">, y se establezca un plazo límite para </w:t>
      </w:r>
      <w:r w:rsidRPr="00FE1B85">
        <w:rPr>
          <w:rFonts w:ascii="Century Gothic" w:hAnsi="Century Gothic" w:cs="Arial"/>
          <w:color w:val="000000" w:themeColor="text1"/>
          <w:lang w:val="es-ES_tradnl"/>
        </w:rPr>
        <w:t>recibir los documentos subsanables, so pena de verificar la oferta con el siguiente proponente que ofrezca el mejor precio.</w:t>
      </w:r>
    </w:p>
    <w:p w14:paraId="6936EE52" w14:textId="77777777" w:rsidR="00A742A0" w:rsidRPr="00FE1B85" w:rsidRDefault="00A742A0" w:rsidP="00A742A0">
      <w:pPr>
        <w:spacing w:after="120" w:line="276" w:lineRule="auto"/>
        <w:ind w:firstLine="709"/>
        <w:jc w:val="both"/>
        <w:rPr>
          <w:rFonts w:ascii="Century Gothic" w:eastAsia="Calibri" w:hAnsi="Century Gothic" w:cs="Arial"/>
          <w:color w:val="000000" w:themeColor="text1"/>
          <w:lang w:val="es-ES"/>
        </w:rPr>
      </w:pPr>
      <w:r w:rsidRPr="417329F9">
        <w:rPr>
          <w:rFonts w:ascii="Century Gothic" w:eastAsia="Calibri" w:hAnsi="Century Gothic" w:cs="Arial"/>
          <w:color w:val="000000" w:themeColor="text1"/>
          <w:lang w:val="es-ES"/>
        </w:rPr>
        <w:t>Se destaca</w:t>
      </w:r>
      <w:r>
        <w:rPr>
          <w:rFonts w:ascii="Century Gothic" w:eastAsia="Calibri" w:hAnsi="Century Gothic" w:cs="Arial"/>
          <w:color w:val="000000" w:themeColor="text1"/>
          <w:lang w:val="es-ES"/>
        </w:rPr>
        <w:t xml:space="preserve"> nuevamente, </w:t>
      </w:r>
      <w:r w:rsidRPr="417329F9">
        <w:rPr>
          <w:rFonts w:ascii="Century Gothic" w:eastAsia="Calibri" w:hAnsi="Century Gothic" w:cs="Arial"/>
          <w:color w:val="000000" w:themeColor="text1"/>
          <w:lang w:val="es-ES"/>
        </w:rPr>
        <w:t xml:space="preserve">que el inciso final del artículo 150 de la Constitución </w:t>
      </w:r>
      <w:r>
        <w:rPr>
          <w:rFonts w:ascii="Century Gothic" w:eastAsia="Calibri" w:hAnsi="Century Gothic" w:cs="Arial"/>
          <w:color w:val="000000" w:themeColor="text1"/>
          <w:lang w:val="es-ES"/>
        </w:rPr>
        <w:t>estableció</w:t>
      </w:r>
      <w:r w:rsidRPr="417329F9">
        <w:rPr>
          <w:rFonts w:ascii="Century Gothic" w:eastAsia="Calibri" w:hAnsi="Century Gothic" w:cs="Arial"/>
          <w:color w:val="000000" w:themeColor="text1"/>
          <w:lang w:val="es-ES"/>
        </w:rPr>
        <w:t xml:space="preserve"> que al Congreso le compete expedir el Estatuto General de Contratación de la Administración Pública, norma con fundamento en la cual la Corte Constitucional reconoce un amplio margen de configuración del legislador para desarrollar dicho estatuto,</w:t>
      </w:r>
      <w:r>
        <w:rPr>
          <w:rFonts w:ascii="Century Gothic" w:eastAsia="Calibri" w:hAnsi="Century Gothic" w:cs="Arial"/>
          <w:color w:val="000000" w:themeColor="text1"/>
          <w:lang w:val="es-ES"/>
        </w:rPr>
        <w:t xml:space="preserve"> y que en virtud de la leyes expedidas, dejó en manos del Gobierno Nacional la reglamentación de ciertos procedimientos  como los que reglamentó el </w:t>
      </w:r>
      <w:r w:rsidRPr="417329F9">
        <w:rPr>
          <w:rFonts w:ascii="Century Gothic" w:eastAsia="Calibri" w:hAnsi="Century Gothic" w:cs="Arial"/>
          <w:color w:val="000000" w:themeColor="text1"/>
          <w:lang w:val="es-ES"/>
        </w:rPr>
        <w:t>Decreto 1860 de 2021</w:t>
      </w:r>
      <w:r>
        <w:rPr>
          <w:rFonts w:ascii="Century Gothic" w:eastAsia="Calibri" w:hAnsi="Century Gothic" w:cs="Arial"/>
          <w:color w:val="000000" w:themeColor="text1"/>
          <w:lang w:val="es-ES"/>
        </w:rPr>
        <w:t>,</w:t>
      </w:r>
      <w:r w:rsidRPr="417329F9">
        <w:rPr>
          <w:rFonts w:ascii="Century Gothic" w:eastAsia="Calibri" w:hAnsi="Century Gothic" w:cs="Arial"/>
          <w:color w:val="000000" w:themeColor="text1"/>
          <w:lang w:val="es-ES"/>
        </w:rPr>
        <w:t xml:space="preserve"> </w:t>
      </w:r>
      <w:r>
        <w:rPr>
          <w:rFonts w:ascii="Century Gothic" w:eastAsia="Calibri" w:hAnsi="Century Gothic" w:cs="Arial"/>
          <w:color w:val="000000" w:themeColor="text1"/>
          <w:lang w:val="es-ES"/>
        </w:rPr>
        <w:t xml:space="preserve">y especialmente, </w:t>
      </w:r>
      <w:r w:rsidRPr="417329F9">
        <w:rPr>
          <w:rFonts w:ascii="Century Gothic" w:eastAsia="Calibri" w:hAnsi="Century Gothic" w:cs="Arial"/>
          <w:color w:val="000000" w:themeColor="text1"/>
          <w:lang w:val="es-ES"/>
        </w:rPr>
        <w:t xml:space="preserve">sobre la posibilidad de subsanar las ofertas en los procesos de selección de mínima cuantía, </w:t>
      </w:r>
      <w:r>
        <w:rPr>
          <w:rFonts w:ascii="Century Gothic" w:eastAsia="Calibri" w:hAnsi="Century Gothic" w:cs="Arial"/>
          <w:color w:val="000000" w:themeColor="text1"/>
          <w:lang w:val="es-ES"/>
        </w:rPr>
        <w:t xml:space="preserve">se consideró necesaria su inclusión en virtud de </w:t>
      </w:r>
      <w:r w:rsidRPr="417329F9">
        <w:rPr>
          <w:rFonts w:ascii="Century Gothic" w:eastAsia="Calibri" w:hAnsi="Century Gothic" w:cs="Arial"/>
          <w:color w:val="000000" w:themeColor="text1"/>
          <w:lang w:val="es-ES"/>
        </w:rPr>
        <w:t>garantizar</w:t>
      </w:r>
      <w:r>
        <w:rPr>
          <w:rFonts w:ascii="Century Gothic" w:eastAsia="Calibri" w:hAnsi="Century Gothic" w:cs="Arial"/>
          <w:color w:val="000000" w:themeColor="text1"/>
          <w:lang w:val="es-ES"/>
        </w:rPr>
        <w:t xml:space="preserve">: </w:t>
      </w:r>
      <w:r w:rsidRPr="417329F9">
        <w:rPr>
          <w:rFonts w:ascii="Century Gothic" w:eastAsia="Calibri" w:hAnsi="Century Gothic" w:cs="Arial"/>
          <w:color w:val="000000" w:themeColor="text1"/>
          <w:lang w:val="es-ES"/>
        </w:rPr>
        <w:t xml:space="preserve"> </w:t>
      </w:r>
      <w:r>
        <w:rPr>
          <w:rFonts w:ascii="Century Gothic" w:eastAsia="Calibri" w:hAnsi="Century Gothic" w:cs="Arial"/>
          <w:color w:val="000000" w:themeColor="text1"/>
          <w:lang w:val="es-ES"/>
        </w:rPr>
        <w:t>i)</w:t>
      </w:r>
      <w:r w:rsidRPr="417329F9">
        <w:rPr>
          <w:rFonts w:ascii="Century Gothic" w:eastAsia="Calibri" w:hAnsi="Century Gothic" w:cs="Arial"/>
          <w:color w:val="000000" w:themeColor="text1"/>
          <w:lang w:val="es-ES"/>
        </w:rPr>
        <w:t>una prevalencia de lo sustancial sobre lo formal</w:t>
      </w:r>
      <w:r>
        <w:rPr>
          <w:rFonts w:ascii="Century Gothic" w:eastAsia="Calibri" w:hAnsi="Century Gothic" w:cs="Arial"/>
          <w:color w:val="000000" w:themeColor="text1"/>
          <w:lang w:val="es-ES"/>
        </w:rPr>
        <w:t xml:space="preserve">; ii) </w:t>
      </w:r>
      <w:r w:rsidRPr="417329F9">
        <w:rPr>
          <w:rFonts w:ascii="Century Gothic" w:eastAsia="Calibri" w:hAnsi="Century Gothic" w:cs="Arial"/>
          <w:color w:val="000000" w:themeColor="text1"/>
          <w:lang w:val="es-ES"/>
        </w:rPr>
        <w:t>una mayor concurrencia real en los procedimientos de selección</w:t>
      </w:r>
      <w:r>
        <w:rPr>
          <w:rFonts w:ascii="Century Gothic" w:eastAsia="Calibri" w:hAnsi="Century Gothic" w:cs="Arial"/>
          <w:color w:val="000000" w:themeColor="text1"/>
          <w:lang w:val="es-ES"/>
        </w:rPr>
        <w:t>; iii)</w:t>
      </w:r>
      <w:r w:rsidRPr="417329F9">
        <w:rPr>
          <w:rFonts w:ascii="Century Gothic" w:eastAsia="Calibri" w:hAnsi="Century Gothic" w:cs="Arial"/>
          <w:color w:val="000000" w:themeColor="text1"/>
          <w:lang w:val="es-ES"/>
        </w:rPr>
        <w:t xml:space="preserve"> una mayor posibilidad de que las entidades estatales se beneficien al poder seleccionar entre un abanico más amplio la oferta que le resulte materialmente más </w:t>
      </w:r>
      <w:r w:rsidRPr="00101B1F">
        <w:rPr>
          <w:rFonts w:ascii="Century Gothic" w:eastAsia="Calibri" w:hAnsi="Century Gothic" w:cs="Arial"/>
          <w:color w:val="000000" w:themeColor="text1"/>
          <w:lang w:val="es-ES"/>
        </w:rPr>
        <w:t>favorable</w:t>
      </w:r>
      <w:r w:rsidRPr="417329F9">
        <w:rPr>
          <w:rFonts w:ascii="Century Gothic" w:eastAsia="Calibri" w:hAnsi="Century Gothic" w:cs="Arial"/>
          <w:color w:val="000000" w:themeColor="text1"/>
          <w:lang w:val="es-ES"/>
        </w:rPr>
        <w:t xml:space="preserve"> a sus intereses, por lo que </w:t>
      </w:r>
      <w:r w:rsidRPr="00101B1F">
        <w:rPr>
          <w:rFonts w:ascii="Century Gothic" w:eastAsia="Calibri" w:hAnsi="Century Gothic" w:cs="Arial"/>
          <w:color w:val="000000" w:themeColor="text1"/>
          <w:lang w:val="es-ES"/>
        </w:rPr>
        <w:t>beneficia y robustece el principio de selección objetiva.</w:t>
      </w:r>
    </w:p>
    <w:p w14:paraId="7B61B87F" w14:textId="77777777" w:rsidR="00A742A0" w:rsidRPr="00FE1B85" w:rsidRDefault="00A742A0" w:rsidP="00A742A0">
      <w:pPr>
        <w:spacing w:after="0" w:line="276" w:lineRule="auto"/>
        <w:ind w:firstLine="709"/>
        <w:jc w:val="both"/>
        <w:rPr>
          <w:rFonts w:ascii="Century Gothic" w:eastAsia="Calibri" w:hAnsi="Century Gothic" w:cs="Arial"/>
          <w:color w:val="000000" w:themeColor="text1"/>
          <w:lang w:val="es-ES"/>
        </w:rPr>
      </w:pPr>
      <w:r w:rsidRPr="417329F9">
        <w:rPr>
          <w:rFonts w:ascii="Century Gothic" w:eastAsia="Calibri" w:hAnsi="Century Gothic" w:cs="Arial"/>
          <w:color w:val="000000" w:themeColor="text1"/>
          <w:lang w:val="es-ES"/>
        </w:rPr>
        <w:t xml:space="preserve">Finalmente, es importante señalar que las ideas en torno al régimen de </w:t>
      </w:r>
      <w:r w:rsidRPr="00FD4E08">
        <w:rPr>
          <w:rFonts w:ascii="Century Gothic" w:eastAsia="Calibri" w:hAnsi="Century Gothic" w:cs="Arial"/>
          <w:color w:val="000000" w:themeColor="text1"/>
          <w:lang w:val="es-ES"/>
        </w:rPr>
        <w:t>subsanabilidad de las ofertas desarrolladas en este concepto y en otros anteriores, se basa exclusivamente en la interpretación del ordenamiento jurídico, particularmente, de lo establecido</w:t>
      </w:r>
      <w:r w:rsidRPr="417329F9">
        <w:rPr>
          <w:rFonts w:ascii="Century Gothic" w:eastAsia="Calibri" w:hAnsi="Century Gothic" w:cs="Arial"/>
          <w:color w:val="000000" w:themeColor="text1"/>
          <w:lang w:val="es-ES"/>
        </w:rPr>
        <w:t xml:space="preserve"> por el legislador.</w:t>
      </w:r>
    </w:p>
    <w:p w14:paraId="542C2F5A" w14:textId="77777777" w:rsidR="00A742A0" w:rsidRPr="0029340D" w:rsidRDefault="00A742A0" w:rsidP="004C3CB0">
      <w:pPr>
        <w:spacing w:after="0" w:line="276" w:lineRule="auto"/>
        <w:jc w:val="both"/>
        <w:rPr>
          <w:rFonts w:ascii="Century Gothic" w:eastAsia="Calibri" w:hAnsi="Century Gothic" w:cs="Arial"/>
          <w:color w:val="000000"/>
          <w:szCs w:val="24"/>
          <w:lang w:val="es-ES" w:eastAsia="es-ES_tradnl"/>
        </w:rPr>
      </w:pPr>
    </w:p>
    <w:p w14:paraId="4CE83DEA" w14:textId="77777777" w:rsidR="00112832" w:rsidRPr="0029340D" w:rsidRDefault="00112832" w:rsidP="00112832">
      <w:pPr>
        <w:tabs>
          <w:tab w:val="left" w:pos="709"/>
        </w:tabs>
        <w:spacing w:after="0" w:line="276" w:lineRule="auto"/>
        <w:contextualSpacing/>
        <w:jc w:val="both"/>
        <w:rPr>
          <w:rFonts w:ascii="Century Gothic" w:eastAsia="Calibri" w:hAnsi="Century Gothic" w:cs="Arial"/>
          <w:b/>
          <w:lang w:val="es-ES_tradnl"/>
        </w:rPr>
      </w:pPr>
      <w:r w:rsidRPr="0029340D">
        <w:rPr>
          <w:rFonts w:ascii="Century Gothic" w:eastAsia="Calibri" w:hAnsi="Century Gothic" w:cs="Arial"/>
          <w:b/>
          <w:lang w:val="es-ES_tradnl"/>
        </w:rPr>
        <w:t>3. Respuesta:</w:t>
      </w:r>
    </w:p>
    <w:p w14:paraId="049C1A98" w14:textId="77777777" w:rsidR="00112832" w:rsidRPr="0029340D" w:rsidRDefault="00112832" w:rsidP="00112832">
      <w:pPr>
        <w:spacing w:after="0" w:line="276" w:lineRule="auto"/>
        <w:contextualSpacing/>
        <w:jc w:val="both"/>
        <w:rPr>
          <w:rFonts w:ascii="Century Gothic" w:eastAsia="Calibri" w:hAnsi="Century Gothic" w:cs="Arial"/>
        </w:rPr>
      </w:pPr>
    </w:p>
    <w:p w14:paraId="4D7EF83C" w14:textId="77777777" w:rsidR="00842768" w:rsidRPr="0029340D" w:rsidRDefault="00842768" w:rsidP="00842768">
      <w:pPr>
        <w:autoSpaceDE w:val="0"/>
        <w:autoSpaceDN w:val="0"/>
        <w:adjustRightInd w:val="0"/>
        <w:spacing w:after="0" w:line="240" w:lineRule="auto"/>
        <w:ind w:left="709" w:right="709"/>
        <w:jc w:val="both"/>
        <w:rPr>
          <w:rFonts w:ascii="Century Gothic" w:hAnsi="Century Gothic" w:cs="Arial"/>
          <w:i/>
          <w:sz w:val="21"/>
          <w:szCs w:val="21"/>
        </w:rPr>
      </w:pPr>
      <w:r>
        <w:rPr>
          <w:rFonts w:ascii="Century Gothic" w:hAnsi="Century Gothic" w:cs="Arial"/>
          <w:i/>
          <w:sz w:val="21"/>
          <w:szCs w:val="21"/>
        </w:rPr>
        <w:t>“</w:t>
      </w:r>
      <w:r w:rsidRPr="00B92E93">
        <w:rPr>
          <w:rFonts w:ascii="Century Gothic" w:hAnsi="Century Gothic" w:cs="Arial"/>
          <w:i/>
          <w:sz w:val="21"/>
          <w:szCs w:val="21"/>
        </w:rPr>
        <w:t>En un proceso de selección de mínima cuantía donde se solicita como experiencia un</w:t>
      </w:r>
      <w:r>
        <w:rPr>
          <w:rFonts w:ascii="Century Gothic" w:hAnsi="Century Gothic" w:cs="Arial"/>
          <w:i/>
          <w:sz w:val="21"/>
          <w:szCs w:val="21"/>
        </w:rPr>
        <w:t xml:space="preserve"> </w:t>
      </w:r>
      <w:r w:rsidRPr="00B92E93">
        <w:rPr>
          <w:rFonts w:ascii="Century Gothic" w:hAnsi="Century Gothic" w:cs="Arial"/>
          <w:i/>
          <w:sz w:val="21"/>
          <w:szCs w:val="21"/>
        </w:rPr>
        <w:t>solo contrato para acreditar este requisito y un oferente presenta un contrato que no</w:t>
      </w:r>
      <w:r>
        <w:rPr>
          <w:rFonts w:ascii="Century Gothic" w:hAnsi="Century Gothic" w:cs="Arial"/>
          <w:i/>
          <w:sz w:val="21"/>
          <w:szCs w:val="21"/>
        </w:rPr>
        <w:t xml:space="preserve"> </w:t>
      </w:r>
      <w:r w:rsidRPr="00B92E93">
        <w:rPr>
          <w:rFonts w:ascii="Century Gothic" w:hAnsi="Century Gothic" w:cs="Arial"/>
          <w:i/>
          <w:sz w:val="21"/>
          <w:szCs w:val="21"/>
        </w:rPr>
        <w:t>cumple con lo exigido por la entidad, entonces ¿Éste oferente puede subsanar este</w:t>
      </w:r>
      <w:r>
        <w:rPr>
          <w:rFonts w:ascii="Century Gothic" w:hAnsi="Century Gothic" w:cs="Arial"/>
          <w:i/>
          <w:sz w:val="21"/>
          <w:szCs w:val="21"/>
        </w:rPr>
        <w:t xml:space="preserve"> </w:t>
      </w:r>
      <w:r w:rsidRPr="00B92E93">
        <w:rPr>
          <w:rFonts w:ascii="Century Gothic" w:hAnsi="Century Gothic" w:cs="Arial"/>
          <w:i/>
          <w:sz w:val="21"/>
          <w:szCs w:val="21"/>
        </w:rPr>
        <w:t>requisito presentando un contrato completamente diferente que cumpla con lo que</w:t>
      </w:r>
      <w:r>
        <w:rPr>
          <w:rFonts w:ascii="Century Gothic" w:hAnsi="Century Gothic" w:cs="Arial"/>
          <w:i/>
          <w:sz w:val="21"/>
          <w:szCs w:val="21"/>
        </w:rPr>
        <w:t xml:space="preserve"> </w:t>
      </w:r>
      <w:r w:rsidRPr="00B92E93">
        <w:rPr>
          <w:rFonts w:ascii="Century Gothic" w:hAnsi="Century Gothic" w:cs="Arial"/>
          <w:i/>
          <w:sz w:val="21"/>
          <w:szCs w:val="21"/>
        </w:rPr>
        <w:t>exige la entidad?</w:t>
      </w:r>
      <w:r w:rsidRPr="0029340D">
        <w:rPr>
          <w:rFonts w:ascii="Century Gothic" w:hAnsi="Century Gothic" w:cs="Arial"/>
          <w:i/>
          <w:sz w:val="21"/>
          <w:szCs w:val="21"/>
        </w:rPr>
        <w:t>” (sic)</w:t>
      </w:r>
    </w:p>
    <w:p w14:paraId="12133BFB" w14:textId="77777777" w:rsidR="00112832" w:rsidRPr="0029340D" w:rsidRDefault="00112832" w:rsidP="00112832">
      <w:pPr>
        <w:shd w:val="clear" w:color="auto" w:fill="FFFFFF" w:themeFill="background1"/>
        <w:spacing w:after="0" w:line="276" w:lineRule="auto"/>
        <w:jc w:val="both"/>
        <w:textAlignment w:val="baseline"/>
        <w:rPr>
          <w:rFonts w:ascii="Century Gothic" w:hAnsi="Century Gothic" w:cs="Arial"/>
          <w:color w:val="000000" w:themeColor="text1"/>
          <w:lang w:eastAsia="es-MX"/>
        </w:rPr>
      </w:pPr>
    </w:p>
    <w:p w14:paraId="27530263" w14:textId="77777777" w:rsidR="00984A3D" w:rsidRDefault="00112832" w:rsidP="000C6826">
      <w:pPr>
        <w:tabs>
          <w:tab w:val="left" w:pos="0"/>
        </w:tabs>
        <w:spacing w:after="120" w:line="276" w:lineRule="auto"/>
        <w:jc w:val="both"/>
        <w:rPr>
          <w:rFonts w:ascii="Century Gothic" w:hAnsi="Century Gothic" w:cs="Arial"/>
          <w:color w:val="000000" w:themeColor="text1"/>
        </w:rPr>
      </w:pPr>
      <w:r w:rsidRPr="0029340D">
        <w:rPr>
          <w:rFonts w:ascii="Century Gothic" w:hAnsi="Century Gothic" w:cs="Arial"/>
          <w:color w:val="000000" w:themeColor="text1"/>
          <w:lang w:val="es-ES" w:eastAsia="es-MX"/>
        </w:rPr>
        <w:t xml:space="preserve">De acuerdo con lo expuesto, </w:t>
      </w:r>
      <w:r w:rsidR="009F30C9" w:rsidRPr="00FE1B85">
        <w:rPr>
          <w:rFonts w:ascii="Century Gothic" w:hAnsi="Century Gothic" w:cs="Arial"/>
          <w:color w:val="000000" w:themeColor="text1"/>
          <w:lang w:val="es-ES_tradnl"/>
        </w:rPr>
        <w:t xml:space="preserve">por regla general, i) la falta de entrega o ii) los defectos, de los requisitos habilitantes, son subsanables. La excepción se encuentra en los casos, previstos en la ley, que limitan la subsanabilidad, </w:t>
      </w:r>
      <w:r w:rsidR="006C0499">
        <w:rPr>
          <w:rFonts w:ascii="Century Gothic" w:hAnsi="Century Gothic" w:cs="Arial"/>
          <w:color w:val="000000" w:themeColor="text1"/>
          <w:lang w:val="es-ES_tradnl"/>
        </w:rPr>
        <w:t>como,</w:t>
      </w:r>
      <w:r w:rsidR="005C7314">
        <w:rPr>
          <w:rFonts w:ascii="Century Gothic" w:hAnsi="Century Gothic" w:cs="Arial"/>
          <w:color w:val="000000" w:themeColor="text1"/>
          <w:lang w:val="es-ES_tradnl"/>
        </w:rPr>
        <w:t xml:space="preserve"> por </w:t>
      </w:r>
      <w:r w:rsidR="006C0499">
        <w:rPr>
          <w:rFonts w:ascii="Century Gothic" w:hAnsi="Century Gothic" w:cs="Arial"/>
          <w:color w:val="000000" w:themeColor="text1"/>
          <w:lang w:val="es-ES_tradnl"/>
        </w:rPr>
        <w:t xml:space="preserve">ejemplo, </w:t>
      </w:r>
      <w:r w:rsidR="006C0499" w:rsidRPr="00FE1B85">
        <w:rPr>
          <w:rFonts w:ascii="Century Gothic" w:hAnsi="Century Gothic" w:cs="Arial"/>
          <w:color w:val="000000" w:themeColor="text1"/>
          <w:lang w:val="es-ES_tradnl"/>
        </w:rPr>
        <w:t>la</w:t>
      </w:r>
      <w:r w:rsidR="009F30C9" w:rsidRPr="00FE1B85">
        <w:rPr>
          <w:rFonts w:ascii="Century Gothic" w:hAnsi="Century Gothic" w:cs="Arial"/>
          <w:color w:val="000000" w:themeColor="text1"/>
          <w:lang w:val="es-ES_tradnl"/>
        </w:rPr>
        <w:t xml:space="preserve"> prohibición de permitir la entrega de la garantía de seriedad de la oferta que no fue aportada con la propuesta</w:t>
      </w:r>
      <w:r w:rsidR="009F30C9">
        <w:rPr>
          <w:rFonts w:ascii="Century Gothic" w:hAnsi="Century Gothic" w:cs="Arial"/>
          <w:color w:val="000000" w:themeColor="text1"/>
          <w:lang w:val="es-ES_tradnl"/>
        </w:rPr>
        <w:t xml:space="preserve">, con fundamento </w:t>
      </w:r>
      <w:r w:rsidR="009F30C9">
        <w:rPr>
          <w:rFonts w:ascii="Century Gothic" w:hAnsi="Century Gothic" w:cs="Arial"/>
          <w:color w:val="000000" w:themeColor="text1"/>
        </w:rPr>
        <w:t>en el</w:t>
      </w:r>
      <w:r w:rsidR="009F30C9" w:rsidRPr="00FE1B85">
        <w:rPr>
          <w:rFonts w:ascii="Century Gothic" w:hAnsi="Century Gothic" w:cs="Arial"/>
          <w:color w:val="000000" w:themeColor="text1"/>
        </w:rPr>
        <w:t xml:space="preserve"> parágrafo 4 de la Ley 1150 de 2007</w:t>
      </w:r>
      <w:r w:rsidR="009F30C9">
        <w:rPr>
          <w:rFonts w:ascii="Century Gothic" w:hAnsi="Century Gothic" w:cs="Arial"/>
          <w:color w:val="000000" w:themeColor="text1"/>
        </w:rPr>
        <w:t>.</w:t>
      </w:r>
      <w:r w:rsidR="000C6826">
        <w:rPr>
          <w:rFonts w:ascii="Century Gothic" w:hAnsi="Century Gothic" w:cs="Arial"/>
          <w:color w:val="000000" w:themeColor="text1"/>
        </w:rPr>
        <w:t xml:space="preserve"> </w:t>
      </w:r>
    </w:p>
    <w:p w14:paraId="2B07A18F" w14:textId="368F55E0" w:rsidR="009F30C9" w:rsidRPr="0029340D" w:rsidRDefault="00984A3D" w:rsidP="000C6826">
      <w:pPr>
        <w:tabs>
          <w:tab w:val="left" w:pos="0"/>
        </w:tabs>
        <w:spacing w:after="120" w:line="276" w:lineRule="auto"/>
        <w:jc w:val="both"/>
        <w:rPr>
          <w:rFonts w:ascii="Century Gothic" w:hAnsi="Century Gothic" w:cs="Arial"/>
          <w:lang w:val="es-ES"/>
        </w:rPr>
      </w:pPr>
      <w:r>
        <w:rPr>
          <w:rFonts w:ascii="Century Gothic" w:hAnsi="Century Gothic" w:cs="Arial"/>
          <w:color w:val="000000" w:themeColor="text1"/>
        </w:rPr>
        <w:tab/>
      </w:r>
      <w:r w:rsidR="009F30C9" w:rsidRPr="0029340D">
        <w:rPr>
          <w:rFonts w:ascii="Century Gothic" w:hAnsi="Century Gothic" w:cs="Arial"/>
          <w:lang w:val="es-ES"/>
        </w:rPr>
        <w:t xml:space="preserve">En consecuencia, </w:t>
      </w:r>
      <w:r w:rsidR="008F0548">
        <w:rPr>
          <w:rFonts w:ascii="Century Gothic" w:hAnsi="Century Gothic" w:cs="Arial"/>
          <w:lang w:val="es-ES"/>
        </w:rPr>
        <w:t xml:space="preserve">la Entidad Estatal al momento de </w:t>
      </w:r>
      <w:r w:rsidR="009F30C9" w:rsidRPr="0029340D">
        <w:rPr>
          <w:rFonts w:ascii="Century Gothic" w:hAnsi="Century Gothic" w:cs="Arial"/>
          <w:lang w:val="es-ES"/>
        </w:rPr>
        <w:t>verifica</w:t>
      </w:r>
      <w:r w:rsidR="008F0548">
        <w:rPr>
          <w:rFonts w:ascii="Century Gothic" w:hAnsi="Century Gothic" w:cs="Arial"/>
          <w:lang w:val="es-ES"/>
        </w:rPr>
        <w:t>r</w:t>
      </w:r>
      <w:r w:rsidR="009F30C9" w:rsidRPr="0029340D">
        <w:rPr>
          <w:rFonts w:ascii="Century Gothic" w:hAnsi="Century Gothic" w:cs="Arial"/>
          <w:lang w:val="es-ES"/>
        </w:rPr>
        <w:t xml:space="preserve"> la ausencia de requisitos y/o documentos de la oferta, para efectos de saber si se pueden subsanar</w:t>
      </w:r>
      <w:r w:rsidR="008F0548">
        <w:rPr>
          <w:rFonts w:ascii="Century Gothic" w:hAnsi="Century Gothic" w:cs="Arial"/>
          <w:lang w:val="es-ES"/>
        </w:rPr>
        <w:t xml:space="preserve"> o no</w:t>
      </w:r>
      <w:r w:rsidR="009F30C9" w:rsidRPr="0029340D">
        <w:rPr>
          <w:rFonts w:ascii="Century Gothic" w:hAnsi="Century Gothic" w:cs="Arial"/>
          <w:lang w:val="es-ES"/>
        </w:rPr>
        <w:t xml:space="preserve">, debe </w:t>
      </w:r>
      <w:r w:rsidR="008F0548">
        <w:rPr>
          <w:rFonts w:ascii="Century Gothic" w:hAnsi="Century Gothic" w:cs="Arial"/>
          <w:lang w:val="es-ES"/>
        </w:rPr>
        <w:t xml:space="preserve">de </w:t>
      </w:r>
      <w:r w:rsidR="009F30C9" w:rsidRPr="0029340D">
        <w:rPr>
          <w:rFonts w:ascii="Century Gothic" w:hAnsi="Century Gothic" w:cs="Arial"/>
          <w:lang w:val="es-ES"/>
        </w:rPr>
        <w:t>preguntar</w:t>
      </w:r>
      <w:r w:rsidR="008F0548">
        <w:rPr>
          <w:rFonts w:ascii="Century Gothic" w:hAnsi="Century Gothic" w:cs="Arial"/>
          <w:lang w:val="es-ES"/>
        </w:rPr>
        <w:t>se</w:t>
      </w:r>
      <w:r w:rsidR="009F30C9" w:rsidRPr="0029340D">
        <w:rPr>
          <w:rFonts w:ascii="Century Gothic" w:hAnsi="Century Gothic" w:cs="Arial"/>
          <w:lang w:val="es-ES"/>
        </w:rPr>
        <w:t>, en primer lugar, si lo que hace falta o debe corregirse es un documento que afecte la asignación de puntaje o no y, en segundo lugar, si el cumplimiento del requisito constituye una circunstancia ocurrida con anterioridad o con posterioridad al cierre del proceso. Para arribar a la conclusión de que lo omitido</w:t>
      </w:r>
      <w:r w:rsidR="000454BA">
        <w:rPr>
          <w:rFonts w:ascii="Century Gothic" w:hAnsi="Century Gothic" w:cs="Arial"/>
          <w:lang w:val="es-ES"/>
        </w:rPr>
        <w:t xml:space="preserve"> o un requisito</w:t>
      </w:r>
      <w:r w:rsidR="009F30C9" w:rsidRPr="0029340D">
        <w:rPr>
          <w:rFonts w:ascii="Century Gothic" w:hAnsi="Century Gothic" w:cs="Arial"/>
          <w:lang w:val="es-ES"/>
        </w:rPr>
        <w:t xml:space="preserve"> puede subsanarse</w:t>
      </w:r>
      <w:r w:rsidR="007B47D5">
        <w:rPr>
          <w:rFonts w:ascii="Century Gothic" w:hAnsi="Century Gothic" w:cs="Arial"/>
          <w:lang w:val="es-ES"/>
        </w:rPr>
        <w:t xml:space="preserve"> en los procesos de selección adelantados por mínima cuantía</w:t>
      </w:r>
      <w:r w:rsidR="009F30C9" w:rsidRPr="0029340D">
        <w:rPr>
          <w:rFonts w:ascii="Century Gothic" w:hAnsi="Century Gothic" w:cs="Arial"/>
          <w:lang w:val="es-ES"/>
        </w:rPr>
        <w:t xml:space="preserve">, la respuesta al primer interrogante debe ser negativa, es decir, que lo omitido no sea </w:t>
      </w:r>
      <w:r w:rsidR="00AA3E4B">
        <w:rPr>
          <w:rFonts w:ascii="Century Gothic" w:hAnsi="Century Gothic" w:cs="Arial"/>
          <w:lang w:val="es-ES"/>
        </w:rPr>
        <w:t xml:space="preserve">de </w:t>
      </w:r>
      <w:r w:rsidR="009F30C9" w:rsidRPr="0029340D">
        <w:rPr>
          <w:rFonts w:ascii="Century Gothic" w:hAnsi="Century Gothic" w:cs="Arial"/>
          <w:lang w:val="es-ES"/>
        </w:rPr>
        <w:t xml:space="preserve">un factor </w:t>
      </w:r>
      <w:r w:rsidR="00AA3E4B">
        <w:rPr>
          <w:rFonts w:ascii="Century Gothic" w:hAnsi="Century Gothic" w:cs="Arial"/>
          <w:lang w:val="es-ES"/>
        </w:rPr>
        <w:t xml:space="preserve">o requisito </w:t>
      </w:r>
      <w:r w:rsidR="009F30C9" w:rsidRPr="0029340D">
        <w:rPr>
          <w:rFonts w:ascii="Century Gothic" w:hAnsi="Century Gothic" w:cs="Arial"/>
          <w:lang w:val="es-ES"/>
        </w:rPr>
        <w:t xml:space="preserve">que afecte </w:t>
      </w:r>
      <w:r w:rsidR="00AA3E4B">
        <w:rPr>
          <w:rFonts w:ascii="Century Gothic" w:hAnsi="Century Gothic" w:cs="Arial"/>
          <w:lang w:val="es-ES"/>
        </w:rPr>
        <w:t xml:space="preserve">directamente el orden de elegibilidad, </w:t>
      </w:r>
      <w:r w:rsidR="00AB1009">
        <w:rPr>
          <w:rFonts w:ascii="Century Gothic" w:hAnsi="Century Gothic" w:cs="Arial"/>
          <w:lang w:val="es-ES"/>
        </w:rPr>
        <w:t xml:space="preserve">es decir, resulta insubsanable la oferta económica pues el menor valor es el único criterio de elegibilidad o selección en los procesos de mínima cuantía. Por su parte, </w:t>
      </w:r>
      <w:r w:rsidR="009F30C9" w:rsidRPr="0029340D">
        <w:rPr>
          <w:rFonts w:ascii="Century Gothic" w:hAnsi="Century Gothic" w:cs="Arial"/>
          <w:lang w:val="es-ES"/>
        </w:rPr>
        <w:t xml:space="preserve">la respuesta al segundo interrogante debe dar cuenta de que lo omitido </w:t>
      </w:r>
      <w:r w:rsidR="00CA6378">
        <w:rPr>
          <w:rFonts w:ascii="Century Gothic" w:hAnsi="Century Gothic" w:cs="Arial"/>
          <w:lang w:val="es-ES"/>
        </w:rPr>
        <w:t xml:space="preserve">o el </w:t>
      </w:r>
      <w:r w:rsidR="00264A93">
        <w:rPr>
          <w:rFonts w:ascii="Century Gothic" w:hAnsi="Century Gothic" w:cs="Arial"/>
          <w:lang w:val="es-ES"/>
        </w:rPr>
        <w:t xml:space="preserve">documento que se vaya a aportar </w:t>
      </w:r>
      <w:r w:rsidR="009F30C9" w:rsidRPr="0029340D">
        <w:rPr>
          <w:rFonts w:ascii="Century Gothic" w:hAnsi="Century Gothic" w:cs="Arial"/>
          <w:lang w:val="es-ES"/>
        </w:rPr>
        <w:t xml:space="preserve">sea la prueba de una circunstancia o hecho que ocurrió con anterioridad al cierre del proceso. </w:t>
      </w:r>
    </w:p>
    <w:p w14:paraId="3BF6B90B" w14:textId="10DFAABD" w:rsidR="009F30C9" w:rsidRPr="00FE1B85" w:rsidRDefault="009F30C9" w:rsidP="00264A93">
      <w:pPr>
        <w:spacing w:after="120" w:line="276" w:lineRule="auto"/>
        <w:ind w:firstLine="709"/>
        <w:jc w:val="both"/>
        <w:rPr>
          <w:rFonts w:ascii="Century Gothic" w:eastAsia="Calibri" w:hAnsi="Century Gothic" w:cs="Arial"/>
          <w:color w:val="000000" w:themeColor="text1"/>
          <w:lang w:val="es-ES"/>
        </w:rPr>
      </w:pPr>
      <w:r w:rsidRPr="00FE1B85">
        <w:rPr>
          <w:rFonts w:ascii="Century Gothic" w:hAnsi="Century Gothic" w:cs="Arial"/>
          <w:color w:val="000000" w:themeColor="text1"/>
          <w:lang w:val="es-ES_tradnl"/>
        </w:rPr>
        <w:t>Finalmente, en relación con el término para subsanar ofertas</w:t>
      </w:r>
      <w:r w:rsidR="00264A93">
        <w:rPr>
          <w:rFonts w:ascii="Century Gothic" w:hAnsi="Century Gothic" w:cs="Arial"/>
          <w:color w:val="000000" w:themeColor="text1"/>
          <w:lang w:val="es-ES_tradnl"/>
        </w:rPr>
        <w:t xml:space="preserve"> en los procesos de mínima cuantía </w:t>
      </w:r>
      <w:r w:rsidR="00317159">
        <w:rPr>
          <w:rFonts w:ascii="Century Gothic" w:hAnsi="Century Gothic" w:cs="Arial"/>
          <w:color w:val="000000" w:themeColor="text1"/>
          <w:lang w:val="es-ES_tradnl"/>
        </w:rPr>
        <w:t xml:space="preserve">el numeral 5 del Decreto 1082 de 2015 del artículo 2.2.1.2.1.5.2. </w:t>
      </w:r>
      <w:r w:rsidR="008C5D85">
        <w:rPr>
          <w:rFonts w:ascii="Century Gothic" w:hAnsi="Century Gothic" w:cs="Arial"/>
          <w:color w:val="000000" w:themeColor="text1"/>
          <w:lang w:val="es-ES_tradnl"/>
        </w:rPr>
        <w:t xml:space="preserve">indica que </w:t>
      </w:r>
      <w:r w:rsidR="00F055B0" w:rsidRPr="00F055B0">
        <w:rPr>
          <w:rFonts w:ascii="Century Gothic" w:hAnsi="Century Gothic" w:cs="Arial"/>
          <w:color w:val="000000" w:themeColor="text1"/>
          <w:lang w:val="es-ES_tradnl"/>
        </w:rPr>
        <w:t xml:space="preserve">las Entidades Estatales </w:t>
      </w:r>
      <w:r w:rsidR="008C5D85" w:rsidRPr="00F055B0">
        <w:rPr>
          <w:rFonts w:ascii="Century Gothic" w:hAnsi="Century Gothic" w:cs="Arial"/>
          <w:color w:val="000000" w:themeColor="text1"/>
          <w:lang w:val="es-ES_tradnl"/>
        </w:rPr>
        <w:t>deberán</w:t>
      </w:r>
      <w:r w:rsidR="008C5D85">
        <w:rPr>
          <w:rFonts w:ascii="Century Gothic" w:hAnsi="Century Gothic" w:cs="Arial"/>
          <w:color w:val="000000" w:themeColor="text1"/>
          <w:lang w:val="es-ES_tradnl"/>
        </w:rPr>
        <w:t xml:space="preserve"> establecer en la invitación el término </w:t>
      </w:r>
      <w:r w:rsidR="006C0499">
        <w:rPr>
          <w:rFonts w:ascii="Century Gothic" w:hAnsi="Century Gothic" w:cs="Arial"/>
          <w:color w:val="000000" w:themeColor="text1"/>
          <w:lang w:val="es-ES_tradnl"/>
        </w:rPr>
        <w:t xml:space="preserve">preclusivo </w:t>
      </w:r>
      <w:r w:rsidR="008C5D85">
        <w:rPr>
          <w:rFonts w:ascii="Century Gothic" w:hAnsi="Century Gothic" w:cs="Arial"/>
          <w:color w:val="000000" w:themeColor="text1"/>
          <w:lang w:val="es-ES_tradnl"/>
        </w:rPr>
        <w:t xml:space="preserve">previsto para </w:t>
      </w:r>
      <w:r w:rsidR="00F055B0" w:rsidRPr="00F055B0">
        <w:rPr>
          <w:rFonts w:ascii="Century Gothic" w:hAnsi="Century Gothic" w:cs="Arial"/>
          <w:color w:val="000000" w:themeColor="text1"/>
          <w:lang w:val="es-ES_tradnl"/>
        </w:rPr>
        <w:t>subsanar las ofertas, en los términos del artículo 5 de la Ley 1150 de 2007</w:t>
      </w:r>
      <w:r w:rsidR="00984A3D">
        <w:rPr>
          <w:rFonts w:ascii="Century Gothic" w:hAnsi="Century Gothic" w:cs="Arial"/>
          <w:color w:val="000000" w:themeColor="text1"/>
          <w:lang w:val="es-ES_tradnl"/>
        </w:rPr>
        <w:t>.</w:t>
      </w:r>
      <w:r w:rsidR="00F055B0" w:rsidRPr="00F055B0">
        <w:rPr>
          <w:rFonts w:ascii="Century Gothic" w:hAnsi="Century Gothic" w:cs="Arial"/>
          <w:color w:val="000000" w:themeColor="text1"/>
          <w:lang w:val="es-ES_tradnl"/>
        </w:rPr>
        <w:t xml:space="preserve"> En caso de que no se establezca este término, </w:t>
      </w:r>
      <w:r w:rsidR="00984A3D">
        <w:rPr>
          <w:rFonts w:ascii="Century Gothic" w:hAnsi="Century Gothic" w:cs="Arial"/>
          <w:color w:val="000000" w:themeColor="text1"/>
          <w:lang w:val="es-ES_tradnl"/>
        </w:rPr>
        <w:t xml:space="preserve">el Decreto </w:t>
      </w:r>
      <w:r w:rsidR="00252DD3">
        <w:rPr>
          <w:rFonts w:ascii="Century Gothic" w:hAnsi="Century Gothic" w:cs="Arial"/>
          <w:color w:val="000000" w:themeColor="text1"/>
          <w:lang w:val="es-ES_tradnl"/>
        </w:rPr>
        <w:t>incorporó</w:t>
      </w:r>
      <w:r w:rsidR="00984A3D">
        <w:rPr>
          <w:rFonts w:ascii="Century Gothic" w:hAnsi="Century Gothic" w:cs="Arial"/>
          <w:color w:val="000000" w:themeColor="text1"/>
          <w:lang w:val="es-ES_tradnl"/>
        </w:rPr>
        <w:t xml:space="preserve"> un término </w:t>
      </w:r>
      <w:r w:rsidR="00252DD3">
        <w:rPr>
          <w:rFonts w:ascii="Century Gothic" w:hAnsi="Century Gothic" w:cs="Arial"/>
          <w:color w:val="000000" w:themeColor="text1"/>
          <w:lang w:val="es-ES_tradnl"/>
        </w:rPr>
        <w:t xml:space="preserve">supletivo concerniente a que </w:t>
      </w:r>
      <w:r w:rsidR="00F055B0" w:rsidRPr="00F055B0">
        <w:rPr>
          <w:rFonts w:ascii="Century Gothic" w:hAnsi="Century Gothic" w:cs="Arial"/>
          <w:color w:val="000000" w:themeColor="text1"/>
          <w:lang w:val="es-ES_tradnl"/>
        </w:rPr>
        <w:t>los proponentes podrán subsanar sus ofertas hasta antes de que finalice el traslado del informe de evaluación.</w:t>
      </w:r>
    </w:p>
    <w:p w14:paraId="79A11798" w14:textId="77777777" w:rsidR="00112832" w:rsidRPr="0029340D" w:rsidRDefault="00112832" w:rsidP="00112832">
      <w:pPr>
        <w:shd w:val="clear" w:color="auto" w:fill="FFFFFF" w:themeFill="background1"/>
        <w:spacing w:after="0" w:line="276" w:lineRule="auto"/>
        <w:ind w:firstLine="708"/>
        <w:jc w:val="both"/>
        <w:textAlignment w:val="baseline"/>
        <w:rPr>
          <w:rFonts w:ascii="Century Gothic" w:hAnsi="Century Gothic" w:cs="Arial"/>
          <w:color w:val="000000" w:themeColor="text1"/>
          <w:lang w:eastAsia="es-MX"/>
        </w:rPr>
      </w:pPr>
      <w:r w:rsidRPr="0029340D">
        <w:rPr>
          <w:rFonts w:ascii="Century Gothic" w:hAnsi="Century Gothic"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41317C8" w14:textId="77777777" w:rsidR="00112832" w:rsidRPr="0029340D" w:rsidRDefault="00112832" w:rsidP="00112832">
      <w:pPr>
        <w:spacing w:after="0" w:line="276" w:lineRule="auto"/>
        <w:contextualSpacing/>
        <w:jc w:val="both"/>
        <w:textAlignment w:val="baseline"/>
        <w:rPr>
          <w:rFonts w:ascii="Century Gothic" w:hAnsi="Century Gothic" w:cs="Arial"/>
          <w:lang w:val="es-ES"/>
        </w:rPr>
      </w:pPr>
    </w:p>
    <w:p w14:paraId="5B842D58" w14:textId="77777777" w:rsidR="00112832" w:rsidRPr="0029340D" w:rsidRDefault="00112832" w:rsidP="00112832">
      <w:pPr>
        <w:spacing w:after="0" w:line="276" w:lineRule="auto"/>
        <w:contextualSpacing/>
        <w:jc w:val="both"/>
        <w:textAlignment w:val="baseline"/>
        <w:rPr>
          <w:rFonts w:ascii="Century Gothic" w:eastAsia="Times New Roman" w:hAnsi="Century Gothic" w:cs="Arial"/>
          <w:lang w:eastAsia="es-CO"/>
        </w:rPr>
      </w:pPr>
      <w:r w:rsidRPr="0029340D">
        <w:rPr>
          <w:rFonts w:ascii="Century Gothic" w:hAnsi="Century Gothic" w:cs="Arial"/>
          <w:lang w:val="es-ES"/>
        </w:rPr>
        <w:t>Atentamente</w:t>
      </w:r>
      <w:r w:rsidRPr="0029340D">
        <w:rPr>
          <w:rFonts w:ascii="Century Gothic" w:eastAsia="Times New Roman" w:hAnsi="Century Gothic" w:cs="Arial"/>
          <w:lang w:val="es-MX" w:eastAsia="es-CO"/>
        </w:rPr>
        <w:t>,</w:t>
      </w:r>
      <w:r w:rsidRPr="0029340D">
        <w:rPr>
          <w:rFonts w:ascii="Century Gothic" w:eastAsia="Times New Roman" w:hAnsi="Century Gothic" w:cs="Arial"/>
          <w:lang w:eastAsia="es-CO"/>
        </w:rPr>
        <w:t> </w:t>
      </w:r>
    </w:p>
    <w:p w14:paraId="78CC7310" w14:textId="166B5186" w:rsidR="00112832" w:rsidRPr="0029340D" w:rsidRDefault="006B2C60" w:rsidP="00112832">
      <w:pPr>
        <w:spacing w:after="0" w:line="276" w:lineRule="auto"/>
        <w:jc w:val="center"/>
        <w:textAlignment w:val="baseline"/>
        <w:rPr>
          <w:rFonts w:ascii="Century Gothic" w:eastAsia="Times New Roman" w:hAnsi="Century Gothic" w:cs="Arial"/>
          <w:sz w:val="18"/>
          <w:szCs w:val="18"/>
          <w:lang w:eastAsia="es-CO"/>
        </w:rPr>
      </w:pPr>
      <w:r>
        <w:rPr>
          <w:noProof/>
        </w:rPr>
        <w:drawing>
          <wp:inline distT="0" distB="0" distL="0" distR="0" wp14:anchorId="2E232EF0" wp14:editId="16CC7BF1">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566734CE" w14:textId="77777777" w:rsidR="00112832" w:rsidRPr="0029340D" w:rsidRDefault="00112832" w:rsidP="00112832">
      <w:pPr>
        <w:spacing w:after="0" w:line="276" w:lineRule="auto"/>
        <w:jc w:val="both"/>
        <w:textAlignment w:val="baseline"/>
        <w:rPr>
          <w:rFonts w:ascii="Century Gothic" w:eastAsia="Times New Roman" w:hAnsi="Century Gothic" w:cs="Arial"/>
          <w:sz w:val="16"/>
          <w:szCs w:val="16"/>
          <w:lang w:eastAsia="es-CO"/>
        </w:rPr>
      </w:pPr>
      <w:r w:rsidRPr="0029340D">
        <w:rPr>
          <w:rFonts w:ascii="Century Gothic" w:eastAsia="Times New Roman" w:hAnsi="Century Gothic" w:cs="Arial"/>
          <w:sz w:val="16"/>
          <w:szCs w:val="16"/>
          <w:lang w:eastAsia="es-CO"/>
        </w:rPr>
        <w:t> </w:t>
      </w:r>
    </w:p>
    <w:tbl>
      <w:tblPr>
        <w:tblW w:w="74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2"/>
        <w:gridCol w:w="6287"/>
      </w:tblGrid>
      <w:tr w:rsidR="00112832" w:rsidRPr="0029340D" w14:paraId="64D0798A" w14:textId="77777777" w:rsidTr="0029340D">
        <w:trPr>
          <w:trHeight w:val="441"/>
        </w:trPr>
        <w:tc>
          <w:tcPr>
            <w:tcW w:w="1122" w:type="dxa"/>
            <w:tcBorders>
              <w:top w:val="nil"/>
              <w:left w:val="nil"/>
              <w:bottom w:val="nil"/>
              <w:right w:val="nil"/>
            </w:tcBorders>
            <w:vAlign w:val="center"/>
            <w:hideMark/>
          </w:tcPr>
          <w:p w14:paraId="5061B6C0" w14:textId="77777777" w:rsidR="00112832" w:rsidRPr="0029340D" w:rsidRDefault="00112832" w:rsidP="00EB596C">
            <w:pPr>
              <w:spacing w:after="0" w:line="276" w:lineRule="auto"/>
              <w:jc w:val="both"/>
              <w:textAlignment w:val="baseline"/>
              <w:rPr>
                <w:rFonts w:ascii="Century Gothic" w:eastAsia="Times New Roman" w:hAnsi="Century Gothic" w:cs="Arial"/>
                <w:sz w:val="18"/>
                <w:szCs w:val="18"/>
                <w:lang w:eastAsia="es-CO"/>
              </w:rPr>
            </w:pPr>
            <w:r w:rsidRPr="0029340D">
              <w:rPr>
                <w:rFonts w:ascii="Century Gothic" w:eastAsia="Times New Roman" w:hAnsi="Century Gothic" w:cs="Arial"/>
                <w:sz w:val="18"/>
                <w:szCs w:val="18"/>
                <w:lang w:val="es-MX" w:eastAsia="es-CO"/>
              </w:rPr>
              <w:t>Elaboró:</w:t>
            </w:r>
            <w:r w:rsidRPr="0029340D">
              <w:rPr>
                <w:rFonts w:ascii="Century Gothic" w:eastAsia="Times New Roman" w:hAnsi="Century Gothic" w:cs="Arial"/>
                <w:sz w:val="18"/>
                <w:szCs w:val="18"/>
                <w:lang w:eastAsia="es-CO"/>
              </w:rPr>
              <w:t> </w:t>
            </w:r>
          </w:p>
        </w:tc>
        <w:tc>
          <w:tcPr>
            <w:tcW w:w="6287" w:type="dxa"/>
            <w:tcBorders>
              <w:top w:val="nil"/>
              <w:left w:val="nil"/>
              <w:bottom w:val="dotted" w:sz="6" w:space="0" w:color="7F7F7F"/>
              <w:right w:val="nil"/>
            </w:tcBorders>
            <w:vAlign w:val="center"/>
            <w:hideMark/>
          </w:tcPr>
          <w:p w14:paraId="4FACBD83" w14:textId="77777777" w:rsidR="00112832" w:rsidRPr="0029340D" w:rsidRDefault="00112832" w:rsidP="00EB596C">
            <w:pPr>
              <w:spacing w:after="0" w:line="240" w:lineRule="auto"/>
              <w:jc w:val="both"/>
              <w:textAlignment w:val="baseline"/>
              <w:rPr>
                <w:rFonts w:ascii="Century Gothic" w:eastAsia="Times New Roman" w:hAnsi="Century Gothic" w:cs="Arial"/>
                <w:sz w:val="18"/>
                <w:szCs w:val="18"/>
                <w:lang w:val="es-MX" w:eastAsia="es-CO"/>
              </w:rPr>
            </w:pPr>
            <w:proofErr w:type="spellStart"/>
            <w:r w:rsidRPr="0029340D">
              <w:rPr>
                <w:rFonts w:ascii="Century Gothic" w:eastAsia="Times New Roman" w:hAnsi="Century Gothic" w:cs="Arial"/>
                <w:sz w:val="18"/>
                <w:szCs w:val="18"/>
                <w:lang w:val="es-MX" w:eastAsia="es-CO"/>
              </w:rPr>
              <w:t>Any</w:t>
            </w:r>
            <w:proofErr w:type="spellEnd"/>
            <w:r w:rsidRPr="0029340D">
              <w:rPr>
                <w:rFonts w:ascii="Century Gothic" w:eastAsia="Times New Roman" w:hAnsi="Century Gothic" w:cs="Arial"/>
                <w:sz w:val="18"/>
                <w:szCs w:val="18"/>
                <w:lang w:val="es-MX" w:eastAsia="es-CO"/>
              </w:rPr>
              <w:t xml:space="preserve"> Alejandra Tovar Castillo</w:t>
            </w:r>
          </w:p>
          <w:p w14:paraId="30EF3BA8" w14:textId="77777777" w:rsidR="00112832" w:rsidRPr="0029340D" w:rsidRDefault="00112832" w:rsidP="00EB596C">
            <w:pPr>
              <w:spacing w:after="0" w:line="240" w:lineRule="auto"/>
              <w:jc w:val="both"/>
              <w:textAlignment w:val="baseline"/>
              <w:rPr>
                <w:rFonts w:ascii="Century Gothic" w:eastAsia="Times New Roman" w:hAnsi="Century Gothic" w:cs="Arial"/>
                <w:sz w:val="18"/>
                <w:szCs w:val="18"/>
                <w:lang w:eastAsia="es-CO"/>
              </w:rPr>
            </w:pPr>
            <w:r w:rsidRPr="0029340D">
              <w:rPr>
                <w:rFonts w:ascii="Century Gothic" w:eastAsia="Times New Roman" w:hAnsi="Century Gothic" w:cs="Arial"/>
                <w:sz w:val="18"/>
                <w:szCs w:val="18"/>
                <w:lang w:val="es-MX" w:eastAsia="es-CO"/>
              </w:rPr>
              <w:t xml:space="preserve">Contratista </w:t>
            </w:r>
            <w:r w:rsidRPr="0029340D">
              <w:rPr>
                <w:rFonts w:ascii="Century Gothic" w:eastAsia="Times New Roman" w:hAnsi="Century Gothic" w:cs="Arial"/>
                <w:sz w:val="18"/>
                <w:szCs w:val="18"/>
                <w:lang w:eastAsia="es-CO"/>
              </w:rPr>
              <w:t>Subdirección de Gestión Contractual</w:t>
            </w:r>
          </w:p>
        </w:tc>
      </w:tr>
      <w:tr w:rsidR="00112832" w:rsidRPr="0029340D" w14:paraId="261A7BD7" w14:textId="77777777" w:rsidTr="0029340D">
        <w:trPr>
          <w:trHeight w:val="441"/>
        </w:trPr>
        <w:tc>
          <w:tcPr>
            <w:tcW w:w="1122" w:type="dxa"/>
            <w:tcBorders>
              <w:top w:val="nil"/>
              <w:left w:val="nil"/>
              <w:bottom w:val="nil"/>
              <w:right w:val="nil"/>
            </w:tcBorders>
            <w:vAlign w:val="center"/>
            <w:hideMark/>
          </w:tcPr>
          <w:p w14:paraId="2CD39759" w14:textId="77777777" w:rsidR="00112832" w:rsidRPr="0029340D" w:rsidRDefault="00112832" w:rsidP="00EB596C">
            <w:pPr>
              <w:spacing w:after="0" w:line="276" w:lineRule="auto"/>
              <w:jc w:val="both"/>
              <w:textAlignment w:val="baseline"/>
              <w:rPr>
                <w:rFonts w:ascii="Century Gothic" w:eastAsia="Times New Roman" w:hAnsi="Century Gothic" w:cs="Arial"/>
                <w:sz w:val="18"/>
                <w:szCs w:val="18"/>
                <w:lang w:eastAsia="es-CO"/>
              </w:rPr>
            </w:pPr>
            <w:r w:rsidRPr="0029340D">
              <w:rPr>
                <w:rFonts w:ascii="Century Gothic" w:eastAsia="Times New Roman" w:hAnsi="Century Gothic" w:cs="Arial"/>
                <w:sz w:val="18"/>
                <w:szCs w:val="18"/>
                <w:lang w:val="es-MX" w:eastAsia="es-CO"/>
              </w:rPr>
              <w:t>Revisó:</w:t>
            </w:r>
            <w:r w:rsidRPr="0029340D">
              <w:rPr>
                <w:rFonts w:ascii="Century Gothic" w:eastAsia="Times New Roman" w:hAnsi="Century Gothic" w:cs="Arial"/>
                <w:sz w:val="18"/>
                <w:szCs w:val="18"/>
                <w:lang w:eastAsia="es-CO"/>
              </w:rPr>
              <w:t> </w:t>
            </w:r>
          </w:p>
        </w:tc>
        <w:tc>
          <w:tcPr>
            <w:tcW w:w="6287" w:type="dxa"/>
            <w:tcBorders>
              <w:top w:val="dotted" w:sz="6" w:space="0" w:color="7F7F7F"/>
              <w:left w:val="nil"/>
              <w:bottom w:val="dotted" w:sz="6" w:space="0" w:color="7F7F7F"/>
              <w:right w:val="nil"/>
            </w:tcBorders>
            <w:vAlign w:val="center"/>
            <w:hideMark/>
          </w:tcPr>
          <w:p w14:paraId="788A3E65" w14:textId="77777777" w:rsidR="0029340D" w:rsidRPr="0029340D" w:rsidRDefault="0029340D" w:rsidP="0029340D">
            <w:pPr>
              <w:spacing w:after="0" w:line="276" w:lineRule="auto"/>
              <w:rPr>
                <w:rFonts w:ascii="Century Gothic" w:eastAsia="Times New Roman" w:hAnsi="Century Gothic" w:cs="Arial"/>
                <w:sz w:val="18"/>
                <w:szCs w:val="18"/>
                <w:lang w:eastAsia="es-ES"/>
              </w:rPr>
            </w:pPr>
            <w:r w:rsidRPr="0029340D">
              <w:rPr>
                <w:rFonts w:ascii="Century Gothic" w:eastAsia="Times New Roman" w:hAnsi="Century Gothic" w:cs="Arial"/>
                <w:sz w:val="18"/>
                <w:szCs w:val="18"/>
                <w:lang w:eastAsia="es-ES"/>
              </w:rPr>
              <w:t>Ximena Ríos López</w:t>
            </w:r>
          </w:p>
          <w:p w14:paraId="66BE1AE4" w14:textId="7D491A7E" w:rsidR="00112832" w:rsidRPr="0029340D" w:rsidRDefault="0029340D" w:rsidP="0029340D">
            <w:pPr>
              <w:spacing w:after="0" w:line="276" w:lineRule="auto"/>
              <w:rPr>
                <w:rFonts w:ascii="Century Gothic" w:eastAsia="Times New Roman" w:hAnsi="Century Gothic" w:cs="Arial"/>
                <w:sz w:val="18"/>
                <w:szCs w:val="18"/>
                <w:lang w:eastAsia="es-CO"/>
              </w:rPr>
            </w:pPr>
            <w:r w:rsidRPr="0029340D">
              <w:rPr>
                <w:rFonts w:ascii="Century Gothic" w:eastAsia="Times New Roman" w:hAnsi="Century Gothic" w:cs="Arial"/>
                <w:sz w:val="18"/>
                <w:szCs w:val="18"/>
                <w:lang w:eastAsia="es-ES"/>
              </w:rPr>
              <w:t>Gestor código T1 grado 11 de la Subdirección de Gestión Contractual</w:t>
            </w:r>
          </w:p>
        </w:tc>
      </w:tr>
      <w:tr w:rsidR="00112832" w:rsidRPr="0029340D" w14:paraId="5DE809C3" w14:textId="77777777" w:rsidTr="0029340D">
        <w:trPr>
          <w:trHeight w:val="420"/>
        </w:trPr>
        <w:tc>
          <w:tcPr>
            <w:tcW w:w="1122" w:type="dxa"/>
            <w:tcBorders>
              <w:top w:val="nil"/>
              <w:left w:val="nil"/>
              <w:bottom w:val="nil"/>
              <w:right w:val="nil"/>
            </w:tcBorders>
            <w:vAlign w:val="center"/>
            <w:hideMark/>
          </w:tcPr>
          <w:p w14:paraId="610DA6DE" w14:textId="77777777" w:rsidR="00112832" w:rsidRPr="0029340D" w:rsidRDefault="00112832" w:rsidP="00EB596C">
            <w:pPr>
              <w:spacing w:after="0" w:line="276" w:lineRule="auto"/>
              <w:jc w:val="both"/>
              <w:textAlignment w:val="baseline"/>
              <w:rPr>
                <w:rFonts w:ascii="Century Gothic" w:eastAsia="Times New Roman" w:hAnsi="Century Gothic" w:cs="Arial"/>
                <w:sz w:val="18"/>
                <w:szCs w:val="18"/>
                <w:lang w:eastAsia="es-CO"/>
              </w:rPr>
            </w:pPr>
            <w:r w:rsidRPr="0029340D">
              <w:rPr>
                <w:rFonts w:ascii="Century Gothic" w:eastAsia="Times New Roman" w:hAnsi="Century Gothic" w:cs="Arial"/>
                <w:sz w:val="18"/>
                <w:szCs w:val="18"/>
                <w:lang w:val="es-MX" w:eastAsia="es-CO"/>
              </w:rPr>
              <w:t>Aprobó:</w:t>
            </w:r>
            <w:r w:rsidRPr="0029340D">
              <w:rPr>
                <w:rFonts w:ascii="Century Gothic" w:eastAsia="Times New Roman" w:hAnsi="Century Gothic" w:cs="Arial"/>
                <w:sz w:val="18"/>
                <w:szCs w:val="18"/>
                <w:lang w:eastAsia="es-CO"/>
              </w:rPr>
              <w:t> </w:t>
            </w:r>
          </w:p>
        </w:tc>
        <w:tc>
          <w:tcPr>
            <w:tcW w:w="6287" w:type="dxa"/>
            <w:tcBorders>
              <w:top w:val="dotted" w:sz="6" w:space="0" w:color="7F7F7F"/>
              <w:left w:val="nil"/>
              <w:bottom w:val="dotted" w:sz="6" w:space="0" w:color="7F7F7F"/>
              <w:right w:val="nil"/>
            </w:tcBorders>
            <w:vAlign w:val="center"/>
            <w:hideMark/>
          </w:tcPr>
          <w:p w14:paraId="63C78297" w14:textId="77777777" w:rsidR="00112832" w:rsidRPr="0029340D" w:rsidRDefault="00112832" w:rsidP="00EB596C">
            <w:pPr>
              <w:spacing w:after="0" w:line="240" w:lineRule="auto"/>
              <w:jc w:val="both"/>
              <w:textAlignment w:val="baseline"/>
              <w:rPr>
                <w:rFonts w:ascii="Century Gothic" w:eastAsia="Times New Roman" w:hAnsi="Century Gothic" w:cs="Arial"/>
                <w:sz w:val="18"/>
                <w:szCs w:val="18"/>
                <w:lang w:val="es-ES_tradnl" w:eastAsia="es-CO"/>
              </w:rPr>
            </w:pPr>
            <w:r w:rsidRPr="0029340D">
              <w:rPr>
                <w:rFonts w:ascii="Century Gothic" w:eastAsia="Times New Roman" w:hAnsi="Century Gothic" w:cs="Arial"/>
                <w:sz w:val="18"/>
                <w:szCs w:val="18"/>
                <w:lang w:val="es-ES_tradnl" w:eastAsia="es-CO"/>
              </w:rPr>
              <w:t>Nohelia del Carmen Zawady Palacio</w:t>
            </w:r>
          </w:p>
          <w:p w14:paraId="77E9C2EE" w14:textId="77777777" w:rsidR="00112832" w:rsidRPr="0029340D" w:rsidRDefault="00112832" w:rsidP="00EB596C">
            <w:pPr>
              <w:spacing w:after="0" w:line="240" w:lineRule="auto"/>
              <w:jc w:val="both"/>
              <w:textAlignment w:val="baseline"/>
              <w:rPr>
                <w:rFonts w:ascii="Century Gothic" w:eastAsia="Times New Roman" w:hAnsi="Century Gothic" w:cs="Arial"/>
                <w:sz w:val="18"/>
                <w:szCs w:val="18"/>
                <w:lang w:eastAsia="es-CO"/>
              </w:rPr>
            </w:pPr>
            <w:r w:rsidRPr="0029340D">
              <w:rPr>
                <w:rFonts w:ascii="Century Gothic" w:eastAsia="Times New Roman" w:hAnsi="Century Gothic" w:cs="Arial"/>
                <w:sz w:val="18"/>
                <w:szCs w:val="18"/>
                <w:lang w:val="es-ES_tradnl" w:eastAsia="es-CO"/>
              </w:rPr>
              <w:t>Subdirectora de Gestión Contractual ANCP-CCE</w:t>
            </w:r>
          </w:p>
        </w:tc>
      </w:tr>
      <w:bookmarkEnd w:id="0"/>
    </w:tbl>
    <w:p w14:paraId="29CB6DDC" w14:textId="77777777" w:rsidR="00112832" w:rsidRPr="0029340D" w:rsidRDefault="00112832" w:rsidP="00112832">
      <w:pPr>
        <w:rPr>
          <w:rFonts w:ascii="Century Gothic" w:hAnsi="Century Gothic" w:cs="Arial"/>
        </w:rPr>
      </w:pPr>
    </w:p>
    <w:p w14:paraId="0F293BF4" w14:textId="4E630EB9" w:rsidR="00127233" w:rsidRPr="0029340D" w:rsidRDefault="00E245AB" w:rsidP="00112832">
      <w:pPr>
        <w:rPr>
          <w:rFonts w:ascii="Century Gothic" w:hAnsi="Century Gothic"/>
        </w:rPr>
      </w:pPr>
      <w:r w:rsidRPr="0029340D">
        <w:rPr>
          <w:rFonts w:ascii="Century Gothic" w:hAnsi="Century Gothic"/>
        </w:rPr>
        <w:t xml:space="preserve"> </w:t>
      </w:r>
    </w:p>
    <w:sectPr w:rsidR="00127233" w:rsidRPr="0029340D" w:rsidSect="00923EEF">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F6F4" w14:textId="77777777" w:rsidR="00D85E26" w:rsidRDefault="00D85E26" w:rsidP="004A1847">
      <w:pPr>
        <w:spacing w:after="0" w:line="240" w:lineRule="auto"/>
      </w:pPr>
      <w:r>
        <w:separator/>
      </w:r>
    </w:p>
  </w:endnote>
  <w:endnote w:type="continuationSeparator" w:id="0">
    <w:p w14:paraId="30575106" w14:textId="77777777" w:rsidR="00D85E26" w:rsidRDefault="00D85E26"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8928" w14:textId="77777777" w:rsidR="00D85E26" w:rsidRDefault="00D85E26" w:rsidP="004A1847">
      <w:pPr>
        <w:spacing w:after="0" w:line="240" w:lineRule="auto"/>
      </w:pPr>
      <w:r>
        <w:separator/>
      </w:r>
    </w:p>
  </w:footnote>
  <w:footnote w:type="continuationSeparator" w:id="0">
    <w:p w14:paraId="09D3341A" w14:textId="77777777" w:rsidR="00D85E26" w:rsidRDefault="00D85E26" w:rsidP="004A1847">
      <w:pPr>
        <w:spacing w:after="0" w:line="240" w:lineRule="auto"/>
      </w:pPr>
      <w:r>
        <w:continuationSeparator/>
      </w:r>
    </w:p>
  </w:footnote>
  <w:footnote w:id="1">
    <w:p w14:paraId="1C0F7640" w14:textId="77777777" w:rsidR="00C41FCB" w:rsidRPr="007247A9" w:rsidRDefault="00C41FCB" w:rsidP="00C41FCB">
      <w:pPr>
        <w:pStyle w:val="Textonotapie"/>
        <w:ind w:firstLine="709"/>
        <w:contextualSpacing/>
        <w:jc w:val="both"/>
        <w:rPr>
          <w:rFonts w:ascii="Century Gothic" w:hAnsi="Century Gothic" w:cs="Arial"/>
          <w:sz w:val="18"/>
          <w:szCs w:val="18"/>
        </w:rPr>
      </w:pPr>
      <w:r w:rsidRPr="007247A9">
        <w:rPr>
          <w:rStyle w:val="Refdenotaalpie"/>
          <w:rFonts w:ascii="Century Gothic" w:hAnsi="Century Gothic" w:cs="Arial"/>
          <w:sz w:val="18"/>
          <w:szCs w:val="18"/>
        </w:rPr>
        <w:footnoteRef/>
      </w:r>
      <w:r w:rsidRPr="007247A9">
        <w:rPr>
          <w:rFonts w:ascii="Century Gothic" w:hAnsi="Century Gothic" w:cs="Arial"/>
          <w:sz w:val="18"/>
          <w:szCs w:val="18"/>
        </w:rPr>
        <w:t xml:space="preserve"> “Artículo 3°. Funciones. La Agencia Nacional de Contratación Pública –Colombia Compra Eficiente– ejercerá las siguientes funciones: </w:t>
      </w:r>
    </w:p>
    <w:p w14:paraId="1838237C" w14:textId="77777777" w:rsidR="00C41FCB" w:rsidRPr="007247A9" w:rsidRDefault="00C41FCB" w:rsidP="00C41FCB">
      <w:pPr>
        <w:pStyle w:val="Textonotapie"/>
        <w:ind w:firstLine="709"/>
        <w:contextualSpacing/>
        <w:jc w:val="both"/>
        <w:rPr>
          <w:rFonts w:ascii="Century Gothic" w:hAnsi="Century Gothic" w:cs="Arial"/>
          <w:sz w:val="18"/>
          <w:szCs w:val="18"/>
          <w:lang w:val="es-ES"/>
        </w:rPr>
      </w:pPr>
      <w:r w:rsidRPr="007247A9">
        <w:rPr>
          <w:rFonts w:ascii="Century Gothic" w:hAnsi="Century Gothic" w:cs="Arial"/>
          <w:sz w:val="18"/>
          <w:szCs w:val="18"/>
          <w:lang w:val="es-ES"/>
        </w:rPr>
        <w:t xml:space="preserve">“[...] </w:t>
      </w:r>
    </w:p>
    <w:p w14:paraId="3CB6024C" w14:textId="77777777" w:rsidR="00C41FCB" w:rsidRPr="007247A9" w:rsidRDefault="00C41FCB" w:rsidP="00C41FCB">
      <w:pPr>
        <w:pStyle w:val="Textonotapie"/>
        <w:ind w:firstLine="709"/>
        <w:contextualSpacing/>
        <w:jc w:val="both"/>
        <w:rPr>
          <w:rFonts w:ascii="Century Gothic" w:hAnsi="Century Gothic" w:cs="Arial"/>
          <w:sz w:val="18"/>
          <w:szCs w:val="18"/>
          <w:lang w:val="es-ES"/>
        </w:rPr>
      </w:pPr>
      <w:r w:rsidRPr="007247A9">
        <w:rPr>
          <w:rFonts w:ascii="Century Gothic" w:hAnsi="Century Gothic" w:cs="Arial"/>
          <w:sz w:val="18"/>
          <w:szCs w:val="18"/>
          <w:lang w:val="es-ES"/>
        </w:rPr>
        <w:t>“5. Absolver consultas sobre la aplicación de normas de carácter general y expedir circulares externas en materia de compras y contratación pública”.</w:t>
      </w:r>
    </w:p>
    <w:p w14:paraId="2D82E491" w14:textId="77777777" w:rsidR="00C41FCB" w:rsidRPr="007247A9" w:rsidRDefault="00C41FCB" w:rsidP="00C41FCB">
      <w:pPr>
        <w:pStyle w:val="Textonotapie"/>
        <w:ind w:firstLine="709"/>
        <w:contextualSpacing/>
        <w:jc w:val="both"/>
        <w:rPr>
          <w:rFonts w:ascii="Century Gothic" w:hAnsi="Century Gothic" w:cs="Arial"/>
          <w:sz w:val="18"/>
          <w:szCs w:val="18"/>
          <w:lang w:val="es-ES"/>
        </w:rPr>
      </w:pPr>
      <w:r w:rsidRPr="007247A9">
        <w:rPr>
          <w:rFonts w:ascii="Century Gothic" w:eastAsia="Times New Roman" w:hAnsi="Century Gothic" w:cs="Arial"/>
          <w:sz w:val="18"/>
          <w:szCs w:val="18"/>
          <w:lang w:val="es-CO" w:eastAsia="es-ES_tradnl"/>
        </w:rPr>
        <w:t>“</w:t>
      </w:r>
      <w:r w:rsidRPr="007247A9">
        <w:rPr>
          <w:rFonts w:ascii="Century Gothic" w:hAnsi="Century Gothic" w:cs="Arial"/>
          <w:sz w:val="18"/>
          <w:szCs w:val="18"/>
          <w:lang w:val="es-ES"/>
        </w:rPr>
        <w:t xml:space="preserve">Artículo 11. Subdirección de Gestión Contractual. Son funciones de la Subdirección de Gestión Contractual las siguientes: </w:t>
      </w:r>
    </w:p>
    <w:p w14:paraId="1187690B" w14:textId="77777777" w:rsidR="00C41FCB" w:rsidRPr="007247A9" w:rsidRDefault="00C41FCB" w:rsidP="00C41FCB">
      <w:pPr>
        <w:pStyle w:val="Textonotapie"/>
        <w:ind w:firstLine="709"/>
        <w:contextualSpacing/>
        <w:jc w:val="both"/>
        <w:rPr>
          <w:rFonts w:ascii="Century Gothic" w:hAnsi="Century Gothic" w:cs="Arial"/>
          <w:sz w:val="18"/>
          <w:szCs w:val="18"/>
          <w:lang w:val="es-ES"/>
        </w:rPr>
      </w:pPr>
      <w:r w:rsidRPr="007247A9">
        <w:rPr>
          <w:rFonts w:ascii="Century Gothic" w:hAnsi="Century Gothic" w:cs="Arial"/>
          <w:sz w:val="18"/>
          <w:szCs w:val="18"/>
          <w:lang w:val="es-ES"/>
        </w:rPr>
        <w:t xml:space="preserve">“[...] </w:t>
      </w:r>
    </w:p>
    <w:p w14:paraId="23B7F5C0" w14:textId="0FB6B850" w:rsidR="00C41FCB" w:rsidRDefault="00C41FCB" w:rsidP="00C41FCB">
      <w:pPr>
        <w:pStyle w:val="Textonotapie"/>
        <w:ind w:firstLine="709"/>
        <w:contextualSpacing/>
        <w:jc w:val="both"/>
        <w:rPr>
          <w:rFonts w:ascii="Century Gothic" w:hAnsi="Century Gothic" w:cs="Arial"/>
          <w:sz w:val="18"/>
          <w:szCs w:val="18"/>
          <w:lang w:val="es-ES"/>
        </w:rPr>
      </w:pPr>
      <w:r w:rsidRPr="007247A9">
        <w:rPr>
          <w:rFonts w:ascii="Century Gothic" w:eastAsia="Times New Roman" w:hAnsi="Century Gothic" w:cs="Arial"/>
          <w:sz w:val="18"/>
          <w:szCs w:val="18"/>
          <w:lang w:val="es-CO" w:eastAsia="es-ES_tradnl"/>
        </w:rPr>
        <w:t>“</w:t>
      </w:r>
      <w:r w:rsidRPr="007247A9">
        <w:rPr>
          <w:rFonts w:ascii="Century Gothic" w:hAnsi="Century Gothic" w:cs="Arial"/>
          <w:sz w:val="18"/>
          <w:szCs w:val="18"/>
          <w:lang w:val="es-ES"/>
        </w:rPr>
        <w:t>8. Absolver consultas sobre la aplicación de normas de carácter general”.</w:t>
      </w:r>
    </w:p>
    <w:p w14:paraId="6542C3C8" w14:textId="77777777" w:rsidR="00006FA7" w:rsidRPr="007247A9" w:rsidRDefault="00006FA7" w:rsidP="00C41FCB">
      <w:pPr>
        <w:pStyle w:val="Textonotapie"/>
        <w:ind w:firstLine="709"/>
        <w:contextualSpacing/>
        <w:jc w:val="both"/>
        <w:rPr>
          <w:rFonts w:ascii="Century Gothic" w:hAnsi="Century Gothic" w:cs="Arial"/>
          <w:sz w:val="18"/>
          <w:szCs w:val="18"/>
        </w:rPr>
      </w:pPr>
    </w:p>
  </w:footnote>
  <w:footnote w:id="2">
    <w:p w14:paraId="61BDD5DB" w14:textId="15F1BCDB" w:rsidR="00217D6E" w:rsidRDefault="00217D6E" w:rsidP="00610E9C">
      <w:pPr>
        <w:pStyle w:val="Textonotapie"/>
        <w:ind w:firstLine="708"/>
      </w:pPr>
      <w:r>
        <w:rPr>
          <w:rStyle w:val="Refdenotaalpie"/>
        </w:rPr>
        <w:footnoteRef/>
      </w:r>
      <w:r>
        <w:t xml:space="preserve"> </w:t>
      </w:r>
      <w:r w:rsidR="00C316F4" w:rsidRPr="00480D1F">
        <w:rPr>
          <w:rFonts w:ascii="Century Gothic" w:hAnsi="Century Gothic" w:cs="Arial"/>
          <w:sz w:val="18"/>
          <w:szCs w:val="18"/>
        </w:rPr>
        <w:t xml:space="preserve">Los conceptos referenciados, así como otros expedidos por la Subdirección se encuentran disponibles para consulta pública en el portal de relatoría de la Agencia, al cual se puede acceder a través del siguiente enlace: </w:t>
      </w:r>
      <w:hyperlink r:id="rId1" w:history="1">
        <w:r w:rsidR="00C316F4" w:rsidRPr="00480D1F">
          <w:rPr>
            <w:rStyle w:val="Hipervnculo"/>
            <w:rFonts w:ascii="Century Gothic" w:hAnsi="Century Gothic" w:cs="Arial"/>
            <w:sz w:val="18"/>
            <w:szCs w:val="18"/>
          </w:rPr>
          <w:t>https://relatoria.colombiacompra.gov.co/busqueda/conceptos</w:t>
        </w:r>
      </w:hyperlink>
      <w:r w:rsidR="00C316F4" w:rsidRPr="00480D1F">
        <w:rPr>
          <w:rStyle w:val="Hipervnculo"/>
          <w:rFonts w:ascii="Century Gothic" w:hAnsi="Century Gothic" w:cs="Arial"/>
          <w:sz w:val="18"/>
          <w:szCs w:val="18"/>
        </w:rPr>
        <w:t>.</w:t>
      </w:r>
    </w:p>
  </w:footnote>
  <w:footnote w:id="3">
    <w:p w14:paraId="4DC7AF4A" w14:textId="77777777" w:rsidR="00112832" w:rsidRPr="0029340D" w:rsidRDefault="00112832" w:rsidP="00112832">
      <w:pPr>
        <w:pStyle w:val="Textonotapie"/>
        <w:ind w:firstLine="708"/>
        <w:jc w:val="both"/>
        <w:rPr>
          <w:rFonts w:ascii="Century Gothic" w:hAnsi="Century Gothic" w:cs="Arial"/>
          <w:sz w:val="18"/>
          <w:szCs w:val="18"/>
        </w:rPr>
      </w:pPr>
      <w:r w:rsidRPr="0029340D">
        <w:rPr>
          <w:rStyle w:val="Refdenotaalpie"/>
          <w:rFonts w:ascii="Century Gothic" w:hAnsi="Century Gothic" w:cs="Arial"/>
          <w:sz w:val="18"/>
          <w:szCs w:val="18"/>
        </w:rPr>
        <w:footnoteRef/>
      </w:r>
      <w:r w:rsidRPr="0029340D">
        <w:rPr>
          <w:rFonts w:ascii="Century Gothic" w:hAnsi="Century Gothic" w:cs="Arial"/>
          <w:sz w:val="18"/>
          <w:szCs w:val="18"/>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0D6DD94A" w14:textId="2D2683E8" w:rsidR="00112832" w:rsidRDefault="00112832" w:rsidP="00112832">
      <w:pPr>
        <w:pStyle w:val="Textonotapie"/>
        <w:ind w:firstLine="708"/>
        <w:jc w:val="both"/>
        <w:rPr>
          <w:rFonts w:ascii="Century Gothic" w:hAnsi="Century Gothic" w:cs="Arial"/>
          <w:sz w:val="18"/>
          <w:szCs w:val="18"/>
        </w:rPr>
      </w:pPr>
      <w:r w:rsidRPr="0029340D">
        <w:rPr>
          <w:rFonts w:ascii="Century Gothic" w:hAnsi="Century Gothic" w:cs="Arial"/>
          <w:sz w:val="18"/>
          <w:szCs w:val="18"/>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53DD32D" w14:textId="77777777" w:rsidR="009617F1" w:rsidRPr="0029340D" w:rsidRDefault="009617F1" w:rsidP="00112832">
      <w:pPr>
        <w:pStyle w:val="Textonotapie"/>
        <w:ind w:firstLine="708"/>
        <w:jc w:val="both"/>
        <w:rPr>
          <w:rFonts w:ascii="Century Gothic" w:hAnsi="Century Gothic" w:cs="Arial"/>
          <w:sz w:val="18"/>
          <w:szCs w:val="18"/>
        </w:rPr>
      </w:pPr>
    </w:p>
  </w:footnote>
  <w:footnote w:id="4">
    <w:p w14:paraId="08AAAD05" w14:textId="478DAB0A" w:rsidR="00112832" w:rsidRDefault="00112832" w:rsidP="00112832">
      <w:pPr>
        <w:pStyle w:val="Textonotapie"/>
        <w:ind w:firstLine="708"/>
        <w:jc w:val="both"/>
        <w:rPr>
          <w:rFonts w:ascii="Century Gothic" w:hAnsi="Century Gothic" w:cs="Arial"/>
          <w:sz w:val="18"/>
          <w:szCs w:val="18"/>
        </w:rPr>
      </w:pPr>
      <w:r w:rsidRPr="0029340D">
        <w:rPr>
          <w:rStyle w:val="Refdenotaalpie"/>
          <w:rFonts w:ascii="Century Gothic" w:hAnsi="Century Gothic" w:cs="Arial"/>
          <w:sz w:val="18"/>
          <w:szCs w:val="18"/>
        </w:rPr>
        <w:footnoteRef/>
      </w:r>
      <w:r w:rsidRPr="0029340D">
        <w:rPr>
          <w:rFonts w:ascii="Century Gothic" w:hAnsi="Century Gothic" w:cs="Arial"/>
          <w:sz w:val="18"/>
          <w:szCs w:val="18"/>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526B0389" w14:textId="77777777" w:rsidR="009617F1" w:rsidRPr="0029340D" w:rsidRDefault="009617F1" w:rsidP="00112832">
      <w:pPr>
        <w:pStyle w:val="Textonotapie"/>
        <w:ind w:firstLine="708"/>
        <w:jc w:val="both"/>
        <w:rPr>
          <w:rFonts w:ascii="Century Gothic" w:hAnsi="Century Gothic" w:cs="Arial"/>
          <w:sz w:val="18"/>
          <w:szCs w:val="18"/>
        </w:rPr>
      </w:pPr>
    </w:p>
  </w:footnote>
  <w:footnote w:id="5">
    <w:p w14:paraId="16BC3E22" w14:textId="77777777" w:rsidR="00112832" w:rsidRPr="0029340D" w:rsidRDefault="00112832" w:rsidP="00112832">
      <w:pPr>
        <w:pStyle w:val="Textonotapie"/>
        <w:ind w:firstLine="708"/>
        <w:jc w:val="both"/>
        <w:rPr>
          <w:rFonts w:ascii="Century Gothic" w:hAnsi="Century Gothic" w:cs="Arial"/>
          <w:sz w:val="18"/>
          <w:szCs w:val="18"/>
        </w:rPr>
      </w:pPr>
      <w:r w:rsidRPr="0029340D">
        <w:rPr>
          <w:rStyle w:val="Refdenotaalpie"/>
          <w:rFonts w:ascii="Century Gothic" w:hAnsi="Century Gothic" w:cs="Arial"/>
          <w:sz w:val="18"/>
          <w:szCs w:val="18"/>
        </w:rPr>
        <w:footnoteRef/>
      </w:r>
      <w:r w:rsidRPr="0029340D">
        <w:rPr>
          <w:rFonts w:ascii="Century Gothic" w:hAnsi="Century Gothic" w:cs="Arial"/>
          <w:sz w:val="18"/>
          <w:szCs w:val="18"/>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4EA8635C" w14:textId="77777777" w:rsidR="00112832" w:rsidRPr="0029340D" w:rsidRDefault="00112832" w:rsidP="00112832">
      <w:pPr>
        <w:pStyle w:val="Textonotapie"/>
        <w:ind w:firstLine="708"/>
        <w:jc w:val="both"/>
        <w:rPr>
          <w:rFonts w:ascii="Century Gothic" w:hAnsi="Century Gothic" w:cs="Arial"/>
          <w:sz w:val="18"/>
          <w:szCs w:val="18"/>
        </w:rPr>
      </w:pPr>
      <w:r w:rsidRPr="0029340D">
        <w:rPr>
          <w:rFonts w:ascii="Century Gothic" w:hAnsi="Century Gothic" w:cs="Arial"/>
          <w:sz w:val="18"/>
          <w:szCs w:val="18"/>
        </w:rPr>
        <w:t>1. Experiencia – Los contratos celebrados por el interesado para cada uno de los bienes, obras y servicios que ofrecerá a las Entidades Estatales, identificados con el Clasificador de Bienes y Servicios en el tercer nivel y su valor expresado en SMMLV.</w:t>
      </w:r>
    </w:p>
    <w:p w14:paraId="59EF1ABE" w14:textId="34D9C0FB" w:rsidR="00112832" w:rsidRDefault="00112832" w:rsidP="00112832">
      <w:pPr>
        <w:pStyle w:val="Textonotapie"/>
        <w:ind w:firstLine="708"/>
        <w:jc w:val="both"/>
        <w:rPr>
          <w:rFonts w:ascii="Century Gothic" w:hAnsi="Century Gothic" w:cs="Arial"/>
          <w:sz w:val="18"/>
          <w:szCs w:val="18"/>
        </w:rPr>
      </w:pPr>
      <w:r w:rsidRPr="0029340D">
        <w:rPr>
          <w:rFonts w:ascii="Century Gothic" w:hAnsi="Century Gothic" w:cs="Arial"/>
          <w:sz w:val="18"/>
          <w:szCs w:val="18"/>
        </w:rPr>
        <w:t>[...]”.</w:t>
      </w:r>
    </w:p>
    <w:p w14:paraId="6C1492C5" w14:textId="77777777" w:rsidR="003E3439" w:rsidRPr="0029340D" w:rsidRDefault="003E3439" w:rsidP="00112832">
      <w:pPr>
        <w:pStyle w:val="Textonotapie"/>
        <w:ind w:firstLine="708"/>
        <w:jc w:val="both"/>
        <w:rPr>
          <w:rFonts w:ascii="Century Gothic" w:hAnsi="Century Gothic" w:cs="Arial"/>
          <w:sz w:val="18"/>
          <w:szCs w:val="18"/>
        </w:rPr>
      </w:pPr>
    </w:p>
  </w:footnote>
  <w:footnote w:id="6">
    <w:p w14:paraId="44E1C430" w14:textId="77777777" w:rsidR="00112832" w:rsidRPr="0029340D" w:rsidRDefault="00112832" w:rsidP="00112832">
      <w:pPr>
        <w:pStyle w:val="Textonotapie"/>
        <w:ind w:firstLine="708"/>
        <w:jc w:val="both"/>
        <w:rPr>
          <w:rFonts w:ascii="Century Gothic" w:hAnsi="Century Gothic" w:cs="Arial"/>
          <w:sz w:val="18"/>
          <w:szCs w:val="18"/>
        </w:rPr>
      </w:pPr>
      <w:r w:rsidRPr="0029340D">
        <w:rPr>
          <w:rStyle w:val="Refdenotaalpie"/>
          <w:rFonts w:ascii="Century Gothic" w:hAnsi="Century Gothic" w:cs="Arial"/>
          <w:sz w:val="18"/>
          <w:szCs w:val="18"/>
        </w:rPr>
        <w:footnoteRef/>
      </w:r>
      <w:r w:rsidRPr="0029340D">
        <w:rPr>
          <w:rFonts w:ascii="Century Gothic" w:hAnsi="Century Gothic" w:cs="Arial"/>
          <w:sz w:val="18"/>
          <w:szCs w:val="18"/>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430451F" w14:textId="77777777" w:rsidR="00112832" w:rsidRPr="0029340D" w:rsidRDefault="00112832" w:rsidP="00112832">
      <w:pPr>
        <w:pStyle w:val="Textonotapie"/>
        <w:ind w:firstLine="708"/>
        <w:jc w:val="both"/>
        <w:rPr>
          <w:rFonts w:ascii="Century Gothic" w:hAnsi="Century Gothic" w:cs="Arial"/>
          <w:sz w:val="18"/>
          <w:szCs w:val="18"/>
        </w:rPr>
      </w:pPr>
      <w:r w:rsidRPr="0029340D">
        <w:rPr>
          <w:rFonts w:ascii="Century Gothic" w:hAnsi="Century Gothic" w:cs="Arial"/>
          <w:sz w:val="18"/>
          <w:szCs w:val="18"/>
        </w:rPr>
        <w:t>[...]</w:t>
      </w:r>
    </w:p>
    <w:p w14:paraId="6AD88E60" w14:textId="77777777" w:rsidR="00112832" w:rsidRPr="0029340D" w:rsidRDefault="00112832" w:rsidP="00112832">
      <w:pPr>
        <w:pStyle w:val="Textonotapie"/>
        <w:ind w:firstLine="708"/>
        <w:jc w:val="both"/>
        <w:rPr>
          <w:rFonts w:ascii="Century Gothic" w:hAnsi="Century Gothic" w:cs="Arial"/>
          <w:sz w:val="18"/>
          <w:szCs w:val="18"/>
        </w:rPr>
      </w:pPr>
      <w:r w:rsidRPr="0029340D">
        <w:rPr>
          <w:rFonts w:ascii="Century Gothic" w:hAnsi="Century Gothic" w:cs="Arial"/>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0DAEA18" w14:textId="77777777" w:rsidR="00112832" w:rsidRDefault="00112832" w:rsidP="00112832">
      <w:pPr>
        <w:pStyle w:val="Textonotapie"/>
        <w:ind w:firstLine="708"/>
        <w:jc w:val="both"/>
        <w:rPr>
          <w:rFonts w:ascii="Century Gothic" w:hAnsi="Century Gothic" w:cs="Arial"/>
          <w:sz w:val="18"/>
          <w:szCs w:val="18"/>
        </w:rPr>
      </w:pPr>
      <w:r w:rsidRPr="0029340D">
        <w:rPr>
          <w:rFonts w:ascii="Century Gothic" w:hAnsi="Century Gothic" w:cs="Arial"/>
          <w:sz w:val="18"/>
          <w:szCs w:val="18"/>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3EC1FE90" w14:textId="77777777" w:rsidR="003E3439" w:rsidRPr="0029340D" w:rsidRDefault="003E3439" w:rsidP="00112832">
      <w:pPr>
        <w:pStyle w:val="Textonotapie"/>
        <w:ind w:firstLine="708"/>
        <w:jc w:val="both"/>
        <w:rPr>
          <w:rFonts w:ascii="Century Gothic" w:hAnsi="Century Gothic" w:cs="Arial"/>
          <w:sz w:val="18"/>
          <w:szCs w:val="18"/>
        </w:rPr>
      </w:pPr>
    </w:p>
  </w:footnote>
  <w:footnote w:id="7">
    <w:p w14:paraId="39535FE1" w14:textId="77777777" w:rsidR="00112832" w:rsidRPr="0029340D" w:rsidRDefault="00112832" w:rsidP="00112832">
      <w:pPr>
        <w:pStyle w:val="Textonotapie"/>
        <w:ind w:firstLine="708"/>
        <w:jc w:val="both"/>
        <w:rPr>
          <w:rFonts w:ascii="Century Gothic" w:hAnsi="Century Gothic" w:cs="Arial"/>
          <w:sz w:val="18"/>
          <w:szCs w:val="18"/>
        </w:rPr>
      </w:pPr>
      <w:r w:rsidRPr="0029340D">
        <w:rPr>
          <w:rStyle w:val="Refdenotaalpie"/>
          <w:rFonts w:ascii="Century Gothic" w:hAnsi="Century Gothic" w:cs="Arial"/>
          <w:sz w:val="18"/>
          <w:szCs w:val="18"/>
        </w:rPr>
        <w:footnoteRef/>
      </w:r>
      <w:r w:rsidRPr="0029340D">
        <w:rPr>
          <w:rFonts w:ascii="Century Gothic" w:hAnsi="Century Gothic" w:cs="Arial"/>
          <w:sz w:val="18"/>
          <w:szCs w:val="18"/>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E920750" w14:textId="77777777" w:rsidR="00112832" w:rsidRPr="0029340D" w:rsidRDefault="00112832" w:rsidP="00112832">
      <w:pPr>
        <w:pStyle w:val="Textonotapie"/>
        <w:ind w:firstLine="708"/>
        <w:jc w:val="both"/>
        <w:rPr>
          <w:rFonts w:ascii="Century Gothic" w:hAnsi="Century Gothic" w:cs="Arial"/>
          <w:sz w:val="18"/>
          <w:szCs w:val="18"/>
        </w:rPr>
      </w:pPr>
      <w:r w:rsidRPr="0029340D">
        <w:rPr>
          <w:rFonts w:ascii="Century Gothic" w:hAnsi="Century Gothic" w:cs="Arial"/>
          <w:sz w:val="18"/>
          <w:szCs w:val="18"/>
        </w:rPr>
        <w:t>1.    Si es una persona natural:</w:t>
      </w:r>
    </w:p>
    <w:p w14:paraId="532F7A54" w14:textId="77777777" w:rsidR="00112832" w:rsidRPr="0029340D" w:rsidRDefault="00112832" w:rsidP="00112832">
      <w:pPr>
        <w:pStyle w:val="Textonotapie"/>
        <w:ind w:firstLine="708"/>
        <w:jc w:val="both"/>
        <w:rPr>
          <w:rFonts w:ascii="Century Gothic" w:hAnsi="Century Gothic" w:cs="Arial"/>
          <w:sz w:val="18"/>
          <w:szCs w:val="18"/>
        </w:rPr>
      </w:pPr>
      <w:r w:rsidRPr="0029340D">
        <w:rPr>
          <w:rFonts w:ascii="Century Gothic" w:hAnsi="Century Gothic" w:cs="Arial"/>
          <w:sz w:val="18"/>
          <w:szCs w:val="18"/>
        </w:rPr>
        <w:t>1.1. Bienes, obras y servicios que ofrecerá a las Entidades Estatales, identificados con el Clasificador de Bienes y Servicios en el tercer nivel.</w:t>
      </w:r>
    </w:p>
    <w:p w14:paraId="1D53CE9B" w14:textId="525753E3" w:rsidR="00112832" w:rsidRPr="0029340D" w:rsidRDefault="00112832" w:rsidP="00112832">
      <w:pPr>
        <w:pStyle w:val="Textonotapie"/>
        <w:ind w:firstLine="708"/>
        <w:jc w:val="both"/>
        <w:rPr>
          <w:rFonts w:ascii="Century Gothic" w:hAnsi="Century Gothic" w:cs="Arial"/>
          <w:sz w:val="18"/>
          <w:szCs w:val="18"/>
        </w:rPr>
      </w:pPr>
      <w:r w:rsidRPr="0029340D">
        <w:rPr>
          <w:rFonts w:ascii="Century Gothic" w:hAnsi="Century Gothic" w:cs="Arial"/>
          <w:sz w:val="18"/>
          <w:szCs w:val="18"/>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footnote>
  <w:footnote w:id="8">
    <w:p w14:paraId="3329BF37" w14:textId="77777777" w:rsidR="00112832" w:rsidRPr="0029340D" w:rsidRDefault="00112832" w:rsidP="00112832">
      <w:pPr>
        <w:pStyle w:val="Textonotapie"/>
        <w:ind w:firstLine="708"/>
        <w:jc w:val="both"/>
        <w:rPr>
          <w:rFonts w:ascii="Century Gothic" w:hAnsi="Century Gothic" w:cs="Arial"/>
          <w:sz w:val="18"/>
          <w:szCs w:val="18"/>
        </w:rPr>
      </w:pPr>
      <w:r w:rsidRPr="0029340D">
        <w:rPr>
          <w:rStyle w:val="Refdenotaalpie"/>
          <w:rFonts w:ascii="Century Gothic" w:hAnsi="Century Gothic" w:cs="Arial"/>
          <w:sz w:val="18"/>
          <w:szCs w:val="18"/>
        </w:rPr>
        <w:footnoteRef/>
      </w:r>
      <w:r w:rsidRPr="0029340D">
        <w:rPr>
          <w:rFonts w:ascii="Century Gothic" w:hAnsi="Century Gothic" w:cs="Arial"/>
          <w:sz w:val="18"/>
          <w:szCs w:val="18"/>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63996F94" w14:textId="77777777" w:rsidR="00112832" w:rsidRPr="0029340D" w:rsidRDefault="00112832" w:rsidP="00112832">
      <w:pPr>
        <w:pStyle w:val="Textonotapie"/>
        <w:ind w:firstLine="708"/>
        <w:jc w:val="both"/>
        <w:rPr>
          <w:rFonts w:ascii="Century Gothic" w:hAnsi="Century Gothic" w:cs="Arial"/>
          <w:sz w:val="18"/>
          <w:szCs w:val="18"/>
        </w:rPr>
      </w:pPr>
      <w:r w:rsidRPr="0029340D">
        <w:rPr>
          <w:rFonts w:ascii="Century Gothic" w:hAnsi="Century Gothic" w:cs="Arial"/>
          <w:sz w:val="18"/>
          <w:szCs w:val="18"/>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105A6F5D" w14:textId="77777777" w:rsidR="00112832" w:rsidRPr="0029340D" w:rsidRDefault="00112832" w:rsidP="00112832">
      <w:pPr>
        <w:pStyle w:val="Textonotapie"/>
        <w:ind w:firstLine="708"/>
        <w:jc w:val="both"/>
        <w:rPr>
          <w:rFonts w:ascii="Century Gothic" w:hAnsi="Century Gothic" w:cs="Arial"/>
          <w:sz w:val="18"/>
          <w:szCs w:val="18"/>
        </w:rPr>
      </w:pPr>
      <w:r w:rsidRPr="0029340D">
        <w:rPr>
          <w:rFonts w:ascii="Century Gothic" w:hAnsi="Century Gothic" w:cs="Arial"/>
          <w:sz w:val="18"/>
          <w:szCs w:val="18"/>
        </w:rPr>
        <w:t>[...]</w:t>
      </w:r>
    </w:p>
    <w:p w14:paraId="786EFA27" w14:textId="77777777" w:rsidR="00112832" w:rsidRPr="0029340D" w:rsidRDefault="00112832" w:rsidP="00112832">
      <w:pPr>
        <w:pStyle w:val="Textonotapie"/>
        <w:ind w:firstLine="708"/>
        <w:jc w:val="both"/>
        <w:rPr>
          <w:rFonts w:ascii="Century Gothic" w:hAnsi="Century Gothic" w:cs="Arial"/>
          <w:sz w:val="18"/>
          <w:szCs w:val="18"/>
        </w:rPr>
      </w:pPr>
      <w:r w:rsidRPr="0029340D">
        <w:rPr>
          <w:rFonts w:ascii="Century Gothic" w:hAnsi="Century Gothic" w:cs="Arial"/>
          <w:sz w:val="18"/>
          <w:szCs w:val="18"/>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547FB349" w14:textId="77777777" w:rsidR="00112832" w:rsidRPr="0029340D" w:rsidRDefault="00112832" w:rsidP="00112832">
      <w:pPr>
        <w:pStyle w:val="Textonotapie"/>
        <w:ind w:firstLine="708"/>
        <w:jc w:val="both"/>
        <w:rPr>
          <w:rFonts w:ascii="Century Gothic" w:hAnsi="Century Gothic" w:cs="Arial"/>
          <w:sz w:val="18"/>
          <w:szCs w:val="18"/>
        </w:rPr>
      </w:pPr>
      <w:r w:rsidRPr="0029340D">
        <w:rPr>
          <w:rFonts w:ascii="Century Gothic" w:hAnsi="Century Gothic" w:cs="Arial"/>
          <w:sz w:val="18"/>
          <w:szCs w:val="18"/>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420DE0F2" w14:textId="77777777" w:rsidR="00112832" w:rsidRPr="0029340D" w:rsidRDefault="00112832" w:rsidP="00112832">
      <w:pPr>
        <w:pStyle w:val="Textonotapie"/>
        <w:ind w:firstLine="708"/>
        <w:jc w:val="both"/>
        <w:rPr>
          <w:rFonts w:ascii="Century Gothic" w:hAnsi="Century Gothic" w:cs="Arial"/>
          <w:sz w:val="18"/>
          <w:szCs w:val="18"/>
        </w:rPr>
      </w:pPr>
      <w:r w:rsidRPr="0029340D">
        <w:rPr>
          <w:rFonts w:ascii="Century Gothic" w:hAnsi="Century Gothic" w:cs="Arial"/>
          <w:sz w:val="18"/>
          <w:szCs w:val="18"/>
        </w:rPr>
        <w:t>[...]”.</w:t>
      </w:r>
    </w:p>
  </w:footnote>
  <w:footnote w:id="9">
    <w:p w14:paraId="7DEF55FD" w14:textId="77777777" w:rsidR="00112832" w:rsidRDefault="00112832" w:rsidP="00112832">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color w:val="000000"/>
          <w:sz w:val="18"/>
          <w:szCs w:val="18"/>
        </w:rPr>
        <w:footnoteRef/>
      </w:r>
      <w:r w:rsidRPr="0029340D">
        <w:rPr>
          <w:rFonts w:ascii="Century Gothic" w:hAnsi="Century Gothic" w:cs="Arial"/>
          <w:color w:val="000000"/>
          <w:sz w:val="18"/>
          <w:szCs w:val="18"/>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4DC5B160" w14:textId="77777777" w:rsidR="008842BB" w:rsidRPr="0029340D" w:rsidRDefault="008842BB" w:rsidP="00112832">
      <w:pPr>
        <w:pStyle w:val="Textonotapie"/>
        <w:ind w:firstLine="709"/>
        <w:jc w:val="both"/>
        <w:rPr>
          <w:rFonts w:ascii="Century Gothic" w:hAnsi="Century Gothic" w:cs="Arial"/>
          <w:color w:val="000000"/>
          <w:sz w:val="18"/>
          <w:szCs w:val="18"/>
        </w:rPr>
      </w:pPr>
    </w:p>
  </w:footnote>
  <w:footnote w:id="10">
    <w:p w14:paraId="61C2BB73" w14:textId="77777777" w:rsidR="00112832" w:rsidRPr="0029340D" w:rsidRDefault="00112832" w:rsidP="00112832">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color w:val="000000"/>
          <w:sz w:val="18"/>
          <w:szCs w:val="18"/>
        </w:rPr>
        <w:footnoteRef/>
      </w:r>
      <w:r w:rsidRPr="0029340D">
        <w:rPr>
          <w:rFonts w:ascii="Century Gothic" w:hAnsi="Century Gothic" w:cs="Arial"/>
          <w:color w:val="000000"/>
          <w:sz w:val="18"/>
          <w:szCs w:val="18"/>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1">
    <w:p w14:paraId="069E2464" w14:textId="77777777" w:rsidR="00112832" w:rsidRPr="0029340D" w:rsidRDefault="00112832" w:rsidP="00112832">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color w:val="000000"/>
          <w:sz w:val="18"/>
          <w:szCs w:val="18"/>
        </w:rPr>
        <w:footnoteRef/>
      </w:r>
      <w:r w:rsidRPr="0029340D">
        <w:rPr>
          <w:rFonts w:ascii="Century Gothic" w:hAnsi="Century Gothic" w:cs="Arial"/>
          <w:color w:val="000000"/>
          <w:sz w:val="18"/>
          <w:szCs w:val="18"/>
        </w:rPr>
        <w:t xml:space="preserve"> CONSEJO DE ESTADO. Sección Tercera. Subsección C. Sentencia del 26 de febrero de 2014. Expediente: 25.804. Consejero Ponente: Enrique Gil Botero.</w:t>
      </w:r>
    </w:p>
  </w:footnote>
  <w:footnote w:id="12">
    <w:p w14:paraId="7BE6BC3C" w14:textId="77777777" w:rsidR="00112832" w:rsidRPr="0029340D" w:rsidRDefault="00112832" w:rsidP="00112832">
      <w:pPr>
        <w:pStyle w:val="Textonotapie"/>
        <w:ind w:firstLine="708"/>
        <w:jc w:val="both"/>
        <w:rPr>
          <w:rFonts w:ascii="Century Gothic" w:hAnsi="Century Gothic"/>
          <w:sz w:val="18"/>
          <w:szCs w:val="18"/>
        </w:rPr>
      </w:pPr>
      <w:r w:rsidRPr="0029340D">
        <w:rPr>
          <w:rStyle w:val="Refdenotaalpie"/>
          <w:rFonts w:ascii="Century Gothic" w:hAnsi="Century Gothic"/>
          <w:sz w:val="18"/>
          <w:szCs w:val="18"/>
        </w:rPr>
        <w:footnoteRef/>
      </w:r>
      <w:r w:rsidRPr="0029340D">
        <w:rPr>
          <w:rFonts w:ascii="Century Gothic" w:hAnsi="Century Gothic"/>
          <w:sz w:val="18"/>
          <w:szCs w:val="18"/>
        </w:rPr>
        <w:t xml:space="preserve"> Ver en el siguiente link: </w:t>
      </w:r>
      <w:hyperlink r:id="rId2" w:history="1">
        <w:r w:rsidRPr="0029340D">
          <w:rPr>
            <w:rStyle w:val="Hipervnculo"/>
            <w:rFonts w:ascii="Century Gothic" w:hAnsi="Century Gothic"/>
            <w:sz w:val="18"/>
            <w:szCs w:val="18"/>
          </w:rPr>
          <w:t>https://colombiacompra.gov.co/sites/cce_public/files/cce_circulares/cce-eicp-ma-06_circular_externa_con_comentarios_de_ciudadanos-_v2f_002.pdf</w:t>
        </w:r>
      </w:hyperlink>
      <w:r w:rsidRPr="0029340D">
        <w:rPr>
          <w:rFonts w:ascii="Century Gothic" w:hAnsi="Century Gothic"/>
          <w:sz w:val="18"/>
          <w:szCs w:val="18"/>
        </w:rPr>
        <w:t xml:space="preserve"> </w:t>
      </w:r>
    </w:p>
  </w:footnote>
  <w:footnote w:id="13">
    <w:p w14:paraId="5DD03491" w14:textId="77777777" w:rsidR="00112832" w:rsidRDefault="00112832" w:rsidP="009A0DB1">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color w:val="000000"/>
          <w:sz w:val="18"/>
          <w:szCs w:val="18"/>
        </w:rPr>
        <w:footnoteRef/>
      </w:r>
      <w:r w:rsidRPr="0029340D">
        <w:rPr>
          <w:rStyle w:val="Refdenotaalpie"/>
          <w:rFonts w:ascii="Century Gothic" w:hAnsi="Century Gothic"/>
          <w:color w:val="000000"/>
          <w:sz w:val="18"/>
          <w:szCs w:val="18"/>
        </w:rPr>
        <w:t xml:space="preserve"> </w:t>
      </w:r>
      <w:r w:rsidRPr="0029340D">
        <w:rPr>
          <w:rFonts w:ascii="Century Gothic" w:hAnsi="Century Gothic" w:cs="Arial"/>
          <w:color w:val="000000"/>
          <w:sz w:val="18"/>
          <w:szCs w:val="18"/>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73408FF9" w14:textId="77777777" w:rsidR="007E390C" w:rsidRPr="0029340D" w:rsidRDefault="007E390C" w:rsidP="009A0DB1">
      <w:pPr>
        <w:pStyle w:val="Textonotapie"/>
        <w:ind w:firstLine="709"/>
        <w:jc w:val="both"/>
        <w:rPr>
          <w:rFonts w:ascii="Century Gothic" w:hAnsi="Century Gothic" w:cs="Arial"/>
          <w:color w:val="000000"/>
          <w:sz w:val="18"/>
          <w:szCs w:val="18"/>
        </w:rPr>
      </w:pPr>
    </w:p>
  </w:footnote>
  <w:footnote w:id="14">
    <w:p w14:paraId="307704DD" w14:textId="77777777" w:rsidR="009A0DB1" w:rsidRDefault="00112832" w:rsidP="009A0DB1">
      <w:pPr>
        <w:pStyle w:val="NormalWeb"/>
        <w:shd w:val="clear" w:color="auto" w:fill="FFFFFF"/>
        <w:spacing w:before="0" w:beforeAutospacing="0" w:after="0" w:afterAutospacing="0"/>
        <w:ind w:firstLine="708"/>
        <w:jc w:val="both"/>
        <w:rPr>
          <w:rFonts w:ascii="Century Gothic" w:hAnsi="Century Gothic" w:cs="Arial"/>
          <w:sz w:val="18"/>
          <w:szCs w:val="18"/>
          <w:lang w:val="es-ES"/>
        </w:rPr>
      </w:pPr>
      <w:r w:rsidRPr="0029340D">
        <w:rPr>
          <w:rStyle w:val="Refdenotaalpie"/>
          <w:rFonts w:ascii="Century Gothic" w:eastAsia="Arial" w:hAnsi="Century Gothic"/>
          <w:sz w:val="18"/>
          <w:szCs w:val="18"/>
        </w:rPr>
        <w:footnoteRef/>
      </w:r>
      <w:r w:rsidRPr="0029340D">
        <w:rPr>
          <w:rFonts w:ascii="Century Gothic" w:hAnsi="Century Gothic" w:cs="Arial"/>
          <w:sz w:val="18"/>
          <w:szCs w:val="18"/>
        </w:rPr>
        <w:t xml:space="preserve"> “</w:t>
      </w:r>
      <w:r w:rsidRPr="0029340D">
        <w:rPr>
          <w:rFonts w:ascii="Century Gothic" w:hAnsi="Century Gothic" w:cs="Arial"/>
          <w:bCs/>
          <w:sz w:val="18"/>
          <w:szCs w:val="18"/>
          <w:shd w:val="clear" w:color="auto" w:fill="FFFFFF"/>
        </w:rPr>
        <w:t>2.2.1.2.1.5.2</w:t>
      </w:r>
      <w:r w:rsidRPr="0029340D">
        <w:rPr>
          <w:rFonts w:ascii="Century Gothic" w:hAnsi="Century Gothic" w:cs="Arial"/>
          <w:sz w:val="18"/>
          <w:szCs w:val="18"/>
          <w:lang w:val="es-ES"/>
        </w:rPr>
        <w:t xml:space="preserve">5. </w:t>
      </w:r>
      <w:r w:rsidRPr="0029340D">
        <w:rPr>
          <w:rFonts w:ascii="Century Gothic" w:hAnsi="Century Gothic" w:cs="Arial"/>
          <w:bCs/>
          <w:sz w:val="18"/>
          <w:szCs w:val="18"/>
          <w:lang w:val="es-ES"/>
        </w:rPr>
        <w:t>Procedimiento para la contratación de mínima cuantía.</w:t>
      </w:r>
      <w:r w:rsidRPr="0029340D">
        <w:rPr>
          <w:rFonts w:ascii="Century Gothic" w:hAnsi="Century Gothic" w:cs="Arial"/>
          <w:sz w:val="18"/>
          <w:szCs w:val="18"/>
          <w:lang w:val="es-ES"/>
        </w:rPr>
        <w:t> Las siguientes reglas son aplicables a la contratación cuyo valor no excede del diez por ciento (10%) de la menor cuantía de la Entidad Estatal, independientemente de su objeto: […]</w:t>
      </w:r>
    </w:p>
    <w:p w14:paraId="48593A04" w14:textId="61026634" w:rsidR="00112832" w:rsidRPr="0029340D" w:rsidRDefault="00112832" w:rsidP="009A0DB1">
      <w:pPr>
        <w:pStyle w:val="NormalWeb"/>
        <w:shd w:val="clear" w:color="auto" w:fill="FFFFFF"/>
        <w:spacing w:before="0" w:beforeAutospacing="0" w:after="0" w:afterAutospacing="0"/>
        <w:ind w:firstLine="708"/>
        <w:jc w:val="both"/>
        <w:rPr>
          <w:rFonts w:ascii="Century Gothic" w:hAnsi="Century Gothic" w:cs="Arial"/>
          <w:sz w:val="18"/>
          <w:szCs w:val="18"/>
          <w:lang w:val="es-ES"/>
        </w:rPr>
      </w:pPr>
      <w:r w:rsidRPr="0029340D">
        <w:rPr>
          <w:rFonts w:ascii="Century Gothic" w:hAnsi="Century Gothic" w:cs="Arial"/>
          <w:sz w:val="18"/>
          <w:szCs w:val="18"/>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3" w:anchor="5" w:history="1">
        <w:r w:rsidRPr="0029340D">
          <w:rPr>
            <w:rFonts w:ascii="Century Gothic" w:hAnsi="Century Gothic" w:cs="Arial"/>
            <w:sz w:val="18"/>
            <w:szCs w:val="18"/>
            <w:u w:val="single"/>
            <w:lang w:val="es-ES"/>
          </w:rPr>
          <w:t>5 </w:t>
        </w:r>
      </w:hyperlink>
      <w:r w:rsidRPr="0029340D">
        <w:rPr>
          <w:rFonts w:ascii="Century Gothic" w:hAnsi="Century Gothic" w:cs="Arial"/>
          <w:sz w:val="18"/>
          <w:szCs w:val="18"/>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29340D">
        <w:rPr>
          <w:rFonts w:ascii="Century Gothic" w:hAnsi="Century Gothic" w:cs="Arial"/>
          <w:sz w:val="18"/>
          <w:szCs w:val="18"/>
        </w:rPr>
        <w:t>”</w:t>
      </w:r>
      <w:r w:rsidRPr="0029340D">
        <w:rPr>
          <w:rFonts w:ascii="Century Gothic" w:hAnsi="Century Gothic" w:cs="Arial"/>
          <w:sz w:val="18"/>
          <w:szCs w:val="18"/>
          <w:lang w:val="es-ES"/>
        </w:rPr>
        <w:t>.</w:t>
      </w:r>
    </w:p>
  </w:footnote>
  <w:footnote w:id="15">
    <w:p w14:paraId="22137D80" w14:textId="77777777" w:rsidR="00112832" w:rsidRPr="0029340D" w:rsidRDefault="00112832" w:rsidP="00112832">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color w:val="000000"/>
          <w:sz w:val="18"/>
          <w:szCs w:val="18"/>
        </w:rPr>
        <w:footnoteRef/>
      </w:r>
      <w:r w:rsidRPr="0029340D">
        <w:rPr>
          <w:rFonts w:ascii="Century Gothic" w:hAnsi="Century Gothic" w:cs="Arial"/>
          <w:color w:val="000000"/>
          <w:sz w:val="18"/>
          <w:szCs w:val="18"/>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1DEA8F22" w14:textId="718E81A9" w:rsidR="00112832" w:rsidRPr="0029340D" w:rsidRDefault="00112832" w:rsidP="00112832">
      <w:pPr>
        <w:pStyle w:val="Textonotapie"/>
        <w:ind w:firstLine="709"/>
        <w:jc w:val="both"/>
        <w:rPr>
          <w:rFonts w:ascii="Century Gothic" w:hAnsi="Century Gothic" w:cs="Arial"/>
          <w:color w:val="000000"/>
          <w:sz w:val="18"/>
          <w:szCs w:val="18"/>
        </w:rPr>
      </w:pPr>
      <w:r w:rsidRPr="0029340D">
        <w:rPr>
          <w:rFonts w:ascii="Century Gothic" w:hAnsi="Century Gothic" w:cs="Arial"/>
          <w:color w:val="000000"/>
          <w:sz w:val="18"/>
          <w:szCs w:val="18"/>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footnote>
  <w:footnote w:id="16">
    <w:p w14:paraId="4A81D8FA" w14:textId="77777777" w:rsidR="00112832" w:rsidRPr="0029340D" w:rsidRDefault="00112832" w:rsidP="00112832">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sz w:val="18"/>
          <w:szCs w:val="18"/>
        </w:rPr>
        <w:footnoteRef/>
      </w:r>
      <w:r w:rsidRPr="0029340D">
        <w:rPr>
          <w:rFonts w:ascii="Century Gothic" w:hAnsi="Century Gothic" w:cs="Arial"/>
          <w:sz w:val="18"/>
          <w:szCs w:val="18"/>
        </w:rPr>
        <w:t xml:space="preserve"> </w:t>
      </w:r>
      <w:r w:rsidRPr="0029340D">
        <w:rPr>
          <w:rFonts w:ascii="Century Gothic" w:hAnsi="Century Gothic" w:cs="Arial"/>
          <w:color w:val="000000"/>
          <w:sz w:val="18"/>
          <w:szCs w:val="18"/>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726DCF8D" w14:textId="4589D93A" w:rsidR="00112832" w:rsidRDefault="00112832" w:rsidP="00112832">
      <w:pPr>
        <w:pStyle w:val="Textonotapie"/>
        <w:ind w:firstLine="709"/>
        <w:jc w:val="both"/>
        <w:rPr>
          <w:rFonts w:ascii="Century Gothic" w:hAnsi="Century Gothic" w:cs="Arial"/>
          <w:color w:val="000000"/>
          <w:sz w:val="18"/>
          <w:szCs w:val="18"/>
        </w:rPr>
      </w:pPr>
      <w:r w:rsidRPr="0029340D">
        <w:rPr>
          <w:rFonts w:ascii="Century Gothic" w:hAnsi="Century Gothic" w:cs="Arial"/>
          <w:color w:val="000000"/>
          <w:sz w:val="18"/>
          <w:szCs w:val="18"/>
        </w:rPr>
        <w:t xml:space="preserve">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Disponible en: </w:t>
      </w:r>
      <w:hyperlink r:id="rId4" w:history="1">
        <w:r w:rsidRPr="0029340D">
          <w:rPr>
            <w:rStyle w:val="Hipervnculo"/>
            <w:rFonts w:ascii="Century Gothic" w:hAnsi="Century Gothic" w:cs="Arial"/>
            <w:color w:val="000000"/>
            <w:sz w:val="18"/>
            <w:szCs w:val="18"/>
          </w:rPr>
          <w:t>https://www.colombiacompra.gov.co/content/circular-unica-externa</w:t>
        </w:r>
      </w:hyperlink>
    </w:p>
    <w:p w14:paraId="6C6D629B" w14:textId="77777777" w:rsidR="00D31856" w:rsidRPr="0029340D" w:rsidRDefault="00D31856" w:rsidP="00112832">
      <w:pPr>
        <w:pStyle w:val="Textonotapie"/>
        <w:ind w:firstLine="709"/>
        <w:jc w:val="both"/>
        <w:rPr>
          <w:rFonts w:ascii="Century Gothic" w:hAnsi="Century Gothic" w:cs="Arial"/>
          <w:sz w:val="18"/>
          <w:szCs w:val="18"/>
        </w:rPr>
      </w:pPr>
    </w:p>
  </w:footnote>
  <w:footnote w:id="17">
    <w:p w14:paraId="5F90ECA8" w14:textId="0DB24AF5" w:rsidR="00112832" w:rsidRPr="0029340D" w:rsidRDefault="00112832" w:rsidP="00112832">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color w:val="000000"/>
          <w:sz w:val="18"/>
          <w:szCs w:val="18"/>
        </w:rPr>
        <w:footnoteRef/>
      </w:r>
      <w:r w:rsidRPr="0029340D">
        <w:rPr>
          <w:rFonts w:ascii="Century Gothic" w:hAnsi="Century Gothic" w:cs="Arial"/>
          <w:color w:val="000000"/>
          <w:sz w:val="18"/>
          <w:szCs w:val="18"/>
        </w:rPr>
        <w:t xml:space="preserve"> Ver CONSEJO DE ESTADO, Sección Tercera, Subsección C. Sentencia del 26 de febrero de 2011. C.P. Jaime Orlando Santofimio. Rad. 36.408. </w:t>
      </w:r>
    </w:p>
  </w:footnote>
  <w:footnote w:id="18">
    <w:p w14:paraId="37AE3945" w14:textId="48EB9B95" w:rsidR="00112832" w:rsidRDefault="00112832" w:rsidP="00112832">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color w:val="000000"/>
          <w:sz w:val="18"/>
          <w:szCs w:val="18"/>
        </w:rPr>
        <w:footnoteRef/>
      </w:r>
      <w:r w:rsidRPr="0029340D">
        <w:rPr>
          <w:rFonts w:ascii="Century Gothic" w:hAnsi="Century Gothic" w:cs="Arial"/>
          <w:color w:val="000000"/>
          <w:sz w:val="18"/>
          <w:szCs w:val="18"/>
        </w:rPr>
        <w:t xml:space="preserve"> Ver CONSEJO DE ESTADO, Sección Tercera, Subsección C. Sentencia del 26 de febrero de 2014. C.P. Enrique Gil Botero. Rad. 25.804. </w:t>
      </w:r>
    </w:p>
    <w:p w14:paraId="18179EB1" w14:textId="77777777" w:rsidR="00E51469" w:rsidRPr="0029340D" w:rsidRDefault="00E51469" w:rsidP="00112832">
      <w:pPr>
        <w:pStyle w:val="Textonotapie"/>
        <w:ind w:firstLine="709"/>
        <w:jc w:val="both"/>
        <w:rPr>
          <w:rFonts w:ascii="Century Gothic" w:hAnsi="Century Gothic" w:cs="Arial"/>
          <w:color w:val="000000"/>
          <w:sz w:val="18"/>
          <w:szCs w:val="18"/>
        </w:rPr>
      </w:pPr>
    </w:p>
  </w:footnote>
  <w:footnote w:id="19">
    <w:p w14:paraId="31D7EB27" w14:textId="77777777" w:rsidR="00112832" w:rsidRPr="0029340D" w:rsidRDefault="00112832" w:rsidP="00112832">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color w:val="000000"/>
          <w:sz w:val="18"/>
          <w:szCs w:val="18"/>
        </w:rPr>
        <w:footnoteRef/>
      </w:r>
      <w:r w:rsidRPr="0029340D">
        <w:rPr>
          <w:rFonts w:ascii="Century Gothic" w:hAnsi="Century Gothic" w:cs="Arial"/>
          <w:color w:val="000000"/>
          <w:sz w:val="18"/>
          <w:szCs w:val="18"/>
        </w:rPr>
        <w:t xml:space="preserve"> CONSEJO DE ESTADO. Sala de Consulta y Servicio Civil. Concepto del 20 de mayo de 2010. Expediente: 1992. Consejero Ponente: Enrique José Arboleda Perdomo.</w:t>
      </w:r>
    </w:p>
  </w:footnote>
  <w:footnote w:id="20">
    <w:p w14:paraId="6EEFD1E0" w14:textId="77777777" w:rsidR="00A742A0" w:rsidRDefault="00A742A0" w:rsidP="00A742A0">
      <w:pPr>
        <w:pStyle w:val="Textonotapie"/>
        <w:ind w:firstLine="708"/>
        <w:jc w:val="both"/>
        <w:rPr>
          <w:rFonts w:ascii="Century Gothic" w:hAnsi="Century Gothic"/>
          <w:sz w:val="18"/>
          <w:szCs w:val="18"/>
        </w:rPr>
      </w:pPr>
      <w:r w:rsidRPr="007247A9">
        <w:rPr>
          <w:rStyle w:val="Refdenotaalpie"/>
          <w:rFonts w:ascii="Century Gothic" w:hAnsi="Century Gothic"/>
          <w:sz w:val="18"/>
          <w:szCs w:val="18"/>
        </w:rPr>
        <w:footnoteRef/>
      </w:r>
      <w:r w:rsidRPr="007247A9">
        <w:rPr>
          <w:rFonts w:ascii="Century Gothic" w:hAnsi="Century Gothic"/>
          <w:sz w:val="18"/>
          <w:szCs w:val="18"/>
        </w:rPr>
        <w:t xml:space="preserve"> Ver en línea </w:t>
      </w:r>
      <w:hyperlink r:id="rId5" w:history="1">
        <w:r w:rsidRPr="007247A9">
          <w:rPr>
            <w:rStyle w:val="Hipervnculo"/>
            <w:rFonts w:ascii="Century Gothic" w:hAnsi="Century Gothic"/>
            <w:sz w:val="18"/>
            <w:szCs w:val="18"/>
          </w:rPr>
          <w:t>https://colaboracion.dnp.gov.co/CDT/Normatividad/Memoria%20justificativa%20-%20Compras%20publicas.pdfm</w:t>
        </w:r>
      </w:hyperlink>
      <w:r w:rsidRPr="007247A9">
        <w:rPr>
          <w:rFonts w:ascii="Century Gothic" w:hAnsi="Century Gothic"/>
          <w:sz w:val="18"/>
          <w:szCs w:val="18"/>
        </w:rPr>
        <w:t xml:space="preserve"> </w:t>
      </w:r>
    </w:p>
    <w:p w14:paraId="3EC287DB" w14:textId="77777777" w:rsidR="005B23EC" w:rsidRPr="007247A9" w:rsidRDefault="005B23EC" w:rsidP="00A742A0">
      <w:pPr>
        <w:pStyle w:val="Textonotapie"/>
        <w:ind w:firstLine="708"/>
        <w:jc w:val="both"/>
        <w:rPr>
          <w:rFonts w:ascii="Century Gothic" w:hAnsi="Century Gothic"/>
          <w:sz w:val="18"/>
          <w:szCs w:val="18"/>
        </w:rPr>
      </w:pPr>
    </w:p>
  </w:footnote>
  <w:footnote w:id="21">
    <w:p w14:paraId="01537464" w14:textId="77777777" w:rsidR="00A742A0" w:rsidRDefault="00A742A0" w:rsidP="00A742A0">
      <w:pPr>
        <w:pStyle w:val="Textonotapie"/>
        <w:ind w:firstLine="708"/>
        <w:jc w:val="both"/>
        <w:rPr>
          <w:rFonts w:ascii="Century Gothic" w:hAnsi="Century Gothic"/>
          <w:sz w:val="18"/>
          <w:szCs w:val="18"/>
        </w:rPr>
      </w:pPr>
      <w:r w:rsidRPr="007247A9">
        <w:rPr>
          <w:rStyle w:val="Refdenotaalpie"/>
          <w:rFonts w:ascii="Century Gothic" w:hAnsi="Century Gothic"/>
          <w:sz w:val="18"/>
          <w:szCs w:val="18"/>
        </w:rPr>
        <w:footnoteRef/>
      </w:r>
      <w:r w:rsidRPr="007247A9">
        <w:rPr>
          <w:rFonts w:ascii="Century Gothic" w:hAnsi="Century Gothic"/>
          <w:sz w:val="18"/>
          <w:szCs w:val="18"/>
        </w:rPr>
        <w:t xml:space="preserve"> Corte Constitucional, Sentencia de constitucionalidad C-1005 de 2008. M.P. Humberto Antonio Sierra Porto.</w:t>
      </w:r>
    </w:p>
    <w:p w14:paraId="79A4D719" w14:textId="77777777" w:rsidR="00A742A0" w:rsidRPr="007247A9" w:rsidRDefault="00A742A0" w:rsidP="00A742A0">
      <w:pPr>
        <w:pStyle w:val="Textonotapie"/>
        <w:ind w:firstLine="708"/>
        <w:jc w:val="both"/>
        <w:rPr>
          <w:rFonts w:ascii="Century Gothic" w:hAnsi="Century Gothic"/>
          <w:sz w:val="18"/>
          <w:szCs w:val="18"/>
        </w:rPr>
      </w:pPr>
    </w:p>
  </w:footnote>
  <w:footnote w:id="22">
    <w:p w14:paraId="43DCD1D2" w14:textId="77777777" w:rsidR="00A742A0" w:rsidRDefault="00A742A0" w:rsidP="00A742A0">
      <w:pPr>
        <w:pStyle w:val="Textonotapie"/>
        <w:ind w:firstLine="708"/>
        <w:jc w:val="both"/>
        <w:rPr>
          <w:rFonts w:ascii="Century Gothic" w:hAnsi="Century Gothic"/>
          <w:sz w:val="18"/>
          <w:szCs w:val="18"/>
        </w:rPr>
      </w:pPr>
      <w:r w:rsidRPr="007247A9">
        <w:rPr>
          <w:rStyle w:val="Refdenotaalpie"/>
          <w:rFonts w:ascii="Century Gothic" w:hAnsi="Century Gothic"/>
          <w:sz w:val="18"/>
          <w:szCs w:val="18"/>
        </w:rPr>
        <w:footnoteRef/>
      </w:r>
      <w:r w:rsidRPr="007247A9">
        <w:rPr>
          <w:rFonts w:ascii="Century Gothic" w:hAnsi="Century Gothic"/>
          <w:sz w:val="18"/>
          <w:szCs w:val="18"/>
        </w:rPr>
        <w:t xml:space="preserve"> Consejo de Estado. Sección Primera. Sentencia del 20 de noviembre de 2014. Rad. 1101-03-24-000-2010-00119-00.</w:t>
      </w:r>
    </w:p>
    <w:p w14:paraId="096A2E59" w14:textId="77777777" w:rsidR="00A742A0" w:rsidRPr="007247A9" w:rsidRDefault="00A742A0" w:rsidP="00A742A0">
      <w:pPr>
        <w:pStyle w:val="Textonotapie"/>
        <w:ind w:firstLine="708"/>
        <w:jc w:val="both"/>
        <w:rPr>
          <w:rFonts w:ascii="Century Gothic" w:hAnsi="Century Gothic"/>
          <w:sz w:val="18"/>
          <w:szCs w:val="18"/>
        </w:rPr>
      </w:pPr>
    </w:p>
  </w:footnote>
  <w:footnote w:id="23">
    <w:p w14:paraId="4F5BACFC" w14:textId="77777777" w:rsidR="00A742A0" w:rsidRPr="007247A9" w:rsidRDefault="00A742A0" w:rsidP="00A742A0">
      <w:pPr>
        <w:pStyle w:val="Textonotapie"/>
        <w:ind w:firstLine="708"/>
        <w:contextualSpacing/>
        <w:jc w:val="both"/>
        <w:rPr>
          <w:rFonts w:ascii="Century Gothic" w:hAnsi="Century Gothic" w:cs="Arial"/>
          <w:sz w:val="18"/>
          <w:szCs w:val="18"/>
        </w:rPr>
      </w:pPr>
      <w:r w:rsidRPr="007247A9">
        <w:rPr>
          <w:rStyle w:val="Refdenotaalpie"/>
          <w:rFonts w:ascii="Century Gothic" w:hAnsi="Century Gothic" w:cs="Arial"/>
          <w:sz w:val="18"/>
          <w:szCs w:val="18"/>
        </w:rPr>
        <w:footnoteRef/>
      </w:r>
      <w:r w:rsidRPr="007247A9">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6" w:history="1">
        <w:r w:rsidRPr="007247A9">
          <w:rPr>
            <w:rStyle w:val="Hipervnculo"/>
            <w:rFonts w:ascii="Century Gothic" w:hAnsi="Century Gothic"/>
            <w:sz w:val="18"/>
            <w:szCs w:val="18"/>
          </w:rPr>
          <w:t>https://relatoria.colombiacompra.gov.co/busqueda/conceptos</w:t>
        </w:r>
      </w:hyperlink>
      <w:r w:rsidRPr="007247A9">
        <w:rPr>
          <w:rStyle w:val="Hipervnculo"/>
          <w:rFonts w:ascii="Century Gothic" w:hAnsi="Century Gothic"/>
          <w:sz w:val="18"/>
          <w:szCs w:val="18"/>
        </w:rPr>
        <w:t xml:space="preserve">. </w:t>
      </w:r>
      <w:r w:rsidRPr="007247A9">
        <w:rPr>
          <w:rFonts w:ascii="Century Gothic" w:hAnsi="Century Gothic" w:cs="Arial"/>
          <w:sz w:val="18"/>
          <w:szCs w:val="18"/>
          <w:shd w:val="clear" w:color="auto" w:fill="E6E6E6"/>
        </w:rPr>
        <w:t xml:space="preserve"> </w:t>
      </w:r>
    </w:p>
    <w:p w14:paraId="0B081784" w14:textId="77777777" w:rsidR="00A742A0" w:rsidRPr="007247A9" w:rsidRDefault="00A742A0" w:rsidP="00A742A0">
      <w:pPr>
        <w:pStyle w:val="Textonotapie"/>
        <w:ind w:firstLine="708"/>
        <w:contextualSpacing/>
        <w:jc w:val="both"/>
        <w:rPr>
          <w:rFonts w:ascii="Century Gothic" w:hAnsi="Century Gothic" w:cs="Arial"/>
          <w:sz w:val="18"/>
          <w:szCs w:val="18"/>
          <w:lang w:val="es-CO"/>
        </w:rPr>
      </w:pPr>
    </w:p>
  </w:footnote>
  <w:footnote w:id="24">
    <w:p w14:paraId="507ADFDF" w14:textId="77777777" w:rsidR="00A742A0" w:rsidRPr="007247A9" w:rsidRDefault="00A742A0" w:rsidP="00A742A0">
      <w:pPr>
        <w:pStyle w:val="Textonotapie"/>
        <w:ind w:firstLine="709"/>
        <w:contextualSpacing/>
        <w:jc w:val="both"/>
        <w:rPr>
          <w:rFonts w:ascii="Century Gothic" w:hAnsi="Century Gothic" w:cs="Arial"/>
          <w:color w:val="000000" w:themeColor="text1"/>
          <w:sz w:val="18"/>
          <w:szCs w:val="18"/>
          <w:lang w:val="es-ES"/>
        </w:rPr>
      </w:pPr>
      <w:r w:rsidRPr="007247A9">
        <w:rPr>
          <w:rStyle w:val="Refdenotaalpie"/>
          <w:rFonts w:ascii="Century Gothic" w:hAnsi="Century Gothic" w:cs="Arial"/>
          <w:color w:val="000000" w:themeColor="text1"/>
          <w:sz w:val="18"/>
          <w:szCs w:val="18"/>
        </w:rPr>
        <w:footnoteRef/>
      </w:r>
      <w:r w:rsidRPr="007247A9">
        <w:rPr>
          <w:rFonts w:ascii="Century Gothic" w:hAnsi="Century Gothic" w:cs="Arial"/>
          <w:color w:val="000000" w:themeColor="text1"/>
          <w:sz w:val="18"/>
          <w:szCs w:val="18"/>
        </w:rPr>
        <w:t xml:space="preserve"> </w:t>
      </w:r>
      <w:r w:rsidRPr="007247A9">
        <w:rPr>
          <w:rFonts w:ascii="Century Gothic" w:hAnsi="Century Gothic" w:cs="Arial"/>
          <w:color w:val="000000" w:themeColor="text1"/>
          <w:sz w:val="18"/>
          <w:szCs w:val="18"/>
          <w:lang w:val="es-ES"/>
        </w:rPr>
        <w:t>Al respecto, conviene recordar el artículo 29 de la Ley 80 de 1993, derogado por el artículo 32 de la Ley 1150 de 2007, que establecía: “La selección de contratistas será objetiva.</w:t>
      </w:r>
    </w:p>
    <w:p w14:paraId="14EB3B57" w14:textId="77777777" w:rsidR="00A742A0" w:rsidRPr="007247A9" w:rsidRDefault="00A742A0" w:rsidP="00A742A0">
      <w:pPr>
        <w:pStyle w:val="Textonotapie"/>
        <w:ind w:firstLine="709"/>
        <w:contextualSpacing/>
        <w:jc w:val="both"/>
        <w:rPr>
          <w:rFonts w:ascii="Century Gothic" w:hAnsi="Century Gothic" w:cs="Arial"/>
          <w:color w:val="000000" w:themeColor="text1"/>
          <w:sz w:val="18"/>
          <w:szCs w:val="18"/>
          <w:lang w:val="es-ES"/>
        </w:rPr>
      </w:pPr>
      <w:r w:rsidRPr="007247A9">
        <w:rPr>
          <w:rFonts w:ascii="Century Gothic" w:hAnsi="Century Gothic" w:cs="Arial"/>
          <w:color w:val="000000" w:themeColor="text1"/>
          <w:sz w:val="18"/>
          <w:szCs w:val="18"/>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1F503D78" w14:textId="77777777" w:rsidR="00A742A0" w:rsidRPr="007247A9" w:rsidRDefault="00A742A0" w:rsidP="00A742A0">
      <w:pPr>
        <w:pStyle w:val="Textonotapie"/>
        <w:ind w:firstLine="709"/>
        <w:contextualSpacing/>
        <w:jc w:val="both"/>
        <w:rPr>
          <w:rFonts w:ascii="Century Gothic" w:hAnsi="Century Gothic" w:cs="Arial"/>
          <w:color w:val="000000" w:themeColor="text1"/>
          <w:sz w:val="18"/>
          <w:szCs w:val="18"/>
          <w:lang w:val="es-ES"/>
        </w:rPr>
      </w:pPr>
      <w:r w:rsidRPr="007247A9">
        <w:rPr>
          <w:rFonts w:ascii="Century Gothic" w:hAnsi="Century Gothic" w:cs="Arial"/>
          <w:color w:val="000000" w:themeColor="text1"/>
          <w:sz w:val="18"/>
          <w:szCs w:val="18"/>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6452D54C" w14:textId="77777777" w:rsidR="00A742A0" w:rsidRPr="007247A9" w:rsidRDefault="00A742A0" w:rsidP="00A742A0">
      <w:pPr>
        <w:pStyle w:val="Textonotapie"/>
        <w:ind w:firstLine="709"/>
        <w:contextualSpacing/>
        <w:jc w:val="both"/>
        <w:rPr>
          <w:rFonts w:ascii="Century Gothic" w:hAnsi="Century Gothic" w:cs="Arial"/>
          <w:color w:val="000000" w:themeColor="text1"/>
          <w:sz w:val="18"/>
          <w:szCs w:val="18"/>
          <w:lang w:val="es-ES"/>
        </w:rPr>
      </w:pPr>
      <w:r w:rsidRPr="007247A9">
        <w:rPr>
          <w:rFonts w:ascii="Century Gothic" w:hAnsi="Century Gothic" w:cs="Arial"/>
          <w:color w:val="000000" w:themeColor="text1"/>
          <w:sz w:val="18"/>
          <w:szCs w:val="18"/>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58CDA0FF" w14:textId="77777777" w:rsidR="00A742A0" w:rsidRPr="007247A9" w:rsidRDefault="00A742A0" w:rsidP="00A742A0">
      <w:pPr>
        <w:pStyle w:val="Textonotapie"/>
        <w:ind w:firstLine="709"/>
        <w:contextualSpacing/>
        <w:jc w:val="both"/>
        <w:rPr>
          <w:rFonts w:ascii="Century Gothic" w:hAnsi="Century Gothic" w:cs="Arial"/>
          <w:color w:val="000000" w:themeColor="text1"/>
          <w:sz w:val="18"/>
          <w:szCs w:val="18"/>
          <w:lang w:val="es-ES"/>
        </w:rPr>
      </w:pPr>
      <w:r w:rsidRPr="007247A9">
        <w:rPr>
          <w:rFonts w:ascii="Century Gothic" w:hAnsi="Century Gothic" w:cs="Arial"/>
          <w:color w:val="000000" w:themeColor="text1"/>
          <w:sz w:val="18"/>
          <w:szCs w:val="18"/>
          <w:lang w:val="es-ES"/>
        </w:rPr>
        <w:t>“En caso de comparación de propuestas nacionales y extranjeras, se incluirán los costos necesarios para la entrega del producto terminado en el lugar de su utilización”.</w:t>
      </w:r>
    </w:p>
  </w:footnote>
  <w:footnote w:id="25">
    <w:p w14:paraId="63A62F0D" w14:textId="77777777" w:rsidR="00A742A0" w:rsidRPr="007247A9" w:rsidRDefault="00A742A0" w:rsidP="00A742A0">
      <w:pPr>
        <w:pStyle w:val="Textonotapie"/>
        <w:ind w:firstLine="709"/>
        <w:contextualSpacing/>
        <w:jc w:val="both"/>
        <w:rPr>
          <w:rFonts w:ascii="Century Gothic" w:hAnsi="Century Gothic" w:cs="Arial"/>
          <w:color w:val="000000" w:themeColor="text1"/>
          <w:sz w:val="18"/>
          <w:szCs w:val="18"/>
          <w:lang w:val="es-ES"/>
        </w:rPr>
      </w:pPr>
      <w:r w:rsidRPr="007247A9">
        <w:rPr>
          <w:rStyle w:val="Refdenotaalpie"/>
          <w:rFonts w:ascii="Century Gothic" w:hAnsi="Century Gothic" w:cs="Arial"/>
          <w:color w:val="000000" w:themeColor="text1"/>
          <w:sz w:val="18"/>
          <w:szCs w:val="18"/>
        </w:rPr>
        <w:footnoteRef/>
      </w:r>
      <w:r w:rsidRPr="007247A9">
        <w:rPr>
          <w:rFonts w:ascii="Century Gothic" w:hAnsi="Century Gothic" w:cs="Arial"/>
          <w:color w:val="000000" w:themeColor="text1"/>
          <w:sz w:val="18"/>
          <w:szCs w:val="18"/>
        </w:rPr>
        <w:t xml:space="preserve"> Consejo de Estado. Sección Tercera. Subsección A. Sentencia del 25 de octubre de 2019. Exp. 39.945. Consejera Ponente: María Adriana Marín.</w:t>
      </w:r>
    </w:p>
  </w:footnote>
  <w:footnote w:id="26">
    <w:p w14:paraId="7967EC72" w14:textId="77777777" w:rsidR="00A742A0" w:rsidRPr="007247A9" w:rsidRDefault="00A742A0" w:rsidP="00A742A0">
      <w:pPr>
        <w:pStyle w:val="Textonotapie"/>
        <w:ind w:firstLine="709"/>
        <w:contextualSpacing/>
        <w:jc w:val="both"/>
        <w:rPr>
          <w:rFonts w:ascii="Century Gothic" w:hAnsi="Century Gothic" w:cs="Arial"/>
          <w:color w:val="000000" w:themeColor="text1"/>
          <w:sz w:val="18"/>
          <w:szCs w:val="18"/>
          <w:lang w:val="es-ES"/>
        </w:rPr>
      </w:pPr>
      <w:r w:rsidRPr="007247A9">
        <w:rPr>
          <w:rStyle w:val="Refdenotaalpie"/>
          <w:rFonts w:ascii="Century Gothic" w:hAnsi="Century Gothic" w:cs="Arial"/>
          <w:color w:val="000000" w:themeColor="text1"/>
          <w:sz w:val="18"/>
          <w:szCs w:val="18"/>
        </w:rPr>
        <w:footnoteRef/>
      </w:r>
      <w:r w:rsidRPr="007247A9">
        <w:rPr>
          <w:rStyle w:val="Refdenotaalpie"/>
          <w:rFonts w:ascii="Century Gothic" w:hAnsi="Century Gothic" w:cs="Arial"/>
          <w:color w:val="000000" w:themeColor="text1"/>
          <w:sz w:val="18"/>
          <w:szCs w:val="18"/>
        </w:rPr>
        <w:t xml:space="preserve"> </w:t>
      </w:r>
      <w:r w:rsidRPr="007247A9">
        <w:rPr>
          <w:rFonts w:ascii="Century Gothic" w:hAnsi="Century Gothic" w:cs="Arial"/>
          <w:color w:val="000000" w:themeColor="text1"/>
          <w:sz w:val="18"/>
          <w:szCs w:val="18"/>
        </w:rPr>
        <w:t>Consejo de Estado. Sección Tercera. Subsección A. Sentencia del 5 de julio de 2018. Exp. 37.834. Consejero Ponente: Carlos Alberto Zambrano Barrera.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CCD0A55"/>
    <w:multiLevelType w:val="multilevel"/>
    <w:tmpl w:val="05701A6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48779781">
    <w:abstractNumId w:val="2"/>
  </w:num>
  <w:num w:numId="2" w16cid:durableId="19822139">
    <w:abstractNumId w:val="0"/>
  </w:num>
  <w:num w:numId="3" w16cid:durableId="876742304">
    <w:abstractNumId w:val="1"/>
  </w:num>
  <w:num w:numId="4" w16cid:durableId="245186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 w:numId="6" w16cid:durableId="883522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FA7"/>
    <w:rsid w:val="00021A45"/>
    <w:rsid w:val="000325FB"/>
    <w:rsid w:val="000454BA"/>
    <w:rsid w:val="0009440D"/>
    <w:rsid w:val="000A683E"/>
    <w:rsid w:val="000B19B9"/>
    <w:rsid w:val="000C6826"/>
    <w:rsid w:val="000D0334"/>
    <w:rsid w:val="000D70B4"/>
    <w:rsid w:val="000F6486"/>
    <w:rsid w:val="0010092E"/>
    <w:rsid w:val="00112832"/>
    <w:rsid w:val="00125105"/>
    <w:rsid w:val="00127233"/>
    <w:rsid w:val="00137367"/>
    <w:rsid w:val="001420A0"/>
    <w:rsid w:val="00161CB2"/>
    <w:rsid w:val="001D3A3F"/>
    <w:rsid w:val="001E4177"/>
    <w:rsid w:val="00217D6E"/>
    <w:rsid w:val="00252DD3"/>
    <w:rsid w:val="00264A93"/>
    <w:rsid w:val="0029340D"/>
    <w:rsid w:val="00294457"/>
    <w:rsid w:val="002951A0"/>
    <w:rsid w:val="002962BC"/>
    <w:rsid w:val="002A093D"/>
    <w:rsid w:val="002A49AC"/>
    <w:rsid w:val="002A64FD"/>
    <w:rsid w:val="002C7A84"/>
    <w:rsid w:val="00305083"/>
    <w:rsid w:val="00317159"/>
    <w:rsid w:val="00324AA5"/>
    <w:rsid w:val="003448F4"/>
    <w:rsid w:val="00372CCC"/>
    <w:rsid w:val="003A58E9"/>
    <w:rsid w:val="003A779E"/>
    <w:rsid w:val="003D0F4D"/>
    <w:rsid w:val="003E0499"/>
    <w:rsid w:val="003E2652"/>
    <w:rsid w:val="003E3439"/>
    <w:rsid w:val="003F2516"/>
    <w:rsid w:val="003F3941"/>
    <w:rsid w:val="00400548"/>
    <w:rsid w:val="0041429B"/>
    <w:rsid w:val="004206B5"/>
    <w:rsid w:val="0044510C"/>
    <w:rsid w:val="004A1847"/>
    <w:rsid w:val="004A305D"/>
    <w:rsid w:val="004C3CB0"/>
    <w:rsid w:val="004D3F12"/>
    <w:rsid w:val="004F21C4"/>
    <w:rsid w:val="004F685F"/>
    <w:rsid w:val="00520D93"/>
    <w:rsid w:val="00542EE9"/>
    <w:rsid w:val="005566E8"/>
    <w:rsid w:val="00574867"/>
    <w:rsid w:val="005B23EC"/>
    <w:rsid w:val="005B57A4"/>
    <w:rsid w:val="005C5CDC"/>
    <w:rsid w:val="005C7314"/>
    <w:rsid w:val="005C756F"/>
    <w:rsid w:val="005D476C"/>
    <w:rsid w:val="005E75E6"/>
    <w:rsid w:val="00610E9C"/>
    <w:rsid w:val="006219F8"/>
    <w:rsid w:val="00634B38"/>
    <w:rsid w:val="00660BBF"/>
    <w:rsid w:val="00665D70"/>
    <w:rsid w:val="006701BE"/>
    <w:rsid w:val="006B2C60"/>
    <w:rsid w:val="006C0499"/>
    <w:rsid w:val="006C2FBF"/>
    <w:rsid w:val="006C4D95"/>
    <w:rsid w:val="00706C16"/>
    <w:rsid w:val="007119BC"/>
    <w:rsid w:val="00713597"/>
    <w:rsid w:val="00752B51"/>
    <w:rsid w:val="00756841"/>
    <w:rsid w:val="007649AB"/>
    <w:rsid w:val="007833AC"/>
    <w:rsid w:val="00791F8A"/>
    <w:rsid w:val="007B47D5"/>
    <w:rsid w:val="007B7171"/>
    <w:rsid w:val="007B7905"/>
    <w:rsid w:val="007C3DC2"/>
    <w:rsid w:val="007D6BE1"/>
    <w:rsid w:val="007E390C"/>
    <w:rsid w:val="007E5497"/>
    <w:rsid w:val="007F1DE6"/>
    <w:rsid w:val="00806F5F"/>
    <w:rsid w:val="00820278"/>
    <w:rsid w:val="008324BE"/>
    <w:rsid w:val="00842768"/>
    <w:rsid w:val="008643CE"/>
    <w:rsid w:val="008842BB"/>
    <w:rsid w:val="008843B6"/>
    <w:rsid w:val="00891928"/>
    <w:rsid w:val="008A13AE"/>
    <w:rsid w:val="008A446D"/>
    <w:rsid w:val="008C5D85"/>
    <w:rsid w:val="008F0548"/>
    <w:rsid w:val="008F0EA7"/>
    <w:rsid w:val="008F77D9"/>
    <w:rsid w:val="00923EEF"/>
    <w:rsid w:val="0093617E"/>
    <w:rsid w:val="009419F9"/>
    <w:rsid w:val="009617F1"/>
    <w:rsid w:val="00961B09"/>
    <w:rsid w:val="00965334"/>
    <w:rsid w:val="0097093E"/>
    <w:rsid w:val="00984A3D"/>
    <w:rsid w:val="009A0DB1"/>
    <w:rsid w:val="009C2307"/>
    <w:rsid w:val="009C71FA"/>
    <w:rsid w:val="009C72E7"/>
    <w:rsid w:val="009D57C6"/>
    <w:rsid w:val="009F30C9"/>
    <w:rsid w:val="00A17F13"/>
    <w:rsid w:val="00A20739"/>
    <w:rsid w:val="00A33C78"/>
    <w:rsid w:val="00A46AA4"/>
    <w:rsid w:val="00A5540E"/>
    <w:rsid w:val="00A625BB"/>
    <w:rsid w:val="00A674FA"/>
    <w:rsid w:val="00A72706"/>
    <w:rsid w:val="00A742A0"/>
    <w:rsid w:val="00A86D46"/>
    <w:rsid w:val="00AA3E4B"/>
    <w:rsid w:val="00AB0ADB"/>
    <w:rsid w:val="00AB1009"/>
    <w:rsid w:val="00B04C7F"/>
    <w:rsid w:val="00B470F0"/>
    <w:rsid w:val="00B6735E"/>
    <w:rsid w:val="00B72CD3"/>
    <w:rsid w:val="00B72FFF"/>
    <w:rsid w:val="00B92B56"/>
    <w:rsid w:val="00B92E93"/>
    <w:rsid w:val="00BD4563"/>
    <w:rsid w:val="00BD7F72"/>
    <w:rsid w:val="00BE0F2A"/>
    <w:rsid w:val="00C04FB3"/>
    <w:rsid w:val="00C233DE"/>
    <w:rsid w:val="00C316F4"/>
    <w:rsid w:val="00C330EB"/>
    <w:rsid w:val="00C41FCB"/>
    <w:rsid w:val="00C754BE"/>
    <w:rsid w:val="00C912A8"/>
    <w:rsid w:val="00C93080"/>
    <w:rsid w:val="00CA6378"/>
    <w:rsid w:val="00CB6357"/>
    <w:rsid w:val="00CC1B26"/>
    <w:rsid w:val="00CD0EEB"/>
    <w:rsid w:val="00CD58D2"/>
    <w:rsid w:val="00CD6114"/>
    <w:rsid w:val="00D31856"/>
    <w:rsid w:val="00D423A2"/>
    <w:rsid w:val="00D63AC2"/>
    <w:rsid w:val="00D7383B"/>
    <w:rsid w:val="00D85E26"/>
    <w:rsid w:val="00DA231B"/>
    <w:rsid w:val="00DE363D"/>
    <w:rsid w:val="00E13246"/>
    <w:rsid w:val="00E16408"/>
    <w:rsid w:val="00E20894"/>
    <w:rsid w:val="00E245AB"/>
    <w:rsid w:val="00E50AFE"/>
    <w:rsid w:val="00E51469"/>
    <w:rsid w:val="00E7565E"/>
    <w:rsid w:val="00E766D0"/>
    <w:rsid w:val="00E771DC"/>
    <w:rsid w:val="00E81A7C"/>
    <w:rsid w:val="00E8772A"/>
    <w:rsid w:val="00E90F6B"/>
    <w:rsid w:val="00E92C27"/>
    <w:rsid w:val="00EA0E3D"/>
    <w:rsid w:val="00EE1AA8"/>
    <w:rsid w:val="00EE39B7"/>
    <w:rsid w:val="00F055B0"/>
    <w:rsid w:val="00F204AB"/>
    <w:rsid w:val="00F31EDC"/>
    <w:rsid w:val="00F5664F"/>
    <w:rsid w:val="00F67492"/>
    <w:rsid w:val="00F76AFC"/>
    <w:rsid w:val="00F95D49"/>
    <w:rsid w:val="00FB5DD1"/>
    <w:rsid w:val="00FC2B5D"/>
    <w:rsid w:val="00FE18FC"/>
    <w:rsid w:val="00FF1449"/>
    <w:rsid w:val="464BB532"/>
    <w:rsid w:val="5411EC76"/>
    <w:rsid w:val="75D81C30"/>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12832"/>
    <w:rPr>
      <w:rFonts w:ascii="Geomanist Light" w:hAnsi="Geomanist Light"/>
      <w:lang w:val="es-ES"/>
    </w:rPr>
  </w:style>
  <w:style w:type="paragraph" w:styleId="Textoindependiente">
    <w:name w:val="Body Text"/>
    <w:basedOn w:val="Normal"/>
    <w:link w:val="TextoindependienteCar"/>
    <w:uiPriority w:val="1"/>
    <w:qFormat/>
    <w:rsid w:val="00112832"/>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112832"/>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112832"/>
    <w:pPr>
      <w:spacing w:line="240" w:lineRule="exact"/>
    </w:pPr>
    <w:rPr>
      <w:vertAlign w:val="superscript"/>
    </w:rPr>
  </w:style>
  <w:style w:type="paragraph" w:styleId="Sinespaciado">
    <w:name w:val="No Spacing"/>
    <w:aliases w:val="No Indent"/>
    <w:uiPriority w:val="3"/>
    <w:qFormat/>
    <w:rsid w:val="00112832"/>
    <w:pPr>
      <w:spacing w:after="0" w:line="240" w:lineRule="auto"/>
    </w:pPr>
    <w:rPr>
      <w:sz w:val="24"/>
      <w:lang w:val="es-MX"/>
    </w:rPr>
  </w:style>
  <w:style w:type="paragraph" w:styleId="Textocomentario">
    <w:name w:val="annotation text"/>
    <w:basedOn w:val="Normal"/>
    <w:link w:val="TextocomentarioCar"/>
    <w:uiPriority w:val="99"/>
    <w:unhideWhenUsed/>
    <w:rsid w:val="00112832"/>
    <w:pPr>
      <w:spacing w:line="240" w:lineRule="auto"/>
    </w:pPr>
    <w:rPr>
      <w:sz w:val="20"/>
      <w:szCs w:val="20"/>
    </w:rPr>
  </w:style>
  <w:style w:type="character" w:customStyle="1" w:styleId="TextocomentarioCar">
    <w:name w:val="Texto comentario Car"/>
    <w:basedOn w:val="Fuentedeprrafopredeter"/>
    <w:link w:val="Textocomentario"/>
    <w:uiPriority w:val="99"/>
    <w:rsid w:val="00112832"/>
    <w:rPr>
      <w:sz w:val="20"/>
      <w:szCs w:val="20"/>
    </w:rPr>
  </w:style>
  <w:style w:type="character" w:customStyle="1" w:styleId="Hipervnculo1">
    <w:name w:val="Hipervínculo1"/>
    <w:basedOn w:val="Fuentedeprrafopredeter"/>
    <w:uiPriority w:val="99"/>
    <w:unhideWhenUsed/>
    <w:rsid w:val="00112832"/>
    <w:rPr>
      <w:color w:val="F2F2F2"/>
      <w:u w:val="single"/>
    </w:rPr>
  </w:style>
  <w:style w:type="paragraph" w:styleId="NormalWeb">
    <w:name w:val="Normal (Web)"/>
    <w:basedOn w:val="Normal"/>
    <w:link w:val="NormalWebCar"/>
    <w:uiPriority w:val="99"/>
    <w:unhideWhenUsed/>
    <w:rsid w:val="0011283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112832"/>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25678" TargetMode="External"/><Relationship Id="rId2" Type="http://schemas.openxmlformats.org/officeDocument/2006/relationships/hyperlink" Target="https://colombiacompra.gov.co/sites/cce_public/files/cce_circulares/cce-eicp-ma-06_circular_externa_con_comentarios_de_ciudadanos-_v2f_002.pdf"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relatoria.colombiacompra.gov.co/busqueda/conceptos" TargetMode="External"/><Relationship Id="rId5" Type="http://schemas.openxmlformats.org/officeDocument/2006/relationships/hyperlink" Target="https://colaboracion.dnp.gov.co/CDT/Normatividad/Memoria%20justificativa%20-%20Compras%20publicas.pdfm" TargetMode="External"/><Relationship Id="rId4" Type="http://schemas.openxmlformats.org/officeDocument/2006/relationships/hyperlink" Target="https://www.colombiacompra.gov.co/content/circular-unica-extern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6F1A1AE5-7B45-408B-BC7D-477E3C041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2D489-47C9-487C-A99C-8A914C6B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7428</Words>
  <Characters>40860</Characters>
  <Application>Microsoft Office Word</Application>
  <DocSecurity>0</DocSecurity>
  <Lines>340</Lines>
  <Paragraphs>96</Paragraphs>
  <ScaleCrop>false</ScaleCrop>
  <Company/>
  <LinksUpToDate>false</LinksUpToDate>
  <CharactersWithSpaces>48192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2023-11-14T22:33:00Z</dcterms:created>
  <dcterms:modified xsi:type="dcterms:W3CDTF">2023-11-14T22:33:00Z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