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DB98" w14:textId="77777777" w:rsidR="00694029" w:rsidRDefault="00694029" w:rsidP="00694029">
      <w:pPr>
        <w:spacing w:after="0" w:line="240" w:lineRule="auto"/>
        <w:jc w:val="both"/>
        <w:rPr>
          <w:rFonts w:ascii="Arial" w:eastAsia="Calibri" w:hAnsi="Arial" w:cs="Arial"/>
          <w:b/>
          <w:bCs/>
          <w:color w:val="000000" w:themeColor="text1"/>
          <w:sz w:val="20"/>
          <w:szCs w:val="20"/>
        </w:rPr>
      </w:pPr>
      <w:bookmarkStart w:id="0" w:name="_Hlk94281581"/>
      <w:bookmarkStart w:id="1" w:name="_Hlk102489058"/>
      <w:bookmarkStart w:id="2" w:name="_Hlk34951122"/>
    </w:p>
    <w:p w14:paraId="0B212C8A" w14:textId="77777777" w:rsidR="00694029" w:rsidRDefault="00694029" w:rsidP="00694029">
      <w:pPr>
        <w:spacing w:after="0" w:line="240" w:lineRule="auto"/>
        <w:jc w:val="both"/>
        <w:rPr>
          <w:rFonts w:ascii="Arial" w:eastAsia="Calibri" w:hAnsi="Arial" w:cs="Arial"/>
          <w:b/>
          <w:lang w:val="es-ES_tradnl"/>
        </w:rPr>
      </w:pPr>
      <w:r>
        <w:rPr>
          <w:rFonts w:ascii="Arial" w:eastAsia="Calibri" w:hAnsi="Arial" w:cs="Arial"/>
          <w:b/>
          <w:lang w:val="es-ES_tradnl"/>
        </w:rPr>
        <w:t xml:space="preserve">LEY DE EMPRENDIMIENTO – Ley 2069 de 2020 – Vigencia </w:t>
      </w:r>
    </w:p>
    <w:p w14:paraId="12B66734" w14:textId="77777777" w:rsidR="00694029" w:rsidRDefault="00694029" w:rsidP="00694029">
      <w:pPr>
        <w:spacing w:after="0" w:line="240" w:lineRule="auto"/>
        <w:jc w:val="both"/>
        <w:rPr>
          <w:rFonts w:ascii="Arial" w:eastAsia="Calibri" w:hAnsi="Arial" w:cs="Arial"/>
          <w:b/>
          <w:lang w:val="es-ES_tradnl"/>
        </w:rPr>
      </w:pPr>
    </w:p>
    <w:p w14:paraId="7AA1EAC9" w14:textId="77777777" w:rsidR="00694029" w:rsidRDefault="00694029" w:rsidP="00694029">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30B92A5D" w14:textId="77777777" w:rsidR="00694029" w:rsidRDefault="00694029" w:rsidP="00694029">
      <w:pPr>
        <w:spacing w:after="0" w:line="240" w:lineRule="auto"/>
        <w:jc w:val="both"/>
        <w:rPr>
          <w:rFonts w:ascii="Arial" w:eastAsia="Calibri" w:hAnsi="Arial" w:cs="Arial"/>
          <w:sz w:val="20"/>
          <w:szCs w:val="20"/>
          <w:lang w:val="es-ES_tradnl"/>
        </w:rPr>
      </w:pPr>
    </w:p>
    <w:p w14:paraId="4A9B09AD" w14:textId="77777777" w:rsidR="00694029" w:rsidRDefault="00694029" w:rsidP="00694029">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Pr>
          <w:rFonts w:ascii="Arial" w:eastAsia="Calibri" w:hAnsi="Arial" w:cs="Arial"/>
          <w:sz w:val="20"/>
          <w:szCs w:val="20"/>
          <w:lang w:val="es-ES_tradnl"/>
        </w:rPr>
        <w:t>mipymes</w:t>
      </w:r>
      <w:proofErr w:type="spellEnd"/>
      <w:r>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8CF0E29" w14:textId="77777777" w:rsidR="00694029" w:rsidRDefault="00694029" w:rsidP="00694029">
      <w:pPr>
        <w:spacing w:after="0" w:line="240" w:lineRule="auto"/>
        <w:jc w:val="both"/>
        <w:rPr>
          <w:rFonts w:ascii="Arial" w:eastAsia="Calibri" w:hAnsi="Arial" w:cs="Arial"/>
          <w:sz w:val="20"/>
          <w:szCs w:val="20"/>
          <w:lang w:val="es-ES_tradnl"/>
        </w:rPr>
      </w:pPr>
    </w:p>
    <w:p w14:paraId="7A5F0C57" w14:textId="77777777" w:rsidR="00694029" w:rsidRDefault="00694029" w:rsidP="00694029">
      <w:pPr>
        <w:spacing w:after="0" w:line="240" w:lineRule="auto"/>
        <w:jc w:val="both"/>
        <w:rPr>
          <w:rFonts w:ascii="Arial" w:eastAsia="Calibri" w:hAnsi="Arial" w:cs="Arial"/>
          <w:b/>
        </w:rPr>
      </w:pPr>
      <w:r>
        <w:rPr>
          <w:rFonts w:ascii="Arial" w:eastAsia="Calibri" w:hAnsi="Arial" w:cs="Arial"/>
          <w:b/>
        </w:rPr>
        <w:t xml:space="preserve">ARTÍCULO 2.2.1.2.4.2.16 DEL DECRETO 1860 DE 2021 – Propósito – sujetos de especial protección constitucional </w:t>
      </w:r>
    </w:p>
    <w:p w14:paraId="2B695074" w14:textId="77777777" w:rsidR="00694029" w:rsidRDefault="00694029" w:rsidP="00694029">
      <w:pPr>
        <w:spacing w:after="0" w:line="240" w:lineRule="auto"/>
        <w:jc w:val="both"/>
        <w:rPr>
          <w:rFonts w:ascii="Arial" w:eastAsia="Calibri" w:hAnsi="Arial" w:cs="Arial"/>
          <w:sz w:val="20"/>
          <w:szCs w:val="20"/>
        </w:rPr>
      </w:pPr>
    </w:p>
    <w:p w14:paraId="02404CE2" w14:textId="77777777" w:rsidR="00694029" w:rsidRDefault="00694029" w:rsidP="00694029">
      <w:pPr>
        <w:tabs>
          <w:tab w:val="left" w:pos="6551"/>
        </w:tabs>
        <w:spacing w:after="0" w:line="240" w:lineRule="auto"/>
        <w:jc w:val="both"/>
        <w:rPr>
          <w:rFonts w:ascii="Arial" w:eastAsia="Calibri" w:hAnsi="Arial" w:cs="Arial"/>
          <w:bCs/>
          <w:sz w:val="20"/>
          <w:szCs w:val="20"/>
        </w:rPr>
      </w:pPr>
      <w:r>
        <w:rPr>
          <w:rFonts w:ascii="Arial" w:eastAsia="Calibri" w:hAnsi="Arial" w:cs="Arial"/>
          <w:bCs/>
          <w:sz w:val="20"/>
          <w:szCs w:val="20"/>
        </w:rPr>
        <w:t>Ahora bien, es necesario tener en cuenta que el Gobierno Nacional expidió el Decreto 1860 de 24 de diciembre de 2021, el cual adicionó el artículo 2.2.1.2.4.2.16 a la Subsección 2 de la Sección 4 del Capítulo 2 del Título 1 de la Parte 2 del Libro 2 del Decreto 1082 de 2015, Único Reglamentario del Sector Administrativo de Planeación Nacional. Esto para desarrollar el inciso cuarto del artículo 34 de la Ley 2069 de 2020, el cual dispone que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77D22C4D" w14:textId="77777777" w:rsidR="00694029" w:rsidRDefault="00694029" w:rsidP="00694029">
      <w:pPr>
        <w:tabs>
          <w:tab w:val="left" w:pos="6551"/>
        </w:tabs>
        <w:spacing w:after="0" w:line="240" w:lineRule="auto"/>
        <w:jc w:val="both"/>
        <w:rPr>
          <w:rFonts w:ascii="Arial" w:eastAsia="Calibri" w:hAnsi="Arial" w:cs="Arial"/>
          <w:b/>
          <w:color w:val="000000" w:themeColor="text1"/>
          <w:lang w:val="es-ES_tradnl"/>
        </w:rPr>
      </w:pPr>
    </w:p>
    <w:p w14:paraId="54FA7AA3" w14:textId="77777777" w:rsidR="00694029" w:rsidRDefault="00694029" w:rsidP="00694029">
      <w:pPr>
        <w:tabs>
          <w:tab w:val="left" w:pos="6551"/>
        </w:tabs>
        <w:spacing w:after="0" w:line="240" w:lineRule="auto"/>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 xml:space="preserve">INCENTIVO DE FOMENTO – Ejecución de contratos estatales por sujetos de especial protección constitucional – Aplicación discrecional </w:t>
      </w:r>
    </w:p>
    <w:p w14:paraId="283FA8F1" w14:textId="77777777" w:rsidR="00694029" w:rsidRDefault="00694029" w:rsidP="00694029">
      <w:pPr>
        <w:tabs>
          <w:tab w:val="left" w:pos="6551"/>
        </w:tabs>
        <w:spacing w:after="0" w:line="240" w:lineRule="auto"/>
        <w:jc w:val="both"/>
        <w:rPr>
          <w:rFonts w:ascii="Arial" w:eastAsia="Calibri" w:hAnsi="Arial" w:cs="Arial"/>
          <w:b/>
          <w:color w:val="000000" w:themeColor="text1"/>
          <w:lang w:val="es-ES_tradnl"/>
        </w:rPr>
      </w:pPr>
    </w:p>
    <w:p w14:paraId="2D40E458" w14:textId="77777777" w:rsidR="00694029" w:rsidRDefault="00694029" w:rsidP="00694029">
      <w:pPr>
        <w:spacing w:after="0" w:line="240" w:lineRule="auto"/>
        <w:jc w:val="both"/>
        <w:rPr>
          <w:rFonts w:ascii="Arial" w:eastAsia="Calibri" w:hAnsi="Arial" w:cs="Arial"/>
          <w:bCs/>
          <w:sz w:val="20"/>
          <w:szCs w:val="20"/>
        </w:rPr>
      </w:pPr>
      <w:r>
        <w:rPr>
          <w:rFonts w:ascii="Arial" w:eastAsia="Calibri" w:hAnsi="Arial" w:cs="Arial"/>
          <w:bCs/>
          <w:sz w:val="20"/>
          <w:szCs w:val="20"/>
        </w:rPr>
        <w:t>La aplicación del artículo 2.2.1.2.4.2.16 del Decreto 1082 de 2015,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2D84BFB0" w14:textId="77777777" w:rsidR="00694029" w:rsidRDefault="00694029" w:rsidP="00694029">
      <w:pPr>
        <w:spacing w:after="0" w:line="240" w:lineRule="auto"/>
        <w:jc w:val="both"/>
        <w:rPr>
          <w:rFonts w:ascii="Arial" w:eastAsia="Calibri" w:hAnsi="Arial" w:cs="Arial"/>
          <w:bCs/>
          <w:sz w:val="20"/>
          <w:szCs w:val="20"/>
        </w:rPr>
      </w:pPr>
    </w:p>
    <w:p w14:paraId="58BA93DC" w14:textId="77777777" w:rsidR="00694029" w:rsidRDefault="00694029" w:rsidP="00694029">
      <w:pPr>
        <w:spacing w:after="0" w:line="240" w:lineRule="auto"/>
        <w:jc w:val="both"/>
        <w:rPr>
          <w:rFonts w:ascii="Arial" w:eastAsia="Calibri" w:hAnsi="Arial" w:cs="Arial"/>
          <w:bCs/>
          <w:sz w:val="20"/>
          <w:szCs w:val="20"/>
        </w:rPr>
      </w:pPr>
      <w:r>
        <w:rPr>
          <w:rFonts w:ascii="Arial" w:eastAsia="Calibri" w:hAnsi="Arial" w:cs="Arial"/>
          <w:bCs/>
          <w:sz w:val="20"/>
          <w:szCs w:val="20"/>
        </w:rPr>
        <w:t xml:space="preserve">“[…] además de estar condicionada por un desarrollo normativo posterior, está limitada en el sentido que los mecanismos que se implementen para incentivar la provisión de bienes y servicios por </w:t>
      </w:r>
      <w:r>
        <w:rPr>
          <w:rFonts w:ascii="Arial" w:eastAsia="Calibri" w:hAnsi="Arial" w:cs="Arial"/>
          <w:bCs/>
          <w:sz w:val="20"/>
          <w:szCs w:val="20"/>
        </w:rPr>
        <w:lastRenderedPageBreak/>
        <w:t xml:space="preserve">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Pr>
          <w:rFonts w:ascii="Arial" w:eastAsia="Calibri" w:hAnsi="Arial" w:cs="Arial"/>
          <w:bCs/>
          <w:i/>
          <w:iCs/>
          <w:sz w:val="20"/>
          <w:szCs w:val="20"/>
        </w:rPr>
        <w:t>Por tanto,</w:t>
      </w:r>
      <w:r>
        <w:rPr>
          <w:rFonts w:ascii="Arial" w:eastAsia="Calibri" w:hAnsi="Arial" w:cs="Arial"/>
          <w:bCs/>
          <w:sz w:val="20"/>
          <w:szCs w:val="20"/>
        </w:rPr>
        <w:t xml:space="preserve"> </w:t>
      </w:r>
      <w:r>
        <w:rPr>
          <w:rFonts w:ascii="Arial" w:eastAsia="Calibri" w:hAnsi="Arial" w:cs="Arial"/>
          <w:bCs/>
          <w:i/>
          <w:iCs/>
          <w:sz w:val="20"/>
          <w:szCs w:val="20"/>
        </w:rPr>
        <w:t>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Pr>
          <w:rFonts w:ascii="Arial" w:eastAsia="Calibri" w:hAnsi="Arial" w:cs="Arial"/>
          <w:bCs/>
          <w:sz w:val="20"/>
          <w:szCs w:val="20"/>
        </w:rPr>
        <w:t>”. (Énfasis fuera de texto)</w:t>
      </w:r>
    </w:p>
    <w:p w14:paraId="08C73F5C" w14:textId="77777777" w:rsidR="00694029" w:rsidRDefault="00694029" w:rsidP="00694029">
      <w:pPr>
        <w:spacing w:after="0" w:line="240" w:lineRule="auto"/>
        <w:jc w:val="both"/>
        <w:rPr>
          <w:rFonts w:ascii="Arial" w:eastAsia="Calibri" w:hAnsi="Arial" w:cs="Arial"/>
          <w:bCs/>
          <w:sz w:val="20"/>
          <w:szCs w:val="20"/>
        </w:rPr>
      </w:pPr>
    </w:p>
    <w:p w14:paraId="5ED65721" w14:textId="77777777" w:rsidR="00694029" w:rsidRDefault="00694029" w:rsidP="00694029">
      <w:pPr>
        <w:spacing w:after="0" w:line="240" w:lineRule="auto"/>
        <w:jc w:val="both"/>
        <w:rPr>
          <w:rFonts w:ascii="Arial" w:eastAsia="Calibri" w:hAnsi="Arial" w:cs="Arial"/>
          <w:bCs/>
          <w:sz w:val="20"/>
          <w:szCs w:val="20"/>
        </w:rPr>
      </w:pPr>
      <w:r>
        <w:rPr>
          <w:rFonts w:ascii="Arial" w:eastAsia="Calibri" w:hAnsi="Arial" w:cs="Arial"/>
          <w:bCs/>
          <w:sz w:val="20"/>
          <w:szCs w:val="20"/>
        </w:rPr>
        <w:t>En consecuencia, dado que el fomento a la ejecución de contratos estatales con participación de sujetos de especial protección constitucional en la provisión de los bienes y servicios para el cumplimiento del objeto contractual se realizará bajo criterios de oportunidad y conveniencia, garantizando la calidad y sin poner en riesgo el cumplimiento del contrato, debe concluirse que la aplicación de este incentivo es de naturaleza discrecional.</w:t>
      </w:r>
    </w:p>
    <w:p w14:paraId="1440BB3D" w14:textId="77777777" w:rsidR="00694029" w:rsidRDefault="00694029" w:rsidP="0090563C">
      <w:pPr>
        <w:spacing w:after="0"/>
        <w:rPr>
          <w:rFonts w:ascii="Arial" w:eastAsia="Geomanist Light" w:hAnsi="Arial" w:cs="Arial"/>
          <w:color w:val="201F1E"/>
          <w:lang w:val="es-MX"/>
        </w:rPr>
      </w:pPr>
    </w:p>
    <w:p w14:paraId="71D0CA9C" w14:textId="77777777" w:rsidR="00694029" w:rsidRDefault="00694029" w:rsidP="0090563C">
      <w:pPr>
        <w:spacing w:after="0"/>
        <w:rPr>
          <w:rFonts w:ascii="Arial" w:eastAsia="Geomanist Light" w:hAnsi="Arial" w:cs="Arial"/>
          <w:color w:val="201F1E"/>
          <w:lang w:val="es-MX"/>
        </w:rPr>
      </w:pPr>
    </w:p>
    <w:p w14:paraId="150964E2" w14:textId="77777777" w:rsidR="00694029" w:rsidRDefault="00694029" w:rsidP="0090563C">
      <w:pPr>
        <w:spacing w:after="0"/>
        <w:rPr>
          <w:rFonts w:ascii="Arial" w:eastAsia="Geomanist Light" w:hAnsi="Arial" w:cs="Arial"/>
          <w:color w:val="201F1E"/>
          <w:lang w:val="es-MX"/>
        </w:rPr>
      </w:pPr>
    </w:p>
    <w:p w14:paraId="77538791" w14:textId="77777777" w:rsidR="00694029" w:rsidRDefault="00694029" w:rsidP="0090563C">
      <w:pPr>
        <w:spacing w:after="0"/>
        <w:rPr>
          <w:rFonts w:ascii="Arial" w:eastAsia="Geomanist Light" w:hAnsi="Arial" w:cs="Arial"/>
          <w:color w:val="201F1E"/>
          <w:lang w:val="es-MX"/>
        </w:rPr>
      </w:pPr>
    </w:p>
    <w:p w14:paraId="32E757A4" w14:textId="77777777" w:rsidR="00694029" w:rsidRDefault="00694029" w:rsidP="0090563C">
      <w:pPr>
        <w:spacing w:after="0"/>
        <w:rPr>
          <w:rFonts w:ascii="Arial" w:eastAsia="Geomanist Light" w:hAnsi="Arial" w:cs="Arial"/>
          <w:color w:val="201F1E"/>
          <w:lang w:val="es-MX"/>
        </w:rPr>
      </w:pPr>
    </w:p>
    <w:p w14:paraId="30A52F59" w14:textId="77777777" w:rsidR="00694029" w:rsidRDefault="00694029" w:rsidP="0090563C">
      <w:pPr>
        <w:spacing w:after="0"/>
        <w:rPr>
          <w:rFonts w:ascii="Arial" w:eastAsia="Geomanist Light" w:hAnsi="Arial" w:cs="Arial"/>
          <w:color w:val="201F1E"/>
          <w:lang w:val="es-MX"/>
        </w:rPr>
      </w:pPr>
    </w:p>
    <w:p w14:paraId="0AF3D97E" w14:textId="77777777" w:rsidR="00694029" w:rsidRDefault="00694029" w:rsidP="0090563C">
      <w:pPr>
        <w:spacing w:after="0"/>
        <w:rPr>
          <w:rFonts w:ascii="Arial" w:eastAsia="Geomanist Light" w:hAnsi="Arial" w:cs="Arial"/>
          <w:color w:val="201F1E"/>
          <w:lang w:val="es-MX"/>
        </w:rPr>
      </w:pPr>
    </w:p>
    <w:p w14:paraId="2B1EC488" w14:textId="77777777" w:rsidR="00694029" w:rsidRDefault="00694029" w:rsidP="0090563C">
      <w:pPr>
        <w:spacing w:after="0"/>
        <w:rPr>
          <w:rFonts w:ascii="Arial" w:eastAsia="Geomanist Light" w:hAnsi="Arial" w:cs="Arial"/>
          <w:color w:val="201F1E"/>
          <w:lang w:val="es-MX"/>
        </w:rPr>
      </w:pPr>
    </w:p>
    <w:p w14:paraId="2E8246B4" w14:textId="77777777" w:rsidR="00694029" w:rsidRDefault="00694029" w:rsidP="0090563C">
      <w:pPr>
        <w:spacing w:after="0"/>
        <w:rPr>
          <w:rFonts w:ascii="Arial" w:eastAsia="Geomanist Light" w:hAnsi="Arial" w:cs="Arial"/>
          <w:color w:val="201F1E"/>
          <w:lang w:val="es-MX"/>
        </w:rPr>
      </w:pPr>
    </w:p>
    <w:p w14:paraId="4CBC92C7" w14:textId="77777777" w:rsidR="00694029" w:rsidRDefault="00694029" w:rsidP="0090563C">
      <w:pPr>
        <w:spacing w:after="0"/>
        <w:rPr>
          <w:rFonts w:ascii="Arial" w:eastAsia="Geomanist Light" w:hAnsi="Arial" w:cs="Arial"/>
          <w:color w:val="201F1E"/>
          <w:lang w:val="es-MX"/>
        </w:rPr>
      </w:pPr>
    </w:p>
    <w:p w14:paraId="37E9E5E2" w14:textId="77777777" w:rsidR="00694029" w:rsidRDefault="00694029" w:rsidP="0090563C">
      <w:pPr>
        <w:spacing w:after="0"/>
        <w:rPr>
          <w:rFonts w:ascii="Arial" w:eastAsia="Geomanist Light" w:hAnsi="Arial" w:cs="Arial"/>
          <w:color w:val="201F1E"/>
          <w:lang w:val="es-MX"/>
        </w:rPr>
      </w:pPr>
    </w:p>
    <w:p w14:paraId="57ECCF89" w14:textId="77777777" w:rsidR="00694029" w:rsidRDefault="00694029" w:rsidP="0090563C">
      <w:pPr>
        <w:spacing w:after="0"/>
        <w:rPr>
          <w:rFonts w:ascii="Arial" w:eastAsia="Geomanist Light" w:hAnsi="Arial" w:cs="Arial"/>
          <w:color w:val="201F1E"/>
          <w:lang w:val="es-MX"/>
        </w:rPr>
      </w:pPr>
    </w:p>
    <w:p w14:paraId="3A7A2A30" w14:textId="77777777" w:rsidR="00694029" w:rsidRDefault="00694029" w:rsidP="0090563C">
      <w:pPr>
        <w:spacing w:after="0"/>
        <w:rPr>
          <w:rFonts w:ascii="Arial" w:eastAsia="Geomanist Light" w:hAnsi="Arial" w:cs="Arial"/>
          <w:color w:val="201F1E"/>
          <w:lang w:val="es-MX"/>
        </w:rPr>
      </w:pPr>
    </w:p>
    <w:p w14:paraId="5B4D75B5" w14:textId="77777777" w:rsidR="00694029" w:rsidRDefault="00694029" w:rsidP="0090563C">
      <w:pPr>
        <w:spacing w:after="0"/>
        <w:rPr>
          <w:rFonts w:ascii="Arial" w:eastAsia="Geomanist Light" w:hAnsi="Arial" w:cs="Arial"/>
          <w:color w:val="201F1E"/>
          <w:lang w:val="es-MX"/>
        </w:rPr>
      </w:pPr>
    </w:p>
    <w:p w14:paraId="11DC6A60" w14:textId="77777777" w:rsidR="00694029" w:rsidRDefault="00694029" w:rsidP="0090563C">
      <w:pPr>
        <w:spacing w:after="0"/>
        <w:rPr>
          <w:rFonts w:ascii="Arial" w:eastAsia="Geomanist Light" w:hAnsi="Arial" w:cs="Arial"/>
          <w:color w:val="201F1E"/>
          <w:lang w:val="es-MX"/>
        </w:rPr>
      </w:pPr>
    </w:p>
    <w:p w14:paraId="52BCA161" w14:textId="77777777" w:rsidR="00694029" w:rsidRDefault="00694029" w:rsidP="0090563C">
      <w:pPr>
        <w:spacing w:after="0"/>
        <w:rPr>
          <w:rFonts w:ascii="Arial" w:eastAsia="Geomanist Light" w:hAnsi="Arial" w:cs="Arial"/>
          <w:color w:val="201F1E"/>
          <w:lang w:val="es-MX"/>
        </w:rPr>
      </w:pPr>
    </w:p>
    <w:p w14:paraId="5E331F59" w14:textId="77777777" w:rsidR="00694029" w:rsidRDefault="00694029" w:rsidP="0090563C">
      <w:pPr>
        <w:spacing w:after="0"/>
        <w:rPr>
          <w:rFonts w:ascii="Arial" w:eastAsia="Geomanist Light" w:hAnsi="Arial" w:cs="Arial"/>
          <w:color w:val="201F1E"/>
          <w:lang w:val="es-MX"/>
        </w:rPr>
      </w:pPr>
    </w:p>
    <w:p w14:paraId="2DEAD792" w14:textId="77777777" w:rsidR="00694029" w:rsidRDefault="00694029" w:rsidP="0090563C">
      <w:pPr>
        <w:spacing w:after="0"/>
        <w:rPr>
          <w:rFonts w:ascii="Arial" w:eastAsia="Geomanist Light" w:hAnsi="Arial" w:cs="Arial"/>
          <w:color w:val="201F1E"/>
          <w:lang w:val="es-MX"/>
        </w:rPr>
      </w:pPr>
    </w:p>
    <w:p w14:paraId="70A0A2CB" w14:textId="77777777" w:rsidR="00694029" w:rsidRDefault="00694029" w:rsidP="0090563C">
      <w:pPr>
        <w:spacing w:after="0"/>
        <w:rPr>
          <w:rFonts w:ascii="Arial" w:eastAsia="Geomanist Light" w:hAnsi="Arial" w:cs="Arial"/>
          <w:color w:val="201F1E"/>
          <w:lang w:val="es-MX"/>
        </w:rPr>
      </w:pPr>
    </w:p>
    <w:p w14:paraId="4E8F98AA" w14:textId="77777777" w:rsidR="00694029" w:rsidRDefault="00694029" w:rsidP="0090563C">
      <w:pPr>
        <w:spacing w:after="0"/>
        <w:rPr>
          <w:rFonts w:ascii="Arial" w:eastAsia="Geomanist Light" w:hAnsi="Arial" w:cs="Arial"/>
          <w:color w:val="201F1E"/>
          <w:lang w:val="es-MX"/>
        </w:rPr>
      </w:pPr>
    </w:p>
    <w:p w14:paraId="4169A8FD" w14:textId="77777777" w:rsidR="00694029" w:rsidRDefault="00694029" w:rsidP="0090563C">
      <w:pPr>
        <w:spacing w:after="0"/>
        <w:rPr>
          <w:rFonts w:ascii="Arial" w:eastAsia="Geomanist Light" w:hAnsi="Arial" w:cs="Arial"/>
          <w:color w:val="201F1E"/>
          <w:lang w:val="es-MX"/>
        </w:rPr>
      </w:pPr>
    </w:p>
    <w:p w14:paraId="39FF5CA1" w14:textId="77777777" w:rsidR="00694029" w:rsidRDefault="00694029" w:rsidP="0090563C">
      <w:pPr>
        <w:spacing w:after="0"/>
        <w:rPr>
          <w:rFonts w:ascii="Arial" w:eastAsia="Geomanist Light" w:hAnsi="Arial" w:cs="Arial"/>
          <w:color w:val="201F1E"/>
          <w:lang w:val="es-MX"/>
        </w:rPr>
      </w:pPr>
    </w:p>
    <w:p w14:paraId="29E42C9E" w14:textId="77777777" w:rsidR="00694029" w:rsidRDefault="00694029" w:rsidP="0090563C">
      <w:pPr>
        <w:spacing w:after="0"/>
        <w:rPr>
          <w:rFonts w:ascii="Arial" w:eastAsia="Geomanist Light" w:hAnsi="Arial" w:cs="Arial"/>
          <w:color w:val="201F1E"/>
          <w:lang w:val="es-MX"/>
        </w:rPr>
      </w:pPr>
    </w:p>
    <w:p w14:paraId="10410A40" w14:textId="77777777" w:rsidR="00694029" w:rsidRDefault="00694029" w:rsidP="0090563C">
      <w:pPr>
        <w:spacing w:after="0"/>
        <w:rPr>
          <w:rFonts w:ascii="Arial" w:eastAsia="Geomanist Light" w:hAnsi="Arial" w:cs="Arial"/>
          <w:color w:val="201F1E"/>
          <w:lang w:val="es-MX"/>
        </w:rPr>
      </w:pPr>
    </w:p>
    <w:p w14:paraId="7DC4B7D8" w14:textId="77777777" w:rsidR="00694029" w:rsidRDefault="00694029" w:rsidP="0090563C">
      <w:pPr>
        <w:spacing w:after="0"/>
        <w:rPr>
          <w:rFonts w:ascii="Arial" w:eastAsia="Geomanist Light" w:hAnsi="Arial" w:cs="Arial"/>
          <w:color w:val="201F1E"/>
          <w:lang w:val="es-MX"/>
        </w:rPr>
      </w:pPr>
    </w:p>
    <w:p w14:paraId="38F97AAF" w14:textId="77777777" w:rsidR="00694029" w:rsidRDefault="00694029" w:rsidP="0090563C">
      <w:pPr>
        <w:spacing w:after="0"/>
        <w:rPr>
          <w:rFonts w:ascii="Arial" w:eastAsia="Geomanist Light" w:hAnsi="Arial" w:cs="Arial"/>
          <w:color w:val="201F1E"/>
          <w:lang w:val="es-MX"/>
        </w:rPr>
      </w:pPr>
    </w:p>
    <w:p w14:paraId="324D90A2" w14:textId="77777777" w:rsidR="00694029" w:rsidRDefault="00694029" w:rsidP="0090563C">
      <w:pPr>
        <w:spacing w:after="0"/>
        <w:rPr>
          <w:rFonts w:ascii="Arial" w:eastAsia="Geomanist Light" w:hAnsi="Arial" w:cs="Arial"/>
          <w:color w:val="201F1E"/>
          <w:lang w:val="es-MX"/>
        </w:rPr>
      </w:pPr>
    </w:p>
    <w:p w14:paraId="2D12C28B" w14:textId="77777777" w:rsidR="00694029" w:rsidRDefault="00694029" w:rsidP="0090563C">
      <w:pPr>
        <w:spacing w:after="0"/>
        <w:rPr>
          <w:rFonts w:ascii="Arial" w:eastAsia="Geomanist Light" w:hAnsi="Arial" w:cs="Arial"/>
          <w:color w:val="201F1E"/>
          <w:lang w:val="es-MX"/>
        </w:rPr>
      </w:pPr>
    </w:p>
    <w:p w14:paraId="651CB5AE" w14:textId="77777777" w:rsidR="00694029" w:rsidRDefault="00694029" w:rsidP="0090563C">
      <w:pPr>
        <w:spacing w:after="0"/>
        <w:rPr>
          <w:rFonts w:ascii="Arial" w:eastAsia="Geomanist Light" w:hAnsi="Arial" w:cs="Arial"/>
          <w:color w:val="201F1E"/>
          <w:lang w:val="es-MX"/>
        </w:rPr>
      </w:pPr>
    </w:p>
    <w:p w14:paraId="41C6FEBE" w14:textId="125BC18B" w:rsidR="0090563C" w:rsidRPr="00262D58" w:rsidRDefault="0090563C" w:rsidP="0090563C">
      <w:pPr>
        <w:spacing w:after="0"/>
        <w:rPr>
          <w:rFonts w:ascii="Arial" w:eastAsia="Geomanist Light" w:hAnsi="Arial" w:cs="Arial"/>
          <w:color w:val="201F1E"/>
          <w:lang w:val="es-MX"/>
        </w:rPr>
      </w:pPr>
      <w:r w:rsidRPr="00262D58">
        <w:rPr>
          <w:rFonts w:ascii="Arial" w:eastAsia="Geomanist Light" w:hAnsi="Arial" w:cs="Arial"/>
          <w:color w:val="201F1E"/>
          <w:lang w:val="es-MX"/>
        </w:rPr>
        <w:lastRenderedPageBreak/>
        <w:t xml:space="preserve">Bogotá D.C., </w:t>
      </w:r>
      <w:r w:rsidR="000B760D" w:rsidRPr="000B760D">
        <w:rPr>
          <w:rFonts w:ascii="Arial" w:eastAsia="Geomanist Light" w:hAnsi="Arial" w:cs="Arial"/>
          <w:color w:val="201F1E"/>
          <w:lang w:val="es-MX"/>
        </w:rPr>
        <w:t>19 de Septiembre de 2023</w:t>
      </w:r>
    </w:p>
    <w:p w14:paraId="0A27A1A2" w14:textId="77777777" w:rsidR="0090563C" w:rsidRDefault="0090563C" w:rsidP="0090563C">
      <w:pPr>
        <w:spacing w:after="0"/>
        <w:rPr>
          <w:rFonts w:ascii="Arial" w:eastAsia="Times New Roman" w:hAnsi="Arial" w:cs="Arial"/>
          <w:lang w:val="es-MX" w:eastAsia="es-ES"/>
        </w:rPr>
      </w:pPr>
    </w:p>
    <w:p w14:paraId="2D7078D4" w14:textId="30BC45BE" w:rsidR="0090563C" w:rsidRDefault="00786AA7" w:rsidP="00786AA7">
      <w:pPr>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2BAE8C24" wp14:editId="0653884D">
            <wp:extent cx="2962910" cy="704850"/>
            <wp:effectExtent l="0" t="0" r="8890" b="0"/>
            <wp:docPr id="79423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704850"/>
                    </a:xfrm>
                    <a:prstGeom prst="rect">
                      <a:avLst/>
                    </a:prstGeom>
                    <a:noFill/>
                    <a:ln>
                      <a:noFill/>
                    </a:ln>
                  </pic:spPr>
                </pic:pic>
              </a:graphicData>
            </a:graphic>
          </wp:inline>
        </w:drawing>
      </w:r>
    </w:p>
    <w:p w14:paraId="2A68E5DB" w14:textId="77777777" w:rsidR="000B760D" w:rsidRPr="00262D58" w:rsidRDefault="000B760D" w:rsidP="0090563C">
      <w:pPr>
        <w:spacing w:after="0"/>
        <w:contextualSpacing/>
        <w:jc w:val="both"/>
        <w:rPr>
          <w:rFonts w:ascii="Arial" w:eastAsia="Calibri" w:hAnsi="Arial" w:cs="Arial"/>
          <w:lang w:val="es-ES_tradnl" w:eastAsia="es-ES_tradnl"/>
        </w:rPr>
      </w:pPr>
    </w:p>
    <w:p w14:paraId="4ED8209A" w14:textId="77777777" w:rsidR="0090563C" w:rsidRPr="00262D58" w:rsidRDefault="0090563C" w:rsidP="0090563C">
      <w:pPr>
        <w:contextualSpacing/>
        <w:jc w:val="both"/>
        <w:rPr>
          <w:rFonts w:ascii="Arial" w:eastAsia="Calibri" w:hAnsi="Arial" w:cs="Arial"/>
          <w:lang w:eastAsia="es-ES_tradnl"/>
        </w:rPr>
      </w:pPr>
      <w:r>
        <w:rPr>
          <w:rFonts w:ascii="Arial" w:eastAsia="Calibri" w:hAnsi="Arial" w:cs="Arial"/>
          <w:lang w:eastAsia="es-ES_tradnl"/>
        </w:rPr>
        <w:t>Señora</w:t>
      </w:r>
    </w:p>
    <w:p w14:paraId="546787A4" w14:textId="77777777" w:rsidR="0090563C" w:rsidRDefault="0090563C" w:rsidP="0090563C">
      <w:pPr>
        <w:contextualSpacing/>
        <w:jc w:val="both"/>
        <w:rPr>
          <w:rFonts w:ascii="Arial" w:eastAsia="Calibri" w:hAnsi="Arial" w:cs="Arial"/>
          <w:b/>
          <w:lang w:eastAsia="es-ES_tradnl"/>
        </w:rPr>
      </w:pPr>
      <w:r w:rsidRPr="006D02FB">
        <w:rPr>
          <w:rFonts w:ascii="Arial" w:eastAsia="Calibri" w:hAnsi="Arial" w:cs="Arial"/>
          <w:b/>
          <w:lang w:eastAsia="es-ES_tradnl"/>
        </w:rPr>
        <w:t>Paulina Fontecha Ariza</w:t>
      </w:r>
    </w:p>
    <w:p w14:paraId="22CB744C" w14:textId="77777777" w:rsidR="0090563C" w:rsidRPr="00262D58" w:rsidRDefault="0090563C" w:rsidP="0090563C">
      <w:pPr>
        <w:contextualSpacing/>
        <w:jc w:val="both"/>
        <w:rPr>
          <w:rFonts w:ascii="Arial" w:eastAsia="Calibri" w:hAnsi="Arial" w:cs="Arial"/>
          <w:lang w:eastAsia="es-ES_tradnl"/>
        </w:rPr>
      </w:pPr>
      <w:r w:rsidRPr="00262D58">
        <w:rPr>
          <w:rFonts w:ascii="Arial" w:eastAsia="Geomanist Light" w:hAnsi="Arial" w:cs="Arial"/>
          <w:color w:val="000000" w:themeColor="text1"/>
          <w:lang w:val="es-MX"/>
        </w:rPr>
        <w:t>Bogotá D.C.</w:t>
      </w:r>
      <w:r w:rsidRPr="00262D58">
        <w:rPr>
          <w:rFonts w:ascii="Arial" w:eastAsia="Calibri" w:hAnsi="Arial" w:cs="Arial"/>
          <w:lang w:eastAsia="es-ES_tradnl"/>
        </w:rPr>
        <w:t xml:space="preserve">  </w:t>
      </w:r>
    </w:p>
    <w:p w14:paraId="723959A7" w14:textId="77777777" w:rsidR="0090563C" w:rsidRPr="00262D58" w:rsidRDefault="0090563C" w:rsidP="0090563C">
      <w:pPr>
        <w:contextualSpacing/>
        <w:jc w:val="both"/>
        <w:rPr>
          <w:rFonts w:ascii="Arial" w:eastAsia="Calibri" w:hAnsi="Arial" w:cs="Arial"/>
          <w:lang w:val="es-ES_tradnl" w:eastAsia="es-ES_tradnl"/>
        </w:rPr>
      </w:pPr>
    </w:p>
    <w:p w14:paraId="1D3157E7" w14:textId="77777777" w:rsidR="0090563C" w:rsidRPr="00262D58" w:rsidRDefault="0090563C" w:rsidP="0090563C">
      <w:pPr>
        <w:contextualSpacing/>
        <w:rPr>
          <w:rFonts w:ascii="Arial" w:eastAsia="Calibri" w:hAnsi="Arial" w:cs="Arial"/>
          <w:b/>
          <w:lang w:val="es-ES_tradnl" w:eastAsia="es-ES_tradnl"/>
        </w:rPr>
      </w:pPr>
    </w:p>
    <w:p w14:paraId="0905F2B1" w14:textId="77777777" w:rsidR="0090563C" w:rsidRPr="00262D58" w:rsidRDefault="0090563C" w:rsidP="0090563C">
      <w:pPr>
        <w:ind w:left="2124" w:firstLine="570"/>
        <w:contextualSpacing/>
        <w:rPr>
          <w:rFonts w:ascii="Arial" w:eastAsia="Calibri" w:hAnsi="Arial" w:cs="Arial"/>
          <w:b/>
          <w:lang w:val="es-ES_tradnl" w:eastAsia="es-ES_tradnl"/>
        </w:rPr>
      </w:pPr>
      <w:r w:rsidRPr="00262D58">
        <w:rPr>
          <w:rFonts w:ascii="Arial" w:eastAsia="Calibri" w:hAnsi="Arial" w:cs="Arial"/>
          <w:b/>
          <w:lang w:val="es-ES_tradnl" w:eastAsia="es-ES_tradnl"/>
        </w:rPr>
        <w:t xml:space="preserve">Concepto C – </w:t>
      </w:r>
      <w:r>
        <w:rPr>
          <w:rFonts w:ascii="Arial" w:eastAsia="Calibri" w:hAnsi="Arial" w:cs="Arial"/>
          <w:b/>
          <w:lang w:val="es-ES_tradnl" w:eastAsia="es-ES_tradnl"/>
        </w:rPr>
        <w:t>392</w:t>
      </w:r>
      <w:r w:rsidRPr="00262D58">
        <w:rPr>
          <w:rFonts w:ascii="Arial" w:eastAsia="Calibri" w:hAnsi="Arial" w:cs="Arial"/>
          <w:b/>
          <w:lang w:val="es-ES_tradnl" w:eastAsia="es-ES_tradnl"/>
        </w:rPr>
        <w:t xml:space="preserve"> de 2023</w:t>
      </w:r>
    </w:p>
    <w:p w14:paraId="443C2580" w14:textId="77777777" w:rsidR="0090563C" w:rsidRPr="00262D58" w:rsidRDefault="0090563C" w:rsidP="0090563C">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563C" w:rsidRPr="005E53FE" w14:paraId="24A5EEA7" w14:textId="77777777" w:rsidTr="00065B28">
        <w:tc>
          <w:tcPr>
            <w:tcW w:w="2689" w:type="dxa"/>
          </w:tcPr>
          <w:p w14:paraId="527777FD" w14:textId="77777777" w:rsidR="0090563C" w:rsidRPr="00262D58" w:rsidRDefault="0090563C" w:rsidP="00065B28">
            <w:pPr>
              <w:contextualSpacing/>
              <w:jc w:val="both"/>
              <w:rPr>
                <w:rFonts w:ascii="Arial" w:eastAsia="Calibri" w:hAnsi="Arial" w:cs="Arial"/>
                <w:lang w:val="es-ES_tradnl" w:eastAsia="es-ES_tradnl"/>
              </w:rPr>
            </w:pPr>
            <w:r w:rsidRPr="00262D58">
              <w:rPr>
                <w:rFonts w:ascii="Arial" w:eastAsia="Calibri" w:hAnsi="Arial" w:cs="Arial"/>
                <w:b/>
                <w:lang w:val="es-ES_tradnl" w:eastAsia="es-ES_tradnl"/>
              </w:rPr>
              <w:t>Temas:</w:t>
            </w:r>
            <w:r w:rsidRPr="00262D58">
              <w:rPr>
                <w:rFonts w:ascii="Arial" w:eastAsia="Calibri" w:hAnsi="Arial" w:cs="Arial"/>
                <w:lang w:val="es-ES_tradnl" w:eastAsia="es-ES_tradnl"/>
              </w:rPr>
              <w:t xml:space="preserve">                                      </w:t>
            </w:r>
          </w:p>
        </w:tc>
        <w:tc>
          <w:tcPr>
            <w:tcW w:w="6237" w:type="dxa"/>
          </w:tcPr>
          <w:p w14:paraId="4C43129B" w14:textId="77777777" w:rsidR="0090563C" w:rsidRPr="00262D58" w:rsidRDefault="0090563C" w:rsidP="00065B28">
            <w:pPr>
              <w:spacing w:after="120"/>
              <w:contextualSpacing/>
              <w:jc w:val="both"/>
              <w:rPr>
                <w:rFonts w:ascii="Arial" w:eastAsia="Calibri" w:hAnsi="Arial" w:cs="Arial"/>
                <w:lang w:val="es-MX" w:eastAsia="es-ES_tradnl"/>
              </w:rPr>
            </w:pPr>
            <w:r w:rsidRPr="002362ED">
              <w:rPr>
                <w:rFonts w:ascii="Arial" w:eastAsia="Calibri" w:hAnsi="Arial" w:cs="Arial"/>
                <w:lang w:val="es-MX" w:eastAsia="es-ES_tradnl"/>
              </w:rPr>
              <w:t xml:space="preserve">LEY DE EMPRENDIMIENTO – Ley 2069 de 2020 – Vigencia / ARTÍCULO 2.2.1.2.4.2.16 DEL DECRETO 1860 DE 2021 – Propósito – sujetos de especial protección constitucional / INCENTIVO DE FOMENTO – Ejecución de contratos estatales por sujetos de especial protección constitucional – Aplicación discrecional  </w:t>
            </w:r>
          </w:p>
          <w:p w14:paraId="442D9B27" w14:textId="77777777" w:rsidR="0090563C" w:rsidRPr="00262D58" w:rsidRDefault="0090563C" w:rsidP="00065B28">
            <w:pPr>
              <w:spacing w:after="120"/>
              <w:contextualSpacing/>
              <w:jc w:val="both"/>
              <w:rPr>
                <w:rFonts w:ascii="Arial" w:eastAsia="Calibri" w:hAnsi="Arial" w:cs="Arial"/>
                <w:sz w:val="12"/>
                <w:szCs w:val="12"/>
                <w:lang w:val="es-ES_tradnl" w:eastAsia="es-ES_tradnl"/>
              </w:rPr>
            </w:pPr>
          </w:p>
        </w:tc>
      </w:tr>
      <w:tr w:rsidR="0090563C" w:rsidRPr="005E53FE" w14:paraId="02D20EF7" w14:textId="77777777" w:rsidTr="00065B28">
        <w:trPr>
          <w:trHeight w:val="227"/>
        </w:trPr>
        <w:tc>
          <w:tcPr>
            <w:tcW w:w="2689" w:type="dxa"/>
          </w:tcPr>
          <w:p w14:paraId="0CC13B16" w14:textId="77777777" w:rsidR="0090563C" w:rsidRPr="00262D58" w:rsidRDefault="0090563C" w:rsidP="00065B28">
            <w:pPr>
              <w:contextualSpacing/>
              <w:jc w:val="both"/>
              <w:rPr>
                <w:rFonts w:ascii="Arial" w:eastAsia="Calibri" w:hAnsi="Arial" w:cs="Arial"/>
                <w:b/>
                <w:lang w:val="es-ES_tradnl" w:eastAsia="es-ES_tradnl"/>
              </w:rPr>
            </w:pPr>
            <w:r w:rsidRPr="00262D58">
              <w:rPr>
                <w:rFonts w:ascii="Arial" w:eastAsia="Calibri" w:hAnsi="Arial" w:cs="Arial"/>
                <w:b/>
                <w:lang w:val="es-ES_tradnl" w:eastAsia="es-ES_tradnl"/>
              </w:rPr>
              <w:t>Radicación:</w:t>
            </w:r>
            <w:r w:rsidRPr="00262D58">
              <w:rPr>
                <w:rFonts w:ascii="Arial" w:eastAsia="Calibri" w:hAnsi="Arial" w:cs="Arial"/>
                <w:lang w:val="es-ES_tradnl" w:eastAsia="es-ES_tradnl"/>
              </w:rPr>
              <w:t xml:space="preserve">                             </w:t>
            </w:r>
          </w:p>
        </w:tc>
        <w:tc>
          <w:tcPr>
            <w:tcW w:w="6237" w:type="dxa"/>
          </w:tcPr>
          <w:p w14:paraId="6C047A3B" w14:textId="77777777" w:rsidR="0090563C" w:rsidRPr="00262D58" w:rsidRDefault="0090563C" w:rsidP="00065B28">
            <w:pPr>
              <w:contextualSpacing/>
              <w:jc w:val="both"/>
              <w:rPr>
                <w:rFonts w:ascii="Arial" w:eastAsia="Calibri" w:hAnsi="Arial" w:cs="Arial"/>
                <w:lang w:val="es-ES_tradnl" w:eastAsia="es-ES_tradnl"/>
              </w:rPr>
            </w:pPr>
            <w:r w:rsidRPr="00262D58">
              <w:rPr>
                <w:rFonts w:ascii="Arial" w:eastAsia="Calibri" w:hAnsi="Arial" w:cs="Arial"/>
                <w:lang w:val="es-ES_tradnl" w:eastAsia="es-ES_tradnl"/>
              </w:rPr>
              <w:t xml:space="preserve">Respuesta a </w:t>
            </w:r>
            <w:r>
              <w:rPr>
                <w:rFonts w:ascii="Arial" w:eastAsia="Calibri" w:hAnsi="Arial" w:cs="Arial"/>
                <w:lang w:val="es-ES_tradnl" w:eastAsia="es-ES_tradnl"/>
              </w:rPr>
              <w:t xml:space="preserve">las </w:t>
            </w:r>
            <w:r w:rsidRPr="00262D58">
              <w:rPr>
                <w:rFonts w:ascii="Arial" w:eastAsia="Calibri" w:hAnsi="Arial" w:cs="Arial"/>
                <w:lang w:val="es-ES_tradnl" w:eastAsia="es-ES_tradnl"/>
              </w:rPr>
              <w:t>consulta</w:t>
            </w:r>
            <w:r>
              <w:rPr>
                <w:rFonts w:ascii="Arial" w:eastAsia="Calibri" w:hAnsi="Arial" w:cs="Arial"/>
                <w:lang w:val="es-ES_tradnl" w:eastAsia="es-ES_tradnl"/>
              </w:rPr>
              <w:t>s</w:t>
            </w:r>
            <w:r w:rsidRPr="00262D58">
              <w:rPr>
                <w:rFonts w:ascii="Arial" w:eastAsia="Calibri" w:hAnsi="Arial" w:cs="Arial"/>
                <w:lang w:val="es-ES_tradnl" w:eastAsia="es-ES_tradnl"/>
              </w:rPr>
              <w:t xml:space="preserve"> </w:t>
            </w:r>
            <w:r w:rsidRPr="006D02FB">
              <w:rPr>
                <w:rFonts w:ascii="Arial" w:eastAsia="Calibri" w:hAnsi="Arial" w:cs="Arial"/>
                <w:lang w:val="es-ES_tradnl" w:eastAsia="es-ES_tradnl"/>
              </w:rPr>
              <w:t>P20230811014160</w:t>
            </w:r>
            <w:r>
              <w:rPr>
                <w:rFonts w:ascii="Arial" w:eastAsia="Calibri" w:hAnsi="Arial" w:cs="Arial"/>
                <w:lang w:val="es-ES_tradnl" w:eastAsia="es-ES_tradnl"/>
              </w:rPr>
              <w:t xml:space="preserve"> y </w:t>
            </w:r>
            <w:r w:rsidRPr="006D02FB">
              <w:rPr>
                <w:rFonts w:ascii="Arial" w:eastAsia="Calibri" w:hAnsi="Arial" w:cs="Arial"/>
                <w:lang w:val="es-ES_tradnl" w:eastAsia="es-ES_tradnl"/>
              </w:rPr>
              <w:t>P20230811014161</w:t>
            </w:r>
            <w:r>
              <w:rPr>
                <w:rFonts w:ascii="Arial" w:eastAsia="Calibri" w:hAnsi="Arial" w:cs="Arial"/>
                <w:lang w:val="es-ES_tradnl" w:eastAsia="es-ES_tradnl"/>
              </w:rPr>
              <w:t xml:space="preserve"> –Acumulados–</w:t>
            </w:r>
          </w:p>
        </w:tc>
      </w:tr>
    </w:tbl>
    <w:p w14:paraId="4F94D200" w14:textId="77777777" w:rsidR="0090563C" w:rsidRPr="00262D58" w:rsidRDefault="0090563C" w:rsidP="0090563C">
      <w:pPr>
        <w:contextualSpacing/>
        <w:jc w:val="both"/>
        <w:rPr>
          <w:rFonts w:ascii="Arial" w:eastAsia="Calibri" w:hAnsi="Arial" w:cs="Arial"/>
          <w:lang w:val="es-ES_tradnl" w:eastAsia="es-ES_tradnl"/>
        </w:rPr>
      </w:pPr>
    </w:p>
    <w:p w14:paraId="1B4933A7" w14:textId="77777777" w:rsidR="0090563C" w:rsidRPr="00262D58" w:rsidRDefault="0090563C" w:rsidP="0090563C">
      <w:pPr>
        <w:contextualSpacing/>
        <w:jc w:val="both"/>
        <w:rPr>
          <w:rFonts w:ascii="Arial" w:eastAsia="Calibri" w:hAnsi="Arial" w:cs="Arial"/>
          <w:lang w:val="es-ES_tradnl" w:eastAsia="es-ES_tradnl"/>
        </w:rPr>
      </w:pPr>
    </w:p>
    <w:p w14:paraId="624F5C7E" w14:textId="77777777" w:rsidR="0090563C" w:rsidRPr="00262D58" w:rsidRDefault="0090563C" w:rsidP="0090563C">
      <w:pPr>
        <w:contextualSpacing/>
        <w:jc w:val="both"/>
        <w:rPr>
          <w:rFonts w:ascii="Arial" w:eastAsia="Calibri" w:hAnsi="Arial" w:cs="Arial"/>
          <w:lang w:val="es-ES" w:eastAsia="es-ES"/>
        </w:rPr>
      </w:pPr>
      <w:r w:rsidRPr="00262D58">
        <w:rPr>
          <w:rFonts w:ascii="Arial" w:eastAsia="Calibri" w:hAnsi="Arial" w:cs="Arial"/>
          <w:lang w:val="es-ES" w:eastAsia="es-ES"/>
        </w:rPr>
        <w:t xml:space="preserve">Respetada </w:t>
      </w:r>
      <w:r>
        <w:rPr>
          <w:rFonts w:ascii="Arial" w:eastAsia="Calibri" w:hAnsi="Arial" w:cs="Arial"/>
          <w:lang w:val="es-ES" w:eastAsia="es-ES"/>
        </w:rPr>
        <w:t>señora</w:t>
      </w:r>
      <w:r w:rsidRPr="00262D58">
        <w:rPr>
          <w:rFonts w:ascii="Arial" w:eastAsia="Calibri" w:hAnsi="Arial" w:cs="Arial"/>
          <w:lang w:val="es-ES" w:eastAsia="es-ES"/>
        </w:rPr>
        <w:t xml:space="preserve"> </w:t>
      </w:r>
      <w:r w:rsidRPr="006D02FB">
        <w:rPr>
          <w:rFonts w:ascii="Arial" w:eastAsia="Times New Roman" w:hAnsi="Arial" w:cs="Arial"/>
          <w:lang w:eastAsia="es-ES"/>
        </w:rPr>
        <w:t>Fontecha Ariza</w:t>
      </w:r>
      <w:r w:rsidRPr="00262D58">
        <w:rPr>
          <w:rFonts w:ascii="Arial" w:eastAsia="Calibri" w:hAnsi="Arial" w:cs="Arial"/>
          <w:lang w:val="es-ES" w:eastAsia="es-ES"/>
        </w:rPr>
        <w:t xml:space="preserve">: </w:t>
      </w:r>
    </w:p>
    <w:p w14:paraId="199C2AE9" w14:textId="77777777" w:rsidR="0090563C" w:rsidRPr="00262D58" w:rsidRDefault="0090563C" w:rsidP="0090563C">
      <w:pPr>
        <w:spacing w:line="276" w:lineRule="auto"/>
        <w:contextualSpacing/>
        <w:jc w:val="both"/>
        <w:rPr>
          <w:rFonts w:ascii="Arial" w:eastAsia="Calibri" w:hAnsi="Arial" w:cs="Arial"/>
          <w:szCs w:val="24"/>
          <w:lang w:val="es-ES_tradnl" w:eastAsia="es-ES_tradnl"/>
        </w:rPr>
      </w:pPr>
    </w:p>
    <w:bookmarkEnd w:id="0"/>
    <w:bookmarkEnd w:id="1"/>
    <w:p w14:paraId="1726FE05" w14:textId="77777777" w:rsidR="0090563C" w:rsidRPr="00262D58" w:rsidRDefault="0090563C" w:rsidP="0090563C">
      <w:pPr>
        <w:spacing w:after="0" w:line="276" w:lineRule="auto"/>
        <w:jc w:val="both"/>
        <w:rPr>
          <w:rFonts w:ascii="Arial" w:eastAsia="Calibri" w:hAnsi="Arial" w:cs="Arial"/>
          <w:color w:val="000000" w:themeColor="text1"/>
          <w:lang w:val="es-ES_tradnl"/>
        </w:rPr>
      </w:pPr>
      <w:r w:rsidRPr="00262D58">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262D58">
        <w:rPr>
          <w:rFonts w:ascii="Arial" w:eastAsia="Arial MT" w:hAnsi="Arial" w:cs="Arial"/>
          <w:lang w:val="es-ES"/>
        </w:rPr>
        <w:t xml:space="preserve">, </w:t>
      </w:r>
      <w:bookmarkEnd w:id="3"/>
      <w:r w:rsidRPr="00262D58">
        <w:rPr>
          <w:rFonts w:ascii="Arial" w:eastAsia="Calibri" w:hAnsi="Arial" w:cs="Arial"/>
          <w:color w:val="000000" w:themeColor="text1"/>
          <w:lang w:val="es-ES_tradnl"/>
        </w:rPr>
        <w:t>la Agencia Nacional de Contratación Pública – Colombia Compra Eficiente responde la</w:t>
      </w:r>
      <w:r>
        <w:rPr>
          <w:rFonts w:ascii="Arial" w:eastAsia="Calibri" w:hAnsi="Arial" w:cs="Arial"/>
          <w:color w:val="000000" w:themeColor="text1"/>
          <w:lang w:val="es-ES_tradnl"/>
        </w:rPr>
        <w:t>s</w:t>
      </w:r>
      <w:r w:rsidRPr="00262D58">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peticiones radicadas el 11 de agosto de 2023</w:t>
      </w:r>
      <w:r w:rsidRPr="00262D58">
        <w:rPr>
          <w:rFonts w:ascii="Arial" w:eastAsia="Calibri" w:hAnsi="Arial" w:cs="Arial"/>
          <w:color w:val="000000" w:themeColor="text1"/>
          <w:lang w:val="es-ES_tradnl"/>
        </w:rPr>
        <w:t>.</w:t>
      </w:r>
    </w:p>
    <w:p w14:paraId="4DEBC355" w14:textId="77777777" w:rsidR="0090563C" w:rsidRPr="00262D58" w:rsidRDefault="0090563C" w:rsidP="0090563C">
      <w:pPr>
        <w:spacing w:after="0" w:line="276" w:lineRule="auto"/>
        <w:jc w:val="both"/>
        <w:rPr>
          <w:rFonts w:ascii="Arial" w:eastAsia="Calibri" w:hAnsi="Arial" w:cs="Arial"/>
          <w:b/>
          <w:color w:val="000000" w:themeColor="text1"/>
          <w:lang w:val="es-ES_tradnl"/>
        </w:rPr>
      </w:pPr>
    </w:p>
    <w:p w14:paraId="68B17296" w14:textId="77777777" w:rsidR="0090563C" w:rsidRPr="00262D58" w:rsidRDefault="0090563C" w:rsidP="0090563C">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 xml:space="preserve">Problema planteado </w:t>
      </w:r>
    </w:p>
    <w:p w14:paraId="7A85D51B" w14:textId="77777777" w:rsidR="0090563C" w:rsidRPr="00262D58" w:rsidRDefault="0090563C" w:rsidP="0090563C">
      <w:pPr>
        <w:tabs>
          <w:tab w:val="left" w:pos="426"/>
        </w:tabs>
        <w:spacing w:after="0" w:line="276" w:lineRule="auto"/>
        <w:jc w:val="both"/>
        <w:rPr>
          <w:rFonts w:ascii="Arial" w:eastAsia="Calibri" w:hAnsi="Arial" w:cs="Arial"/>
          <w:b/>
          <w:color w:val="000000" w:themeColor="text1"/>
          <w:lang w:val="es-ES_tradnl"/>
        </w:rPr>
      </w:pPr>
    </w:p>
    <w:p w14:paraId="7B4D6D3B" w14:textId="77777777" w:rsidR="0090563C" w:rsidRDefault="0090563C" w:rsidP="0090563C">
      <w:pPr>
        <w:spacing w:after="0" w:line="276" w:lineRule="auto"/>
        <w:jc w:val="both"/>
        <w:rPr>
          <w:rFonts w:ascii="Arial" w:hAnsi="Arial" w:cs="Arial"/>
          <w:color w:val="000000" w:themeColor="text1"/>
          <w:lang w:val="es-ES_tradnl"/>
        </w:rPr>
      </w:pPr>
      <w:bookmarkStart w:id="4" w:name="_Hlk132728388"/>
      <w:bookmarkStart w:id="5" w:name="_Hlk142917142"/>
      <w:r>
        <w:rPr>
          <w:rFonts w:ascii="Arial" w:hAnsi="Arial" w:cs="Arial"/>
          <w:color w:val="000000" w:themeColor="text1"/>
          <w:lang w:val="es-ES_tradnl"/>
        </w:rPr>
        <w:t xml:space="preserve">Usted realiza la siguiente pregunta: “[…] </w:t>
      </w:r>
      <w:r w:rsidRPr="006D02FB">
        <w:rPr>
          <w:rFonts w:ascii="Arial" w:hAnsi="Arial" w:cs="Arial"/>
          <w:color w:val="000000" w:themeColor="text1"/>
          <w:lang w:val="es-ES_tradnl"/>
        </w:rPr>
        <w:t>frente a lo dispuesto en el artículo 2.2.1.2.4.2.16 del decreto 1860 de 2021 las entidades públicas están en la obligación de incorporar esta provisión dentro de la contratación en la procura de la población en mención ¿cuál es el ejercicio para tasar el 05% mínimo de cumplimiento? Y así hacer un debido control en la ejecución. Cuando se habla de oportunidad y conveniencia ¿las entidades se pueden apartar de est</w:t>
      </w:r>
      <w:r>
        <w:rPr>
          <w:rFonts w:ascii="Arial" w:hAnsi="Arial" w:cs="Arial"/>
          <w:color w:val="000000" w:themeColor="text1"/>
          <w:lang w:val="es-ES_tradnl"/>
        </w:rPr>
        <w:t>e</w:t>
      </w:r>
      <w:r w:rsidRPr="006D02FB">
        <w:rPr>
          <w:rFonts w:ascii="Arial" w:hAnsi="Arial" w:cs="Arial"/>
          <w:color w:val="000000" w:themeColor="text1"/>
          <w:lang w:val="es-ES_tradnl"/>
        </w:rPr>
        <w:t xml:space="preserve"> mandato legal? ¿bajo qué supuestos?</w:t>
      </w:r>
      <w:r>
        <w:rPr>
          <w:rFonts w:ascii="Arial" w:hAnsi="Arial" w:cs="Arial"/>
          <w:color w:val="000000" w:themeColor="text1"/>
          <w:lang w:val="es-ES_tradnl"/>
        </w:rPr>
        <w:t>”.</w:t>
      </w:r>
    </w:p>
    <w:p w14:paraId="64647D86" w14:textId="77777777" w:rsidR="0090563C" w:rsidRDefault="0090563C" w:rsidP="0090563C">
      <w:pPr>
        <w:spacing w:after="0" w:line="276" w:lineRule="auto"/>
        <w:jc w:val="both"/>
        <w:rPr>
          <w:rFonts w:ascii="Arial" w:hAnsi="Arial" w:cs="Arial"/>
          <w:color w:val="000000" w:themeColor="text1"/>
          <w:lang w:val="es-ES_tradnl"/>
        </w:rPr>
      </w:pPr>
    </w:p>
    <w:bookmarkEnd w:id="4"/>
    <w:bookmarkEnd w:id="5"/>
    <w:p w14:paraId="7E3058B7" w14:textId="77777777" w:rsidR="0090563C" w:rsidRPr="00262D58" w:rsidRDefault="0090563C" w:rsidP="0090563C">
      <w:pPr>
        <w:pStyle w:val="Prrafodelista"/>
        <w:numPr>
          <w:ilvl w:val="0"/>
          <w:numId w:val="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Consideraciones</w:t>
      </w:r>
    </w:p>
    <w:p w14:paraId="1FC858EC" w14:textId="77777777" w:rsidR="0090563C" w:rsidRPr="00262D58" w:rsidRDefault="0090563C" w:rsidP="0090563C">
      <w:pPr>
        <w:spacing w:after="0" w:line="276" w:lineRule="auto"/>
        <w:jc w:val="both"/>
        <w:rPr>
          <w:rFonts w:ascii="Arial" w:eastAsia="Calibri" w:hAnsi="Arial" w:cs="Arial"/>
          <w:color w:val="000000" w:themeColor="text1"/>
          <w:lang w:val="es-ES"/>
        </w:rPr>
      </w:pPr>
    </w:p>
    <w:p w14:paraId="640813B3" w14:textId="77777777" w:rsidR="0090563C" w:rsidRPr="00262D58" w:rsidRDefault="0090563C" w:rsidP="0090563C">
      <w:pPr>
        <w:spacing w:line="276" w:lineRule="auto"/>
        <w:jc w:val="both"/>
        <w:rPr>
          <w:rFonts w:ascii="Arial" w:hAnsi="Arial" w:cs="Arial"/>
          <w:color w:val="000000" w:themeColor="text1"/>
          <w:lang w:val="es-ES"/>
        </w:rPr>
      </w:pPr>
      <w:r w:rsidRPr="00262D58">
        <w:rPr>
          <w:rFonts w:ascii="Arial" w:hAnsi="Arial" w:cs="Arial"/>
        </w:rPr>
        <w:lastRenderedPageBreak/>
        <w:t>L</w:t>
      </w:r>
      <w:r w:rsidRPr="00262D58">
        <w:rPr>
          <w:rFonts w:ascii="Arial" w:eastAsia="Calibri" w:hAnsi="Arial" w:cs="Arial"/>
        </w:rPr>
        <w:t xml:space="preserve">a Subdirección resolverá la petición conforme a las normas generales en materia de contratación estatal. Con este objetivo se abordarán </w:t>
      </w:r>
      <w:r w:rsidRPr="00262D58">
        <w:rPr>
          <w:rFonts w:ascii="Arial" w:eastAsia="Calibri" w:hAnsi="Arial" w:cs="Arial"/>
          <w:lang w:val="es-ES"/>
        </w:rPr>
        <w:t>los siguientes temas:</w:t>
      </w:r>
      <w:r w:rsidRPr="00262D58">
        <w:rPr>
          <w:rFonts w:ascii="Arial" w:hAnsi="Arial" w:cs="Arial"/>
          <w:color w:val="000000" w:themeColor="text1"/>
          <w:lang w:val="es-ES"/>
        </w:rPr>
        <w:t xml:space="preserve"> </w:t>
      </w:r>
      <w:r w:rsidRPr="006D02FB">
        <w:rPr>
          <w:rFonts w:ascii="Arial" w:hAnsi="Arial" w:cs="Arial"/>
          <w:color w:val="000000" w:themeColor="text1"/>
          <w:lang w:val="es-ES_tradnl"/>
        </w:rPr>
        <w:t>i) vigencia y ámbito de aplicación de la Ley 2069 de 2020</w:t>
      </w:r>
      <w:r>
        <w:rPr>
          <w:rFonts w:ascii="Arial" w:hAnsi="Arial" w:cs="Arial"/>
          <w:color w:val="000000" w:themeColor="text1"/>
          <w:lang w:val="es-ES_tradnl"/>
        </w:rPr>
        <w:t xml:space="preserve"> y</w:t>
      </w:r>
      <w:r w:rsidRPr="006D02FB">
        <w:rPr>
          <w:rFonts w:ascii="Arial" w:hAnsi="Arial" w:cs="Arial"/>
          <w:color w:val="000000" w:themeColor="text1"/>
          <w:lang w:val="es-ES_tradnl"/>
        </w:rPr>
        <w:t xml:space="preserve"> ii) regulación de la promoción del desarrollo en la contratación pública en el artículo 34 de la Ley 2069 de 2020 y la reglamentación del inciso cuarto en el Decreto 1860 de 2021</w:t>
      </w:r>
      <w:r>
        <w:rPr>
          <w:rFonts w:ascii="Arial" w:hAnsi="Arial" w:cs="Arial"/>
          <w:color w:val="000000" w:themeColor="text1"/>
          <w:lang w:val="es-ES_tradnl"/>
        </w:rPr>
        <w:t>.</w:t>
      </w:r>
    </w:p>
    <w:p w14:paraId="24E89C2F" w14:textId="77777777" w:rsidR="0090563C" w:rsidRPr="00262D58" w:rsidRDefault="0090563C" w:rsidP="0090563C">
      <w:pPr>
        <w:spacing w:before="120" w:after="0" w:line="276" w:lineRule="auto"/>
        <w:ind w:firstLine="709"/>
        <w:jc w:val="both"/>
        <w:rPr>
          <w:rFonts w:ascii="Arial" w:eastAsia="Calibri" w:hAnsi="Arial" w:cs="Arial"/>
          <w:color w:val="000000" w:themeColor="text1"/>
          <w:lang w:val="es-ES"/>
        </w:rPr>
      </w:pPr>
      <w:r w:rsidRPr="00262D58">
        <w:rPr>
          <w:rFonts w:ascii="Arial" w:eastAsia="Calibri" w:hAnsi="Arial" w:cs="Arial"/>
          <w:color w:val="000000" w:themeColor="text1"/>
          <w:lang w:val="es-ES"/>
        </w:rPr>
        <w:t>La Agencia Nacional de Contratación Pública – Colombia Compra Eficiente, en los Conceptos</w:t>
      </w:r>
      <w:r>
        <w:rPr>
          <w:rStyle w:val="normaltextrun"/>
          <w:rFonts w:ascii="Arial" w:hAnsi="Arial" w:cs="Arial"/>
          <w:color w:val="000000"/>
          <w:shd w:val="clear" w:color="auto" w:fill="FFFFFF"/>
          <w:lang w:val="es-ES"/>
        </w:rPr>
        <w:t xml:space="preserve"> </w:t>
      </w:r>
      <w:r w:rsidRPr="00D07A0E">
        <w:rPr>
          <w:rFonts w:ascii="Arial" w:eastAsia="Calibri" w:hAnsi="Arial" w:cs="Arial"/>
          <w:color w:val="000000" w:themeColor="text1"/>
        </w:rPr>
        <w:t xml:space="preserve">216130003241 el 30 de junio de 2016, </w:t>
      </w:r>
      <w:r w:rsidRPr="00D07A0E">
        <w:rPr>
          <w:rFonts w:ascii="Arial" w:hAnsi="Arial" w:cs="Arial"/>
          <w:lang w:val="es-ES_tradnl"/>
        </w:rPr>
        <w:t xml:space="preserve">4201714000006924 del 29 de enero de 2018, </w:t>
      </w:r>
      <w:r w:rsidRPr="00D07A0E">
        <w:rPr>
          <w:rFonts w:ascii="Arial" w:eastAsia="Calibri" w:hAnsi="Arial" w:cs="Arial"/>
          <w:color w:val="000000" w:themeColor="text1"/>
        </w:rPr>
        <w:t>2201813000008184 del 7 de septiembre de 2019,</w:t>
      </w:r>
      <w:r w:rsidRPr="00D07A0E">
        <w:rPr>
          <w:rFonts w:ascii="Arial" w:eastAsia="Calibri" w:hAnsi="Arial" w:cs="Arial"/>
          <w:lang w:val="es-ES_tradnl" w:eastAsia="es-ES_tradnl"/>
        </w:rPr>
        <w:t xml:space="preserve"> </w:t>
      </w:r>
      <w:r w:rsidRPr="00D07A0E">
        <w:rPr>
          <w:rFonts w:ascii="Arial" w:eastAsia="Calibri" w:hAnsi="Arial" w:cs="Arial"/>
          <w:lang w:val="es-ES_tradnl"/>
        </w:rPr>
        <w:t>C-045 del 17 de marzo de 2020, C-162 del 16 de abril de 2020, C-214 del 21 de abril de 2020, C-258 del 17 de abril de 2020, C-364 del 4 de junio de 2020, C-413 del 30 de junio de 2020</w:t>
      </w:r>
      <w:r w:rsidRPr="00D07A0E">
        <w:rPr>
          <w:rFonts w:ascii="Arial" w:hAnsi="Arial" w:cs="Arial"/>
          <w:lang w:val="es-ES_tradnl"/>
        </w:rPr>
        <w:t xml:space="preserve">, </w:t>
      </w:r>
      <w:r w:rsidRPr="00D07A0E">
        <w:rPr>
          <w:rFonts w:ascii="Arial" w:eastAsia="Calibri" w:hAnsi="Arial" w:cs="Arial"/>
          <w:lang w:val="es-ES_tradnl"/>
        </w:rPr>
        <w:t xml:space="preserve">C-492 del 24 de julio de 2020, C-523 del 11 de agosto de 2020, C-610 del 14 de septiembre de 2020, C-700 de 1 de diciembre de 2020, C-705 del 7 de diciembre de 2020, </w:t>
      </w:r>
      <w:r w:rsidRPr="00D07A0E">
        <w:rPr>
          <w:rFonts w:ascii="Arial" w:eastAsia="Calibri" w:hAnsi="Arial" w:cs="Arial"/>
          <w:lang w:val="es-ES_tradnl" w:eastAsia="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C-438 del 27 de septiembre de 2021, C-496 del 14 de septiembre de 2021, C-573 de 13 de octubre de 2021, C-001 del 17 de febrero de 2022, C-041 del 2 de marzo de 2022,</w:t>
      </w:r>
      <w:r>
        <w:rPr>
          <w:rFonts w:ascii="Arial" w:eastAsia="Calibri" w:hAnsi="Arial" w:cs="Arial"/>
          <w:lang w:val="es-ES_tradnl" w:eastAsia="es-ES_tradnl"/>
        </w:rPr>
        <w:t xml:space="preserve"> </w:t>
      </w:r>
      <w:r>
        <w:rPr>
          <w:rFonts w:ascii="Arial" w:eastAsia="Calibri" w:hAnsi="Arial" w:cs="Arial"/>
          <w:lang w:val="es-ES_tradnl"/>
        </w:rPr>
        <w:t>C-165 de 6 de abril de 2022,</w:t>
      </w:r>
      <w:r w:rsidRPr="00D07A0E">
        <w:rPr>
          <w:rFonts w:ascii="Arial" w:eastAsia="Calibri" w:hAnsi="Arial" w:cs="Arial"/>
          <w:lang w:val="es-ES_tradnl" w:eastAsia="es-ES_tradnl"/>
        </w:rPr>
        <w:t xml:space="preserve"> C-293 del 12 de mayo de 2022, </w:t>
      </w:r>
      <w:r>
        <w:rPr>
          <w:rFonts w:ascii="Arial" w:eastAsia="Calibri" w:hAnsi="Arial" w:cs="Arial"/>
          <w:lang w:val="es-ES_tradnl" w:eastAsia="es-ES_tradnl"/>
        </w:rPr>
        <w:t xml:space="preserve">C-317 del 16 de mayo de 2022, C-326 del 18 de mayo de 2022, </w:t>
      </w:r>
      <w:r w:rsidRPr="00D07A0E">
        <w:rPr>
          <w:rFonts w:ascii="Arial" w:eastAsia="Calibri" w:hAnsi="Arial" w:cs="Arial"/>
          <w:lang w:val="es-ES_tradnl" w:eastAsia="es-ES_tradnl"/>
        </w:rPr>
        <w:t xml:space="preserve">C-340 del 26 de mayo de 2022, </w:t>
      </w:r>
      <w:r>
        <w:rPr>
          <w:rFonts w:ascii="Arial" w:eastAsia="Calibri" w:hAnsi="Arial" w:cs="Arial"/>
          <w:lang w:val="es-ES_tradnl" w:eastAsia="es-ES_tradnl"/>
        </w:rPr>
        <w:t xml:space="preserve">C-243 del 31 de mayo de 2023, </w:t>
      </w:r>
      <w:r w:rsidRPr="00D07A0E">
        <w:rPr>
          <w:rFonts w:ascii="Arial" w:eastAsia="Calibri" w:hAnsi="Arial" w:cs="Arial"/>
          <w:lang w:val="es-ES_tradnl" w:eastAsia="es-ES_tradnl"/>
        </w:rPr>
        <w:t>C-395 del 17 de junio de 2022, C-539 del 29 de agosto de 2022, C-089 del 28 de abril de 2023, C-159 del 22 de junio de 2023, C-206 del 20 de junio de 2023 y C-207 del 20 de junio de 2023</w:t>
      </w:r>
      <w:r>
        <w:rPr>
          <w:rStyle w:val="normaltextrun"/>
          <w:rFonts w:ascii="Arial" w:hAnsi="Arial" w:cs="Arial"/>
          <w:color w:val="000000"/>
          <w:shd w:val="clear" w:color="auto" w:fill="FFFFFF"/>
        </w:rPr>
        <w:t>,</w:t>
      </w:r>
      <w:r w:rsidRPr="00262D58">
        <w:rPr>
          <w:rStyle w:val="normaltextrun"/>
          <w:rFonts w:ascii="Arial" w:hAnsi="Arial" w:cs="Arial"/>
          <w:color w:val="000000"/>
          <w:shd w:val="clear" w:color="auto" w:fill="FFFFFF"/>
        </w:rPr>
        <w:t xml:space="preserve"> se ha pronunciado sobre la aplicación </w:t>
      </w:r>
      <w:r>
        <w:rPr>
          <w:rStyle w:val="normaltextrun"/>
          <w:rFonts w:ascii="Arial" w:hAnsi="Arial" w:cs="Arial"/>
          <w:color w:val="000000"/>
          <w:shd w:val="clear" w:color="auto" w:fill="FFFFFF"/>
        </w:rPr>
        <w:t>del artículo 34 de la Ley de Emprendimiento</w:t>
      </w:r>
      <w:r w:rsidRPr="00262D58">
        <w:rPr>
          <w:rStyle w:val="Refdenotaalpie"/>
          <w:rFonts w:ascii="Arial" w:eastAsia="Calibri" w:hAnsi="Arial" w:cs="Arial"/>
        </w:rPr>
        <w:footnoteReference w:id="1"/>
      </w:r>
      <w:r w:rsidRPr="00262D58">
        <w:rPr>
          <w:rStyle w:val="normaltextrun"/>
          <w:rFonts w:ascii="Arial" w:hAnsi="Arial" w:cs="Arial"/>
          <w:color w:val="000000"/>
          <w:shd w:val="clear" w:color="auto" w:fill="FFFFFF"/>
        </w:rPr>
        <w:t xml:space="preserve">. </w:t>
      </w:r>
      <w:r w:rsidRPr="00262D58">
        <w:rPr>
          <w:rFonts w:ascii="Arial" w:eastAsia="Calibri" w:hAnsi="Arial" w:cs="Arial"/>
          <w:color w:val="000000" w:themeColor="text1"/>
          <w:lang w:val="es-ES_tradnl"/>
        </w:rPr>
        <w:t xml:space="preserve">La tesis propuesta en estos conceptos se reitera a continuación y se complementa en lo pertinente. </w:t>
      </w:r>
    </w:p>
    <w:p w14:paraId="0ABC8EF8" w14:textId="77777777" w:rsidR="0090563C" w:rsidRPr="00262D58" w:rsidRDefault="0090563C" w:rsidP="0090563C">
      <w:pPr>
        <w:spacing w:after="0" w:line="276" w:lineRule="auto"/>
        <w:contextualSpacing/>
        <w:jc w:val="both"/>
        <w:rPr>
          <w:rFonts w:ascii="Arial" w:eastAsia="Times New Roman" w:hAnsi="Arial" w:cs="Arial"/>
          <w:b/>
          <w:szCs w:val="24"/>
          <w:lang w:eastAsia="es-ES_tradnl"/>
        </w:rPr>
      </w:pPr>
    </w:p>
    <w:p w14:paraId="7EC5760A" w14:textId="77777777" w:rsidR="0090563C" w:rsidRPr="00B9642A" w:rsidRDefault="0090563C" w:rsidP="0090563C">
      <w:pPr>
        <w:spacing w:after="0" w:line="276" w:lineRule="auto"/>
        <w:jc w:val="both"/>
        <w:rPr>
          <w:rFonts w:ascii="Arial" w:eastAsia="Calibri" w:hAnsi="Arial" w:cs="Arial"/>
          <w:b/>
          <w:bCs/>
          <w:lang w:val="es-ES_tradnl"/>
        </w:rPr>
      </w:pPr>
      <w:bookmarkStart w:id="6" w:name="_Hlk75784645"/>
      <w:r w:rsidRPr="00B9642A">
        <w:rPr>
          <w:rFonts w:ascii="Arial" w:eastAsia="Calibri" w:hAnsi="Arial" w:cs="Arial"/>
          <w:b/>
          <w:bCs/>
          <w:lang w:val="es-ES_tradnl"/>
        </w:rPr>
        <w:t>2.1. Vigencia y ámbito de aplicación de la Ley 2069 de 2020</w:t>
      </w:r>
    </w:p>
    <w:p w14:paraId="784E5571" w14:textId="77777777" w:rsidR="0090563C" w:rsidRPr="00B9642A" w:rsidRDefault="0090563C" w:rsidP="0090563C">
      <w:pPr>
        <w:spacing w:after="0" w:line="276" w:lineRule="auto"/>
        <w:jc w:val="both"/>
        <w:rPr>
          <w:rFonts w:ascii="Arial" w:eastAsia="Calibri" w:hAnsi="Arial" w:cs="Arial"/>
          <w:lang w:val="es-ES_tradnl"/>
        </w:rPr>
      </w:pPr>
    </w:p>
    <w:p w14:paraId="7030BAF9" w14:textId="77777777" w:rsidR="0090563C" w:rsidRPr="00B9642A" w:rsidRDefault="0090563C" w:rsidP="0090563C">
      <w:pPr>
        <w:spacing w:after="120" w:line="276" w:lineRule="auto"/>
        <w:jc w:val="both"/>
        <w:rPr>
          <w:rFonts w:ascii="Arial" w:eastAsia="Calibri" w:hAnsi="Arial" w:cs="Arial"/>
          <w:lang w:val="es-ES_tradnl"/>
        </w:rPr>
      </w:pPr>
      <w:r w:rsidRPr="00B9642A">
        <w:rPr>
          <w:rFonts w:ascii="Arial" w:eastAsia="Calibri" w:hAnsi="Arial" w:cs="Arial"/>
          <w:lang w:val="es-ES_tradnl"/>
        </w:rPr>
        <w:t xml:space="preserve">El 31 de diciembre de 2020 se </w:t>
      </w:r>
      <w:r>
        <w:rPr>
          <w:rFonts w:ascii="Arial" w:eastAsia="Calibri" w:hAnsi="Arial" w:cs="Arial"/>
          <w:lang w:val="es-ES_tradnl"/>
        </w:rPr>
        <w:t>expidió</w:t>
      </w:r>
      <w:r w:rsidRPr="00B9642A">
        <w:rPr>
          <w:rFonts w:ascii="Arial" w:eastAsia="Calibri" w:hAnsi="Arial" w:cs="Arial"/>
          <w:lang w:val="es-ES_tradnl"/>
        </w:rPr>
        <w:t xml:space="preserve"> la Ley 2069, </w:t>
      </w:r>
      <w:r>
        <w:rPr>
          <w:rFonts w:ascii="Arial" w:eastAsia="Calibri" w:hAnsi="Arial" w:cs="Arial"/>
          <w:lang w:val="es-ES_tradnl"/>
        </w:rPr>
        <w:t>“</w:t>
      </w:r>
      <w:r w:rsidRPr="00B9642A">
        <w:rPr>
          <w:rFonts w:ascii="Arial" w:eastAsia="Calibri" w:hAnsi="Arial" w:cs="Arial"/>
          <w:lang w:val="es-ES_tradnl"/>
        </w:rPr>
        <w:t>Por medio de la cual se impulsa el emprendimiento en Colombia</w:t>
      </w:r>
      <w:r>
        <w:rPr>
          <w:rFonts w:ascii="Arial" w:eastAsia="Calibri" w:hAnsi="Arial" w:cs="Arial"/>
          <w:lang w:val="es-ES_tradnl"/>
        </w:rPr>
        <w:t>”</w:t>
      </w:r>
      <w:r w:rsidRPr="00B9642A">
        <w:rPr>
          <w:rFonts w:ascii="Arial" w:eastAsia="Calibri" w:hAnsi="Arial" w:cs="Arial"/>
          <w:lang w:val="es-ES_tradnl"/>
        </w:rPr>
        <w:t xml:space="preserve">. De acuerdo con el artículo 84, </w:t>
      </w:r>
      <w:r>
        <w:rPr>
          <w:rFonts w:ascii="Arial" w:eastAsia="Calibri" w:hAnsi="Arial" w:cs="Arial"/>
          <w:lang w:val="es-ES_tradnl"/>
        </w:rPr>
        <w:t>“</w:t>
      </w:r>
      <w:r w:rsidRPr="00B9642A">
        <w:rPr>
          <w:rFonts w:ascii="Arial" w:eastAsia="Calibri" w:hAnsi="Arial" w:cs="Arial"/>
          <w:lang w:val="es-ES_tradnl"/>
        </w:rPr>
        <w:t>La presente Ley rige a partir del momento de su promulgación […]</w:t>
      </w:r>
      <w:r>
        <w:rPr>
          <w:rFonts w:ascii="Arial" w:eastAsia="Calibri" w:hAnsi="Arial" w:cs="Arial"/>
          <w:lang w:val="es-ES_tradnl"/>
        </w:rPr>
        <w:t>”</w:t>
      </w:r>
      <w:r w:rsidRPr="00B9642A">
        <w:rPr>
          <w:rFonts w:ascii="Arial" w:eastAsia="Calibri" w:hAnsi="Arial" w:cs="Arial"/>
          <w:lang w:val="es-ES_tradnl"/>
        </w:rPr>
        <w:t>, lo que significa que es obligatoria para sus destinatarios desde esa fecha. Lo anterior, sin perjuicio de la posibilidad de que el gobierno nacional</w:t>
      </w:r>
      <w:r>
        <w:rPr>
          <w:rFonts w:ascii="Arial" w:eastAsia="Calibri" w:hAnsi="Arial" w:cs="Arial"/>
          <w:lang w:val="es-ES_tradnl"/>
        </w:rPr>
        <w:t xml:space="preserve"> ejerza</w:t>
      </w:r>
      <w:r w:rsidRPr="00B9642A">
        <w:rPr>
          <w:rFonts w:ascii="Arial" w:eastAsia="Calibri" w:hAnsi="Arial" w:cs="Arial"/>
          <w:lang w:val="es-ES_tradnl"/>
        </w:rPr>
        <w:t xml:space="preserve"> la potestad reglamentaria </w:t>
      </w:r>
      <w:r>
        <w:rPr>
          <w:rFonts w:ascii="Arial" w:eastAsia="Calibri" w:hAnsi="Arial" w:cs="Arial"/>
          <w:lang w:val="es-ES_tradnl"/>
        </w:rPr>
        <w:t>d</w:t>
      </w:r>
      <w:r w:rsidRPr="00B9642A">
        <w:rPr>
          <w:rFonts w:ascii="Arial" w:eastAsia="Calibri" w:hAnsi="Arial" w:cs="Arial"/>
          <w:lang w:val="es-ES_tradnl"/>
        </w:rPr>
        <w:t>el artículo 189</w:t>
      </w:r>
      <w:r>
        <w:rPr>
          <w:rFonts w:ascii="Arial" w:eastAsia="Calibri" w:hAnsi="Arial" w:cs="Arial"/>
          <w:lang w:val="es-ES_tradnl"/>
        </w:rPr>
        <w:t>.</w:t>
      </w:r>
      <w:r w:rsidRPr="00B9642A">
        <w:rPr>
          <w:rFonts w:ascii="Arial" w:eastAsia="Calibri" w:hAnsi="Arial" w:cs="Arial"/>
          <w:lang w:val="es-ES_tradnl"/>
        </w:rPr>
        <w:t>11 de la Constitución Política</w:t>
      </w:r>
      <w:r>
        <w:rPr>
          <w:rFonts w:ascii="Arial" w:eastAsia="Calibri" w:hAnsi="Arial" w:cs="Arial"/>
          <w:lang w:val="es-ES_tradnl"/>
        </w:rPr>
        <w:t xml:space="preserve"> para</w:t>
      </w:r>
      <w:r w:rsidRPr="00B9642A">
        <w:rPr>
          <w:rFonts w:ascii="Arial" w:eastAsia="Calibri" w:hAnsi="Arial" w:cs="Arial"/>
          <w:lang w:val="es-ES_tradnl"/>
        </w:rPr>
        <w:t xml:space="preserve"> la cumplida ejecución de esta </w:t>
      </w:r>
      <w:r>
        <w:rPr>
          <w:rFonts w:ascii="Arial" w:eastAsia="Calibri" w:hAnsi="Arial" w:cs="Arial"/>
          <w:lang w:val="es-ES_tradnl"/>
        </w:rPr>
        <w:t>l</w:t>
      </w:r>
      <w:r w:rsidRPr="00B9642A">
        <w:rPr>
          <w:rFonts w:ascii="Arial" w:eastAsia="Calibri" w:hAnsi="Arial" w:cs="Arial"/>
          <w:lang w:val="es-ES_tradnl"/>
        </w:rPr>
        <w:t>ey</w:t>
      </w:r>
      <w:r>
        <w:rPr>
          <w:rFonts w:ascii="Arial" w:eastAsia="Calibri" w:hAnsi="Arial" w:cs="Arial"/>
          <w:lang w:val="es-ES_tradnl"/>
        </w:rPr>
        <w:t>. Para efectos de los temas relacionados con la contratación estatal, esto último se materializó con la expedición del Decreto 1860 del 24 de diciembre de 2021, “</w:t>
      </w:r>
      <w:r w:rsidRPr="007F25CB">
        <w:rPr>
          <w:rFonts w:ascii="Arial" w:eastAsia="Calibri" w:hAnsi="Arial" w:cs="Arial"/>
          <w:lang w:val="es-ES_tradnl"/>
        </w:rPr>
        <w:t xml:space="preserve">Por el cual se modifica y adiciona el Decreto 1082 de 2015, Único Reglamentario del Sector Administrativo de Planeación Nacional, con el fin reglamentar los </w:t>
      </w:r>
      <w:r w:rsidRPr="007F25CB">
        <w:rPr>
          <w:rFonts w:ascii="Arial" w:eastAsia="Calibri" w:hAnsi="Arial" w:cs="Arial"/>
          <w:lang w:val="es-ES_tradnl"/>
        </w:rPr>
        <w:lastRenderedPageBreak/>
        <w:t>artículos 30, 31, 32, 34 y 35 de la Ley 2069 de 2020, en lo relativo al sistema de compras públicas y se dictan otras disposiciones</w:t>
      </w:r>
      <w:r>
        <w:rPr>
          <w:rFonts w:ascii="Arial" w:eastAsia="Calibri" w:hAnsi="Arial" w:cs="Arial"/>
          <w:lang w:val="es-ES_tradnl"/>
        </w:rPr>
        <w:t>”, y con el Decreto 442 del 28 de marzo de 2022, “</w:t>
      </w:r>
      <w:r w:rsidRPr="00A95C78">
        <w:rPr>
          <w:rFonts w:ascii="Arial" w:eastAsia="Calibri" w:hAnsi="Arial" w:cs="Arial"/>
          <w:lang w:val="es-ES_tradnl"/>
        </w:rPr>
        <w:t>Por el cual se modifica el Decreto 1082 de 2015, Único Reglamentario del Sector Administrativo de Planeación Nacional, con el fin de reglamentar el artículo 36 de la Ley 2069 de 2020 en lo relativo a la promoción de las compras públicas de tecnología e innovación</w:t>
      </w:r>
      <w:r>
        <w:rPr>
          <w:rFonts w:ascii="Arial" w:eastAsia="Calibri" w:hAnsi="Arial" w:cs="Arial"/>
          <w:lang w:val="es-ES_tradnl"/>
        </w:rPr>
        <w:t>”</w:t>
      </w:r>
      <w:r w:rsidRPr="00B9642A">
        <w:rPr>
          <w:rFonts w:ascii="Arial" w:eastAsia="Calibri" w:hAnsi="Arial" w:cs="Arial"/>
          <w:lang w:val="es-ES_tradnl"/>
        </w:rPr>
        <w:t>.</w:t>
      </w:r>
    </w:p>
    <w:p w14:paraId="1881C417" w14:textId="77777777" w:rsidR="0090563C" w:rsidRPr="00434BB4" w:rsidRDefault="0090563C" w:rsidP="0090563C">
      <w:pPr>
        <w:spacing w:after="120" w:line="276" w:lineRule="auto"/>
        <w:ind w:firstLine="709"/>
        <w:jc w:val="both"/>
        <w:rPr>
          <w:rFonts w:ascii="Arial" w:eastAsia="Calibri" w:hAnsi="Arial" w:cs="Arial"/>
          <w:color w:val="000000" w:themeColor="text1"/>
          <w:lang w:val="es-ES_tradnl"/>
        </w:rPr>
      </w:pPr>
      <w:r w:rsidRPr="00434BB4">
        <w:rPr>
          <w:rFonts w:ascii="Arial" w:eastAsia="Calibri" w:hAnsi="Arial" w:cs="Arial"/>
          <w:color w:val="000000" w:themeColor="text1"/>
          <w:lang w:val="es-ES_tradnl"/>
        </w:rPr>
        <w:t xml:space="preserve">En cuanto a su contenido, es importante señalar que, como dispone el artículo 1, aquella </w:t>
      </w:r>
      <w:r>
        <w:rPr>
          <w:rFonts w:ascii="Arial" w:eastAsia="Calibri" w:hAnsi="Arial" w:cs="Arial"/>
          <w:color w:val="000000" w:themeColor="text1"/>
          <w:lang w:val="es-ES_tradnl"/>
        </w:rPr>
        <w:t>“</w:t>
      </w:r>
      <w:r w:rsidRPr="00434BB4">
        <w:rPr>
          <w:rFonts w:ascii="Arial" w:eastAsia="Calibri" w:hAnsi="Arial" w:cs="Arial"/>
          <w:color w:val="000000" w:themeColor="text1"/>
          <w:lang w:val="es-ES_tradnl"/>
        </w:rPr>
        <w:t>tiene por objeto establecer un marco regulatorio que propicie el emprendimiento y el crecimiento, consolidación y sostenibilidad de las empresas, con el fin de aumentar el bienestar social y generar equidad</w:t>
      </w:r>
      <w:r>
        <w:rPr>
          <w:rFonts w:ascii="Arial" w:eastAsia="Calibri" w:hAnsi="Arial" w:cs="Arial"/>
          <w:color w:val="000000" w:themeColor="text1"/>
          <w:lang w:val="es-ES_tradnl"/>
        </w:rPr>
        <w:t>”</w:t>
      </w:r>
      <w:r w:rsidRPr="00434BB4">
        <w:rPr>
          <w:rFonts w:ascii="Arial" w:eastAsia="Calibri" w:hAnsi="Arial" w:cs="Arial"/>
          <w:color w:val="000000" w:themeColor="text1"/>
          <w:lang w:val="es-ES_tradnl"/>
        </w:rPr>
        <w:t xml:space="preserve">. Esto, a partir de </w:t>
      </w:r>
      <w:r>
        <w:rPr>
          <w:rFonts w:ascii="Arial" w:eastAsia="Calibri" w:hAnsi="Arial" w:cs="Arial"/>
          <w:color w:val="000000" w:themeColor="text1"/>
          <w:lang w:val="es-ES_tradnl"/>
        </w:rPr>
        <w:t>“</w:t>
      </w:r>
      <w:r w:rsidRPr="00434BB4">
        <w:rPr>
          <w:rFonts w:ascii="Arial" w:eastAsia="Calibri" w:hAnsi="Arial" w:cs="Arial"/>
          <w:color w:val="000000" w:themeColor="text1"/>
          <w:lang w:val="es-ES_tradnl"/>
        </w:rPr>
        <w:t>[…] un enfoque regionalizado de acuerdo a las realidades socioeconómicas de cada región</w:t>
      </w:r>
      <w:r>
        <w:rPr>
          <w:rFonts w:ascii="Arial" w:eastAsia="Calibri" w:hAnsi="Arial" w:cs="Arial"/>
          <w:color w:val="000000" w:themeColor="text1"/>
          <w:lang w:val="es-ES_tradnl"/>
        </w:rPr>
        <w:t>”</w:t>
      </w:r>
      <w:r w:rsidRPr="00434BB4">
        <w:rPr>
          <w:rFonts w:ascii="Arial" w:eastAsia="Calibri" w:hAnsi="Arial" w:cs="Arial"/>
          <w:color w:val="000000" w:themeColor="text1"/>
          <w:lang w:val="es-ES_tradnl"/>
        </w:rPr>
        <w:t>. En desarrollo de esta finalidad, se establecen medidas de apoyo para las micro, pequeñas y medianas empresas –</w:t>
      </w:r>
      <w:proofErr w:type="spellStart"/>
      <w:r w:rsidRPr="00434BB4">
        <w:rPr>
          <w:rFonts w:ascii="Arial" w:eastAsia="Calibri" w:hAnsi="Arial" w:cs="Arial"/>
          <w:color w:val="000000" w:themeColor="text1"/>
          <w:lang w:val="es-ES_tradnl"/>
        </w:rPr>
        <w:t>mipymes</w:t>
      </w:r>
      <w:proofErr w:type="spellEnd"/>
      <w:r w:rsidRPr="00434BB4">
        <w:rPr>
          <w:rFonts w:ascii="Arial" w:eastAsia="Calibri" w:hAnsi="Arial" w:cs="Arial"/>
          <w:color w:val="000000" w:themeColor="text1"/>
          <w:lang w:val="es-ES_tradnl"/>
        </w:rPr>
        <w:t>–, mediante la racionalización y simplificación de los trámites y tarifas</w:t>
      </w:r>
      <w:r w:rsidRPr="00434BB4">
        <w:rPr>
          <w:rStyle w:val="Refdenotaalpie"/>
          <w:rFonts w:ascii="Arial" w:eastAsia="Calibri" w:hAnsi="Arial" w:cs="Arial"/>
          <w:color w:val="000000" w:themeColor="text1"/>
          <w:lang w:val="es-ES_tradnl"/>
        </w:rPr>
        <w:footnoteReference w:id="2"/>
      </w:r>
      <w:r w:rsidRPr="00434BB4">
        <w:rPr>
          <w:rFonts w:ascii="Arial" w:eastAsia="Calibri" w:hAnsi="Arial" w:cs="Arial"/>
          <w:color w:val="000000" w:themeColor="text1"/>
          <w:lang w:val="es-ES_tradnl"/>
        </w:rPr>
        <w:t>, así como incentivos a favor de aquellas dentro del sistema de compras y contratación pública</w:t>
      </w:r>
      <w:r w:rsidRPr="00434BB4">
        <w:rPr>
          <w:rStyle w:val="Refdenotaalpie"/>
          <w:rFonts w:ascii="Arial" w:eastAsia="Calibri" w:hAnsi="Arial" w:cs="Arial"/>
          <w:color w:val="000000" w:themeColor="text1"/>
          <w:lang w:val="es-ES_tradnl"/>
        </w:rPr>
        <w:footnoteReference w:id="3"/>
      </w:r>
      <w:r w:rsidRPr="00434BB4">
        <w:rPr>
          <w:rFonts w:ascii="Arial" w:eastAsia="Calibri" w:hAnsi="Arial" w:cs="Arial"/>
          <w:color w:val="000000" w:themeColor="text1"/>
          <w:lang w:val="es-ES_tradnl"/>
        </w:rPr>
        <w:t>. También se consagran mecanismos de acceso al financiamiento</w:t>
      </w:r>
      <w:r w:rsidRPr="00434BB4">
        <w:rPr>
          <w:rStyle w:val="Refdenotaalpie"/>
          <w:rFonts w:ascii="Arial" w:eastAsia="Calibri" w:hAnsi="Arial" w:cs="Arial"/>
          <w:color w:val="000000" w:themeColor="text1"/>
          <w:lang w:val="es-ES_tradnl"/>
        </w:rPr>
        <w:footnoteReference w:id="4"/>
      </w:r>
      <w:r w:rsidRPr="00434BB4">
        <w:rPr>
          <w:rFonts w:ascii="Arial" w:eastAsia="Calibri" w:hAnsi="Arial" w:cs="Arial"/>
          <w:color w:val="000000" w:themeColor="text1"/>
          <w:lang w:val="es-ES_tradnl"/>
        </w:rPr>
        <w:t>, se unifican las fuentes de emprendimiento y de desarrollo empresarial, para fortalecer y promover los distintos sectores de la economía</w:t>
      </w:r>
      <w:r w:rsidRPr="00434BB4">
        <w:rPr>
          <w:rStyle w:val="Refdenotaalpie"/>
          <w:rFonts w:ascii="Arial" w:eastAsia="Calibri" w:hAnsi="Arial" w:cs="Arial"/>
          <w:color w:val="000000" w:themeColor="text1"/>
          <w:lang w:val="es-ES_tradnl"/>
        </w:rPr>
        <w:footnoteReference w:id="5"/>
      </w:r>
      <w:r w:rsidRPr="00434BB4">
        <w:rPr>
          <w:rFonts w:ascii="Arial" w:eastAsia="Calibri" w:hAnsi="Arial" w:cs="Arial"/>
          <w:color w:val="000000" w:themeColor="text1"/>
          <w:lang w:val="es-ES_tradnl"/>
        </w:rPr>
        <w:t xml:space="preserve"> y se prevén medidas de educación para el emprendimiento y la innovación</w:t>
      </w:r>
      <w:r w:rsidRPr="00434BB4">
        <w:rPr>
          <w:rStyle w:val="Refdenotaalpie"/>
          <w:rFonts w:ascii="Arial" w:eastAsia="Calibri" w:hAnsi="Arial" w:cs="Arial"/>
          <w:color w:val="000000" w:themeColor="text1"/>
          <w:lang w:val="es-ES_tradnl"/>
        </w:rPr>
        <w:footnoteReference w:id="6"/>
      </w:r>
      <w:r w:rsidRPr="00434BB4">
        <w:rPr>
          <w:rFonts w:ascii="Arial" w:eastAsia="Calibri" w:hAnsi="Arial" w:cs="Arial"/>
          <w:color w:val="000000" w:themeColor="text1"/>
          <w:lang w:val="es-ES_tradnl"/>
        </w:rPr>
        <w:t>.</w:t>
      </w:r>
    </w:p>
    <w:p w14:paraId="454C73E8" w14:textId="77777777" w:rsidR="0090563C" w:rsidRPr="00434BB4" w:rsidRDefault="0090563C" w:rsidP="0090563C">
      <w:pPr>
        <w:spacing w:after="120" w:line="276" w:lineRule="auto"/>
        <w:ind w:firstLine="709"/>
        <w:jc w:val="both"/>
        <w:rPr>
          <w:rFonts w:ascii="Arial" w:eastAsia="Calibri" w:hAnsi="Arial" w:cs="Arial"/>
          <w:color w:val="000000" w:themeColor="text1"/>
          <w:lang w:val="es-ES_tradnl"/>
        </w:rPr>
      </w:pPr>
      <w:r w:rsidRPr="00434BB4">
        <w:rPr>
          <w:rFonts w:ascii="Arial" w:eastAsia="Calibri" w:hAnsi="Arial" w:cs="Arial"/>
          <w:color w:val="000000" w:themeColor="text1"/>
          <w:lang w:val="es-ES_tradnl"/>
        </w:rPr>
        <w:t xml:space="preserve">La Ley 2069 de 2020 guarda </w:t>
      </w:r>
      <w:r w:rsidRPr="00434BB4">
        <w:rPr>
          <w:rFonts w:ascii="Arial" w:eastAsia="Calibri" w:hAnsi="Arial" w:cs="Arial"/>
          <w:bCs/>
          <w:color w:val="000000" w:themeColor="text1"/>
          <w:lang w:val="es-ES_tradnl"/>
        </w:rPr>
        <w:t xml:space="preserve">congruencia con el </w:t>
      </w:r>
      <w:r>
        <w:rPr>
          <w:rFonts w:ascii="Arial" w:eastAsia="Calibri" w:hAnsi="Arial" w:cs="Arial"/>
          <w:bCs/>
          <w:color w:val="000000" w:themeColor="text1"/>
          <w:lang w:val="es-ES_tradnl"/>
        </w:rPr>
        <w:t>“</w:t>
      </w:r>
      <w:r w:rsidRPr="00434BB4">
        <w:rPr>
          <w:rFonts w:ascii="Arial" w:eastAsia="Calibri" w:hAnsi="Arial" w:cs="Arial"/>
          <w:bCs/>
          <w:color w:val="000000" w:themeColor="text1"/>
          <w:lang w:val="es-ES_tradnl"/>
        </w:rPr>
        <w:t>Pacto por el emprendimiento, la formalización y la productividad</w:t>
      </w:r>
      <w:r>
        <w:rPr>
          <w:rFonts w:ascii="Arial" w:eastAsia="Calibri" w:hAnsi="Arial" w:cs="Arial"/>
          <w:bCs/>
          <w:color w:val="000000" w:themeColor="text1"/>
          <w:lang w:val="es-ES_tradnl"/>
        </w:rPr>
        <w:t>”</w:t>
      </w:r>
      <w:r w:rsidRPr="00434BB4">
        <w:rPr>
          <w:rFonts w:ascii="Arial" w:eastAsia="Calibri" w:hAnsi="Arial" w:cs="Arial"/>
          <w:bCs/>
          <w:color w:val="000000" w:themeColor="text1"/>
          <w:lang w:val="es-ES_tradnl"/>
        </w:rPr>
        <w:t xml:space="preserve">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r>
        <w:rPr>
          <w:rFonts w:ascii="Arial" w:eastAsia="Calibri" w:hAnsi="Arial" w:cs="Arial"/>
          <w:bCs/>
          <w:color w:val="000000" w:themeColor="text1"/>
          <w:lang w:val="es-ES_tradnl"/>
        </w:rPr>
        <w:t>“</w:t>
      </w:r>
      <w:r w:rsidRPr="00434BB4">
        <w:rPr>
          <w:rFonts w:ascii="Arial" w:eastAsia="Calibri" w:hAnsi="Arial" w:cs="Arial"/>
          <w:bCs/>
          <w:color w:val="000000" w:themeColor="text1"/>
          <w:lang w:val="es-ES_tradnl"/>
        </w:rPr>
        <w:t>Política de formalización empresarial</w:t>
      </w:r>
      <w:r>
        <w:rPr>
          <w:rFonts w:ascii="Arial" w:eastAsia="Calibri" w:hAnsi="Arial" w:cs="Arial"/>
          <w:bCs/>
          <w:color w:val="000000" w:themeColor="text1"/>
          <w:lang w:val="es-ES_tradnl"/>
        </w:rPr>
        <w:t>”</w:t>
      </w:r>
      <w:r w:rsidRPr="00434BB4">
        <w:rPr>
          <w:rFonts w:ascii="Arial" w:eastAsia="Calibri" w:hAnsi="Arial" w:cs="Arial"/>
          <w:bCs/>
          <w:color w:val="000000" w:themeColor="text1"/>
          <w:lang w:val="es-ES_tradnl"/>
        </w:rPr>
        <w:t xml:space="preserve"> del Documento CONPES 3956 del 8 de enero de 2019</w:t>
      </w:r>
      <w:r w:rsidRPr="00434BB4">
        <w:rPr>
          <w:rStyle w:val="Refdenotaalpie"/>
          <w:rFonts w:ascii="Arial" w:eastAsia="Calibri" w:hAnsi="Arial" w:cs="Arial"/>
          <w:bCs/>
          <w:color w:val="000000" w:themeColor="text1"/>
          <w:lang w:val="es-ES_tradnl"/>
        </w:rPr>
        <w:footnoteReference w:id="7"/>
      </w:r>
      <w:r w:rsidRPr="00434BB4">
        <w:rPr>
          <w:rFonts w:ascii="Arial" w:eastAsia="Calibri" w:hAnsi="Arial" w:cs="Arial"/>
          <w:bCs/>
          <w:color w:val="000000" w:themeColor="text1"/>
          <w:lang w:val="es-ES_tradnl"/>
        </w:rPr>
        <w:t>.</w:t>
      </w:r>
    </w:p>
    <w:p w14:paraId="2107650C" w14:textId="77777777" w:rsidR="0090563C" w:rsidRPr="00434BB4" w:rsidRDefault="0090563C" w:rsidP="0090563C">
      <w:pPr>
        <w:tabs>
          <w:tab w:val="left" w:pos="709"/>
        </w:tabs>
        <w:spacing w:after="120" w:line="276" w:lineRule="auto"/>
        <w:jc w:val="both"/>
        <w:rPr>
          <w:rFonts w:ascii="Arial" w:eastAsia="Calibri" w:hAnsi="Arial" w:cs="Arial"/>
          <w:bCs/>
          <w:color w:val="000000" w:themeColor="text1"/>
          <w:lang w:val="es-ES_tradnl"/>
        </w:rPr>
      </w:pPr>
      <w:r w:rsidRPr="00434BB4">
        <w:rPr>
          <w:rFonts w:ascii="Arial" w:eastAsia="Calibri" w:hAnsi="Arial" w:cs="Arial"/>
          <w:bCs/>
          <w:color w:val="000000" w:themeColor="text1"/>
          <w:lang w:val="es-ES_tradnl"/>
        </w:rPr>
        <w:lastRenderedPageBreak/>
        <w:tab/>
        <w:t xml:space="preserve">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w:t>
      </w:r>
      <w:proofErr w:type="spellStart"/>
      <w:r w:rsidRPr="00434BB4">
        <w:rPr>
          <w:rFonts w:ascii="Arial" w:eastAsia="Calibri" w:hAnsi="Arial" w:cs="Arial"/>
          <w:bCs/>
          <w:color w:val="000000" w:themeColor="text1"/>
          <w:lang w:val="es-ES_tradnl"/>
        </w:rPr>
        <w:t>iv</w:t>
      </w:r>
      <w:proofErr w:type="spellEnd"/>
      <w:r w:rsidRPr="00434BB4">
        <w:rPr>
          <w:rFonts w:ascii="Arial" w:eastAsia="Calibri" w:hAnsi="Arial" w:cs="Arial"/>
          <w:bCs/>
          <w:color w:val="000000" w:themeColor="text1"/>
          <w:lang w:val="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434BB4">
        <w:rPr>
          <w:rStyle w:val="Refdenotaalpie"/>
          <w:rFonts w:ascii="Arial" w:eastAsia="Calibri" w:hAnsi="Arial" w:cs="Arial"/>
          <w:bCs/>
          <w:color w:val="000000" w:themeColor="text1"/>
          <w:lang w:val="es-ES_tradnl"/>
        </w:rPr>
        <w:footnoteReference w:id="8"/>
      </w:r>
      <w:r w:rsidRPr="00434BB4">
        <w:rPr>
          <w:rFonts w:ascii="Arial" w:eastAsia="Calibri" w:hAnsi="Arial" w:cs="Arial"/>
          <w:bCs/>
          <w:color w:val="000000" w:themeColor="text1"/>
          <w:lang w:val="es-ES_tradnl"/>
        </w:rPr>
        <w:t>.</w:t>
      </w:r>
    </w:p>
    <w:p w14:paraId="33BC4810" w14:textId="77777777" w:rsidR="0090563C" w:rsidRPr="00D72D03" w:rsidRDefault="0090563C" w:rsidP="0090563C">
      <w:pPr>
        <w:spacing w:after="0" w:line="276" w:lineRule="auto"/>
        <w:ind w:firstLine="709"/>
        <w:jc w:val="both"/>
        <w:rPr>
          <w:rFonts w:ascii="Arial" w:eastAsia="Calibri" w:hAnsi="Arial" w:cs="Arial"/>
          <w:color w:val="000000" w:themeColor="text1"/>
          <w:lang w:val="es-ES_tradnl"/>
        </w:rPr>
      </w:pPr>
      <w:r w:rsidRPr="00434BB4">
        <w:rPr>
          <w:rFonts w:ascii="Arial" w:eastAsia="Calibri" w:hAnsi="Arial" w:cs="Arial"/>
          <w:color w:val="000000" w:themeColor="text1"/>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34BB4">
        <w:rPr>
          <w:rFonts w:ascii="Arial" w:eastAsia="Calibri" w:hAnsi="Arial" w:cs="Arial"/>
          <w:color w:val="000000" w:themeColor="text1"/>
          <w:lang w:val="es-ES_tradnl"/>
        </w:rPr>
        <w:t>mipymes</w:t>
      </w:r>
      <w:proofErr w:type="spellEnd"/>
      <w:r w:rsidRPr="00434BB4">
        <w:rPr>
          <w:rFonts w:ascii="Arial" w:eastAsia="Calibri" w:hAnsi="Arial" w:cs="Arial"/>
          <w:color w:val="000000" w:themeColor="text1"/>
          <w:lang w:val="es-ES_tradnl"/>
        </w:rPr>
        <w:t xml:space="preserve"> en el procedimiento de mínima cuantía, ii) criterios diferenciales para </w:t>
      </w:r>
      <w:proofErr w:type="spellStart"/>
      <w:r w:rsidRPr="00434BB4">
        <w:rPr>
          <w:rFonts w:ascii="Arial" w:eastAsia="Calibri" w:hAnsi="Arial" w:cs="Arial"/>
          <w:color w:val="000000" w:themeColor="text1"/>
          <w:lang w:val="es-ES_tradnl"/>
        </w:rPr>
        <w:t>mipymes</w:t>
      </w:r>
      <w:proofErr w:type="spellEnd"/>
      <w:r w:rsidRPr="00434BB4">
        <w:rPr>
          <w:rFonts w:ascii="Arial" w:eastAsia="Calibri" w:hAnsi="Arial" w:cs="Arial"/>
          <w:color w:val="000000" w:themeColor="text1"/>
          <w:lang w:val="es-ES_tradnl"/>
        </w:rPr>
        <w:t xml:space="preserve"> en el sistema de compras públicas, iii) criterios diferenciales para emprendimientos y empresas de mujeres en el sistema de compras públicas, </w:t>
      </w:r>
      <w:proofErr w:type="spellStart"/>
      <w:r w:rsidRPr="00434BB4">
        <w:rPr>
          <w:rFonts w:ascii="Arial" w:eastAsia="Calibri" w:hAnsi="Arial" w:cs="Arial"/>
          <w:color w:val="000000" w:themeColor="text1"/>
          <w:lang w:val="es-ES_tradnl"/>
        </w:rPr>
        <w:t>iv</w:t>
      </w:r>
      <w:proofErr w:type="spellEnd"/>
      <w:r w:rsidRPr="00434BB4">
        <w:rPr>
          <w:rFonts w:ascii="Arial" w:eastAsia="Calibri" w:hAnsi="Arial" w:cs="Arial"/>
          <w:color w:val="000000" w:themeColor="text1"/>
          <w:lang w:val="es-ES_tradnl"/>
        </w:rPr>
        <w:t xml:space="preserve">) promoción del acceso de las </w:t>
      </w:r>
      <w:proofErr w:type="spellStart"/>
      <w:r w:rsidRPr="00434BB4">
        <w:rPr>
          <w:rFonts w:ascii="Arial" w:eastAsia="Calibri" w:hAnsi="Arial" w:cs="Arial"/>
          <w:color w:val="000000" w:themeColor="text1"/>
          <w:lang w:val="es-ES_tradnl"/>
        </w:rPr>
        <w:t>mipymes</w:t>
      </w:r>
      <w:proofErr w:type="spellEnd"/>
      <w:r w:rsidRPr="00434BB4">
        <w:rPr>
          <w:rFonts w:ascii="Arial" w:eastAsia="Calibri" w:hAnsi="Arial" w:cs="Arial"/>
          <w:color w:val="000000" w:themeColor="text1"/>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Pr>
          <w:rFonts w:ascii="Arial" w:eastAsia="Calibri" w:hAnsi="Arial" w:cs="Arial"/>
          <w:color w:val="000000" w:themeColor="text1"/>
          <w:lang w:val="es-ES_tradnl"/>
        </w:rPr>
        <w:t xml:space="preserve"> </w:t>
      </w:r>
      <w:r w:rsidRPr="00B9642A">
        <w:rPr>
          <w:rFonts w:ascii="Arial" w:eastAsia="Calibri" w:hAnsi="Arial" w:cs="Arial"/>
          <w:lang w:val="es-ES_tradnl"/>
        </w:rPr>
        <w:t xml:space="preserve">Teniendo en cuenta que la consulta está relacionada con la interpretación del artículo 34 de la </w:t>
      </w:r>
      <w:r>
        <w:rPr>
          <w:rFonts w:ascii="Arial" w:eastAsia="Calibri" w:hAnsi="Arial" w:cs="Arial"/>
          <w:lang w:val="es-ES_tradnl"/>
        </w:rPr>
        <w:t>Ley de Emprendimiento</w:t>
      </w:r>
      <w:r w:rsidRPr="00B9642A">
        <w:rPr>
          <w:rFonts w:ascii="Arial" w:eastAsia="Calibri" w:hAnsi="Arial" w:cs="Arial"/>
          <w:lang w:val="es-ES_tradnl"/>
        </w:rPr>
        <w:t>, a continuación se estudiará el contenido de dicha norma</w:t>
      </w:r>
      <w:r>
        <w:rPr>
          <w:rFonts w:ascii="Arial" w:eastAsia="Calibri" w:hAnsi="Arial" w:cs="Arial"/>
          <w:lang w:val="es-ES_tradnl"/>
        </w:rPr>
        <w:t xml:space="preserve"> así como alcance del decreto que lo reglamenta</w:t>
      </w:r>
      <w:r w:rsidRPr="00B9642A">
        <w:rPr>
          <w:rFonts w:ascii="Arial" w:eastAsia="Calibri" w:hAnsi="Arial" w:cs="Arial"/>
          <w:lang w:val="es-ES_tradnl"/>
        </w:rPr>
        <w:t xml:space="preserve">.  </w:t>
      </w:r>
    </w:p>
    <w:p w14:paraId="59256B52" w14:textId="77777777" w:rsidR="0090563C" w:rsidRPr="00B9642A" w:rsidRDefault="0090563C" w:rsidP="0090563C">
      <w:pPr>
        <w:spacing w:after="0" w:line="276" w:lineRule="auto"/>
        <w:jc w:val="both"/>
        <w:rPr>
          <w:rFonts w:ascii="Arial" w:eastAsia="Calibri" w:hAnsi="Arial" w:cs="Arial"/>
          <w:lang w:val="es-ES_tradnl"/>
        </w:rPr>
      </w:pPr>
    </w:p>
    <w:p w14:paraId="0B931D02" w14:textId="77777777" w:rsidR="0090563C" w:rsidRPr="00B9642A" w:rsidRDefault="0090563C" w:rsidP="0090563C">
      <w:pPr>
        <w:spacing w:after="0" w:line="276" w:lineRule="auto"/>
        <w:jc w:val="both"/>
        <w:rPr>
          <w:rFonts w:ascii="Arial" w:eastAsia="Calibri" w:hAnsi="Arial" w:cs="Arial"/>
          <w:b/>
          <w:bCs/>
          <w:lang w:val="es-ES_tradnl"/>
        </w:rPr>
      </w:pPr>
      <w:r w:rsidRPr="00B9642A">
        <w:rPr>
          <w:rFonts w:ascii="Arial" w:eastAsia="Calibri" w:hAnsi="Arial" w:cs="Arial"/>
          <w:b/>
          <w:bCs/>
          <w:lang w:val="es-ES_tradnl"/>
        </w:rPr>
        <w:t xml:space="preserve">2.2. Regulación de </w:t>
      </w:r>
      <w:r>
        <w:rPr>
          <w:rFonts w:ascii="Arial" w:eastAsia="Calibri" w:hAnsi="Arial" w:cs="Arial"/>
          <w:b/>
          <w:bCs/>
          <w:lang w:val="es-ES_tradnl"/>
        </w:rPr>
        <w:t xml:space="preserve">la promoción del desarrollo en la contratación pública </w:t>
      </w:r>
      <w:r w:rsidRPr="00B9642A">
        <w:rPr>
          <w:rFonts w:ascii="Arial" w:eastAsia="Calibri" w:hAnsi="Arial" w:cs="Arial"/>
          <w:b/>
          <w:bCs/>
          <w:lang w:val="es-ES_tradnl"/>
        </w:rPr>
        <w:t>en el artículo 34 de la Ley 2069 de 2020</w:t>
      </w:r>
      <w:r>
        <w:rPr>
          <w:rFonts w:ascii="Arial" w:eastAsia="Calibri" w:hAnsi="Arial" w:cs="Arial"/>
          <w:b/>
          <w:bCs/>
          <w:lang w:val="es-ES_tradnl"/>
        </w:rPr>
        <w:t xml:space="preserve"> y la reglamentación del inciso cuarto en el Decreto 1860 de 2021</w:t>
      </w:r>
      <w:r w:rsidRPr="00B9642A">
        <w:rPr>
          <w:rFonts w:ascii="Arial" w:eastAsia="Calibri" w:hAnsi="Arial" w:cs="Arial"/>
          <w:b/>
          <w:bCs/>
          <w:lang w:val="es-ES_tradnl"/>
        </w:rPr>
        <w:t xml:space="preserve"> </w:t>
      </w:r>
    </w:p>
    <w:p w14:paraId="25CC7EA4" w14:textId="77777777" w:rsidR="0090563C" w:rsidRPr="00B9642A" w:rsidRDefault="0090563C" w:rsidP="0090563C">
      <w:pPr>
        <w:spacing w:after="0" w:line="276" w:lineRule="auto"/>
        <w:jc w:val="both"/>
        <w:rPr>
          <w:rFonts w:ascii="Arial" w:eastAsia="Calibri" w:hAnsi="Arial" w:cs="Arial"/>
          <w:lang w:val="es-ES_tradnl"/>
        </w:rPr>
      </w:pPr>
    </w:p>
    <w:p w14:paraId="312313CC" w14:textId="77777777" w:rsidR="0090563C" w:rsidRPr="00B9642A" w:rsidRDefault="0090563C" w:rsidP="0090563C">
      <w:pPr>
        <w:spacing w:line="276" w:lineRule="auto"/>
        <w:jc w:val="both"/>
        <w:rPr>
          <w:rFonts w:ascii="Arial" w:eastAsia="Calibri" w:hAnsi="Arial" w:cs="Arial"/>
          <w:lang w:val="es-ES_tradnl"/>
        </w:rPr>
      </w:pPr>
      <w:r w:rsidRPr="00B9642A">
        <w:rPr>
          <w:rFonts w:ascii="Arial" w:eastAsia="Calibri" w:hAnsi="Arial" w:cs="Arial"/>
          <w:lang w:val="es-ES_tradnl"/>
        </w:rPr>
        <w:t>El artículo 34 de la Ley 2069 de 2020 establece nuevas reglas sobre la promoción al desarrollo en la contratación estatal. Concretamente, modifica el contenido del artículo 12 de la Ley 1150 de 2007</w:t>
      </w:r>
      <w:r w:rsidRPr="00B9642A">
        <w:rPr>
          <w:rStyle w:val="Refdenotaalpie"/>
          <w:rFonts w:ascii="Arial" w:eastAsia="Calibri" w:hAnsi="Arial" w:cs="Arial"/>
          <w:lang w:val="es-ES_tradnl"/>
        </w:rPr>
        <w:footnoteReference w:id="9"/>
      </w:r>
      <w:r w:rsidRPr="00B9642A">
        <w:rPr>
          <w:rFonts w:ascii="Arial" w:eastAsia="Calibri" w:hAnsi="Arial" w:cs="Arial"/>
          <w:lang w:val="es-ES_tradnl"/>
        </w:rPr>
        <w:t>, prescribiendo lo que se indica a continuación:</w:t>
      </w:r>
    </w:p>
    <w:p w14:paraId="29BB581F"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proofErr w:type="gramStart"/>
      <w:r w:rsidRPr="00B9642A">
        <w:rPr>
          <w:rFonts w:ascii="Arial" w:eastAsia="Calibri" w:hAnsi="Arial" w:cs="Arial"/>
          <w:lang w:val="es-ES_tradnl"/>
        </w:rPr>
        <w:t>públicos,</w:t>
      </w:r>
      <w:proofErr w:type="gramEnd"/>
      <w:r w:rsidRPr="00B9642A">
        <w:rPr>
          <w:rFonts w:ascii="Arial" w:eastAsia="Calibri" w:hAnsi="Arial" w:cs="Arial"/>
          <w:lang w:val="es-ES_tradnl"/>
        </w:rPr>
        <w:t xml:space="preserve"> efectúen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en los procesos de contratación. Y agrega que estas convocatorias se pueden realizar también en el ámbito municipal o departamental en el que se ejecute el contrato. </w:t>
      </w:r>
    </w:p>
    <w:p w14:paraId="13305D07"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ii) Indica que dichas convocatorias se deben efectuar siempre y cuando, antes del acto administrativo de apertura del proceso de selección, por lo menos dos (2)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hayan manifestado su interés.</w:t>
      </w:r>
    </w:p>
    <w:p w14:paraId="416D9F1F"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57E5057" w14:textId="77777777" w:rsidR="0090563C" w:rsidRPr="00B9642A" w:rsidRDefault="0090563C" w:rsidP="0090563C">
      <w:pPr>
        <w:spacing w:before="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iv</w:t>
      </w:r>
      <w:proofErr w:type="spellEnd"/>
      <w:r w:rsidRPr="00B9642A">
        <w:rPr>
          <w:rFonts w:ascii="Arial" w:eastAsia="Calibri" w:hAnsi="Arial" w:cs="Arial"/>
          <w:lang w:val="es-ES_tradnl"/>
        </w:rPr>
        <w:t xml:space="preserve">) Establece que, en el reglamento, el gobierno nacional podría establecer condiciones preferenciales para los bienes y servicios producidos por las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sin contrariar los compromisos internacionales vigentes.</w:t>
      </w:r>
    </w:p>
    <w:p w14:paraId="79DCD88B"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lastRenderedPageBreak/>
        <w:t xml:space="preserve">v)  Aclara que tanto las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como las condiciones preferenciales a favor de los bienes y servicios producidos por estas, no es óbice para que deban cumplir las exigencias técnicas y económicas del proceso de selección.</w:t>
      </w:r>
    </w:p>
    <w:p w14:paraId="286C3C84"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vi) Señala que el reglamento </w:t>
      </w:r>
      <w:r>
        <w:rPr>
          <w:rFonts w:ascii="Arial" w:eastAsia="Calibri" w:hAnsi="Arial" w:cs="Arial"/>
          <w:lang w:val="es-ES_tradnl"/>
        </w:rPr>
        <w:t xml:space="preserve">a cargo del </w:t>
      </w:r>
      <w:r w:rsidRPr="00B9642A">
        <w:rPr>
          <w:rFonts w:ascii="Arial" w:eastAsia="Calibri" w:hAnsi="Arial" w:cs="Arial"/>
          <w:lang w:val="es-ES_tradnl"/>
        </w:rPr>
        <w:t xml:space="preserve">gobierno nacional, además de las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deberá contener disposiciones normativas que permitan la provisión de bienes y servicios, a través de la celebración de contratos estatales con algunas </w:t>
      </w:r>
      <w:r w:rsidRPr="00E33600">
        <w:rPr>
          <w:rFonts w:ascii="Arial" w:eastAsia="Calibri" w:hAnsi="Arial" w:cs="Arial"/>
          <w:i/>
          <w:iCs/>
          <w:lang w:val="es-ES_tradnl"/>
        </w:rPr>
        <w:t>personas que gozan de especial protección constitucional</w:t>
      </w:r>
      <w:r w:rsidRPr="00B9642A">
        <w:rPr>
          <w:rFonts w:ascii="Arial" w:eastAsia="Calibri" w:hAnsi="Arial" w:cs="Arial"/>
          <w:lang w:val="es-ES_tradnl"/>
        </w:rPr>
        <w:t>. Entre tales personas se encuentran las que tengan condiciones de pobreza extrema, las desplazadas por la violencia y quienes estén en procesos de reintegración o reincorporación, entre otras que incluya el reglamento.</w:t>
      </w:r>
    </w:p>
    <w:p w14:paraId="5B5A5CB5"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vii) Precisa que la posibilidad de participar en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se encuentra condicionada a que estas acrediten como mínimo un año de existencia, con el certificado expedido por la cámara de comercio respectiva o por la autoridad que sea competente para ello.</w:t>
      </w:r>
    </w:p>
    <w:p w14:paraId="34A373E8" w14:textId="77777777" w:rsidR="0090563C" w:rsidRPr="00B9642A" w:rsidRDefault="0090563C" w:rsidP="0090563C">
      <w:pPr>
        <w:spacing w:before="120" w:line="276" w:lineRule="auto"/>
        <w:ind w:firstLine="709"/>
        <w:jc w:val="both"/>
        <w:rPr>
          <w:rFonts w:ascii="Arial" w:eastAsia="Calibri" w:hAnsi="Arial" w:cs="Arial"/>
          <w:lang w:val="es-ES_tradnl"/>
        </w:rPr>
      </w:pPr>
      <w:r w:rsidRPr="00B9642A">
        <w:rPr>
          <w:rFonts w:ascii="Arial" w:eastAsia="Calibri" w:hAnsi="Arial" w:cs="Arial"/>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7DA25130" w14:textId="77777777" w:rsidR="0090563C" w:rsidRPr="001572B7" w:rsidRDefault="0090563C" w:rsidP="0090563C">
      <w:pPr>
        <w:spacing w:before="120" w:after="0" w:line="276" w:lineRule="auto"/>
        <w:ind w:firstLine="709"/>
        <w:jc w:val="both"/>
        <w:rPr>
          <w:rFonts w:ascii="Arial" w:eastAsia="Calibri" w:hAnsi="Arial" w:cs="Arial"/>
          <w:lang w:val="es-ES_tradnl"/>
        </w:rPr>
      </w:pPr>
      <w:r w:rsidRPr="001572B7">
        <w:rPr>
          <w:rFonts w:ascii="Arial" w:eastAsia="Calibri" w:hAnsi="Arial" w:cs="Arial"/>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57118A55" w14:textId="77777777" w:rsidR="0090563C" w:rsidRPr="001572B7" w:rsidRDefault="0090563C" w:rsidP="0090563C">
      <w:pPr>
        <w:spacing w:after="0" w:line="276" w:lineRule="auto"/>
        <w:ind w:left="709" w:right="709"/>
        <w:jc w:val="both"/>
        <w:rPr>
          <w:rFonts w:ascii="Arial" w:eastAsia="Calibri" w:hAnsi="Arial" w:cs="Arial"/>
          <w:sz w:val="21"/>
          <w:szCs w:val="21"/>
          <w:lang w:val="es-ES_tradnl"/>
        </w:rPr>
      </w:pPr>
    </w:p>
    <w:p w14:paraId="56F4CE4C" w14:textId="77777777" w:rsidR="0090563C" w:rsidRPr="001572B7" w:rsidRDefault="0090563C" w:rsidP="0090563C">
      <w:pPr>
        <w:spacing w:after="0"/>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Pr>
          <w:rFonts w:ascii="Arial" w:eastAsia="Calibri" w:hAnsi="Arial" w:cs="Arial"/>
          <w:sz w:val="21"/>
          <w:szCs w:val="21"/>
          <w:lang w:val="es-ES_tradnl"/>
        </w:rPr>
        <w:t>”</w:t>
      </w:r>
      <w:r w:rsidRPr="001572B7">
        <w:rPr>
          <w:rStyle w:val="Refdenotaalpie"/>
          <w:rFonts w:ascii="Arial" w:eastAsia="Calibri" w:hAnsi="Arial" w:cs="Arial"/>
          <w:sz w:val="21"/>
          <w:szCs w:val="21"/>
          <w:lang w:val="es-ES_tradnl"/>
        </w:rPr>
        <w:footnoteReference w:id="10"/>
      </w:r>
      <w:r w:rsidRPr="001572B7">
        <w:rPr>
          <w:rFonts w:ascii="Arial" w:eastAsia="Calibri" w:hAnsi="Arial" w:cs="Arial"/>
          <w:sz w:val="21"/>
          <w:szCs w:val="21"/>
          <w:lang w:val="es-ES_tradnl"/>
        </w:rPr>
        <w:t>.</w:t>
      </w:r>
    </w:p>
    <w:p w14:paraId="089B1746" w14:textId="77777777" w:rsidR="0090563C" w:rsidRPr="001572B7" w:rsidRDefault="0090563C" w:rsidP="0090563C">
      <w:pPr>
        <w:spacing w:after="0" w:line="276" w:lineRule="auto"/>
        <w:ind w:firstLine="709"/>
        <w:jc w:val="both"/>
        <w:rPr>
          <w:rFonts w:ascii="Arial" w:eastAsia="Calibri" w:hAnsi="Arial" w:cs="Arial"/>
          <w:lang w:val="es-ES_tradnl"/>
        </w:rPr>
      </w:pPr>
    </w:p>
    <w:p w14:paraId="40D88DDB" w14:textId="77777777" w:rsidR="0090563C" w:rsidRPr="00B9642A" w:rsidRDefault="0090563C" w:rsidP="0090563C">
      <w:pPr>
        <w:spacing w:line="276" w:lineRule="auto"/>
        <w:ind w:firstLine="709"/>
        <w:jc w:val="both"/>
        <w:rPr>
          <w:rFonts w:ascii="Arial" w:eastAsia="Calibri" w:hAnsi="Arial" w:cs="Arial"/>
          <w:lang w:val="es-ES_tradnl"/>
        </w:rPr>
      </w:pPr>
      <w:r w:rsidRPr="001572B7">
        <w:rPr>
          <w:rFonts w:ascii="Arial" w:eastAsia="Calibri" w:hAnsi="Arial" w:cs="Arial"/>
          <w:lang w:val="es-ES_tradnl"/>
        </w:rPr>
        <w:t xml:space="preserve">La subrogación es, entonces, una forma de derogación de los actos normativos, que consiste en el reemplazo de su contenido por un enunciado normativo nuevo. Se distingue de la derogación simple en que en este último evento la disposición normativa posterior no </w:t>
      </w:r>
      <w:r w:rsidRPr="001572B7">
        <w:rPr>
          <w:rFonts w:ascii="Arial" w:eastAsia="Calibri" w:hAnsi="Arial" w:cs="Arial"/>
          <w:lang w:val="es-ES_tradnl"/>
        </w:rPr>
        <w:lastRenderedPageBreak/>
        <w:t>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EC6D197" w14:textId="77777777" w:rsidR="0090563C" w:rsidRDefault="0090563C" w:rsidP="0090563C">
      <w:pPr>
        <w:spacing w:before="120" w:after="0" w:line="276" w:lineRule="auto"/>
        <w:ind w:firstLine="709"/>
        <w:jc w:val="both"/>
        <w:rPr>
          <w:rFonts w:ascii="Arial" w:eastAsia="Calibri" w:hAnsi="Arial" w:cs="Arial"/>
          <w:lang w:val="es-ES_tradnl"/>
        </w:rPr>
      </w:pPr>
      <w:r>
        <w:rPr>
          <w:rFonts w:ascii="Arial" w:eastAsia="Calibri" w:hAnsi="Arial" w:cs="Arial"/>
          <w:lang w:val="es-ES_tradnl"/>
        </w:rPr>
        <w:t xml:space="preserve">Ahora bien, es necesario tener en cuenta que el Gobierno Nacional expidió el Decreto 1860 de 24 de diciembre de 2021, el cual adicionó el </w:t>
      </w:r>
      <w:r w:rsidRPr="003A205B">
        <w:rPr>
          <w:rFonts w:ascii="Arial" w:eastAsia="Calibri" w:hAnsi="Arial" w:cs="Arial"/>
          <w:lang w:val="es-ES_tradnl"/>
        </w:rPr>
        <w:t>artículo </w:t>
      </w:r>
      <w:r>
        <w:rPr>
          <w:rFonts w:ascii="Arial" w:eastAsia="Calibri" w:hAnsi="Arial" w:cs="Arial"/>
          <w:lang w:val="es-ES_tradnl"/>
        </w:rPr>
        <w:t>2.2.1.2.4.2.16</w:t>
      </w:r>
      <w:r w:rsidRPr="003A205B">
        <w:rPr>
          <w:rFonts w:ascii="Arial" w:eastAsia="Calibri" w:hAnsi="Arial" w:cs="Arial"/>
          <w:lang w:val="es-ES_tradnl"/>
        </w:rPr>
        <w:t> a</w:t>
      </w:r>
      <w:r>
        <w:rPr>
          <w:rFonts w:ascii="Arial" w:eastAsia="Calibri" w:hAnsi="Arial" w:cs="Arial"/>
          <w:lang w:val="es-ES_tradnl"/>
        </w:rPr>
        <w:t xml:space="preserve"> </w:t>
      </w:r>
      <w:r w:rsidRPr="003A205B">
        <w:rPr>
          <w:rFonts w:ascii="Arial" w:eastAsia="Calibri" w:hAnsi="Arial" w:cs="Arial"/>
          <w:lang w:val="es-ES_tradnl"/>
        </w:rPr>
        <w:t>la</w:t>
      </w:r>
      <w:r>
        <w:rPr>
          <w:rFonts w:ascii="Arial" w:eastAsia="Calibri" w:hAnsi="Arial" w:cs="Arial"/>
          <w:lang w:val="es-ES_tradnl"/>
        </w:rPr>
        <w:t xml:space="preserve"> </w:t>
      </w:r>
      <w:r w:rsidRPr="003A205B">
        <w:rPr>
          <w:rFonts w:ascii="Arial" w:eastAsia="Calibri" w:hAnsi="Arial" w:cs="Arial"/>
          <w:lang w:val="es-ES_tradnl"/>
        </w:rPr>
        <w:t>Subsección 2 de la Sección 4 del Capítulo 2 del Título 1 de la Parte 2 del Libro 2 del Decreto 1082 de 2015</w:t>
      </w:r>
      <w:r w:rsidRPr="00D66968">
        <w:rPr>
          <w:rFonts w:ascii="Arial" w:eastAsia="Calibri" w:hAnsi="Arial" w:cs="Arial"/>
          <w:lang w:val="es-ES_tradnl"/>
        </w:rPr>
        <w:t>, Único Reglamentario del Sector Administrativo de Planeación Nacional</w:t>
      </w:r>
      <w:r>
        <w:rPr>
          <w:rFonts w:ascii="Arial" w:eastAsia="Calibri" w:hAnsi="Arial" w:cs="Arial"/>
          <w:lang w:val="es-ES_tradnl"/>
        </w:rPr>
        <w:t xml:space="preserve">. Esto para desarrollar el inciso cuarto del artículo 34 de la Ley 2069 de 2020, el cual dispone que “[…] </w:t>
      </w:r>
      <w:r w:rsidRPr="00CD6D9B">
        <w:rPr>
          <w:rFonts w:ascii="Arial" w:eastAsia="Calibri" w:hAnsi="Arial" w:cs="Arial"/>
          <w:lang w:val="es-ES_tradnl"/>
        </w:rPr>
        <w:t xml:space="preserve">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Pr="00DD21FE">
        <w:rPr>
          <w:rFonts w:ascii="Arial" w:eastAsia="Calibri" w:hAnsi="Arial" w:cs="Arial"/>
          <w:i/>
          <w:iCs/>
          <w:lang w:val="es-ES_tradnl"/>
        </w:rPr>
        <w:t>en las condiciones que señale el reglamento</w:t>
      </w:r>
      <w:r w:rsidRPr="00CD6D9B">
        <w:rPr>
          <w:rFonts w:ascii="Arial" w:eastAsia="Calibri" w:hAnsi="Arial" w:cs="Arial"/>
          <w:lang w:val="es-ES_tradnl"/>
        </w:rPr>
        <w:t>; siempre que se garanticen las condiciones de calidad y cumplimiento del objeto contractual</w:t>
      </w:r>
      <w:r>
        <w:rPr>
          <w:rFonts w:ascii="Arial" w:eastAsia="Calibri" w:hAnsi="Arial" w:cs="Arial"/>
          <w:lang w:val="es-ES_tradnl"/>
        </w:rPr>
        <w:t>” (Énfasis fuera de texto)</w:t>
      </w:r>
      <w:r w:rsidRPr="009273D3">
        <w:rPr>
          <w:rFonts w:ascii="Arial" w:eastAsia="Calibri" w:hAnsi="Arial" w:cs="Arial"/>
          <w:lang w:val="es-ES_tradnl"/>
        </w:rPr>
        <w:t>.</w:t>
      </w:r>
      <w:r>
        <w:rPr>
          <w:rFonts w:ascii="Arial" w:eastAsia="Calibri" w:hAnsi="Arial" w:cs="Arial"/>
          <w:lang w:val="es-ES_tradnl"/>
        </w:rPr>
        <w:t xml:space="preserve"> Para estos efectos, el </w:t>
      </w:r>
      <w:r w:rsidRPr="003A205B">
        <w:rPr>
          <w:rFonts w:ascii="Arial" w:eastAsia="Calibri" w:hAnsi="Arial" w:cs="Arial"/>
          <w:lang w:val="es-ES_tradnl"/>
        </w:rPr>
        <w:t>artículo </w:t>
      </w:r>
      <w:r>
        <w:rPr>
          <w:rFonts w:ascii="Arial" w:eastAsia="Calibri" w:hAnsi="Arial" w:cs="Arial"/>
          <w:lang w:val="es-ES_tradnl"/>
        </w:rPr>
        <w:t xml:space="preserve">2.2.1.2.4.2.16 del Decreto 1082 de 2015, adicionado por el artículo 3 del Decreto 1860 de 2021, prescribe lo siguiente: </w:t>
      </w:r>
    </w:p>
    <w:p w14:paraId="3C636F30" w14:textId="77777777" w:rsidR="0090563C" w:rsidRDefault="0090563C" w:rsidP="0090563C">
      <w:pPr>
        <w:spacing w:after="0" w:line="276" w:lineRule="auto"/>
        <w:ind w:left="709" w:right="709"/>
        <w:jc w:val="both"/>
        <w:rPr>
          <w:rFonts w:ascii="Arial" w:eastAsia="Calibri" w:hAnsi="Arial" w:cs="Arial"/>
          <w:lang w:val="es-ES_tradnl"/>
        </w:rPr>
      </w:pPr>
    </w:p>
    <w:p w14:paraId="4DAD5C67" w14:textId="77777777" w:rsidR="0090563C" w:rsidRPr="00063998" w:rsidRDefault="0090563C" w:rsidP="0090563C">
      <w:pPr>
        <w:spacing w:after="120" w:line="240" w:lineRule="auto"/>
        <w:ind w:left="709" w:right="709"/>
        <w:jc w:val="both"/>
        <w:rPr>
          <w:rFonts w:ascii="Arial" w:hAnsi="Arial" w:cs="Arial"/>
          <w:sz w:val="21"/>
          <w:szCs w:val="21"/>
        </w:rPr>
      </w:pPr>
      <w:r>
        <w:rPr>
          <w:rFonts w:ascii="Arial" w:hAnsi="Arial" w:cs="Arial"/>
          <w:sz w:val="21"/>
          <w:szCs w:val="21"/>
        </w:rPr>
        <w:t>“</w:t>
      </w:r>
      <w:r w:rsidRPr="00063998">
        <w:rPr>
          <w:rFonts w:ascii="Arial" w:hAnsi="Arial" w:cs="Arial"/>
          <w:sz w:val="21"/>
          <w:szCs w:val="21"/>
        </w:rPr>
        <w:t xml:space="preserve">En los Procesos de Contratación, las Entidades Estatales indistintamente de su régimen de contratación, los patrimonios autónomos constituidos por Entidades Estatales y los particulares que ejecuten recursos públicos </w:t>
      </w:r>
      <w:r w:rsidRPr="004C13D6">
        <w:rPr>
          <w:rFonts w:ascii="Arial" w:hAnsi="Arial" w:cs="Arial"/>
          <w:i/>
          <w:iCs/>
          <w:sz w:val="21"/>
          <w:szCs w:val="21"/>
        </w:rPr>
        <w:t>fomentarán</w:t>
      </w:r>
      <w:r w:rsidRPr="00063998">
        <w:rPr>
          <w:rFonts w:ascii="Arial" w:hAnsi="Arial" w:cs="Arial"/>
          <w:sz w:val="21"/>
          <w:szCs w:val="21"/>
        </w:rPr>
        <w:t xml:space="preserve">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w:t>
      </w:r>
      <w:r w:rsidRPr="00BE0771">
        <w:rPr>
          <w:rFonts w:ascii="Arial" w:hAnsi="Arial" w:cs="Arial"/>
          <w:i/>
          <w:iCs/>
          <w:sz w:val="21"/>
          <w:szCs w:val="21"/>
        </w:rPr>
        <w:t>sujetos de especial protección constitucional</w:t>
      </w:r>
      <w:r w:rsidRPr="00063998">
        <w:rPr>
          <w:rFonts w:ascii="Arial" w:hAnsi="Arial" w:cs="Arial"/>
          <w:sz w:val="21"/>
          <w:szCs w:val="21"/>
        </w:rPr>
        <w:t xml:space="preserve">, garantizando las condiciones de calidad y sin perjuicio de los Acuerdos Comerciales vigentes. </w:t>
      </w:r>
    </w:p>
    <w:p w14:paraId="0EBEBEB4" w14:textId="77777777" w:rsidR="0090563C" w:rsidRPr="00063998" w:rsidRDefault="0090563C" w:rsidP="0090563C">
      <w:pPr>
        <w:spacing w:after="120" w:line="240" w:lineRule="auto"/>
        <w:ind w:left="709" w:right="709"/>
        <w:jc w:val="both"/>
        <w:rPr>
          <w:rFonts w:ascii="Arial" w:hAnsi="Arial" w:cs="Arial"/>
          <w:sz w:val="21"/>
          <w:szCs w:val="21"/>
        </w:rPr>
      </w:pPr>
      <w:r w:rsidRPr="00063998">
        <w:rPr>
          <w:rFonts w:ascii="Arial" w:hAnsi="Arial" w:cs="Arial"/>
          <w:sz w:val="21"/>
          <w:szCs w:val="21"/>
        </w:rPr>
        <w:t xml:space="preserve">La participación de los sujetos anteriormente mencionados en la ejecución del contrato </w:t>
      </w:r>
      <w:r w:rsidRPr="004C13D6">
        <w:rPr>
          <w:rFonts w:ascii="Arial" w:hAnsi="Arial" w:cs="Arial"/>
          <w:i/>
          <w:iCs/>
          <w:sz w:val="21"/>
          <w:szCs w:val="21"/>
        </w:rPr>
        <w:t>se fomentará previo análisis de su oportunidad y conveniencia en los Documentos del Proceso</w:t>
      </w:r>
      <w:r w:rsidRPr="00063998">
        <w:rPr>
          <w:rFonts w:ascii="Arial" w:hAnsi="Arial" w:cs="Arial"/>
          <w:sz w:val="21"/>
          <w:szCs w:val="21"/>
        </w:rPr>
        <w:t xml:space="preserve">, teniendo en cuenta el objeto contractual y el alcance de las obligaciones. </w:t>
      </w:r>
    </w:p>
    <w:p w14:paraId="46A6A65A" w14:textId="77777777" w:rsidR="0090563C" w:rsidRPr="00063998" w:rsidRDefault="0090563C" w:rsidP="0090563C">
      <w:pPr>
        <w:spacing w:after="120" w:line="240" w:lineRule="auto"/>
        <w:ind w:left="709" w:right="709"/>
        <w:jc w:val="both"/>
        <w:rPr>
          <w:rFonts w:ascii="Arial" w:hAnsi="Arial" w:cs="Arial"/>
          <w:sz w:val="21"/>
          <w:szCs w:val="21"/>
        </w:rPr>
      </w:pPr>
      <w:r w:rsidRPr="00063998">
        <w:rPr>
          <w:rFonts w:ascii="Arial" w:hAnsi="Arial" w:cs="Arial"/>
          <w:sz w:val="21"/>
          <w:szCs w:val="21"/>
        </w:rPr>
        <w:t xml:space="preserve">Esta provisión se establecerá en un porcentaje que no será superior al diez por ciento (10%) ni inferior al cinco por ciento (5%) de los bienes o servicios requeridos para la ejecución del contrato, </w:t>
      </w:r>
      <w:r w:rsidRPr="004C13D6">
        <w:rPr>
          <w:rFonts w:ascii="Arial" w:hAnsi="Arial" w:cs="Arial"/>
          <w:i/>
          <w:iCs/>
          <w:sz w:val="21"/>
          <w:szCs w:val="21"/>
        </w:rPr>
        <w:t>de manera que no se ponga en riesgo su cumplimiento adecuado</w:t>
      </w:r>
      <w:r w:rsidRPr="00063998">
        <w:rPr>
          <w:rFonts w:ascii="Arial" w:hAnsi="Arial" w:cs="Arial"/>
          <w:sz w:val="21"/>
          <w:szCs w:val="21"/>
        </w:rPr>
        <w:t xml:space="preserve">.   </w:t>
      </w:r>
    </w:p>
    <w:p w14:paraId="0248B5EC" w14:textId="77777777" w:rsidR="0090563C" w:rsidRPr="00063998" w:rsidRDefault="0090563C" w:rsidP="0090563C">
      <w:pPr>
        <w:spacing w:after="120" w:line="240" w:lineRule="auto"/>
        <w:ind w:left="709" w:right="709"/>
        <w:jc w:val="both"/>
        <w:rPr>
          <w:rFonts w:ascii="Arial" w:hAnsi="Arial" w:cs="Arial"/>
          <w:sz w:val="21"/>
          <w:szCs w:val="21"/>
        </w:rPr>
      </w:pPr>
      <w:r w:rsidRPr="004C13D6">
        <w:rPr>
          <w:rFonts w:ascii="Arial" w:hAnsi="Arial" w:cs="Arial"/>
          <w:i/>
          <w:iCs/>
          <w:sz w:val="21"/>
          <w:szCs w:val="21"/>
        </w:rPr>
        <w:t>Previo análisis de oportunidad y conveniencia</w:t>
      </w:r>
      <w:r w:rsidRPr="00063998">
        <w:rPr>
          <w:rFonts w:ascii="Arial" w:hAnsi="Arial" w:cs="Arial"/>
          <w:sz w:val="21"/>
          <w:szCs w:val="21"/>
        </w:rPr>
        <w:t xml:space="preserve">, la Entidad Estatal incorporará esta obligación en la minuta del contrato del pliego de condiciones o documento equivalente, precisando las sanciones pecuniarias producto del incumplimiento injustificado de esta a través de las causales de multa que estime pertinentes. </w:t>
      </w:r>
    </w:p>
    <w:p w14:paraId="3A77CF70" w14:textId="77777777" w:rsidR="0090563C" w:rsidRDefault="0090563C" w:rsidP="0090563C">
      <w:pPr>
        <w:spacing w:after="120" w:line="240" w:lineRule="auto"/>
        <w:ind w:left="709" w:right="709"/>
        <w:jc w:val="both"/>
        <w:rPr>
          <w:rFonts w:ascii="Arial" w:hAnsi="Arial" w:cs="Arial"/>
          <w:sz w:val="21"/>
          <w:szCs w:val="21"/>
        </w:rPr>
      </w:pPr>
      <w:r w:rsidRPr="00063998">
        <w:rPr>
          <w:rFonts w:ascii="Arial" w:hAnsi="Arial" w:cs="Arial"/>
          <w:sz w:val="21"/>
          <w:szCs w:val="21"/>
        </w:rPr>
        <w:lastRenderedPageBreak/>
        <w:t xml:space="preserve">El supervisor o el interventor, según el caso, realizará el seguimiento y verificará que las personas vinculadas al inicio y durante la ejecución del contrato pertenezcan a los grupos poblacionales enunciados anteriormente.  </w:t>
      </w:r>
    </w:p>
    <w:p w14:paraId="215DD814" w14:textId="77777777" w:rsidR="0090563C" w:rsidRPr="00AF14AD" w:rsidRDefault="0090563C" w:rsidP="0090563C">
      <w:pPr>
        <w:spacing w:after="120" w:line="240" w:lineRule="auto"/>
        <w:ind w:left="709" w:right="709"/>
        <w:jc w:val="both"/>
        <w:rPr>
          <w:rFonts w:ascii="Arial" w:hAnsi="Arial" w:cs="Arial"/>
          <w:sz w:val="21"/>
          <w:szCs w:val="21"/>
        </w:rPr>
      </w:pPr>
      <w:r w:rsidRPr="00AF14AD">
        <w:rPr>
          <w:rFonts w:ascii="Arial" w:hAnsi="Arial" w:cs="Arial"/>
          <w:sz w:val="21"/>
          <w:szCs w:val="21"/>
        </w:rPr>
        <w:t xml:space="preserve">PARÁGRAFO 1. Para los efectos previstos en el presente artículo, </w:t>
      </w:r>
      <w:r w:rsidRPr="004C13D6">
        <w:rPr>
          <w:rFonts w:ascii="Arial" w:hAnsi="Arial" w:cs="Arial"/>
          <w:i/>
          <w:iCs/>
          <w:sz w:val="21"/>
          <w:szCs w:val="21"/>
        </w:rPr>
        <w:t xml:space="preserve">los sujetos de especial protección constitucional </w:t>
      </w:r>
      <w:r w:rsidRPr="00AF14AD">
        <w:rPr>
          <w:rFonts w:ascii="Arial" w:hAnsi="Arial" w:cs="Arial"/>
          <w:sz w:val="21"/>
          <w:szCs w:val="21"/>
        </w:rPr>
        <w:t xml:space="preserve">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w:t>
      </w:r>
      <w:proofErr w:type="spellStart"/>
      <w:r w:rsidRPr="00AF14AD">
        <w:rPr>
          <w:rFonts w:ascii="Arial" w:hAnsi="Arial" w:cs="Arial"/>
          <w:sz w:val="21"/>
          <w:szCs w:val="21"/>
        </w:rPr>
        <w:t>Rrom</w:t>
      </w:r>
      <w:proofErr w:type="spellEnd"/>
      <w:r w:rsidRPr="00AF14AD">
        <w:rPr>
          <w:rFonts w:ascii="Arial" w:hAnsi="Arial" w:cs="Arial"/>
          <w:sz w:val="21"/>
          <w:szCs w:val="21"/>
        </w:rPr>
        <w:t xml:space="preserve"> o gitanas. </w:t>
      </w:r>
    </w:p>
    <w:p w14:paraId="28374053" w14:textId="77777777" w:rsidR="0090563C" w:rsidRPr="00AF14AD" w:rsidRDefault="0090563C" w:rsidP="0090563C">
      <w:pPr>
        <w:spacing w:after="120" w:line="240" w:lineRule="auto"/>
        <w:ind w:left="709" w:right="709"/>
        <w:jc w:val="both"/>
        <w:rPr>
          <w:rFonts w:ascii="Arial" w:hAnsi="Arial" w:cs="Arial"/>
          <w:sz w:val="21"/>
          <w:szCs w:val="21"/>
        </w:rPr>
      </w:pPr>
      <w:r w:rsidRPr="00AF14AD">
        <w:rPr>
          <w:rFonts w:ascii="Arial" w:hAnsi="Arial" w:cs="Arial"/>
          <w:sz w:val="21"/>
          <w:szCs w:val="21"/>
        </w:rPr>
        <w:t xml:space="preserve">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w:t>
      </w:r>
    </w:p>
    <w:p w14:paraId="6AAB6772" w14:textId="77777777" w:rsidR="0090563C" w:rsidRPr="00063998" w:rsidRDefault="0090563C" w:rsidP="0090563C">
      <w:pPr>
        <w:spacing w:after="0" w:line="240" w:lineRule="auto"/>
        <w:ind w:left="709" w:right="709"/>
        <w:jc w:val="both"/>
        <w:rPr>
          <w:rFonts w:ascii="Arial" w:hAnsi="Arial" w:cs="Arial"/>
          <w:sz w:val="21"/>
          <w:szCs w:val="21"/>
        </w:rPr>
      </w:pPr>
      <w:r w:rsidRPr="00AF14AD">
        <w:rPr>
          <w:rFonts w:ascii="Arial" w:hAnsi="Arial" w:cs="Arial"/>
          <w:sz w:val="21"/>
          <w:szCs w:val="21"/>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r>
        <w:rPr>
          <w:rFonts w:ascii="Arial" w:hAnsi="Arial" w:cs="Arial"/>
          <w:sz w:val="21"/>
          <w:szCs w:val="21"/>
        </w:rPr>
        <w:t>”. (Énfasis fuera de texto)</w:t>
      </w:r>
    </w:p>
    <w:p w14:paraId="4CAC8290" w14:textId="77777777" w:rsidR="0090563C" w:rsidRPr="001F7144" w:rsidRDefault="0090563C" w:rsidP="0090563C">
      <w:pPr>
        <w:spacing w:after="0" w:line="276" w:lineRule="auto"/>
        <w:ind w:left="709" w:right="709"/>
        <w:jc w:val="both"/>
        <w:rPr>
          <w:rFonts w:ascii="Arial" w:hAnsi="Arial" w:cs="Arial"/>
        </w:rPr>
      </w:pPr>
    </w:p>
    <w:p w14:paraId="1119BBB6" w14:textId="77777777" w:rsidR="0090563C" w:rsidRPr="00FF22B0" w:rsidRDefault="0090563C" w:rsidP="0090563C">
      <w:pPr>
        <w:spacing w:after="120" w:line="276" w:lineRule="auto"/>
        <w:ind w:firstLine="709"/>
        <w:jc w:val="both"/>
        <w:rPr>
          <w:rFonts w:ascii="Arial" w:hAnsi="Arial" w:cs="Arial"/>
        </w:rPr>
      </w:pPr>
      <w:r w:rsidRPr="00AA6B44">
        <w:rPr>
          <w:rFonts w:ascii="Arial" w:hAnsi="Arial" w:cs="Arial"/>
        </w:rPr>
        <w:t xml:space="preserve">Como se aprecia, </w:t>
      </w:r>
      <w:r>
        <w:rPr>
          <w:rFonts w:ascii="Arial" w:hAnsi="Arial" w:cs="Arial"/>
        </w:rPr>
        <w:t xml:space="preserve">en primer lugar, la nueva norma está dirigida a </w:t>
      </w:r>
      <w:r w:rsidRPr="00B54D2E">
        <w:rPr>
          <w:rFonts w:ascii="Arial" w:hAnsi="Arial" w:cs="Arial"/>
        </w:rPr>
        <w:t>las entidades estatales indistintamente de su régimen de contratación, los patrimonios autónomos constituidos por Entidades Estatales y los particulares que ejecuten recursos públicos</w:t>
      </w:r>
      <w:r>
        <w:rPr>
          <w:rFonts w:ascii="Arial" w:hAnsi="Arial" w:cs="Arial"/>
        </w:rPr>
        <w:t xml:space="preserve">. En segundo lugar, </w:t>
      </w:r>
      <w:r w:rsidRPr="00FF22B0">
        <w:rPr>
          <w:rFonts w:ascii="Arial" w:hAnsi="Arial" w:cs="Arial"/>
        </w:rPr>
        <w:t>dispone que en los pliegos de condiciones</w:t>
      </w:r>
      <w:r>
        <w:rPr>
          <w:rFonts w:ascii="Arial" w:hAnsi="Arial" w:cs="Arial"/>
        </w:rPr>
        <w:t xml:space="preserve"> o documento equivalente </w:t>
      </w:r>
      <w:r w:rsidRPr="00FF22B0">
        <w:rPr>
          <w:rFonts w:ascii="Arial" w:hAnsi="Arial" w:cs="Arial"/>
        </w:rPr>
        <w:t xml:space="preserve">deben implementarse mecanismos </w:t>
      </w:r>
      <w:r>
        <w:rPr>
          <w:rFonts w:ascii="Arial" w:hAnsi="Arial" w:cs="Arial"/>
        </w:rPr>
        <w:t xml:space="preserve">para que durante la ejecución del contrato estatal participen los </w:t>
      </w:r>
      <w:r w:rsidRPr="00FF22B0">
        <w:rPr>
          <w:rFonts w:ascii="Arial" w:hAnsi="Arial" w:cs="Arial"/>
          <w:i/>
          <w:iCs/>
        </w:rPr>
        <w:t>sujetos de especial protección constitucional</w:t>
      </w:r>
      <w:r>
        <w:rPr>
          <w:rFonts w:ascii="Arial" w:hAnsi="Arial" w:cs="Arial"/>
        </w:rPr>
        <w:t xml:space="preserve"> en la provisión de los bienes o servicios. De esta manera, la norma regula un parámetro cuantitativo, en la medida que dicha</w:t>
      </w:r>
      <w:r w:rsidRPr="00AD1873">
        <w:rPr>
          <w:rFonts w:ascii="Arial" w:hAnsi="Arial" w:cs="Arial"/>
        </w:rPr>
        <w:t xml:space="preserve"> provisión</w:t>
      </w:r>
      <w:r>
        <w:rPr>
          <w:rFonts w:ascii="Arial" w:hAnsi="Arial" w:cs="Arial"/>
        </w:rPr>
        <w:t xml:space="preserve"> no será </w:t>
      </w:r>
      <w:r w:rsidRPr="00AD1873">
        <w:rPr>
          <w:rFonts w:ascii="Arial" w:hAnsi="Arial" w:cs="Arial"/>
        </w:rPr>
        <w:t>superior al diez por ciento (10%) ni inferior al cinco por ciento (5%) de los bienes o servicios requeridos para la ejecución del contrato</w:t>
      </w:r>
      <w:r>
        <w:rPr>
          <w:rFonts w:ascii="Arial" w:hAnsi="Arial" w:cs="Arial"/>
        </w:rPr>
        <w:t xml:space="preserve">.  </w:t>
      </w:r>
    </w:p>
    <w:p w14:paraId="2342F016" w14:textId="77777777" w:rsidR="0090563C" w:rsidRDefault="0090563C" w:rsidP="0090563C">
      <w:pPr>
        <w:spacing w:after="0" w:line="276" w:lineRule="auto"/>
        <w:ind w:firstLine="709"/>
        <w:jc w:val="both"/>
        <w:rPr>
          <w:rFonts w:ascii="Arial" w:hAnsi="Arial" w:cs="Arial"/>
        </w:rPr>
      </w:pPr>
      <w:r>
        <w:rPr>
          <w:rFonts w:ascii="Arial" w:hAnsi="Arial" w:cs="Arial"/>
        </w:rPr>
        <w:t>No obstante, la aplicación d</w:t>
      </w:r>
      <w:r w:rsidRPr="0008479C">
        <w:rPr>
          <w:rFonts w:ascii="Arial" w:hAnsi="Arial" w:cs="Arial"/>
        </w:rPr>
        <w:t>el artículo 2.2.1.2.4.2.16 del Decreto 1082 de 2015</w:t>
      </w:r>
      <w:r>
        <w:rPr>
          <w:rFonts w:ascii="Arial" w:hAnsi="Arial" w:cs="Arial"/>
        </w:rPr>
        <w:t>,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5A0153F5" w14:textId="77777777" w:rsidR="0090563C" w:rsidRDefault="0090563C" w:rsidP="0090563C">
      <w:pPr>
        <w:spacing w:after="0" w:line="276" w:lineRule="auto"/>
        <w:ind w:firstLine="709"/>
        <w:jc w:val="both"/>
        <w:rPr>
          <w:rFonts w:ascii="Arial" w:hAnsi="Arial" w:cs="Arial"/>
        </w:rPr>
      </w:pPr>
    </w:p>
    <w:p w14:paraId="7FFEC148" w14:textId="77777777" w:rsidR="0090563C" w:rsidRDefault="0090563C" w:rsidP="0090563C">
      <w:pPr>
        <w:spacing w:after="0" w:line="240" w:lineRule="auto"/>
        <w:ind w:left="709" w:right="709"/>
        <w:jc w:val="both"/>
        <w:rPr>
          <w:rFonts w:ascii="Arial" w:hAnsi="Arial" w:cs="Arial"/>
          <w:sz w:val="21"/>
          <w:szCs w:val="21"/>
        </w:rPr>
      </w:pPr>
      <w:r>
        <w:rPr>
          <w:rFonts w:ascii="Arial" w:hAnsi="Arial" w:cs="Arial"/>
          <w:sz w:val="21"/>
          <w:szCs w:val="21"/>
        </w:rPr>
        <w:t>“[…]</w:t>
      </w:r>
      <w:r w:rsidRPr="000B021B">
        <w:rPr>
          <w:rFonts w:ascii="Arial" w:hAnsi="Arial" w:cs="Arial"/>
          <w:sz w:val="21"/>
          <w:szCs w:val="21"/>
        </w:rPr>
        <w:t xml:space="preserve"> </w:t>
      </w:r>
      <w:r w:rsidRPr="006B0B70">
        <w:rPr>
          <w:rFonts w:ascii="Arial" w:hAnsi="Arial" w:cs="Arial"/>
          <w:sz w:val="21"/>
          <w:szCs w:val="21"/>
        </w:rPr>
        <w:t xml:space="preserve">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Pr="00DD21FE">
        <w:rPr>
          <w:rFonts w:ascii="Arial" w:hAnsi="Arial" w:cs="Arial"/>
          <w:i/>
          <w:iCs/>
          <w:sz w:val="21"/>
          <w:szCs w:val="21"/>
        </w:rPr>
        <w:t>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Pr>
          <w:rFonts w:ascii="Arial" w:hAnsi="Arial" w:cs="Arial"/>
          <w:sz w:val="21"/>
          <w:szCs w:val="21"/>
        </w:rPr>
        <w:t>”</w:t>
      </w:r>
      <w:r>
        <w:rPr>
          <w:rStyle w:val="Refdenotaalpie"/>
          <w:rFonts w:ascii="Arial" w:hAnsi="Arial" w:cs="Arial"/>
        </w:rPr>
        <w:footnoteReference w:id="11"/>
      </w:r>
      <w:r w:rsidRPr="000B021B">
        <w:rPr>
          <w:rFonts w:ascii="Arial" w:hAnsi="Arial" w:cs="Arial"/>
          <w:sz w:val="21"/>
          <w:szCs w:val="21"/>
        </w:rPr>
        <w:t>.</w:t>
      </w:r>
      <w:r>
        <w:rPr>
          <w:rFonts w:ascii="Arial" w:hAnsi="Arial" w:cs="Arial"/>
          <w:sz w:val="21"/>
          <w:szCs w:val="21"/>
        </w:rPr>
        <w:t xml:space="preserve"> (Énfasis fuera de texto)</w:t>
      </w:r>
    </w:p>
    <w:p w14:paraId="6B49DAD8" w14:textId="77777777" w:rsidR="0090563C" w:rsidRDefault="0090563C" w:rsidP="0090563C">
      <w:pPr>
        <w:spacing w:after="0" w:line="276" w:lineRule="auto"/>
        <w:ind w:left="709" w:right="709"/>
        <w:jc w:val="both"/>
        <w:rPr>
          <w:rFonts w:ascii="Arial" w:hAnsi="Arial" w:cs="Arial"/>
          <w:sz w:val="21"/>
          <w:szCs w:val="21"/>
        </w:rPr>
      </w:pPr>
    </w:p>
    <w:p w14:paraId="0B5D7BB2" w14:textId="77777777" w:rsidR="0090563C" w:rsidRDefault="0090563C" w:rsidP="0090563C">
      <w:pPr>
        <w:spacing w:after="120" w:line="276" w:lineRule="auto"/>
        <w:ind w:firstLine="708"/>
        <w:jc w:val="both"/>
        <w:rPr>
          <w:rFonts w:ascii="Arial" w:eastAsia="Calibri" w:hAnsi="Arial" w:cs="Arial"/>
          <w:lang w:val="es-ES_tradnl"/>
        </w:rPr>
      </w:pPr>
      <w:r>
        <w:rPr>
          <w:rFonts w:ascii="Arial" w:hAnsi="Arial" w:cs="Arial"/>
        </w:rPr>
        <w:t>Con la salvedad prevista en el parágrafo 2 del artículo d</w:t>
      </w:r>
      <w:r w:rsidRPr="0008479C">
        <w:rPr>
          <w:rFonts w:ascii="Arial" w:hAnsi="Arial" w:cs="Arial"/>
        </w:rPr>
        <w:t>el artículo 2.2.1.2.4.2.16 del Decreto 1082 de 2015</w:t>
      </w:r>
      <w:r>
        <w:rPr>
          <w:rFonts w:ascii="Arial" w:hAnsi="Arial" w:cs="Arial"/>
        </w:rPr>
        <w:t xml:space="preserve"> para los procesos regidos por documentos tipo, dado</w:t>
      </w:r>
      <w:r>
        <w:rPr>
          <w:rFonts w:ascii="Arial" w:eastAsia="Calibri" w:hAnsi="Arial" w:cs="Arial"/>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4118ED">
        <w:rPr>
          <w:rFonts w:ascii="Arial" w:eastAsia="Calibri" w:hAnsi="Arial" w:cs="Arial"/>
          <w:i/>
          <w:iCs/>
          <w:lang w:val="es-ES_tradnl"/>
        </w:rPr>
        <w:t>de oportunidad y conveniencia</w:t>
      </w:r>
      <w:r>
        <w:rPr>
          <w:rFonts w:ascii="Arial" w:eastAsia="Calibri" w:hAnsi="Arial" w:cs="Arial"/>
          <w:i/>
          <w:iCs/>
          <w:lang w:val="es-ES_tradnl"/>
        </w:rPr>
        <w:t xml:space="preserve">, garantizando la calidad y sin poner en riesgo el cumplimiento del contrato, </w:t>
      </w:r>
      <w:r>
        <w:rPr>
          <w:rFonts w:ascii="Arial" w:eastAsia="Calibri" w:hAnsi="Arial" w:cs="Arial"/>
          <w:lang w:val="es-ES_tradnl"/>
        </w:rPr>
        <w:t>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1C5F0C72" w14:textId="77777777" w:rsidR="0090563C" w:rsidRDefault="0090563C" w:rsidP="0090563C">
      <w:pPr>
        <w:spacing w:after="0" w:line="276" w:lineRule="auto"/>
        <w:ind w:firstLine="708"/>
        <w:jc w:val="both"/>
        <w:rPr>
          <w:rFonts w:ascii="Arial" w:eastAsia="Calibri" w:hAnsi="Arial" w:cs="Arial"/>
        </w:rPr>
      </w:pPr>
      <w:r>
        <w:rPr>
          <w:rFonts w:ascii="Arial" w:eastAsia="Calibri" w:hAnsi="Arial" w:cs="Arial"/>
          <w:lang w:val="es-ES_tradnl"/>
        </w:rPr>
        <w:t>En efecto, el ejercicio de potestades discrecionales comporta valoraciones de conveniencia</w:t>
      </w:r>
      <w:r>
        <w:rPr>
          <w:rFonts w:ascii="Arial" w:eastAsia="Calibri" w:hAnsi="Arial" w:cs="Arial"/>
        </w:rPr>
        <w:t xml:space="preserve">, ya que la norma no predetermina el contenido de la decisión sino que la deja a la libre consideración del órgano competente. En otras palabras, </w:t>
      </w:r>
      <w:r w:rsidRPr="00D81335">
        <w:rPr>
          <w:rFonts w:ascii="Arial" w:eastAsia="Calibri" w:hAnsi="Arial" w:cs="Arial"/>
        </w:rPr>
        <w:t>queda a la Administración la facultad de valorar la oportunidad de actuar o dejar de hacerlo</w:t>
      </w:r>
      <w:r>
        <w:rPr>
          <w:rFonts w:ascii="Arial" w:eastAsia="Calibri" w:hAnsi="Arial" w:cs="Arial"/>
        </w:rPr>
        <w:t xml:space="preserve">. </w:t>
      </w:r>
      <w:r w:rsidRPr="00B93DC6">
        <w:rPr>
          <w:rFonts w:ascii="Arial" w:eastAsia="Calibri" w:hAnsi="Arial" w:cs="Arial"/>
        </w:rPr>
        <w:t xml:space="preserve">Esa facultad de apreciación del interés público con el fin de decidir la conveniencia o no de la acción administrativa </w:t>
      </w:r>
      <w:r>
        <w:rPr>
          <w:rFonts w:ascii="Arial" w:eastAsia="Calibri" w:hAnsi="Arial" w:cs="Arial"/>
        </w:rPr>
        <w:t>no correspondería a ejercicio de una potestad reglada</w:t>
      </w:r>
      <w:r>
        <w:rPr>
          <w:rStyle w:val="Refdenotaalpie"/>
          <w:rFonts w:ascii="Arial" w:eastAsia="Calibri" w:hAnsi="Arial" w:cs="Arial"/>
        </w:rPr>
        <w:footnoteReference w:id="12"/>
      </w:r>
      <w:r>
        <w:rPr>
          <w:rFonts w:ascii="Arial" w:eastAsia="Calibri" w:hAnsi="Arial" w:cs="Arial"/>
        </w:rPr>
        <w:t>. De esta manera, la doctrina explica que:</w:t>
      </w:r>
    </w:p>
    <w:p w14:paraId="056D2E69" w14:textId="77777777" w:rsidR="0090563C" w:rsidRDefault="0090563C" w:rsidP="0090563C">
      <w:pPr>
        <w:spacing w:after="0" w:line="276" w:lineRule="auto"/>
        <w:ind w:firstLine="708"/>
        <w:jc w:val="both"/>
        <w:rPr>
          <w:rFonts w:ascii="Arial" w:eastAsia="Calibri" w:hAnsi="Arial" w:cs="Arial"/>
        </w:rPr>
      </w:pPr>
    </w:p>
    <w:p w14:paraId="489A2013" w14:textId="77777777" w:rsidR="0090563C" w:rsidRPr="00DD21FE" w:rsidRDefault="0090563C" w:rsidP="0090563C">
      <w:pPr>
        <w:spacing w:after="0" w:line="240" w:lineRule="auto"/>
        <w:ind w:left="709" w:right="709"/>
        <w:jc w:val="both"/>
        <w:rPr>
          <w:rFonts w:ascii="Arial" w:eastAsia="Calibri" w:hAnsi="Arial" w:cs="Arial"/>
          <w:sz w:val="21"/>
          <w:szCs w:val="21"/>
        </w:rPr>
      </w:pPr>
      <w:r>
        <w:rPr>
          <w:rFonts w:ascii="Arial" w:eastAsia="Calibri" w:hAnsi="Arial" w:cs="Arial"/>
          <w:sz w:val="21"/>
          <w:szCs w:val="21"/>
        </w:rPr>
        <w:t>“</w:t>
      </w:r>
      <w:r w:rsidRPr="00DD21FE">
        <w:rPr>
          <w:rFonts w:ascii="Arial" w:eastAsia="Calibri" w:hAnsi="Arial" w:cs="Arial"/>
          <w:sz w:val="21"/>
          <w:szCs w:val="21"/>
        </w:rPr>
        <w:t xml:space="preserve">[…] la discrecionalidad comporta, como se reconoce por doquier, la necesidad de tomar en cuenta criterios no estrictamente jurídicos para adoptar la decisión, es decir, criterios políticos, técnicos o de mera oportunidad o conveniencia (económica, social, organizativa), según los casos. Criterios que han de utilizarse bien para adoptar una iniciativa de gobierno o de gestión, bien para aplicar una directriz legal imprecisa, </w:t>
      </w:r>
      <w:r w:rsidRPr="00DD21FE">
        <w:rPr>
          <w:rFonts w:ascii="Arial" w:eastAsia="Calibri" w:hAnsi="Arial" w:cs="Arial"/>
          <w:i/>
          <w:iCs/>
          <w:sz w:val="21"/>
          <w:szCs w:val="21"/>
        </w:rPr>
        <w:t>bien para valorar una situación de hecho para la que la ley dispone una cierta consecuencia</w:t>
      </w:r>
      <w:r w:rsidRPr="00DD21FE">
        <w:rPr>
          <w:rFonts w:ascii="Arial" w:eastAsia="Calibri" w:hAnsi="Arial" w:cs="Arial"/>
          <w:sz w:val="21"/>
          <w:szCs w:val="21"/>
        </w:rPr>
        <w:t>, bien para optar entre una u otra soluciones posibles cuando la tarea de gobernar o de administrar impone tomar una decisión</w:t>
      </w:r>
      <w:r>
        <w:rPr>
          <w:rFonts w:ascii="Arial" w:eastAsia="Calibri" w:hAnsi="Arial" w:cs="Arial"/>
          <w:sz w:val="21"/>
          <w:szCs w:val="21"/>
        </w:rPr>
        <w:t>”</w:t>
      </w:r>
      <w:r>
        <w:rPr>
          <w:rStyle w:val="Refdenotaalpie"/>
          <w:rFonts w:ascii="Arial" w:eastAsia="Calibri" w:hAnsi="Arial" w:cs="Arial"/>
          <w:sz w:val="21"/>
          <w:szCs w:val="21"/>
        </w:rPr>
        <w:footnoteReference w:id="13"/>
      </w:r>
      <w:r w:rsidRPr="00DD21FE">
        <w:rPr>
          <w:rFonts w:ascii="Arial" w:eastAsia="Calibri" w:hAnsi="Arial" w:cs="Arial"/>
          <w:sz w:val="21"/>
          <w:szCs w:val="21"/>
        </w:rPr>
        <w:t>.</w:t>
      </w:r>
      <w:r>
        <w:rPr>
          <w:rFonts w:ascii="Arial" w:eastAsia="Calibri" w:hAnsi="Arial" w:cs="Arial"/>
          <w:sz w:val="21"/>
          <w:szCs w:val="21"/>
        </w:rPr>
        <w:t xml:space="preserve"> (Énfasis fuera de texto)</w:t>
      </w:r>
    </w:p>
    <w:p w14:paraId="5BCD6001" w14:textId="77777777" w:rsidR="0090563C" w:rsidRDefault="0090563C" w:rsidP="0090563C">
      <w:pPr>
        <w:spacing w:after="0" w:line="276" w:lineRule="auto"/>
        <w:jc w:val="both"/>
        <w:rPr>
          <w:rFonts w:ascii="Arial" w:eastAsia="Calibri" w:hAnsi="Arial" w:cs="Arial"/>
          <w:lang w:val="es-ES_tradnl"/>
        </w:rPr>
      </w:pPr>
    </w:p>
    <w:p w14:paraId="70E8DDCD" w14:textId="77777777" w:rsidR="0090563C" w:rsidRPr="00AA6B44" w:rsidRDefault="0090563C" w:rsidP="0090563C">
      <w:pPr>
        <w:spacing w:after="0" w:line="276" w:lineRule="auto"/>
        <w:ind w:firstLine="708"/>
        <w:jc w:val="both"/>
        <w:rPr>
          <w:rFonts w:ascii="Arial" w:eastAsia="Calibri" w:hAnsi="Arial" w:cs="Arial"/>
          <w:lang w:val="es-ES_tradnl"/>
        </w:rPr>
      </w:pPr>
      <w:r>
        <w:rPr>
          <w:rFonts w:ascii="Arial" w:eastAsia="Calibri" w:hAnsi="Arial" w:cs="Arial"/>
          <w:lang w:val="es-ES_tradnl"/>
        </w:rPr>
        <w:t xml:space="preserve">Por tanto, si previa valoración de la </w:t>
      </w:r>
      <w:r w:rsidRPr="005646AE">
        <w:rPr>
          <w:rFonts w:ascii="Arial" w:eastAsia="Calibri" w:hAnsi="Arial" w:cs="Arial"/>
          <w:i/>
          <w:iCs/>
          <w:lang w:val="es-ES_tradnl"/>
        </w:rPr>
        <w:t xml:space="preserve">oportunidad </w:t>
      </w:r>
      <w:r w:rsidRPr="00DD21FE">
        <w:rPr>
          <w:rFonts w:ascii="Arial" w:eastAsia="Calibri" w:hAnsi="Arial" w:cs="Arial"/>
          <w:lang w:val="es-ES_tradnl"/>
        </w:rPr>
        <w:t>y</w:t>
      </w:r>
      <w:r w:rsidRPr="005646AE">
        <w:rPr>
          <w:rFonts w:ascii="Arial" w:eastAsia="Calibri" w:hAnsi="Arial" w:cs="Arial"/>
          <w:i/>
          <w:iCs/>
          <w:lang w:val="es-ES_tradnl"/>
        </w:rPr>
        <w:t xml:space="preserve"> </w:t>
      </w:r>
      <w:r>
        <w:rPr>
          <w:rFonts w:ascii="Arial" w:eastAsia="Calibri" w:hAnsi="Arial" w:cs="Arial"/>
          <w:lang w:val="es-ES_tradnl"/>
        </w:rPr>
        <w:t xml:space="preserve">la </w:t>
      </w:r>
      <w:r w:rsidRPr="005646AE">
        <w:rPr>
          <w:rFonts w:ascii="Arial" w:eastAsia="Calibri" w:hAnsi="Arial" w:cs="Arial"/>
          <w:i/>
          <w:iCs/>
          <w:lang w:val="es-ES_tradnl"/>
        </w:rPr>
        <w:t>conveniencia</w:t>
      </w:r>
      <w:r>
        <w:rPr>
          <w:rFonts w:ascii="Arial" w:eastAsia="Calibri" w:hAnsi="Arial" w:cs="Arial"/>
          <w:i/>
          <w:iCs/>
          <w:lang w:val="es-ES_tradnl"/>
        </w:rPr>
        <w:t xml:space="preserve"> </w:t>
      </w:r>
      <w:r w:rsidRPr="005646AE">
        <w:rPr>
          <w:rFonts w:ascii="Arial" w:eastAsia="Calibri" w:hAnsi="Arial" w:cs="Arial"/>
          <w:lang w:val="es-ES_tradnl"/>
        </w:rPr>
        <w:t>se concluye</w:t>
      </w:r>
      <w:r>
        <w:rPr>
          <w:rFonts w:ascii="Arial" w:eastAsia="Calibri" w:hAnsi="Arial" w:cs="Arial"/>
          <w:lang w:val="es-ES_tradnl"/>
        </w:rPr>
        <w:t xml:space="preserve"> que el incentivo no pone en riesgo las condiciones de calidad, no contraría Acuerdos Comerciales vigentes ni pone en riesgo la adecuada ejecución del objeto contractual, la entidad contratante</w:t>
      </w:r>
      <w:r w:rsidDel="00150930">
        <w:rPr>
          <w:rFonts w:ascii="Arial" w:eastAsia="Calibri" w:hAnsi="Arial" w:cs="Arial"/>
          <w:lang w:val="es-ES_tradnl"/>
        </w:rPr>
        <w:t xml:space="preserve"> </w:t>
      </w:r>
      <w:r>
        <w:rPr>
          <w:rFonts w:ascii="Arial" w:eastAsia="Calibri" w:hAnsi="Arial" w:cs="Arial"/>
          <w:lang w:val="es-ES_tradnl"/>
        </w:rPr>
        <w:t xml:space="preserve">estructurará el pliego de condiciones o documento equivalente exigiendo el porcentaje dentro del rango previsto en la norma en comento y fijando las sanciones pecuniarias derivadas del incumplimiento injustificado en la minuta del contrato. En este caso, por ejemplo, si un contrato de obra pública requiere diez (200) albañiles, mínimo 10 o máximo 20 deberán ser sujetos de especial protección constitucional. Por el contrario, si estima que el incentivo no cumple los criterios anteriormente expuestos por las razones que se expresen en los documentos del proceso, no aplicará la regla de fomento del </w:t>
      </w:r>
      <w:r w:rsidRPr="0008479C">
        <w:rPr>
          <w:rFonts w:ascii="Arial" w:hAnsi="Arial" w:cs="Arial"/>
        </w:rPr>
        <w:t>artículo 2.2.1.2.4.2.16 del Decreto 1082 de 2015</w:t>
      </w:r>
      <w:r>
        <w:rPr>
          <w:rFonts w:ascii="Arial" w:hAnsi="Arial" w:cs="Arial"/>
        </w:rPr>
        <w:t xml:space="preserve">. </w:t>
      </w:r>
    </w:p>
    <w:bookmarkEnd w:id="6"/>
    <w:p w14:paraId="309200B4" w14:textId="77777777" w:rsidR="0090563C" w:rsidRPr="003A5B9A" w:rsidRDefault="0090563C" w:rsidP="0090563C">
      <w:pPr>
        <w:tabs>
          <w:tab w:val="left" w:pos="426"/>
        </w:tabs>
        <w:spacing w:after="0" w:line="276" w:lineRule="auto"/>
        <w:jc w:val="both"/>
        <w:rPr>
          <w:rFonts w:ascii="Arial" w:hAnsi="Arial" w:cs="Arial"/>
        </w:rPr>
      </w:pPr>
    </w:p>
    <w:p w14:paraId="6C31BD59" w14:textId="77777777" w:rsidR="0090563C" w:rsidRPr="00262D58" w:rsidRDefault="0090563C" w:rsidP="0090563C">
      <w:pPr>
        <w:tabs>
          <w:tab w:val="left" w:pos="0"/>
        </w:tabs>
        <w:spacing w:after="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3. Respuesta</w:t>
      </w:r>
    </w:p>
    <w:p w14:paraId="4B39F5DE" w14:textId="77777777" w:rsidR="0090563C" w:rsidRPr="00262D58" w:rsidRDefault="0090563C" w:rsidP="0090563C">
      <w:pPr>
        <w:spacing w:after="0" w:line="276" w:lineRule="auto"/>
        <w:ind w:firstLine="709"/>
        <w:jc w:val="both"/>
        <w:rPr>
          <w:rFonts w:ascii="Arial" w:eastAsia="Times New Roman" w:hAnsi="Arial" w:cs="Arial"/>
          <w:lang w:eastAsia="es-CO"/>
        </w:rPr>
      </w:pPr>
      <w:bookmarkStart w:id="8" w:name="_Hlk131064197"/>
    </w:p>
    <w:p w14:paraId="099A2D47" w14:textId="77777777" w:rsidR="0090563C" w:rsidRPr="00262D58" w:rsidRDefault="0090563C" w:rsidP="0090563C">
      <w:pPr>
        <w:spacing w:after="0" w:line="240" w:lineRule="auto"/>
        <w:ind w:left="709" w:right="709"/>
        <w:jc w:val="both"/>
        <w:rPr>
          <w:rFonts w:ascii="Arial" w:hAnsi="Arial" w:cs="Arial"/>
          <w:color w:val="000000" w:themeColor="text1"/>
          <w:sz w:val="21"/>
          <w:szCs w:val="21"/>
          <w:lang w:val="es-ES_tradnl"/>
        </w:rPr>
      </w:pPr>
      <w:r w:rsidRPr="008C1D77">
        <w:rPr>
          <w:rFonts w:ascii="Arial" w:hAnsi="Arial" w:cs="Arial"/>
          <w:color w:val="000000" w:themeColor="text1"/>
          <w:sz w:val="21"/>
          <w:szCs w:val="21"/>
          <w:lang w:val="es-ES_tradnl"/>
        </w:rPr>
        <w:t xml:space="preserve">“[…] </w:t>
      </w:r>
      <w:r w:rsidRPr="00FB5BD7">
        <w:rPr>
          <w:rFonts w:ascii="Arial" w:hAnsi="Arial" w:cs="Arial"/>
          <w:color w:val="000000" w:themeColor="text1"/>
          <w:sz w:val="21"/>
          <w:szCs w:val="21"/>
          <w:lang w:val="es-ES_tradnl"/>
        </w:rPr>
        <w:t>frente a lo dispuesto en el artículo 2.2.1.2.4.2.16 del decreto 1860 de 2021 las entidades públicas están en la obligación de incorporar esta provisión dentro de la contratación en la procura de la población en mención ¿cuál es el ejercicio para tasar el 05% mínimo de cumplimiento? Y así hacer un debido control en la ejecución</w:t>
      </w:r>
      <w:r w:rsidRPr="008C1D77">
        <w:rPr>
          <w:rFonts w:ascii="Arial" w:hAnsi="Arial" w:cs="Arial"/>
          <w:color w:val="000000" w:themeColor="text1"/>
          <w:sz w:val="21"/>
          <w:szCs w:val="21"/>
          <w:lang w:val="es-ES_tradnl"/>
        </w:rPr>
        <w:t>. Cuando se habla de oportunidad y conveniencia ¿las entidades se pueden apartar de este mandato legal? ¿bajo qué supuestos?”</w:t>
      </w:r>
      <w:r w:rsidRPr="00262D58">
        <w:rPr>
          <w:rFonts w:ascii="Arial" w:hAnsi="Arial" w:cs="Arial"/>
          <w:color w:val="000000" w:themeColor="text1"/>
          <w:sz w:val="21"/>
          <w:szCs w:val="21"/>
          <w:lang w:val="es-ES_tradnl"/>
        </w:rPr>
        <w:t>.</w:t>
      </w:r>
    </w:p>
    <w:p w14:paraId="7AC7B848" w14:textId="77777777" w:rsidR="0090563C" w:rsidRPr="00262D58" w:rsidRDefault="0090563C" w:rsidP="0090563C">
      <w:pPr>
        <w:spacing w:after="0" w:line="276" w:lineRule="auto"/>
        <w:jc w:val="both"/>
        <w:rPr>
          <w:rFonts w:ascii="Arial" w:hAnsi="Arial" w:cs="Arial"/>
          <w:color w:val="000000" w:themeColor="text1"/>
          <w:lang w:val="es-ES_tradnl"/>
        </w:rPr>
      </w:pPr>
    </w:p>
    <w:p w14:paraId="5AF5AAE6" w14:textId="77777777" w:rsidR="0090563C" w:rsidRDefault="0090563C" w:rsidP="0090563C">
      <w:pPr>
        <w:spacing w:after="120" w:line="276" w:lineRule="auto"/>
        <w:jc w:val="both"/>
        <w:rPr>
          <w:rFonts w:ascii="Arial" w:hAnsi="Arial" w:cs="Arial"/>
          <w:sz w:val="21"/>
          <w:szCs w:val="21"/>
        </w:rPr>
      </w:pPr>
      <w:r>
        <w:rPr>
          <w:rFonts w:ascii="Arial" w:hAnsi="Arial" w:cs="Arial"/>
        </w:rPr>
        <w:t>Conforme a la interpretación de las normas generales del sistema de compras públicas, la aplicación d</w:t>
      </w:r>
      <w:r w:rsidRPr="0008479C">
        <w:rPr>
          <w:rFonts w:ascii="Arial" w:hAnsi="Arial" w:cs="Arial"/>
        </w:rPr>
        <w:t>el artículo 2.2.1.2.4.2.16 del Decreto 1082 de 2015</w:t>
      </w:r>
      <w:r>
        <w:rPr>
          <w:rFonts w:ascii="Arial" w:hAnsi="Arial" w:cs="Arial"/>
        </w:rPr>
        <w:t xml:space="preserve">,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w:t>
      </w:r>
      <w:r>
        <w:rPr>
          <w:rFonts w:ascii="Arial" w:hAnsi="Arial" w:cs="Arial"/>
        </w:rPr>
        <w:lastRenderedPageBreak/>
        <w:t xml:space="preserve">supeditado al análisis previo de oportunidad y conveniencia en los Documentos del Proceso. </w:t>
      </w:r>
    </w:p>
    <w:p w14:paraId="1DAA266E" w14:textId="77777777" w:rsidR="0090563C" w:rsidRDefault="0090563C" w:rsidP="0090563C">
      <w:pPr>
        <w:spacing w:after="120" w:line="276" w:lineRule="auto"/>
        <w:ind w:firstLine="708"/>
        <w:jc w:val="both"/>
        <w:rPr>
          <w:rFonts w:ascii="Arial" w:eastAsia="Calibri" w:hAnsi="Arial" w:cs="Arial"/>
          <w:lang w:val="es-ES_tradnl"/>
        </w:rPr>
      </w:pPr>
      <w:r>
        <w:rPr>
          <w:rFonts w:ascii="Arial" w:hAnsi="Arial" w:cs="Arial"/>
        </w:rPr>
        <w:t>En consecuencia, dado</w:t>
      </w:r>
      <w:r>
        <w:rPr>
          <w:rFonts w:ascii="Arial" w:eastAsia="Calibri" w:hAnsi="Arial" w:cs="Arial"/>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4118ED">
        <w:rPr>
          <w:rFonts w:ascii="Arial" w:eastAsia="Calibri" w:hAnsi="Arial" w:cs="Arial"/>
          <w:i/>
          <w:iCs/>
          <w:lang w:val="es-ES_tradnl"/>
        </w:rPr>
        <w:t>de oportunidad y conveniencia</w:t>
      </w:r>
      <w:r>
        <w:rPr>
          <w:rFonts w:ascii="Arial" w:eastAsia="Calibri" w:hAnsi="Arial" w:cs="Arial"/>
          <w:i/>
          <w:iCs/>
          <w:lang w:val="es-ES_tradnl"/>
        </w:rPr>
        <w:t xml:space="preserve">, garantizando la calidad y sin poner en riesgo el cumplimiento del contrato, </w:t>
      </w:r>
      <w:r>
        <w:rPr>
          <w:rFonts w:ascii="Arial" w:eastAsia="Calibri" w:hAnsi="Arial" w:cs="Arial"/>
          <w:lang w:val="es-ES_tradnl"/>
        </w:rPr>
        <w:t>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2390FA84" w14:textId="77777777" w:rsidR="0090563C" w:rsidRDefault="0090563C" w:rsidP="0090563C">
      <w:pPr>
        <w:spacing w:after="120" w:line="276" w:lineRule="auto"/>
        <w:ind w:firstLine="709"/>
        <w:jc w:val="both"/>
        <w:rPr>
          <w:rFonts w:ascii="Arial" w:eastAsia="Calibri" w:hAnsi="Arial" w:cs="Arial"/>
        </w:rPr>
      </w:pPr>
      <w:r>
        <w:rPr>
          <w:rFonts w:ascii="Arial" w:eastAsia="Calibri" w:hAnsi="Arial" w:cs="Arial"/>
          <w:lang w:val="es-ES_tradnl"/>
        </w:rPr>
        <w:t>En efecto, el ejercicio de potestades discrecionales comporta valoraciones de conveniencia</w:t>
      </w:r>
      <w:r>
        <w:rPr>
          <w:rFonts w:ascii="Arial" w:eastAsia="Calibri" w:hAnsi="Arial" w:cs="Arial"/>
        </w:rPr>
        <w:t xml:space="preserve">, ya que la norma no predetermina el contenido de la decisión sino que la deja a la libre consideración del órgano competente. En otras palabras, </w:t>
      </w:r>
      <w:r w:rsidRPr="00D81335">
        <w:rPr>
          <w:rFonts w:ascii="Arial" w:eastAsia="Calibri" w:hAnsi="Arial" w:cs="Arial"/>
        </w:rPr>
        <w:t>queda a la Administración la facultad de valorar la oportunidad de actuar o dejar de hacerlo</w:t>
      </w:r>
      <w:r>
        <w:rPr>
          <w:rFonts w:ascii="Arial" w:eastAsia="Calibri" w:hAnsi="Arial" w:cs="Arial"/>
        </w:rPr>
        <w:t xml:space="preserve">. </w:t>
      </w:r>
      <w:r w:rsidRPr="00B93DC6">
        <w:rPr>
          <w:rFonts w:ascii="Arial" w:eastAsia="Calibri" w:hAnsi="Arial" w:cs="Arial"/>
        </w:rPr>
        <w:t xml:space="preserve">Esa facultad de apreciación del interés público con el fin de decidir la conveniencia o no de la acción administrativa </w:t>
      </w:r>
      <w:r>
        <w:rPr>
          <w:rFonts w:ascii="Arial" w:eastAsia="Calibri" w:hAnsi="Arial" w:cs="Arial"/>
        </w:rPr>
        <w:t xml:space="preserve">no correspondería a ejercicio de una potestad reglada. </w:t>
      </w:r>
    </w:p>
    <w:p w14:paraId="0BE76868" w14:textId="77777777" w:rsidR="0090563C" w:rsidRPr="001D3C6C" w:rsidRDefault="0090563C" w:rsidP="0090563C">
      <w:pPr>
        <w:spacing w:after="120" w:line="276" w:lineRule="auto"/>
        <w:ind w:firstLine="709"/>
        <w:jc w:val="both"/>
        <w:rPr>
          <w:rFonts w:ascii="Arial" w:eastAsia="Calibri" w:hAnsi="Arial" w:cs="Arial"/>
          <w:color w:val="000000" w:themeColor="text1"/>
          <w:lang w:val="es-ES_tradnl"/>
        </w:rPr>
      </w:pPr>
      <w:r>
        <w:rPr>
          <w:rFonts w:ascii="Arial" w:eastAsia="Calibri" w:hAnsi="Arial" w:cs="Arial"/>
          <w:lang w:val="es-ES_tradnl"/>
        </w:rPr>
        <w:t xml:space="preserve">Por tanto, si previa valoración de la </w:t>
      </w:r>
      <w:r w:rsidRPr="005646AE">
        <w:rPr>
          <w:rFonts w:ascii="Arial" w:eastAsia="Calibri" w:hAnsi="Arial" w:cs="Arial"/>
          <w:i/>
          <w:iCs/>
          <w:lang w:val="es-ES_tradnl"/>
        </w:rPr>
        <w:t xml:space="preserve">oportunidad </w:t>
      </w:r>
      <w:r w:rsidRPr="00DD21FE">
        <w:rPr>
          <w:rFonts w:ascii="Arial" w:eastAsia="Calibri" w:hAnsi="Arial" w:cs="Arial"/>
          <w:lang w:val="es-ES_tradnl"/>
        </w:rPr>
        <w:t>y</w:t>
      </w:r>
      <w:r w:rsidRPr="005646AE">
        <w:rPr>
          <w:rFonts w:ascii="Arial" w:eastAsia="Calibri" w:hAnsi="Arial" w:cs="Arial"/>
          <w:i/>
          <w:iCs/>
          <w:lang w:val="es-ES_tradnl"/>
        </w:rPr>
        <w:t xml:space="preserve"> </w:t>
      </w:r>
      <w:r>
        <w:rPr>
          <w:rFonts w:ascii="Arial" w:eastAsia="Calibri" w:hAnsi="Arial" w:cs="Arial"/>
          <w:lang w:val="es-ES_tradnl"/>
        </w:rPr>
        <w:t xml:space="preserve">la </w:t>
      </w:r>
      <w:r w:rsidRPr="005646AE">
        <w:rPr>
          <w:rFonts w:ascii="Arial" w:eastAsia="Calibri" w:hAnsi="Arial" w:cs="Arial"/>
          <w:i/>
          <w:iCs/>
          <w:lang w:val="es-ES_tradnl"/>
        </w:rPr>
        <w:t>conveniencia</w:t>
      </w:r>
      <w:r>
        <w:rPr>
          <w:rFonts w:ascii="Arial" w:eastAsia="Calibri" w:hAnsi="Arial" w:cs="Arial"/>
          <w:i/>
          <w:iCs/>
          <w:lang w:val="es-ES_tradnl"/>
        </w:rPr>
        <w:t xml:space="preserve"> </w:t>
      </w:r>
      <w:r w:rsidRPr="005646AE">
        <w:rPr>
          <w:rFonts w:ascii="Arial" w:eastAsia="Calibri" w:hAnsi="Arial" w:cs="Arial"/>
          <w:lang w:val="es-ES_tradnl"/>
        </w:rPr>
        <w:t>se concluye</w:t>
      </w:r>
      <w:r>
        <w:rPr>
          <w:rFonts w:ascii="Arial" w:eastAsia="Calibri" w:hAnsi="Arial" w:cs="Arial"/>
          <w:lang w:val="es-ES_tradnl"/>
        </w:rPr>
        <w:t xml:space="preserve"> que el incentivo no pone en riesgo las condiciones de calidad, no contraría Acuerdos Comerciales vigentes ni pone en riesgo la adecuada ejecución del objeto contractual, la entidad contratante</w:t>
      </w:r>
      <w:r w:rsidDel="00150930">
        <w:rPr>
          <w:rFonts w:ascii="Arial" w:eastAsia="Calibri" w:hAnsi="Arial" w:cs="Arial"/>
          <w:lang w:val="es-ES_tradnl"/>
        </w:rPr>
        <w:t xml:space="preserve"> </w:t>
      </w:r>
      <w:r>
        <w:rPr>
          <w:rFonts w:ascii="Arial" w:eastAsia="Calibri" w:hAnsi="Arial" w:cs="Arial"/>
          <w:lang w:val="es-ES_tradnl"/>
        </w:rPr>
        <w:t xml:space="preserve">estructurará el pliego de condiciones o documento equivalente exigiendo el porcentaje dentro del rango previsto en la norma en comento y fijando las sanciones pecuniarias derivadas del incumplimiento injustificado en la minuta del contrato. En este caso, por ejemplo, si un contrato de obra pública requiere diez (200) albañiles, mínimo 10 o máximo 20 deberán ser sujetos de especial protección constitucional. Por el contrario, si estima que el incentivo no cumple los criterios anteriormente expuestos por las razones que se expresen en los documentos del proceso, no aplicará la regla de fomento del </w:t>
      </w:r>
      <w:r w:rsidRPr="0008479C">
        <w:rPr>
          <w:rFonts w:ascii="Arial" w:hAnsi="Arial" w:cs="Arial"/>
        </w:rPr>
        <w:t>artículo 2.2.1.2.4.2.16 del Decreto 1082 de 2015</w:t>
      </w:r>
      <w:r>
        <w:rPr>
          <w:rFonts w:ascii="Arial" w:hAnsi="Arial" w:cs="Arial"/>
          <w:lang w:val="es-ES"/>
        </w:rPr>
        <w:t xml:space="preserve">. </w:t>
      </w:r>
      <w:r>
        <w:rPr>
          <w:rFonts w:ascii="Arial" w:hAnsi="Arial" w:cs="Arial"/>
          <w:color w:val="000000" w:themeColor="text1"/>
          <w:lang w:val="es-ES_tradnl"/>
        </w:rPr>
        <w:t xml:space="preserve"> </w:t>
      </w:r>
      <w:r>
        <w:rPr>
          <w:rFonts w:ascii="Arial" w:hAnsi="Arial" w:cs="Arial"/>
        </w:rPr>
        <w:t xml:space="preserve"> </w:t>
      </w:r>
    </w:p>
    <w:bookmarkEnd w:id="8"/>
    <w:p w14:paraId="479D1813" w14:textId="77777777" w:rsidR="0090563C" w:rsidRPr="00262D58" w:rsidRDefault="0090563C" w:rsidP="0090563C">
      <w:pPr>
        <w:pBdr>
          <w:top w:val="nil"/>
          <w:left w:val="nil"/>
          <w:bottom w:val="nil"/>
          <w:right w:val="nil"/>
          <w:between w:val="nil"/>
        </w:pBdr>
        <w:spacing w:after="0" w:line="276" w:lineRule="auto"/>
        <w:jc w:val="both"/>
        <w:rPr>
          <w:rFonts w:ascii="Arial" w:eastAsia="Arial" w:hAnsi="Arial" w:cs="Arial"/>
          <w:color w:val="000000"/>
        </w:rPr>
      </w:pPr>
    </w:p>
    <w:p w14:paraId="70B176E1" w14:textId="77777777" w:rsidR="0090563C" w:rsidRPr="00262D58" w:rsidRDefault="0090563C" w:rsidP="0090563C">
      <w:pPr>
        <w:widowControl w:val="0"/>
        <w:autoSpaceDE w:val="0"/>
        <w:autoSpaceDN w:val="0"/>
        <w:spacing w:after="0" w:line="276" w:lineRule="auto"/>
        <w:jc w:val="both"/>
        <w:rPr>
          <w:rFonts w:ascii="Arial" w:hAnsi="Arial" w:cs="Arial"/>
          <w:color w:val="000000" w:themeColor="text1"/>
          <w:lang w:val="es-ES_tradnl" w:bidi="es-ES"/>
        </w:rPr>
      </w:pPr>
      <w:r w:rsidRPr="00262D58">
        <w:rPr>
          <w:rFonts w:ascii="Arial" w:hAnsi="Arial" w:cs="Arial"/>
          <w:color w:val="000000" w:themeColor="text1"/>
          <w:lang w:val="es-ES_tradnl"/>
        </w:rPr>
        <w:t>Este concepto tiene el alcance previsto en el artículo 28 del Código de Procedimiento Administrativo y de lo Contencioso Administrativo.</w:t>
      </w:r>
    </w:p>
    <w:p w14:paraId="632A77BE" w14:textId="77777777" w:rsidR="0090563C" w:rsidRPr="00262D58" w:rsidRDefault="0090563C" w:rsidP="0090563C">
      <w:pPr>
        <w:widowControl w:val="0"/>
        <w:autoSpaceDE w:val="0"/>
        <w:autoSpaceDN w:val="0"/>
        <w:spacing w:after="0" w:line="276" w:lineRule="auto"/>
        <w:jc w:val="both"/>
        <w:rPr>
          <w:rFonts w:ascii="Arial" w:hAnsi="Arial" w:cs="Arial"/>
          <w:color w:val="000000" w:themeColor="text1"/>
          <w:lang w:val="es-ES_tradnl" w:bidi="es-ES"/>
        </w:rPr>
      </w:pPr>
    </w:p>
    <w:p w14:paraId="6F40A457" w14:textId="77777777" w:rsidR="0090563C" w:rsidRPr="00262D58" w:rsidRDefault="0090563C" w:rsidP="0090563C">
      <w:pPr>
        <w:tabs>
          <w:tab w:val="left" w:pos="426"/>
        </w:tabs>
        <w:spacing w:line="276" w:lineRule="auto"/>
        <w:jc w:val="both"/>
        <w:rPr>
          <w:rFonts w:ascii="Arial" w:eastAsia="Times New Roman" w:hAnsi="Arial" w:cs="Arial"/>
          <w:color w:val="000000" w:themeColor="text1"/>
        </w:rPr>
      </w:pPr>
      <w:r w:rsidRPr="00262D58">
        <w:rPr>
          <w:rFonts w:ascii="Arial" w:eastAsia="Times New Roman" w:hAnsi="Arial" w:cs="Arial"/>
          <w:color w:val="000000" w:themeColor="text1"/>
        </w:rPr>
        <w:t>Atentamente,</w:t>
      </w:r>
    </w:p>
    <w:p w14:paraId="1DED8229" w14:textId="41C6C1DB" w:rsidR="0090563C" w:rsidRPr="00262D58" w:rsidRDefault="008612A5" w:rsidP="0090563C">
      <w:pPr>
        <w:jc w:val="center"/>
        <w:rPr>
          <w:rFonts w:ascii="Arial" w:eastAsia="Times New Roman" w:hAnsi="Arial" w:cs="Arial"/>
          <w:lang w:eastAsia="es-CO"/>
        </w:rPr>
      </w:pPr>
      <w:r>
        <w:rPr>
          <w:noProof/>
        </w:rPr>
        <w:lastRenderedPageBreak/>
        <w:drawing>
          <wp:inline distT="0" distB="0" distL="0" distR="0" wp14:anchorId="0107CDA6" wp14:editId="2368F9AD">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90563C" w:rsidRPr="005E53FE" w14:paraId="2BF29EF1" w14:textId="77777777" w:rsidTr="2D63E10D">
        <w:trPr>
          <w:trHeight w:val="409"/>
        </w:trPr>
        <w:tc>
          <w:tcPr>
            <w:tcW w:w="817" w:type="dxa"/>
            <w:tcBorders>
              <w:top w:val="nil"/>
              <w:left w:val="nil"/>
              <w:bottom w:val="nil"/>
              <w:right w:val="nil"/>
            </w:tcBorders>
            <w:vAlign w:val="center"/>
            <w:hideMark/>
          </w:tcPr>
          <w:p w14:paraId="3BA72FBE"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7DF657E"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Juan David Montoya Penagos</w:t>
            </w:r>
          </w:p>
          <w:p w14:paraId="7045419A"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Contratista de la Subdirección de Gestión Contractual</w:t>
            </w:r>
          </w:p>
        </w:tc>
      </w:tr>
      <w:tr w:rsidR="0090563C" w:rsidRPr="005E53FE" w14:paraId="23D0CA0F" w14:textId="77777777" w:rsidTr="2D63E10D">
        <w:trPr>
          <w:trHeight w:val="409"/>
        </w:trPr>
        <w:tc>
          <w:tcPr>
            <w:tcW w:w="817" w:type="dxa"/>
            <w:tcBorders>
              <w:top w:val="nil"/>
              <w:left w:val="nil"/>
              <w:right w:val="nil"/>
            </w:tcBorders>
            <w:vAlign w:val="center"/>
          </w:tcPr>
          <w:p w14:paraId="15C84FE8" w14:textId="77777777" w:rsidR="0090563C" w:rsidRPr="00262D58" w:rsidRDefault="0090563C" w:rsidP="00065B28">
            <w:pPr>
              <w:jc w:val="both"/>
              <w:rPr>
                <w:rFonts w:ascii="Arial" w:hAnsi="Arial" w:cs="Arial"/>
                <w:sz w:val="16"/>
                <w:szCs w:val="16"/>
              </w:rPr>
            </w:pPr>
            <w:r w:rsidRPr="00262D58">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0AE2E47" w14:textId="77777777" w:rsidR="0090563C" w:rsidRPr="0049475D" w:rsidRDefault="0090563C" w:rsidP="00065B28">
            <w:pPr>
              <w:spacing w:after="0" w:line="240" w:lineRule="auto"/>
              <w:jc w:val="both"/>
              <w:rPr>
                <w:rFonts w:ascii="Arial" w:hAnsi="Arial" w:cs="Arial"/>
                <w:sz w:val="16"/>
                <w:szCs w:val="16"/>
              </w:rPr>
            </w:pPr>
            <w:r w:rsidRPr="0049475D">
              <w:rPr>
                <w:rFonts w:ascii="Arial" w:hAnsi="Arial" w:cs="Arial"/>
                <w:sz w:val="16"/>
                <w:szCs w:val="16"/>
              </w:rPr>
              <w:t xml:space="preserve">Juan David Cárdenas Cabeza </w:t>
            </w:r>
          </w:p>
          <w:p w14:paraId="75324011" w14:textId="2D68455C" w:rsidR="0090563C" w:rsidRPr="00262D58" w:rsidRDefault="0090563C" w:rsidP="2D63E10D">
            <w:pPr>
              <w:spacing w:after="0" w:line="240" w:lineRule="auto"/>
              <w:jc w:val="both"/>
              <w:rPr>
                <w:rFonts w:ascii="Arial" w:hAnsi="Arial" w:cs="Arial"/>
                <w:sz w:val="16"/>
                <w:szCs w:val="16"/>
              </w:rPr>
            </w:pPr>
            <w:r w:rsidRPr="2D63E10D">
              <w:rPr>
                <w:rFonts w:ascii="Arial" w:hAnsi="Arial" w:cs="Arial"/>
                <w:sz w:val="16"/>
                <w:szCs w:val="16"/>
              </w:rPr>
              <w:t>Contratista de la Subdirección de Gestión Contractual</w:t>
            </w:r>
          </w:p>
        </w:tc>
      </w:tr>
      <w:tr w:rsidR="0090563C" w:rsidRPr="005E53FE" w14:paraId="672C1C73" w14:textId="77777777" w:rsidTr="2D63E10D">
        <w:trPr>
          <w:trHeight w:val="389"/>
        </w:trPr>
        <w:tc>
          <w:tcPr>
            <w:tcW w:w="817" w:type="dxa"/>
            <w:tcBorders>
              <w:top w:val="nil"/>
              <w:left w:val="nil"/>
              <w:bottom w:val="nil"/>
              <w:right w:val="nil"/>
            </w:tcBorders>
            <w:vAlign w:val="center"/>
            <w:hideMark/>
          </w:tcPr>
          <w:p w14:paraId="1BE45AEC"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280CF6D"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Nohelia del Carmen Zawady Palacio</w:t>
            </w:r>
          </w:p>
          <w:p w14:paraId="42A24B36" w14:textId="77777777" w:rsidR="0090563C" w:rsidRPr="00262D58" w:rsidRDefault="0090563C" w:rsidP="00065B28">
            <w:pPr>
              <w:spacing w:after="0" w:line="240" w:lineRule="auto"/>
              <w:jc w:val="both"/>
              <w:rPr>
                <w:rFonts w:ascii="Arial" w:hAnsi="Arial" w:cs="Arial"/>
                <w:sz w:val="16"/>
                <w:szCs w:val="16"/>
              </w:rPr>
            </w:pPr>
            <w:r w:rsidRPr="00262D58">
              <w:rPr>
                <w:rFonts w:ascii="Arial" w:hAnsi="Arial" w:cs="Arial"/>
                <w:sz w:val="16"/>
                <w:szCs w:val="16"/>
              </w:rPr>
              <w:t>Subdirectora de Gestión Contractual ANCP – CCE</w:t>
            </w:r>
          </w:p>
        </w:tc>
      </w:tr>
      <w:bookmarkEnd w:id="2"/>
    </w:tbl>
    <w:p w14:paraId="224C4CB5" w14:textId="77777777" w:rsidR="0090563C" w:rsidRPr="00262D58" w:rsidRDefault="0090563C" w:rsidP="0090563C">
      <w:pPr>
        <w:tabs>
          <w:tab w:val="left" w:pos="0"/>
        </w:tabs>
        <w:spacing w:line="276" w:lineRule="auto"/>
        <w:contextualSpacing/>
        <w:jc w:val="both"/>
        <w:rPr>
          <w:rFonts w:ascii="Arial" w:hAnsi="Arial" w:cs="Arial"/>
          <w:lang w:val="es-MX"/>
        </w:rPr>
      </w:pPr>
    </w:p>
    <w:p w14:paraId="642788EE" w14:textId="77777777" w:rsidR="0090563C" w:rsidRPr="00262D58" w:rsidRDefault="0090563C" w:rsidP="0090563C">
      <w:pPr>
        <w:rPr>
          <w:rFonts w:ascii="Arial" w:hAnsi="Arial" w:cs="Arial"/>
        </w:rPr>
      </w:pPr>
    </w:p>
    <w:p w14:paraId="5BBCEFBF" w14:textId="77777777" w:rsidR="0090563C" w:rsidRPr="00262D58" w:rsidRDefault="0090563C" w:rsidP="0090563C">
      <w:pPr>
        <w:rPr>
          <w:rFonts w:ascii="Arial" w:hAnsi="Arial" w:cs="Arial"/>
        </w:rPr>
      </w:pPr>
      <w:r w:rsidRPr="00262D58">
        <w:rPr>
          <w:rFonts w:ascii="Arial" w:hAnsi="Arial" w:cs="Arial"/>
        </w:rPr>
        <w:t xml:space="preserve"> </w:t>
      </w:r>
    </w:p>
    <w:p w14:paraId="0F293BF4" w14:textId="4E630EB9" w:rsidR="00127233" w:rsidRPr="004F1E3C" w:rsidRDefault="00E245AB" w:rsidP="004F1E3C">
      <w:r w:rsidRPr="004F1E3C">
        <w:t xml:space="preserve"> </w:t>
      </w:r>
    </w:p>
    <w:sectPr w:rsidR="00127233" w:rsidRPr="004F1E3C"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CA35" w14:textId="77777777" w:rsidR="005D510F" w:rsidRDefault="005D510F" w:rsidP="004A1847">
      <w:pPr>
        <w:spacing w:after="0" w:line="240" w:lineRule="auto"/>
      </w:pPr>
      <w:r>
        <w:separator/>
      </w:r>
    </w:p>
  </w:endnote>
  <w:endnote w:type="continuationSeparator" w:id="0">
    <w:p w14:paraId="404991CE" w14:textId="77777777" w:rsidR="005D510F" w:rsidRDefault="005D510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F59C" w14:textId="77777777" w:rsidR="005D510F" w:rsidRDefault="005D510F" w:rsidP="004A1847">
      <w:pPr>
        <w:spacing w:after="0" w:line="240" w:lineRule="auto"/>
      </w:pPr>
      <w:r>
        <w:separator/>
      </w:r>
    </w:p>
  </w:footnote>
  <w:footnote w:type="continuationSeparator" w:id="0">
    <w:p w14:paraId="26D9311F" w14:textId="77777777" w:rsidR="005D510F" w:rsidRDefault="005D510F" w:rsidP="004A1847">
      <w:pPr>
        <w:spacing w:after="0" w:line="240" w:lineRule="auto"/>
      </w:pPr>
      <w:r>
        <w:continuationSeparator/>
      </w:r>
    </w:p>
  </w:footnote>
  <w:footnote w:id="1">
    <w:p w14:paraId="30A76A82" w14:textId="77777777" w:rsidR="0090563C" w:rsidRPr="007D2A19" w:rsidRDefault="0090563C" w:rsidP="0090563C">
      <w:pPr>
        <w:pStyle w:val="Textonotapie"/>
        <w:ind w:firstLine="708"/>
        <w:jc w:val="both"/>
        <w:rPr>
          <w:rFonts w:ascii="Arial" w:hAnsi="Arial" w:cs="Arial"/>
          <w:sz w:val="18"/>
          <w:szCs w:val="18"/>
        </w:rPr>
      </w:pPr>
      <w:r w:rsidRPr="007D2A19">
        <w:rPr>
          <w:rStyle w:val="Refdenotaalpie"/>
          <w:rFonts w:ascii="Arial" w:hAnsi="Arial" w:cs="Arial"/>
          <w:sz w:val="18"/>
          <w:szCs w:val="18"/>
        </w:rPr>
        <w:footnoteRef/>
      </w:r>
      <w:r w:rsidRPr="007D2A19">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D2A19">
          <w:rPr>
            <w:rStyle w:val="Hipervnculo"/>
            <w:rFonts w:ascii="Arial" w:hAnsi="Arial" w:cs="Arial"/>
            <w:sz w:val="18"/>
            <w:szCs w:val="18"/>
          </w:rPr>
          <w:t>https://relatoria.colombiacompra.gov.co/busqueda/conceptos</w:t>
        </w:r>
      </w:hyperlink>
      <w:r w:rsidRPr="007D2A19">
        <w:rPr>
          <w:rStyle w:val="Hipervnculo"/>
          <w:rFonts w:ascii="Arial" w:hAnsi="Arial" w:cs="Arial"/>
          <w:sz w:val="18"/>
          <w:szCs w:val="18"/>
        </w:rPr>
        <w:t xml:space="preserve">. </w:t>
      </w:r>
      <w:r w:rsidRPr="007D2A19">
        <w:rPr>
          <w:rFonts w:ascii="Arial" w:hAnsi="Arial" w:cs="Arial"/>
          <w:sz w:val="18"/>
          <w:szCs w:val="18"/>
          <w:shd w:val="clear" w:color="auto" w:fill="E6E6E6"/>
        </w:rPr>
        <w:t xml:space="preserve"> </w:t>
      </w:r>
    </w:p>
  </w:footnote>
  <w:footnote w:id="2">
    <w:p w14:paraId="21ADC77C"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color w:val="000000" w:themeColor="text1"/>
          <w:sz w:val="18"/>
          <w:szCs w:val="18"/>
          <w:lang w:val="es-ES"/>
        </w:rPr>
        <w:t>Artículos 2 al 29.</w:t>
      </w:r>
    </w:p>
  </w:footnote>
  <w:footnote w:id="3">
    <w:p w14:paraId="22CA93C0"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color w:val="000000" w:themeColor="text1"/>
          <w:sz w:val="18"/>
          <w:szCs w:val="18"/>
          <w:lang w:val="es-ES"/>
        </w:rPr>
        <w:t>Artículos 30 al 36.</w:t>
      </w:r>
    </w:p>
  </w:footnote>
  <w:footnote w:id="4">
    <w:p w14:paraId="5092ECF6"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color w:val="000000" w:themeColor="text1"/>
          <w:sz w:val="18"/>
          <w:szCs w:val="18"/>
          <w:lang w:val="es-ES"/>
        </w:rPr>
        <w:t>Artículos 37 al 45.</w:t>
      </w:r>
    </w:p>
  </w:footnote>
  <w:footnote w:id="5">
    <w:p w14:paraId="2F998CC2"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color w:val="000000" w:themeColor="text1"/>
          <w:sz w:val="18"/>
          <w:szCs w:val="18"/>
          <w:lang w:val="es-ES"/>
        </w:rPr>
        <w:t>Artículos 46 al 73.</w:t>
      </w:r>
    </w:p>
  </w:footnote>
  <w:footnote w:id="6">
    <w:p w14:paraId="30B9BDD4"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color w:val="000000" w:themeColor="text1"/>
          <w:sz w:val="18"/>
          <w:szCs w:val="18"/>
          <w:lang w:val="es-ES"/>
        </w:rPr>
        <w:t>Artículos 74 al 83.</w:t>
      </w:r>
    </w:p>
  </w:footnote>
  <w:footnote w:id="7">
    <w:p w14:paraId="60B42F34" w14:textId="77777777" w:rsidR="0090563C" w:rsidRPr="007D2A19" w:rsidRDefault="0090563C" w:rsidP="0090563C">
      <w:pPr>
        <w:pStyle w:val="Textonotapie"/>
        <w:ind w:firstLine="709"/>
        <w:jc w:val="both"/>
        <w:rPr>
          <w:rFonts w:ascii="Arial" w:hAnsi="Arial" w:cs="Arial"/>
          <w:color w:val="000000" w:themeColor="text1"/>
          <w:sz w:val="18"/>
          <w:szCs w:val="18"/>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w:t>
      </w:r>
      <w:r w:rsidRPr="007D2A19">
        <w:rPr>
          <w:rFonts w:ascii="Arial" w:hAnsi="Arial" w:cs="Arial"/>
          <w:bCs/>
          <w:color w:val="000000" w:themeColor="text1"/>
          <w:sz w:val="18"/>
          <w:szCs w:val="18"/>
        </w:rPr>
        <w:t xml:space="preserve">Esta política se justifica en la medida que: </w:t>
      </w:r>
      <w:r>
        <w:rPr>
          <w:rFonts w:ascii="Arial" w:hAnsi="Arial" w:cs="Arial"/>
          <w:bCs/>
          <w:color w:val="000000" w:themeColor="text1"/>
          <w:sz w:val="18"/>
          <w:szCs w:val="18"/>
        </w:rPr>
        <w:t>“</w:t>
      </w:r>
      <w:r w:rsidRPr="007D2A19">
        <w:rPr>
          <w:rFonts w:ascii="Arial" w:hAnsi="Arial" w:cs="Arial"/>
          <w:bCs/>
          <w:color w:val="000000" w:themeColor="text1"/>
          <w:sz w:val="18"/>
          <w:szCs w:val="18"/>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color w:val="000000" w:themeColor="text1"/>
          <w:sz w:val="18"/>
          <w:szCs w:val="18"/>
        </w:rPr>
        <w:t>”</w:t>
      </w:r>
      <w:r w:rsidRPr="007D2A19">
        <w:rPr>
          <w:rFonts w:ascii="Arial" w:hAnsi="Arial" w:cs="Arial"/>
          <w:bCs/>
          <w:color w:val="000000" w:themeColor="text1"/>
          <w:sz w:val="18"/>
          <w:szCs w:val="18"/>
        </w:rPr>
        <w:t xml:space="preserve"> (Cfr. </w:t>
      </w:r>
      <w:r w:rsidRPr="007D2A19">
        <w:rPr>
          <w:rFonts w:ascii="Arial" w:hAnsi="Arial" w:cs="Arial"/>
          <w:color w:val="000000" w:themeColor="text1"/>
          <w:sz w:val="18"/>
          <w:szCs w:val="18"/>
        </w:rPr>
        <w:t xml:space="preserve">CONSEJO NACIONAL DE POLÍTICA ECONÓMICA Y SOCIAL. Documento 3956 del 8 de enero de 2019: </w:t>
      </w:r>
      <w:r>
        <w:rPr>
          <w:rFonts w:ascii="Arial" w:hAnsi="Arial" w:cs="Arial"/>
          <w:color w:val="000000" w:themeColor="text1"/>
          <w:sz w:val="18"/>
          <w:szCs w:val="18"/>
        </w:rPr>
        <w:t>“</w:t>
      </w:r>
      <w:r w:rsidRPr="007D2A19">
        <w:rPr>
          <w:rFonts w:ascii="Arial" w:hAnsi="Arial" w:cs="Arial"/>
          <w:color w:val="000000" w:themeColor="text1"/>
          <w:sz w:val="18"/>
          <w:szCs w:val="18"/>
        </w:rPr>
        <w:t>Política de formalización empresarial</w:t>
      </w:r>
      <w:r>
        <w:rPr>
          <w:rFonts w:ascii="Arial" w:hAnsi="Arial" w:cs="Arial"/>
          <w:color w:val="000000" w:themeColor="text1"/>
          <w:sz w:val="18"/>
          <w:szCs w:val="18"/>
        </w:rPr>
        <w:t>”</w:t>
      </w:r>
      <w:r w:rsidRPr="007D2A19">
        <w:rPr>
          <w:rFonts w:ascii="Arial" w:hAnsi="Arial" w:cs="Arial"/>
          <w:color w:val="000000" w:themeColor="text1"/>
          <w:sz w:val="18"/>
          <w:szCs w:val="18"/>
        </w:rPr>
        <w:t xml:space="preserve">. Archivo consultado el 8 de febrero de 2021 en la página web </w:t>
      </w:r>
      <w:hyperlink r:id="rId2" w:history="1">
        <w:r w:rsidRPr="007D2A19">
          <w:rPr>
            <w:rStyle w:val="Hipervnculo"/>
            <w:rFonts w:ascii="Arial" w:hAnsi="Arial" w:cs="Arial"/>
            <w:color w:val="000000" w:themeColor="text1"/>
            <w:sz w:val="18"/>
            <w:szCs w:val="18"/>
          </w:rPr>
          <w:t>https://colaboracion.dnp.gov.co/CDT/Conpes/Econ%C3%B3micos/3956.pdf</w:t>
        </w:r>
      </w:hyperlink>
      <w:r w:rsidRPr="007D2A19">
        <w:rPr>
          <w:rFonts w:ascii="Arial" w:hAnsi="Arial" w:cs="Arial"/>
          <w:color w:val="000000" w:themeColor="text1"/>
          <w:sz w:val="18"/>
          <w:szCs w:val="18"/>
        </w:rPr>
        <w:t xml:space="preserve">). </w:t>
      </w:r>
    </w:p>
  </w:footnote>
  <w:footnote w:id="8">
    <w:p w14:paraId="7B83B8C6" w14:textId="77777777" w:rsidR="0090563C" w:rsidRPr="007D2A19" w:rsidRDefault="0090563C" w:rsidP="0090563C">
      <w:pPr>
        <w:pStyle w:val="Textonotapie"/>
        <w:ind w:firstLine="709"/>
        <w:jc w:val="both"/>
        <w:rPr>
          <w:rFonts w:ascii="Arial" w:hAnsi="Arial" w:cs="Arial"/>
          <w:color w:val="000000" w:themeColor="text1"/>
          <w:sz w:val="18"/>
          <w:szCs w:val="18"/>
          <w:lang w:val="es-ES"/>
        </w:rPr>
      </w:pPr>
      <w:r w:rsidRPr="007D2A19">
        <w:rPr>
          <w:rStyle w:val="Refdenotaalpie"/>
          <w:rFonts w:ascii="Arial" w:hAnsi="Arial" w:cs="Arial"/>
          <w:color w:val="000000" w:themeColor="text1"/>
          <w:sz w:val="18"/>
          <w:szCs w:val="18"/>
        </w:rPr>
        <w:footnoteRef/>
      </w:r>
      <w:r w:rsidRPr="007D2A19">
        <w:rPr>
          <w:rFonts w:ascii="Arial" w:hAnsi="Arial" w:cs="Arial"/>
          <w:color w:val="000000" w:themeColor="text1"/>
          <w:sz w:val="18"/>
          <w:szCs w:val="18"/>
        </w:rPr>
        <w:t xml:space="preserve"> CONGRESO DE LA REPÚBLICA. Gaceta No. 670 del 11 de agosto de 2020. Exposición de motivos del Proyecto de Ley No. 122 de 2020 Cámara. p. 13. </w:t>
      </w:r>
    </w:p>
  </w:footnote>
  <w:footnote w:id="9">
    <w:p w14:paraId="075490CC" w14:textId="77777777" w:rsidR="0090563C" w:rsidRPr="007D2A19" w:rsidRDefault="0090563C" w:rsidP="0090563C">
      <w:pPr>
        <w:spacing w:after="0"/>
        <w:ind w:firstLine="709"/>
        <w:jc w:val="both"/>
        <w:rPr>
          <w:rFonts w:ascii="Arial" w:hAnsi="Arial" w:cs="Arial"/>
          <w:sz w:val="18"/>
          <w:szCs w:val="18"/>
        </w:rPr>
      </w:pPr>
      <w:r w:rsidRPr="007D2A19">
        <w:rPr>
          <w:rStyle w:val="Refdenotaalpie"/>
          <w:rFonts w:ascii="Arial" w:hAnsi="Arial" w:cs="Arial"/>
          <w:sz w:val="18"/>
          <w:szCs w:val="18"/>
        </w:rPr>
        <w:footnoteRef/>
      </w:r>
      <w:r w:rsidRPr="007D2A19">
        <w:rPr>
          <w:rFonts w:ascii="Arial" w:hAnsi="Arial" w:cs="Arial"/>
          <w:sz w:val="18"/>
          <w:szCs w:val="18"/>
        </w:rPr>
        <w:t xml:space="preserve"> </w:t>
      </w:r>
      <w:r w:rsidRPr="007D2A19">
        <w:rPr>
          <w:rFonts w:ascii="Arial" w:hAnsi="Arial" w:cs="Arial"/>
          <w:sz w:val="18"/>
          <w:szCs w:val="18"/>
          <w:lang w:val="es-ES"/>
        </w:rPr>
        <w:t xml:space="preserve">En efecto, el artículo 34 de la Ley 2069 de 2020 establece: </w:t>
      </w:r>
      <w:r>
        <w:rPr>
          <w:rFonts w:ascii="Arial" w:hAnsi="Arial" w:cs="Arial"/>
          <w:sz w:val="18"/>
          <w:szCs w:val="18"/>
          <w:lang w:val="es-ES"/>
        </w:rPr>
        <w:t>“</w:t>
      </w:r>
      <w:r w:rsidRPr="007D2A19">
        <w:rPr>
          <w:rFonts w:ascii="Arial" w:hAnsi="Arial" w:cs="Arial"/>
          <w:sz w:val="18"/>
          <w:szCs w:val="18"/>
        </w:rPr>
        <w:t xml:space="preserve">Modifíquese el artículo 12 de la Ley 1150 de 2007, el cual quedará así: </w:t>
      </w:r>
    </w:p>
    <w:p w14:paraId="5243A82B"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08974D18"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2F755288"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En todo caso, se deberá garantizar la satisfacción de las condiciones técnicas y económicas requeridas en el Proceso de Contratación.</w:t>
      </w:r>
    </w:p>
    <w:p w14:paraId="42EC09D1"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bookmarkStart w:id="7" w:name="_Hlk104884979"/>
      <w:r w:rsidRPr="007D2A19">
        <w:rPr>
          <w:rFonts w:ascii="Arial" w:eastAsia="Calibri" w:hAnsi="Arial" w:cs="Arial"/>
          <w:color w:val="000000" w:themeColor="text1"/>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bookmarkEnd w:id="7"/>
      <w:r w:rsidRPr="007D2A19">
        <w:rPr>
          <w:rFonts w:ascii="Arial" w:eastAsia="Calibri" w:hAnsi="Arial" w:cs="Arial"/>
          <w:color w:val="000000" w:themeColor="text1"/>
          <w:sz w:val="18"/>
          <w:szCs w:val="18"/>
          <w:lang w:val="es-ES_tradnl"/>
        </w:rPr>
        <w:t>.</w:t>
      </w:r>
    </w:p>
    <w:p w14:paraId="74416BAB"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0CCC69AC"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8FEAA5A" w14:textId="77777777" w:rsidR="0090563C" w:rsidRPr="007D2A19" w:rsidRDefault="0090563C" w:rsidP="0090563C">
      <w:pPr>
        <w:spacing w:after="0"/>
        <w:ind w:firstLine="709"/>
        <w:jc w:val="both"/>
        <w:rPr>
          <w:rFonts w:ascii="Arial" w:eastAsia="Calibri" w:hAnsi="Arial" w:cs="Arial"/>
          <w:color w:val="000000" w:themeColor="text1"/>
          <w:sz w:val="18"/>
          <w:szCs w:val="18"/>
          <w:lang w:val="es-ES_tradnl"/>
        </w:rPr>
      </w:pPr>
      <w:r w:rsidRPr="007D2A19">
        <w:rPr>
          <w:rFonts w:ascii="Arial" w:eastAsia="Calibri" w:hAnsi="Arial" w:cs="Arial"/>
          <w:color w:val="000000" w:themeColor="text1"/>
          <w:sz w:val="18"/>
          <w:szCs w:val="18"/>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r>
        <w:rPr>
          <w:rFonts w:ascii="Arial" w:eastAsia="Calibri" w:hAnsi="Arial" w:cs="Arial"/>
          <w:color w:val="000000" w:themeColor="text1"/>
          <w:sz w:val="18"/>
          <w:szCs w:val="18"/>
          <w:lang w:val="es-ES_tradnl"/>
        </w:rPr>
        <w:t>”.</w:t>
      </w:r>
      <w:r w:rsidRPr="007D2A19">
        <w:rPr>
          <w:rFonts w:ascii="Arial" w:eastAsia="Calibri" w:hAnsi="Arial" w:cs="Arial"/>
          <w:color w:val="000000" w:themeColor="text1"/>
          <w:sz w:val="18"/>
          <w:szCs w:val="18"/>
          <w:lang w:val="es-ES_tradnl"/>
        </w:rPr>
        <w:t xml:space="preserve">  </w:t>
      </w:r>
    </w:p>
  </w:footnote>
  <w:footnote w:id="10">
    <w:p w14:paraId="7CDA0161" w14:textId="77777777" w:rsidR="0090563C" w:rsidRPr="007D2A19" w:rsidRDefault="0090563C" w:rsidP="0090563C">
      <w:pPr>
        <w:spacing w:after="0"/>
        <w:ind w:firstLine="709"/>
        <w:jc w:val="both"/>
        <w:rPr>
          <w:rFonts w:ascii="Arial" w:hAnsi="Arial" w:cs="Arial"/>
          <w:sz w:val="18"/>
          <w:szCs w:val="18"/>
          <w:lang w:val="es-ES"/>
        </w:rPr>
      </w:pPr>
      <w:r w:rsidRPr="007D2A19">
        <w:rPr>
          <w:rStyle w:val="Refdenotaalpie"/>
          <w:rFonts w:ascii="Arial" w:hAnsi="Arial" w:cs="Arial"/>
          <w:sz w:val="18"/>
          <w:szCs w:val="18"/>
        </w:rPr>
        <w:footnoteRef/>
      </w:r>
      <w:r w:rsidRPr="007D2A19">
        <w:rPr>
          <w:rFonts w:ascii="Arial" w:hAnsi="Arial" w:cs="Arial"/>
          <w:sz w:val="18"/>
          <w:szCs w:val="18"/>
        </w:rPr>
        <w:t xml:space="preserve"> </w:t>
      </w:r>
      <w:r w:rsidRPr="007D2A19">
        <w:rPr>
          <w:rFonts w:ascii="Arial" w:hAnsi="Arial" w:cs="Arial"/>
          <w:sz w:val="18"/>
          <w:szCs w:val="18"/>
          <w:lang w:val="es-ES"/>
        </w:rPr>
        <w:t>Corte Constitucional. Sentencia C-502 de 2012. Magistrada Ponente: Adriana María Guillén Arango.</w:t>
      </w:r>
    </w:p>
  </w:footnote>
  <w:footnote w:id="11">
    <w:p w14:paraId="5273D967" w14:textId="77777777" w:rsidR="0090563C" w:rsidRPr="007D2A19" w:rsidRDefault="0090563C" w:rsidP="0090563C">
      <w:pPr>
        <w:pStyle w:val="Textonotapie"/>
        <w:ind w:firstLine="708"/>
        <w:jc w:val="both"/>
        <w:rPr>
          <w:rFonts w:ascii="Arial" w:eastAsia="Times New Roman" w:hAnsi="Arial" w:cs="Arial"/>
          <w:sz w:val="18"/>
          <w:szCs w:val="18"/>
          <w:lang w:val="es-ES" w:eastAsia="es-ES_tradnl"/>
        </w:rPr>
      </w:pPr>
      <w:r w:rsidRPr="007D2A19">
        <w:rPr>
          <w:rStyle w:val="Refdenotaalpie"/>
          <w:rFonts w:ascii="Arial" w:hAnsi="Arial" w:cs="Arial"/>
          <w:sz w:val="18"/>
          <w:szCs w:val="18"/>
        </w:rPr>
        <w:footnoteRef/>
      </w:r>
      <w:r w:rsidRPr="007D2A19">
        <w:rPr>
          <w:rFonts w:ascii="Arial" w:hAnsi="Arial" w:cs="Arial"/>
          <w:sz w:val="18"/>
          <w:szCs w:val="18"/>
        </w:rPr>
        <w:t xml:space="preserve"> </w:t>
      </w:r>
      <w:r w:rsidRPr="007D2A19">
        <w:rPr>
          <w:rFonts w:ascii="Arial" w:eastAsia="Times New Roman" w:hAnsi="Arial" w:cs="Arial"/>
          <w:sz w:val="18"/>
          <w:szCs w:val="18"/>
          <w:lang w:val="es-ES" w:eastAsia="es-ES_tradnl"/>
        </w:rPr>
        <w:t xml:space="preserve">DNP, Memoria Justificativa del proyecto de decreto de 24/09/2021, publicada en página web: </w:t>
      </w:r>
      <w:hyperlink r:id="rId3" w:history="1">
        <w:r w:rsidRPr="00153FC9">
          <w:rPr>
            <w:rStyle w:val="Hipervnculo"/>
            <w:rFonts w:ascii="Arial" w:eastAsia="Times New Roman" w:hAnsi="Arial" w:cs="Arial"/>
            <w:sz w:val="18"/>
            <w:szCs w:val="18"/>
            <w:lang w:val="es-ES" w:eastAsia="es-ES_tradnl"/>
          </w:rPr>
          <w:t>https://colaboracion.dnp.gov.co/CDT/Normatividad/SEGUNDA%20PUBLICACI%c3%93N%20-%20MEMORIA%20JUSTIFICATIVA%2024_09_2021.pdf</w:t>
        </w:r>
      </w:hyperlink>
      <w:r>
        <w:rPr>
          <w:rFonts w:ascii="Arial" w:eastAsia="Times New Roman" w:hAnsi="Arial" w:cs="Arial"/>
          <w:sz w:val="18"/>
          <w:szCs w:val="18"/>
          <w:lang w:val="es-ES" w:eastAsia="es-ES_tradnl"/>
        </w:rPr>
        <w:t xml:space="preserve">. </w:t>
      </w:r>
      <w:r w:rsidRPr="007D2A19">
        <w:rPr>
          <w:rFonts w:ascii="Arial" w:eastAsia="Times New Roman" w:hAnsi="Arial" w:cs="Arial"/>
          <w:sz w:val="18"/>
          <w:szCs w:val="18"/>
          <w:lang w:val="es-ES" w:eastAsia="es-ES_tradnl"/>
        </w:rPr>
        <w:t xml:space="preserve">  </w:t>
      </w:r>
    </w:p>
  </w:footnote>
  <w:footnote w:id="12">
    <w:p w14:paraId="4168254D" w14:textId="77777777" w:rsidR="0090563C" w:rsidRPr="007D2A19" w:rsidRDefault="0090563C" w:rsidP="0090563C">
      <w:pPr>
        <w:pStyle w:val="Textonotapie"/>
        <w:ind w:firstLine="708"/>
        <w:jc w:val="both"/>
        <w:rPr>
          <w:rFonts w:ascii="Arial" w:hAnsi="Arial" w:cs="Arial"/>
          <w:sz w:val="18"/>
          <w:szCs w:val="18"/>
        </w:rPr>
      </w:pPr>
      <w:r w:rsidRPr="007D2A19">
        <w:rPr>
          <w:rStyle w:val="Refdenotaalpie"/>
          <w:rFonts w:ascii="Arial" w:hAnsi="Arial" w:cs="Arial"/>
          <w:sz w:val="18"/>
          <w:szCs w:val="18"/>
        </w:rPr>
        <w:footnoteRef/>
      </w:r>
      <w:r w:rsidRPr="007D2A19">
        <w:rPr>
          <w:rFonts w:ascii="Arial" w:hAnsi="Arial" w:cs="Arial"/>
          <w:sz w:val="18"/>
          <w:szCs w:val="18"/>
        </w:rPr>
        <w:t xml:space="preserve"> En efecto, </w:t>
      </w:r>
      <w:r>
        <w:rPr>
          <w:rFonts w:ascii="Arial" w:hAnsi="Arial" w:cs="Arial"/>
          <w:sz w:val="18"/>
          <w:szCs w:val="18"/>
        </w:rPr>
        <w:t>“</w:t>
      </w:r>
      <w:r w:rsidRPr="007D2A19">
        <w:rPr>
          <w:rFonts w:ascii="Arial" w:hAnsi="Arial" w:cs="Arial"/>
          <w:sz w:val="18"/>
          <w:szCs w:val="18"/>
        </w:rPr>
        <w:t xml:space="preserve">En el caso de la determinación </w:t>
      </w:r>
      <w:r w:rsidRPr="007D2A19">
        <w:rPr>
          <w:rFonts w:ascii="Arial" w:hAnsi="Arial" w:cs="Arial"/>
          <w:i/>
          <w:iCs/>
          <w:sz w:val="18"/>
          <w:szCs w:val="18"/>
        </w:rPr>
        <w:t>precisa</w:t>
      </w:r>
      <w:r w:rsidRPr="007D2A19">
        <w:rPr>
          <w:rFonts w:ascii="Arial" w:hAnsi="Arial" w:cs="Arial"/>
          <w:sz w:val="18"/>
          <w:szCs w:val="18"/>
        </w:rPr>
        <w:t xml:space="preserve"> del interés público, la Administración no tiene potestad alguna de valoración de éste en orden a la oportunidad de actuar o no, por lo que su actividad se llama </w:t>
      </w:r>
      <w:r w:rsidRPr="007D2A19">
        <w:rPr>
          <w:rFonts w:ascii="Arial" w:hAnsi="Arial" w:cs="Arial"/>
          <w:i/>
          <w:iCs/>
          <w:sz w:val="18"/>
          <w:szCs w:val="18"/>
        </w:rPr>
        <w:t>reglada</w:t>
      </w:r>
      <w:r w:rsidRPr="007D2A19">
        <w:rPr>
          <w:rFonts w:ascii="Arial" w:hAnsi="Arial" w:cs="Arial"/>
          <w:sz w:val="18"/>
          <w:szCs w:val="18"/>
        </w:rPr>
        <w:t xml:space="preserve">. En cambio, en el caso de determinación </w:t>
      </w:r>
      <w:r w:rsidRPr="007D2A19">
        <w:rPr>
          <w:rFonts w:ascii="Arial" w:hAnsi="Arial" w:cs="Arial"/>
          <w:i/>
          <w:iCs/>
          <w:sz w:val="18"/>
          <w:szCs w:val="18"/>
        </w:rPr>
        <w:t>imprecisa</w:t>
      </w:r>
      <w:r w:rsidRPr="007D2A19">
        <w:rPr>
          <w:rFonts w:ascii="Arial" w:hAnsi="Arial" w:cs="Arial"/>
          <w:sz w:val="18"/>
          <w:szCs w:val="18"/>
        </w:rPr>
        <w:t xml:space="preserve">, a la Administración le queda de cualquier modo, la potestad de valorar la oportunidad de actuar o no, potestad que es mas o menos amplia según los casos […]. Tal potestad de apreciación del interés público con el fin de decidir la conveniencia o no de la acción administrativa se llama potestad </w:t>
      </w:r>
      <w:r w:rsidRPr="007D2A19">
        <w:rPr>
          <w:rFonts w:ascii="Arial" w:hAnsi="Arial" w:cs="Arial"/>
          <w:i/>
          <w:iCs/>
          <w:sz w:val="18"/>
          <w:szCs w:val="18"/>
        </w:rPr>
        <w:t>discrecional</w:t>
      </w:r>
      <w:r w:rsidRPr="007D2A19">
        <w:rPr>
          <w:rFonts w:ascii="Arial" w:hAnsi="Arial" w:cs="Arial"/>
          <w:sz w:val="18"/>
          <w:szCs w:val="18"/>
        </w:rPr>
        <w:t xml:space="preserve"> o </w:t>
      </w:r>
      <w:r w:rsidRPr="007D2A19">
        <w:rPr>
          <w:rFonts w:ascii="Arial" w:hAnsi="Arial" w:cs="Arial"/>
          <w:i/>
          <w:iCs/>
          <w:sz w:val="18"/>
          <w:szCs w:val="18"/>
        </w:rPr>
        <w:t>discrecionalidad</w:t>
      </w:r>
      <w:r w:rsidRPr="007D2A19">
        <w:rPr>
          <w:rFonts w:ascii="Arial" w:hAnsi="Arial" w:cs="Arial"/>
          <w:sz w:val="18"/>
          <w:szCs w:val="18"/>
        </w:rPr>
        <w:t xml:space="preserve"> […]</w:t>
      </w:r>
      <w:r>
        <w:rPr>
          <w:rFonts w:ascii="Arial" w:hAnsi="Arial" w:cs="Arial"/>
          <w:sz w:val="18"/>
          <w:szCs w:val="18"/>
        </w:rPr>
        <w:t>”</w:t>
      </w:r>
      <w:r w:rsidRPr="007D2A19">
        <w:rPr>
          <w:rFonts w:ascii="Arial" w:hAnsi="Arial" w:cs="Arial"/>
          <w:sz w:val="18"/>
          <w:szCs w:val="18"/>
        </w:rPr>
        <w:t xml:space="preserve"> (ALESSI, Renato. Instituciones de derecho administrativo. Tomo I. Tercera Edición. Barcelona: Bosch, 1970.  p. 118. Énfasis dentro del texto)    </w:t>
      </w:r>
    </w:p>
  </w:footnote>
  <w:footnote w:id="13">
    <w:p w14:paraId="536BCF7E" w14:textId="77777777" w:rsidR="0090563C" w:rsidRPr="007D2A19" w:rsidRDefault="0090563C" w:rsidP="0090563C">
      <w:pPr>
        <w:pStyle w:val="Textonotapie"/>
        <w:ind w:firstLine="708"/>
        <w:jc w:val="both"/>
        <w:rPr>
          <w:rFonts w:ascii="Arial" w:hAnsi="Arial" w:cs="Arial"/>
          <w:sz w:val="18"/>
          <w:szCs w:val="18"/>
        </w:rPr>
      </w:pPr>
      <w:r w:rsidRPr="007D2A19">
        <w:rPr>
          <w:rStyle w:val="Refdenotaalpie"/>
          <w:rFonts w:ascii="Arial" w:hAnsi="Arial" w:cs="Arial"/>
          <w:sz w:val="18"/>
          <w:szCs w:val="18"/>
        </w:rPr>
        <w:footnoteRef/>
      </w:r>
      <w:r w:rsidRPr="007D2A19">
        <w:rPr>
          <w:rFonts w:ascii="Arial" w:hAnsi="Arial" w:cs="Arial"/>
          <w:sz w:val="18"/>
          <w:szCs w:val="18"/>
        </w:rPr>
        <w:t xml:space="preserve"> </w:t>
      </w:r>
      <w:r w:rsidRPr="007D2A19">
        <w:rPr>
          <w:rFonts w:ascii="Arial" w:hAnsi="Arial" w:cs="Arial"/>
          <w:sz w:val="18"/>
          <w:szCs w:val="18"/>
          <w:lang w:val="es-CO"/>
        </w:rPr>
        <w:t>SÁNCHEZ MORÓN, Miguel. Discrecionalidad administrativa y control judicial. Madrid: Tecnos, 1994. p.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70788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B760D"/>
    <w:rsid w:val="000D0334"/>
    <w:rsid w:val="000F6486"/>
    <w:rsid w:val="00125105"/>
    <w:rsid w:val="00127233"/>
    <w:rsid w:val="001E4177"/>
    <w:rsid w:val="0026002C"/>
    <w:rsid w:val="002951A0"/>
    <w:rsid w:val="002962BC"/>
    <w:rsid w:val="002A093D"/>
    <w:rsid w:val="002A49AC"/>
    <w:rsid w:val="002A64FD"/>
    <w:rsid w:val="002C7A84"/>
    <w:rsid w:val="003448F4"/>
    <w:rsid w:val="003A779E"/>
    <w:rsid w:val="003D0F4D"/>
    <w:rsid w:val="003E0499"/>
    <w:rsid w:val="003F3941"/>
    <w:rsid w:val="00400548"/>
    <w:rsid w:val="004A1847"/>
    <w:rsid w:val="004A305D"/>
    <w:rsid w:val="004B5BFB"/>
    <w:rsid w:val="004F1E3C"/>
    <w:rsid w:val="004F21C4"/>
    <w:rsid w:val="004F685F"/>
    <w:rsid w:val="005566E8"/>
    <w:rsid w:val="00574867"/>
    <w:rsid w:val="005C5CDC"/>
    <w:rsid w:val="005D476C"/>
    <w:rsid w:val="005D510F"/>
    <w:rsid w:val="006219F8"/>
    <w:rsid w:val="00665D70"/>
    <w:rsid w:val="00694029"/>
    <w:rsid w:val="006B51F4"/>
    <w:rsid w:val="00706C16"/>
    <w:rsid w:val="0074748E"/>
    <w:rsid w:val="00756841"/>
    <w:rsid w:val="007649AB"/>
    <w:rsid w:val="007833AC"/>
    <w:rsid w:val="00786AA7"/>
    <w:rsid w:val="007B7171"/>
    <w:rsid w:val="007C3DC2"/>
    <w:rsid w:val="007E5497"/>
    <w:rsid w:val="00806F5F"/>
    <w:rsid w:val="00820278"/>
    <w:rsid w:val="008612A5"/>
    <w:rsid w:val="008843B6"/>
    <w:rsid w:val="00891928"/>
    <w:rsid w:val="008A446D"/>
    <w:rsid w:val="008D4585"/>
    <w:rsid w:val="008F0EA7"/>
    <w:rsid w:val="009048FA"/>
    <w:rsid w:val="0090563C"/>
    <w:rsid w:val="00923EEF"/>
    <w:rsid w:val="009419F9"/>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2D63E10D"/>
    <w:rsid w:val="32E74D24"/>
    <w:rsid w:val="334E73CE"/>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90563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90563C"/>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20888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Normatividad/SEGUNDA%20PUBLICACI%c3%93N%20-%20MEMORIA%20JUSTIFICATIVA%2024_09_2021.pdf"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D9CF6-F113-486C-B18F-A69F547AF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4824</Words>
  <Characters>26538</Characters>
  <Application>Microsoft Office Word</Application>
  <DocSecurity>0</DocSecurity>
  <Lines>221</Lines>
  <Paragraphs>62</Paragraphs>
  <ScaleCrop>false</ScaleCrop>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2023-11-14T22:55:00Z</dcterms:created>
  <dcterms:modified xsi:type="dcterms:W3CDTF">2023-11-14T22:55:00Z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