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AD41" w14:textId="77777777" w:rsidR="00206735" w:rsidRPr="00481FE5" w:rsidRDefault="00206735" w:rsidP="00206735">
      <w:pPr>
        <w:spacing w:after="0" w:line="240" w:lineRule="auto"/>
        <w:contextualSpacing/>
        <w:jc w:val="both"/>
        <w:rPr>
          <w:rFonts w:ascii="Arial" w:eastAsia="Calibri" w:hAnsi="Arial" w:cs="Arial"/>
          <w:b/>
          <w:sz w:val="20"/>
          <w:szCs w:val="20"/>
          <w:lang w:val="es-ES_tradnl" w:eastAsia="es-ES_tradnl"/>
        </w:rPr>
      </w:pPr>
      <w:bookmarkStart w:id="0" w:name="_Hlk94281581"/>
      <w:bookmarkStart w:id="1" w:name="_Hlk102489058"/>
      <w:bookmarkStart w:id="2" w:name="_Hlk34951122"/>
    </w:p>
    <w:p w14:paraId="35EE5F12" w14:textId="77777777" w:rsidR="00206735" w:rsidRPr="00481FE5" w:rsidRDefault="00206735" w:rsidP="00206735">
      <w:pPr>
        <w:spacing w:after="0" w:line="240" w:lineRule="auto"/>
        <w:contextualSpacing/>
        <w:jc w:val="both"/>
        <w:rPr>
          <w:rFonts w:ascii="Arial" w:eastAsia="Calibri" w:hAnsi="Arial" w:cs="Arial"/>
          <w:b/>
          <w:lang w:val="es-ES_tradnl"/>
        </w:rPr>
      </w:pPr>
      <w:r w:rsidRPr="00481FE5">
        <w:rPr>
          <w:rFonts w:ascii="Arial" w:eastAsia="Calibri" w:hAnsi="Arial" w:cs="Arial"/>
          <w:b/>
          <w:lang w:val="es-ES_tradnl" w:eastAsia="es-ES_tradnl"/>
        </w:rPr>
        <w:t xml:space="preserve">DOCUMENTOS TIPO – Fundamento normativo – </w:t>
      </w:r>
      <w:r w:rsidRPr="00481FE5">
        <w:rPr>
          <w:rFonts w:ascii="Arial" w:eastAsia="Calibri" w:hAnsi="Arial" w:cs="Arial"/>
          <w:b/>
          <w:lang w:val="es-ES_tradnl"/>
        </w:rPr>
        <w:t xml:space="preserve">Ley 1882 de 2018 </w:t>
      </w:r>
    </w:p>
    <w:p w14:paraId="14C201D2" w14:textId="77777777" w:rsidR="00206735" w:rsidRPr="00481FE5" w:rsidRDefault="00206735" w:rsidP="00206735">
      <w:pPr>
        <w:spacing w:after="0" w:line="240" w:lineRule="auto"/>
        <w:contextualSpacing/>
        <w:jc w:val="both"/>
        <w:rPr>
          <w:rFonts w:ascii="Arial" w:eastAsia="Times New Roman" w:hAnsi="Arial" w:cs="Arial"/>
          <w:sz w:val="20"/>
          <w:szCs w:val="20"/>
          <w:lang w:val="es-ES_tradnl" w:eastAsia="es-ES_tradnl"/>
        </w:rPr>
      </w:pPr>
    </w:p>
    <w:p w14:paraId="71CC8551" w14:textId="77777777" w:rsidR="00206735" w:rsidRPr="00481FE5" w:rsidRDefault="00206735" w:rsidP="00206735">
      <w:pPr>
        <w:spacing w:after="0" w:line="240" w:lineRule="auto"/>
        <w:contextualSpacing/>
        <w:jc w:val="both"/>
        <w:rPr>
          <w:rFonts w:ascii="Arial" w:eastAsia="Calibri" w:hAnsi="Arial" w:cs="Arial"/>
          <w:sz w:val="20"/>
          <w:szCs w:val="20"/>
          <w:lang w:val="es-ES_tradnl" w:eastAsia="es-ES_tradnl"/>
        </w:rPr>
      </w:pPr>
      <w:r w:rsidRPr="00481FE5">
        <w:rPr>
          <w:rFonts w:ascii="Arial" w:eastAsia="Times New Roman" w:hAnsi="Arial" w:cs="Arial"/>
          <w:sz w:val="20"/>
          <w:szCs w:val="20"/>
          <w:lang w:val="es-ES_tradnl" w:eastAsia="es-ES_tradnl"/>
        </w:rPr>
        <w:t xml:space="preserve">[…] </w:t>
      </w:r>
      <w:r w:rsidRPr="00481FE5">
        <w:rPr>
          <w:rFonts w:ascii="Arial" w:eastAsia="Calibri" w:hAnsi="Arial" w:cs="Arial"/>
          <w:sz w:val="20"/>
          <w:szCs w:val="20"/>
          <w:lang w:val="es-ES_tradnl" w:eastAsia="es-ES_tradnl"/>
        </w:rPr>
        <w:t xml:space="preserve">el artículo 4 de la Ley 1882 de 2018 se convierte en el antecedente más relevante respecto a los documentos tipo. A partir de esta norma, se definió un mandato de obligatoria observancia por parte de todas las entidades sometidas al </w:t>
      </w:r>
      <w:r w:rsidRPr="00481FE5">
        <w:rPr>
          <w:rFonts w:ascii="Arial" w:eastAsia="Calibri" w:hAnsi="Arial" w:cs="Arial"/>
          <w:bCs/>
          <w:sz w:val="20"/>
          <w:szCs w:val="20"/>
          <w:lang w:val="es-ES_tradnl" w:eastAsia="es-ES_tradnl"/>
        </w:rPr>
        <w:t xml:space="preserve">EGCAP en </w:t>
      </w:r>
      <w:r w:rsidRPr="00481FE5">
        <w:rPr>
          <w:rFonts w:ascii="Arial" w:eastAsia="Calibri" w:hAnsi="Arial" w:cs="Arial"/>
          <w:sz w:val="20"/>
          <w:szCs w:val="20"/>
          <w:lang w:val="es-ES_tradnl" w:eastAsia="es-ES_tradnl"/>
        </w:rPr>
        <w:t>la aplicación de los documentos tipo adoptados por el gobierno nacional para la contratación de obra pública y su respectiva interventoría, así como la interventoría para consultoría de estudios y diseños para obras públicas y consultoría en ingeniería para obras, los cuales debían ser utilizados en los procesos de selección que adelantaran</w:t>
      </w:r>
    </w:p>
    <w:p w14:paraId="4E235ED3" w14:textId="77777777" w:rsidR="00206735" w:rsidRDefault="00206735" w:rsidP="00206735">
      <w:pPr>
        <w:spacing w:after="0" w:line="240" w:lineRule="auto"/>
        <w:contextualSpacing/>
        <w:jc w:val="both"/>
        <w:rPr>
          <w:rFonts w:ascii="Arial" w:eastAsia="Times New Roman" w:hAnsi="Arial" w:cs="Arial"/>
          <w:sz w:val="20"/>
          <w:szCs w:val="20"/>
          <w:lang w:val="es-ES_tradnl" w:eastAsia="es-ES_tradnl"/>
        </w:rPr>
      </w:pPr>
      <w:r w:rsidRPr="00481FE5">
        <w:rPr>
          <w:rFonts w:ascii="Arial" w:eastAsia="Times New Roman" w:hAnsi="Arial" w:cs="Arial"/>
          <w:sz w:val="20"/>
          <w:szCs w:val="20"/>
          <w:lang w:val="es-ES_tradnl" w:eastAsia="es-ES_tradnl"/>
        </w:rPr>
        <w:t>[…]</w:t>
      </w:r>
    </w:p>
    <w:p w14:paraId="3DF99BCB" w14:textId="77777777" w:rsidR="00206735" w:rsidRPr="00481FE5" w:rsidRDefault="00206735" w:rsidP="00206735">
      <w:pPr>
        <w:spacing w:after="0" w:line="240" w:lineRule="auto"/>
        <w:contextualSpacing/>
        <w:jc w:val="both"/>
        <w:rPr>
          <w:rFonts w:ascii="Arial" w:eastAsia="Calibri" w:hAnsi="Arial" w:cs="Arial"/>
          <w:sz w:val="20"/>
          <w:szCs w:val="20"/>
          <w:lang w:val="es-ES_tradnl" w:eastAsia="es-ES_tradnl"/>
        </w:rPr>
      </w:pPr>
    </w:p>
    <w:p w14:paraId="2BDA9E1A" w14:textId="77777777" w:rsidR="00206735" w:rsidRPr="00481FE5" w:rsidRDefault="00206735" w:rsidP="00206735">
      <w:pPr>
        <w:spacing w:after="0" w:line="240" w:lineRule="auto"/>
        <w:contextualSpacing/>
        <w:jc w:val="both"/>
        <w:rPr>
          <w:rFonts w:ascii="Arial" w:eastAsia="Calibri" w:hAnsi="Arial" w:cs="Arial"/>
          <w:b/>
          <w:sz w:val="20"/>
          <w:szCs w:val="20"/>
          <w:lang w:val="es-ES_tradnl"/>
        </w:rPr>
      </w:pPr>
      <w:r w:rsidRPr="00481FE5">
        <w:rPr>
          <w:rFonts w:ascii="Arial" w:eastAsia="Calibri" w:hAnsi="Arial" w:cs="Arial"/>
          <w:sz w:val="20"/>
          <w:szCs w:val="20"/>
          <w:lang w:val="es-ES_tradnl" w:eastAsia="es-ES_tradnl"/>
        </w:rPr>
        <w:t xml:space="preserve">De la norma descrita se concluía lo siguiente: i) la adopción de los documentos tipo estaba en cabeza del gobierno nacional; ii) estos debían relacionarse con procesos de obras públicas, interventoría para las obras públicas, interventoría para consultoría de estudios y diseños y, finalmente, consultoría en ingeniería para obras; iii) eran de obligatorio cumplimiento por parte de todas las entidades sometidas al </w:t>
      </w:r>
      <w:r w:rsidRPr="00481FE5">
        <w:rPr>
          <w:rFonts w:ascii="Arial" w:eastAsia="Calibri" w:hAnsi="Arial" w:cs="Arial"/>
          <w:bCs/>
          <w:sz w:val="20"/>
          <w:szCs w:val="20"/>
          <w:lang w:val="es-ES_tradnl" w:eastAsia="es-ES_tradnl"/>
        </w:rPr>
        <w:t>EGCAP</w:t>
      </w:r>
      <w:r w:rsidRPr="00481FE5">
        <w:rPr>
          <w:rFonts w:ascii="Arial" w:eastAsia="Calibri" w:hAnsi="Arial" w:cs="Arial"/>
          <w:sz w:val="20"/>
          <w:szCs w:val="20"/>
          <w:lang w:val="es-ES_tradnl" w:eastAsia="es-ES_tradnl"/>
        </w:rPr>
        <w:t xml:space="preserve">; </w:t>
      </w:r>
      <w:proofErr w:type="spellStart"/>
      <w:r w:rsidRPr="00481FE5">
        <w:rPr>
          <w:rFonts w:ascii="Arial" w:eastAsia="Calibri" w:hAnsi="Arial" w:cs="Arial"/>
          <w:sz w:val="20"/>
          <w:szCs w:val="20"/>
          <w:lang w:val="es-ES_tradnl" w:eastAsia="es-ES_tradnl"/>
        </w:rPr>
        <w:t>iv</w:t>
      </w:r>
      <w:proofErr w:type="spellEnd"/>
      <w:r w:rsidRPr="00481FE5">
        <w:rPr>
          <w:rFonts w:ascii="Arial" w:eastAsia="Calibri" w:hAnsi="Arial" w:cs="Arial"/>
          <w:sz w:val="20"/>
          <w:szCs w:val="20"/>
          <w:lang w:val="es-ES_tradnl" w:eastAsia="es-ES_tradnl"/>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p w14:paraId="7CF01FBC" w14:textId="77777777" w:rsidR="00206735" w:rsidRPr="00481FE5" w:rsidRDefault="00206735" w:rsidP="00206735">
      <w:pPr>
        <w:spacing w:after="0" w:line="240" w:lineRule="auto"/>
        <w:contextualSpacing/>
        <w:jc w:val="both"/>
        <w:rPr>
          <w:rFonts w:ascii="Arial" w:eastAsia="Calibri" w:hAnsi="Arial" w:cs="Arial"/>
          <w:b/>
          <w:sz w:val="20"/>
          <w:szCs w:val="20"/>
          <w:lang w:val="es-ES_tradnl" w:eastAsia="es-ES_tradnl"/>
        </w:rPr>
      </w:pPr>
    </w:p>
    <w:p w14:paraId="22FE7CC3" w14:textId="77777777" w:rsidR="00206735" w:rsidRPr="00481FE5" w:rsidRDefault="00206735" w:rsidP="00206735">
      <w:pPr>
        <w:spacing w:after="0" w:line="240" w:lineRule="auto"/>
        <w:contextualSpacing/>
        <w:jc w:val="both"/>
        <w:rPr>
          <w:rFonts w:ascii="Arial" w:eastAsia="Calibri" w:hAnsi="Arial" w:cs="Arial"/>
          <w:b/>
          <w:lang w:val="es-ES_tradnl" w:eastAsia="es-ES_tradnl"/>
        </w:rPr>
      </w:pPr>
      <w:r w:rsidRPr="00481FE5">
        <w:rPr>
          <w:rFonts w:ascii="Arial" w:eastAsia="Calibri" w:hAnsi="Arial" w:cs="Arial"/>
          <w:b/>
          <w:lang w:val="es-ES_tradnl" w:eastAsia="es-ES_tradnl"/>
        </w:rPr>
        <w:t xml:space="preserve">DOCUMENTOS TIPO – Fundamento normativo – Ley 2022 de 2020 </w:t>
      </w:r>
    </w:p>
    <w:p w14:paraId="18051C49" w14:textId="77777777" w:rsidR="00206735" w:rsidRPr="00481FE5" w:rsidRDefault="00206735" w:rsidP="00206735">
      <w:pPr>
        <w:spacing w:after="0" w:line="240" w:lineRule="auto"/>
        <w:contextualSpacing/>
        <w:jc w:val="both"/>
        <w:rPr>
          <w:rFonts w:ascii="Arial" w:eastAsia="Calibri" w:hAnsi="Arial" w:cs="Arial"/>
          <w:sz w:val="20"/>
          <w:szCs w:val="20"/>
          <w:lang w:val="es-ES_tradnl" w:eastAsia="es-ES"/>
        </w:rPr>
      </w:pPr>
    </w:p>
    <w:p w14:paraId="171ACF06" w14:textId="77777777" w:rsidR="00206735" w:rsidRPr="00481FE5" w:rsidRDefault="00206735" w:rsidP="00206735">
      <w:pPr>
        <w:spacing w:after="0" w:line="240" w:lineRule="auto"/>
        <w:contextualSpacing/>
        <w:jc w:val="both"/>
        <w:rPr>
          <w:rFonts w:ascii="Arial" w:eastAsia="Calibri" w:hAnsi="Arial" w:cs="Arial"/>
          <w:sz w:val="20"/>
          <w:szCs w:val="20"/>
          <w:lang w:val="es-ES_tradnl"/>
        </w:rPr>
      </w:pPr>
      <w:r w:rsidRPr="00481FE5">
        <w:rPr>
          <w:rFonts w:ascii="Arial" w:eastAsia="Calibri" w:hAnsi="Arial" w:cs="Arial"/>
          <w:sz w:val="20"/>
          <w:szCs w:val="20"/>
          <w:lang w:val="es-ES_tradnl" w:eastAsia="es-ES"/>
        </w:rPr>
        <w:t xml:space="preserve">Posteriormente,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w:t>
      </w:r>
      <w:r w:rsidRPr="00481FE5">
        <w:rPr>
          <w:rFonts w:ascii="Arial" w:eastAsia="Calibri" w:hAnsi="Arial" w:cs="Arial"/>
          <w:bCs/>
          <w:sz w:val="20"/>
          <w:szCs w:val="20"/>
          <w:lang w:val="es-ES_tradnl" w:eastAsia="es-ES_tradnl"/>
        </w:rPr>
        <w:t>EGCAP</w:t>
      </w:r>
      <w:r w:rsidRPr="00481FE5">
        <w:rPr>
          <w:rFonts w:ascii="Arial" w:eastAsia="Calibri" w:hAnsi="Arial" w:cs="Arial"/>
          <w:sz w:val="20"/>
          <w:szCs w:val="20"/>
          <w:lang w:val="es-ES_tradnl" w:eastAsia="es-ES"/>
        </w:rPr>
        <w:t xml:space="preserve">, se atribuyó a la </w:t>
      </w:r>
      <w:r w:rsidRPr="00481FE5">
        <w:rPr>
          <w:rFonts w:ascii="Arial" w:eastAsia="Calibri" w:hAnsi="Arial" w:cs="Arial"/>
          <w:sz w:val="20"/>
          <w:szCs w:val="20"/>
          <w:lang w:val="es-ES_tradnl"/>
        </w:rPr>
        <w:t>Agencia Nacional de Contratación Pública – Colombia Compra Eficiente la competencia para su expedición.</w:t>
      </w:r>
    </w:p>
    <w:p w14:paraId="7A84DCFD" w14:textId="77777777" w:rsidR="00206735" w:rsidRDefault="00206735" w:rsidP="00206735">
      <w:pPr>
        <w:spacing w:after="0" w:line="240" w:lineRule="auto"/>
        <w:contextualSpacing/>
        <w:jc w:val="both"/>
        <w:rPr>
          <w:rFonts w:ascii="Arial" w:eastAsia="Times New Roman" w:hAnsi="Arial" w:cs="Arial"/>
          <w:sz w:val="20"/>
          <w:szCs w:val="20"/>
          <w:lang w:val="es-ES_tradnl" w:eastAsia="es-ES_tradnl"/>
        </w:rPr>
      </w:pPr>
      <w:r w:rsidRPr="00481FE5">
        <w:rPr>
          <w:rFonts w:ascii="Arial" w:eastAsia="Times New Roman" w:hAnsi="Arial" w:cs="Arial"/>
          <w:sz w:val="20"/>
          <w:szCs w:val="20"/>
          <w:lang w:val="es-ES_tradnl" w:eastAsia="es-ES_tradnl"/>
        </w:rPr>
        <w:t>[…]</w:t>
      </w:r>
    </w:p>
    <w:p w14:paraId="561EBE82" w14:textId="77777777" w:rsidR="00206735" w:rsidRPr="00481FE5" w:rsidRDefault="00206735" w:rsidP="00206735">
      <w:pPr>
        <w:spacing w:after="0" w:line="240" w:lineRule="auto"/>
        <w:contextualSpacing/>
        <w:jc w:val="both"/>
        <w:rPr>
          <w:rFonts w:ascii="Arial" w:eastAsia="Calibri" w:hAnsi="Arial" w:cs="Arial"/>
          <w:sz w:val="20"/>
          <w:szCs w:val="20"/>
          <w:lang w:val="es-ES_tradnl" w:eastAsia="es-ES_tradnl"/>
        </w:rPr>
      </w:pPr>
    </w:p>
    <w:p w14:paraId="747F70F1" w14:textId="77777777" w:rsidR="00206735" w:rsidRPr="00481FE5" w:rsidRDefault="00206735" w:rsidP="00206735">
      <w:pPr>
        <w:shd w:val="clear" w:color="auto" w:fill="FFFFFF"/>
        <w:spacing w:after="0" w:line="240" w:lineRule="auto"/>
        <w:jc w:val="both"/>
        <w:textAlignment w:val="baseline"/>
        <w:rPr>
          <w:rFonts w:ascii="Arial" w:eastAsia="Calibri" w:hAnsi="Arial" w:cs="Arial"/>
          <w:sz w:val="20"/>
          <w:szCs w:val="20"/>
          <w:lang w:eastAsia="en-GB"/>
        </w:rPr>
      </w:pPr>
      <w:r w:rsidRPr="00481FE5">
        <w:rPr>
          <w:rFonts w:ascii="Arial" w:eastAsia="Calibri" w:hAnsi="Arial" w:cs="Arial"/>
          <w:sz w:val="20"/>
          <w:szCs w:val="20"/>
          <w:lang w:eastAsia="es-ES_tradnl"/>
        </w:rPr>
        <w:t xml:space="preserve">De acuerdo con lo expuesto, </w:t>
      </w:r>
      <w:r w:rsidRPr="00481FE5">
        <w:rPr>
          <w:rFonts w:ascii="Arial" w:eastAsia="Calibri" w:hAnsi="Arial" w:cs="Arial"/>
          <w:sz w:val="20"/>
          <w:szCs w:val="20"/>
          <w:bdr w:val="none" w:sz="0" w:space="0" w:color="auto" w:frame="1"/>
          <w:lang w:eastAsia="es-ES_tradnl"/>
        </w:rPr>
        <w:t xml:space="preserve">los documentos tipo adoptados son obligatorios para las entidades estatales regidas por el </w:t>
      </w:r>
      <w:r w:rsidRPr="00481FE5">
        <w:rPr>
          <w:rFonts w:ascii="Arial" w:eastAsia="Calibri" w:hAnsi="Arial" w:cs="Arial"/>
          <w:bCs/>
          <w:sz w:val="20"/>
          <w:szCs w:val="20"/>
          <w:lang w:val="es-ES_tradnl" w:eastAsia="es-ES_tradnl"/>
        </w:rPr>
        <w:t>EGCAP</w:t>
      </w:r>
      <w:r w:rsidRPr="00481FE5">
        <w:rPr>
          <w:rFonts w:ascii="Arial" w:eastAsia="Calibri" w:hAnsi="Arial" w:cs="Arial"/>
          <w:sz w:val="20"/>
          <w:szCs w:val="20"/>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481FE5">
        <w:rPr>
          <w:rFonts w:ascii="Arial" w:eastAsia="Calibri" w:hAnsi="Arial" w:cs="Arial"/>
          <w:sz w:val="20"/>
          <w:szCs w:val="20"/>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p w14:paraId="581CC715" w14:textId="77777777" w:rsidR="00206735" w:rsidRPr="00481FE5" w:rsidRDefault="00206735" w:rsidP="00206735">
      <w:pPr>
        <w:spacing w:after="0" w:line="240" w:lineRule="auto"/>
        <w:contextualSpacing/>
        <w:jc w:val="both"/>
        <w:rPr>
          <w:rFonts w:ascii="Arial" w:eastAsia="Calibri" w:hAnsi="Arial" w:cs="Arial"/>
          <w:b/>
          <w:sz w:val="20"/>
          <w:szCs w:val="20"/>
          <w:lang w:eastAsia="es-ES_tradnl"/>
        </w:rPr>
      </w:pPr>
    </w:p>
    <w:p w14:paraId="630E6271" w14:textId="77777777" w:rsidR="00206735" w:rsidRPr="00481FE5" w:rsidRDefault="00206735" w:rsidP="00206735">
      <w:pPr>
        <w:spacing w:after="0" w:line="240" w:lineRule="auto"/>
        <w:contextualSpacing/>
        <w:jc w:val="both"/>
        <w:rPr>
          <w:rFonts w:ascii="Arial" w:eastAsia="Calibri" w:hAnsi="Arial" w:cs="Arial"/>
          <w:b/>
          <w:lang w:val="es-ES_tradnl" w:eastAsia="es-ES_tradnl"/>
        </w:rPr>
      </w:pPr>
      <w:r w:rsidRPr="00481FE5">
        <w:rPr>
          <w:rFonts w:ascii="Arial" w:eastAsia="Calibri" w:hAnsi="Arial" w:cs="Arial"/>
          <w:b/>
          <w:lang w:val="es-ES_tradnl" w:eastAsia="es-ES_tradnl"/>
        </w:rPr>
        <w:t xml:space="preserve">LEY 2195 DE 2022 – Artículo 56 – Ámbito de aplicación </w:t>
      </w:r>
    </w:p>
    <w:p w14:paraId="39E385E2" w14:textId="77777777" w:rsidR="00206735" w:rsidRPr="00481FE5" w:rsidRDefault="00206735" w:rsidP="00206735">
      <w:pPr>
        <w:spacing w:after="0" w:line="240" w:lineRule="auto"/>
        <w:contextualSpacing/>
        <w:jc w:val="both"/>
        <w:rPr>
          <w:rFonts w:ascii="Arial" w:eastAsia="Calibri" w:hAnsi="Arial" w:cs="Arial"/>
          <w:bCs/>
          <w:sz w:val="20"/>
          <w:szCs w:val="20"/>
          <w:lang w:val="es-ES_tradnl" w:eastAsia="es-ES_tradnl"/>
        </w:rPr>
      </w:pPr>
    </w:p>
    <w:p w14:paraId="6893FA1A" w14:textId="77777777" w:rsidR="00206735" w:rsidRPr="00481FE5" w:rsidRDefault="00206735" w:rsidP="00206735">
      <w:pPr>
        <w:spacing w:after="0" w:line="240" w:lineRule="auto"/>
        <w:contextualSpacing/>
        <w:jc w:val="both"/>
        <w:rPr>
          <w:rFonts w:ascii="Arial" w:eastAsia="Calibri" w:hAnsi="Arial" w:cs="Arial"/>
          <w:bCs/>
          <w:sz w:val="20"/>
          <w:szCs w:val="20"/>
          <w:lang w:val="es-ES_tradnl" w:eastAsia="es-ES_tradnl"/>
        </w:rPr>
      </w:pPr>
      <w:r w:rsidRPr="00481FE5">
        <w:rPr>
          <w:rFonts w:ascii="Arial" w:eastAsia="Calibri" w:hAnsi="Arial" w:cs="Arial"/>
          <w:bCs/>
          <w:sz w:val="20"/>
          <w:szCs w:val="20"/>
          <w:lang w:val="es-ES_tradnl" w:eastAsia="es-ES_tradn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por lo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0FEEB0D5" w14:textId="77777777" w:rsidR="00206735" w:rsidRPr="00481FE5" w:rsidRDefault="00206735" w:rsidP="00206735">
      <w:pPr>
        <w:spacing w:after="0" w:line="240" w:lineRule="auto"/>
        <w:contextualSpacing/>
        <w:jc w:val="both"/>
        <w:rPr>
          <w:rFonts w:ascii="Arial" w:eastAsia="Calibri" w:hAnsi="Arial" w:cs="Arial"/>
          <w:sz w:val="20"/>
          <w:szCs w:val="20"/>
          <w:lang w:val="es-ES_tradnl" w:eastAsia="es-ES_tradnl"/>
        </w:rPr>
      </w:pPr>
      <w:r w:rsidRPr="00481FE5">
        <w:rPr>
          <w:rFonts w:ascii="Arial" w:eastAsia="Times New Roman" w:hAnsi="Arial" w:cs="Arial"/>
          <w:sz w:val="20"/>
          <w:szCs w:val="20"/>
          <w:lang w:val="es-ES_tradnl" w:eastAsia="es-ES_tradnl"/>
        </w:rPr>
        <w:t>[…]</w:t>
      </w:r>
    </w:p>
    <w:p w14:paraId="530298BF" w14:textId="77777777" w:rsidR="00206735" w:rsidRPr="00481FE5" w:rsidRDefault="00206735" w:rsidP="00206735">
      <w:pPr>
        <w:spacing w:after="0" w:line="240" w:lineRule="auto"/>
        <w:contextualSpacing/>
        <w:jc w:val="both"/>
        <w:rPr>
          <w:rFonts w:ascii="Arial" w:eastAsia="Calibri" w:hAnsi="Arial" w:cs="Arial"/>
          <w:sz w:val="20"/>
          <w:szCs w:val="20"/>
          <w:lang w:val="es-ES_tradnl" w:eastAsia="es-ES_tradnl"/>
        </w:rPr>
      </w:pPr>
      <w:r w:rsidRPr="00481FE5">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w:t>
      </w:r>
      <w:r w:rsidRPr="00481FE5">
        <w:rPr>
          <w:rFonts w:ascii="Arial" w:eastAsia="Calibri" w:hAnsi="Arial" w:cs="Arial"/>
          <w:sz w:val="20"/>
          <w:szCs w:val="20"/>
          <w:lang w:val="es-ES_tradnl" w:eastAsia="es-ES_tradnl"/>
        </w:rPr>
        <w:lastRenderedPageBreak/>
        <w:t xml:space="preserve">Ley 2022 de 2020, que establece el mandato de aplicación obligatoria de los documentos tipo para las entidades sometidas al EGCAP cuando celebren contratos o convenios interadministrativos o de cualquier otra índole </w:t>
      </w:r>
      <w:r w:rsidRPr="00481FE5">
        <w:rPr>
          <w:rFonts w:ascii="Arial" w:eastAsia="Times New Roman" w:hAnsi="Arial" w:cs="Arial"/>
          <w:sz w:val="20"/>
          <w:szCs w:val="20"/>
          <w:lang w:val="es-ES_tradnl" w:eastAsia="es-ES_tradnl"/>
        </w:rPr>
        <w:t>[…]</w:t>
      </w:r>
    </w:p>
    <w:p w14:paraId="25AAA829" w14:textId="77777777" w:rsidR="00206735" w:rsidRPr="00481FE5" w:rsidRDefault="00206735" w:rsidP="00206735">
      <w:pPr>
        <w:spacing w:after="0" w:line="240" w:lineRule="auto"/>
        <w:contextualSpacing/>
        <w:jc w:val="both"/>
        <w:rPr>
          <w:rFonts w:ascii="Arial" w:eastAsia="Calibri" w:hAnsi="Arial" w:cs="Arial"/>
          <w:b/>
          <w:sz w:val="20"/>
          <w:szCs w:val="20"/>
          <w:lang w:val="es-ES_tradnl" w:eastAsia="es-ES_tradnl"/>
        </w:rPr>
      </w:pPr>
    </w:p>
    <w:p w14:paraId="1F01FF65" w14:textId="77777777" w:rsidR="00206735" w:rsidRPr="00481FE5" w:rsidRDefault="00206735" w:rsidP="00206735">
      <w:pPr>
        <w:spacing w:after="0" w:line="240" w:lineRule="auto"/>
        <w:contextualSpacing/>
        <w:jc w:val="both"/>
        <w:rPr>
          <w:rFonts w:ascii="Arial" w:eastAsia="Calibri" w:hAnsi="Arial" w:cs="Arial"/>
          <w:b/>
          <w:lang w:val="es-ES_tradnl" w:eastAsia="es-ES_tradnl"/>
        </w:rPr>
      </w:pPr>
      <w:r w:rsidRPr="00481FE5">
        <w:rPr>
          <w:rFonts w:ascii="Arial" w:eastAsia="Calibri" w:hAnsi="Arial" w:cs="Arial"/>
          <w:b/>
          <w:lang w:val="es-ES_tradnl" w:eastAsia="es-ES_tradnl"/>
        </w:rPr>
        <w:t xml:space="preserve">LEY 2195 DE 2022 – Artículo 56 – Finalidad </w:t>
      </w:r>
    </w:p>
    <w:p w14:paraId="2AAF78A5" w14:textId="77777777" w:rsidR="00206735" w:rsidRPr="00481FE5" w:rsidRDefault="00206735" w:rsidP="00206735">
      <w:pPr>
        <w:spacing w:after="0" w:line="240" w:lineRule="auto"/>
        <w:contextualSpacing/>
        <w:jc w:val="both"/>
        <w:rPr>
          <w:rFonts w:ascii="Arial" w:eastAsia="Times New Roman" w:hAnsi="Arial" w:cs="Arial"/>
          <w:sz w:val="20"/>
          <w:szCs w:val="20"/>
          <w:lang w:val="es-ES_tradnl" w:eastAsia="es-ES_tradnl"/>
        </w:rPr>
      </w:pPr>
    </w:p>
    <w:p w14:paraId="28B41933" w14:textId="77777777" w:rsidR="00206735" w:rsidRPr="00481FE5" w:rsidRDefault="00206735" w:rsidP="00206735">
      <w:pPr>
        <w:spacing w:after="0" w:line="240" w:lineRule="auto"/>
        <w:contextualSpacing/>
        <w:jc w:val="both"/>
        <w:rPr>
          <w:rStyle w:val="markedcontent"/>
          <w:rFonts w:ascii="Arial" w:hAnsi="Arial" w:cs="Arial"/>
          <w:sz w:val="20"/>
          <w:szCs w:val="20"/>
        </w:rPr>
      </w:pPr>
      <w:r w:rsidRPr="00481FE5">
        <w:rPr>
          <w:rFonts w:ascii="Arial" w:eastAsia="Times New Roman" w:hAnsi="Arial" w:cs="Arial"/>
          <w:sz w:val="20"/>
          <w:szCs w:val="20"/>
          <w:lang w:val="es-ES_tradnl" w:eastAsia="es-ES_tradnl"/>
        </w:rPr>
        <w:t xml:space="preserve">[…] </w:t>
      </w:r>
      <w:r w:rsidRPr="00481FE5">
        <w:rPr>
          <w:rFonts w:ascii="Arial" w:eastAsia="Calibri" w:hAnsi="Arial" w:cs="Arial"/>
          <w:sz w:val="20"/>
          <w:szCs w:val="20"/>
          <w:lang w:val="es-ES_tradnl" w:eastAsia="es-ES_tradnl"/>
        </w:rPr>
        <w:t xml:space="preserve">la adición del articulado en mención tiene como fin </w:t>
      </w:r>
      <w:r w:rsidRPr="00481FE5">
        <w:rPr>
          <w:rStyle w:val="markedcontent"/>
          <w:rFonts w:ascii="Arial" w:hAnsi="Arial" w:cs="Arial"/>
          <w:sz w:val="20"/>
          <w:szCs w:val="20"/>
        </w:rPr>
        <w:t xml:space="preserve">“Extender la </w:t>
      </w:r>
      <w:r w:rsidRPr="00481FE5">
        <w:rPr>
          <w:rStyle w:val="markedcontent"/>
          <w:rFonts w:ascii="Arial" w:hAnsi="Arial" w:cs="Arial"/>
          <w:i/>
          <w:sz w:val="20"/>
          <w:szCs w:val="20"/>
        </w:rPr>
        <w:t>obligatoriedad de la aplicación del régimen de contratación estatal y pliegos tipo, cuando se celebran convenios interadministrativos</w:t>
      </w:r>
      <w:r w:rsidRPr="00481FE5">
        <w:rPr>
          <w:rStyle w:val="markedcontent"/>
          <w:rFonts w:ascii="Arial" w:hAnsi="Arial" w:cs="Arial"/>
          <w:sz w:val="20"/>
          <w:szCs w:val="20"/>
        </w:rPr>
        <w:t xml:space="preserve"> con una entidad que tiene régimen de contratación privada </w:t>
      </w:r>
      <w:r w:rsidRPr="00481FE5">
        <w:rPr>
          <w:rStyle w:val="markedcontent"/>
          <w:rFonts w:ascii="Arial" w:hAnsi="Arial" w:cs="Arial"/>
          <w:i/>
          <w:sz w:val="20"/>
          <w:szCs w:val="20"/>
        </w:rPr>
        <w:t>con el fin de evitar la contratación directa con recursos del estado y proveer de mayores garantías al proceso</w:t>
      </w:r>
      <w:r w:rsidRPr="00481FE5">
        <w:rPr>
          <w:rStyle w:val="markedcontent"/>
          <w:rFonts w:ascii="Arial" w:hAnsi="Arial" w:cs="Arial"/>
          <w:sz w:val="20"/>
          <w:szCs w:val="20"/>
        </w:rPr>
        <w:t>”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20378967"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p>
    <w:p w14:paraId="0D9F0006"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r w:rsidRPr="00481FE5">
        <w:rPr>
          <w:rFonts w:ascii="Arial" w:eastAsia="Calibri" w:hAnsi="Arial" w:cs="Arial"/>
          <w:bCs/>
          <w:sz w:val="20"/>
          <w:szCs w:val="20"/>
          <w:lang w:val="es-ES_tradnl" w:eastAsia="es-ES_tradnl"/>
        </w:rPr>
        <w:t xml:space="preserve">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w:t>
      </w:r>
      <w:r w:rsidRPr="00481FE5">
        <w:rPr>
          <w:rFonts w:ascii="Arial" w:eastAsia="Times New Roman" w:hAnsi="Arial" w:cs="Arial"/>
          <w:sz w:val="20"/>
          <w:szCs w:val="20"/>
          <w:lang w:val="es-ES_tradnl" w:eastAsia="es-ES_tradnl"/>
        </w:rPr>
        <w:t xml:space="preserve">[…] </w:t>
      </w:r>
      <w:r w:rsidRPr="00481FE5">
        <w:rPr>
          <w:rFonts w:ascii="Arial" w:eastAsia="Calibri" w:hAnsi="Arial" w:cs="Arial"/>
          <w:sz w:val="20"/>
          <w:szCs w:val="20"/>
          <w:lang w:val="es-ES_tradnl" w:eastAsia="es-ES_tradnl"/>
        </w:rPr>
        <w:t>La mencionada disposición pasó el debate en Cámara de Representantes con algunos ajustes en la redacción del artículo, pero manteniendo su fin principal, y esto es, que los documentos tipo deban ser aplicados en general por todas las entidades sometidas al EGCAP, independientemente de la celebración de contratos o convenios interadministrativos o de cualquier otra índole, con entidades estatales exceptuadas o con régimen especial de contratación, patrimonios autónomos o particulares. Consecuentemente, fue aprobada su redacción en conciliación del texto en ambas cámaras prescribiendo la redacción de la norma hoy día vigente</w:t>
      </w:r>
    </w:p>
    <w:p w14:paraId="27D0A439" w14:textId="77777777" w:rsidR="00206735" w:rsidRPr="00481FE5" w:rsidRDefault="00206735" w:rsidP="00206735">
      <w:pPr>
        <w:spacing w:after="0" w:line="240" w:lineRule="auto"/>
        <w:contextualSpacing/>
        <w:jc w:val="both"/>
        <w:rPr>
          <w:rFonts w:ascii="Arial" w:eastAsia="Calibri" w:hAnsi="Arial" w:cs="Arial"/>
          <w:b/>
          <w:sz w:val="20"/>
          <w:szCs w:val="20"/>
          <w:lang w:val="es-ES_tradnl" w:eastAsia="es-ES_tradnl"/>
        </w:rPr>
      </w:pPr>
    </w:p>
    <w:p w14:paraId="0A38E179" w14:textId="77777777" w:rsidR="00206735" w:rsidRPr="00481FE5" w:rsidRDefault="00206735" w:rsidP="00206735">
      <w:pPr>
        <w:spacing w:after="0" w:line="240" w:lineRule="auto"/>
        <w:contextualSpacing/>
        <w:jc w:val="both"/>
        <w:rPr>
          <w:rFonts w:ascii="Arial" w:eastAsia="Calibri" w:hAnsi="Arial" w:cs="Arial"/>
          <w:b/>
          <w:lang w:val="es-ES_tradnl" w:eastAsia="es-ES_tradnl"/>
        </w:rPr>
      </w:pPr>
      <w:r w:rsidRPr="00481FE5">
        <w:rPr>
          <w:rFonts w:ascii="Arial" w:eastAsia="Calibri" w:hAnsi="Arial" w:cs="Arial"/>
          <w:b/>
          <w:lang w:val="es-ES_tradnl" w:eastAsia="es-ES_tradnl"/>
        </w:rPr>
        <w:t xml:space="preserve">LEY 2195 DE 2022 – Artículo 56 – Incisos 1 y 2 – Interpretación conjunta </w:t>
      </w:r>
    </w:p>
    <w:p w14:paraId="432E8C5D"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p>
    <w:p w14:paraId="6BCBA878"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r w:rsidRPr="00481FE5">
        <w:rPr>
          <w:rFonts w:ascii="Arial" w:eastAsia="Calibri" w:hAnsi="Arial" w:cs="Arial"/>
          <w:bCs/>
          <w:sz w:val="20"/>
          <w:szCs w:val="20"/>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7F0AF7E1"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r w:rsidRPr="00481FE5">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de la Ley por contexto, conforme al criterio interpretativo del artículo 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481FE5">
        <w:rPr>
          <w:rFonts w:ascii="Arial" w:eastAsia="Calibri" w:hAnsi="Arial" w:cs="Arial"/>
          <w:bCs/>
          <w:sz w:val="20"/>
          <w:szCs w:val="20"/>
          <w:lang w:val="es-ES_tradnl" w:eastAsia="es-ES_tradnl"/>
        </w:rPr>
        <w:t>desde esta perspectiva, no pudiera</w:t>
      </w:r>
      <w:r w:rsidRPr="00481FE5">
        <w:rPr>
          <w:rFonts w:ascii="Arial" w:eastAsia="Calibri" w:hAnsi="Arial" w:cs="Arial"/>
          <w:sz w:val="20"/>
          <w:szCs w:val="20"/>
          <w:lang w:val="es-ES_tradnl" w:eastAsia="es-ES_tradnl"/>
        </w:rPr>
        <w:t xml:space="preserve"> pensarse entonces que se extiende la aplicación a particulares y a entidades con régimen de contratación especial la obligatoriedad de adelantar procesos de selección y suscribir contratos sometidos al </w:t>
      </w:r>
      <w:r w:rsidRPr="00481FE5">
        <w:rPr>
          <w:rFonts w:ascii="Arial" w:eastAsia="Calibri" w:hAnsi="Arial" w:cs="Arial"/>
          <w:sz w:val="20"/>
          <w:szCs w:val="20"/>
          <w:lang w:val="es-ES_tradnl" w:eastAsia="es-ES_tradnl"/>
        </w:rPr>
        <w:lastRenderedPageBreak/>
        <w:t>EGCAP, puesto que el texto de la Ley 2022 de 2020 establece con claridad la regla de aplicación obligatoria de los documentos tipo en los procesos de contratación adelantados por las entidades estatales regidas por el EGCAP, es decir,</w:t>
      </w:r>
      <w:r w:rsidRPr="00481FE5">
        <w:rPr>
          <w:rFonts w:ascii="Arial" w:eastAsia="Calibri" w:hAnsi="Arial" w:cs="Arial"/>
          <w:bCs/>
          <w:sz w:val="20"/>
          <w:szCs w:val="20"/>
          <w:lang w:val="es-ES_tradnl" w:eastAsia="es-ES_tradnl"/>
        </w:rPr>
        <w:t xml:space="preserve"> </w:t>
      </w:r>
      <w:r w:rsidRPr="00481FE5">
        <w:rPr>
          <w:rFonts w:ascii="Arial" w:eastAsia="Calibri" w:hAnsi="Arial" w:cs="Arial"/>
          <w:sz w:val="20"/>
          <w:szCs w:val="20"/>
          <w:lang w:val="es-ES_tradnl" w:eastAsia="es-ES_tradnl"/>
        </w:rPr>
        <w:t xml:space="preserve">la obligatoriedad de utilizar documentos pliego tipo </w:t>
      </w:r>
      <w:r w:rsidRPr="00481FE5">
        <w:rPr>
          <w:rFonts w:ascii="Arial" w:eastAsia="Calibri" w:hAnsi="Arial" w:cs="Arial"/>
          <w:bCs/>
          <w:sz w:val="20"/>
          <w:szCs w:val="20"/>
          <w:lang w:val="es-ES_tradnl" w:eastAsia="es-ES_tradnl"/>
        </w:rPr>
        <w:t xml:space="preserve">se extiende </w:t>
      </w:r>
      <w:r w:rsidRPr="00481FE5">
        <w:rPr>
          <w:rFonts w:ascii="Arial" w:eastAsia="Calibri" w:hAnsi="Arial" w:cs="Arial"/>
          <w:sz w:val="20"/>
          <w:szCs w:val="20"/>
          <w:lang w:val="es-ES_tradnl" w:eastAsia="es-ES_tradnl"/>
        </w:rPr>
        <w:t xml:space="preserve">en los convenios o contratos interadministrativos o de cualquier otra índole, </w:t>
      </w:r>
      <w:r w:rsidRPr="00481FE5">
        <w:rPr>
          <w:rFonts w:ascii="Arial" w:eastAsia="Calibri" w:hAnsi="Arial" w:cs="Arial"/>
          <w:bCs/>
          <w:sz w:val="20"/>
          <w:szCs w:val="20"/>
          <w:lang w:val="es-ES_tradnl" w:eastAsia="es-ES_tradnl"/>
        </w:rPr>
        <w:t xml:space="preserve">y </w:t>
      </w:r>
      <w:r w:rsidRPr="00481FE5">
        <w:rPr>
          <w:rFonts w:ascii="Arial" w:eastAsia="Calibri" w:hAnsi="Arial" w:cs="Arial"/>
          <w:sz w:val="20"/>
          <w:szCs w:val="20"/>
          <w:lang w:val="es-ES_tradnl" w:eastAsia="es-ES_tradnl"/>
        </w:rPr>
        <w:t>a las diferentes modalidades de selección de los Procesos de Contratación adelantados por entidades sometidas al EGCAP</w:t>
      </w:r>
      <w:r w:rsidRPr="00481FE5">
        <w:rPr>
          <w:rFonts w:ascii="Arial" w:eastAsia="Calibri" w:hAnsi="Arial" w:cs="Arial"/>
          <w:bCs/>
          <w:sz w:val="20"/>
          <w:szCs w:val="20"/>
          <w:lang w:val="es-ES_tradnl" w:eastAsia="es-ES_tradnl"/>
        </w:rPr>
        <w:t>.</w:t>
      </w:r>
    </w:p>
    <w:p w14:paraId="62D46F58" w14:textId="77777777" w:rsidR="00206735" w:rsidRDefault="00206735" w:rsidP="00206735">
      <w:pPr>
        <w:tabs>
          <w:tab w:val="left" w:pos="0"/>
        </w:tabs>
        <w:spacing w:after="0" w:line="240" w:lineRule="auto"/>
        <w:jc w:val="both"/>
        <w:rPr>
          <w:rFonts w:ascii="Arial" w:eastAsia="Times New Roman" w:hAnsi="Arial" w:cs="Arial"/>
          <w:sz w:val="20"/>
          <w:szCs w:val="20"/>
          <w:lang w:val="es-ES_tradnl" w:eastAsia="es-ES_tradnl"/>
        </w:rPr>
      </w:pPr>
      <w:r w:rsidRPr="00481FE5">
        <w:rPr>
          <w:rFonts w:ascii="Arial" w:eastAsia="Times New Roman" w:hAnsi="Arial" w:cs="Arial"/>
          <w:sz w:val="20"/>
          <w:szCs w:val="20"/>
          <w:lang w:val="es-ES_tradnl" w:eastAsia="es-ES_tradnl"/>
        </w:rPr>
        <w:t>[…]</w:t>
      </w:r>
    </w:p>
    <w:p w14:paraId="0AC05F82" w14:textId="77777777" w:rsidR="00206735" w:rsidRPr="00481FE5" w:rsidRDefault="00206735" w:rsidP="00206735">
      <w:pPr>
        <w:tabs>
          <w:tab w:val="left" w:pos="0"/>
        </w:tabs>
        <w:spacing w:after="0" w:line="240" w:lineRule="auto"/>
        <w:jc w:val="both"/>
        <w:rPr>
          <w:rFonts w:ascii="Arial" w:eastAsia="Times New Roman" w:hAnsi="Arial" w:cs="Arial"/>
          <w:sz w:val="20"/>
          <w:szCs w:val="20"/>
          <w:lang w:val="es-ES_tradnl" w:eastAsia="es-ES_tradnl"/>
        </w:rPr>
      </w:pPr>
    </w:p>
    <w:p w14:paraId="111CBE38" w14:textId="77777777" w:rsidR="00206735" w:rsidRDefault="00206735" w:rsidP="00206735">
      <w:pPr>
        <w:tabs>
          <w:tab w:val="left" w:pos="0"/>
        </w:tabs>
        <w:spacing w:after="0" w:line="240" w:lineRule="auto"/>
        <w:jc w:val="both"/>
        <w:rPr>
          <w:rFonts w:ascii="Arial" w:eastAsia="Times New Roman" w:hAnsi="Arial" w:cs="Arial"/>
          <w:sz w:val="20"/>
          <w:szCs w:val="20"/>
          <w:lang w:eastAsia="es-ES_tradnl"/>
        </w:rPr>
      </w:pPr>
      <w:r w:rsidRPr="00481FE5">
        <w:rPr>
          <w:rFonts w:ascii="Arial" w:eastAsia="Calibri" w:hAnsi="Arial" w:cs="Arial"/>
          <w:bCs/>
          <w:sz w:val="20"/>
          <w:szCs w:val="20"/>
          <w:lang w:val="es-ES_tradnl" w:eastAsia="es-ES_tradnl"/>
        </w:rPr>
        <w:t xml:space="preserve">El segundo inciso de la norma bajo estudio usa la expresión </w:t>
      </w:r>
      <w:r w:rsidRPr="00481FE5">
        <w:rPr>
          <w:rFonts w:ascii="Arial" w:eastAsia="Calibri" w:hAnsi="Arial" w:cs="Arial"/>
          <w:sz w:val="20"/>
          <w:szCs w:val="20"/>
          <w:lang w:val="es-ES_tradnl" w:eastAsia="es-ES_tradnl"/>
        </w:rPr>
        <w:t>“</w:t>
      </w:r>
      <w:r w:rsidRPr="00481FE5">
        <w:rPr>
          <w:rFonts w:ascii="Arial" w:eastAsia="Times New Roman" w:hAnsi="Arial" w:cs="Arial"/>
          <w:sz w:val="20"/>
          <w:szCs w:val="20"/>
          <w:lang w:eastAsia="es-ES_tradnl"/>
        </w:rPr>
        <w:t xml:space="preserve">los procedimientos de selección y </w:t>
      </w:r>
      <w:r w:rsidRPr="00481FE5">
        <w:rPr>
          <w:rFonts w:ascii="Arial" w:eastAsia="Times New Roman" w:hAnsi="Arial" w:cs="Arial"/>
          <w:i/>
          <w:iCs/>
          <w:sz w:val="20"/>
          <w:szCs w:val="20"/>
          <w:lang w:eastAsia="es-ES_tradnl"/>
        </w:rPr>
        <w:t>contratos que realicen en desarrollo de los anteriores negocios jurídicos</w:t>
      </w:r>
      <w:r w:rsidRPr="00481FE5">
        <w:rPr>
          <w:rFonts w:ascii="Arial" w:eastAsia="Calibri" w:hAnsi="Arial" w:cs="Arial"/>
          <w:sz w:val="20"/>
          <w:szCs w:val="20"/>
          <w:lang w:val="es-ES_tradnl" w:eastAsia="es-ES_tradnl"/>
        </w:rPr>
        <w:t>”</w:t>
      </w:r>
      <w:r w:rsidRPr="00481FE5">
        <w:rPr>
          <w:rFonts w:ascii="Arial" w:eastAsia="Times New Roman" w:hAnsi="Arial" w:cs="Arial"/>
          <w:sz w:val="20"/>
          <w:szCs w:val="20"/>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481FE5">
        <w:rPr>
          <w:rFonts w:ascii="Arial" w:eastAsia="Times New Roman" w:hAnsi="Arial" w:cs="Arial"/>
          <w:i/>
          <w:iCs/>
          <w:sz w:val="20"/>
          <w:szCs w:val="20"/>
          <w:lang w:eastAsia="es-ES_tradnl"/>
        </w:rPr>
        <w:t>desarrollar</w:t>
      </w:r>
      <w:r w:rsidRPr="00481FE5">
        <w:rPr>
          <w:rFonts w:ascii="Arial" w:eastAsia="Times New Roman" w:hAnsi="Arial" w:cs="Arial"/>
          <w:sz w:val="20"/>
          <w:szCs w:val="20"/>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16BA2278" w14:textId="77777777" w:rsidR="00206735" w:rsidRPr="00481FE5" w:rsidRDefault="00206735" w:rsidP="00206735">
      <w:pPr>
        <w:tabs>
          <w:tab w:val="left" w:pos="0"/>
        </w:tabs>
        <w:spacing w:after="0" w:line="240" w:lineRule="auto"/>
        <w:jc w:val="both"/>
        <w:rPr>
          <w:rFonts w:ascii="Arial" w:eastAsia="Times New Roman" w:hAnsi="Arial" w:cs="Arial"/>
          <w:sz w:val="20"/>
          <w:szCs w:val="20"/>
          <w:lang w:eastAsia="es-ES_tradnl"/>
        </w:rPr>
      </w:pPr>
    </w:p>
    <w:p w14:paraId="7DC90AF0"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r w:rsidRPr="00481FE5">
        <w:rPr>
          <w:rFonts w:ascii="Arial" w:eastAsia="Calibri" w:hAnsi="Arial" w:cs="Arial"/>
          <w:bCs/>
          <w:sz w:val="20"/>
          <w:szCs w:val="20"/>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p>
    <w:p w14:paraId="24B5A5FB"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p>
    <w:p w14:paraId="67AD4D59" w14:textId="77777777" w:rsidR="00206735" w:rsidRPr="00481FE5" w:rsidRDefault="00206735" w:rsidP="00206735">
      <w:pPr>
        <w:spacing w:after="0" w:line="240" w:lineRule="auto"/>
        <w:contextualSpacing/>
        <w:jc w:val="both"/>
        <w:rPr>
          <w:rFonts w:ascii="Arial" w:eastAsia="Calibri" w:hAnsi="Arial" w:cs="Arial"/>
          <w:b/>
          <w:lang w:val="es-ES_tradnl" w:eastAsia="es-ES_tradnl"/>
        </w:rPr>
      </w:pPr>
      <w:r w:rsidRPr="00481FE5">
        <w:rPr>
          <w:rFonts w:ascii="Arial" w:eastAsia="Calibri" w:hAnsi="Arial" w:cs="Arial"/>
          <w:b/>
          <w:lang w:val="es-ES_tradnl" w:eastAsia="es-ES_tradnl"/>
        </w:rPr>
        <w:t>LEY 2195 DE 2022 – Artículo 56 – Aplicación del estatuto general de contratación de la administración pública</w:t>
      </w:r>
    </w:p>
    <w:p w14:paraId="7E7D2DE3"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p>
    <w:p w14:paraId="23566683" w14:textId="77777777" w:rsidR="00206735" w:rsidRPr="00481FE5" w:rsidRDefault="00206735" w:rsidP="00206735">
      <w:pPr>
        <w:tabs>
          <w:tab w:val="left" w:pos="0"/>
        </w:tabs>
        <w:spacing w:after="0" w:line="240" w:lineRule="auto"/>
        <w:jc w:val="both"/>
        <w:rPr>
          <w:rFonts w:ascii="Arial" w:eastAsia="Calibri" w:hAnsi="Arial" w:cs="Arial"/>
          <w:sz w:val="20"/>
          <w:szCs w:val="20"/>
          <w:lang w:val="es-ES_tradnl" w:eastAsia="es-ES_tradnl"/>
        </w:rPr>
      </w:pPr>
      <w:r w:rsidRPr="00481FE5">
        <w:rPr>
          <w:rFonts w:ascii="Arial" w:eastAsia="Calibri" w:hAnsi="Arial" w:cs="Arial"/>
          <w:bCs/>
          <w:sz w:val="20"/>
          <w:szCs w:val="20"/>
          <w:lang w:val="es-ES_tradnl" w:eastAsia="es-ES_tradnl"/>
        </w:rPr>
        <w:t xml:space="preserve">Por tanto, el hecho de que la norma esté dirigida a las entidades sometidas al EGCAP, ,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44A76B9C" w14:textId="77777777" w:rsidR="00206735" w:rsidRPr="00481FE5" w:rsidRDefault="00206735" w:rsidP="00206735">
      <w:pPr>
        <w:spacing w:after="0" w:line="240" w:lineRule="auto"/>
        <w:contextualSpacing/>
        <w:jc w:val="both"/>
        <w:rPr>
          <w:rFonts w:ascii="Arial" w:eastAsia="Calibri" w:hAnsi="Arial" w:cs="Arial"/>
          <w:b/>
          <w:sz w:val="20"/>
          <w:szCs w:val="20"/>
          <w:lang w:val="es-ES_tradnl" w:eastAsia="es-ES_tradnl"/>
        </w:rPr>
      </w:pPr>
    </w:p>
    <w:p w14:paraId="65D8061A" w14:textId="77777777" w:rsidR="00206735" w:rsidRPr="00481FE5" w:rsidRDefault="00206735" w:rsidP="00206735">
      <w:pPr>
        <w:spacing w:after="0" w:line="240" w:lineRule="auto"/>
        <w:contextualSpacing/>
        <w:jc w:val="both"/>
        <w:rPr>
          <w:rFonts w:ascii="Arial" w:eastAsia="Calibri" w:hAnsi="Arial" w:cs="Arial"/>
          <w:b/>
          <w:lang w:val="es-ES_tradnl" w:eastAsia="es-ES_tradnl"/>
        </w:rPr>
      </w:pPr>
      <w:r w:rsidRPr="00481FE5">
        <w:rPr>
          <w:rFonts w:ascii="Arial" w:eastAsia="Calibri" w:hAnsi="Arial" w:cs="Arial"/>
          <w:b/>
          <w:lang w:val="es-ES_tradnl" w:eastAsia="es-ES_tradnl"/>
        </w:rPr>
        <w:t xml:space="preserve">LEY 2195 DE 2022 – Artículo 56 – Parágrafo – Excepciones – Giro ordinario </w:t>
      </w:r>
    </w:p>
    <w:p w14:paraId="2B6F09C2" w14:textId="77777777" w:rsidR="00206735" w:rsidRPr="00481FE5" w:rsidRDefault="00206735" w:rsidP="00206735">
      <w:pPr>
        <w:tabs>
          <w:tab w:val="left" w:pos="0"/>
        </w:tabs>
        <w:spacing w:after="0" w:line="240" w:lineRule="auto"/>
        <w:jc w:val="both"/>
        <w:rPr>
          <w:rFonts w:ascii="Arial" w:eastAsia="Times New Roman" w:hAnsi="Arial" w:cs="Arial"/>
          <w:sz w:val="20"/>
          <w:szCs w:val="20"/>
          <w:lang w:eastAsia="es-ES_tradnl"/>
        </w:rPr>
      </w:pPr>
    </w:p>
    <w:p w14:paraId="5DD62A0C" w14:textId="77777777" w:rsidR="00206735" w:rsidRPr="00481FE5" w:rsidRDefault="00206735" w:rsidP="00206735">
      <w:pPr>
        <w:tabs>
          <w:tab w:val="left" w:pos="0"/>
        </w:tabs>
        <w:spacing w:after="0" w:line="240" w:lineRule="auto"/>
        <w:jc w:val="both"/>
        <w:rPr>
          <w:rFonts w:ascii="Arial" w:eastAsia="Calibri" w:hAnsi="Arial" w:cs="Arial"/>
          <w:bCs/>
          <w:sz w:val="20"/>
          <w:szCs w:val="20"/>
          <w:lang w:val="es-ES_tradnl" w:eastAsia="es-ES_tradnl"/>
        </w:rPr>
      </w:pPr>
      <w:r w:rsidRPr="00481FE5">
        <w:rPr>
          <w:rFonts w:ascii="Arial" w:eastAsia="Times New Roman" w:hAnsi="Arial" w:cs="Arial"/>
          <w:sz w:val="20"/>
          <w:szCs w:val="20"/>
          <w:lang w:eastAsia="es-ES_tradnl"/>
        </w:rPr>
        <w:t>De otra parte,</w:t>
      </w:r>
      <w:r w:rsidRPr="00481FE5">
        <w:rPr>
          <w:rFonts w:ascii="Arial" w:eastAsia="Calibri" w:hAnsi="Arial" w:cs="Arial"/>
          <w:bCs/>
          <w:sz w:val="20"/>
          <w:szCs w:val="20"/>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481FE5">
        <w:rPr>
          <w:rFonts w:ascii="Arial" w:eastAsia="Calibri" w:hAnsi="Arial" w:cs="Arial"/>
          <w:bCs/>
          <w:i/>
          <w:iCs/>
          <w:sz w:val="20"/>
          <w:szCs w:val="20"/>
          <w:lang w:val="es-ES_tradnl" w:eastAsia="es-ES_tradnl"/>
        </w:rPr>
        <w:t>giro ordinario</w:t>
      </w:r>
      <w:r w:rsidRPr="00481FE5">
        <w:rPr>
          <w:rFonts w:ascii="Arial" w:eastAsia="Calibri" w:hAnsi="Arial" w:cs="Arial"/>
          <w:bCs/>
          <w:sz w:val="20"/>
          <w:szCs w:val="20"/>
          <w:lang w:val="es-ES_tradnl" w:eastAsia="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w:t>
      </w:r>
      <w:proofErr w:type="spellStart"/>
      <w:r w:rsidRPr="00481FE5">
        <w:rPr>
          <w:rFonts w:ascii="Arial" w:eastAsia="Calibri" w:hAnsi="Arial" w:cs="Arial"/>
          <w:bCs/>
          <w:sz w:val="20"/>
          <w:szCs w:val="20"/>
          <w:lang w:val="es-ES_tradnl" w:eastAsia="es-ES_tradnl"/>
        </w:rPr>
        <w:t>iv</w:t>
      </w:r>
      <w:proofErr w:type="spellEnd"/>
      <w:r w:rsidRPr="00481FE5">
        <w:rPr>
          <w:rFonts w:ascii="Arial" w:eastAsia="Calibri" w:hAnsi="Arial" w:cs="Arial"/>
          <w:bCs/>
          <w:sz w:val="20"/>
          <w:szCs w:val="20"/>
          <w:lang w:val="es-ES_tradnl" w:eastAsia="es-ES_tradnl"/>
        </w:rPr>
        <w:t xml:space="preserve">) las empresas industriales y comerciales del Estado, únicamente, en la contratación relacionada con el </w:t>
      </w:r>
      <w:r w:rsidRPr="00481FE5">
        <w:rPr>
          <w:rFonts w:ascii="Arial" w:eastAsia="Calibri" w:hAnsi="Arial" w:cs="Arial"/>
          <w:bCs/>
          <w:i/>
          <w:iCs/>
          <w:sz w:val="20"/>
          <w:szCs w:val="20"/>
          <w:lang w:val="es-ES_tradnl" w:eastAsia="es-ES_tradnl"/>
        </w:rPr>
        <w:t>giro ordinario.</w:t>
      </w:r>
      <w:r w:rsidRPr="00481FE5">
        <w:rPr>
          <w:rFonts w:ascii="Arial" w:eastAsia="Calibri" w:hAnsi="Arial" w:cs="Arial"/>
          <w:bCs/>
          <w:sz w:val="20"/>
          <w:szCs w:val="20"/>
          <w:lang w:val="es-ES_tradnl" w:eastAsia="es-ES_tradnl"/>
        </w:rPr>
        <w:t xml:space="preserve"> Esto significa que, en la contratación asociada a su </w:t>
      </w:r>
      <w:r w:rsidRPr="00481FE5">
        <w:rPr>
          <w:rFonts w:ascii="Arial" w:eastAsia="Calibri" w:hAnsi="Arial" w:cs="Arial"/>
          <w:bCs/>
          <w:i/>
          <w:iCs/>
          <w:sz w:val="20"/>
          <w:szCs w:val="20"/>
          <w:lang w:val="es-ES_tradnl" w:eastAsia="es-ES_tradnl"/>
        </w:rPr>
        <w:t xml:space="preserve">giro ordinario, </w:t>
      </w:r>
      <w:r w:rsidRPr="00481FE5">
        <w:rPr>
          <w:rFonts w:ascii="Arial" w:eastAsia="Calibri" w:hAnsi="Arial" w:cs="Arial"/>
          <w:bCs/>
          <w:sz w:val="20"/>
          <w:szCs w:val="20"/>
          <w:lang w:val="es-ES_tradnl" w:eastAsia="es-ES_tradnl"/>
        </w:rPr>
        <w:t>estos tipos de entidades no tendrían que aplicar, de manera obligatoria, los documentos tipo, ni tampoco el EGCAP.</w:t>
      </w:r>
      <w:r w:rsidRPr="00481FE5">
        <w:rPr>
          <w:rFonts w:ascii="Arial" w:eastAsia="Times New Roman" w:hAnsi="Arial" w:cs="Arial"/>
          <w:sz w:val="20"/>
          <w:szCs w:val="20"/>
          <w:lang w:eastAsia="es-ES_tradnl"/>
        </w:rPr>
        <w:t xml:space="preserve"> es decir, si entidades estatales exceptuadas pretenden ser adjudicatarias de estos contratos, no deben someterse a un proceso de selección en el que se apliquen documentos tipo expedidos por esta Agencia. </w:t>
      </w:r>
      <w:r w:rsidRPr="00481FE5">
        <w:rPr>
          <w:rFonts w:ascii="Arial" w:eastAsia="Calibri" w:hAnsi="Arial" w:cs="Arial"/>
          <w:bCs/>
          <w:sz w:val="20"/>
          <w:szCs w:val="20"/>
          <w:lang w:val="es-ES_tradnl" w:eastAsia="es-ES_tradnl"/>
        </w:rPr>
        <w:t xml:space="preserve">En este caso la norma se limita a fomentar </w:t>
      </w:r>
      <w:r w:rsidRPr="00481FE5">
        <w:rPr>
          <w:rFonts w:ascii="Arial" w:eastAsia="Calibri" w:hAnsi="Arial" w:cs="Arial"/>
          <w:bCs/>
          <w:sz w:val="20"/>
          <w:szCs w:val="20"/>
          <w:lang w:val="es-ES_tradnl" w:eastAsia="es-ES_tradnl"/>
        </w:rPr>
        <w:lastRenderedPageBreak/>
        <w:t xml:space="preserve">la implementación de documentos tipo a modo de buena práctica contractual, en los casos en los que se estime conveniente. </w:t>
      </w:r>
    </w:p>
    <w:p w14:paraId="7C17EEA4" w14:textId="77777777" w:rsidR="00206735" w:rsidRPr="00481FE5" w:rsidRDefault="00206735" w:rsidP="00206735">
      <w:pPr>
        <w:spacing w:after="0" w:line="240" w:lineRule="auto"/>
        <w:contextualSpacing/>
        <w:jc w:val="both"/>
        <w:rPr>
          <w:rFonts w:ascii="Arial" w:eastAsia="Calibri" w:hAnsi="Arial" w:cs="Arial"/>
          <w:b/>
          <w:sz w:val="20"/>
          <w:szCs w:val="20"/>
          <w:lang w:val="es-ES_tradnl" w:eastAsia="es-ES_tradnl"/>
        </w:rPr>
      </w:pPr>
    </w:p>
    <w:p w14:paraId="3D2AF314" w14:textId="77777777" w:rsidR="00206735" w:rsidRPr="00481FE5" w:rsidRDefault="00206735" w:rsidP="00206735">
      <w:pPr>
        <w:spacing w:after="0" w:line="240" w:lineRule="auto"/>
        <w:contextualSpacing/>
        <w:jc w:val="both"/>
        <w:rPr>
          <w:rFonts w:ascii="Arial" w:eastAsia="Calibri" w:hAnsi="Arial" w:cs="Arial"/>
          <w:b/>
          <w:lang w:val="es-ES_tradnl" w:eastAsia="es-ES_tradnl"/>
        </w:rPr>
      </w:pPr>
      <w:r w:rsidRPr="00481FE5">
        <w:rPr>
          <w:rFonts w:ascii="Arial" w:eastAsia="Calibri" w:hAnsi="Arial" w:cs="Arial"/>
          <w:b/>
          <w:lang w:val="es-ES_tradnl" w:eastAsia="es-ES_tradnl"/>
        </w:rPr>
        <w:t xml:space="preserve">LEY 2195 DE 2022 – Artículo 56 – Subcontratación – Contratación derivada </w:t>
      </w:r>
    </w:p>
    <w:p w14:paraId="33BC1684" w14:textId="77777777" w:rsidR="00206735" w:rsidRPr="00481FE5" w:rsidRDefault="00206735" w:rsidP="00206735">
      <w:pPr>
        <w:spacing w:after="0" w:line="240" w:lineRule="auto"/>
        <w:jc w:val="both"/>
        <w:rPr>
          <w:rFonts w:ascii="Arial" w:hAnsi="Arial" w:cs="Arial"/>
          <w:sz w:val="20"/>
          <w:szCs w:val="20"/>
          <w:lang w:val="es-ES"/>
        </w:rPr>
      </w:pPr>
    </w:p>
    <w:p w14:paraId="51B88E09" w14:textId="77777777" w:rsidR="00206735" w:rsidRPr="00481FE5" w:rsidRDefault="00206735" w:rsidP="00206735">
      <w:pPr>
        <w:spacing w:after="0" w:line="240" w:lineRule="auto"/>
        <w:jc w:val="both"/>
        <w:rPr>
          <w:rFonts w:ascii="Arial" w:eastAsia="Times New Roman" w:hAnsi="Arial" w:cs="Arial"/>
          <w:sz w:val="20"/>
          <w:szCs w:val="20"/>
          <w:lang w:eastAsia="es-ES_tradnl"/>
        </w:rPr>
      </w:pPr>
      <w:r w:rsidRPr="00481FE5">
        <w:rPr>
          <w:rFonts w:ascii="Arial" w:hAnsi="Arial" w:cs="Arial"/>
          <w:sz w:val="20"/>
          <w:szCs w:val="20"/>
          <w:lang w:val="es-ES"/>
        </w:rPr>
        <w:t>Teniendo en cuenta lo expuesto, l</w:t>
      </w:r>
      <w:r w:rsidRPr="00481FE5">
        <w:rPr>
          <w:rFonts w:ascii="Arial" w:eastAsia="Times New Roman" w:hAnsi="Arial" w:cs="Arial"/>
          <w:sz w:val="20"/>
          <w:szCs w:val="20"/>
          <w:lang w:eastAsia="es-ES_tradnl"/>
        </w:rPr>
        <w:t>a subcontratación supone la celebración de un contrato eventual y accesorio, entre un contratista del Estado y un tercero, sin que aquel tenga el deber, por regla general, de agotar un procedimiento previo de selección, y por medio del cual el segundo sustituye parcial y materialmente al primero, quien conserva la dirección general del proyecto y es responsable ante la Entidad Estatal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w:t>
      </w:r>
    </w:p>
    <w:p w14:paraId="302DBF12" w14:textId="77777777" w:rsidR="00206735" w:rsidRPr="00481FE5" w:rsidRDefault="00206735" w:rsidP="00206735">
      <w:pPr>
        <w:spacing w:after="0" w:line="240" w:lineRule="auto"/>
        <w:contextualSpacing/>
        <w:jc w:val="both"/>
        <w:rPr>
          <w:rFonts w:ascii="Arial" w:eastAsia="Times New Roman" w:hAnsi="Arial" w:cs="Arial"/>
          <w:sz w:val="20"/>
          <w:szCs w:val="20"/>
          <w:lang w:eastAsia="es-ES_tradnl"/>
        </w:rPr>
      </w:pPr>
    </w:p>
    <w:p w14:paraId="6607DA2C" w14:textId="77777777" w:rsidR="00206735" w:rsidRPr="00481FE5" w:rsidRDefault="00206735" w:rsidP="00206735">
      <w:pPr>
        <w:spacing w:after="0" w:line="240" w:lineRule="auto"/>
        <w:contextualSpacing/>
        <w:jc w:val="both"/>
        <w:rPr>
          <w:rFonts w:ascii="Arial" w:eastAsia="Calibri" w:hAnsi="Arial" w:cs="Arial"/>
          <w:b/>
          <w:sz w:val="20"/>
          <w:szCs w:val="20"/>
          <w:lang w:val="es-ES_tradnl" w:eastAsia="es-ES_tradnl"/>
        </w:rPr>
      </w:pPr>
      <w:r w:rsidRPr="00481FE5">
        <w:rPr>
          <w:rFonts w:ascii="Arial" w:eastAsia="Times New Roman" w:hAnsi="Arial" w:cs="Arial"/>
          <w:sz w:val="20"/>
          <w:szCs w:val="20"/>
          <w:lang w:eastAsia="es-ES_tradnl"/>
        </w:rPr>
        <w:t>Con base en estos elementos, debe tenerse en cuenta que la situación de los subcontratistas no hace parte de aquella circunstancia que quiso regular el artículo objeto de estudio. E</w:t>
      </w:r>
      <w:r w:rsidRPr="00481FE5">
        <w:rPr>
          <w:rFonts w:ascii="Arial" w:eastAsia="Calibri" w:hAnsi="Arial" w:cs="Arial"/>
          <w:sz w:val="20"/>
          <w:szCs w:val="20"/>
          <w:lang w:val="es-ES_tradnl" w:eastAsia="es-ES_tradnl"/>
        </w:rPr>
        <w:t>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general de contratación pública con el respectivo sujeto de derecho privado, sin mencionar en ningún momento a los subcontratos o la contratación derivada de aquellos.</w:t>
      </w:r>
    </w:p>
    <w:p w14:paraId="23CA37D2" w14:textId="77777777" w:rsidR="00206735" w:rsidRDefault="00206735" w:rsidP="001F57E2">
      <w:pPr>
        <w:spacing w:after="0" w:line="276" w:lineRule="auto"/>
        <w:jc w:val="both"/>
        <w:rPr>
          <w:rFonts w:ascii="Arial" w:eastAsia="Geomanist Light" w:hAnsi="Arial" w:cs="Arial"/>
          <w:color w:val="000000" w:themeColor="text1"/>
          <w:lang w:val="es-MX"/>
        </w:rPr>
      </w:pPr>
    </w:p>
    <w:p w14:paraId="0349FCD5" w14:textId="77777777" w:rsidR="00206735" w:rsidRDefault="00206735" w:rsidP="001F57E2">
      <w:pPr>
        <w:spacing w:after="0" w:line="276" w:lineRule="auto"/>
        <w:jc w:val="both"/>
        <w:rPr>
          <w:rFonts w:ascii="Arial" w:eastAsia="Geomanist Light" w:hAnsi="Arial" w:cs="Arial"/>
          <w:color w:val="000000" w:themeColor="text1"/>
          <w:lang w:val="es-MX"/>
        </w:rPr>
      </w:pPr>
    </w:p>
    <w:p w14:paraId="52A65D79" w14:textId="77777777" w:rsidR="00206735" w:rsidRDefault="00206735" w:rsidP="001F57E2">
      <w:pPr>
        <w:spacing w:after="0" w:line="276" w:lineRule="auto"/>
        <w:jc w:val="both"/>
        <w:rPr>
          <w:rFonts w:ascii="Arial" w:eastAsia="Geomanist Light" w:hAnsi="Arial" w:cs="Arial"/>
          <w:color w:val="000000" w:themeColor="text1"/>
          <w:lang w:val="es-MX"/>
        </w:rPr>
      </w:pPr>
    </w:p>
    <w:p w14:paraId="29C86E58" w14:textId="77777777" w:rsidR="00206735" w:rsidRDefault="00206735" w:rsidP="001F57E2">
      <w:pPr>
        <w:spacing w:after="0" w:line="276" w:lineRule="auto"/>
        <w:jc w:val="both"/>
        <w:rPr>
          <w:rFonts w:ascii="Arial" w:eastAsia="Geomanist Light" w:hAnsi="Arial" w:cs="Arial"/>
          <w:color w:val="000000" w:themeColor="text1"/>
          <w:lang w:val="es-MX"/>
        </w:rPr>
      </w:pPr>
    </w:p>
    <w:p w14:paraId="25A35263" w14:textId="77777777" w:rsidR="00206735" w:rsidRDefault="00206735" w:rsidP="001F57E2">
      <w:pPr>
        <w:spacing w:after="0" w:line="276" w:lineRule="auto"/>
        <w:jc w:val="both"/>
        <w:rPr>
          <w:rFonts w:ascii="Arial" w:eastAsia="Geomanist Light" w:hAnsi="Arial" w:cs="Arial"/>
          <w:color w:val="000000" w:themeColor="text1"/>
          <w:lang w:val="es-MX"/>
        </w:rPr>
      </w:pPr>
    </w:p>
    <w:p w14:paraId="5E950A08" w14:textId="77777777" w:rsidR="00206735" w:rsidRDefault="00206735" w:rsidP="001F57E2">
      <w:pPr>
        <w:spacing w:after="0" w:line="276" w:lineRule="auto"/>
        <w:jc w:val="both"/>
        <w:rPr>
          <w:rFonts w:ascii="Arial" w:eastAsia="Geomanist Light" w:hAnsi="Arial" w:cs="Arial"/>
          <w:color w:val="000000" w:themeColor="text1"/>
          <w:lang w:val="es-MX"/>
        </w:rPr>
      </w:pPr>
    </w:p>
    <w:p w14:paraId="4ABF9587" w14:textId="77777777" w:rsidR="00206735" w:rsidRDefault="00206735" w:rsidP="001F57E2">
      <w:pPr>
        <w:spacing w:after="0" w:line="276" w:lineRule="auto"/>
        <w:jc w:val="both"/>
        <w:rPr>
          <w:rFonts w:ascii="Arial" w:eastAsia="Geomanist Light" w:hAnsi="Arial" w:cs="Arial"/>
          <w:color w:val="000000" w:themeColor="text1"/>
          <w:lang w:val="es-MX"/>
        </w:rPr>
      </w:pPr>
    </w:p>
    <w:p w14:paraId="2AB4DAFE" w14:textId="77777777" w:rsidR="00206735" w:rsidRDefault="00206735" w:rsidP="001F57E2">
      <w:pPr>
        <w:spacing w:after="0" w:line="276" w:lineRule="auto"/>
        <w:jc w:val="both"/>
        <w:rPr>
          <w:rFonts w:ascii="Arial" w:eastAsia="Geomanist Light" w:hAnsi="Arial" w:cs="Arial"/>
          <w:color w:val="000000" w:themeColor="text1"/>
          <w:lang w:val="es-MX"/>
        </w:rPr>
      </w:pPr>
    </w:p>
    <w:p w14:paraId="3B3818FF" w14:textId="77777777" w:rsidR="00206735" w:rsidRDefault="00206735" w:rsidP="001F57E2">
      <w:pPr>
        <w:spacing w:after="0" w:line="276" w:lineRule="auto"/>
        <w:jc w:val="both"/>
        <w:rPr>
          <w:rFonts w:ascii="Arial" w:eastAsia="Geomanist Light" w:hAnsi="Arial" w:cs="Arial"/>
          <w:color w:val="000000" w:themeColor="text1"/>
          <w:lang w:val="es-MX"/>
        </w:rPr>
      </w:pPr>
    </w:p>
    <w:p w14:paraId="6128097E" w14:textId="77777777" w:rsidR="00206735" w:rsidRDefault="00206735" w:rsidP="001F57E2">
      <w:pPr>
        <w:spacing w:after="0" w:line="276" w:lineRule="auto"/>
        <w:jc w:val="both"/>
        <w:rPr>
          <w:rFonts w:ascii="Arial" w:eastAsia="Geomanist Light" w:hAnsi="Arial" w:cs="Arial"/>
          <w:color w:val="000000" w:themeColor="text1"/>
          <w:lang w:val="es-MX"/>
        </w:rPr>
      </w:pPr>
    </w:p>
    <w:p w14:paraId="3AC34A39" w14:textId="77777777" w:rsidR="00206735" w:rsidRDefault="00206735" w:rsidP="001F57E2">
      <w:pPr>
        <w:spacing w:after="0" w:line="276" w:lineRule="auto"/>
        <w:jc w:val="both"/>
        <w:rPr>
          <w:rFonts w:ascii="Arial" w:eastAsia="Geomanist Light" w:hAnsi="Arial" w:cs="Arial"/>
          <w:color w:val="000000" w:themeColor="text1"/>
          <w:lang w:val="es-MX"/>
        </w:rPr>
      </w:pPr>
    </w:p>
    <w:p w14:paraId="2576FD61" w14:textId="77777777" w:rsidR="00206735" w:rsidRDefault="00206735" w:rsidP="001F57E2">
      <w:pPr>
        <w:spacing w:after="0" w:line="276" w:lineRule="auto"/>
        <w:jc w:val="both"/>
        <w:rPr>
          <w:rFonts w:ascii="Arial" w:eastAsia="Geomanist Light" w:hAnsi="Arial" w:cs="Arial"/>
          <w:color w:val="000000" w:themeColor="text1"/>
          <w:lang w:val="es-MX"/>
        </w:rPr>
      </w:pPr>
    </w:p>
    <w:p w14:paraId="073017E1" w14:textId="77777777" w:rsidR="00206735" w:rsidRDefault="00206735" w:rsidP="001F57E2">
      <w:pPr>
        <w:spacing w:after="0" w:line="276" w:lineRule="auto"/>
        <w:jc w:val="both"/>
        <w:rPr>
          <w:rFonts w:ascii="Arial" w:eastAsia="Geomanist Light" w:hAnsi="Arial" w:cs="Arial"/>
          <w:color w:val="000000" w:themeColor="text1"/>
          <w:lang w:val="es-MX"/>
        </w:rPr>
      </w:pPr>
    </w:p>
    <w:p w14:paraId="2B9154AD" w14:textId="77777777" w:rsidR="00206735" w:rsidRDefault="00206735" w:rsidP="001F57E2">
      <w:pPr>
        <w:spacing w:after="0" w:line="276" w:lineRule="auto"/>
        <w:jc w:val="both"/>
        <w:rPr>
          <w:rFonts w:ascii="Arial" w:eastAsia="Geomanist Light" w:hAnsi="Arial" w:cs="Arial"/>
          <w:color w:val="000000" w:themeColor="text1"/>
          <w:lang w:val="es-MX"/>
        </w:rPr>
      </w:pPr>
    </w:p>
    <w:p w14:paraId="60A14E95" w14:textId="77777777" w:rsidR="00206735" w:rsidRDefault="00206735" w:rsidP="001F57E2">
      <w:pPr>
        <w:spacing w:after="0" w:line="276" w:lineRule="auto"/>
        <w:jc w:val="both"/>
        <w:rPr>
          <w:rFonts w:ascii="Arial" w:eastAsia="Geomanist Light" w:hAnsi="Arial" w:cs="Arial"/>
          <w:color w:val="000000" w:themeColor="text1"/>
          <w:lang w:val="es-MX"/>
        </w:rPr>
      </w:pPr>
    </w:p>
    <w:p w14:paraId="56BB600A" w14:textId="77777777" w:rsidR="00206735" w:rsidRDefault="00206735" w:rsidP="001F57E2">
      <w:pPr>
        <w:spacing w:after="0" w:line="276" w:lineRule="auto"/>
        <w:jc w:val="both"/>
        <w:rPr>
          <w:rFonts w:ascii="Arial" w:eastAsia="Geomanist Light" w:hAnsi="Arial" w:cs="Arial"/>
          <w:color w:val="000000" w:themeColor="text1"/>
          <w:lang w:val="es-MX"/>
        </w:rPr>
      </w:pPr>
    </w:p>
    <w:p w14:paraId="212A75E1" w14:textId="77777777" w:rsidR="00206735" w:rsidRDefault="00206735" w:rsidP="001F57E2">
      <w:pPr>
        <w:spacing w:after="0" w:line="276" w:lineRule="auto"/>
        <w:jc w:val="both"/>
        <w:rPr>
          <w:rFonts w:ascii="Arial" w:eastAsia="Geomanist Light" w:hAnsi="Arial" w:cs="Arial"/>
          <w:color w:val="000000" w:themeColor="text1"/>
          <w:lang w:val="es-MX"/>
        </w:rPr>
      </w:pPr>
    </w:p>
    <w:p w14:paraId="0EEC303D" w14:textId="77777777" w:rsidR="00206735" w:rsidRDefault="00206735" w:rsidP="001F57E2">
      <w:pPr>
        <w:spacing w:after="0" w:line="276" w:lineRule="auto"/>
        <w:jc w:val="both"/>
        <w:rPr>
          <w:rFonts w:ascii="Arial" w:eastAsia="Geomanist Light" w:hAnsi="Arial" w:cs="Arial"/>
          <w:color w:val="000000" w:themeColor="text1"/>
          <w:lang w:val="es-MX"/>
        </w:rPr>
      </w:pPr>
    </w:p>
    <w:p w14:paraId="1821FB68" w14:textId="77777777" w:rsidR="00206735" w:rsidRDefault="00206735" w:rsidP="001F57E2">
      <w:pPr>
        <w:spacing w:after="0" w:line="276" w:lineRule="auto"/>
        <w:jc w:val="both"/>
        <w:rPr>
          <w:rFonts w:ascii="Arial" w:eastAsia="Geomanist Light" w:hAnsi="Arial" w:cs="Arial"/>
          <w:color w:val="000000" w:themeColor="text1"/>
          <w:lang w:val="es-MX"/>
        </w:rPr>
      </w:pPr>
    </w:p>
    <w:p w14:paraId="74F1107E" w14:textId="77777777" w:rsidR="00206735" w:rsidRDefault="00206735" w:rsidP="001F57E2">
      <w:pPr>
        <w:spacing w:after="0" w:line="276" w:lineRule="auto"/>
        <w:jc w:val="both"/>
        <w:rPr>
          <w:rFonts w:ascii="Arial" w:eastAsia="Geomanist Light" w:hAnsi="Arial" w:cs="Arial"/>
          <w:color w:val="000000" w:themeColor="text1"/>
          <w:lang w:val="es-MX"/>
        </w:rPr>
      </w:pPr>
    </w:p>
    <w:p w14:paraId="76F2139F" w14:textId="77777777" w:rsidR="00206735" w:rsidRDefault="00206735" w:rsidP="001F57E2">
      <w:pPr>
        <w:spacing w:after="0" w:line="276" w:lineRule="auto"/>
        <w:jc w:val="both"/>
        <w:rPr>
          <w:rFonts w:ascii="Arial" w:eastAsia="Geomanist Light" w:hAnsi="Arial" w:cs="Arial"/>
          <w:color w:val="000000" w:themeColor="text1"/>
          <w:lang w:val="es-MX"/>
        </w:rPr>
      </w:pPr>
    </w:p>
    <w:p w14:paraId="30316259" w14:textId="1FCC2D49" w:rsidR="001F57E2" w:rsidRDefault="001F57E2" w:rsidP="001F57E2">
      <w:pPr>
        <w:spacing w:after="0" w:line="276" w:lineRule="auto"/>
        <w:jc w:val="both"/>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 </w:t>
      </w:r>
      <w:r w:rsidR="00E948F3" w:rsidRPr="00E948F3">
        <w:rPr>
          <w:rFonts w:ascii="Arial" w:eastAsia="Geomanist Light" w:hAnsi="Arial" w:cs="Arial"/>
          <w:color w:val="201F1E"/>
          <w:lang w:val="es-MX"/>
        </w:rPr>
        <w:t>27 de Septiembre de 2023</w:t>
      </w:r>
    </w:p>
    <w:p w14:paraId="7196B663" w14:textId="77777777" w:rsidR="001F57E2" w:rsidRDefault="001F57E2" w:rsidP="001F57E2">
      <w:pPr>
        <w:spacing w:after="0" w:line="276" w:lineRule="auto"/>
        <w:jc w:val="both"/>
        <w:rPr>
          <w:rFonts w:ascii="Arial" w:eastAsia="Times New Roman" w:hAnsi="Arial" w:cs="Arial"/>
          <w:bCs/>
          <w:lang w:val="es-MX" w:eastAsia="es-ES"/>
        </w:rPr>
      </w:pPr>
    </w:p>
    <w:p w14:paraId="61811E39" w14:textId="28F947F9" w:rsidR="00E948F3" w:rsidRDefault="00E948F3" w:rsidP="00E948F3">
      <w:pPr>
        <w:spacing w:after="0" w:line="276" w:lineRule="auto"/>
        <w:jc w:val="right"/>
        <w:rPr>
          <w:rFonts w:ascii="Arial" w:eastAsia="Times New Roman" w:hAnsi="Arial" w:cs="Arial"/>
          <w:bCs/>
          <w:lang w:val="es-MX" w:eastAsia="es-ES"/>
        </w:rPr>
      </w:pPr>
      <w:r>
        <w:rPr>
          <w:rFonts w:ascii="Arial" w:eastAsia="Times New Roman" w:hAnsi="Arial" w:cs="Arial"/>
          <w:bCs/>
          <w:noProof/>
          <w:lang w:val="es-MX" w:eastAsia="es-ES"/>
        </w:rPr>
        <w:drawing>
          <wp:inline distT="0" distB="0" distL="0" distR="0" wp14:anchorId="56F61C2F" wp14:editId="24D33691">
            <wp:extent cx="2952115" cy="714375"/>
            <wp:effectExtent l="0" t="0" r="635" b="9525"/>
            <wp:docPr id="680350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714375"/>
                    </a:xfrm>
                    <a:prstGeom prst="rect">
                      <a:avLst/>
                    </a:prstGeom>
                    <a:noFill/>
                    <a:ln>
                      <a:noFill/>
                    </a:ln>
                  </pic:spPr>
                </pic:pic>
              </a:graphicData>
            </a:graphic>
          </wp:inline>
        </w:drawing>
      </w:r>
    </w:p>
    <w:p w14:paraId="3DDFEDCC" w14:textId="77777777" w:rsidR="001F57E2" w:rsidRPr="00044F0D" w:rsidRDefault="001F57E2" w:rsidP="001F57E2">
      <w:pPr>
        <w:spacing w:after="0"/>
        <w:rPr>
          <w:rFonts w:ascii="Arial" w:eastAsia="Times New Roman" w:hAnsi="Arial" w:cs="Arial"/>
          <w:bCs/>
          <w:lang w:val="es-MX" w:eastAsia="es-ES"/>
        </w:rPr>
      </w:pPr>
    </w:p>
    <w:p w14:paraId="52B2926F" w14:textId="77777777" w:rsidR="001F57E2" w:rsidRPr="00C046D8" w:rsidRDefault="001F57E2" w:rsidP="001F57E2">
      <w:pPr>
        <w:spacing w:after="0"/>
        <w:contextualSpacing/>
        <w:jc w:val="both"/>
        <w:rPr>
          <w:rFonts w:ascii="Arial" w:eastAsia="Calibri" w:hAnsi="Arial" w:cs="Arial"/>
          <w:lang w:val="es-ES_tradnl" w:eastAsia="es-ES_tradnl"/>
        </w:rPr>
      </w:pPr>
      <w:r>
        <w:rPr>
          <w:rFonts w:ascii="Arial" w:eastAsia="Calibri" w:hAnsi="Arial" w:cs="Arial"/>
          <w:lang w:val="es-ES_tradnl" w:eastAsia="es-ES_tradnl"/>
        </w:rPr>
        <w:t>Doctor</w:t>
      </w:r>
    </w:p>
    <w:p w14:paraId="27A898AC" w14:textId="77777777" w:rsidR="001F57E2" w:rsidRDefault="001F57E2" w:rsidP="001F57E2">
      <w:pPr>
        <w:spacing w:after="0"/>
        <w:contextualSpacing/>
        <w:jc w:val="both"/>
        <w:rPr>
          <w:rFonts w:ascii="Arial" w:eastAsia="Times New Roman" w:hAnsi="Arial" w:cs="Arial"/>
          <w:b/>
          <w:bCs/>
          <w:lang w:val="es-MX" w:eastAsia="es-ES_tradnl"/>
        </w:rPr>
      </w:pPr>
      <w:proofErr w:type="spellStart"/>
      <w:r w:rsidRPr="005F57B8">
        <w:rPr>
          <w:rFonts w:ascii="Arial" w:eastAsia="Times New Roman" w:hAnsi="Arial" w:cs="Arial"/>
          <w:b/>
          <w:bCs/>
          <w:lang w:val="es-MX" w:eastAsia="es-ES_tradnl"/>
        </w:rPr>
        <w:t>Calmides</w:t>
      </w:r>
      <w:proofErr w:type="spellEnd"/>
      <w:r w:rsidRPr="005F57B8">
        <w:rPr>
          <w:rFonts w:ascii="Arial" w:eastAsia="Times New Roman" w:hAnsi="Arial" w:cs="Arial"/>
          <w:b/>
          <w:bCs/>
          <w:lang w:val="es-MX" w:eastAsia="es-ES_tradnl"/>
        </w:rPr>
        <w:t xml:space="preserve"> </w:t>
      </w:r>
      <w:proofErr w:type="spellStart"/>
      <w:r w:rsidRPr="005F57B8">
        <w:rPr>
          <w:rFonts w:ascii="Arial" w:eastAsia="Times New Roman" w:hAnsi="Arial" w:cs="Arial"/>
          <w:b/>
          <w:bCs/>
          <w:lang w:val="es-MX" w:eastAsia="es-ES_tradnl"/>
        </w:rPr>
        <w:t>Adaulfo</w:t>
      </w:r>
      <w:proofErr w:type="spellEnd"/>
      <w:r w:rsidRPr="005F57B8">
        <w:rPr>
          <w:rFonts w:ascii="Arial" w:eastAsia="Times New Roman" w:hAnsi="Arial" w:cs="Arial"/>
          <w:b/>
          <w:bCs/>
          <w:lang w:val="es-MX" w:eastAsia="es-ES_tradnl"/>
        </w:rPr>
        <w:t xml:space="preserve"> González Prieto</w:t>
      </w:r>
    </w:p>
    <w:p w14:paraId="09F5CAFD" w14:textId="77777777" w:rsidR="001F57E2" w:rsidRDefault="001F57E2" w:rsidP="001F57E2">
      <w:pPr>
        <w:spacing w:after="0"/>
        <w:contextualSpacing/>
        <w:jc w:val="both"/>
        <w:rPr>
          <w:rFonts w:ascii="Arial" w:eastAsia="Times New Roman" w:hAnsi="Arial" w:cs="Arial"/>
          <w:lang w:val="es-MX" w:eastAsia="es-ES_tradnl"/>
        </w:rPr>
      </w:pPr>
      <w:r>
        <w:rPr>
          <w:rFonts w:ascii="Arial" w:eastAsia="Times New Roman" w:hAnsi="Arial" w:cs="Arial"/>
          <w:lang w:val="es-MX" w:eastAsia="es-ES_tradnl"/>
        </w:rPr>
        <w:t>Gerente General del Hospital de Nazareth E.S.E</w:t>
      </w:r>
    </w:p>
    <w:p w14:paraId="357910D8" w14:textId="77777777" w:rsidR="001F57E2" w:rsidRPr="00C046D8" w:rsidRDefault="001F57E2" w:rsidP="001F57E2">
      <w:pPr>
        <w:spacing w:after="0"/>
        <w:contextualSpacing/>
        <w:jc w:val="both"/>
        <w:rPr>
          <w:rFonts w:ascii="Arial" w:eastAsia="Calibri" w:hAnsi="Arial" w:cs="Arial"/>
          <w:lang w:val="es-ES_tradnl" w:eastAsia="es-ES_tradnl"/>
        </w:rPr>
      </w:pPr>
      <w:r w:rsidRPr="005F57B8">
        <w:rPr>
          <w:rFonts w:ascii="Arial" w:eastAsia="Calibri" w:hAnsi="Arial" w:cs="Arial"/>
          <w:lang w:val="es-ES_tradnl" w:eastAsia="es-ES_tradnl"/>
        </w:rPr>
        <w:t>Riohacha, La Guajira</w:t>
      </w:r>
      <w:r w:rsidRPr="00C046D8">
        <w:rPr>
          <w:rFonts w:ascii="Arial" w:eastAsia="Calibri" w:hAnsi="Arial" w:cs="Arial"/>
          <w:lang w:val="es-ES_tradnl" w:eastAsia="es-ES_tradnl"/>
        </w:rPr>
        <w:t xml:space="preserve"> </w:t>
      </w:r>
    </w:p>
    <w:p w14:paraId="00880C82" w14:textId="77777777" w:rsidR="001F57E2" w:rsidRDefault="001F57E2" w:rsidP="001F57E2">
      <w:pPr>
        <w:spacing w:after="0"/>
        <w:contextualSpacing/>
        <w:rPr>
          <w:rFonts w:ascii="Arial" w:eastAsia="Calibri" w:hAnsi="Arial" w:cs="Arial"/>
          <w:b/>
          <w:bCs/>
          <w:lang w:val="es-ES_tradnl" w:eastAsia="es-ES_tradnl"/>
        </w:rPr>
      </w:pPr>
    </w:p>
    <w:p w14:paraId="7E548920" w14:textId="77777777" w:rsidR="001F57E2" w:rsidRPr="00C046D8" w:rsidRDefault="001F57E2" w:rsidP="001F57E2">
      <w:pPr>
        <w:spacing w:after="0"/>
        <w:contextualSpacing/>
        <w:rPr>
          <w:rFonts w:ascii="Arial" w:eastAsia="Calibri" w:hAnsi="Arial" w:cs="Arial"/>
          <w:b/>
          <w:bCs/>
          <w:lang w:val="es-ES_tradnl" w:eastAsia="es-ES_tradnl"/>
        </w:rPr>
      </w:pPr>
    </w:p>
    <w:p w14:paraId="0C1D8FC8" w14:textId="77777777" w:rsidR="001F57E2" w:rsidRPr="00C046D8" w:rsidRDefault="001F57E2" w:rsidP="001F57E2">
      <w:pPr>
        <w:spacing w:after="0"/>
        <w:contextualSpacing/>
        <w:rPr>
          <w:rFonts w:ascii="Arial" w:eastAsia="Calibri" w:hAnsi="Arial" w:cs="Arial"/>
          <w:b/>
          <w:bCs/>
          <w:lang w:val="es-ES_tradnl" w:eastAsia="es-ES_tradnl"/>
        </w:rPr>
      </w:pPr>
      <w:r>
        <w:rPr>
          <w:rFonts w:ascii="Arial" w:eastAsia="Calibri" w:hAnsi="Arial" w:cs="Arial"/>
          <w:b/>
          <w:bCs/>
          <w:lang w:val="es-ES_tradnl" w:eastAsia="es-ES_tradnl"/>
        </w:rPr>
        <w:t xml:space="preserve">                                            </w:t>
      </w: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399</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 xml:space="preserve">3 </w:t>
      </w:r>
    </w:p>
    <w:p w14:paraId="6521B41C" w14:textId="77777777" w:rsidR="001F57E2" w:rsidRPr="00C046D8" w:rsidRDefault="001F57E2" w:rsidP="001F57E2">
      <w:pPr>
        <w:spacing w:after="0"/>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F57E2" w:rsidRPr="00C046D8" w14:paraId="1CF976C7" w14:textId="77777777" w:rsidTr="000A2E6D">
        <w:tc>
          <w:tcPr>
            <w:tcW w:w="2689" w:type="dxa"/>
          </w:tcPr>
          <w:p w14:paraId="590788D0" w14:textId="77777777" w:rsidR="001F57E2" w:rsidRPr="00C046D8" w:rsidRDefault="001F57E2" w:rsidP="000A2E6D">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111869F5" w14:textId="77777777" w:rsidR="001F57E2" w:rsidRPr="00C046D8" w:rsidRDefault="001F57E2" w:rsidP="000A2E6D">
            <w:pPr>
              <w:contextualSpacing/>
              <w:jc w:val="both"/>
              <w:rPr>
                <w:rFonts w:ascii="Arial" w:eastAsia="Calibri" w:hAnsi="Arial" w:cs="Arial"/>
                <w:bCs/>
                <w:lang w:val="es-ES_tradnl" w:eastAsia="es-ES_tradnl"/>
              </w:rPr>
            </w:pPr>
            <w:r w:rsidRPr="00481FE5">
              <w:rPr>
                <w:rFonts w:ascii="Arial" w:eastAsia="Calibri" w:hAnsi="Arial" w:cs="Arial"/>
                <w:bCs/>
                <w:lang w:val="es-ES_tradnl" w:eastAsia="es-ES_tradnl"/>
              </w:rPr>
              <w:t>DOCUMENTOS TIPO – Fundamento normativo – Ley 1882 de 2018 / DOCUMENTOS TIPO – Fundamento normativo – Ley 2022 de 2020 / LEY 2195 DE 2022 – Artículo 56 – Ámbito de aplicación / LEY 2195 DE 2022 – Artículo 56 – Finalidad / LEY 2195 DE 2022 – Artículo 56 – Incisos 1 y 2 – Interpretación conjunta / LEY 2195 DE 2022 – Artículo 56 – Aplicación del estatuto general de contratación de la administración pública / LEY 2195 DE 2022 – Artículo 56 – Parágrafo – Excepciones – Giro ordinario / LEY 2195 DE 2022 – Artículo 56 – Subcontratación – Contratación derivada</w:t>
            </w:r>
            <w:r w:rsidRPr="005656E1">
              <w:rPr>
                <w:rFonts w:ascii="Arial" w:eastAsia="Calibri" w:hAnsi="Arial" w:cs="Arial"/>
                <w:bCs/>
                <w:lang w:val="es-ES_tradnl" w:eastAsia="es-ES_tradnl"/>
              </w:rPr>
              <w:t xml:space="preserve"> </w:t>
            </w:r>
            <w:r>
              <w:rPr>
                <w:rFonts w:ascii="Arial" w:eastAsia="Calibri" w:hAnsi="Arial" w:cs="Arial"/>
                <w:bCs/>
                <w:lang w:val="es-ES_tradnl" w:eastAsia="es-ES_tradnl"/>
              </w:rPr>
              <w:t xml:space="preserve">   </w:t>
            </w:r>
          </w:p>
          <w:p w14:paraId="70A5A009" w14:textId="77777777" w:rsidR="001F57E2" w:rsidRPr="009769B6" w:rsidRDefault="001F57E2" w:rsidP="000A2E6D">
            <w:pPr>
              <w:contextualSpacing/>
              <w:jc w:val="both"/>
              <w:rPr>
                <w:rFonts w:ascii="Arial" w:eastAsia="Calibri" w:hAnsi="Arial" w:cs="Arial"/>
                <w:sz w:val="12"/>
                <w:szCs w:val="12"/>
                <w:lang w:val="es-ES_tradnl" w:eastAsia="es-ES_tradnl"/>
              </w:rPr>
            </w:pPr>
          </w:p>
        </w:tc>
      </w:tr>
      <w:tr w:rsidR="001F57E2" w:rsidRPr="00C046D8" w14:paraId="1039458F" w14:textId="77777777" w:rsidTr="000A2E6D">
        <w:trPr>
          <w:trHeight w:val="227"/>
        </w:trPr>
        <w:tc>
          <w:tcPr>
            <w:tcW w:w="2689" w:type="dxa"/>
          </w:tcPr>
          <w:p w14:paraId="294E6D5C" w14:textId="77777777" w:rsidR="001F57E2" w:rsidRPr="00C046D8" w:rsidRDefault="001F57E2" w:rsidP="000A2E6D">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40C63DAF" w14:textId="77777777" w:rsidR="001F57E2" w:rsidRPr="00C046D8" w:rsidRDefault="001F57E2" w:rsidP="000A2E6D">
            <w:pPr>
              <w:contextualSpacing/>
              <w:jc w:val="both"/>
              <w:rPr>
                <w:rFonts w:ascii="Arial" w:eastAsia="Calibri" w:hAnsi="Arial" w:cs="Arial"/>
                <w:lang w:val="es-ES_tradnl" w:eastAsia="es-ES_tradnl"/>
              </w:rPr>
            </w:pPr>
            <w:r w:rsidRPr="00C046D8">
              <w:rPr>
                <w:rFonts w:ascii="Arial" w:eastAsia="Calibri" w:hAnsi="Arial" w:cs="Arial"/>
                <w:lang w:val="es-ES_tradnl" w:eastAsia="es-ES_tradnl"/>
              </w:rPr>
              <w:t xml:space="preserve">Respuesta a la consulta No. </w:t>
            </w:r>
            <w:r w:rsidRPr="005F57B8">
              <w:rPr>
                <w:rFonts w:ascii="Arial" w:eastAsia="Calibri" w:hAnsi="Arial" w:cs="Arial"/>
                <w:lang w:val="es-ES_tradnl" w:eastAsia="es-ES_tradnl"/>
              </w:rPr>
              <w:t>P20230816014280</w:t>
            </w:r>
          </w:p>
        </w:tc>
      </w:tr>
    </w:tbl>
    <w:p w14:paraId="002E3068" w14:textId="77777777" w:rsidR="001F57E2" w:rsidRPr="00C046D8" w:rsidRDefault="001F57E2" w:rsidP="001F57E2">
      <w:pPr>
        <w:spacing w:after="0"/>
        <w:contextualSpacing/>
        <w:jc w:val="both"/>
        <w:rPr>
          <w:rFonts w:ascii="Arial" w:eastAsia="Calibri" w:hAnsi="Arial" w:cs="Arial"/>
          <w:lang w:val="es-ES_tradnl" w:eastAsia="es-ES_tradnl"/>
        </w:rPr>
      </w:pPr>
    </w:p>
    <w:p w14:paraId="0703B4C4" w14:textId="77777777" w:rsidR="001F57E2" w:rsidRPr="00C046D8" w:rsidRDefault="001F57E2" w:rsidP="001F57E2">
      <w:pPr>
        <w:spacing w:after="0"/>
        <w:contextualSpacing/>
        <w:jc w:val="both"/>
        <w:rPr>
          <w:rFonts w:ascii="Arial" w:eastAsia="Calibri" w:hAnsi="Arial" w:cs="Arial"/>
          <w:lang w:val="es-ES_tradnl" w:eastAsia="es-ES_tradnl"/>
        </w:rPr>
      </w:pPr>
    </w:p>
    <w:p w14:paraId="343A7269" w14:textId="77777777" w:rsidR="001F57E2" w:rsidRPr="00C046D8" w:rsidRDefault="001F57E2" w:rsidP="001F57E2">
      <w:pPr>
        <w:spacing w:after="0"/>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o</w:t>
      </w:r>
      <w:r w:rsidRPr="293D6149">
        <w:rPr>
          <w:rFonts w:ascii="Arial" w:eastAsia="Calibri" w:hAnsi="Arial" w:cs="Arial"/>
          <w:lang w:val="es-ES" w:eastAsia="es-ES"/>
        </w:rPr>
        <w:t xml:space="preserve"> </w:t>
      </w:r>
      <w:r>
        <w:rPr>
          <w:rFonts w:ascii="Arial" w:eastAsia="Calibri" w:hAnsi="Arial" w:cs="Arial"/>
          <w:lang w:val="es-ES" w:eastAsia="es-ES"/>
        </w:rPr>
        <w:t xml:space="preserve">doctor </w:t>
      </w:r>
      <w:r w:rsidRPr="009F3C83">
        <w:rPr>
          <w:rFonts w:ascii="Arial" w:eastAsia="Calibri" w:hAnsi="Arial" w:cs="Arial"/>
          <w:lang w:val="es-ES" w:eastAsia="es-ES"/>
        </w:rPr>
        <w:t>González Prieto</w:t>
      </w:r>
      <w:r w:rsidRPr="293D6149">
        <w:rPr>
          <w:rFonts w:ascii="Arial" w:eastAsia="Calibri" w:hAnsi="Arial" w:cs="Arial"/>
          <w:lang w:val="es-ES" w:eastAsia="es-ES"/>
        </w:rPr>
        <w:t>:</w:t>
      </w:r>
    </w:p>
    <w:p w14:paraId="4143F8A2" w14:textId="77777777" w:rsidR="001F57E2" w:rsidRPr="00C046D8" w:rsidRDefault="001F57E2" w:rsidP="001F57E2">
      <w:pPr>
        <w:spacing w:after="0" w:line="276" w:lineRule="auto"/>
        <w:contextualSpacing/>
        <w:jc w:val="both"/>
        <w:rPr>
          <w:rFonts w:ascii="Arial" w:eastAsia="Calibri" w:hAnsi="Arial" w:cs="Arial"/>
          <w:szCs w:val="24"/>
          <w:lang w:val="es-ES_tradnl" w:eastAsia="es-ES_tradnl"/>
        </w:rPr>
      </w:pPr>
    </w:p>
    <w:p w14:paraId="67A628EB" w14:textId="77777777" w:rsidR="001F57E2" w:rsidRPr="00C046D8" w:rsidRDefault="001F57E2" w:rsidP="001F57E2">
      <w:pPr>
        <w:spacing w:after="0" w:line="276" w:lineRule="auto"/>
        <w:contextualSpacing/>
        <w:jc w:val="both"/>
        <w:rPr>
          <w:rFonts w:ascii="Arial" w:eastAsia="Calibri" w:hAnsi="Arial" w:cs="Arial"/>
          <w:lang w:val="es-ES" w:eastAsia="es-ES"/>
        </w:rPr>
      </w:pPr>
      <w:r w:rsidRPr="293D6149">
        <w:rPr>
          <w:rFonts w:ascii="Arial" w:eastAsia="Calibri" w:hAnsi="Arial" w:cs="Arial"/>
          <w:lang w:val="es-ES" w:eastAsia="es-ES"/>
        </w:rPr>
        <w:t xml:space="preserve">En ejercicio de la competencia otorgada por el numeral 8 del artículo 11 y el numeral 5 del artículo 3 del Decreto Ley 4170 de 2011, la Agencia Nacional de Contratación Pública </w:t>
      </w:r>
      <w:r>
        <w:rPr>
          <w:rFonts w:ascii="Arial" w:eastAsia="Calibri" w:hAnsi="Arial" w:cs="Arial"/>
          <w:lang w:val="es-ES" w:eastAsia="es-ES"/>
        </w:rPr>
        <w:t>–</w:t>
      </w:r>
      <w:r w:rsidRPr="293D6149">
        <w:rPr>
          <w:rFonts w:ascii="Arial" w:eastAsia="Calibri" w:hAnsi="Arial" w:cs="Arial"/>
          <w:lang w:val="es-ES" w:eastAsia="es-ES"/>
        </w:rPr>
        <w:t xml:space="preserve"> Colombia Compra Eficiente responde </w:t>
      </w:r>
      <w:r>
        <w:rPr>
          <w:rFonts w:ascii="Arial" w:eastAsia="Calibri" w:hAnsi="Arial" w:cs="Arial"/>
          <w:lang w:val="es-ES" w:eastAsia="es-ES"/>
        </w:rPr>
        <w:t>la consulta radicada el 16 de agosto</w:t>
      </w:r>
      <w:r w:rsidRPr="293D6149">
        <w:rPr>
          <w:rFonts w:ascii="Arial" w:eastAsia="Calibri" w:hAnsi="Arial" w:cs="Arial"/>
          <w:lang w:val="es-ES" w:eastAsia="es-ES"/>
        </w:rPr>
        <w:t xml:space="preserve"> de 2023:</w:t>
      </w:r>
    </w:p>
    <w:p w14:paraId="6C7C9B3B" w14:textId="77777777" w:rsidR="001F57E2" w:rsidRPr="00C046D8" w:rsidRDefault="001F57E2" w:rsidP="001F57E2">
      <w:pPr>
        <w:spacing w:after="0" w:line="276" w:lineRule="auto"/>
        <w:contextualSpacing/>
        <w:jc w:val="both"/>
        <w:rPr>
          <w:rFonts w:ascii="Arial" w:eastAsia="Calibri" w:hAnsi="Arial" w:cs="Arial"/>
          <w:b/>
          <w:szCs w:val="24"/>
          <w:lang w:val="es-ES_tradnl" w:eastAsia="es-ES_tradnl"/>
        </w:rPr>
      </w:pPr>
    </w:p>
    <w:p w14:paraId="035C1ACD" w14:textId="77777777" w:rsidR="001F57E2" w:rsidRDefault="001F57E2" w:rsidP="001F57E2">
      <w:pPr>
        <w:numPr>
          <w:ilvl w:val="0"/>
          <w:numId w:val="6"/>
        </w:numPr>
        <w:tabs>
          <w:tab w:val="left" w:pos="0"/>
          <w:tab w:val="left" w:pos="142"/>
          <w:tab w:val="left" w:pos="284"/>
        </w:tabs>
        <w:spacing w:after="0" w:line="240" w:lineRule="auto"/>
        <w:ind w:left="0" w:firstLine="0"/>
        <w:contextualSpacing/>
        <w:jc w:val="both"/>
        <w:rPr>
          <w:rFonts w:ascii="Arial" w:eastAsia="Calibri" w:hAnsi="Arial" w:cs="Arial"/>
          <w:b/>
          <w:lang w:val="es-ES_tradnl"/>
        </w:rPr>
      </w:pPr>
      <w:r w:rsidRPr="00C046D8">
        <w:rPr>
          <w:rFonts w:ascii="Arial" w:eastAsia="Calibri" w:hAnsi="Arial" w:cs="Arial"/>
          <w:b/>
          <w:lang w:val="es-ES_tradnl"/>
        </w:rPr>
        <w:t>Problema</w:t>
      </w:r>
      <w:r>
        <w:rPr>
          <w:rFonts w:ascii="Arial" w:eastAsia="Calibri" w:hAnsi="Arial" w:cs="Arial"/>
          <w:b/>
          <w:lang w:val="es-ES_tradnl"/>
        </w:rPr>
        <w:t>s</w:t>
      </w:r>
      <w:r w:rsidRPr="00C046D8">
        <w:rPr>
          <w:rFonts w:ascii="Arial" w:eastAsia="Calibri" w:hAnsi="Arial" w:cs="Arial"/>
          <w:b/>
          <w:lang w:val="es-ES_tradnl"/>
        </w:rPr>
        <w:t xml:space="preserve"> planteado</w:t>
      </w:r>
      <w:r>
        <w:rPr>
          <w:rFonts w:ascii="Arial" w:eastAsia="Calibri" w:hAnsi="Arial" w:cs="Arial"/>
          <w:b/>
          <w:lang w:val="es-ES_tradnl"/>
        </w:rPr>
        <w:t>s</w:t>
      </w:r>
      <w:r w:rsidRPr="00C046D8">
        <w:rPr>
          <w:rFonts w:ascii="Arial" w:eastAsia="Calibri" w:hAnsi="Arial" w:cs="Arial"/>
          <w:b/>
          <w:lang w:val="es-ES_tradnl"/>
        </w:rPr>
        <w:t xml:space="preserve"> </w:t>
      </w:r>
    </w:p>
    <w:p w14:paraId="7F7CE164" w14:textId="77777777" w:rsidR="001F57E2" w:rsidRDefault="001F57E2" w:rsidP="001F57E2">
      <w:pPr>
        <w:tabs>
          <w:tab w:val="left" w:pos="426"/>
        </w:tabs>
        <w:spacing w:after="0"/>
        <w:contextualSpacing/>
        <w:jc w:val="both"/>
        <w:rPr>
          <w:rFonts w:ascii="Arial" w:eastAsia="Calibri" w:hAnsi="Arial" w:cs="Arial"/>
          <w:b/>
          <w:szCs w:val="24"/>
          <w:lang w:val="es-ES_tradnl" w:eastAsia="es-ES_tradnl"/>
        </w:rPr>
      </w:pPr>
    </w:p>
    <w:p w14:paraId="74DFBEFF" w14:textId="77777777" w:rsidR="001F57E2" w:rsidRPr="00C802A0" w:rsidRDefault="001F57E2" w:rsidP="001F57E2">
      <w:pPr>
        <w:tabs>
          <w:tab w:val="left" w:pos="426"/>
        </w:tabs>
        <w:spacing w:after="0" w:line="276" w:lineRule="auto"/>
        <w:contextualSpacing/>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Usted realiza la siguiente pregunta: “</w:t>
      </w:r>
      <w:r w:rsidRPr="00E01FFC">
        <w:rPr>
          <w:rFonts w:ascii="Arial" w:eastAsia="Calibri" w:hAnsi="Arial" w:cs="Arial"/>
          <w:bCs/>
          <w:szCs w:val="24"/>
          <w:lang w:val="es-ES_tradnl" w:eastAsia="es-ES_tradnl"/>
        </w:rPr>
        <w:t>Se puede considerar factible la utilización del régimen privado al que está</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sometido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el</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Hospital</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de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Nazareth,</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haciendo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uso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íntegro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de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los principios</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contenidos</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en</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EGCAP,</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artículos</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209</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y</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267</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Supra, prescindiendo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de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la</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aplicación</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del</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pliego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tipo,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en</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el</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entendido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 xml:space="preserve">que, este documento a la luz de lo dispuesto en el artículo 56 de la ley 2195 de 2022 no es de obligatoria utilización, toda vez que, de conformidad con lo que </w:t>
      </w:r>
      <w:r w:rsidRPr="00E01FFC">
        <w:rPr>
          <w:rFonts w:ascii="Arial" w:eastAsia="Calibri" w:hAnsi="Arial" w:cs="Arial"/>
          <w:bCs/>
          <w:szCs w:val="24"/>
          <w:lang w:val="es-ES_tradnl" w:eastAsia="es-ES_tradnl"/>
        </w:rPr>
        <w:lastRenderedPageBreak/>
        <w:t>dispone la norma en mención, su utilización</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es obligatoria si</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el</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recurso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proviene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de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la</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celebración</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de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un</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contrato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convenio interadministrativo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de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cualquier</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índole,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no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siendo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este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el</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caso,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en razón</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a</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que,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el</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recurso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provino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de</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una</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transferencia</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o</w:t>
      </w:r>
      <w:r>
        <w:rPr>
          <w:rFonts w:ascii="Arial" w:eastAsia="Calibri" w:hAnsi="Arial" w:cs="Arial"/>
          <w:bCs/>
          <w:szCs w:val="24"/>
          <w:lang w:val="es-ES_tradnl" w:eastAsia="es-ES_tradnl"/>
        </w:rPr>
        <w:t xml:space="preserve"> </w:t>
      </w:r>
      <w:r w:rsidRPr="00E01FFC">
        <w:rPr>
          <w:rFonts w:ascii="Arial" w:eastAsia="Calibri" w:hAnsi="Arial" w:cs="Arial"/>
          <w:bCs/>
          <w:szCs w:val="24"/>
          <w:lang w:val="es-ES_tradnl" w:eastAsia="es-ES_tradnl"/>
        </w:rPr>
        <w:t>asignación directa condicionada por parte del Ministerio de Salud y Protección?</w:t>
      </w:r>
      <w:r>
        <w:rPr>
          <w:rFonts w:ascii="Arial" w:eastAsia="Calibri" w:hAnsi="Arial" w:cs="Arial"/>
          <w:bCs/>
          <w:szCs w:val="24"/>
          <w:lang w:val="es-ES_tradnl" w:eastAsia="es-ES_tradnl"/>
        </w:rPr>
        <w:t>”.</w:t>
      </w:r>
      <w:r w:rsidRPr="00E01FFC">
        <w:rPr>
          <w:rFonts w:ascii="Arial" w:eastAsia="Calibri" w:hAnsi="Arial" w:cs="Arial"/>
          <w:bCs/>
          <w:szCs w:val="24"/>
          <w:lang w:val="es-ES_tradnl" w:eastAsia="es-ES_tradnl"/>
        </w:rPr>
        <w:t xml:space="preserve">  </w:t>
      </w:r>
    </w:p>
    <w:p w14:paraId="46AF3EA3" w14:textId="77777777" w:rsidR="001F57E2" w:rsidRPr="003C4EE6" w:rsidRDefault="001F57E2" w:rsidP="001F57E2">
      <w:pPr>
        <w:tabs>
          <w:tab w:val="decimal" w:pos="765"/>
          <w:tab w:val="right" w:pos="7371"/>
        </w:tabs>
        <w:spacing w:before="240" w:after="0" w:line="240" w:lineRule="auto"/>
        <w:ind w:left="709" w:right="709"/>
        <w:contextualSpacing/>
        <w:jc w:val="both"/>
        <w:rPr>
          <w:rFonts w:ascii="Arial" w:eastAsia="Times New Roman" w:hAnsi="Arial" w:cs="Arial"/>
          <w:sz w:val="21"/>
          <w:szCs w:val="21"/>
          <w:lang w:val="es-ES_tradnl" w:eastAsia="es-ES_tradnl"/>
        </w:rPr>
      </w:pPr>
    </w:p>
    <w:p w14:paraId="4C02D2BF" w14:textId="77777777" w:rsidR="001F57E2" w:rsidRDefault="001F57E2" w:rsidP="001F57E2">
      <w:pPr>
        <w:numPr>
          <w:ilvl w:val="0"/>
          <w:numId w:val="6"/>
        </w:numPr>
        <w:tabs>
          <w:tab w:val="left" w:pos="0"/>
          <w:tab w:val="left" w:pos="284"/>
        </w:tabs>
        <w:spacing w:after="0" w:line="276" w:lineRule="auto"/>
        <w:ind w:left="0" w:firstLine="0"/>
        <w:contextualSpacing/>
        <w:jc w:val="both"/>
        <w:rPr>
          <w:rFonts w:ascii="Arial" w:eastAsia="Calibri" w:hAnsi="Arial" w:cs="Arial"/>
          <w:b/>
          <w:lang w:val="es-ES_tradnl"/>
        </w:rPr>
      </w:pPr>
      <w:r w:rsidRPr="00C046D8">
        <w:rPr>
          <w:rFonts w:ascii="Arial" w:eastAsia="Calibri" w:hAnsi="Arial" w:cs="Arial"/>
          <w:b/>
          <w:lang w:val="es-ES_tradnl"/>
        </w:rPr>
        <w:t>Consideraciones</w:t>
      </w:r>
      <w:bookmarkStart w:id="3" w:name="_Hlk100312295"/>
    </w:p>
    <w:p w14:paraId="235BD9EE" w14:textId="77777777" w:rsidR="001F57E2" w:rsidRDefault="001F57E2" w:rsidP="001F57E2">
      <w:pPr>
        <w:tabs>
          <w:tab w:val="left" w:pos="0"/>
          <w:tab w:val="left" w:pos="284"/>
        </w:tabs>
        <w:spacing w:after="0" w:line="276" w:lineRule="auto"/>
        <w:contextualSpacing/>
        <w:jc w:val="both"/>
        <w:rPr>
          <w:rFonts w:ascii="Arial" w:eastAsia="Calibri" w:hAnsi="Arial" w:cs="Arial"/>
          <w:b/>
          <w:lang w:val="es-ES_tradnl"/>
        </w:rPr>
      </w:pPr>
    </w:p>
    <w:p w14:paraId="15C4528F" w14:textId="77777777" w:rsidR="001F57E2" w:rsidRPr="003C0B60" w:rsidRDefault="001F57E2" w:rsidP="001F57E2">
      <w:pPr>
        <w:spacing w:after="120" w:line="276" w:lineRule="auto"/>
        <w:jc w:val="both"/>
        <w:rPr>
          <w:rFonts w:ascii="Arial" w:hAnsi="Arial" w:cs="Arial"/>
          <w:lang w:val="es-ES"/>
        </w:rPr>
      </w:pPr>
      <w:r w:rsidRPr="003C0B60">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3C0B60">
        <w:rPr>
          <w:rFonts w:ascii="Arial" w:hAnsi="Arial"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3C0B60">
        <w:rPr>
          <w:rFonts w:ascii="Arial" w:hAnsi="Arial" w:cs="Arial"/>
          <w:bCs/>
        </w:rPr>
        <w:t xml:space="preserve"> de todos los partícipes de la contratación estatal.</w:t>
      </w:r>
    </w:p>
    <w:p w14:paraId="279FFC49" w14:textId="77777777" w:rsidR="001F57E2" w:rsidRPr="003C0B60" w:rsidRDefault="001F57E2" w:rsidP="001F57E2">
      <w:pPr>
        <w:spacing w:after="120" w:line="276" w:lineRule="auto"/>
        <w:ind w:firstLine="708"/>
        <w:jc w:val="both"/>
        <w:rPr>
          <w:rFonts w:ascii="Arial" w:hAnsi="Arial" w:cs="Arial"/>
          <w:lang w:val="es-ES"/>
        </w:rPr>
      </w:pPr>
      <w:r w:rsidRPr="003C0B60">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C0B60">
        <w:rPr>
          <w:rFonts w:ascii="Arial" w:hAnsi="Arial" w:cs="Arial"/>
          <w:vertAlign w:val="superscript"/>
          <w:lang w:val="es-ES"/>
        </w:rPr>
        <w:footnoteReference w:id="1"/>
      </w:r>
      <w:r w:rsidRPr="003C0B60">
        <w:rPr>
          <w:rFonts w:ascii="Arial" w:hAnsi="Arial" w:cs="Arial"/>
          <w:lang w:val="es-ES"/>
        </w:rPr>
        <w:t xml:space="preserve">. Esta competencia de interpretación de normas generales, por definición, no puede extenderse a la resolución de controversias ni brindar asesorías sobre casos puntuales. Por lo anterior, </w:t>
      </w:r>
      <w:bookmarkStart w:id="4" w:name="_Hlk141628201"/>
      <w:r w:rsidRPr="003C0B60">
        <w:rPr>
          <w:rFonts w:ascii="Arial" w:hAnsi="Arial" w:cs="Arial"/>
          <w:lang w:val="es-ES"/>
        </w:rPr>
        <w:t>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específico.</w:t>
      </w:r>
      <w:bookmarkEnd w:id="4"/>
    </w:p>
    <w:p w14:paraId="3F9E492C" w14:textId="77777777" w:rsidR="001F57E2" w:rsidRDefault="001F57E2" w:rsidP="001F57E2">
      <w:pPr>
        <w:spacing w:after="0" w:line="276" w:lineRule="auto"/>
        <w:ind w:firstLine="708"/>
        <w:jc w:val="both"/>
        <w:rPr>
          <w:rFonts w:ascii="Arial" w:eastAsia="Calibri" w:hAnsi="Arial" w:cs="Arial"/>
          <w:lang w:val="es-ES_tradnl"/>
        </w:rPr>
      </w:pPr>
      <w:r w:rsidRPr="003C0B60">
        <w:rPr>
          <w:rFonts w:ascii="Arial" w:eastAsia="Calibri" w:hAnsi="Arial" w:cs="Arial"/>
        </w:rPr>
        <w:t xml:space="preserve">Sin perjuicio de lo anterior, </w:t>
      </w:r>
      <w:r w:rsidRPr="003C0B60">
        <w:rPr>
          <w:rFonts w:ascii="Arial" w:eastAsia="Calibri" w:hAnsi="Arial" w:cs="Arial"/>
          <w:lang w:val="es-ES"/>
        </w:rPr>
        <w:t>la Agencia Nacional de Contratación Pública</w:t>
      </w:r>
      <w:r>
        <w:rPr>
          <w:rFonts w:ascii="Arial" w:eastAsia="Calibri" w:hAnsi="Arial" w:cs="Arial"/>
          <w:lang w:val="es-ES"/>
        </w:rPr>
        <w:t xml:space="preserve"> –en el ámbito de sus atribuciones, esto es, haciendo abstracción de la circunstancia particular expuesta en la consulta–</w:t>
      </w:r>
      <w:r w:rsidRPr="003C0B60">
        <w:rPr>
          <w:rFonts w:ascii="Arial" w:eastAsia="Calibri" w:hAnsi="Arial" w:cs="Arial"/>
          <w:lang w:val="es-ES"/>
        </w:rPr>
        <w:t xml:space="preserve"> resolverá la petición conforme a las normas </w:t>
      </w:r>
      <w:r w:rsidRPr="005C793A">
        <w:rPr>
          <w:rFonts w:ascii="Arial" w:eastAsia="Calibri" w:hAnsi="Arial" w:cs="Arial"/>
          <w:lang w:val="es-ES"/>
        </w:rPr>
        <w:t>generales del sistema de compras públicas.</w:t>
      </w:r>
      <w:r w:rsidRPr="005C793A">
        <w:rPr>
          <w:rFonts w:ascii="Arial" w:hAnsi="Arial" w:cs="Arial"/>
        </w:rPr>
        <w:t xml:space="preserve"> Para estos efectos, se analizarán los siguientes temas:</w:t>
      </w:r>
      <w:r>
        <w:rPr>
          <w:rFonts w:ascii="Arial" w:eastAsia="Calibri" w:hAnsi="Arial" w:cs="Arial"/>
          <w:lang w:val="es-ES_tradnl"/>
        </w:rPr>
        <w:t>i)</w:t>
      </w:r>
      <w:r w:rsidRPr="00C046D8">
        <w:rPr>
          <w:rFonts w:ascii="Arial" w:eastAsia="Calibri" w:hAnsi="Arial" w:cs="Arial"/>
          <w:lang w:val="es-ES_tradnl"/>
        </w:rPr>
        <w:t xml:space="preserve"> fundamento normativo y ámbito de aplicación de los documentos tipo</w:t>
      </w:r>
      <w:r>
        <w:rPr>
          <w:rFonts w:ascii="Arial" w:eastAsia="Calibri" w:hAnsi="Arial" w:cs="Arial"/>
          <w:lang w:val="es-ES_tradnl"/>
        </w:rPr>
        <w:t>;</w:t>
      </w:r>
      <w:r w:rsidRPr="00C046D8">
        <w:rPr>
          <w:rFonts w:ascii="Arial" w:eastAsia="Calibri" w:hAnsi="Arial" w:cs="Arial"/>
          <w:lang w:val="es-ES_tradnl"/>
        </w:rPr>
        <w:t xml:space="preserve"> </w:t>
      </w:r>
      <w:r w:rsidRPr="00165C4E">
        <w:rPr>
          <w:rFonts w:ascii="Arial" w:eastAsia="Calibri" w:hAnsi="Arial" w:cs="Arial"/>
          <w:lang w:val="es-ES_tradnl"/>
        </w:rPr>
        <w:t xml:space="preserve">ii) </w:t>
      </w:r>
      <w:bookmarkEnd w:id="3"/>
      <w:r w:rsidRPr="00165C4E">
        <w:rPr>
          <w:rFonts w:ascii="Arial" w:eastAsia="Calibri" w:hAnsi="Arial" w:cs="Arial"/>
          <w:lang w:val="es-ES_tradnl"/>
        </w:rPr>
        <w:t xml:space="preserve">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w:t>
      </w:r>
      <w:r w:rsidRPr="00165C4E">
        <w:rPr>
          <w:rFonts w:ascii="Arial" w:eastAsia="Calibri" w:hAnsi="Arial" w:cs="Arial"/>
          <w:lang w:val="es-ES_tradnl"/>
        </w:rPr>
        <w:lastRenderedPageBreak/>
        <w:t>estatales exceptuadas y particulares;</w:t>
      </w:r>
      <w:r>
        <w:rPr>
          <w:rFonts w:ascii="Arial" w:eastAsia="Calibri" w:hAnsi="Arial" w:cs="Arial"/>
          <w:lang w:val="es-ES_tradnl"/>
        </w:rPr>
        <w:t xml:space="preserve"> iii) a</w:t>
      </w:r>
      <w:r w:rsidRPr="00116464">
        <w:rPr>
          <w:rFonts w:ascii="Arial" w:eastAsia="Calibri" w:hAnsi="Arial" w:cs="Arial"/>
          <w:lang w:val="es-ES_tradnl"/>
        </w:rPr>
        <w:t xml:space="preserve">plicación prevalente del Estatuto General de Contratación de la Administración Pública en </w:t>
      </w:r>
      <w:r w:rsidRPr="00165C4E">
        <w:rPr>
          <w:rFonts w:ascii="Arial" w:eastAsia="Calibri" w:hAnsi="Arial" w:cs="Arial"/>
          <w:lang w:val="es-ES_tradnl"/>
        </w:rPr>
        <w:t>los contratos o convenios</w:t>
      </w:r>
      <w:r>
        <w:rPr>
          <w:rFonts w:ascii="Arial" w:eastAsia="Calibri" w:hAnsi="Arial" w:cs="Arial"/>
          <w:lang w:val="es-ES_tradnl"/>
        </w:rPr>
        <w:t xml:space="preserve"> </w:t>
      </w:r>
      <w:r w:rsidRPr="00116464">
        <w:rPr>
          <w:rFonts w:ascii="Arial" w:eastAsia="Calibri" w:hAnsi="Arial" w:cs="Arial"/>
          <w:lang w:val="es-ES_tradnl"/>
        </w:rPr>
        <w:t>celebrados con entidades exceptuadas</w:t>
      </w:r>
      <w:r>
        <w:rPr>
          <w:rFonts w:ascii="Arial" w:eastAsia="Calibri" w:hAnsi="Arial" w:cs="Arial"/>
          <w:lang w:val="es-ES_tradnl"/>
        </w:rPr>
        <w:t xml:space="preserve">; </w:t>
      </w:r>
      <w:proofErr w:type="spellStart"/>
      <w:r>
        <w:rPr>
          <w:rFonts w:ascii="Arial" w:eastAsia="Calibri" w:hAnsi="Arial" w:cs="Arial"/>
          <w:lang w:val="es-ES_tradnl"/>
        </w:rPr>
        <w:t>iv</w:t>
      </w:r>
      <w:proofErr w:type="spellEnd"/>
      <w:r>
        <w:rPr>
          <w:rFonts w:ascii="Arial" w:eastAsia="Calibri" w:hAnsi="Arial" w:cs="Arial"/>
          <w:lang w:val="es-ES_tradnl"/>
        </w:rPr>
        <w:t>)</w:t>
      </w:r>
      <w:r w:rsidRPr="003D0A43">
        <w:t xml:space="preserve"> </w:t>
      </w:r>
      <w:r>
        <w:rPr>
          <w:rFonts w:ascii="Arial" w:eastAsia="Calibri" w:hAnsi="Arial" w:cs="Arial"/>
          <w:lang w:val="es-ES_tradnl"/>
        </w:rPr>
        <w:t>e</w:t>
      </w:r>
      <w:r w:rsidRPr="003D0A43">
        <w:rPr>
          <w:rFonts w:ascii="Arial" w:eastAsia="Calibri" w:hAnsi="Arial" w:cs="Arial"/>
          <w:lang w:val="es-ES_tradnl"/>
        </w:rPr>
        <w:t>xcepciones a la aplicación del artículo 56 de la Ley 2195 de 2022</w:t>
      </w:r>
      <w:r>
        <w:rPr>
          <w:rFonts w:ascii="Arial" w:eastAsia="Calibri" w:hAnsi="Arial" w:cs="Arial"/>
          <w:lang w:val="es-ES_tradnl"/>
        </w:rPr>
        <w:t xml:space="preserve"> y</w:t>
      </w:r>
      <w:r w:rsidRPr="003D0A43">
        <w:rPr>
          <w:rFonts w:ascii="Arial" w:eastAsia="Calibri" w:hAnsi="Arial" w:cs="Arial"/>
          <w:lang w:val="es-ES_tradnl"/>
        </w:rPr>
        <w:t xml:space="preserve"> </w:t>
      </w:r>
      <w:r>
        <w:rPr>
          <w:rFonts w:ascii="Arial" w:eastAsia="Calibri" w:hAnsi="Arial" w:cs="Arial"/>
          <w:lang w:val="es-ES_tradnl"/>
        </w:rPr>
        <w:t>a</w:t>
      </w:r>
      <w:r w:rsidRPr="003D0A43">
        <w:rPr>
          <w:rFonts w:ascii="Arial" w:eastAsia="Calibri" w:hAnsi="Arial" w:cs="Arial"/>
          <w:lang w:val="es-ES_tradnl"/>
        </w:rPr>
        <w:t>lcance de la expresión “giro ordinario” contenida en el parágrafo de la norma</w:t>
      </w:r>
      <w:r>
        <w:rPr>
          <w:rFonts w:ascii="Arial" w:eastAsia="Calibri" w:hAnsi="Arial" w:cs="Arial"/>
          <w:lang w:val="es-ES_tradnl"/>
        </w:rPr>
        <w:t xml:space="preserve"> y v) </w:t>
      </w:r>
      <w:r w:rsidRPr="00567310">
        <w:rPr>
          <w:rFonts w:ascii="Arial" w:eastAsia="Calibri" w:hAnsi="Arial" w:cs="Arial"/>
          <w:lang w:val="es-ES_tradnl"/>
        </w:rPr>
        <w:t>efectos respecto de la subcontratación realizada por entidades estatales exceptuadas, patrimonios autónomos, personas naturales o jurídicas que sean contratistas del Estado</w:t>
      </w:r>
      <w:r>
        <w:rPr>
          <w:rFonts w:ascii="Arial" w:eastAsia="Calibri" w:hAnsi="Arial" w:cs="Arial"/>
          <w:lang w:val="es-ES_tradnl"/>
        </w:rPr>
        <w:t>.</w:t>
      </w:r>
    </w:p>
    <w:p w14:paraId="3669EFDB" w14:textId="77777777" w:rsidR="001F57E2" w:rsidRPr="000358F4" w:rsidRDefault="001F57E2" w:rsidP="001F57E2">
      <w:pPr>
        <w:spacing w:before="120" w:after="0" w:line="276" w:lineRule="auto"/>
        <w:ind w:firstLine="709"/>
        <w:jc w:val="both"/>
        <w:rPr>
          <w:rFonts w:ascii="Arial" w:hAnsi="Arial" w:cs="Arial"/>
          <w:color w:val="000000"/>
        </w:rPr>
      </w:pPr>
      <w:r>
        <w:rPr>
          <w:rFonts w:ascii="Arial" w:eastAsia="Calibri" w:hAnsi="Arial" w:cs="Arial"/>
          <w:color w:val="000000" w:themeColor="text1"/>
          <w:lang w:val="es-ES"/>
        </w:rPr>
        <w:t>La Agencia Nacional de Contratación Pública – Colombia Compra Eficiente se</w:t>
      </w:r>
      <w:r w:rsidRPr="00165C4E">
        <w:rPr>
          <w:rFonts w:ascii="Arial" w:eastAsia="Times New Roman" w:hAnsi="Arial" w:cs="Arial"/>
          <w:lang w:val="es-ES_tradnl" w:eastAsia="es-ES_tradnl"/>
        </w:rPr>
        <w:t xml:space="preserve"> ha pronunciado sobre </w:t>
      </w:r>
      <w:r w:rsidRPr="00165C4E">
        <w:rPr>
          <w:rFonts w:ascii="Arial" w:eastAsia="Times New Roman" w:hAnsi="Arial" w:cs="Arial"/>
          <w:lang w:eastAsia="es-ES_tradnl"/>
        </w:rPr>
        <w:t xml:space="preserve">el alcance del artículo 56 de la Ley 2195 de 2022, específicamente, a partir del </w:t>
      </w:r>
      <w:r>
        <w:rPr>
          <w:rFonts w:ascii="Arial" w:eastAsia="Times New Roman" w:hAnsi="Arial" w:cs="Arial"/>
          <w:lang w:eastAsia="es-ES_tradnl"/>
        </w:rPr>
        <w:t>C</w:t>
      </w:r>
      <w:r w:rsidRPr="00165C4E">
        <w:rPr>
          <w:rFonts w:ascii="Arial" w:eastAsia="Times New Roman" w:hAnsi="Arial" w:cs="Arial"/>
          <w:lang w:eastAsia="es-ES_tradnl"/>
        </w:rPr>
        <w:t xml:space="preserve">oncepto C-066 del 28 de enero de 2022, cuya tesis se desarrolló y complementó </w:t>
      </w:r>
      <w:r>
        <w:rPr>
          <w:rFonts w:ascii="Arial" w:eastAsia="Times New Roman" w:hAnsi="Arial" w:cs="Arial"/>
          <w:lang w:eastAsia="es-ES_tradnl"/>
        </w:rPr>
        <w:t>los Conceptos</w:t>
      </w:r>
      <w:r w:rsidRPr="00165C4E">
        <w:rPr>
          <w:rFonts w:ascii="Arial" w:eastAsia="Times New Roman" w:hAnsi="Arial" w:cs="Arial"/>
          <w:lang w:eastAsia="es-ES_tradnl"/>
        </w:rPr>
        <w:t xml:space="preserve"> C-320 del 20 de mayo de 2022, C-333 del 24 de mayo de 2022, C-404 del 26 de mayo de 2023, C-382 del 27 de mayo de 2022, C-388 del 15 de junio de 2022, C-423 del 5 de julio de 2022, C-435 del 6 de julio de 2023, C-453 del 15 de julio de 2022, C-494 del 26 de julio de 2022, C-483 del 5 de agosto de 2022, C-496 del 3 de agosto de 2022, C-556 del 3 de agosto de 2022 y C-532 del 22 de agosto de 2022.</w:t>
      </w:r>
      <w:r w:rsidRPr="00165C4E">
        <w:rPr>
          <w:rStyle w:val="normaltextrun"/>
          <w:rFonts w:ascii="Arial" w:hAnsi="Arial" w:cs="Arial"/>
          <w:color w:val="000000" w:themeColor="text1"/>
        </w:rPr>
        <w:t xml:space="preserve"> </w:t>
      </w:r>
      <w:r w:rsidRPr="0072299F">
        <w:rPr>
          <w:rStyle w:val="normaltextrun"/>
          <w:rFonts w:ascii="Arial" w:hAnsi="Arial" w:cs="Arial"/>
          <w:color w:val="000000" w:themeColor="text1"/>
        </w:rPr>
        <w:t>El mismo tema ha sido estudiado por</w:t>
      </w:r>
      <w:r w:rsidRPr="0072299F">
        <w:rPr>
          <w:rStyle w:val="normaltextrun"/>
          <w:rFonts w:ascii="Arial" w:hAnsi="Arial" w:cs="Arial"/>
          <w:color w:val="000000"/>
        </w:rPr>
        <w:t xml:space="preserve"> esta Subdirección en los Conceptos C-486 del 2 de septiembre de 2022, C-671 del 19 de octubre de 2022, C-576 del 25 de octubre de 2022, C-042 del 29 de marzo de 2023</w:t>
      </w:r>
      <w:r>
        <w:rPr>
          <w:rStyle w:val="normaltextrun"/>
          <w:rFonts w:ascii="Arial" w:hAnsi="Arial" w:cs="Arial"/>
          <w:color w:val="000000"/>
        </w:rPr>
        <w:t xml:space="preserve"> y C-299 del 24 de julio de 2023</w:t>
      </w:r>
      <w:r w:rsidRPr="00165C4E">
        <w:rPr>
          <w:rStyle w:val="Refdenotaalpie"/>
          <w:rFonts w:ascii="Arial" w:hAnsi="Arial" w:cs="Arial"/>
          <w:color w:val="000000"/>
        </w:rPr>
        <w:footnoteReference w:id="2"/>
      </w:r>
      <w:r>
        <w:rPr>
          <w:rFonts w:ascii="Arial" w:eastAsia="Times New Roman" w:hAnsi="Arial" w:cs="Arial"/>
          <w:lang w:eastAsia="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r w:rsidRPr="293D6149">
        <w:rPr>
          <w:rFonts w:ascii="Arial" w:eastAsia="Times New Roman" w:hAnsi="Arial" w:cs="Arial"/>
          <w:lang w:eastAsia="es-ES"/>
        </w:rPr>
        <w:t xml:space="preserve"> </w:t>
      </w:r>
    </w:p>
    <w:p w14:paraId="19237A5B" w14:textId="77777777" w:rsidR="001F57E2" w:rsidRDefault="001F57E2" w:rsidP="001F57E2">
      <w:pPr>
        <w:pStyle w:val="Textoindependiente"/>
        <w:spacing w:after="0" w:line="240" w:lineRule="auto"/>
        <w:jc w:val="both"/>
        <w:rPr>
          <w:rFonts w:ascii="Arial" w:eastAsia="Arial" w:hAnsi="Arial" w:cs="Arial"/>
          <w:b/>
          <w:bCs/>
          <w:lang w:val="es-ES_tradnl" w:eastAsia="es-ES_tradnl"/>
        </w:rPr>
      </w:pPr>
    </w:p>
    <w:p w14:paraId="0119A7B7" w14:textId="77777777" w:rsidR="001F57E2" w:rsidRPr="00C046D8" w:rsidRDefault="001F57E2" w:rsidP="001F57E2">
      <w:pPr>
        <w:spacing w:after="0" w:line="276" w:lineRule="auto"/>
        <w:contextualSpacing/>
        <w:jc w:val="both"/>
        <w:rPr>
          <w:rFonts w:ascii="Arial" w:eastAsia="Arial" w:hAnsi="Arial" w:cs="Arial"/>
          <w:b/>
          <w:bCs/>
          <w:lang w:val="es-ES_tradnl" w:eastAsia="es-ES_tradnl"/>
        </w:rPr>
      </w:pPr>
      <w:r w:rsidRPr="00C046D8">
        <w:rPr>
          <w:rFonts w:ascii="Arial" w:eastAsia="Arial" w:hAnsi="Arial" w:cs="Arial"/>
          <w:b/>
          <w:bCs/>
          <w:lang w:val="es-ES_tradnl" w:eastAsia="es-ES_tradnl"/>
        </w:rPr>
        <w:t>2.</w:t>
      </w:r>
      <w:r>
        <w:rPr>
          <w:rFonts w:ascii="Arial" w:eastAsia="Arial" w:hAnsi="Arial" w:cs="Arial"/>
          <w:b/>
          <w:bCs/>
          <w:lang w:val="es-ES_tradnl" w:eastAsia="es-ES_tradnl"/>
        </w:rPr>
        <w:t>1</w:t>
      </w:r>
      <w:r w:rsidRPr="00C046D8">
        <w:rPr>
          <w:rFonts w:ascii="Arial" w:eastAsia="Arial" w:hAnsi="Arial" w:cs="Arial"/>
          <w:b/>
          <w:bCs/>
          <w:lang w:val="es-ES_tradnl" w:eastAsia="es-ES_tradnl"/>
        </w:rPr>
        <w:t xml:space="preserve">. </w:t>
      </w:r>
      <w:bookmarkStart w:id="5" w:name="_Hlk110852287"/>
      <w:r w:rsidRPr="00C046D8">
        <w:rPr>
          <w:rFonts w:ascii="Arial" w:eastAsia="Arial" w:hAnsi="Arial" w:cs="Arial"/>
          <w:b/>
          <w:bCs/>
          <w:lang w:val="es-ES_tradnl" w:eastAsia="es-ES_tradnl"/>
        </w:rPr>
        <w:t xml:space="preserve">Fundamento normativo y ámbito de aplicación de los documentos tipo </w:t>
      </w:r>
      <w:bookmarkEnd w:id="5"/>
    </w:p>
    <w:p w14:paraId="5043C2DD" w14:textId="77777777" w:rsidR="001F57E2" w:rsidRPr="00C046D8" w:rsidRDefault="001F57E2" w:rsidP="001F57E2">
      <w:pPr>
        <w:spacing w:after="0" w:line="240" w:lineRule="auto"/>
        <w:contextualSpacing/>
        <w:jc w:val="both"/>
        <w:rPr>
          <w:rFonts w:ascii="Arial" w:eastAsia="Arial" w:hAnsi="Arial" w:cs="Arial"/>
          <w:b/>
          <w:bCs/>
          <w:lang w:val="es-ES_tradnl" w:eastAsia="es-ES_tradnl"/>
        </w:rPr>
      </w:pPr>
    </w:p>
    <w:p w14:paraId="529778A5" w14:textId="77777777" w:rsidR="001F57E2" w:rsidRDefault="001F57E2" w:rsidP="001F57E2">
      <w:pPr>
        <w:spacing w:after="120" w:line="276" w:lineRule="auto"/>
        <w:jc w:val="both"/>
        <w:rPr>
          <w:rFonts w:ascii="Arial" w:eastAsia="Calibri" w:hAnsi="Arial" w:cs="Arial"/>
          <w:color w:val="000000"/>
          <w:szCs w:val="24"/>
          <w:lang w:val="es-ES" w:eastAsia="es-ES_tradnl"/>
        </w:rPr>
      </w:pPr>
      <w:bookmarkStart w:id="6" w:name="_Hlk113022941"/>
      <w:r>
        <w:rPr>
          <w:rFonts w:ascii="Arial" w:eastAsia="Calibri" w:hAnsi="Arial" w:cs="Arial"/>
          <w:color w:val="000000"/>
          <w:szCs w:val="24"/>
          <w:lang w:val="es-ES" w:eastAsia="es-ES_tradnl"/>
        </w:rPr>
        <w:t>L</w:t>
      </w:r>
      <w:r w:rsidRPr="00407259">
        <w:rPr>
          <w:rFonts w:ascii="Arial" w:eastAsia="Calibri" w:hAnsi="Arial" w:cs="Arial"/>
          <w:color w:val="000000"/>
          <w:szCs w:val="24"/>
          <w:lang w:val="es-ES" w:eastAsia="es-ES_tradnl"/>
        </w:rPr>
        <w:t>a adopción de los documentos tipo obligatorios en el ordenamiento jurídico colombiano se incluyó por primera vez en el parágrafo 3 del artículo 2 de la Ley 1150 de 2007</w:t>
      </w:r>
      <w:r w:rsidRPr="00407259">
        <w:rPr>
          <w:rFonts w:ascii="Arial" w:eastAsia="Calibri" w:hAnsi="Arial" w:cs="Arial"/>
          <w:color w:val="000000"/>
          <w:szCs w:val="24"/>
          <w:vertAlign w:val="superscript"/>
          <w:lang w:val="es-ES" w:eastAsia="es-ES_tradnl"/>
        </w:rPr>
        <w:footnoteReference w:id="3"/>
      </w:r>
      <w:r w:rsidRPr="00407259">
        <w:rPr>
          <w:rFonts w:ascii="Arial" w:eastAsia="Calibri" w:hAnsi="Arial" w:cs="Arial"/>
          <w:color w:val="000000"/>
          <w:szCs w:val="24"/>
          <w:lang w:val="es-ES" w:eastAsia="es-ES_tradnl"/>
        </w:rPr>
        <w:t>, que facultó al gobierno nacional para expedirlos, pero solo cuando se tratara de la adquisición o suministro de bienes y servicios de características técnicas uniformes y de común utilización</w:t>
      </w:r>
      <w:r>
        <w:rPr>
          <w:rFonts w:ascii="Arial" w:eastAsia="Calibri" w:hAnsi="Arial" w:cs="Arial"/>
          <w:color w:val="000000"/>
          <w:szCs w:val="24"/>
          <w:lang w:val="es-ES" w:eastAsia="es-ES_tradnl"/>
        </w:rPr>
        <w:t>. Como esta</w:t>
      </w:r>
      <w:r w:rsidRPr="00407259">
        <w:rPr>
          <w:rFonts w:ascii="Arial" w:eastAsia="Calibri" w:hAnsi="Arial" w:cs="Arial"/>
          <w:color w:val="000000"/>
          <w:szCs w:val="24"/>
          <w:lang w:val="es-ES" w:eastAsia="es-ES_tradnl"/>
        </w:rPr>
        <w:t xml:space="preserve"> </w:t>
      </w:r>
      <w:r>
        <w:rPr>
          <w:rFonts w:ascii="Arial" w:eastAsia="Calibri" w:hAnsi="Arial" w:cs="Arial"/>
          <w:color w:val="000000"/>
          <w:szCs w:val="24"/>
          <w:lang w:val="es-ES" w:eastAsia="es-ES_tradnl"/>
        </w:rPr>
        <w:t>atribución</w:t>
      </w:r>
      <w:r w:rsidRPr="00407259">
        <w:rPr>
          <w:rFonts w:ascii="Arial" w:eastAsia="Calibri" w:hAnsi="Arial" w:cs="Arial"/>
          <w:color w:val="000000"/>
          <w:szCs w:val="24"/>
          <w:lang w:val="es-ES" w:eastAsia="es-ES_tradnl"/>
        </w:rPr>
        <w:t xml:space="preserve"> no ha sido ejercida hasta la actualidad, el artículo 4 de la Ley 1882 de 2018 es el antecedente más relevante de la expedición de documentos tipo con alcance obligatorio. </w:t>
      </w:r>
    </w:p>
    <w:p w14:paraId="17FC2783" w14:textId="77777777" w:rsidR="001F57E2" w:rsidRPr="00407259" w:rsidRDefault="001F57E2" w:rsidP="001F57E2">
      <w:pPr>
        <w:spacing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r>
        <w:rPr>
          <w:rFonts w:ascii="Arial" w:eastAsia="Calibri" w:hAnsi="Arial" w:cs="Arial"/>
          <w:color w:val="000000"/>
          <w:szCs w:val="24"/>
          <w:lang w:val="es-ES" w:eastAsia="es-ES_tradnl"/>
        </w:rPr>
        <w:t xml:space="preserve"> Esta </w:t>
      </w:r>
      <w:r w:rsidRPr="00407259">
        <w:rPr>
          <w:rFonts w:ascii="Arial" w:eastAsia="Calibri" w:hAnsi="Arial" w:cs="Arial"/>
          <w:color w:val="000000"/>
          <w:szCs w:val="24"/>
          <w:lang w:val="es-ES" w:eastAsia="es-ES_tradnl"/>
        </w:rPr>
        <w:t xml:space="preserve">establecía que el gobierno nacional adoptaría los documentos tipo para los pliegos de condiciones de los procesos de selección </w:t>
      </w:r>
      <w:r w:rsidRPr="00407259">
        <w:rPr>
          <w:rFonts w:ascii="Arial" w:eastAsia="Calibri" w:hAnsi="Arial" w:cs="Arial"/>
          <w:color w:val="000000"/>
          <w:szCs w:val="24"/>
          <w:lang w:val="es-ES" w:eastAsia="es-ES_tradnl"/>
        </w:rPr>
        <w:lastRenderedPageBreak/>
        <w:t>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407259">
        <w:rPr>
          <w:rFonts w:ascii="Arial" w:eastAsia="Calibri" w:hAnsi="Arial" w:cs="Arial"/>
          <w:color w:val="000000"/>
          <w:szCs w:val="24"/>
          <w:vertAlign w:val="superscript"/>
          <w:lang w:val="es-ES" w:eastAsia="es-ES_tradnl"/>
        </w:rPr>
        <w:footnoteReference w:id="4"/>
      </w:r>
      <w:r w:rsidRPr="00407259">
        <w:rPr>
          <w:rFonts w:ascii="Arial" w:eastAsia="Calibri" w:hAnsi="Arial" w:cs="Arial"/>
          <w:color w:val="000000"/>
          <w:szCs w:val="24"/>
          <w:lang w:val="es-ES" w:eastAsia="es-ES_tradnl"/>
        </w:rPr>
        <w:t>.</w:t>
      </w:r>
    </w:p>
    <w:p w14:paraId="3F8490B3" w14:textId="77777777" w:rsidR="001F57E2" w:rsidRPr="00407259" w:rsidRDefault="001F57E2" w:rsidP="001F57E2">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BB00123" w14:textId="77777777" w:rsidR="001F57E2" w:rsidRPr="00407259" w:rsidRDefault="001F57E2" w:rsidP="001F57E2">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w:t>
      </w:r>
      <w:proofErr w:type="spellStart"/>
      <w:r w:rsidRPr="00407259">
        <w:rPr>
          <w:rFonts w:ascii="Arial" w:eastAsia="Calibri" w:hAnsi="Arial" w:cs="Arial"/>
          <w:color w:val="000000"/>
          <w:szCs w:val="24"/>
          <w:lang w:val="es-ES" w:eastAsia="es-ES_tradnl"/>
        </w:rPr>
        <w:t>iv</w:t>
      </w:r>
      <w:proofErr w:type="spellEnd"/>
      <w:r w:rsidRPr="00407259">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0A287AF4" w14:textId="77777777" w:rsidR="001F57E2" w:rsidRPr="00407259" w:rsidRDefault="001F57E2" w:rsidP="001F57E2">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w:t>
      </w:r>
      <w:r w:rsidRPr="00407259">
        <w:rPr>
          <w:rFonts w:ascii="Arial" w:eastAsia="Calibri" w:hAnsi="Arial" w:cs="Arial"/>
          <w:color w:val="000000"/>
          <w:szCs w:val="24"/>
          <w:lang w:val="es-ES" w:eastAsia="es-ES_tradnl"/>
        </w:rPr>
        <w:lastRenderedPageBreak/>
        <w:t>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407259">
        <w:rPr>
          <w:rFonts w:ascii="Arial" w:eastAsia="Calibri" w:hAnsi="Arial" w:cs="Arial"/>
          <w:color w:val="000000"/>
          <w:szCs w:val="24"/>
          <w:vertAlign w:val="superscript"/>
          <w:lang w:val="es-ES" w:eastAsia="es-ES_tradnl"/>
        </w:rPr>
        <w:footnoteReference w:id="5"/>
      </w:r>
      <w:r w:rsidRPr="00407259">
        <w:rPr>
          <w:rFonts w:ascii="Arial" w:eastAsia="Calibri" w:hAnsi="Arial" w:cs="Arial"/>
          <w:color w:val="000000"/>
          <w:szCs w:val="24"/>
          <w:lang w:val="es-ES" w:eastAsia="es-ES_tradnl"/>
        </w:rPr>
        <w:t>.</w:t>
      </w:r>
    </w:p>
    <w:p w14:paraId="4E0190F2" w14:textId="77777777" w:rsidR="001F57E2" w:rsidRPr="00407259" w:rsidRDefault="001F57E2" w:rsidP="001F57E2">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D22777F" w14:textId="77777777" w:rsidR="001F57E2" w:rsidRPr="00407259" w:rsidRDefault="001F57E2" w:rsidP="001F57E2">
      <w:pPr>
        <w:spacing w:before="120" w:after="120" w:line="276" w:lineRule="auto"/>
        <w:jc w:val="both"/>
        <w:rPr>
          <w:rFonts w:ascii="Arial" w:eastAsia="Calibri" w:hAnsi="Arial" w:cs="Arial"/>
          <w:lang w:val="es-ES"/>
        </w:rPr>
      </w:pPr>
      <w:r w:rsidRPr="0040725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407259">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E4F05FA" w14:textId="77777777" w:rsidR="001F57E2" w:rsidRPr="00407259" w:rsidRDefault="001F57E2" w:rsidP="001F57E2">
      <w:pPr>
        <w:spacing w:before="120" w:after="120" w:line="276" w:lineRule="auto"/>
        <w:jc w:val="both"/>
        <w:rPr>
          <w:rFonts w:ascii="Arial" w:eastAsia="Calibri" w:hAnsi="Arial" w:cs="Arial"/>
          <w:color w:val="000000"/>
          <w:lang w:val="es-ES" w:eastAsia="es-ES_tradnl"/>
        </w:rPr>
      </w:pPr>
      <w:r w:rsidRPr="0040725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407259" w:rsidDel="00A434AB">
        <w:rPr>
          <w:rFonts w:ascii="Arial" w:eastAsia="Calibri" w:hAnsi="Arial" w:cs="Arial"/>
          <w:lang w:val="es-ES"/>
        </w:rPr>
        <w:t xml:space="preserve"> </w:t>
      </w:r>
      <w:r w:rsidRPr="00407259">
        <w:rPr>
          <w:rFonts w:ascii="Arial" w:eastAsia="Calibri" w:hAnsi="Arial" w:cs="Arial"/>
          <w:lang w:val="es-ES"/>
        </w:rPr>
        <w:t xml:space="preserve">de infraestructura de transporte que se surtieran por la modalidad de mínima cuantía. Estos documentos fueron implementados y desarrollados por la Agencia Nacional de Contratación Pública – Colombia Compra Eficiente, por medio de la Resolución 1798 de 1 de abril de </w:t>
      </w:r>
      <w:r w:rsidRPr="00407259">
        <w:rPr>
          <w:rFonts w:ascii="Arial" w:eastAsia="Calibri" w:hAnsi="Arial" w:cs="Arial"/>
          <w:lang w:val="es-ES"/>
        </w:rPr>
        <w:lastRenderedPageBreak/>
        <w:t>2019 –derogada por la Resolución 045 del 14 de febrero de 2020–, la Resolución 044 del 14 de febrero de 2020 y la Resolución 094 del 21 de mayo de 2020.</w:t>
      </w:r>
    </w:p>
    <w:p w14:paraId="58A4FC32" w14:textId="77777777" w:rsidR="001F57E2" w:rsidRPr="00407259" w:rsidRDefault="001F57E2" w:rsidP="001F57E2">
      <w:pPr>
        <w:spacing w:before="120" w:after="120" w:line="276" w:lineRule="auto"/>
        <w:ind w:firstLine="709"/>
        <w:jc w:val="both"/>
        <w:rPr>
          <w:rFonts w:ascii="Arial" w:eastAsia="Calibri" w:hAnsi="Arial" w:cs="Arial"/>
          <w:bdr w:val="none" w:sz="0" w:space="0" w:color="auto" w:frame="1"/>
        </w:rPr>
      </w:pPr>
      <w:bookmarkStart w:id="7" w:name="_Hlk143271549"/>
      <w:r w:rsidRPr="00407259">
        <w:rPr>
          <w:rFonts w:ascii="Arial" w:eastAsia="Calibri" w:hAnsi="Arial" w:cs="Arial"/>
          <w:color w:val="000000"/>
          <w:lang w:val="es-ES" w:eastAsia="es-ES"/>
        </w:rPr>
        <w:t>Por otra parte</w:t>
      </w:r>
      <w:r w:rsidRPr="00407259">
        <w:rPr>
          <w:rFonts w:ascii="Arial" w:eastAsia="Calibri" w:hAnsi="Arial" w:cs="Arial"/>
          <w:i/>
          <w:iCs/>
          <w:color w:val="000000"/>
          <w:lang w:val="es-ES" w:eastAsia="es-ES"/>
        </w:rPr>
        <w:t>,</w:t>
      </w:r>
      <w:r w:rsidRPr="00407259">
        <w:rPr>
          <w:rFonts w:ascii="Arial" w:eastAsia="Calibri" w:hAnsi="Arial" w:cs="Arial"/>
          <w:color w:val="00000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407259">
        <w:rPr>
          <w:rFonts w:ascii="Arial" w:eastAsia="Calibri" w:hAnsi="Arial" w:cs="Arial"/>
          <w:color w:val="000000"/>
          <w:vertAlign w:val="superscript"/>
          <w:lang w:val="es-ES" w:eastAsia="es-ES"/>
        </w:rPr>
        <w:footnoteReference w:id="6"/>
      </w:r>
      <w:r w:rsidRPr="00407259">
        <w:rPr>
          <w:rFonts w:ascii="Arial" w:eastAsia="Calibri" w:hAnsi="Arial" w:cs="Arial"/>
          <w:color w:val="000000"/>
          <w:lang w:val="es-ES" w:eastAsia="es-ES"/>
        </w:rPr>
        <w:t>. En este sentido, con la finalidad de realizar un desarrollo armónico y ajustado a la ley que otorga esta competencia, la Agencia Nacional de Contratación Pública expidió la Resolución 160 del 15 de septiembre de 2020</w:t>
      </w:r>
      <w:r>
        <w:rPr>
          <w:rFonts w:ascii="Arial" w:eastAsia="Calibri" w:hAnsi="Arial" w:cs="Arial"/>
          <w:color w:val="000000"/>
          <w:lang w:val="es-ES" w:eastAsia="es-ES"/>
        </w:rPr>
        <w:t>,</w:t>
      </w:r>
      <w:r w:rsidRPr="00407259">
        <w:rPr>
          <w:rFonts w:ascii="Arial" w:eastAsia="Calibri" w:hAnsi="Arial" w:cs="Arial"/>
          <w:color w:val="000000"/>
          <w:lang w:val="es-ES" w:eastAsia="es-ES"/>
        </w:rPr>
        <w:t xml:space="preserve"> “Por la cual se adopta el procedimiento para implementar los documentos tipo y se define el sistema para su revisión”. </w:t>
      </w:r>
    </w:p>
    <w:bookmarkEnd w:id="7"/>
    <w:p w14:paraId="4C6BE2BB" w14:textId="77777777" w:rsidR="001F57E2" w:rsidRPr="00407259" w:rsidRDefault="001F57E2" w:rsidP="001F57E2">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w:t>
      </w:r>
      <w:r w:rsidRPr="00407259">
        <w:rPr>
          <w:rFonts w:ascii="Arial" w:eastAsia="Calibri" w:hAnsi="Arial" w:cs="Arial"/>
          <w:lang w:val="es-ES" w:eastAsia="es-ES"/>
        </w:rPr>
        <w:lastRenderedPageBreak/>
        <w:t xml:space="preserve">adoptan los documentos tipo para los procesos de selección de concursos de méritos, para contratar la interventoría de obras públicas de infraestructura de transporte”. </w:t>
      </w:r>
    </w:p>
    <w:p w14:paraId="61E5EE3B" w14:textId="77777777" w:rsidR="001F57E2" w:rsidRPr="00407259" w:rsidRDefault="001F57E2" w:rsidP="001F57E2">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4CF14684" w14:textId="77777777" w:rsidR="001F57E2" w:rsidRPr="00407259" w:rsidRDefault="001F57E2" w:rsidP="001F57E2">
      <w:pPr>
        <w:spacing w:before="120" w:after="120" w:line="276" w:lineRule="auto"/>
        <w:ind w:firstLine="709"/>
        <w:jc w:val="both"/>
        <w:rPr>
          <w:rFonts w:ascii="Arial" w:hAnsi="Arial" w:cs="Arial"/>
        </w:rPr>
      </w:pPr>
      <w:r w:rsidRPr="00407259">
        <w:rPr>
          <w:rFonts w:ascii="Arial" w:eastAsia="Calibri" w:hAnsi="Arial" w:cs="Arial"/>
          <w:color w:val="000000"/>
          <w:lang w:val="es-ES" w:eastAsia="es-ES"/>
        </w:rPr>
        <w:t>Asimismo, en el transcurso del año 2021, esta Agencia expidió la Resolución 193 del 14 de julio de 2021</w:t>
      </w:r>
      <w:r>
        <w:rPr>
          <w:rFonts w:ascii="Arial" w:eastAsia="Calibri" w:hAnsi="Arial" w:cs="Arial"/>
          <w:color w:val="000000"/>
          <w:lang w:val="es-ES" w:eastAsia="es-ES"/>
        </w:rPr>
        <w:t>,</w:t>
      </w:r>
      <w:r w:rsidRPr="00407259">
        <w:rPr>
          <w:rFonts w:ascii="Arial" w:eastAsia="Calibri" w:hAnsi="Arial" w:cs="Arial"/>
          <w:color w:val="000000"/>
          <w:lang w:val="es-ES" w:eastAsia="es-ES"/>
        </w:rPr>
        <w:t xml:space="preserve"> “Por la cual se adoptan los documentos tipo para los procesos de </w:t>
      </w:r>
      <w:r w:rsidRPr="00407259">
        <w:rPr>
          <w:rFonts w:ascii="Arial" w:eastAsia="Calibri" w:hAnsi="Arial" w:cs="Arial"/>
          <w:lang w:val="es-ES" w:eastAsia="es-ES"/>
        </w:rPr>
        <w:t>selección de concurso de méritos, para contratar la consultoría de estudios de ingeniería de infraestructura de transporte”. De igual forma, el 6 de agosto de 2021, se adoptaron las Resoluciones 219 de 2021</w:t>
      </w:r>
      <w:r>
        <w:rPr>
          <w:rFonts w:ascii="Arial" w:eastAsia="Calibri" w:hAnsi="Arial" w:cs="Arial"/>
          <w:lang w:val="es-ES" w:eastAsia="es-ES"/>
        </w:rPr>
        <w:t>,</w:t>
      </w:r>
      <w:r w:rsidRPr="00407259">
        <w:rPr>
          <w:rFonts w:ascii="Arial" w:eastAsia="Calibri" w:hAnsi="Arial" w:cs="Arial"/>
          <w:lang w:val="es-ES" w:eastAsia="es-ES"/>
        </w:rPr>
        <w:t xml:space="preserve"> “Por la cual se adoptan los documentos tipo para los procesos de licitación de obra pública de infraestructura social”</w:t>
      </w:r>
      <w:r>
        <w:rPr>
          <w:rFonts w:ascii="Arial" w:eastAsia="Calibri" w:hAnsi="Arial" w:cs="Arial"/>
          <w:lang w:val="es-ES" w:eastAsia="es-ES"/>
        </w:rPr>
        <w:t>,</w:t>
      </w:r>
      <w:r w:rsidRPr="00407259">
        <w:rPr>
          <w:rFonts w:ascii="Arial" w:eastAsia="Calibri" w:hAnsi="Arial" w:cs="Arial"/>
          <w:lang w:val="es-ES" w:eastAsia="es-ES"/>
        </w:rPr>
        <w:t xml:space="preserve"> y 220 de 2021</w:t>
      </w:r>
      <w:r>
        <w:rPr>
          <w:rFonts w:ascii="Arial" w:eastAsia="Calibri" w:hAnsi="Arial" w:cs="Arial"/>
          <w:lang w:val="es-ES" w:eastAsia="es-ES"/>
        </w:rPr>
        <w:t>,</w:t>
      </w:r>
      <w:r w:rsidRPr="00407259">
        <w:rPr>
          <w:rFonts w:ascii="Arial" w:eastAsia="Calibri" w:hAnsi="Arial" w:cs="Arial"/>
          <w:lang w:val="es-ES" w:eastAsia="es-ES"/>
        </w:rPr>
        <w:t xml:space="preserve">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w:t>
      </w:r>
      <w:r>
        <w:rPr>
          <w:rFonts w:ascii="Arial" w:eastAsia="Calibri" w:hAnsi="Arial" w:cs="Arial"/>
          <w:lang w:val="es-ES" w:eastAsia="es-ES"/>
        </w:rPr>
        <w:t>,</w:t>
      </w:r>
      <w:r w:rsidRPr="00407259">
        <w:rPr>
          <w:rFonts w:ascii="Arial" w:eastAsia="Calibri" w:hAnsi="Arial" w:cs="Arial"/>
          <w:lang w:val="es-ES" w:eastAsia="es-ES"/>
        </w:rPr>
        <w:t xml:space="preserve"> “</w:t>
      </w:r>
      <w:r w:rsidRPr="0040725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407259">
        <w:rPr>
          <w:rFonts w:ascii="Arial" w:eastAsia="Calibri" w:hAnsi="Arial" w:cs="Arial"/>
          <w:lang w:val="es-ES" w:eastAsia="es-ES"/>
        </w:rPr>
        <w:t>”. Luego, se expidió la Resolución 454 del 16 de diciembre de 2021</w:t>
      </w:r>
      <w:r>
        <w:rPr>
          <w:rFonts w:ascii="Arial" w:eastAsia="Calibri" w:hAnsi="Arial" w:cs="Arial"/>
          <w:lang w:val="es-ES" w:eastAsia="es-ES"/>
        </w:rPr>
        <w:t>,</w:t>
      </w:r>
      <w:r w:rsidRPr="00407259">
        <w:rPr>
          <w:rFonts w:ascii="Arial" w:eastAsia="Calibri" w:hAnsi="Arial" w:cs="Arial"/>
          <w:lang w:val="es-ES" w:eastAsia="es-ES"/>
        </w:rPr>
        <w:t xml:space="preserve"> “</w:t>
      </w:r>
      <w:r w:rsidRPr="00407259">
        <w:rPr>
          <w:rFonts w:ascii="Arial" w:hAnsi="Arial" w:cs="Arial"/>
        </w:rPr>
        <w:t>Por la cual se adoptan los documentos tipo complementarios para los procesos de licitación de obra pública de infraestructura social relacionados con el sector cultura, recreación y deporte</w:t>
      </w:r>
      <w:r w:rsidRPr="00407259">
        <w:rPr>
          <w:rFonts w:ascii="Arial" w:eastAsia="Calibri" w:hAnsi="Arial" w:cs="Arial"/>
          <w:lang w:val="es-ES" w:eastAsia="es-ES"/>
        </w:rPr>
        <w:t>”</w:t>
      </w:r>
      <w:r w:rsidRPr="00407259">
        <w:rPr>
          <w:rFonts w:ascii="Arial" w:hAnsi="Arial" w:cs="Arial"/>
        </w:rPr>
        <w:t>.</w:t>
      </w:r>
    </w:p>
    <w:p w14:paraId="5F2B242C" w14:textId="77777777" w:rsidR="001F57E2" w:rsidRPr="00407259" w:rsidRDefault="001F57E2" w:rsidP="001F57E2">
      <w:pPr>
        <w:spacing w:before="120" w:after="120" w:line="276" w:lineRule="auto"/>
        <w:ind w:firstLine="709"/>
        <w:jc w:val="both"/>
        <w:rPr>
          <w:rFonts w:ascii="Arial" w:eastAsia="Times New Roman" w:hAnsi="Arial" w:cs="Arial"/>
          <w:bdr w:val="none" w:sz="0" w:space="0" w:color="auto" w:frame="1"/>
          <w:lang w:val="es-ES_tradnl" w:eastAsia="es-CO"/>
        </w:rPr>
      </w:pPr>
      <w:r w:rsidRPr="00407259">
        <w:rPr>
          <w:rFonts w:ascii="Arial" w:eastAsia="Times New Roman" w:hAnsi="Arial" w:cs="Arial"/>
          <w:bdr w:val="none" w:sz="0" w:space="0" w:color="auto" w:frame="1"/>
          <w:lang w:val="es-ES_tradnl" w:eastAsia="es-CO"/>
        </w:rPr>
        <w:t>No obstante, con la expedición de la Ley de Emprendimiento, se modificaron varios documentos tipo mediante la Resolución No. 161 del 17 de junio de 2021</w:t>
      </w:r>
      <w:r>
        <w:rPr>
          <w:rFonts w:ascii="Arial" w:eastAsia="Times New Roman" w:hAnsi="Arial" w:cs="Arial"/>
          <w:bdr w:val="none" w:sz="0" w:space="0" w:color="auto" w:frame="1"/>
          <w:lang w:val="es-ES_tradnl" w:eastAsia="es-CO"/>
        </w:rPr>
        <w:t>,</w:t>
      </w:r>
      <w:r w:rsidRPr="00407259">
        <w:rPr>
          <w:rFonts w:ascii="Arial" w:eastAsia="Times New Roman" w:hAnsi="Arial" w:cs="Arial"/>
          <w:bdr w:val="none" w:sz="0" w:space="0" w:color="auto" w:frame="1"/>
          <w:lang w:val="es-ES_tradnl" w:eastAsia="es-CO"/>
        </w:rPr>
        <w:t xml:space="preserve">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15178D3F" w14:textId="77777777" w:rsidR="001F57E2" w:rsidRPr="00407259" w:rsidRDefault="001F57E2" w:rsidP="001F57E2">
      <w:pPr>
        <w:spacing w:before="120" w:after="120" w:line="276" w:lineRule="auto"/>
        <w:ind w:firstLine="709"/>
        <w:jc w:val="both"/>
        <w:rPr>
          <w:rFonts w:ascii="Arial" w:eastAsia="Calibri" w:hAnsi="Arial" w:cs="Arial"/>
          <w:lang w:val="es-ES_tradnl" w:eastAsia="es-ES"/>
        </w:rPr>
      </w:pPr>
      <w:r w:rsidRPr="0040725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43925485" w14:textId="77777777" w:rsidR="001F57E2" w:rsidRPr="00407259" w:rsidRDefault="001F57E2" w:rsidP="001F57E2">
      <w:pPr>
        <w:spacing w:after="0" w:line="276" w:lineRule="auto"/>
        <w:ind w:firstLine="709"/>
        <w:jc w:val="both"/>
        <w:rPr>
          <w:rFonts w:ascii="Arial" w:hAnsi="Arial" w:cs="Arial"/>
          <w:spacing w:val="2"/>
          <w:lang w:eastAsia="es-CO"/>
        </w:rPr>
      </w:pPr>
      <w:r w:rsidRPr="00407259">
        <w:rPr>
          <w:rFonts w:ascii="Arial" w:hAnsi="Arial" w:cs="Arial"/>
          <w:spacing w:val="2"/>
          <w:lang w:eastAsia="es-CO"/>
        </w:rPr>
        <w:lastRenderedPageBreak/>
        <w:t xml:space="preserve">Con posterioridad, el Decreto 1860 de 2021 modificó </w:t>
      </w:r>
      <w:r w:rsidRPr="0040725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407259">
        <w:rPr>
          <w:rFonts w:ascii="Arial" w:eastAsia="Times New Roman" w:hAnsi="Arial" w:cs="Arial"/>
          <w:szCs w:val="24"/>
          <w:lang w:eastAsia="es-MX"/>
        </w:rPr>
        <w:t>además de incluir algunas disposiciones adicionales para la reglamentación efectiva de la citada Ley.</w:t>
      </w:r>
      <w:r w:rsidRPr="00407259">
        <w:rPr>
          <w:rFonts w:ascii="Arial" w:eastAsia="Arial" w:hAnsi="Arial" w:cs="Arial"/>
          <w:szCs w:val="24"/>
          <w:lang w:eastAsia="es-CO"/>
        </w:rPr>
        <w:t xml:space="preserve"> </w:t>
      </w:r>
      <w:r w:rsidRPr="0040725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407259">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5FC159B7" w14:textId="77777777" w:rsidR="001F57E2" w:rsidRDefault="001F57E2" w:rsidP="001F57E2">
      <w:pPr>
        <w:spacing w:before="120" w:after="0" w:line="276" w:lineRule="auto"/>
        <w:ind w:firstLine="709"/>
        <w:jc w:val="both"/>
        <w:rPr>
          <w:rFonts w:ascii="Arial" w:hAnsi="Arial" w:cs="Arial"/>
          <w:spacing w:val="2"/>
          <w:lang w:eastAsia="es-CO"/>
        </w:rPr>
      </w:pPr>
      <w:r>
        <w:rPr>
          <w:rFonts w:ascii="Arial" w:hAnsi="Arial" w:cs="Arial"/>
          <w:spacing w:val="2"/>
          <w:lang w:eastAsia="es-CO"/>
        </w:rPr>
        <w:t>Por lo demás</w:t>
      </w:r>
      <w:r w:rsidRPr="00407259">
        <w:rPr>
          <w:rFonts w:ascii="Arial" w:hAnsi="Arial" w:cs="Arial"/>
          <w:spacing w:val="2"/>
          <w:lang w:eastAsia="es-CO"/>
        </w:rPr>
        <w:t>, se expidió la Resolución No. 326 del 22 de julio de 2022</w:t>
      </w:r>
      <w:r>
        <w:rPr>
          <w:rFonts w:ascii="Arial" w:hAnsi="Arial" w:cs="Arial"/>
          <w:spacing w:val="2"/>
          <w:lang w:eastAsia="es-CO"/>
        </w:rPr>
        <w:t>,</w:t>
      </w:r>
      <w:r w:rsidRPr="00407259">
        <w:rPr>
          <w:rFonts w:ascii="Arial" w:hAnsi="Arial" w:cs="Arial"/>
          <w:spacing w:val="2"/>
          <w:lang w:eastAsia="es-CO"/>
        </w:rPr>
        <w:t xml:space="preserve">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w:t>
      </w:r>
      <w:r>
        <w:rPr>
          <w:rFonts w:ascii="Arial" w:hAnsi="Arial" w:cs="Arial"/>
          <w:spacing w:val="2"/>
          <w:lang w:eastAsia="es-CO"/>
        </w:rPr>
        <w:t>,</w:t>
      </w:r>
      <w:r w:rsidRPr="00407259">
        <w:rPr>
          <w:rFonts w:ascii="Arial" w:hAnsi="Arial" w:cs="Arial"/>
          <w:spacing w:val="2"/>
          <w:lang w:eastAsia="es-CO"/>
        </w:rPr>
        <w:t xml:space="preserve"> “Por la cual se adoptan los documentos tipo para los procesos de selección de concurso de méritos para contratar la interventoría de obras públicas de infraestructura de agua potable y saneamiento básico”</w:t>
      </w:r>
      <w:r>
        <w:rPr>
          <w:rFonts w:ascii="Arial" w:hAnsi="Arial" w:cs="Arial"/>
          <w:spacing w:val="2"/>
          <w:lang w:eastAsia="es-CO"/>
        </w:rPr>
        <w:t xml:space="preserve">, y la Resolución </w:t>
      </w:r>
      <w:r w:rsidRPr="004366E8">
        <w:rPr>
          <w:rFonts w:ascii="Arial" w:hAnsi="Arial" w:cs="Arial"/>
          <w:spacing w:val="2"/>
          <w:lang w:eastAsia="es-CO"/>
        </w:rPr>
        <w:t>625 del 16 de diciembre del 2022</w:t>
      </w:r>
      <w:r>
        <w:rPr>
          <w:rFonts w:ascii="Arial" w:hAnsi="Arial" w:cs="Arial"/>
          <w:spacing w:val="2"/>
          <w:lang w:eastAsia="es-CO"/>
        </w:rPr>
        <w:t>,</w:t>
      </w:r>
      <w:r w:rsidRPr="004366E8">
        <w:rPr>
          <w:rFonts w:ascii="Arial" w:hAnsi="Arial" w:cs="Arial"/>
          <w:spacing w:val="2"/>
          <w:lang w:eastAsia="es-CO"/>
        </w:rPr>
        <w:t xml:space="preserve"> "Por la cual se actualizan los documentos tipo para los procesos de obra pública de infraestructura de transporte que se adelanten por la modalidad de mínima cuantía y se deroga la Resolución 094 de 2020"</w:t>
      </w:r>
      <w:r>
        <w:rPr>
          <w:rStyle w:val="Refdenotaalpie"/>
          <w:rFonts w:ascii="Arial" w:hAnsi="Arial" w:cs="Arial"/>
          <w:spacing w:val="2"/>
          <w:lang w:eastAsia="es-CO"/>
        </w:rPr>
        <w:footnoteReference w:id="7"/>
      </w:r>
      <w:r>
        <w:rPr>
          <w:rFonts w:ascii="Arial" w:hAnsi="Arial" w:cs="Arial"/>
          <w:spacing w:val="2"/>
          <w:lang w:eastAsia="es-CO"/>
        </w:rPr>
        <w:t xml:space="preserve">. </w:t>
      </w:r>
    </w:p>
    <w:p w14:paraId="179BB4CC" w14:textId="77777777" w:rsidR="001F57E2" w:rsidRPr="00481FE5" w:rsidRDefault="001F57E2" w:rsidP="001F57E2">
      <w:pPr>
        <w:spacing w:before="120" w:after="0" w:line="276" w:lineRule="auto"/>
        <w:ind w:firstLine="709"/>
        <w:jc w:val="both"/>
        <w:rPr>
          <w:rFonts w:ascii="Arial" w:hAnsi="Arial" w:cs="Arial"/>
          <w:spacing w:val="2"/>
          <w:lang w:eastAsia="es-CO"/>
        </w:rPr>
      </w:pPr>
      <w:r>
        <w:rPr>
          <w:rFonts w:ascii="Arial" w:hAnsi="Arial" w:cs="Arial"/>
          <w:spacing w:val="2"/>
          <w:lang w:eastAsia="es-CO"/>
        </w:rPr>
        <w:t xml:space="preserve">Finalmente, para efectos del artículo 95 de la Ley 2166 de 2021, la Colombia Compra Eficiente también expidió la </w:t>
      </w:r>
      <w:r w:rsidRPr="002007A6">
        <w:rPr>
          <w:rFonts w:ascii="Arial" w:hAnsi="Arial" w:cs="Arial"/>
          <w:spacing w:val="2"/>
          <w:lang w:eastAsia="es-CO"/>
        </w:rPr>
        <w:t>Resolución 358 del 30 de junio de 2023</w:t>
      </w:r>
      <w:r>
        <w:rPr>
          <w:rFonts w:ascii="Arial" w:hAnsi="Arial" w:cs="Arial"/>
          <w:spacing w:val="2"/>
          <w:lang w:eastAsia="es-CO"/>
        </w:rPr>
        <w:t>,</w:t>
      </w:r>
      <w:r w:rsidRPr="002007A6">
        <w:rPr>
          <w:rFonts w:ascii="Arial" w:hAnsi="Arial" w:cs="Arial"/>
          <w:spacing w:val="2"/>
          <w:lang w:eastAsia="es-CO"/>
        </w:rPr>
        <w:t xml:space="preserve"> “Por la cual se adopta el documento tipo para la contratación directa de convenios solidarios para la ejecución de obras hasta la menor cuantía con organismos de acción comunal”</w:t>
      </w:r>
      <w:r>
        <w:rPr>
          <w:rFonts w:ascii="Arial" w:hAnsi="Arial" w:cs="Arial"/>
          <w:spacing w:val="2"/>
          <w:lang w:eastAsia="es-CO"/>
        </w:rPr>
        <w:t xml:space="preserve">. Para mayor información sobre los actos administrativos que han implementado documentos tipo en el ordenamiento jurídico puede consultar el siguiente enlace: </w:t>
      </w:r>
      <w:hyperlink r:id="rId11" w:history="1">
        <w:r w:rsidRPr="00604FC0">
          <w:rPr>
            <w:rStyle w:val="Hipervnculo"/>
            <w:rFonts w:ascii="Arial" w:hAnsi="Arial" w:cs="Arial"/>
            <w:spacing w:val="2"/>
          </w:rPr>
          <w:t>https://www.colombiacompra.gov.co/documentos-tipo/documentos-tipo</w:t>
        </w:r>
      </w:hyperlink>
      <w:r>
        <w:rPr>
          <w:rFonts w:ascii="Arial" w:hAnsi="Arial" w:cs="Arial"/>
          <w:spacing w:val="2"/>
          <w:lang w:eastAsia="es-CO"/>
        </w:rPr>
        <w:t xml:space="preserve">. </w:t>
      </w:r>
      <w:r w:rsidRPr="00C046D8">
        <w:rPr>
          <w:rFonts w:ascii="Arial" w:eastAsia="Calibri" w:hAnsi="Arial" w:cs="Arial"/>
          <w:lang w:eastAsia="en-GB"/>
        </w:rPr>
        <w:t xml:space="preserve"> </w:t>
      </w:r>
    </w:p>
    <w:bookmarkEnd w:id="6"/>
    <w:p w14:paraId="4B73BE7D" w14:textId="77777777" w:rsidR="001F57E2" w:rsidRPr="00C046D8" w:rsidRDefault="001F57E2" w:rsidP="001F57E2">
      <w:pPr>
        <w:tabs>
          <w:tab w:val="left" w:pos="0"/>
        </w:tabs>
        <w:spacing w:after="0" w:line="276" w:lineRule="auto"/>
        <w:contextualSpacing/>
        <w:jc w:val="both"/>
        <w:rPr>
          <w:rFonts w:ascii="Arial" w:eastAsia="Calibri" w:hAnsi="Arial" w:cs="Arial"/>
          <w:b/>
          <w:lang w:val="es-ES_tradnl" w:eastAsia="es-ES_tradnl"/>
        </w:rPr>
      </w:pPr>
      <w:r w:rsidRPr="00C046D8">
        <w:rPr>
          <w:rFonts w:ascii="Arial" w:eastAsia="Calibri" w:hAnsi="Arial" w:cs="Arial"/>
          <w:lang w:eastAsia="en-GB"/>
        </w:rPr>
        <w:t xml:space="preserve"> </w:t>
      </w:r>
    </w:p>
    <w:p w14:paraId="325FAD15" w14:textId="77777777" w:rsidR="001F57E2" w:rsidRPr="00C046D8" w:rsidRDefault="001F57E2" w:rsidP="001F57E2">
      <w:pPr>
        <w:tabs>
          <w:tab w:val="left" w:pos="0"/>
        </w:tabs>
        <w:spacing w:after="0" w:line="276" w:lineRule="auto"/>
        <w:contextualSpacing/>
        <w:jc w:val="both"/>
        <w:rPr>
          <w:rFonts w:ascii="Arial" w:eastAsia="Calibri" w:hAnsi="Arial" w:cs="Arial"/>
          <w:b/>
          <w:lang w:val="es-ES_tradnl" w:eastAsia="es-ES_tradnl"/>
        </w:rPr>
      </w:pPr>
      <w:r w:rsidRPr="00165C4E">
        <w:rPr>
          <w:rFonts w:ascii="Arial" w:eastAsia="Calibri" w:hAnsi="Arial" w:cs="Arial"/>
          <w:b/>
          <w:lang w:val="es-ES_tradnl" w:eastAsia="es-ES_tradnl"/>
        </w:rPr>
        <w:t>2.</w:t>
      </w:r>
      <w:r>
        <w:rPr>
          <w:rFonts w:ascii="Arial" w:eastAsia="Calibri" w:hAnsi="Arial" w:cs="Arial"/>
          <w:b/>
          <w:lang w:val="es-ES_tradnl" w:eastAsia="es-ES_tradnl"/>
        </w:rPr>
        <w:t>2</w:t>
      </w:r>
      <w:r w:rsidRPr="00165C4E">
        <w:rPr>
          <w:rFonts w:ascii="Arial" w:eastAsia="Calibri" w:hAnsi="Arial" w:cs="Arial"/>
          <w:b/>
          <w:lang w:val="es-ES_tradnl" w:eastAsia="es-ES_tradnl"/>
        </w:rPr>
        <w:t xml:space="preserve">. </w:t>
      </w:r>
      <w:bookmarkStart w:id="8" w:name="_Hlk95322387"/>
      <w:r w:rsidRPr="00165C4E">
        <w:rPr>
          <w:rFonts w:ascii="Arial" w:eastAsia="Calibri" w:hAnsi="Arial" w:cs="Arial"/>
          <w:b/>
          <w:lang w:val="es-ES_tradnl"/>
        </w:rPr>
        <w:t xml:space="preserve">Alcance del artículo 56 de la Ley 2195 de 2022 frente a la implementación obligatoria del </w:t>
      </w:r>
      <w:r w:rsidRPr="00165C4E">
        <w:rPr>
          <w:rFonts w:ascii="Arial" w:eastAsia="Calibri" w:hAnsi="Arial" w:cs="Arial"/>
          <w:b/>
          <w:lang w:val="es-ES_tradnl" w:eastAsia="es-ES_tradnl"/>
        </w:rPr>
        <w:t xml:space="preserve">Estatuto General de Contratación de la Administración Pública </w:t>
      </w:r>
      <w:r w:rsidRPr="00165C4E">
        <w:rPr>
          <w:rFonts w:ascii="Arial" w:eastAsia="Calibri" w:hAnsi="Arial" w:cs="Arial"/>
          <w:b/>
          <w:lang w:val="es-ES_tradnl"/>
        </w:rPr>
        <w:t>y de los documentos tipo en la celebración de convenios o contratos interadministrativos o de cualquier otra índole con entidades estatales exceptuadas y particulares</w:t>
      </w:r>
    </w:p>
    <w:bookmarkEnd w:id="8"/>
    <w:p w14:paraId="1B7FD925" w14:textId="77777777" w:rsidR="001F57E2" w:rsidRPr="00C046D8" w:rsidRDefault="001F57E2" w:rsidP="001F57E2">
      <w:pPr>
        <w:tabs>
          <w:tab w:val="left" w:pos="0"/>
        </w:tabs>
        <w:spacing w:after="0" w:line="276" w:lineRule="auto"/>
        <w:contextualSpacing/>
        <w:jc w:val="both"/>
        <w:rPr>
          <w:rFonts w:ascii="Arial" w:eastAsia="Calibri" w:hAnsi="Arial" w:cs="Arial"/>
          <w:bCs/>
          <w:lang w:val="es-ES_tradnl" w:eastAsia="es-ES_tradnl"/>
        </w:rPr>
      </w:pPr>
    </w:p>
    <w:p w14:paraId="12BA241B" w14:textId="77777777" w:rsidR="001F57E2" w:rsidRPr="00C046D8"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Conforme se explicó en el acápite anterior, en virtud de la Ley 2022 de 2020, los documentos tipo expedidos por la Agencia Nacional de Contratación Pública – Colombia Compra Eficiente</w:t>
      </w:r>
      <w:r>
        <w:rPr>
          <w:rFonts w:ascii="Arial" w:eastAsia="Calibri" w:hAnsi="Arial" w:cs="Arial"/>
          <w:bCs/>
          <w:lang w:val="es-ES_tradnl" w:eastAsia="es-ES_tradnl"/>
        </w:rPr>
        <w:t>–</w:t>
      </w:r>
      <w:r w:rsidRPr="00C046D8">
        <w:rPr>
          <w:rFonts w:ascii="Arial" w:eastAsia="Calibri" w:hAnsi="Arial" w:cs="Arial"/>
          <w:bCs/>
          <w:lang w:val="es-ES_tradnl" w:eastAsia="es-ES_tradnl"/>
        </w:rPr>
        <w:t xml:space="preserve"> son de aplicación obligatoria para las entidades estatales sometidas al EGCAP. En ese sentido, el contenido normativo de la Ley 2022 de 2020, y en su momento también de la Ley 1882 de 2018, exclu</w:t>
      </w:r>
      <w:r>
        <w:rPr>
          <w:rFonts w:ascii="Arial" w:eastAsia="Calibri" w:hAnsi="Arial" w:cs="Arial"/>
          <w:bCs/>
          <w:lang w:val="es-ES_tradnl" w:eastAsia="es-ES_tradnl"/>
        </w:rPr>
        <w:t>yen</w:t>
      </w:r>
      <w:r w:rsidRPr="00C046D8">
        <w:rPr>
          <w:rFonts w:ascii="Arial" w:eastAsia="Calibri" w:hAnsi="Arial" w:cs="Arial"/>
          <w:bCs/>
          <w:lang w:val="es-ES_tradnl" w:eastAsia="es-ES_tradnl"/>
        </w:rPr>
        <w:t xml:space="preserve"> del ámbito de aplicación de los documentos tipo la contratación de entidades estatales de régimen exceptuado, por lo general, sujetas al derecho privado. </w:t>
      </w:r>
    </w:p>
    <w:p w14:paraId="0A07D41D" w14:textId="77777777" w:rsidR="001F57E2" w:rsidRPr="00AD1ECB"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
          <w:lang w:val="es-ES_tradnl" w:eastAsia="es-ES_tradnl"/>
        </w:rPr>
        <w:tab/>
      </w:r>
      <w:bookmarkStart w:id="9" w:name="_Hlk113023000"/>
      <w:r w:rsidRPr="00C046D8">
        <w:rPr>
          <w:rFonts w:ascii="Arial" w:eastAsia="Calibri" w:hAnsi="Arial" w:cs="Arial"/>
          <w:bCs/>
          <w:lang w:val="es-ES_tradnl" w:eastAsia="es-ES_tradnl"/>
        </w:rPr>
        <w:t xml:space="preserve">En este contexto, se expidió la Ley 2195 de 2022, </w:t>
      </w:r>
      <w:r w:rsidRPr="00AD1ECB">
        <w:rPr>
          <w:rFonts w:ascii="Arial" w:eastAsia="Calibri" w:hAnsi="Arial" w:cs="Arial"/>
          <w:bCs/>
          <w:lang w:val="es-ES_tradnl" w:eastAsia="es-ES_tradnl"/>
        </w:rPr>
        <w:t xml:space="preserve">“Por medio de la cual se adoptan medidas en materia de transparencia, prevención y lucha contra la corrupción y se dictan otras disposiciones”. Según su artículo 1°, este cuerpo normativo </w:t>
      </w:r>
      <w:r w:rsidRPr="00AD1ECB">
        <w:rPr>
          <w:rFonts w:ascii="Arial" w:eastAsia="Calibri" w:hAnsi="Arial" w:cs="Arial"/>
          <w:lang w:val="es-ES_tradnl" w:eastAsia="es-ES_tradnl"/>
        </w:rPr>
        <w:t>“</w:t>
      </w:r>
      <w:r w:rsidRPr="00AD1ECB">
        <w:rPr>
          <w:rFonts w:ascii="Arial" w:eastAsia="Times New Roman" w:hAnsi="Arial" w:cs="Arial"/>
          <w:lang w:val="es-ES_tradnl" w:eastAsia="es-ES_tradnl"/>
        </w:rPr>
        <w:t xml:space="preserve">[…] </w:t>
      </w:r>
      <w:r w:rsidRPr="00AD1ECB">
        <w:rPr>
          <w:rFonts w:ascii="Arial" w:eastAsia="Calibri" w:hAnsi="Arial"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AD1ECB">
        <w:rPr>
          <w:rFonts w:ascii="Arial" w:eastAsia="Calibri" w:hAnsi="Arial" w:cs="Arial"/>
          <w:bCs/>
          <w:lang w:val="es-ES_tradnl" w:eastAsia="es-ES_tradnl"/>
        </w:rPr>
        <w:t xml:space="preserve">destaca el artículo 56, norma sobre la que versa la presente consulta. </w:t>
      </w:r>
    </w:p>
    <w:p w14:paraId="696107C4" w14:textId="77777777" w:rsidR="001F57E2" w:rsidRDefault="001F57E2" w:rsidP="001F57E2">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t>Para comenzar el análisis del contenido de la referida disposición, es pertinente iniciar estudiando su trámite legislativo. Al respecto, el Proyecto de Ley No. 341 de 2020</w:t>
      </w:r>
      <w:r>
        <w:rPr>
          <w:rStyle w:val="Refdenotaalpie"/>
          <w:rFonts w:ascii="Arial" w:eastAsia="Calibri" w:hAnsi="Arial" w:cs="Arial"/>
          <w:bCs/>
          <w:lang w:val="es-ES_tradnl" w:eastAsia="es-ES_tradnl"/>
        </w:rPr>
        <w:footnoteReference w:id="8"/>
      </w:r>
      <w:r>
        <w:rPr>
          <w:rFonts w:ascii="Arial" w:eastAsia="Calibri" w:hAnsi="Arial" w:cs="Arial"/>
          <w:bCs/>
          <w:lang w:val="es-ES_tradnl" w:eastAsia="es-ES_tradnl"/>
        </w:rPr>
        <w:t xml:space="preserve"> radicado el 20 de octubre de 2020 por el gobierno nacional ante 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No.369 de 2021</w:t>
      </w:r>
      <w:r>
        <w:rPr>
          <w:rStyle w:val="Refdenotaalpie"/>
          <w:rFonts w:ascii="Arial" w:eastAsia="Calibri" w:hAnsi="Arial" w:cs="Arial"/>
          <w:bCs/>
          <w:lang w:val="es-ES_tradnl" w:eastAsia="es-ES_tradnl"/>
        </w:rPr>
        <w:footnoteReference w:id="9"/>
      </w:r>
      <w:r>
        <w:rPr>
          <w:rFonts w:ascii="Arial" w:eastAsia="Calibri" w:hAnsi="Arial" w:cs="Arial"/>
          <w:bCs/>
          <w:lang w:val="es-ES_tradnl" w:eastAsia="es-ES_tradnl"/>
        </w:rPr>
        <w:t xml:space="preserve"> y a continuación conciliado por ambas cámaras el 16 y 15 de diciembre de 2021, respectivamente.</w:t>
      </w:r>
    </w:p>
    <w:p w14:paraId="4A73E2FD" w14:textId="77777777" w:rsidR="001F57E2" w:rsidRPr="00AE13C5" w:rsidRDefault="001F57E2" w:rsidP="001F57E2">
      <w:pPr>
        <w:tabs>
          <w:tab w:val="left" w:pos="0"/>
        </w:tabs>
        <w:spacing w:after="0" w:line="276" w:lineRule="auto"/>
        <w:jc w:val="both"/>
        <w:rPr>
          <w:rFonts w:ascii="Arial" w:eastAsia="Calibri" w:hAnsi="Arial" w:cs="Arial"/>
          <w:lang w:val="es-ES_tradnl" w:eastAsia="es-ES_tradnl"/>
        </w:rPr>
      </w:pPr>
      <w:r>
        <w:rPr>
          <w:rFonts w:ascii="Arial" w:eastAsia="Calibri" w:hAnsi="Arial" w:cs="Arial"/>
          <w:bCs/>
          <w:lang w:val="es-ES_tradnl" w:eastAsia="es-ES_tradnl"/>
        </w:rPr>
        <w:tab/>
        <w:t xml:space="preserve">Sobre el tema, es importante indicar que, en el informe de ponencia para primer debate legislativo en Senado, previo a la intervención realizada por </w:t>
      </w:r>
      <w:r w:rsidRPr="00A8462A">
        <w:rPr>
          <w:rFonts w:ascii="Arial" w:eastAsia="Calibri" w:hAnsi="Arial" w:cs="Arial"/>
          <w:bCs/>
          <w:lang w:val="es-ES_tradnl" w:eastAsia="es-ES_tradnl"/>
        </w:rPr>
        <w:t>l</w:t>
      </w:r>
      <w:r>
        <w:rPr>
          <w:rFonts w:ascii="Arial" w:eastAsia="Calibri" w:hAnsi="Arial" w:cs="Arial"/>
          <w:bCs/>
          <w:lang w:val="es-ES_tradnl" w:eastAsia="es-ES_tradnl"/>
        </w:rPr>
        <w:t>a</w:t>
      </w:r>
      <w:r w:rsidRPr="00A8462A">
        <w:rPr>
          <w:rFonts w:ascii="Arial" w:eastAsia="Calibri" w:hAnsi="Arial" w:cs="Arial"/>
          <w:bCs/>
          <w:lang w:val="es-ES_tradnl" w:eastAsia="es-ES_tradnl"/>
        </w:rPr>
        <w:t xml:space="preserve"> Subdirec</w:t>
      </w:r>
      <w:r>
        <w:rPr>
          <w:rFonts w:ascii="Arial" w:eastAsia="Calibri" w:hAnsi="Arial" w:cs="Arial"/>
          <w:bCs/>
          <w:lang w:val="es-ES_tradnl" w:eastAsia="es-ES_tradnl"/>
        </w:rPr>
        <w:t xml:space="preserve">ción de Gestión Contractual de la Agencia, </w:t>
      </w:r>
      <w:r w:rsidRPr="00165C4E">
        <w:rPr>
          <w:rFonts w:ascii="Arial" w:eastAsia="Calibri" w:hAnsi="Arial" w:cs="Arial"/>
          <w:lang w:val="es-ES_tradnl" w:eastAsia="es-ES_tradnl"/>
        </w:rPr>
        <w:t xml:space="preserve">en audiencia pública realizada por la </w:t>
      </w:r>
      <w:r w:rsidRPr="00165C4E">
        <w:rPr>
          <w:rStyle w:val="markedcontent"/>
          <w:rFonts w:ascii="Arial" w:hAnsi="Arial" w:cs="Arial"/>
        </w:rPr>
        <w:t xml:space="preserve">Comisión Primera del Senado </w:t>
      </w:r>
      <w:r w:rsidRPr="00165C4E">
        <w:rPr>
          <w:rFonts w:ascii="Arial" w:eastAsia="Calibri" w:hAnsi="Arial" w:cs="Arial"/>
          <w:lang w:val="es-ES_tradnl" w:eastAsia="es-ES_tradnl"/>
        </w:rPr>
        <w:t xml:space="preserve">el día </w:t>
      </w:r>
      <w:r w:rsidRPr="00165C4E">
        <w:rPr>
          <w:rStyle w:val="markedcontent"/>
          <w:rFonts w:ascii="Arial" w:hAnsi="Arial" w:cs="Arial"/>
        </w:rPr>
        <w:t>14 de diciembre de 2020,</w:t>
      </w:r>
      <w:r>
        <w:rPr>
          <w:rStyle w:val="markedcontent"/>
          <w:rFonts w:ascii="Arial" w:hAnsi="Arial" w:cs="Arial"/>
        </w:rPr>
        <w:t xml:space="preserve"> </w:t>
      </w:r>
      <w:r>
        <w:rPr>
          <w:rFonts w:ascii="Arial" w:eastAsia="Calibri" w:hAnsi="Arial" w:cs="Arial"/>
          <w:bCs/>
          <w:lang w:val="es-ES_tradnl" w:eastAsia="es-ES_tradnl"/>
        </w:rPr>
        <w:t>se</w:t>
      </w:r>
      <w:r w:rsidRPr="00BE2891">
        <w:rPr>
          <w:rFonts w:ascii="Arial" w:eastAsia="Calibri" w:hAnsi="Arial" w:cs="Arial"/>
          <w:bCs/>
          <w:lang w:val="es-ES_tradnl" w:eastAsia="es-ES_tradnl"/>
        </w:rPr>
        <w:t xml:space="preserve"> </w:t>
      </w:r>
      <w:r w:rsidRPr="00EB07D8">
        <w:rPr>
          <w:rFonts w:ascii="Arial" w:eastAsia="Calibri" w:hAnsi="Arial" w:cs="Arial"/>
          <w:bCs/>
          <w:lang w:val="es-ES_tradnl" w:eastAsia="es-ES_tradnl"/>
        </w:rPr>
        <w:t>incluyeron</w:t>
      </w:r>
      <w:r>
        <w:rPr>
          <w:rFonts w:ascii="Arial" w:eastAsia="Calibri" w:hAnsi="Arial" w:cs="Arial"/>
          <w:bCs/>
          <w:lang w:val="es-ES_tradnl" w:eastAsia="es-ES_tradnl"/>
        </w:rPr>
        <w:t xml:space="preserve"> d</w:t>
      </w:r>
      <w:r w:rsidRPr="00BE2891">
        <w:rPr>
          <w:rFonts w:ascii="Arial" w:eastAsia="Calibri" w:hAnsi="Arial" w:cs="Arial"/>
          <w:bCs/>
          <w:lang w:val="es-ES_tradnl" w:eastAsia="es-ES_tradnl"/>
        </w:rPr>
        <w:t xml:space="preserve">isposiciones en el proyecto de </w:t>
      </w:r>
      <w:r>
        <w:rPr>
          <w:rFonts w:ascii="Arial" w:eastAsia="Calibri" w:hAnsi="Arial" w:cs="Arial"/>
          <w:bCs/>
          <w:lang w:val="es-ES_tradnl" w:eastAsia="es-ES_tradnl"/>
        </w:rPr>
        <w:t>L</w:t>
      </w:r>
      <w:r w:rsidRPr="00BE2891">
        <w:rPr>
          <w:rFonts w:ascii="Arial" w:eastAsia="Calibri" w:hAnsi="Arial" w:cs="Arial"/>
          <w:bCs/>
          <w:lang w:val="es-ES_tradnl" w:eastAsia="es-ES_tradnl"/>
        </w:rPr>
        <w:t>ey relacionadas por ejemplo con</w:t>
      </w:r>
      <w:r>
        <w:rPr>
          <w:rFonts w:ascii="Arial" w:eastAsia="Calibri" w:hAnsi="Arial" w:cs="Arial"/>
          <w:bCs/>
          <w:lang w:val="es-ES_tradnl" w:eastAsia="es-ES_tradnl"/>
        </w:rPr>
        <w:t xml:space="preserve">: </w:t>
      </w:r>
      <w:r w:rsidRPr="00E31EA8">
        <w:rPr>
          <w:rFonts w:ascii="Arial" w:eastAsia="Calibri" w:hAnsi="Arial" w:cs="Arial"/>
          <w:lang w:val="es-ES_tradnl" w:eastAsia="es-ES_tradnl"/>
        </w:rPr>
        <w:t xml:space="preserve">“impedir que las entidades sometidas al estatuto de contratación celebren contratos jurídicos de derecho privado, con lo que se prevé evitar escapar del ámbito del estatuto de contratación pública, asimismo fortalecer que en los </w:t>
      </w:r>
      <w:r w:rsidRPr="00E31EA8">
        <w:rPr>
          <w:rFonts w:ascii="Arial" w:eastAsia="Calibri" w:hAnsi="Arial" w:cs="Arial"/>
          <w:lang w:val="es-ES_tradnl" w:eastAsia="es-ES_tradnl"/>
        </w:rPr>
        <w:lastRenderedPageBreak/>
        <w:t xml:space="preserve">convenios deben emplearse documentos tipos; extender la aplicación del estatuto de contratación </w:t>
      </w:r>
      <w:r>
        <w:rPr>
          <w:rFonts w:ascii="Arial" w:eastAsia="Calibri" w:hAnsi="Arial" w:cs="Arial"/>
          <w:lang w:val="es-ES_tradnl" w:eastAsia="es-ES_tradnl"/>
        </w:rPr>
        <w:t xml:space="preserve">a </w:t>
      </w:r>
      <w:r w:rsidRPr="00E31EA8">
        <w:rPr>
          <w:rFonts w:ascii="Arial" w:eastAsia="Calibri" w:hAnsi="Arial" w:cs="Arial"/>
          <w:lang w:val="es-ES_tradnl" w:eastAsia="es-ES_tradnl"/>
        </w:rPr>
        <w:t xml:space="preserve">algunos objetos </w:t>
      </w:r>
      <w:r>
        <w:rPr>
          <w:rFonts w:ascii="Arial" w:eastAsia="Calibri" w:hAnsi="Arial" w:cs="Arial"/>
          <w:lang w:val="es-ES_tradnl" w:eastAsia="es-ES_tradnl"/>
        </w:rPr>
        <w:t>que</w:t>
      </w:r>
      <w:r w:rsidRPr="00E31EA8">
        <w:rPr>
          <w:rFonts w:ascii="Arial" w:eastAsia="Calibri" w:hAnsi="Arial" w:cs="Arial"/>
          <w:lang w:val="es-ES_tradnl" w:eastAsia="es-ES_tradnl"/>
        </w:rPr>
        <w:t xml:space="preserve"> tienen un régimen especial y a </w:t>
      </w:r>
      <w:r>
        <w:rPr>
          <w:rFonts w:ascii="Arial" w:eastAsia="Calibri" w:hAnsi="Arial" w:cs="Arial"/>
          <w:lang w:val="es-ES_tradnl" w:eastAsia="es-ES_tradnl"/>
        </w:rPr>
        <w:t>los</w:t>
      </w:r>
      <w:r w:rsidRPr="00E31EA8">
        <w:rPr>
          <w:rFonts w:ascii="Arial" w:eastAsia="Calibri" w:hAnsi="Arial" w:cs="Arial"/>
          <w:lang w:val="es-ES_tradnl" w:eastAsia="es-ES_tradnl"/>
        </w:rPr>
        <w:t xml:space="preserve"> patrimonios autónomos, así como </w:t>
      </w:r>
      <w:r>
        <w:rPr>
          <w:rFonts w:ascii="Arial" w:eastAsia="Calibri" w:hAnsi="Arial" w:cs="Arial"/>
          <w:lang w:val="es-ES_tradnl" w:eastAsia="es-ES_tradnl"/>
        </w:rPr>
        <w:t xml:space="preserve">a las </w:t>
      </w:r>
      <w:r w:rsidRPr="00E31EA8">
        <w:rPr>
          <w:rFonts w:ascii="Arial" w:eastAsia="Calibri" w:hAnsi="Arial" w:cs="Arial"/>
          <w:lang w:val="es-ES_tradnl" w:eastAsia="es-ES_tradnl"/>
        </w:rPr>
        <w:t>empresas de servicios públicos; y finalmente, hacer obligatorio que las entidades exceptuadas de la contratación estén obligadas a publicar los documentos en el SECOP”</w:t>
      </w:r>
      <w:r w:rsidRPr="00E31EA8">
        <w:rPr>
          <w:rStyle w:val="Refdenotaalpie"/>
          <w:rFonts w:ascii="Arial" w:eastAsia="Calibri" w:hAnsi="Arial" w:cs="Arial"/>
          <w:lang w:val="es-ES_tradnl" w:eastAsia="es-ES_tradnl"/>
        </w:rPr>
        <w:footnoteReference w:id="10"/>
      </w:r>
      <w:r w:rsidRPr="00E31EA8">
        <w:rPr>
          <w:rFonts w:ascii="Arial" w:eastAsia="Calibri" w:hAnsi="Arial" w:cs="Arial"/>
          <w:lang w:val="es-ES_tradnl" w:eastAsia="es-ES_tradnl"/>
        </w:rPr>
        <w:t>.</w:t>
      </w:r>
      <w:r>
        <w:rPr>
          <w:rFonts w:ascii="Arial" w:eastAsia="Calibri" w:hAnsi="Arial" w:cs="Arial"/>
          <w:lang w:val="es-ES_tradnl" w:eastAsia="es-ES_tradnl"/>
        </w:rPr>
        <w:t xml:space="preserve"> </w:t>
      </w:r>
      <w:r w:rsidRPr="293D6149">
        <w:rPr>
          <w:rFonts w:ascii="Arial" w:eastAsia="Calibri" w:hAnsi="Arial" w:cs="Arial"/>
          <w:lang w:val="es-ES" w:eastAsia="es-ES"/>
        </w:rPr>
        <w:t xml:space="preserve">En ese </w:t>
      </w:r>
      <w:r w:rsidRPr="00AD1ECB">
        <w:rPr>
          <w:rFonts w:ascii="Arial" w:eastAsia="Calibri" w:hAnsi="Arial" w:cs="Arial"/>
          <w:lang w:val="es-ES" w:eastAsia="es-ES"/>
        </w:rPr>
        <w:t>orden de ideas, se incorporó en el informe para primer debate legislativo el artículo 85, denominado “Aplicación del Régimen de Contratación Pública en Entidades del Régimen Privado o Especial”, que disponía</w:t>
      </w:r>
      <w:r w:rsidRPr="293D6149">
        <w:rPr>
          <w:rFonts w:ascii="Arial" w:eastAsia="Calibri" w:hAnsi="Arial" w:cs="Arial"/>
          <w:lang w:val="es-ES" w:eastAsia="es-ES"/>
        </w:rPr>
        <w:t xml:space="preserve">: </w:t>
      </w:r>
    </w:p>
    <w:p w14:paraId="5AD7D641" w14:textId="77777777" w:rsidR="001F57E2" w:rsidRDefault="001F57E2" w:rsidP="001F57E2">
      <w:pPr>
        <w:spacing w:after="0" w:line="276" w:lineRule="auto"/>
        <w:jc w:val="both"/>
        <w:rPr>
          <w:rFonts w:ascii="Arial" w:eastAsia="Calibri" w:hAnsi="Arial" w:cs="Arial"/>
          <w:lang w:val="es-ES" w:eastAsia="es-ES"/>
        </w:rPr>
      </w:pPr>
    </w:p>
    <w:p w14:paraId="25436D5B" w14:textId="77777777" w:rsidR="001F57E2" w:rsidRDefault="001F57E2" w:rsidP="001F57E2">
      <w:pPr>
        <w:tabs>
          <w:tab w:val="left" w:pos="0"/>
        </w:tabs>
        <w:spacing w:after="120" w:line="240" w:lineRule="auto"/>
        <w:ind w:left="709" w:right="709"/>
        <w:jc w:val="both"/>
        <w:rPr>
          <w:rFonts w:ascii="Arial" w:eastAsia="Calibri" w:hAnsi="Arial" w:cs="Arial"/>
          <w:bCs/>
          <w:sz w:val="21"/>
          <w:szCs w:val="21"/>
          <w:lang w:val="es-ES_tradnl" w:eastAsia="es-ES_tradnl"/>
        </w:rPr>
      </w:pPr>
      <w:r>
        <w:rPr>
          <w:rFonts w:ascii="Arial" w:eastAsia="Calibri" w:hAnsi="Arial" w:cs="Arial"/>
          <w:bCs/>
          <w:sz w:val="21"/>
          <w:szCs w:val="21"/>
          <w:lang w:val="es-ES_tradnl" w:eastAsia="es-ES_tradnl"/>
        </w:rPr>
        <w:t>“</w:t>
      </w:r>
      <w:r w:rsidRPr="004E508C">
        <w:rPr>
          <w:rFonts w:ascii="Arial" w:eastAsia="Calibri" w:hAnsi="Arial"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w:t>
      </w:r>
      <w:r>
        <w:rPr>
          <w:rFonts w:ascii="Arial" w:eastAsia="Calibri" w:hAnsi="Arial" w:cs="Arial"/>
          <w:bCs/>
          <w:sz w:val="21"/>
          <w:szCs w:val="21"/>
          <w:lang w:val="es-ES_tradnl" w:eastAsia="es-ES_tradnl"/>
        </w:rPr>
        <w:t>Entidad Estatal</w:t>
      </w:r>
      <w:r w:rsidRPr="004E508C">
        <w:rPr>
          <w:rFonts w:ascii="Arial" w:eastAsia="Calibri" w:hAnsi="Arial" w:cs="Arial"/>
          <w:bCs/>
          <w:sz w:val="21"/>
          <w:szCs w:val="21"/>
          <w:lang w:val="es-ES_tradnl" w:eastAsia="es-ES_tradnl"/>
        </w:rPr>
        <w:t xml:space="preserve"> con capacidad para contratar, cuyo régimen de contratación sea especial o de 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w:t>
      </w:r>
      <w:r>
        <w:rPr>
          <w:rFonts w:ascii="Arial" w:eastAsia="Calibri" w:hAnsi="Arial" w:cs="Arial"/>
          <w:bCs/>
          <w:sz w:val="21"/>
          <w:szCs w:val="21"/>
          <w:lang w:val="es-ES_tradnl" w:eastAsia="es-ES_tradnl"/>
        </w:rPr>
        <w:t>”</w:t>
      </w:r>
      <w:r w:rsidRPr="004E508C">
        <w:rPr>
          <w:rFonts w:ascii="Arial" w:eastAsia="Calibri" w:hAnsi="Arial" w:cs="Arial"/>
          <w:bCs/>
          <w:sz w:val="21"/>
          <w:szCs w:val="21"/>
          <w:lang w:val="es-ES_tradnl" w:eastAsia="es-ES_tradnl"/>
        </w:rPr>
        <w:t xml:space="preserve">. </w:t>
      </w:r>
    </w:p>
    <w:p w14:paraId="26C70B8F" w14:textId="77777777" w:rsidR="001F57E2" w:rsidRPr="004E508C" w:rsidRDefault="001F57E2" w:rsidP="001F57E2">
      <w:pPr>
        <w:spacing w:after="0" w:line="240" w:lineRule="auto"/>
        <w:ind w:left="709" w:right="709"/>
        <w:jc w:val="both"/>
        <w:rPr>
          <w:rFonts w:ascii="Arial" w:eastAsia="Calibri" w:hAnsi="Arial" w:cs="Arial"/>
          <w:sz w:val="21"/>
          <w:szCs w:val="21"/>
          <w:lang w:val="es-ES" w:eastAsia="es-ES"/>
        </w:rPr>
      </w:pPr>
      <w:r w:rsidRPr="293D6149">
        <w:rPr>
          <w:rFonts w:ascii="Arial" w:eastAsia="Calibri" w:hAnsi="Arial" w:cs="Arial"/>
          <w:sz w:val="21"/>
          <w:szCs w:val="21"/>
          <w:lang w:val="es-ES" w:eastAsia="es-ES"/>
        </w:rPr>
        <w:t>Parágrafo: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Pr>
          <w:rFonts w:ascii="Arial" w:eastAsia="Calibri" w:hAnsi="Arial" w:cs="Arial"/>
          <w:sz w:val="21"/>
          <w:szCs w:val="21"/>
          <w:lang w:val="es-ES" w:eastAsia="es-ES"/>
        </w:rPr>
        <w:t>”</w:t>
      </w:r>
      <w:r w:rsidRPr="293D6149">
        <w:rPr>
          <w:rFonts w:ascii="Arial" w:eastAsia="Calibri" w:hAnsi="Arial" w:cs="Arial"/>
          <w:sz w:val="21"/>
          <w:szCs w:val="21"/>
          <w:lang w:val="es-ES" w:eastAsia="es-ES"/>
        </w:rPr>
        <w:t>.</w:t>
      </w:r>
      <w:r w:rsidRPr="293D6149">
        <w:rPr>
          <w:rStyle w:val="Refdenotaalpie"/>
          <w:rFonts w:ascii="Arial" w:eastAsia="Calibri" w:hAnsi="Arial" w:cs="Arial"/>
          <w:sz w:val="21"/>
          <w:szCs w:val="21"/>
          <w:lang w:val="es-ES" w:eastAsia="es-ES"/>
        </w:rPr>
        <w:footnoteReference w:id="11"/>
      </w:r>
    </w:p>
    <w:p w14:paraId="3D133C13" w14:textId="77777777" w:rsidR="001F57E2" w:rsidRPr="00AE13C5" w:rsidRDefault="001F57E2" w:rsidP="001F57E2">
      <w:pPr>
        <w:spacing w:after="0" w:line="276" w:lineRule="auto"/>
        <w:ind w:left="709" w:right="709"/>
        <w:jc w:val="both"/>
        <w:rPr>
          <w:rFonts w:ascii="Arial" w:eastAsia="Calibri" w:hAnsi="Arial" w:cs="Arial"/>
          <w:lang w:val="es-ES" w:eastAsia="es-ES"/>
        </w:rPr>
      </w:pPr>
    </w:p>
    <w:p w14:paraId="25F4778D" w14:textId="0F34A0FB" w:rsidR="001F57E2" w:rsidRDefault="001F57E2" w:rsidP="001F57E2">
      <w:pPr>
        <w:tabs>
          <w:tab w:val="left" w:pos="0"/>
        </w:tabs>
        <w:spacing w:after="120" w:line="276" w:lineRule="auto"/>
        <w:jc w:val="both"/>
        <w:rPr>
          <w:rStyle w:val="markedcontent"/>
          <w:rFonts w:ascii="Arial" w:hAnsi="Arial" w:cs="Arial"/>
        </w:rPr>
      </w:pPr>
      <w:r w:rsidRPr="00C046D8">
        <w:rPr>
          <w:rFonts w:ascii="Arial" w:eastAsia="Calibri" w:hAnsi="Arial" w:cs="Arial"/>
          <w:bCs/>
          <w:lang w:val="es-ES_tradnl" w:eastAsia="es-ES_tradnl"/>
        </w:rPr>
        <w:tab/>
      </w:r>
      <w:r w:rsidRPr="00165C4E">
        <w:rPr>
          <w:rFonts w:ascii="Arial" w:eastAsia="Calibri" w:hAnsi="Arial" w:cs="Arial"/>
          <w:lang w:val="es-ES_tradnl" w:eastAsia="es-ES_tradnl"/>
        </w:rPr>
        <w:t xml:space="preserve">Conforme a lo expuesto en el pliego de modificaciones al proyecto de Ley, la adición del articulado en mención tiene como fin </w:t>
      </w:r>
      <w:r w:rsidRPr="00165C4E">
        <w:rPr>
          <w:rStyle w:val="markedcontent"/>
          <w:rFonts w:ascii="Arial" w:hAnsi="Arial" w:cs="Arial"/>
        </w:rPr>
        <w:t xml:space="preserve">“Extender la </w:t>
      </w:r>
      <w:r w:rsidRPr="00165C4E">
        <w:rPr>
          <w:rStyle w:val="markedcontent"/>
          <w:rFonts w:ascii="Arial" w:hAnsi="Arial" w:cs="Arial"/>
          <w:i/>
        </w:rPr>
        <w:t>obligatoriedad de la aplicación del régimen de contratación estatal y pliegos tipo, cuando se celebran convenios interadministrativos</w:t>
      </w:r>
      <w:r w:rsidRPr="00165C4E">
        <w:rPr>
          <w:rStyle w:val="markedcontent"/>
          <w:rFonts w:ascii="Arial" w:hAnsi="Arial" w:cs="Arial"/>
        </w:rPr>
        <w:t xml:space="preserve"> con una entidad que tiene régimen de contratación privada </w:t>
      </w:r>
      <w:r w:rsidRPr="00165C4E">
        <w:rPr>
          <w:rStyle w:val="markedcontent"/>
          <w:rFonts w:ascii="Arial" w:hAnsi="Arial" w:cs="Arial"/>
          <w:i/>
        </w:rPr>
        <w:t>con el fin de evitar la contratación directa con recursos del estado y proveer de mayores garantías al proceso</w:t>
      </w:r>
      <w:r w:rsidRPr="00165C4E">
        <w:rPr>
          <w:rStyle w:val="markedcontent"/>
          <w:rFonts w:ascii="Arial" w:hAnsi="Arial" w:cs="Arial"/>
        </w:rPr>
        <w:t>”</w:t>
      </w:r>
      <w:r w:rsidRPr="00165C4E">
        <w:rPr>
          <w:rStyle w:val="Refdenotaalpie"/>
          <w:rFonts w:ascii="Arial" w:hAnsi="Arial" w:cs="Arial"/>
        </w:rPr>
        <w:footnoteReference w:id="12"/>
      </w:r>
      <w:r w:rsidRPr="00165C4E">
        <w:rPr>
          <w:rStyle w:val="markedcontent"/>
          <w:rFonts w:ascii="Arial" w:hAnsi="Arial" w:cs="Arial"/>
        </w:rPr>
        <w:t xml:space="preserve"> (</w:t>
      </w:r>
      <w:r>
        <w:rPr>
          <w:rStyle w:val="markedcontent"/>
          <w:rFonts w:ascii="Arial" w:hAnsi="Arial" w:cs="Arial"/>
        </w:rPr>
        <w:t>É</w:t>
      </w:r>
      <w:r w:rsidRPr="00165C4E">
        <w:rPr>
          <w:rStyle w:val="markedcontent"/>
          <w:rFonts w:ascii="Arial" w:hAnsi="Arial" w:cs="Arial"/>
        </w:rPr>
        <w:t>nfasis fuera de texto).</w:t>
      </w:r>
      <w:r w:rsidR="005F0E70">
        <w:rPr>
          <w:rStyle w:val="markedcontent"/>
          <w:rFonts w:ascii="Arial" w:hAnsi="Arial" w:cs="Arial"/>
        </w:rPr>
        <w:t xml:space="preserve"> </w:t>
      </w:r>
      <w:r w:rsidRPr="00165C4E">
        <w:rPr>
          <w:rStyle w:val="markedcontent"/>
          <w:rFonts w:ascii="Arial" w:hAnsi="Arial" w:cs="Arial"/>
        </w:rPr>
        <w:t xml:space="preserve">En ese orden de ideas, es claro que la incorporación de este articulado por parte del legislador tiene como fin principal que las entidades sometidas al EGCAP, obligadas a aplicar </w:t>
      </w:r>
      <w:r w:rsidR="00A113B3">
        <w:rPr>
          <w:rStyle w:val="markedcontent"/>
          <w:rFonts w:ascii="Arial" w:hAnsi="Arial" w:cs="Arial"/>
        </w:rPr>
        <w:t>documento</w:t>
      </w:r>
      <w:r w:rsidR="00A113B3" w:rsidRPr="00165C4E">
        <w:rPr>
          <w:rStyle w:val="markedcontent"/>
          <w:rFonts w:ascii="Arial" w:hAnsi="Arial" w:cs="Arial"/>
        </w:rPr>
        <w:t xml:space="preserve"> </w:t>
      </w:r>
      <w:r w:rsidRPr="00165C4E">
        <w:rPr>
          <w:rStyle w:val="markedcontent"/>
          <w:rFonts w:ascii="Arial" w:hAnsi="Arial" w:cs="Arial"/>
        </w:rPr>
        <w:t xml:space="preserve">tipo, lo realicen también cuando celebran convenios interadministrativos con entidades o personas cuyo régimen de contratación es </w:t>
      </w:r>
      <w:r w:rsidRPr="00165C4E">
        <w:rPr>
          <w:rStyle w:val="markedcontent"/>
          <w:rFonts w:ascii="Arial" w:hAnsi="Arial" w:cs="Arial"/>
        </w:rPr>
        <w:lastRenderedPageBreak/>
        <w:t>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2E9B1D1D" w14:textId="77777777" w:rsidR="001F57E2" w:rsidRDefault="001F57E2" w:rsidP="001F57E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t>Sin embargo, para segunda ponencia del Senado</w:t>
      </w:r>
      <w:r>
        <w:rPr>
          <w:rStyle w:val="Refdenotaalpie"/>
          <w:rFonts w:ascii="Arial" w:eastAsia="Calibri" w:hAnsi="Arial" w:cs="Arial"/>
          <w:bCs/>
          <w:lang w:val="es-ES_tradnl" w:eastAsia="es-ES_tradnl"/>
        </w:rPr>
        <w:footnoteReference w:id="13"/>
      </w:r>
      <w:r>
        <w:rPr>
          <w:rFonts w:ascii="Arial" w:eastAsia="Calibri" w:hAnsi="Arial" w:cs="Arial"/>
          <w:bCs/>
          <w:lang w:val="es-ES_tradnl" w:eastAsia="es-ES_tradnl"/>
        </w:rPr>
        <w:t xml:space="preserve">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p>
    <w:p w14:paraId="0FB8A08E" w14:textId="77777777" w:rsidR="001F57E2" w:rsidRDefault="001F57E2" w:rsidP="001F57E2">
      <w:pPr>
        <w:tabs>
          <w:tab w:val="left" w:pos="0"/>
        </w:tabs>
        <w:spacing w:after="0" w:line="276" w:lineRule="auto"/>
        <w:jc w:val="both"/>
        <w:rPr>
          <w:rFonts w:ascii="Arial" w:eastAsia="Calibri" w:hAnsi="Arial" w:cs="Arial"/>
          <w:bCs/>
          <w:lang w:val="es-ES_tradnl" w:eastAsia="es-ES_tradnl"/>
        </w:rPr>
      </w:pPr>
    </w:p>
    <w:p w14:paraId="38F411D9" w14:textId="77777777" w:rsidR="001F57E2" w:rsidRDefault="001F57E2" w:rsidP="001F57E2">
      <w:pPr>
        <w:tabs>
          <w:tab w:val="left" w:pos="0"/>
        </w:tabs>
        <w:spacing w:after="120" w:line="240" w:lineRule="auto"/>
        <w:ind w:left="709" w:right="709"/>
        <w:jc w:val="both"/>
        <w:rPr>
          <w:rStyle w:val="markedcontent"/>
          <w:rFonts w:ascii="Arial" w:hAnsi="Arial" w:cs="Arial"/>
          <w:sz w:val="21"/>
          <w:szCs w:val="21"/>
        </w:rPr>
      </w:pPr>
      <w:r>
        <w:rPr>
          <w:rStyle w:val="markedcontent"/>
          <w:rFonts w:ascii="Arial" w:hAnsi="Arial" w:cs="Arial"/>
          <w:sz w:val="21"/>
          <w:szCs w:val="21"/>
        </w:rPr>
        <w:t>“</w:t>
      </w:r>
      <w:r w:rsidRPr="00187A0D">
        <w:rPr>
          <w:rStyle w:val="markedcontent"/>
          <w:rFonts w:ascii="Arial" w:hAnsi="Arial" w:cs="Arial"/>
          <w:sz w:val="21"/>
          <w:szCs w:val="21"/>
        </w:rPr>
        <w:t>ARTÍCULO 62 (NUEVO). APLICACIÓN DE LOS DOCUMENTOS TIPO A</w:t>
      </w:r>
      <w:r>
        <w:rPr>
          <w:rStyle w:val="markedcontent"/>
          <w:rFonts w:ascii="Arial" w:hAnsi="Arial" w:cs="Arial"/>
          <w:sz w:val="21"/>
          <w:szCs w:val="21"/>
        </w:rPr>
        <w:t xml:space="preserve"> </w:t>
      </w:r>
      <w:r w:rsidRPr="00187A0D">
        <w:rPr>
          <w:rStyle w:val="markedcontent"/>
          <w:rFonts w:ascii="Arial" w:hAnsi="Arial" w:cs="Arial"/>
          <w:sz w:val="21"/>
          <w:szCs w:val="21"/>
        </w:rPr>
        <w:t>ENTIDADES DE RÉGIMEN ESPECIAL. Para la adquisición de bienes, obras o</w:t>
      </w:r>
      <w:r>
        <w:rPr>
          <w:rStyle w:val="markedcontent"/>
          <w:rFonts w:ascii="Arial" w:hAnsi="Arial" w:cs="Arial"/>
          <w:sz w:val="21"/>
          <w:szCs w:val="21"/>
        </w:rPr>
        <w:t xml:space="preserve"> </w:t>
      </w:r>
      <w:r w:rsidRPr="00187A0D">
        <w:rPr>
          <w:rStyle w:val="markedcontent"/>
          <w:rFonts w:ascii="Arial" w:hAnsi="Arial" w:cs="Arial"/>
          <w:sz w:val="21"/>
          <w:szCs w:val="21"/>
        </w:rPr>
        <w:t>servicios, las entidades estatales sometidas al Estatuto General de Contratación de la</w:t>
      </w:r>
      <w:r>
        <w:rPr>
          <w:rStyle w:val="markedcontent"/>
          <w:rFonts w:ascii="Arial" w:hAnsi="Arial" w:cs="Arial"/>
          <w:sz w:val="21"/>
          <w:szCs w:val="21"/>
        </w:rPr>
        <w:t xml:space="preserve"> </w:t>
      </w:r>
      <w:r w:rsidRPr="00187A0D">
        <w:rPr>
          <w:rStyle w:val="markedcontent"/>
          <w:rFonts w:ascii="Arial" w:hAnsi="Arial" w:cs="Arial"/>
          <w:sz w:val="21"/>
          <w:szCs w:val="21"/>
        </w:rPr>
        <w:t>Administración Pública que celebren contratos o convenios interadministrativos o de</w:t>
      </w:r>
      <w:r>
        <w:rPr>
          <w:rStyle w:val="markedcontent"/>
          <w:rFonts w:ascii="Arial" w:hAnsi="Arial" w:cs="Arial"/>
          <w:sz w:val="21"/>
          <w:szCs w:val="21"/>
        </w:rPr>
        <w:t xml:space="preserve"> </w:t>
      </w:r>
      <w:r w:rsidRPr="00187A0D">
        <w:rPr>
          <w:rStyle w:val="markedcontent"/>
          <w:rFonts w:ascii="Arial" w:hAnsi="Arial" w:cs="Arial"/>
          <w:sz w:val="21"/>
          <w:szCs w:val="21"/>
        </w:rPr>
        <w:t xml:space="preserve">cualquier otra índole, con otra </w:t>
      </w:r>
      <w:r>
        <w:rPr>
          <w:rStyle w:val="markedcontent"/>
          <w:rFonts w:ascii="Arial" w:hAnsi="Arial" w:cs="Arial"/>
          <w:sz w:val="21"/>
          <w:szCs w:val="21"/>
        </w:rPr>
        <w:t>Entidad Estatal</w:t>
      </w:r>
      <w:r w:rsidRPr="00187A0D">
        <w:rPr>
          <w:rStyle w:val="markedcontent"/>
          <w:rFonts w:ascii="Arial" w:hAnsi="Arial" w:cs="Arial"/>
          <w:sz w:val="21"/>
          <w:szCs w:val="21"/>
        </w:rPr>
        <w:t xml:space="preserve"> o con patrimonios autónomos o con</w:t>
      </w:r>
      <w:r>
        <w:rPr>
          <w:rStyle w:val="markedcontent"/>
          <w:rFonts w:ascii="Arial" w:hAnsi="Arial" w:cs="Arial"/>
          <w:sz w:val="21"/>
          <w:szCs w:val="21"/>
        </w:rPr>
        <w:t xml:space="preserve"> </w:t>
      </w:r>
      <w:r w:rsidRPr="00187A0D">
        <w:rPr>
          <w:rStyle w:val="markedcontent"/>
          <w:rFonts w:ascii="Arial" w:hAnsi="Arial" w:cs="Arial"/>
          <w:sz w:val="21"/>
          <w:szCs w:val="21"/>
        </w:rPr>
        <w:t>personas naturales o jurídicas de derecho privado, cuyo régimen de contratación sea</w:t>
      </w:r>
      <w:r>
        <w:rPr>
          <w:rStyle w:val="markedcontent"/>
          <w:rFonts w:ascii="Arial" w:hAnsi="Arial" w:cs="Arial"/>
          <w:sz w:val="21"/>
          <w:szCs w:val="21"/>
        </w:rPr>
        <w:t xml:space="preserve"> </w:t>
      </w:r>
      <w:r w:rsidRPr="00187A0D">
        <w:rPr>
          <w:rStyle w:val="markedcontent"/>
          <w:rFonts w:ascii="Arial" w:hAnsi="Arial" w:cs="Arial"/>
          <w:sz w:val="21"/>
          <w:szCs w:val="21"/>
        </w:rPr>
        <w:t>especial o de derecho privado, deberán aplicar los documentos tipo adoptados por la</w:t>
      </w:r>
      <w:r>
        <w:rPr>
          <w:rStyle w:val="markedcontent"/>
          <w:rFonts w:ascii="Arial" w:hAnsi="Arial" w:cs="Arial"/>
          <w:sz w:val="21"/>
          <w:szCs w:val="21"/>
        </w:rPr>
        <w:t xml:space="preserve"> </w:t>
      </w:r>
      <w:r w:rsidRPr="00187A0D">
        <w:rPr>
          <w:rStyle w:val="markedcontent"/>
          <w:rFonts w:ascii="Arial" w:hAnsi="Arial" w:cs="Arial"/>
          <w:sz w:val="21"/>
          <w:szCs w:val="21"/>
        </w:rPr>
        <w:t>Agencia Nacional de Contratación Pública – Colombia Compra Eficiente o quien haga</w:t>
      </w:r>
      <w:r>
        <w:rPr>
          <w:rStyle w:val="markedcontent"/>
          <w:rFonts w:ascii="Arial" w:hAnsi="Arial" w:cs="Arial"/>
          <w:sz w:val="21"/>
          <w:szCs w:val="21"/>
        </w:rPr>
        <w:t xml:space="preserve"> </w:t>
      </w:r>
      <w:r w:rsidRPr="00187A0D">
        <w:rPr>
          <w:rStyle w:val="markedcontent"/>
          <w:rFonts w:ascii="Arial" w:hAnsi="Arial" w:cs="Arial"/>
          <w:sz w:val="21"/>
          <w:szCs w:val="21"/>
        </w:rPr>
        <w:t>sus veces, conforme al parágrafo 7 del artículo 2 de la Ley 1150 de 2007 o las normas</w:t>
      </w:r>
      <w:r>
        <w:rPr>
          <w:rStyle w:val="markedcontent"/>
          <w:rFonts w:ascii="Arial" w:hAnsi="Arial" w:cs="Arial"/>
          <w:sz w:val="21"/>
          <w:szCs w:val="21"/>
        </w:rPr>
        <w:t xml:space="preserve"> </w:t>
      </w:r>
      <w:r w:rsidRPr="00187A0D">
        <w:rPr>
          <w:rStyle w:val="markedcontent"/>
          <w:rFonts w:ascii="Arial" w:hAnsi="Arial" w:cs="Arial"/>
          <w:sz w:val="21"/>
          <w:szCs w:val="21"/>
        </w:rPr>
        <w:t>que lo modifiquen o sustituyan</w:t>
      </w:r>
      <w:r>
        <w:rPr>
          <w:rStyle w:val="markedcontent"/>
          <w:rFonts w:ascii="Arial" w:hAnsi="Arial" w:cs="Arial"/>
          <w:sz w:val="21"/>
          <w:szCs w:val="21"/>
        </w:rPr>
        <w:t>.</w:t>
      </w:r>
      <w:r w:rsidRPr="00187A0D">
        <w:rPr>
          <w:rStyle w:val="markedcontent"/>
          <w:rFonts w:ascii="Arial" w:hAnsi="Arial" w:cs="Arial"/>
          <w:sz w:val="21"/>
          <w:szCs w:val="21"/>
        </w:rPr>
        <w:t xml:space="preserve"> Los procedimientos de selección y los contratos que realicen en desarrollo de los</w:t>
      </w:r>
      <w:r>
        <w:rPr>
          <w:rStyle w:val="markedcontent"/>
          <w:rFonts w:ascii="Arial" w:hAnsi="Arial" w:cs="Arial"/>
          <w:sz w:val="21"/>
          <w:szCs w:val="21"/>
        </w:rPr>
        <w:t xml:space="preserve"> </w:t>
      </w:r>
      <w:r w:rsidRPr="00187A0D">
        <w:rPr>
          <w:rStyle w:val="markedcontent"/>
          <w:rFonts w:ascii="Arial" w:hAnsi="Arial" w:cs="Arial"/>
          <w:sz w:val="21"/>
          <w:szCs w:val="21"/>
        </w:rPr>
        <w:t>anteriores negocios jurídicos, donde apliquen los documentos tipo se regirán por el</w:t>
      </w:r>
      <w:r>
        <w:rPr>
          <w:rStyle w:val="markedcontent"/>
          <w:rFonts w:ascii="Arial" w:hAnsi="Arial" w:cs="Arial"/>
          <w:sz w:val="21"/>
          <w:szCs w:val="21"/>
        </w:rPr>
        <w:t xml:space="preserve"> </w:t>
      </w:r>
      <w:r w:rsidRPr="00187A0D">
        <w:rPr>
          <w:rStyle w:val="markedcontent"/>
          <w:rFonts w:ascii="Arial" w:hAnsi="Arial" w:cs="Arial"/>
          <w:sz w:val="21"/>
          <w:szCs w:val="21"/>
        </w:rPr>
        <w:t>Estatuto General de Contratación de la Administración Pública.</w:t>
      </w:r>
    </w:p>
    <w:p w14:paraId="065D7665" w14:textId="77777777" w:rsidR="001F57E2" w:rsidRPr="00187A0D" w:rsidRDefault="001F57E2" w:rsidP="001F57E2">
      <w:pPr>
        <w:tabs>
          <w:tab w:val="left" w:pos="0"/>
        </w:tabs>
        <w:spacing w:after="0" w:line="240" w:lineRule="auto"/>
        <w:ind w:left="709" w:right="709"/>
        <w:jc w:val="both"/>
        <w:rPr>
          <w:rFonts w:ascii="Arial" w:eastAsia="Calibri" w:hAnsi="Arial" w:cs="Arial"/>
          <w:bCs/>
          <w:sz w:val="21"/>
          <w:szCs w:val="21"/>
          <w:lang w:val="es-ES_tradnl" w:eastAsia="es-ES_tradnl"/>
        </w:rPr>
      </w:pPr>
      <w:r w:rsidRPr="00187A0D">
        <w:rPr>
          <w:rStyle w:val="markedcontent"/>
          <w:rFonts w:ascii="Arial" w:hAnsi="Arial" w:cs="Arial"/>
          <w:sz w:val="21"/>
          <w:szCs w:val="21"/>
        </w:rPr>
        <w:t>Parágrafo: Se exceptúan del presente artículo las Universidades, las empresas</w:t>
      </w:r>
      <w:r>
        <w:rPr>
          <w:rStyle w:val="markedcontent"/>
          <w:rFonts w:ascii="Arial" w:hAnsi="Arial" w:cs="Arial"/>
          <w:sz w:val="21"/>
          <w:szCs w:val="21"/>
        </w:rPr>
        <w:t xml:space="preserve"> </w:t>
      </w:r>
      <w:r w:rsidRPr="00187A0D">
        <w:rPr>
          <w:rStyle w:val="markedcontent"/>
          <w:rFonts w:ascii="Arial" w:hAnsi="Arial" w:cs="Arial"/>
          <w:sz w:val="21"/>
          <w:szCs w:val="21"/>
        </w:rPr>
        <w:t>sociales del estado, las sociedades de economía mixta y las empresas industriales y</w:t>
      </w:r>
      <w:r>
        <w:rPr>
          <w:rStyle w:val="markedcontent"/>
          <w:rFonts w:ascii="Arial" w:hAnsi="Arial" w:cs="Arial"/>
          <w:sz w:val="21"/>
          <w:szCs w:val="21"/>
        </w:rPr>
        <w:t xml:space="preserve"> </w:t>
      </w:r>
      <w:r w:rsidRPr="00187A0D">
        <w:rPr>
          <w:rStyle w:val="markedcontent"/>
          <w:rFonts w:ascii="Arial" w:hAnsi="Arial" w:cs="Arial"/>
          <w:sz w:val="21"/>
          <w:szCs w:val="21"/>
        </w:rPr>
        <w:t>comerciales del Estado en cuanto a las actividades propias del servicio que prestan o</w:t>
      </w:r>
      <w:r>
        <w:rPr>
          <w:rStyle w:val="markedcontent"/>
          <w:rFonts w:ascii="Arial" w:hAnsi="Arial" w:cs="Arial"/>
          <w:sz w:val="21"/>
          <w:szCs w:val="21"/>
        </w:rPr>
        <w:t xml:space="preserve"> </w:t>
      </w:r>
      <w:r w:rsidRPr="00187A0D">
        <w:rPr>
          <w:rStyle w:val="markedcontent"/>
          <w:rFonts w:ascii="Arial" w:hAnsi="Arial" w:cs="Arial"/>
          <w:sz w:val="21"/>
          <w:szCs w:val="21"/>
        </w:rPr>
        <w:t>de su objeto social. En estas entidades se fomentará como buena práctica la</w:t>
      </w:r>
      <w:r>
        <w:rPr>
          <w:rStyle w:val="markedcontent"/>
          <w:rFonts w:ascii="Arial" w:hAnsi="Arial" w:cs="Arial"/>
          <w:sz w:val="21"/>
          <w:szCs w:val="21"/>
        </w:rPr>
        <w:t xml:space="preserve"> </w:t>
      </w:r>
      <w:r w:rsidRPr="00187A0D">
        <w:rPr>
          <w:rStyle w:val="markedcontent"/>
          <w:rFonts w:ascii="Arial" w:hAnsi="Arial" w:cs="Arial"/>
          <w:sz w:val="21"/>
          <w:szCs w:val="21"/>
        </w:rPr>
        <w:t>aplicación de los pliegos tipo</w:t>
      </w:r>
      <w:r>
        <w:rPr>
          <w:rStyle w:val="markedcontent"/>
          <w:rFonts w:ascii="Arial" w:hAnsi="Arial" w:cs="Arial"/>
          <w:sz w:val="21"/>
          <w:szCs w:val="21"/>
        </w:rPr>
        <w:t>”</w:t>
      </w:r>
      <w:r w:rsidRPr="00187A0D">
        <w:rPr>
          <w:rStyle w:val="markedcontent"/>
          <w:rFonts w:ascii="Arial" w:hAnsi="Arial" w:cs="Arial"/>
          <w:sz w:val="21"/>
          <w:szCs w:val="21"/>
        </w:rPr>
        <w:t>.</w:t>
      </w:r>
      <w:r>
        <w:rPr>
          <w:rStyle w:val="Refdenotaalpie"/>
          <w:rFonts w:ascii="Arial" w:hAnsi="Arial" w:cs="Arial"/>
          <w:sz w:val="21"/>
          <w:szCs w:val="21"/>
        </w:rPr>
        <w:footnoteReference w:id="14"/>
      </w:r>
    </w:p>
    <w:p w14:paraId="4A93BBE2" w14:textId="77777777" w:rsidR="001F57E2" w:rsidRDefault="001F57E2" w:rsidP="001F57E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p>
    <w:p w14:paraId="209BB9FA" w14:textId="77777777" w:rsidR="001F57E2" w:rsidRPr="00C046D8" w:rsidRDefault="001F57E2" w:rsidP="001F57E2">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165C4E">
        <w:rPr>
          <w:rFonts w:ascii="Arial" w:eastAsia="Calibri" w:hAnsi="Arial" w:cs="Arial"/>
          <w:lang w:val="es-ES_tradnl" w:eastAsia="es-ES_tradnl"/>
        </w:rPr>
        <w:t>La mencionada disposición pasó el debate en Cámara de Representantes con algunos ajustes en la redacción del artículo</w:t>
      </w:r>
      <w:r w:rsidRPr="00165C4E">
        <w:rPr>
          <w:rStyle w:val="Refdenotaalpie"/>
          <w:rFonts w:ascii="Arial" w:eastAsia="Calibri" w:hAnsi="Arial" w:cs="Arial"/>
          <w:lang w:val="es-ES_tradnl" w:eastAsia="es-ES_tradnl"/>
        </w:rPr>
        <w:footnoteReference w:id="15"/>
      </w:r>
      <w:r w:rsidRPr="00165C4E">
        <w:rPr>
          <w:rFonts w:ascii="Arial" w:eastAsia="Calibri" w:hAnsi="Arial" w:cs="Arial"/>
          <w:lang w:val="es-ES_tradnl" w:eastAsia="es-ES_tradnl"/>
        </w:rPr>
        <w:t xml:space="preserve">, pero manteniendo su fin principal, y esto es, que los documentos tipo deban ser aplicados en general por todas las entidades sometidas al EGCAP, independientemente de la celebración de contratos o convenios interadministrativos o de cualquier otra índole, </w:t>
      </w:r>
      <w:bookmarkEnd w:id="9"/>
      <w:r w:rsidRPr="00165C4E">
        <w:rPr>
          <w:rFonts w:ascii="Arial" w:eastAsia="Calibri" w:hAnsi="Arial" w:cs="Arial"/>
          <w:lang w:val="es-ES_tradnl" w:eastAsia="es-ES_tradnl"/>
        </w:rPr>
        <w:t xml:space="preserve">con entidades estatales exceptuadas o con régimen especial de contratación, patrimonios autónomos o particulares. Consecuentemente, fue aprobada su redacción en conciliación del texto en ambas </w:t>
      </w:r>
      <w:r w:rsidRPr="00165C4E">
        <w:rPr>
          <w:rFonts w:ascii="Arial" w:eastAsia="Calibri" w:hAnsi="Arial" w:cs="Arial"/>
          <w:lang w:val="es-ES_tradnl" w:eastAsia="es-ES_tradnl"/>
        </w:rPr>
        <w:lastRenderedPageBreak/>
        <w:t>cámaras</w:t>
      </w:r>
      <w:r w:rsidRPr="00165C4E">
        <w:rPr>
          <w:rStyle w:val="Refdenotaalpie"/>
          <w:rFonts w:ascii="Arial" w:eastAsia="Times New Roman" w:hAnsi="Arial" w:cs="Arial"/>
          <w:lang w:val="es-ES_tradnl" w:eastAsia="es-ES_tradnl"/>
        </w:rPr>
        <w:footnoteReference w:id="16"/>
      </w:r>
      <w:r w:rsidRPr="00165C4E">
        <w:rPr>
          <w:rFonts w:ascii="Arial" w:eastAsia="Calibri" w:hAnsi="Arial" w:cs="Arial"/>
          <w:lang w:val="es-ES_tradnl" w:eastAsia="es-ES_tradnl"/>
        </w:rPr>
        <w:t xml:space="preserve"> prescribiendo la redacción de la norma hoy día vigente, en los siguientes términos:</w:t>
      </w:r>
      <w:r w:rsidRPr="00C046D8">
        <w:rPr>
          <w:rFonts w:ascii="Arial" w:eastAsia="Calibri" w:hAnsi="Arial" w:cs="Arial"/>
          <w:bCs/>
          <w:lang w:val="es-ES_tradnl" w:eastAsia="es-ES_tradnl"/>
        </w:rPr>
        <w:t xml:space="preserve"> </w:t>
      </w:r>
    </w:p>
    <w:p w14:paraId="113A5C61" w14:textId="77777777" w:rsidR="001F57E2" w:rsidRPr="006A55BE" w:rsidRDefault="001F57E2" w:rsidP="001F57E2">
      <w:pPr>
        <w:tabs>
          <w:tab w:val="left" w:pos="0"/>
        </w:tabs>
        <w:spacing w:after="0" w:line="276" w:lineRule="auto"/>
        <w:jc w:val="both"/>
        <w:rPr>
          <w:rFonts w:ascii="Arial" w:eastAsia="Calibri" w:hAnsi="Arial" w:cs="Arial"/>
          <w:bCs/>
          <w:lang w:val="es-ES_tradnl" w:eastAsia="es-ES_tradnl"/>
        </w:rPr>
      </w:pPr>
    </w:p>
    <w:p w14:paraId="06F69D54" w14:textId="77777777" w:rsidR="001F57E2" w:rsidRDefault="001F57E2" w:rsidP="001F57E2">
      <w:pPr>
        <w:tabs>
          <w:tab w:val="left" w:pos="0"/>
        </w:tabs>
        <w:spacing w:after="0" w:line="240" w:lineRule="auto"/>
        <w:ind w:left="709" w:right="709"/>
        <w:contextualSpacing/>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w:t>
      </w:r>
      <w:r w:rsidRPr="00C046D8">
        <w:rPr>
          <w:rFonts w:ascii="Arial" w:eastAsia="Times New Roman" w:hAnsi="Arial"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w:t>
      </w:r>
      <w:r>
        <w:rPr>
          <w:rFonts w:ascii="Arial" w:eastAsia="Times New Roman" w:hAnsi="Arial" w:cs="Arial"/>
          <w:sz w:val="21"/>
          <w:szCs w:val="21"/>
          <w:lang w:val="es-ES_tradnl" w:eastAsia="es-ES_tradnl"/>
        </w:rPr>
        <w:t>Entidad Estatal</w:t>
      </w:r>
      <w:r w:rsidRPr="00C046D8">
        <w:rPr>
          <w:rFonts w:ascii="Arial" w:eastAsia="Times New Roman" w:hAnsi="Arial" w:cs="Arial"/>
          <w:sz w:val="21"/>
          <w:szCs w:val="21"/>
          <w:lang w:val="es-ES_tradnl" w:eastAsia="es-ES_tradnl"/>
        </w:rPr>
        <w:t xml:space="preserve">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DFE59CF" w14:textId="77777777" w:rsidR="001F57E2" w:rsidRPr="007D0D5F" w:rsidRDefault="001F57E2" w:rsidP="001F57E2">
      <w:pPr>
        <w:tabs>
          <w:tab w:val="left" w:pos="0"/>
        </w:tabs>
        <w:spacing w:after="0" w:line="240" w:lineRule="auto"/>
        <w:ind w:left="709" w:right="709"/>
        <w:contextualSpacing/>
        <w:jc w:val="both"/>
        <w:rPr>
          <w:rFonts w:ascii="Arial" w:eastAsia="Times New Roman" w:hAnsi="Arial" w:cs="Arial"/>
          <w:sz w:val="12"/>
          <w:szCs w:val="12"/>
          <w:lang w:val="es-ES_tradnl" w:eastAsia="es-ES_tradnl"/>
        </w:rPr>
      </w:pPr>
    </w:p>
    <w:p w14:paraId="61C8402D" w14:textId="77777777" w:rsidR="001F57E2" w:rsidRDefault="001F57E2" w:rsidP="001F57E2">
      <w:pPr>
        <w:tabs>
          <w:tab w:val="left" w:pos="0"/>
        </w:tabs>
        <w:spacing w:after="0" w:line="240" w:lineRule="auto"/>
        <w:ind w:left="709" w:right="709"/>
        <w:contextualSpacing/>
        <w:jc w:val="both"/>
        <w:rPr>
          <w:rFonts w:ascii="Arial" w:eastAsia="Times New Roman" w:hAnsi="Arial" w:cs="Arial"/>
          <w:sz w:val="21"/>
          <w:szCs w:val="21"/>
          <w:lang w:val="es-ES_tradnl" w:eastAsia="es-ES_tradnl"/>
        </w:rPr>
      </w:pPr>
      <w:r w:rsidRPr="00C046D8">
        <w:rPr>
          <w:rFonts w:ascii="Arial" w:eastAsia="Times New Roman" w:hAnsi="Arial"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A52E05A" w14:textId="77777777" w:rsidR="001F57E2" w:rsidRPr="007D0D5F" w:rsidRDefault="001F57E2" w:rsidP="001F57E2">
      <w:pPr>
        <w:tabs>
          <w:tab w:val="left" w:pos="0"/>
        </w:tabs>
        <w:spacing w:after="0" w:line="240" w:lineRule="auto"/>
        <w:ind w:left="709" w:right="709"/>
        <w:contextualSpacing/>
        <w:jc w:val="both"/>
        <w:rPr>
          <w:rFonts w:ascii="Arial" w:eastAsia="Times New Roman" w:hAnsi="Arial" w:cs="Arial"/>
          <w:sz w:val="12"/>
          <w:szCs w:val="12"/>
          <w:lang w:val="es-ES_tradnl" w:eastAsia="es-ES_tradnl"/>
        </w:rPr>
      </w:pPr>
    </w:p>
    <w:p w14:paraId="3875CD03" w14:textId="77777777" w:rsidR="001F57E2" w:rsidRPr="00C046D8" w:rsidRDefault="001F57E2" w:rsidP="001F57E2">
      <w:pPr>
        <w:tabs>
          <w:tab w:val="left" w:pos="0"/>
        </w:tabs>
        <w:spacing w:after="0" w:line="240" w:lineRule="auto"/>
        <w:ind w:left="709" w:right="709"/>
        <w:contextualSpacing/>
        <w:jc w:val="both"/>
        <w:rPr>
          <w:rFonts w:ascii="Arial" w:eastAsia="Calibri" w:hAnsi="Arial" w:cs="Arial"/>
          <w:bCs/>
          <w:sz w:val="21"/>
          <w:szCs w:val="21"/>
          <w:lang w:val="es-ES_tradnl" w:eastAsia="es-ES_tradnl"/>
        </w:rPr>
      </w:pPr>
      <w:r w:rsidRPr="00C046D8">
        <w:rPr>
          <w:rFonts w:ascii="Arial" w:eastAsia="Times New Roman" w:hAnsi="Arial" w:cs="Arial"/>
          <w:sz w:val="21"/>
          <w:szCs w:val="21"/>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r>
        <w:rPr>
          <w:rFonts w:ascii="Arial" w:eastAsia="Times New Roman" w:hAnsi="Arial" w:cs="Arial"/>
          <w:sz w:val="21"/>
          <w:szCs w:val="21"/>
          <w:lang w:val="es-ES_tradnl" w:eastAsia="es-ES_tradnl"/>
        </w:rPr>
        <w:t>”</w:t>
      </w:r>
      <w:r w:rsidRPr="00C046D8">
        <w:rPr>
          <w:rFonts w:ascii="Arial" w:eastAsia="Times New Roman" w:hAnsi="Arial" w:cs="Arial"/>
          <w:sz w:val="21"/>
          <w:szCs w:val="21"/>
          <w:lang w:val="es-ES_tradnl" w:eastAsia="es-ES_tradnl"/>
        </w:rPr>
        <w:t>.</w:t>
      </w:r>
    </w:p>
    <w:p w14:paraId="1A46D0A5" w14:textId="77777777" w:rsidR="001F57E2" w:rsidRPr="00C046D8" w:rsidRDefault="001F57E2" w:rsidP="001F57E2">
      <w:pPr>
        <w:tabs>
          <w:tab w:val="left" w:pos="0"/>
        </w:tabs>
        <w:spacing w:after="0" w:line="276" w:lineRule="auto"/>
        <w:contextualSpacing/>
        <w:jc w:val="both"/>
        <w:rPr>
          <w:rFonts w:ascii="Arial" w:eastAsia="Calibri" w:hAnsi="Arial" w:cs="Arial"/>
          <w:bCs/>
          <w:lang w:val="es-ES_tradnl" w:eastAsia="es-ES_tradnl"/>
        </w:rPr>
      </w:pPr>
    </w:p>
    <w:p w14:paraId="29BF1AA4" w14:textId="77777777" w:rsidR="001F57E2"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Las implicaciones del</w:t>
      </w:r>
      <w:r>
        <w:rPr>
          <w:rFonts w:ascii="Arial" w:eastAsia="Calibri" w:hAnsi="Arial" w:cs="Arial"/>
          <w:bCs/>
          <w:lang w:val="es-ES_tradnl" w:eastAsia="es-ES_tradnl"/>
        </w:rPr>
        <w:t xml:space="preserve"> texto conforme al cual fue</w:t>
      </w:r>
      <w:r w:rsidRPr="00C046D8">
        <w:rPr>
          <w:rFonts w:ascii="Arial" w:eastAsia="Calibri" w:hAnsi="Arial" w:cs="Arial"/>
          <w:bCs/>
          <w:lang w:val="es-ES_tradnl" w:eastAsia="es-ES_tradnl"/>
        </w:rPr>
        <w:t xml:space="preserve"> </w:t>
      </w:r>
      <w:r>
        <w:rPr>
          <w:rFonts w:ascii="Arial" w:eastAsia="Calibri" w:hAnsi="Arial" w:cs="Arial"/>
          <w:bCs/>
          <w:lang w:val="es-ES_tradnl" w:eastAsia="es-ES_tradnl"/>
        </w:rPr>
        <w:t>expedida</w:t>
      </w:r>
      <w:r w:rsidRPr="00C046D8">
        <w:rPr>
          <w:rFonts w:ascii="Arial" w:eastAsia="Calibri" w:hAnsi="Arial" w:cs="Arial"/>
          <w:bCs/>
          <w:lang w:val="es-ES_tradnl" w:eastAsia="es-ES_tradnl"/>
        </w:rPr>
        <w:t xml:space="preserve">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w:t>
      </w:r>
      <w:r>
        <w:rPr>
          <w:rFonts w:ascii="Arial" w:eastAsia="Calibri" w:hAnsi="Arial" w:cs="Arial"/>
          <w:bCs/>
          <w:lang w:val="es-ES_tradnl" w:eastAsia="es-ES_tradnl"/>
        </w:rPr>
        <w:t>Por esto</w:t>
      </w:r>
      <w:r w:rsidRPr="00C046D8">
        <w:rPr>
          <w:rFonts w:ascii="Arial" w:eastAsia="Calibri" w:hAnsi="Arial" w:cs="Arial"/>
          <w:bCs/>
          <w:lang w:val="es-ES_tradnl" w:eastAsia="es-ES_tradnl"/>
        </w:rPr>
        <w:t xml:space="preserv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236DD11C" w14:textId="77777777" w:rsidR="001F57E2" w:rsidRDefault="001F57E2" w:rsidP="001F57E2">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8C58E4">
        <w:rPr>
          <w:rFonts w:ascii="Arial" w:eastAsia="Calibri" w:hAnsi="Arial" w:cs="Arial"/>
          <w:bCs/>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w:t>
      </w:r>
      <w:r w:rsidRPr="008C58E4">
        <w:rPr>
          <w:rFonts w:ascii="Arial" w:eastAsia="Calibri" w:hAnsi="Arial" w:cs="Arial"/>
          <w:bCs/>
          <w:lang w:val="es-ES_tradnl" w:eastAsia="es-ES_tradnl"/>
        </w:rPr>
        <w:lastRenderedPageBreak/>
        <w:t>o de derecho privado. En ese sentido, el primer inciso de la norma reafirma el deber de las entidades sometidas al EGCAP de aplicar los documentos tipo.</w:t>
      </w:r>
      <w:r w:rsidRPr="00C046D8">
        <w:rPr>
          <w:rFonts w:ascii="Arial" w:eastAsia="Calibri" w:hAnsi="Arial" w:cs="Arial"/>
          <w:bCs/>
          <w:lang w:val="es-ES_tradnl" w:eastAsia="es-ES_tradnl"/>
        </w:rPr>
        <w:t xml:space="preserve"> </w:t>
      </w:r>
    </w:p>
    <w:p w14:paraId="46FBD63E" w14:textId="77777777" w:rsidR="001F57E2" w:rsidRPr="004D745F" w:rsidRDefault="001F57E2" w:rsidP="001F57E2">
      <w:pPr>
        <w:tabs>
          <w:tab w:val="left" w:pos="0"/>
        </w:tabs>
        <w:spacing w:after="120" w:line="276" w:lineRule="auto"/>
        <w:jc w:val="both"/>
        <w:rPr>
          <w:rFonts w:ascii="Arial" w:eastAsia="Calibri" w:hAnsi="Arial" w:cs="Arial"/>
          <w:lang w:val="es-ES_tradnl" w:eastAsia="es-ES_tradnl"/>
        </w:rPr>
      </w:pPr>
      <w:r>
        <w:rPr>
          <w:rFonts w:ascii="Arial" w:eastAsia="Calibri" w:hAnsi="Arial" w:cs="Arial"/>
          <w:bCs/>
          <w:lang w:val="es-ES_tradnl" w:eastAsia="es-ES_tradnl"/>
        </w:rPr>
        <w:tab/>
      </w:r>
      <w:r w:rsidRPr="00165C4E">
        <w:rPr>
          <w:rFonts w:ascii="Arial" w:eastAsia="Calibri" w:hAnsi="Arial" w:cs="Arial"/>
          <w:lang w:val="es-ES_tradnl" w:eastAsia="es-ES_tradnl"/>
        </w:rPr>
        <w:t>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w:t>
      </w:r>
      <w:r>
        <w:rPr>
          <w:rFonts w:ascii="Arial" w:eastAsia="Calibri" w:hAnsi="Arial" w:cs="Arial"/>
          <w:lang w:val="es-ES_tradnl" w:eastAsia="es-ES_tradnl"/>
        </w:rPr>
        <w:t xml:space="preserve"> </w:t>
      </w:r>
      <w:r w:rsidRPr="00165C4E">
        <w:rPr>
          <w:rFonts w:ascii="Arial" w:eastAsia="Calibri" w:hAnsi="Arial" w:cs="Arial"/>
          <w:lang w:val="es-ES_tradnl" w:eastAsia="es-ES_tradnl"/>
        </w:rPr>
        <w:t xml:space="preserve">por contexto conforme al criterio </w:t>
      </w:r>
      <w:r>
        <w:rPr>
          <w:rFonts w:ascii="Arial" w:eastAsia="Calibri" w:hAnsi="Arial" w:cs="Arial"/>
          <w:lang w:val="es-ES_tradnl" w:eastAsia="es-ES_tradnl"/>
        </w:rPr>
        <w:t xml:space="preserve">hermenéutico </w:t>
      </w:r>
      <w:r w:rsidRPr="00165C4E">
        <w:rPr>
          <w:rFonts w:ascii="Arial" w:eastAsia="Calibri" w:hAnsi="Arial" w:cs="Arial"/>
          <w:lang w:val="es-ES_tradnl" w:eastAsia="es-ES_tradnl"/>
        </w:rPr>
        <w:t xml:space="preserve">del artículo 30 del Código Civil, </w:t>
      </w:r>
      <w:r>
        <w:rPr>
          <w:rFonts w:ascii="Arial" w:eastAsia="Calibri" w:hAnsi="Arial" w:cs="Arial"/>
          <w:lang w:val="es-ES_tradnl" w:eastAsia="es-ES_tradnl"/>
        </w:rPr>
        <w:t xml:space="preserve">según el cual </w:t>
      </w:r>
      <w:r w:rsidRPr="00165C4E">
        <w:rPr>
          <w:rFonts w:ascii="Arial" w:eastAsia="Calibri" w:hAnsi="Arial" w:cs="Arial"/>
          <w:lang w:val="es-ES_tradnl" w:eastAsia="es-ES_tradnl"/>
        </w:rPr>
        <w:t>“Los pasajes oscuros de una ley pueden ser ilustrados por medio de otras leyes, particularmente si versan sobre el mismo asunto”</w:t>
      </w:r>
      <w:r>
        <w:rPr>
          <w:rFonts w:ascii="Arial" w:eastAsia="Calibri" w:hAnsi="Arial" w:cs="Arial"/>
          <w:lang w:val="es-ES_tradnl" w:eastAsia="es-ES_tradnl"/>
        </w:rPr>
        <w:t>,</w:t>
      </w:r>
      <w:r w:rsidRPr="00165C4E">
        <w:rPr>
          <w:rFonts w:ascii="Arial" w:eastAsia="Calibri" w:hAnsi="Arial" w:cs="Arial"/>
          <w:lang w:val="es-ES_tradnl" w:eastAsia="es-ES_tradnl"/>
        </w:rPr>
        <w:t xml:space="preserve"> y de interpretación </w:t>
      </w:r>
      <w:r>
        <w:rPr>
          <w:rFonts w:ascii="Arial" w:eastAsia="Calibri" w:hAnsi="Arial" w:cs="Arial"/>
          <w:lang w:val="es-ES_tradnl" w:eastAsia="es-ES_tradnl"/>
        </w:rPr>
        <w:t xml:space="preserve">por </w:t>
      </w:r>
      <w:r w:rsidRPr="00165C4E">
        <w:rPr>
          <w:rFonts w:ascii="Arial" w:eastAsia="Calibri" w:hAnsi="Arial" w:cs="Arial"/>
          <w:lang w:val="es-ES_tradnl" w:eastAsia="es-ES_tradnl"/>
        </w:rPr>
        <w:t xml:space="preserve">extensión de una </w:t>
      </w:r>
      <w:r>
        <w:rPr>
          <w:rFonts w:ascii="Arial" w:eastAsia="Calibri" w:hAnsi="Arial" w:cs="Arial"/>
          <w:lang w:val="es-ES_tradnl" w:eastAsia="es-ES_tradnl"/>
        </w:rPr>
        <w:t>l</w:t>
      </w:r>
      <w:r w:rsidRPr="00165C4E">
        <w:rPr>
          <w:rFonts w:ascii="Arial" w:eastAsia="Calibri" w:hAnsi="Arial" w:cs="Arial"/>
          <w:lang w:val="es-ES_tradnl" w:eastAsia="es-ES_tradnl"/>
        </w:rPr>
        <w:t xml:space="preserve">ey consagrada en el artículo 31 </w:t>
      </w:r>
      <w:r w:rsidRPr="004D745F">
        <w:rPr>
          <w:rFonts w:ascii="Arial" w:eastAsia="Calibri" w:hAnsi="Arial" w:cs="Arial"/>
          <w:i/>
          <w:iCs/>
          <w:lang w:val="es-ES_tradnl" w:eastAsia="es-ES_tradnl"/>
        </w:rPr>
        <w:t>ibidem</w:t>
      </w:r>
      <w:r w:rsidRPr="00165C4E">
        <w:rPr>
          <w:rFonts w:ascii="Arial" w:eastAsia="Calibri" w:hAnsi="Arial" w:cs="Arial"/>
          <w:lang w:val="es-ES_tradnl" w:eastAsia="es-ES_tradnl"/>
        </w:rPr>
        <w:t>,</w:t>
      </w:r>
      <w:r>
        <w:rPr>
          <w:rFonts w:ascii="Arial" w:eastAsia="Calibri" w:hAnsi="Arial" w:cs="Arial"/>
          <w:lang w:val="es-ES_tradnl" w:eastAsia="es-ES_tradnl"/>
        </w:rPr>
        <w:t xml:space="preserve"> conforme al cual</w:t>
      </w:r>
      <w:r w:rsidRPr="00165C4E">
        <w:rPr>
          <w:rFonts w:ascii="Arial" w:eastAsia="Calibri" w:hAnsi="Arial" w:cs="Arial"/>
          <w:lang w:val="es-ES_tradnl" w:eastAsia="es-ES_tradnl"/>
        </w:rPr>
        <w:t xml:space="preserve"> “Lo favorable u odioso de una disposición no se tomará en cuenta para ampliar o restringir su interpretación. La extensión que deba darse a toda ley se determinará por su genuino sentido, y según las reglas de interpretación precedentes”</w:t>
      </w:r>
      <w:r>
        <w:rPr>
          <w:rFonts w:ascii="Arial" w:eastAsia="Calibri" w:hAnsi="Arial" w:cs="Arial"/>
          <w:lang w:val="es-ES_tradnl" w:eastAsia="es-ES_tradnl"/>
        </w:rPr>
        <w:t>.</w:t>
      </w:r>
      <w:r w:rsidRPr="00165C4E">
        <w:rPr>
          <w:rFonts w:ascii="Arial" w:eastAsia="Calibri" w:hAnsi="Arial" w:cs="Arial"/>
          <w:lang w:val="es-ES_tradnl" w:eastAsia="es-ES_tradnl"/>
        </w:rPr>
        <w:t xml:space="preserve"> </w:t>
      </w:r>
      <w:r>
        <w:rPr>
          <w:rFonts w:ascii="Arial" w:eastAsia="Calibri" w:hAnsi="Arial" w:cs="Arial"/>
          <w:bCs/>
          <w:lang w:val="es-ES_tradnl" w:eastAsia="es-ES_tradnl"/>
        </w:rPr>
        <w:t xml:space="preserve">Desde esta perspectiva, </w:t>
      </w:r>
      <w:r w:rsidRPr="00165C4E">
        <w:rPr>
          <w:rFonts w:ascii="Arial" w:eastAsia="Calibri" w:hAnsi="Arial" w:cs="Arial"/>
          <w:bCs/>
          <w:lang w:val="es-ES_tradnl" w:eastAsia="es-ES_tradnl"/>
        </w:rPr>
        <w:t>no pu</w:t>
      </w:r>
      <w:r>
        <w:rPr>
          <w:rFonts w:ascii="Arial" w:eastAsia="Calibri" w:hAnsi="Arial" w:cs="Arial"/>
          <w:bCs/>
          <w:lang w:val="es-ES_tradnl" w:eastAsia="es-ES_tradnl"/>
        </w:rPr>
        <w:t>diera</w:t>
      </w:r>
      <w:r w:rsidRPr="00165C4E">
        <w:rPr>
          <w:rFonts w:ascii="Arial" w:eastAsia="Calibri" w:hAnsi="Arial"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w:t>
      </w:r>
      <w:r w:rsidRPr="008C58E4">
        <w:rPr>
          <w:rFonts w:ascii="Arial" w:eastAsia="Calibri" w:hAnsi="Arial" w:cs="Arial"/>
          <w:lang w:val="es-ES_tradnl" w:eastAsia="es-ES_tradnl"/>
        </w:rPr>
        <w:t>EGCAP, puesto que el texto de la Ley 2022 de 2020 establece con claridad la regla de aplicación obligatoria de los documentos tipo en los procesos de contratación adelantados por las entidades estatales regidas por el EGCAP, es decir,</w:t>
      </w:r>
      <w:r w:rsidRPr="008C58E4">
        <w:rPr>
          <w:rFonts w:ascii="Arial" w:eastAsia="Calibri" w:hAnsi="Arial" w:cs="Arial"/>
          <w:bCs/>
          <w:lang w:val="es-ES_tradnl" w:eastAsia="es-ES_tradnl"/>
        </w:rPr>
        <w:t xml:space="preserve"> </w:t>
      </w:r>
      <w:r w:rsidRPr="008C58E4">
        <w:rPr>
          <w:rFonts w:ascii="Arial" w:eastAsia="Calibri" w:hAnsi="Arial" w:cs="Arial"/>
          <w:lang w:val="es-ES_tradnl" w:eastAsia="es-ES_tradnl"/>
        </w:rPr>
        <w:t xml:space="preserve">la obligatoriedad de utilizar documentos pliego tipo </w:t>
      </w:r>
      <w:r w:rsidRPr="008C58E4">
        <w:rPr>
          <w:rFonts w:ascii="Arial" w:eastAsia="Calibri" w:hAnsi="Arial" w:cs="Arial"/>
          <w:bCs/>
          <w:lang w:val="es-ES_tradnl" w:eastAsia="es-ES_tradnl"/>
        </w:rPr>
        <w:t xml:space="preserve">se extiende </w:t>
      </w:r>
      <w:r w:rsidRPr="008C58E4">
        <w:rPr>
          <w:rFonts w:ascii="Arial" w:eastAsia="Calibri" w:hAnsi="Arial" w:cs="Arial"/>
          <w:lang w:val="es-ES_tradnl" w:eastAsia="es-ES_tradnl"/>
        </w:rPr>
        <w:t xml:space="preserve">en los convenios o contratos interadministrativos o de cualquier otra índole, </w:t>
      </w:r>
      <w:r w:rsidRPr="008C58E4">
        <w:rPr>
          <w:rFonts w:ascii="Arial" w:eastAsia="Calibri" w:hAnsi="Arial" w:cs="Arial"/>
          <w:bCs/>
          <w:lang w:val="es-ES_tradnl" w:eastAsia="es-ES_tradnl"/>
        </w:rPr>
        <w:t>y</w:t>
      </w:r>
      <w:r w:rsidRPr="008C58E4">
        <w:rPr>
          <w:rFonts w:ascii="Arial" w:eastAsia="Calibri" w:hAnsi="Arial" w:cs="Arial"/>
          <w:lang w:val="es-ES_tradnl" w:eastAsia="es-ES_tradnl"/>
        </w:rPr>
        <w:t>a las diferentes modalidades de selección de los Procesos de Contratación adelantados por entidades sometidas al EGCAP</w:t>
      </w:r>
      <w:r w:rsidRPr="008C58E4">
        <w:rPr>
          <w:rFonts w:ascii="Arial" w:eastAsia="Calibri" w:hAnsi="Arial" w:cs="Arial"/>
          <w:bCs/>
          <w:lang w:val="es-ES_tradnl" w:eastAsia="es-ES_tradnl"/>
        </w:rPr>
        <w:t>.</w:t>
      </w:r>
    </w:p>
    <w:p w14:paraId="4656F5C5" w14:textId="77777777" w:rsidR="001F57E2" w:rsidRDefault="001F57E2" w:rsidP="001F57E2">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t>A</w:t>
      </w:r>
      <w:r w:rsidRPr="006A55BE">
        <w:rPr>
          <w:rFonts w:ascii="Arial" w:eastAsia="Calibri" w:hAnsi="Arial" w:cs="Arial"/>
          <w:bCs/>
          <w:lang w:val="es-ES_tradnl" w:eastAsia="es-ES_tradnl"/>
        </w:rPr>
        <w:t>ntes</w:t>
      </w:r>
      <w:r w:rsidRPr="00C046D8">
        <w:rPr>
          <w:rFonts w:ascii="Arial" w:eastAsia="Calibri" w:hAnsi="Arial" w:cs="Arial"/>
          <w:bCs/>
          <w:lang w:val="es-ES_tradnl" w:eastAsia="es-ES_tradnl"/>
        </w:rPr>
        <w:t xml:space="preserve"> de la expedición del artículo 56</w:t>
      </w:r>
      <w:r>
        <w:rPr>
          <w:rFonts w:ascii="Arial" w:eastAsia="Calibri" w:hAnsi="Arial" w:cs="Arial"/>
          <w:bCs/>
          <w:lang w:val="es-ES_tradnl" w:eastAsia="es-ES_tradnl"/>
        </w:rPr>
        <w:t xml:space="preserve"> de </w:t>
      </w:r>
      <w:r w:rsidRPr="00C046D8">
        <w:rPr>
          <w:rFonts w:ascii="Arial" w:eastAsia="Calibri" w:hAnsi="Arial" w:cs="Arial"/>
          <w:bCs/>
          <w:lang w:val="es-ES_tradnl" w:eastAsia="es-ES_tradnl"/>
        </w:rPr>
        <w:t>la Ley 2022 de 2020</w:t>
      </w:r>
      <w:r>
        <w:rPr>
          <w:rFonts w:ascii="Arial" w:eastAsia="Calibri" w:hAnsi="Arial" w:cs="Arial"/>
          <w:bCs/>
          <w:lang w:val="es-ES_tradnl" w:eastAsia="es-ES_tradnl"/>
        </w:rPr>
        <w:t>,</w:t>
      </w:r>
      <w:r w:rsidRPr="00C046D8">
        <w:rPr>
          <w:rFonts w:ascii="Arial" w:eastAsia="Calibri" w:hAnsi="Arial" w:cs="Arial"/>
          <w:bCs/>
          <w:lang w:val="es-ES_tradnl" w:eastAsia="es-ES_tradnl"/>
        </w:rPr>
        <w:t xml:space="preserve"> ya</w:t>
      </w:r>
      <w:r>
        <w:rPr>
          <w:rFonts w:ascii="Arial" w:eastAsia="Calibri" w:hAnsi="Arial" w:cs="Arial"/>
          <w:bCs/>
          <w:lang w:val="es-ES_tradnl" w:eastAsia="es-ES_tradnl"/>
        </w:rPr>
        <w:t xml:space="preserve"> se</w:t>
      </w:r>
      <w:r w:rsidRPr="00C046D8">
        <w:rPr>
          <w:rFonts w:ascii="Arial" w:eastAsia="Calibri" w:hAnsi="Arial" w:cs="Arial"/>
          <w:bCs/>
          <w:lang w:val="es-ES_tradnl" w:eastAsia="es-ES_tradnl"/>
        </w:rPr>
        <w:t xml:space="preserve"> había establecido el mandato de aplicación obligatoria de los documentos tipo</w:t>
      </w:r>
      <w:r>
        <w:rPr>
          <w:rFonts w:ascii="Arial" w:eastAsia="Calibri" w:hAnsi="Arial" w:cs="Arial"/>
          <w:bCs/>
          <w:lang w:val="es-ES_tradnl" w:eastAsia="es-ES_tradnl"/>
        </w:rPr>
        <w:t xml:space="preserve"> para las entidades estatales sometidas al EGCAP</w:t>
      </w:r>
      <w:r w:rsidRPr="00C046D8">
        <w:rPr>
          <w:rFonts w:ascii="Arial" w:eastAsia="Calibri" w:hAnsi="Arial" w:cs="Arial"/>
          <w:bCs/>
          <w:lang w:val="es-ES_tradnl" w:eastAsia="es-ES_tradnl"/>
        </w:rPr>
        <w:t xml:space="preserve">, atribuyendo a esta Agencia la competencia para expedirlos. </w:t>
      </w:r>
      <w:r>
        <w:rPr>
          <w:rFonts w:ascii="Arial" w:eastAsia="Calibri" w:hAnsi="Arial" w:cs="Arial"/>
          <w:bCs/>
          <w:lang w:val="es-ES_tradnl" w:eastAsia="es-ES_tradnl"/>
        </w:rPr>
        <w:t xml:space="preserve">Esta norma imperativa debía observarse siempre y cuando el objeto contratar este </w:t>
      </w:r>
      <w:r w:rsidRPr="00C046D8">
        <w:rPr>
          <w:rFonts w:ascii="Arial" w:eastAsia="Calibri" w:hAnsi="Arial" w:cs="Arial"/>
          <w:bCs/>
          <w:lang w:val="es-ES_tradnl" w:eastAsia="es-ES_tradnl"/>
        </w:rPr>
        <w:t>cobijado por algún documento tipo vigente</w:t>
      </w:r>
      <w:r>
        <w:rPr>
          <w:rFonts w:ascii="Arial" w:eastAsia="Calibri" w:hAnsi="Arial" w:cs="Arial"/>
          <w:bCs/>
          <w:lang w:val="es-ES_tradnl" w:eastAsia="es-ES_tradnl"/>
        </w:rPr>
        <w:t>, no obstante, si la Entidad Estatal optaba bajo la modalidad de selección de contratación directa, celebrar convenios o contratos interadministrativos, o de cualquier otra índole, con</w:t>
      </w:r>
      <w:r w:rsidRPr="00C046D8">
        <w:rPr>
          <w:rFonts w:ascii="Arial" w:eastAsia="Calibri" w:hAnsi="Arial" w:cs="Arial"/>
          <w:bCs/>
          <w:lang w:val="es-ES_tradnl" w:eastAsia="es-ES_tradnl"/>
        </w:rPr>
        <w:t xml:space="preserve"> entidades con regímenes especiales o de derecho privado era un asunto que escapaba del ámbito de aplicación de lo establecido por la Ley 2022 de 2020, incluso tratándose de obras o servicios para cuya contratación </w:t>
      </w:r>
      <w:r>
        <w:rPr>
          <w:rFonts w:ascii="Arial" w:eastAsia="Calibri" w:hAnsi="Arial" w:cs="Arial"/>
          <w:bCs/>
          <w:lang w:val="es-ES_tradnl" w:eastAsia="es-ES_tradnl"/>
        </w:rPr>
        <w:t>le fuese aplicable los</w:t>
      </w:r>
      <w:r w:rsidRPr="00C046D8">
        <w:rPr>
          <w:rFonts w:ascii="Arial" w:eastAsia="Calibri" w:hAnsi="Arial" w:cs="Arial"/>
          <w:bCs/>
          <w:lang w:val="es-ES_tradnl" w:eastAsia="es-ES_tradnl"/>
        </w:rPr>
        <w:t xml:space="preserve"> documentos tipo vigentes</w:t>
      </w:r>
      <w:r>
        <w:rPr>
          <w:rFonts w:ascii="Arial" w:eastAsia="Calibri" w:hAnsi="Arial" w:cs="Arial"/>
          <w:bCs/>
          <w:lang w:val="es-ES_tradnl" w:eastAsia="es-ES_tradnl"/>
        </w:rPr>
        <w:t>.</w:t>
      </w:r>
    </w:p>
    <w:p w14:paraId="111F59F7" w14:textId="77777777" w:rsidR="001F57E2" w:rsidRDefault="001F57E2" w:rsidP="001F57E2">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165C4E">
        <w:rPr>
          <w:rFonts w:ascii="Arial" w:eastAsia="Calibri" w:hAnsi="Arial" w:cs="Arial"/>
          <w:lang w:val="es-ES_tradnl" w:eastAsia="es-ES_tradnl"/>
        </w:rPr>
        <w:t>Ahora,</w:t>
      </w:r>
      <w:r>
        <w:rPr>
          <w:rFonts w:ascii="Arial" w:eastAsia="Calibri" w:hAnsi="Arial" w:cs="Arial"/>
          <w:bCs/>
          <w:lang w:val="es-ES_tradnl" w:eastAsia="es-ES_tradnl"/>
        </w:rPr>
        <w:t xml:space="preserve"> con la entrada en vigencia del artículo 56 de la Ley 2195 de 2022, </w:t>
      </w:r>
      <w:r w:rsidRPr="00C046D8">
        <w:rPr>
          <w:rFonts w:ascii="Arial" w:eastAsia="Calibri" w:hAnsi="Arial" w:cs="Arial"/>
          <w:bCs/>
          <w:lang w:val="es-ES_tradnl" w:eastAsia="es-ES_tradnl"/>
        </w:rPr>
        <w:t xml:space="preserve">la aplicación de documentos </w:t>
      </w:r>
      <w:r>
        <w:rPr>
          <w:rFonts w:ascii="Arial" w:eastAsia="Calibri" w:hAnsi="Arial" w:cs="Arial"/>
          <w:bCs/>
          <w:lang w:val="es-ES_tradnl" w:eastAsia="es-ES_tradnl"/>
        </w:rPr>
        <w:t xml:space="preserve">pliego </w:t>
      </w:r>
      <w:r w:rsidRPr="00C046D8">
        <w:rPr>
          <w:rFonts w:ascii="Arial" w:eastAsia="Calibri" w:hAnsi="Arial" w:cs="Arial"/>
          <w:bCs/>
          <w:lang w:val="es-ES_tradnl" w:eastAsia="es-ES_tradnl"/>
        </w:rPr>
        <w:t xml:space="preserve">tipo </w:t>
      </w:r>
      <w:r>
        <w:rPr>
          <w:rFonts w:ascii="Arial" w:eastAsia="Calibri" w:hAnsi="Arial" w:cs="Arial"/>
          <w:bCs/>
          <w:lang w:val="es-ES_tradnl" w:eastAsia="es-ES_tradnl"/>
        </w:rPr>
        <w:t xml:space="preserve">resulta obligatoria cuando la Entidad Estatal opta por celebrar convenios o contratos interadministrativos, o de cualquier otra índole, sin que por ello implique que las entidades de </w:t>
      </w:r>
      <w:r w:rsidRPr="00C046D8">
        <w:rPr>
          <w:rFonts w:ascii="Arial" w:eastAsia="Calibri" w:hAnsi="Arial" w:cs="Arial"/>
          <w:bCs/>
          <w:lang w:val="es-ES_tradnl" w:eastAsia="es-ES_tradnl"/>
        </w:rPr>
        <w:t xml:space="preserve">regímenes especiales </w:t>
      </w:r>
      <w:r>
        <w:rPr>
          <w:rFonts w:ascii="Arial" w:eastAsia="Calibri" w:hAnsi="Arial" w:cs="Arial"/>
          <w:bCs/>
          <w:lang w:val="es-ES_tradnl" w:eastAsia="es-ES_tradnl"/>
        </w:rPr>
        <w:t xml:space="preserve">de contratación, patrimonios autónomos o personas naturales o jurídicas </w:t>
      </w:r>
      <w:r w:rsidRPr="00C046D8">
        <w:rPr>
          <w:rFonts w:ascii="Arial" w:eastAsia="Calibri" w:hAnsi="Arial" w:cs="Arial"/>
          <w:bCs/>
          <w:lang w:val="es-ES_tradnl" w:eastAsia="es-ES_tradnl"/>
        </w:rPr>
        <w:t>de derecho privado</w:t>
      </w:r>
      <w:r>
        <w:rPr>
          <w:rFonts w:ascii="Arial" w:eastAsia="Calibri" w:hAnsi="Arial" w:cs="Arial"/>
          <w:bCs/>
          <w:lang w:val="es-ES_tradnl" w:eastAsia="es-ES_tradnl"/>
        </w:rPr>
        <w:t xml:space="preserve"> se las haya habilitado legalmente para que apliquen documentos pliego tipo en su contratación privada, por </w:t>
      </w:r>
      <w:r>
        <w:rPr>
          <w:rFonts w:ascii="Arial" w:eastAsia="Calibri" w:hAnsi="Arial" w:cs="Arial"/>
          <w:bCs/>
          <w:lang w:val="es-ES_tradnl" w:eastAsia="es-ES_tradnl"/>
        </w:rPr>
        <w:lastRenderedPageBreak/>
        <w:t xml:space="preserve">cuanto, la norma parte de la premisa fundamental de que </w:t>
      </w:r>
      <w:r w:rsidRPr="00C046D8">
        <w:rPr>
          <w:rFonts w:ascii="Arial" w:eastAsia="Calibri" w:hAnsi="Arial" w:cs="Arial"/>
          <w:bCs/>
          <w:lang w:val="es-ES_tradnl" w:eastAsia="es-ES_tradnl"/>
        </w:rPr>
        <w:t xml:space="preserve">la aplicación de estos solo </w:t>
      </w:r>
      <w:r>
        <w:rPr>
          <w:rFonts w:ascii="Arial" w:eastAsia="Calibri" w:hAnsi="Arial" w:cs="Arial"/>
          <w:bCs/>
          <w:lang w:val="es-ES_tradnl" w:eastAsia="es-ES_tradnl"/>
        </w:rPr>
        <w:t xml:space="preserve">es </w:t>
      </w:r>
      <w:r w:rsidRPr="00C046D8">
        <w:rPr>
          <w:rFonts w:ascii="Arial" w:eastAsia="Calibri" w:hAnsi="Arial" w:cs="Arial"/>
          <w:bCs/>
          <w:lang w:val="es-ES_tradnl" w:eastAsia="es-ES_tradnl"/>
        </w:rPr>
        <w:t xml:space="preserve">procedente </w:t>
      </w:r>
      <w:r>
        <w:rPr>
          <w:rFonts w:ascii="Arial" w:eastAsia="Calibri" w:hAnsi="Arial" w:cs="Arial"/>
          <w:bCs/>
          <w:lang w:val="es-ES_tradnl" w:eastAsia="es-ES_tradnl"/>
        </w:rPr>
        <w:t xml:space="preserve">para entidades cuyo </w:t>
      </w:r>
      <w:r w:rsidRPr="00C046D8">
        <w:rPr>
          <w:rFonts w:ascii="Arial" w:eastAsia="Calibri" w:hAnsi="Arial" w:cs="Arial"/>
          <w:bCs/>
          <w:lang w:val="es-ES_tradnl" w:eastAsia="es-ES_tradnl"/>
        </w:rPr>
        <w:t xml:space="preserve">régimen </w:t>
      </w:r>
      <w:r>
        <w:rPr>
          <w:rFonts w:ascii="Arial" w:eastAsia="Calibri" w:hAnsi="Arial" w:cs="Arial"/>
          <w:bCs/>
          <w:lang w:val="es-ES_tradnl" w:eastAsia="es-ES_tradnl"/>
        </w:rPr>
        <w:t xml:space="preserve">contractual corresponde al </w:t>
      </w:r>
      <w:r w:rsidRPr="00C046D8">
        <w:rPr>
          <w:rFonts w:ascii="Arial" w:eastAsia="Calibri" w:hAnsi="Arial" w:cs="Arial"/>
          <w:bCs/>
          <w:lang w:val="es-ES_tradnl" w:eastAsia="es-ES_tradnl"/>
        </w:rPr>
        <w:t xml:space="preserve">EGCAP. Esto en la medida en que, </w:t>
      </w:r>
      <w:bookmarkStart w:id="10" w:name="_Hlk109963698"/>
      <w:r w:rsidRPr="00C046D8">
        <w:rPr>
          <w:rFonts w:ascii="Arial" w:eastAsia="Calibri" w:hAnsi="Arial" w:cs="Arial"/>
          <w:bCs/>
          <w:lang w:val="es-ES_tradnl" w:eastAsia="es-ES_tradnl"/>
        </w:rPr>
        <w:t>el parágrafo 7 del artículo 2 de la Ley 1150 de 2007</w:t>
      </w:r>
      <w:r>
        <w:rPr>
          <w:rFonts w:ascii="Arial" w:eastAsia="Calibri" w:hAnsi="Arial" w:cs="Arial"/>
          <w:bCs/>
          <w:lang w:val="es-ES_tradnl" w:eastAsia="es-ES_tradnl"/>
        </w:rPr>
        <w:t>, modificado por la Ley 2022 de 2020,</w:t>
      </w:r>
      <w:r w:rsidRPr="00C046D8">
        <w:rPr>
          <w:rFonts w:ascii="Arial" w:eastAsia="Calibri" w:hAnsi="Arial" w:cs="Arial"/>
          <w:bCs/>
          <w:lang w:val="es-ES_tradnl" w:eastAsia="es-ES_tradnl"/>
        </w:rPr>
        <w:t xml:space="preserve"> solo se refiere a la obligación de aplicar los documentos tipo en los procesos de contratación que adelanten las entidades sometidas al EGCAP.</w:t>
      </w:r>
      <w:r w:rsidRPr="00C046D8">
        <w:rPr>
          <w:rFonts w:ascii="Arial" w:eastAsia="Calibri" w:hAnsi="Arial" w:cs="Arial"/>
          <w:bCs/>
          <w:strike/>
          <w:lang w:val="es-ES_tradnl" w:eastAsia="es-ES_tradnl"/>
        </w:rPr>
        <w:t xml:space="preserve"> </w:t>
      </w:r>
      <w:bookmarkEnd w:id="10"/>
    </w:p>
    <w:p w14:paraId="7ACB1292" w14:textId="77777777" w:rsidR="001F57E2" w:rsidRDefault="001F57E2" w:rsidP="001F57E2">
      <w:pPr>
        <w:spacing w:after="120" w:line="276" w:lineRule="auto"/>
        <w:ind w:firstLine="709"/>
        <w:jc w:val="both"/>
        <w:rPr>
          <w:rFonts w:ascii="Arial" w:eastAsia="Calibri" w:hAnsi="Arial" w:cs="Arial"/>
          <w:lang w:val="es-ES" w:eastAsia="es-ES"/>
        </w:rPr>
      </w:pPr>
      <w:r w:rsidRPr="293D6149">
        <w:rPr>
          <w:rFonts w:ascii="Arial" w:hAnsi="Arial" w:cs="Arial"/>
        </w:rPr>
        <w:t>E</w:t>
      </w:r>
      <w:r>
        <w:rPr>
          <w:rFonts w:ascii="Arial" w:hAnsi="Arial" w:cs="Arial"/>
        </w:rPr>
        <w:t xml:space="preserve">sta Agencia </w:t>
      </w:r>
      <w:r w:rsidRPr="293D6149">
        <w:rPr>
          <w:rFonts w:ascii="Arial" w:hAnsi="Arial" w:cs="Arial"/>
        </w:rPr>
        <w:t xml:space="preserve">ha </w:t>
      </w:r>
      <w:r>
        <w:rPr>
          <w:rFonts w:ascii="Arial" w:hAnsi="Arial" w:cs="Arial"/>
        </w:rPr>
        <w:t>considera</w:t>
      </w:r>
      <w:r w:rsidRPr="293D6149">
        <w:rPr>
          <w:rFonts w:ascii="Arial" w:hAnsi="Arial" w:cs="Arial"/>
        </w:rPr>
        <w:t>do, como se</w:t>
      </w:r>
      <w:r>
        <w:rPr>
          <w:rFonts w:ascii="Arial" w:hAnsi="Arial" w:cs="Arial"/>
        </w:rPr>
        <w:t xml:space="preserve"> explicó </w:t>
      </w:r>
      <w:r w:rsidRPr="004D745F">
        <w:rPr>
          <w:rFonts w:ascii="Arial" w:hAnsi="Arial" w:cs="Arial"/>
          <w:i/>
          <w:iCs/>
        </w:rPr>
        <w:t>ut supra</w:t>
      </w:r>
      <w:r>
        <w:rPr>
          <w:rFonts w:ascii="Arial" w:hAnsi="Arial" w:cs="Arial"/>
        </w:rPr>
        <w:t xml:space="preserve">, que </w:t>
      </w:r>
      <w:r w:rsidRPr="293D6149">
        <w:rPr>
          <w:rFonts w:ascii="Arial" w:eastAsia="Calibri" w:hAnsi="Arial"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w:t>
      </w:r>
      <w:r>
        <w:rPr>
          <w:rFonts w:ascii="Arial" w:eastAsia="Calibri" w:hAnsi="Arial" w:cs="Arial"/>
          <w:lang w:val="es-ES" w:eastAsia="es-ES"/>
        </w:rPr>
        <w:t>.</w:t>
      </w:r>
      <w:r w:rsidRPr="293D6149">
        <w:rPr>
          <w:rFonts w:ascii="Arial" w:eastAsia="Calibri" w:hAnsi="Arial" w:cs="Arial"/>
          <w:lang w:val="es-ES" w:eastAsia="es-ES"/>
        </w:rPr>
        <w:t xml:space="preserve"> </w:t>
      </w:r>
      <w:r>
        <w:rPr>
          <w:rFonts w:ascii="Arial" w:eastAsia="Calibri" w:hAnsi="Arial" w:cs="Arial"/>
          <w:lang w:val="es-ES" w:eastAsia="es-ES"/>
        </w:rPr>
        <w:t>P</w:t>
      </w:r>
      <w:r w:rsidRPr="293D6149">
        <w:rPr>
          <w:rFonts w:ascii="Arial" w:eastAsia="Calibri" w:hAnsi="Arial" w:cs="Arial"/>
          <w:lang w:val="es-ES" w:eastAsia="es-ES"/>
        </w:rPr>
        <w:t>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293D6149">
        <w:rPr>
          <w:rFonts w:ascii="Arial" w:eastAsia="Calibri" w:hAnsi="Arial" w:cs="Arial"/>
          <w:vertAlign w:val="superscript"/>
          <w:lang w:val="es-ES" w:eastAsia="es-ES"/>
        </w:rPr>
        <w:footnoteReference w:id="17"/>
      </w:r>
      <w:r w:rsidRPr="293D6149">
        <w:rPr>
          <w:rFonts w:ascii="Arial" w:eastAsia="Calibri" w:hAnsi="Arial" w:cs="Arial"/>
          <w:lang w:val="es-ES" w:eastAsia="es-ES"/>
        </w:rPr>
        <w:t xml:space="preserve">, ahora deberán tenerse en cuenta las siguientes reglas: i) </w:t>
      </w:r>
      <w:r w:rsidRPr="293D6149">
        <w:rPr>
          <w:rFonts w:ascii="Arial" w:eastAsia="Calibri" w:hAnsi="Arial" w:cs="Arial"/>
          <w:i/>
          <w:lang w:val="es-ES" w:eastAsia="es-ES"/>
        </w:rPr>
        <w:t>en el caso de los convenios interadministrativos o de cualquier otra índole:</w:t>
      </w:r>
      <w:r w:rsidRPr="293D6149">
        <w:rPr>
          <w:rFonts w:ascii="Arial" w:eastAsia="Calibri" w:hAnsi="Arial"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ii) </w:t>
      </w:r>
      <w:r w:rsidRPr="293D6149">
        <w:rPr>
          <w:rFonts w:ascii="Arial" w:eastAsia="Calibri" w:hAnsi="Arial" w:cs="Arial"/>
          <w:i/>
          <w:lang w:val="es-ES" w:eastAsia="es-ES"/>
        </w:rPr>
        <w:t>en el caso de los contratos interadministrativos</w:t>
      </w:r>
      <w:r w:rsidRPr="293D6149">
        <w:rPr>
          <w:rFonts w:ascii="Arial" w:eastAsia="Calibri" w:hAnsi="Arial" w:cs="Arial"/>
          <w:lang w:val="es-ES" w:eastAsia="es-ES"/>
        </w:rPr>
        <w:t xml:space="preserve"> </w:t>
      </w:r>
      <w:r w:rsidRPr="293D6149">
        <w:rPr>
          <w:rFonts w:ascii="Arial" w:eastAsia="Calibri" w:hAnsi="Arial" w:cs="Arial"/>
          <w:i/>
          <w:lang w:val="es-ES" w:eastAsia="es-ES"/>
        </w:rPr>
        <w:t>o de cualquier otra índole</w:t>
      </w:r>
      <w:r w:rsidRPr="293D6149">
        <w:rPr>
          <w:rFonts w:ascii="Arial" w:eastAsia="Calibri" w:hAnsi="Arial" w:cs="Arial"/>
          <w:lang w:val="es-ES" w:eastAsia="es-ES"/>
        </w:rPr>
        <w:t xml:space="preserve">: </w:t>
      </w:r>
      <w:r w:rsidRPr="293D6149">
        <w:rPr>
          <w:rFonts w:ascii="Arial" w:eastAsia="Times New Roman" w:hAnsi="Arial"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293D6149">
        <w:rPr>
          <w:rFonts w:ascii="Arial" w:eastAsia="Calibri" w:hAnsi="Arial" w:cs="Arial"/>
          <w:lang w:val="es-ES" w:eastAsia="es-ES"/>
        </w:rPr>
        <w:t>entidad sometida al EGCAP.</w:t>
      </w:r>
    </w:p>
    <w:p w14:paraId="5B9473EF" w14:textId="77777777" w:rsidR="001F57E2"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 </w:t>
      </w:r>
      <w:bookmarkStart w:id="12" w:name="_Hlk113023365"/>
      <w:r w:rsidRPr="00AD1ECB">
        <w:rPr>
          <w:rFonts w:ascii="Arial" w:eastAsia="Calibri" w:hAnsi="Arial" w:cs="Arial"/>
          <w:bCs/>
          <w:lang w:val="es-ES_tradnl" w:eastAsia="es-ES_tradnl"/>
        </w:rPr>
        <w:t xml:space="preserve">El segundo inciso de la norma bajo estudio usa la expresión </w:t>
      </w:r>
      <w:r w:rsidRPr="00AD1ECB">
        <w:rPr>
          <w:rFonts w:ascii="Arial" w:eastAsia="Calibri" w:hAnsi="Arial" w:cs="Arial"/>
          <w:lang w:val="es-ES_tradnl" w:eastAsia="es-ES_tradnl"/>
        </w:rPr>
        <w:t>“</w:t>
      </w:r>
      <w:r w:rsidRPr="00AD1ECB">
        <w:rPr>
          <w:rFonts w:ascii="Arial" w:eastAsia="Times New Roman" w:hAnsi="Arial" w:cs="Arial"/>
          <w:lang w:eastAsia="es-ES_tradnl"/>
        </w:rPr>
        <w:t>los procedimientos de selección y contratos que realicen en desarrollo de los anteriores negocios jurídicos</w:t>
      </w:r>
      <w:r w:rsidRPr="00AD1ECB">
        <w:rPr>
          <w:rFonts w:ascii="Arial" w:eastAsia="Calibri" w:hAnsi="Arial" w:cs="Arial"/>
          <w:lang w:val="es-ES_tradnl" w:eastAsia="es-ES_tradnl"/>
        </w:rPr>
        <w:t>”</w:t>
      </w:r>
      <w:r w:rsidRPr="00AD1ECB">
        <w:rPr>
          <w:rFonts w:ascii="Arial" w:eastAsia="Times New Roman" w:hAnsi="Arial" w:cs="Arial"/>
          <w:lang w:eastAsia="es-ES_tradnl"/>
        </w:rPr>
        <w:t>.</w:t>
      </w:r>
      <w:r>
        <w:rPr>
          <w:rFonts w:ascii="Arial" w:eastAsia="Times New Roman" w:hAnsi="Arial" w:cs="Arial"/>
          <w:lang w:eastAsia="es-ES_tradnl"/>
        </w:rPr>
        <w:t xml:space="preserve"> Pudiera entenderse que </w:t>
      </w:r>
      <w:r w:rsidRPr="00C046D8">
        <w:rPr>
          <w:rFonts w:ascii="Arial" w:eastAsia="Times New Roman" w:hAnsi="Arial" w:cs="Arial"/>
          <w:lang w:eastAsia="es-ES_tradnl"/>
        </w:rPr>
        <w:t xml:space="preserve">alude a los negocios jurídicos descritos en el primer inciso, es decir, aquellos a través de los cuales una </w:t>
      </w:r>
      <w:r>
        <w:rPr>
          <w:rFonts w:ascii="Arial" w:eastAsia="Times New Roman" w:hAnsi="Arial" w:cs="Arial"/>
          <w:lang w:eastAsia="es-ES_tradnl"/>
        </w:rPr>
        <w:t>Entidad Estatal</w:t>
      </w:r>
      <w:r w:rsidRPr="00C046D8">
        <w:rPr>
          <w:rFonts w:ascii="Arial" w:eastAsia="Times New Roman" w:hAnsi="Arial" w:cs="Arial"/>
          <w:lang w:eastAsia="es-ES_tradnl"/>
        </w:rPr>
        <w:t xml:space="preserve"> sometida al EGCAP contrata </w:t>
      </w:r>
      <w:r>
        <w:rPr>
          <w:rFonts w:ascii="Arial" w:eastAsia="Times New Roman" w:hAnsi="Arial" w:cs="Arial"/>
          <w:lang w:eastAsia="es-ES_tradnl"/>
        </w:rPr>
        <w:t>o coopera</w:t>
      </w:r>
      <w:r w:rsidRPr="00C046D8">
        <w:rPr>
          <w:rFonts w:ascii="Arial" w:eastAsia="Times New Roman" w:hAnsi="Arial" w:cs="Arial"/>
          <w:lang w:eastAsia="es-ES_tradnl"/>
        </w:rPr>
        <w:t xml:space="preserve"> </w:t>
      </w:r>
      <w:r>
        <w:rPr>
          <w:rFonts w:ascii="Arial" w:eastAsia="Times New Roman" w:hAnsi="Arial" w:cs="Arial"/>
          <w:lang w:eastAsia="es-ES_tradnl"/>
        </w:rPr>
        <w:t>con</w:t>
      </w:r>
      <w:r w:rsidRPr="00C046D8">
        <w:rPr>
          <w:rFonts w:ascii="Arial" w:eastAsia="Times New Roman" w:hAnsi="Arial" w:cs="Arial"/>
          <w:lang w:eastAsia="es-ES_tradnl"/>
        </w:rPr>
        <w:t xml:space="preserve"> un sujeto de derecho privado –entidad exceptuada, patrimonio autónomo o persona </w:t>
      </w:r>
      <w:r w:rsidRPr="00C046D8">
        <w:rPr>
          <w:rFonts w:ascii="Arial" w:eastAsia="Times New Roman" w:hAnsi="Arial" w:cs="Arial"/>
          <w:lang w:eastAsia="es-ES_tradnl"/>
        </w:rPr>
        <w:lastRenderedPageBreak/>
        <w:t xml:space="preserve">natural o jurídica de derecho privado– </w:t>
      </w:r>
      <w:r>
        <w:rPr>
          <w:rFonts w:ascii="Arial" w:eastAsia="Times New Roman" w:hAnsi="Arial" w:cs="Arial"/>
          <w:lang w:eastAsia="es-ES_tradnl"/>
        </w:rPr>
        <w:t>en un objeto del que se desprende</w:t>
      </w:r>
      <w:r w:rsidRPr="00C046D8">
        <w:rPr>
          <w:rFonts w:ascii="Arial" w:eastAsia="Times New Roman" w:hAnsi="Arial" w:cs="Arial"/>
          <w:lang w:eastAsia="es-ES_tradnl"/>
        </w:rPr>
        <w:t xml:space="preserve"> </w:t>
      </w:r>
      <w:r>
        <w:rPr>
          <w:rFonts w:ascii="Arial" w:eastAsia="Times New Roman" w:hAnsi="Arial" w:cs="Arial"/>
          <w:lang w:eastAsia="es-ES_tradnl"/>
        </w:rPr>
        <w:t>el</w:t>
      </w:r>
      <w:r w:rsidRPr="00C046D8">
        <w:rPr>
          <w:rFonts w:ascii="Arial" w:eastAsia="Times New Roman" w:hAnsi="Arial" w:cs="Arial"/>
          <w:lang w:eastAsia="es-ES_tradnl"/>
        </w:rPr>
        <w:t xml:space="preserve"> suministr</w:t>
      </w:r>
      <w:r>
        <w:rPr>
          <w:rFonts w:ascii="Arial" w:eastAsia="Times New Roman" w:hAnsi="Arial" w:cs="Arial"/>
          <w:lang w:eastAsia="es-ES_tradnl"/>
        </w:rPr>
        <w:t>o de</w:t>
      </w:r>
      <w:r w:rsidRPr="00C046D8">
        <w:rPr>
          <w:rFonts w:ascii="Arial" w:eastAsia="Times New Roman" w:hAnsi="Arial" w:cs="Arial"/>
          <w:lang w:eastAsia="es-ES_tradnl"/>
        </w:rPr>
        <w:t xml:space="preserve"> un bien, obra o servicio cobijada por un documento tipo. </w:t>
      </w:r>
      <w:r>
        <w:rPr>
          <w:rFonts w:ascii="Arial" w:eastAsia="Times New Roman" w:hAnsi="Arial" w:cs="Arial"/>
          <w:lang w:eastAsia="es-ES_tradnl"/>
        </w:rPr>
        <w:t xml:space="preserve"> </w:t>
      </w:r>
      <w:r w:rsidRPr="00C046D8">
        <w:rPr>
          <w:rFonts w:ascii="Arial" w:eastAsia="Times New Roman" w:hAnsi="Arial" w:cs="Arial"/>
          <w:lang w:eastAsia="es-ES_tradnl"/>
        </w:rPr>
        <w:t xml:space="preserve">En ese sentido, la norma parte de la base de que para </w:t>
      </w:r>
      <w:r w:rsidRPr="00C046D8">
        <w:rPr>
          <w:rFonts w:ascii="Arial" w:eastAsia="Times New Roman" w:hAnsi="Arial" w:cs="Arial"/>
          <w:i/>
          <w:iCs/>
          <w:lang w:eastAsia="es-ES_tradnl"/>
        </w:rPr>
        <w:t>desarrollar</w:t>
      </w:r>
      <w:r w:rsidRPr="00C046D8">
        <w:rPr>
          <w:rFonts w:ascii="Arial" w:eastAsia="Times New Roman" w:hAnsi="Arial" w:cs="Arial"/>
          <w:lang w:eastAsia="es-ES_tradnl"/>
        </w:rPr>
        <w:t xml:space="preserve"> tales negocios jurídicos la </w:t>
      </w:r>
      <w:r>
        <w:rPr>
          <w:rFonts w:ascii="Arial" w:eastAsia="Times New Roman" w:hAnsi="Arial" w:cs="Arial"/>
          <w:lang w:eastAsia="es-ES_tradnl"/>
        </w:rPr>
        <w:t>Entidad Estatal</w:t>
      </w:r>
      <w:r w:rsidRPr="00C046D8">
        <w:rPr>
          <w:rFonts w:ascii="Arial" w:eastAsia="Times New Roman" w:hAnsi="Arial" w:cs="Arial"/>
          <w:lang w:eastAsia="es-ES_tradnl"/>
        </w:rPr>
        <w:t xml:space="preserve"> sometida necesariamente debe adelantar un procedimiento de selección y suscribir un contrato elevado a escrito, lo que </w:t>
      </w:r>
      <w:r>
        <w:rPr>
          <w:rFonts w:ascii="Arial" w:eastAsia="Times New Roman" w:hAnsi="Arial" w:cs="Arial"/>
          <w:lang w:eastAsia="es-ES_tradnl"/>
        </w:rPr>
        <w:t>–</w:t>
      </w:r>
      <w:r w:rsidRPr="00C046D8">
        <w:rPr>
          <w:rFonts w:ascii="Arial" w:eastAsia="Times New Roman" w:hAnsi="Arial" w:cs="Arial"/>
          <w:lang w:eastAsia="es-ES_tradnl"/>
        </w:rPr>
        <w:t>en atención al artículo 56</w:t>
      </w:r>
      <w:r>
        <w:rPr>
          <w:rFonts w:ascii="Arial" w:eastAsia="Times New Roman" w:hAnsi="Arial" w:cs="Arial"/>
          <w:lang w:eastAsia="es-ES_tradnl"/>
        </w:rPr>
        <w:t>–</w:t>
      </w:r>
      <w:r w:rsidRPr="00C046D8">
        <w:rPr>
          <w:rFonts w:ascii="Arial" w:eastAsia="Times New Roman" w:hAnsi="Arial" w:cs="Arial"/>
          <w:lang w:eastAsia="es-ES_tradnl"/>
        </w:rPr>
        <w:t xml:space="preserve"> deberá hacer</w:t>
      </w:r>
      <w:r>
        <w:rPr>
          <w:rFonts w:ascii="Arial" w:eastAsia="Times New Roman" w:hAnsi="Arial" w:cs="Arial"/>
          <w:lang w:eastAsia="es-ES_tradnl"/>
        </w:rPr>
        <w:t>lo</w:t>
      </w:r>
      <w:r w:rsidRPr="00C046D8">
        <w:rPr>
          <w:rFonts w:ascii="Arial" w:eastAsia="Times New Roman" w:hAnsi="Arial" w:cs="Arial"/>
          <w:lang w:eastAsia="es-ES_tradnl"/>
        </w:rPr>
        <w:t xml:space="preserve"> aplicando documentos tipo y con sujeción al EGCAP. </w:t>
      </w:r>
    </w:p>
    <w:p w14:paraId="69306C44" w14:textId="77777777" w:rsidR="001F57E2" w:rsidRDefault="001F57E2" w:rsidP="001F57E2">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C046D8">
        <w:rPr>
          <w:rFonts w:ascii="Arial" w:eastAsia="Calibri" w:hAnsi="Arial" w:cs="Arial"/>
          <w:bCs/>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w:t>
      </w:r>
      <w:r>
        <w:rPr>
          <w:rFonts w:ascii="Arial" w:eastAsia="Calibri" w:hAnsi="Arial" w:cs="Arial"/>
          <w:bCs/>
          <w:lang w:val="es-ES_tradnl" w:eastAsia="es-ES_tradnl"/>
        </w:rPr>
        <w:t>s</w:t>
      </w:r>
      <w:r w:rsidRPr="00C046D8">
        <w:rPr>
          <w:rFonts w:ascii="Arial" w:eastAsia="Calibri" w:hAnsi="Arial" w:cs="Arial"/>
          <w:bCs/>
          <w:lang w:val="es-ES_tradnl" w:eastAsia="es-ES_tradnl"/>
        </w:rPr>
        <w:t xml:space="preserve"> por el derecho privado, los cuales, generalmente, se perfeccionan con el acuerdo de voluntades, salvo que la ley exija alguna solemnidad adicional</w:t>
      </w:r>
      <w:bookmarkStart w:id="13" w:name="_Hlk113023433"/>
      <w:bookmarkEnd w:id="12"/>
      <w:r>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 xml:space="preserve">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3"/>
    </w:p>
    <w:p w14:paraId="01B661BF" w14:textId="440FA796" w:rsidR="001F57E2" w:rsidRPr="00E31EA8" w:rsidRDefault="001F57E2" w:rsidP="001F57E2">
      <w:pPr>
        <w:tabs>
          <w:tab w:val="left" w:pos="0"/>
        </w:tabs>
        <w:spacing w:after="0" w:line="276" w:lineRule="auto"/>
        <w:jc w:val="both"/>
        <w:rPr>
          <w:rFonts w:ascii="Arial" w:eastAsia="Calibri" w:hAnsi="Arial" w:cs="Arial"/>
          <w:lang w:val="es-ES_tradnl" w:eastAsia="es-ES_tradnl"/>
        </w:rPr>
      </w:pPr>
      <w:r>
        <w:rPr>
          <w:rFonts w:ascii="Arial" w:eastAsia="Calibri" w:hAnsi="Arial" w:cs="Arial"/>
          <w:bCs/>
          <w:lang w:val="es-ES_tradnl" w:eastAsia="es-ES_tradnl"/>
        </w:rPr>
        <w:tab/>
      </w:r>
      <w:r w:rsidRPr="00C046D8">
        <w:rPr>
          <w:rFonts w:ascii="Arial" w:eastAsia="Calibri" w:hAnsi="Arial" w:cs="Arial"/>
          <w:bCs/>
          <w:lang w:val="es-ES_tradnl" w:eastAsia="es-ES_tradnl"/>
        </w:rPr>
        <w:t>Por tanto, el hecho de que la norma est</w:t>
      </w:r>
      <w:r>
        <w:rPr>
          <w:rFonts w:ascii="Arial" w:eastAsia="Calibri" w:hAnsi="Arial" w:cs="Arial"/>
          <w:bCs/>
          <w:lang w:val="es-ES_tradnl" w:eastAsia="es-ES_tradnl"/>
        </w:rPr>
        <w:t>é</w:t>
      </w:r>
      <w:r w:rsidRPr="00C046D8">
        <w:rPr>
          <w:rFonts w:ascii="Arial" w:eastAsia="Calibri" w:hAnsi="Arial" w:cs="Arial"/>
          <w:bCs/>
          <w:lang w:val="es-ES_tradnl" w:eastAsia="es-ES_tradnl"/>
        </w:rPr>
        <w:t xml:space="preserve"> dirigida a las entidades sometidas al EGCAP, </w:t>
      </w:r>
      <w:r>
        <w:rPr>
          <w:rFonts w:ascii="Arial" w:eastAsia="Calibri" w:hAnsi="Arial" w:cs="Arial"/>
          <w:bCs/>
          <w:lang w:val="es-ES_tradnl" w:eastAsia="es-ES_tradnl"/>
        </w:rPr>
        <w:t xml:space="preserve">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w:t>
      </w:r>
      <w:r w:rsidRPr="00C046D8">
        <w:rPr>
          <w:rFonts w:ascii="Arial" w:eastAsia="Calibri" w:hAnsi="Arial" w:cs="Arial"/>
          <w:bCs/>
          <w:lang w:val="es-ES_tradnl" w:eastAsia="es-ES_tradnl"/>
        </w:rPr>
        <w:t>al parágrafo 7 del artículo 2 de la Ley 1150 de 2007, modificado por la Ley 2022 de 2020</w:t>
      </w:r>
      <w:r>
        <w:rPr>
          <w:rFonts w:ascii="Arial" w:eastAsia="Calibri" w:hAnsi="Arial" w:cs="Arial"/>
          <w:bCs/>
          <w:lang w:val="es-ES_tradnl" w:eastAsia="es-ES_tradnl"/>
        </w:rPr>
        <w:t xml:space="preserve">. </w:t>
      </w:r>
    </w:p>
    <w:p w14:paraId="4CD08539" w14:textId="77777777" w:rsidR="001F57E2" w:rsidRPr="00C046D8" w:rsidRDefault="001F57E2" w:rsidP="001F57E2">
      <w:pPr>
        <w:tabs>
          <w:tab w:val="left" w:pos="0"/>
        </w:tabs>
        <w:spacing w:after="0" w:line="276" w:lineRule="auto"/>
        <w:jc w:val="both"/>
        <w:rPr>
          <w:rFonts w:ascii="Arial" w:eastAsia="Calibri" w:hAnsi="Arial" w:cs="Arial"/>
          <w:bCs/>
          <w:lang w:val="es-ES_tradnl" w:eastAsia="es-ES_tradnl"/>
        </w:rPr>
      </w:pPr>
    </w:p>
    <w:p w14:paraId="7693B552" w14:textId="77777777" w:rsidR="001F57E2" w:rsidRPr="00C046D8" w:rsidRDefault="001F57E2" w:rsidP="001F57E2">
      <w:pPr>
        <w:spacing w:after="0" w:line="276" w:lineRule="auto"/>
        <w:jc w:val="both"/>
        <w:rPr>
          <w:rFonts w:ascii="Arial" w:eastAsia="Calibri" w:hAnsi="Arial" w:cs="Arial"/>
          <w:lang w:val="es-ES" w:eastAsia="es-ES"/>
        </w:rPr>
      </w:pPr>
      <w:bookmarkStart w:id="14" w:name="_Hlk109963871"/>
      <w:r w:rsidRPr="293D6149">
        <w:rPr>
          <w:rFonts w:ascii="Arial" w:eastAsia="Calibri" w:hAnsi="Arial" w:cs="Arial"/>
          <w:b/>
          <w:lang w:val="es-ES" w:eastAsia="es-ES"/>
        </w:rPr>
        <w:t>2.</w:t>
      </w:r>
      <w:r>
        <w:rPr>
          <w:rFonts w:ascii="Arial" w:eastAsia="Calibri" w:hAnsi="Arial" w:cs="Arial"/>
          <w:b/>
          <w:lang w:val="es-ES" w:eastAsia="es-ES"/>
        </w:rPr>
        <w:t>3</w:t>
      </w:r>
      <w:r w:rsidRPr="293D6149">
        <w:rPr>
          <w:rFonts w:ascii="Arial" w:eastAsia="Calibri" w:hAnsi="Arial" w:cs="Arial"/>
          <w:b/>
          <w:lang w:val="es-ES" w:eastAsia="es-ES"/>
        </w:rPr>
        <w:t>.</w:t>
      </w:r>
      <w:r w:rsidRPr="293D6149">
        <w:rPr>
          <w:rFonts w:ascii="Arial" w:eastAsia="Calibri" w:hAnsi="Arial" w:cs="Arial"/>
          <w:b/>
          <w:i/>
          <w:lang w:val="es-ES" w:eastAsia="es-ES"/>
        </w:rPr>
        <w:t xml:space="preserve"> </w:t>
      </w:r>
      <w:r w:rsidRPr="293D6149">
        <w:rPr>
          <w:rFonts w:ascii="Arial" w:eastAsia="Calibri" w:hAnsi="Arial" w:cs="Arial"/>
          <w:b/>
          <w:lang w:val="es-ES" w:eastAsia="es-ES"/>
        </w:rPr>
        <w:t xml:space="preserve">Aplicación prevalente del Estatuto General de Contratación de la Administración Pública en los contratos celebrados con entidades exceptuadas. Aparente tensión con el literal c) del artículo 2, numeral 4, de la Ley 1150 de 2007 </w:t>
      </w:r>
    </w:p>
    <w:p w14:paraId="1BA004ED" w14:textId="77777777" w:rsidR="001F57E2" w:rsidRPr="00C046D8" w:rsidRDefault="001F57E2" w:rsidP="001F57E2">
      <w:pPr>
        <w:tabs>
          <w:tab w:val="left" w:pos="0"/>
        </w:tabs>
        <w:spacing w:after="0" w:line="276" w:lineRule="auto"/>
        <w:contextualSpacing/>
        <w:jc w:val="both"/>
        <w:rPr>
          <w:rFonts w:ascii="Arial" w:eastAsia="Calibri" w:hAnsi="Arial" w:cs="Arial"/>
          <w:bCs/>
          <w:szCs w:val="24"/>
          <w:lang w:val="es-ES_tradnl" w:eastAsia="es-ES_tradnl"/>
        </w:rPr>
      </w:pPr>
    </w:p>
    <w:p w14:paraId="64E9AE92" w14:textId="77777777" w:rsidR="001F57E2" w:rsidRPr="00C046D8"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w:t>
      </w:r>
      <w:r w:rsidRPr="00C046D8">
        <w:rPr>
          <w:rFonts w:ascii="Arial" w:eastAsia="Calibri" w:hAnsi="Arial" w:cs="Arial"/>
          <w:bCs/>
          <w:lang w:val="es-ES_tradnl" w:eastAsia="es-ES_tradnl"/>
        </w:rPr>
        <w:lastRenderedPageBreak/>
        <w:t xml:space="preserve">los que se imponía el derecho privado. En ese sentido, en este último evento el tercer inciso del literal c) del artículo 2, numeral 4 de la Ley 1150 de 2007 daba pie a la aplicación de normas de derecho privado, lo que evidencia una </w:t>
      </w:r>
      <w:r>
        <w:rPr>
          <w:rFonts w:ascii="Arial" w:eastAsia="Calibri" w:hAnsi="Arial" w:cs="Arial"/>
          <w:bCs/>
          <w:lang w:val="es-ES_tradnl" w:eastAsia="es-ES_tradnl"/>
        </w:rPr>
        <w:t xml:space="preserve">supuesta o </w:t>
      </w:r>
      <w:r w:rsidRPr="00C046D8">
        <w:rPr>
          <w:rFonts w:ascii="Arial" w:eastAsia="Calibri" w:hAnsi="Arial" w:cs="Arial"/>
          <w:bCs/>
          <w:lang w:val="es-ES_tradnl" w:eastAsia="es-ES_tradnl"/>
        </w:rPr>
        <w:t xml:space="preserve">aparente tensión entre este y el artículo 56 de la Ley 2195 de 2022, en lo que se refiere al régimen aplicable en estas situaciones, comoquiera que, en estos eventos, al tenor de </w:t>
      </w:r>
      <w:r>
        <w:rPr>
          <w:rFonts w:ascii="Arial" w:eastAsia="Calibri" w:hAnsi="Arial" w:cs="Arial"/>
          <w:bCs/>
          <w:lang w:val="es-ES_tradnl" w:eastAsia="es-ES_tradnl"/>
        </w:rPr>
        <w:t xml:space="preserve">criterios interpretativos aplicadas a </w:t>
      </w:r>
      <w:r w:rsidRPr="00C046D8">
        <w:rPr>
          <w:rFonts w:ascii="Arial" w:eastAsia="Calibri" w:hAnsi="Arial" w:cs="Arial"/>
          <w:bCs/>
          <w:lang w:val="es-ES_tradnl" w:eastAsia="es-ES_tradnl"/>
        </w:rPr>
        <w:t xml:space="preserve">lo dispuesto en esta última norma, </w:t>
      </w:r>
      <w:r>
        <w:rPr>
          <w:rFonts w:ascii="Arial" w:eastAsia="Calibri" w:hAnsi="Arial" w:cs="Arial"/>
          <w:bCs/>
          <w:lang w:val="es-ES_tradnl" w:eastAsia="es-ES_tradnl"/>
        </w:rPr>
        <w:t xml:space="preserve">se entendía que </w:t>
      </w:r>
      <w:r w:rsidRPr="00C046D8">
        <w:rPr>
          <w:rFonts w:ascii="Arial" w:eastAsia="Calibri" w:hAnsi="Arial" w:cs="Arial"/>
          <w:bCs/>
          <w:lang w:val="es-ES_tradnl" w:eastAsia="es-ES_tradnl"/>
        </w:rPr>
        <w:t>deb</w:t>
      </w:r>
      <w:r>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 aplicarse el EGCAP y los documentos tipo. </w:t>
      </w:r>
    </w:p>
    <w:p w14:paraId="73DAF2E6" w14:textId="77777777" w:rsidR="001F57E2" w:rsidRPr="00C046D8"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Lo anterior supon</w:t>
      </w:r>
      <w:r>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w:t>
      </w:r>
      <w:r>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n diferentes consecuencias jurídicas, ya que mientras que la primera norma dispone la aplicación del derecho privado, la última impone la aplicación de documentos tipo y del EGCAP. Esta aparente contradicción, </w:t>
      </w:r>
      <w:r>
        <w:rPr>
          <w:rFonts w:ascii="Arial" w:eastAsia="Calibri" w:hAnsi="Arial" w:cs="Arial"/>
          <w:bCs/>
          <w:lang w:val="es-ES_tradnl" w:eastAsia="es-ES_tradnl"/>
        </w:rPr>
        <w:t>como se expuso en el numeral anterior,</w:t>
      </w:r>
      <w:r w:rsidRPr="00C046D8">
        <w:rPr>
          <w:rFonts w:ascii="Arial" w:eastAsia="Calibri" w:hAnsi="Arial" w:cs="Arial"/>
          <w:bCs/>
          <w:lang w:val="es-ES_tradnl" w:eastAsia="es-ES_tradnl"/>
        </w:rPr>
        <w:t xml:space="preserve"> debe ser resuelta en favor del artículo 56 de la Ley 2195 de 2022</w:t>
      </w:r>
      <w:r>
        <w:rPr>
          <w:rFonts w:ascii="Arial" w:eastAsia="Calibri" w:hAnsi="Arial" w:cs="Arial"/>
          <w:bCs/>
          <w:lang w:val="es-ES_tradnl" w:eastAsia="es-ES_tradnl"/>
        </w:rPr>
        <w:t>.</w:t>
      </w:r>
    </w:p>
    <w:p w14:paraId="31A555EB" w14:textId="77777777" w:rsidR="001F57E2" w:rsidRPr="00C046D8"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En efecto, tratándose de disposiciones de igual jerarquía normativa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2EDDF5A8" w14:textId="77777777" w:rsidR="001F57E2" w:rsidRPr="00C046D8"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14260D58" w14:textId="77777777" w:rsidR="001F57E2" w:rsidRPr="00C046D8" w:rsidRDefault="001F57E2" w:rsidP="001F57E2">
      <w:pPr>
        <w:tabs>
          <w:tab w:val="left" w:pos="0"/>
        </w:tabs>
        <w:spacing w:after="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Conforme a lo explicado en el acápite anterior, </w:t>
      </w:r>
      <w:bookmarkStart w:id="15" w:name="_Hlk113023497"/>
      <w:r w:rsidRPr="00C046D8">
        <w:rPr>
          <w:rFonts w:ascii="Arial" w:eastAsia="Calibri" w:hAnsi="Arial" w:cs="Arial"/>
          <w:bCs/>
          <w:lang w:val="es-ES_tradnl" w:eastAsia="es-ES_tradnl"/>
        </w:rPr>
        <w:t xml:space="preserve">de la lectura conjunta de los incisos primero y segundo se desprende que estos introducen un mandato dirigido a que las </w:t>
      </w:r>
      <w:r w:rsidRPr="00C046D8">
        <w:rPr>
          <w:rFonts w:ascii="Arial" w:eastAsia="Calibri" w:hAnsi="Arial" w:cs="Arial"/>
          <w:bCs/>
          <w:lang w:val="es-ES_tradnl" w:eastAsia="es-ES_tradnl"/>
        </w:rPr>
        <w:lastRenderedPageBreak/>
        <w:t>entidades sometidas al EGCAP apliquen los documentos tipo en los contratos o convenios que suscriban con los mencionados sujetos de régimen de derecho privado para la adquisición de bienes, obras y servicios</w:t>
      </w:r>
      <w:r>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en los casos en los que el objeto contractual que se pretende contratar esté sometido a algún documento tipo</w:t>
      </w:r>
      <w:r>
        <w:rPr>
          <w:rFonts w:ascii="Arial" w:eastAsia="Calibri" w:hAnsi="Arial" w:cs="Arial"/>
          <w:bCs/>
          <w:lang w:val="es-ES_tradnl" w:eastAsia="es-ES_tradnl"/>
        </w:rPr>
        <w:t xml:space="preserve">, esto </w:t>
      </w:r>
      <w:r w:rsidRPr="00C046D8">
        <w:rPr>
          <w:rFonts w:ascii="Arial" w:eastAsia="Times New Roman" w:hAnsi="Arial" w:cs="Arial"/>
          <w:lang w:eastAsia="es-ES_tradnl"/>
        </w:rPr>
        <w:t>implica que si las entidades estatales exceptuadas</w:t>
      </w:r>
      <w:r>
        <w:rPr>
          <w:rFonts w:ascii="Arial" w:eastAsia="Times New Roman" w:hAnsi="Arial" w:cs="Arial"/>
          <w:lang w:eastAsia="es-ES_tradnl"/>
        </w:rPr>
        <w:t xml:space="preserve"> </w:t>
      </w:r>
      <w:r w:rsidRPr="00C046D8">
        <w:rPr>
          <w:rFonts w:ascii="Arial" w:eastAsia="Times New Roman" w:hAnsi="Arial" w:cs="Arial"/>
          <w:lang w:eastAsia="es-ES_tradnl"/>
        </w:rPr>
        <w:t>pretenden ser adjudicatarias de estos contratos, deben someterse a un proceso de selección en el que se apliquen documentos tipo expedidos por esta Agencia</w:t>
      </w:r>
      <w:r>
        <w:rPr>
          <w:rFonts w:ascii="Arial" w:eastAsia="Times New Roman" w:hAnsi="Arial" w:cs="Arial"/>
          <w:lang w:eastAsia="es-ES_tradnl"/>
        </w:rPr>
        <w:t xml:space="preserve"> a cargo de la </w:t>
      </w:r>
      <w:r>
        <w:rPr>
          <w:rFonts w:ascii="Arial" w:eastAsia="Calibri" w:hAnsi="Arial" w:cs="Arial"/>
          <w:bCs/>
          <w:lang w:val="es-ES_tradnl" w:eastAsia="es-ES_tradnl"/>
        </w:rPr>
        <w:t>entidad sometida al EGCAP</w:t>
      </w:r>
    </w:p>
    <w:bookmarkEnd w:id="15"/>
    <w:p w14:paraId="12DA9E3F" w14:textId="77777777" w:rsidR="001F57E2" w:rsidRDefault="001F57E2" w:rsidP="001F57E2">
      <w:pPr>
        <w:tabs>
          <w:tab w:val="left" w:pos="0"/>
        </w:tabs>
        <w:spacing w:after="0" w:line="276" w:lineRule="auto"/>
        <w:jc w:val="both"/>
        <w:rPr>
          <w:rFonts w:ascii="Arial" w:eastAsia="Times New Roman" w:hAnsi="Arial" w:cs="Arial"/>
          <w:lang w:eastAsia="es-ES_tradnl"/>
        </w:rPr>
      </w:pPr>
      <w:r w:rsidRPr="00C046D8">
        <w:rPr>
          <w:rFonts w:ascii="Arial" w:eastAsia="Times New Roman" w:hAnsi="Arial" w:cs="Arial"/>
          <w:lang w:eastAsia="es-ES_tradnl"/>
        </w:rPr>
        <w:tab/>
      </w:r>
      <w:bookmarkEnd w:id="14"/>
    </w:p>
    <w:p w14:paraId="67F58FFB" w14:textId="77777777" w:rsidR="001F57E2" w:rsidRPr="00E31EA8" w:rsidRDefault="001F57E2" w:rsidP="001F57E2">
      <w:pPr>
        <w:tabs>
          <w:tab w:val="left" w:pos="0"/>
        </w:tabs>
        <w:spacing w:after="0" w:line="276" w:lineRule="auto"/>
        <w:jc w:val="both"/>
        <w:rPr>
          <w:rFonts w:ascii="Arial" w:eastAsia="Times New Roman" w:hAnsi="Arial" w:cs="Arial"/>
          <w:b/>
          <w:bCs/>
          <w:lang w:eastAsia="es-ES_tradnl"/>
        </w:rPr>
      </w:pPr>
      <w:r w:rsidRPr="00E31EA8">
        <w:rPr>
          <w:rFonts w:ascii="Arial" w:eastAsia="Times New Roman" w:hAnsi="Arial" w:cs="Arial"/>
          <w:b/>
          <w:bCs/>
          <w:lang w:eastAsia="es-ES_tradnl"/>
        </w:rPr>
        <w:t>2.</w:t>
      </w:r>
      <w:r>
        <w:rPr>
          <w:rFonts w:ascii="Arial" w:eastAsia="Times New Roman" w:hAnsi="Arial" w:cs="Arial"/>
          <w:b/>
          <w:bCs/>
          <w:lang w:eastAsia="es-ES_tradnl"/>
        </w:rPr>
        <w:t>4</w:t>
      </w:r>
      <w:r w:rsidRPr="00E31EA8">
        <w:rPr>
          <w:rFonts w:ascii="Arial" w:eastAsia="Times New Roman" w:hAnsi="Arial" w:cs="Arial"/>
          <w:b/>
          <w:bCs/>
          <w:lang w:eastAsia="es-ES_tradnl"/>
        </w:rPr>
        <w:t xml:space="preserve">. Excepciones a la aplicación del artículo 56 de la Ley 2195 de 2022. Alcance de la expresión </w:t>
      </w:r>
      <w:r w:rsidRPr="00E31EA8">
        <w:rPr>
          <w:rFonts w:ascii="Arial" w:eastAsia="Times New Roman" w:hAnsi="Arial" w:cs="Arial"/>
          <w:b/>
          <w:bCs/>
          <w:i/>
          <w:iCs/>
          <w:lang w:eastAsia="es-ES_tradnl"/>
        </w:rPr>
        <w:t>“giro ordinario”</w:t>
      </w:r>
      <w:r w:rsidRPr="00E31EA8">
        <w:rPr>
          <w:rFonts w:ascii="Arial" w:eastAsia="Times New Roman" w:hAnsi="Arial" w:cs="Arial"/>
          <w:b/>
          <w:bCs/>
          <w:lang w:eastAsia="es-ES_tradnl"/>
        </w:rPr>
        <w:t xml:space="preserve"> </w:t>
      </w:r>
      <w:r>
        <w:rPr>
          <w:rFonts w:ascii="Arial" w:eastAsia="Times New Roman" w:hAnsi="Arial" w:cs="Arial"/>
          <w:b/>
          <w:bCs/>
          <w:lang w:eastAsia="es-ES_tradnl"/>
        </w:rPr>
        <w:t xml:space="preserve">contenida </w:t>
      </w:r>
      <w:r w:rsidRPr="00E31EA8">
        <w:rPr>
          <w:rFonts w:ascii="Arial" w:eastAsia="Times New Roman" w:hAnsi="Arial" w:cs="Arial"/>
          <w:b/>
          <w:bCs/>
          <w:lang w:eastAsia="es-ES_tradnl"/>
        </w:rPr>
        <w:t xml:space="preserve">en el </w:t>
      </w:r>
      <w:r>
        <w:rPr>
          <w:rFonts w:ascii="Arial" w:eastAsia="Times New Roman" w:hAnsi="Arial" w:cs="Arial"/>
          <w:b/>
          <w:bCs/>
          <w:lang w:eastAsia="es-ES_tradnl"/>
        </w:rPr>
        <w:t>parágrafo</w:t>
      </w:r>
      <w:r w:rsidRPr="00E31EA8">
        <w:rPr>
          <w:rFonts w:ascii="Arial" w:eastAsia="Times New Roman" w:hAnsi="Arial" w:cs="Arial"/>
          <w:b/>
          <w:bCs/>
          <w:lang w:eastAsia="es-ES_tradnl"/>
        </w:rPr>
        <w:t xml:space="preserve"> de la norma</w:t>
      </w:r>
      <w:r>
        <w:rPr>
          <w:rFonts w:ascii="Arial" w:eastAsia="Times New Roman" w:hAnsi="Arial" w:cs="Arial"/>
          <w:b/>
          <w:bCs/>
          <w:lang w:eastAsia="es-ES_tradnl"/>
        </w:rPr>
        <w:t>. Especial referencia a las empresas de servicios públicos</w:t>
      </w:r>
    </w:p>
    <w:p w14:paraId="52A179C2" w14:textId="77777777" w:rsidR="001F57E2" w:rsidRDefault="001F57E2" w:rsidP="001F57E2">
      <w:pPr>
        <w:tabs>
          <w:tab w:val="left" w:pos="0"/>
        </w:tabs>
        <w:spacing w:after="0" w:line="276" w:lineRule="auto"/>
        <w:jc w:val="both"/>
        <w:rPr>
          <w:rFonts w:ascii="Arial" w:eastAsia="Times New Roman" w:hAnsi="Arial" w:cs="Arial"/>
          <w:lang w:eastAsia="es-ES_tradnl"/>
        </w:rPr>
      </w:pPr>
    </w:p>
    <w:p w14:paraId="17C8DEB2" w14:textId="279D046E" w:rsidR="001F57E2" w:rsidRDefault="001F57E2" w:rsidP="001F57E2">
      <w:pPr>
        <w:tabs>
          <w:tab w:val="left" w:pos="0"/>
        </w:tabs>
        <w:spacing w:after="120" w:line="276" w:lineRule="auto"/>
        <w:jc w:val="both"/>
        <w:rPr>
          <w:rFonts w:ascii="Arial" w:eastAsia="Calibri" w:hAnsi="Arial" w:cs="Arial"/>
          <w:bCs/>
          <w:lang w:val="es-ES_tradnl" w:eastAsia="es-ES_tradnl"/>
        </w:rPr>
      </w:pPr>
      <w:r>
        <w:rPr>
          <w:rFonts w:ascii="Arial" w:eastAsia="Times New Roman" w:hAnsi="Arial" w:cs="Arial"/>
          <w:lang w:eastAsia="es-ES_tradnl"/>
        </w:rPr>
        <w:t>De otra parte,</w:t>
      </w:r>
      <w:bookmarkStart w:id="16" w:name="_Hlk113023556"/>
      <w:r>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es necesario precisar el alcance de</w:t>
      </w:r>
      <w:r>
        <w:rPr>
          <w:rFonts w:ascii="Arial" w:eastAsia="Calibri" w:hAnsi="Arial" w:cs="Arial"/>
          <w:bCs/>
          <w:lang w:val="es-ES_tradnl" w:eastAsia="es-ES_tradnl"/>
        </w:rPr>
        <w:t>l parágrafo del artículo 56 de la Ley 2195 de 2022 y lo d</w:t>
      </w:r>
      <w:r w:rsidRPr="00C046D8">
        <w:rPr>
          <w:rFonts w:ascii="Arial" w:eastAsia="Calibri" w:hAnsi="Arial" w:cs="Arial"/>
          <w:bCs/>
          <w:lang w:val="es-ES_tradnl" w:eastAsia="es-ES_tradnl"/>
        </w:rPr>
        <w:t>ispuesto en los dos primeros incisos del mencionado artículo</w:t>
      </w:r>
      <w:r>
        <w:rPr>
          <w:rFonts w:ascii="Arial" w:eastAsia="Calibri" w:hAnsi="Arial" w:cs="Arial"/>
          <w:bCs/>
          <w:lang w:val="es-ES_tradnl" w:eastAsia="es-ES_tradnl"/>
        </w:rPr>
        <w:t xml:space="preserve">, del </w:t>
      </w:r>
      <w:r w:rsidRPr="00C046D8">
        <w:rPr>
          <w:rFonts w:ascii="Arial" w:eastAsia="Calibri" w:hAnsi="Arial" w:cs="Arial"/>
          <w:bCs/>
          <w:lang w:val="es-ES_tradnl" w:eastAsia="es-ES_tradnl"/>
        </w:rPr>
        <w:t xml:space="preserve">cual </w:t>
      </w:r>
      <w:r>
        <w:rPr>
          <w:rFonts w:ascii="Arial" w:eastAsia="Calibri" w:hAnsi="Arial" w:cs="Arial"/>
          <w:bCs/>
          <w:lang w:val="es-ES_tradnl" w:eastAsia="es-ES_tradnl"/>
        </w:rPr>
        <w:t xml:space="preserve">se </w:t>
      </w:r>
      <w:r w:rsidRPr="00C046D8">
        <w:rPr>
          <w:rFonts w:ascii="Arial" w:eastAsia="Calibri" w:hAnsi="Arial" w:cs="Arial"/>
          <w:bCs/>
          <w:lang w:val="es-ES_tradnl" w:eastAsia="es-ES_tradnl"/>
        </w:rPr>
        <w:t xml:space="preserve">excluye, a cierto tipo de entidades, en lo relacionado con la contratación de su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w:t>
      </w:r>
      <w:proofErr w:type="spellStart"/>
      <w:r w:rsidRPr="00C046D8">
        <w:rPr>
          <w:rFonts w:ascii="Arial" w:eastAsia="Calibri" w:hAnsi="Arial" w:cs="Arial"/>
          <w:bCs/>
          <w:lang w:val="es-ES_tradnl" w:eastAsia="es-ES_tradnl"/>
        </w:rPr>
        <w:t>iv</w:t>
      </w:r>
      <w:proofErr w:type="spellEnd"/>
      <w:r w:rsidRPr="00C046D8">
        <w:rPr>
          <w:rFonts w:ascii="Arial" w:eastAsia="Calibri" w:hAnsi="Arial" w:cs="Arial"/>
          <w:bCs/>
          <w:lang w:val="es-ES_tradnl" w:eastAsia="es-ES_tradnl"/>
        </w:rPr>
        <w:t xml:space="preserve">) las empresas industriales y comerciales del Estado, únicamente, en la contratación relacionada con el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Esto significa que, en la contratación asociada a su </w:t>
      </w:r>
      <w:r w:rsidRPr="00C046D8">
        <w:rPr>
          <w:rFonts w:ascii="Arial" w:eastAsia="Calibri" w:hAnsi="Arial" w:cs="Arial"/>
          <w:bCs/>
          <w:i/>
          <w:iCs/>
          <w:lang w:val="es-ES_tradnl" w:eastAsia="es-ES_tradnl"/>
        </w:rPr>
        <w:t xml:space="preserve">giro ordinario, </w:t>
      </w:r>
      <w:r w:rsidRPr="00C046D8">
        <w:rPr>
          <w:rFonts w:ascii="Arial" w:eastAsia="Calibri" w:hAnsi="Arial" w:cs="Arial"/>
          <w:bCs/>
          <w:lang w:val="es-ES_tradnl" w:eastAsia="es-ES_tradnl"/>
        </w:rPr>
        <w:t>estos tipos de entidades no tendrían que aplicar, de manera obligatoria, los documentos tipo, ni tampoco el EGCAP</w:t>
      </w:r>
      <w:r w:rsidR="00664480">
        <w:rPr>
          <w:rFonts w:ascii="Arial" w:eastAsia="Calibri" w:hAnsi="Arial" w:cs="Arial"/>
          <w:bCs/>
          <w:lang w:val="es-ES_tradnl" w:eastAsia="es-ES_tradnl"/>
        </w:rPr>
        <w:t>,</w:t>
      </w:r>
      <w:r w:rsidRPr="007C166F">
        <w:rPr>
          <w:rFonts w:ascii="Arial" w:eastAsia="Times New Roman" w:hAnsi="Arial" w:cs="Arial"/>
          <w:lang w:eastAsia="es-ES_tradnl"/>
        </w:rPr>
        <w:t xml:space="preserve"> </w:t>
      </w:r>
      <w:r>
        <w:rPr>
          <w:rFonts w:ascii="Arial" w:eastAsia="Times New Roman" w:hAnsi="Arial" w:cs="Arial"/>
          <w:lang w:eastAsia="es-ES_tradnl"/>
        </w:rPr>
        <w:t xml:space="preserve">es decir, si entidades </w:t>
      </w:r>
      <w:r w:rsidRPr="00C046D8">
        <w:rPr>
          <w:rFonts w:ascii="Arial" w:eastAsia="Times New Roman" w:hAnsi="Arial" w:cs="Arial"/>
          <w:lang w:eastAsia="es-ES_tradnl"/>
        </w:rPr>
        <w:t>estatales exceptuadas</w:t>
      </w:r>
      <w:r>
        <w:rPr>
          <w:rFonts w:ascii="Arial" w:eastAsia="Times New Roman" w:hAnsi="Arial" w:cs="Arial"/>
          <w:lang w:eastAsia="es-ES_tradnl"/>
        </w:rPr>
        <w:t xml:space="preserve"> </w:t>
      </w:r>
      <w:r w:rsidRPr="00C046D8">
        <w:rPr>
          <w:rFonts w:ascii="Arial" w:eastAsia="Times New Roman" w:hAnsi="Arial" w:cs="Arial"/>
          <w:lang w:eastAsia="es-ES_tradnl"/>
        </w:rPr>
        <w:t xml:space="preserve">pretenden ser adjudicatarias de estos contratos, </w:t>
      </w:r>
      <w:r>
        <w:rPr>
          <w:rFonts w:ascii="Arial" w:eastAsia="Times New Roman" w:hAnsi="Arial" w:cs="Arial"/>
          <w:lang w:eastAsia="es-ES_tradnl"/>
        </w:rPr>
        <w:t xml:space="preserve">no </w:t>
      </w:r>
      <w:r w:rsidRPr="00C046D8">
        <w:rPr>
          <w:rFonts w:ascii="Arial" w:eastAsia="Times New Roman" w:hAnsi="Arial" w:cs="Arial"/>
          <w:lang w:eastAsia="es-ES_tradnl"/>
        </w:rPr>
        <w:t>deben someterse a un proceso de selección en el que se apliquen documentos tipo expedidos por esta Agencia</w:t>
      </w:r>
      <w:r>
        <w:rPr>
          <w:rFonts w:ascii="Arial" w:eastAsia="Times New Roman" w:hAnsi="Arial" w:cs="Arial"/>
          <w:lang w:eastAsia="es-ES_tradnl"/>
        </w:rPr>
        <w:t xml:space="preserve">. </w:t>
      </w:r>
      <w:r w:rsidRPr="00C046D8">
        <w:rPr>
          <w:rFonts w:ascii="Arial" w:eastAsia="Calibri" w:hAnsi="Arial" w:cs="Arial"/>
          <w:bCs/>
          <w:lang w:val="es-ES_tradnl" w:eastAsia="es-ES_tradnl"/>
        </w:rPr>
        <w:t xml:space="preserve">En este caso la norma se limita a fomentar la implementación de documentos tipo a modo de buena práctica contractual, en los casos en los que se estime conveniente. </w:t>
      </w:r>
    </w:p>
    <w:bookmarkEnd w:id="16"/>
    <w:p w14:paraId="101416A1" w14:textId="77777777" w:rsidR="001F57E2" w:rsidRPr="00C046D8" w:rsidRDefault="001F57E2" w:rsidP="001F57E2">
      <w:pPr>
        <w:tabs>
          <w:tab w:val="left" w:pos="0"/>
        </w:tabs>
        <w:spacing w:after="120" w:line="276" w:lineRule="auto"/>
        <w:jc w:val="both"/>
        <w:rPr>
          <w:rFonts w:ascii="Arial" w:eastAsia="Arial" w:hAnsi="Arial" w:cs="Arial"/>
          <w:lang w:val="es-ES_tradnl" w:eastAsia="es-ES_tradnl"/>
        </w:rPr>
      </w:pPr>
      <w:r w:rsidRPr="00C046D8">
        <w:rPr>
          <w:rFonts w:ascii="Arial" w:eastAsia="Calibri" w:hAnsi="Arial" w:cs="Arial"/>
          <w:bCs/>
          <w:lang w:val="es-ES_tradnl" w:eastAsia="es-ES_tradnl"/>
        </w:rPr>
        <w:tab/>
        <w:t xml:space="preserve">Ahora, es importante tener en cuenta que cuando la norma se refiere a la contratación del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emplea un concepto jurídico indeterminado</w:t>
      </w:r>
      <w:r w:rsidRPr="00C046D8">
        <w:rPr>
          <w:rFonts w:ascii="Arial" w:eastAsia="Calibri" w:hAnsi="Arial" w:cs="Arial"/>
          <w:vertAlign w:val="superscript"/>
          <w:lang w:eastAsia="es-ES_tradnl"/>
        </w:rPr>
        <w:footnoteReference w:id="18"/>
      </w:r>
      <w:r w:rsidRPr="00C046D8">
        <w:rPr>
          <w:rFonts w:ascii="Arial" w:eastAsia="Calibri" w:hAnsi="Arial" w:cs="Arial"/>
          <w:bCs/>
          <w:lang w:val="es-ES_tradnl" w:eastAsia="es-ES_tradnl"/>
        </w:rPr>
        <w:t xml:space="preserve">. </w:t>
      </w:r>
      <w:r w:rsidRPr="00C046D8">
        <w:rPr>
          <w:rFonts w:ascii="Arial" w:eastAsia="Arial" w:hAnsi="Arial" w:cs="Arial"/>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w:t>
      </w:r>
      <w:r w:rsidRPr="00C046D8">
        <w:rPr>
          <w:rFonts w:ascii="Arial" w:eastAsia="Arial" w:hAnsi="Arial" w:cs="Arial"/>
          <w:lang w:val="es-ES_tradnl" w:eastAsia="es-ES_tradnl"/>
        </w:rPr>
        <w:lastRenderedPageBreak/>
        <w:t xml:space="preserve">considerar que cualquier contrato que celebren hace parte del giro ordinario de sus negocios. </w:t>
      </w:r>
    </w:p>
    <w:p w14:paraId="6DB4C84C" w14:textId="77777777" w:rsidR="001F57E2" w:rsidRPr="00C046D8" w:rsidRDefault="001F57E2" w:rsidP="001F57E2">
      <w:pPr>
        <w:tabs>
          <w:tab w:val="left" w:pos="0"/>
        </w:tabs>
        <w:spacing w:after="0" w:line="276" w:lineRule="auto"/>
        <w:ind w:firstLine="709"/>
        <w:jc w:val="both"/>
        <w:rPr>
          <w:rFonts w:ascii="Arial" w:eastAsia="Calibri" w:hAnsi="Arial" w:cs="Arial"/>
          <w:bCs/>
          <w:lang w:val="es-ES_tradnl" w:eastAsia="es-ES_tradnl"/>
        </w:rPr>
      </w:pPr>
      <w:r w:rsidRPr="00C046D8">
        <w:rPr>
          <w:rFonts w:ascii="Arial" w:eastAsia="Arial" w:hAnsi="Arial" w:cs="Arial"/>
          <w:lang w:val="es-ES_tradnl" w:eastAsia="es-ES_tradnl"/>
        </w:rPr>
        <w:t>La Corte Constitucional</w:t>
      </w:r>
      <w:r w:rsidRPr="00C046D8">
        <w:rPr>
          <w:rFonts w:ascii="Arial" w:eastAsia="Arial" w:hAnsi="Arial" w:cs="Arial"/>
          <w:vertAlign w:val="superscript"/>
          <w:lang w:eastAsia="es-ES_tradnl"/>
        </w:rPr>
        <w:footnoteReference w:id="19"/>
      </w:r>
      <w:r w:rsidRPr="00C046D8">
        <w:rPr>
          <w:rFonts w:ascii="Arial" w:eastAsia="Arial" w:hAnsi="Arial" w:cs="Arial"/>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C046D8">
        <w:rPr>
          <w:rFonts w:ascii="Arial" w:eastAsia="Calibri" w:hAnsi="Arial" w:cs="Arial"/>
          <w:bCs/>
          <w:i/>
          <w:iCs/>
          <w:lang w:val="es-ES_tradnl" w:eastAsia="es-ES_tradnl"/>
        </w:rPr>
        <w:t xml:space="preserve">giro ordinario </w:t>
      </w:r>
      <w:r w:rsidRPr="00C046D8">
        <w:rPr>
          <w:rFonts w:ascii="Arial" w:eastAsia="Calibri" w:hAnsi="Arial" w:cs="Arial"/>
          <w:bCs/>
          <w:lang w:val="es-ES_tradnl" w:eastAsia="es-ES_tradnl"/>
        </w:rPr>
        <w:t>incluida en la redacción original del parágrafo 1° del artículo 32 de la Ley 80 de 1993</w:t>
      </w:r>
      <w:r w:rsidRPr="00C046D8">
        <w:rPr>
          <w:rFonts w:ascii="Arial" w:eastAsia="Calibri" w:hAnsi="Arial" w:cs="Arial"/>
          <w:vertAlign w:val="superscript"/>
          <w:lang w:eastAsia="es-ES_tradnl"/>
        </w:rPr>
        <w:footnoteReference w:id="20"/>
      </w:r>
      <w:r w:rsidRPr="00C046D8">
        <w:rPr>
          <w:rFonts w:ascii="Arial" w:eastAsia="Calibri" w:hAnsi="Arial" w:cs="Arial"/>
          <w:bCs/>
          <w:lang w:val="es-ES_tradnl" w:eastAsia="es-ES_tradnl"/>
        </w:rPr>
        <w:t xml:space="preserve">, la Sección Tercera manifestó lo siguiente: </w:t>
      </w:r>
    </w:p>
    <w:p w14:paraId="4B74F316" w14:textId="77777777" w:rsidR="001F57E2" w:rsidRPr="00C046D8" w:rsidRDefault="001F57E2" w:rsidP="001F57E2">
      <w:pPr>
        <w:tabs>
          <w:tab w:val="left" w:pos="0"/>
        </w:tabs>
        <w:spacing w:after="0" w:line="276" w:lineRule="auto"/>
        <w:contextualSpacing/>
        <w:jc w:val="both"/>
        <w:rPr>
          <w:rFonts w:ascii="Arial" w:eastAsia="Calibri" w:hAnsi="Arial" w:cs="Arial"/>
          <w:bCs/>
          <w:lang w:val="es-ES_tradnl" w:eastAsia="es-ES_tradnl"/>
        </w:rPr>
      </w:pPr>
    </w:p>
    <w:p w14:paraId="609E66FC" w14:textId="77777777" w:rsidR="001F57E2" w:rsidRPr="00C046D8" w:rsidRDefault="001F57E2" w:rsidP="001F57E2">
      <w:pPr>
        <w:spacing w:after="0"/>
        <w:ind w:left="709" w:right="709"/>
        <w:contextualSpacing/>
        <w:jc w:val="both"/>
        <w:rPr>
          <w:rFonts w:ascii="Arial" w:eastAsia="Times New Roman" w:hAnsi="Arial" w:cs="Arial"/>
          <w:sz w:val="21"/>
          <w:szCs w:val="21"/>
          <w:lang w:val="es-ES_tradnl" w:eastAsia="es-CO"/>
        </w:rPr>
      </w:pPr>
      <w:r>
        <w:rPr>
          <w:rFonts w:ascii="Arial" w:eastAsia="Times New Roman" w:hAnsi="Arial" w:cs="Arial"/>
          <w:sz w:val="21"/>
          <w:szCs w:val="21"/>
          <w:lang w:val="es-ES_tradnl" w:eastAsia="es-ES_tradnl"/>
        </w:rPr>
        <w:t>“</w:t>
      </w:r>
      <w:r w:rsidRPr="00C046D8">
        <w:rPr>
          <w:rFonts w:ascii="Arial" w:eastAsia="Times New Roman" w:hAnsi="Arial" w:cs="Arial"/>
          <w:sz w:val="21"/>
          <w:szCs w:val="21"/>
          <w:lang w:val="es-ES_tradnl" w:eastAsia="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Fonts w:ascii="Arial" w:eastAsia="Times New Roman" w:hAnsi="Arial" w:cs="Arial"/>
          <w:sz w:val="21"/>
          <w:szCs w:val="21"/>
          <w:lang w:val="es-ES_tradnl" w:eastAsia="es-ES_tradnl"/>
        </w:rPr>
        <w:t>”</w:t>
      </w:r>
      <w:r w:rsidRPr="00C046D8">
        <w:rPr>
          <w:rFonts w:ascii="Arial" w:eastAsia="Times New Roman" w:hAnsi="Arial" w:cs="Arial"/>
          <w:sz w:val="21"/>
          <w:szCs w:val="21"/>
          <w:vertAlign w:val="superscript"/>
          <w:lang w:eastAsia="es-ES_tradnl"/>
        </w:rPr>
        <w:footnoteReference w:id="21"/>
      </w:r>
      <w:r w:rsidRPr="00C046D8">
        <w:rPr>
          <w:rFonts w:ascii="Arial" w:eastAsia="Times New Roman" w:hAnsi="Arial" w:cs="Arial"/>
          <w:sz w:val="21"/>
          <w:szCs w:val="21"/>
          <w:lang w:val="es-ES_tradnl" w:eastAsia="es-ES_tradnl"/>
        </w:rPr>
        <w:t>.</w:t>
      </w:r>
    </w:p>
    <w:p w14:paraId="37E1C324" w14:textId="77777777" w:rsidR="001F57E2" w:rsidRPr="00C046D8" w:rsidRDefault="001F57E2" w:rsidP="001F57E2">
      <w:pPr>
        <w:tabs>
          <w:tab w:val="left" w:pos="0"/>
        </w:tabs>
        <w:spacing w:after="0" w:line="276" w:lineRule="auto"/>
        <w:contextualSpacing/>
        <w:jc w:val="both"/>
        <w:rPr>
          <w:rFonts w:ascii="Arial" w:eastAsia="Calibri" w:hAnsi="Arial" w:cs="Arial"/>
          <w:bCs/>
          <w:i/>
          <w:iCs/>
          <w:szCs w:val="24"/>
          <w:lang w:val="es-ES_tradnl" w:eastAsia="es-ES_tradnl"/>
        </w:rPr>
      </w:pPr>
    </w:p>
    <w:p w14:paraId="6B07FDA3" w14:textId="77777777" w:rsidR="001F57E2" w:rsidRDefault="001F57E2" w:rsidP="001F57E2">
      <w:pPr>
        <w:tabs>
          <w:tab w:val="left" w:pos="0"/>
        </w:tabs>
        <w:spacing w:after="0" w:line="276" w:lineRule="auto"/>
        <w:contextualSpacing/>
        <w:jc w:val="both"/>
        <w:rPr>
          <w:rFonts w:ascii="Arial" w:eastAsia="Calibri" w:hAnsi="Arial" w:cs="Arial"/>
          <w:bCs/>
          <w:sz w:val="21"/>
          <w:szCs w:val="21"/>
          <w:lang w:val="es-ES_tradnl" w:eastAsia="es-ES_tradnl"/>
        </w:rPr>
      </w:pPr>
      <w:r w:rsidRPr="00C046D8">
        <w:rPr>
          <w:rFonts w:ascii="Arial" w:eastAsia="Calibri" w:hAnsi="Arial" w:cs="Arial"/>
          <w:bCs/>
          <w:lang w:val="es-ES_tradnl" w:eastAsia="es-ES_tradnl"/>
        </w:rPr>
        <w:tab/>
      </w:r>
      <w:r w:rsidRPr="00165C4E">
        <w:rPr>
          <w:rFonts w:ascii="Arial" w:eastAsia="Calibri" w:hAnsi="Arial" w:cs="Arial"/>
          <w:bCs/>
          <w:lang w:val="es-ES_tradnl" w:eastAsia="es-ES_tradnl"/>
        </w:rPr>
        <w:t xml:space="preserve">En el mismo sentido se pronunció recientemente el Alto Tribunal de lo Contencioso Administrativo, reiterando las anteriores consideraciones, al expresar que el concepto de </w:t>
      </w:r>
      <w:r w:rsidRPr="00165C4E">
        <w:rPr>
          <w:rFonts w:ascii="Arial" w:eastAsia="Calibri" w:hAnsi="Arial" w:cs="Arial"/>
          <w:i/>
          <w:lang w:val="es-ES_tradnl" w:eastAsia="es-ES_tradnl"/>
        </w:rPr>
        <w:t xml:space="preserve">“giro ordinario de los negocios” </w:t>
      </w:r>
      <w:r w:rsidRPr="00165C4E">
        <w:rPr>
          <w:rFonts w:ascii="Arial" w:eastAsia="Calibri" w:hAnsi="Arial" w:cs="Arial"/>
          <w:bCs/>
          <w:lang w:val="es-ES_tradnl" w:eastAsia="es-ES_tradnl"/>
        </w:rPr>
        <w:t xml:space="preserve">se refiere a aquellas actividades compatibles con el objeto </w:t>
      </w:r>
      <w:r w:rsidRPr="00165C4E">
        <w:rPr>
          <w:rFonts w:ascii="Arial" w:eastAsia="Calibri" w:hAnsi="Arial" w:cs="Arial"/>
          <w:bCs/>
          <w:lang w:val="es-ES_tradnl" w:eastAsia="es-ES_tradnl"/>
        </w:rPr>
        <w:lastRenderedPageBreak/>
        <w:t>social, funciones previstas en la ley, o en las normas de creación y en sus estatutos internos de las personas</w:t>
      </w:r>
      <w:r w:rsidRPr="00165C4E">
        <w:rPr>
          <w:rFonts w:ascii="Arial" w:eastAsia="Calibri" w:hAnsi="Arial" w:cs="Arial"/>
          <w:sz w:val="21"/>
          <w:szCs w:val="21"/>
          <w:vertAlign w:val="superscript"/>
          <w:lang w:eastAsia="es-ES_tradnl"/>
        </w:rPr>
        <w:footnoteReference w:id="22"/>
      </w:r>
      <w:r w:rsidRPr="00165C4E">
        <w:rPr>
          <w:rFonts w:ascii="Arial" w:eastAsia="Calibri" w:hAnsi="Arial" w:cs="Arial"/>
          <w:bCs/>
          <w:lang w:val="es-ES_tradnl" w:eastAsia="es-ES_tradnl"/>
        </w:rPr>
        <w:t xml:space="preserve"> y la doctrina societaria</w:t>
      </w:r>
      <w:r w:rsidRPr="00165C4E">
        <w:rPr>
          <w:rStyle w:val="Refdenotaalpie"/>
          <w:rFonts w:ascii="Arial" w:eastAsia="Calibri" w:hAnsi="Arial" w:cs="Arial"/>
          <w:bCs/>
          <w:lang w:val="es-ES_tradnl" w:eastAsia="es-ES_tradnl"/>
        </w:rPr>
        <w:footnoteReference w:id="23"/>
      </w:r>
      <w:r w:rsidRPr="00165C4E">
        <w:rPr>
          <w:rFonts w:ascii="Arial" w:eastAsia="Calibri" w:hAnsi="Arial" w:cs="Arial"/>
          <w:bCs/>
          <w:sz w:val="21"/>
          <w:szCs w:val="21"/>
          <w:lang w:val="es-ES_tradnl" w:eastAsia="es-ES_tradnl"/>
        </w:rPr>
        <w:t>.</w:t>
      </w:r>
      <w:r w:rsidRPr="00C046D8">
        <w:rPr>
          <w:rFonts w:ascii="Arial" w:eastAsia="Calibri" w:hAnsi="Arial" w:cs="Arial"/>
          <w:bCs/>
          <w:sz w:val="21"/>
          <w:szCs w:val="21"/>
          <w:lang w:val="es-ES_tradnl" w:eastAsia="es-ES_tradnl"/>
        </w:rPr>
        <w:t xml:space="preserve"> </w:t>
      </w:r>
    </w:p>
    <w:p w14:paraId="2C9A53F2" w14:textId="77777777" w:rsidR="001F57E2" w:rsidRPr="004D745F" w:rsidRDefault="001F57E2" w:rsidP="001F57E2">
      <w:pPr>
        <w:tabs>
          <w:tab w:val="left" w:pos="0"/>
        </w:tabs>
        <w:spacing w:after="0" w:line="276" w:lineRule="auto"/>
        <w:contextualSpacing/>
        <w:jc w:val="both"/>
        <w:rPr>
          <w:rFonts w:ascii="Arial" w:eastAsia="Calibri" w:hAnsi="Arial" w:cs="Arial"/>
          <w:bCs/>
          <w:sz w:val="12"/>
          <w:szCs w:val="12"/>
          <w:lang w:val="es-ES_tradnl" w:eastAsia="es-ES_tradnl"/>
        </w:rPr>
      </w:pPr>
    </w:p>
    <w:p w14:paraId="37933CF6" w14:textId="77777777" w:rsidR="001F57E2" w:rsidRPr="00C046D8" w:rsidRDefault="001F57E2" w:rsidP="001F57E2">
      <w:pPr>
        <w:spacing w:after="120" w:line="276" w:lineRule="auto"/>
        <w:jc w:val="both"/>
        <w:rPr>
          <w:rFonts w:ascii="Arial" w:eastAsia="Calibri" w:hAnsi="Arial" w:cs="Arial"/>
          <w:lang w:val="es-ES" w:eastAsia="es-ES"/>
        </w:rPr>
      </w:pPr>
      <w:r w:rsidRPr="00C046D8">
        <w:rPr>
          <w:rFonts w:ascii="Arial" w:eastAsia="Calibri" w:hAnsi="Arial" w:cs="Arial"/>
          <w:bCs/>
          <w:lang w:val="es-ES_tradnl" w:eastAsia="es-ES_tradnl"/>
        </w:rPr>
        <w:tab/>
      </w:r>
      <w:r w:rsidRPr="293D6149">
        <w:rPr>
          <w:rFonts w:ascii="Arial" w:eastAsia="Calibri" w:hAnsi="Arial" w:cs="Arial"/>
          <w:lang w:val="es-ES" w:eastAsia="es-ES"/>
        </w:rPr>
        <w:t xml:space="preserve">Conforme con lo expresado, el </w:t>
      </w:r>
      <w:r w:rsidRPr="293D6149">
        <w:rPr>
          <w:rFonts w:ascii="Arial" w:eastAsia="Calibri" w:hAnsi="Arial" w:cs="Arial"/>
          <w:i/>
          <w:lang w:val="es-ES" w:eastAsia="es-ES"/>
        </w:rPr>
        <w:t xml:space="preserve">giro ordinario </w:t>
      </w:r>
      <w:r w:rsidRPr="293D6149">
        <w:rPr>
          <w:rFonts w:ascii="Arial" w:eastAsia="Calibri" w:hAnsi="Arial" w:cs="Arial"/>
          <w:lang w:val="es-ES" w:eastAsia="es-ES"/>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293D6149">
        <w:rPr>
          <w:rFonts w:ascii="Arial" w:eastAsia="Times New Roman" w:hAnsi="Arial" w:cs="Arial"/>
          <w:lang w:val="es-ES" w:eastAsia="es-ES"/>
        </w:rPr>
        <w:t>S]e</w:t>
      </w:r>
      <w:r w:rsidRPr="293D6149">
        <w:rPr>
          <w:rFonts w:ascii="Arial" w:eastAsia="Calibri" w:hAnsi="Arial" w:cs="Arial"/>
          <w:lang w:val="es-ES"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293D6149">
        <w:rPr>
          <w:rFonts w:ascii="Arial" w:eastAsia="Calibri" w:hAnsi="Arial" w:cs="Arial"/>
          <w:vertAlign w:val="superscript"/>
          <w:lang w:eastAsia="es-ES"/>
        </w:rPr>
        <w:footnoteReference w:id="24"/>
      </w:r>
    </w:p>
    <w:p w14:paraId="26967F3D" w14:textId="77777777" w:rsidR="001F57E2" w:rsidRDefault="001F57E2" w:rsidP="001F57E2">
      <w:pPr>
        <w:tabs>
          <w:tab w:val="left" w:pos="0"/>
        </w:tabs>
        <w:spacing w:after="0" w:line="276" w:lineRule="auto"/>
        <w:contextualSpacing/>
        <w:jc w:val="both"/>
        <w:rPr>
          <w:rFonts w:ascii="Arial" w:eastAsia="Calibri" w:hAnsi="Arial" w:cs="Arial"/>
          <w:bCs/>
          <w:lang w:val="es-ES_tradnl" w:eastAsia="es-ES_tradnl"/>
        </w:rPr>
      </w:pPr>
      <w:r w:rsidRPr="00C046D8">
        <w:rPr>
          <w:rFonts w:ascii="Arial" w:eastAsia="Calibri" w:hAnsi="Arial" w:cs="Arial"/>
          <w:bCs/>
          <w:lang w:val="es-ES_tradnl" w:eastAsia="es-ES_tradnl"/>
        </w:rPr>
        <w:tab/>
      </w:r>
      <w:bookmarkStart w:id="17" w:name="_Hlk109966084"/>
      <w:bookmarkStart w:id="18" w:name="_Hlk95322109"/>
      <w:r w:rsidRPr="00C046D8">
        <w:rPr>
          <w:rFonts w:ascii="Arial" w:eastAsia="Calibri" w:hAnsi="Arial" w:cs="Arial"/>
          <w:bCs/>
          <w:lang w:val="es-ES_tradnl" w:eastAsia="es-ES_tradnl"/>
        </w:rPr>
        <w:t xml:space="preserve">En relación con la aplicación de lo dispuesto en el parágrafo del artículo 56 de la Ley 2195 de 2022, conviene aclarar que, a juicio de esta Agencia, la expresión </w:t>
      </w:r>
      <w:r w:rsidRPr="00C046D8">
        <w:rPr>
          <w:rFonts w:ascii="Arial" w:eastAsia="Calibri" w:hAnsi="Arial" w:cs="Arial"/>
          <w:bCs/>
          <w:i/>
          <w:iCs/>
          <w:lang w:val="es-ES_tradnl" w:eastAsia="es-ES_tradnl"/>
        </w:rPr>
        <w:t xml:space="preserve">giro ordinario </w:t>
      </w:r>
      <w:r w:rsidRPr="00C046D8">
        <w:rPr>
          <w:rFonts w:ascii="Arial" w:eastAsia="Calibri" w:hAnsi="Arial" w:cs="Arial"/>
          <w:bCs/>
          <w:lang w:val="es-ES_tradnl" w:eastAsia="es-ES_tradnl"/>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C046D8">
        <w:rPr>
          <w:rFonts w:ascii="Arial" w:eastAsia="Calibri" w:hAnsi="Arial" w:cs="Arial"/>
          <w:bCs/>
          <w:i/>
          <w:iCs/>
          <w:lang w:val="es-ES_tradnl" w:eastAsia="es-ES_tradnl"/>
        </w:rPr>
        <w:t>ejusdem</w:t>
      </w:r>
      <w:proofErr w:type="spellEnd"/>
      <w:r w:rsidRPr="00C046D8">
        <w:rPr>
          <w:rFonts w:ascii="Arial" w:eastAsia="Calibri" w:hAnsi="Arial" w:cs="Arial"/>
          <w:bCs/>
          <w:lang w:val="es-ES_tradnl" w:eastAsia="es-ES_tradnl"/>
        </w:rPr>
        <w:t xml:space="preserve"> se limita a enunciar algunos tipos </w:t>
      </w:r>
      <w:r w:rsidRPr="00C046D8">
        <w:rPr>
          <w:rFonts w:ascii="Arial" w:eastAsia="Calibri" w:hAnsi="Arial" w:cs="Arial"/>
          <w:bCs/>
          <w:lang w:val="es-ES_tradnl" w:eastAsia="es-ES_tradnl"/>
        </w:rPr>
        <w:lastRenderedPageBreak/>
        <w:t xml:space="preserve">de entidades estatales, las cuales no solo difieren en su naturaleza jurídica, sino también en las actividades que realizan. </w:t>
      </w:r>
    </w:p>
    <w:p w14:paraId="769C00C7" w14:textId="77777777" w:rsidR="001F57E2" w:rsidRPr="004D745F" w:rsidRDefault="001F57E2" w:rsidP="001F57E2">
      <w:pPr>
        <w:tabs>
          <w:tab w:val="left" w:pos="0"/>
        </w:tabs>
        <w:spacing w:after="0" w:line="276" w:lineRule="auto"/>
        <w:contextualSpacing/>
        <w:jc w:val="both"/>
        <w:rPr>
          <w:rFonts w:ascii="Arial" w:eastAsia="Calibri" w:hAnsi="Arial" w:cs="Arial"/>
          <w:bCs/>
          <w:sz w:val="12"/>
          <w:szCs w:val="12"/>
          <w:lang w:val="es-ES_tradnl" w:eastAsia="es-ES_tradnl"/>
        </w:rPr>
      </w:pPr>
    </w:p>
    <w:bookmarkEnd w:id="17"/>
    <w:p w14:paraId="59D6C648" w14:textId="77777777" w:rsidR="001F57E2" w:rsidRDefault="001F57E2" w:rsidP="001F57E2">
      <w:pPr>
        <w:tabs>
          <w:tab w:val="left" w:pos="0"/>
        </w:tabs>
        <w:spacing w:after="120" w:line="276" w:lineRule="auto"/>
        <w:ind w:firstLine="709"/>
        <w:jc w:val="both"/>
        <w:rPr>
          <w:rFonts w:ascii="Arial" w:eastAsia="Calibri" w:hAnsi="Arial" w:cs="Arial"/>
          <w:bCs/>
          <w:lang w:val="es-ES_tradnl" w:eastAsia="es-ES_tradnl"/>
        </w:rPr>
      </w:pPr>
      <w:r w:rsidRPr="00C046D8">
        <w:rPr>
          <w:rFonts w:ascii="Arial" w:eastAsia="Calibri" w:hAnsi="Arial" w:cs="Arial"/>
          <w:bCs/>
          <w:lang w:val="es-ES_tradnl" w:eastAsia="es-ES_tradnl"/>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debe hacerse en el caso concreto, empleando un criterio de interpretación restrictiva. Ello en la medida en que el parágrafo del artículo 56 consagra una excepción a una regla general. </w:t>
      </w:r>
    </w:p>
    <w:bookmarkEnd w:id="18"/>
    <w:p w14:paraId="1F8198E4" w14:textId="77777777" w:rsidR="001F57E2" w:rsidRPr="00C046D8" w:rsidRDefault="001F57E2" w:rsidP="001F57E2">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r>
      <w:r w:rsidRPr="00165C4E">
        <w:rPr>
          <w:rFonts w:ascii="Arial" w:eastAsia="Calibri" w:hAnsi="Arial" w:cs="Arial"/>
          <w:lang w:val="es-ES_tradnl" w:eastAsia="es-ES_tradnl"/>
        </w:rPr>
        <w:t>Esta interpretación, a juicio de la Agencia, se desprende de la literalidad del texto de la norma en comento, además, está en armonía con la voluntad del órgano legislativo. Al respecto se estima que, si bien es cierto que entre los propósitos del artículo es la aplicación de pliegos tipo en convenios o contratos interadministrativos o de cualquier otra índole–a través de las cuales se podría estar eludiendo la aplicación de documentos tipo</w:t>
      </w:r>
      <w:r w:rsidRPr="00165C4E">
        <w:rPr>
          <w:rFonts w:ascii="Arial" w:eastAsia="Calibri" w:hAnsi="Arial" w:cs="Arial"/>
          <w:vertAlign w:val="superscript"/>
          <w:lang w:eastAsia="es-ES_tradnl"/>
        </w:rPr>
        <w:footnoteReference w:id="25"/>
      </w:r>
      <w:r w:rsidRPr="00165C4E">
        <w:rPr>
          <w:rFonts w:ascii="Arial" w:eastAsia="Calibri" w:hAnsi="Arial" w:cs="Arial"/>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165C4E">
        <w:rPr>
          <w:rFonts w:ascii="Arial" w:eastAsia="Calibri" w:hAnsi="Arial" w:cs="Arial"/>
          <w:vertAlign w:val="superscript"/>
          <w:lang w:eastAsia="es-ES_tradnl"/>
        </w:rPr>
        <w:footnoteReference w:id="26"/>
      </w:r>
      <w:r w:rsidRPr="00165C4E">
        <w:rPr>
          <w:rFonts w:ascii="Arial" w:eastAsia="Calibri" w:hAnsi="Arial" w:cs="Arial"/>
          <w:lang w:val="es-ES_tradnl" w:eastAsia="es-ES_tradnl"/>
        </w:rPr>
        <w:t xml:space="preserve">. En ese sentido, en virtud de esta potestad de </w:t>
      </w:r>
      <w:r w:rsidRPr="00165C4E">
        <w:rPr>
          <w:rFonts w:ascii="Arial" w:eastAsia="Calibri" w:hAnsi="Arial" w:cs="Arial"/>
          <w:lang w:val="es-ES_tradnl" w:eastAsia="es-ES_tradnl"/>
        </w:rPr>
        <w:lastRenderedPageBreak/>
        <w:t>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A esto se suma el hecho de que el parágrafo bajo estudio es una norma restrictiva, por lo que, en virtud de dicho carácter, amerita una interpretación apegada a lo que literalmente se desprende del texto. Lo anterior en virtud del criterio de interpretación sobre la extensión de una Ley contemplada en el artículo 31 del Código civil, según la cual: “Lo favorable u odioso de una disposición no se tomará en cuenta para ampliar o restringir su interpretación (…)”. En ese mismo sentido, el Consejo de Estado, indicó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165C4E">
        <w:rPr>
          <w:rFonts w:ascii="Arial" w:eastAsia="Calibri" w:hAnsi="Arial" w:cs="Arial"/>
          <w:vertAlign w:val="superscript"/>
          <w:lang w:eastAsia="es-ES_tradnl"/>
        </w:rPr>
        <w:footnoteReference w:id="27"/>
      </w:r>
      <w:r w:rsidRPr="00165C4E">
        <w:rPr>
          <w:rFonts w:ascii="Arial" w:eastAsia="Calibri" w:hAnsi="Arial" w:cs="Arial"/>
          <w:lang w:val="es-ES_tradnl" w:eastAsia="es-ES_tradnl"/>
        </w:rPr>
        <w:t>.</w:t>
      </w:r>
    </w:p>
    <w:p w14:paraId="49D32969" w14:textId="77777777" w:rsidR="001F57E2" w:rsidRDefault="001F57E2" w:rsidP="001F57E2">
      <w:pPr>
        <w:tabs>
          <w:tab w:val="left" w:pos="0"/>
        </w:tabs>
        <w:spacing w:after="0" w:line="276" w:lineRule="auto"/>
        <w:ind w:firstLine="709"/>
        <w:jc w:val="both"/>
        <w:rPr>
          <w:rFonts w:ascii="Arial" w:eastAsia="Calibri" w:hAnsi="Arial" w:cs="Arial"/>
          <w:bCs/>
          <w:lang w:val="es-ES_tradnl" w:eastAsia="es-ES_tradnl"/>
        </w:rPr>
      </w:pPr>
      <w:r w:rsidRPr="00165C4E">
        <w:rPr>
          <w:rFonts w:ascii="Arial" w:eastAsia="Calibri" w:hAnsi="Arial" w:cs="Arial"/>
          <w:bCs/>
          <w:lang w:val="es-ES_tradnl" w:eastAsia="es-ES_tradnl"/>
        </w:rPr>
        <w:t>A criterio</w:t>
      </w:r>
      <w:r w:rsidRPr="00165C4E">
        <w:rPr>
          <w:rFonts w:ascii="Arial" w:eastAsia="Calibri" w:hAnsi="Arial" w:cs="Arial"/>
          <w:lang w:val="es-ES_tradnl" w:eastAsia="es-ES_tradnl"/>
        </w:rPr>
        <w:t xml:space="preserve"> de esta Agencia</w:t>
      </w:r>
      <w:r w:rsidRPr="00165C4E">
        <w:rPr>
          <w:rFonts w:ascii="Arial" w:eastAsia="Calibri" w:hAnsi="Arial" w:cs="Arial"/>
          <w:bCs/>
          <w:lang w:val="es-ES_tradnl" w:eastAsia="es-ES_tradnl"/>
        </w:rPr>
        <w:t>,</w:t>
      </w:r>
      <w:r w:rsidRPr="00165C4E">
        <w:rPr>
          <w:rFonts w:ascii="Arial" w:eastAsia="Calibri" w:hAnsi="Arial" w:cs="Arial"/>
          <w:lang w:val="es-ES_tradnl" w:eastAsia="es-ES_tradnl"/>
        </w:rPr>
        <w:t xml:space="preserve"> lo dispuesto en el parágrafo del artículo 56 de la Ley 2195 de 2022 es una manifestación de la voluntad del Legislador de relevar de la aplicación obligatoria de pliegos tipo en convenios o contratos interadministrativos, o de cualquier otra índole, con  instituciones de educación superior públicas, las empresas sociales del Estado, las sociedades de economía mixta y las empresas industriales y comerciales del Estado, únicamente en lo que tiene que ver con su </w:t>
      </w:r>
      <w:r w:rsidRPr="00165C4E">
        <w:rPr>
          <w:rFonts w:ascii="Arial" w:eastAsia="Calibri" w:hAnsi="Arial" w:cs="Arial"/>
          <w:i/>
          <w:lang w:val="es-ES_tradnl" w:eastAsia="es-ES_tradnl"/>
        </w:rPr>
        <w:t>giro ordinario</w:t>
      </w:r>
      <w:r w:rsidRPr="00165C4E">
        <w:rPr>
          <w:rFonts w:ascii="Arial" w:eastAsia="Calibri" w:hAnsi="Arial" w:cs="Arial"/>
          <w:lang w:val="es-ES_tradnl" w:eastAsia="es-ES_tradnl"/>
        </w:rPr>
        <w:t>. Esto significa que, cuando Entidad Estatal sometida al EGCAP pretenda celebrar un contrato o convenio para la adquisición de bienes, obras o servicios con alguno de los tipos entidades mencionadas en el parágrafo de la norma, que se enmarque dentro del giro ordinario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p>
    <w:p w14:paraId="44E87F08" w14:textId="7FF6F5FC" w:rsidR="001F57E2" w:rsidRDefault="001F57E2" w:rsidP="001F57E2">
      <w:pPr>
        <w:tabs>
          <w:tab w:val="left" w:pos="0"/>
        </w:tabs>
        <w:spacing w:before="120" w:after="0" w:line="276" w:lineRule="auto"/>
        <w:ind w:firstLine="709"/>
        <w:jc w:val="both"/>
        <w:rPr>
          <w:rFonts w:ascii="Arial" w:eastAsia="Calibri" w:hAnsi="Arial" w:cs="Arial"/>
          <w:bCs/>
          <w:lang w:val="es-ES_tradnl" w:eastAsia="es-ES_tradnl"/>
        </w:rPr>
      </w:pPr>
      <w:r w:rsidRPr="00165C4E">
        <w:rPr>
          <w:rFonts w:ascii="Arial" w:eastAsia="Calibri" w:hAnsi="Arial" w:cs="Arial"/>
          <w:lang w:val="es-ES_tradnl" w:eastAsia="es-ES_tradnl"/>
        </w:rPr>
        <w:t>En conclusión, no deberá entonces, en estos casos, la entidad sometida al EGCAP  reservarse la obligación de llevar a cabo la selección de los Procesos de Contratación y celebrar los respectivos contratos para adquirir aquellas de obras o servicios para cuya contratación le fuese aplicable los documentos tipo vigentes, que deban contratarse en el marco de un convenio interadministrativo, y tampoco es necesario que</w:t>
      </w:r>
      <w:r w:rsidRPr="00165C4E">
        <w:rPr>
          <w:rFonts w:ascii="Arial" w:eastAsia="Times New Roman" w:hAnsi="Arial" w:cs="Arial"/>
          <w:lang w:eastAsia="es-ES_tradnl"/>
        </w:rPr>
        <w:t xml:space="preserve">  </w:t>
      </w:r>
      <w:r w:rsidRPr="00165C4E">
        <w:rPr>
          <w:rFonts w:ascii="Arial" w:eastAsia="Calibri" w:hAnsi="Arial" w:cs="Arial"/>
          <w:lang w:val="es-ES_tradnl" w:eastAsia="es-ES_tradnl"/>
        </w:rPr>
        <w:t xml:space="preserve">las instituciones de educación superior públicas, las empresas sociales del Estado, las sociedades de economía mixta y las empresas industriales y comerciales del Estado, que </w:t>
      </w:r>
      <w:r w:rsidRPr="00165C4E">
        <w:rPr>
          <w:rFonts w:ascii="Arial" w:eastAsia="Times New Roman" w:hAnsi="Arial" w:cs="Arial"/>
          <w:lang w:eastAsia="es-ES_tradnl"/>
        </w:rPr>
        <w:t xml:space="preserve">pretenden ser adjudicatarias de contratos que versen </w:t>
      </w:r>
      <w:r w:rsidRPr="00165C4E">
        <w:rPr>
          <w:rFonts w:ascii="Arial" w:eastAsia="Calibri" w:hAnsi="Arial" w:cs="Arial"/>
          <w:lang w:val="es-ES_tradnl" w:eastAsia="es-ES_tradnl"/>
        </w:rPr>
        <w:t xml:space="preserve">únicamente, en la contratación relacionada con su </w:t>
      </w:r>
      <w:r w:rsidRPr="00165C4E">
        <w:rPr>
          <w:rFonts w:ascii="Arial" w:eastAsia="Calibri" w:hAnsi="Arial" w:cs="Arial"/>
          <w:i/>
          <w:lang w:val="es-ES_tradnl" w:eastAsia="es-ES_tradnl"/>
        </w:rPr>
        <w:t>giro ordinario</w:t>
      </w:r>
      <w:r w:rsidRPr="00165C4E">
        <w:rPr>
          <w:rFonts w:ascii="Arial" w:eastAsia="Times New Roman" w:hAnsi="Arial" w:cs="Arial"/>
          <w:lang w:eastAsia="es-ES_tradnl"/>
        </w:rPr>
        <w:t xml:space="preserve">, no deberán someterse a un proceso de selección en el que se apliquen </w:t>
      </w:r>
      <w:r w:rsidRPr="00165C4E">
        <w:rPr>
          <w:rFonts w:ascii="Arial" w:eastAsia="Times New Roman" w:hAnsi="Arial" w:cs="Arial"/>
          <w:lang w:eastAsia="es-ES_tradnl"/>
        </w:rPr>
        <w:lastRenderedPageBreak/>
        <w:t xml:space="preserve">documentos tipo expedidos por esta Agencia a cargo de la </w:t>
      </w:r>
      <w:r w:rsidRPr="00165C4E">
        <w:rPr>
          <w:rFonts w:ascii="Arial" w:eastAsia="Calibri" w:hAnsi="Arial" w:cs="Arial"/>
          <w:lang w:val="es-ES_tradnl" w:eastAsia="es-ES_tradnl"/>
        </w:rPr>
        <w:t>entidad sometida al EGCAP. Por el contrario, si el objeto contractual se encuentra por fuera del giro ordinario de la entidad ejecutora, y el objeto se encuentra dentro del ámbito de aplicación de algún documento tipo, la aplicación del mismo en conjunto con el EGCAP resultan de obligatoria observancia, al no quedar dicho supuesto cobijado por el parágrafo.</w:t>
      </w:r>
      <w:r w:rsidRPr="00C046D8">
        <w:rPr>
          <w:rFonts w:ascii="Arial" w:eastAsia="Calibri" w:hAnsi="Arial" w:cs="Arial"/>
          <w:bCs/>
          <w:lang w:val="es-ES_tradnl" w:eastAsia="es-ES_tradnl"/>
        </w:rPr>
        <w:t xml:space="preserve"> </w:t>
      </w:r>
    </w:p>
    <w:p w14:paraId="265E203D" w14:textId="77777777" w:rsidR="001F57E2" w:rsidRPr="00864E72" w:rsidRDefault="001F57E2" w:rsidP="001F57E2">
      <w:pPr>
        <w:spacing w:before="120" w:after="0" w:line="276" w:lineRule="auto"/>
        <w:ind w:firstLine="709"/>
        <w:jc w:val="both"/>
        <w:rPr>
          <w:rFonts w:ascii="Arial" w:eastAsia="Calibri" w:hAnsi="Arial" w:cs="Arial"/>
          <w:bCs/>
          <w:color w:val="000000" w:themeColor="text1"/>
          <w:lang w:val="es-ES_tradnl"/>
        </w:rPr>
      </w:pPr>
      <w:r w:rsidRPr="00864E72">
        <w:rPr>
          <w:rFonts w:ascii="Arial" w:eastAsia="Calibri" w:hAnsi="Arial" w:cs="Arial"/>
          <w:bCs/>
          <w:color w:val="000000" w:themeColor="text1"/>
          <w:lang w:val="es-ES_tradnl"/>
        </w:rPr>
        <w:t xml:space="preserve">En este orden de ideas, las excepciones consagradas en el parágrafo del artículo 56 de la Ley 2195 de 2022 solo se aplican a los órganos del Estado cuya naturaleza jurídica coincida con la de las entidades allí indicadas de manera </w:t>
      </w:r>
      <w:r w:rsidRPr="00864E72">
        <w:rPr>
          <w:rFonts w:ascii="Arial" w:eastAsia="Calibri" w:hAnsi="Arial" w:cs="Arial"/>
          <w:bCs/>
          <w:i/>
          <w:iCs/>
          <w:color w:val="000000" w:themeColor="text1"/>
          <w:lang w:val="es-ES_tradnl"/>
        </w:rPr>
        <w:t>taxativa</w:t>
      </w:r>
      <w:r w:rsidRPr="00864E72">
        <w:rPr>
          <w:rFonts w:ascii="Arial" w:eastAsia="Calibri" w:hAnsi="Arial" w:cs="Arial"/>
          <w:bCs/>
          <w:color w:val="000000" w:themeColor="text1"/>
          <w:lang w:val="es-ES_tradnl"/>
        </w:rPr>
        <w:t xml:space="preserve">, esto es, a </w:t>
      </w:r>
      <w:r>
        <w:rPr>
          <w:rFonts w:ascii="Arial" w:eastAsia="Calibri" w:hAnsi="Arial" w:cs="Arial"/>
          <w:bCs/>
          <w:color w:val="000000" w:themeColor="text1"/>
          <w:lang w:val="es-ES_tradnl"/>
        </w:rPr>
        <w:t>“</w:t>
      </w:r>
      <w:r w:rsidRPr="00864E72">
        <w:rPr>
          <w:rFonts w:ascii="Arial" w:hAnsi="Arial" w:cs="Arial"/>
          <w:color w:val="000000" w:themeColor="text1"/>
        </w:rPr>
        <w:t xml:space="preserve">[…] </w:t>
      </w:r>
      <w:r w:rsidRPr="00864E72">
        <w:rPr>
          <w:rFonts w:ascii="Arial" w:eastAsia="Calibri" w:hAnsi="Arial" w:cs="Arial"/>
          <w:bCs/>
          <w:color w:val="000000" w:themeColor="text1"/>
          <w:lang w:val="es-ES_tradnl"/>
        </w:rPr>
        <w:t>las Instituciones de Educación Superior públicas, las empresas sociales del Estado, las sociedades de economía mixta y las empresas industriales y comerciales del Estado, únicamente en cuanto a la contratación de su giro ordinario</w:t>
      </w:r>
      <w:r>
        <w:rPr>
          <w:rFonts w:ascii="Arial" w:eastAsia="Calibri" w:hAnsi="Arial" w:cs="Arial"/>
          <w:bCs/>
          <w:color w:val="000000" w:themeColor="text1"/>
          <w:lang w:val="es-ES_tradnl"/>
        </w:rPr>
        <w:t>”</w:t>
      </w:r>
      <w:r w:rsidRPr="00864E72">
        <w:rPr>
          <w:rFonts w:ascii="Arial" w:eastAsia="Calibri" w:hAnsi="Arial" w:cs="Arial"/>
          <w:bCs/>
          <w:color w:val="000000" w:themeColor="text1"/>
          <w:lang w:val="es-ES_tradnl"/>
        </w:rPr>
        <w:t>. Por consiguiente, cada entidad estatal deberá analizar su naturaleza jurídica y hacer una interpretación restrictiva de este parágrafo, pues las excepciones deben leerse de manera acorde con dicho parámetro hermenéutico.</w:t>
      </w:r>
    </w:p>
    <w:p w14:paraId="04077ED5" w14:textId="77777777" w:rsidR="001F57E2" w:rsidRPr="00C046D8" w:rsidRDefault="001F57E2" w:rsidP="001F57E2">
      <w:pPr>
        <w:tabs>
          <w:tab w:val="left" w:pos="0"/>
        </w:tabs>
        <w:spacing w:after="0" w:line="276" w:lineRule="auto"/>
        <w:contextualSpacing/>
        <w:jc w:val="both"/>
        <w:rPr>
          <w:rFonts w:ascii="Arial" w:eastAsia="Calibri" w:hAnsi="Arial" w:cs="Arial"/>
          <w:b/>
          <w:lang w:val="es-ES_tradnl" w:eastAsia="es-ES_tradnl"/>
        </w:rPr>
      </w:pPr>
    </w:p>
    <w:p w14:paraId="2E996D79" w14:textId="77777777" w:rsidR="001F57E2" w:rsidRPr="00F47405" w:rsidRDefault="001F57E2" w:rsidP="001F57E2">
      <w:pPr>
        <w:tabs>
          <w:tab w:val="left" w:pos="0"/>
        </w:tabs>
        <w:spacing w:after="0" w:line="276" w:lineRule="auto"/>
        <w:contextualSpacing/>
        <w:jc w:val="both"/>
        <w:rPr>
          <w:rFonts w:ascii="Arial" w:eastAsia="Calibri" w:hAnsi="Arial" w:cs="Arial"/>
          <w:b/>
          <w:szCs w:val="24"/>
          <w:lang w:val="es-ES_tradnl" w:eastAsia="es-ES_tradnl"/>
        </w:rPr>
      </w:pPr>
      <w:r w:rsidRPr="00F47405">
        <w:rPr>
          <w:rFonts w:ascii="Arial" w:eastAsia="Calibri" w:hAnsi="Arial" w:cs="Arial"/>
          <w:b/>
          <w:szCs w:val="24"/>
          <w:lang w:val="es-ES_tradnl" w:eastAsia="es-ES_tradnl"/>
        </w:rPr>
        <w:t>2.</w:t>
      </w:r>
      <w:bookmarkStart w:id="19" w:name="_Hlk130800261"/>
      <w:r>
        <w:rPr>
          <w:rFonts w:ascii="Arial" w:eastAsia="Calibri" w:hAnsi="Arial" w:cs="Arial"/>
          <w:b/>
          <w:szCs w:val="24"/>
          <w:lang w:val="es-ES_tradnl" w:eastAsia="es-ES_tradnl"/>
        </w:rPr>
        <w:t>5</w:t>
      </w:r>
      <w:r w:rsidRPr="00F47405">
        <w:rPr>
          <w:rFonts w:ascii="Arial" w:eastAsia="Calibri" w:hAnsi="Arial" w:cs="Arial"/>
          <w:b/>
          <w:szCs w:val="24"/>
          <w:lang w:val="es-ES_tradnl" w:eastAsia="es-ES_tradnl"/>
        </w:rPr>
        <w:t>. Efectos</w:t>
      </w:r>
      <w:r>
        <w:rPr>
          <w:rFonts w:ascii="Arial" w:eastAsia="Calibri" w:hAnsi="Arial" w:cs="Arial"/>
          <w:b/>
          <w:szCs w:val="24"/>
          <w:lang w:val="es-ES_tradnl" w:eastAsia="es-ES_tradnl"/>
        </w:rPr>
        <w:t xml:space="preserve"> del artículo 56 de la Ley 2195</w:t>
      </w:r>
      <w:r w:rsidRPr="00F47405">
        <w:rPr>
          <w:rFonts w:ascii="Arial" w:eastAsia="Calibri" w:hAnsi="Arial" w:cs="Arial"/>
          <w:b/>
          <w:szCs w:val="24"/>
          <w:lang w:val="es-ES_tradnl" w:eastAsia="es-ES_tradnl"/>
        </w:rPr>
        <w:t xml:space="preserve"> respecto de la subcontratación realizada por entidades estatales exceptuadas, patrimonios autónomos, personas naturales o jurídicas que sean contratistas del Estado</w:t>
      </w:r>
    </w:p>
    <w:bookmarkEnd w:id="19"/>
    <w:p w14:paraId="4F09885B" w14:textId="77777777" w:rsidR="001F57E2" w:rsidRPr="00C046D8" w:rsidRDefault="001F57E2" w:rsidP="001F57E2">
      <w:pPr>
        <w:tabs>
          <w:tab w:val="left" w:pos="0"/>
        </w:tabs>
        <w:spacing w:after="0" w:line="276" w:lineRule="auto"/>
        <w:contextualSpacing/>
        <w:jc w:val="both"/>
        <w:rPr>
          <w:rFonts w:ascii="Arial" w:eastAsia="Calibri" w:hAnsi="Arial" w:cs="Arial"/>
          <w:bCs/>
          <w:szCs w:val="24"/>
          <w:lang w:val="es-ES_tradnl" w:eastAsia="es-ES_tradnl"/>
        </w:rPr>
      </w:pPr>
    </w:p>
    <w:p w14:paraId="3BC0FD40" w14:textId="77777777" w:rsidR="001F57E2" w:rsidRDefault="001F57E2" w:rsidP="001F57E2">
      <w:pPr>
        <w:tabs>
          <w:tab w:val="left" w:pos="0"/>
        </w:tabs>
        <w:spacing w:after="120" w:line="276" w:lineRule="auto"/>
        <w:jc w:val="both"/>
        <w:rPr>
          <w:rFonts w:ascii="Arial" w:eastAsia="Calibri" w:hAnsi="Arial" w:cs="Arial"/>
          <w:bCs/>
          <w:szCs w:val="24"/>
          <w:lang w:val="es-ES_tradnl" w:eastAsia="es-ES_tradnl"/>
        </w:rPr>
      </w:pPr>
      <w:r w:rsidRPr="00165C4E">
        <w:rPr>
          <w:rFonts w:ascii="Arial" w:eastAsia="Calibri" w:hAnsi="Arial" w:cs="Arial"/>
          <w:szCs w:val="24"/>
          <w:lang w:val="es-ES_tradnl" w:eastAsia="es-ES_tradnl"/>
        </w:rPr>
        <w:t>Conforme a la postura hermenéutica explicada en el presente concepto, el mandato de aplicación de los documentos tipo contenido en el artículo 56 de la Ley 2195 de 2022 es</w:t>
      </w:r>
      <w:r>
        <w:rPr>
          <w:rFonts w:ascii="Arial" w:eastAsia="Calibri" w:hAnsi="Arial" w:cs="Arial"/>
          <w:szCs w:val="24"/>
          <w:lang w:val="es-ES_tradnl" w:eastAsia="es-ES_tradnl"/>
        </w:rPr>
        <w:t>tá</w:t>
      </w:r>
      <w:r w:rsidRPr="00165C4E">
        <w:rPr>
          <w:rFonts w:ascii="Arial" w:eastAsia="Calibri" w:hAnsi="Arial" w:cs="Arial"/>
          <w:szCs w:val="24"/>
          <w:lang w:val="es-ES_tradnl" w:eastAsia="es-ES_tradnl"/>
        </w:rPr>
        <w:t xml:space="preserve"> dirigido</w:t>
      </w:r>
      <w:r>
        <w:rPr>
          <w:rFonts w:ascii="Arial" w:eastAsia="Calibri" w:hAnsi="Arial" w:cs="Arial"/>
          <w:szCs w:val="24"/>
          <w:lang w:val="es-ES_tradnl" w:eastAsia="es-ES_tradnl"/>
        </w:rPr>
        <w:t>,</w:t>
      </w:r>
      <w:r w:rsidRPr="00165C4E">
        <w:rPr>
          <w:rFonts w:ascii="Arial" w:eastAsia="Calibri" w:hAnsi="Arial" w:cs="Arial"/>
          <w:szCs w:val="24"/>
          <w:lang w:val="es-ES_tradnl" w:eastAsia="es-ES_tradnl"/>
        </w:rPr>
        <w:t xml:space="preserve"> en primera medida</w:t>
      </w:r>
      <w:r>
        <w:rPr>
          <w:rFonts w:ascii="Arial" w:eastAsia="Calibri" w:hAnsi="Arial" w:cs="Arial"/>
          <w:szCs w:val="24"/>
          <w:lang w:val="es-ES_tradnl" w:eastAsia="es-ES_tradnl"/>
        </w:rPr>
        <w:t>,</w:t>
      </w:r>
      <w:r w:rsidRPr="00165C4E">
        <w:rPr>
          <w:rFonts w:ascii="Arial" w:eastAsia="Calibri" w:hAnsi="Arial" w:cs="Arial"/>
          <w:szCs w:val="24"/>
          <w:lang w:val="es-ES_tradnl" w:eastAsia="es-ES_tradnl"/>
        </w:rPr>
        <w:t xml:space="preserve"> a las entidades sometidas al EGCAP, particularmente, a los negocios jurídicos que para la adquisición de bienes, obras o servicios celebren con otras entidades estatales exceptuadas, patrimonios autónomos, personas naturales o jurídicas de derecho privado. Por lo tanto, es posible afirmar que los efectos de la norma se proyectan a los negocios jurídicos descritos en el primer inciso, comoquiera que la norma no alude a procesos de selección o contratos diferentes de los requeridos para perfeccionar el negocio jurídico entre la Entidad Estatal sometida al EGCAP y el respectivo sujeto derecho privado. </w:t>
      </w:r>
    </w:p>
    <w:p w14:paraId="75C05331" w14:textId="77777777" w:rsidR="001F57E2" w:rsidRPr="00C046D8" w:rsidRDefault="001F57E2" w:rsidP="001F57E2">
      <w:pPr>
        <w:tabs>
          <w:tab w:val="left" w:pos="0"/>
        </w:tabs>
        <w:spacing w:after="120" w:line="276" w:lineRule="auto"/>
        <w:jc w:val="both"/>
        <w:rPr>
          <w:rFonts w:ascii="Arial" w:hAnsi="Arial" w:cs="Arial"/>
          <w:sz w:val="21"/>
          <w:szCs w:val="21"/>
        </w:rPr>
      </w:pPr>
      <w:r w:rsidRPr="00C046D8">
        <w:rPr>
          <w:rFonts w:ascii="Arial" w:eastAsia="Calibri" w:hAnsi="Arial" w:cs="Arial"/>
          <w:bCs/>
          <w:szCs w:val="24"/>
          <w:lang w:val="es-ES_tradnl" w:eastAsia="es-ES_tradnl"/>
        </w:rPr>
        <w:tab/>
      </w:r>
      <w:r w:rsidRPr="00165C4E">
        <w:rPr>
          <w:rFonts w:ascii="Arial" w:eastAsia="Calibri" w:hAnsi="Arial" w:cs="Arial"/>
          <w:szCs w:val="24"/>
          <w:lang w:val="es-ES_tradnl" w:eastAsia="es-ES_tradnl"/>
        </w:rPr>
        <w:t>Ahora bien, r</w:t>
      </w:r>
      <w:r w:rsidRPr="00165C4E">
        <w:rPr>
          <w:rFonts w:ascii="Arial" w:hAnsi="Arial" w:cs="Arial"/>
        </w:rPr>
        <w:t xml:space="preserve">especto de la subcontratación debe indicarse que, </w:t>
      </w:r>
      <w:r w:rsidRPr="00165C4E">
        <w:rPr>
          <w:rFonts w:ascii="Arial" w:hAnsi="Arial" w:cs="Arial"/>
          <w:lang w:val="es-ES"/>
        </w:rPr>
        <w:t>aunque en materia de contratación estatal hay algunas referencias a esta institución en las Leyes 80 de 1993</w:t>
      </w:r>
      <w:r w:rsidRPr="00165C4E">
        <w:rPr>
          <w:rFonts w:ascii="Arial" w:hAnsi="Arial" w:cs="Arial"/>
          <w:vertAlign w:val="superscript"/>
          <w:lang w:val="es-ES"/>
        </w:rPr>
        <w:footnoteReference w:id="28"/>
      </w:r>
      <w:r w:rsidRPr="00165C4E">
        <w:rPr>
          <w:rFonts w:ascii="Arial" w:hAnsi="Arial" w:cs="Arial"/>
          <w:lang w:val="es-ES"/>
        </w:rPr>
        <w:t xml:space="preserve"> </w:t>
      </w:r>
      <w:r w:rsidRPr="00165C4E">
        <w:rPr>
          <w:rFonts w:ascii="Arial" w:hAnsi="Arial" w:cs="Arial"/>
          <w:lang w:val="es-ES"/>
        </w:rPr>
        <w:lastRenderedPageBreak/>
        <w:t>y 1150 de 2007</w:t>
      </w:r>
      <w:r w:rsidRPr="00165C4E">
        <w:rPr>
          <w:rFonts w:ascii="Arial" w:hAnsi="Arial" w:cs="Arial"/>
          <w:vertAlign w:val="superscript"/>
          <w:lang w:val="es-ES"/>
        </w:rPr>
        <w:footnoteReference w:id="29"/>
      </w:r>
      <w:r w:rsidRPr="00165C4E">
        <w:rPr>
          <w:rFonts w:ascii="Arial" w:hAnsi="Arial" w:cs="Arial"/>
          <w:lang w:val="es-ES"/>
        </w:rPr>
        <w:t xml:space="preserve"> y en el Decreto 1082 de 2015</w:t>
      </w:r>
      <w:r w:rsidRPr="00165C4E">
        <w:rPr>
          <w:rFonts w:ascii="Arial" w:hAnsi="Arial" w:cs="Arial"/>
          <w:vertAlign w:val="superscript"/>
          <w:lang w:val="es-ES"/>
        </w:rPr>
        <w:footnoteReference w:id="30"/>
      </w:r>
      <w:r w:rsidRPr="00165C4E">
        <w:rPr>
          <w:rFonts w:ascii="Arial" w:hAnsi="Arial" w:cs="Arial"/>
          <w:lang w:val="es-ES"/>
        </w:rPr>
        <w:t xml:space="preserve">, el ordenamiento jurídico adolece de una disposición legal que brinde una definición de subcontratación. Sin embargo, la jurisprudencia y la doctrina se han encargado de estudiar y analizar la naturaleza de esta figura y han construido los elementos y características propias de la subcontratación. Por un lado, la doctrina ha señalado que </w:t>
      </w:r>
      <w:r w:rsidRPr="00165C4E">
        <w:rPr>
          <w:rFonts w:ascii="Arial" w:eastAsia="Times New Roman" w:hAnsi="Arial" w:cs="Arial"/>
          <w:lang w:eastAsia="es-ES_tradnl"/>
        </w:rPr>
        <w:t>“La subcontratación supone la celebración de un contrato eventual y accesorio, entre un contratista del Estado y un tercero, sin que aquel tenga el deber, por regla general, de agotar un previo procedimiento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Pr="00165C4E">
        <w:rPr>
          <w:rFonts w:ascii="Arial" w:eastAsia="Times New Roman" w:hAnsi="Arial" w:cs="Arial"/>
          <w:szCs w:val="24"/>
          <w:lang w:eastAsia="es-ES_tradnl"/>
        </w:rPr>
        <w:t>”</w:t>
      </w:r>
      <w:r w:rsidRPr="00165C4E">
        <w:rPr>
          <w:rFonts w:ascii="Arial" w:eastAsia="Times New Roman" w:hAnsi="Arial" w:cs="Arial"/>
          <w:vertAlign w:val="superscript"/>
          <w:lang w:eastAsia="es-ES_tradnl"/>
        </w:rPr>
        <w:footnoteReference w:id="31"/>
      </w:r>
      <w:r w:rsidRPr="00165C4E">
        <w:rPr>
          <w:rFonts w:ascii="Arial" w:eastAsia="Times New Roman" w:hAnsi="Arial" w:cs="Arial"/>
          <w:szCs w:val="24"/>
          <w:lang w:eastAsia="es-ES_tradnl"/>
        </w:rPr>
        <w:t xml:space="preserve">. En el ámbito internacional se ha entendido a la subcontratación como </w:t>
      </w:r>
      <w:r w:rsidRPr="00165C4E">
        <w:rPr>
          <w:rFonts w:ascii="Arial" w:eastAsia="Times New Roman" w:hAnsi="Arial" w:cs="Arial"/>
          <w:lang w:eastAsia="es-ES_tradnl"/>
        </w:rPr>
        <w:t>“</w:t>
      </w:r>
      <w:r w:rsidRPr="00165C4E">
        <w:rPr>
          <w:rFonts w:ascii="Arial" w:eastAsia="Times New Roman" w:hAnsi="Arial" w:cs="Arial"/>
          <w:szCs w:val="24"/>
          <w:lang w:eastAsia="es-ES_tradnl"/>
        </w:rPr>
        <w:t>La práctica mercantil de organización productiva en virtud de la cual el contratista o subcontratista encarga a otro subcontratista o trabajador autónomo parte de lo que a él se le ha encomendado”</w:t>
      </w:r>
      <w:r w:rsidRPr="00165C4E">
        <w:rPr>
          <w:rFonts w:ascii="Arial" w:eastAsia="Times New Roman" w:hAnsi="Arial" w:cs="Arial"/>
          <w:szCs w:val="24"/>
          <w:vertAlign w:val="superscript"/>
          <w:lang w:eastAsia="es-ES_tradnl"/>
        </w:rPr>
        <w:footnoteReference w:id="32"/>
      </w:r>
      <w:r w:rsidRPr="00165C4E">
        <w:rPr>
          <w:rFonts w:ascii="Arial" w:eastAsia="Times New Roman" w:hAnsi="Arial" w:cs="Arial"/>
          <w:szCs w:val="24"/>
          <w:lang w:eastAsia="es-ES_tradnl"/>
        </w:rPr>
        <w:t xml:space="preserve">. En el marco de esta figura, se define el nivel de subcontratación como </w:t>
      </w:r>
      <w:r w:rsidRPr="00165C4E">
        <w:rPr>
          <w:rFonts w:ascii="Arial" w:eastAsia="Times New Roman" w:hAnsi="Arial" w:cs="Arial"/>
          <w:lang w:eastAsia="es-ES_tradnl"/>
        </w:rPr>
        <w:t>“</w:t>
      </w:r>
      <w:r w:rsidRPr="00165C4E">
        <w:rPr>
          <w:rFonts w:ascii="Arial" w:eastAsia="Times New Roman" w:hAnsi="Arial" w:cs="Arial"/>
          <w:szCs w:val="24"/>
          <w:lang w:eastAsia="es-ES_tradnl"/>
        </w:rPr>
        <w:t>Cada uno de los escalones en que se estructura el proceso de subcontratación que se desarrolla para la ejecución de la totalidad o parte de la obra asumida contractualmente por el contratista con el promotor”</w:t>
      </w:r>
      <w:r w:rsidRPr="00165C4E">
        <w:rPr>
          <w:rFonts w:ascii="Arial" w:eastAsia="Times New Roman" w:hAnsi="Arial" w:cs="Arial"/>
          <w:szCs w:val="24"/>
          <w:vertAlign w:val="superscript"/>
          <w:lang w:eastAsia="es-ES_tradnl"/>
        </w:rPr>
        <w:footnoteReference w:id="33"/>
      </w:r>
      <w:r w:rsidRPr="00165C4E">
        <w:rPr>
          <w:rFonts w:ascii="Arial" w:hAnsi="Arial" w:cs="Arial"/>
        </w:rPr>
        <w:t>.</w:t>
      </w:r>
      <w:r w:rsidRPr="00C046D8">
        <w:rPr>
          <w:rFonts w:ascii="Arial" w:hAnsi="Arial" w:cs="Arial"/>
        </w:rPr>
        <w:t xml:space="preserve"> </w:t>
      </w:r>
    </w:p>
    <w:p w14:paraId="6E4481EC" w14:textId="77777777" w:rsidR="001F57E2" w:rsidRPr="00C046D8" w:rsidRDefault="001F57E2" w:rsidP="001F57E2">
      <w:pPr>
        <w:spacing w:after="120" w:line="276" w:lineRule="auto"/>
        <w:ind w:firstLine="709"/>
        <w:jc w:val="both"/>
        <w:rPr>
          <w:rFonts w:ascii="Arial" w:eastAsia="Times New Roman" w:hAnsi="Arial" w:cs="Arial"/>
          <w:szCs w:val="24"/>
          <w:lang w:eastAsia="es-ES_tradnl"/>
        </w:rPr>
      </w:pPr>
      <w:r w:rsidRPr="00C046D8">
        <w:rPr>
          <w:rFonts w:ascii="Arial" w:eastAsia="Times New Roman" w:hAnsi="Arial" w:cs="Arial"/>
          <w:szCs w:val="24"/>
          <w:lang w:eastAsia="es-ES_tradnl"/>
        </w:rPr>
        <w:t>De lo expuesto se resaltan como características esenciales de la subcontratación las siguientes: i) es un contrato eventual, en la medida en que depende de una regulación previa a su celebración en el pliego de condiciones o en el contrato estatal,</w:t>
      </w:r>
      <w:r w:rsidRPr="00C046D8">
        <w:rPr>
          <w:rFonts w:ascii="Arial" w:eastAsia="Times New Roman" w:hAnsi="Arial" w:cs="Arial"/>
          <w:lang w:eastAsia="es-ES_tradnl"/>
        </w:rPr>
        <w:t xml:space="preserve"> ii) es </w:t>
      </w:r>
      <w:r w:rsidRPr="00C046D8">
        <w:rPr>
          <w:rFonts w:ascii="Arial" w:eastAsia="Times New Roman" w:hAnsi="Arial" w:cs="Arial"/>
          <w:szCs w:val="24"/>
          <w:lang w:eastAsia="es-ES_tradnl"/>
        </w:rPr>
        <w:t xml:space="preserve">un contrato accesorio, pues asegura el cumplimiento de la obligación principal, iii) la relación jurídica que surge entre el </w:t>
      </w:r>
      <w:r w:rsidRPr="00C046D8">
        <w:rPr>
          <w:rFonts w:ascii="Arial" w:eastAsia="Times New Roman" w:hAnsi="Arial" w:cs="Arial"/>
          <w:lang w:eastAsia="es-ES_tradnl"/>
        </w:rPr>
        <w:t>contratista del estado y el tercero</w:t>
      </w:r>
      <w:r w:rsidRPr="00C046D8">
        <w:rPr>
          <w:rFonts w:ascii="Arial" w:eastAsia="Times New Roman" w:hAnsi="Arial" w:cs="Arial"/>
          <w:szCs w:val="24"/>
          <w:lang w:eastAsia="es-ES_tradnl"/>
        </w:rPr>
        <w:t xml:space="preserve"> es independiente y autónoma de la entidad contratante, </w:t>
      </w:r>
      <w:proofErr w:type="spellStart"/>
      <w:r w:rsidRPr="00C046D8">
        <w:rPr>
          <w:rFonts w:ascii="Arial" w:eastAsia="Times New Roman" w:hAnsi="Arial" w:cs="Arial"/>
          <w:bCs/>
          <w:szCs w:val="24"/>
          <w:lang w:val="es-ES" w:eastAsia="es-ES_tradnl"/>
        </w:rPr>
        <w:t>iv</w:t>
      </w:r>
      <w:proofErr w:type="spellEnd"/>
      <w:r w:rsidRPr="00C046D8">
        <w:rPr>
          <w:rFonts w:ascii="Arial" w:eastAsia="Times New Roman" w:hAnsi="Arial" w:cs="Arial"/>
          <w:bCs/>
          <w:szCs w:val="24"/>
          <w:lang w:val="es-ES" w:eastAsia="es-ES_tradnl"/>
        </w:rPr>
        <w:t>) la sustitución es parcial, lo que significa que no podrán subcontratar la ejecución total del contrato principal y vi) la sustitución es material y no jurídica, por lo tanto, no relevará al contratista del estado de las responsabilidades emanadas del contrato principal.</w:t>
      </w:r>
    </w:p>
    <w:p w14:paraId="55393624" w14:textId="77777777" w:rsidR="001F57E2" w:rsidRPr="00C046D8" w:rsidRDefault="001F57E2" w:rsidP="001F57E2">
      <w:pPr>
        <w:spacing w:after="120" w:line="276" w:lineRule="auto"/>
        <w:ind w:firstLine="709"/>
        <w:jc w:val="both"/>
        <w:rPr>
          <w:rFonts w:ascii="Arial" w:eastAsia="Times New Roman" w:hAnsi="Arial" w:cs="Arial"/>
          <w:szCs w:val="24"/>
          <w:lang w:eastAsia="es-ES_tradnl"/>
        </w:rPr>
      </w:pPr>
      <w:r w:rsidRPr="00C046D8">
        <w:rPr>
          <w:rFonts w:ascii="Arial" w:hAnsi="Arial" w:cs="Arial"/>
          <w:lang w:val="es-ES"/>
        </w:rPr>
        <w:lastRenderedPageBreak/>
        <w:t>Teniendo en cuenta lo expuesto, l</w:t>
      </w:r>
      <w:r w:rsidRPr="00C046D8">
        <w:rPr>
          <w:rFonts w:ascii="Arial" w:eastAsia="Times New Roman" w:hAnsi="Arial" w:cs="Arial"/>
          <w:lang w:eastAsia="es-ES_tradnl"/>
        </w:rPr>
        <w:t xml:space="preserve">a subcontratación supone la celebración de un contrato eventual y accesorio, entre un contratista del Estado y un tercero, sin que aquel tenga el deber, por regla general, de agotar un procedimiento previo de selección, y por medio del cual el segundo sustituye parcial y materialmente al primero, quien conserva la dirección general del proyecto y es responsable ante la </w:t>
      </w:r>
      <w:r>
        <w:rPr>
          <w:rFonts w:ascii="Arial" w:eastAsia="Times New Roman" w:hAnsi="Arial" w:cs="Arial"/>
          <w:lang w:eastAsia="es-ES_tradnl"/>
        </w:rPr>
        <w:t>Entidad Estatal</w:t>
      </w:r>
      <w:r w:rsidRPr="00C046D8">
        <w:rPr>
          <w:rFonts w:ascii="Arial" w:eastAsia="Times New Roman" w:hAnsi="Arial" w:cs="Arial"/>
          <w:lang w:eastAsia="es-ES_tradnl"/>
        </w:rPr>
        <w:t xml:space="preserve">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w:t>
      </w:r>
    </w:p>
    <w:p w14:paraId="0EDEE337" w14:textId="77777777" w:rsidR="001F57E2" w:rsidRPr="00C046D8" w:rsidRDefault="001F57E2" w:rsidP="001F57E2">
      <w:pPr>
        <w:spacing w:after="120" w:line="276" w:lineRule="auto"/>
        <w:ind w:firstLine="709"/>
        <w:jc w:val="both"/>
        <w:rPr>
          <w:rFonts w:ascii="Arial" w:eastAsia="Calibri" w:hAnsi="Arial" w:cs="Arial"/>
          <w:bCs/>
          <w:lang w:val="es-ES_tradnl" w:eastAsia="es-ES_tradnl"/>
        </w:rPr>
      </w:pPr>
      <w:r w:rsidRPr="00165C4E">
        <w:rPr>
          <w:rFonts w:ascii="Arial" w:eastAsia="Times New Roman" w:hAnsi="Arial" w:cs="Arial"/>
          <w:lang w:eastAsia="es-ES_tradnl"/>
        </w:rPr>
        <w:t>Con base en estos elementos, debe tenerse en cuenta que la situación de los subcontratistas no hace parte de aquella circunstancia que quiso regular el artículo objeto de estudio. E</w:t>
      </w:r>
      <w:r w:rsidRPr="00165C4E">
        <w:rPr>
          <w:rFonts w:ascii="Arial" w:eastAsia="Calibri" w:hAnsi="Arial" w:cs="Arial"/>
          <w:lang w:val="es-ES_tradnl" w:eastAsia="es-ES_tradnl"/>
        </w:rPr>
        <w:t>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general de contratación pública con el respectivo sujeto de derecho privado, sin mencionar en ningún momento a los subcontratos o la contratación derivada de aquellos. Tampoco se observa que la norma aprobada faculte a los mencionados sujetos de derecho privado a fungir como entidades estatales en estos subcontratos, ejerciendo potestades unilaterales o exorbitantes.</w:t>
      </w:r>
      <w:r w:rsidRPr="00C046D8">
        <w:rPr>
          <w:rFonts w:ascii="Arial" w:eastAsia="Calibri" w:hAnsi="Arial" w:cs="Arial"/>
          <w:bCs/>
          <w:lang w:val="es-ES_tradnl" w:eastAsia="es-ES_tradnl"/>
        </w:rPr>
        <w:t xml:space="preserve">  </w:t>
      </w:r>
    </w:p>
    <w:p w14:paraId="17BF6A2F" w14:textId="77777777" w:rsidR="001F57E2" w:rsidRDefault="001F57E2" w:rsidP="001F57E2">
      <w:pPr>
        <w:tabs>
          <w:tab w:val="left" w:pos="0"/>
        </w:tabs>
        <w:spacing w:after="0" w:line="276" w:lineRule="auto"/>
        <w:contextualSpacing/>
        <w:jc w:val="both"/>
        <w:rPr>
          <w:rFonts w:ascii="Arial" w:eastAsia="Times New Roman" w:hAnsi="Arial" w:cs="Arial"/>
          <w:lang w:val="es-ES_tradnl" w:eastAsia="es-ES_tradnl"/>
        </w:rPr>
      </w:pPr>
      <w:r w:rsidRPr="00C046D8">
        <w:rPr>
          <w:rFonts w:ascii="Arial" w:eastAsia="Times New Roman" w:hAnsi="Arial" w:cs="Arial"/>
          <w:lang w:val="es-ES_tradnl" w:eastAsia="es-ES_tradnl"/>
        </w:rPr>
        <w:tab/>
      </w:r>
      <w:bookmarkStart w:id="20" w:name="_Hlk113023769"/>
      <w:r w:rsidRPr="00165C4E">
        <w:rPr>
          <w:rFonts w:ascii="Arial" w:eastAsia="Times New Roman" w:hAnsi="Arial" w:cs="Arial"/>
          <w:lang w:val="es-ES_tradnl" w:eastAsia="es-ES_tradnl"/>
        </w:rPr>
        <w:t>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por cuanto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sobre la extensión de una Ley previamente explicada</w:t>
      </w:r>
      <w:bookmarkEnd w:id="20"/>
      <w:r w:rsidRPr="00165C4E">
        <w:rPr>
          <w:rFonts w:ascii="Arial" w:eastAsia="Times New Roman" w:hAnsi="Arial" w:cs="Arial"/>
          <w:vertAlign w:val="superscript"/>
          <w:lang w:val="es-ES_tradnl" w:eastAsia="es-ES_tradnl"/>
        </w:rPr>
        <w:footnoteReference w:id="34"/>
      </w:r>
      <w:r w:rsidRPr="00165C4E">
        <w:rPr>
          <w:rFonts w:ascii="Arial" w:eastAsia="Times New Roman" w:hAnsi="Arial" w:cs="Arial"/>
          <w:lang w:val="es-ES_tradnl" w:eastAsia="es-ES_tradnl"/>
        </w:rPr>
        <w:t>.</w:t>
      </w:r>
    </w:p>
    <w:p w14:paraId="25593F34" w14:textId="77777777" w:rsidR="001F57E2" w:rsidRDefault="001F57E2" w:rsidP="001F57E2">
      <w:pPr>
        <w:tabs>
          <w:tab w:val="left" w:pos="0"/>
        </w:tabs>
        <w:spacing w:after="0" w:line="276" w:lineRule="auto"/>
        <w:contextualSpacing/>
        <w:jc w:val="both"/>
        <w:rPr>
          <w:rFonts w:ascii="Arial" w:eastAsia="Times New Roman" w:hAnsi="Arial" w:cs="Arial"/>
          <w:lang w:val="es-ES_tradnl" w:eastAsia="es-ES_tradnl"/>
        </w:rPr>
      </w:pPr>
    </w:p>
    <w:p w14:paraId="6BDA7538" w14:textId="77777777" w:rsidR="001F57E2" w:rsidRPr="00C046D8" w:rsidRDefault="001F57E2" w:rsidP="001F57E2">
      <w:pPr>
        <w:tabs>
          <w:tab w:val="left" w:pos="0"/>
        </w:tabs>
        <w:spacing w:after="0" w:line="276" w:lineRule="auto"/>
        <w:contextualSpacing/>
        <w:jc w:val="both"/>
        <w:rPr>
          <w:rFonts w:ascii="Arial" w:eastAsia="Calibri" w:hAnsi="Arial" w:cs="Arial"/>
          <w:b/>
          <w:szCs w:val="24"/>
          <w:lang w:val="es-ES_tradnl" w:eastAsia="es-ES_tradnl"/>
        </w:rPr>
      </w:pPr>
      <w:r w:rsidRPr="00C046D8">
        <w:rPr>
          <w:rFonts w:ascii="Arial" w:eastAsia="Calibri" w:hAnsi="Arial" w:cs="Arial"/>
          <w:b/>
          <w:szCs w:val="24"/>
          <w:lang w:val="es-ES_tradnl" w:eastAsia="es-ES_tradnl"/>
        </w:rPr>
        <w:t>3. Respuesta</w:t>
      </w:r>
      <w:r>
        <w:rPr>
          <w:rFonts w:ascii="Arial" w:eastAsia="Calibri" w:hAnsi="Arial" w:cs="Arial"/>
          <w:b/>
          <w:szCs w:val="24"/>
          <w:lang w:val="es-ES_tradnl" w:eastAsia="es-ES_tradnl"/>
        </w:rPr>
        <w:t>s</w:t>
      </w:r>
    </w:p>
    <w:p w14:paraId="36CFE28D" w14:textId="77777777" w:rsidR="001F57E2" w:rsidRDefault="001F57E2" w:rsidP="001F57E2">
      <w:pPr>
        <w:spacing w:after="0" w:line="276" w:lineRule="auto"/>
        <w:jc w:val="both"/>
        <w:rPr>
          <w:rFonts w:ascii="Arial" w:eastAsia="Calibri" w:hAnsi="Arial" w:cs="Arial"/>
          <w:lang w:val="es-ES" w:eastAsia="es-ES"/>
        </w:rPr>
      </w:pPr>
    </w:p>
    <w:p w14:paraId="603302C7" w14:textId="77777777" w:rsidR="001F57E2" w:rsidRPr="009035EB" w:rsidRDefault="001F57E2" w:rsidP="001F57E2">
      <w:pPr>
        <w:spacing w:after="0" w:line="240" w:lineRule="auto"/>
        <w:ind w:left="709" w:right="709"/>
        <w:jc w:val="both"/>
        <w:rPr>
          <w:rFonts w:ascii="Arial" w:eastAsia="Calibri" w:hAnsi="Arial" w:cs="Arial"/>
          <w:sz w:val="21"/>
          <w:szCs w:val="21"/>
          <w:lang w:val="es-ES" w:eastAsia="es-ES"/>
        </w:rPr>
      </w:pPr>
      <w:r w:rsidRPr="00E01FFC">
        <w:rPr>
          <w:rFonts w:ascii="Arial" w:eastAsia="Calibri" w:hAnsi="Arial" w:cs="Arial"/>
          <w:sz w:val="21"/>
          <w:szCs w:val="21"/>
          <w:lang w:val="es-ES" w:eastAsia="es-ES"/>
        </w:rPr>
        <w:t xml:space="preserve">“Se puede considerar factible la utilización del régimen privado al que está sometido el Hospital de Nazareth, haciendo uso íntegro de los principios contenidos en EGCAP, artículos 209 y 267 Supra, prescindiendo de la aplicación del pliego tipo, en el entendido que, este documento a la luz de lo dispuesto en el artículo 56 de la ley 2195 de 2022 no es de obligatoria utilización, toda vez que, de conformidad con lo que dispone la norma en mención, su utilización es </w:t>
      </w:r>
      <w:r w:rsidRPr="00E01FFC">
        <w:rPr>
          <w:rFonts w:ascii="Arial" w:eastAsia="Calibri" w:hAnsi="Arial" w:cs="Arial"/>
          <w:sz w:val="21"/>
          <w:szCs w:val="21"/>
          <w:lang w:val="es-ES" w:eastAsia="es-ES"/>
        </w:rPr>
        <w:lastRenderedPageBreak/>
        <w:t>obligatoria si el recurso proviene de la celebración de un contrato o convenio interadministrativo o de cualquier índole, no siendo este el caso, en razón a que, el recurso provino de una transferencia o asignación directa condicionada por parte del Ministerio de Salud y Protección?”</w:t>
      </w:r>
      <w:r w:rsidRPr="009035EB">
        <w:rPr>
          <w:rFonts w:ascii="Arial" w:eastAsia="Calibri" w:hAnsi="Arial" w:cs="Arial"/>
          <w:sz w:val="21"/>
          <w:szCs w:val="21"/>
          <w:lang w:val="es-ES" w:eastAsia="es-ES"/>
        </w:rPr>
        <w:t>.</w:t>
      </w:r>
    </w:p>
    <w:p w14:paraId="1FFE780B" w14:textId="77777777" w:rsidR="001F57E2" w:rsidRDefault="001F57E2" w:rsidP="001F57E2">
      <w:pPr>
        <w:spacing w:after="0" w:line="276" w:lineRule="auto"/>
        <w:jc w:val="both"/>
        <w:rPr>
          <w:rFonts w:ascii="Arial" w:eastAsia="Calibri" w:hAnsi="Arial" w:cs="Arial"/>
          <w:lang w:val="es-ES" w:eastAsia="es-ES"/>
        </w:rPr>
      </w:pPr>
    </w:p>
    <w:p w14:paraId="004FF91E" w14:textId="77777777" w:rsidR="001F57E2" w:rsidRDefault="001F57E2" w:rsidP="001F57E2">
      <w:pPr>
        <w:spacing w:after="120" w:line="276" w:lineRule="auto"/>
        <w:jc w:val="both"/>
        <w:rPr>
          <w:rFonts w:ascii="Arial" w:hAnsi="Arial" w:cs="Arial"/>
          <w:lang w:val="es-ES_tradnl"/>
        </w:rPr>
      </w:pPr>
      <w:r w:rsidRPr="00165C4E">
        <w:rPr>
          <w:rFonts w:ascii="Arial" w:eastAsia="Calibri" w:hAnsi="Arial" w:cs="Arial"/>
          <w:lang w:val="es-ES" w:eastAsia="es-ES"/>
        </w:rPr>
        <w:t xml:space="preserve">Conforme </w:t>
      </w:r>
      <w:r>
        <w:rPr>
          <w:rFonts w:ascii="Arial" w:eastAsia="Calibri" w:hAnsi="Arial" w:cs="Arial"/>
          <w:lang w:val="es-ES" w:eastAsia="es-ES"/>
        </w:rPr>
        <w:t>a la interpretación de las normas generales del sistema de compras públicas</w:t>
      </w:r>
      <w:bookmarkEnd w:id="0"/>
      <w:bookmarkEnd w:id="1"/>
      <w:r>
        <w:rPr>
          <w:rFonts w:ascii="Arial" w:hAnsi="Arial" w:cs="Arial"/>
          <w:lang w:val="es-ES_tradnl"/>
        </w:rPr>
        <w:t>, e</w:t>
      </w:r>
      <w:r w:rsidRPr="0001657A">
        <w:rPr>
          <w:rFonts w:ascii="Arial" w:hAnsi="Arial" w:cs="Arial"/>
          <w:lang w:val="es-ES_tradnl"/>
        </w:rPr>
        <w:t xml:space="preserv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w:t>
      </w:r>
    </w:p>
    <w:p w14:paraId="1714B371" w14:textId="77777777" w:rsidR="001F57E2" w:rsidRPr="00894867" w:rsidRDefault="001F57E2" w:rsidP="001F57E2">
      <w:pPr>
        <w:spacing w:after="120" w:line="276" w:lineRule="auto"/>
        <w:ind w:firstLine="708"/>
        <w:jc w:val="both"/>
        <w:rPr>
          <w:rFonts w:ascii="Arial" w:hAnsi="Arial" w:cs="Arial"/>
          <w:lang w:val="es-ES_tradnl"/>
        </w:rPr>
      </w:pPr>
      <w:r w:rsidRPr="0001657A">
        <w:rPr>
          <w:rFonts w:ascii="Arial" w:hAnsi="Arial" w:cs="Arial"/>
          <w:lang w:val="es-ES_tradnl"/>
        </w:rPr>
        <w:t>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w:t>
      </w:r>
      <w:r>
        <w:rPr>
          <w:rFonts w:ascii="Arial" w:hAnsi="Arial" w:cs="Arial"/>
          <w:lang w:val="es-ES_tradnl"/>
        </w:rPr>
        <w:t xml:space="preserve"> </w:t>
      </w:r>
      <w:r w:rsidRPr="00864E72">
        <w:rPr>
          <w:rFonts w:ascii="Arial" w:hAnsi="Arial" w:cs="Arial"/>
          <w:shd w:val="clear" w:color="auto" w:fill="FFFFFF"/>
          <w:lang w:val="es-ES_tradnl"/>
        </w:rPr>
        <w:t xml:space="preserve">No obstante, se encuentran exceptuadas del ámbito de aplicación de la norma </w:t>
      </w:r>
      <w:r w:rsidRPr="00864E72">
        <w:rPr>
          <w:rFonts w:ascii="Arial" w:hAnsi="Arial" w:cs="Arial"/>
          <w:shd w:val="clear" w:color="auto" w:fill="FFFFFF"/>
        </w:rPr>
        <w:t>las instituciones de educación superior públicas, las empresas sociales del Estado, las sociedades de economía mixta y las empresas industriales y comerciales del Estado, únicamente en cuanto a la contratación de su giro ordinario</w:t>
      </w:r>
      <w:r w:rsidRPr="00864E72">
        <w:rPr>
          <w:rFonts w:ascii="Arial" w:hAnsi="Arial" w:cs="Arial"/>
          <w:shd w:val="clear" w:color="auto" w:fill="FFFFFF"/>
          <w:lang w:val="es-ES_tradnl"/>
        </w:rPr>
        <w:t>.</w:t>
      </w:r>
      <w:r>
        <w:rPr>
          <w:rFonts w:ascii="Arial" w:hAnsi="Arial" w:cs="Arial"/>
          <w:shd w:val="clear" w:color="auto" w:fill="FFFFFF"/>
          <w:lang w:val="es-ES_tradnl"/>
        </w:rPr>
        <w:t xml:space="preserve"> </w:t>
      </w:r>
      <w:r w:rsidRPr="00864E72">
        <w:rPr>
          <w:rFonts w:ascii="Arial" w:hAnsi="Arial" w:cs="Arial"/>
          <w:color w:val="000000" w:themeColor="text1"/>
          <w:shd w:val="clear" w:color="auto" w:fill="FFFFFF"/>
          <w:lang w:val="es-ES_tradnl"/>
        </w:rPr>
        <w:t xml:space="preserve">Bajo los lineamientos </w:t>
      </w:r>
      <w:r>
        <w:rPr>
          <w:rFonts w:ascii="Arial" w:hAnsi="Arial" w:cs="Arial"/>
          <w:color w:val="000000" w:themeColor="text1"/>
          <w:shd w:val="clear" w:color="auto" w:fill="FFFFFF"/>
          <w:lang w:val="es-ES_tradnl"/>
        </w:rPr>
        <w:t>descritos en el concepto</w:t>
      </w:r>
      <w:r w:rsidRPr="00864E72">
        <w:rPr>
          <w:rFonts w:ascii="Arial" w:hAnsi="Arial" w:cs="Arial"/>
          <w:color w:val="000000" w:themeColor="text1"/>
          <w:shd w:val="clear" w:color="auto" w:fill="FFFFFF"/>
          <w:lang w:val="es-ES_tradnl"/>
        </w:rPr>
        <w:t>, cada entidad pública debe hacer un ejercicio de subsunción a efectos de determinar si la no</w:t>
      </w:r>
      <w:r>
        <w:rPr>
          <w:rFonts w:ascii="Arial" w:hAnsi="Arial" w:cs="Arial"/>
          <w:color w:val="000000" w:themeColor="text1"/>
          <w:shd w:val="clear" w:color="auto" w:fill="FFFFFF"/>
          <w:lang w:val="es-ES_tradnl"/>
        </w:rPr>
        <w:t>r</w:t>
      </w:r>
      <w:r w:rsidRPr="00864E72">
        <w:rPr>
          <w:rFonts w:ascii="Arial" w:hAnsi="Arial" w:cs="Arial"/>
          <w:color w:val="000000" w:themeColor="text1"/>
          <w:shd w:val="clear" w:color="auto" w:fill="FFFFFF"/>
          <w:lang w:val="es-ES_tradnl"/>
        </w:rPr>
        <w:t xml:space="preserve">ma en cita resulta aplicable, dada su naturaleza jurídica. </w:t>
      </w:r>
    </w:p>
    <w:p w14:paraId="1034AABB" w14:textId="77777777" w:rsidR="001F57E2" w:rsidRDefault="001F57E2" w:rsidP="001F57E2">
      <w:pPr>
        <w:widowControl w:val="0"/>
        <w:autoSpaceDE w:val="0"/>
        <w:autoSpaceDN w:val="0"/>
        <w:spacing w:after="120" w:line="276" w:lineRule="auto"/>
        <w:ind w:right="113" w:firstLine="709"/>
        <w:jc w:val="both"/>
        <w:rPr>
          <w:rFonts w:ascii="Arial" w:hAnsi="Arial" w:cs="Arial"/>
          <w:color w:val="000000" w:themeColor="text1"/>
          <w:lang w:val="es-ES"/>
        </w:rPr>
      </w:pPr>
      <w:r>
        <w:rPr>
          <w:rFonts w:ascii="Arial" w:hAnsi="Arial" w:cs="Arial"/>
          <w:color w:val="000000" w:themeColor="text1"/>
          <w:lang w:val="es-ES"/>
        </w:rPr>
        <w:t>Dentro de este marco, la entidad contratante definirá la aplicación o no de los documentos tipo en cada caso concreto. Al tratarse de un análisis que debe realizarse en el procedimiento contractual específico, la Agencia Nacional de Contratación Pública – Colombia Compra Eficiente no puede definir un criterio universal y absoluto por vía consultiva, sino que brinda elementos de carácter general para que los partícipes del sistema de compras y contratación pública adopten la decisión que corresponda, lo cual es acorde con el principio de juridicidad.</w:t>
      </w:r>
    </w:p>
    <w:p w14:paraId="4F867E03" w14:textId="77777777" w:rsidR="001F57E2" w:rsidRPr="00894867" w:rsidRDefault="001F57E2" w:rsidP="001F57E2">
      <w:pPr>
        <w:widowControl w:val="0"/>
        <w:autoSpaceDE w:val="0"/>
        <w:autoSpaceDN w:val="0"/>
        <w:spacing w:after="0" w:line="276" w:lineRule="auto"/>
        <w:ind w:right="114" w:firstLine="708"/>
        <w:jc w:val="both"/>
        <w:rPr>
          <w:rFonts w:ascii="Arial" w:hAnsi="Arial" w:cs="Arial"/>
          <w:color w:val="000000" w:themeColor="text1"/>
          <w:lang w:val="es-ES"/>
        </w:rPr>
      </w:pPr>
    </w:p>
    <w:p w14:paraId="759D2052" w14:textId="77777777" w:rsidR="001F57E2" w:rsidRPr="00781AC2" w:rsidRDefault="001F57E2" w:rsidP="001F57E2">
      <w:pPr>
        <w:spacing w:after="0" w:line="276" w:lineRule="auto"/>
        <w:jc w:val="both"/>
        <w:rPr>
          <w:rFonts w:ascii="Arial" w:hAnsi="Arial" w:cs="Arial"/>
          <w:lang w:val="es-ES_tradnl"/>
        </w:rPr>
      </w:pPr>
      <w:r w:rsidRPr="00781AC2">
        <w:rPr>
          <w:rFonts w:ascii="Arial" w:hAnsi="Arial" w:cs="Arial"/>
          <w:lang w:val="es-ES_tradnl"/>
        </w:rPr>
        <w:t>Este concepto tiene el alcance previsto en el artículo 28 del Código de Procedimiento Administrativo y de lo Contencioso Administrativo.</w:t>
      </w:r>
    </w:p>
    <w:p w14:paraId="27EDD709" w14:textId="77777777" w:rsidR="001F57E2" w:rsidRPr="000F4A3A" w:rsidRDefault="001F57E2" w:rsidP="001F57E2">
      <w:pPr>
        <w:tabs>
          <w:tab w:val="left" w:pos="426"/>
        </w:tabs>
        <w:spacing w:before="120" w:after="0"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6A5F47D0" w14:textId="6DF5C3DF" w:rsidR="001F57E2" w:rsidRPr="00CB70D9" w:rsidRDefault="00A0520B" w:rsidP="001F57E2">
      <w:pPr>
        <w:spacing w:after="0"/>
        <w:jc w:val="center"/>
        <w:rPr>
          <w:rFonts w:ascii="Arial" w:eastAsia="Times New Roman" w:hAnsi="Arial" w:cs="Arial"/>
          <w:lang w:eastAsia="es-CO"/>
        </w:rPr>
      </w:pPr>
      <w:r>
        <w:rPr>
          <w:noProof/>
        </w:rPr>
        <w:lastRenderedPageBreak/>
        <w:drawing>
          <wp:inline distT="0" distB="0" distL="0" distR="0" wp14:anchorId="086844D7" wp14:editId="2325A547">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1F57E2" w:rsidRPr="003F5F71" w14:paraId="1549AC91" w14:textId="77777777" w:rsidTr="000A2E6D">
        <w:trPr>
          <w:trHeight w:val="409"/>
        </w:trPr>
        <w:tc>
          <w:tcPr>
            <w:tcW w:w="817" w:type="dxa"/>
            <w:tcBorders>
              <w:top w:val="nil"/>
              <w:left w:val="nil"/>
              <w:bottom w:val="nil"/>
              <w:right w:val="nil"/>
            </w:tcBorders>
            <w:vAlign w:val="center"/>
            <w:hideMark/>
          </w:tcPr>
          <w:p w14:paraId="6452E4B5" w14:textId="77777777" w:rsidR="001F57E2" w:rsidRPr="009C1F1A" w:rsidRDefault="001F57E2" w:rsidP="000A2E6D">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B1CCE0B" w14:textId="77777777" w:rsidR="001F57E2" w:rsidRPr="009C1F1A" w:rsidRDefault="001F57E2" w:rsidP="000A2E6D">
            <w:pPr>
              <w:spacing w:after="0" w:line="240" w:lineRule="auto"/>
              <w:jc w:val="both"/>
              <w:rPr>
                <w:rFonts w:ascii="Arial" w:hAnsi="Arial" w:cs="Arial"/>
                <w:sz w:val="16"/>
                <w:szCs w:val="16"/>
              </w:rPr>
            </w:pPr>
            <w:r>
              <w:rPr>
                <w:rFonts w:ascii="Arial" w:hAnsi="Arial" w:cs="Arial"/>
                <w:sz w:val="16"/>
                <w:szCs w:val="16"/>
              </w:rPr>
              <w:t>Juan David Montoya Penagos</w:t>
            </w:r>
          </w:p>
          <w:p w14:paraId="7B19511D" w14:textId="77777777" w:rsidR="001F57E2" w:rsidRPr="009C1F1A" w:rsidRDefault="001F57E2" w:rsidP="000A2E6D">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1F57E2" w:rsidRPr="003F5F71" w14:paraId="4E6F6D38" w14:textId="77777777" w:rsidTr="000A2E6D">
        <w:trPr>
          <w:trHeight w:val="409"/>
        </w:trPr>
        <w:tc>
          <w:tcPr>
            <w:tcW w:w="817" w:type="dxa"/>
            <w:tcBorders>
              <w:top w:val="nil"/>
              <w:left w:val="nil"/>
              <w:right w:val="nil"/>
            </w:tcBorders>
            <w:vAlign w:val="center"/>
          </w:tcPr>
          <w:p w14:paraId="466DE0DC" w14:textId="77777777" w:rsidR="001F57E2" w:rsidRPr="1CF3ADA9" w:rsidRDefault="001F57E2" w:rsidP="000A2E6D">
            <w:pPr>
              <w:spacing w:after="0"/>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0583BE1" w14:textId="77777777" w:rsidR="001F57E2" w:rsidRPr="000358F4" w:rsidRDefault="001F57E2" w:rsidP="000A2E6D">
            <w:pPr>
              <w:spacing w:after="0" w:line="240" w:lineRule="auto"/>
              <w:jc w:val="both"/>
              <w:rPr>
                <w:rFonts w:ascii="Arial" w:hAnsi="Arial" w:cs="Arial"/>
                <w:sz w:val="16"/>
                <w:szCs w:val="16"/>
              </w:rPr>
            </w:pPr>
            <w:r w:rsidRPr="000358F4">
              <w:rPr>
                <w:rFonts w:ascii="Arial" w:hAnsi="Arial" w:cs="Arial"/>
                <w:sz w:val="16"/>
                <w:szCs w:val="16"/>
              </w:rPr>
              <w:t>Martha Alicia Romero Vargas</w:t>
            </w:r>
          </w:p>
          <w:p w14:paraId="53FDE60D" w14:textId="77777777" w:rsidR="001F57E2" w:rsidRPr="009C1F1A" w:rsidRDefault="001F57E2" w:rsidP="000A2E6D">
            <w:pPr>
              <w:spacing w:after="0" w:line="240" w:lineRule="auto"/>
              <w:jc w:val="both"/>
              <w:rPr>
                <w:rFonts w:ascii="Arial" w:hAnsi="Arial" w:cs="Arial"/>
                <w:sz w:val="16"/>
                <w:szCs w:val="16"/>
              </w:rPr>
            </w:pPr>
            <w:r w:rsidRPr="000358F4">
              <w:rPr>
                <w:rFonts w:ascii="Arial" w:hAnsi="Arial" w:cs="Arial"/>
                <w:sz w:val="16"/>
                <w:szCs w:val="16"/>
              </w:rPr>
              <w:t>Gestor T1 ‒ 15 de la Subdirección de Gestión Contractual</w:t>
            </w:r>
          </w:p>
        </w:tc>
      </w:tr>
      <w:tr w:rsidR="001F57E2" w:rsidRPr="003F5F71" w14:paraId="7C5AD011" w14:textId="77777777" w:rsidTr="000A2E6D">
        <w:trPr>
          <w:trHeight w:val="389"/>
        </w:trPr>
        <w:tc>
          <w:tcPr>
            <w:tcW w:w="817" w:type="dxa"/>
            <w:tcBorders>
              <w:top w:val="nil"/>
              <w:left w:val="nil"/>
              <w:bottom w:val="nil"/>
              <w:right w:val="nil"/>
            </w:tcBorders>
            <w:vAlign w:val="center"/>
            <w:hideMark/>
          </w:tcPr>
          <w:p w14:paraId="23BDE62C" w14:textId="77777777" w:rsidR="001F57E2" w:rsidRPr="009C1F1A" w:rsidRDefault="001F57E2" w:rsidP="000A2E6D">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733DDE1" w14:textId="77777777" w:rsidR="001F57E2" w:rsidRPr="009C1F1A" w:rsidRDefault="001F57E2" w:rsidP="000A2E6D">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2BD3EDE9" w14:textId="77777777" w:rsidR="001F57E2" w:rsidRPr="009C1F1A" w:rsidRDefault="001F57E2" w:rsidP="000A2E6D">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42ED26DE" w14:textId="77777777" w:rsidR="001F57E2" w:rsidRPr="006219F8" w:rsidRDefault="001F57E2" w:rsidP="001F57E2">
      <w:pPr>
        <w:tabs>
          <w:tab w:val="left" w:pos="0"/>
        </w:tabs>
        <w:spacing w:after="0" w:line="276" w:lineRule="auto"/>
        <w:contextualSpacing/>
        <w:jc w:val="both"/>
        <w:rPr>
          <w:lang w:val="es-MX"/>
        </w:rPr>
      </w:pPr>
    </w:p>
    <w:p w14:paraId="1EF8F4E2" w14:textId="77777777" w:rsidR="001F57E2" w:rsidRPr="00D42C11" w:rsidRDefault="001F57E2" w:rsidP="001F57E2"/>
    <w:p w14:paraId="0F293BF4" w14:textId="4E630EB9" w:rsidR="00127233" w:rsidRPr="008F01A5" w:rsidRDefault="00E245AB" w:rsidP="008F01A5">
      <w:r w:rsidRPr="008F01A5">
        <w:t xml:space="preserve"> </w:t>
      </w:r>
    </w:p>
    <w:sectPr w:rsidR="00127233" w:rsidRPr="008F01A5"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BD8A" w14:textId="77777777" w:rsidR="00457DD3" w:rsidRDefault="00457DD3" w:rsidP="004A1847">
      <w:pPr>
        <w:spacing w:after="0" w:line="240" w:lineRule="auto"/>
      </w:pPr>
      <w:r>
        <w:separator/>
      </w:r>
    </w:p>
  </w:endnote>
  <w:endnote w:type="continuationSeparator" w:id="0">
    <w:p w14:paraId="247CB54F" w14:textId="77777777" w:rsidR="00457DD3" w:rsidRDefault="00457DD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2A8A" w14:textId="77777777" w:rsidR="00457DD3" w:rsidRDefault="00457DD3" w:rsidP="004A1847">
      <w:pPr>
        <w:spacing w:after="0" w:line="240" w:lineRule="auto"/>
      </w:pPr>
      <w:r>
        <w:separator/>
      </w:r>
    </w:p>
  </w:footnote>
  <w:footnote w:type="continuationSeparator" w:id="0">
    <w:p w14:paraId="084FF665" w14:textId="77777777" w:rsidR="00457DD3" w:rsidRDefault="00457DD3" w:rsidP="004A1847">
      <w:pPr>
        <w:spacing w:after="0" w:line="240" w:lineRule="auto"/>
      </w:pPr>
      <w:r>
        <w:continuationSeparator/>
      </w:r>
    </w:p>
  </w:footnote>
  <w:footnote w:id="1">
    <w:p w14:paraId="223598C1" w14:textId="77777777" w:rsidR="001F57E2" w:rsidRPr="00894867" w:rsidRDefault="001F57E2" w:rsidP="001F57E2">
      <w:pPr>
        <w:pStyle w:val="Textonotapie"/>
        <w:ind w:firstLine="708"/>
        <w:jc w:val="both"/>
        <w:rPr>
          <w:rFonts w:ascii="Arial" w:hAnsi="Arial" w:cs="Arial"/>
          <w:sz w:val="18"/>
          <w:szCs w:val="18"/>
          <w:lang w:val="es-ES"/>
        </w:rPr>
      </w:pPr>
      <w:r w:rsidRPr="00894867">
        <w:rPr>
          <w:rStyle w:val="Refdenotaalpie"/>
          <w:rFonts w:ascii="Arial" w:hAnsi="Arial" w:cs="Arial"/>
          <w:sz w:val="18"/>
          <w:szCs w:val="18"/>
        </w:rPr>
        <w:footnoteRef/>
      </w:r>
      <w:r w:rsidRPr="00894867">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94867">
        <w:rPr>
          <w:rFonts w:ascii="Arial" w:hAnsi="Arial" w:cs="Arial"/>
          <w:i/>
          <w:iCs/>
          <w:sz w:val="18"/>
          <w:szCs w:val="18"/>
        </w:rPr>
        <w:t xml:space="preserve">ibidem </w:t>
      </w:r>
      <w:r w:rsidRPr="00894867">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D31E513" w14:textId="77777777" w:rsidR="001F57E2" w:rsidRPr="00894867" w:rsidRDefault="001F57E2" w:rsidP="001F57E2">
      <w:pPr>
        <w:pStyle w:val="Textonotapie"/>
        <w:ind w:firstLine="708"/>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w:t>
      </w:r>
      <w:r w:rsidRPr="00894867">
        <w:rPr>
          <w:rFonts w:ascii="Arial" w:hAnsi="Arial" w:cs="Arial"/>
          <w:sz w:val="18"/>
          <w:szCs w:val="18"/>
          <w:lang w:val="es-CO"/>
        </w:rPr>
        <w:t xml:space="preserve">Estos conceptos pueden ser consultados en la Relatoría de esta Agencia en el siguiente Link: </w:t>
      </w:r>
      <w:hyperlink r:id="rId1" w:history="1">
        <w:r w:rsidRPr="00894867">
          <w:rPr>
            <w:rStyle w:val="Hipervnculo"/>
            <w:rFonts w:ascii="Arial" w:hAnsi="Arial" w:cs="Arial"/>
            <w:sz w:val="18"/>
            <w:szCs w:val="18"/>
            <w:lang w:val="es-CO"/>
          </w:rPr>
          <w:t>https://relatoria.colombiacompra.gov.co/busqueda/conceptos</w:t>
        </w:r>
      </w:hyperlink>
      <w:r w:rsidRPr="00894867">
        <w:rPr>
          <w:rFonts w:ascii="Arial" w:hAnsi="Arial" w:cs="Arial"/>
          <w:sz w:val="18"/>
          <w:szCs w:val="18"/>
          <w:lang w:val="es-CO"/>
        </w:rPr>
        <w:t>.</w:t>
      </w:r>
    </w:p>
  </w:footnote>
  <w:footnote w:id="3">
    <w:p w14:paraId="7E2DF63F" w14:textId="77777777" w:rsidR="001F57E2" w:rsidRPr="00894867" w:rsidRDefault="001F57E2" w:rsidP="001F57E2">
      <w:pPr>
        <w:pStyle w:val="Textonotapie"/>
        <w:ind w:firstLine="709"/>
        <w:jc w:val="both"/>
        <w:rPr>
          <w:rFonts w:ascii="Arial" w:hAnsi="Arial" w:cs="Arial"/>
          <w:color w:val="000000"/>
          <w:sz w:val="18"/>
          <w:szCs w:val="18"/>
          <w:lang w:val="es-CO"/>
        </w:rPr>
      </w:pPr>
      <w:r w:rsidRPr="00894867">
        <w:rPr>
          <w:rStyle w:val="Refdenotaalpie"/>
          <w:rFonts w:ascii="Arial" w:hAnsi="Arial" w:cs="Arial"/>
          <w:color w:val="000000"/>
          <w:sz w:val="18"/>
          <w:szCs w:val="18"/>
        </w:rPr>
        <w:footnoteRef/>
      </w:r>
      <w:r w:rsidRPr="00894867">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444CC1E7" w14:textId="77777777" w:rsidR="001F57E2" w:rsidRPr="00894867" w:rsidRDefault="001F57E2" w:rsidP="001F57E2">
      <w:pPr>
        <w:pStyle w:val="Textonotapie"/>
        <w:ind w:firstLine="709"/>
        <w:jc w:val="both"/>
        <w:rPr>
          <w:rFonts w:ascii="Arial" w:hAnsi="Arial" w:cs="Arial"/>
          <w:color w:val="000000"/>
          <w:sz w:val="18"/>
          <w:szCs w:val="18"/>
        </w:rPr>
      </w:pPr>
      <w:r w:rsidRPr="00894867">
        <w:rPr>
          <w:rStyle w:val="Refdenotaalpie"/>
          <w:rFonts w:ascii="Arial" w:hAnsi="Arial" w:cs="Arial"/>
          <w:color w:val="000000"/>
          <w:sz w:val="18"/>
          <w:szCs w:val="18"/>
        </w:rPr>
        <w:footnoteRef/>
      </w:r>
      <w:r w:rsidRPr="00894867">
        <w:rPr>
          <w:rFonts w:ascii="Arial" w:hAnsi="Arial" w:cs="Arial"/>
          <w:color w:val="000000"/>
          <w:sz w:val="18"/>
          <w:szCs w:val="18"/>
        </w:rPr>
        <w:t xml:space="preserve"> </w:t>
      </w:r>
      <w:r w:rsidRPr="00894867">
        <w:rPr>
          <w:rFonts w:ascii="Arial" w:hAnsi="Arial" w:cs="Arial"/>
          <w:color w:val="000000"/>
          <w:sz w:val="18"/>
          <w:szCs w:val="18"/>
          <w:lang w:val="es-CO"/>
        </w:rPr>
        <w:t xml:space="preserve">Ley 1882 de 2018: “Artículo 4. </w:t>
      </w:r>
      <w:r w:rsidRPr="00894867">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FB78DDD" w14:textId="77777777" w:rsidR="001F57E2" w:rsidRPr="00894867" w:rsidRDefault="001F57E2" w:rsidP="001F57E2">
      <w:pPr>
        <w:pStyle w:val="Textonotapie"/>
        <w:ind w:firstLine="709"/>
        <w:jc w:val="both"/>
        <w:rPr>
          <w:rFonts w:ascii="Arial" w:hAnsi="Arial" w:cs="Arial"/>
          <w:color w:val="000000"/>
          <w:sz w:val="18"/>
          <w:szCs w:val="18"/>
          <w:lang w:val="es-CO"/>
        </w:rPr>
      </w:pPr>
      <w:r w:rsidRPr="00894867">
        <w:rPr>
          <w:rFonts w:ascii="Arial" w:hAnsi="Arial" w:cs="Arial"/>
          <w:color w:val="000000"/>
          <w:sz w:val="18"/>
          <w:szCs w:val="18"/>
          <w:lang w:val="es-CO"/>
        </w:rPr>
        <w:t>La facultad de adoptar documentos tipo la tendrá el Gobierno nacional, cuando lo considere necesario, en relación con otros contratos o procesos de selección.</w:t>
      </w:r>
    </w:p>
    <w:p w14:paraId="4FCA340C" w14:textId="77777777" w:rsidR="001F57E2" w:rsidRPr="00894867" w:rsidRDefault="001F57E2" w:rsidP="001F57E2">
      <w:pPr>
        <w:pStyle w:val="Textonotapie"/>
        <w:ind w:firstLine="709"/>
        <w:jc w:val="both"/>
        <w:rPr>
          <w:rFonts w:ascii="Arial" w:hAnsi="Arial" w:cs="Arial"/>
          <w:color w:val="000000"/>
          <w:sz w:val="18"/>
          <w:szCs w:val="18"/>
          <w:lang w:val="es-CO"/>
        </w:rPr>
      </w:pPr>
      <w:r w:rsidRPr="00894867">
        <w:rPr>
          <w:rFonts w:ascii="Arial" w:hAnsi="Arial" w:cs="Arial"/>
          <w:color w:val="000000"/>
          <w:sz w:val="18"/>
          <w:szCs w:val="18"/>
          <w:lang w:val="es-CO"/>
        </w:rPr>
        <w:t>Los pliegos tipo se adoptarán por categorías de acuerdo con la cuantía de la contratación, según la reglamentación que expida el Gobierno nacional”.</w:t>
      </w:r>
    </w:p>
  </w:footnote>
  <w:footnote w:id="5">
    <w:p w14:paraId="1B3B8541" w14:textId="77777777" w:rsidR="001F57E2" w:rsidRPr="00894867" w:rsidRDefault="001F57E2" w:rsidP="001F57E2">
      <w:pPr>
        <w:pStyle w:val="Textonotapie"/>
        <w:ind w:firstLine="709"/>
        <w:jc w:val="both"/>
        <w:rPr>
          <w:rFonts w:ascii="Arial" w:hAnsi="Arial" w:cs="Arial"/>
          <w:color w:val="000000"/>
          <w:sz w:val="18"/>
          <w:szCs w:val="18"/>
        </w:rPr>
      </w:pPr>
      <w:r w:rsidRPr="00894867">
        <w:rPr>
          <w:rStyle w:val="Refdenotaalpie"/>
          <w:rFonts w:ascii="Arial" w:hAnsi="Arial" w:cs="Arial"/>
          <w:color w:val="000000"/>
          <w:sz w:val="18"/>
          <w:szCs w:val="18"/>
        </w:rPr>
        <w:footnoteRef/>
      </w:r>
      <w:r w:rsidRPr="00894867">
        <w:rPr>
          <w:rFonts w:ascii="Arial" w:hAnsi="Arial"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5573E0BC" w14:textId="77777777" w:rsidR="001F57E2" w:rsidRPr="00894867" w:rsidRDefault="001F57E2" w:rsidP="001F57E2">
      <w:pPr>
        <w:pStyle w:val="Textonotapie"/>
        <w:ind w:firstLine="708"/>
        <w:jc w:val="both"/>
        <w:rPr>
          <w:rFonts w:ascii="Arial" w:hAnsi="Arial" w:cs="Arial"/>
          <w:color w:val="000000"/>
          <w:sz w:val="18"/>
          <w:szCs w:val="18"/>
        </w:rPr>
      </w:pPr>
      <w:r w:rsidRPr="00894867">
        <w:rPr>
          <w:rStyle w:val="Refdenotaalpie"/>
          <w:rFonts w:ascii="Arial" w:hAnsi="Arial" w:cs="Arial"/>
          <w:color w:val="000000"/>
          <w:sz w:val="18"/>
          <w:szCs w:val="18"/>
        </w:rPr>
        <w:footnoteRef/>
      </w:r>
      <w:r w:rsidRPr="00894867">
        <w:rPr>
          <w:rFonts w:ascii="Arial" w:hAnsi="Arial" w:cs="Arial"/>
          <w:color w:val="000000"/>
          <w:sz w:val="18"/>
          <w:szCs w:val="18"/>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14:paraId="59816922" w14:textId="77777777" w:rsidR="001F57E2" w:rsidRPr="00894867" w:rsidRDefault="001F57E2" w:rsidP="001F57E2">
      <w:pPr>
        <w:pStyle w:val="Textonotapie"/>
        <w:ind w:firstLine="708"/>
        <w:jc w:val="both"/>
        <w:rPr>
          <w:rFonts w:ascii="Arial" w:hAnsi="Arial" w:cs="Arial"/>
          <w:color w:val="000000"/>
          <w:sz w:val="18"/>
          <w:szCs w:val="18"/>
        </w:rPr>
      </w:pPr>
      <w:r w:rsidRPr="00894867">
        <w:rPr>
          <w:rFonts w:ascii="Arial" w:hAnsi="Arial" w:cs="Arial"/>
          <w:color w:val="000000"/>
          <w:sz w:val="18"/>
          <w:szCs w:val="18"/>
        </w:rPr>
        <w:t>Artículo 4o. Adiciónese el siguiente parágrafo al artículo 2o de la Ley 1150 de 2007.</w:t>
      </w:r>
    </w:p>
    <w:p w14:paraId="54AB1936" w14:textId="77777777" w:rsidR="001F57E2" w:rsidRPr="00894867" w:rsidRDefault="001F57E2" w:rsidP="001F57E2">
      <w:pPr>
        <w:pStyle w:val="Textonotapie"/>
        <w:ind w:firstLine="708"/>
        <w:jc w:val="both"/>
        <w:rPr>
          <w:rFonts w:ascii="Arial" w:hAnsi="Arial" w:cs="Arial"/>
          <w:color w:val="000000"/>
          <w:sz w:val="18"/>
          <w:szCs w:val="18"/>
        </w:rPr>
      </w:pPr>
      <w:r w:rsidRPr="00894867">
        <w:rPr>
          <w:rFonts w:ascii="Arial" w:hAnsi="Arial"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2F320FB" w14:textId="77777777" w:rsidR="001F57E2" w:rsidRPr="00894867" w:rsidRDefault="001F57E2" w:rsidP="001F57E2">
      <w:pPr>
        <w:pStyle w:val="Textonotapie"/>
        <w:ind w:firstLine="708"/>
        <w:jc w:val="both"/>
        <w:rPr>
          <w:rFonts w:ascii="Arial" w:hAnsi="Arial" w:cs="Arial"/>
          <w:color w:val="000000"/>
          <w:sz w:val="18"/>
          <w:szCs w:val="18"/>
        </w:rPr>
      </w:pPr>
      <w:r w:rsidRPr="00894867">
        <w:rPr>
          <w:rFonts w:ascii="Arial" w:hAnsi="Arial"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4451A66" w14:textId="77777777" w:rsidR="001F57E2" w:rsidRPr="00894867" w:rsidRDefault="001F57E2" w:rsidP="001F57E2">
      <w:pPr>
        <w:pStyle w:val="Textonotapie"/>
        <w:ind w:firstLine="708"/>
        <w:jc w:val="both"/>
        <w:rPr>
          <w:rFonts w:ascii="Arial" w:hAnsi="Arial" w:cs="Arial"/>
          <w:color w:val="000000"/>
          <w:sz w:val="18"/>
          <w:szCs w:val="18"/>
        </w:rPr>
      </w:pPr>
      <w:r w:rsidRPr="00894867">
        <w:rPr>
          <w:rFonts w:ascii="Arial" w:hAnsi="Arial"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A126D08" w14:textId="77777777" w:rsidR="001F57E2" w:rsidRPr="00894867" w:rsidRDefault="001F57E2" w:rsidP="001F57E2">
      <w:pPr>
        <w:pStyle w:val="Textonotapie"/>
        <w:ind w:firstLine="708"/>
        <w:jc w:val="both"/>
        <w:rPr>
          <w:rFonts w:ascii="Arial" w:hAnsi="Arial" w:cs="Arial"/>
          <w:color w:val="000000"/>
          <w:sz w:val="18"/>
          <w:szCs w:val="18"/>
        </w:rPr>
      </w:pPr>
      <w:r w:rsidRPr="00894867">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FEDABAA" w14:textId="77777777" w:rsidR="001F57E2" w:rsidRPr="00894867" w:rsidRDefault="001F57E2" w:rsidP="001F57E2">
      <w:pPr>
        <w:pStyle w:val="Textonotapie"/>
        <w:ind w:firstLine="708"/>
        <w:jc w:val="both"/>
        <w:rPr>
          <w:rFonts w:ascii="Arial" w:hAnsi="Arial" w:cs="Arial"/>
          <w:color w:val="000000"/>
          <w:sz w:val="18"/>
          <w:szCs w:val="18"/>
        </w:rPr>
      </w:pPr>
      <w:r w:rsidRPr="00894867">
        <w:rPr>
          <w:rFonts w:ascii="Arial" w:hAnsi="Arial"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3BDF77D8" w14:textId="77777777" w:rsidR="001F57E2" w:rsidRPr="00894867" w:rsidRDefault="001F57E2" w:rsidP="001F57E2">
      <w:pPr>
        <w:pStyle w:val="Textonotapie"/>
        <w:ind w:firstLine="709"/>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El artículo 5 dispone que “</w:t>
      </w:r>
      <w:r w:rsidRPr="00894867">
        <w:rPr>
          <w:rFonts w:ascii="Arial" w:hAnsi="Arial" w:cs="Arial"/>
          <w:sz w:val="18"/>
          <w:szCs w:val="18"/>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8">
    <w:p w14:paraId="07056034" w14:textId="77777777" w:rsidR="001F57E2" w:rsidRPr="00894867" w:rsidRDefault="001F57E2" w:rsidP="001F57E2">
      <w:pPr>
        <w:pStyle w:val="Textonotapie"/>
        <w:ind w:firstLine="708"/>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CONGRESO DE LA REPÚBLICA., Gaceta legislativa No. 1249 de 4 de noviembre de 2020 – Senado.</w:t>
      </w:r>
    </w:p>
    <w:p w14:paraId="74487059" w14:textId="77777777" w:rsidR="001F57E2" w:rsidRPr="00894867" w:rsidRDefault="001F57E2" w:rsidP="001F57E2">
      <w:pPr>
        <w:pStyle w:val="Textonotapie"/>
        <w:ind w:firstLine="708"/>
        <w:jc w:val="both"/>
        <w:rPr>
          <w:rFonts w:ascii="Arial" w:hAnsi="Arial" w:cs="Arial"/>
          <w:sz w:val="18"/>
          <w:szCs w:val="18"/>
          <w:lang w:val="es-CO"/>
        </w:rPr>
      </w:pPr>
    </w:p>
  </w:footnote>
  <w:footnote w:id="9">
    <w:p w14:paraId="1A0AEEC9" w14:textId="77777777" w:rsidR="001F57E2" w:rsidRPr="00894867" w:rsidRDefault="001F57E2" w:rsidP="001F57E2">
      <w:pPr>
        <w:pStyle w:val="Textonotapie"/>
        <w:ind w:firstLine="708"/>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CONGRESO DE LA REPÚBLICA., </w:t>
      </w:r>
      <w:r w:rsidRPr="00894867">
        <w:rPr>
          <w:rFonts w:ascii="Arial" w:hAnsi="Arial" w:cs="Arial"/>
          <w:sz w:val="18"/>
          <w:szCs w:val="18"/>
          <w:lang w:val="es-CO"/>
        </w:rPr>
        <w:t>Gaceta legislativa No.1677 de 23 de noviembre de 2021 – Cámara de Representantes.</w:t>
      </w:r>
    </w:p>
  </w:footnote>
  <w:footnote w:id="10">
    <w:p w14:paraId="30775097" w14:textId="77777777" w:rsidR="001F57E2" w:rsidRPr="00894867" w:rsidRDefault="001F57E2" w:rsidP="001F57E2">
      <w:pPr>
        <w:pStyle w:val="Textonotapie"/>
        <w:ind w:firstLine="708"/>
        <w:jc w:val="both"/>
        <w:rPr>
          <w:rFonts w:ascii="Arial" w:hAnsi="Arial" w:cs="Arial"/>
          <w:sz w:val="18"/>
          <w:szCs w:val="18"/>
        </w:rPr>
      </w:pPr>
    </w:p>
    <w:p w14:paraId="6C5B73D7" w14:textId="77777777" w:rsidR="001F57E2" w:rsidRPr="00894867" w:rsidRDefault="001F57E2" w:rsidP="001F57E2">
      <w:pPr>
        <w:pStyle w:val="Textonotapie"/>
        <w:ind w:firstLine="708"/>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w:t>
      </w:r>
      <w:r w:rsidRPr="00894867">
        <w:rPr>
          <w:rFonts w:ascii="Arial" w:hAnsi="Arial" w:cs="Arial"/>
          <w:sz w:val="18"/>
          <w:szCs w:val="18"/>
          <w:lang w:val="es-CO"/>
        </w:rPr>
        <w:t xml:space="preserve">Intervención realizada por </w:t>
      </w:r>
      <w:r w:rsidRPr="00894867">
        <w:rPr>
          <w:rFonts w:ascii="Arial" w:eastAsia="Calibri" w:hAnsi="Arial" w:cs="Arial"/>
          <w:sz w:val="18"/>
          <w:szCs w:val="18"/>
          <w:lang w:val="es-ES_tradnl" w:eastAsia="es-ES_tradnl"/>
        </w:rPr>
        <w:t xml:space="preserve">el subdirector de Gestión Contractual de la Agencia, en ese entonces, el abogado Jorge Tirado, que reposa en la gaceta legislativa No. 274 del 13 de abril de 2021 - </w:t>
      </w:r>
      <w:r w:rsidRPr="00894867">
        <w:rPr>
          <w:rFonts w:ascii="Arial" w:hAnsi="Arial" w:cs="Arial"/>
          <w:sz w:val="18"/>
          <w:szCs w:val="18"/>
        </w:rPr>
        <w:t>Senado del Congreso de la República.</w:t>
      </w:r>
    </w:p>
  </w:footnote>
  <w:footnote w:id="11">
    <w:p w14:paraId="0B77E7C9" w14:textId="77777777" w:rsidR="001F57E2" w:rsidRPr="00894867" w:rsidRDefault="001F57E2" w:rsidP="001F57E2">
      <w:pPr>
        <w:pStyle w:val="Textonotapie"/>
        <w:ind w:firstLine="708"/>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Ver articulado propuesto en el informe de ponencia para primer debate del </w:t>
      </w:r>
      <w:r w:rsidRPr="00894867">
        <w:rPr>
          <w:rFonts w:ascii="Arial" w:eastAsia="Calibri" w:hAnsi="Arial" w:cs="Arial"/>
          <w:sz w:val="18"/>
          <w:szCs w:val="18"/>
          <w:lang w:val="es-ES_tradnl" w:eastAsia="es-ES_tradnl"/>
        </w:rPr>
        <w:t>Proyecto de Ley No. 341 de 2020</w:t>
      </w:r>
      <w:r w:rsidRPr="00894867">
        <w:rPr>
          <w:rFonts w:ascii="Arial" w:hAnsi="Arial" w:cs="Arial"/>
          <w:sz w:val="18"/>
          <w:szCs w:val="18"/>
        </w:rPr>
        <w:t xml:space="preserve">del </w:t>
      </w:r>
      <w:r w:rsidRPr="00894867">
        <w:rPr>
          <w:rFonts w:ascii="Arial" w:eastAsia="Calibri" w:hAnsi="Arial" w:cs="Arial"/>
          <w:sz w:val="18"/>
          <w:szCs w:val="18"/>
          <w:lang w:val="es-ES_tradnl" w:eastAsia="es-ES_tradnl"/>
        </w:rPr>
        <w:t xml:space="preserve">gaceta legislativa No. 274 del 13 de abril de 2021 - </w:t>
      </w:r>
      <w:r w:rsidRPr="00894867">
        <w:rPr>
          <w:rFonts w:ascii="Arial" w:hAnsi="Arial" w:cs="Arial"/>
          <w:sz w:val="18"/>
          <w:szCs w:val="18"/>
        </w:rPr>
        <w:t>Senado del Congreso de la República.</w:t>
      </w:r>
    </w:p>
  </w:footnote>
  <w:footnote w:id="12">
    <w:p w14:paraId="1203B40F" w14:textId="77777777" w:rsidR="001F57E2" w:rsidRPr="00894867" w:rsidRDefault="001F57E2" w:rsidP="001F57E2">
      <w:pPr>
        <w:pStyle w:val="Textonotapie"/>
        <w:ind w:firstLine="708"/>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Ver aparte de pliego de modificaciones en el informe de ponencia para primer debate del </w:t>
      </w:r>
      <w:r w:rsidRPr="00894867">
        <w:rPr>
          <w:rFonts w:ascii="Arial" w:eastAsia="Calibri" w:hAnsi="Arial" w:cs="Arial"/>
          <w:sz w:val="18"/>
          <w:szCs w:val="18"/>
          <w:lang w:val="es-ES_tradnl" w:eastAsia="es-ES_tradnl"/>
        </w:rPr>
        <w:t>Proyecto de Ley No. 341 de 2020</w:t>
      </w:r>
      <w:r w:rsidRPr="00894867">
        <w:rPr>
          <w:rFonts w:ascii="Arial" w:hAnsi="Arial" w:cs="Arial"/>
          <w:sz w:val="18"/>
          <w:szCs w:val="18"/>
        </w:rPr>
        <w:t xml:space="preserve">del </w:t>
      </w:r>
      <w:r w:rsidRPr="00894867">
        <w:rPr>
          <w:rFonts w:ascii="Arial" w:eastAsia="Calibri" w:hAnsi="Arial" w:cs="Arial"/>
          <w:sz w:val="18"/>
          <w:szCs w:val="18"/>
          <w:lang w:val="es-ES_tradnl" w:eastAsia="es-ES_tradnl"/>
        </w:rPr>
        <w:t xml:space="preserve">gaceta legislativa No. 274 del 13 de abril de 2021 - </w:t>
      </w:r>
      <w:r w:rsidRPr="00894867">
        <w:rPr>
          <w:rFonts w:ascii="Arial" w:hAnsi="Arial" w:cs="Arial"/>
          <w:sz w:val="18"/>
          <w:szCs w:val="18"/>
        </w:rPr>
        <w:t>Senado del Congreso de la República.</w:t>
      </w:r>
    </w:p>
    <w:p w14:paraId="331F531B" w14:textId="77777777" w:rsidR="001F57E2" w:rsidRPr="00894867" w:rsidRDefault="001F57E2" w:rsidP="001F57E2">
      <w:pPr>
        <w:pStyle w:val="Textonotapie"/>
        <w:ind w:firstLine="708"/>
        <w:jc w:val="both"/>
        <w:rPr>
          <w:rFonts w:ascii="Arial" w:hAnsi="Arial" w:cs="Arial"/>
          <w:sz w:val="18"/>
          <w:szCs w:val="18"/>
          <w:lang w:val="es-CO"/>
        </w:rPr>
      </w:pPr>
    </w:p>
  </w:footnote>
  <w:footnote w:id="13">
    <w:p w14:paraId="53C3FA5D" w14:textId="77777777" w:rsidR="001F57E2" w:rsidRPr="00894867" w:rsidRDefault="001F57E2" w:rsidP="001F57E2">
      <w:pPr>
        <w:pStyle w:val="Textonotapie"/>
        <w:ind w:firstLine="708"/>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CONGRESO DE LA REPÚBLICA., Gaceta legislativa No. 1160 del 9 de septiembre de 2021</w:t>
      </w:r>
      <w:r w:rsidRPr="00894867">
        <w:rPr>
          <w:rFonts w:ascii="Arial" w:eastAsia="Calibri" w:hAnsi="Arial" w:cs="Arial"/>
          <w:sz w:val="18"/>
          <w:szCs w:val="18"/>
          <w:lang w:val="es-ES_tradnl" w:eastAsia="es-ES_tradnl"/>
        </w:rPr>
        <w:t xml:space="preserve">- </w:t>
      </w:r>
      <w:r w:rsidRPr="00894867">
        <w:rPr>
          <w:rFonts w:ascii="Arial" w:hAnsi="Arial" w:cs="Arial"/>
          <w:sz w:val="18"/>
          <w:szCs w:val="18"/>
        </w:rPr>
        <w:t>Senado.</w:t>
      </w:r>
    </w:p>
  </w:footnote>
  <w:footnote w:id="14">
    <w:p w14:paraId="2068AD89" w14:textId="77777777" w:rsidR="001F57E2" w:rsidRPr="00894867" w:rsidRDefault="001F57E2" w:rsidP="001F57E2">
      <w:pPr>
        <w:pStyle w:val="Textonotapie"/>
        <w:ind w:firstLine="708"/>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CONGRESO DE LA REPÚBLICA., </w:t>
      </w:r>
      <w:r w:rsidRPr="00894867">
        <w:rPr>
          <w:rFonts w:ascii="Arial" w:hAnsi="Arial" w:cs="Arial"/>
          <w:sz w:val="18"/>
          <w:szCs w:val="18"/>
          <w:lang w:val="es-CO"/>
        </w:rPr>
        <w:t>Gaceta legislativa No. 1589 del 9 de noviembre de 2021 – Senado.</w:t>
      </w:r>
    </w:p>
  </w:footnote>
  <w:footnote w:id="15">
    <w:p w14:paraId="6AD61BE3" w14:textId="77777777" w:rsidR="001F57E2" w:rsidRPr="00894867" w:rsidRDefault="001F57E2" w:rsidP="001F57E2">
      <w:pPr>
        <w:pStyle w:val="Textonotapie"/>
        <w:ind w:firstLine="708"/>
        <w:jc w:val="both"/>
        <w:rPr>
          <w:rFonts w:ascii="Arial" w:hAnsi="Arial" w:cs="Arial"/>
          <w:sz w:val="18"/>
          <w:szCs w:val="18"/>
        </w:rPr>
      </w:pPr>
    </w:p>
    <w:p w14:paraId="32F8B95E" w14:textId="77777777" w:rsidR="001F57E2" w:rsidRPr="00894867" w:rsidRDefault="001F57E2" w:rsidP="001F57E2">
      <w:pPr>
        <w:pStyle w:val="Textonotapie"/>
        <w:ind w:firstLine="708"/>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w:t>
      </w:r>
      <w:r w:rsidRPr="00894867">
        <w:rPr>
          <w:rFonts w:ascii="Arial" w:hAnsi="Arial" w:cs="Arial"/>
          <w:sz w:val="18"/>
          <w:szCs w:val="18"/>
          <w:lang w:val="es-CO"/>
        </w:rPr>
        <w:t xml:space="preserve">Ver gacetas legislativas No. 1677 de 23 de noviembre de 2021, No. 1752 de 1 de diciembre de 2021 y No. 1828 del 14 de diciembre – Cámara de Representantes del Congreso de la República </w:t>
      </w:r>
    </w:p>
  </w:footnote>
  <w:footnote w:id="16">
    <w:p w14:paraId="0AEC2631" w14:textId="77777777" w:rsidR="001F57E2" w:rsidRPr="00894867" w:rsidRDefault="001F57E2" w:rsidP="001F57E2">
      <w:pPr>
        <w:pStyle w:val="Textonotapie"/>
        <w:ind w:firstLine="708"/>
        <w:jc w:val="both"/>
        <w:rPr>
          <w:rFonts w:ascii="Arial" w:hAnsi="Arial" w:cs="Arial"/>
          <w:sz w:val="18"/>
          <w:szCs w:val="18"/>
        </w:rPr>
      </w:pPr>
    </w:p>
    <w:p w14:paraId="2081CD84" w14:textId="77777777" w:rsidR="001F57E2" w:rsidRPr="00894867" w:rsidRDefault="001F57E2" w:rsidP="001F57E2">
      <w:pPr>
        <w:pStyle w:val="Textonotapie"/>
        <w:ind w:firstLine="708"/>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CONGRESO DE LA REPÚBLICA., Gacetas</w:t>
      </w:r>
      <w:r w:rsidRPr="00894867">
        <w:rPr>
          <w:rFonts w:ascii="Arial" w:hAnsi="Arial" w:cs="Arial"/>
          <w:sz w:val="18"/>
          <w:szCs w:val="18"/>
          <w:lang w:val="es-CO"/>
        </w:rPr>
        <w:t xml:space="preserve"> legislativas No. 1860 y 1861 de 2021, de Cámara de Representantes y Senado, respectivamente.</w:t>
      </w:r>
    </w:p>
  </w:footnote>
  <w:footnote w:id="17">
    <w:p w14:paraId="2EB5FEC5" w14:textId="77777777" w:rsidR="001F57E2" w:rsidRPr="00894867" w:rsidRDefault="001F57E2" w:rsidP="001F57E2">
      <w:pPr>
        <w:pStyle w:val="Textonotapie"/>
        <w:ind w:firstLine="708"/>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w:t>
      </w:r>
      <w:bookmarkStart w:id="11" w:name="2"/>
      <w:r w:rsidRPr="00894867">
        <w:rPr>
          <w:rFonts w:ascii="Arial" w:hAnsi="Arial" w:cs="Arial"/>
          <w:sz w:val="18"/>
          <w:szCs w:val="18"/>
        </w:rPr>
        <w:t>“Artículo 2o. De las modalidades de selección.</w:t>
      </w:r>
      <w:bookmarkEnd w:id="11"/>
      <w:r w:rsidRPr="00894867">
        <w:rPr>
          <w:rFonts w:ascii="Arial" w:hAnsi="Arial" w:cs="Arial"/>
          <w:sz w:val="18"/>
          <w:szCs w:val="18"/>
        </w:rPr>
        <w:t> La escogencia del contratista se efectuará con arreglo a las modalidades de selección de licitación pública, selección abreviada, concurso de méritos y contratación directa, con base en las siguientes reglas:</w:t>
      </w:r>
    </w:p>
    <w:p w14:paraId="16FB9FCA" w14:textId="77777777" w:rsidR="001F57E2" w:rsidRPr="00894867" w:rsidRDefault="001F57E2" w:rsidP="001F57E2">
      <w:pPr>
        <w:pStyle w:val="Textonotapie"/>
        <w:ind w:firstLine="708"/>
        <w:contextualSpacing/>
        <w:jc w:val="both"/>
        <w:rPr>
          <w:rFonts w:ascii="Arial" w:hAnsi="Arial" w:cs="Arial"/>
          <w:sz w:val="18"/>
          <w:szCs w:val="18"/>
        </w:rPr>
      </w:pPr>
      <w:r w:rsidRPr="00894867">
        <w:rPr>
          <w:rFonts w:ascii="Arial" w:hAnsi="Arial" w:cs="Arial"/>
          <w:sz w:val="18"/>
          <w:szCs w:val="18"/>
        </w:rPr>
        <w:t>[…]</w:t>
      </w:r>
    </w:p>
    <w:p w14:paraId="4E2DC227" w14:textId="77777777" w:rsidR="001F57E2" w:rsidRPr="00894867" w:rsidRDefault="001F57E2" w:rsidP="001F57E2">
      <w:pPr>
        <w:pStyle w:val="Textonotapie"/>
        <w:ind w:firstLine="708"/>
        <w:contextualSpacing/>
        <w:jc w:val="both"/>
        <w:rPr>
          <w:rFonts w:ascii="Arial" w:hAnsi="Arial" w:cs="Arial"/>
          <w:sz w:val="18"/>
          <w:szCs w:val="18"/>
        </w:rPr>
      </w:pPr>
      <w:r w:rsidRPr="00894867">
        <w:rPr>
          <w:rFonts w:ascii="Arial" w:hAnsi="Arial" w:cs="Arial"/>
          <w:sz w:val="18"/>
          <w:szCs w:val="18"/>
        </w:rPr>
        <w:t>“4. </w:t>
      </w:r>
      <w:r w:rsidRPr="00894867">
        <w:rPr>
          <w:rStyle w:val="baj"/>
          <w:rFonts w:ascii="Arial" w:hAnsi="Arial" w:cs="Arial"/>
          <w:sz w:val="18"/>
          <w:szCs w:val="18"/>
        </w:rPr>
        <w:t>Contratación directa. </w:t>
      </w:r>
      <w:r w:rsidRPr="00894867">
        <w:rPr>
          <w:rFonts w:ascii="Arial" w:hAnsi="Arial" w:cs="Arial"/>
          <w:sz w:val="18"/>
          <w:szCs w:val="18"/>
        </w:rPr>
        <w:t>La modalidad de selección de contratación directa solamente procederá en los siguientes casos:</w:t>
      </w:r>
    </w:p>
    <w:p w14:paraId="4C7E2DBB" w14:textId="77777777" w:rsidR="001F57E2" w:rsidRPr="00894867" w:rsidRDefault="001F57E2" w:rsidP="001F57E2">
      <w:pPr>
        <w:pStyle w:val="Textonotapie"/>
        <w:ind w:firstLine="708"/>
        <w:contextualSpacing/>
        <w:jc w:val="both"/>
        <w:rPr>
          <w:rFonts w:ascii="Arial" w:hAnsi="Arial" w:cs="Arial"/>
          <w:sz w:val="18"/>
          <w:szCs w:val="18"/>
        </w:rPr>
      </w:pPr>
      <w:r w:rsidRPr="00894867">
        <w:rPr>
          <w:rFonts w:ascii="Arial" w:hAnsi="Arial" w:cs="Arial"/>
          <w:sz w:val="18"/>
          <w:szCs w:val="18"/>
        </w:rPr>
        <w:t>[…]</w:t>
      </w:r>
    </w:p>
    <w:p w14:paraId="1FAD376D" w14:textId="77777777" w:rsidR="001F57E2" w:rsidRPr="00894867" w:rsidRDefault="001F57E2" w:rsidP="001F57E2">
      <w:pPr>
        <w:pStyle w:val="Textonotapie"/>
        <w:ind w:firstLine="708"/>
        <w:contextualSpacing/>
        <w:jc w:val="both"/>
        <w:rPr>
          <w:rFonts w:ascii="Arial" w:hAnsi="Arial" w:cs="Arial"/>
          <w:sz w:val="18"/>
          <w:szCs w:val="18"/>
        </w:rPr>
      </w:pPr>
      <w:r w:rsidRPr="00894867">
        <w:rPr>
          <w:rFonts w:ascii="Arial" w:hAnsi="Arial" w:cs="Arial"/>
          <w:sz w:val="18"/>
          <w:szCs w:val="18"/>
        </w:rPr>
        <w:t>“C. […]</w:t>
      </w:r>
    </w:p>
    <w:p w14:paraId="533417EE" w14:textId="77777777" w:rsidR="001F57E2" w:rsidRPr="00894867" w:rsidRDefault="001F57E2" w:rsidP="001F57E2">
      <w:pPr>
        <w:pStyle w:val="Textonotapie"/>
        <w:ind w:firstLine="708"/>
        <w:contextualSpacing/>
        <w:jc w:val="both"/>
        <w:rPr>
          <w:rFonts w:ascii="Arial" w:hAnsi="Arial" w:cs="Arial"/>
          <w:sz w:val="18"/>
          <w:szCs w:val="18"/>
        </w:rPr>
      </w:pPr>
      <w:r w:rsidRPr="00894867">
        <w:rPr>
          <w:rFonts w:ascii="Arial" w:hAnsi="Arial" w:cs="Arial"/>
          <w:sz w:val="18"/>
          <w:szCs w:val="18"/>
        </w:rPr>
        <w:t>“Inciso 2o. modificado por el artículo 95 de la Ley 1474 de 2011–</w:t>
      </w:r>
      <w:r w:rsidRPr="00894867" w:rsidDel="002C5C6D">
        <w:rPr>
          <w:rFonts w:ascii="Arial" w:hAnsi="Arial" w:cs="Arial"/>
          <w:sz w:val="18"/>
          <w:szCs w:val="18"/>
        </w:rPr>
        <w:t xml:space="preserve"> </w:t>
      </w:r>
      <w:r w:rsidRPr="00894867">
        <w:rPr>
          <w:rFonts w:ascii="Arial" w:hAnsi="Arial" w:cs="Arial"/>
          <w:sz w:val="18"/>
          <w:szCs w:val="18"/>
        </w:rPr>
        <w:t xml:space="preserve">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r>
        <w:rPr>
          <w:rFonts w:ascii="Arial" w:hAnsi="Arial" w:cs="Arial"/>
          <w:sz w:val="18"/>
          <w:szCs w:val="18"/>
        </w:rPr>
        <w:t>.</w:t>
      </w:r>
    </w:p>
  </w:footnote>
  <w:footnote w:id="18">
    <w:p w14:paraId="1086DC4E" w14:textId="77777777" w:rsidR="001F57E2" w:rsidRPr="00894867" w:rsidRDefault="001F57E2" w:rsidP="001F57E2">
      <w:pPr>
        <w:pStyle w:val="Textonotapie"/>
        <w:ind w:firstLine="709"/>
        <w:contextualSpacing/>
        <w:jc w:val="both"/>
        <w:rPr>
          <w:rFonts w:ascii="Arial" w:hAnsi="Arial" w:cs="Arial"/>
          <w:sz w:val="18"/>
          <w:szCs w:val="18"/>
          <w:lang w:val="es-ES"/>
        </w:rPr>
      </w:pPr>
      <w:r w:rsidRPr="00894867">
        <w:rPr>
          <w:rStyle w:val="Refdenotaalpie"/>
          <w:rFonts w:ascii="Arial" w:hAnsi="Arial" w:cs="Arial"/>
          <w:sz w:val="18"/>
          <w:szCs w:val="18"/>
        </w:rPr>
        <w:footnoteRef/>
      </w:r>
      <w:r w:rsidRPr="00894867">
        <w:rPr>
          <w:rFonts w:ascii="Arial" w:hAnsi="Arial" w:cs="Arial"/>
          <w:sz w:val="18"/>
          <w:szCs w:val="18"/>
        </w:rPr>
        <w:t xml:space="preserve"> </w:t>
      </w:r>
      <w:r w:rsidRPr="00894867">
        <w:rPr>
          <w:rFonts w:ascii="Arial" w:hAnsi="Arial" w:cs="Arial"/>
          <w:sz w:val="18"/>
          <w:szCs w:val="18"/>
          <w:lang w:val="es-ES"/>
        </w:rPr>
        <w:t>Según García de Enterría: “Estos conceptos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9">
    <w:p w14:paraId="20BE63D2"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CORTE CONSTITUCIONAL, Sentencia C-382 de 2019, M.P. Alejandro Linares Cantillo.</w:t>
      </w:r>
    </w:p>
  </w:footnote>
  <w:footnote w:id="20">
    <w:p w14:paraId="43082DB4"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La redacción original del parágrafo primero del artículo 32 de la Ley 80 de 1993, incluía la expresión giro ordinario,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 [Énfasis fuera de texto].</w:t>
      </w:r>
    </w:p>
  </w:footnote>
  <w:footnote w:id="21">
    <w:p w14:paraId="2BCE37FF" w14:textId="77777777" w:rsidR="001F57E2" w:rsidRPr="00894867" w:rsidRDefault="001F57E2" w:rsidP="001F57E2">
      <w:pPr>
        <w:pStyle w:val="Textonotapie"/>
        <w:ind w:firstLine="709"/>
        <w:contextualSpacing/>
        <w:jc w:val="both"/>
        <w:rPr>
          <w:rFonts w:ascii="Arial" w:hAnsi="Arial" w:cs="Arial"/>
          <w:sz w:val="18"/>
          <w:szCs w:val="18"/>
          <w:lang w:val="es-ES"/>
        </w:rPr>
      </w:pPr>
      <w:r w:rsidRPr="00894867">
        <w:rPr>
          <w:rStyle w:val="Refdenotaalpie"/>
          <w:rFonts w:ascii="Arial" w:hAnsi="Arial" w:cs="Arial"/>
          <w:sz w:val="18"/>
          <w:szCs w:val="18"/>
        </w:rPr>
        <w:footnoteRef/>
      </w:r>
      <w:r w:rsidRPr="00894867">
        <w:rPr>
          <w:rFonts w:ascii="Arial" w:hAnsi="Arial" w:cs="Arial"/>
          <w:sz w:val="18"/>
          <w:szCs w:val="18"/>
        </w:rPr>
        <w:t xml:space="preserve"> CONSEJO DE ESTADO. Sección Tercera. Subsección B. Sentencia del 12 de octubre de 2011. Exp. No. 20070. C.P. Danilo Rojas Betancourt.</w:t>
      </w:r>
    </w:p>
  </w:footnote>
  <w:footnote w:id="22">
    <w:p w14:paraId="2146F0CE" w14:textId="77777777" w:rsidR="001F57E2" w:rsidRPr="00894867" w:rsidRDefault="001F57E2" w:rsidP="001F57E2">
      <w:pPr>
        <w:tabs>
          <w:tab w:val="left" w:pos="0"/>
        </w:tabs>
        <w:spacing w:after="0" w:line="240" w:lineRule="auto"/>
        <w:contextualSpacing/>
        <w:jc w:val="both"/>
        <w:rPr>
          <w:rFonts w:ascii="Arial" w:hAnsi="Arial" w:cs="Arial"/>
          <w:sz w:val="18"/>
          <w:szCs w:val="18"/>
        </w:rPr>
      </w:pPr>
      <w:r w:rsidRPr="00894867">
        <w:rPr>
          <w:rFonts w:ascii="Arial" w:hAnsi="Arial" w:cs="Arial"/>
          <w:sz w:val="18"/>
          <w:szCs w:val="18"/>
        </w:rPr>
        <w:tab/>
      </w:r>
      <w:r w:rsidRPr="00894867">
        <w:rPr>
          <w:rStyle w:val="Refdenotaalpie"/>
          <w:rFonts w:ascii="Arial" w:hAnsi="Arial" w:cs="Arial"/>
          <w:sz w:val="18"/>
          <w:szCs w:val="18"/>
        </w:rPr>
        <w:footnoteRef/>
      </w:r>
      <w:r w:rsidRPr="00894867">
        <w:rPr>
          <w:rFonts w:ascii="Arial" w:hAnsi="Arial" w:cs="Arial"/>
          <w:sz w:val="18"/>
          <w:szCs w:val="18"/>
        </w:rPr>
        <w:t xml:space="preserve"> CONSEJO DE ESTADO. Sección Tercera. Subsección A. Sentencia del 3 de marzo de 2021. Exp. No. 51373. C.P. José Roberto Sáchica Méndez. </w:t>
      </w:r>
      <w:r w:rsidRPr="00894867">
        <w:rPr>
          <w:rFonts w:ascii="Arial" w:eastAsia="Calibri" w:hAnsi="Arial" w:cs="Arial"/>
          <w:sz w:val="18"/>
          <w:szCs w:val="18"/>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footnote>
  <w:footnote w:id="23">
    <w:p w14:paraId="3990C708" w14:textId="77777777" w:rsidR="001F57E2" w:rsidRPr="00894867" w:rsidRDefault="001F57E2" w:rsidP="001F57E2">
      <w:pPr>
        <w:pStyle w:val="Textonotapie"/>
        <w:ind w:firstLine="708"/>
        <w:jc w:val="both"/>
        <w:rPr>
          <w:rFonts w:ascii="Arial" w:hAnsi="Arial" w:cs="Arial"/>
          <w:sz w:val="18"/>
          <w:szCs w:val="18"/>
          <w:lang w:val="es-ES_tradnl"/>
        </w:rPr>
      </w:pPr>
      <w:r w:rsidRPr="00894867">
        <w:rPr>
          <w:rStyle w:val="Refdenotaalpie"/>
          <w:rFonts w:ascii="Arial" w:hAnsi="Arial" w:cs="Arial"/>
          <w:sz w:val="18"/>
          <w:szCs w:val="18"/>
        </w:rPr>
        <w:footnoteRef/>
      </w:r>
      <w:r w:rsidRPr="00894867">
        <w:rPr>
          <w:rFonts w:ascii="Arial" w:hAnsi="Arial" w:cs="Arial"/>
          <w:sz w:val="18"/>
          <w:szCs w:val="18"/>
        </w:rPr>
        <w:t xml:space="preserve"> la Superintendencia de Sociedades, citando doctrina autorizada en la materia, ha señalado: “Si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footnote>
  <w:footnote w:id="24">
    <w:p w14:paraId="02306097"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14F63CCD" w14:textId="77777777" w:rsidR="001F57E2" w:rsidRPr="00894867" w:rsidRDefault="001F57E2" w:rsidP="001F57E2">
      <w:pPr>
        <w:pStyle w:val="Textonotapie"/>
        <w:ind w:firstLine="709"/>
        <w:contextualSpacing/>
        <w:jc w:val="both"/>
        <w:rPr>
          <w:rFonts w:ascii="Arial" w:hAnsi="Arial" w:cs="Arial"/>
          <w:sz w:val="18"/>
          <w:szCs w:val="18"/>
        </w:rPr>
      </w:pPr>
      <w:r w:rsidRPr="00894867">
        <w:rPr>
          <w:rFonts w:ascii="Arial" w:hAnsi="Arial" w:cs="Arial"/>
          <w:sz w:val="18"/>
          <w:szCs w:val="18"/>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25">
    <w:p w14:paraId="458743F0"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p>
  </w:footnote>
  <w:footnote w:id="26">
    <w:p w14:paraId="71463942"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Al respecto ha señalado la CORTE CONSTITUCIONAL: “En relación con el ámbito de configuración del legislador en materia contractual la jurisprudencia constitucional ha señalado los siguientes criterios:</w:t>
      </w:r>
    </w:p>
    <w:p w14:paraId="2E0F8879" w14:textId="77777777" w:rsidR="001F57E2" w:rsidRPr="00894867" w:rsidRDefault="001F57E2" w:rsidP="001F57E2">
      <w:pPr>
        <w:pStyle w:val="Textonotapie"/>
        <w:ind w:firstLine="709"/>
        <w:contextualSpacing/>
        <w:jc w:val="both"/>
        <w:rPr>
          <w:rFonts w:ascii="Arial" w:hAnsi="Arial" w:cs="Arial"/>
          <w:sz w:val="18"/>
          <w:szCs w:val="18"/>
        </w:rPr>
      </w:pPr>
      <w:r w:rsidRPr="00894867">
        <w:rPr>
          <w:rFonts w:ascii="Arial" w:hAnsi="Arial" w:cs="Arial"/>
          <w:sz w:val="18"/>
          <w:szCs w:val="18"/>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24F34839" w14:textId="77777777" w:rsidR="001F57E2" w:rsidRPr="00894867" w:rsidRDefault="001F57E2" w:rsidP="001F57E2">
      <w:pPr>
        <w:pStyle w:val="Textonotapie"/>
        <w:ind w:firstLine="709"/>
        <w:contextualSpacing/>
        <w:jc w:val="both"/>
        <w:rPr>
          <w:rFonts w:ascii="Arial" w:hAnsi="Arial" w:cs="Arial"/>
          <w:sz w:val="18"/>
          <w:szCs w:val="18"/>
        </w:rPr>
      </w:pPr>
      <w:r w:rsidRPr="00894867">
        <w:rPr>
          <w:rFonts w:ascii="Arial" w:hAnsi="Arial" w:cs="Arial"/>
          <w:sz w:val="18"/>
          <w:szCs w:val="18"/>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4268A60" w14:textId="77777777" w:rsidR="001F57E2" w:rsidRPr="00894867" w:rsidRDefault="001F57E2" w:rsidP="001F57E2">
      <w:pPr>
        <w:pStyle w:val="Textonotapie"/>
        <w:ind w:firstLine="709"/>
        <w:contextualSpacing/>
        <w:jc w:val="both"/>
        <w:rPr>
          <w:rFonts w:ascii="Arial" w:hAnsi="Arial" w:cs="Arial"/>
          <w:sz w:val="18"/>
          <w:szCs w:val="18"/>
        </w:rPr>
      </w:pPr>
      <w:r w:rsidRPr="00894867">
        <w:rPr>
          <w:rFonts w:ascii="Arial" w:hAnsi="Arial" w:cs="Arial"/>
          <w:sz w:val="18"/>
          <w:szCs w:val="18"/>
        </w:rPr>
        <w:t xml:space="preserve">(iii)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 </w:t>
      </w:r>
    </w:p>
  </w:footnote>
  <w:footnote w:id="27">
    <w:p w14:paraId="75974C47"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CONSEJO DE ESTADO. Sección Tercera. Subsección A. Sentencia del 24 de junio de 2015. Exp. 40.635. Consejero Ponente: Hernán Andrade Rincón (E).</w:t>
      </w:r>
    </w:p>
  </w:footnote>
  <w:footnote w:id="28">
    <w:p w14:paraId="485643F7"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El inciso final del numeral 5 “encargos fiduciarios y fiducia pública” del artículo 32 de la Ley 80 de 1993 señala lo siguiente: “So pena de nulidad no podrá celebrarse contratos de fiducia o subcontratos en contravención del artículo 355 de la Constitución Política. Si tal evento se diese, la entidad fideicomitente deberá repetir contra la persona, natural o jurídica, adjudicataria del respectivo contrato”.</w:t>
      </w:r>
    </w:p>
  </w:footnote>
  <w:footnote w:id="29">
    <w:p w14:paraId="307A4475" w14:textId="77777777" w:rsidR="001F57E2" w:rsidRPr="00894867" w:rsidRDefault="001F57E2" w:rsidP="001F57E2">
      <w:pPr>
        <w:pStyle w:val="Textonotapie"/>
        <w:ind w:firstLine="709"/>
        <w:contextualSpacing/>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El literal c del numeral 4 del artículo 2 de la Ley 1150 de 2007 dispone que: “</w:t>
      </w:r>
      <w:r w:rsidRPr="00894867">
        <w:rPr>
          <w:rFonts w:ascii="Arial" w:hAnsi="Arial" w:cs="Arial"/>
          <w:sz w:val="18"/>
          <w:szCs w:val="18"/>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894867">
        <w:rPr>
          <w:rFonts w:ascii="Arial" w:hAnsi="Arial" w:cs="Arial"/>
          <w:sz w:val="18"/>
          <w:szCs w:val="18"/>
        </w:rPr>
        <w:t>”</w:t>
      </w:r>
      <w:r w:rsidRPr="00894867">
        <w:rPr>
          <w:rFonts w:ascii="Arial" w:hAnsi="Arial" w:cs="Arial"/>
          <w:sz w:val="18"/>
          <w:szCs w:val="18"/>
          <w:lang w:val="es-CO"/>
        </w:rPr>
        <w:t>.</w:t>
      </w:r>
    </w:p>
  </w:footnote>
  <w:footnote w:id="30">
    <w:p w14:paraId="5DA0FB4B" w14:textId="77777777" w:rsidR="001F57E2" w:rsidRPr="00894867" w:rsidRDefault="001F57E2" w:rsidP="001F57E2">
      <w:pPr>
        <w:pStyle w:val="Textonotapie"/>
        <w:ind w:firstLine="709"/>
        <w:contextualSpacing/>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El artículo 2.2.1.2.3.1.5 del Decreto 1082 de 2015 hace mención a la subcontratación en lo relacionado con las garantías, particularmente en l</w:t>
      </w:r>
      <w:r w:rsidRPr="00894867">
        <w:rPr>
          <w:rFonts w:ascii="Arial" w:hAnsi="Arial" w:cs="Arial"/>
          <w:sz w:val="18"/>
          <w:szCs w:val="18"/>
          <w:lang w:val="es-CO"/>
        </w:rPr>
        <w:t xml:space="preserve">os riesgos a los que se encuentran expuestas las entidades estatales, derivados de la responsabilidad extracontractual que pueda surgir por las actuaciones, hechos u omisiones de sus contratistas y subcontratistas. </w:t>
      </w:r>
    </w:p>
  </w:footnote>
  <w:footnote w:id="31">
    <w:p w14:paraId="03D54E55" w14:textId="77777777" w:rsidR="001F57E2" w:rsidRPr="00894867" w:rsidRDefault="001F57E2" w:rsidP="001F57E2">
      <w:pPr>
        <w:pStyle w:val="Textonotapie"/>
        <w:ind w:firstLine="709"/>
        <w:contextualSpacing/>
        <w:jc w:val="both"/>
        <w:rPr>
          <w:rFonts w:ascii="Arial" w:hAnsi="Arial" w:cs="Arial"/>
          <w:sz w:val="18"/>
          <w:szCs w:val="18"/>
          <w:lang w:val="es-CO"/>
        </w:rPr>
      </w:pPr>
      <w:r w:rsidRPr="00894867">
        <w:rPr>
          <w:rStyle w:val="Refdenotaalpie"/>
          <w:rFonts w:ascii="Arial" w:hAnsi="Arial" w:cs="Arial"/>
          <w:sz w:val="18"/>
          <w:szCs w:val="18"/>
        </w:rPr>
        <w:footnoteRef/>
      </w:r>
      <w:r w:rsidRPr="00894867">
        <w:rPr>
          <w:rFonts w:ascii="Arial" w:hAnsi="Arial" w:cs="Arial"/>
          <w:sz w:val="18"/>
          <w:szCs w:val="18"/>
        </w:rPr>
        <w:t xml:space="preserve"> </w:t>
      </w:r>
      <w:r w:rsidRPr="00894867">
        <w:rPr>
          <w:rFonts w:ascii="Arial" w:hAnsi="Arial" w:cs="Arial"/>
          <w:sz w:val="18"/>
          <w:szCs w:val="18"/>
          <w:lang w:val="es-CO"/>
        </w:rPr>
        <w:t xml:space="preserve">RAMÍREZ GRISALES, Richard Steve. La Subcontratación. Serie: Las cláusulas del contrato estatal. Librería Jurídica Sánchez R. Ltda. y Centro de Estudios de Derecho Administrativo –CEDA-, Medellín, 2012, p. 26. </w:t>
      </w:r>
    </w:p>
    <w:p w14:paraId="292ABD71" w14:textId="77777777" w:rsidR="001F57E2" w:rsidRPr="00894867" w:rsidRDefault="001F57E2" w:rsidP="001F57E2">
      <w:pPr>
        <w:pStyle w:val="Textonotapie"/>
        <w:ind w:firstLine="709"/>
        <w:contextualSpacing/>
        <w:jc w:val="both"/>
        <w:rPr>
          <w:rFonts w:ascii="Arial" w:hAnsi="Arial" w:cs="Arial"/>
          <w:sz w:val="18"/>
          <w:szCs w:val="18"/>
          <w:lang w:val="es-CO"/>
        </w:rPr>
      </w:pPr>
    </w:p>
  </w:footnote>
  <w:footnote w:id="32">
    <w:p w14:paraId="67B2521E"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TRABALÓN Cristóbal. Tratado Legal de Construcción. Editorial Tébar Flores. Madrid. 2015.</w:t>
      </w:r>
    </w:p>
  </w:footnote>
  <w:footnote w:id="33">
    <w:p w14:paraId="3F054056" w14:textId="77777777" w:rsidR="001F57E2" w:rsidRPr="00894867" w:rsidRDefault="001F57E2" w:rsidP="001F57E2">
      <w:pPr>
        <w:pStyle w:val="Textonotapie"/>
        <w:ind w:firstLine="709"/>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Ibidem </w:t>
      </w:r>
    </w:p>
  </w:footnote>
  <w:footnote w:id="34">
    <w:p w14:paraId="4781EB40" w14:textId="77777777" w:rsidR="001F57E2" w:rsidRPr="00894867" w:rsidRDefault="001F57E2" w:rsidP="001F57E2">
      <w:pPr>
        <w:pStyle w:val="Textonotapie"/>
        <w:ind w:firstLine="708"/>
        <w:contextualSpacing/>
        <w:jc w:val="both"/>
        <w:rPr>
          <w:rFonts w:ascii="Arial" w:hAnsi="Arial" w:cs="Arial"/>
          <w:sz w:val="18"/>
          <w:szCs w:val="18"/>
        </w:rPr>
      </w:pPr>
      <w:r w:rsidRPr="00894867">
        <w:rPr>
          <w:rStyle w:val="Refdenotaalpie"/>
          <w:rFonts w:ascii="Arial" w:hAnsi="Arial" w:cs="Arial"/>
          <w:sz w:val="18"/>
          <w:szCs w:val="18"/>
        </w:rPr>
        <w:footnoteRef/>
      </w:r>
      <w:r w:rsidRPr="00894867">
        <w:rPr>
          <w:rFonts w:ascii="Arial" w:hAnsi="Arial" w:cs="Arial"/>
          <w:sz w:val="18"/>
          <w:szCs w:val="18"/>
        </w:rPr>
        <w:t xml:space="preserve"> Código Civil. Artículo 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0C128675"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221374">
    <w:abstractNumId w:val="3"/>
  </w:num>
  <w:num w:numId="2" w16cid:durableId="73671156">
    <w:abstractNumId w:val="1"/>
  </w:num>
  <w:num w:numId="3" w16cid:durableId="1143620483">
    <w:abstractNumId w:val="2"/>
  </w:num>
  <w:num w:numId="4" w16cid:durableId="908656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555952">
    <w:abstractNumId w:val="1"/>
  </w:num>
  <w:num w:numId="6" w16cid:durableId="160205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5105"/>
    <w:rsid w:val="00127233"/>
    <w:rsid w:val="00135EC9"/>
    <w:rsid w:val="001E4177"/>
    <w:rsid w:val="001F57E2"/>
    <w:rsid w:val="00206735"/>
    <w:rsid w:val="002951A0"/>
    <w:rsid w:val="002962BC"/>
    <w:rsid w:val="002A093D"/>
    <w:rsid w:val="002A49AC"/>
    <w:rsid w:val="002A64FD"/>
    <w:rsid w:val="002C7A84"/>
    <w:rsid w:val="003448F4"/>
    <w:rsid w:val="003A779E"/>
    <w:rsid w:val="003D0F4D"/>
    <w:rsid w:val="003E0499"/>
    <w:rsid w:val="003F3941"/>
    <w:rsid w:val="00400548"/>
    <w:rsid w:val="00457DD3"/>
    <w:rsid w:val="004A1847"/>
    <w:rsid w:val="004A305D"/>
    <w:rsid w:val="004B28CB"/>
    <w:rsid w:val="004F21C4"/>
    <w:rsid w:val="004F685F"/>
    <w:rsid w:val="00533E8F"/>
    <w:rsid w:val="005566E8"/>
    <w:rsid w:val="00574867"/>
    <w:rsid w:val="005B5D8B"/>
    <w:rsid w:val="005C5CDC"/>
    <w:rsid w:val="005D476C"/>
    <w:rsid w:val="005F0E70"/>
    <w:rsid w:val="006219F8"/>
    <w:rsid w:val="00624CBC"/>
    <w:rsid w:val="00664480"/>
    <w:rsid w:val="00665D70"/>
    <w:rsid w:val="006718E3"/>
    <w:rsid w:val="006B2DCB"/>
    <w:rsid w:val="00706C16"/>
    <w:rsid w:val="0073157C"/>
    <w:rsid w:val="00756841"/>
    <w:rsid w:val="007649AB"/>
    <w:rsid w:val="007833AC"/>
    <w:rsid w:val="007B7171"/>
    <w:rsid w:val="007C3DC2"/>
    <w:rsid w:val="007E5497"/>
    <w:rsid w:val="00806F5F"/>
    <w:rsid w:val="00820278"/>
    <w:rsid w:val="008324DC"/>
    <w:rsid w:val="00875FD5"/>
    <w:rsid w:val="008843B6"/>
    <w:rsid w:val="00891928"/>
    <w:rsid w:val="008A446D"/>
    <w:rsid w:val="008C58E4"/>
    <w:rsid w:val="008F01A5"/>
    <w:rsid w:val="008F0EA7"/>
    <w:rsid w:val="008F1E69"/>
    <w:rsid w:val="00923EEF"/>
    <w:rsid w:val="00937BCA"/>
    <w:rsid w:val="009419F9"/>
    <w:rsid w:val="00961B09"/>
    <w:rsid w:val="00965334"/>
    <w:rsid w:val="0097093E"/>
    <w:rsid w:val="009A4DD4"/>
    <w:rsid w:val="009C71FA"/>
    <w:rsid w:val="009C72E7"/>
    <w:rsid w:val="00A0520B"/>
    <w:rsid w:val="00A113B3"/>
    <w:rsid w:val="00A17F13"/>
    <w:rsid w:val="00A20739"/>
    <w:rsid w:val="00A33C78"/>
    <w:rsid w:val="00AB0ADB"/>
    <w:rsid w:val="00B72CD3"/>
    <w:rsid w:val="00B72FFF"/>
    <w:rsid w:val="00BD2E7A"/>
    <w:rsid w:val="00BD7F72"/>
    <w:rsid w:val="00C04FB3"/>
    <w:rsid w:val="00C330EB"/>
    <w:rsid w:val="00C754BE"/>
    <w:rsid w:val="00CB6357"/>
    <w:rsid w:val="00CC1B26"/>
    <w:rsid w:val="00D423A2"/>
    <w:rsid w:val="00D63AC2"/>
    <w:rsid w:val="00D7383B"/>
    <w:rsid w:val="00DA231B"/>
    <w:rsid w:val="00E16408"/>
    <w:rsid w:val="00E20894"/>
    <w:rsid w:val="00E245AB"/>
    <w:rsid w:val="00E50AFE"/>
    <w:rsid w:val="00E771DC"/>
    <w:rsid w:val="00E8772A"/>
    <w:rsid w:val="00E90F6B"/>
    <w:rsid w:val="00E92C27"/>
    <w:rsid w:val="00E948F3"/>
    <w:rsid w:val="00EA0E3D"/>
    <w:rsid w:val="00ED5AE1"/>
    <w:rsid w:val="00EE1AA8"/>
    <w:rsid w:val="00F204AB"/>
    <w:rsid w:val="00F31EDC"/>
    <w:rsid w:val="00F5664F"/>
    <w:rsid w:val="00F613A2"/>
    <w:rsid w:val="00F76AFC"/>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1F57E2"/>
    <w:pPr>
      <w:spacing w:line="240" w:lineRule="exact"/>
    </w:pPr>
    <w:rPr>
      <w:vertAlign w:val="superscript"/>
    </w:rPr>
  </w:style>
  <w:style w:type="character" w:customStyle="1" w:styleId="baj">
    <w:name w:val="b_aj"/>
    <w:basedOn w:val="Fuentedeprrafopredeter"/>
    <w:rsid w:val="001F57E2"/>
  </w:style>
  <w:style w:type="character" w:customStyle="1" w:styleId="markedcontent">
    <w:name w:val="markedcontent"/>
    <w:basedOn w:val="Fuentedeprrafopredeter"/>
    <w:rsid w:val="001F57E2"/>
  </w:style>
  <w:style w:type="paragraph" w:styleId="Textoindependiente">
    <w:name w:val="Body Text"/>
    <w:basedOn w:val="Normal"/>
    <w:link w:val="TextoindependienteCar"/>
    <w:uiPriority w:val="99"/>
    <w:unhideWhenUsed/>
    <w:rsid w:val="001F57E2"/>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1F57E2"/>
    <w:rPr>
      <w:rFonts w:eastAsiaTheme="minorEastAsia"/>
      <w:lang w:eastAsia="es-CO"/>
    </w:rPr>
  </w:style>
  <w:style w:type="paragraph" w:styleId="Revisin">
    <w:name w:val="Revision"/>
    <w:hidden/>
    <w:uiPriority w:val="99"/>
    <w:semiHidden/>
    <w:rsid w:val="005F0E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1B18C9A-6CBC-4392-8994-9BDC77739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11647</Words>
  <Characters>64062</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2023-11-14T23:03:00Z</dcterms:created>
  <dcterms:modified xsi:type="dcterms:W3CDTF">2023-11-14T23:03:00Z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