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A260" w14:textId="32C6F5F7" w:rsidR="00BE79D8" w:rsidRPr="00D520EC" w:rsidRDefault="00BE79D8" w:rsidP="00BE79D8">
      <w:pPr>
        <w:spacing w:after="0" w:line="240" w:lineRule="auto"/>
        <w:contextualSpacing/>
        <w:jc w:val="both"/>
        <w:rPr>
          <w:rFonts w:ascii="Century Gothic" w:eastAsia="Calibri" w:hAnsi="Century Gothic" w:cs="Arial"/>
          <w:b/>
          <w:bCs/>
          <w:sz w:val="20"/>
          <w:szCs w:val="20"/>
          <w:lang w:eastAsia="es-MX"/>
        </w:rPr>
      </w:pPr>
      <w:bookmarkStart w:id="0" w:name="_Hlk143780582"/>
      <w:r w:rsidRPr="00D520EC">
        <w:rPr>
          <w:rFonts w:ascii="Century Gothic" w:eastAsia="Calibri" w:hAnsi="Century Gothic" w:cs="Arial"/>
          <w:b/>
          <w:bCs/>
          <w:sz w:val="20"/>
          <w:szCs w:val="20"/>
          <w:lang w:eastAsia="es-MX"/>
        </w:rPr>
        <w:t>DOCUMENTOS TIPO – Fundamento jurídico – Aplicación</w:t>
      </w:r>
    </w:p>
    <w:p w14:paraId="212398D6" w14:textId="77777777" w:rsidR="0068500E" w:rsidRPr="00D520EC" w:rsidRDefault="00BE79D8" w:rsidP="0068500E">
      <w:pPr>
        <w:spacing w:before="120" w:after="120" w:line="240" w:lineRule="auto"/>
        <w:jc w:val="both"/>
        <w:rPr>
          <w:rFonts w:ascii="Century Gothic" w:eastAsia="Times New Roman" w:hAnsi="Century Gothic" w:cs="Arial"/>
          <w:sz w:val="20"/>
          <w:szCs w:val="20"/>
          <w:lang w:val="es-ES" w:eastAsia="es-MX"/>
        </w:rPr>
      </w:pPr>
      <w:r w:rsidRPr="00D520EC">
        <w:rPr>
          <w:rFonts w:ascii="Century Gothic" w:eastAsia="Times New Roman" w:hAnsi="Century Gothic" w:cs="Arial"/>
          <w:sz w:val="20"/>
          <w:szCs w:val="20"/>
          <w:lang w:val="es-ES" w:eastAsia="es-MX"/>
        </w:rPr>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w:t>
      </w:r>
      <w:r w:rsidR="000E54F1" w:rsidRPr="00D520EC">
        <w:rPr>
          <w:rFonts w:ascii="Century Gothic" w:eastAsia="Times New Roman" w:hAnsi="Century Gothic" w:cs="Arial"/>
          <w:sz w:val="20"/>
          <w:szCs w:val="20"/>
          <w:lang w:val="es-ES" w:eastAsia="es-MX"/>
        </w:rPr>
        <w:t>E</w:t>
      </w:r>
      <w:r w:rsidRPr="00D520EC">
        <w:rPr>
          <w:rFonts w:ascii="Century Gothic" w:eastAsia="Times New Roman" w:hAnsi="Century Gothic" w:cs="Arial"/>
          <w:sz w:val="20"/>
          <w:szCs w:val="20"/>
          <w:lang w:val="es-ES" w:eastAsia="es-MX"/>
        </w:rPr>
        <w:t xml:space="preserv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FD250AA" w14:textId="7BA090ED" w:rsidR="00163154" w:rsidRPr="00D520EC" w:rsidRDefault="00BE79D8" w:rsidP="0068500E">
      <w:pPr>
        <w:spacing w:before="120" w:after="120" w:line="240" w:lineRule="auto"/>
        <w:jc w:val="both"/>
        <w:rPr>
          <w:rFonts w:ascii="Century Gothic" w:eastAsia="Times New Roman" w:hAnsi="Century Gothic" w:cs="Arial"/>
          <w:sz w:val="20"/>
          <w:szCs w:val="20"/>
          <w:lang w:val="es-ES" w:eastAsia="es-MX"/>
        </w:rPr>
      </w:pPr>
      <w:r w:rsidRPr="00D520EC">
        <w:rPr>
          <w:rFonts w:ascii="Century Gothic" w:eastAsia="Times New Roman" w:hAnsi="Century Gothic" w:cs="Arial"/>
          <w:sz w:val="20"/>
          <w:szCs w:val="20"/>
          <w:lang w:val="es-ES" w:eastAsia="es-MX"/>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00163154" w:rsidRPr="00D520EC">
        <w:rPr>
          <w:rFonts w:ascii="Century Gothic" w:eastAsia="Times New Roman" w:hAnsi="Century Gothic" w:cs="Arial"/>
          <w:sz w:val="20"/>
          <w:szCs w:val="20"/>
          <w:lang w:val="es-ES" w:eastAsia="es-MX"/>
        </w:rPr>
        <w:t>.</w:t>
      </w:r>
    </w:p>
    <w:p w14:paraId="10CCBDF8" w14:textId="74268B21" w:rsidR="003C1DBA" w:rsidRPr="00D520EC" w:rsidRDefault="00BE79D8" w:rsidP="0068500E">
      <w:pPr>
        <w:spacing w:before="120" w:after="120" w:line="240" w:lineRule="auto"/>
        <w:jc w:val="both"/>
        <w:rPr>
          <w:rFonts w:ascii="Century Gothic" w:eastAsia="Calibri" w:hAnsi="Century Gothic" w:cs="Arial"/>
          <w:b/>
          <w:bCs/>
          <w:sz w:val="20"/>
          <w:szCs w:val="20"/>
          <w:lang w:eastAsia="es-MX"/>
        </w:rPr>
      </w:pPr>
      <w:r w:rsidRPr="00D520EC">
        <w:rPr>
          <w:rFonts w:ascii="Century Gothic" w:eastAsia="Calibri" w:hAnsi="Century Gothic" w:cs="Arial"/>
          <w:b/>
          <w:bCs/>
          <w:sz w:val="20"/>
          <w:szCs w:val="20"/>
          <w:lang w:eastAsia="es-MX"/>
        </w:rPr>
        <w:t xml:space="preserve">DOCUMENTOS TIPO DE INFRAESTRUCTURA SOCIAL – Generalidades </w:t>
      </w:r>
    </w:p>
    <w:p w14:paraId="3389A30D" w14:textId="77777777" w:rsidR="0068500E" w:rsidRPr="00D520EC" w:rsidRDefault="00BE79D8" w:rsidP="0068500E">
      <w:pPr>
        <w:spacing w:before="120" w:after="120" w:line="240" w:lineRule="auto"/>
        <w:jc w:val="both"/>
        <w:rPr>
          <w:rFonts w:ascii="Century Gothic" w:eastAsia="Times New Roman" w:hAnsi="Century Gothic" w:cs="Arial"/>
          <w:sz w:val="20"/>
          <w:szCs w:val="20"/>
          <w:lang w:val="es-ES" w:eastAsia="es-MX"/>
        </w:rPr>
      </w:pPr>
      <w:r w:rsidRPr="00D520EC">
        <w:rPr>
          <w:rFonts w:ascii="Century Gothic" w:eastAsia="Calibri" w:hAnsi="Century Gothic" w:cs="Arial"/>
          <w:sz w:val="20"/>
          <w:szCs w:val="20"/>
        </w:rPr>
        <w:t xml:space="preserve">En desarrollo de la Ley 2022 de 2020, la Agencia Nacional de Contratación Pública – Colombia Compra Eficiente expidió la Resolución 219 </w:t>
      </w:r>
      <w:r w:rsidRPr="00D520EC">
        <w:rPr>
          <w:rFonts w:ascii="Century Gothic" w:hAnsi="Century Gothic" w:cs="Arial"/>
          <w:bCs/>
          <w:sz w:val="20"/>
          <w:szCs w:val="20"/>
          <w:lang w:eastAsia="es-ES_tradnl"/>
        </w:rPr>
        <w:t xml:space="preserve">del 6 de agosto </w:t>
      </w:r>
      <w:r w:rsidRPr="00D520EC">
        <w:rPr>
          <w:rFonts w:ascii="Century Gothic" w:eastAsia="Calibri" w:hAnsi="Century Gothic" w:cs="Arial"/>
          <w:sz w:val="20"/>
          <w:szCs w:val="20"/>
        </w:rPr>
        <w:t xml:space="preserve">de 2021, </w:t>
      </w:r>
      <w:r w:rsidRPr="00D520EC">
        <w:rPr>
          <w:rFonts w:ascii="Century Gothic" w:eastAsia="Calibri" w:hAnsi="Century Gothic" w:cs="Arial"/>
          <w:i/>
          <w:iCs/>
          <w:sz w:val="20"/>
          <w:szCs w:val="20"/>
        </w:rPr>
        <w:t>“Por la cual se adoptan los documentos tipo para los procesos de licitación de obra pública de infraestructura social”</w:t>
      </w:r>
      <w:r w:rsidRPr="00D520EC">
        <w:rPr>
          <w:rFonts w:ascii="Century Gothic" w:eastAsia="Calibri" w:hAnsi="Century Gothic" w:cs="Arial"/>
          <w:sz w:val="20"/>
          <w:szCs w:val="20"/>
        </w:rPr>
        <w:t>. Dentro de esta categoría fue incluida la infraestructura asociada a los sectores de la salud, el educativo y el de cultura, recreación y deporte,</w:t>
      </w:r>
      <w:r w:rsidRPr="00D520EC">
        <w:rPr>
          <w:rFonts w:ascii="Century Gothic" w:hAnsi="Century Gothic" w:cs="Arial"/>
          <w:sz w:val="20"/>
          <w:szCs w:val="20"/>
          <w:lang w:val="es-ES"/>
        </w:rPr>
        <w:t xml:space="preserve"> tal como lo establece el parágrafo 2 del artículo 2 de la resolución indicada, de la siguiente manera:</w:t>
      </w:r>
    </w:p>
    <w:p w14:paraId="462D06DB" w14:textId="77777777" w:rsidR="0068500E" w:rsidRPr="00D520EC" w:rsidRDefault="00BE79D8" w:rsidP="0068500E">
      <w:pPr>
        <w:spacing w:before="120" w:after="120" w:line="240" w:lineRule="auto"/>
        <w:jc w:val="both"/>
        <w:rPr>
          <w:rFonts w:ascii="Century Gothic" w:eastAsia="Times New Roman" w:hAnsi="Century Gothic" w:cs="Arial"/>
          <w:sz w:val="20"/>
          <w:szCs w:val="20"/>
          <w:lang w:val="es-ES" w:eastAsia="es-MX"/>
        </w:rPr>
      </w:pPr>
      <w:r w:rsidRPr="00D520EC">
        <w:rPr>
          <w:rFonts w:ascii="Century Gothic" w:hAnsi="Century Gothic" w:cs="Arial"/>
          <w:sz w:val="20"/>
          <w:szCs w:val="20"/>
          <w:lang w:val="es-ES"/>
        </w:rPr>
        <w:t>[…]</w:t>
      </w:r>
    </w:p>
    <w:p w14:paraId="582F96B6" w14:textId="71AAF2AF" w:rsidR="00BE79D8" w:rsidRPr="00D520EC" w:rsidRDefault="00BE79D8" w:rsidP="0068500E">
      <w:pPr>
        <w:spacing w:before="120" w:after="120" w:line="240" w:lineRule="auto"/>
        <w:jc w:val="both"/>
        <w:rPr>
          <w:rFonts w:ascii="Century Gothic" w:eastAsia="Times New Roman" w:hAnsi="Century Gothic" w:cs="Arial"/>
          <w:sz w:val="20"/>
          <w:szCs w:val="20"/>
          <w:lang w:val="es-ES" w:eastAsia="es-MX"/>
        </w:rPr>
      </w:pPr>
      <w:r w:rsidRPr="00D520EC">
        <w:rPr>
          <w:rFonts w:ascii="Century Gothic" w:hAnsi="Century Gothic" w:cs="Arial"/>
          <w:bCs/>
          <w:sz w:val="20"/>
          <w:szCs w:val="20"/>
          <w:lang w:val="es-ES" w:eastAsia="es-ES_tradnl"/>
        </w:rPr>
        <w:t xml:space="preserve">Cabe anotar que </w:t>
      </w:r>
      <w:r w:rsidRPr="00D520EC">
        <w:rPr>
          <w:rFonts w:ascii="Century Gothic" w:hAnsi="Century Gothic" w:cs="Arial"/>
          <w:bCs/>
          <w:sz w:val="20"/>
          <w:szCs w:val="20"/>
          <w:lang w:eastAsia="es-ES_tradnl"/>
        </w:rPr>
        <w:t xml:space="preserve">la Resolución 219 del 6 de agosto de 2021 contiene los documentos tipo que aplican </w:t>
      </w:r>
      <w:r w:rsidRPr="00D520EC">
        <w:rPr>
          <w:rFonts w:ascii="Century Gothic" w:hAnsi="Century Gothic" w:cs="Arial"/>
          <w:sz w:val="20"/>
          <w:szCs w:val="20"/>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77EBCE3E" w14:textId="77777777" w:rsidR="001A77E8" w:rsidRPr="00D520EC" w:rsidRDefault="00BE79D8" w:rsidP="001A77E8">
      <w:pPr>
        <w:spacing w:before="120" w:after="120" w:line="240" w:lineRule="auto"/>
        <w:jc w:val="both"/>
        <w:rPr>
          <w:rFonts w:ascii="Century Gothic" w:eastAsia="Calibri" w:hAnsi="Century Gothic" w:cs="Arial"/>
          <w:sz w:val="20"/>
          <w:szCs w:val="20"/>
          <w:lang w:val="es-ES" w:eastAsia="es-ES"/>
        </w:rPr>
      </w:pPr>
      <w:r w:rsidRPr="00D520EC">
        <w:rPr>
          <w:rFonts w:ascii="Century Gothic" w:hAnsi="Century Gothic" w:cs="Arial"/>
          <w:sz w:val="20"/>
          <w:szCs w:val="20"/>
          <w:lang w:val="es-ES"/>
        </w:rPr>
        <w:t xml:space="preserve">En consecuencia, en materia de infraestructura social debe tenerse en cuenta que existen dos (2) clases de documentos tipo que se integran en cada proceso: i) los documentos </w:t>
      </w:r>
      <w:r w:rsidRPr="00D520EC">
        <w:rPr>
          <w:rFonts w:ascii="Century Gothic" w:hAnsi="Century Gothic" w:cs="Arial"/>
          <w:i/>
          <w:sz w:val="20"/>
          <w:szCs w:val="20"/>
          <w:lang w:val="es-ES"/>
        </w:rPr>
        <w:t>transversales</w:t>
      </w:r>
      <w:r w:rsidRPr="00D520EC">
        <w:rPr>
          <w:rFonts w:ascii="Century Gothic" w:hAnsi="Century Gothic" w:cs="Arial"/>
          <w:sz w:val="20"/>
          <w:szCs w:val="20"/>
          <w:lang w:val="es-ES"/>
        </w:rPr>
        <w:t xml:space="preserve"> a todos los sectores de infraestructura social, es decir, el documento base, los anexos, los formatos, los formularios y las matrices adoptados mediante la Resolución No. 219 de 2021; y ii) los documentos tipo </w:t>
      </w:r>
      <w:r w:rsidRPr="00D520EC">
        <w:rPr>
          <w:rFonts w:ascii="Century Gothic" w:hAnsi="Century Gothic" w:cs="Arial"/>
          <w:i/>
          <w:sz w:val="20"/>
          <w:szCs w:val="20"/>
          <w:lang w:val="es-ES"/>
        </w:rPr>
        <w:t>complementarios</w:t>
      </w:r>
      <w:r w:rsidRPr="00D520EC">
        <w:rPr>
          <w:rFonts w:ascii="Century Gothic" w:hAnsi="Century Gothic" w:cs="Arial"/>
          <w:iCs/>
          <w:sz w:val="20"/>
          <w:szCs w:val="20"/>
          <w:lang w:val="es-ES"/>
        </w:rPr>
        <w:t>,</w:t>
      </w:r>
      <w:r w:rsidRPr="00D520EC">
        <w:rPr>
          <w:rFonts w:ascii="Century Gothic" w:hAnsi="Century Gothic" w:cs="Arial"/>
          <w:i/>
          <w:sz w:val="20"/>
          <w:szCs w:val="20"/>
          <w:lang w:val="es-ES"/>
        </w:rPr>
        <w:t xml:space="preserve"> </w:t>
      </w:r>
      <w:r w:rsidRPr="00D520EC">
        <w:rPr>
          <w:rFonts w:ascii="Century Gothic" w:hAnsi="Century Gothic" w:cs="Arial"/>
          <w:sz w:val="20"/>
          <w:szCs w:val="20"/>
          <w:lang w:val="es-ES"/>
        </w:rPr>
        <w:t>referentes a la matriz de experiencia y el glosario, los cuales han sido adoptados en la resolución para cada sector específico.</w:t>
      </w:r>
      <w:r w:rsidRPr="00D520EC">
        <w:rPr>
          <w:rFonts w:ascii="Century Gothic" w:eastAsia="Calibri" w:hAnsi="Century Gothic" w:cs="Arial"/>
          <w:sz w:val="20"/>
          <w:szCs w:val="20"/>
          <w:lang w:val="es-ES" w:eastAsia="es-ES"/>
        </w:rPr>
        <w:t xml:space="preserve"> 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w:t>
      </w:r>
      <w:r w:rsidRPr="00D520EC">
        <w:rPr>
          <w:rFonts w:ascii="Century Gothic" w:eastAsia="Calibri" w:hAnsi="Century Gothic" w:cs="Arial"/>
          <w:sz w:val="20"/>
          <w:szCs w:val="20"/>
          <w:lang w:val="es-ES" w:eastAsia="es-ES"/>
        </w:rPr>
        <w:lastRenderedPageBreak/>
        <w:t>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cultura, recreación y deporte”.</w:t>
      </w:r>
    </w:p>
    <w:p w14:paraId="5E10AE74" w14:textId="77777777" w:rsidR="001A77E8" w:rsidRPr="00D520EC" w:rsidRDefault="00163154" w:rsidP="001A77E8">
      <w:pPr>
        <w:spacing w:before="120" w:after="120" w:line="240" w:lineRule="auto"/>
        <w:jc w:val="both"/>
        <w:rPr>
          <w:rFonts w:ascii="Century Gothic" w:eastAsia="Calibri" w:hAnsi="Century Gothic" w:cs="Arial"/>
          <w:sz w:val="20"/>
          <w:szCs w:val="20"/>
          <w:lang w:val="es-MX" w:eastAsia="es-ES"/>
        </w:rPr>
      </w:pPr>
      <w:r w:rsidRPr="00D520EC">
        <w:rPr>
          <w:rFonts w:ascii="Century Gothic" w:eastAsia="Geomanist Light" w:hAnsi="Century Gothic" w:cs="Arial"/>
          <w:b/>
          <w:bCs/>
          <w:color w:val="000000" w:themeColor="text1"/>
          <w:sz w:val="20"/>
          <w:szCs w:val="20"/>
          <w:lang w:val="es-MX"/>
        </w:rPr>
        <w:t xml:space="preserve">MODALIDAD LLAVE EN MANO – Contrato EPC – Definición  </w:t>
      </w:r>
    </w:p>
    <w:p w14:paraId="4DC8BDF8" w14:textId="7295209A" w:rsidR="00163154" w:rsidRPr="00D520EC" w:rsidRDefault="00163154" w:rsidP="001A77E8">
      <w:pPr>
        <w:spacing w:before="120" w:after="120" w:line="240" w:lineRule="auto"/>
        <w:jc w:val="both"/>
        <w:rPr>
          <w:rFonts w:ascii="Century Gothic" w:eastAsia="Calibri" w:hAnsi="Century Gothic" w:cs="Arial"/>
          <w:sz w:val="20"/>
          <w:szCs w:val="20"/>
          <w:lang w:val="es-ES" w:eastAsia="es-ES"/>
        </w:rPr>
      </w:pPr>
      <w:r w:rsidRPr="00D520EC">
        <w:rPr>
          <w:rFonts w:ascii="Century Gothic" w:hAnsi="Century Gothic" w:cs="Arial"/>
          <w:bCs/>
          <w:color w:val="000000" w:themeColor="text1"/>
          <w:sz w:val="20"/>
          <w:szCs w:val="20"/>
          <w:lang w:val="es-ES_tradnl"/>
        </w:rPr>
        <w:t xml:space="preserve">Cuando el contratista se obliga a ejecutar la obra desde la fase inicial de diseño y hasta la puesta en marcha, podemos afirmar que se trata de un contrato de obra bajo la modalidad de llave en mano, también denominado contrato de Engineering, Procurement and Construction –EPC–. </w:t>
      </w:r>
      <w:r w:rsidRPr="00D520EC">
        <w:rPr>
          <w:rFonts w:ascii="Century Gothic" w:hAnsi="Century Gothic" w:cs="Arial"/>
          <w:bCs/>
          <w:color w:val="000000"/>
          <w:sz w:val="20"/>
          <w:szCs w:val="20"/>
          <w:lang w:val="es-ES_tradnl" w:eastAsia="es-MX"/>
        </w:rPr>
        <w:t>En efecto, según la “Guía para Procesos de Contratación de Obra Pública” expedida por la Agencia, esta es una modalidad en la cual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r w:rsidRPr="00D520EC">
        <w:rPr>
          <w:rFonts w:ascii="Century Gothic" w:eastAsia="Calibri" w:hAnsi="Century Gothic" w:cs="Arial"/>
          <w:color w:val="000000"/>
          <w:sz w:val="20"/>
          <w:szCs w:val="20"/>
          <w:lang w:val="es-ES" w:eastAsia="es-MX"/>
        </w:rPr>
        <w:t>”.</w:t>
      </w:r>
      <w:r w:rsidRPr="00D520EC">
        <w:rPr>
          <w:rFonts w:ascii="Century Gothic" w:hAnsi="Century Gothic"/>
          <w:sz w:val="20"/>
          <w:szCs w:val="20"/>
          <w:lang w:eastAsia="es-MX"/>
        </w:rPr>
        <w:t xml:space="preserve"> </w:t>
      </w:r>
      <w:r w:rsidRPr="00D520EC">
        <w:rPr>
          <w:rFonts w:ascii="Century Gothic" w:hAnsi="Century Gothic" w:cs="Arial"/>
          <w:sz w:val="20"/>
          <w:szCs w:val="20"/>
          <w:lang w:eastAsia="es-MX"/>
        </w:rPr>
        <w:t>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w:t>
      </w:r>
      <w:r w:rsidRPr="00D520EC">
        <w:rPr>
          <w:rFonts w:ascii="Century Gothic" w:hAnsi="Century Gothic" w:cs="Arial"/>
          <w:spacing w:val="-16"/>
          <w:sz w:val="20"/>
          <w:szCs w:val="20"/>
          <w:lang w:eastAsia="es-MX"/>
        </w:rPr>
        <w:t xml:space="preserve"> </w:t>
      </w:r>
      <w:r w:rsidRPr="00D520EC">
        <w:rPr>
          <w:rFonts w:ascii="Century Gothic" w:hAnsi="Century Gothic" w:cs="Arial"/>
          <w:sz w:val="20"/>
          <w:szCs w:val="20"/>
          <w:lang w:eastAsia="es-MX"/>
        </w:rPr>
        <w:t>entrega”.</w:t>
      </w:r>
    </w:p>
    <w:p w14:paraId="1693F0FE" w14:textId="77777777" w:rsidR="00D648CB" w:rsidRPr="00D520EC" w:rsidRDefault="00D648CB" w:rsidP="00E245AB">
      <w:pPr>
        <w:spacing w:after="0"/>
        <w:rPr>
          <w:rFonts w:ascii="Century Gothic" w:hAnsi="Century Gothic"/>
        </w:rPr>
      </w:pPr>
    </w:p>
    <w:p w14:paraId="71E8B5C2" w14:textId="77777777" w:rsidR="00BE79D8" w:rsidRPr="00D520EC" w:rsidRDefault="00BE79D8" w:rsidP="00E245AB">
      <w:pPr>
        <w:spacing w:after="0"/>
        <w:rPr>
          <w:rFonts w:ascii="Century Gothic" w:hAnsi="Century Gothic"/>
        </w:rPr>
      </w:pPr>
    </w:p>
    <w:p w14:paraId="7D4DB02A" w14:textId="77777777" w:rsidR="00BE79D8" w:rsidRPr="00D520EC" w:rsidRDefault="00BE79D8" w:rsidP="00E245AB">
      <w:pPr>
        <w:spacing w:after="0"/>
        <w:rPr>
          <w:rFonts w:ascii="Century Gothic" w:hAnsi="Century Gothic"/>
        </w:rPr>
      </w:pPr>
    </w:p>
    <w:p w14:paraId="5C9EFF43" w14:textId="77777777" w:rsidR="00BE79D8" w:rsidRPr="00D520EC" w:rsidRDefault="00BE79D8" w:rsidP="00E245AB">
      <w:pPr>
        <w:spacing w:after="0"/>
        <w:rPr>
          <w:rFonts w:ascii="Century Gothic" w:hAnsi="Century Gothic"/>
        </w:rPr>
      </w:pPr>
    </w:p>
    <w:p w14:paraId="34412768" w14:textId="77777777" w:rsidR="00267E32" w:rsidRPr="00D520EC" w:rsidRDefault="00267E32" w:rsidP="00E245AB">
      <w:pPr>
        <w:spacing w:after="0"/>
        <w:rPr>
          <w:rFonts w:ascii="Century Gothic" w:hAnsi="Century Gothic"/>
        </w:rPr>
      </w:pPr>
    </w:p>
    <w:p w14:paraId="6440A5E3" w14:textId="77777777" w:rsidR="00267E32" w:rsidRPr="00D520EC" w:rsidRDefault="00267E32" w:rsidP="00E245AB">
      <w:pPr>
        <w:spacing w:after="0"/>
        <w:rPr>
          <w:rFonts w:ascii="Century Gothic" w:hAnsi="Century Gothic"/>
        </w:rPr>
      </w:pPr>
    </w:p>
    <w:p w14:paraId="002C20E5" w14:textId="77777777" w:rsidR="00267E32" w:rsidRPr="00D520EC" w:rsidRDefault="00267E32" w:rsidP="00E245AB">
      <w:pPr>
        <w:spacing w:after="0"/>
        <w:rPr>
          <w:rFonts w:ascii="Century Gothic" w:hAnsi="Century Gothic"/>
        </w:rPr>
      </w:pPr>
    </w:p>
    <w:p w14:paraId="0A5A79D8" w14:textId="77777777" w:rsidR="00267E32" w:rsidRPr="00D520EC" w:rsidRDefault="00267E32" w:rsidP="00E245AB">
      <w:pPr>
        <w:spacing w:after="0"/>
        <w:rPr>
          <w:rFonts w:ascii="Century Gothic" w:hAnsi="Century Gothic"/>
        </w:rPr>
      </w:pPr>
    </w:p>
    <w:p w14:paraId="5E8862AE" w14:textId="77777777" w:rsidR="00267E32" w:rsidRPr="00D520EC" w:rsidRDefault="00267E32" w:rsidP="00E245AB">
      <w:pPr>
        <w:spacing w:after="0"/>
        <w:rPr>
          <w:rFonts w:ascii="Century Gothic" w:hAnsi="Century Gothic"/>
        </w:rPr>
      </w:pPr>
    </w:p>
    <w:p w14:paraId="482B9FBF" w14:textId="77777777" w:rsidR="00267E32" w:rsidRPr="00D520EC" w:rsidRDefault="00267E32" w:rsidP="00E245AB">
      <w:pPr>
        <w:spacing w:after="0"/>
        <w:rPr>
          <w:rFonts w:ascii="Century Gothic" w:hAnsi="Century Gothic"/>
        </w:rPr>
      </w:pPr>
    </w:p>
    <w:p w14:paraId="20B0EF64" w14:textId="77777777" w:rsidR="00267E32" w:rsidRPr="00D520EC" w:rsidRDefault="00267E32" w:rsidP="00E245AB">
      <w:pPr>
        <w:spacing w:after="0"/>
        <w:rPr>
          <w:rFonts w:ascii="Century Gothic" w:hAnsi="Century Gothic"/>
        </w:rPr>
      </w:pPr>
    </w:p>
    <w:p w14:paraId="2F9827B8" w14:textId="77777777" w:rsidR="00267E32" w:rsidRPr="00D520EC" w:rsidRDefault="00267E32" w:rsidP="00E245AB">
      <w:pPr>
        <w:spacing w:after="0"/>
        <w:rPr>
          <w:rFonts w:ascii="Century Gothic" w:hAnsi="Century Gothic"/>
        </w:rPr>
      </w:pPr>
    </w:p>
    <w:p w14:paraId="45A7002B" w14:textId="77777777" w:rsidR="00267E32" w:rsidRPr="00D520EC" w:rsidRDefault="00267E32" w:rsidP="00E245AB">
      <w:pPr>
        <w:spacing w:after="0"/>
        <w:rPr>
          <w:rFonts w:ascii="Century Gothic" w:hAnsi="Century Gothic"/>
        </w:rPr>
      </w:pPr>
    </w:p>
    <w:p w14:paraId="490B836B" w14:textId="77777777" w:rsidR="00267E32" w:rsidRPr="00D520EC" w:rsidRDefault="00267E32" w:rsidP="00E245AB">
      <w:pPr>
        <w:spacing w:after="0"/>
        <w:rPr>
          <w:rFonts w:ascii="Century Gothic" w:hAnsi="Century Gothic"/>
        </w:rPr>
      </w:pPr>
    </w:p>
    <w:p w14:paraId="56297ED2" w14:textId="77777777" w:rsidR="00267E32" w:rsidRPr="00D520EC" w:rsidRDefault="00267E32" w:rsidP="00E245AB">
      <w:pPr>
        <w:spacing w:after="0"/>
        <w:rPr>
          <w:rFonts w:ascii="Century Gothic" w:hAnsi="Century Gothic"/>
        </w:rPr>
      </w:pPr>
    </w:p>
    <w:p w14:paraId="5B2AA20D" w14:textId="77777777" w:rsidR="00267E32" w:rsidRPr="00D520EC" w:rsidRDefault="00267E32" w:rsidP="00E245AB">
      <w:pPr>
        <w:spacing w:after="0"/>
        <w:rPr>
          <w:rFonts w:ascii="Century Gothic" w:hAnsi="Century Gothic"/>
        </w:rPr>
      </w:pPr>
    </w:p>
    <w:p w14:paraId="11FF8465" w14:textId="77777777" w:rsidR="00267E32" w:rsidRPr="00D520EC" w:rsidRDefault="00267E32" w:rsidP="00E245AB">
      <w:pPr>
        <w:spacing w:after="0"/>
        <w:rPr>
          <w:rFonts w:ascii="Century Gothic" w:hAnsi="Century Gothic"/>
        </w:rPr>
      </w:pPr>
    </w:p>
    <w:p w14:paraId="5AA74708" w14:textId="77777777" w:rsidR="00267E32" w:rsidRPr="00D520EC" w:rsidRDefault="00267E32" w:rsidP="00E245AB">
      <w:pPr>
        <w:spacing w:after="0"/>
        <w:rPr>
          <w:rFonts w:ascii="Century Gothic" w:hAnsi="Century Gothic"/>
        </w:rPr>
      </w:pPr>
    </w:p>
    <w:p w14:paraId="29F315E4" w14:textId="77777777" w:rsidR="00267E32" w:rsidRPr="00D520EC" w:rsidRDefault="00267E32" w:rsidP="00E245AB">
      <w:pPr>
        <w:spacing w:after="0"/>
        <w:rPr>
          <w:rFonts w:ascii="Century Gothic" w:hAnsi="Century Gothic"/>
        </w:rPr>
      </w:pPr>
    </w:p>
    <w:p w14:paraId="024FDAED" w14:textId="77777777" w:rsidR="00267E32" w:rsidRPr="00D520EC" w:rsidRDefault="00267E32" w:rsidP="00E245AB">
      <w:pPr>
        <w:spacing w:after="0"/>
        <w:rPr>
          <w:rFonts w:ascii="Century Gothic" w:hAnsi="Century Gothic"/>
        </w:rPr>
      </w:pPr>
    </w:p>
    <w:p w14:paraId="0C3617F2" w14:textId="77777777" w:rsidR="00267E32" w:rsidRPr="00D520EC" w:rsidRDefault="00267E32" w:rsidP="00E245AB">
      <w:pPr>
        <w:spacing w:after="0"/>
        <w:rPr>
          <w:rFonts w:ascii="Century Gothic" w:hAnsi="Century Gothic"/>
        </w:rPr>
      </w:pPr>
    </w:p>
    <w:p w14:paraId="6F6CF336" w14:textId="77777777" w:rsidR="00267E32" w:rsidRPr="00D520EC" w:rsidRDefault="00267E32" w:rsidP="00E245AB">
      <w:pPr>
        <w:spacing w:after="0"/>
        <w:rPr>
          <w:rFonts w:ascii="Century Gothic" w:hAnsi="Century Gothic"/>
        </w:rPr>
      </w:pPr>
    </w:p>
    <w:p w14:paraId="4C458F34" w14:textId="77777777" w:rsidR="00267E32" w:rsidRPr="00D520EC" w:rsidRDefault="00267E32" w:rsidP="00E245AB">
      <w:pPr>
        <w:spacing w:after="0"/>
        <w:rPr>
          <w:rFonts w:ascii="Century Gothic" w:hAnsi="Century Gothic"/>
        </w:rPr>
      </w:pPr>
    </w:p>
    <w:p w14:paraId="75680EA1" w14:textId="77777777" w:rsidR="0040106D" w:rsidRDefault="0040106D" w:rsidP="00E245AB">
      <w:pPr>
        <w:spacing w:after="0"/>
        <w:rPr>
          <w:rFonts w:ascii="Century Gothic" w:hAnsi="Century Gothic"/>
        </w:rPr>
      </w:pPr>
    </w:p>
    <w:p w14:paraId="3FE2184B" w14:textId="004FE675" w:rsidR="00E245AB" w:rsidRDefault="00E245AB" w:rsidP="00E245AB">
      <w:pPr>
        <w:spacing w:after="0"/>
        <w:rPr>
          <w:rFonts w:ascii="Century Gothic" w:hAnsi="Century Gothic"/>
        </w:rPr>
      </w:pPr>
      <w:r w:rsidRPr="00D520EC">
        <w:rPr>
          <w:rFonts w:ascii="Century Gothic" w:hAnsi="Century Gothic"/>
        </w:rPr>
        <w:t xml:space="preserve">Bogotá D.C., </w:t>
      </w:r>
      <w:r w:rsidR="00F4214E">
        <w:rPr>
          <w:rFonts w:ascii="Century Gothic" w:hAnsi="Century Gothic"/>
        </w:rPr>
        <w:t>19 de octubre del 2023</w:t>
      </w:r>
    </w:p>
    <w:p w14:paraId="46E6DA74" w14:textId="77777777" w:rsidR="00F4214E" w:rsidRDefault="00F4214E" w:rsidP="00E245AB">
      <w:pPr>
        <w:spacing w:after="0"/>
        <w:rPr>
          <w:rFonts w:ascii="Century Gothic" w:hAnsi="Century Gothic"/>
        </w:rPr>
      </w:pPr>
    </w:p>
    <w:p w14:paraId="5270C817" w14:textId="77777777" w:rsidR="00F4214E" w:rsidRDefault="00F4214E" w:rsidP="00E245AB">
      <w:pPr>
        <w:spacing w:after="0"/>
        <w:rPr>
          <w:rFonts w:ascii="Century Gothic" w:hAnsi="Century Gothic"/>
        </w:rPr>
      </w:pPr>
    </w:p>
    <w:p w14:paraId="5FCADBF9" w14:textId="642041B4" w:rsidR="00E245AB" w:rsidRPr="00D520EC" w:rsidRDefault="00F4214E" w:rsidP="00F4214E">
      <w:pPr>
        <w:spacing w:after="0"/>
        <w:jc w:val="right"/>
        <w:rPr>
          <w:rFonts w:ascii="Century Gothic" w:hAnsi="Century Gothic"/>
        </w:rPr>
      </w:pPr>
      <w:r>
        <w:rPr>
          <w:rFonts w:ascii="Century Gothic" w:hAnsi="Century Gothic"/>
          <w:noProof/>
        </w:rPr>
        <w:drawing>
          <wp:inline distT="0" distB="0" distL="0" distR="0" wp14:anchorId="111BCEF0" wp14:editId="286C770F">
            <wp:extent cx="2965214" cy="819150"/>
            <wp:effectExtent l="0" t="0" r="6985" b="0"/>
            <wp:docPr id="11616142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14226"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86486" cy="825026"/>
                    </a:xfrm>
                    <a:prstGeom prst="rect">
                      <a:avLst/>
                    </a:prstGeom>
                  </pic:spPr>
                </pic:pic>
              </a:graphicData>
            </a:graphic>
          </wp:inline>
        </w:drawing>
      </w:r>
    </w:p>
    <w:p w14:paraId="3EE91D28" w14:textId="7DD2D886" w:rsidR="001F5488" w:rsidRPr="00D520EC" w:rsidRDefault="001F5488" w:rsidP="001F5488">
      <w:pPr>
        <w:spacing w:after="0"/>
        <w:rPr>
          <w:rFonts w:ascii="Century Gothic" w:eastAsia="Geomanist Light" w:hAnsi="Century Gothic" w:cs="Arial"/>
          <w:color w:val="201F1E"/>
          <w:lang w:val="es-MX"/>
        </w:rPr>
      </w:pPr>
      <w:r w:rsidRPr="00D520EC">
        <w:rPr>
          <w:rFonts w:ascii="Century Gothic" w:hAnsi="Century Gothic" w:cs="Arial"/>
          <w:lang w:val="es-MX"/>
        </w:rPr>
        <w:t>Señor</w:t>
      </w:r>
    </w:p>
    <w:p w14:paraId="10106831" w14:textId="61D92942" w:rsidR="001F5488" w:rsidRPr="00D520EC" w:rsidRDefault="009C4F1E" w:rsidP="001F5488">
      <w:pPr>
        <w:spacing w:after="0" w:line="276" w:lineRule="auto"/>
        <w:rPr>
          <w:rFonts w:ascii="Century Gothic" w:hAnsi="Century Gothic" w:cs="Arial"/>
          <w:b/>
          <w:bCs/>
          <w:lang w:val="es-MX"/>
        </w:rPr>
      </w:pPr>
      <w:bookmarkStart w:id="1" w:name="_Hlk137493281"/>
      <w:r w:rsidRPr="00D520EC">
        <w:rPr>
          <w:rFonts w:ascii="Century Gothic" w:hAnsi="Century Gothic" w:cs="Arial"/>
          <w:b/>
          <w:bCs/>
          <w:lang w:val="es-MX"/>
        </w:rPr>
        <w:t xml:space="preserve">Alejandro </w:t>
      </w:r>
      <w:bookmarkStart w:id="2" w:name="_Hlk148169821"/>
      <w:r w:rsidRPr="00D520EC">
        <w:rPr>
          <w:rFonts w:ascii="Century Gothic" w:hAnsi="Century Gothic" w:cs="Arial"/>
          <w:b/>
          <w:bCs/>
          <w:lang w:val="es-MX"/>
        </w:rPr>
        <w:t>Loaiza Suarez</w:t>
      </w:r>
      <w:bookmarkEnd w:id="2"/>
    </w:p>
    <w:bookmarkEnd w:id="1"/>
    <w:p w14:paraId="7EC6A4B2" w14:textId="1717B472" w:rsidR="00AE22C8" w:rsidRPr="00D520EC" w:rsidRDefault="00AE22C8" w:rsidP="001F5488">
      <w:pPr>
        <w:spacing w:after="0" w:line="276" w:lineRule="auto"/>
        <w:rPr>
          <w:rFonts w:ascii="Century Gothic" w:hAnsi="Century Gothic"/>
        </w:rPr>
      </w:pPr>
      <w:r w:rsidRPr="00D520EC">
        <w:rPr>
          <w:rFonts w:ascii="Century Gothic" w:hAnsi="Century Gothic"/>
        </w:rPr>
        <w:fldChar w:fldCharType="begin"/>
      </w:r>
      <w:r w:rsidRPr="00D520EC">
        <w:rPr>
          <w:rFonts w:ascii="Century Gothic" w:hAnsi="Century Gothic"/>
        </w:rPr>
        <w:instrText>HYPERLINK "mailto:alejoloaiza23@hotmail.com"</w:instrText>
      </w:r>
      <w:r w:rsidRPr="00D520EC">
        <w:rPr>
          <w:rFonts w:ascii="Century Gothic" w:hAnsi="Century Gothic"/>
        </w:rPr>
      </w:r>
      <w:r w:rsidRPr="00D520EC">
        <w:rPr>
          <w:rFonts w:ascii="Century Gothic" w:hAnsi="Century Gothic"/>
        </w:rPr>
        <w:fldChar w:fldCharType="separate"/>
      </w:r>
      <w:r w:rsidRPr="00D520EC">
        <w:rPr>
          <w:rStyle w:val="Hipervnculo"/>
          <w:rFonts w:ascii="Century Gothic" w:hAnsi="Century Gothic"/>
        </w:rPr>
        <w:t>alejoloaiza23@hotmail.com</w:t>
      </w:r>
      <w:r w:rsidRPr="00D520EC">
        <w:rPr>
          <w:rFonts w:ascii="Century Gothic" w:hAnsi="Century Gothic"/>
        </w:rPr>
        <w:fldChar w:fldCharType="end"/>
      </w:r>
    </w:p>
    <w:p w14:paraId="3E7CC784" w14:textId="4D2AE023" w:rsidR="001F5488" w:rsidRPr="00D520EC" w:rsidRDefault="00FC7666" w:rsidP="001F5488">
      <w:pPr>
        <w:spacing w:after="0" w:line="276" w:lineRule="auto"/>
        <w:rPr>
          <w:rFonts w:ascii="Century Gothic" w:hAnsi="Century Gothic" w:cs="Arial"/>
          <w:lang w:val="es-MX"/>
        </w:rPr>
      </w:pPr>
      <w:r w:rsidRPr="00D520EC">
        <w:rPr>
          <w:rFonts w:ascii="Century Gothic" w:hAnsi="Century Gothic" w:cs="Arial"/>
          <w:lang w:val="es-MX"/>
        </w:rPr>
        <w:t>Valledupar, Cesar</w:t>
      </w:r>
    </w:p>
    <w:p w14:paraId="53FEDCE8" w14:textId="77777777" w:rsidR="001F5488" w:rsidRPr="00D520EC" w:rsidRDefault="001F5488" w:rsidP="001F5488">
      <w:pPr>
        <w:spacing w:after="0" w:line="276" w:lineRule="auto"/>
        <w:rPr>
          <w:rFonts w:ascii="Century Gothic" w:hAnsi="Century Gothic" w:cs="Arial"/>
          <w:lang w:val="es-MX"/>
        </w:rPr>
      </w:pPr>
    </w:p>
    <w:p w14:paraId="736D94D5" w14:textId="7AFC7DAF" w:rsidR="001F5488" w:rsidRPr="00D520EC" w:rsidRDefault="001F5488" w:rsidP="001F5488">
      <w:pPr>
        <w:spacing w:after="0" w:line="276" w:lineRule="auto"/>
        <w:ind w:left="2832"/>
        <w:rPr>
          <w:rFonts w:ascii="Century Gothic" w:eastAsia="Calibri" w:hAnsi="Century Gothic" w:cs="Arial"/>
          <w:b/>
          <w:bCs/>
          <w:lang w:val="es-ES"/>
        </w:rPr>
      </w:pPr>
      <w:r w:rsidRPr="00D520EC">
        <w:rPr>
          <w:rFonts w:ascii="Century Gothic" w:eastAsia="Calibri" w:hAnsi="Century Gothic" w:cs="Arial"/>
          <w:b/>
          <w:bCs/>
          <w:lang w:val="es-ES"/>
        </w:rPr>
        <w:t>Concepto C-4</w:t>
      </w:r>
      <w:r w:rsidR="006072CE" w:rsidRPr="00D520EC">
        <w:rPr>
          <w:rFonts w:ascii="Century Gothic" w:eastAsia="Calibri" w:hAnsi="Century Gothic" w:cs="Arial"/>
          <w:b/>
          <w:bCs/>
          <w:lang w:val="es-ES"/>
        </w:rPr>
        <w:t>31</w:t>
      </w:r>
      <w:r w:rsidRPr="00D520EC">
        <w:rPr>
          <w:rFonts w:ascii="Century Gothic" w:eastAsia="Calibri" w:hAnsi="Century Gothic" w:cs="Arial"/>
          <w:b/>
          <w:bCs/>
          <w:lang w:val="es-ES"/>
        </w:rPr>
        <w:t xml:space="preserve"> del 2023</w:t>
      </w:r>
    </w:p>
    <w:p w14:paraId="4DF3A670" w14:textId="77777777" w:rsidR="001F5488" w:rsidRPr="00D520EC" w:rsidRDefault="001F5488" w:rsidP="001F5488">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1F5488" w:rsidRPr="00D520EC" w14:paraId="4CD342AA" w14:textId="77777777" w:rsidTr="00BD2EF4">
        <w:trPr>
          <w:jc w:val="right"/>
        </w:trPr>
        <w:tc>
          <w:tcPr>
            <w:tcW w:w="1838" w:type="dxa"/>
          </w:tcPr>
          <w:p w14:paraId="174508A8" w14:textId="77777777" w:rsidR="001F5488" w:rsidRPr="00D520EC" w:rsidRDefault="001F5488" w:rsidP="00BD2EF4">
            <w:pPr>
              <w:spacing w:line="276" w:lineRule="auto"/>
              <w:jc w:val="center"/>
              <w:rPr>
                <w:rFonts w:ascii="Century Gothic" w:eastAsia="Calibri" w:hAnsi="Century Gothic" w:cs="Arial"/>
                <w:lang w:val="es-ES_tradnl"/>
              </w:rPr>
            </w:pPr>
            <w:r w:rsidRPr="00D520EC">
              <w:rPr>
                <w:rFonts w:ascii="Century Gothic" w:eastAsia="Calibri" w:hAnsi="Century Gothic" w:cs="Arial"/>
                <w:b/>
                <w:lang w:val="es-ES_tradnl"/>
              </w:rPr>
              <w:t>Temas:</w:t>
            </w:r>
          </w:p>
        </w:tc>
        <w:tc>
          <w:tcPr>
            <w:tcW w:w="6237" w:type="dxa"/>
          </w:tcPr>
          <w:p w14:paraId="4E69D312" w14:textId="2F720F56" w:rsidR="00BE79D8" w:rsidRPr="00D520EC" w:rsidRDefault="00BE79D8" w:rsidP="00BD2EF4">
            <w:pPr>
              <w:spacing w:after="120"/>
              <w:jc w:val="both"/>
              <w:rPr>
                <w:rFonts w:ascii="Century Gothic" w:eastAsia="Calibri" w:hAnsi="Century Gothic" w:cs="Arial"/>
                <w:bCs/>
                <w:lang w:val="es-MX"/>
              </w:rPr>
            </w:pPr>
            <w:r w:rsidRPr="00D520EC">
              <w:rPr>
                <w:rFonts w:ascii="Century Gothic" w:eastAsia="Calibri" w:hAnsi="Century Gothic" w:cs="Arial"/>
                <w:bCs/>
                <w:lang w:val="es-ES_tradnl"/>
              </w:rPr>
              <w:t xml:space="preserve">DOCUMENTOS TIPO – Fundamento jurídico – Aplicación / </w:t>
            </w:r>
            <w:r w:rsidRPr="00D520EC">
              <w:rPr>
                <w:rFonts w:ascii="Century Gothic" w:eastAsia="Calibri" w:hAnsi="Century Gothic" w:cs="Arial"/>
                <w:bCs/>
              </w:rPr>
              <w:t xml:space="preserve">DOCUMENTOS TIPO DE INFRAESTRUCTURA SOCIAL – Generalidades / </w:t>
            </w:r>
            <w:r w:rsidR="00267E32" w:rsidRPr="00D520EC">
              <w:rPr>
                <w:rFonts w:ascii="Century Gothic" w:eastAsia="Calibri" w:hAnsi="Century Gothic" w:cs="Arial"/>
                <w:bCs/>
              </w:rPr>
              <w:t xml:space="preserve">MODALIDAD LLAVE EN MANO – Contrato EPC – Definición  </w:t>
            </w:r>
          </w:p>
        </w:tc>
      </w:tr>
      <w:tr w:rsidR="001F5488" w:rsidRPr="00D520EC" w14:paraId="5C33EDDC" w14:textId="77777777" w:rsidTr="00BD2EF4">
        <w:trPr>
          <w:jc w:val="right"/>
        </w:trPr>
        <w:tc>
          <w:tcPr>
            <w:tcW w:w="1838" w:type="dxa"/>
          </w:tcPr>
          <w:p w14:paraId="5FB14787" w14:textId="22149F90" w:rsidR="001F5488" w:rsidRPr="00D520EC" w:rsidRDefault="00BE79D8" w:rsidP="00BD2EF4">
            <w:pPr>
              <w:spacing w:line="276" w:lineRule="auto"/>
              <w:jc w:val="center"/>
              <w:rPr>
                <w:rFonts w:ascii="Century Gothic" w:eastAsia="Calibri" w:hAnsi="Century Gothic" w:cs="Arial"/>
                <w:b/>
                <w:lang w:val="es-ES"/>
              </w:rPr>
            </w:pPr>
            <w:r w:rsidRPr="00D520EC">
              <w:rPr>
                <w:rFonts w:ascii="Century Gothic" w:eastAsia="Calibri" w:hAnsi="Century Gothic" w:cs="Arial"/>
                <w:b/>
                <w:lang w:val="es-ES"/>
              </w:rPr>
              <w:t xml:space="preserve"> </w:t>
            </w:r>
            <w:r w:rsidR="001F5488" w:rsidRPr="00D520EC">
              <w:rPr>
                <w:rFonts w:ascii="Century Gothic" w:eastAsia="Calibri" w:hAnsi="Century Gothic" w:cs="Arial"/>
                <w:b/>
                <w:lang w:val="es-ES"/>
              </w:rPr>
              <w:t>Radicación:</w:t>
            </w:r>
          </w:p>
        </w:tc>
        <w:tc>
          <w:tcPr>
            <w:tcW w:w="6237" w:type="dxa"/>
          </w:tcPr>
          <w:p w14:paraId="2F11E2BB" w14:textId="3286BD60" w:rsidR="001F5488" w:rsidRPr="00D520EC" w:rsidRDefault="001F5488" w:rsidP="00BD2EF4">
            <w:pPr>
              <w:spacing w:after="120" w:line="276" w:lineRule="auto"/>
              <w:jc w:val="both"/>
              <w:rPr>
                <w:rFonts w:ascii="Century Gothic" w:eastAsia="Calibri" w:hAnsi="Century Gothic" w:cs="Arial"/>
                <w:lang w:val="es-ES"/>
              </w:rPr>
            </w:pPr>
            <w:r w:rsidRPr="00D520EC">
              <w:rPr>
                <w:rFonts w:ascii="Century Gothic" w:eastAsia="Calibri" w:hAnsi="Century Gothic" w:cs="Arial"/>
                <w:lang w:val="es-ES"/>
              </w:rPr>
              <w:t xml:space="preserve">Respuesta a consulta </w:t>
            </w:r>
            <w:r w:rsidR="006072CE" w:rsidRPr="00D520EC">
              <w:rPr>
                <w:rFonts w:ascii="Century Gothic" w:eastAsia="Calibri" w:hAnsi="Century Gothic" w:cs="Arial"/>
                <w:lang w:val="es-ES"/>
              </w:rPr>
              <w:t>P20230907014938</w:t>
            </w:r>
          </w:p>
        </w:tc>
      </w:tr>
    </w:tbl>
    <w:p w14:paraId="4F38E72A" w14:textId="77777777" w:rsidR="001F5488" w:rsidRPr="00D520EC" w:rsidRDefault="001F5488" w:rsidP="001F5488">
      <w:pPr>
        <w:spacing w:line="276" w:lineRule="auto"/>
        <w:jc w:val="both"/>
        <w:rPr>
          <w:rFonts w:ascii="Century Gothic" w:eastAsia="Calibri" w:hAnsi="Century Gothic" w:cs="Arial"/>
          <w:lang w:val="es-ES_tradnl"/>
        </w:rPr>
      </w:pPr>
    </w:p>
    <w:p w14:paraId="550912B8" w14:textId="1316FBBD" w:rsidR="001F5488" w:rsidRPr="00D520EC" w:rsidRDefault="001F5488" w:rsidP="001F5488">
      <w:pPr>
        <w:spacing w:line="276" w:lineRule="auto"/>
        <w:jc w:val="both"/>
        <w:rPr>
          <w:rFonts w:ascii="Century Gothic" w:eastAsia="Calibri" w:hAnsi="Century Gothic" w:cs="Arial"/>
          <w:bCs/>
          <w:lang w:val="es-ES_tradnl"/>
        </w:rPr>
      </w:pPr>
      <w:r w:rsidRPr="00D520EC">
        <w:rPr>
          <w:rFonts w:ascii="Century Gothic" w:eastAsia="Calibri" w:hAnsi="Century Gothic" w:cs="Arial"/>
          <w:lang w:val="es-ES_tradnl"/>
        </w:rPr>
        <w:t>Estimad</w:t>
      </w:r>
      <w:r w:rsidR="00FC7666" w:rsidRPr="00D520EC">
        <w:rPr>
          <w:rFonts w:ascii="Century Gothic" w:eastAsia="Calibri" w:hAnsi="Century Gothic" w:cs="Arial"/>
          <w:lang w:val="es-ES_tradnl"/>
        </w:rPr>
        <w:t>o</w:t>
      </w:r>
      <w:r w:rsidRPr="00D520EC">
        <w:rPr>
          <w:rFonts w:ascii="Century Gothic" w:eastAsia="Calibri" w:hAnsi="Century Gothic" w:cs="Arial"/>
          <w:lang w:val="es-ES_tradnl"/>
        </w:rPr>
        <w:t xml:space="preserve"> señor </w:t>
      </w:r>
      <w:r w:rsidR="00FC7666" w:rsidRPr="00D520EC">
        <w:rPr>
          <w:rFonts w:ascii="Century Gothic" w:hAnsi="Century Gothic" w:cs="Arial"/>
          <w:lang w:val="es-MX"/>
        </w:rPr>
        <w:t>Loaiza Suarez</w:t>
      </w:r>
      <w:r w:rsidRPr="00D520EC">
        <w:rPr>
          <w:rFonts w:ascii="Century Gothic" w:eastAsia="Calibri" w:hAnsi="Century Gothic" w:cs="Arial"/>
          <w:bCs/>
          <w:lang w:val="es-ES_tradnl"/>
        </w:rPr>
        <w:t>:</w:t>
      </w:r>
    </w:p>
    <w:p w14:paraId="581FFC3A" w14:textId="51F60E3A" w:rsidR="001F5488" w:rsidRPr="00D520EC" w:rsidRDefault="001F5488" w:rsidP="001F5488">
      <w:pPr>
        <w:spacing w:after="0" w:line="276" w:lineRule="auto"/>
        <w:jc w:val="both"/>
        <w:rPr>
          <w:rFonts w:ascii="Century Gothic" w:eastAsia="Calibri" w:hAnsi="Century Gothic" w:cs="Arial"/>
          <w:lang w:val="es-ES"/>
        </w:rPr>
      </w:pPr>
      <w:r w:rsidRPr="00D520EC">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6072CE" w:rsidRPr="00D520EC">
        <w:rPr>
          <w:rFonts w:ascii="Century Gothic" w:eastAsia="Calibri" w:hAnsi="Century Gothic" w:cs="Arial"/>
          <w:lang w:val="es-ES"/>
        </w:rPr>
        <w:t>06 de septiembre del 2023.</w:t>
      </w:r>
    </w:p>
    <w:p w14:paraId="5E1C1FAD" w14:textId="77777777" w:rsidR="001F5488" w:rsidRPr="00D520EC" w:rsidRDefault="001F5488" w:rsidP="001F5488">
      <w:pPr>
        <w:spacing w:after="0" w:line="276" w:lineRule="auto"/>
        <w:jc w:val="both"/>
        <w:rPr>
          <w:rFonts w:ascii="Century Gothic" w:eastAsia="Calibri" w:hAnsi="Century Gothic" w:cs="Arial"/>
          <w:lang w:val="es-ES"/>
        </w:rPr>
      </w:pPr>
    </w:p>
    <w:p w14:paraId="77F80B2F" w14:textId="77777777" w:rsidR="001F5488" w:rsidRPr="00D520EC" w:rsidRDefault="001F5488" w:rsidP="001F5488">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D520EC">
        <w:rPr>
          <w:rFonts w:ascii="Century Gothic" w:eastAsia="Calibri" w:hAnsi="Century Gothic" w:cs="Arial"/>
          <w:b/>
          <w:lang w:val="es-ES_tradnl"/>
        </w:rPr>
        <w:t xml:space="preserve">Problema planteado </w:t>
      </w:r>
    </w:p>
    <w:p w14:paraId="01D1F407" w14:textId="77777777" w:rsidR="001F5488" w:rsidRPr="00D520EC" w:rsidRDefault="001F5488" w:rsidP="001F5488">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0465BA6D" w14:textId="199226C1" w:rsidR="00E245AB" w:rsidRPr="00D520EC" w:rsidRDefault="001F5488" w:rsidP="007D25AC">
      <w:pPr>
        <w:spacing w:after="0" w:line="276" w:lineRule="auto"/>
        <w:jc w:val="both"/>
        <w:rPr>
          <w:rFonts w:ascii="Century Gothic" w:hAnsi="Century Gothic" w:cs="Arial"/>
          <w:lang w:val="es-ES_tradnl"/>
        </w:rPr>
      </w:pPr>
      <w:r w:rsidRPr="00D520EC">
        <w:rPr>
          <w:rFonts w:ascii="Century Gothic" w:hAnsi="Century Gothic" w:cs="Arial"/>
          <w:lang w:val="es-ES_tradnl"/>
        </w:rPr>
        <w:t xml:space="preserve">Respecto </w:t>
      </w:r>
      <w:r w:rsidR="00D834B9" w:rsidRPr="00D520EC">
        <w:rPr>
          <w:rFonts w:ascii="Century Gothic" w:hAnsi="Century Gothic" w:cs="Arial"/>
          <w:lang w:val="es-ES_tradnl"/>
        </w:rPr>
        <w:t>a la obligatoriedad de la adopción del pliego tipo, para la construcción de infraestructura social</w:t>
      </w:r>
      <w:r w:rsidRPr="00D520EC">
        <w:rPr>
          <w:rFonts w:ascii="Century Gothic" w:hAnsi="Century Gothic" w:cs="Arial"/>
          <w:lang w:val="es-ES_tradnl"/>
        </w:rPr>
        <w:t xml:space="preserve">, usted realiza la siguiente consulta: </w:t>
      </w:r>
    </w:p>
    <w:p w14:paraId="1C87F273" w14:textId="77777777" w:rsidR="007D25AC" w:rsidRPr="00D520EC" w:rsidRDefault="007D25AC" w:rsidP="007D25AC">
      <w:pPr>
        <w:spacing w:after="0" w:line="276" w:lineRule="auto"/>
        <w:jc w:val="both"/>
        <w:rPr>
          <w:rFonts w:ascii="Century Gothic" w:hAnsi="Century Gothic" w:cs="Arial"/>
          <w:lang w:val="es-ES_tradnl"/>
        </w:rPr>
      </w:pPr>
    </w:p>
    <w:p w14:paraId="3612754E" w14:textId="77777777" w:rsidR="003F26BC" w:rsidRPr="00D520EC" w:rsidRDefault="007D25AC" w:rsidP="00717579">
      <w:pPr>
        <w:spacing w:after="0" w:line="240" w:lineRule="auto"/>
        <w:ind w:left="709" w:right="709"/>
        <w:jc w:val="both"/>
        <w:rPr>
          <w:rFonts w:ascii="Century Gothic" w:hAnsi="Century Gothic"/>
          <w:sz w:val="21"/>
          <w:szCs w:val="21"/>
        </w:rPr>
      </w:pPr>
      <w:r w:rsidRPr="00D520EC">
        <w:rPr>
          <w:rFonts w:ascii="Century Gothic" w:hAnsi="Century Gothic" w:cs="Arial"/>
          <w:sz w:val="21"/>
          <w:szCs w:val="21"/>
        </w:rPr>
        <w:t>“[…] 1. ¿</w:t>
      </w:r>
      <w:r w:rsidRPr="00D520EC">
        <w:rPr>
          <w:rFonts w:ascii="Century Gothic" w:hAnsi="Century Gothic"/>
          <w:sz w:val="21"/>
          <w:szCs w:val="21"/>
        </w:rPr>
        <w:t>se hace obligatoria la adopción de pliegos tipo, para la construcción de una obra pública de infraestructura social del sector educativo bajo la modalidad llave en mano, cuya complejidad técnica haga necesario que en las actividades a realizar se incluyan de manera conjunta las fases de estudios y diseños, construcción y dotación?</w:t>
      </w:r>
    </w:p>
    <w:p w14:paraId="749B2E92" w14:textId="77777777" w:rsidR="003F26BC" w:rsidRPr="00D520EC" w:rsidRDefault="003F26BC" w:rsidP="00717579">
      <w:pPr>
        <w:spacing w:after="0" w:line="240" w:lineRule="auto"/>
        <w:ind w:left="709" w:right="709"/>
        <w:jc w:val="both"/>
        <w:rPr>
          <w:rFonts w:ascii="Century Gothic" w:hAnsi="Century Gothic"/>
          <w:sz w:val="21"/>
          <w:szCs w:val="21"/>
        </w:rPr>
      </w:pPr>
    </w:p>
    <w:p w14:paraId="4811711A" w14:textId="77777777" w:rsidR="001E1EE5" w:rsidRPr="00D520EC" w:rsidRDefault="003F26BC" w:rsidP="00717579">
      <w:pPr>
        <w:spacing w:after="0" w:line="240" w:lineRule="auto"/>
        <w:ind w:left="709" w:right="709"/>
        <w:jc w:val="both"/>
        <w:rPr>
          <w:rFonts w:ascii="Century Gothic" w:hAnsi="Century Gothic"/>
          <w:sz w:val="21"/>
          <w:szCs w:val="21"/>
        </w:rPr>
      </w:pPr>
      <w:r w:rsidRPr="00D520EC">
        <w:rPr>
          <w:rFonts w:ascii="Century Gothic" w:hAnsi="Century Gothic"/>
          <w:sz w:val="21"/>
          <w:szCs w:val="21"/>
        </w:rPr>
        <w:t>2 ¿Si de acuerdo a respuesta a interrogante anterior, resulta obligatoria la adopción de pliegos tipo para la construcción de una obra pública de infraestructura social del sector educativo bajo la modalidad llave en mano, cuya complejidad técnica haga necesario que en las actividades a realizar se incluyan de manera conjunta las fases de estudios y diseños, construcción y dotación:</w:t>
      </w:r>
    </w:p>
    <w:p w14:paraId="2C7765A7" w14:textId="77777777" w:rsidR="00717579" w:rsidRPr="00D520EC" w:rsidRDefault="00717579" w:rsidP="00717579">
      <w:pPr>
        <w:spacing w:after="0" w:line="240" w:lineRule="auto"/>
        <w:ind w:left="709" w:right="709"/>
        <w:jc w:val="both"/>
        <w:rPr>
          <w:rFonts w:ascii="Century Gothic" w:hAnsi="Century Gothic"/>
          <w:sz w:val="21"/>
          <w:szCs w:val="21"/>
        </w:rPr>
      </w:pPr>
    </w:p>
    <w:p w14:paraId="19943F75" w14:textId="77A49D40" w:rsidR="007D25AC" w:rsidRPr="00D520EC" w:rsidRDefault="001E1EE5" w:rsidP="00717579">
      <w:pPr>
        <w:pStyle w:val="Prrafodelista"/>
        <w:numPr>
          <w:ilvl w:val="0"/>
          <w:numId w:val="20"/>
        </w:numPr>
        <w:spacing w:after="0" w:line="240" w:lineRule="auto"/>
        <w:ind w:right="709"/>
        <w:jc w:val="both"/>
        <w:rPr>
          <w:rFonts w:ascii="Century Gothic" w:hAnsi="Century Gothic"/>
          <w:sz w:val="21"/>
          <w:szCs w:val="21"/>
          <w:lang w:val="es-CO"/>
        </w:rPr>
      </w:pPr>
      <w:r w:rsidRPr="00D520EC">
        <w:rPr>
          <w:rFonts w:ascii="Century Gothic" w:hAnsi="Century Gothic"/>
          <w:sz w:val="21"/>
          <w:szCs w:val="21"/>
        </w:rPr>
        <w:t>¿cuál o cuáles serían las matrices de experiencia que aplicarían para las actividades específicas de estudios y diseños y dotación?</w:t>
      </w:r>
      <w:bookmarkEnd w:id="0"/>
    </w:p>
    <w:p w14:paraId="5907A714" w14:textId="77777777" w:rsidR="00C0772F" w:rsidRPr="00D520EC" w:rsidRDefault="00C0772F" w:rsidP="00717579">
      <w:pPr>
        <w:pStyle w:val="Prrafodelista"/>
        <w:spacing w:after="0" w:line="240" w:lineRule="auto"/>
        <w:ind w:left="1069" w:right="709"/>
        <w:jc w:val="both"/>
        <w:rPr>
          <w:rFonts w:ascii="Century Gothic" w:hAnsi="Century Gothic"/>
          <w:sz w:val="21"/>
          <w:szCs w:val="21"/>
          <w:lang w:val="es-CO"/>
        </w:rPr>
      </w:pPr>
    </w:p>
    <w:p w14:paraId="74ED75B9" w14:textId="598E4D98" w:rsidR="00C0772F" w:rsidRPr="00D520EC" w:rsidRDefault="00C0772F" w:rsidP="00717579">
      <w:pPr>
        <w:pStyle w:val="Prrafodelista"/>
        <w:numPr>
          <w:ilvl w:val="0"/>
          <w:numId w:val="20"/>
        </w:numPr>
        <w:spacing w:after="0" w:line="240" w:lineRule="auto"/>
        <w:ind w:right="709"/>
        <w:jc w:val="both"/>
        <w:rPr>
          <w:rFonts w:ascii="Century Gothic" w:hAnsi="Century Gothic"/>
          <w:sz w:val="21"/>
          <w:szCs w:val="21"/>
          <w:lang w:val="es-CO"/>
        </w:rPr>
      </w:pPr>
      <w:r w:rsidRPr="00D520EC">
        <w:rPr>
          <w:rFonts w:ascii="Century Gothic" w:hAnsi="Century Gothic"/>
          <w:sz w:val="21"/>
          <w:szCs w:val="21"/>
        </w:rPr>
        <w:t>¿hasta qué punto podría modificarse el documento base (pliego tipo) de tal forma que sus condiciones y exigencias guarden armonía con la modalidad de obra a contratar (llave en mano) por ejemplo: en lo que tiene que ver con la forma de establecer el AIU y con las causales de rechazo que recaen sobre la propuesta económica?</w:t>
      </w:r>
    </w:p>
    <w:p w14:paraId="251422AF" w14:textId="77777777" w:rsidR="00C0772F" w:rsidRPr="00D520EC" w:rsidRDefault="00C0772F" w:rsidP="00717579">
      <w:pPr>
        <w:pStyle w:val="Prrafodelista"/>
        <w:spacing w:line="240" w:lineRule="auto"/>
        <w:rPr>
          <w:rFonts w:ascii="Century Gothic" w:hAnsi="Century Gothic"/>
          <w:sz w:val="21"/>
          <w:szCs w:val="21"/>
          <w:lang w:val="es-CO"/>
        </w:rPr>
      </w:pPr>
    </w:p>
    <w:p w14:paraId="2ED97934" w14:textId="2C91C6AB" w:rsidR="00717579" w:rsidRPr="00D520EC" w:rsidRDefault="00C0772F" w:rsidP="00717579">
      <w:pPr>
        <w:pStyle w:val="Prrafodelista"/>
        <w:numPr>
          <w:ilvl w:val="0"/>
          <w:numId w:val="20"/>
        </w:numPr>
        <w:spacing w:after="0" w:line="240" w:lineRule="auto"/>
        <w:ind w:right="709"/>
        <w:jc w:val="both"/>
        <w:rPr>
          <w:rFonts w:ascii="Century Gothic" w:hAnsi="Century Gothic"/>
          <w:sz w:val="21"/>
          <w:szCs w:val="21"/>
          <w:lang w:val="es-CO"/>
        </w:rPr>
      </w:pPr>
      <w:r w:rsidRPr="00D520EC">
        <w:rPr>
          <w:rFonts w:ascii="Century Gothic" w:hAnsi="Century Gothic"/>
          <w:sz w:val="21"/>
          <w:szCs w:val="21"/>
        </w:rPr>
        <w:t xml:space="preserve">Se podría prescindir de la utilización y/o exigencia del formulario N° 1 de presupuesto oficial, teniendo en cuenta que por la modalidad de obra (llave en mano) no existirían en principio cantidades y valores de obra definidos. </w:t>
      </w:r>
      <w:r w:rsidRPr="00D520EC">
        <w:rPr>
          <w:rFonts w:ascii="Century Gothic" w:hAnsi="Century Gothic" w:cs="Arial"/>
          <w:sz w:val="21"/>
          <w:szCs w:val="21"/>
        </w:rPr>
        <w:t>[…]”</w:t>
      </w:r>
    </w:p>
    <w:p w14:paraId="045CCA35" w14:textId="77777777" w:rsidR="00DA42CE" w:rsidRPr="00D520EC" w:rsidRDefault="00DA42CE" w:rsidP="00DA42CE">
      <w:pPr>
        <w:spacing w:after="0" w:line="240" w:lineRule="auto"/>
        <w:ind w:right="709"/>
        <w:jc w:val="both"/>
        <w:rPr>
          <w:rFonts w:ascii="Century Gothic" w:hAnsi="Century Gothic"/>
          <w:sz w:val="21"/>
          <w:szCs w:val="21"/>
        </w:rPr>
      </w:pPr>
    </w:p>
    <w:p w14:paraId="7F97F782" w14:textId="77777777" w:rsidR="00DA42CE" w:rsidRPr="00D520EC" w:rsidRDefault="00DA42CE" w:rsidP="00DA42CE">
      <w:pPr>
        <w:pStyle w:val="Prrafodelista"/>
        <w:numPr>
          <w:ilvl w:val="0"/>
          <w:numId w:val="17"/>
        </w:numPr>
        <w:tabs>
          <w:tab w:val="left" w:pos="0"/>
          <w:tab w:val="left" w:pos="284"/>
        </w:tabs>
        <w:spacing w:after="0" w:line="276" w:lineRule="auto"/>
        <w:ind w:left="360"/>
        <w:jc w:val="both"/>
        <w:rPr>
          <w:rFonts w:ascii="Century Gothic" w:eastAsia="Calibri" w:hAnsi="Century Gothic" w:cs="Arial"/>
          <w:b/>
          <w:lang w:val="es-ES_tradnl"/>
        </w:rPr>
      </w:pPr>
      <w:r w:rsidRPr="00D520EC">
        <w:rPr>
          <w:rFonts w:ascii="Century Gothic" w:eastAsia="Calibri" w:hAnsi="Century Gothic" w:cs="Arial"/>
          <w:b/>
          <w:lang w:val="es-ES_tradnl"/>
        </w:rPr>
        <w:t>Consideraciones</w:t>
      </w:r>
    </w:p>
    <w:p w14:paraId="03FF3622" w14:textId="77777777" w:rsidR="00DA42CE" w:rsidRPr="00D520EC" w:rsidRDefault="00DA42CE" w:rsidP="00DA42CE">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70CC6C39" w14:textId="77777777" w:rsidR="00DA42CE" w:rsidRPr="00D520EC" w:rsidRDefault="00DA42CE" w:rsidP="00DA42CE">
      <w:pPr>
        <w:spacing w:after="120" w:line="276" w:lineRule="auto"/>
        <w:jc w:val="both"/>
        <w:rPr>
          <w:rFonts w:ascii="Century Gothic" w:hAnsi="Century Gothic" w:cs="Arial"/>
          <w:lang w:val="es-ES"/>
        </w:rPr>
      </w:pPr>
      <w:r w:rsidRPr="00D520EC">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D520EC">
        <w:rPr>
          <w:rFonts w:ascii="Century Gothic" w:hAnsi="Century Gothic" w:cs="Arial"/>
        </w:rPr>
        <w:t xml:space="preserve">. </w:t>
      </w:r>
      <w:r w:rsidRPr="00D520EC">
        <w:rPr>
          <w:rFonts w:ascii="Century Gothic" w:hAnsi="Century Gothic" w:cs="Arial"/>
          <w:lang w:val="es-ES"/>
        </w:rPr>
        <w:t xml:space="preserve">Es necesario tener en cuenta que </w:t>
      </w:r>
      <w:bookmarkStart w:id="5" w:name="_Hlk61026958"/>
      <w:r w:rsidRPr="00D520EC">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520EC">
        <w:rPr>
          <w:rFonts w:ascii="Century Gothic" w:hAnsi="Century Gothic" w:cs="Arial"/>
        </w:rPr>
        <w:t xml:space="preserve"> de todos los partícipes de la contratación estatal.</w:t>
      </w:r>
      <w:r w:rsidRPr="00D520EC">
        <w:rPr>
          <w:rFonts w:ascii="Century Gothic" w:hAnsi="Century Gothic" w:cs="Arial"/>
          <w:lang w:val="es-ES"/>
        </w:rPr>
        <w:t xml:space="preserve"> </w:t>
      </w:r>
      <w:bookmarkEnd w:id="3"/>
      <w:bookmarkEnd w:id="4"/>
      <w:bookmarkEnd w:id="5"/>
    </w:p>
    <w:p w14:paraId="6D60B78C" w14:textId="77777777" w:rsidR="00DA42CE" w:rsidRPr="00D520EC" w:rsidRDefault="00DA42CE" w:rsidP="00DA42CE">
      <w:pPr>
        <w:spacing w:after="120" w:line="276" w:lineRule="auto"/>
        <w:ind w:firstLine="708"/>
        <w:jc w:val="both"/>
        <w:rPr>
          <w:rFonts w:ascii="Century Gothic" w:hAnsi="Century Gothic" w:cs="Arial"/>
          <w:lang w:val="es-ES"/>
        </w:rPr>
      </w:pPr>
      <w:r w:rsidRPr="00D520EC">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520EC">
        <w:rPr>
          <w:rFonts w:ascii="Century Gothic" w:eastAsia="Calibri" w:hAnsi="Century Gothic" w:cs="Arial"/>
          <w:vertAlign w:val="superscript"/>
          <w:lang w:val="es-ES"/>
        </w:rPr>
        <w:footnoteReference w:id="1"/>
      </w:r>
      <w:r w:rsidRPr="00D520EC">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326E64FB" w14:textId="2B0DC6DC" w:rsidR="00DA42CE" w:rsidRPr="00D520EC" w:rsidRDefault="00DA42CE" w:rsidP="00737606">
      <w:pPr>
        <w:spacing w:before="120" w:after="120" w:line="276" w:lineRule="auto"/>
        <w:ind w:firstLine="709"/>
        <w:jc w:val="both"/>
        <w:rPr>
          <w:rFonts w:ascii="Century Gothic" w:eastAsia="Calibri" w:hAnsi="Century Gothic" w:cs="Arial"/>
          <w:lang w:val="es-ES" w:eastAsia="es-MX"/>
        </w:rPr>
      </w:pPr>
      <w:r w:rsidRPr="00D520EC">
        <w:rPr>
          <w:rFonts w:ascii="Century Gothic" w:eastAsia="Calibri" w:hAnsi="Century Gothic" w:cs="Arial"/>
          <w:color w:val="000000"/>
          <w:lang w:val="es-MX"/>
        </w:rPr>
        <w:t xml:space="preserve">Sin perjuicio de lo anterior, </w:t>
      </w:r>
      <w:r w:rsidRPr="00D520EC">
        <w:rPr>
          <w:rFonts w:ascii="Century Gothic" w:eastAsia="Calibri" w:hAnsi="Century Gothic" w:cs="Arial"/>
          <w:color w:val="000000"/>
          <w:lang w:val="es-ES"/>
        </w:rPr>
        <w:t xml:space="preserve">la Subdirección de Gestión Contractual –dentro de los límites de sus atribuciones, esto es, </w:t>
      </w:r>
      <w:bookmarkStart w:id="6" w:name="_Hlk61025408"/>
      <w:r w:rsidRPr="00D520EC">
        <w:rPr>
          <w:rFonts w:ascii="Century Gothic" w:eastAsia="Calibri" w:hAnsi="Century Gothic" w:cs="Arial"/>
          <w:color w:val="000000"/>
          <w:lang w:val="es-ES"/>
        </w:rPr>
        <w:t>haciendo abstracción del caso particular expuesto por el peticionari</w:t>
      </w:r>
      <w:bookmarkEnd w:id="6"/>
      <w:r w:rsidRPr="00D520EC">
        <w:rPr>
          <w:rFonts w:ascii="Century Gothic" w:eastAsia="Calibri" w:hAnsi="Century Gothic" w:cs="Arial"/>
          <w:color w:val="000000"/>
          <w:lang w:val="es-ES"/>
        </w:rPr>
        <w:t>o– resolverá la consulta conforme a las normas generales en materia de contratación estatal</w:t>
      </w:r>
      <w:r w:rsidRPr="00D520EC">
        <w:rPr>
          <w:rFonts w:ascii="Century Gothic" w:eastAsia="Calibri" w:hAnsi="Century Gothic" w:cs="Arial"/>
          <w:lang w:val="es-ES_tradnl" w:eastAsia="es-MX"/>
        </w:rPr>
        <w:t xml:space="preserve">. </w:t>
      </w:r>
      <w:r w:rsidR="002E57BE" w:rsidRPr="00D520EC">
        <w:rPr>
          <w:rFonts w:ascii="Century Gothic" w:eastAsia="Calibri" w:hAnsi="Century Gothic" w:cs="Arial"/>
          <w:lang w:val="es-ES_tradnl" w:eastAsia="es-MX"/>
        </w:rPr>
        <w:t xml:space="preserve">Con este objetivo se abordarán los siguientes temas: i) </w:t>
      </w:r>
      <w:r w:rsidR="00737606" w:rsidRPr="00D520EC">
        <w:rPr>
          <w:rFonts w:ascii="Century Gothic" w:eastAsia="Calibri" w:hAnsi="Century Gothic" w:cs="Arial"/>
          <w:lang w:val="es-ES_tradnl" w:eastAsia="es-MX"/>
        </w:rPr>
        <w:t xml:space="preserve">Fundamentos jurídicos y evolución normativa de los documentos tipo; ii) </w:t>
      </w:r>
      <w:r w:rsidR="008A42CA" w:rsidRPr="00D520EC">
        <w:rPr>
          <w:rFonts w:ascii="Century Gothic" w:eastAsia="Calibri" w:hAnsi="Century Gothic" w:cs="Arial"/>
          <w:lang w:val="es-ES_tradnl" w:eastAsia="es-MX"/>
        </w:rPr>
        <w:t>Documentos tipo para obra pública de infraestructura social;</w:t>
      </w:r>
      <w:r w:rsidR="00D03255" w:rsidRPr="00D520EC">
        <w:rPr>
          <w:rFonts w:ascii="Century Gothic" w:eastAsia="Calibri" w:hAnsi="Century Gothic" w:cs="Arial"/>
          <w:lang w:val="es-ES_tradnl" w:eastAsia="es-MX"/>
        </w:rPr>
        <w:t xml:space="preserve"> y</w:t>
      </w:r>
      <w:r w:rsidR="008A42CA" w:rsidRPr="00D520EC">
        <w:rPr>
          <w:rFonts w:ascii="Century Gothic" w:eastAsia="Calibri" w:hAnsi="Century Gothic" w:cs="Arial"/>
          <w:lang w:val="es-ES_tradnl" w:eastAsia="es-MX"/>
        </w:rPr>
        <w:t xml:space="preserve"> </w:t>
      </w:r>
      <w:r w:rsidR="009B7AA9">
        <w:rPr>
          <w:rFonts w:ascii="Century Gothic" w:eastAsia="Calibri" w:hAnsi="Century Gothic" w:cs="Arial"/>
          <w:lang w:val="es-ES_tradnl" w:eastAsia="es-MX"/>
        </w:rPr>
        <w:t>iii</w:t>
      </w:r>
      <w:r w:rsidR="008A42CA" w:rsidRPr="00D520EC">
        <w:rPr>
          <w:rFonts w:ascii="Century Gothic" w:eastAsia="Calibri" w:hAnsi="Century Gothic" w:cs="Arial"/>
          <w:lang w:val="es-ES_tradnl" w:eastAsia="es-MX"/>
        </w:rPr>
        <w:t xml:space="preserve">) </w:t>
      </w:r>
      <w:r w:rsidR="00C068B3" w:rsidRPr="00D520EC">
        <w:rPr>
          <w:rFonts w:ascii="Century Gothic" w:eastAsia="Calibri" w:hAnsi="Century Gothic" w:cs="Arial"/>
          <w:lang w:val="es-ES_tradnl" w:eastAsia="es-MX"/>
        </w:rPr>
        <w:t>Alcance de los contratos de obra en llave en mano, también denominados contratos de Engineering, Procurement and Construction –EPC</w:t>
      </w:r>
      <w:r w:rsidR="009B7AA9">
        <w:rPr>
          <w:rFonts w:ascii="Century Gothic" w:eastAsia="Calibri" w:hAnsi="Century Gothic" w:cs="Arial"/>
          <w:lang w:val="es-ES_tradnl" w:eastAsia="es-MX"/>
        </w:rPr>
        <w:t>.</w:t>
      </w:r>
    </w:p>
    <w:p w14:paraId="6B975B81" w14:textId="09B605A8" w:rsidR="005A7B83" w:rsidRPr="00D520EC" w:rsidRDefault="005A7B83" w:rsidP="006D6F4F">
      <w:pPr>
        <w:spacing w:after="120" w:line="276" w:lineRule="auto"/>
        <w:ind w:firstLine="709"/>
        <w:jc w:val="both"/>
        <w:rPr>
          <w:rFonts w:ascii="Century Gothic" w:eastAsia="Calibri" w:hAnsi="Century Gothic" w:cs="Arial"/>
          <w:lang w:val="es-ES_tradnl" w:eastAsia="es-ES_tradnl"/>
        </w:rPr>
      </w:pPr>
      <w:r w:rsidRPr="00D520EC">
        <w:rPr>
          <w:rFonts w:ascii="Century Gothic" w:eastAsia="Calibri" w:hAnsi="Century Gothic" w:cs="Arial"/>
        </w:rPr>
        <w:t xml:space="preserve">La Agencia Nacional de Contratación Pública – Colombia Compra Eficiente –en adelante la ANCP-CCE– </w:t>
      </w:r>
      <w:r w:rsidRPr="00D520EC">
        <w:rPr>
          <w:rFonts w:ascii="Century Gothic" w:eastAsia="Calibri" w:hAnsi="Century Gothic" w:cs="Arial"/>
          <w:lang w:val="es-ES_tradnl"/>
        </w:rPr>
        <w:t xml:space="preserve">ha impartido lineamientos </w:t>
      </w:r>
      <w:r w:rsidRPr="00D520EC">
        <w:rPr>
          <w:rFonts w:ascii="Century Gothic" w:eastAsia="Arial" w:hAnsi="Century Gothic" w:cs="Arial"/>
          <w:lang w:val="es-MX" w:eastAsia="es-ES_tradnl"/>
        </w:rPr>
        <w:t xml:space="preserve">relativos </w:t>
      </w:r>
      <w:r w:rsidR="00662747" w:rsidRPr="00D520EC">
        <w:rPr>
          <w:rFonts w:ascii="Century Gothic" w:eastAsia="Arial" w:hAnsi="Century Gothic" w:cs="Arial"/>
          <w:lang w:val="es-MX" w:eastAsia="es-ES_tradnl"/>
        </w:rPr>
        <w:t>al alcance de los documentos tipo en las siguientes consultas C-144 del 2 de marzo de 2020, C-143 del 18 de marzo de 2020, C-286 del 26 de mayo de 2020, C-450 del 3 de agosto de 2020, C-643 del 26 de octubre de 2020, C-773 del 14 de enero de 2021, C-789 del 19 de enero de 2021, C-064 del 8 de marzo de 2021 y C-157 del 13 de abril del 2021, C-244 del 4 de mayo de 2021, C-224 del 20 de mayo de 2020, C-233 del 24 de mayo de 2021, C-251 del 2 de junio de 2021 y C-273 del 11 de junio de 2021, C-375 de 27 de septiembre de 2021, C-536 de 29 de septiembre de 2021, C-719 de 24 de enero de 2022, C-090 de 16 de marzo de 2022, C-302 del 11 de mayo de 2022, C-410 del 23 de junio de 2022, C-436 del 6 de julio de 2022, C-242 del 2 de mayo de 2022, C-360 de 2022</w:t>
      </w:r>
      <w:r w:rsidR="00431A38" w:rsidRPr="00D520EC">
        <w:rPr>
          <w:rFonts w:ascii="Century Gothic" w:eastAsia="Arial" w:hAnsi="Century Gothic" w:cs="Arial"/>
          <w:lang w:val="es-MX" w:eastAsia="es-ES_tradnl"/>
        </w:rPr>
        <w:t>,</w:t>
      </w:r>
      <w:r w:rsidR="003554DD" w:rsidRPr="00D520EC">
        <w:rPr>
          <w:rFonts w:ascii="Century Gothic" w:eastAsia="Arial" w:hAnsi="Century Gothic" w:cs="Arial"/>
          <w:lang w:val="es-MX" w:eastAsia="es-ES_tradnl"/>
        </w:rPr>
        <w:t xml:space="preserve"> C–133 del 25 de mayo del 2023, </w:t>
      </w:r>
      <w:r w:rsidR="006D6F4F" w:rsidRPr="00D520EC">
        <w:rPr>
          <w:rFonts w:ascii="Century Gothic" w:eastAsia="Arial" w:hAnsi="Century Gothic" w:cs="Arial"/>
          <w:lang w:val="es-MX" w:eastAsia="es-ES_tradnl"/>
        </w:rPr>
        <w:t>C-210 del 22 de junio del 2023</w:t>
      </w:r>
      <w:r w:rsidRPr="00D520EC">
        <w:rPr>
          <w:rFonts w:ascii="Century Gothic" w:eastAsia="Calibri" w:hAnsi="Century Gothic" w:cs="Arial"/>
          <w:bCs/>
          <w:lang w:val="es-MX"/>
        </w:rPr>
        <w:t>.</w:t>
      </w:r>
      <w:r w:rsidRPr="00D520EC">
        <w:rPr>
          <w:rStyle w:val="Refdenotaalpie"/>
          <w:rFonts w:ascii="Century Gothic" w:eastAsia="Calibri" w:hAnsi="Century Gothic" w:cs="Arial"/>
          <w:bCs/>
          <w:lang w:val="es-MX"/>
        </w:rPr>
        <w:footnoteReference w:id="2"/>
      </w:r>
      <w:r w:rsidRPr="00D520EC">
        <w:rPr>
          <w:rFonts w:ascii="Century Gothic" w:eastAsia="Calibri" w:hAnsi="Century Gothic" w:cs="Arial"/>
          <w:lang w:val="es-MX" w:eastAsia="es-ES_tradnl"/>
        </w:rPr>
        <w:t xml:space="preserve"> </w:t>
      </w:r>
      <w:r w:rsidRPr="00D520EC">
        <w:rPr>
          <w:rFonts w:ascii="Century Gothic" w:eastAsia="Calibri" w:hAnsi="Century Gothic" w:cs="Arial"/>
          <w:lang w:val="es-ES_tradnl" w:eastAsia="es-ES_tradnl"/>
        </w:rPr>
        <w:t>Algunas de las consideraciones de estos conceptos se reiteran y se complementan en lo pertinente, teniendo en cuenta lo consultado.</w:t>
      </w:r>
    </w:p>
    <w:p w14:paraId="1DB0F871" w14:textId="77777777" w:rsidR="00C07E54" w:rsidRPr="00D520EC" w:rsidRDefault="00C07E54" w:rsidP="00C07E54">
      <w:pPr>
        <w:spacing w:after="0" w:line="276" w:lineRule="auto"/>
        <w:contextualSpacing/>
        <w:jc w:val="both"/>
        <w:rPr>
          <w:rFonts w:ascii="Century Gothic" w:eastAsia="Times New Roman" w:hAnsi="Century Gothic" w:cs="Arial"/>
          <w:b/>
          <w:bCs/>
          <w:lang w:val="es-ES" w:eastAsia="es-MX"/>
        </w:rPr>
      </w:pPr>
      <w:r w:rsidRPr="00D520EC">
        <w:rPr>
          <w:rFonts w:ascii="Century Gothic" w:eastAsia="Calibri" w:hAnsi="Century Gothic" w:cs="Arial"/>
          <w:b/>
          <w:bCs/>
          <w:lang w:val="es-ES" w:eastAsia="es-MX"/>
        </w:rPr>
        <w:t>2.1.</w:t>
      </w:r>
      <w:r w:rsidRPr="00D520EC">
        <w:rPr>
          <w:rFonts w:ascii="Century Gothic" w:eastAsia="Times New Roman" w:hAnsi="Century Gothic" w:cs="Arial"/>
          <w:b/>
          <w:bCs/>
          <w:lang w:val="es-ES" w:eastAsia="es-MX"/>
        </w:rPr>
        <w:t xml:space="preserve"> Fundamentos jurídicos y evolución normativa de los documentos tipo</w:t>
      </w:r>
      <w:r w:rsidRPr="00D520EC" w:rsidDel="00E82F6A">
        <w:rPr>
          <w:rFonts w:ascii="Century Gothic" w:eastAsia="Times New Roman" w:hAnsi="Century Gothic" w:cs="Arial"/>
          <w:b/>
          <w:bCs/>
          <w:lang w:val="es-ES" w:eastAsia="es-MX"/>
        </w:rPr>
        <w:t xml:space="preserve"> </w:t>
      </w:r>
    </w:p>
    <w:p w14:paraId="5E00B06A" w14:textId="77777777" w:rsidR="00C07E54" w:rsidRPr="00D520EC" w:rsidRDefault="00C07E54" w:rsidP="00C07E54">
      <w:pPr>
        <w:spacing w:after="0" w:line="276" w:lineRule="auto"/>
        <w:contextualSpacing/>
        <w:jc w:val="both"/>
        <w:rPr>
          <w:rFonts w:ascii="Century Gothic" w:eastAsia="Times New Roman" w:hAnsi="Century Gothic" w:cs="Arial"/>
          <w:b/>
          <w:bCs/>
          <w:lang w:val="es-ES" w:eastAsia="es-MX"/>
        </w:rPr>
      </w:pPr>
    </w:p>
    <w:p w14:paraId="58D7A0B9" w14:textId="2937D55A" w:rsidR="00CF3B21" w:rsidRDefault="00CF3B21" w:rsidP="00C07E54">
      <w:pPr>
        <w:spacing w:after="0" w:line="276" w:lineRule="auto"/>
        <w:contextualSpacing/>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La adopción de los documentos tipo obligatorios en el ordenamiento jurídico colombiano se incluyó por primera vez en el parágrafo 3 del artículo 2 de la Ley 1150 de 2007</w:t>
      </w:r>
      <w:r w:rsidRPr="00D520EC">
        <w:rPr>
          <w:rFonts w:ascii="Century Gothic" w:eastAsia="Times New Roman" w:hAnsi="Century Gothic" w:cs="Arial"/>
          <w:vertAlign w:val="superscript"/>
          <w:lang w:val="es-ES" w:eastAsia="es-MX"/>
        </w:rPr>
        <w:footnoteReference w:id="3"/>
      </w:r>
      <w:r w:rsidRPr="00D520EC">
        <w:rPr>
          <w:rFonts w:ascii="Century Gothic" w:eastAsia="Times New Roman" w:hAnsi="Century Gothic" w:cs="Arial"/>
          <w:lang w:val="es-ES" w:eastAsia="es-MX"/>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88D2B3B" w14:textId="77777777" w:rsidR="00A35D1E" w:rsidRPr="00D520EC" w:rsidRDefault="00A35D1E" w:rsidP="00C07E54">
      <w:pPr>
        <w:spacing w:after="0" w:line="276" w:lineRule="auto"/>
        <w:contextualSpacing/>
        <w:jc w:val="both"/>
        <w:rPr>
          <w:rFonts w:ascii="Century Gothic" w:eastAsia="Times New Roman" w:hAnsi="Century Gothic" w:cs="Arial"/>
          <w:b/>
          <w:bCs/>
          <w:lang w:val="es-ES" w:eastAsia="es-MX"/>
        </w:rPr>
      </w:pPr>
    </w:p>
    <w:p w14:paraId="633DB7FD" w14:textId="77777777" w:rsidR="00CF3B21" w:rsidRPr="00D520EC" w:rsidRDefault="00CF3B21" w:rsidP="00CF3B21">
      <w:pPr>
        <w:spacing w:after="120" w:line="276" w:lineRule="auto"/>
        <w:ind w:firstLine="708"/>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51C85C7F" w14:textId="77777777" w:rsidR="00CF3B21" w:rsidRPr="00D520EC" w:rsidRDefault="00CF3B21" w:rsidP="00CF3B21">
      <w:pPr>
        <w:spacing w:before="120" w:after="120" w:line="276" w:lineRule="auto"/>
        <w:ind w:firstLine="709"/>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D520EC">
        <w:rPr>
          <w:rFonts w:ascii="Century Gothic" w:eastAsia="Times New Roman" w:hAnsi="Century Gothic" w:cs="Arial"/>
          <w:vertAlign w:val="superscript"/>
          <w:lang w:val="es-ES" w:eastAsia="es-MX"/>
        </w:rPr>
        <w:footnoteReference w:id="4"/>
      </w:r>
      <w:r w:rsidRPr="00D520EC">
        <w:rPr>
          <w:rFonts w:ascii="Century Gothic" w:eastAsia="Times New Roman" w:hAnsi="Century Gothic" w:cs="Arial"/>
          <w:lang w:val="es-ES" w:eastAsia="es-MX"/>
        </w:rPr>
        <w:t>.</w:t>
      </w:r>
    </w:p>
    <w:p w14:paraId="0E914A15" w14:textId="77777777" w:rsidR="00CF3B21" w:rsidRPr="00D520EC" w:rsidRDefault="00CF3B21" w:rsidP="00CF3B21">
      <w:pPr>
        <w:spacing w:before="120" w:after="120" w:line="276" w:lineRule="auto"/>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6D3C837" w14:textId="77777777" w:rsidR="00CF3B21" w:rsidRPr="00D520EC" w:rsidRDefault="00CF3B21" w:rsidP="00CF3B21">
      <w:pPr>
        <w:spacing w:before="120" w:after="120" w:line="276" w:lineRule="auto"/>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ab/>
      </w:r>
      <w:bookmarkStart w:id="7" w:name="_Hlk103952996"/>
      <w:r w:rsidRPr="00D520EC">
        <w:rPr>
          <w:rFonts w:ascii="Century Gothic" w:eastAsia="Times New Roman" w:hAnsi="Century Gothic" w:cs="Arial"/>
          <w:lang w:val="es-ES" w:eastAsia="es-MX"/>
        </w:rPr>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5B4D5D9" w14:textId="77777777" w:rsidR="00CF3B21" w:rsidRPr="00D520EC" w:rsidRDefault="00CF3B21" w:rsidP="00CF3B21">
      <w:pPr>
        <w:spacing w:before="120" w:after="120" w:line="276" w:lineRule="auto"/>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8" w:name="_Hlk48665985"/>
      <w:r w:rsidRPr="00D520EC">
        <w:rPr>
          <w:rFonts w:ascii="Century Gothic" w:eastAsia="Times New Roman" w:hAnsi="Century Gothic" w:cs="Arial"/>
          <w:lang w:val="es-ES" w:eastAsia="es-MX"/>
        </w:rPr>
        <w:t>y los criterios de escogencia, elementos propios del procedimiento de selección del contratista, materia en la que existe reserva de ley y que no se encuentra atribuida a la regulación de las entidades territoriales</w:t>
      </w:r>
      <w:bookmarkEnd w:id="8"/>
      <w:r w:rsidRPr="00D520EC">
        <w:rPr>
          <w:rFonts w:ascii="Century Gothic" w:eastAsia="Times New Roman" w:hAnsi="Century Gothic" w:cs="Arial"/>
          <w:lang w:val="es-ES" w:eastAsia="es-MX"/>
        </w:rPr>
        <w:t>. De igual manera, se establece que esta autonomía se garantiza con la identificación autónoma de sus necesidades y la configuración de los elementos del contrato</w:t>
      </w:r>
      <w:bookmarkEnd w:id="7"/>
      <w:r w:rsidRPr="00D520EC">
        <w:rPr>
          <w:rFonts w:ascii="Century Gothic" w:eastAsia="Times New Roman" w:hAnsi="Century Gothic" w:cs="Arial"/>
          <w:vertAlign w:val="superscript"/>
          <w:lang w:val="es-ES" w:eastAsia="es-MX"/>
        </w:rPr>
        <w:footnoteReference w:id="5"/>
      </w:r>
      <w:r w:rsidRPr="00D520EC">
        <w:rPr>
          <w:rFonts w:ascii="Century Gothic" w:eastAsia="Times New Roman" w:hAnsi="Century Gothic" w:cs="Arial"/>
          <w:lang w:val="es-ES" w:eastAsia="es-MX"/>
        </w:rPr>
        <w:t>.</w:t>
      </w:r>
    </w:p>
    <w:p w14:paraId="757CC703" w14:textId="77777777" w:rsidR="00CF3B21" w:rsidRPr="00D520EC" w:rsidRDefault="00CF3B21" w:rsidP="00CF3B21">
      <w:pPr>
        <w:spacing w:before="120" w:after="120" w:line="276" w:lineRule="auto"/>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4EEBAE7B" w14:textId="77777777" w:rsidR="00CF3B21" w:rsidRPr="00D520EC" w:rsidRDefault="00CF3B21" w:rsidP="00CF3B21">
      <w:pPr>
        <w:spacing w:before="120" w:after="120" w:line="276" w:lineRule="auto"/>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42919035" w14:textId="77777777" w:rsidR="00CF3B21" w:rsidRPr="00D520EC" w:rsidRDefault="00CF3B21" w:rsidP="00CF3B21">
      <w:pPr>
        <w:spacing w:before="120" w:after="120" w:line="276" w:lineRule="auto"/>
        <w:ind w:firstLine="709"/>
        <w:jc w:val="both"/>
        <w:rPr>
          <w:rFonts w:ascii="Century Gothic" w:eastAsia="Times New Roman" w:hAnsi="Century Gothic" w:cs="Arial"/>
          <w:lang w:val="es-ES" w:eastAsia="es-MX"/>
        </w:rPr>
      </w:pPr>
      <w:r w:rsidRPr="00D520EC">
        <w:rPr>
          <w:rFonts w:ascii="Century Gothic" w:eastAsia="Times New Roman" w:hAnsi="Century Gothic" w:cs="Arial"/>
          <w:lang w:val="es-ES" w:eastAsia="es-MX"/>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D520EC" w:rsidDel="00A434AB">
        <w:rPr>
          <w:rFonts w:ascii="Century Gothic" w:eastAsia="Times New Roman" w:hAnsi="Century Gothic" w:cs="Arial"/>
          <w:lang w:val="es-ES" w:eastAsia="es-MX"/>
        </w:rPr>
        <w:t xml:space="preserve"> </w:t>
      </w:r>
      <w:r w:rsidRPr="00D520EC">
        <w:rPr>
          <w:rFonts w:ascii="Century Gothic" w:eastAsia="Times New Roman" w:hAnsi="Century Gothic" w:cs="Arial"/>
          <w:lang w:val="es-ES" w:eastAsia="es-MX"/>
        </w:rPr>
        <w:t xml:space="preserve">de infraestructura de transporte que se surtieran por la modalidad de mínima cuantía. Estos documentos fueron implementados y desarrollados por la Agencia Nacional de Contratación Pública </w:t>
      </w:r>
      <w:bookmarkStart w:id="9" w:name="_Hlk37841850"/>
      <w:r w:rsidRPr="00D520EC">
        <w:rPr>
          <w:rFonts w:ascii="Century Gothic" w:eastAsia="Times New Roman" w:hAnsi="Century Gothic" w:cs="Arial"/>
          <w:lang w:val="es-ES" w:eastAsia="es-MX"/>
        </w:rPr>
        <w:t xml:space="preserve">– Colombia Compra Eficiente, </w:t>
      </w:r>
      <w:bookmarkEnd w:id="9"/>
      <w:r w:rsidRPr="00D520EC">
        <w:rPr>
          <w:rFonts w:ascii="Century Gothic" w:eastAsia="Times New Roman" w:hAnsi="Century Gothic" w:cs="Arial"/>
          <w:lang w:val="es-ES" w:eastAsia="es-MX"/>
        </w:rPr>
        <w:t>por medio de la Resolución 1798 de 1 de abril de 2019 –derogada por la Resolución 045 del 14 de febrero de 2020–, la Resolución 044 del 14 de febrero de 2020 y la Resolución 094 del 21 de mayo de 2020.</w:t>
      </w:r>
    </w:p>
    <w:p w14:paraId="65560DD4" w14:textId="77777777" w:rsidR="00CF3B21" w:rsidRPr="00D520EC" w:rsidRDefault="00CF3B21" w:rsidP="00CF3B21">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Por otra parte</w:t>
      </w:r>
      <w:r w:rsidRPr="00D520EC">
        <w:rPr>
          <w:rFonts w:ascii="Century Gothic" w:eastAsia="Calibri" w:hAnsi="Century Gothic" w:cs="Arial"/>
          <w:i/>
          <w:iCs/>
          <w:lang w:val="es-ES" w:eastAsia="es-ES"/>
        </w:rPr>
        <w:t>,</w:t>
      </w:r>
      <w:r w:rsidRPr="00D520EC">
        <w:rPr>
          <w:rFonts w:ascii="Century Gothic" w:eastAsia="Calibri" w:hAnsi="Century Gothic" w:cs="Arial"/>
          <w:lang w:val="es-ES" w:eastAsia="es-ES"/>
        </w:rPr>
        <w:t xml:space="preserve"> debe tenerse en cuenta que </w:t>
      </w:r>
      <w:r w:rsidRPr="00D520EC">
        <w:rPr>
          <w:rFonts w:ascii="Century Gothic" w:eastAsia="Times New Roman" w:hAnsi="Century Gothic" w:cs="Arial"/>
          <w:lang w:val="es-ES_tradnl" w:eastAsia="es-ES"/>
        </w:rPr>
        <w:t>posteriormente fue expedida la Ley 2022 de 2020 “Por la cual modifica el artículo 4 de la ley 1882 de 2018 y se dictan otras disposiciones”. En su artículo 1, esta norma modificó el Articulo 4 de la Ley 1882 de 2018</w:t>
      </w:r>
      <w:r w:rsidRPr="00D520EC">
        <w:rPr>
          <w:rFonts w:ascii="Century Gothic" w:eastAsia="Times New Roman" w:hAnsi="Century Gothic" w:cs="Arial"/>
          <w:vertAlign w:val="superscript"/>
          <w:lang w:val="es-ES_tradnl" w:eastAsia="es-ES"/>
        </w:rPr>
        <w:footnoteReference w:id="6"/>
      </w:r>
      <w:r w:rsidRPr="00D520EC">
        <w:rPr>
          <w:rFonts w:ascii="Century Gothic" w:eastAsia="Times New Roman" w:hAnsi="Century Gothic" w:cs="Arial"/>
          <w:lang w:val="es-ES_tradnl" w:eastAsia="es-ES"/>
        </w:rPr>
        <w:t xml:space="preserve"> , estableciendo a cargo de esta Agencia la adopción de documentos tipo que serán de obligatorio cumplimiento en la actividad contractual de todas las entidades sometidas al Estatuto General de Contratación de la Administración Pública. </w:t>
      </w:r>
      <w:r w:rsidRPr="00D520EC">
        <w:rPr>
          <w:rFonts w:ascii="Century Gothic" w:eastAsia="Calibri" w:hAnsi="Century Gothic" w:cs="Arial"/>
          <w:lang w:val="es-ES"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315D7048" w14:textId="77777777" w:rsidR="00CF3B21" w:rsidRPr="00D520EC" w:rsidRDefault="00CF3B21" w:rsidP="00CF3B21">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68A95411" w14:textId="77777777" w:rsidR="00CF3B21" w:rsidRPr="00D520EC" w:rsidRDefault="00CF3B21" w:rsidP="00CF3B21">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430B0F2E" w14:textId="77777777" w:rsidR="00CF3B21" w:rsidRPr="00D520EC" w:rsidRDefault="00CF3B21" w:rsidP="00CF3B21">
      <w:pPr>
        <w:spacing w:before="120" w:after="120" w:line="276" w:lineRule="auto"/>
        <w:ind w:firstLine="709"/>
        <w:jc w:val="both"/>
        <w:rPr>
          <w:rFonts w:ascii="Century Gothic" w:eastAsia="Times New Roman" w:hAnsi="Century Gothic" w:cs="Arial"/>
          <w:lang w:val="es-ES_tradnl" w:eastAsia="es-ES"/>
        </w:rPr>
      </w:pPr>
      <w:r w:rsidRPr="00D520EC">
        <w:rPr>
          <w:rFonts w:ascii="Century Gothic" w:eastAsia="Calibri" w:hAnsi="Century Gothic" w:cs="Arial"/>
          <w:lang w:val="es-ES" w:eastAsia="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D520EC">
        <w:rPr>
          <w:rFonts w:ascii="Century Gothic" w:eastAsia="Times New Roman" w:hAnsi="Century Gothic" w:cs="Arial"/>
          <w:lang w:val="es-ES_tradnl" w:eastAsia="es-ES"/>
        </w:rPr>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1A522CFB" w14:textId="77777777" w:rsidR="00CF3B21" w:rsidRPr="00D520EC" w:rsidRDefault="00CF3B21" w:rsidP="00CF3B21">
      <w:pPr>
        <w:spacing w:before="120" w:after="120" w:line="276" w:lineRule="auto"/>
        <w:ind w:firstLine="709"/>
        <w:jc w:val="both"/>
        <w:rPr>
          <w:rFonts w:ascii="Century Gothic" w:eastAsia="Calibri" w:hAnsi="Century Gothic" w:cs="Arial"/>
          <w:lang w:val="es-ES_tradnl" w:eastAsia="es-ES"/>
        </w:rPr>
      </w:pPr>
      <w:r w:rsidRPr="00D520EC">
        <w:rPr>
          <w:rFonts w:ascii="Century Gothic" w:eastAsia="Calibri" w:hAnsi="Century Gothic"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5D9467C8" w14:textId="77777777" w:rsidR="00CF3B21" w:rsidRPr="00D520EC" w:rsidRDefault="00CF3B21" w:rsidP="00CF3B21">
      <w:pPr>
        <w:spacing w:after="0" w:line="276" w:lineRule="auto"/>
        <w:ind w:firstLine="709"/>
        <w:jc w:val="both"/>
        <w:rPr>
          <w:rFonts w:ascii="Century Gothic" w:hAnsi="Century Gothic" w:cs="Arial"/>
          <w:spacing w:val="2"/>
          <w:lang w:eastAsia="es-CO"/>
        </w:rPr>
      </w:pPr>
      <w:r w:rsidRPr="00D520EC">
        <w:rPr>
          <w:rFonts w:ascii="Century Gothic" w:hAnsi="Century Gothic" w:cs="Arial"/>
          <w:spacing w:val="2"/>
          <w:lang w:eastAsia="es-CO"/>
        </w:rPr>
        <w:t xml:space="preserve">Con posterioridad, el Decreto 1860 de 2021 modificó </w:t>
      </w:r>
      <w:r w:rsidRPr="00D520EC">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D520EC">
        <w:rPr>
          <w:rFonts w:ascii="Century Gothic" w:eastAsia="Times New Roman" w:hAnsi="Century Gothic" w:cs="Arial"/>
          <w:szCs w:val="24"/>
          <w:lang w:eastAsia="es-MX"/>
        </w:rPr>
        <w:t>además de incluir algunas disposiciones adicionales para la reglamentación efectiva de la citada Ley.</w:t>
      </w:r>
      <w:r w:rsidRPr="00D520EC">
        <w:rPr>
          <w:rFonts w:ascii="Century Gothic" w:eastAsia="Arial" w:hAnsi="Century Gothic" w:cs="Arial"/>
          <w:szCs w:val="24"/>
          <w:lang w:eastAsia="es-CO"/>
        </w:rPr>
        <w:t xml:space="preserve"> </w:t>
      </w:r>
      <w:r w:rsidRPr="00D520EC">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D520EC">
        <w:rPr>
          <w:rFonts w:ascii="Century Gothic" w:hAnsi="Century Gothic" w:cs="Arial"/>
          <w:spacing w:val="2"/>
          <w:lang w:eastAsia="es-CO"/>
        </w:rPr>
        <w:t>Ante este cambio normativo, se expidió la Resolución No. 275 del 24 de junio de 2022, la cual modificó los documentos tipo, adecuándolos a las nuevas reglas contenidas en el decreto en comento. Dichas modificaciones aplicarán para los procedimientos de selección cuyo aviso de convocatoria se publique a partir del 29 de agosto de 2022, como se establece en el artículo 179 de dicha resolución</w:t>
      </w:r>
      <w:r w:rsidRPr="00D520EC">
        <w:rPr>
          <w:rFonts w:ascii="Century Gothic" w:hAnsi="Century Gothic" w:cs="Arial"/>
          <w:spacing w:val="2"/>
          <w:vertAlign w:val="superscript"/>
          <w:lang w:eastAsia="es-CO"/>
        </w:rPr>
        <w:footnoteReference w:id="7"/>
      </w:r>
      <w:r w:rsidRPr="00D520EC">
        <w:rPr>
          <w:rFonts w:ascii="Century Gothic" w:hAnsi="Century Gothic" w:cs="Arial"/>
          <w:spacing w:val="2"/>
          <w:lang w:eastAsia="es-CO"/>
        </w:rPr>
        <w:t>.</w:t>
      </w:r>
    </w:p>
    <w:p w14:paraId="215E5241" w14:textId="77777777" w:rsidR="00CF3B21" w:rsidRPr="00D520EC" w:rsidRDefault="00CF3B21" w:rsidP="00CF3B21">
      <w:pPr>
        <w:spacing w:before="120" w:after="0" w:line="276" w:lineRule="auto"/>
        <w:ind w:firstLine="709"/>
        <w:jc w:val="both"/>
        <w:rPr>
          <w:rFonts w:ascii="Century Gothic" w:hAnsi="Century Gothic" w:cs="Arial"/>
          <w:spacing w:val="2"/>
          <w:lang w:eastAsia="es-CO"/>
        </w:rPr>
      </w:pPr>
      <w:r w:rsidRPr="00D520EC">
        <w:rPr>
          <w:rFonts w:ascii="Century Gothic" w:hAnsi="Century Gothic" w:cs="Arial"/>
          <w:spacing w:val="2"/>
          <w:lang w:eastAsia="es-CO"/>
        </w:rPr>
        <w:t>Finalmente, se expidió la Resolución No. 333 del 27 de julio de 2022 “Por la cual se adoptan los documentos tipo para los procesos de selección de concurso de méritos para contratar la interventoría de obras públicas de infraestructura de agua potable y saneamiento básico”, aplicable a los procesos de selección cuyo aviso de convocatoria se publique a partir del 3 de octubre de 2022.</w:t>
      </w:r>
    </w:p>
    <w:p w14:paraId="18FC3881" w14:textId="4BDD7B6F" w:rsidR="00106EA2" w:rsidRPr="00D520EC" w:rsidRDefault="00CF3B21" w:rsidP="00106EA2">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En síntesis, hasta el momento se han expedido los siguientes documentos tipo que son obligatorios para todas las </w:t>
      </w:r>
      <w:r w:rsidR="00B91D45" w:rsidRPr="00D520EC">
        <w:rPr>
          <w:rFonts w:ascii="Century Gothic" w:eastAsia="Calibri" w:hAnsi="Century Gothic" w:cs="Arial"/>
          <w:lang w:val="es-ES" w:eastAsia="es-ES"/>
        </w:rPr>
        <w:t>E</w:t>
      </w:r>
      <w:r w:rsidRPr="00D520EC">
        <w:rPr>
          <w:rFonts w:ascii="Century Gothic" w:eastAsia="Calibri" w:hAnsi="Century Gothic" w:cs="Arial"/>
          <w:lang w:val="es-ES" w:eastAsia="es-ES"/>
        </w:rPr>
        <w:t xml:space="preserve">ntidades sometidas al Estatuto General de Contratación de la Administración Pública: </w:t>
      </w:r>
    </w:p>
    <w:p w14:paraId="7A4C56C1" w14:textId="0809AA44"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i</w:t>
      </w:r>
      <w:r w:rsidR="00106EA2" w:rsidRPr="00D520EC">
        <w:rPr>
          <w:rFonts w:ascii="Century Gothic" w:eastAsia="Calibri" w:hAnsi="Century Gothic" w:cs="Arial"/>
          <w:lang w:val="es-ES" w:eastAsia="es-ES"/>
        </w:rPr>
        <w:t xml:space="preserve">) </w:t>
      </w:r>
      <w:r w:rsidR="00106EA2" w:rsidRPr="00D520EC">
        <w:rPr>
          <w:rFonts w:ascii="Century Gothic" w:hAnsi="Century Gothic"/>
          <w:sz w:val="21"/>
          <w:szCs w:val="21"/>
        </w:rPr>
        <w:t>Documentos tipo para licitación de obra pública de infraestructura de transporte –versión 1–, adoptados mediante la Resolución 1798 de 2019, obligatorios para los procesos cuyo aviso de convocatoria se haya publicado desde el 1 de abril de 2019; (No vigente)</w:t>
      </w:r>
    </w:p>
    <w:p w14:paraId="2E23ECD8"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ii) </w:t>
      </w:r>
      <w:r w:rsidR="00106EA2" w:rsidRPr="00D520EC">
        <w:rPr>
          <w:rFonts w:ascii="Century Gothic" w:hAnsi="Century Gothic"/>
          <w:sz w:val="21"/>
          <w:szCs w:val="21"/>
        </w:rPr>
        <w:t>Documentos tipo para licitación de obra pública de infraestructura de transporte –versión 2–, adoptados mediante Resolución 0045 de 2020, obligatorios para los procesos cuyo aviso de convocatoria se haya publicado desde el 10 de marzo de 2020. (No vigente)</w:t>
      </w:r>
    </w:p>
    <w:p w14:paraId="45DDAAF9"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iii) </w:t>
      </w:r>
      <w:r w:rsidR="00106EA2" w:rsidRPr="00D520EC">
        <w:rPr>
          <w:rFonts w:ascii="Century Gothic" w:hAnsi="Century Gothic"/>
          <w:sz w:val="21"/>
          <w:szCs w:val="21"/>
        </w:rPr>
        <w:t>Documentos tipo para licitación de obra pública de infraestructura de transporte –versión 3–, adoptados mediante Resolución 240 de 2020, obligatorios para los procesos cuyo aviso de convocatoria se haya publicado desde el 1 de enero de 2021. (Vigente)</w:t>
      </w:r>
    </w:p>
    <w:p w14:paraId="7AB86665"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iv) </w:t>
      </w:r>
      <w:r w:rsidR="00106EA2" w:rsidRPr="00D520EC">
        <w:rPr>
          <w:rFonts w:ascii="Century Gothic" w:hAnsi="Century Gothic"/>
          <w:sz w:val="21"/>
          <w:szCs w:val="21"/>
        </w:rPr>
        <w:t>Documentos tipo para procesos de selección abreviada de menor cuantía de infraestructura de transporte –versión 1–, adoptados mediante Resolución 044 de 2020, obligatorios para los procesos cuyo aviso de convocatoria se haya publicado desde el 17 de febrero de 2020. (No vigente)</w:t>
      </w:r>
    </w:p>
    <w:p w14:paraId="2EA3E9F4"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v) </w:t>
      </w:r>
      <w:r w:rsidR="00106EA2" w:rsidRPr="00D520EC">
        <w:rPr>
          <w:rFonts w:ascii="Century Gothic" w:hAnsi="Century Gothic"/>
          <w:sz w:val="21"/>
          <w:szCs w:val="21"/>
        </w:rPr>
        <w:t>Documentos tipo para procesos de selección abreviada de menor cuantía de infraestructura de transporte –versión 2–, adoptados mediante Resolución 241 de 2020, obligatorios para los procesos cuyo aviso de convocatoria se haya publicado desde el 1 de enero de 2021. (Vigente)</w:t>
      </w:r>
    </w:p>
    <w:p w14:paraId="638564AC"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vi) </w:t>
      </w:r>
      <w:r w:rsidR="00106EA2" w:rsidRPr="00D520EC">
        <w:rPr>
          <w:rFonts w:ascii="Century Gothic" w:hAnsi="Century Gothic"/>
          <w:sz w:val="21"/>
          <w:szCs w:val="21"/>
        </w:rPr>
        <w:t>Documentos tipo para procesos de mínima cuantía de infraestructura de transporte–versión 1–, adoptados mediante Resolución 094 de 2020, obligatorios para los procesos cuya invitación pública se haya publicado a partir del 10 de junio de 2020. (No vigente)</w:t>
      </w:r>
    </w:p>
    <w:p w14:paraId="5674410E"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vii) </w:t>
      </w:r>
      <w:r w:rsidR="00106EA2" w:rsidRPr="00D520EC">
        <w:rPr>
          <w:rFonts w:ascii="Century Gothic" w:hAnsi="Century Gothic"/>
          <w:sz w:val="21"/>
          <w:szCs w:val="21"/>
        </w:rPr>
        <w:t>Documentos tipo para procesos de mínima cuantía de infraestructura de transporte–versión 2–, adoptados mediante Resolución 625 de 2022, obligatorios para los procesos cuya invitación pública se haya publicado a partir del 27 de febrero de 2022. (Vigente)</w:t>
      </w:r>
    </w:p>
    <w:p w14:paraId="2CB145D5"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viii) </w:t>
      </w:r>
      <w:r w:rsidR="00106EA2" w:rsidRPr="00D520EC">
        <w:rPr>
          <w:rFonts w:ascii="Century Gothic" w:hAnsi="Century Gothic"/>
          <w:sz w:val="21"/>
          <w:szCs w:val="21"/>
        </w:rPr>
        <w:t>Documentos tipo para procesos de concurso de méritos para contratar la interventoría de obras públicas de infraestructura de transporte–versión 1–, adoptados mediante Resolución 256 de 2020, obligatorios para los procesos cuyo aviso de convocatoria se haya publicado desde el 1 de enero de 2021. (No Vigente)</w:t>
      </w:r>
    </w:p>
    <w:p w14:paraId="3EAFBDD1"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ix) </w:t>
      </w:r>
      <w:r w:rsidR="00106EA2" w:rsidRPr="00D520EC">
        <w:rPr>
          <w:rFonts w:ascii="Century Gothic" w:hAnsi="Century Gothic"/>
          <w:sz w:val="21"/>
          <w:szCs w:val="21"/>
        </w:rPr>
        <w:t>Documentos tipo para procesos de concurso de méritos para contratar la interventoría de obras públicas de infraestructura de transporte–versión 2–, adoptados mediante Resolución 326 de 2022, obligatorios para los procesos cuyo aviso de convocatoria se haya publicado desde el 22 de julio de 2022. (Vigente)</w:t>
      </w:r>
    </w:p>
    <w:p w14:paraId="7D084F91" w14:textId="77777777" w:rsidR="00964BD6" w:rsidRPr="00D520EC" w:rsidRDefault="00964BD6" w:rsidP="00964BD6">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x) </w:t>
      </w:r>
      <w:r w:rsidR="00106EA2" w:rsidRPr="00D520EC">
        <w:rPr>
          <w:rFonts w:ascii="Century Gothic" w:hAnsi="Century Gothic"/>
          <w:sz w:val="21"/>
          <w:szCs w:val="21"/>
        </w:rPr>
        <w:t>Documentos tipo para los procesos de selección de concurso de méritos, para contratar la consultoría de estudios de ingeniería de infraestructura de transporte, adoptados mediante Resolución 193 de 2021, obligatorios para los procesos cuyo aviso de convocatoria se haya publicado desde el 9 de agosto de 2021. (Vigente)</w:t>
      </w:r>
    </w:p>
    <w:p w14:paraId="0E1AB500" w14:textId="77777777" w:rsidR="00D30EDE" w:rsidRPr="00D520EC" w:rsidRDefault="00D30EDE" w:rsidP="00D30EDE">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xi)</w:t>
      </w:r>
      <w:r w:rsidR="00106EA2" w:rsidRPr="00D520EC">
        <w:rPr>
          <w:rFonts w:ascii="Century Gothic" w:hAnsi="Century Gothic"/>
          <w:sz w:val="21"/>
          <w:szCs w:val="21"/>
        </w:rPr>
        <w:t>Documentos tipo para procesos de licitación pública para obras de infraestructura de agua potable y saneamiento básico, adoptados mediante Resolución 248 de 2020, obligatorios para los procesos cuyo aviso de convocatoria se haya publicado desde el 11 de diciembre de 2020. (Vigente)</w:t>
      </w:r>
    </w:p>
    <w:p w14:paraId="02282840" w14:textId="77777777" w:rsidR="00D30EDE" w:rsidRPr="00D520EC" w:rsidRDefault="00D30EDE" w:rsidP="00D30EDE">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xii) </w:t>
      </w:r>
      <w:r w:rsidR="00106EA2" w:rsidRPr="00D520EC">
        <w:rPr>
          <w:rFonts w:ascii="Century Gothic" w:hAnsi="Century Gothic"/>
          <w:sz w:val="21"/>
          <w:szCs w:val="21"/>
        </w:rPr>
        <w:t>Documentos tipo para procesos de licitación pública para obras de infraestructura de agua potable y saneamiento básico en la modalidad llave en mano, adoptados mediante Resolución 249 de 2020, obligatorios para los procesos cuyo aviso de convocatoria se haya publicado desde el 11 de diciembre de 2020. (Vigente)</w:t>
      </w:r>
    </w:p>
    <w:p w14:paraId="040EFE83" w14:textId="4E46937F" w:rsidR="00D30EDE" w:rsidRPr="00D520EC" w:rsidRDefault="00D30EDE" w:rsidP="00D30EDE">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xiii) </w:t>
      </w:r>
      <w:r w:rsidR="00106EA2" w:rsidRPr="00D520EC">
        <w:rPr>
          <w:rFonts w:ascii="Century Gothic" w:hAnsi="Century Gothic"/>
          <w:sz w:val="21"/>
          <w:szCs w:val="21"/>
        </w:rPr>
        <w:t>Documentos tipo para procesos de concurso de méritos para contratar la interventoría de obras públicas de infraestructura de agua potable y saneamiento básico, adoptados mediante Resolución 333 de 2022, obligatorios para los procesos cuyo aviso de convocatoria se haya publicado desde el 3 de octubre de 2022. (Vigente)</w:t>
      </w:r>
    </w:p>
    <w:p w14:paraId="7E8CBACF" w14:textId="77777777" w:rsidR="00C922A8" w:rsidRPr="00D520EC" w:rsidRDefault="00C922A8" w:rsidP="00C922A8">
      <w:pPr>
        <w:spacing w:before="120" w:after="120" w:line="276" w:lineRule="auto"/>
        <w:ind w:firstLine="709"/>
        <w:jc w:val="both"/>
        <w:rPr>
          <w:rFonts w:ascii="Century Gothic" w:eastAsia="Calibri" w:hAnsi="Century Gothic" w:cs="Arial"/>
          <w:lang w:val="es-ES" w:eastAsia="es-ES"/>
        </w:rPr>
      </w:pPr>
      <w:r w:rsidRPr="00D520EC">
        <w:rPr>
          <w:rFonts w:ascii="Century Gothic" w:hAnsi="Century Gothic"/>
          <w:sz w:val="21"/>
          <w:szCs w:val="21"/>
        </w:rPr>
        <w:t xml:space="preserve">xiv) </w:t>
      </w:r>
      <w:r w:rsidR="00106EA2" w:rsidRPr="00D520EC">
        <w:rPr>
          <w:rFonts w:ascii="Century Gothic" w:hAnsi="Century Gothic"/>
          <w:sz w:val="21"/>
          <w:szCs w:val="21"/>
        </w:rPr>
        <w:t>Documentos tipo para procesos de gestión catastral con enfoque multipropósito que se celebren a través de contratos interadministrativos, adoptados mediante Resolución 269 de 2020, obligatorios para los contratos celebrados a partir del 1 de febrero de 2021. (Vigente)</w:t>
      </w:r>
    </w:p>
    <w:p w14:paraId="2CBEFAF0" w14:textId="77777777" w:rsidR="00C922A8" w:rsidRPr="00D520EC" w:rsidRDefault="00C922A8" w:rsidP="00C922A8">
      <w:pPr>
        <w:spacing w:before="120" w:after="12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xv) </w:t>
      </w:r>
      <w:r w:rsidR="00106EA2" w:rsidRPr="00D520EC">
        <w:rPr>
          <w:rFonts w:ascii="Century Gothic" w:hAnsi="Century Gothic"/>
          <w:sz w:val="21"/>
          <w:szCs w:val="21"/>
        </w:rPr>
        <w:t>Documentos tipo para procesos de licitación de obra pública de infraestructura social, adoptados mediante la Resolución 219 de 2021 −modificado por el artículo 1 de la Resolución 336 del 2 de noviembre de 2021</w:t>
      </w:r>
      <w:proofErr w:type="gramStart"/>
      <w:r w:rsidR="00106EA2" w:rsidRPr="00D520EC">
        <w:rPr>
          <w:rFonts w:ascii="Century Gothic" w:hAnsi="Century Gothic"/>
          <w:sz w:val="21"/>
          <w:szCs w:val="21"/>
        </w:rPr>
        <w:t>−.(</w:t>
      </w:r>
      <w:proofErr w:type="gramEnd"/>
      <w:r w:rsidR="00106EA2" w:rsidRPr="00D520EC">
        <w:rPr>
          <w:rFonts w:ascii="Century Gothic" w:hAnsi="Century Gothic"/>
          <w:sz w:val="21"/>
          <w:szCs w:val="21"/>
        </w:rPr>
        <w:t>Vigente)</w:t>
      </w:r>
    </w:p>
    <w:p w14:paraId="35982C86" w14:textId="779DAB2E" w:rsidR="00C922A8" w:rsidRPr="00D520EC" w:rsidRDefault="00B46AF1" w:rsidP="00C922A8">
      <w:pPr>
        <w:spacing w:before="120" w:after="120" w:line="276" w:lineRule="auto"/>
        <w:ind w:firstLine="709"/>
        <w:jc w:val="both"/>
        <w:rPr>
          <w:rFonts w:ascii="Century Gothic" w:eastAsia="Calibri" w:hAnsi="Century Gothic" w:cs="Arial"/>
          <w:lang w:val="es-ES" w:eastAsia="es-ES"/>
        </w:rPr>
      </w:pPr>
      <w:r w:rsidRPr="00D520EC">
        <w:rPr>
          <w:rFonts w:ascii="Century Gothic" w:hAnsi="Century Gothic"/>
          <w:sz w:val="21"/>
          <w:szCs w:val="21"/>
        </w:rPr>
        <w:t xml:space="preserve">xvi) </w:t>
      </w:r>
      <w:r w:rsidR="00106EA2" w:rsidRPr="00D520EC">
        <w:rPr>
          <w:rFonts w:ascii="Century Gothic" w:hAnsi="Century Gothic"/>
          <w:sz w:val="21"/>
          <w:szCs w:val="21"/>
        </w:rPr>
        <w:t>Documentos tipo complementarios para los procesos de licitación de obra pública de infraestructura social relacionados con el sector educativo, que entraron a regir de acuerdo con los términos establecidos en el artículo 6 de la Resolución 219 de 2021 −modificado por el artículo 1 de la Resolución 336 del 2 de noviembre de 2021−.</w:t>
      </w:r>
      <w:r w:rsidR="00422FDD">
        <w:rPr>
          <w:rFonts w:ascii="Century Gothic" w:hAnsi="Century Gothic"/>
          <w:sz w:val="21"/>
          <w:szCs w:val="21"/>
        </w:rPr>
        <w:t xml:space="preserve"> </w:t>
      </w:r>
      <w:r w:rsidR="00106EA2" w:rsidRPr="00D520EC">
        <w:rPr>
          <w:rFonts w:ascii="Century Gothic" w:hAnsi="Century Gothic"/>
          <w:sz w:val="21"/>
          <w:szCs w:val="21"/>
        </w:rPr>
        <w:t>(Vigente)</w:t>
      </w:r>
    </w:p>
    <w:p w14:paraId="2A5973BF" w14:textId="646782BA" w:rsidR="00C922A8" w:rsidRPr="00D520EC" w:rsidRDefault="009063C0" w:rsidP="00C922A8">
      <w:pPr>
        <w:spacing w:before="120" w:after="120" w:line="276" w:lineRule="auto"/>
        <w:ind w:firstLine="709"/>
        <w:jc w:val="both"/>
        <w:rPr>
          <w:rFonts w:ascii="Century Gothic" w:eastAsia="Calibri" w:hAnsi="Century Gothic" w:cs="Arial"/>
          <w:lang w:val="es-ES" w:eastAsia="es-ES"/>
        </w:rPr>
      </w:pPr>
      <w:r w:rsidRPr="00D520EC">
        <w:rPr>
          <w:rFonts w:ascii="Century Gothic" w:hAnsi="Century Gothic"/>
          <w:sz w:val="21"/>
          <w:szCs w:val="21"/>
        </w:rPr>
        <w:t xml:space="preserve">xvii) </w:t>
      </w:r>
      <w:r w:rsidR="00106EA2" w:rsidRPr="00D520EC">
        <w:rPr>
          <w:rFonts w:ascii="Century Gothic" w:hAnsi="Century Gothic"/>
          <w:sz w:val="21"/>
          <w:szCs w:val="21"/>
        </w:rPr>
        <w:t>Documentos tipo complementarios para los procesos de licitación de obra pública de infraestructura social relacionados con el sector salud, que entraron a regir de acuerdo con los términos establecidos en el artículo 6 de la Resolución 219 de 2021 −modificado por el artículo 1 de la Resolución 336 del 2 de noviembre de 2021− y en el artículo 4 de la Resolución 392 de 18 de noviembre de 2021. (Vigente)</w:t>
      </w:r>
    </w:p>
    <w:p w14:paraId="21354FBB" w14:textId="42C5FF84" w:rsidR="00C922A8" w:rsidRPr="00D520EC" w:rsidRDefault="009063C0" w:rsidP="00C922A8">
      <w:pPr>
        <w:spacing w:before="120" w:after="120" w:line="276" w:lineRule="auto"/>
        <w:ind w:firstLine="709"/>
        <w:jc w:val="both"/>
        <w:rPr>
          <w:rFonts w:ascii="Century Gothic" w:eastAsia="Calibri" w:hAnsi="Century Gothic" w:cs="Arial"/>
          <w:lang w:val="es-ES" w:eastAsia="es-ES"/>
        </w:rPr>
      </w:pPr>
      <w:r w:rsidRPr="00D520EC">
        <w:rPr>
          <w:rFonts w:ascii="Century Gothic" w:hAnsi="Century Gothic"/>
          <w:sz w:val="21"/>
          <w:szCs w:val="21"/>
        </w:rPr>
        <w:t xml:space="preserve">xviii) </w:t>
      </w:r>
      <w:r w:rsidR="00106EA2" w:rsidRPr="00D520EC">
        <w:rPr>
          <w:rFonts w:ascii="Century Gothic" w:hAnsi="Century Gothic"/>
          <w:sz w:val="21"/>
          <w:szCs w:val="21"/>
        </w:rPr>
        <w:t>Documentos tipo complementarios para los procesos de licitación de obra pública de infraestructura social relacionados con el sector cultura, recreación y deporte, que entraron a regir de acuerdo con los términos establecidos en el artículo 4 de la Resolución 454 de 2021. (Vigente)</w:t>
      </w:r>
    </w:p>
    <w:p w14:paraId="3455486B" w14:textId="78B44C60" w:rsidR="00106EA2" w:rsidRPr="00D520EC" w:rsidRDefault="009063C0" w:rsidP="00B91D45">
      <w:pPr>
        <w:spacing w:before="120" w:after="120" w:line="276" w:lineRule="auto"/>
        <w:ind w:firstLine="709"/>
        <w:jc w:val="both"/>
        <w:rPr>
          <w:rFonts w:ascii="Century Gothic" w:eastAsia="Calibri" w:hAnsi="Century Gothic" w:cs="Arial"/>
          <w:lang w:val="es-ES" w:eastAsia="es-ES"/>
        </w:rPr>
      </w:pPr>
      <w:r w:rsidRPr="00D520EC">
        <w:rPr>
          <w:rFonts w:ascii="Century Gothic" w:hAnsi="Century Gothic"/>
          <w:sz w:val="21"/>
          <w:szCs w:val="21"/>
        </w:rPr>
        <w:t xml:space="preserve">xix) </w:t>
      </w:r>
      <w:r w:rsidR="00106EA2" w:rsidRPr="00D520EC">
        <w:rPr>
          <w:rFonts w:ascii="Century Gothic" w:hAnsi="Century Gothic"/>
          <w:sz w:val="21"/>
          <w:szCs w:val="21"/>
        </w:rPr>
        <w:t>Documento tipo para la contratación directa de convenios solidarios para la ejecución de obras hasta la menor cuantía con organismos de acción comunal, adoptados mediante la Resolución 358 de 2023, aplicables desde el 30 de junio de 2023. (Vigente)</w:t>
      </w:r>
      <w:r w:rsidR="00B91D45" w:rsidRPr="00D520EC">
        <w:rPr>
          <w:rFonts w:ascii="Century Gothic" w:hAnsi="Century Gothic"/>
          <w:sz w:val="21"/>
          <w:szCs w:val="21"/>
        </w:rPr>
        <w:t>.</w:t>
      </w:r>
    </w:p>
    <w:p w14:paraId="6E748C71" w14:textId="1727790F" w:rsidR="00CF3B21" w:rsidRPr="00D520EC" w:rsidRDefault="00CF3B21" w:rsidP="00CF3B21">
      <w:pPr>
        <w:spacing w:before="120" w:after="0" w:line="276" w:lineRule="auto"/>
        <w:ind w:firstLine="709"/>
        <w:jc w:val="both"/>
        <w:rPr>
          <w:rFonts w:ascii="Century Gothic" w:eastAsia="Calibri" w:hAnsi="Century Gothic" w:cs="Arial"/>
          <w:lang w:val="es-ES" w:eastAsia="es-ES"/>
        </w:rPr>
      </w:pPr>
      <w:r w:rsidRPr="00D520EC">
        <w:rPr>
          <w:rFonts w:ascii="Century Gothic" w:eastAsia="Calibri" w:hAnsi="Century Gothic" w:cs="Arial"/>
          <w:lang w:val="es-ES" w:eastAsia="es-ES"/>
        </w:rPr>
        <w:t xml:space="preserve">Cabe aclarar que la Agencia Nacional de Contratación Pública – Colombia Compra Eficiente sigue avanzando en la expedición de nuevos documentos tipo. Sin embargo, debe tenerse en cuenta que estos exigen un minucioso desarrollo en el cual se consideran las observaciones de las </w:t>
      </w:r>
      <w:r w:rsidR="00B91D45" w:rsidRPr="00D520EC">
        <w:rPr>
          <w:rFonts w:ascii="Century Gothic" w:eastAsia="Calibri" w:hAnsi="Century Gothic" w:cs="Arial"/>
          <w:lang w:val="es-ES" w:eastAsia="es-ES"/>
        </w:rPr>
        <w:t>E</w:t>
      </w:r>
      <w:r w:rsidRPr="00D520EC">
        <w:rPr>
          <w:rFonts w:ascii="Century Gothic" w:eastAsia="Calibri" w:hAnsi="Century Gothic" w:cs="Arial"/>
          <w:lang w:val="es-ES" w:eastAsia="es-ES"/>
        </w:rPr>
        <w:t>ntidades técnicas y especializadas, con la finalidad de expedir documentos tipo que contengan las mejores prácticas contractuales que procuren el adecuado desarrollo de los principios que rigen la contratación pública.</w:t>
      </w:r>
    </w:p>
    <w:p w14:paraId="4D0F23A7" w14:textId="77777777" w:rsidR="00CF3B21" w:rsidRPr="00D520EC" w:rsidRDefault="00CF3B21" w:rsidP="006D6F4F">
      <w:pPr>
        <w:spacing w:after="120" w:line="276" w:lineRule="auto"/>
        <w:ind w:firstLine="709"/>
        <w:jc w:val="both"/>
        <w:rPr>
          <w:rFonts w:ascii="Century Gothic" w:eastAsia="Calibri" w:hAnsi="Century Gothic" w:cs="Arial"/>
          <w:lang w:val="es-ES" w:eastAsia="es-ES_tradnl"/>
        </w:rPr>
      </w:pPr>
    </w:p>
    <w:p w14:paraId="5131C26E" w14:textId="2A9BF58C" w:rsidR="001E4939" w:rsidRPr="00D520EC" w:rsidRDefault="001E4939" w:rsidP="001E4939">
      <w:pPr>
        <w:spacing w:after="0" w:line="276" w:lineRule="auto"/>
        <w:contextualSpacing/>
        <w:jc w:val="both"/>
        <w:rPr>
          <w:rFonts w:ascii="Century Gothic" w:eastAsia="Calibri" w:hAnsi="Century Gothic" w:cs="Arial"/>
          <w:b/>
          <w:bCs/>
          <w:lang w:val="es-ES_tradnl"/>
        </w:rPr>
      </w:pPr>
      <w:r w:rsidRPr="00D520EC">
        <w:rPr>
          <w:rFonts w:ascii="Century Gothic" w:eastAsia="Calibri" w:hAnsi="Century Gothic" w:cs="Arial"/>
          <w:b/>
          <w:bCs/>
          <w:lang w:val="es-ES" w:eastAsia="es-ES"/>
        </w:rPr>
        <w:t>2.</w:t>
      </w:r>
      <w:r w:rsidR="00CF3B21" w:rsidRPr="00D520EC">
        <w:rPr>
          <w:rFonts w:ascii="Century Gothic" w:eastAsia="Calibri" w:hAnsi="Century Gothic" w:cs="Arial"/>
          <w:b/>
          <w:bCs/>
          <w:lang w:val="es-ES" w:eastAsia="es-ES"/>
        </w:rPr>
        <w:t>2</w:t>
      </w:r>
      <w:r w:rsidRPr="00D520EC">
        <w:rPr>
          <w:rFonts w:ascii="Century Gothic" w:eastAsia="Calibri" w:hAnsi="Century Gothic" w:cs="Arial"/>
          <w:b/>
          <w:bCs/>
          <w:lang w:val="es-ES" w:eastAsia="es-ES"/>
        </w:rPr>
        <w:t xml:space="preserve">. </w:t>
      </w:r>
      <w:r w:rsidRPr="00D520EC">
        <w:rPr>
          <w:rFonts w:ascii="Century Gothic" w:eastAsia="Calibri" w:hAnsi="Century Gothic" w:cs="Arial"/>
          <w:b/>
          <w:bCs/>
        </w:rPr>
        <w:t xml:space="preserve">Documentos tipo para </w:t>
      </w:r>
      <w:r w:rsidRPr="00D520EC">
        <w:rPr>
          <w:rFonts w:ascii="Century Gothic" w:eastAsia="Calibri" w:hAnsi="Century Gothic" w:cs="Arial"/>
          <w:b/>
          <w:lang w:val="es-ES_tradnl"/>
        </w:rPr>
        <w:t>obra pública de infraestructura s</w:t>
      </w:r>
      <w:r w:rsidRPr="00D520EC">
        <w:rPr>
          <w:rFonts w:ascii="Century Gothic" w:eastAsia="Calibri" w:hAnsi="Century Gothic" w:cs="Arial"/>
          <w:b/>
          <w:bCs/>
          <w:lang w:val="es-ES_tradnl"/>
        </w:rPr>
        <w:t>ocial</w:t>
      </w:r>
    </w:p>
    <w:p w14:paraId="7CFCDBEF" w14:textId="77777777" w:rsidR="001E4939" w:rsidRPr="00D520EC" w:rsidRDefault="001E4939" w:rsidP="001E4939">
      <w:pPr>
        <w:spacing w:after="0" w:line="276" w:lineRule="auto"/>
        <w:contextualSpacing/>
        <w:jc w:val="both"/>
        <w:rPr>
          <w:rFonts w:ascii="Century Gothic" w:eastAsia="Calibri" w:hAnsi="Century Gothic" w:cs="Arial"/>
          <w:b/>
          <w:bCs/>
          <w:lang w:val="es-ES" w:eastAsia="es-ES"/>
        </w:rPr>
      </w:pPr>
    </w:p>
    <w:p w14:paraId="0B8E6832" w14:textId="77777777" w:rsidR="001E4939" w:rsidRPr="00D520EC" w:rsidRDefault="001E4939" w:rsidP="001E4939">
      <w:pPr>
        <w:spacing w:after="0" w:line="276" w:lineRule="auto"/>
        <w:contextualSpacing/>
        <w:jc w:val="both"/>
        <w:rPr>
          <w:rFonts w:ascii="Century Gothic" w:hAnsi="Century Gothic" w:cs="Arial"/>
          <w:lang w:val="es-ES"/>
        </w:rPr>
      </w:pPr>
      <w:r w:rsidRPr="00D520EC">
        <w:rPr>
          <w:rFonts w:ascii="Century Gothic" w:eastAsia="Calibri" w:hAnsi="Century Gothic" w:cs="Arial"/>
        </w:rPr>
        <w:t xml:space="preserve">En desarrollo de la Ley 2022 de 2020, la Agencia Nacional de Contratación Pública – Colombia Compra Eficiente expidió la Resolución 219 </w:t>
      </w:r>
      <w:r w:rsidRPr="00D520EC">
        <w:rPr>
          <w:rFonts w:ascii="Century Gothic" w:hAnsi="Century Gothic" w:cs="Arial"/>
          <w:bCs/>
          <w:lang w:eastAsia="es-ES_tradnl"/>
        </w:rPr>
        <w:t xml:space="preserve">del 6 de agosto </w:t>
      </w:r>
      <w:r w:rsidRPr="00D520EC">
        <w:rPr>
          <w:rFonts w:ascii="Century Gothic" w:eastAsia="Calibri" w:hAnsi="Century Gothic" w:cs="Arial"/>
        </w:rPr>
        <w:t xml:space="preserve">de 2021, </w:t>
      </w:r>
      <w:r w:rsidRPr="00D520EC">
        <w:rPr>
          <w:rFonts w:ascii="Century Gothic" w:eastAsia="Calibri" w:hAnsi="Century Gothic" w:cs="Arial"/>
          <w:i/>
          <w:iCs/>
        </w:rPr>
        <w:t>“Por la cual se adoptan los documentos tipo para los procesos de licitación de obra pública de infraestructura social”</w:t>
      </w:r>
      <w:r w:rsidRPr="00D520EC">
        <w:rPr>
          <w:rFonts w:ascii="Century Gothic" w:eastAsia="Calibri" w:hAnsi="Century Gothic" w:cs="Arial"/>
        </w:rPr>
        <w:t>. Dentro de esta categoría fue incluida la infraestructura asociada a los sectores de la salud, el educativo y el de cultura, recreación y deporte,</w:t>
      </w:r>
      <w:r w:rsidRPr="00D520EC">
        <w:rPr>
          <w:rFonts w:ascii="Century Gothic" w:hAnsi="Century Gothic" w:cs="Arial"/>
          <w:lang w:val="es-ES"/>
        </w:rPr>
        <w:t xml:space="preserve"> tal como lo establece el parágrafo 2 del artículo 2 de la resolución indicada, de la siguiente manera: </w:t>
      </w:r>
    </w:p>
    <w:p w14:paraId="7140101E" w14:textId="77777777" w:rsidR="001E4939" w:rsidRPr="00D520EC" w:rsidRDefault="001E4939" w:rsidP="001E4939">
      <w:pPr>
        <w:spacing w:after="0" w:line="276" w:lineRule="auto"/>
        <w:ind w:left="709" w:right="709"/>
        <w:contextualSpacing/>
        <w:jc w:val="both"/>
        <w:rPr>
          <w:rFonts w:ascii="Century Gothic" w:hAnsi="Century Gothic" w:cs="Arial"/>
          <w:sz w:val="21"/>
          <w:szCs w:val="21"/>
          <w:lang w:val="es-ES"/>
        </w:rPr>
      </w:pPr>
    </w:p>
    <w:p w14:paraId="41B73374" w14:textId="77777777" w:rsidR="001E4939" w:rsidRPr="00D520EC" w:rsidRDefault="001E4939" w:rsidP="001E4939">
      <w:pPr>
        <w:spacing w:after="0" w:line="240" w:lineRule="auto"/>
        <w:ind w:left="709" w:right="709"/>
        <w:contextualSpacing/>
        <w:jc w:val="both"/>
        <w:rPr>
          <w:rFonts w:ascii="Century Gothic" w:hAnsi="Century Gothic" w:cs="Arial"/>
          <w:sz w:val="21"/>
          <w:szCs w:val="21"/>
          <w:lang w:val="es-ES"/>
        </w:rPr>
      </w:pPr>
      <w:r w:rsidRPr="00D520EC">
        <w:rPr>
          <w:rFonts w:ascii="Century Gothic" w:hAnsi="Century Gothic" w:cs="Arial"/>
          <w:sz w:val="21"/>
          <w:szCs w:val="21"/>
          <w:lang w:val="es-ES"/>
        </w:rPr>
        <w:t xml:space="preserve">“Estos documentos tipo aplicarán a los proyectos de infraestructura social, tales como, </w:t>
      </w:r>
      <w:r w:rsidRPr="00D520EC">
        <w:rPr>
          <w:rFonts w:ascii="Century Gothic" w:hAnsi="Century Gothic" w:cs="Arial"/>
          <w:i/>
          <w:iCs/>
          <w:sz w:val="21"/>
          <w:szCs w:val="21"/>
          <w:lang w:val="es-ES"/>
        </w:rPr>
        <w:t>sector educativo, sector salud y sector cultural, recreación y deporte, de conformidad con cada una de las resoluciones que expida la Agencia Nacional de Contratación Pública -Colombia Compra Eficiente-</w:t>
      </w:r>
      <w:r w:rsidRPr="00D520EC">
        <w:rPr>
          <w:rFonts w:ascii="Century Gothic" w:hAnsi="Century Gothic" w:cs="Arial"/>
          <w:sz w:val="21"/>
          <w:szCs w:val="21"/>
          <w:lang w:val="es-ES"/>
        </w:rPr>
        <w:t>, donde se precisará el alcance concreto de estos documentos tipo; sin perjuicio de que se incluyan otros tipos de infraestructura social”. (Énfasis fuera del texto)</w:t>
      </w:r>
    </w:p>
    <w:p w14:paraId="2C3DB9FD" w14:textId="77777777" w:rsidR="001E4939" w:rsidRPr="00D520EC" w:rsidRDefault="001E4939" w:rsidP="001E4939">
      <w:pPr>
        <w:spacing w:after="0" w:line="276" w:lineRule="auto"/>
        <w:ind w:firstLine="709"/>
        <w:contextualSpacing/>
        <w:jc w:val="both"/>
        <w:rPr>
          <w:rFonts w:ascii="Century Gothic" w:hAnsi="Century Gothic" w:cs="Arial"/>
          <w:lang w:val="es-ES"/>
        </w:rPr>
      </w:pPr>
    </w:p>
    <w:p w14:paraId="5714F860" w14:textId="77777777" w:rsidR="001E4939" w:rsidRPr="00D520EC" w:rsidRDefault="001E4939" w:rsidP="001E4939">
      <w:pPr>
        <w:spacing w:after="120" w:line="276" w:lineRule="auto"/>
        <w:ind w:firstLine="709"/>
        <w:jc w:val="both"/>
        <w:rPr>
          <w:rFonts w:ascii="Century Gothic" w:hAnsi="Century Gothic" w:cs="Arial"/>
          <w:lang w:val="es-ES"/>
        </w:rPr>
      </w:pPr>
      <w:r w:rsidRPr="00D520EC">
        <w:rPr>
          <w:rFonts w:ascii="Century Gothic" w:hAnsi="Century Gothic" w:cs="Arial"/>
          <w:lang w:val="es-ES"/>
        </w:rPr>
        <w:t xml:space="preserve">Como puede observarse, la Resolución 219 de 2021 contiene un listado enunciativo de </w:t>
      </w:r>
      <w:bookmarkStart w:id="10" w:name="_Hlk104227355"/>
      <w:r w:rsidRPr="00D520EC">
        <w:rPr>
          <w:rFonts w:ascii="Century Gothic" w:hAnsi="Century Gothic" w:cs="Arial"/>
          <w:lang w:val="es-ES"/>
        </w:rPr>
        <w:t xml:space="preserve">los sectores relacionados con los proyectos de infraestructura social a los cuales aplican los documentos tipo –educativo; salud; cultura, recreación y deporte–. </w:t>
      </w:r>
      <w:bookmarkEnd w:id="10"/>
      <w:r w:rsidRPr="00D520EC">
        <w:rPr>
          <w:rFonts w:ascii="Century Gothic" w:hAnsi="Century Gothic" w:cs="Arial"/>
          <w:lang w:val="es-ES"/>
        </w:rPr>
        <w:t xml:space="preserve">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5A895011" w14:textId="77777777" w:rsidR="001E4939" w:rsidRPr="00D520EC" w:rsidRDefault="001E4939" w:rsidP="001E4939">
      <w:pPr>
        <w:spacing w:after="120" w:line="276" w:lineRule="auto"/>
        <w:ind w:firstLine="709"/>
        <w:jc w:val="both"/>
        <w:rPr>
          <w:rFonts w:ascii="Century Gothic" w:hAnsi="Century Gothic" w:cs="Arial"/>
          <w:bCs/>
          <w:lang w:val="es-ES" w:eastAsia="es-ES_tradnl"/>
        </w:rPr>
      </w:pPr>
      <w:r w:rsidRPr="00D520EC">
        <w:rPr>
          <w:rFonts w:ascii="Century Gothic" w:hAnsi="Century Gothic" w:cs="Arial"/>
          <w:lang w:val="es-ES"/>
        </w:rPr>
        <w:t>Así lo señala el parágrafo 3 del artículo 2, que dispone lo siguiente:</w:t>
      </w:r>
      <w:r w:rsidRPr="00D520EC">
        <w:rPr>
          <w:rFonts w:ascii="Century Gothic" w:eastAsia="Calibri" w:hAnsi="Century Gothic" w:cs="Arial"/>
        </w:rPr>
        <w:t xml:space="preserve"> “</w:t>
      </w:r>
      <w:r w:rsidRPr="00D520EC">
        <w:rPr>
          <w:rFonts w:ascii="Century Gothic" w:hAnsi="Century Gothic"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D520EC">
        <w:rPr>
          <w:rFonts w:ascii="Century Gothic" w:eastAsia="Calibri" w:hAnsi="Century Gothic" w:cs="Arial"/>
        </w:rPr>
        <w:t>”.</w:t>
      </w:r>
      <w:r w:rsidRPr="00D520EC">
        <w:rPr>
          <w:rFonts w:ascii="Century Gothic" w:hAnsi="Century Gothic" w:cs="Arial"/>
          <w:lang w:val="es-ES"/>
        </w:rPr>
        <w:t xml:space="preserve"> En concordancia, el “Documento Base” de </w:t>
      </w:r>
      <w:r w:rsidRPr="00D520EC">
        <w:rPr>
          <w:rFonts w:ascii="Century Gothic" w:eastAsia="Calibri" w:hAnsi="Century Gothic" w:cs="Arial"/>
        </w:rPr>
        <w:t>licitación de obra pública de infraestructura social</w:t>
      </w:r>
      <w:r w:rsidRPr="00D520EC">
        <w:rPr>
          <w:rStyle w:val="Refdenotaalpie"/>
          <w:rFonts w:ascii="Century Gothic" w:hAnsi="Century Gothic" w:cs="Arial"/>
          <w:lang w:val="es-ES"/>
        </w:rPr>
        <w:footnoteReference w:id="8"/>
      </w:r>
      <w:r w:rsidRPr="00D520EC">
        <w:rPr>
          <w:rFonts w:ascii="Century Gothic" w:eastAsia="Calibri" w:hAnsi="Century Gothic" w:cs="Arial"/>
        </w:rPr>
        <w:t xml:space="preserve"> prescribe en la parte introductoria que “</w:t>
      </w:r>
      <w:r w:rsidRPr="00D520EC">
        <w:rPr>
          <w:rFonts w:ascii="Century Gothic" w:hAnsi="Century Gothic" w:cs="Arial"/>
          <w:bCs/>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D520EC">
        <w:rPr>
          <w:rFonts w:ascii="Century Gothic" w:eastAsia="Calibri" w:hAnsi="Century Gothic" w:cs="Arial"/>
        </w:rPr>
        <w:t>”.</w:t>
      </w:r>
    </w:p>
    <w:p w14:paraId="60D18A2B" w14:textId="77777777" w:rsidR="001E4939" w:rsidRPr="00D520EC" w:rsidRDefault="001E4939" w:rsidP="001E4939">
      <w:pPr>
        <w:spacing w:after="120" w:line="276" w:lineRule="auto"/>
        <w:ind w:firstLine="709"/>
        <w:jc w:val="both"/>
        <w:rPr>
          <w:rFonts w:ascii="Century Gothic" w:hAnsi="Century Gothic" w:cs="Arial"/>
          <w:lang w:val="es-ES"/>
        </w:rPr>
      </w:pPr>
      <w:bookmarkStart w:id="11" w:name="_Hlk103955412"/>
      <w:r w:rsidRPr="00D520EC">
        <w:rPr>
          <w:rFonts w:ascii="Century Gothic" w:hAnsi="Century Gothic" w:cs="Arial"/>
          <w:bCs/>
          <w:lang w:val="es-ES" w:eastAsia="es-ES_tradnl"/>
        </w:rPr>
        <w:t xml:space="preserve">Cabe anotar que </w:t>
      </w:r>
      <w:r w:rsidRPr="00D520EC">
        <w:rPr>
          <w:rFonts w:ascii="Century Gothic" w:hAnsi="Century Gothic" w:cs="Arial"/>
          <w:bCs/>
          <w:lang w:eastAsia="es-ES_tradnl"/>
        </w:rPr>
        <w:t xml:space="preserve">la Resolución 219 del 6 de agosto de 2021 contiene los documentos tipo que aplican </w:t>
      </w:r>
      <w:r w:rsidRPr="00D520EC">
        <w:rPr>
          <w:rFonts w:ascii="Century Gothic" w:hAnsi="Century Gothic" w:cs="Arial"/>
          <w:lang w:val="es-ES"/>
        </w:rPr>
        <w:t>de forma transversal a los proyectos de infraestructura social en los sectores educativo, salud, y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61AE8656" w14:textId="77777777" w:rsidR="001E4939" w:rsidRPr="00D520EC" w:rsidRDefault="001E4939" w:rsidP="001E4939">
      <w:pPr>
        <w:spacing w:after="120" w:line="276" w:lineRule="auto"/>
        <w:ind w:firstLine="709"/>
        <w:jc w:val="both"/>
        <w:rPr>
          <w:rFonts w:ascii="Century Gothic" w:eastAsia="Calibri" w:hAnsi="Century Gothic" w:cs="Arial"/>
          <w:lang w:val="es-ES" w:eastAsia="es-ES"/>
        </w:rPr>
      </w:pPr>
      <w:r w:rsidRPr="00D520EC">
        <w:rPr>
          <w:rFonts w:ascii="Century Gothic" w:hAnsi="Century Gothic" w:cs="Arial"/>
          <w:lang w:val="es-ES"/>
        </w:rPr>
        <w:t xml:space="preserve">En consecuencia, en materia de infraestructura social debe tenerse en cuenta que existen dos (2) clases de documentos tipo que se integran en cada proceso: i) los documentos </w:t>
      </w:r>
      <w:r w:rsidRPr="00D520EC">
        <w:rPr>
          <w:rFonts w:ascii="Century Gothic" w:hAnsi="Century Gothic" w:cs="Arial"/>
          <w:i/>
          <w:lang w:val="es-ES"/>
        </w:rPr>
        <w:t>transversales</w:t>
      </w:r>
      <w:r w:rsidRPr="00D520EC">
        <w:rPr>
          <w:rFonts w:ascii="Century Gothic" w:hAnsi="Century Gothic" w:cs="Arial"/>
          <w:lang w:val="es-ES"/>
        </w:rPr>
        <w:t xml:space="preserve"> a todos los sectores de infraestructura social, es decir, el documento base, los anexos, los formatos, los formularios y las matrices adoptados mediante la Resolución No. 219 de 2021; y ii) los documentos tipo </w:t>
      </w:r>
      <w:r w:rsidRPr="00D520EC">
        <w:rPr>
          <w:rFonts w:ascii="Century Gothic" w:hAnsi="Century Gothic" w:cs="Arial"/>
          <w:i/>
          <w:lang w:val="es-ES"/>
        </w:rPr>
        <w:t>complementarios</w:t>
      </w:r>
      <w:r w:rsidRPr="00D520EC">
        <w:rPr>
          <w:rFonts w:ascii="Century Gothic" w:hAnsi="Century Gothic" w:cs="Arial"/>
          <w:iCs/>
          <w:lang w:val="es-ES"/>
        </w:rPr>
        <w:t>,</w:t>
      </w:r>
      <w:r w:rsidRPr="00D520EC">
        <w:rPr>
          <w:rFonts w:ascii="Century Gothic" w:hAnsi="Century Gothic" w:cs="Arial"/>
          <w:i/>
          <w:lang w:val="es-ES"/>
        </w:rPr>
        <w:t xml:space="preserve"> </w:t>
      </w:r>
      <w:r w:rsidRPr="00D520EC">
        <w:rPr>
          <w:rFonts w:ascii="Century Gothic" w:hAnsi="Century Gothic" w:cs="Arial"/>
          <w:lang w:val="es-ES"/>
        </w:rPr>
        <w:t>referentes a la matriz de experiencia y el glosario, los cuales han sido adoptados en la resolución para cada sector específico.</w:t>
      </w:r>
      <w:r w:rsidRPr="00D520EC">
        <w:rPr>
          <w:rFonts w:ascii="Century Gothic" w:eastAsia="Calibri" w:hAnsi="Century Gothic" w:cs="Arial"/>
          <w:lang w:val="es-ES" w:eastAsia="es-ES"/>
        </w:rPr>
        <w:t xml:space="preserve"> 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cultura, recreación y deporte”.</w:t>
      </w:r>
    </w:p>
    <w:p w14:paraId="7F646E99" w14:textId="77777777" w:rsidR="001E4939" w:rsidRPr="00D520EC" w:rsidRDefault="001E4939" w:rsidP="001E4939">
      <w:pPr>
        <w:spacing w:after="120" w:line="276" w:lineRule="auto"/>
        <w:ind w:firstLine="709"/>
        <w:jc w:val="both"/>
        <w:rPr>
          <w:rFonts w:ascii="Century Gothic" w:hAnsi="Century Gothic" w:cs="Arial"/>
          <w:lang w:val="es-ES"/>
        </w:rPr>
      </w:pPr>
      <w:r w:rsidRPr="00D520EC">
        <w:rPr>
          <w:rFonts w:ascii="Century Gothic" w:hAnsi="Century Gothic" w:cs="Arial"/>
          <w:lang w:val="es-ES"/>
        </w:rPr>
        <w:t xml:space="preserve">El ámbito de aplicación de cada uno de los sectores señalados 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4AF3F039" w14:textId="77777777" w:rsidR="001E4939" w:rsidRPr="00D520EC" w:rsidRDefault="001E4939" w:rsidP="001E4939">
      <w:pPr>
        <w:spacing w:after="120" w:line="276" w:lineRule="auto"/>
        <w:ind w:firstLine="709"/>
        <w:jc w:val="both"/>
        <w:rPr>
          <w:rFonts w:ascii="Century Gothic" w:hAnsi="Century Gothic" w:cs="Arial"/>
          <w:lang w:val="es-ES"/>
        </w:rPr>
      </w:pPr>
      <w:r w:rsidRPr="00D520EC">
        <w:rPr>
          <w:rFonts w:ascii="Century Gothic" w:hAnsi="Century Gothic" w:cs="Arial"/>
          <w:lang w:val="es-ES"/>
        </w:rPr>
        <w:t xml:space="preserve">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0B53924D" w14:textId="2D478731" w:rsidR="001E4939" w:rsidRPr="00D520EC" w:rsidRDefault="001E4939" w:rsidP="001E4939">
      <w:pPr>
        <w:spacing w:after="120" w:line="276" w:lineRule="auto"/>
        <w:ind w:firstLine="709"/>
        <w:jc w:val="both"/>
        <w:rPr>
          <w:rFonts w:ascii="Century Gothic" w:hAnsi="Century Gothic" w:cs="Arial"/>
          <w:lang w:val="es-ES"/>
        </w:rPr>
      </w:pPr>
      <w:r w:rsidRPr="00D520EC">
        <w:rPr>
          <w:rFonts w:ascii="Century Gothic" w:hAnsi="Century Gothic" w:cs="Arial"/>
          <w:lang w:val="es-ES"/>
        </w:rPr>
        <w:t xml:space="preserve">Así las cosas, siempre que el objeto esté cobijado por alguna de las actividades señaladas en la matriz de experiencia de cada sector, los documentos tipo adoptados mediante las Resoluciones No. 219, 220, 392 y 454 de 2021 son obligatorios para las </w:t>
      </w:r>
      <w:r w:rsidR="000B0A9C" w:rsidRPr="00D520EC">
        <w:rPr>
          <w:rFonts w:ascii="Century Gothic" w:hAnsi="Century Gothic" w:cs="Arial"/>
          <w:lang w:val="es-ES"/>
        </w:rPr>
        <w:t>E</w:t>
      </w:r>
      <w:r w:rsidRPr="00D520EC">
        <w:rPr>
          <w:rFonts w:ascii="Century Gothic" w:hAnsi="Century Gothic" w:cs="Arial"/>
          <w:lang w:val="es-ES"/>
        </w:rPr>
        <w:t xml:space="preserve">ntidades sometidas a la Ley 80 de 1993 que contraten la ejecución de obras públicas de infraestructura social en los sectores educativo, salud, y cultura, recreación y deporte. </w:t>
      </w:r>
    </w:p>
    <w:p w14:paraId="2020546A" w14:textId="1CA990F0" w:rsidR="001E4939" w:rsidRPr="00D520EC" w:rsidRDefault="001E4939" w:rsidP="001E4939">
      <w:pPr>
        <w:spacing w:after="120" w:line="276" w:lineRule="auto"/>
        <w:ind w:firstLine="709"/>
        <w:jc w:val="both"/>
        <w:rPr>
          <w:rFonts w:ascii="Century Gothic" w:hAnsi="Century Gothic" w:cs="Arial"/>
          <w:lang w:val="es-ES"/>
        </w:rPr>
      </w:pPr>
      <w:r w:rsidRPr="00D520EC">
        <w:rPr>
          <w:rFonts w:ascii="Century Gothic" w:hAnsi="Century Gothic" w:cs="Arial"/>
          <w:lang w:val="es-ES"/>
        </w:rPr>
        <w:t>Vale anotar que mediante la Resolución 336 del 2 de noviembre de 2021, se aplazó y se dispuso la implementación gradual y progresiva de los documentos tipo complementarios para procesos de licitación de obra pública de infraestructura social, de acuerdo con los grupos de entidades y fechas señaladas en el cronograma del artículo 6 de la Resolución No. 219 de 2021</w:t>
      </w:r>
      <w:r w:rsidRPr="00D520EC">
        <w:rPr>
          <w:rFonts w:ascii="Century Gothic" w:eastAsia="Calibri" w:hAnsi="Century Gothic" w:cs="Arial"/>
          <w:vertAlign w:val="superscript"/>
          <w:lang w:val="es-ES_tradnl" w:eastAsia="es-ES"/>
        </w:rPr>
        <w:footnoteReference w:id="9"/>
      </w:r>
      <w:r w:rsidRPr="00D520EC">
        <w:rPr>
          <w:rFonts w:ascii="Century Gothic" w:hAnsi="Century Gothic" w:cs="Arial"/>
          <w:lang w:val="es-ES"/>
        </w:rPr>
        <w:t xml:space="preserve">. Teniendo en cuenta lo anterior, a partir del 1 de abril de 2022 estos documentos tipo deben ser implementados en todas las </w:t>
      </w:r>
      <w:r w:rsidR="009B7AA9">
        <w:rPr>
          <w:rFonts w:ascii="Century Gothic" w:hAnsi="Century Gothic" w:cs="Arial"/>
          <w:lang w:val="es-ES"/>
        </w:rPr>
        <w:t>E</w:t>
      </w:r>
      <w:r w:rsidRPr="00D520EC">
        <w:rPr>
          <w:rFonts w:ascii="Century Gothic" w:hAnsi="Century Gothic" w:cs="Arial"/>
          <w:lang w:val="es-ES"/>
        </w:rPr>
        <w:t>ntidades en las que resulte obligatorio para los procedimientos de selección de licitación de obra pública de infraestructura social.</w:t>
      </w:r>
    </w:p>
    <w:bookmarkEnd w:id="11"/>
    <w:p w14:paraId="2BBD7F4B" w14:textId="56FAB7FD" w:rsidR="00C068B3" w:rsidRPr="00D520EC" w:rsidRDefault="00C068B3" w:rsidP="00C068B3">
      <w:pPr>
        <w:spacing w:after="0" w:line="276" w:lineRule="auto"/>
        <w:jc w:val="both"/>
        <w:rPr>
          <w:rFonts w:ascii="Century Gothic" w:eastAsia="Calibri" w:hAnsi="Century Gothic" w:cs="Arial"/>
          <w:b/>
          <w:color w:val="000000" w:themeColor="text1"/>
          <w:lang w:val="es-ES_tradnl"/>
        </w:rPr>
      </w:pPr>
      <w:r w:rsidRPr="00D520EC">
        <w:rPr>
          <w:rFonts w:ascii="Century Gothic" w:hAnsi="Century Gothic" w:cs="Arial"/>
          <w:b/>
          <w:color w:val="000000"/>
          <w:lang w:val="es-ES_tradnl" w:eastAsia="es-MX"/>
        </w:rPr>
        <w:t>2.</w:t>
      </w:r>
      <w:r w:rsidR="009B7AA9">
        <w:rPr>
          <w:rFonts w:ascii="Century Gothic" w:hAnsi="Century Gothic" w:cs="Arial"/>
          <w:b/>
          <w:color w:val="000000"/>
          <w:lang w:val="es-ES_tradnl" w:eastAsia="es-MX"/>
        </w:rPr>
        <w:t>3</w:t>
      </w:r>
      <w:r w:rsidRPr="00D520EC">
        <w:rPr>
          <w:rFonts w:ascii="Century Gothic" w:hAnsi="Century Gothic" w:cs="Arial"/>
          <w:b/>
          <w:color w:val="000000"/>
          <w:lang w:val="es-ES_tradnl" w:eastAsia="es-MX"/>
        </w:rPr>
        <w:t>.</w:t>
      </w:r>
      <w:r w:rsidRPr="00D520EC">
        <w:rPr>
          <w:rFonts w:ascii="Century Gothic" w:hAnsi="Century Gothic" w:cs="Arial"/>
          <w:bCs/>
          <w:color w:val="000000"/>
          <w:lang w:val="es-ES_tradnl" w:eastAsia="es-MX"/>
        </w:rPr>
        <w:t xml:space="preserve"> </w:t>
      </w:r>
      <w:bookmarkStart w:id="12" w:name="_Hlk145076076"/>
      <w:r w:rsidRPr="00D520EC">
        <w:rPr>
          <w:rFonts w:ascii="Century Gothic" w:eastAsia="Calibri" w:hAnsi="Century Gothic" w:cs="Arial"/>
          <w:b/>
          <w:color w:val="000000" w:themeColor="text1"/>
          <w:lang w:val="es-ES_tradnl"/>
        </w:rPr>
        <w:t xml:space="preserve">Alcance de los contratos de obra en llave en mano, </w:t>
      </w:r>
      <w:bookmarkStart w:id="13" w:name="_Hlk134106483"/>
      <w:r w:rsidRPr="00D520EC">
        <w:rPr>
          <w:rFonts w:ascii="Century Gothic" w:eastAsia="Calibri" w:hAnsi="Century Gothic" w:cs="Arial"/>
          <w:b/>
          <w:color w:val="000000" w:themeColor="text1"/>
          <w:lang w:val="es-ES_tradnl"/>
        </w:rPr>
        <w:t>también denominados contratos de Engineering, Procurement and Construction –EPC</w:t>
      </w:r>
      <w:bookmarkEnd w:id="12"/>
      <w:r w:rsidRPr="00D520EC">
        <w:rPr>
          <w:rFonts w:ascii="Century Gothic" w:eastAsia="Calibri" w:hAnsi="Century Gothic" w:cs="Arial"/>
          <w:b/>
          <w:color w:val="000000" w:themeColor="text1"/>
          <w:lang w:val="es-ES_tradnl"/>
        </w:rPr>
        <w:t>–</w:t>
      </w:r>
      <w:bookmarkEnd w:id="13"/>
      <w:r w:rsidRPr="00D520EC">
        <w:rPr>
          <w:rFonts w:ascii="Century Gothic" w:eastAsia="Calibri" w:hAnsi="Century Gothic" w:cs="Arial"/>
          <w:b/>
          <w:color w:val="000000" w:themeColor="text1"/>
          <w:lang w:val="es-ES_tradnl"/>
        </w:rPr>
        <w:t>.</w:t>
      </w:r>
    </w:p>
    <w:p w14:paraId="1FC92DA6" w14:textId="77777777" w:rsidR="00C068B3" w:rsidRPr="00D520EC" w:rsidRDefault="00C068B3" w:rsidP="00C068B3">
      <w:pPr>
        <w:spacing w:after="0" w:line="276" w:lineRule="auto"/>
        <w:jc w:val="both"/>
        <w:rPr>
          <w:rFonts w:ascii="Century Gothic" w:eastAsia="Calibri" w:hAnsi="Century Gothic" w:cs="Arial"/>
          <w:b/>
          <w:color w:val="000000" w:themeColor="text1"/>
          <w:lang w:val="es-ES_tradnl"/>
        </w:rPr>
      </w:pPr>
    </w:p>
    <w:p w14:paraId="03E90523" w14:textId="29A00032" w:rsidR="00C068B3" w:rsidRPr="00D520EC" w:rsidRDefault="00C068B3" w:rsidP="00C068B3">
      <w:pPr>
        <w:spacing w:line="276" w:lineRule="auto"/>
        <w:jc w:val="both"/>
        <w:rPr>
          <w:rFonts w:ascii="Century Gothic" w:hAnsi="Century Gothic" w:cs="Arial"/>
          <w:bCs/>
          <w:color w:val="000000" w:themeColor="text1"/>
          <w:lang w:val="es-ES_tradnl"/>
        </w:rPr>
      </w:pPr>
      <w:r w:rsidRPr="00D520EC">
        <w:rPr>
          <w:rFonts w:ascii="Century Gothic" w:hAnsi="Century Gothic" w:cs="Arial"/>
          <w:color w:val="000000" w:themeColor="text1"/>
          <w:lang w:val="es-ES_tradnl"/>
        </w:rPr>
        <w:t xml:space="preserve">La definición del contrato de obra pública está prevista en el numeral 1° del artículo 32 de la Ley 80 de 1993, como aquel celebrado por una </w:t>
      </w:r>
      <w:r w:rsidR="002933DB" w:rsidRPr="00D520EC">
        <w:rPr>
          <w:rFonts w:ascii="Century Gothic" w:hAnsi="Century Gothic" w:cs="Arial"/>
          <w:color w:val="000000" w:themeColor="text1"/>
          <w:lang w:val="es-ES_tradnl"/>
        </w:rPr>
        <w:t>E</w:t>
      </w:r>
      <w:r w:rsidRPr="00D520EC">
        <w:rPr>
          <w:rFonts w:ascii="Century Gothic" w:hAnsi="Century Gothic" w:cs="Arial"/>
          <w:color w:val="000000" w:themeColor="text1"/>
          <w:lang w:val="es-ES_tradnl"/>
        </w:rPr>
        <w:t xml:space="preserve">ntidad estatal, cuyo objeto sea la construcción, mantenimiento, instalación y, en general, la realización de cualquier otro trabajo material sobre bienes inmuebles, cualquiera que sea la modalidad de ejecución y pago. Al respecto, en sentencia de unificación jurisprudencial de la Sala Plena del Consejo de </w:t>
      </w:r>
      <w:r w:rsidRPr="00D520EC">
        <w:rPr>
          <w:rFonts w:ascii="Century Gothic" w:hAnsi="Century Gothic" w:cs="Arial"/>
          <w:bCs/>
          <w:color w:val="000000" w:themeColor="text1"/>
          <w:lang w:val="es-ES_tradnl"/>
        </w:rPr>
        <w:t>Estado del 25 de febrero de 2020</w:t>
      </w:r>
      <w:r w:rsidRPr="00D520EC">
        <w:rPr>
          <w:rFonts w:ascii="Century Gothic" w:hAnsi="Century Gothic"/>
          <w:bCs/>
          <w:vertAlign w:val="superscript"/>
        </w:rPr>
        <w:footnoteReference w:id="10"/>
      </w:r>
      <w:r w:rsidRPr="00D520EC">
        <w:rPr>
          <w:rFonts w:ascii="Century Gothic" w:hAnsi="Century Gothic" w:cs="Arial"/>
          <w:bCs/>
          <w:color w:val="000000" w:themeColor="text1"/>
          <w:lang w:val="es-ES_tradnl"/>
        </w:rPr>
        <w:t>, la jurisprudencia considera que “[…] en términos generales, el contrato de obra pública es el celebrado con entidades de derecho público para la realización de trabajos materiales sobre bienes inmuebles […]”.</w:t>
      </w:r>
    </w:p>
    <w:p w14:paraId="1D76BC4D" w14:textId="77777777" w:rsidR="00C068B3" w:rsidRPr="00D520EC" w:rsidRDefault="00C068B3" w:rsidP="00C068B3">
      <w:pPr>
        <w:spacing w:before="120" w:line="276" w:lineRule="auto"/>
        <w:ind w:firstLine="709"/>
        <w:jc w:val="both"/>
        <w:rPr>
          <w:rFonts w:ascii="Century Gothic" w:hAnsi="Century Gothic" w:cs="Arial"/>
          <w:bCs/>
          <w:color w:val="000000" w:themeColor="text1"/>
          <w:lang w:val="es-ES_tradnl"/>
        </w:rPr>
      </w:pPr>
      <w:bookmarkStart w:id="14" w:name="_Hlk134112705"/>
      <w:r w:rsidRPr="00D520EC">
        <w:rPr>
          <w:rFonts w:ascii="Century Gothic" w:hAnsi="Century Gothic" w:cs="Arial"/>
          <w:bCs/>
          <w:color w:val="000000" w:themeColor="text1"/>
          <w:lang w:val="es-ES_tradnl"/>
        </w:rPr>
        <w:t xml:space="preserve">Cuando el contratista se obliga a ejecutar la obra desde la fase inicial de diseño y hasta la puesta en marcha, podemos afirmar que se trata de un contrato de obra bajo la modalidad de llave en mano, también denominado contrato de </w:t>
      </w:r>
      <w:bookmarkStart w:id="15" w:name="_Hlk134107595"/>
      <w:r w:rsidRPr="00D520EC">
        <w:rPr>
          <w:rFonts w:ascii="Century Gothic" w:hAnsi="Century Gothic" w:cs="Arial"/>
          <w:bCs/>
          <w:color w:val="000000" w:themeColor="text1"/>
          <w:lang w:val="es-ES_tradnl"/>
        </w:rPr>
        <w:t>Engineering, Procurement and Construction</w:t>
      </w:r>
      <w:bookmarkEnd w:id="15"/>
      <w:r w:rsidRPr="00D520EC">
        <w:rPr>
          <w:rFonts w:ascii="Century Gothic" w:hAnsi="Century Gothic" w:cs="Arial"/>
          <w:bCs/>
          <w:color w:val="000000" w:themeColor="text1"/>
          <w:lang w:val="es-ES_tradnl"/>
        </w:rPr>
        <w:t xml:space="preserve"> –EPC–</w:t>
      </w:r>
      <w:r w:rsidRPr="00D520EC">
        <w:rPr>
          <w:rStyle w:val="Refdenotaalpie"/>
          <w:rFonts w:ascii="Century Gothic" w:hAnsi="Century Gothic" w:cs="Arial"/>
          <w:bCs/>
          <w:color w:val="000000" w:themeColor="text1"/>
          <w:lang w:val="es-ES_tradnl"/>
        </w:rPr>
        <w:footnoteReference w:id="11"/>
      </w:r>
      <w:r w:rsidRPr="00D520EC">
        <w:rPr>
          <w:rFonts w:ascii="Century Gothic" w:hAnsi="Century Gothic" w:cs="Arial"/>
          <w:bCs/>
          <w:color w:val="000000" w:themeColor="text1"/>
          <w:lang w:val="es-ES_tradnl"/>
        </w:rPr>
        <w:t xml:space="preserve">. </w:t>
      </w:r>
      <w:r w:rsidRPr="00D520EC">
        <w:rPr>
          <w:rFonts w:ascii="Century Gothic" w:hAnsi="Century Gothic" w:cs="Arial"/>
          <w:bCs/>
          <w:color w:val="000000"/>
          <w:lang w:val="es-ES_tradnl" w:eastAsia="es-MX"/>
        </w:rPr>
        <w:t>En efecto, según la “Guía para Procesos de Contratación de Obra Pública” expedida por la Agencia, esta es una modalidad en la cual “</w:t>
      </w:r>
      <w:bookmarkStart w:id="16" w:name="_Hlk69292474"/>
      <w:r w:rsidRPr="00D520EC">
        <w:rPr>
          <w:rFonts w:ascii="Century Gothic" w:hAnsi="Century Gothic" w:cs="Arial"/>
          <w:bCs/>
          <w:color w:val="000000"/>
          <w:lang w:val="es-ES_tradnl" w:eastAsia="es-MX"/>
        </w:rPr>
        <w:t>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bookmarkEnd w:id="16"/>
      <w:r w:rsidRPr="00D520EC">
        <w:rPr>
          <w:rFonts w:ascii="Century Gothic" w:eastAsia="Calibri" w:hAnsi="Century Gothic" w:cs="Arial"/>
          <w:color w:val="000000"/>
          <w:lang w:val="es-ES" w:eastAsia="es-MX"/>
        </w:rPr>
        <w:t>”</w:t>
      </w:r>
      <w:r w:rsidRPr="00D520EC">
        <w:rPr>
          <w:rFonts w:ascii="Century Gothic" w:eastAsia="Calibri" w:hAnsi="Century Gothic" w:cs="Arial"/>
          <w:color w:val="000000"/>
          <w:vertAlign w:val="superscript"/>
          <w:lang w:val="es-ES" w:eastAsia="es-MX"/>
        </w:rPr>
        <w:footnoteReference w:id="12"/>
      </w:r>
      <w:r w:rsidRPr="00D520EC">
        <w:rPr>
          <w:rFonts w:ascii="Century Gothic" w:eastAsia="Calibri" w:hAnsi="Century Gothic" w:cs="Arial"/>
          <w:color w:val="000000"/>
          <w:lang w:val="es-ES" w:eastAsia="es-MX"/>
        </w:rPr>
        <w:t>.</w:t>
      </w:r>
      <w:r w:rsidRPr="00D520EC">
        <w:rPr>
          <w:rFonts w:ascii="Century Gothic" w:hAnsi="Century Gothic"/>
          <w:lang w:eastAsia="es-MX"/>
        </w:rPr>
        <w:t xml:space="preserve"> </w:t>
      </w:r>
      <w:r w:rsidRPr="00D520EC">
        <w:rPr>
          <w:rFonts w:ascii="Century Gothic" w:hAnsi="Century Gothic" w:cs="Arial"/>
          <w:lang w:eastAsia="es-MX"/>
        </w:rPr>
        <w:t>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w:t>
      </w:r>
      <w:r w:rsidRPr="00D520EC">
        <w:rPr>
          <w:rFonts w:ascii="Century Gothic" w:hAnsi="Century Gothic" w:cs="Arial"/>
          <w:spacing w:val="-16"/>
          <w:lang w:eastAsia="es-MX"/>
        </w:rPr>
        <w:t xml:space="preserve"> </w:t>
      </w:r>
      <w:r w:rsidRPr="00D520EC">
        <w:rPr>
          <w:rFonts w:ascii="Century Gothic" w:hAnsi="Century Gothic" w:cs="Arial"/>
          <w:lang w:eastAsia="es-MX"/>
        </w:rPr>
        <w:t>entrega”</w:t>
      </w:r>
      <w:r w:rsidRPr="00D520EC">
        <w:rPr>
          <w:rStyle w:val="Refdenotaalpie"/>
          <w:rFonts w:ascii="Century Gothic" w:hAnsi="Century Gothic" w:cs="Arial"/>
          <w:lang w:eastAsia="es-MX"/>
        </w:rPr>
        <w:footnoteReference w:id="13"/>
      </w:r>
      <w:r w:rsidRPr="00D520EC">
        <w:rPr>
          <w:rFonts w:ascii="Century Gothic" w:hAnsi="Century Gothic" w:cs="Arial"/>
          <w:lang w:eastAsia="es-MX"/>
        </w:rPr>
        <w:t>.</w:t>
      </w:r>
    </w:p>
    <w:bookmarkEnd w:id="14"/>
    <w:p w14:paraId="6F228C5E" w14:textId="77777777" w:rsidR="00C068B3" w:rsidRPr="00D520EC" w:rsidRDefault="00C068B3" w:rsidP="00C068B3">
      <w:pPr>
        <w:widowControl w:val="0"/>
        <w:autoSpaceDE w:val="0"/>
        <w:autoSpaceDN w:val="0"/>
        <w:spacing w:before="120" w:line="276" w:lineRule="auto"/>
        <w:ind w:firstLine="707"/>
        <w:jc w:val="both"/>
        <w:rPr>
          <w:rFonts w:ascii="Century Gothic" w:eastAsia="Arial" w:hAnsi="Century Gothic" w:cs="Arial"/>
          <w:lang w:val="es-ES"/>
        </w:rPr>
      </w:pPr>
      <w:r w:rsidRPr="00D520EC">
        <w:rPr>
          <w:rFonts w:ascii="Century Gothic" w:eastAsia="Arial" w:hAnsi="Century Gothic" w:cs="Arial"/>
          <w:lang w:val="es-ES"/>
        </w:rPr>
        <w:t>Por lo tanto, el contrato de obra bajo la modalidad de llave en mano no se agota en la labor constructiva típica, pues incluye tanto la elaboración de los diseños como la puesta en funcionamiento de la obra contratada, lo que justifica que se establezca una contraprestación a un precio global, único y alzado; razón por la cual no es adecuado establecer precios unitarios o una combinación entre estas dos modalidades. Sobre este punto, la jurisprudencia arbitral se ha pronunciado sobre la invariabilidad de la remuneración al afirmar que: “La obligación global que se deriva de los contratos ‘llave en mano’ para el contratista influye de manera decisiva en la determinación del precio, que no puede ser, más que un precio mayor o alzado”</w:t>
      </w:r>
      <w:r w:rsidRPr="00D520EC">
        <w:rPr>
          <w:rStyle w:val="Refdenotaalpie"/>
          <w:rFonts w:ascii="Century Gothic" w:eastAsia="Arial" w:hAnsi="Century Gothic" w:cs="Arial"/>
          <w:lang w:val="es-ES"/>
        </w:rPr>
        <w:footnoteReference w:id="14"/>
      </w:r>
      <w:r w:rsidRPr="00D520EC">
        <w:rPr>
          <w:rFonts w:ascii="Century Gothic" w:eastAsia="Arial" w:hAnsi="Century Gothic" w:cs="Arial"/>
          <w:lang w:val="es-ES"/>
        </w:rPr>
        <w:t>. De esta manera, es inherente al contrato de obra en la modalidad llave en mano que se pacte la remuneración del contratista bajo el esquema de suma alzada, no pudiendo ser de otra forma, dado que el proyecto es una universalidad, por lo que el contratista tiene una responsabilidad global respecto a la totalidad de la ejecución.</w:t>
      </w:r>
    </w:p>
    <w:p w14:paraId="1B6FED68" w14:textId="77777777" w:rsidR="00C068B3" w:rsidRPr="00D520EC" w:rsidRDefault="00C068B3" w:rsidP="00C068B3">
      <w:pPr>
        <w:widowControl w:val="0"/>
        <w:autoSpaceDE w:val="0"/>
        <w:autoSpaceDN w:val="0"/>
        <w:spacing w:before="120" w:line="276" w:lineRule="auto"/>
        <w:ind w:firstLine="707"/>
        <w:jc w:val="both"/>
        <w:rPr>
          <w:rFonts w:ascii="Century Gothic" w:eastAsia="Arial" w:hAnsi="Century Gothic" w:cs="Arial"/>
          <w:lang w:val="es-ES"/>
        </w:rPr>
      </w:pPr>
      <w:r w:rsidRPr="00D520EC">
        <w:rPr>
          <w:rFonts w:ascii="Century Gothic" w:eastAsia="Arial" w:hAnsi="Century Gothic" w:cs="Arial"/>
          <w:lang w:val="es-ES"/>
        </w:rPr>
        <w:t>En efecto, para la aplicación de esta modalidad, la obra “[…] debe estar provista de todo lo que fuere necesario, según las normas técnicas aplicables, para operar en condiciones de eficiencia y seguridad […]”</w:t>
      </w:r>
      <w:r w:rsidRPr="00D520EC">
        <w:rPr>
          <w:rFonts w:ascii="Century Gothic" w:eastAsia="Arial" w:hAnsi="Century Gothic" w:cs="Arial"/>
          <w:vertAlign w:val="superscript"/>
          <w:lang w:val="es-ES"/>
        </w:rPr>
        <w:footnoteReference w:id="15"/>
      </w:r>
      <w:r w:rsidRPr="00D520EC">
        <w:rPr>
          <w:rFonts w:ascii="Century Gothic" w:eastAsia="Arial" w:hAnsi="Century Gothic" w:cs="Arial"/>
          <w:lang w:val="es-ES"/>
        </w:rP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entrenamiento del personal del comitente y la puesta en marcha comercial […]”</w:t>
      </w:r>
      <w:r w:rsidRPr="00D520EC">
        <w:rPr>
          <w:rFonts w:ascii="Century Gothic" w:eastAsia="Arial" w:hAnsi="Century Gothic" w:cs="Arial"/>
          <w:vertAlign w:val="superscript"/>
          <w:lang w:val="es-ES"/>
        </w:rPr>
        <w:footnoteReference w:id="16"/>
      </w:r>
      <w:r w:rsidRPr="00D520EC">
        <w:rPr>
          <w:rFonts w:ascii="Century Gothic" w:eastAsia="Arial" w:hAnsi="Century Gothic" w:cs="Arial"/>
          <w:lang w:val="es-ES"/>
        </w:rPr>
        <w:t xml:space="preserve">. Estas características especiales del contrato son una solución eficaz para reducir costos de transacción y los plazos en la licitación de obras, pues en un solo proceso se lleva a cabo la licitación del diseño de las obras y su construcción, responsabilizando al contratante de la planeación de la obra y reduciendo los riesgos asociados con “errores de diseño” que son una causa normal sobrecostos, aspecto que también explica la imposibilidad de establecer precios variables. </w:t>
      </w:r>
    </w:p>
    <w:p w14:paraId="2FF380FB" w14:textId="77777777" w:rsidR="00C068B3" w:rsidRPr="00D520EC" w:rsidRDefault="00C068B3" w:rsidP="00C068B3">
      <w:pPr>
        <w:spacing w:before="120" w:after="0" w:line="276" w:lineRule="auto"/>
        <w:ind w:firstLine="709"/>
        <w:jc w:val="both"/>
        <w:rPr>
          <w:rFonts w:ascii="Century Gothic" w:eastAsia="Calibri" w:hAnsi="Century Gothic" w:cs="Arial"/>
          <w:color w:val="000000"/>
          <w:lang w:val="es-ES" w:eastAsia="en-GB"/>
        </w:rPr>
      </w:pPr>
      <w:r w:rsidRPr="00D520EC">
        <w:rPr>
          <w:rFonts w:ascii="Century Gothic" w:eastAsia="Calibri" w:hAnsi="Century Gothic" w:cs="Arial"/>
          <w:color w:val="000000"/>
          <w:lang w:val="es-ES" w:eastAsia="en-GB"/>
        </w:rPr>
        <w:t xml:space="preserve">Para la Sección Cuarta del Consejo de Estado, </w:t>
      </w:r>
      <w:r w:rsidRPr="00D520EC">
        <w:rPr>
          <w:rFonts w:ascii="Century Gothic" w:eastAsia="Arial" w:hAnsi="Century Gothic" w:cs="Arial"/>
          <w:lang w:val="es-ES"/>
        </w:rPr>
        <w:t>“</w:t>
      </w:r>
      <w:r w:rsidRPr="00D520EC">
        <w:rPr>
          <w:rFonts w:ascii="Century Gothic" w:hAnsi="Century Gothic" w:cs="Arial"/>
          <w:lang w:val="es-ES" w:eastAsia="es-ES"/>
        </w:rPr>
        <w:t>En virtud del contrato llave en mano, el contratista se compromete a llevar a cabo una obra, incluyendo los estudios previos, la ejecución de la construcción, el suministro de equipos y la puesta en operación de la obra al momento de su entrega. En general, aunque el contrato llave en mano no se limita a la elaboración de una obra material, se ha considerado como una modalidad especial del contrato de obra pública o de construcción de un bien inmueble</w:t>
      </w:r>
      <w:r w:rsidRPr="00D520EC">
        <w:rPr>
          <w:rFonts w:ascii="Century Gothic" w:eastAsia="Arial" w:hAnsi="Century Gothic" w:cs="Arial"/>
        </w:rPr>
        <w:t>”</w:t>
      </w:r>
      <w:r w:rsidRPr="00D520EC">
        <w:rPr>
          <w:rStyle w:val="Refdenotaalpie"/>
          <w:rFonts w:ascii="Century Gothic" w:hAnsi="Century Gothic" w:cs="Arial"/>
          <w:lang w:val="es-ES" w:eastAsia="es-ES"/>
        </w:rPr>
        <w:footnoteReference w:id="17"/>
      </w:r>
      <w:r w:rsidRPr="00D520EC">
        <w:rPr>
          <w:rFonts w:ascii="Century Gothic" w:eastAsia="Calibri" w:hAnsi="Century Gothic" w:cs="Arial"/>
          <w:color w:val="000000"/>
          <w:lang w:val="es-ES" w:eastAsia="en-GB"/>
        </w:rPr>
        <w:t xml:space="preserve">. Asimismo, la Sala de Consulta y Servicio Civil de esta Corporación, ha señalado que </w:t>
      </w:r>
      <w:r w:rsidRPr="00D520EC">
        <w:rPr>
          <w:rFonts w:ascii="Century Gothic" w:eastAsia="Arial" w:hAnsi="Century Gothic" w:cs="Arial"/>
          <w:lang w:val="es-ES"/>
        </w:rPr>
        <w:t>“</w:t>
      </w:r>
      <w:r w:rsidRPr="00D520EC">
        <w:rPr>
          <w:rFonts w:ascii="Century Gothic" w:eastAsia="Calibri" w:hAnsi="Century Gothic" w:cs="Arial"/>
          <w:color w:val="000000"/>
          <w:lang w:val="es-ES" w:eastAsia="en-GB"/>
        </w:rPr>
        <w:t>dentro de las modalidades que puede adoptar el contrato de obra, se encuentra la de “llave en mano”, negocio jurídico que en términos generales consiste en un acuerdo de voluntades en virtud del cual una parte se compromete frente a otra, a cambio de una remuneración, a diseñar, construir y poner en marcha y lista para su funcionamiento una determinada obra</w:t>
      </w:r>
      <w:r w:rsidRPr="00D520EC">
        <w:rPr>
          <w:rFonts w:ascii="Century Gothic" w:eastAsia="Arial" w:hAnsi="Century Gothic" w:cs="Arial"/>
        </w:rPr>
        <w:t>”</w:t>
      </w:r>
      <w:r w:rsidRPr="00D520EC">
        <w:rPr>
          <w:rStyle w:val="Refdenotaalpie"/>
          <w:rFonts w:ascii="Century Gothic" w:eastAsia="Arial" w:hAnsi="Century Gothic" w:cs="Arial"/>
        </w:rPr>
        <w:footnoteReference w:id="18"/>
      </w:r>
      <w:r w:rsidRPr="00D520EC">
        <w:rPr>
          <w:rFonts w:ascii="Century Gothic" w:eastAsia="Calibri" w:hAnsi="Century Gothic" w:cs="Arial"/>
          <w:color w:val="000000"/>
          <w:lang w:val="es-ES" w:eastAsia="en-GB"/>
        </w:rPr>
        <w:t xml:space="preserve">. La justicia arbitral también concibe el tema de la misma forma, pues tiene el siguiente entendimiento sobre la expresión </w:t>
      </w:r>
      <w:r w:rsidRPr="00D520EC">
        <w:rPr>
          <w:rFonts w:ascii="Century Gothic" w:eastAsia="Arial" w:hAnsi="Century Gothic" w:cs="Arial"/>
          <w:lang w:val="es-ES"/>
        </w:rPr>
        <w:t>“</w:t>
      </w:r>
      <w:r w:rsidRPr="00D520EC">
        <w:rPr>
          <w:rFonts w:ascii="Century Gothic" w:eastAsia="Calibri" w:hAnsi="Century Gothic" w:cs="Arial"/>
          <w:color w:val="000000"/>
          <w:lang w:val="es-ES" w:eastAsia="en-GB"/>
        </w:rPr>
        <w:t>llave en mano</w:t>
      </w:r>
      <w:r w:rsidRPr="00D520EC">
        <w:rPr>
          <w:rFonts w:ascii="Century Gothic" w:eastAsia="Arial" w:hAnsi="Century Gothic" w:cs="Arial"/>
        </w:rPr>
        <w:t>”</w:t>
      </w:r>
      <w:r w:rsidRPr="00D520EC">
        <w:rPr>
          <w:rFonts w:ascii="Century Gothic" w:eastAsia="Calibri" w:hAnsi="Century Gothic" w:cs="Arial"/>
          <w:color w:val="000000"/>
          <w:lang w:val="es-ES" w:eastAsia="en-GB"/>
        </w:rPr>
        <w:t xml:space="preserve"> como una modalidad del contrato de obra:</w:t>
      </w:r>
    </w:p>
    <w:p w14:paraId="2BA7DAA0" w14:textId="77777777" w:rsidR="00C068B3" w:rsidRPr="00D520EC" w:rsidRDefault="00C068B3" w:rsidP="00C068B3">
      <w:pPr>
        <w:spacing w:after="0" w:line="276" w:lineRule="auto"/>
        <w:ind w:firstLine="709"/>
        <w:jc w:val="both"/>
        <w:rPr>
          <w:rFonts w:ascii="Century Gothic" w:eastAsia="Calibri" w:hAnsi="Century Gothic" w:cs="Arial"/>
          <w:color w:val="000000"/>
          <w:lang w:val="es-ES" w:eastAsia="en-GB"/>
        </w:rPr>
      </w:pPr>
    </w:p>
    <w:p w14:paraId="617B03DD" w14:textId="77777777" w:rsidR="00C068B3" w:rsidRPr="00D520EC" w:rsidRDefault="00C068B3" w:rsidP="00C068B3">
      <w:pPr>
        <w:spacing w:after="0" w:line="240" w:lineRule="auto"/>
        <w:ind w:left="709" w:right="476"/>
        <w:jc w:val="both"/>
        <w:rPr>
          <w:rFonts w:ascii="Century Gothic" w:eastAsia="Calibri" w:hAnsi="Century Gothic" w:cs="Arial"/>
          <w:color w:val="000000"/>
          <w:lang w:val="es-ES" w:eastAsia="en-GB"/>
        </w:rPr>
      </w:pPr>
      <w:r w:rsidRPr="00D520EC">
        <w:rPr>
          <w:rFonts w:ascii="Century Gothic" w:hAnsi="Century Gothic" w:cs="Arial"/>
          <w:sz w:val="21"/>
          <w:lang w:eastAsia="es-MX"/>
        </w:rPr>
        <w:t xml:space="preserve">“Para evitar confusiones hay que aclarar que "llave en mano" es una modalidad de contratación. </w:t>
      </w:r>
      <w:r w:rsidRPr="00D520EC">
        <w:rPr>
          <w:rFonts w:ascii="Century Gothic" w:hAnsi="Century Gothic" w:cs="Arial"/>
          <w:i/>
          <w:iCs/>
          <w:sz w:val="21"/>
          <w:lang w:eastAsia="es-MX"/>
        </w:rPr>
        <w:t>El ámbito natural de esta modalidad es el contrato de obras, entonces esa será la clase de contrato: de obra</w:t>
      </w:r>
      <w:r w:rsidRPr="00D520EC">
        <w:rPr>
          <w:rFonts w:ascii="Century Gothic" w:hAnsi="Century Gothic" w:cs="Arial"/>
          <w:sz w:val="21"/>
          <w:lang w:eastAsia="es-MX"/>
        </w:rPr>
        <w:t>, en oposición a otras clases como suministro, servicios, etc. El contrato "clé en main”, implica especialización del contratista así como la obligación de este de entregar un producto plenamente terminado y en “marcha”. Para ello asume una obligación global de realizar todas las prestaciones necesarias, coadyuvantes o complementarias de la obra a realizar”</w:t>
      </w:r>
      <w:r w:rsidRPr="00D520EC">
        <w:rPr>
          <w:rStyle w:val="Refdenotaalpie"/>
          <w:rFonts w:ascii="Century Gothic" w:hAnsi="Century Gothic" w:cs="Arial"/>
          <w:sz w:val="21"/>
          <w:lang w:eastAsia="es-MX"/>
        </w:rPr>
        <w:footnoteReference w:id="19"/>
      </w:r>
      <w:r w:rsidRPr="00D520EC">
        <w:rPr>
          <w:rFonts w:ascii="Century Gothic" w:hAnsi="Century Gothic" w:cs="Arial"/>
          <w:sz w:val="21"/>
          <w:lang w:eastAsia="es-MX"/>
        </w:rPr>
        <w:t xml:space="preserve">. </w:t>
      </w:r>
    </w:p>
    <w:p w14:paraId="47502A06" w14:textId="77777777" w:rsidR="00C068B3" w:rsidRPr="00D520EC" w:rsidRDefault="00C068B3" w:rsidP="00C068B3">
      <w:pPr>
        <w:spacing w:after="0" w:line="276" w:lineRule="auto"/>
        <w:jc w:val="both"/>
        <w:rPr>
          <w:rFonts w:ascii="Century Gothic" w:eastAsia="Calibri" w:hAnsi="Century Gothic" w:cs="Arial"/>
          <w:b/>
          <w:bCs/>
          <w:color w:val="000000"/>
          <w:lang w:eastAsia="en-GB"/>
        </w:rPr>
      </w:pPr>
    </w:p>
    <w:p w14:paraId="696901DE" w14:textId="77777777" w:rsidR="00C068B3" w:rsidRPr="00D520EC" w:rsidRDefault="00C068B3" w:rsidP="00C068B3">
      <w:pPr>
        <w:spacing w:line="276" w:lineRule="auto"/>
        <w:ind w:firstLine="709"/>
        <w:jc w:val="both"/>
        <w:rPr>
          <w:rFonts w:ascii="Century Gothic" w:eastAsia="Calibri" w:hAnsi="Century Gothic" w:cs="Arial"/>
          <w:color w:val="000000"/>
          <w:lang w:eastAsia="en-GB"/>
        </w:rPr>
      </w:pPr>
      <w:r w:rsidRPr="00D520EC">
        <w:rPr>
          <w:rFonts w:ascii="Century Gothic" w:eastAsia="Calibri" w:hAnsi="Century Gothic" w:cs="Arial"/>
          <w:color w:val="000000"/>
          <w:lang w:eastAsia="en-GB"/>
        </w:rPr>
        <w:t>Igualmente, en la doctrina se concibe como una modalidad de pago del contrato de obra en la que el contratista se compromete a realizar la totalidad de los anteproyectos, proyectos, estudios y diseños de obra requeridos y la ejecución material de las obras, instalaciones y suministros</w:t>
      </w:r>
      <w:r w:rsidRPr="00D520EC">
        <w:rPr>
          <w:rStyle w:val="Refdenotaalpie"/>
          <w:rFonts w:ascii="Century Gothic" w:eastAsia="Calibri" w:hAnsi="Century Gothic" w:cs="Arial"/>
          <w:color w:val="000000"/>
          <w:lang w:eastAsia="en-GB"/>
        </w:rPr>
        <w:footnoteReference w:id="20"/>
      </w:r>
      <w:r w:rsidRPr="00D520EC">
        <w:rPr>
          <w:rFonts w:ascii="Century Gothic" w:eastAsia="Calibri" w:hAnsi="Century Gothic" w:cs="Arial"/>
          <w:color w:val="000000"/>
          <w:lang w:eastAsia="en-GB"/>
        </w:rPr>
        <w:t>.</w:t>
      </w:r>
    </w:p>
    <w:p w14:paraId="7C798BBE" w14:textId="77777777" w:rsidR="00C068B3" w:rsidRPr="00D520EC" w:rsidRDefault="00C068B3" w:rsidP="00C068B3">
      <w:pPr>
        <w:spacing w:before="120" w:after="0" w:line="276" w:lineRule="auto"/>
        <w:ind w:firstLine="709"/>
        <w:jc w:val="both"/>
        <w:rPr>
          <w:rFonts w:ascii="Century Gothic" w:eastAsia="Calibri" w:hAnsi="Century Gothic" w:cs="Arial"/>
          <w:color w:val="000000"/>
          <w:lang w:val="es-ES_tradnl" w:eastAsia="es-ES" w:bidi="es-ES"/>
        </w:rPr>
      </w:pPr>
      <w:r w:rsidRPr="00D520EC">
        <w:rPr>
          <w:rFonts w:ascii="Century Gothic" w:eastAsia="Calibri" w:hAnsi="Century Gothic" w:cs="Arial"/>
          <w:color w:val="000000"/>
          <w:lang w:eastAsia="en-GB"/>
        </w:rPr>
        <w:t xml:space="preserve"> De lo expuesto, es claro que el contrato de obra previsto en </w:t>
      </w:r>
      <w:bookmarkStart w:id="17" w:name="_Hlk74941095"/>
      <w:r w:rsidRPr="00D520EC">
        <w:rPr>
          <w:rFonts w:ascii="Century Gothic" w:eastAsia="Calibri" w:hAnsi="Century Gothic" w:cs="Arial"/>
          <w:color w:val="000000"/>
          <w:lang w:eastAsia="en-GB"/>
        </w:rPr>
        <w:t xml:space="preserve">el </w:t>
      </w:r>
      <w:r w:rsidRPr="00D520EC">
        <w:rPr>
          <w:rFonts w:ascii="Century Gothic" w:hAnsi="Century Gothic" w:cs="Arial"/>
          <w:color w:val="000000" w:themeColor="text1"/>
          <w:lang w:val="es-ES_tradnl"/>
        </w:rPr>
        <w:t>numeral 1° del artículo 32 de la Ley 80 de 1993</w:t>
      </w:r>
      <w:bookmarkEnd w:id="17"/>
      <w:r w:rsidRPr="00D520EC">
        <w:rPr>
          <w:rFonts w:ascii="Century Gothic" w:hAnsi="Century Gothic" w:cs="Arial"/>
          <w:color w:val="000000" w:themeColor="text1"/>
          <w:lang w:val="es-ES_tradnl"/>
        </w:rPr>
        <w:t xml:space="preserve"> puede ejecutarse mediante la modalidad denominada </w:t>
      </w:r>
      <w:r w:rsidRPr="00D520EC">
        <w:rPr>
          <w:rFonts w:ascii="Century Gothic" w:hAnsi="Century Gothic" w:cs="Arial"/>
          <w:lang w:eastAsia="es-MX"/>
        </w:rPr>
        <w:t>“llave en mano”, en la cual además de la obligación típica de estos contratos de realizar los trabajos materiales sobre el bien inmueble, se incluyen otras prestaciones relacionadas con la elaboración de estudios y diseños, suministros de equipos y todas aquellas necesarias para la puesta en marcha de la obra. Sin embargo, la incorporación de estas actividades no desnaturaliza la condición de obra pública del contrato. En otros términos, la modalidad que se emplee para la ejecución y pago del contrato de obra no determina la naturaleza de este, pues mientras el contrato contemple las actividades definidas en el</w:t>
      </w:r>
      <w:r w:rsidRPr="00D520EC">
        <w:rPr>
          <w:rFonts w:ascii="Century Gothic" w:eastAsia="Calibri" w:hAnsi="Century Gothic" w:cs="Arial"/>
          <w:color w:val="000000"/>
          <w:lang w:eastAsia="en-GB"/>
        </w:rPr>
        <w:t xml:space="preserve"> </w:t>
      </w:r>
      <w:r w:rsidRPr="00D520EC">
        <w:rPr>
          <w:rFonts w:ascii="Century Gothic" w:hAnsi="Century Gothic" w:cs="Arial"/>
          <w:color w:val="000000" w:themeColor="text1"/>
          <w:lang w:val="es-ES_tradnl"/>
        </w:rPr>
        <w:t xml:space="preserve">numeral 1° del artículo 32 de la Ley 80 de 1993, tendrá la denominación de obra, aunque incluya otras prestaciones, como es el caso de la modalidad de llave en mano. </w:t>
      </w:r>
    </w:p>
    <w:p w14:paraId="460FB40A" w14:textId="77777777" w:rsidR="009C39EE" w:rsidRPr="00D520EC" w:rsidRDefault="009C39EE" w:rsidP="009C39EE">
      <w:pPr>
        <w:pStyle w:val="Prrafodelista"/>
        <w:tabs>
          <w:tab w:val="left" w:pos="284"/>
        </w:tabs>
        <w:spacing w:after="0" w:line="276" w:lineRule="auto"/>
        <w:ind w:left="0"/>
        <w:rPr>
          <w:rFonts w:ascii="Century Gothic" w:hAnsi="Century Gothic" w:cs="Arial"/>
          <w:b/>
          <w:bCs/>
          <w:color w:val="000000" w:themeColor="text1"/>
          <w:lang w:val="es-CO"/>
        </w:rPr>
      </w:pPr>
    </w:p>
    <w:p w14:paraId="48578F02" w14:textId="37197A49" w:rsidR="009C39EE" w:rsidRPr="00D520EC" w:rsidRDefault="009C39EE" w:rsidP="009C39EE">
      <w:pPr>
        <w:pStyle w:val="Prrafodelista"/>
        <w:numPr>
          <w:ilvl w:val="0"/>
          <w:numId w:val="17"/>
        </w:numPr>
        <w:tabs>
          <w:tab w:val="left" w:pos="284"/>
        </w:tabs>
        <w:spacing w:after="0" w:line="276" w:lineRule="auto"/>
        <w:ind w:left="360"/>
        <w:rPr>
          <w:rFonts w:ascii="Century Gothic" w:hAnsi="Century Gothic" w:cs="Arial"/>
          <w:b/>
          <w:bCs/>
          <w:color w:val="000000" w:themeColor="text1"/>
          <w:lang w:val="es-CO"/>
        </w:rPr>
      </w:pPr>
      <w:r w:rsidRPr="00D520EC">
        <w:rPr>
          <w:rFonts w:ascii="Century Gothic" w:hAnsi="Century Gothic" w:cs="Arial"/>
          <w:b/>
          <w:bCs/>
          <w:color w:val="000000" w:themeColor="text1"/>
          <w:lang w:val="es-CO"/>
        </w:rPr>
        <w:t>Respuesta</w:t>
      </w:r>
    </w:p>
    <w:p w14:paraId="5183CCE0" w14:textId="77777777" w:rsidR="009C39EE" w:rsidRPr="00D520EC" w:rsidRDefault="009C39EE" w:rsidP="006D6F4F">
      <w:pPr>
        <w:spacing w:after="120" w:line="276" w:lineRule="auto"/>
        <w:ind w:firstLine="709"/>
        <w:jc w:val="both"/>
        <w:rPr>
          <w:rFonts w:ascii="Century Gothic" w:eastAsia="Arial" w:hAnsi="Century Gothic" w:cs="Arial"/>
          <w:lang w:val="es-ES_tradnl" w:eastAsia="es-ES_tradnl"/>
        </w:rPr>
      </w:pPr>
    </w:p>
    <w:p w14:paraId="226511BF" w14:textId="77777777" w:rsidR="00080F2B" w:rsidRPr="00D520EC" w:rsidRDefault="00080F2B" w:rsidP="00080F2B">
      <w:pPr>
        <w:spacing w:after="0" w:line="240" w:lineRule="auto"/>
        <w:ind w:left="709" w:right="709"/>
        <w:jc w:val="both"/>
        <w:rPr>
          <w:rFonts w:ascii="Century Gothic" w:hAnsi="Century Gothic"/>
          <w:sz w:val="21"/>
          <w:szCs w:val="21"/>
        </w:rPr>
      </w:pPr>
      <w:r w:rsidRPr="00D520EC">
        <w:rPr>
          <w:rFonts w:ascii="Century Gothic" w:hAnsi="Century Gothic" w:cs="Arial"/>
          <w:sz w:val="21"/>
          <w:szCs w:val="21"/>
        </w:rPr>
        <w:t>“[…] 1. ¿</w:t>
      </w:r>
      <w:r w:rsidRPr="00D520EC">
        <w:rPr>
          <w:rFonts w:ascii="Century Gothic" w:hAnsi="Century Gothic"/>
          <w:sz w:val="21"/>
          <w:szCs w:val="21"/>
        </w:rPr>
        <w:t>se hace obligatoria la adopción de pliegos tipo, para la construcción de una obra pública de infraestructura social del sector educativo bajo la modalidad llave en mano, cuya complejidad técnica haga necesario que en las actividades a realizar se incluyan de manera conjunta las fases de estudios y diseños, construcción y dotación?</w:t>
      </w:r>
    </w:p>
    <w:p w14:paraId="1A669A17" w14:textId="77777777" w:rsidR="00080F2B" w:rsidRPr="00D520EC" w:rsidRDefault="00080F2B" w:rsidP="00080F2B">
      <w:pPr>
        <w:spacing w:after="0" w:line="240" w:lineRule="auto"/>
        <w:ind w:left="709" w:right="709"/>
        <w:jc w:val="both"/>
        <w:rPr>
          <w:rFonts w:ascii="Century Gothic" w:hAnsi="Century Gothic"/>
          <w:sz w:val="21"/>
          <w:szCs w:val="21"/>
        </w:rPr>
      </w:pPr>
    </w:p>
    <w:p w14:paraId="6D3225B1" w14:textId="77777777" w:rsidR="00080F2B" w:rsidRPr="00D520EC" w:rsidRDefault="00080F2B" w:rsidP="00080F2B">
      <w:pPr>
        <w:spacing w:after="0" w:line="240" w:lineRule="auto"/>
        <w:ind w:left="709" w:right="709"/>
        <w:jc w:val="both"/>
        <w:rPr>
          <w:rFonts w:ascii="Century Gothic" w:hAnsi="Century Gothic"/>
          <w:sz w:val="21"/>
          <w:szCs w:val="21"/>
        </w:rPr>
      </w:pPr>
      <w:r w:rsidRPr="00D520EC">
        <w:rPr>
          <w:rFonts w:ascii="Century Gothic" w:hAnsi="Century Gothic"/>
          <w:sz w:val="21"/>
          <w:szCs w:val="21"/>
        </w:rPr>
        <w:t>2 ¿Si de acuerdo a respuesta a interrogante anterior, resulta obligatoria la adopción de pliegos tipo para la construcción de una obra pública de infraestructura social del sector educativo bajo la modalidad llave en mano, cuya complejidad técnica haga necesario que en las actividades a realizar se incluyan de manera conjunta las fases de estudios y diseños, construcción y dotación:</w:t>
      </w:r>
    </w:p>
    <w:p w14:paraId="37DCE020" w14:textId="77777777" w:rsidR="00080F2B" w:rsidRPr="00D520EC" w:rsidRDefault="00080F2B" w:rsidP="00080F2B">
      <w:pPr>
        <w:spacing w:after="0" w:line="240" w:lineRule="auto"/>
        <w:ind w:left="709" w:right="709"/>
        <w:jc w:val="both"/>
        <w:rPr>
          <w:rFonts w:ascii="Century Gothic" w:hAnsi="Century Gothic"/>
          <w:sz w:val="21"/>
          <w:szCs w:val="21"/>
        </w:rPr>
      </w:pPr>
    </w:p>
    <w:p w14:paraId="2F8F09F6" w14:textId="77777777" w:rsidR="00080F2B" w:rsidRPr="00D520EC" w:rsidRDefault="00080F2B" w:rsidP="00080F2B">
      <w:pPr>
        <w:pStyle w:val="Prrafodelista"/>
        <w:numPr>
          <w:ilvl w:val="0"/>
          <w:numId w:val="23"/>
        </w:numPr>
        <w:spacing w:after="0" w:line="240" w:lineRule="auto"/>
        <w:ind w:right="709"/>
        <w:jc w:val="both"/>
        <w:rPr>
          <w:rFonts w:ascii="Century Gothic" w:hAnsi="Century Gothic"/>
          <w:sz w:val="21"/>
          <w:szCs w:val="21"/>
          <w:lang w:val="es-CO"/>
        </w:rPr>
      </w:pPr>
      <w:r w:rsidRPr="00D520EC">
        <w:rPr>
          <w:rFonts w:ascii="Century Gothic" w:hAnsi="Century Gothic"/>
          <w:sz w:val="21"/>
          <w:szCs w:val="21"/>
        </w:rPr>
        <w:t>¿cuál o cuáles serían las matrices de experiencia que aplicarían para las actividades específicas de estudios y diseños y dotación?</w:t>
      </w:r>
    </w:p>
    <w:p w14:paraId="1D7DF025" w14:textId="77777777" w:rsidR="00080F2B" w:rsidRPr="00D520EC" w:rsidRDefault="00080F2B" w:rsidP="00080F2B">
      <w:pPr>
        <w:pStyle w:val="Prrafodelista"/>
        <w:spacing w:after="0" w:line="240" w:lineRule="auto"/>
        <w:ind w:left="1069" w:right="709"/>
        <w:jc w:val="both"/>
        <w:rPr>
          <w:rFonts w:ascii="Century Gothic" w:hAnsi="Century Gothic"/>
          <w:sz w:val="21"/>
          <w:szCs w:val="21"/>
          <w:lang w:val="es-CO"/>
        </w:rPr>
      </w:pPr>
    </w:p>
    <w:p w14:paraId="037283C0" w14:textId="77777777" w:rsidR="00080F2B" w:rsidRPr="00D520EC" w:rsidRDefault="00080F2B" w:rsidP="00080F2B">
      <w:pPr>
        <w:pStyle w:val="Prrafodelista"/>
        <w:numPr>
          <w:ilvl w:val="0"/>
          <w:numId w:val="23"/>
        </w:numPr>
        <w:spacing w:after="0" w:line="240" w:lineRule="auto"/>
        <w:ind w:right="709"/>
        <w:jc w:val="both"/>
        <w:rPr>
          <w:rFonts w:ascii="Century Gothic" w:hAnsi="Century Gothic"/>
          <w:sz w:val="21"/>
          <w:szCs w:val="21"/>
          <w:lang w:val="es-CO"/>
        </w:rPr>
      </w:pPr>
      <w:r w:rsidRPr="00D520EC">
        <w:rPr>
          <w:rFonts w:ascii="Century Gothic" w:hAnsi="Century Gothic"/>
          <w:sz w:val="21"/>
          <w:szCs w:val="21"/>
        </w:rPr>
        <w:t>¿hasta qué punto podría modificarse el documento base (pliego tipo) de tal forma que sus condiciones y exigencias guarden armonía con la modalidad de obra a contratar (llave en mano) por ejemplo: en lo que tiene que ver con la forma de establecer el AIU y con las causales de rechazo que recaen sobre la propuesta económica?</w:t>
      </w:r>
    </w:p>
    <w:p w14:paraId="5B351B17" w14:textId="77777777" w:rsidR="00080F2B" w:rsidRPr="00D520EC" w:rsidRDefault="00080F2B" w:rsidP="00080F2B">
      <w:pPr>
        <w:pStyle w:val="Prrafodelista"/>
        <w:spacing w:line="240" w:lineRule="auto"/>
        <w:rPr>
          <w:rFonts w:ascii="Century Gothic" w:hAnsi="Century Gothic"/>
          <w:sz w:val="21"/>
          <w:szCs w:val="21"/>
          <w:lang w:val="es-CO"/>
        </w:rPr>
      </w:pPr>
    </w:p>
    <w:p w14:paraId="1F5D1FFE" w14:textId="77777777" w:rsidR="00080F2B" w:rsidRPr="00D520EC" w:rsidRDefault="00080F2B" w:rsidP="00080F2B">
      <w:pPr>
        <w:pStyle w:val="Prrafodelista"/>
        <w:numPr>
          <w:ilvl w:val="0"/>
          <w:numId w:val="23"/>
        </w:numPr>
        <w:spacing w:after="0" w:line="240" w:lineRule="auto"/>
        <w:ind w:right="709"/>
        <w:jc w:val="both"/>
        <w:rPr>
          <w:rFonts w:ascii="Century Gothic" w:hAnsi="Century Gothic"/>
          <w:sz w:val="21"/>
          <w:szCs w:val="21"/>
          <w:lang w:val="es-CO"/>
        </w:rPr>
      </w:pPr>
      <w:r w:rsidRPr="00D520EC">
        <w:rPr>
          <w:rFonts w:ascii="Century Gothic" w:hAnsi="Century Gothic"/>
          <w:sz w:val="21"/>
          <w:szCs w:val="21"/>
        </w:rPr>
        <w:t xml:space="preserve">Se podría prescindir de la utilización y/o exigencia del formulario N° 1 de presupuesto oficial, teniendo en cuenta que por la modalidad de obra (llave en mano) no existirían en principio cantidades y valores de obra definidos. </w:t>
      </w:r>
      <w:r w:rsidRPr="00D520EC">
        <w:rPr>
          <w:rFonts w:ascii="Century Gothic" w:hAnsi="Century Gothic" w:cs="Arial"/>
          <w:sz w:val="21"/>
          <w:szCs w:val="21"/>
        </w:rPr>
        <w:t>[…]”</w:t>
      </w:r>
    </w:p>
    <w:p w14:paraId="6FF6689F" w14:textId="77777777" w:rsidR="00932361" w:rsidRPr="00D520EC" w:rsidRDefault="00932361" w:rsidP="00932361">
      <w:pPr>
        <w:spacing w:after="120" w:line="276" w:lineRule="auto"/>
        <w:jc w:val="both"/>
        <w:rPr>
          <w:rFonts w:ascii="Century Gothic" w:hAnsi="Century Gothic" w:cs="Arial"/>
        </w:rPr>
      </w:pPr>
    </w:p>
    <w:p w14:paraId="6AD38A85" w14:textId="77777777" w:rsidR="0094323E" w:rsidRPr="00D520EC" w:rsidRDefault="00932361" w:rsidP="0094323E">
      <w:pPr>
        <w:spacing w:after="120" w:line="276" w:lineRule="auto"/>
        <w:jc w:val="both"/>
        <w:rPr>
          <w:rFonts w:ascii="Century Gothic" w:hAnsi="Century Gothic" w:cs="Arial"/>
        </w:rPr>
      </w:pPr>
      <w:r w:rsidRPr="00D520EC">
        <w:rPr>
          <w:rFonts w:ascii="Century Gothic" w:hAnsi="Century Gothic"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0E38D698" w14:textId="63A65871" w:rsidR="0094323E" w:rsidRPr="00D520EC" w:rsidRDefault="0094323E" w:rsidP="0094323E">
      <w:pPr>
        <w:spacing w:after="120" w:line="276" w:lineRule="auto"/>
        <w:ind w:firstLine="705"/>
        <w:jc w:val="both"/>
        <w:rPr>
          <w:rFonts w:ascii="Century Gothic" w:eastAsia="Calibri" w:hAnsi="Century Gothic" w:cs="Arial"/>
          <w:lang w:val="es-ES_tradnl"/>
        </w:rPr>
      </w:pPr>
      <w:r w:rsidRPr="00D520EC">
        <w:rPr>
          <w:rFonts w:ascii="Century Gothic" w:eastAsia="Calibri" w:hAnsi="Century Gothic" w:cs="Arial"/>
          <w:lang w:val="es-ES" w:eastAsia="es-ES" w:bidi="es-ES"/>
        </w:rPr>
        <w:t xml:space="preserve">Conforme a lo expuesto, los documentos tipo expedidos por esta Agencia son de obligatorio cumplimiento para las </w:t>
      </w:r>
      <w:r w:rsidR="001B1CE0" w:rsidRPr="00D520EC">
        <w:rPr>
          <w:rFonts w:ascii="Century Gothic" w:eastAsia="Calibri" w:hAnsi="Century Gothic" w:cs="Arial"/>
          <w:lang w:val="es-ES" w:eastAsia="es-ES" w:bidi="es-ES"/>
        </w:rPr>
        <w:t>E</w:t>
      </w:r>
      <w:r w:rsidRPr="00D520EC">
        <w:rPr>
          <w:rFonts w:ascii="Century Gothic" w:eastAsia="Calibri" w:hAnsi="Century Gothic" w:cs="Arial"/>
          <w:lang w:val="es-ES" w:eastAsia="es-ES" w:bidi="es-ES"/>
        </w:rPr>
        <w:t>ntidades sometidas al Estatuto General de Contratación de la Administración Pública, quienes deben aplicarlos en aquellos procesos cuyos objetos contractuales se subsuman dentro de alguna</w:t>
      </w:r>
      <w:r w:rsidRPr="00D520EC">
        <w:rPr>
          <w:rFonts w:ascii="Century Gothic" w:hAnsi="Century Gothic" w:cs="Arial"/>
          <w:lang w:val="es-ES"/>
        </w:rPr>
        <w:t xml:space="preserve"> de las actividades establecidas de forma detallada </w:t>
      </w:r>
      <w:r w:rsidRPr="00D520EC">
        <w:rPr>
          <w:rFonts w:ascii="Century Gothic" w:eastAsia="Calibri" w:hAnsi="Century Gothic" w:cs="Arial"/>
          <w:lang w:val="es-ES" w:eastAsia="es-ES" w:bidi="es-ES"/>
        </w:rPr>
        <w:t xml:space="preserve">en las matrices de experiencia de los documentos tipo proferidos para los diferentes sectores. </w:t>
      </w:r>
      <w:r w:rsidRPr="00D520EC">
        <w:rPr>
          <w:rFonts w:ascii="Century Gothic" w:eastAsia="Calibri" w:hAnsi="Century Gothic" w:cs="Arial"/>
          <w:shd w:val="clear" w:color="auto" w:fill="FFFFFF"/>
          <w:lang w:val="es-MX"/>
        </w:rPr>
        <w:t xml:space="preserve">Por tanto, para determinar si una </w:t>
      </w:r>
      <w:r w:rsidR="001B1CE0" w:rsidRPr="00D520EC">
        <w:rPr>
          <w:rFonts w:ascii="Century Gothic" w:eastAsia="Calibri" w:hAnsi="Century Gothic" w:cs="Arial"/>
          <w:shd w:val="clear" w:color="auto" w:fill="FFFFFF"/>
          <w:lang w:val="es-MX"/>
        </w:rPr>
        <w:t>E</w:t>
      </w:r>
      <w:r w:rsidRPr="00D520EC">
        <w:rPr>
          <w:rFonts w:ascii="Century Gothic" w:eastAsia="Calibri" w:hAnsi="Century Gothic" w:cs="Arial"/>
          <w:shd w:val="clear" w:color="auto" w:fill="FFFFFF"/>
          <w:lang w:val="es-MX"/>
        </w:rPr>
        <w:t xml:space="preserve">ntidad </w:t>
      </w:r>
      <w:r w:rsidR="001B1CE0" w:rsidRPr="00D520EC">
        <w:rPr>
          <w:rFonts w:ascii="Century Gothic" w:eastAsia="Calibri" w:hAnsi="Century Gothic" w:cs="Arial"/>
          <w:shd w:val="clear" w:color="auto" w:fill="FFFFFF"/>
          <w:lang w:val="es-MX"/>
        </w:rPr>
        <w:t>E</w:t>
      </w:r>
      <w:r w:rsidRPr="00D520EC">
        <w:rPr>
          <w:rFonts w:ascii="Century Gothic" w:eastAsia="Calibri" w:hAnsi="Century Gothic" w:cs="Arial"/>
          <w:shd w:val="clear" w:color="auto" w:fill="FFFFFF"/>
          <w:lang w:val="es-MX"/>
        </w:rPr>
        <w:t xml:space="preserve">statal se encuentra obligada o no aplicar documentos tipo para un proyecto en específico, </w:t>
      </w:r>
      <w:r w:rsidRPr="00D520EC">
        <w:rPr>
          <w:rFonts w:ascii="Century Gothic" w:eastAsia="Arial" w:hAnsi="Century Gothic" w:cs="Arial"/>
          <w:lang w:val="es-ES" w:eastAsia="es-ES" w:bidi="es-ES"/>
        </w:rPr>
        <w:t xml:space="preserve">le corresponde identificar, de manera preliminar, el tipo de infraestructura sobre la cual recae el objeto a contratar, acorde con lo señalado en la respectiva </w:t>
      </w:r>
      <w:r w:rsidRPr="00D520EC">
        <w:rPr>
          <w:rFonts w:ascii="Century Gothic" w:eastAsia="Calibri" w:hAnsi="Century Gothic" w:cs="Arial"/>
          <w:lang w:val="es-MX"/>
        </w:rPr>
        <w:t>matriz de experiencia</w:t>
      </w:r>
      <w:r w:rsidRPr="00D520EC">
        <w:rPr>
          <w:rFonts w:ascii="Century Gothic" w:eastAsia="Calibri" w:hAnsi="Century Gothic" w:cs="Arial"/>
          <w:lang w:val="es-ES_tradnl" w:eastAsia="es-ES"/>
        </w:rPr>
        <w:t>.</w:t>
      </w:r>
      <w:r w:rsidRPr="00D520EC">
        <w:rPr>
          <w:rFonts w:ascii="Century Gothic" w:eastAsia="Calibri" w:hAnsi="Century Gothic" w:cs="Arial"/>
          <w:lang w:val="es-ES_tradnl"/>
        </w:rPr>
        <w:t xml:space="preserve"> </w:t>
      </w:r>
      <w:r w:rsidR="005542AE" w:rsidRPr="00D520EC">
        <w:rPr>
          <w:rFonts w:ascii="Century Gothic" w:eastAsia="Calibri" w:hAnsi="Century Gothic" w:cs="Arial"/>
          <w:lang w:val="es-ES_tradnl"/>
        </w:rPr>
        <w:t xml:space="preserve">Bajo este contexto, </w:t>
      </w:r>
      <w:r w:rsidR="00976191" w:rsidRPr="00D520EC">
        <w:rPr>
          <w:rFonts w:ascii="Century Gothic" w:eastAsia="Calibri" w:hAnsi="Century Gothic" w:cs="Arial"/>
          <w:lang w:val="es-ES_tradnl"/>
        </w:rPr>
        <w:t xml:space="preserve">ha de indicarse que </w:t>
      </w:r>
      <w:r w:rsidR="005542AE" w:rsidRPr="00D520EC">
        <w:rPr>
          <w:rFonts w:ascii="Century Gothic" w:eastAsia="Calibri" w:hAnsi="Century Gothic" w:cs="Arial"/>
          <w:lang w:val="es-ES_tradnl"/>
        </w:rPr>
        <w:t>l</w:t>
      </w:r>
      <w:r w:rsidRPr="00D520EC">
        <w:rPr>
          <w:rFonts w:ascii="Century Gothic" w:eastAsia="Calibri" w:hAnsi="Century Gothic" w:cs="Arial"/>
          <w:lang w:val="es-ES_tradnl"/>
        </w:rPr>
        <w:t xml:space="preserve">as actividades contempladas en las </w:t>
      </w:r>
      <w:r w:rsidRPr="00D520EC">
        <w:rPr>
          <w:rFonts w:ascii="Century Gothic" w:eastAsia="Calibri" w:hAnsi="Century Gothic" w:cs="Arial"/>
          <w:lang w:val="es-MX"/>
        </w:rPr>
        <w:t>matrices</w:t>
      </w:r>
      <w:r w:rsidRPr="00D520EC">
        <w:rPr>
          <w:rFonts w:ascii="Century Gothic" w:eastAsia="Calibri" w:hAnsi="Century Gothic" w:cs="Arial"/>
          <w:lang w:val="es-ES_tradnl"/>
        </w:rPr>
        <w:t xml:space="preserve"> de experiencia de cada sector deben interpretarse de acuerdo con las definiciones que consagran los </w:t>
      </w:r>
      <w:r w:rsidRPr="00D520EC">
        <w:rPr>
          <w:rFonts w:ascii="Century Gothic" w:eastAsia="Times New Roman" w:hAnsi="Century Gothic" w:cs="Arial"/>
          <w:lang w:val="es-ES"/>
        </w:rPr>
        <w:t xml:space="preserve">glosarios adoptados para cada sector, pues en estas se determinan las nociones necesarias para entender que se incluyen las actividades de obra pública respecto de la infraestructura educativa, en salud y de cultura, recreación y deporte.    </w:t>
      </w:r>
      <w:r w:rsidRPr="00D520EC">
        <w:rPr>
          <w:rFonts w:ascii="Century Gothic" w:eastAsia="Calibri" w:hAnsi="Century Gothic" w:cs="Arial"/>
          <w:lang w:val="es-ES_tradnl"/>
        </w:rPr>
        <w:t xml:space="preserve"> </w:t>
      </w:r>
    </w:p>
    <w:p w14:paraId="37C0C81A" w14:textId="0028738C" w:rsidR="002E2210" w:rsidRPr="00D520EC" w:rsidRDefault="002E2210" w:rsidP="0094323E">
      <w:pPr>
        <w:spacing w:after="120" w:line="276" w:lineRule="auto"/>
        <w:ind w:firstLine="705"/>
        <w:jc w:val="both"/>
        <w:rPr>
          <w:rFonts w:ascii="Century Gothic" w:eastAsia="Calibri" w:hAnsi="Century Gothic" w:cs="Arial"/>
          <w:lang w:val="es-ES_tradnl"/>
        </w:rPr>
      </w:pPr>
      <w:r w:rsidRPr="00D520EC">
        <w:rPr>
          <w:rFonts w:ascii="Century Gothic" w:hAnsi="Century Gothic" w:cs="Arial"/>
          <w:lang w:val="es-ES_tradnl"/>
        </w:rPr>
        <w:t>En materia de infraestructura social debe tenerse en cuenta que existen dos (2) clases de documentos tipo que se integran en cada proceso: i) los documentos transversales a todos los sectores de infraestructura social, es decir, el documento base, los anexos, los formatos, los formularios y las matrices adoptados mediante la Resolución No. 219 de 2021; y ii) los documentos tipo complementarios, referentes a la matriz de experiencia y el glosario, los cuales han sido adoptados en la resolución para cada sector específico (educativo, salud, y cultura, recreación y deporte)</w:t>
      </w:r>
    </w:p>
    <w:p w14:paraId="5A523ACE" w14:textId="6920F942" w:rsidR="00946C0B" w:rsidRPr="00D520EC" w:rsidRDefault="00486E63" w:rsidP="00946C0B">
      <w:pPr>
        <w:spacing w:after="120" w:line="276" w:lineRule="auto"/>
        <w:ind w:firstLine="705"/>
        <w:jc w:val="both"/>
        <w:rPr>
          <w:rFonts w:ascii="Century Gothic" w:hAnsi="Century Gothic" w:cs="Arial"/>
          <w:lang w:val="es-ES_tradnl"/>
        </w:rPr>
      </w:pPr>
      <w:r>
        <w:rPr>
          <w:rFonts w:ascii="Century Gothic" w:hAnsi="Century Gothic" w:cs="Arial"/>
          <w:lang w:val="es-ES_tradnl"/>
        </w:rPr>
        <w:t>Ahora bien</w:t>
      </w:r>
      <w:r w:rsidR="00946C0B" w:rsidRPr="00D520EC">
        <w:rPr>
          <w:rFonts w:ascii="Century Gothic" w:hAnsi="Century Gothic" w:cs="Arial"/>
          <w:lang w:val="es-ES_tradnl"/>
        </w:rPr>
        <w:t>, en el ordenamiento jurídico existen diversas opciones para la contratación de los estudios y diseños necesarios para la ejecución de una obra pública. En ese sentido, es viable afirmar que los estudios y diseños pueden contratarse a parte de la construcción de la obra o pueden contratarse conjuntamente a través de un contrato de obra en la modalidad de “llave en mano”, mediante esta modalidad, el contratista seleccionado para ejecutar el proyecto será el encargado de elaborar los diseños y estudios. Esto en la medida en que, dependiendo del alcance de las obligaciones, el contrato llave en mano incluye todas las labores relacionadas con la obra incluyendo los diseños, estudios de factibilidad, construcción, contratación del personal, instalaciones y suministros y la contraprestación a cargo del contratista es la obra terminada y en funcionamiento.</w:t>
      </w:r>
    </w:p>
    <w:p w14:paraId="5D427F21" w14:textId="5EB408A2" w:rsidR="00404844" w:rsidRPr="00D520EC" w:rsidRDefault="00400E43" w:rsidP="004C569E">
      <w:pPr>
        <w:spacing w:after="120" w:line="276" w:lineRule="auto"/>
        <w:ind w:firstLine="705"/>
        <w:jc w:val="both"/>
        <w:rPr>
          <w:rFonts w:ascii="Century Gothic" w:hAnsi="Century Gothic" w:cs="Arial"/>
          <w:lang w:val="es-ES_tradnl"/>
        </w:rPr>
      </w:pPr>
      <w:r w:rsidRPr="00D520EC">
        <w:rPr>
          <w:rFonts w:ascii="Century Gothic" w:hAnsi="Century Gothic" w:cs="Arial"/>
          <w:lang w:val="es-ES_tradnl"/>
        </w:rPr>
        <w:t xml:space="preserve">Dicho lo anterior, y para responder a </w:t>
      </w:r>
      <w:r w:rsidR="00E80B6C">
        <w:rPr>
          <w:rFonts w:ascii="Century Gothic" w:hAnsi="Century Gothic" w:cs="Arial"/>
          <w:lang w:val="es-ES_tradnl"/>
        </w:rPr>
        <w:t>la</w:t>
      </w:r>
      <w:r w:rsidRPr="00D520EC">
        <w:rPr>
          <w:rFonts w:ascii="Century Gothic" w:hAnsi="Century Gothic" w:cs="Arial"/>
          <w:lang w:val="es-ES_tradnl"/>
        </w:rPr>
        <w:t xml:space="preserve"> consulta es preciso indicar </w:t>
      </w:r>
      <w:r w:rsidR="00404844" w:rsidRPr="00D520EC">
        <w:rPr>
          <w:rFonts w:ascii="Century Gothic" w:hAnsi="Century Gothic" w:cs="Arial"/>
          <w:lang w:val="es-ES_tradnl"/>
        </w:rPr>
        <w:t>que,</w:t>
      </w:r>
      <w:r w:rsidR="00E671BC" w:rsidRPr="00D520EC">
        <w:rPr>
          <w:rFonts w:ascii="Century Gothic" w:hAnsi="Century Gothic" w:cs="Arial"/>
          <w:lang w:val="es-ES_tradnl"/>
        </w:rPr>
        <w:t xml:space="preserve"> si la obra que la </w:t>
      </w:r>
      <w:r w:rsidR="00404844" w:rsidRPr="00D520EC">
        <w:rPr>
          <w:rFonts w:ascii="Century Gothic" w:hAnsi="Century Gothic" w:cs="Arial"/>
          <w:lang w:val="es-ES_tradnl"/>
        </w:rPr>
        <w:t>E</w:t>
      </w:r>
      <w:r w:rsidR="00E671BC" w:rsidRPr="00D520EC">
        <w:rPr>
          <w:rFonts w:ascii="Century Gothic" w:hAnsi="Century Gothic" w:cs="Arial"/>
          <w:lang w:val="es-ES_tradnl"/>
        </w:rPr>
        <w:t xml:space="preserve">ntidad pretende ejecutar se enmarca en alguno de los tipos de proyectos o </w:t>
      </w:r>
      <w:r w:rsidR="00404844" w:rsidRPr="00D520EC">
        <w:rPr>
          <w:rFonts w:ascii="Century Gothic" w:hAnsi="Century Gothic" w:cs="Arial"/>
          <w:lang w:val="es-ES_tradnl"/>
        </w:rPr>
        <w:t>“</w:t>
      </w:r>
      <w:r w:rsidR="00E671BC" w:rsidRPr="00D520EC">
        <w:rPr>
          <w:rFonts w:ascii="Century Gothic" w:hAnsi="Century Gothic" w:cs="Arial"/>
          <w:lang w:val="es-ES_tradnl"/>
        </w:rPr>
        <w:t>actividades</w:t>
      </w:r>
      <w:r w:rsidR="00404844" w:rsidRPr="00D520EC">
        <w:rPr>
          <w:rFonts w:ascii="Century Gothic" w:hAnsi="Century Gothic" w:cs="Arial"/>
          <w:lang w:val="es-ES_tradnl"/>
        </w:rPr>
        <w:t xml:space="preserve">” </w:t>
      </w:r>
      <w:r w:rsidR="00E671BC" w:rsidRPr="00D520EC">
        <w:rPr>
          <w:rFonts w:ascii="Century Gothic" w:hAnsi="Century Gothic" w:cs="Arial"/>
          <w:lang w:val="es-ES_tradnl"/>
        </w:rPr>
        <w:t xml:space="preserve">incluidas en alguna de las matrices de experiencia de los documentos tipo complementarios relacionados con la infraestructura social, el proceso de selección debe adelantarse utilizando dichos documentos tipo. Esto aplica, incluso, para los contratos de obra </w:t>
      </w:r>
      <w:r w:rsidR="00325A79" w:rsidRPr="00D520EC">
        <w:rPr>
          <w:rFonts w:ascii="Century Gothic" w:hAnsi="Century Gothic" w:cs="Arial"/>
          <w:lang w:val="es-ES_tradnl"/>
        </w:rPr>
        <w:t>“</w:t>
      </w:r>
      <w:r w:rsidR="00E671BC" w:rsidRPr="00D520EC">
        <w:rPr>
          <w:rFonts w:ascii="Century Gothic" w:hAnsi="Century Gothic" w:cs="Arial"/>
          <w:lang w:val="es-ES_tradnl"/>
        </w:rPr>
        <w:t>llave en mano</w:t>
      </w:r>
      <w:r w:rsidR="00325A79" w:rsidRPr="00D520EC">
        <w:rPr>
          <w:rFonts w:ascii="Century Gothic" w:hAnsi="Century Gothic" w:cs="Arial"/>
          <w:lang w:val="es-ES_tradnl"/>
        </w:rPr>
        <w:t>”</w:t>
      </w:r>
      <w:r w:rsidR="00E671BC" w:rsidRPr="00D520EC">
        <w:rPr>
          <w:rFonts w:ascii="Century Gothic" w:hAnsi="Century Gothic" w:cs="Arial"/>
          <w:lang w:val="es-ES_tradnl"/>
        </w:rPr>
        <w:t xml:space="preserve"> para infraestructura </w:t>
      </w:r>
      <w:r w:rsidR="00CD4381" w:rsidRPr="00D520EC">
        <w:rPr>
          <w:rFonts w:ascii="Century Gothic" w:hAnsi="Century Gothic" w:cs="Arial"/>
          <w:lang w:val="es-ES_tradnl"/>
        </w:rPr>
        <w:t>social</w:t>
      </w:r>
      <w:r w:rsidR="00AA1C95" w:rsidRPr="00D520EC">
        <w:rPr>
          <w:rFonts w:ascii="Century Gothic" w:hAnsi="Century Gothic" w:cs="Arial"/>
          <w:lang w:val="es-ES_tradnl"/>
        </w:rPr>
        <w:t xml:space="preserve">. </w:t>
      </w:r>
      <w:r w:rsidR="00486E63">
        <w:rPr>
          <w:rFonts w:ascii="Century Gothic" w:hAnsi="Century Gothic" w:cs="Arial"/>
          <w:lang w:val="es-ES_tradnl"/>
        </w:rPr>
        <w:t>E</w:t>
      </w:r>
      <w:r w:rsidR="004C569E" w:rsidRPr="00D520EC">
        <w:rPr>
          <w:rFonts w:ascii="Century Gothic" w:hAnsi="Century Gothic" w:cs="Arial"/>
          <w:lang w:val="es-ES_tradnl"/>
        </w:rPr>
        <w:t xml:space="preserve">n el </w:t>
      </w:r>
      <w:r w:rsidR="007F41FC" w:rsidRPr="00D520EC">
        <w:rPr>
          <w:rFonts w:ascii="Century Gothic" w:hAnsi="Century Gothic" w:cs="Arial"/>
          <w:lang w:val="es-ES_tradnl"/>
        </w:rPr>
        <w:t xml:space="preserve">caso </w:t>
      </w:r>
      <w:r w:rsidR="00E671BC" w:rsidRPr="00D520EC">
        <w:rPr>
          <w:rFonts w:ascii="Century Gothic" w:hAnsi="Century Gothic" w:cs="Arial"/>
          <w:lang w:val="es-ES_tradnl"/>
        </w:rPr>
        <w:t xml:space="preserve">en donde se considere necesario exigir experiencia adicional para la ejecución de bienes o servicios adicionales a la obra pública, como sería la realización de los diseños de la obra, procede la aplicación del artículo 4 de la Resolución 219 de 2021 </w:t>
      </w:r>
      <w:r w:rsidR="007F41FC" w:rsidRPr="00D520EC">
        <w:rPr>
          <w:rFonts w:ascii="Century Gothic" w:hAnsi="Century Gothic" w:cs="Arial"/>
          <w:lang w:val="es-ES_tradnl"/>
        </w:rPr>
        <w:t>“</w:t>
      </w:r>
      <w:r w:rsidR="00E671BC" w:rsidRPr="00D520EC">
        <w:rPr>
          <w:rFonts w:ascii="Century Gothic" w:hAnsi="Century Gothic" w:cs="Arial"/>
          <w:lang w:val="es-ES_tradnl"/>
        </w:rPr>
        <w:t>Por la cual se adoptan los documentos tipo para los procesos de licitación de obra pública de infraestructura social</w:t>
      </w:r>
      <w:r w:rsidR="007F41FC" w:rsidRPr="00D520EC">
        <w:rPr>
          <w:rFonts w:ascii="Century Gothic" w:hAnsi="Century Gothic" w:cs="Arial"/>
          <w:lang w:val="es-ES_tradnl"/>
        </w:rPr>
        <w:t>”</w:t>
      </w:r>
      <w:r w:rsidR="00E671BC" w:rsidRPr="00D520EC">
        <w:rPr>
          <w:rFonts w:ascii="Century Gothic" w:hAnsi="Century Gothic" w:cs="Arial"/>
          <w:lang w:val="es-ES_tradnl"/>
        </w:rPr>
        <w:t xml:space="preserve">. Esta norma dispone que en los eventos en los que el objeto contractual incluya bienes o servicios adicionales, la </w:t>
      </w:r>
      <w:r w:rsidR="00683622" w:rsidRPr="00D520EC">
        <w:rPr>
          <w:rFonts w:ascii="Century Gothic" w:hAnsi="Century Gothic" w:cs="Arial"/>
          <w:lang w:val="es-ES_tradnl"/>
        </w:rPr>
        <w:t>E</w:t>
      </w:r>
      <w:r w:rsidR="00E671BC" w:rsidRPr="00D520EC">
        <w:rPr>
          <w:rFonts w:ascii="Century Gothic" w:hAnsi="Century Gothic" w:cs="Arial"/>
          <w:lang w:val="es-ES_tradnl"/>
        </w:rPr>
        <w:t xml:space="preserve">ntidad puede incluir experiencia adicional para evaluar la idoneidad respecto de los bienes o servicios ajenos a la obra pública de infraestructura social, como sería la realización de los diseños de la obra.  </w:t>
      </w:r>
    </w:p>
    <w:p w14:paraId="2B3C03C9" w14:textId="25B9F0E9" w:rsidR="004D7D26" w:rsidRPr="00D520EC" w:rsidRDefault="004D7D26" w:rsidP="00404844">
      <w:pPr>
        <w:spacing w:after="120" w:line="276" w:lineRule="auto"/>
        <w:ind w:firstLine="705"/>
        <w:jc w:val="both"/>
        <w:rPr>
          <w:rStyle w:val="normaltextrun"/>
          <w:rFonts w:ascii="Century Gothic" w:hAnsi="Century Gothic" w:cs="Arial"/>
          <w:lang w:val="es-MX"/>
        </w:rPr>
      </w:pPr>
      <w:r w:rsidRPr="00D520EC">
        <w:rPr>
          <w:rStyle w:val="normaltextrun"/>
          <w:rFonts w:ascii="Century Gothic" w:hAnsi="Century Gothic" w:cs="Arial"/>
          <w:lang w:val="es-MX"/>
        </w:rPr>
        <w:t xml:space="preserve">En armonía con el artículo señalado, si de manera excepcional la </w:t>
      </w:r>
      <w:r w:rsidR="00404844" w:rsidRPr="00D520EC">
        <w:rPr>
          <w:rStyle w:val="normaltextrun"/>
          <w:rFonts w:ascii="Century Gothic" w:hAnsi="Century Gothic" w:cs="Arial"/>
          <w:lang w:val="es-MX"/>
        </w:rPr>
        <w:t>E</w:t>
      </w:r>
      <w:r w:rsidRPr="00D520EC">
        <w:rPr>
          <w:rStyle w:val="normaltextrun"/>
          <w:rFonts w:ascii="Century Gothic" w:hAnsi="Century Gothic" w:cs="Arial"/>
          <w:lang w:val="es-MX"/>
        </w:rPr>
        <w:t xml:space="preserve">ntidad </w:t>
      </w:r>
      <w:r w:rsidR="00404844" w:rsidRPr="00D520EC">
        <w:rPr>
          <w:rStyle w:val="normaltextrun"/>
          <w:rFonts w:ascii="Century Gothic" w:hAnsi="Century Gothic" w:cs="Arial"/>
          <w:lang w:val="es-MX"/>
        </w:rPr>
        <w:t>E</w:t>
      </w:r>
      <w:r w:rsidRPr="00D520EC">
        <w:rPr>
          <w:rStyle w:val="normaltextrun"/>
          <w:rFonts w:ascii="Century Gothic" w:hAnsi="Century Gothic" w:cs="Arial"/>
          <w:lang w:val="es-MX"/>
        </w:rPr>
        <w:t xml:space="preserve">statal considera que el contratista de la obra que debe contratarse a través de la aplicación de los documentos tipo de infraestructura social </w:t>
      </w:r>
      <w:r w:rsidR="00667E4A" w:rsidRPr="00D520EC">
        <w:rPr>
          <w:rStyle w:val="normaltextrun"/>
          <w:rFonts w:ascii="Century Gothic" w:hAnsi="Century Gothic" w:cs="Arial"/>
          <w:lang w:val="es-MX"/>
        </w:rPr>
        <w:t xml:space="preserve">y </w:t>
      </w:r>
      <w:r w:rsidRPr="00D520EC">
        <w:rPr>
          <w:rStyle w:val="normaltextrun"/>
          <w:rFonts w:ascii="Century Gothic" w:hAnsi="Century Gothic" w:cs="Arial"/>
          <w:lang w:val="es-MX"/>
        </w:rPr>
        <w:t xml:space="preserve">debe ejecutar bienes o servicios adicionales, como sería el caso de los diseños necesarios para la obra, puede incluir la experiencia adicional para evaluar la idoneidad de los proponentes, cumpliendo todas las demás exigencias de los documentos tipo. </w:t>
      </w:r>
    </w:p>
    <w:p w14:paraId="1A901F1F" w14:textId="77777777" w:rsidR="002B77A7" w:rsidRPr="00D520EC" w:rsidRDefault="002B77A7" w:rsidP="002B77A7">
      <w:pPr>
        <w:spacing w:before="120" w:line="276" w:lineRule="auto"/>
        <w:ind w:firstLine="708"/>
        <w:jc w:val="both"/>
        <w:rPr>
          <w:rFonts w:ascii="Century Gothic" w:eastAsia="Calibri" w:hAnsi="Century Gothic" w:cs="Arial"/>
        </w:rPr>
      </w:pPr>
      <w:r w:rsidRPr="00D520EC">
        <w:rPr>
          <w:rFonts w:ascii="Century Gothic" w:eastAsia="Calibri" w:hAnsi="Century Gothic" w:cs="Arial"/>
        </w:rPr>
        <w:t>Con todo, debe resaltarse que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w:t>
      </w:r>
    </w:p>
    <w:p w14:paraId="1ECAA809" w14:textId="58B712D4" w:rsidR="003026AC" w:rsidRDefault="002B77A7" w:rsidP="003026AC">
      <w:pPr>
        <w:spacing w:before="120" w:line="276" w:lineRule="auto"/>
        <w:ind w:firstLine="708"/>
        <w:jc w:val="both"/>
        <w:rPr>
          <w:rFonts w:ascii="Century Gothic" w:eastAsia="Calibri" w:hAnsi="Century Gothic" w:cs="Arial"/>
        </w:rPr>
      </w:pPr>
      <w:r w:rsidRPr="00D520EC">
        <w:rPr>
          <w:rFonts w:ascii="Century Gothic" w:eastAsia="Calibri" w:hAnsi="Century Gothic" w:cs="Arial"/>
        </w:rPr>
        <w:t xml:space="preserve">Teniendo en cuenta las consideraciones anteriores, corresponde a cada </w:t>
      </w:r>
      <w:r w:rsidR="00BE4319" w:rsidRPr="00D520EC">
        <w:rPr>
          <w:rFonts w:ascii="Century Gothic" w:eastAsia="Calibri" w:hAnsi="Century Gothic" w:cs="Arial"/>
        </w:rPr>
        <w:t>E</w:t>
      </w:r>
      <w:r w:rsidRPr="00D520EC">
        <w:rPr>
          <w:rFonts w:ascii="Century Gothic" w:eastAsia="Calibri" w:hAnsi="Century Gothic" w:cs="Arial"/>
        </w:rPr>
        <w:t>ntidad definir la conveniencia técnica, jurídica y financiera de realizar los estudios y diseños de forma conjunta con la obra o hacerlo mediante procesos separados, de acuerdo con lo expuesto.</w:t>
      </w:r>
    </w:p>
    <w:p w14:paraId="0971052A" w14:textId="77777777" w:rsidR="00D83A02" w:rsidRDefault="00D83A02" w:rsidP="00D83A02">
      <w:pPr>
        <w:spacing w:after="120" w:line="276" w:lineRule="auto"/>
        <w:jc w:val="both"/>
        <w:rPr>
          <w:rFonts w:ascii="Century Gothic" w:eastAsia="Calibri" w:hAnsi="Century Gothic" w:cs="Arial"/>
          <w:lang w:val="es-MX"/>
        </w:rPr>
      </w:pPr>
      <w:r w:rsidRPr="00D83A02">
        <w:rPr>
          <w:rFonts w:ascii="Century Gothic" w:eastAsia="Arial" w:hAnsi="Century Gothic" w:cs="Arial"/>
          <w:lang w:val="es-MX" w:eastAsia="es-ES_tradnl"/>
        </w:rPr>
        <w:t xml:space="preserve">Este concepto tiene el alcance previsto en el artículo 28 del Código de Procedimiento Administrativo y de lo Contencioso Administrativo </w:t>
      </w:r>
      <w:r w:rsidRPr="00D83A02">
        <w:rPr>
          <w:rFonts w:ascii="Century Gothic" w:eastAsia="Calibri" w:hAnsi="Century Gothic" w:cs="Arial"/>
          <w:lang w:val="es-MX"/>
        </w:rPr>
        <w:t>y las expresiones utilizadas con mayúscula inicial deben ser entendidas con el significado que les otorga el artículo 2.2.1.1.1.3.1. del Decreto 1082 de 2015.</w:t>
      </w:r>
    </w:p>
    <w:p w14:paraId="5BF2B75B" w14:textId="38C3DB2B" w:rsidR="00D83A02" w:rsidRPr="00164AA1" w:rsidRDefault="00164AA1" w:rsidP="00164AA1">
      <w:pPr>
        <w:spacing w:after="120" w:line="276" w:lineRule="auto"/>
        <w:jc w:val="both"/>
        <w:rPr>
          <w:rFonts w:ascii="Century Gothic" w:hAnsi="Century Gothic" w:cs="Arial"/>
          <w:lang w:val="es-ES_tradnl"/>
        </w:rPr>
      </w:pPr>
      <w:r>
        <w:rPr>
          <w:rFonts w:ascii="Century Gothic" w:eastAsia="Calibri" w:hAnsi="Century Gothic" w:cs="Arial"/>
          <w:lang w:val="es-MX"/>
        </w:rPr>
        <w:t xml:space="preserve">Atentamente, </w:t>
      </w:r>
    </w:p>
    <w:p w14:paraId="76F826B7" w14:textId="6D50F987" w:rsidR="00DA42CE" w:rsidRPr="00D520EC" w:rsidRDefault="00726B2D" w:rsidP="00D520EC">
      <w:pPr>
        <w:jc w:val="center"/>
        <w:rPr>
          <w:rFonts w:ascii="Century Gothic" w:hAnsi="Century Gothic"/>
          <w:sz w:val="21"/>
          <w:szCs w:val="21"/>
        </w:rPr>
      </w:pPr>
      <w:r>
        <w:rPr>
          <w:rFonts w:ascii="Arial" w:hAnsi="Arial" w:cs="Arial"/>
          <w:noProof/>
        </w:rPr>
        <w:drawing>
          <wp:inline distT="0" distB="0" distL="0" distR="0" wp14:anchorId="56818FE0" wp14:editId="43796A81">
            <wp:extent cx="3157855" cy="1212215"/>
            <wp:effectExtent l="0" t="0" r="4445" b="6985"/>
            <wp:docPr id="209107735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284"/>
      </w:tblGrid>
      <w:tr w:rsidR="009F5CB2" w:rsidRPr="00D520EC" w14:paraId="56DC03B6" w14:textId="77777777" w:rsidTr="0DC363B8">
        <w:trPr>
          <w:trHeight w:val="315"/>
        </w:trPr>
        <w:tc>
          <w:tcPr>
            <w:tcW w:w="812" w:type="dxa"/>
            <w:vAlign w:val="center"/>
            <w:hideMark/>
          </w:tcPr>
          <w:p w14:paraId="6384F1F6" w14:textId="77777777" w:rsidR="009F5CB2" w:rsidRPr="00D520EC" w:rsidRDefault="009F5CB2" w:rsidP="00BD2EF4">
            <w:pPr>
              <w:spacing w:line="276" w:lineRule="auto"/>
              <w:jc w:val="both"/>
              <w:rPr>
                <w:rFonts w:ascii="Century Gothic" w:hAnsi="Century Gothic" w:cs="Arial"/>
                <w:sz w:val="16"/>
                <w:szCs w:val="16"/>
                <w:lang w:val="es-ES"/>
              </w:rPr>
            </w:pPr>
            <w:r w:rsidRPr="00D520EC">
              <w:rPr>
                <w:rFonts w:ascii="Century Gothic" w:hAnsi="Century Gothic" w:cs="Arial"/>
                <w:sz w:val="16"/>
                <w:szCs w:val="16"/>
                <w:lang w:val="es-ES"/>
              </w:rPr>
              <w:t>Elaboró:</w:t>
            </w:r>
          </w:p>
        </w:tc>
        <w:tc>
          <w:tcPr>
            <w:tcW w:w="5284" w:type="dxa"/>
            <w:tcBorders>
              <w:top w:val="nil"/>
              <w:left w:val="nil"/>
              <w:bottom w:val="dotted" w:sz="4" w:space="0" w:color="7F7F7F" w:themeColor="text1" w:themeTint="80"/>
              <w:right w:val="nil"/>
            </w:tcBorders>
            <w:vAlign w:val="center"/>
            <w:hideMark/>
          </w:tcPr>
          <w:p w14:paraId="7E435A15" w14:textId="77777777" w:rsidR="009F5CB2" w:rsidRPr="00D520EC" w:rsidRDefault="009F5CB2" w:rsidP="00BD2EF4">
            <w:pPr>
              <w:spacing w:line="276" w:lineRule="auto"/>
              <w:jc w:val="both"/>
              <w:rPr>
                <w:rFonts w:ascii="Century Gothic" w:hAnsi="Century Gothic" w:cs="Arial"/>
                <w:sz w:val="16"/>
                <w:szCs w:val="16"/>
                <w:lang w:val="es-ES"/>
              </w:rPr>
            </w:pPr>
            <w:r w:rsidRPr="00D520EC">
              <w:rPr>
                <w:rFonts w:ascii="Century Gothic" w:hAnsi="Century Gothic" w:cs="Arial"/>
                <w:sz w:val="16"/>
                <w:szCs w:val="16"/>
                <w:lang w:val="es-ES"/>
              </w:rPr>
              <w:t>Ana María Ortiz Ballesteros</w:t>
            </w:r>
          </w:p>
          <w:p w14:paraId="78E3D129" w14:textId="77777777" w:rsidR="009F5CB2" w:rsidRPr="00D520EC" w:rsidRDefault="009F5CB2" w:rsidP="00BD2EF4">
            <w:pPr>
              <w:spacing w:line="276" w:lineRule="auto"/>
              <w:jc w:val="both"/>
              <w:rPr>
                <w:rFonts w:ascii="Century Gothic" w:hAnsi="Century Gothic" w:cs="Arial"/>
                <w:sz w:val="16"/>
                <w:szCs w:val="16"/>
                <w:lang w:val="es-ES"/>
              </w:rPr>
            </w:pPr>
            <w:r w:rsidRPr="00D520EC">
              <w:rPr>
                <w:rFonts w:ascii="Century Gothic" w:hAnsi="Century Gothic" w:cs="Arial"/>
                <w:sz w:val="16"/>
                <w:szCs w:val="16"/>
                <w:lang w:val="es-ES"/>
              </w:rPr>
              <w:t>Contratista de la Subdirección de Gestión Contractual</w:t>
            </w:r>
          </w:p>
        </w:tc>
      </w:tr>
      <w:tr w:rsidR="009F5CB2" w:rsidRPr="00D520EC" w14:paraId="41D858F1" w14:textId="77777777" w:rsidTr="0DC363B8">
        <w:trPr>
          <w:trHeight w:val="330"/>
        </w:trPr>
        <w:tc>
          <w:tcPr>
            <w:tcW w:w="812" w:type="dxa"/>
            <w:vAlign w:val="center"/>
            <w:hideMark/>
          </w:tcPr>
          <w:p w14:paraId="518733A9" w14:textId="77777777" w:rsidR="009F5CB2" w:rsidRPr="00D520EC" w:rsidRDefault="009F5CB2" w:rsidP="00BD2EF4">
            <w:pPr>
              <w:spacing w:line="276" w:lineRule="auto"/>
              <w:jc w:val="both"/>
              <w:rPr>
                <w:rFonts w:ascii="Century Gothic" w:hAnsi="Century Gothic" w:cs="Arial"/>
                <w:sz w:val="16"/>
                <w:szCs w:val="16"/>
                <w:lang w:val="es-ES"/>
              </w:rPr>
            </w:pPr>
            <w:r w:rsidRPr="00D520EC">
              <w:rPr>
                <w:rFonts w:ascii="Century Gothic" w:hAnsi="Century Gothic" w:cs="Arial"/>
                <w:sz w:val="16"/>
                <w:szCs w:val="16"/>
                <w:lang w:val="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4AD5AC5E" w14:textId="032C3964" w:rsidR="009F5CB2" w:rsidRPr="00D520EC" w:rsidRDefault="009F5CB2" w:rsidP="00BD2EF4">
            <w:pPr>
              <w:spacing w:line="276" w:lineRule="auto"/>
              <w:jc w:val="both"/>
              <w:rPr>
                <w:rFonts w:ascii="Century Gothic" w:hAnsi="Century Gothic" w:cs="Arial"/>
                <w:sz w:val="16"/>
                <w:szCs w:val="16"/>
                <w:lang w:val="es-MX"/>
              </w:rPr>
            </w:pPr>
            <w:r w:rsidRPr="00D520EC">
              <w:rPr>
                <w:rFonts w:ascii="Century Gothic" w:hAnsi="Century Gothic" w:cs="Arial"/>
                <w:sz w:val="16"/>
                <w:szCs w:val="16"/>
                <w:lang w:val="es-MX"/>
              </w:rPr>
              <w:t>Martha Alicia Romero Vargas</w:t>
            </w:r>
          </w:p>
          <w:p w14:paraId="02547D18" w14:textId="4551AF3A" w:rsidR="009F5CB2" w:rsidRPr="00D520EC" w:rsidRDefault="009F5CB2" w:rsidP="0DC363B8">
            <w:pPr>
              <w:spacing w:line="276" w:lineRule="auto"/>
              <w:jc w:val="both"/>
              <w:rPr>
                <w:rFonts w:ascii="Century Gothic" w:hAnsi="Century Gothic" w:cs="Arial"/>
                <w:sz w:val="16"/>
                <w:szCs w:val="16"/>
                <w:lang w:val="es-ES"/>
              </w:rPr>
            </w:pPr>
            <w:r w:rsidRPr="0DC363B8">
              <w:rPr>
                <w:rFonts w:ascii="Century Gothic" w:hAnsi="Century Gothic" w:cs="Arial"/>
                <w:sz w:val="16"/>
                <w:szCs w:val="16"/>
                <w:lang w:val="es-ES"/>
              </w:rPr>
              <w:t>Gestor código T1 grado15 Subdirección de Gestión Contractual</w:t>
            </w:r>
          </w:p>
          <w:p w14:paraId="39BAD4E7" w14:textId="0A377F58" w:rsidR="009F5CB2" w:rsidRPr="00D520EC" w:rsidRDefault="6EB40164" w:rsidP="0DC363B8">
            <w:pPr>
              <w:spacing w:line="276" w:lineRule="auto"/>
              <w:jc w:val="both"/>
              <w:rPr>
                <w:rFonts w:ascii="Century Gothic" w:hAnsi="Century Gothic" w:cs="Arial"/>
                <w:sz w:val="16"/>
                <w:szCs w:val="16"/>
                <w:lang w:val="es-ES"/>
              </w:rPr>
            </w:pPr>
            <w:r w:rsidRPr="0DC363B8">
              <w:rPr>
                <w:rFonts w:ascii="Century Gothic" w:hAnsi="Century Gothic" w:cs="Arial"/>
                <w:sz w:val="16"/>
                <w:szCs w:val="16"/>
                <w:lang w:val="es-ES"/>
              </w:rPr>
              <w:t>Gabriel Mendoza</w:t>
            </w:r>
          </w:p>
          <w:p w14:paraId="444FBB7C" w14:textId="53DBBFEA" w:rsidR="009F5CB2" w:rsidRPr="00D520EC" w:rsidRDefault="6EB40164" w:rsidP="0DC363B8">
            <w:pPr>
              <w:spacing w:line="276" w:lineRule="auto"/>
              <w:jc w:val="both"/>
              <w:rPr>
                <w:rFonts w:ascii="Century Gothic" w:hAnsi="Century Gothic" w:cs="Arial"/>
                <w:sz w:val="16"/>
                <w:szCs w:val="16"/>
                <w:lang w:val="es-ES"/>
              </w:rPr>
            </w:pPr>
            <w:r w:rsidRPr="0DC363B8">
              <w:rPr>
                <w:rFonts w:ascii="Century Gothic" w:hAnsi="Century Gothic" w:cs="Arial"/>
                <w:sz w:val="16"/>
                <w:szCs w:val="16"/>
                <w:lang w:val="es-ES"/>
              </w:rPr>
              <w:t>Contratista de la Subdirección de Gestión Contractual</w:t>
            </w:r>
          </w:p>
        </w:tc>
      </w:tr>
      <w:tr w:rsidR="009F5CB2" w:rsidRPr="00D520EC" w14:paraId="3027C3AB" w14:textId="77777777" w:rsidTr="0DC363B8">
        <w:trPr>
          <w:trHeight w:val="178"/>
        </w:trPr>
        <w:tc>
          <w:tcPr>
            <w:tcW w:w="812" w:type="dxa"/>
            <w:vAlign w:val="center"/>
            <w:hideMark/>
          </w:tcPr>
          <w:p w14:paraId="23D8E7AD" w14:textId="77777777" w:rsidR="009F5CB2" w:rsidRPr="00D520EC" w:rsidRDefault="009F5CB2" w:rsidP="00BD2EF4">
            <w:pPr>
              <w:spacing w:line="276" w:lineRule="auto"/>
              <w:jc w:val="both"/>
              <w:rPr>
                <w:rFonts w:ascii="Century Gothic" w:hAnsi="Century Gothic" w:cs="Arial"/>
                <w:sz w:val="16"/>
                <w:szCs w:val="16"/>
                <w:lang w:val="es-ES"/>
              </w:rPr>
            </w:pPr>
            <w:r w:rsidRPr="00D520EC">
              <w:rPr>
                <w:rFonts w:ascii="Century Gothic" w:hAnsi="Century Gothic" w:cs="Arial"/>
                <w:sz w:val="16"/>
                <w:szCs w:val="16"/>
                <w:lang w:val="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33C8E52" w14:textId="77777777" w:rsidR="009F5CB2" w:rsidRPr="00D520EC" w:rsidRDefault="009F5CB2" w:rsidP="00BD2EF4">
            <w:pPr>
              <w:spacing w:line="276" w:lineRule="auto"/>
              <w:jc w:val="both"/>
              <w:rPr>
                <w:rFonts w:ascii="Century Gothic" w:hAnsi="Century Gothic" w:cs="Arial"/>
                <w:sz w:val="16"/>
                <w:szCs w:val="16"/>
                <w:lang w:val="es-ES"/>
              </w:rPr>
            </w:pPr>
            <w:bookmarkStart w:id="18" w:name="_Hlk116036152"/>
            <w:r w:rsidRPr="00D520EC">
              <w:rPr>
                <w:rFonts w:ascii="Century Gothic" w:hAnsi="Century Gothic" w:cs="Arial"/>
                <w:sz w:val="16"/>
                <w:szCs w:val="16"/>
                <w:lang w:val="es-ES"/>
              </w:rPr>
              <w:t>Nohelia del Carmen Zawady Palacio</w:t>
            </w:r>
          </w:p>
          <w:p w14:paraId="552CBBA6" w14:textId="77777777" w:rsidR="009F5CB2" w:rsidRPr="00D520EC" w:rsidRDefault="009F5CB2" w:rsidP="00BD2EF4">
            <w:pPr>
              <w:spacing w:line="276" w:lineRule="auto"/>
              <w:jc w:val="both"/>
              <w:rPr>
                <w:rFonts w:ascii="Century Gothic" w:hAnsi="Century Gothic" w:cs="Arial"/>
                <w:sz w:val="16"/>
                <w:szCs w:val="16"/>
                <w:lang w:val="es-ES"/>
              </w:rPr>
            </w:pPr>
            <w:r w:rsidRPr="00D520EC">
              <w:rPr>
                <w:rFonts w:ascii="Century Gothic" w:hAnsi="Century Gothic" w:cs="Arial"/>
                <w:sz w:val="16"/>
                <w:szCs w:val="16"/>
                <w:lang w:val="es-ES"/>
              </w:rPr>
              <w:t xml:space="preserve">Subdirectora de Gestión Contractual </w:t>
            </w:r>
            <w:bookmarkEnd w:id="18"/>
            <w:r w:rsidRPr="00D520EC">
              <w:rPr>
                <w:rFonts w:ascii="Century Gothic" w:hAnsi="Century Gothic" w:cs="Arial"/>
                <w:sz w:val="16"/>
                <w:szCs w:val="16"/>
                <w:lang w:val="es-ES"/>
              </w:rPr>
              <w:t>ANCP – CCE</w:t>
            </w:r>
          </w:p>
        </w:tc>
      </w:tr>
    </w:tbl>
    <w:p w14:paraId="008A5456" w14:textId="77777777" w:rsidR="009F5CB2" w:rsidRPr="00D520EC" w:rsidRDefault="009F5CB2" w:rsidP="009F5CB2">
      <w:pPr>
        <w:spacing w:after="0" w:line="276" w:lineRule="auto"/>
        <w:jc w:val="both"/>
        <w:rPr>
          <w:rFonts w:ascii="Century Gothic" w:hAnsi="Century Gothic" w:cs="Arial"/>
          <w:sz w:val="16"/>
          <w:szCs w:val="16"/>
          <w:lang w:val="es-ES"/>
        </w:rPr>
      </w:pPr>
    </w:p>
    <w:p w14:paraId="55D21938" w14:textId="77777777" w:rsidR="009F5CB2" w:rsidRPr="00D520EC" w:rsidRDefault="009F5CB2" w:rsidP="009F5CB2">
      <w:pPr>
        <w:spacing w:after="0" w:line="276" w:lineRule="auto"/>
        <w:jc w:val="both"/>
        <w:rPr>
          <w:rFonts w:ascii="Century Gothic" w:hAnsi="Century Gothic" w:cs="Arial"/>
          <w:sz w:val="16"/>
          <w:szCs w:val="16"/>
          <w:lang w:val="es-ES"/>
        </w:rPr>
      </w:pPr>
    </w:p>
    <w:p w14:paraId="6CC419BC" w14:textId="77777777" w:rsidR="00717579" w:rsidRPr="00D520EC" w:rsidRDefault="00717579" w:rsidP="00717579">
      <w:pPr>
        <w:spacing w:after="0" w:line="240" w:lineRule="auto"/>
        <w:ind w:right="709"/>
        <w:jc w:val="both"/>
        <w:rPr>
          <w:rFonts w:ascii="Century Gothic" w:hAnsi="Century Gothic"/>
          <w:sz w:val="21"/>
          <w:szCs w:val="21"/>
          <w:lang w:val="es-ES"/>
        </w:rPr>
      </w:pPr>
    </w:p>
    <w:sectPr w:rsidR="00717579" w:rsidRPr="00D520EC"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2994" w14:textId="77777777" w:rsidR="000E343C" w:rsidRDefault="000E343C" w:rsidP="004A1847">
      <w:pPr>
        <w:spacing w:after="0" w:line="240" w:lineRule="auto"/>
      </w:pPr>
      <w:r>
        <w:separator/>
      </w:r>
    </w:p>
  </w:endnote>
  <w:endnote w:type="continuationSeparator" w:id="0">
    <w:p w14:paraId="08C82E5C" w14:textId="77777777" w:rsidR="000E343C" w:rsidRDefault="000E343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7ABE" w14:textId="77777777" w:rsidR="000E343C" w:rsidRDefault="000E343C" w:rsidP="004A1847">
      <w:pPr>
        <w:spacing w:after="0" w:line="240" w:lineRule="auto"/>
      </w:pPr>
      <w:r>
        <w:separator/>
      </w:r>
    </w:p>
  </w:footnote>
  <w:footnote w:type="continuationSeparator" w:id="0">
    <w:p w14:paraId="341762AE" w14:textId="77777777" w:rsidR="000E343C" w:rsidRDefault="000E343C" w:rsidP="004A1847">
      <w:pPr>
        <w:spacing w:after="0" w:line="240" w:lineRule="auto"/>
      </w:pPr>
      <w:r>
        <w:continuationSeparator/>
      </w:r>
    </w:p>
  </w:footnote>
  <w:footnote w:id="1">
    <w:p w14:paraId="5024B30B" w14:textId="77777777" w:rsidR="00DA42CE" w:rsidRPr="009B558F" w:rsidRDefault="00DA42CE" w:rsidP="00D520EC">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La Agencia Nacional de Contratación Pública </w:t>
      </w:r>
      <w:r w:rsidRPr="009B558F">
        <w:rPr>
          <w:rFonts w:ascii="Arial" w:hAnsi="Arial" w:cs="Arial"/>
          <w:sz w:val="12"/>
          <w:szCs w:val="12"/>
        </w:rPr>
        <w:t>‒</w:t>
      </w:r>
      <w:r w:rsidRPr="009B558F">
        <w:rPr>
          <w:rFonts w:ascii="Century Gothic" w:hAnsi="Century Gothic" w:cs="Arial"/>
          <w:sz w:val="12"/>
          <w:szCs w:val="12"/>
        </w:rPr>
        <w:t xml:space="preserve"> Colombia Compra Eficiente fue creada por el Decreto Ley 4170 de 2011. Su objetivo es servir como ente rector de la pol</w:t>
      </w:r>
      <w:r w:rsidRPr="009B558F">
        <w:rPr>
          <w:rFonts w:ascii="Century Gothic" w:hAnsi="Century Gothic" w:cs="Century Gothic"/>
          <w:sz w:val="12"/>
          <w:szCs w:val="12"/>
        </w:rPr>
        <w:t>í</w:t>
      </w:r>
      <w:r w:rsidRPr="009B558F">
        <w:rPr>
          <w:rFonts w:ascii="Century Gothic" w:hAnsi="Century Gothic" w:cs="Arial"/>
          <w:sz w:val="12"/>
          <w:szCs w:val="12"/>
        </w:rPr>
        <w:t>tica de compras y contrataci</w:t>
      </w:r>
      <w:r w:rsidRPr="009B558F">
        <w:rPr>
          <w:rFonts w:ascii="Century Gothic" w:hAnsi="Century Gothic" w:cs="Century Gothic"/>
          <w:sz w:val="12"/>
          <w:szCs w:val="12"/>
        </w:rPr>
        <w:t>ó</w:t>
      </w:r>
      <w:r w:rsidRPr="009B558F">
        <w:rPr>
          <w:rFonts w:ascii="Century Gothic" w:hAnsi="Century Gothic" w:cs="Arial"/>
          <w:sz w:val="12"/>
          <w:szCs w:val="12"/>
        </w:rPr>
        <w:t xml:space="preserve">n del Estado. Para tales fines, como </w:t>
      </w:r>
      <w:r w:rsidRPr="009B558F">
        <w:rPr>
          <w:rFonts w:ascii="Century Gothic" w:hAnsi="Century Gothic" w:cs="Century Gothic"/>
          <w:sz w:val="12"/>
          <w:szCs w:val="12"/>
        </w:rPr>
        <w:t>ó</w:t>
      </w:r>
      <w:r w:rsidRPr="009B558F">
        <w:rPr>
          <w:rFonts w:ascii="Century Gothic" w:hAnsi="Century Gothic" w:cs="Arial"/>
          <w:sz w:val="12"/>
          <w:szCs w:val="12"/>
        </w:rPr>
        <w:t>rgano t</w:t>
      </w:r>
      <w:r w:rsidRPr="009B558F">
        <w:rPr>
          <w:rFonts w:ascii="Century Gothic" w:hAnsi="Century Gothic" w:cs="Century Gothic"/>
          <w:sz w:val="12"/>
          <w:szCs w:val="12"/>
        </w:rPr>
        <w:t>é</w:t>
      </w:r>
      <w:r w:rsidRPr="009B558F">
        <w:rPr>
          <w:rFonts w:ascii="Century Gothic" w:hAnsi="Century Gothic" w:cs="Arial"/>
          <w:sz w:val="12"/>
          <w:szCs w:val="12"/>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9B558F">
        <w:rPr>
          <w:rFonts w:ascii="Century Gothic" w:hAnsi="Century Gothic" w:cs="Arial"/>
          <w:i/>
          <w:iCs/>
          <w:sz w:val="12"/>
          <w:szCs w:val="12"/>
        </w:rPr>
        <w:t xml:space="preserve">ibidem </w:t>
      </w:r>
      <w:r w:rsidRPr="009B558F">
        <w:rPr>
          <w:rFonts w:ascii="Century Gothic" w:hAnsi="Century Gothic"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89E4A38" w14:textId="77777777" w:rsidR="005A7B83" w:rsidRPr="009B558F" w:rsidRDefault="005A7B83" w:rsidP="00D520EC">
      <w:pPr>
        <w:pStyle w:val="Textonotapie"/>
        <w:ind w:firstLine="708"/>
        <w:jc w:val="both"/>
        <w:rPr>
          <w:rFonts w:ascii="Century Gothic" w:hAnsi="Century Gothic" w:cs="Arial"/>
          <w:sz w:val="12"/>
          <w:szCs w:val="12"/>
          <w:lang w:val="es-CO"/>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B558F">
          <w:rPr>
            <w:rStyle w:val="Hipervnculo"/>
            <w:rFonts w:ascii="Century Gothic" w:hAnsi="Century Gothic" w:cs="Arial"/>
            <w:color w:val="auto"/>
            <w:sz w:val="12"/>
            <w:szCs w:val="12"/>
          </w:rPr>
          <w:t>https://relatoria.colombiacompra.gov.co/busqueda/conceptos</w:t>
        </w:r>
      </w:hyperlink>
      <w:r w:rsidRPr="009B558F">
        <w:rPr>
          <w:rStyle w:val="Hipervnculo"/>
          <w:rFonts w:ascii="Century Gothic" w:hAnsi="Century Gothic" w:cs="Arial"/>
          <w:color w:val="auto"/>
          <w:sz w:val="12"/>
          <w:szCs w:val="12"/>
        </w:rPr>
        <w:t xml:space="preserve">. </w:t>
      </w:r>
      <w:r w:rsidRPr="009B558F">
        <w:rPr>
          <w:rFonts w:ascii="Century Gothic" w:hAnsi="Century Gothic" w:cs="Arial"/>
          <w:sz w:val="12"/>
          <w:szCs w:val="12"/>
          <w:shd w:val="clear" w:color="auto" w:fill="E6E6E6"/>
        </w:rPr>
        <w:t xml:space="preserve"> </w:t>
      </w:r>
    </w:p>
  </w:footnote>
  <w:footnote w:id="3">
    <w:p w14:paraId="1D1AE7B6" w14:textId="7C0B78F4" w:rsidR="00CF3B21" w:rsidRPr="009B558F" w:rsidRDefault="00CF3B21" w:rsidP="00422FDD">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2C37ED36" w14:textId="77777777" w:rsidR="00CF3B21" w:rsidRPr="009B558F" w:rsidRDefault="00CF3B21" w:rsidP="00D520EC">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CO"/>
        </w:rPr>
        <w:t xml:space="preserve">Ley 1882 de 2018: “Artículo 4. </w:t>
      </w:r>
      <w:r w:rsidRPr="009B558F">
        <w:rPr>
          <w:rFonts w:ascii="Century Gothic" w:hAnsi="Century Gothic" w:cs="Arial"/>
          <w:sz w:val="12"/>
          <w:szCs w:val="12"/>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893FE04" w14:textId="77777777" w:rsidR="00CF3B21" w:rsidRPr="009B558F" w:rsidRDefault="00CF3B21" w:rsidP="00D520EC">
      <w:pPr>
        <w:pStyle w:val="Textonotapie"/>
        <w:ind w:firstLine="709"/>
        <w:jc w:val="both"/>
        <w:rPr>
          <w:rFonts w:ascii="Century Gothic" w:hAnsi="Century Gothic" w:cs="Arial"/>
          <w:sz w:val="12"/>
          <w:szCs w:val="12"/>
          <w:lang w:val="es-CO"/>
        </w:rPr>
      </w:pPr>
      <w:r w:rsidRPr="009B558F">
        <w:rPr>
          <w:rFonts w:ascii="Century Gothic" w:hAnsi="Century Gothic" w:cs="Arial"/>
          <w:sz w:val="12"/>
          <w:szCs w:val="12"/>
          <w:lang w:val="es-CO"/>
        </w:rPr>
        <w:t>“La facultad de adoptar documentos tipo la tendrá el Gobierno nacional, cuando lo considere necesario, en relación con otros contratos o procesos de selección.</w:t>
      </w:r>
    </w:p>
    <w:p w14:paraId="626B79E3" w14:textId="02905F1E" w:rsidR="00CF3B21" w:rsidRPr="009B558F" w:rsidRDefault="00CF3B21" w:rsidP="00422FDD">
      <w:pPr>
        <w:pStyle w:val="Textonotapie"/>
        <w:ind w:firstLine="709"/>
        <w:jc w:val="both"/>
        <w:rPr>
          <w:rFonts w:ascii="Century Gothic" w:hAnsi="Century Gothic" w:cs="Arial"/>
          <w:sz w:val="12"/>
          <w:szCs w:val="12"/>
          <w:lang w:val="es-CO"/>
        </w:rPr>
      </w:pPr>
      <w:r w:rsidRPr="009B558F">
        <w:rPr>
          <w:rFonts w:ascii="Century Gothic" w:hAnsi="Century Gothic" w:cs="Arial"/>
          <w:sz w:val="12"/>
          <w:szCs w:val="12"/>
          <w:lang w:val="es-CO"/>
        </w:rPr>
        <w:t>“Los pliegos tipo se adoptarán por categorías de acuerdo con la cuantía de la contratación, según la reglamentación que expida el Gobierno nacional”.</w:t>
      </w:r>
    </w:p>
  </w:footnote>
  <w:footnote w:id="5">
    <w:p w14:paraId="502FD63A" w14:textId="77777777" w:rsidR="00CF3B21" w:rsidRPr="009B558F" w:rsidRDefault="00CF3B21" w:rsidP="00D520EC">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lang w:val="pt-BR"/>
        </w:rPr>
        <w:t xml:space="preserve"> Corte Constitucional. Sentencia C-119 de 2020. </w:t>
      </w:r>
      <w:r w:rsidRPr="009B558F">
        <w:rPr>
          <w:rFonts w:ascii="Century Gothic" w:hAnsi="Century Gothic" w:cs="Arial"/>
          <w:sz w:val="12"/>
          <w:szCs w:val="12"/>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63A43F7" w14:textId="77777777" w:rsidR="00CF3B21" w:rsidRPr="009B558F" w:rsidRDefault="00CF3B21" w:rsidP="00D520EC">
      <w:pPr>
        <w:pStyle w:val="Textonotapie"/>
        <w:ind w:firstLine="709"/>
        <w:jc w:val="both"/>
        <w:rPr>
          <w:rFonts w:ascii="Century Gothic" w:hAnsi="Century Gothic" w:cs="Arial"/>
          <w:sz w:val="12"/>
          <w:szCs w:val="12"/>
        </w:rPr>
      </w:pPr>
    </w:p>
  </w:footnote>
  <w:footnote w:id="6">
    <w:p w14:paraId="144E2CDB" w14:textId="77777777" w:rsidR="00CF3B21" w:rsidRPr="009B558F" w:rsidRDefault="00CF3B21" w:rsidP="00D520EC">
      <w:pPr>
        <w:pStyle w:val="Normal11pt"/>
        <w:ind w:firstLine="709"/>
        <w:rPr>
          <w:rFonts w:ascii="Century Gothic" w:eastAsia="Calibri" w:hAnsi="Century Gothic"/>
          <w:color w:val="000000" w:themeColor="text1"/>
          <w:sz w:val="12"/>
          <w:szCs w:val="12"/>
        </w:rPr>
      </w:pPr>
      <w:r w:rsidRPr="009B558F">
        <w:rPr>
          <w:rStyle w:val="Refdenotaalpie"/>
          <w:rFonts w:ascii="Century Gothic" w:hAnsi="Century Gothic"/>
          <w:sz w:val="12"/>
          <w:szCs w:val="12"/>
        </w:rPr>
        <w:footnoteRef/>
      </w:r>
      <w:r w:rsidRPr="009B558F">
        <w:rPr>
          <w:rFonts w:ascii="Century Gothic" w:hAnsi="Century Gothic"/>
          <w:sz w:val="12"/>
          <w:szCs w:val="12"/>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161B8409" w14:textId="77777777" w:rsidR="00CF3B21" w:rsidRPr="009B558F" w:rsidRDefault="00CF3B21" w:rsidP="00D520EC">
      <w:pPr>
        <w:pStyle w:val="Textonotapie"/>
        <w:jc w:val="both"/>
        <w:rPr>
          <w:rFonts w:ascii="Century Gothic" w:hAnsi="Century Gothic" w:cs="Arial"/>
          <w:sz w:val="12"/>
          <w:szCs w:val="12"/>
        </w:rPr>
      </w:pPr>
    </w:p>
  </w:footnote>
  <w:footnote w:id="7">
    <w:p w14:paraId="38A502C5" w14:textId="77777777" w:rsidR="00CF3B21" w:rsidRPr="009B558F" w:rsidRDefault="00CF3B21" w:rsidP="00D520EC">
      <w:pPr>
        <w:pStyle w:val="Textonotapie"/>
        <w:ind w:firstLine="708"/>
        <w:jc w:val="both"/>
        <w:rPr>
          <w:rFonts w:ascii="Century Gothic" w:hAnsi="Century Gothic"/>
          <w:sz w:val="12"/>
          <w:szCs w:val="12"/>
        </w:rPr>
      </w:pPr>
      <w:r w:rsidRPr="009B558F">
        <w:rPr>
          <w:rStyle w:val="Refdenotaalpie"/>
          <w:rFonts w:ascii="Century Gothic" w:hAnsi="Century Gothic"/>
          <w:sz w:val="12"/>
          <w:szCs w:val="12"/>
        </w:rPr>
        <w:footnoteRef/>
      </w:r>
      <w:r w:rsidRPr="009B558F">
        <w:rPr>
          <w:rFonts w:ascii="Century Gothic" w:hAnsi="Century Gothic"/>
          <w:sz w:val="12"/>
          <w:szCs w:val="12"/>
        </w:rPr>
        <w:t xml:space="preserve"> “</w:t>
      </w:r>
      <w:r w:rsidRPr="009B558F">
        <w:rPr>
          <w:rFonts w:ascii="Century Gothic" w:eastAsia="Calibri" w:hAnsi="Century Gothic" w:cs="Arial"/>
          <w:sz w:val="12"/>
          <w:szCs w:val="12"/>
          <w:lang w:val="es-ES" w:eastAsia="es-ES"/>
        </w:rPr>
        <w:t>Artículo 179 – VIGENCIA. Esta resolución rige a partir de su publicación y aplicará a los Procesos de Contratación cuyo aviso de convocatoria se publique a partir del 29 de agosto de 2022”.</w:t>
      </w:r>
    </w:p>
  </w:footnote>
  <w:footnote w:id="8">
    <w:p w14:paraId="185D3827" w14:textId="77777777" w:rsidR="001E4939" w:rsidRPr="009B558F" w:rsidRDefault="001E4939" w:rsidP="00D520EC">
      <w:pPr>
        <w:pStyle w:val="Textonotapie"/>
        <w:ind w:firstLine="708"/>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Código: CCE-EICP-GI-14. Versión 1</w:t>
      </w:r>
    </w:p>
  </w:footnote>
  <w:footnote w:id="9">
    <w:p w14:paraId="4B3FFFBE" w14:textId="77777777" w:rsidR="001E4939" w:rsidRPr="009B558F" w:rsidRDefault="001E4939" w:rsidP="00D520EC">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7142F21D" w14:textId="77777777" w:rsidR="001E4939" w:rsidRPr="009B558F" w:rsidRDefault="001E4939" w:rsidP="00D520EC">
      <w:pPr>
        <w:pStyle w:val="Textonotapie"/>
        <w:ind w:firstLine="709"/>
        <w:jc w:val="both"/>
        <w:rPr>
          <w:rFonts w:ascii="Century Gothic" w:hAnsi="Century Gothic" w:cs="Arial"/>
          <w:sz w:val="12"/>
          <w:szCs w:val="12"/>
        </w:rPr>
      </w:pPr>
      <w:r w:rsidRPr="009B558F">
        <w:rPr>
          <w:rFonts w:ascii="Century Gothic" w:hAnsi="Century Gothic" w:cs="Arial"/>
          <w:sz w:val="12"/>
          <w:szCs w:val="12"/>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304F376D" w14:textId="77777777" w:rsidR="001E4939" w:rsidRPr="009B558F" w:rsidRDefault="001E4939" w:rsidP="00D520EC">
      <w:pPr>
        <w:pStyle w:val="Textonotapie"/>
        <w:ind w:firstLine="709"/>
        <w:jc w:val="both"/>
        <w:rPr>
          <w:rFonts w:ascii="Century Gothic" w:hAnsi="Century Gothic" w:cs="Arial"/>
          <w:sz w:val="12"/>
          <w:szCs w:val="12"/>
        </w:rPr>
      </w:pPr>
      <w:r w:rsidRPr="009B558F">
        <w:rPr>
          <w:rFonts w:ascii="Century Gothic" w:hAnsi="Century Gothic" w:cs="Arial"/>
          <w:sz w:val="12"/>
          <w:szCs w:val="12"/>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6A0E11DC" w14:textId="77777777" w:rsidR="001E4939" w:rsidRPr="009B558F" w:rsidRDefault="001E4939" w:rsidP="00D520EC">
      <w:pPr>
        <w:pStyle w:val="Textonotapie"/>
        <w:ind w:firstLine="709"/>
        <w:jc w:val="both"/>
        <w:rPr>
          <w:rFonts w:ascii="Century Gothic" w:hAnsi="Century Gothic" w:cs="Arial"/>
          <w:sz w:val="12"/>
          <w:szCs w:val="12"/>
        </w:rPr>
      </w:pPr>
      <w:r w:rsidRPr="009B558F">
        <w:rPr>
          <w:rFonts w:ascii="Century Gothic" w:hAnsi="Century Gothic" w:cs="Arial"/>
          <w:sz w:val="12"/>
          <w:szCs w:val="12"/>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38D006C7" w14:textId="77777777" w:rsidR="001E4939" w:rsidRPr="009B558F" w:rsidRDefault="001E4939" w:rsidP="00D520EC">
      <w:pPr>
        <w:pStyle w:val="Textonotapie"/>
        <w:ind w:firstLine="709"/>
        <w:jc w:val="both"/>
        <w:rPr>
          <w:rFonts w:ascii="Century Gothic" w:hAnsi="Century Gothic" w:cs="Arial"/>
          <w:sz w:val="12"/>
          <w:szCs w:val="12"/>
        </w:rPr>
      </w:pPr>
      <w:r w:rsidRPr="009B558F">
        <w:rPr>
          <w:rFonts w:ascii="Century Gothic" w:hAnsi="Century Gothic" w:cs="Arial"/>
          <w:sz w:val="12"/>
          <w:szCs w:val="12"/>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1FA0E2AD" w14:textId="77777777" w:rsidR="001E4939" w:rsidRPr="009B558F" w:rsidRDefault="001E4939" w:rsidP="00D520EC">
      <w:pPr>
        <w:pStyle w:val="Textonotapie"/>
        <w:ind w:firstLine="709"/>
        <w:jc w:val="both"/>
        <w:rPr>
          <w:rFonts w:ascii="Century Gothic" w:hAnsi="Century Gothic" w:cs="Arial"/>
          <w:sz w:val="12"/>
          <w:szCs w:val="12"/>
        </w:rPr>
      </w:pPr>
      <w:r w:rsidRPr="009B558F">
        <w:rPr>
          <w:rFonts w:ascii="Century Gothic" w:hAnsi="Century Gothic" w:cs="Arial"/>
          <w:sz w:val="12"/>
          <w:szCs w:val="12"/>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 w:id="10">
    <w:p w14:paraId="1CC028EA" w14:textId="310389BB" w:rsidR="00C068B3" w:rsidRPr="009B558F" w:rsidRDefault="00C068B3" w:rsidP="00621BF0">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Consejo de Estado. Sala Plena. Sentencia de unificación del 25 de febrero de 2020. Exp. 25000-23-37-000-2014-00721-01(22473) (IJ). C.P. William Hernández Gómez. </w:t>
      </w:r>
    </w:p>
  </w:footnote>
  <w:footnote w:id="11">
    <w:p w14:paraId="5E741AA0" w14:textId="71AC8203" w:rsidR="00C068B3" w:rsidRPr="009B558F" w:rsidRDefault="00C068B3" w:rsidP="00621BF0">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Al respecto, la doctrina explica lo siguiente: “En la práctica jurídico-empresarial es muy habitual que también se aluda a este contrato utilizando la denominación “</w:t>
      </w:r>
      <w:r w:rsidRPr="009B558F">
        <w:rPr>
          <w:rFonts w:ascii="Century Gothic" w:hAnsi="Century Gothic" w:cs="Arial"/>
          <w:i/>
          <w:iCs/>
          <w:sz w:val="12"/>
          <w:szCs w:val="12"/>
        </w:rPr>
        <w:t>turnkey contract</w:t>
      </w:r>
      <w:r w:rsidRPr="009B558F">
        <w:rPr>
          <w:rFonts w:ascii="Century Gothic" w:hAnsi="Century Gothic" w:cs="Arial"/>
          <w:sz w:val="12"/>
          <w:szCs w:val="12"/>
        </w:rPr>
        <w:t xml:space="preserve">” –en referencia al término en inglés que ilustra la esencia del contracto, puesto que el cliente solo tiene que “girar la llave” para disfrutar de su prestación–. En ocasiones, se recurre asimismo a la noción de “contrato EPC”, cuyas siglas corresponden con las del inglés </w:t>
      </w:r>
      <w:r w:rsidRPr="009B558F">
        <w:rPr>
          <w:rFonts w:ascii="Century Gothic" w:hAnsi="Century Gothic" w:cs="Arial"/>
          <w:i/>
          <w:iCs/>
          <w:sz w:val="12"/>
          <w:szCs w:val="12"/>
        </w:rPr>
        <w:t>Engineering, Procurement, Construction</w:t>
      </w:r>
      <w:r w:rsidRPr="009B558F">
        <w:rPr>
          <w:rFonts w:ascii="Century Gothic" w:hAnsi="Century Gothic" w:cs="Arial"/>
          <w:sz w:val="12"/>
          <w:szCs w:val="12"/>
        </w:rPr>
        <w:t xml:space="preserve">, en alusión a las múltiples prestaciones que este engloba […]” (Cfr. ABRIL, Antonio. Los contratos mercantiles y su aplicación práctica. Madrid: Bosch, 2017. p 553).  </w:t>
      </w:r>
    </w:p>
  </w:footnote>
  <w:footnote w:id="12">
    <w:p w14:paraId="3932B8E1" w14:textId="35C12494" w:rsidR="00C068B3" w:rsidRPr="009B558F" w:rsidRDefault="00C068B3" w:rsidP="00621BF0">
      <w:pPr>
        <w:pStyle w:val="Textonotapie"/>
        <w:ind w:firstLine="709"/>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ES"/>
        </w:rPr>
        <w:t xml:space="preserve">Guía para los procesos de contratación de obra pública, expedida por Colombia Compra Eficiente. Pág 9. </w:t>
      </w:r>
    </w:p>
  </w:footnote>
  <w:footnote w:id="13">
    <w:p w14:paraId="69EB7052" w14:textId="77777777" w:rsidR="00C068B3" w:rsidRPr="009B558F" w:rsidRDefault="00C068B3" w:rsidP="00D520EC">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CO"/>
        </w:rPr>
        <w:t xml:space="preserve">DIAN. Concepto No. </w:t>
      </w:r>
      <w:r w:rsidRPr="009B558F">
        <w:rPr>
          <w:rFonts w:ascii="Century Gothic" w:hAnsi="Century Gothic" w:cs="Arial"/>
          <w:sz w:val="12"/>
          <w:szCs w:val="12"/>
        </w:rPr>
        <w:t>32082 del 30 de mayo de 2002.</w:t>
      </w:r>
    </w:p>
    <w:p w14:paraId="0840D8CD" w14:textId="77777777" w:rsidR="00C068B3" w:rsidRPr="009B558F" w:rsidRDefault="00C068B3" w:rsidP="00D520EC">
      <w:pPr>
        <w:pStyle w:val="Textonotapie"/>
        <w:ind w:firstLine="709"/>
        <w:jc w:val="both"/>
        <w:rPr>
          <w:rFonts w:ascii="Century Gothic" w:hAnsi="Century Gothic" w:cs="Arial"/>
          <w:sz w:val="12"/>
          <w:szCs w:val="12"/>
          <w:lang w:val="es-CO"/>
        </w:rPr>
      </w:pPr>
    </w:p>
  </w:footnote>
  <w:footnote w:id="14">
    <w:p w14:paraId="70121DBD" w14:textId="24516BD6" w:rsidR="00C068B3" w:rsidRPr="009B558F" w:rsidRDefault="00C068B3" w:rsidP="00C54405">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CÁMARA DE COMERCIO DE BOGOTÁ. Laudo TA-CCB-20040531 del 31 de mayo de 2004. Concesión Santa Marta Paraguachón vs. Instituto Nacional de Vías. Consultado el 4 de mayo de 2023 en la página </w:t>
      </w:r>
      <w:hyperlink r:id="rId2" w:history="1">
        <w:r w:rsidRPr="009B558F">
          <w:rPr>
            <w:rStyle w:val="Hipervnculo"/>
            <w:rFonts w:ascii="Century Gothic" w:hAnsi="Century Gothic" w:cs="Arial"/>
            <w:sz w:val="12"/>
            <w:szCs w:val="12"/>
          </w:rPr>
          <w:t>https://bibliotecadigital.ccb.org.co/bitstream/handle/11520/21630/738_V_Concesion_Santa_Marta_Paraguachon_VS_Invias_2004_05_31.pdf?sequence=1&amp;isAllowed=y</w:t>
        </w:r>
      </w:hyperlink>
      <w:r w:rsidRPr="009B558F">
        <w:rPr>
          <w:rFonts w:ascii="Century Gothic" w:hAnsi="Century Gothic" w:cs="Arial"/>
          <w:sz w:val="12"/>
          <w:szCs w:val="12"/>
        </w:rPr>
        <w:t xml:space="preserve">.   </w:t>
      </w:r>
    </w:p>
  </w:footnote>
  <w:footnote w:id="15">
    <w:p w14:paraId="1860E8AD" w14:textId="79B90A43" w:rsidR="00C068B3" w:rsidRPr="009B558F" w:rsidRDefault="00C068B3" w:rsidP="00C54405">
      <w:pPr>
        <w:spacing w:after="0" w:line="240" w:lineRule="auto"/>
        <w:ind w:firstLine="709"/>
        <w:jc w:val="both"/>
        <w:rPr>
          <w:rFonts w:ascii="Century Gothic" w:hAnsi="Century Gothic" w:cs="Arial"/>
          <w:color w:val="000000"/>
          <w:sz w:val="12"/>
          <w:szCs w:val="12"/>
        </w:rPr>
      </w:pPr>
      <w:r w:rsidRPr="009B558F">
        <w:rPr>
          <w:rStyle w:val="Refdenotaalpie"/>
          <w:rFonts w:ascii="Century Gothic" w:hAnsi="Century Gothic" w:cs="Arial"/>
          <w:color w:val="000000"/>
          <w:sz w:val="12"/>
          <w:szCs w:val="12"/>
        </w:rPr>
        <w:footnoteRef/>
      </w:r>
      <w:r w:rsidRPr="009B558F">
        <w:rPr>
          <w:rFonts w:ascii="Century Gothic" w:hAnsi="Century Gothic" w:cs="Arial"/>
          <w:color w:val="000000"/>
          <w:sz w:val="12"/>
          <w:szCs w:val="12"/>
        </w:rPr>
        <w:t xml:space="preserve"> PODETTI, Humberto. El contrato de construcción. Buenos Aires: Editorial Astrea, 2004, p. 248.</w:t>
      </w:r>
    </w:p>
  </w:footnote>
  <w:footnote w:id="16">
    <w:p w14:paraId="7F9DCE84" w14:textId="5A3FFC16" w:rsidR="00C068B3" w:rsidRPr="009B558F" w:rsidRDefault="00C068B3" w:rsidP="00354FAA">
      <w:pPr>
        <w:spacing w:after="0" w:line="240" w:lineRule="auto"/>
        <w:ind w:firstLine="709"/>
        <w:jc w:val="both"/>
        <w:rPr>
          <w:rFonts w:ascii="Century Gothic" w:hAnsi="Century Gothic" w:cs="Arial"/>
          <w:color w:val="000000"/>
          <w:sz w:val="12"/>
          <w:szCs w:val="12"/>
        </w:rPr>
      </w:pPr>
      <w:r w:rsidRPr="009B558F">
        <w:rPr>
          <w:rStyle w:val="Refdenotaalpie"/>
          <w:rFonts w:ascii="Century Gothic" w:hAnsi="Century Gothic" w:cs="Arial"/>
          <w:color w:val="000000"/>
          <w:sz w:val="12"/>
          <w:szCs w:val="12"/>
        </w:rPr>
        <w:footnoteRef/>
      </w:r>
      <w:r w:rsidRPr="009B558F">
        <w:rPr>
          <w:rFonts w:ascii="Century Gothic" w:hAnsi="Century Gothic" w:cs="Arial"/>
          <w:color w:val="000000"/>
          <w:sz w:val="12"/>
          <w:szCs w:val="12"/>
        </w:rPr>
        <w:t xml:space="preserve"> </w:t>
      </w:r>
      <w:r w:rsidRPr="009B558F">
        <w:rPr>
          <w:rFonts w:ascii="Century Gothic" w:hAnsi="Century Gothic" w:cs="Arial"/>
          <w:i/>
          <w:color w:val="000000"/>
          <w:sz w:val="12"/>
          <w:szCs w:val="12"/>
        </w:rPr>
        <w:t>Ibidem</w:t>
      </w:r>
      <w:r w:rsidRPr="009B558F">
        <w:rPr>
          <w:rFonts w:ascii="Century Gothic" w:hAnsi="Century Gothic" w:cs="Arial"/>
          <w:color w:val="000000"/>
          <w:sz w:val="12"/>
          <w:szCs w:val="12"/>
        </w:rPr>
        <w:t xml:space="preserve">., pp. 248-249. </w:t>
      </w:r>
    </w:p>
  </w:footnote>
  <w:footnote w:id="17">
    <w:p w14:paraId="3974789B" w14:textId="26B91772" w:rsidR="00C068B3" w:rsidRPr="009B558F" w:rsidRDefault="00C068B3" w:rsidP="00621BF0">
      <w:pPr>
        <w:pStyle w:val="Textonotapie"/>
        <w:ind w:firstLine="709"/>
        <w:jc w:val="both"/>
        <w:rPr>
          <w:rFonts w:ascii="Century Gothic" w:hAnsi="Century Gothic" w:cs="Arial"/>
          <w:sz w:val="12"/>
          <w:szCs w:val="12"/>
          <w:lang w:val="es-CO"/>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ES"/>
        </w:rPr>
        <w:t xml:space="preserve">Sentencia del 13 de marzo del 2018. Sección cuarta. C.P:Hector J. Romero Díaz. </w:t>
      </w:r>
      <w:r w:rsidRPr="009B558F">
        <w:rPr>
          <w:rFonts w:ascii="Century Gothic" w:hAnsi="Century Gothic" w:cs="Arial"/>
          <w:sz w:val="12"/>
          <w:szCs w:val="12"/>
          <w:lang w:val="es-CO"/>
        </w:rPr>
        <w:t>Exp 15009.</w:t>
      </w:r>
    </w:p>
  </w:footnote>
  <w:footnote w:id="18">
    <w:p w14:paraId="73C8589F" w14:textId="25BFE039" w:rsidR="00C068B3" w:rsidRPr="009B558F" w:rsidRDefault="00C068B3" w:rsidP="00621BF0">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Sala de Consulta y Servicio Civil. 28 de marzo del 2017. C.P.Edgar González López. Rad.2331.</w:t>
      </w:r>
    </w:p>
  </w:footnote>
  <w:footnote w:id="19">
    <w:p w14:paraId="641BE33D" w14:textId="4BEC4C4D" w:rsidR="00C068B3" w:rsidRPr="009B558F" w:rsidRDefault="00C068B3" w:rsidP="00621BF0">
      <w:pPr>
        <w:pStyle w:val="Textonotapie"/>
        <w:ind w:firstLine="709"/>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lang w:val="es-CO"/>
        </w:rPr>
        <w:t xml:space="preserve"> </w:t>
      </w:r>
      <w:r w:rsidRPr="009B558F">
        <w:rPr>
          <w:rFonts w:ascii="Century Gothic" w:hAnsi="Century Gothic" w:cs="Arial"/>
          <w:sz w:val="12"/>
          <w:szCs w:val="12"/>
        </w:rPr>
        <w:t>CÁMARA DE COMERCIO DE BOGOTÁ. Laudo TA-CCB-20040531 del 31 de mayo de 2004. Concesión Santa Marta Paraguachón vs. Instituto Nacional de Vías.</w:t>
      </w:r>
    </w:p>
  </w:footnote>
  <w:footnote w:id="20">
    <w:p w14:paraId="1CE97A06" w14:textId="77777777" w:rsidR="00C068B3" w:rsidRPr="009B558F" w:rsidRDefault="00C068B3" w:rsidP="00D520EC">
      <w:pPr>
        <w:pStyle w:val="Textonotapie"/>
        <w:ind w:firstLine="709"/>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Matallana Camacho, Ernesto. </w:t>
      </w:r>
      <w:r w:rsidRPr="009B558F">
        <w:rPr>
          <w:rFonts w:ascii="Century Gothic" w:hAnsi="Century Gothic" w:cs="Arial"/>
          <w:sz w:val="12"/>
          <w:szCs w:val="12"/>
          <w:lang w:val="es-ES"/>
        </w:rPr>
        <w:t>Manual de contratación de la administración pública: reforma de la Ley 80 de 1993. Bogotá. Universidad Externado de Colombia, 2015 – 4 edición Pág. 957.</w:t>
      </w:r>
    </w:p>
    <w:p w14:paraId="43FAEA02" w14:textId="77777777" w:rsidR="00C068B3" w:rsidRPr="00D520EC" w:rsidRDefault="00C068B3" w:rsidP="00D520EC">
      <w:pPr>
        <w:pStyle w:val="Textonotapie"/>
        <w:jc w:val="both"/>
        <w:rPr>
          <w:rFonts w:ascii="Century Gothic" w:hAnsi="Century Gothic"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8pt;height:11.8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63D6174"/>
    <w:multiLevelType w:val="hybridMultilevel"/>
    <w:tmpl w:val="2482F78A"/>
    <w:lvl w:ilvl="0" w:tplc="240A0017">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470DF"/>
    <w:multiLevelType w:val="hybridMultilevel"/>
    <w:tmpl w:val="E9EEF350"/>
    <w:lvl w:ilvl="0" w:tplc="F418E308">
      <w:start w:val="1"/>
      <w:numFmt w:val="lowerRoman"/>
      <w:lvlText w:val="%1)"/>
      <w:lvlJc w:val="left"/>
      <w:pPr>
        <w:ind w:left="720" w:hanging="720"/>
      </w:pPr>
      <w:rPr>
        <w:rFonts w:ascii="Century Gothic" w:eastAsiaTheme="minorHAnsi" w:hAnsi="Century Gothic" w:cstheme="minorBidi"/>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931378"/>
    <w:multiLevelType w:val="hybridMultilevel"/>
    <w:tmpl w:val="991E78B2"/>
    <w:lvl w:ilvl="0" w:tplc="240A0017">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5F9D5881"/>
    <w:multiLevelType w:val="hybridMultilevel"/>
    <w:tmpl w:val="E1CE2562"/>
    <w:lvl w:ilvl="0" w:tplc="2D768438">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9B80209"/>
    <w:multiLevelType w:val="hybridMultilevel"/>
    <w:tmpl w:val="2482F78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320493">
    <w:abstractNumId w:val="8"/>
  </w:num>
  <w:num w:numId="2" w16cid:durableId="70079408">
    <w:abstractNumId w:val="3"/>
  </w:num>
  <w:num w:numId="3" w16cid:durableId="914432587">
    <w:abstractNumId w:val="6"/>
  </w:num>
  <w:num w:numId="4" w16cid:durableId="1034236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400092">
    <w:abstractNumId w:val="3"/>
  </w:num>
  <w:num w:numId="6" w16cid:durableId="762070293">
    <w:abstractNumId w:val="18"/>
  </w:num>
  <w:num w:numId="7" w16cid:durableId="498927418">
    <w:abstractNumId w:val="7"/>
  </w:num>
  <w:num w:numId="8" w16cid:durableId="419572258">
    <w:abstractNumId w:val="17"/>
  </w:num>
  <w:num w:numId="9" w16cid:durableId="1602643422">
    <w:abstractNumId w:val="10"/>
  </w:num>
  <w:num w:numId="10" w16cid:durableId="525602373">
    <w:abstractNumId w:val="16"/>
  </w:num>
  <w:num w:numId="11" w16cid:durableId="1708216826">
    <w:abstractNumId w:val="11"/>
  </w:num>
  <w:num w:numId="12" w16cid:durableId="1362243395">
    <w:abstractNumId w:val="2"/>
  </w:num>
  <w:num w:numId="13" w16cid:durableId="2083285748">
    <w:abstractNumId w:val="5"/>
  </w:num>
  <w:num w:numId="14" w16cid:durableId="860164210">
    <w:abstractNumId w:val="19"/>
  </w:num>
  <w:num w:numId="15" w16cid:durableId="2119787283">
    <w:abstractNumId w:val="14"/>
  </w:num>
  <w:num w:numId="16" w16cid:durableId="1942950095">
    <w:abstractNumId w:val="0"/>
  </w:num>
  <w:num w:numId="17" w16cid:durableId="1395198543">
    <w:abstractNumId w:val="1"/>
  </w:num>
  <w:num w:numId="18" w16cid:durableId="698625771">
    <w:abstractNumId w:val="13"/>
  </w:num>
  <w:num w:numId="19" w16cid:durableId="195385314">
    <w:abstractNumId w:val="12"/>
  </w:num>
  <w:num w:numId="20" w16cid:durableId="1401095774">
    <w:abstractNumId w:val="4"/>
  </w:num>
  <w:num w:numId="21" w16cid:durableId="1189027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0870371">
    <w:abstractNumId w:val="1"/>
  </w:num>
  <w:num w:numId="23" w16cid:durableId="1073159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4FE0"/>
    <w:rsid w:val="00061B2A"/>
    <w:rsid w:val="00080F2B"/>
    <w:rsid w:val="00082362"/>
    <w:rsid w:val="000A683E"/>
    <w:rsid w:val="000B0A9C"/>
    <w:rsid w:val="000B19B9"/>
    <w:rsid w:val="000D0334"/>
    <w:rsid w:val="000E343C"/>
    <w:rsid w:val="000E54F1"/>
    <w:rsid w:val="000F6486"/>
    <w:rsid w:val="00106EA2"/>
    <w:rsid w:val="00125105"/>
    <w:rsid w:val="00127233"/>
    <w:rsid w:val="00163154"/>
    <w:rsid w:val="00164AA1"/>
    <w:rsid w:val="001A77E8"/>
    <w:rsid w:val="001B1CE0"/>
    <w:rsid w:val="001C7ABA"/>
    <w:rsid w:val="001D4A2C"/>
    <w:rsid w:val="001E1EE5"/>
    <w:rsid w:val="001E4177"/>
    <w:rsid w:val="001E4939"/>
    <w:rsid w:val="001F5488"/>
    <w:rsid w:val="001F7DC6"/>
    <w:rsid w:val="0022589E"/>
    <w:rsid w:val="002421BB"/>
    <w:rsid w:val="00267E32"/>
    <w:rsid w:val="002707A2"/>
    <w:rsid w:val="002817EA"/>
    <w:rsid w:val="002933DB"/>
    <w:rsid w:val="002951A0"/>
    <w:rsid w:val="002962BC"/>
    <w:rsid w:val="002A093D"/>
    <w:rsid w:val="002A0DD0"/>
    <w:rsid w:val="002A49AC"/>
    <w:rsid w:val="002A64FD"/>
    <w:rsid w:val="002B77A7"/>
    <w:rsid w:val="002C27DB"/>
    <w:rsid w:val="002C7A84"/>
    <w:rsid w:val="002E2210"/>
    <w:rsid w:val="002E4FD9"/>
    <w:rsid w:val="002E57BE"/>
    <w:rsid w:val="002F4FBB"/>
    <w:rsid w:val="003026AC"/>
    <w:rsid w:val="00322A85"/>
    <w:rsid w:val="00325A79"/>
    <w:rsid w:val="00327001"/>
    <w:rsid w:val="003448F4"/>
    <w:rsid w:val="00354FAA"/>
    <w:rsid w:val="003554DD"/>
    <w:rsid w:val="00374F5E"/>
    <w:rsid w:val="003776E7"/>
    <w:rsid w:val="00377E3E"/>
    <w:rsid w:val="003A779E"/>
    <w:rsid w:val="003C1DBA"/>
    <w:rsid w:val="003D0F4D"/>
    <w:rsid w:val="003D5B0D"/>
    <w:rsid w:val="003E0499"/>
    <w:rsid w:val="003E1F8D"/>
    <w:rsid w:val="003F26BC"/>
    <w:rsid w:val="003F3941"/>
    <w:rsid w:val="00400E43"/>
    <w:rsid w:val="0040106D"/>
    <w:rsid w:val="00404844"/>
    <w:rsid w:val="0040613E"/>
    <w:rsid w:val="00406575"/>
    <w:rsid w:val="00422FDD"/>
    <w:rsid w:val="0042722E"/>
    <w:rsid w:val="00431A38"/>
    <w:rsid w:val="004837A3"/>
    <w:rsid w:val="00486E63"/>
    <w:rsid w:val="004A1847"/>
    <w:rsid w:val="004A305D"/>
    <w:rsid w:val="004C569E"/>
    <w:rsid w:val="004D7D26"/>
    <w:rsid w:val="004F21C4"/>
    <w:rsid w:val="004F685F"/>
    <w:rsid w:val="00524E53"/>
    <w:rsid w:val="00542E98"/>
    <w:rsid w:val="005542AE"/>
    <w:rsid w:val="00555F75"/>
    <w:rsid w:val="005566E8"/>
    <w:rsid w:val="00574867"/>
    <w:rsid w:val="00575371"/>
    <w:rsid w:val="00591460"/>
    <w:rsid w:val="005A2340"/>
    <w:rsid w:val="005A7B83"/>
    <w:rsid w:val="005C3777"/>
    <w:rsid w:val="005C5CDC"/>
    <w:rsid w:val="005D476C"/>
    <w:rsid w:val="006072CE"/>
    <w:rsid w:val="006219F8"/>
    <w:rsid w:val="00621BF0"/>
    <w:rsid w:val="00662747"/>
    <w:rsid w:val="00665D70"/>
    <w:rsid w:val="00667E4A"/>
    <w:rsid w:val="00683622"/>
    <w:rsid w:val="0068500E"/>
    <w:rsid w:val="006900D9"/>
    <w:rsid w:val="006B690C"/>
    <w:rsid w:val="006D6F4F"/>
    <w:rsid w:val="006E1625"/>
    <w:rsid w:val="00706C16"/>
    <w:rsid w:val="00717579"/>
    <w:rsid w:val="00726B2D"/>
    <w:rsid w:val="00737606"/>
    <w:rsid w:val="00756841"/>
    <w:rsid w:val="007649AB"/>
    <w:rsid w:val="00771D0C"/>
    <w:rsid w:val="007833AC"/>
    <w:rsid w:val="007845D3"/>
    <w:rsid w:val="007B268C"/>
    <w:rsid w:val="007B7171"/>
    <w:rsid w:val="007B7188"/>
    <w:rsid w:val="007C2750"/>
    <w:rsid w:val="007C3DC2"/>
    <w:rsid w:val="007D25AC"/>
    <w:rsid w:val="007E1C3E"/>
    <w:rsid w:val="007E5497"/>
    <w:rsid w:val="007F41FC"/>
    <w:rsid w:val="00803F73"/>
    <w:rsid w:val="00806486"/>
    <w:rsid w:val="00806F5F"/>
    <w:rsid w:val="00820278"/>
    <w:rsid w:val="00841D92"/>
    <w:rsid w:val="008843B6"/>
    <w:rsid w:val="00891928"/>
    <w:rsid w:val="008A2168"/>
    <w:rsid w:val="008A42CA"/>
    <w:rsid w:val="008A446D"/>
    <w:rsid w:val="008A75B5"/>
    <w:rsid w:val="008D180B"/>
    <w:rsid w:val="008F0EA7"/>
    <w:rsid w:val="0090427A"/>
    <w:rsid w:val="009063C0"/>
    <w:rsid w:val="00923EEF"/>
    <w:rsid w:val="00932361"/>
    <w:rsid w:val="009419F9"/>
    <w:rsid w:val="0094323E"/>
    <w:rsid w:val="00946C0B"/>
    <w:rsid w:val="00954905"/>
    <w:rsid w:val="00961B09"/>
    <w:rsid w:val="00964BD6"/>
    <w:rsid w:val="00965334"/>
    <w:rsid w:val="0097093E"/>
    <w:rsid w:val="00976191"/>
    <w:rsid w:val="009A6976"/>
    <w:rsid w:val="009B558F"/>
    <w:rsid w:val="009B7AA9"/>
    <w:rsid w:val="009C39EE"/>
    <w:rsid w:val="009C4F1E"/>
    <w:rsid w:val="009C71FA"/>
    <w:rsid w:val="009C72E7"/>
    <w:rsid w:val="009D6C03"/>
    <w:rsid w:val="009F3A13"/>
    <w:rsid w:val="009F5CB2"/>
    <w:rsid w:val="00A122D3"/>
    <w:rsid w:val="00A17F13"/>
    <w:rsid w:val="00A20739"/>
    <w:rsid w:val="00A33C78"/>
    <w:rsid w:val="00A35D1E"/>
    <w:rsid w:val="00A400EA"/>
    <w:rsid w:val="00A62321"/>
    <w:rsid w:val="00A65382"/>
    <w:rsid w:val="00A950C0"/>
    <w:rsid w:val="00AA1C95"/>
    <w:rsid w:val="00AB02C6"/>
    <w:rsid w:val="00AB0ADB"/>
    <w:rsid w:val="00AE22C8"/>
    <w:rsid w:val="00B46AF1"/>
    <w:rsid w:val="00B72CD3"/>
    <w:rsid w:val="00B72FFF"/>
    <w:rsid w:val="00B91D45"/>
    <w:rsid w:val="00BC3D36"/>
    <w:rsid w:val="00BD7F72"/>
    <w:rsid w:val="00BE4319"/>
    <w:rsid w:val="00BE79D8"/>
    <w:rsid w:val="00C04FB3"/>
    <w:rsid w:val="00C068B3"/>
    <w:rsid w:val="00C0772F"/>
    <w:rsid w:val="00C07E54"/>
    <w:rsid w:val="00C330EB"/>
    <w:rsid w:val="00C35C41"/>
    <w:rsid w:val="00C54405"/>
    <w:rsid w:val="00C633A0"/>
    <w:rsid w:val="00C754BE"/>
    <w:rsid w:val="00C76B1C"/>
    <w:rsid w:val="00C922A8"/>
    <w:rsid w:val="00CA30A1"/>
    <w:rsid w:val="00CB4158"/>
    <w:rsid w:val="00CB6357"/>
    <w:rsid w:val="00CC1B26"/>
    <w:rsid w:val="00CD4381"/>
    <w:rsid w:val="00CF3B21"/>
    <w:rsid w:val="00D03255"/>
    <w:rsid w:val="00D30EDE"/>
    <w:rsid w:val="00D423A2"/>
    <w:rsid w:val="00D4774D"/>
    <w:rsid w:val="00D520EC"/>
    <w:rsid w:val="00D63AC2"/>
    <w:rsid w:val="00D648CB"/>
    <w:rsid w:val="00D7383B"/>
    <w:rsid w:val="00D834B9"/>
    <w:rsid w:val="00D83A02"/>
    <w:rsid w:val="00DA231B"/>
    <w:rsid w:val="00DA42CE"/>
    <w:rsid w:val="00DE630A"/>
    <w:rsid w:val="00DE7BFD"/>
    <w:rsid w:val="00DF5254"/>
    <w:rsid w:val="00E16408"/>
    <w:rsid w:val="00E20894"/>
    <w:rsid w:val="00E245AB"/>
    <w:rsid w:val="00E2764C"/>
    <w:rsid w:val="00E27F2E"/>
    <w:rsid w:val="00E50AFE"/>
    <w:rsid w:val="00E671BC"/>
    <w:rsid w:val="00E771DC"/>
    <w:rsid w:val="00E80B6C"/>
    <w:rsid w:val="00E8772A"/>
    <w:rsid w:val="00E90F6B"/>
    <w:rsid w:val="00E92C27"/>
    <w:rsid w:val="00E97A00"/>
    <w:rsid w:val="00E97D30"/>
    <w:rsid w:val="00EA0E3D"/>
    <w:rsid w:val="00EA6417"/>
    <w:rsid w:val="00EE1AA8"/>
    <w:rsid w:val="00EF21AA"/>
    <w:rsid w:val="00F31EDC"/>
    <w:rsid w:val="00F4214E"/>
    <w:rsid w:val="00F43213"/>
    <w:rsid w:val="00F462B3"/>
    <w:rsid w:val="00F5664F"/>
    <w:rsid w:val="00F666C4"/>
    <w:rsid w:val="00F76AFC"/>
    <w:rsid w:val="00FB5DD1"/>
    <w:rsid w:val="00FC2B5D"/>
    <w:rsid w:val="00FC7666"/>
    <w:rsid w:val="00FF1449"/>
    <w:rsid w:val="00FF6AF6"/>
    <w:rsid w:val="0DC363B8"/>
    <w:rsid w:val="2C42A014"/>
    <w:rsid w:val="6EB401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5488"/>
    <w:rPr>
      <w:rFonts w:ascii="Geomanist Light" w:hAnsi="Geomanist Light"/>
      <w:lang w:val="es-ES"/>
    </w:rPr>
  </w:style>
  <w:style w:type="paragraph" w:customStyle="1" w:styleId="Appelnotedebasde">
    <w:name w:val="Appel note de bas de..."/>
    <w:basedOn w:val="Normal"/>
    <w:link w:val="Refdenotaalpie"/>
    <w:uiPriority w:val="99"/>
    <w:rsid w:val="00DA42CE"/>
    <w:pPr>
      <w:spacing w:line="240" w:lineRule="exact"/>
    </w:pPr>
    <w:rPr>
      <w:vertAlign w:val="superscript"/>
    </w:rPr>
  </w:style>
  <w:style w:type="paragraph" w:customStyle="1" w:styleId="Normal11pt">
    <w:name w:val="Normal + 11 pt"/>
    <w:aliases w:val="Negro,Justificado,Izquierda:  -0,95 cm,Derecha:  0,04 cm"/>
    <w:basedOn w:val="Normal"/>
    <w:uiPriority w:val="99"/>
    <w:rsid w:val="00CF3B21"/>
    <w:pPr>
      <w:spacing w:after="0" w:line="240" w:lineRule="auto"/>
      <w:ind w:left="-540"/>
      <w:jc w:val="both"/>
    </w:pPr>
    <w:rPr>
      <w:rFonts w:ascii="Arial" w:eastAsia="Times New Roman"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897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2121939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83614598">
      <w:bodyDiv w:val="1"/>
      <w:marLeft w:val="0"/>
      <w:marRight w:val="0"/>
      <w:marTop w:val="0"/>
      <w:marBottom w:val="0"/>
      <w:divBdr>
        <w:top w:val="none" w:sz="0" w:space="0" w:color="auto"/>
        <w:left w:val="none" w:sz="0" w:space="0" w:color="auto"/>
        <w:bottom w:val="none" w:sz="0" w:space="0" w:color="auto"/>
        <w:right w:val="none" w:sz="0" w:space="0" w:color="auto"/>
      </w:divBdr>
      <w:divsChild>
        <w:div w:id="1381175656">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bibliotecadigital.ccb.org.co/bitstream/handle/11520/21630/738_V_Concesion_Santa_Marta_Paraguachon_VS_Invias_2004_05_31.pdf?sequence=1&amp;isAllowed=y"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EBBB800-6072-41C5-BA9F-8876BBF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7635</Words>
  <Characters>41996</Characters>
  <Application>Microsoft Office Word</Application>
  <DocSecurity>0</DocSecurity>
  <Lines>349</Lines>
  <Paragraphs>99</Paragraphs>
  <ScaleCrop>false</ScaleCrop>
  <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2023-11-15T13:38:00Z</dcterms:created>
  <dcterms:modified xsi:type="dcterms:W3CDTF">2023-11-15T13:38:00Z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