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25205" w14:textId="77777777" w:rsidR="00E92E0B" w:rsidRPr="00F95886" w:rsidRDefault="00E92E0B" w:rsidP="00E92E0B">
      <w:pPr>
        <w:jc w:val="both"/>
        <w:rPr>
          <w:rFonts w:ascii="Arial" w:eastAsia="Calibri" w:hAnsi="Arial" w:cs="Arial"/>
          <w:b/>
          <w:bCs/>
          <w:color w:val="000000" w:themeColor="text1"/>
          <w:sz w:val="22"/>
          <w:lang w:val="es-ES_tradnl"/>
        </w:rPr>
      </w:pPr>
      <w:bookmarkStart w:id="0" w:name="_Hlk96417464"/>
      <w:bookmarkStart w:id="1" w:name="_Hlk34951122"/>
      <w:r>
        <w:rPr>
          <w:rFonts w:ascii="Arial" w:eastAsia="Calibri" w:hAnsi="Arial" w:cs="Arial"/>
          <w:b/>
          <w:bCs/>
          <w:color w:val="000000" w:themeColor="text1"/>
          <w:sz w:val="22"/>
          <w:lang w:val="es-ES_tradnl"/>
        </w:rPr>
        <w:t xml:space="preserve">RÉGIMEN DE </w:t>
      </w:r>
      <w:r w:rsidRPr="00F95886">
        <w:rPr>
          <w:rFonts w:ascii="Arial" w:eastAsia="Calibri" w:hAnsi="Arial" w:cs="Arial"/>
          <w:b/>
          <w:bCs/>
          <w:color w:val="000000" w:themeColor="text1"/>
          <w:sz w:val="22"/>
          <w:lang w:val="es-ES_tradnl"/>
        </w:rPr>
        <w:t xml:space="preserve">INHABILIDADES E INCOMPATIBILIDADES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Concepto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Principio de legalidad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Interpretación restrictiva</w:t>
      </w:r>
    </w:p>
    <w:p w14:paraId="479185AC" w14:textId="77777777" w:rsidR="00E92E0B" w:rsidRPr="00F95886" w:rsidRDefault="00E92E0B" w:rsidP="00E92E0B">
      <w:pPr>
        <w:jc w:val="both"/>
        <w:rPr>
          <w:rFonts w:ascii="Arial" w:eastAsia="Calibri" w:hAnsi="Arial" w:cs="Arial"/>
          <w:b/>
          <w:bCs/>
          <w:color w:val="000000" w:themeColor="text1"/>
          <w:sz w:val="20"/>
          <w:szCs w:val="20"/>
          <w:lang w:val="es-ES_tradnl"/>
        </w:rPr>
      </w:pPr>
    </w:p>
    <w:p w14:paraId="34C1FAFD" w14:textId="77777777" w:rsidR="00E92E0B" w:rsidRDefault="00E92E0B" w:rsidP="00E92E0B">
      <w:pPr>
        <w:jc w:val="both"/>
        <w:rPr>
          <w:rFonts w:ascii="Arial" w:eastAsia="Calibri" w:hAnsi="Arial" w:cs="Arial"/>
          <w:color w:val="000000" w:themeColor="text1"/>
          <w:sz w:val="20"/>
          <w:szCs w:val="20"/>
          <w:lang w:val="es-ES_tradnl"/>
        </w:rPr>
      </w:pPr>
      <w:r w:rsidRPr="00F95886">
        <w:rPr>
          <w:rFonts w:ascii="Arial" w:eastAsia="Calibri" w:hAnsi="Arial" w:cs="Arial"/>
          <w:color w:val="000000" w:themeColor="text1"/>
          <w:sz w:val="20"/>
          <w:szCs w:val="20"/>
          <w:lang w:val="es-ES_tradnl"/>
        </w:rPr>
        <w:t xml:space="preserve">Las </w:t>
      </w:r>
      <w:r w:rsidRPr="00F95886">
        <w:rPr>
          <w:rFonts w:ascii="Arial" w:eastAsia="Calibri" w:hAnsi="Arial" w:cs="Arial"/>
          <w:i/>
          <w:iCs/>
          <w:color w:val="000000" w:themeColor="text1"/>
          <w:sz w:val="20"/>
          <w:szCs w:val="20"/>
          <w:lang w:val="es-ES_tradnl"/>
        </w:rPr>
        <w:t>inhabilidades</w:t>
      </w:r>
      <w:r w:rsidRPr="00F95886">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w:t>
      </w:r>
      <w:r>
        <w:rPr>
          <w:rFonts w:ascii="Arial" w:eastAsia="Calibri" w:hAnsi="Arial" w:cs="Arial"/>
          <w:color w:val="000000" w:themeColor="text1"/>
          <w:sz w:val="20"/>
          <w:szCs w:val="20"/>
          <w:lang w:val="es-ES_tradnl"/>
        </w:rPr>
        <w:t xml:space="preserve"> de</w:t>
      </w:r>
      <w:r w:rsidRPr="00F95886">
        <w:rPr>
          <w:rFonts w:ascii="Arial" w:eastAsia="Calibri" w:hAnsi="Arial" w:cs="Arial"/>
          <w:color w:val="000000" w:themeColor="text1"/>
          <w:sz w:val="20"/>
          <w:szCs w:val="20"/>
          <w:lang w:val="es-ES_tradnl"/>
        </w:rPr>
        <w:t xml:space="preserve"> i) de la existencia de comportamientos reprochables o de sanciones anteriormente impuestas, </w:t>
      </w:r>
      <w:proofErr w:type="spellStart"/>
      <w:r w:rsidRPr="00F95886">
        <w:rPr>
          <w:rFonts w:ascii="Arial" w:eastAsia="Calibri" w:hAnsi="Arial" w:cs="Arial"/>
          <w:color w:val="000000" w:themeColor="text1"/>
          <w:sz w:val="20"/>
          <w:szCs w:val="20"/>
          <w:lang w:val="es-ES_tradnl"/>
        </w:rPr>
        <w:t>ii</w:t>
      </w:r>
      <w:proofErr w:type="spellEnd"/>
      <w:r w:rsidRPr="00F95886">
        <w:rPr>
          <w:rFonts w:ascii="Arial" w:eastAsia="Calibri" w:hAnsi="Arial" w:cs="Arial"/>
          <w:color w:val="000000" w:themeColor="text1"/>
          <w:sz w:val="20"/>
          <w:szCs w:val="20"/>
          <w:lang w:val="es-ES_tradnl"/>
        </w:rPr>
        <w:t xml:space="preserve">) de vínculos personales relativos al parentesco o al estado civil o </w:t>
      </w:r>
      <w:proofErr w:type="spellStart"/>
      <w:r w:rsidRPr="00F95886">
        <w:rPr>
          <w:rFonts w:ascii="Arial" w:eastAsia="Calibri" w:hAnsi="Arial" w:cs="Arial"/>
          <w:color w:val="000000" w:themeColor="text1"/>
          <w:sz w:val="20"/>
          <w:szCs w:val="20"/>
          <w:lang w:val="es-ES_tradnl"/>
        </w:rPr>
        <w:t>iii</w:t>
      </w:r>
      <w:proofErr w:type="spellEnd"/>
      <w:r w:rsidRPr="00F95886">
        <w:rPr>
          <w:rFonts w:ascii="Arial" w:eastAsia="Calibri" w:hAnsi="Arial" w:cs="Arial"/>
          <w:color w:val="000000" w:themeColor="text1"/>
          <w:sz w:val="20"/>
          <w:szCs w:val="20"/>
          <w:lang w:val="es-ES_tradnl"/>
        </w:rPr>
        <w:t xml:space="preserve">) de una actividad u oficio que se desempeñó en el pasado. De otro lado, las </w:t>
      </w:r>
      <w:r w:rsidRPr="00F95886">
        <w:rPr>
          <w:rFonts w:ascii="Arial" w:eastAsia="Calibri" w:hAnsi="Arial" w:cs="Arial"/>
          <w:i/>
          <w:iCs/>
          <w:color w:val="000000" w:themeColor="text1"/>
          <w:sz w:val="20"/>
          <w:szCs w:val="20"/>
          <w:lang w:val="es-ES_tradnl"/>
        </w:rPr>
        <w:t>incompatibilidades</w:t>
      </w:r>
      <w:r w:rsidRPr="00F95886">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10C69E25" w14:textId="77777777" w:rsidR="00E92E0B" w:rsidRDefault="00E92E0B" w:rsidP="00E92E0B">
      <w:pPr>
        <w:jc w:val="both"/>
        <w:rPr>
          <w:rFonts w:ascii="Arial" w:eastAsia="Calibri" w:hAnsi="Arial" w:cs="Arial"/>
          <w:color w:val="000000" w:themeColor="text1"/>
          <w:sz w:val="20"/>
          <w:szCs w:val="20"/>
          <w:lang w:val="es-ES_tradnl"/>
        </w:rPr>
      </w:pPr>
    </w:p>
    <w:p w14:paraId="2EADA9F0" w14:textId="77777777" w:rsidR="00E92E0B" w:rsidRPr="004F5DE5" w:rsidRDefault="00E92E0B" w:rsidP="00E92E0B">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INHABILIDADES ― Interpretación restrictiva ― </w:t>
      </w:r>
      <w:r w:rsidRPr="004F5DE5">
        <w:rPr>
          <w:rFonts w:ascii="Arial" w:eastAsia="Calibri" w:hAnsi="Arial" w:cs="Arial"/>
          <w:b/>
          <w:bCs/>
          <w:color w:val="000000" w:themeColor="text1"/>
          <w:sz w:val="22"/>
          <w:lang w:val="es-ES_tradnl"/>
        </w:rPr>
        <w:t xml:space="preserve">Principio </w:t>
      </w:r>
      <w:r w:rsidRPr="004F5DE5">
        <w:rPr>
          <w:rFonts w:ascii="Arial" w:eastAsia="Calibri" w:hAnsi="Arial" w:cs="Arial"/>
          <w:b/>
          <w:bCs/>
          <w:i/>
          <w:iCs/>
          <w:color w:val="000000" w:themeColor="text1"/>
          <w:sz w:val="22"/>
          <w:lang w:val="es-ES_tradnl"/>
        </w:rPr>
        <w:t xml:space="preserve">pro </w:t>
      </w:r>
      <w:proofErr w:type="spellStart"/>
      <w:r w:rsidRPr="004F5DE5">
        <w:rPr>
          <w:rFonts w:ascii="Arial" w:eastAsia="Calibri" w:hAnsi="Arial" w:cs="Arial"/>
          <w:b/>
          <w:bCs/>
          <w:i/>
          <w:iCs/>
          <w:color w:val="000000" w:themeColor="text1"/>
          <w:sz w:val="22"/>
          <w:lang w:val="es-ES_tradnl"/>
        </w:rPr>
        <w:t>libertate</w:t>
      </w:r>
      <w:proofErr w:type="spellEnd"/>
    </w:p>
    <w:p w14:paraId="575D3461" w14:textId="77777777" w:rsidR="00E92E0B" w:rsidRPr="004F5DE5" w:rsidRDefault="00E92E0B" w:rsidP="00E92E0B">
      <w:pPr>
        <w:jc w:val="both"/>
        <w:rPr>
          <w:rFonts w:ascii="Arial" w:eastAsia="Calibri" w:hAnsi="Arial" w:cs="Arial"/>
          <w:color w:val="000000" w:themeColor="text1"/>
          <w:sz w:val="20"/>
          <w:szCs w:val="20"/>
          <w:lang w:val="es-ES_tradnl"/>
        </w:rPr>
      </w:pPr>
    </w:p>
    <w:p w14:paraId="2DAF3F10" w14:textId="77777777" w:rsidR="00E92E0B" w:rsidRPr="004F5DE5" w:rsidRDefault="00E92E0B" w:rsidP="00E92E0B">
      <w:pPr>
        <w:jc w:val="both"/>
        <w:rPr>
          <w:rFonts w:ascii="Arial" w:eastAsia="Calibri" w:hAnsi="Arial" w:cs="Arial"/>
          <w:color w:val="000000" w:themeColor="text1"/>
          <w:sz w:val="20"/>
          <w:szCs w:val="20"/>
          <w:lang w:val="es-ES_tradnl"/>
        </w:rPr>
      </w:pPr>
      <w:r w:rsidRPr="00020D3A">
        <w:rPr>
          <w:rFonts w:ascii="Arial" w:eastAsia="Calibri" w:hAnsi="Arial" w:cs="Arial"/>
          <w:color w:val="000000" w:themeColor="text1"/>
          <w:sz w:val="20"/>
          <w:szCs w:val="20"/>
          <w:lang w:val="es-ES_tradnl"/>
        </w:rPr>
        <w:t>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En efecto,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r>
        <w:rPr>
          <w:rFonts w:ascii="Arial" w:eastAsia="Calibri" w:hAnsi="Arial" w:cs="Arial"/>
          <w:color w:val="000000" w:themeColor="text1"/>
          <w:sz w:val="20"/>
          <w:szCs w:val="20"/>
          <w:lang w:val="es-ES_tradnl"/>
        </w:rPr>
        <w:t>.</w:t>
      </w:r>
    </w:p>
    <w:p w14:paraId="371309C7" w14:textId="77777777" w:rsidR="00E92E0B" w:rsidRPr="004F5DE5" w:rsidRDefault="00E92E0B" w:rsidP="00E92E0B">
      <w:pPr>
        <w:jc w:val="both"/>
        <w:rPr>
          <w:rFonts w:ascii="Arial" w:eastAsia="Calibri" w:hAnsi="Arial" w:cs="Arial"/>
          <w:color w:val="000000" w:themeColor="text1"/>
          <w:sz w:val="20"/>
          <w:szCs w:val="20"/>
          <w:lang w:val="es-ES_tradnl"/>
        </w:rPr>
      </w:pPr>
    </w:p>
    <w:p w14:paraId="706ADD46" w14:textId="77777777" w:rsidR="00E92E0B" w:rsidRDefault="00E92E0B" w:rsidP="00E92E0B">
      <w:pPr>
        <w:jc w:val="both"/>
        <w:rPr>
          <w:rFonts w:ascii="Arial" w:eastAsia="Calibri" w:hAnsi="Arial" w:cs="Arial"/>
          <w:color w:val="000000" w:themeColor="text1"/>
          <w:sz w:val="20"/>
          <w:szCs w:val="20"/>
          <w:lang w:val="es-ES_tradnl"/>
        </w:rPr>
      </w:pPr>
      <w:r w:rsidRPr="004F5DE5">
        <w:rPr>
          <w:rFonts w:ascii="Arial" w:eastAsia="Calibri" w:hAnsi="Arial" w:cs="Arial"/>
          <w:color w:val="000000" w:themeColor="text1"/>
          <w:sz w:val="20"/>
          <w:szCs w:val="20"/>
          <w:lang w:val="es-ES_tradnl"/>
        </w:rPr>
        <w:t xml:space="preserve">Como se aprecia, el principio </w:t>
      </w:r>
      <w:r w:rsidRPr="004F5DE5">
        <w:rPr>
          <w:rFonts w:ascii="Arial" w:eastAsia="Calibri" w:hAnsi="Arial" w:cs="Arial"/>
          <w:i/>
          <w:iCs/>
          <w:color w:val="000000" w:themeColor="text1"/>
          <w:sz w:val="20"/>
          <w:szCs w:val="20"/>
          <w:lang w:val="es-ES_tradnl"/>
        </w:rPr>
        <w:t xml:space="preserve">pro </w:t>
      </w:r>
      <w:proofErr w:type="spellStart"/>
      <w:r w:rsidRPr="004F5DE5">
        <w:rPr>
          <w:rFonts w:ascii="Arial" w:eastAsia="Calibri" w:hAnsi="Arial" w:cs="Arial"/>
          <w:i/>
          <w:iCs/>
          <w:color w:val="000000" w:themeColor="text1"/>
          <w:sz w:val="20"/>
          <w:szCs w:val="20"/>
          <w:lang w:val="es-ES_tradnl"/>
        </w:rPr>
        <w:t>libertate</w:t>
      </w:r>
      <w:proofErr w:type="spellEnd"/>
      <w:r w:rsidRPr="004F5DE5">
        <w:rPr>
          <w:rFonts w:ascii="Arial" w:eastAsia="Calibri" w:hAnsi="Arial" w:cs="Arial"/>
          <w:color w:val="000000" w:themeColor="text1"/>
          <w:sz w:val="20"/>
          <w:szCs w:val="20"/>
          <w:lang w:val="es-ES_tradnl"/>
        </w:rPr>
        <w:t xml:space="preserve"> es el que debe dirigir la interpretación de las disposiciones normativas que consagran restricciones de derechos, como sucede con las causales de inhabilidad e incompatibilidad en la contratación estatal.</w:t>
      </w:r>
      <w:r w:rsidRPr="00F11461">
        <w:rPr>
          <w:rFonts w:ascii="Arial" w:eastAsia="Calibri" w:hAnsi="Arial" w:cs="Arial"/>
          <w:color w:val="000000" w:themeColor="text1"/>
          <w:sz w:val="20"/>
          <w:szCs w:val="20"/>
          <w:lang w:val="es-ES_tradnl"/>
        </w:rPr>
        <w:t xml:space="preserve"> </w:t>
      </w:r>
    </w:p>
    <w:p w14:paraId="4EB7B94B" w14:textId="77777777" w:rsidR="00E92E0B" w:rsidRDefault="00E92E0B" w:rsidP="00E92E0B">
      <w:pPr>
        <w:jc w:val="both"/>
        <w:rPr>
          <w:rFonts w:ascii="Arial" w:eastAsia="Calibri" w:hAnsi="Arial" w:cs="Arial"/>
          <w:color w:val="000000" w:themeColor="text1"/>
          <w:sz w:val="20"/>
          <w:szCs w:val="20"/>
          <w:lang w:val="es-ES_tradnl"/>
        </w:rPr>
      </w:pPr>
    </w:p>
    <w:p w14:paraId="794C5D9D" w14:textId="77777777" w:rsidR="00E92E0B" w:rsidRPr="00F95886" w:rsidRDefault="00E92E0B" w:rsidP="00E92E0B">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PRESTACION DE SERVICIOS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Celebración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Simultaneidad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Posibilidad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Ausencia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Inhabilidad</w:t>
      </w:r>
      <w:r w:rsidRPr="00F95886">
        <w:rPr>
          <w:rFonts w:ascii="Arial" w:hAnsi="Arial" w:cs="Arial"/>
          <w:b/>
          <w:bCs/>
          <w:color w:val="000000" w:themeColor="text1"/>
          <w:sz w:val="22"/>
          <w:lang w:val="es-ES_tradnl"/>
        </w:rPr>
        <w:t xml:space="preserve"> </w:t>
      </w:r>
      <w:proofErr w:type="spellStart"/>
      <w:r w:rsidRPr="00F95886">
        <w:rPr>
          <w:rFonts w:ascii="Arial" w:hAnsi="Arial" w:cs="Arial"/>
          <w:b/>
          <w:bCs/>
          <w:color w:val="000000" w:themeColor="text1"/>
          <w:sz w:val="22"/>
          <w:lang w:val="es-ES_tradnl"/>
        </w:rPr>
        <w:t>e</w:t>
      </w:r>
      <w:proofErr w:type="spellEnd"/>
      <w:r w:rsidRPr="00F95886">
        <w:rPr>
          <w:rFonts w:ascii="Arial" w:hAnsi="Arial" w:cs="Arial"/>
          <w:b/>
          <w:bCs/>
          <w:color w:val="000000" w:themeColor="text1"/>
          <w:sz w:val="22"/>
          <w:lang w:val="es-ES_tradnl"/>
        </w:rPr>
        <w:t xml:space="preserve"> incompatibilidad</w:t>
      </w:r>
    </w:p>
    <w:p w14:paraId="01B05B68" w14:textId="77777777" w:rsidR="00E92E0B" w:rsidRPr="00F95886" w:rsidRDefault="00E92E0B" w:rsidP="00E92E0B">
      <w:pPr>
        <w:jc w:val="both"/>
        <w:rPr>
          <w:rFonts w:ascii="Arial" w:hAnsi="Arial" w:cs="Arial"/>
          <w:color w:val="000000" w:themeColor="text1"/>
          <w:sz w:val="20"/>
          <w:szCs w:val="20"/>
          <w:lang w:val="es-ES_tradnl"/>
        </w:rPr>
      </w:pPr>
    </w:p>
    <w:p w14:paraId="65AF528F" w14:textId="77777777" w:rsidR="00E92E0B" w:rsidRPr="00083784" w:rsidRDefault="00E92E0B" w:rsidP="00E92E0B">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Analizado el régimen de inhabilidades e incompatibilidades previsto para la contratación estatal, así como los requisitos y límites de los contratos de prestación de servicios profesionales, se concluye que no existe una inhabilidad, incompatibilidad o prohibición de otra naturaleza para que una entidad estatal celebre dos o más contratos de prestación de servicios profesionales con una misma persona, así dichos contratos coexistan en el tiempo. </w:t>
      </w:r>
    </w:p>
    <w:p w14:paraId="11FF377C" w14:textId="77777777" w:rsidR="00E92E0B" w:rsidRPr="00083784" w:rsidRDefault="00E92E0B" w:rsidP="00E92E0B">
      <w:pPr>
        <w:spacing w:after="200"/>
        <w:jc w:val="both"/>
        <w:rPr>
          <w:rFonts w:ascii="Arial"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 </w:t>
      </w:r>
    </w:p>
    <w:p w14:paraId="07003A03" w14:textId="77777777" w:rsidR="00E92E0B" w:rsidRDefault="00E92E0B" w:rsidP="00E92E0B">
      <w:pPr>
        <w:jc w:val="both"/>
        <w:rPr>
          <w:rFonts w:ascii="Arial" w:eastAsia="Calibri" w:hAnsi="Arial" w:cs="Arial"/>
          <w:color w:val="000000" w:themeColor="text1"/>
          <w:sz w:val="20"/>
          <w:szCs w:val="20"/>
          <w:lang w:val="es-ES_tradnl"/>
        </w:rPr>
      </w:pPr>
      <w:r w:rsidRPr="00083784">
        <w:rPr>
          <w:rFonts w:ascii="Arial" w:hAnsi="Arial" w:cs="Arial"/>
          <w:color w:val="000000" w:themeColor="text1"/>
          <w:sz w:val="20"/>
          <w:szCs w:val="20"/>
          <w:lang w:val="es-ES_tradnl"/>
        </w:rPr>
        <w:t xml:space="preserve">Sin embargo, el hecho de que no haya una causal de inhabilidad o de incompatibilidad no significa que siempre se pueda celebrar el contrato de prestación de servicios profesionales. Para que ello sea viable, deben cumplirse los requisitos a los que se hizo referencia en el numeral 2.2. de este concepto, pues se recuerda que la celebración del contrato de prestación de servicios profesionales con una persona natural es excepcional, ya que solo es admisible cuando las «actividades no puedan realizarse con personal de planta o requieran conocimientos especializados», lo cual debe justificarse satisfactoriamente en los estudios previos. </w:t>
      </w:r>
    </w:p>
    <w:p w14:paraId="2EBE2DC7" w14:textId="77777777" w:rsidR="00E92E0B" w:rsidRPr="00F11461" w:rsidRDefault="00E92E0B" w:rsidP="00E92E0B">
      <w:pPr>
        <w:jc w:val="both"/>
        <w:rPr>
          <w:rFonts w:ascii="Arial" w:eastAsia="Calibri" w:hAnsi="Arial" w:cs="Arial"/>
          <w:sz w:val="20"/>
          <w:szCs w:val="20"/>
        </w:rPr>
      </w:pPr>
    </w:p>
    <w:p w14:paraId="50EEF6F8" w14:textId="77777777" w:rsidR="00E92E0B" w:rsidRDefault="00E92E0B" w:rsidP="00E92E0B">
      <w:pPr>
        <w:jc w:val="both"/>
        <w:rPr>
          <w:rFonts w:ascii="Arial" w:hAnsi="Arial" w:cs="Arial"/>
          <w:b/>
          <w:bCs/>
          <w:color w:val="000000" w:themeColor="text1"/>
          <w:sz w:val="22"/>
          <w:lang w:val="es-ES_tradnl"/>
        </w:rPr>
      </w:pPr>
    </w:p>
    <w:p w14:paraId="7A857376" w14:textId="77777777" w:rsidR="00E92E0B" w:rsidRPr="00090325" w:rsidRDefault="00E92E0B" w:rsidP="00E92E0B">
      <w:pPr>
        <w:spacing w:line="276" w:lineRule="auto"/>
        <w:jc w:val="right"/>
        <w:rPr>
          <w:rFonts w:ascii="Arial" w:eastAsia="Calibri" w:hAnsi="Arial" w:cs="Arial"/>
          <w:sz w:val="22"/>
          <w:szCs w:val="22"/>
          <w:lang w:val="es-ES_tradnl"/>
        </w:rPr>
      </w:pPr>
    </w:p>
    <w:p w14:paraId="6CAB813B" w14:textId="77777777" w:rsidR="00E92E0B" w:rsidRDefault="00E92E0B" w:rsidP="00E92E0B">
      <w:pPr>
        <w:jc w:val="both"/>
        <w:rPr>
          <w:rFonts w:ascii="Arial" w:eastAsia="Calibri" w:hAnsi="Arial" w:cs="Arial"/>
          <w:sz w:val="22"/>
          <w:szCs w:val="22"/>
          <w:lang w:val="es-ES_tradnl"/>
        </w:rPr>
      </w:pPr>
    </w:p>
    <w:p w14:paraId="0A89AEF2" w14:textId="77777777" w:rsidR="00E92E0B" w:rsidRDefault="00E92E0B" w:rsidP="00E92E0B">
      <w:pPr>
        <w:jc w:val="both"/>
        <w:rPr>
          <w:rFonts w:ascii="Arial" w:eastAsia="Calibri" w:hAnsi="Arial" w:cs="Arial"/>
          <w:sz w:val="22"/>
          <w:szCs w:val="22"/>
          <w:lang w:val="es-ES_tradnl"/>
        </w:rPr>
      </w:pPr>
    </w:p>
    <w:p w14:paraId="5F092CCA" w14:textId="77777777" w:rsidR="00E92E0B" w:rsidRDefault="00E92E0B" w:rsidP="00E92E0B">
      <w:pPr>
        <w:jc w:val="both"/>
        <w:rPr>
          <w:rFonts w:ascii="Arial" w:eastAsia="Calibri" w:hAnsi="Arial" w:cs="Arial"/>
          <w:sz w:val="22"/>
          <w:szCs w:val="22"/>
          <w:lang w:val="es-ES_tradnl"/>
        </w:rPr>
      </w:pPr>
    </w:p>
    <w:p w14:paraId="7E082808" w14:textId="77777777" w:rsidR="00E92E0B" w:rsidRDefault="00E92E0B" w:rsidP="00E92E0B">
      <w:pPr>
        <w:jc w:val="both"/>
        <w:rPr>
          <w:rFonts w:ascii="Arial" w:eastAsia="Calibri" w:hAnsi="Arial" w:cs="Arial"/>
          <w:sz w:val="22"/>
          <w:szCs w:val="22"/>
          <w:lang w:val="es-ES_tradnl"/>
        </w:rPr>
      </w:pPr>
    </w:p>
    <w:p w14:paraId="19F4B544" w14:textId="77777777" w:rsidR="00E92E0B" w:rsidRDefault="00E92E0B" w:rsidP="00E92E0B">
      <w:pPr>
        <w:jc w:val="both"/>
        <w:rPr>
          <w:rFonts w:ascii="Arial" w:eastAsia="Calibri" w:hAnsi="Arial" w:cs="Arial"/>
          <w:sz w:val="22"/>
          <w:szCs w:val="22"/>
          <w:lang w:val="es-ES_tradnl"/>
        </w:rPr>
      </w:pPr>
    </w:p>
    <w:p w14:paraId="5BDABD01" w14:textId="77777777" w:rsidR="00E92E0B" w:rsidRDefault="00E92E0B" w:rsidP="00E92E0B">
      <w:pPr>
        <w:jc w:val="both"/>
        <w:rPr>
          <w:rFonts w:ascii="Arial" w:eastAsia="Calibri" w:hAnsi="Arial" w:cs="Arial"/>
          <w:sz w:val="22"/>
          <w:szCs w:val="22"/>
          <w:lang w:val="es-ES_tradnl"/>
        </w:rPr>
      </w:pPr>
    </w:p>
    <w:p w14:paraId="7191BE41" w14:textId="77777777" w:rsidR="00E92E0B" w:rsidRDefault="00E92E0B" w:rsidP="00E92E0B">
      <w:pPr>
        <w:jc w:val="both"/>
        <w:rPr>
          <w:rFonts w:ascii="Arial" w:eastAsia="Calibri" w:hAnsi="Arial" w:cs="Arial"/>
          <w:sz w:val="22"/>
          <w:szCs w:val="22"/>
          <w:lang w:val="es-ES_tradnl"/>
        </w:rPr>
      </w:pPr>
    </w:p>
    <w:p w14:paraId="7F3CBD38" w14:textId="77777777" w:rsidR="00E92E0B" w:rsidRDefault="00E92E0B" w:rsidP="00E92E0B">
      <w:pPr>
        <w:jc w:val="both"/>
        <w:rPr>
          <w:rFonts w:ascii="Arial" w:eastAsia="Calibri" w:hAnsi="Arial" w:cs="Arial"/>
          <w:sz w:val="22"/>
          <w:szCs w:val="22"/>
          <w:lang w:val="es-ES_tradnl"/>
        </w:rPr>
      </w:pPr>
    </w:p>
    <w:p w14:paraId="5834060D" w14:textId="77777777" w:rsidR="00E92E0B" w:rsidRDefault="00E92E0B" w:rsidP="00E92E0B">
      <w:pPr>
        <w:jc w:val="both"/>
        <w:rPr>
          <w:rFonts w:ascii="Arial" w:eastAsia="Calibri" w:hAnsi="Arial" w:cs="Arial"/>
          <w:sz w:val="22"/>
          <w:szCs w:val="22"/>
          <w:lang w:val="es-ES_tradnl"/>
        </w:rPr>
      </w:pPr>
    </w:p>
    <w:p w14:paraId="5ED9128A" w14:textId="77777777" w:rsidR="00E92E0B" w:rsidRDefault="00E92E0B" w:rsidP="00E92E0B">
      <w:pPr>
        <w:jc w:val="both"/>
        <w:rPr>
          <w:rFonts w:ascii="Arial" w:eastAsia="Calibri" w:hAnsi="Arial" w:cs="Arial"/>
          <w:sz w:val="22"/>
          <w:szCs w:val="22"/>
          <w:lang w:val="es-ES_tradnl"/>
        </w:rPr>
      </w:pPr>
    </w:p>
    <w:p w14:paraId="48A90E9A" w14:textId="77777777" w:rsidR="00E92E0B" w:rsidRDefault="00E92E0B" w:rsidP="00E92E0B">
      <w:pPr>
        <w:jc w:val="both"/>
        <w:rPr>
          <w:rFonts w:ascii="Arial" w:eastAsia="Calibri" w:hAnsi="Arial" w:cs="Arial"/>
          <w:sz w:val="22"/>
          <w:szCs w:val="22"/>
          <w:lang w:val="es-ES_tradnl"/>
        </w:rPr>
      </w:pPr>
    </w:p>
    <w:p w14:paraId="18A1F4F4" w14:textId="77777777" w:rsidR="00E92E0B" w:rsidRDefault="00E92E0B" w:rsidP="00E92E0B">
      <w:pPr>
        <w:jc w:val="both"/>
        <w:rPr>
          <w:rFonts w:ascii="Arial" w:eastAsia="Calibri" w:hAnsi="Arial" w:cs="Arial"/>
          <w:sz w:val="22"/>
          <w:szCs w:val="22"/>
          <w:lang w:val="es-ES_tradnl"/>
        </w:rPr>
      </w:pPr>
    </w:p>
    <w:p w14:paraId="183EE14D" w14:textId="77777777" w:rsidR="00E92E0B" w:rsidRDefault="00E92E0B" w:rsidP="00E92E0B">
      <w:pPr>
        <w:jc w:val="both"/>
        <w:rPr>
          <w:rFonts w:ascii="Arial" w:eastAsia="Calibri" w:hAnsi="Arial" w:cs="Arial"/>
          <w:sz w:val="22"/>
          <w:szCs w:val="22"/>
          <w:lang w:val="es-ES_tradnl"/>
        </w:rPr>
      </w:pPr>
    </w:p>
    <w:p w14:paraId="3F560457" w14:textId="77777777" w:rsidR="00E92E0B" w:rsidRDefault="00E92E0B" w:rsidP="00E92E0B">
      <w:pPr>
        <w:jc w:val="both"/>
        <w:rPr>
          <w:rFonts w:ascii="Arial" w:eastAsia="Calibri" w:hAnsi="Arial" w:cs="Arial"/>
          <w:sz w:val="22"/>
          <w:szCs w:val="22"/>
          <w:lang w:val="es-ES_tradnl"/>
        </w:rPr>
      </w:pPr>
    </w:p>
    <w:p w14:paraId="61F14E60" w14:textId="77777777" w:rsidR="00E92E0B" w:rsidRDefault="00E92E0B" w:rsidP="00E92E0B">
      <w:pPr>
        <w:jc w:val="both"/>
        <w:rPr>
          <w:rFonts w:ascii="Arial" w:eastAsia="Calibri" w:hAnsi="Arial" w:cs="Arial"/>
          <w:sz w:val="22"/>
          <w:szCs w:val="22"/>
          <w:lang w:val="es-ES_tradnl"/>
        </w:rPr>
      </w:pPr>
    </w:p>
    <w:p w14:paraId="0158B1BD" w14:textId="77777777" w:rsidR="00E92E0B" w:rsidRDefault="00E92E0B" w:rsidP="00E92E0B">
      <w:pPr>
        <w:jc w:val="both"/>
        <w:rPr>
          <w:rFonts w:ascii="Arial" w:eastAsia="Calibri" w:hAnsi="Arial" w:cs="Arial"/>
          <w:sz w:val="22"/>
          <w:szCs w:val="22"/>
          <w:lang w:val="es-ES_tradnl"/>
        </w:rPr>
      </w:pPr>
    </w:p>
    <w:p w14:paraId="42A7529D" w14:textId="77777777" w:rsidR="00E92E0B" w:rsidRDefault="00E92E0B" w:rsidP="00E92E0B">
      <w:pPr>
        <w:jc w:val="both"/>
        <w:rPr>
          <w:rFonts w:ascii="Arial" w:eastAsia="Calibri" w:hAnsi="Arial" w:cs="Arial"/>
          <w:sz w:val="22"/>
          <w:szCs w:val="22"/>
          <w:lang w:val="es-ES_tradnl"/>
        </w:rPr>
      </w:pPr>
    </w:p>
    <w:p w14:paraId="759F037E" w14:textId="77777777" w:rsidR="009A2040" w:rsidRDefault="009A2040" w:rsidP="00E92E0B">
      <w:pPr>
        <w:rPr>
          <w:rFonts w:ascii="Geomanist Light" w:eastAsia="Geomanist Light" w:hAnsi="Geomanist Light" w:cs="Geomanist Light"/>
          <w:color w:val="000000" w:themeColor="text1"/>
          <w:lang w:val="es-MX"/>
        </w:rPr>
      </w:pPr>
    </w:p>
    <w:p w14:paraId="412877C0" w14:textId="77777777" w:rsidR="009A2040" w:rsidRDefault="009A2040" w:rsidP="00E92E0B">
      <w:pPr>
        <w:rPr>
          <w:rFonts w:ascii="Geomanist Light" w:eastAsia="Geomanist Light" w:hAnsi="Geomanist Light" w:cs="Geomanist Light"/>
          <w:color w:val="000000" w:themeColor="text1"/>
          <w:lang w:val="es-MX"/>
        </w:rPr>
      </w:pPr>
    </w:p>
    <w:p w14:paraId="607E75E2" w14:textId="77777777" w:rsidR="009A2040" w:rsidRDefault="009A2040" w:rsidP="00E92E0B">
      <w:pPr>
        <w:rPr>
          <w:rFonts w:ascii="Geomanist Light" w:eastAsia="Geomanist Light" w:hAnsi="Geomanist Light" w:cs="Geomanist Light"/>
          <w:color w:val="000000" w:themeColor="text1"/>
          <w:lang w:val="es-MX"/>
        </w:rPr>
      </w:pPr>
    </w:p>
    <w:p w14:paraId="211191F2" w14:textId="77777777" w:rsidR="009A2040" w:rsidRDefault="009A2040" w:rsidP="00E92E0B">
      <w:pPr>
        <w:rPr>
          <w:rFonts w:ascii="Geomanist Light" w:eastAsia="Geomanist Light" w:hAnsi="Geomanist Light" w:cs="Geomanist Light"/>
          <w:color w:val="000000" w:themeColor="text1"/>
          <w:lang w:val="es-MX"/>
        </w:rPr>
      </w:pPr>
    </w:p>
    <w:p w14:paraId="0410B6F8" w14:textId="77777777" w:rsidR="009A2040" w:rsidRDefault="009A2040" w:rsidP="00E92E0B">
      <w:pPr>
        <w:rPr>
          <w:rFonts w:ascii="Geomanist Light" w:eastAsia="Geomanist Light" w:hAnsi="Geomanist Light" w:cs="Geomanist Light"/>
          <w:color w:val="000000" w:themeColor="text1"/>
          <w:lang w:val="es-MX"/>
        </w:rPr>
      </w:pPr>
    </w:p>
    <w:p w14:paraId="6B4A1DA5" w14:textId="77777777" w:rsidR="009A2040" w:rsidRDefault="009A2040" w:rsidP="00E92E0B">
      <w:pPr>
        <w:rPr>
          <w:rFonts w:ascii="Geomanist Light" w:eastAsia="Geomanist Light" w:hAnsi="Geomanist Light" w:cs="Geomanist Light"/>
          <w:color w:val="000000" w:themeColor="text1"/>
          <w:lang w:val="es-MX"/>
        </w:rPr>
      </w:pPr>
    </w:p>
    <w:p w14:paraId="66B0C048" w14:textId="77777777" w:rsidR="009A2040" w:rsidRDefault="009A2040" w:rsidP="00E92E0B">
      <w:pPr>
        <w:rPr>
          <w:rFonts w:ascii="Geomanist Light" w:eastAsia="Geomanist Light" w:hAnsi="Geomanist Light" w:cs="Geomanist Light"/>
          <w:color w:val="000000" w:themeColor="text1"/>
          <w:lang w:val="es-MX"/>
        </w:rPr>
      </w:pPr>
    </w:p>
    <w:p w14:paraId="23E59A74" w14:textId="77777777" w:rsidR="009A2040" w:rsidRDefault="009A2040" w:rsidP="00E92E0B">
      <w:pPr>
        <w:rPr>
          <w:rFonts w:ascii="Geomanist Light" w:eastAsia="Geomanist Light" w:hAnsi="Geomanist Light" w:cs="Geomanist Light"/>
          <w:color w:val="000000" w:themeColor="text1"/>
          <w:lang w:val="es-MX"/>
        </w:rPr>
      </w:pPr>
    </w:p>
    <w:p w14:paraId="1929583B" w14:textId="77777777" w:rsidR="009A2040" w:rsidRDefault="009A2040" w:rsidP="00E92E0B">
      <w:pPr>
        <w:rPr>
          <w:rFonts w:ascii="Geomanist Light" w:eastAsia="Geomanist Light" w:hAnsi="Geomanist Light" w:cs="Geomanist Light"/>
          <w:color w:val="000000" w:themeColor="text1"/>
          <w:lang w:val="es-MX"/>
        </w:rPr>
      </w:pPr>
    </w:p>
    <w:p w14:paraId="22704457" w14:textId="77777777" w:rsidR="009A2040" w:rsidRDefault="009A2040" w:rsidP="00E92E0B">
      <w:pPr>
        <w:rPr>
          <w:rFonts w:ascii="Geomanist Light" w:eastAsia="Geomanist Light" w:hAnsi="Geomanist Light" w:cs="Geomanist Light"/>
          <w:color w:val="000000" w:themeColor="text1"/>
          <w:lang w:val="es-MX"/>
        </w:rPr>
      </w:pPr>
    </w:p>
    <w:p w14:paraId="4EF41DB1" w14:textId="77777777" w:rsidR="009A2040" w:rsidRDefault="009A2040" w:rsidP="00E92E0B">
      <w:pPr>
        <w:rPr>
          <w:rFonts w:ascii="Geomanist Light" w:eastAsia="Geomanist Light" w:hAnsi="Geomanist Light" w:cs="Geomanist Light"/>
          <w:color w:val="000000" w:themeColor="text1"/>
          <w:lang w:val="es-MX"/>
        </w:rPr>
      </w:pPr>
    </w:p>
    <w:p w14:paraId="0549AFF4" w14:textId="77777777" w:rsidR="009A2040" w:rsidRDefault="009A2040" w:rsidP="00E92E0B">
      <w:pPr>
        <w:rPr>
          <w:rFonts w:ascii="Geomanist Light" w:eastAsia="Geomanist Light" w:hAnsi="Geomanist Light" w:cs="Geomanist Light"/>
          <w:color w:val="000000" w:themeColor="text1"/>
          <w:lang w:val="es-MX"/>
        </w:rPr>
      </w:pPr>
    </w:p>
    <w:p w14:paraId="1C9DEAD4" w14:textId="77777777" w:rsidR="009A2040" w:rsidRDefault="009A2040" w:rsidP="00E92E0B">
      <w:pPr>
        <w:rPr>
          <w:rFonts w:ascii="Geomanist Light" w:eastAsia="Geomanist Light" w:hAnsi="Geomanist Light" w:cs="Geomanist Light"/>
          <w:color w:val="000000" w:themeColor="text1"/>
          <w:lang w:val="es-MX"/>
        </w:rPr>
      </w:pPr>
    </w:p>
    <w:p w14:paraId="74B1C44B" w14:textId="77777777" w:rsidR="009A2040" w:rsidRDefault="009A2040" w:rsidP="00E92E0B">
      <w:pPr>
        <w:rPr>
          <w:rFonts w:ascii="Geomanist Light" w:eastAsia="Geomanist Light" w:hAnsi="Geomanist Light" w:cs="Geomanist Light"/>
          <w:color w:val="000000" w:themeColor="text1"/>
          <w:lang w:val="es-MX"/>
        </w:rPr>
      </w:pPr>
    </w:p>
    <w:p w14:paraId="30016E26" w14:textId="77777777" w:rsidR="009A2040" w:rsidRDefault="009A2040" w:rsidP="00E92E0B">
      <w:pPr>
        <w:rPr>
          <w:rFonts w:ascii="Geomanist Light" w:eastAsia="Geomanist Light" w:hAnsi="Geomanist Light" w:cs="Geomanist Light"/>
          <w:color w:val="000000" w:themeColor="text1"/>
          <w:lang w:val="es-MX"/>
        </w:rPr>
      </w:pPr>
    </w:p>
    <w:p w14:paraId="3E8BF2C1" w14:textId="77777777" w:rsidR="009A2040" w:rsidRDefault="009A2040" w:rsidP="00E92E0B">
      <w:pPr>
        <w:rPr>
          <w:rFonts w:ascii="Geomanist Light" w:eastAsia="Geomanist Light" w:hAnsi="Geomanist Light" w:cs="Geomanist Light"/>
          <w:color w:val="000000" w:themeColor="text1"/>
          <w:lang w:val="es-MX"/>
        </w:rPr>
      </w:pPr>
    </w:p>
    <w:p w14:paraId="2819184B" w14:textId="0CF406F1" w:rsidR="00E92E0B" w:rsidRPr="00357DA7" w:rsidRDefault="00E92E0B" w:rsidP="00E92E0B">
      <w:pPr>
        <w:rPr>
          <w:rFonts w:ascii="Arial" w:eastAsia="Calibri" w:hAnsi="Arial" w:cs="Arial"/>
          <w:sz w:val="22"/>
          <w:szCs w:val="22"/>
          <w:lang w:val="es-ES_tradnl"/>
        </w:rPr>
      </w:pPr>
      <w:r w:rsidRPr="00357DA7">
        <w:rPr>
          <w:rFonts w:ascii="Arial" w:eastAsia="Calibri" w:hAnsi="Arial" w:cs="Arial"/>
          <w:sz w:val="22"/>
          <w:szCs w:val="22"/>
          <w:lang w:val="es-ES_tradnl"/>
        </w:rPr>
        <w:t>Bogotá D.C.,</w:t>
      </w:r>
      <w:r w:rsidR="00516F39" w:rsidRPr="00357DA7">
        <w:rPr>
          <w:rFonts w:ascii="Arial" w:eastAsia="Calibri" w:hAnsi="Arial" w:cs="Arial"/>
          <w:sz w:val="22"/>
          <w:szCs w:val="22"/>
          <w:lang w:val="es-ES_tradnl"/>
        </w:rPr>
        <w:t xml:space="preserve"> 3 de mayo de 2023</w:t>
      </w:r>
    </w:p>
    <w:p w14:paraId="65C5D095" w14:textId="42C57750" w:rsidR="00E92E0B" w:rsidRDefault="006505CB" w:rsidP="00E92E0B">
      <w:pPr>
        <w:jc w:val="both"/>
        <w:rPr>
          <w:rFonts w:ascii="Arial" w:eastAsia="Calibri" w:hAnsi="Arial" w:cs="Arial"/>
          <w:sz w:val="22"/>
          <w:szCs w:val="22"/>
          <w:lang w:val="es-ES_tradnl"/>
        </w:rPr>
      </w:pPr>
      <w:r w:rsidRPr="006505CB">
        <w:rPr>
          <w:rFonts w:ascii="Arial" w:eastAsia="Calibri" w:hAnsi="Arial" w:cs="Arial"/>
          <w:sz w:val="22"/>
          <w:szCs w:val="22"/>
          <w:lang w:val="es-ES_tradnl"/>
        </w:rPr>
        <w:drawing>
          <wp:anchor distT="0" distB="0" distL="114300" distR="114300" simplePos="0" relativeHeight="251658240" behindDoc="0" locked="0" layoutInCell="1" allowOverlap="1" wp14:anchorId="7E155DC8" wp14:editId="1BC2C24C">
            <wp:simplePos x="0" y="0"/>
            <wp:positionH relativeFrom="column">
              <wp:posOffset>2645491</wp:posOffset>
            </wp:positionH>
            <wp:positionV relativeFrom="paragraph">
              <wp:posOffset>53015</wp:posOffset>
            </wp:positionV>
            <wp:extent cx="2457450" cy="685800"/>
            <wp:effectExtent l="0" t="0" r="0" b="0"/>
            <wp:wrapNone/>
            <wp:docPr id="15754217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21714"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57450" cy="685800"/>
                    </a:xfrm>
                    <a:prstGeom prst="rect">
                      <a:avLst/>
                    </a:prstGeom>
                  </pic:spPr>
                </pic:pic>
              </a:graphicData>
            </a:graphic>
          </wp:anchor>
        </w:drawing>
      </w:r>
    </w:p>
    <w:p w14:paraId="70DFCE13" w14:textId="77777777" w:rsidR="00E92E0B" w:rsidRDefault="00E92E0B" w:rsidP="00E92E0B">
      <w:pPr>
        <w:jc w:val="both"/>
        <w:rPr>
          <w:rFonts w:ascii="Arial" w:eastAsia="Calibri" w:hAnsi="Arial" w:cs="Arial"/>
          <w:sz w:val="22"/>
          <w:szCs w:val="22"/>
          <w:lang w:val="es-ES_tradnl"/>
        </w:rPr>
      </w:pPr>
      <w:r w:rsidRPr="00090325">
        <w:rPr>
          <w:rFonts w:ascii="Arial" w:eastAsia="Calibri" w:hAnsi="Arial" w:cs="Arial"/>
          <w:sz w:val="22"/>
          <w:szCs w:val="22"/>
          <w:lang w:val="es-ES_tradnl"/>
        </w:rPr>
        <w:t>Señora</w:t>
      </w:r>
    </w:p>
    <w:p w14:paraId="54F1A8F6" w14:textId="77777777" w:rsidR="00E92E0B" w:rsidRPr="00556B9D" w:rsidRDefault="00E92E0B" w:rsidP="00E92E0B">
      <w:pPr>
        <w:jc w:val="both"/>
        <w:rPr>
          <w:rFonts w:ascii="Arial" w:eastAsia="Calibri" w:hAnsi="Arial" w:cs="Arial"/>
          <w:b/>
          <w:bCs/>
          <w:sz w:val="22"/>
          <w:szCs w:val="22"/>
          <w:lang w:val="es-ES_tradnl"/>
        </w:rPr>
      </w:pPr>
      <w:r w:rsidRPr="00556B9D">
        <w:rPr>
          <w:rFonts w:ascii="Arial" w:eastAsia="Calibri" w:hAnsi="Arial" w:cs="Arial"/>
          <w:b/>
          <w:bCs/>
          <w:sz w:val="22"/>
          <w:szCs w:val="22"/>
          <w:lang w:val="es-ES_tradnl"/>
        </w:rPr>
        <w:t>Johana Paola Rozo</w:t>
      </w:r>
    </w:p>
    <w:p w14:paraId="55EBBB29" w14:textId="77777777" w:rsidR="00E92E0B" w:rsidRPr="00556B9D" w:rsidRDefault="006505CB" w:rsidP="00E92E0B">
      <w:pPr>
        <w:jc w:val="both"/>
        <w:rPr>
          <w:rFonts w:ascii="Arial" w:eastAsia="Calibri" w:hAnsi="Arial" w:cs="Arial"/>
          <w:sz w:val="22"/>
          <w:szCs w:val="22"/>
          <w:lang w:val="es-ES_tradnl"/>
        </w:rPr>
      </w:pPr>
      <w:hyperlink r:id="rId12" w:history="1">
        <w:r w:rsidR="00E92E0B" w:rsidRPr="00556B9D">
          <w:rPr>
            <w:rFonts w:ascii="Arial" w:eastAsia="Calibri" w:hAnsi="Arial" w:cs="Arial"/>
            <w:sz w:val="22"/>
            <w:szCs w:val="22"/>
            <w:lang w:val="es-ES_tradnl"/>
          </w:rPr>
          <w:t>johanapr66@gmail.com</w:t>
        </w:r>
      </w:hyperlink>
      <w:r w:rsidR="00E92E0B" w:rsidRPr="00556B9D">
        <w:rPr>
          <w:rFonts w:ascii="Arial" w:eastAsia="Calibri" w:hAnsi="Arial" w:cs="Arial"/>
          <w:sz w:val="22"/>
          <w:szCs w:val="22"/>
          <w:lang w:val="es-ES_tradnl"/>
        </w:rPr>
        <w:t xml:space="preserve"> </w:t>
      </w:r>
    </w:p>
    <w:p w14:paraId="4F77ECE9" w14:textId="77777777" w:rsidR="00E92E0B" w:rsidRDefault="00E92E0B" w:rsidP="00E92E0B">
      <w:pPr>
        <w:jc w:val="both"/>
        <w:rPr>
          <w:rFonts w:ascii="Arial" w:eastAsia="Calibri" w:hAnsi="Arial" w:cs="Arial"/>
          <w:sz w:val="22"/>
          <w:szCs w:val="22"/>
          <w:lang w:val="es-ES_tradnl"/>
        </w:rPr>
      </w:pPr>
      <w:r w:rsidRPr="00556B9D">
        <w:rPr>
          <w:rFonts w:ascii="Arial" w:eastAsia="Calibri" w:hAnsi="Arial" w:cs="Arial"/>
          <w:sz w:val="22"/>
          <w:szCs w:val="22"/>
          <w:lang w:val="es-ES_tradnl"/>
        </w:rPr>
        <w:t>Ciudad</w:t>
      </w:r>
      <w:r w:rsidRPr="00090325">
        <w:rPr>
          <w:rFonts w:ascii="Arial" w:eastAsia="Calibri" w:hAnsi="Arial" w:cs="Arial"/>
          <w:sz w:val="22"/>
          <w:szCs w:val="22"/>
          <w:lang w:val="es-ES_tradnl"/>
        </w:rPr>
        <w:t xml:space="preserve">      </w:t>
      </w:r>
    </w:p>
    <w:p w14:paraId="46C87864" w14:textId="77777777" w:rsidR="00E92E0B" w:rsidRPr="00090325" w:rsidRDefault="00E92E0B" w:rsidP="00E92E0B">
      <w:pPr>
        <w:jc w:val="both"/>
        <w:rPr>
          <w:rFonts w:ascii="Arial" w:eastAsia="Calibri" w:hAnsi="Arial" w:cs="Arial"/>
          <w:sz w:val="22"/>
          <w:szCs w:val="22"/>
          <w:lang w:val="es-ES_tradnl"/>
        </w:rPr>
      </w:pPr>
      <w:r w:rsidRPr="00090325">
        <w:rPr>
          <w:rFonts w:ascii="Arial" w:eastAsia="Calibri" w:hAnsi="Arial" w:cs="Arial"/>
          <w:sz w:val="22"/>
          <w:szCs w:val="22"/>
          <w:lang w:val="es-ES_tradnl"/>
        </w:rPr>
        <w:t xml:space="preserve">                                  </w:t>
      </w:r>
    </w:p>
    <w:p w14:paraId="13BF74B0" w14:textId="77777777" w:rsidR="00E92E0B" w:rsidRPr="00090325" w:rsidRDefault="00E92E0B" w:rsidP="00E92E0B">
      <w:pPr>
        <w:spacing w:line="276" w:lineRule="auto"/>
        <w:jc w:val="center"/>
        <w:rPr>
          <w:rFonts w:ascii="Arial" w:eastAsia="Calibri" w:hAnsi="Arial" w:cs="Arial"/>
          <w:b/>
          <w:sz w:val="22"/>
          <w:szCs w:val="22"/>
          <w:lang w:val="es-ES_tradnl"/>
        </w:rPr>
      </w:pPr>
      <w:r w:rsidRPr="00090325">
        <w:rPr>
          <w:rFonts w:ascii="Arial" w:eastAsia="Calibri" w:hAnsi="Arial" w:cs="Arial"/>
          <w:b/>
          <w:sz w:val="22"/>
          <w:szCs w:val="22"/>
          <w:lang w:val="es-ES_tradnl"/>
        </w:rPr>
        <w:t>Concepto C – 100 de 2023</w:t>
      </w:r>
    </w:p>
    <w:p w14:paraId="32EC4E0B" w14:textId="77777777" w:rsidR="00E92E0B" w:rsidRPr="00090325" w:rsidRDefault="00E92E0B" w:rsidP="00E92E0B">
      <w:pPr>
        <w:spacing w:line="276" w:lineRule="auto"/>
        <w:jc w:val="center"/>
        <w:rPr>
          <w:rFonts w:ascii="Arial" w:eastAsia="Calibri" w:hAnsi="Arial" w:cs="Arial"/>
          <w:b/>
          <w:sz w:val="22"/>
          <w:szCs w:val="22"/>
          <w:lang w:val="es-ES_tradnl"/>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92E0B" w:rsidRPr="00090325" w14:paraId="217743AD" w14:textId="77777777" w:rsidTr="006505CB">
        <w:tc>
          <w:tcPr>
            <w:tcW w:w="2689" w:type="dxa"/>
            <w:hideMark/>
          </w:tcPr>
          <w:p w14:paraId="2E7AC820" w14:textId="77777777" w:rsidR="00E92E0B" w:rsidRPr="00090325" w:rsidRDefault="00E92E0B" w:rsidP="006505CB">
            <w:pPr>
              <w:spacing w:line="276" w:lineRule="auto"/>
              <w:rPr>
                <w:rFonts w:ascii="Arial" w:eastAsia="Calibri" w:hAnsi="Arial" w:cs="Arial"/>
                <w:lang w:val="es-ES_tradnl"/>
              </w:rPr>
            </w:pPr>
            <w:r w:rsidRPr="00090325">
              <w:rPr>
                <w:rFonts w:ascii="Arial" w:eastAsia="Calibri" w:hAnsi="Arial" w:cs="Arial"/>
                <w:b/>
                <w:lang w:val="es-ES_tradnl"/>
              </w:rPr>
              <w:t>Temas:</w:t>
            </w:r>
            <w:r w:rsidRPr="00090325">
              <w:rPr>
                <w:rFonts w:ascii="Arial" w:eastAsia="Calibri" w:hAnsi="Arial" w:cs="Arial"/>
                <w:lang w:val="es-ES_tradnl"/>
              </w:rPr>
              <w:t xml:space="preserve">           </w:t>
            </w:r>
          </w:p>
          <w:p w14:paraId="375C3C15" w14:textId="77777777" w:rsidR="00E92E0B" w:rsidRPr="00090325" w:rsidRDefault="00E92E0B" w:rsidP="006505CB">
            <w:pPr>
              <w:spacing w:line="276" w:lineRule="auto"/>
              <w:rPr>
                <w:rFonts w:ascii="Arial" w:eastAsia="Calibri" w:hAnsi="Arial" w:cs="Arial"/>
                <w:lang w:val="es-ES_tradnl"/>
              </w:rPr>
            </w:pPr>
            <w:r w:rsidRPr="00090325">
              <w:rPr>
                <w:rFonts w:ascii="Arial" w:eastAsia="Calibri" w:hAnsi="Arial" w:cs="Arial"/>
                <w:lang w:val="es-ES_tradnl"/>
              </w:rPr>
              <w:t xml:space="preserve">                           </w:t>
            </w:r>
          </w:p>
        </w:tc>
        <w:tc>
          <w:tcPr>
            <w:tcW w:w="6237" w:type="dxa"/>
            <w:hideMark/>
          </w:tcPr>
          <w:p w14:paraId="6879BDE7" w14:textId="77777777" w:rsidR="00E92E0B" w:rsidRPr="00090325" w:rsidRDefault="00E92E0B" w:rsidP="006505CB">
            <w:pPr>
              <w:spacing w:after="120" w:line="276" w:lineRule="auto"/>
              <w:rPr>
                <w:rFonts w:ascii="Arial" w:eastAsia="Calibri" w:hAnsi="Arial" w:cs="Arial"/>
                <w:lang w:val="es-ES_tradnl"/>
              </w:rPr>
            </w:pPr>
            <w:r w:rsidRPr="00090325">
              <w:rPr>
                <w:rFonts w:ascii="Arial" w:eastAsia="Calibri" w:hAnsi="Arial" w:cs="Arial"/>
                <w:lang w:val="es-ES_tradnl"/>
              </w:rPr>
              <w:t>RÉGIMEN DE INHABILIDADES E INCOMPATIBILIDADES –– Interpretación restrictiva</w:t>
            </w:r>
            <w:r>
              <w:rPr>
                <w:rFonts w:ascii="Arial" w:eastAsia="Calibri" w:hAnsi="Arial" w:cs="Arial"/>
                <w:lang w:val="es-ES_tradnl"/>
              </w:rPr>
              <w:t xml:space="preserve"> - </w:t>
            </w:r>
            <w:r w:rsidRPr="00D31D23">
              <w:rPr>
                <w:rFonts w:ascii="Arial" w:eastAsia="Calibri" w:hAnsi="Arial" w:cs="Arial"/>
                <w:lang w:val="es-ES_tradnl"/>
              </w:rPr>
              <w:t>CONTRATO DE PRESTACIÓN DE SERVICIOS PROFESIONALES</w:t>
            </w:r>
            <w:r>
              <w:rPr>
                <w:rFonts w:ascii="Arial" w:eastAsia="Calibri" w:hAnsi="Arial" w:cs="Arial"/>
                <w:lang w:val="es-ES_tradnl"/>
              </w:rPr>
              <w:t xml:space="preserve">- </w:t>
            </w:r>
            <w:r w:rsidRPr="00D31D23">
              <w:rPr>
                <w:rFonts w:ascii="Arial" w:eastAsia="Calibri" w:hAnsi="Arial" w:cs="Arial"/>
                <w:lang w:val="es-ES_tradnl"/>
              </w:rPr>
              <w:t>Requisitos y límites para su celebración</w:t>
            </w:r>
          </w:p>
        </w:tc>
      </w:tr>
      <w:tr w:rsidR="00E92E0B" w:rsidRPr="00090325" w14:paraId="1ACF04E8" w14:textId="77777777" w:rsidTr="006505CB">
        <w:tc>
          <w:tcPr>
            <w:tcW w:w="2689" w:type="dxa"/>
          </w:tcPr>
          <w:p w14:paraId="776C07E1" w14:textId="77777777" w:rsidR="00E92E0B" w:rsidRPr="00090325" w:rsidRDefault="00E92E0B" w:rsidP="006505CB">
            <w:pPr>
              <w:spacing w:line="276" w:lineRule="auto"/>
              <w:rPr>
                <w:rFonts w:ascii="Arial" w:eastAsia="Calibri" w:hAnsi="Arial" w:cs="Arial"/>
                <w:b/>
                <w:lang w:val="es-ES_tradnl"/>
              </w:rPr>
            </w:pPr>
            <w:r w:rsidRPr="00090325">
              <w:rPr>
                <w:rFonts w:ascii="Arial" w:eastAsia="Calibri" w:hAnsi="Arial" w:cs="Arial"/>
                <w:b/>
                <w:lang w:val="es-ES_tradnl"/>
              </w:rPr>
              <w:t>Radicación:</w:t>
            </w:r>
            <w:r w:rsidRPr="00090325">
              <w:rPr>
                <w:rFonts w:ascii="Arial" w:eastAsia="Calibri" w:hAnsi="Arial" w:cs="Arial"/>
                <w:lang w:val="es-ES_tradnl"/>
              </w:rPr>
              <w:t xml:space="preserve">                              </w:t>
            </w:r>
          </w:p>
        </w:tc>
        <w:tc>
          <w:tcPr>
            <w:tcW w:w="6237" w:type="dxa"/>
          </w:tcPr>
          <w:p w14:paraId="0677403F" w14:textId="77777777" w:rsidR="00E92E0B" w:rsidRPr="00A8686D" w:rsidRDefault="00E92E0B" w:rsidP="006505CB">
            <w:pPr>
              <w:spacing w:line="276" w:lineRule="auto"/>
              <w:rPr>
                <w:rFonts w:ascii="Arial" w:eastAsia="Calibri" w:hAnsi="Arial" w:cs="Arial"/>
                <w:lang w:val="es-ES_tradnl"/>
              </w:rPr>
            </w:pPr>
            <w:r w:rsidRPr="00090325">
              <w:rPr>
                <w:rFonts w:ascii="Arial" w:eastAsia="Calibri" w:hAnsi="Arial" w:cs="Arial"/>
                <w:lang w:val="es-ES_tradnl"/>
              </w:rPr>
              <w:t xml:space="preserve">Respuesta a consulta </w:t>
            </w:r>
            <w:r w:rsidRPr="00090325">
              <w:rPr>
                <w:rFonts w:ascii="Arial" w:hAnsi="Arial" w:cs="Arial"/>
                <w:color w:val="000000"/>
              </w:rPr>
              <w:t>P20230316002499</w:t>
            </w:r>
          </w:p>
          <w:p w14:paraId="27E86DF4" w14:textId="77777777" w:rsidR="00E92E0B" w:rsidRPr="00090325" w:rsidRDefault="00E92E0B" w:rsidP="006505CB">
            <w:pPr>
              <w:spacing w:line="276" w:lineRule="auto"/>
              <w:rPr>
                <w:rFonts w:ascii="Arial" w:eastAsia="Calibri" w:hAnsi="Arial" w:cs="Arial"/>
                <w:lang w:val="es-ES_tradnl"/>
              </w:rPr>
            </w:pPr>
          </w:p>
        </w:tc>
      </w:tr>
    </w:tbl>
    <w:p w14:paraId="12FBF4E7" w14:textId="77777777" w:rsidR="00E92E0B" w:rsidRPr="00090325" w:rsidRDefault="00E92E0B" w:rsidP="00E92E0B">
      <w:pPr>
        <w:spacing w:line="276" w:lineRule="auto"/>
        <w:jc w:val="both"/>
        <w:rPr>
          <w:rFonts w:ascii="Arial" w:eastAsia="Calibri" w:hAnsi="Arial" w:cs="Arial"/>
          <w:sz w:val="22"/>
          <w:szCs w:val="22"/>
          <w:lang w:val="es-ES_tradnl"/>
        </w:rPr>
      </w:pPr>
    </w:p>
    <w:p w14:paraId="66EEF35E" w14:textId="77777777" w:rsidR="00E92E0B" w:rsidRDefault="00E92E0B" w:rsidP="00E92E0B">
      <w:pPr>
        <w:spacing w:line="276" w:lineRule="auto"/>
        <w:jc w:val="both"/>
        <w:rPr>
          <w:rFonts w:ascii="Arial" w:eastAsia="Calibri" w:hAnsi="Arial" w:cs="Arial"/>
          <w:sz w:val="22"/>
          <w:szCs w:val="22"/>
          <w:lang w:val="es-ES_tradnl"/>
        </w:rPr>
      </w:pPr>
      <w:r w:rsidRPr="00090325">
        <w:rPr>
          <w:rFonts w:ascii="Arial" w:eastAsia="Calibri" w:hAnsi="Arial" w:cs="Arial"/>
          <w:sz w:val="22"/>
          <w:szCs w:val="22"/>
          <w:lang w:val="es-ES_tradnl"/>
        </w:rPr>
        <w:t xml:space="preserve">Estimada señora </w:t>
      </w:r>
      <w:r>
        <w:rPr>
          <w:rFonts w:ascii="Arial" w:eastAsia="Calibri" w:hAnsi="Arial" w:cs="Arial"/>
          <w:sz w:val="22"/>
          <w:szCs w:val="22"/>
          <w:lang w:val="es-ES_tradnl"/>
        </w:rPr>
        <w:t>Johana</w:t>
      </w:r>
      <w:r w:rsidRPr="00090325">
        <w:rPr>
          <w:rFonts w:ascii="Arial" w:eastAsia="Calibri" w:hAnsi="Arial" w:cs="Arial"/>
          <w:sz w:val="22"/>
          <w:szCs w:val="22"/>
          <w:lang w:val="es-ES_tradnl"/>
        </w:rPr>
        <w:t>:</w:t>
      </w:r>
    </w:p>
    <w:p w14:paraId="77FB58DA" w14:textId="77777777" w:rsidR="00E92E0B" w:rsidRPr="00090325" w:rsidRDefault="00E92E0B" w:rsidP="00E92E0B">
      <w:pPr>
        <w:spacing w:line="276" w:lineRule="auto"/>
        <w:jc w:val="both"/>
        <w:rPr>
          <w:rFonts w:ascii="Arial" w:eastAsia="Calibri" w:hAnsi="Arial" w:cs="Arial"/>
          <w:sz w:val="22"/>
          <w:szCs w:val="22"/>
          <w:lang w:val="es-ES_tradnl"/>
        </w:rPr>
      </w:pPr>
    </w:p>
    <w:p w14:paraId="008C9F22" w14:textId="77777777" w:rsidR="00E92E0B" w:rsidRPr="00090325" w:rsidRDefault="00E92E0B" w:rsidP="00E92E0B">
      <w:pPr>
        <w:spacing w:line="276" w:lineRule="auto"/>
        <w:jc w:val="both"/>
        <w:rPr>
          <w:rFonts w:ascii="Arial" w:eastAsia="Calibri" w:hAnsi="Arial" w:cs="Arial"/>
          <w:sz w:val="22"/>
          <w:szCs w:val="22"/>
          <w:lang w:val="es-ES_tradnl"/>
        </w:rPr>
      </w:pPr>
      <w:r w:rsidRPr="00090325">
        <w:rPr>
          <w:rFonts w:ascii="Arial" w:eastAsia="Calibri" w:hAnsi="Arial" w:cs="Arial"/>
          <w:sz w:val="22"/>
          <w:szCs w:val="22"/>
          <w:lang w:val="es-ES_tradnl"/>
        </w:rPr>
        <w:t>En ejercicio de la competencia otorgada por los artículos 11, numeral 8º, y 3º, numeral 5º, del Decreto Ley 4170 de 2011, la Agencia Nacional de Contratación Pública―Colombia Compra Eficiente responde sus peticiones de consulta del 1</w:t>
      </w:r>
      <w:r>
        <w:rPr>
          <w:rFonts w:ascii="Arial" w:eastAsia="Calibri" w:hAnsi="Arial" w:cs="Arial"/>
          <w:sz w:val="22"/>
          <w:szCs w:val="22"/>
          <w:lang w:val="es-ES_tradnl"/>
        </w:rPr>
        <w:t>6</w:t>
      </w:r>
      <w:r w:rsidRPr="00090325">
        <w:rPr>
          <w:rFonts w:ascii="Arial" w:eastAsia="Calibri" w:hAnsi="Arial" w:cs="Arial"/>
          <w:sz w:val="22"/>
          <w:szCs w:val="22"/>
          <w:lang w:val="es-ES_tradnl"/>
        </w:rPr>
        <w:t xml:space="preserve"> de </w:t>
      </w:r>
      <w:r>
        <w:rPr>
          <w:rFonts w:ascii="Arial" w:eastAsia="Calibri" w:hAnsi="Arial" w:cs="Arial"/>
          <w:sz w:val="22"/>
          <w:szCs w:val="22"/>
          <w:lang w:val="es-ES_tradnl"/>
        </w:rPr>
        <w:t>marzo</w:t>
      </w:r>
      <w:r w:rsidRPr="00090325">
        <w:rPr>
          <w:rFonts w:ascii="Arial" w:eastAsia="Calibri" w:hAnsi="Arial" w:cs="Arial"/>
          <w:sz w:val="22"/>
          <w:szCs w:val="22"/>
          <w:lang w:val="es-ES_tradnl"/>
        </w:rPr>
        <w:t xml:space="preserve"> de 202</w:t>
      </w:r>
      <w:r>
        <w:rPr>
          <w:rFonts w:ascii="Arial" w:eastAsia="Calibri" w:hAnsi="Arial" w:cs="Arial"/>
          <w:sz w:val="22"/>
          <w:szCs w:val="22"/>
          <w:lang w:val="es-ES_tradnl"/>
        </w:rPr>
        <w:t>3</w:t>
      </w:r>
      <w:r w:rsidRPr="00090325">
        <w:rPr>
          <w:rFonts w:ascii="Arial" w:eastAsia="Calibri" w:hAnsi="Arial" w:cs="Arial"/>
          <w:sz w:val="22"/>
          <w:szCs w:val="22"/>
          <w:lang w:val="es-ES_tradnl"/>
        </w:rPr>
        <w:t xml:space="preserve">. </w:t>
      </w:r>
    </w:p>
    <w:p w14:paraId="2DC17940" w14:textId="77777777" w:rsidR="00E92E0B" w:rsidRPr="00090325" w:rsidRDefault="00E92E0B" w:rsidP="00E92E0B">
      <w:pPr>
        <w:spacing w:line="276" w:lineRule="auto"/>
        <w:jc w:val="both"/>
        <w:rPr>
          <w:rFonts w:ascii="Arial" w:eastAsia="Calibri" w:hAnsi="Arial" w:cs="Arial"/>
          <w:sz w:val="22"/>
          <w:szCs w:val="22"/>
          <w:lang w:val="es-ES_tradnl"/>
        </w:rPr>
      </w:pPr>
    </w:p>
    <w:p w14:paraId="725551EF" w14:textId="77777777" w:rsidR="00E92E0B" w:rsidRPr="00090325" w:rsidRDefault="00E92E0B" w:rsidP="00E92E0B">
      <w:pPr>
        <w:pStyle w:val="ListParagraph"/>
        <w:numPr>
          <w:ilvl w:val="0"/>
          <w:numId w:val="3"/>
        </w:numPr>
        <w:spacing w:line="276" w:lineRule="auto"/>
        <w:ind w:left="426"/>
        <w:jc w:val="both"/>
        <w:rPr>
          <w:rFonts w:ascii="Arial" w:eastAsia="Calibri" w:hAnsi="Arial" w:cs="Arial"/>
          <w:b/>
          <w:sz w:val="22"/>
          <w:szCs w:val="22"/>
        </w:rPr>
      </w:pPr>
      <w:r w:rsidRPr="00090325">
        <w:rPr>
          <w:rFonts w:ascii="Arial" w:eastAsia="Calibri" w:hAnsi="Arial" w:cs="Arial"/>
          <w:b/>
          <w:sz w:val="22"/>
          <w:szCs w:val="22"/>
        </w:rPr>
        <w:t xml:space="preserve">Problemas planteados </w:t>
      </w:r>
    </w:p>
    <w:p w14:paraId="4E352051" w14:textId="77777777" w:rsidR="00E92E0B" w:rsidRPr="00090325" w:rsidRDefault="00E92E0B" w:rsidP="00E92E0B">
      <w:pPr>
        <w:autoSpaceDE w:val="0"/>
        <w:autoSpaceDN w:val="0"/>
        <w:adjustRightInd w:val="0"/>
        <w:spacing w:line="276" w:lineRule="auto"/>
        <w:jc w:val="both"/>
        <w:rPr>
          <w:rFonts w:ascii="Arial" w:eastAsia="Calibri" w:hAnsi="Arial" w:cs="Arial"/>
          <w:sz w:val="22"/>
          <w:szCs w:val="22"/>
          <w:lang w:val="es-MX"/>
        </w:rPr>
      </w:pPr>
    </w:p>
    <w:p w14:paraId="6725A79A" w14:textId="77777777" w:rsidR="00E92E0B" w:rsidRPr="00090325" w:rsidRDefault="00E92E0B" w:rsidP="00E92E0B">
      <w:pPr>
        <w:autoSpaceDE w:val="0"/>
        <w:autoSpaceDN w:val="0"/>
        <w:adjustRightInd w:val="0"/>
        <w:spacing w:line="276" w:lineRule="auto"/>
        <w:jc w:val="both"/>
        <w:rPr>
          <w:rFonts w:ascii="Arial" w:eastAsia="Calibri" w:hAnsi="Arial" w:cs="Arial"/>
          <w:sz w:val="22"/>
          <w:szCs w:val="22"/>
          <w:lang w:val="es-MX"/>
        </w:rPr>
      </w:pPr>
      <w:r w:rsidRPr="00090325">
        <w:rPr>
          <w:rFonts w:ascii="Arial" w:eastAsia="Calibri" w:hAnsi="Arial" w:cs="Arial"/>
          <w:sz w:val="22"/>
          <w:szCs w:val="22"/>
          <w:lang w:val="es-MX"/>
        </w:rPr>
        <w:t>Usted realiza la siguiente consulta:</w:t>
      </w:r>
      <w:bookmarkStart w:id="2" w:name="_Hlk63944432"/>
      <w:r w:rsidRPr="00090325">
        <w:rPr>
          <w:rFonts w:ascii="Arial" w:eastAsia="Calibri" w:hAnsi="Arial" w:cs="Arial"/>
          <w:sz w:val="22"/>
          <w:szCs w:val="22"/>
          <w:lang w:val="es-MX"/>
        </w:rPr>
        <w:t xml:space="preserve"> </w:t>
      </w:r>
    </w:p>
    <w:bookmarkEnd w:id="2"/>
    <w:p w14:paraId="2A9BB988" w14:textId="77777777" w:rsidR="00E92E0B" w:rsidRDefault="00E92E0B" w:rsidP="00E92E0B">
      <w:pPr>
        <w:jc w:val="both"/>
        <w:rPr>
          <w:rFonts w:ascii="Arial" w:hAnsi="Arial" w:cs="Arial"/>
          <w:sz w:val="22"/>
          <w:szCs w:val="22"/>
          <w:lang w:val="es-ES"/>
        </w:rPr>
      </w:pPr>
    </w:p>
    <w:p w14:paraId="3329502D" w14:textId="77777777" w:rsidR="00E92E0B" w:rsidRPr="00090325" w:rsidRDefault="00E92E0B" w:rsidP="00E92E0B">
      <w:pPr>
        <w:jc w:val="both"/>
        <w:rPr>
          <w:rFonts w:ascii="Arial" w:hAnsi="Arial" w:cs="Arial"/>
          <w:sz w:val="22"/>
          <w:szCs w:val="22"/>
          <w:lang w:val="es-ES"/>
        </w:rPr>
      </w:pPr>
      <w:r w:rsidRPr="00090325">
        <w:rPr>
          <w:rFonts w:ascii="Arial" w:hAnsi="Arial" w:cs="Arial"/>
          <w:sz w:val="22"/>
          <w:szCs w:val="22"/>
          <w:lang w:val="es-ES"/>
        </w:rPr>
        <w:t>De manera atenta solicito un concepto, sobre los contratos de prestación de servicio profesionales.</w:t>
      </w:r>
    </w:p>
    <w:p w14:paraId="52F5A9E9" w14:textId="77777777" w:rsidR="00E92E0B" w:rsidRPr="00A8686D" w:rsidRDefault="00E92E0B" w:rsidP="00E92E0B">
      <w:pPr>
        <w:ind w:left="709" w:right="709"/>
        <w:jc w:val="both"/>
        <w:rPr>
          <w:rFonts w:ascii="Arial" w:hAnsi="Arial" w:cs="Arial"/>
          <w:sz w:val="21"/>
          <w:szCs w:val="21"/>
          <w:lang w:val="es-ES"/>
        </w:rPr>
      </w:pPr>
    </w:p>
    <w:p w14:paraId="35842823" w14:textId="77777777" w:rsidR="00E92E0B" w:rsidRPr="00A8686D" w:rsidRDefault="00E92E0B" w:rsidP="00E92E0B">
      <w:pPr>
        <w:pStyle w:val="ListParagraph"/>
        <w:numPr>
          <w:ilvl w:val="0"/>
          <w:numId w:val="5"/>
        </w:numPr>
        <w:spacing w:after="160" w:line="259" w:lineRule="auto"/>
        <w:ind w:left="709" w:right="709"/>
        <w:jc w:val="both"/>
        <w:rPr>
          <w:rFonts w:ascii="Arial" w:hAnsi="Arial" w:cs="Arial"/>
          <w:sz w:val="21"/>
          <w:szCs w:val="21"/>
          <w:lang w:val="es-ES"/>
        </w:rPr>
      </w:pPr>
      <w:r w:rsidRPr="00A8686D">
        <w:rPr>
          <w:rFonts w:ascii="Arial" w:hAnsi="Arial" w:cs="Arial"/>
          <w:sz w:val="21"/>
          <w:szCs w:val="21"/>
          <w:lang w:val="es-ES"/>
        </w:rPr>
        <w:t>¿Si tengo un contrato de prestación de servició profesionales con una entidad pública de orden nacional, puedo tener otro contrato de prestación de servicios profesionales directo con una entidad pública de orden territorial, desde que tenga la capacidad de cumplir con las actividades de las dos entidades, teniendo en cuenta que el contrato seria entrega de productos específicos?</w:t>
      </w:r>
    </w:p>
    <w:p w14:paraId="2A048E0C" w14:textId="77777777" w:rsidR="00E92E0B" w:rsidRPr="00A8686D" w:rsidRDefault="00E92E0B" w:rsidP="00E92E0B">
      <w:pPr>
        <w:pStyle w:val="ListParagraph"/>
        <w:numPr>
          <w:ilvl w:val="0"/>
          <w:numId w:val="5"/>
        </w:numPr>
        <w:spacing w:after="160" w:line="259" w:lineRule="auto"/>
        <w:ind w:left="709" w:right="709"/>
        <w:jc w:val="both"/>
        <w:rPr>
          <w:rFonts w:ascii="Arial" w:hAnsi="Arial" w:cs="Arial"/>
          <w:sz w:val="21"/>
          <w:szCs w:val="21"/>
          <w:lang w:val="es-ES"/>
        </w:rPr>
      </w:pPr>
      <w:r w:rsidRPr="00A8686D">
        <w:rPr>
          <w:rFonts w:ascii="Arial" w:hAnsi="Arial" w:cs="Arial"/>
          <w:sz w:val="21"/>
          <w:szCs w:val="21"/>
          <w:lang w:val="es-ES"/>
        </w:rPr>
        <w:t>¿Si tengo un contrato de prestación de servició profesionales con una entidad pública de orden nacional, puedo presentarme a una licitación de mínima cuantía con otra entidad pública?</w:t>
      </w:r>
    </w:p>
    <w:p w14:paraId="0BCA3934" w14:textId="77777777" w:rsidR="00E92E0B" w:rsidRPr="00A8686D" w:rsidRDefault="00E92E0B" w:rsidP="00E92E0B">
      <w:pPr>
        <w:pStyle w:val="ListParagraph"/>
        <w:numPr>
          <w:ilvl w:val="0"/>
          <w:numId w:val="5"/>
        </w:numPr>
        <w:spacing w:after="160" w:line="259" w:lineRule="auto"/>
        <w:ind w:left="709" w:right="709"/>
        <w:jc w:val="both"/>
        <w:rPr>
          <w:rFonts w:ascii="Arial" w:hAnsi="Arial" w:cs="Arial"/>
          <w:sz w:val="21"/>
          <w:szCs w:val="21"/>
          <w:lang w:val="es-ES"/>
        </w:rPr>
      </w:pPr>
      <w:r w:rsidRPr="00A8686D">
        <w:rPr>
          <w:rFonts w:ascii="Arial" w:hAnsi="Arial" w:cs="Arial"/>
          <w:sz w:val="21"/>
          <w:szCs w:val="21"/>
          <w:lang w:val="es-ES"/>
        </w:rPr>
        <w:t>Si hago parte como socia de una empresa y trabajo de forma independiente con contrato de prestación de servició profesionales con una entidad pública de orden nacional, la empresa de la que soy socia puede presentarse a una invitación publica en cualquier entidad pública, y de cualquier orden, para prestar cualquier tipo de productos o servicios.</w:t>
      </w:r>
    </w:p>
    <w:p w14:paraId="6801475F" w14:textId="77777777" w:rsidR="00E92E0B" w:rsidRPr="00090325" w:rsidRDefault="00E92E0B" w:rsidP="00E92E0B">
      <w:pPr>
        <w:pStyle w:val="NormalWeb"/>
        <w:numPr>
          <w:ilvl w:val="0"/>
          <w:numId w:val="5"/>
        </w:numPr>
        <w:spacing w:before="0" w:beforeAutospacing="0" w:after="0" w:afterAutospacing="0"/>
        <w:ind w:left="426" w:right="709"/>
        <w:contextualSpacing/>
        <w:rPr>
          <w:rFonts w:ascii="Arial" w:eastAsia="Calibri" w:hAnsi="Arial" w:cs="Arial"/>
          <w:b/>
          <w:sz w:val="22"/>
          <w:szCs w:val="22"/>
        </w:rPr>
      </w:pPr>
      <w:r w:rsidRPr="00090325">
        <w:rPr>
          <w:rFonts w:ascii="Arial" w:eastAsia="Calibri" w:hAnsi="Arial" w:cs="Arial"/>
          <w:b/>
          <w:sz w:val="22"/>
          <w:szCs w:val="22"/>
        </w:rPr>
        <w:t>Consideraciones</w:t>
      </w:r>
    </w:p>
    <w:p w14:paraId="141BEC4B" w14:textId="77777777" w:rsidR="00E92E0B" w:rsidRDefault="00E92E0B" w:rsidP="00E92E0B">
      <w:pPr>
        <w:spacing w:before="240"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Para </w:t>
      </w:r>
      <w:r>
        <w:rPr>
          <w:rFonts w:ascii="Arial" w:eastAsia="Calibri" w:hAnsi="Arial" w:cs="Arial"/>
          <w:color w:val="000000" w:themeColor="text1"/>
          <w:sz w:val="22"/>
          <w:lang w:val="es-ES_tradnl"/>
        </w:rPr>
        <w:t>analizar</w:t>
      </w:r>
      <w:r w:rsidRPr="00F95886">
        <w:rPr>
          <w:rFonts w:ascii="Arial" w:eastAsia="Calibri" w:hAnsi="Arial" w:cs="Arial"/>
          <w:color w:val="000000" w:themeColor="text1"/>
          <w:sz w:val="22"/>
          <w:lang w:val="es-ES_tradnl"/>
        </w:rPr>
        <w:t xml:space="preserve"> el problema planteado, en primer lugar, se explicarán las características del régimen de inhabilidades e incompatibilidades en la contratación estatal, como límite a la capacidad para participar en procedimientos de selección y para celebrar contratos estatales. De manera especial, se sustentará la idea de que la interpretación restrictiva es un criterio hermenéutico que debe aplicarse, al tratar de desentrañar el sentido de las disposiciones que integran dicho régimen. En segundo lugar, se analizará el concepto, así como los requisitos y límites del contrato de prestación de servicios profesionales. En tercer lugar, se abordará la cuestión de si una entidad estatal puede celebrar dos o más contratos de prestación de servicios profesionales con alguien y si dichos contratos pueden coexistir.</w:t>
      </w:r>
    </w:p>
    <w:p w14:paraId="0E44B87D" w14:textId="2D9482F5" w:rsidR="00E92E0B" w:rsidRPr="00B34705" w:rsidRDefault="00E92E0B" w:rsidP="00E92E0B">
      <w:pPr>
        <w:spacing w:before="240" w:line="276" w:lineRule="auto"/>
        <w:ind w:firstLine="708"/>
        <w:jc w:val="both"/>
        <w:rPr>
          <w:rFonts w:ascii="Arial" w:eastAsia="Calibri" w:hAnsi="Arial" w:cs="Arial"/>
          <w:color w:val="000000" w:themeColor="text1"/>
          <w:sz w:val="22"/>
        </w:rPr>
      </w:pPr>
      <w:r w:rsidRPr="00783AC5">
        <w:rPr>
          <w:rFonts w:ascii="Arial" w:eastAsia="Calibri" w:hAnsi="Arial" w:cs="Arial"/>
          <w:color w:val="000000" w:themeColor="text1"/>
          <w:sz w:val="22"/>
          <w:lang w:val="es-ES_tradnl"/>
        </w:rPr>
        <w:t xml:space="preserve">La Agencia Nacional de Contratación Pública – Colombia Compra Eficiente, </w:t>
      </w:r>
      <w:r>
        <w:rPr>
          <w:rFonts w:ascii="Arial" w:hAnsi="Arial" w:cs="Arial"/>
          <w:color w:val="000000" w:themeColor="text1"/>
          <w:sz w:val="22"/>
          <w:lang w:val="es-ES_tradnl"/>
        </w:rPr>
        <w:t>Eficiente</w:t>
      </w:r>
      <w:r w:rsidRPr="00222BE8">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analizó desde una perspectiva general el régimen de inhabilidades e incompatibilidades en la </w:t>
      </w:r>
      <w:r w:rsidRPr="00D21E06">
        <w:rPr>
          <w:rFonts w:ascii="Arial" w:hAnsi="Arial" w:cs="Arial"/>
          <w:color w:val="000000" w:themeColor="text1"/>
          <w:sz w:val="22"/>
          <w:lang w:val="es-ES_tradnl"/>
        </w:rPr>
        <w:t>contratación pública, en los conceptos 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w:t>
      </w:r>
      <w:r>
        <w:rPr>
          <w:rFonts w:ascii="Arial" w:hAnsi="Arial" w:cs="Arial"/>
          <w:color w:val="000000" w:themeColor="text1"/>
          <w:sz w:val="22"/>
          <w:lang w:val="es-ES_tradnl"/>
        </w:rPr>
        <w:t>,</w:t>
      </w:r>
      <w:r w:rsidRPr="00D21E06">
        <w:rPr>
          <w:rFonts w:ascii="Arial" w:hAnsi="Arial" w:cs="Arial"/>
          <w:color w:val="000000" w:themeColor="text1"/>
          <w:sz w:val="22"/>
          <w:lang w:val="es-ES_tradnl"/>
        </w:rPr>
        <w:t xml:space="preserve"> C-815 del 18 de febrero de 2021, C-210 del 12 de mayo de 2021, C-275 del 11 de junio de 2021</w:t>
      </w:r>
      <w:r>
        <w:rPr>
          <w:rFonts w:ascii="Arial" w:hAnsi="Arial" w:cs="Arial"/>
          <w:color w:val="000000" w:themeColor="text1"/>
          <w:sz w:val="22"/>
          <w:lang w:val="es-ES_tradnl"/>
        </w:rPr>
        <w:t xml:space="preserve">, </w:t>
      </w:r>
      <w:r>
        <w:rPr>
          <w:rFonts w:ascii="Arial" w:hAnsi="Arial" w:cs="Arial"/>
          <w:noProof/>
          <w:sz w:val="22"/>
          <w:lang w:val="es-ES_tradnl"/>
        </w:rPr>
        <w:t xml:space="preserve">C-321 del 2 de julio de 2021, </w:t>
      </w:r>
      <w:r w:rsidRPr="00D21E06">
        <w:rPr>
          <w:rFonts w:ascii="Arial" w:hAnsi="Arial" w:cs="Arial"/>
          <w:color w:val="000000" w:themeColor="text1"/>
          <w:sz w:val="22"/>
          <w:lang w:val="es-ES_tradnl"/>
        </w:rPr>
        <w:t>C-410 del 7 de julio del 2021</w:t>
      </w:r>
      <w:r>
        <w:rPr>
          <w:rFonts w:ascii="Arial" w:hAnsi="Arial" w:cs="Arial"/>
          <w:color w:val="000000" w:themeColor="text1"/>
          <w:sz w:val="22"/>
          <w:lang w:val="es-ES_tradnl"/>
        </w:rPr>
        <w:t xml:space="preserve"> </w:t>
      </w:r>
      <w:r>
        <w:rPr>
          <w:rFonts w:ascii="Arial" w:hAnsi="Arial" w:cs="Arial"/>
          <w:noProof/>
          <w:sz w:val="22"/>
          <w:lang w:val="es-ES_tradnl"/>
        </w:rPr>
        <w:t xml:space="preserve">y C-491 del 14 de septiembre de 2021. </w:t>
      </w:r>
      <w:r>
        <w:rPr>
          <w:rFonts w:ascii="Arial" w:hAnsi="Arial" w:cs="Arial"/>
          <w:color w:val="000000" w:themeColor="text1"/>
          <w:sz w:val="22"/>
          <w:lang w:val="es-ES_tradnl"/>
        </w:rPr>
        <w:t xml:space="preserve">Frente a </w:t>
      </w:r>
      <w:r w:rsidRPr="00783AC5">
        <w:rPr>
          <w:rFonts w:ascii="Arial" w:eastAsia="Calibri" w:hAnsi="Arial" w:cs="Arial"/>
          <w:color w:val="000000" w:themeColor="text1"/>
          <w:sz w:val="22"/>
        </w:rPr>
        <w:t xml:space="preserve">la posibilidad de </w:t>
      </w:r>
      <w:r w:rsidRPr="006B73CA">
        <w:rPr>
          <w:rFonts w:ascii="Arial" w:eastAsia="Calibri" w:hAnsi="Arial" w:cs="Arial"/>
          <w:color w:val="000000" w:themeColor="text1"/>
          <w:sz w:val="22"/>
        </w:rPr>
        <w:t>que una persona ejecute varios contratos de prestación de servicios de manera simultánea</w:t>
      </w:r>
      <w:r w:rsidRPr="006B73CA">
        <w:rPr>
          <w:rFonts w:ascii="Arial" w:hAnsi="Arial" w:cs="Arial"/>
          <w:color w:val="000000" w:themeColor="text1"/>
          <w:sz w:val="22"/>
          <w:lang w:val="es-ES_tradnl"/>
        </w:rPr>
        <w:t xml:space="preserve">, esta Agencia se pronunció en los conceptos </w:t>
      </w:r>
      <w:r w:rsidRPr="006B73CA">
        <w:rPr>
          <w:rFonts w:ascii="Arial" w:eastAsia="Calibri" w:hAnsi="Arial" w:cs="Arial"/>
          <w:color w:val="000000" w:themeColor="text1"/>
          <w:sz w:val="22"/>
          <w:lang w:val="es-ES_tradnl"/>
        </w:rPr>
        <w:t xml:space="preserve">Concepto </w:t>
      </w:r>
      <w:r w:rsidRPr="006B73CA">
        <w:rPr>
          <w:rFonts w:ascii="Arial" w:eastAsia="Calibri" w:hAnsi="Arial" w:cs="Arial"/>
          <w:color w:val="000000" w:themeColor="text1"/>
          <w:sz w:val="22"/>
        </w:rPr>
        <w:t xml:space="preserve">C-090 del 24 de febrero de </w:t>
      </w:r>
      <w:proofErr w:type="gramStart"/>
      <w:r w:rsidRPr="006B73CA">
        <w:rPr>
          <w:rFonts w:ascii="Arial" w:eastAsia="Calibri" w:hAnsi="Arial" w:cs="Arial"/>
          <w:color w:val="000000" w:themeColor="text1"/>
          <w:sz w:val="22"/>
        </w:rPr>
        <w:t>2020</w:t>
      </w:r>
      <w:r w:rsidR="00634323">
        <w:rPr>
          <w:rFonts w:ascii="Arial" w:eastAsia="Calibri" w:hAnsi="Arial" w:cs="Arial"/>
          <w:color w:val="000000" w:themeColor="text1"/>
          <w:sz w:val="22"/>
        </w:rPr>
        <w:t xml:space="preserve">, </w:t>
      </w:r>
      <w:r w:rsidRPr="006B73CA">
        <w:rPr>
          <w:rFonts w:ascii="Arial" w:eastAsia="Calibri" w:hAnsi="Arial" w:cs="Arial"/>
          <w:color w:val="000000" w:themeColor="text1"/>
          <w:sz w:val="22"/>
        </w:rPr>
        <w:t xml:space="preserve"> C</w:t>
      </w:r>
      <w:proofErr w:type="gramEnd"/>
      <w:r w:rsidRPr="006B73CA">
        <w:rPr>
          <w:rFonts w:ascii="Arial" w:eastAsia="Calibri" w:hAnsi="Arial" w:cs="Arial"/>
          <w:color w:val="000000" w:themeColor="text1"/>
          <w:sz w:val="22"/>
        </w:rPr>
        <w:t>-004 del 12 de febrero de 2021</w:t>
      </w:r>
      <w:r w:rsidR="00634323">
        <w:rPr>
          <w:rFonts w:ascii="Arial" w:eastAsia="Calibri" w:hAnsi="Arial" w:cs="Arial"/>
          <w:color w:val="000000" w:themeColor="text1"/>
          <w:sz w:val="22"/>
        </w:rPr>
        <w:t>, C-376 del 14 de junio de 2022 y C-783</w:t>
      </w:r>
      <w:r>
        <w:rPr>
          <w:rFonts w:ascii="Arial" w:eastAsia="Calibri" w:hAnsi="Arial" w:cs="Arial"/>
          <w:color w:val="000000" w:themeColor="text1"/>
          <w:sz w:val="22"/>
        </w:rPr>
        <w:t xml:space="preserve"> </w:t>
      </w:r>
      <w:r w:rsidR="00634323">
        <w:rPr>
          <w:rFonts w:ascii="Arial" w:eastAsia="Calibri" w:hAnsi="Arial" w:cs="Arial"/>
          <w:color w:val="000000" w:themeColor="text1"/>
          <w:sz w:val="22"/>
        </w:rPr>
        <w:t xml:space="preserve">del 05 de diciembre de 2022, </w:t>
      </w:r>
      <w:r>
        <w:rPr>
          <w:rFonts w:ascii="Arial" w:eastAsia="Calibri" w:hAnsi="Arial" w:cs="Arial"/>
          <w:color w:val="000000" w:themeColor="text1"/>
          <w:sz w:val="22"/>
        </w:rPr>
        <w:t>entre otros</w:t>
      </w:r>
      <w:r w:rsidRPr="006B73CA">
        <w:rPr>
          <w:rFonts w:ascii="Arial" w:eastAsia="Calibri" w:hAnsi="Arial" w:cs="Arial"/>
          <w:color w:val="000000" w:themeColor="text1"/>
          <w:sz w:val="22"/>
        </w:rPr>
        <w:t>. Las tesis desarrolladas se reiteran y complementan en lo pertinente a continuación:</w:t>
      </w:r>
    </w:p>
    <w:p w14:paraId="7D665292" w14:textId="77777777" w:rsidR="00E92E0B" w:rsidRPr="00B34705" w:rsidRDefault="00E92E0B" w:rsidP="00E92E0B">
      <w:pPr>
        <w:tabs>
          <w:tab w:val="left" w:pos="426"/>
        </w:tabs>
        <w:spacing w:before="240" w:line="276" w:lineRule="auto"/>
        <w:jc w:val="both"/>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t xml:space="preserve">2.1. Régimen de inhabilidades e incompatibilidades en la contratación estatal: un límite a la capacidad contractual. La interpretación restrictiva como criterio hermenéutico de </w:t>
      </w:r>
      <w:r>
        <w:rPr>
          <w:rFonts w:ascii="Arial" w:eastAsia="Calibri" w:hAnsi="Arial" w:cs="Arial"/>
          <w:b/>
          <w:color w:val="000000" w:themeColor="text1"/>
          <w:sz w:val="22"/>
          <w:lang w:val="es-ES_tradnl"/>
        </w:rPr>
        <w:t>normas que afectan la capacidad jurídica</w:t>
      </w:r>
      <w:r w:rsidRPr="00F95886">
        <w:rPr>
          <w:rFonts w:ascii="Arial" w:eastAsia="Calibri" w:hAnsi="Arial" w:cs="Arial"/>
          <w:b/>
          <w:color w:val="000000" w:themeColor="text1"/>
          <w:sz w:val="22"/>
          <w:lang w:val="es-ES_tradnl"/>
        </w:rPr>
        <w:t xml:space="preserve"> </w:t>
      </w:r>
    </w:p>
    <w:p w14:paraId="597AAFF6" w14:textId="041818C1" w:rsidR="00E92E0B" w:rsidRPr="00F77AF2" w:rsidRDefault="00E92E0B" w:rsidP="00E92E0B">
      <w:pPr>
        <w:spacing w:before="240" w:line="276" w:lineRule="auto"/>
        <w:jc w:val="both"/>
        <w:rPr>
          <w:rFonts w:ascii="Arial" w:eastAsia="Arial" w:hAnsi="Arial" w:cs="Arial"/>
          <w:color w:val="000000"/>
          <w:sz w:val="22"/>
          <w:lang w:val="es-ES_tradnl"/>
        </w:rPr>
      </w:pPr>
      <w:r w:rsidRPr="00E84F83">
        <w:rPr>
          <w:rFonts w:ascii="Arial" w:eastAsia="Arial" w:hAnsi="Arial" w:cs="Arial"/>
          <w:color w:val="000000"/>
          <w:sz w:val="22"/>
          <w:lang w:val="es-ES_tradnl"/>
        </w:rPr>
        <w:t xml:space="preserve">En la contratación estatal, la </w:t>
      </w:r>
      <w:r w:rsidRPr="00E84F83">
        <w:rPr>
          <w:rFonts w:ascii="Arial" w:eastAsia="Arial" w:hAnsi="Arial" w:cs="Arial"/>
          <w:i/>
          <w:iCs/>
          <w:color w:val="000000"/>
          <w:sz w:val="22"/>
          <w:lang w:val="es-ES_tradnl"/>
        </w:rPr>
        <w:t>capacidad</w:t>
      </w:r>
      <w:r w:rsidRPr="00E84F83">
        <w:rPr>
          <w:rFonts w:ascii="Arial" w:eastAsia="Arial" w:hAnsi="Arial" w:cs="Arial"/>
          <w:color w:val="000000"/>
          <w:sz w:val="22"/>
          <w:lang w:val="es-ES_tradnl"/>
        </w:rPr>
        <w:t xml:space="preserve"> </w:t>
      </w:r>
      <w:r w:rsidRPr="00E84F83">
        <w:rPr>
          <w:rFonts w:ascii="Arial" w:eastAsia="Arial" w:hAnsi="Arial" w:cs="Arial"/>
          <w:i/>
          <w:iCs/>
          <w:color w:val="000000"/>
          <w:sz w:val="22"/>
          <w:lang w:val="es-ES_tradnl"/>
        </w:rPr>
        <w:t>jurídica</w:t>
      </w:r>
      <w:r w:rsidRPr="00E84F83">
        <w:rPr>
          <w:rFonts w:ascii="Arial" w:eastAsia="Arial" w:hAnsi="Arial" w:cs="Arial"/>
          <w:color w:val="000000"/>
          <w:sz w:val="22"/>
          <w:lang w:val="es-ES_tradnl"/>
        </w:rPr>
        <w:t xml:space="preserve"> también es un requisito de validez de los contratos, tanto en el régimen de las entidades sujetas al Estatuto General de Contratación de la Administración Pública</w:t>
      </w:r>
      <w:r w:rsidRPr="00E84F83">
        <w:rPr>
          <w:rFonts w:ascii="Arial" w:eastAsia="Arial" w:hAnsi="Arial" w:cs="Arial"/>
          <w:color w:val="000000"/>
          <w:sz w:val="22"/>
          <w:vertAlign w:val="superscript"/>
          <w:lang w:val="es-ES_tradnl"/>
        </w:rPr>
        <w:footnoteReference w:id="2"/>
      </w:r>
      <w:r w:rsidRPr="00E84F83">
        <w:rPr>
          <w:rFonts w:ascii="Arial" w:eastAsia="Arial" w:hAnsi="Arial" w:cs="Arial"/>
          <w:color w:val="000000"/>
          <w:sz w:val="22"/>
          <w:lang w:val="es-ES_tradnl"/>
        </w:rPr>
        <w:t xml:space="preserve"> como en el de las entidades exceptuadas de aquel</w:t>
      </w:r>
      <w:r w:rsidRPr="00E84F83">
        <w:rPr>
          <w:rFonts w:ascii="Arial" w:eastAsia="Arial" w:hAnsi="Arial" w:cs="Arial"/>
          <w:color w:val="000000"/>
          <w:sz w:val="22"/>
          <w:vertAlign w:val="superscript"/>
          <w:lang w:val="es-ES_tradnl"/>
        </w:rPr>
        <w:footnoteReference w:id="3"/>
      </w:r>
      <w:r w:rsidRPr="00E84F83">
        <w:rPr>
          <w:rFonts w:ascii="Arial" w:eastAsia="Arial" w:hAnsi="Arial" w:cs="Arial"/>
          <w:color w:val="000000"/>
          <w:sz w:val="22"/>
          <w:lang w:val="es-ES_tradnl"/>
        </w:rPr>
        <w:t>. Si bien la regulación de la capacidad se integra por varias disposiciones y exigencias especiales –como el requisito de inscribirse, por regla general, en el Registro Único de Proponentes (RUP)–,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E84F83">
        <w:rPr>
          <w:rFonts w:ascii="Arial" w:eastAsia="Arial" w:hAnsi="Arial" w:cs="Arial"/>
          <w:color w:val="000000"/>
          <w:sz w:val="22"/>
          <w:vertAlign w:val="superscript"/>
          <w:lang w:val="es-ES_tradnl"/>
        </w:rPr>
        <w:footnoteReference w:id="4"/>
      </w:r>
      <w:r w:rsidRPr="00E84F83">
        <w:rPr>
          <w:rFonts w:ascii="Arial" w:eastAsia="Arial" w:hAnsi="Arial" w:cs="Arial"/>
          <w:color w:val="000000"/>
          <w:sz w:val="22"/>
          <w:lang w:val="es-ES_tradnl"/>
        </w:rPr>
        <w:t>.</w:t>
      </w:r>
      <w:r w:rsidR="00634323" w:rsidRPr="00634323">
        <w:rPr>
          <w:rFonts w:ascii="Arial" w:eastAsia="Calibri" w:hAnsi="Arial" w:cs="Arial"/>
          <w:color w:val="000000" w:themeColor="text1"/>
          <w:sz w:val="20"/>
          <w:szCs w:val="20"/>
          <w:lang w:val="es-ES_tradnl"/>
        </w:rPr>
        <w:t xml:space="preserve"> </w:t>
      </w:r>
      <w:r w:rsidR="00634323" w:rsidRPr="00634323">
        <w:rPr>
          <w:rFonts w:ascii="Arial" w:eastAsia="Arial" w:hAnsi="Arial" w:cs="Arial"/>
          <w:color w:val="000000"/>
          <w:sz w:val="22"/>
          <w:lang w:val="es-ES_tradnl"/>
        </w:rPr>
        <w:t>Este régimen de inhabilidades e incompatibilidades aplica, incluso en el marco de los contratos no sometidos a la Ley 80 de 1993, en los términos del artículo 13 de la Ley 1150 de 2007.</w:t>
      </w:r>
    </w:p>
    <w:p w14:paraId="52BD5332" w14:textId="77777777" w:rsidR="00E92E0B" w:rsidRPr="00F95886" w:rsidRDefault="00E92E0B" w:rsidP="00E92E0B">
      <w:pPr>
        <w:spacing w:before="240"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F95886">
        <w:rPr>
          <w:rFonts w:ascii="Arial" w:eastAsia="Calibri" w:hAnsi="Arial" w:cs="Arial"/>
          <w:color w:val="000000" w:themeColor="text1"/>
          <w:sz w:val="22"/>
          <w:vertAlign w:val="superscript"/>
          <w:lang w:val="es-ES_tradnl"/>
        </w:rPr>
        <w:footnoteReference w:id="5"/>
      </w:r>
      <w:r w:rsidRPr="00F95886">
        <w:rPr>
          <w:rFonts w:ascii="Arial" w:eastAsia="Calibri" w:hAnsi="Arial" w:cs="Arial"/>
          <w:color w:val="000000" w:themeColor="text1"/>
          <w:sz w:val="22"/>
          <w:lang w:val="es-ES_tradnl"/>
        </w:rPr>
        <w:t xml:space="preserve">, </w:t>
      </w:r>
      <w:proofErr w:type="spellStart"/>
      <w:r w:rsidRPr="00F95886">
        <w:rPr>
          <w:rFonts w:ascii="Arial" w:eastAsia="Calibri" w:hAnsi="Arial" w:cs="Arial"/>
          <w:color w:val="000000" w:themeColor="text1"/>
          <w:sz w:val="22"/>
          <w:lang w:val="es-ES_tradnl"/>
        </w:rPr>
        <w:t>ii</w:t>
      </w:r>
      <w:proofErr w:type="spellEnd"/>
      <w:r w:rsidRPr="00F95886">
        <w:rPr>
          <w:rFonts w:ascii="Arial" w:eastAsia="Calibri" w:hAnsi="Arial" w:cs="Arial"/>
          <w:color w:val="000000" w:themeColor="text1"/>
          <w:sz w:val="22"/>
          <w:lang w:val="es-ES_tradnl"/>
        </w:rPr>
        <w:t>) de vínculos personales relativos al parentesco o al estado civil</w:t>
      </w:r>
      <w:r w:rsidRPr="00F95886">
        <w:rPr>
          <w:rFonts w:ascii="Arial" w:eastAsia="Calibri" w:hAnsi="Arial" w:cs="Arial"/>
          <w:color w:val="000000" w:themeColor="text1"/>
          <w:sz w:val="22"/>
          <w:vertAlign w:val="superscript"/>
          <w:lang w:val="es-ES_tradnl"/>
        </w:rPr>
        <w:footnoteReference w:id="6"/>
      </w:r>
      <w:r w:rsidRPr="00F95886">
        <w:rPr>
          <w:rFonts w:ascii="Arial" w:eastAsia="Calibri" w:hAnsi="Arial" w:cs="Arial"/>
          <w:color w:val="000000" w:themeColor="text1"/>
          <w:sz w:val="22"/>
          <w:lang w:val="es-ES_tradnl"/>
        </w:rPr>
        <w:t xml:space="preserve"> o </w:t>
      </w:r>
      <w:proofErr w:type="spellStart"/>
      <w:r w:rsidRPr="00F95886">
        <w:rPr>
          <w:rFonts w:ascii="Arial" w:eastAsia="Calibri" w:hAnsi="Arial" w:cs="Arial"/>
          <w:color w:val="000000" w:themeColor="text1"/>
          <w:sz w:val="22"/>
          <w:lang w:val="es-ES_tradnl"/>
        </w:rPr>
        <w:t>iii</w:t>
      </w:r>
      <w:proofErr w:type="spellEnd"/>
      <w:r w:rsidRPr="00F95886">
        <w:rPr>
          <w:rFonts w:ascii="Arial" w:eastAsia="Calibri" w:hAnsi="Arial" w:cs="Arial"/>
          <w:color w:val="000000" w:themeColor="text1"/>
          <w:sz w:val="22"/>
          <w:lang w:val="es-ES_tradnl"/>
        </w:rPr>
        <w:t>) de una actividad u oficio que se desempeñó en el pasado</w:t>
      </w:r>
      <w:r w:rsidRPr="00F95886">
        <w:rPr>
          <w:rFonts w:ascii="Arial" w:eastAsia="Calibri" w:hAnsi="Arial" w:cs="Arial"/>
          <w:color w:val="000000" w:themeColor="text1"/>
          <w:sz w:val="22"/>
          <w:vertAlign w:val="superscript"/>
          <w:lang w:val="es-ES_tradnl"/>
        </w:rPr>
        <w:footnoteReference w:id="7"/>
      </w:r>
      <w:r w:rsidRPr="00F95886">
        <w:rPr>
          <w:rFonts w:ascii="Arial" w:eastAsia="Calibri" w:hAnsi="Arial" w:cs="Arial"/>
          <w:color w:val="000000" w:themeColor="text1"/>
          <w:sz w:val="22"/>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F95886">
        <w:rPr>
          <w:rFonts w:ascii="Arial" w:eastAsia="Calibri" w:hAnsi="Arial" w:cs="Arial"/>
          <w:color w:val="000000" w:themeColor="text1"/>
          <w:sz w:val="22"/>
          <w:vertAlign w:val="superscript"/>
          <w:lang w:val="es-ES_tradnl"/>
        </w:rPr>
        <w:footnoteReference w:id="8"/>
      </w:r>
      <w:r w:rsidRPr="00F95886">
        <w:rPr>
          <w:rFonts w:ascii="Arial" w:eastAsia="Calibri" w:hAnsi="Arial" w:cs="Arial"/>
          <w:color w:val="000000" w:themeColor="text1"/>
          <w:sz w:val="22"/>
          <w:lang w:val="es-ES_tradnl"/>
        </w:rPr>
        <w:t xml:space="preserve">. </w:t>
      </w:r>
    </w:p>
    <w:p w14:paraId="442D9568" w14:textId="77777777" w:rsidR="00E92E0B" w:rsidRPr="00F95886" w:rsidRDefault="00E92E0B" w:rsidP="00E92E0B">
      <w:pPr>
        <w:spacing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El régimen de inhabilidades e incompatibilidades en la contratación pública responde a la tendencia</w:t>
      </w:r>
      <w:r>
        <w:rPr>
          <w:rFonts w:ascii="Arial" w:eastAsia="Calibri" w:hAnsi="Arial" w:cs="Arial"/>
          <w:color w:val="000000" w:themeColor="text1"/>
          <w:sz w:val="22"/>
          <w:lang w:val="es-ES_tradnl"/>
        </w:rPr>
        <w:t xml:space="preserve"> </w:t>
      </w:r>
      <w:r w:rsidRPr="00F95886">
        <w:rPr>
          <w:rFonts w:ascii="Arial" w:eastAsia="Calibri" w:hAnsi="Arial" w:cs="Arial"/>
          <w:color w:val="000000" w:themeColor="text1"/>
          <w:sz w:val="22"/>
          <w:lang w:val="es-ES_tradnl"/>
        </w:rPr>
        <w:t>de asegurar que la provisión de los bienes y servicios por parte de las entidades estatales se efectúe cumpliendo con los principios de la función administrativa y de la gestión fiscal, especialmente con probidad y transparencia. Es por e</w:t>
      </w:r>
      <w:r>
        <w:rPr>
          <w:rFonts w:ascii="Arial" w:eastAsia="Calibri" w:hAnsi="Arial" w:cs="Arial"/>
          <w:color w:val="000000" w:themeColor="text1"/>
          <w:sz w:val="22"/>
          <w:lang w:val="es-ES_tradnl"/>
        </w:rPr>
        <w:t>so</w:t>
      </w:r>
      <w:r w:rsidRPr="00F95886">
        <w:rPr>
          <w:rFonts w:ascii="Arial" w:eastAsia="Calibri" w:hAnsi="Arial" w:cs="Arial"/>
          <w:color w:val="000000" w:themeColor="text1"/>
          <w:sz w:val="22"/>
          <w:lang w:val="es-ES_tradnl"/>
        </w:rPr>
        <w:t xml:space="preserve"> </w:t>
      </w:r>
      <w:proofErr w:type="gramStart"/>
      <w:r w:rsidRPr="00F95886">
        <w:rPr>
          <w:rFonts w:ascii="Arial" w:eastAsia="Calibri" w:hAnsi="Arial" w:cs="Arial"/>
          <w:color w:val="000000" w:themeColor="text1"/>
          <w:sz w:val="22"/>
          <w:lang w:val="es-ES_tradnl"/>
        </w:rPr>
        <w:t>que</w:t>
      </w:r>
      <w:proofErr w:type="gramEnd"/>
      <w:r w:rsidRPr="00F95886">
        <w:rPr>
          <w:rFonts w:ascii="Arial" w:eastAsia="Calibri" w:hAnsi="Arial" w:cs="Arial"/>
          <w:color w:val="000000" w:themeColor="text1"/>
          <w:sz w:val="22"/>
          <w:lang w:val="es-ES_tradnl"/>
        </w:rPr>
        <w:t xml:space="preserve">, como lo ha destacado la doctrina, las inhabilidades e incompatibilidades </w:t>
      </w:r>
      <w:r>
        <w:rPr>
          <w:rFonts w:ascii="Arial" w:eastAsia="Calibri" w:hAnsi="Arial" w:cs="Arial"/>
          <w:color w:val="000000" w:themeColor="text1"/>
          <w:sz w:val="22"/>
          <w:lang w:val="es-ES_tradnl"/>
        </w:rPr>
        <w:t>son</w:t>
      </w:r>
      <w:r w:rsidRPr="00F95886">
        <w:rPr>
          <w:rFonts w:ascii="Arial" w:eastAsia="Calibri" w:hAnsi="Arial" w:cs="Arial"/>
          <w:color w:val="000000" w:themeColor="text1"/>
          <w:sz w:val="22"/>
          <w:lang w:val="es-ES_tradnl"/>
        </w:rPr>
        <w:t xml:space="preserve"> herramientas en la lucha contra la corrupción, adoptando paulatinamente un </w:t>
      </w:r>
      <w:r>
        <w:rPr>
          <w:rFonts w:ascii="Arial" w:eastAsia="Calibri" w:hAnsi="Arial" w:cs="Arial"/>
          <w:color w:val="000000" w:themeColor="text1"/>
          <w:sz w:val="22"/>
          <w:lang w:val="es-ES_tradnl"/>
        </w:rPr>
        <w:t>carácter</w:t>
      </w:r>
      <w:r w:rsidRPr="00F95886">
        <w:rPr>
          <w:rFonts w:ascii="Arial" w:eastAsia="Calibri" w:hAnsi="Arial" w:cs="Arial"/>
          <w:color w:val="000000" w:themeColor="text1"/>
          <w:sz w:val="22"/>
          <w:lang w:val="es-ES_tradnl"/>
        </w:rPr>
        <w:t xml:space="preserve"> sancionatorio o «</w:t>
      </w:r>
      <w:proofErr w:type="spellStart"/>
      <w:r w:rsidRPr="00F95886">
        <w:rPr>
          <w:rFonts w:ascii="Arial" w:eastAsia="Calibri" w:hAnsi="Arial" w:cs="Arial"/>
          <w:color w:val="000000" w:themeColor="text1"/>
          <w:sz w:val="22"/>
          <w:lang w:val="es-ES_tradnl"/>
        </w:rPr>
        <w:t>neopunitivo</w:t>
      </w:r>
      <w:proofErr w:type="spellEnd"/>
      <w:r w:rsidRPr="00F95886">
        <w:rPr>
          <w:rFonts w:ascii="Arial" w:eastAsia="Calibri" w:hAnsi="Arial" w:cs="Arial"/>
          <w:color w:val="000000" w:themeColor="text1"/>
          <w:sz w:val="22"/>
          <w:lang w:val="es-ES_tradnl"/>
        </w:rPr>
        <w:t>»</w:t>
      </w:r>
      <w:r w:rsidRPr="00F95886">
        <w:rPr>
          <w:rFonts w:ascii="Arial" w:eastAsia="Calibri" w:hAnsi="Arial" w:cs="Arial"/>
          <w:color w:val="000000" w:themeColor="text1"/>
          <w:sz w:val="22"/>
          <w:vertAlign w:val="superscript"/>
          <w:lang w:val="es-ES_tradnl"/>
        </w:rPr>
        <w:footnoteReference w:id="9"/>
      </w:r>
      <w:r w:rsidRPr="00F95886">
        <w:rPr>
          <w:rFonts w:ascii="Arial" w:eastAsia="Calibri" w:hAnsi="Arial"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23C9945E" w14:textId="77777777" w:rsidR="00E92E0B" w:rsidRPr="00F95886" w:rsidRDefault="00E92E0B" w:rsidP="00E92E0B">
      <w:pPr>
        <w:spacing w:after="120"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F95886">
        <w:rPr>
          <w:rFonts w:ascii="Arial" w:eastAsia="Calibri" w:hAnsi="Arial" w:cs="Arial"/>
          <w:i/>
          <w:iCs/>
          <w:color w:val="000000" w:themeColor="text1"/>
          <w:sz w:val="22"/>
          <w:lang w:val="es-ES_tradnl"/>
        </w:rPr>
        <w:t>restrictiva</w:t>
      </w:r>
      <w:r w:rsidRPr="00F95886">
        <w:rPr>
          <w:rFonts w:ascii="Arial" w:eastAsia="Calibri" w:hAnsi="Arial" w:cs="Arial"/>
          <w:color w:val="000000" w:themeColor="text1"/>
          <w:sz w:val="22"/>
          <w:vertAlign w:val="superscript"/>
          <w:lang w:val="es-ES_tradnl"/>
        </w:rPr>
        <w:footnoteReference w:id="10"/>
      </w:r>
      <w:r>
        <w:rPr>
          <w:rFonts w:ascii="Arial" w:eastAsia="Calibri" w:hAnsi="Arial" w:cs="Arial"/>
          <w:color w:val="000000" w:themeColor="text1"/>
          <w:sz w:val="22"/>
          <w:lang w:val="es-ES_tradnl"/>
        </w:rPr>
        <w:t xml:space="preserve">. En efecto, </w:t>
      </w:r>
      <w:r w:rsidRPr="00F95886">
        <w:rPr>
          <w:rFonts w:ascii="Arial" w:eastAsia="Calibri" w:hAnsi="Arial" w:cs="Arial"/>
          <w:color w:val="000000" w:themeColor="text1"/>
          <w:sz w:val="22"/>
          <w:lang w:val="es-ES_tradnl"/>
        </w:rPr>
        <w:t xml:space="preserve">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074DAEF9" w14:textId="77777777" w:rsidR="00E92E0B" w:rsidRPr="00F95886" w:rsidRDefault="00E92E0B" w:rsidP="00E92E0B">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F95886">
        <w:rPr>
          <w:rFonts w:ascii="Arial" w:eastAsia="Calibri" w:hAnsi="Arial" w:cs="Arial"/>
          <w:color w:val="000000" w:themeColor="text1"/>
          <w:sz w:val="22"/>
          <w:vertAlign w:val="superscript"/>
          <w:lang w:val="es-ES_tradnl"/>
        </w:rPr>
        <w:footnoteReference w:id="11"/>
      </w:r>
      <w:r w:rsidRPr="00F95886">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95886">
        <w:rPr>
          <w:rFonts w:ascii="Arial" w:eastAsia="Calibri" w:hAnsi="Arial" w:cs="Arial"/>
          <w:color w:val="000000" w:themeColor="text1"/>
          <w:sz w:val="22"/>
          <w:vertAlign w:val="superscript"/>
          <w:lang w:val="es-ES_tradnl"/>
        </w:rPr>
        <w:footnoteReference w:id="12"/>
      </w:r>
      <w:r w:rsidRPr="00F95886">
        <w:rPr>
          <w:rFonts w:ascii="Arial" w:eastAsia="Calibri" w:hAnsi="Arial" w:cs="Arial"/>
          <w:color w:val="000000" w:themeColor="text1"/>
          <w:sz w:val="22"/>
          <w:lang w:val="es-ES_tradnl"/>
        </w:rPr>
        <w:t>. En tal sentido, la Sección Tercera ha señalado que:</w:t>
      </w:r>
    </w:p>
    <w:p w14:paraId="4A3E2B3F" w14:textId="77777777" w:rsidR="00E92E0B" w:rsidRPr="00F95886" w:rsidRDefault="00E92E0B" w:rsidP="00E92E0B">
      <w:pPr>
        <w:spacing w:line="276" w:lineRule="auto"/>
        <w:ind w:firstLine="709"/>
        <w:jc w:val="both"/>
        <w:rPr>
          <w:rFonts w:ascii="Arial" w:eastAsia="Calibri" w:hAnsi="Arial" w:cs="Arial"/>
          <w:color w:val="000000" w:themeColor="text1"/>
          <w:sz w:val="22"/>
          <w:lang w:val="es-ES_tradnl"/>
        </w:rPr>
      </w:pPr>
    </w:p>
    <w:p w14:paraId="4E0DF0D8" w14:textId="77777777" w:rsidR="00E92E0B" w:rsidRPr="00F95886" w:rsidRDefault="00E92E0B" w:rsidP="00E92E0B">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F95886">
        <w:rPr>
          <w:rFonts w:ascii="Arial" w:hAnsi="Arial" w:cs="Arial"/>
          <w:color w:val="000000" w:themeColor="text1"/>
          <w:sz w:val="21"/>
          <w:szCs w:val="21"/>
          <w:vertAlign w:val="superscript"/>
          <w:lang w:val="es-ES_tradnl"/>
        </w:rPr>
        <w:footnoteReference w:id="13"/>
      </w:r>
      <w:r w:rsidRPr="00F95886">
        <w:rPr>
          <w:rFonts w:ascii="Arial" w:hAnsi="Arial" w:cs="Arial"/>
          <w:color w:val="000000" w:themeColor="text1"/>
          <w:sz w:val="21"/>
          <w:szCs w:val="21"/>
          <w:lang w:val="es-ES_tradnl"/>
        </w:rPr>
        <w:t>.</w:t>
      </w:r>
    </w:p>
    <w:p w14:paraId="07DD69F6" w14:textId="77777777" w:rsidR="00E92E0B" w:rsidRPr="00F95886" w:rsidRDefault="00E92E0B" w:rsidP="00E92E0B">
      <w:pPr>
        <w:ind w:left="709" w:right="709"/>
        <w:jc w:val="both"/>
        <w:rPr>
          <w:rFonts w:ascii="Arial" w:hAnsi="Arial" w:cs="Arial"/>
          <w:bCs/>
          <w:color w:val="000000" w:themeColor="text1"/>
          <w:sz w:val="21"/>
          <w:szCs w:val="21"/>
          <w:lang w:val="es-ES_tradnl"/>
        </w:rPr>
      </w:pPr>
    </w:p>
    <w:p w14:paraId="5436AD86" w14:textId="77777777" w:rsidR="00E92E0B" w:rsidRPr="00F95886" w:rsidRDefault="00E92E0B" w:rsidP="00E92E0B">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También ha dicho que:</w:t>
      </w:r>
    </w:p>
    <w:p w14:paraId="50ABDF7F" w14:textId="77777777" w:rsidR="00E92E0B" w:rsidRPr="00F95886" w:rsidRDefault="00E92E0B" w:rsidP="00E92E0B">
      <w:pPr>
        <w:ind w:firstLine="709"/>
        <w:jc w:val="both"/>
        <w:rPr>
          <w:rFonts w:ascii="Arial" w:eastAsia="Calibri" w:hAnsi="Arial" w:cs="Arial"/>
          <w:color w:val="000000" w:themeColor="text1"/>
          <w:sz w:val="21"/>
          <w:szCs w:val="21"/>
          <w:lang w:val="es-ES_tradnl"/>
        </w:rPr>
      </w:pPr>
    </w:p>
    <w:p w14:paraId="6CA9E19A" w14:textId="77777777" w:rsidR="00E92E0B" w:rsidRPr="00F95886" w:rsidRDefault="00E92E0B" w:rsidP="00E92E0B">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F95886">
        <w:rPr>
          <w:rFonts w:ascii="Arial" w:hAnsi="Arial" w:cs="Arial"/>
          <w:i/>
          <w:iCs/>
          <w:color w:val="000000" w:themeColor="text1"/>
          <w:sz w:val="21"/>
          <w:szCs w:val="21"/>
          <w:lang w:val="es-ES_tradnl"/>
        </w:rPr>
        <w:t xml:space="preserve">pro </w:t>
      </w:r>
      <w:proofErr w:type="spellStart"/>
      <w:r w:rsidRPr="00F95886">
        <w:rPr>
          <w:rFonts w:ascii="Arial" w:hAnsi="Arial" w:cs="Arial"/>
          <w:i/>
          <w:iCs/>
          <w:color w:val="000000" w:themeColor="text1"/>
          <w:sz w:val="21"/>
          <w:szCs w:val="21"/>
          <w:lang w:val="es-ES_tradnl"/>
        </w:rPr>
        <w:t>libertate</w:t>
      </w:r>
      <w:proofErr w:type="spellEnd"/>
      <w:r w:rsidRPr="00F95886">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F95886">
        <w:rPr>
          <w:rFonts w:ascii="Arial" w:hAnsi="Arial" w:cs="Arial"/>
          <w:color w:val="000000" w:themeColor="text1"/>
          <w:sz w:val="21"/>
          <w:szCs w:val="21"/>
          <w:vertAlign w:val="superscript"/>
          <w:lang w:val="es-ES_tradnl"/>
        </w:rPr>
        <w:footnoteReference w:id="14"/>
      </w:r>
      <w:r w:rsidRPr="00F95886">
        <w:rPr>
          <w:rFonts w:ascii="Arial" w:hAnsi="Arial" w:cs="Arial"/>
          <w:color w:val="000000" w:themeColor="text1"/>
          <w:sz w:val="21"/>
          <w:szCs w:val="21"/>
          <w:lang w:val="es-ES_tradnl"/>
        </w:rPr>
        <w:t>.</w:t>
      </w:r>
    </w:p>
    <w:p w14:paraId="4C40C250" w14:textId="77777777" w:rsidR="00E92E0B" w:rsidRPr="00F95886" w:rsidRDefault="00E92E0B" w:rsidP="00E92E0B">
      <w:pPr>
        <w:spacing w:line="276" w:lineRule="auto"/>
        <w:ind w:left="709" w:right="709"/>
        <w:jc w:val="both"/>
        <w:rPr>
          <w:rFonts w:ascii="Arial" w:hAnsi="Arial" w:cs="Arial"/>
          <w:color w:val="000000" w:themeColor="text1"/>
          <w:sz w:val="21"/>
          <w:szCs w:val="21"/>
          <w:lang w:val="es-ES_tradnl"/>
        </w:rPr>
      </w:pPr>
    </w:p>
    <w:p w14:paraId="6B6B4A28" w14:textId="77777777" w:rsidR="00E92E0B" w:rsidRPr="00287CAD" w:rsidRDefault="00E92E0B" w:rsidP="00E92E0B">
      <w:pPr>
        <w:pStyle w:val="NormalWeb"/>
        <w:shd w:val="clear" w:color="auto" w:fill="FFFFFF"/>
        <w:spacing w:before="0" w:beforeAutospacing="0" w:after="0" w:afterAutospacing="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Así mismo, </w:t>
      </w:r>
      <w:r w:rsidRPr="00287CAD">
        <w:rPr>
          <w:rFonts w:ascii="Arial" w:eastAsia="Calibri" w:hAnsi="Arial" w:cs="Arial"/>
          <w:color w:val="000000" w:themeColor="text1"/>
          <w:sz w:val="22"/>
          <w:lang w:val="es-ES_tradnl"/>
        </w:rPr>
        <w:t>la Sala Plena del Consejo de Estado en sentencia dictada el 8 de febrero de 2011, respecto del régimen de inhabilidades e incompatibilidades, consideró lo siguiente:</w:t>
      </w:r>
    </w:p>
    <w:p w14:paraId="0E08CB3C" w14:textId="77777777" w:rsidR="00E92E0B" w:rsidRPr="00287CAD" w:rsidRDefault="00E92E0B" w:rsidP="00E92E0B">
      <w:pPr>
        <w:pStyle w:val="NormalWeb"/>
        <w:shd w:val="clear" w:color="auto" w:fill="FFFFFF"/>
        <w:spacing w:before="0" w:beforeAutospacing="0" w:after="0" w:afterAutospacing="0"/>
        <w:rPr>
          <w:rFonts w:ascii="Arial" w:eastAsia="Calibri" w:hAnsi="Arial" w:cs="Arial"/>
          <w:color w:val="000000" w:themeColor="text1"/>
          <w:sz w:val="22"/>
          <w:lang w:val="es-ES_tradnl"/>
        </w:rPr>
      </w:pPr>
      <w:r w:rsidRPr="00287CAD">
        <w:rPr>
          <w:rFonts w:ascii="Arial" w:eastAsia="Calibri" w:hAnsi="Arial" w:cs="Arial"/>
          <w:color w:val="000000" w:themeColor="text1"/>
          <w:sz w:val="22"/>
          <w:lang w:val="es-ES_tradnl"/>
        </w:rPr>
        <w:t> </w:t>
      </w:r>
    </w:p>
    <w:p w14:paraId="02696317" w14:textId="77777777" w:rsidR="00E92E0B" w:rsidRPr="00D62F3A" w:rsidRDefault="00E92E0B" w:rsidP="00E92E0B">
      <w:pPr>
        <w:pStyle w:val="NormalWeb"/>
        <w:shd w:val="clear" w:color="auto" w:fill="FFFFFF"/>
        <w:spacing w:before="0" w:beforeAutospacing="0" w:after="0" w:afterAutospacing="0"/>
        <w:ind w:left="709" w:right="758"/>
        <w:rPr>
          <w:rFonts w:ascii="Arial" w:eastAsia="Calibri" w:hAnsi="Arial" w:cs="Arial"/>
          <w:color w:val="000000" w:themeColor="text1"/>
          <w:sz w:val="21"/>
          <w:szCs w:val="21"/>
          <w:lang w:val="es-ES_tradnl"/>
        </w:rPr>
      </w:pPr>
      <w:r w:rsidRPr="00D62F3A">
        <w:rPr>
          <w:rFonts w:ascii="Arial" w:eastAsia="Calibri" w:hAnsi="Arial" w:cs="Arial"/>
          <w:b/>
          <w:bCs/>
          <w:color w:val="000000" w:themeColor="text1"/>
          <w:sz w:val="21"/>
          <w:szCs w:val="21"/>
          <w:lang w:val="es-ES_tradnl"/>
        </w:rPr>
        <w:t xml:space="preserve">Las inhabilidades e incompatibilidades, en tanto limitan la libertad y los derechos de las personas, son de origen constitucional y legal. </w:t>
      </w:r>
      <w:r w:rsidRPr="00D62F3A">
        <w:rPr>
          <w:rFonts w:ascii="Arial" w:eastAsia="Calibri" w:hAnsi="Arial" w:cs="Arial"/>
          <w:b/>
          <w:bCs/>
          <w:color w:val="000000" w:themeColor="text1"/>
          <w:sz w:val="21"/>
          <w:szCs w:val="21"/>
          <w:u w:val="single"/>
          <w:lang w:val="es-ES_tradnl"/>
        </w:rPr>
        <w:t xml:space="preserve">La tipificación de sus causas, vigencia, naturaleza y efectos es rígida y taxativa; su aplicación es restrictiva, de manera que excluye la analogía </w:t>
      </w:r>
      <w:proofErr w:type="spellStart"/>
      <w:r w:rsidRPr="00D62F3A">
        <w:rPr>
          <w:rFonts w:ascii="Arial" w:eastAsia="Calibri" w:hAnsi="Arial" w:cs="Arial"/>
          <w:b/>
          <w:bCs/>
          <w:color w:val="000000" w:themeColor="text1"/>
          <w:sz w:val="21"/>
          <w:szCs w:val="21"/>
          <w:u w:val="single"/>
          <w:lang w:val="es-ES_tradnl"/>
        </w:rPr>
        <w:t>legis</w:t>
      </w:r>
      <w:proofErr w:type="spellEnd"/>
      <w:r w:rsidRPr="00D62F3A">
        <w:rPr>
          <w:rFonts w:ascii="Arial" w:eastAsia="Calibri" w:hAnsi="Arial" w:cs="Arial"/>
          <w:b/>
          <w:bCs/>
          <w:color w:val="000000" w:themeColor="text1"/>
          <w:sz w:val="21"/>
          <w:szCs w:val="21"/>
          <w:u w:val="single"/>
          <w:lang w:val="es-ES_tradnl"/>
        </w:rPr>
        <w:t xml:space="preserve"> o iuris, excepto en lo favorable; están definidas en el tiempo, salvo aquellas de carácter constitucional</w:t>
      </w:r>
      <w:r w:rsidRPr="00D62F3A">
        <w:rPr>
          <w:rFonts w:ascii="Arial" w:eastAsia="Calibri" w:hAnsi="Arial" w:cs="Arial"/>
          <w:color w:val="000000" w:themeColor="text1"/>
          <w:sz w:val="21"/>
          <w:szCs w:val="21"/>
          <w:lang w:val="es-ES_tradnl"/>
        </w:rPr>
        <w:t xml:space="preserve"> (verbi gratia arts. 179 No.1, 197 y 267 C.P.); y, además, hacen parte de un conjunto de disposiciones que integran un régimen jurídico imperativo y de orden público, razón por la cual no son disponibles ni pueden ser derogadas por acuerdo o convenio”. (Las negrillas y subrayas son de la Sala).</w:t>
      </w:r>
    </w:p>
    <w:p w14:paraId="200B15DD" w14:textId="77777777" w:rsidR="00E92E0B" w:rsidRDefault="00E92E0B" w:rsidP="00E92E0B">
      <w:pPr>
        <w:spacing w:line="276" w:lineRule="auto"/>
        <w:ind w:firstLine="720"/>
        <w:jc w:val="both"/>
        <w:rPr>
          <w:rFonts w:ascii="Arial" w:eastAsia="Calibri" w:hAnsi="Arial" w:cs="Arial"/>
          <w:color w:val="000000" w:themeColor="text1"/>
          <w:sz w:val="22"/>
          <w:lang w:val="es-ES_tradnl"/>
        </w:rPr>
      </w:pPr>
    </w:p>
    <w:p w14:paraId="64529514" w14:textId="77777777" w:rsidR="00E92E0B" w:rsidRPr="00E84F83" w:rsidRDefault="00E92E0B" w:rsidP="00E92E0B">
      <w:pPr>
        <w:spacing w:line="276" w:lineRule="auto"/>
        <w:ind w:firstLine="720"/>
        <w:jc w:val="both"/>
        <w:rPr>
          <w:rFonts w:ascii="Arial" w:eastAsia="Calibri" w:hAnsi="Arial" w:cs="Arial"/>
          <w:color w:val="000000" w:themeColor="text1"/>
          <w:sz w:val="22"/>
          <w:lang w:val="es-ES"/>
        </w:rPr>
      </w:pPr>
      <w:r w:rsidRPr="00F95886">
        <w:rPr>
          <w:rFonts w:ascii="Arial" w:eastAsia="Calibri" w:hAnsi="Arial" w:cs="Arial"/>
          <w:color w:val="000000" w:themeColor="text1"/>
          <w:sz w:val="22"/>
          <w:lang w:val="es-ES_tradnl"/>
        </w:rPr>
        <w:t xml:space="preserve">Como se aprecia, el principio </w:t>
      </w:r>
      <w:r w:rsidRPr="00F95886">
        <w:rPr>
          <w:rFonts w:ascii="Arial" w:eastAsia="Calibri" w:hAnsi="Arial" w:cs="Arial"/>
          <w:i/>
          <w:iCs/>
          <w:color w:val="000000" w:themeColor="text1"/>
          <w:sz w:val="22"/>
          <w:lang w:val="es-ES_tradnl"/>
        </w:rPr>
        <w:t xml:space="preserve">pro </w:t>
      </w:r>
      <w:proofErr w:type="spellStart"/>
      <w:r w:rsidRPr="00F95886">
        <w:rPr>
          <w:rFonts w:ascii="Arial" w:eastAsia="Calibri" w:hAnsi="Arial" w:cs="Arial"/>
          <w:i/>
          <w:iCs/>
          <w:color w:val="000000" w:themeColor="text1"/>
          <w:sz w:val="22"/>
          <w:lang w:val="es-ES_tradnl"/>
        </w:rPr>
        <w:t>libertate</w:t>
      </w:r>
      <w:proofErr w:type="spellEnd"/>
      <w:r w:rsidRPr="00F95886">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r>
        <w:rPr>
          <w:rFonts w:ascii="Arial" w:eastAsia="Calibri" w:hAnsi="Arial" w:cs="Arial"/>
          <w:color w:val="000000" w:themeColor="text1"/>
          <w:sz w:val="22"/>
          <w:lang w:val="es-ES_tradnl"/>
        </w:rPr>
        <w:t xml:space="preserve"> </w:t>
      </w:r>
      <w:r w:rsidRPr="00E84F83">
        <w:rPr>
          <w:rFonts w:ascii="Arial" w:eastAsia="Arial" w:hAnsi="Arial" w:cs="Arial"/>
          <w:color w:val="000000"/>
          <w:sz w:val="22"/>
          <w:lang w:val="es-ES_tradnl"/>
        </w:rPr>
        <w:t>Además, en relación con la determinación de las causales de inhabilidad e incompatibilidad, la</w:t>
      </w:r>
      <w:r w:rsidRPr="00E84F83">
        <w:rPr>
          <w:rFonts w:ascii="Arial" w:hAnsi="Arial" w:cs="Arial"/>
          <w:color w:val="000000" w:themeColor="text1"/>
          <w:sz w:val="22"/>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4F2E1048" w14:textId="77777777" w:rsidR="00E92E0B" w:rsidRPr="00E84F83" w:rsidRDefault="00E92E0B" w:rsidP="00E92E0B">
      <w:pPr>
        <w:tabs>
          <w:tab w:val="left" w:pos="1532"/>
        </w:tabs>
        <w:spacing w:line="276" w:lineRule="auto"/>
        <w:jc w:val="both"/>
        <w:rPr>
          <w:rFonts w:ascii="Arial" w:hAnsi="Arial" w:cs="Arial"/>
          <w:color w:val="000000" w:themeColor="text1"/>
          <w:sz w:val="22"/>
        </w:rPr>
      </w:pPr>
      <w:r w:rsidRPr="00E84F83">
        <w:rPr>
          <w:rFonts w:ascii="Arial" w:hAnsi="Arial" w:cs="Arial"/>
          <w:color w:val="000000" w:themeColor="text1"/>
        </w:rPr>
        <w:tab/>
      </w:r>
    </w:p>
    <w:p w14:paraId="35338933" w14:textId="77777777" w:rsidR="00E92E0B" w:rsidRPr="00E84F83" w:rsidRDefault="00E92E0B" w:rsidP="00E92E0B">
      <w:pPr>
        <w:ind w:left="709" w:right="709"/>
        <w:jc w:val="both"/>
        <w:rPr>
          <w:rFonts w:ascii="Arial" w:hAnsi="Arial" w:cs="Arial"/>
          <w:color w:val="000000" w:themeColor="text1"/>
          <w:sz w:val="21"/>
          <w:szCs w:val="21"/>
        </w:rPr>
      </w:pPr>
      <w:r w:rsidRPr="00E84F83">
        <w:rPr>
          <w:rFonts w:ascii="Arial" w:hAnsi="Arial" w:cs="Arial"/>
          <w:color w:val="000000" w:themeColor="text1"/>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E84F83">
        <w:rPr>
          <w:rFonts w:ascii="Arial" w:hAnsi="Arial" w:cs="Arial"/>
          <w:color w:val="000000" w:themeColor="text1"/>
          <w:sz w:val="21"/>
          <w:szCs w:val="21"/>
        </w:rPr>
        <w:t>libertate</w:t>
      </w:r>
      <w:proofErr w:type="spellEnd"/>
      <w:r w:rsidRPr="00E84F83">
        <w:rPr>
          <w:rFonts w:ascii="Arial" w:hAnsi="Arial" w:cs="Arial"/>
          <w:color w:val="000000" w:themeColor="text1"/>
          <w:sz w:val="21"/>
          <w:szCs w:val="21"/>
        </w:rPr>
        <w:t xml:space="preserve">, sino el de legalidad, el que ordena que la función pública debe someterse estrictamente a lo que disponga la Constitución y la ley (CP art. 6). </w:t>
      </w:r>
    </w:p>
    <w:p w14:paraId="15234AB6" w14:textId="77777777" w:rsidR="00E92E0B" w:rsidRPr="00E84F83" w:rsidRDefault="00E92E0B" w:rsidP="00E92E0B">
      <w:pPr>
        <w:spacing w:after="120"/>
        <w:ind w:left="709" w:right="709"/>
        <w:jc w:val="both"/>
        <w:rPr>
          <w:rFonts w:ascii="Arial" w:hAnsi="Arial" w:cs="Arial"/>
          <w:color w:val="000000" w:themeColor="text1"/>
          <w:sz w:val="21"/>
          <w:szCs w:val="21"/>
        </w:rPr>
      </w:pPr>
      <w:r w:rsidRPr="00E84F83">
        <w:rPr>
          <w:rFonts w:ascii="Arial" w:hAnsi="Arial" w:cs="Arial"/>
          <w:color w:val="000000" w:themeColor="text1"/>
          <w:sz w:val="21"/>
          <w:szCs w:val="21"/>
        </w:rPr>
        <w:t>[…]</w:t>
      </w:r>
    </w:p>
    <w:p w14:paraId="05F5F226" w14:textId="77777777" w:rsidR="00E92E0B" w:rsidRPr="00E84F83" w:rsidRDefault="00E92E0B" w:rsidP="00E92E0B">
      <w:pPr>
        <w:ind w:left="709" w:right="709"/>
        <w:jc w:val="both"/>
        <w:rPr>
          <w:rFonts w:ascii="Arial" w:hAnsi="Arial" w:cs="Arial"/>
          <w:color w:val="000000" w:themeColor="text1"/>
          <w:sz w:val="21"/>
          <w:szCs w:val="21"/>
        </w:rPr>
      </w:pPr>
      <w:r w:rsidRPr="00E84F83">
        <w:rPr>
          <w:rFonts w:ascii="Arial" w:hAnsi="Arial" w:cs="Arial"/>
          <w:color w:val="000000" w:themeColor="text1"/>
          <w:sz w:val="21"/>
          <w:szCs w:val="21"/>
        </w:rPr>
        <w:t xml:space="preserve">Se comprende con facilidad que el régimen de inhabilidades e </w:t>
      </w:r>
      <w:proofErr w:type="gramStart"/>
      <w:r w:rsidRPr="00E84F83">
        <w:rPr>
          <w:rFonts w:ascii="Arial" w:hAnsi="Arial" w:cs="Arial"/>
          <w:color w:val="000000" w:themeColor="text1"/>
          <w:sz w:val="21"/>
          <w:szCs w:val="21"/>
        </w:rPr>
        <w:t>incompatibilidades,</w:t>
      </w:r>
      <w:proofErr w:type="gramEnd"/>
      <w:r w:rsidRPr="00E84F83">
        <w:rPr>
          <w:rFonts w:ascii="Arial" w:hAnsi="Arial" w:cs="Arial"/>
          <w:color w:val="000000" w:themeColor="text1"/>
          <w:sz w:val="21"/>
          <w:szCs w:val="21"/>
        </w:rPr>
        <w:t xml:space="preserve"> corresponde a una materia de normal y obligada inclusión en un estatuto contractual. El legislador, a quien se ha confiado expedir el indicado estatuto, tiene, pues, competencia para establecerlo (CP art. 150)</w:t>
      </w:r>
      <w:r w:rsidRPr="00E84F83">
        <w:rPr>
          <w:rFonts w:ascii="Arial" w:hAnsi="Arial" w:cs="Arial"/>
          <w:color w:val="000000" w:themeColor="text1"/>
          <w:sz w:val="21"/>
          <w:szCs w:val="21"/>
          <w:vertAlign w:val="superscript"/>
        </w:rPr>
        <w:footnoteReference w:id="15"/>
      </w:r>
      <w:r w:rsidRPr="00E84F83">
        <w:rPr>
          <w:rFonts w:ascii="Arial" w:hAnsi="Arial" w:cs="Arial"/>
          <w:color w:val="000000" w:themeColor="text1"/>
          <w:sz w:val="21"/>
          <w:szCs w:val="21"/>
        </w:rPr>
        <w:t>.</w:t>
      </w:r>
    </w:p>
    <w:p w14:paraId="475760F7" w14:textId="77777777" w:rsidR="00E92E0B" w:rsidRDefault="00E92E0B" w:rsidP="00E92E0B">
      <w:pPr>
        <w:spacing w:line="276" w:lineRule="auto"/>
        <w:ind w:firstLine="709"/>
        <w:jc w:val="both"/>
        <w:rPr>
          <w:rFonts w:ascii="Arial" w:eastAsia="Calibri" w:hAnsi="Arial" w:cs="Arial"/>
          <w:color w:val="000000" w:themeColor="text1"/>
          <w:sz w:val="22"/>
          <w:lang w:val="es-ES_tradnl"/>
        </w:rPr>
      </w:pPr>
    </w:p>
    <w:p w14:paraId="7E2FB04E" w14:textId="77777777" w:rsidR="00E92E0B" w:rsidRPr="00E84F83" w:rsidRDefault="00E92E0B" w:rsidP="00E92E0B">
      <w:pPr>
        <w:spacing w:line="276" w:lineRule="auto"/>
        <w:ind w:firstLine="709"/>
        <w:jc w:val="both"/>
        <w:rPr>
          <w:rFonts w:ascii="Arial" w:hAnsi="Arial" w:cs="Arial"/>
          <w:color w:val="000000" w:themeColor="text1"/>
          <w:sz w:val="22"/>
        </w:rPr>
      </w:pPr>
      <w:r w:rsidRPr="00E84F83">
        <w:rPr>
          <w:rFonts w:ascii="Arial" w:hAnsi="Arial" w:cs="Arial"/>
          <w:color w:val="000000" w:themeColor="text1"/>
          <w:sz w:val="22"/>
        </w:rPr>
        <w:t>De igual forma, conviene acudir a la distinción que se ha trazado en torno a la fuente de las inhabilidades</w:t>
      </w:r>
      <w:bookmarkStart w:id="3" w:name="_Hlk67555152"/>
      <w:r w:rsidRPr="00E84F83">
        <w:rPr>
          <w:rFonts w:ascii="Arial" w:hAnsi="Arial" w:cs="Arial"/>
          <w:color w:val="000000" w:themeColor="text1"/>
          <w:sz w:val="22"/>
        </w:rPr>
        <w:t xml:space="preserve">, las cuales han sido clasificadas en dos grupos: i) inhabilidades-sanción y </w:t>
      </w:r>
      <w:proofErr w:type="spellStart"/>
      <w:r w:rsidRPr="00E84F83">
        <w:rPr>
          <w:rFonts w:ascii="Arial" w:hAnsi="Arial" w:cs="Arial"/>
          <w:color w:val="000000" w:themeColor="text1"/>
          <w:sz w:val="22"/>
        </w:rPr>
        <w:t>ii</w:t>
      </w:r>
      <w:proofErr w:type="spellEnd"/>
      <w:r w:rsidRPr="00E84F83">
        <w:rPr>
          <w:rFonts w:ascii="Arial" w:hAnsi="Arial" w:cs="Arial"/>
          <w:color w:val="000000" w:themeColor="text1"/>
          <w:sz w:val="22"/>
        </w:rPr>
        <w:t>) inhabilidades-requisito. En el primer grupo se encuentran las inhabilidades que surgen como consecuencia de un proceso sancionatorio, en los ámbitos penal, disciplinario, contravencional o de punición por indignidad política –pérdida de investidura–. En el segundo grupo están aquellas que no devienen de un proceso sancionatorio sino de condiciones propias de la persona y buscan garantizar la moralidad, la imparcialidad, la eficacia y la transparencia</w:t>
      </w:r>
      <w:bookmarkEnd w:id="3"/>
      <w:r w:rsidRPr="00E84F83">
        <w:rPr>
          <w:rFonts w:ascii="Arial" w:hAnsi="Arial" w:cs="Arial"/>
          <w:color w:val="000000" w:themeColor="text1"/>
          <w:sz w:val="22"/>
          <w:vertAlign w:val="superscript"/>
        </w:rPr>
        <w:footnoteReference w:id="16"/>
      </w:r>
      <w:r w:rsidRPr="00E84F83">
        <w:rPr>
          <w:rFonts w:ascii="Arial" w:hAnsi="Arial" w:cs="Arial"/>
          <w:color w:val="000000" w:themeColor="text1"/>
          <w:sz w:val="22"/>
        </w:rPr>
        <w:t xml:space="preserve">. </w:t>
      </w:r>
    </w:p>
    <w:p w14:paraId="068B929B" w14:textId="77777777" w:rsidR="00E92E0B" w:rsidRPr="00E84F83" w:rsidRDefault="00E92E0B" w:rsidP="00E92E0B">
      <w:pPr>
        <w:spacing w:before="120" w:line="276" w:lineRule="auto"/>
        <w:ind w:firstLine="709"/>
        <w:jc w:val="both"/>
        <w:rPr>
          <w:rFonts w:ascii="Arial" w:hAnsi="Arial" w:cs="Arial"/>
          <w:color w:val="000000" w:themeColor="text1"/>
          <w:sz w:val="22"/>
          <w:lang w:val="es-ES"/>
        </w:rPr>
      </w:pPr>
      <w:r w:rsidRPr="00E84F83">
        <w:rPr>
          <w:rFonts w:ascii="Arial" w:hAnsi="Arial" w:cs="Arial"/>
          <w:color w:val="000000" w:themeColor="text1"/>
          <w:sz w:val="22"/>
          <w:lang w:val="es-ES"/>
        </w:rPr>
        <w:t>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A su turno,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En ambos eventos, la inhabilidad tiene como fuente una situación o un hecho propio del proponente –una conducta o una condición– y no de su oferta. La inhabilidad surge, entre otros, por su grado de parentesco o afinidad, por su condición de servidor público o porque sobre él existe una declaratoria de responsabilidad en firme –penal, disciplinaria o sancionatoria contractual–.</w:t>
      </w:r>
    </w:p>
    <w:p w14:paraId="3383F7EF" w14:textId="77777777" w:rsidR="00E92E0B" w:rsidRPr="00172475" w:rsidRDefault="00E92E0B" w:rsidP="00E92E0B">
      <w:pPr>
        <w:spacing w:before="240" w:line="276" w:lineRule="auto"/>
        <w:ind w:firstLine="720"/>
        <w:jc w:val="both"/>
        <w:rPr>
          <w:rFonts w:ascii="Arial" w:eastAsia="Calibri" w:hAnsi="Arial" w:cs="Arial"/>
          <w:color w:val="000000" w:themeColor="text1"/>
          <w:sz w:val="22"/>
          <w:lang w:val="es-ES_tradnl"/>
        </w:rPr>
      </w:pPr>
      <w:r w:rsidRPr="00E84F83">
        <w:rPr>
          <w:rFonts w:ascii="Arial" w:hAnsi="Arial" w:cs="Arial"/>
          <w:color w:val="000000" w:themeColor="text1"/>
          <w:sz w:val="22"/>
          <w:lang w:val="es-ES_tradnl"/>
        </w:rPr>
        <w:t xml:space="preserve">Al margen de la clasificación mencionada, el carácter reconocidamente taxativo y restrictivo del régimen de inhabilidades obedece a la necesidad de salvaguardar el interés general inherente en la contratación pública, de forma que implique el menor sacrificio posible al derecho de igualdad y de reconocimiento de la personalidad jurídica de quienes aspiran a contratar con el Estado. </w:t>
      </w:r>
      <w:r>
        <w:rPr>
          <w:rFonts w:ascii="Arial" w:hAnsi="Arial" w:cs="Arial"/>
          <w:color w:val="000000" w:themeColor="text1"/>
          <w:sz w:val="22"/>
          <w:lang w:val="es-ES_tradnl"/>
        </w:rPr>
        <w:t>En este sentido, la aplicación de las inhabilidades debe apegarse estrictamente a lo consagrado en la norma que la contempla, de manera que no resulta procedente su extensión a otras situaciones o condiciones diferente a las establecidas, en perjuicio de quienes aspiran a contratar con el Estado.</w:t>
      </w:r>
      <w:r>
        <w:rPr>
          <w:rFonts w:ascii="Arial" w:eastAsia="Calibri" w:hAnsi="Arial" w:cs="Arial"/>
          <w:color w:val="000000" w:themeColor="text1"/>
          <w:sz w:val="22"/>
          <w:lang w:val="es-ES_tradnl"/>
        </w:rPr>
        <w:t xml:space="preserve"> </w:t>
      </w:r>
    </w:p>
    <w:p w14:paraId="68CB6B6E" w14:textId="77777777" w:rsidR="00E92E0B" w:rsidRPr="00F95886" w:rsidRDefault="00E92E0B" w:rsidP="00E92E0B">
      <w:pPr>
        <w:spacing w:line="276" w:lineRule="auto"/>
        <w:jc w:val="both"/>
        <w:rPr>
          <w:rFonts w:ascii="Arial" w:eastAsia="Calibri" w:hAnsi="Arial" w:cs="Arial"/>
          <w:color w:val="000000" w:themeColor="text1"/>
          <w:sz w:val="22"/>
          <w:lang w:val="es-ES_tradnl"/>
        </w:rPr>
      </w:pPr>
    </w:p>
    <w:p w14:paraId="5EE55278" w14:textId="77777777" w:rsidR="00E92E0B" w:rsidRPr="00F95886" w:rsidRDefault="00E92E0B" w:rsidP="00E92E0B">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2.2. Contrato de prestación de servicios profesionales. Requisitos y límites para su celebración</w:t>
      </w:r>
    </w:p>
    <w:p w14:paraId="1E99BAEF" w14:textId="77777777" w:rsidR="00E92E0B" w:rsidRPr="00F95886" w:rsidRDefault="00E92E0B" w:rsidP="00E92E0B">
      <w:pPr>
        <w:spacing w:line="276" w:lineRule="auto"/>
        <w:jc w:val="both"/>
        <w:rPr>
          <w:rFonts w:ascii="Arial" w:eastAsia="Calibri" w:hAnsi="Arial" w:cs="Arial"/>
          <w:color w:val="000000" w:themeColor="text1"/>
          <w:sz w:val="22"/>
          <w:lang w:val="es-ES_tradnl"/>
        </w:rPr>
      </w:pPr>
    </w:p>
    <w:p w14:paraId="0AA52789" w14:textId="77777777" w:rsidR="00E92E0B" w:rsidRPr="000A091D" w:rsidRDefault="00E92E0B" w:rsidP="00E92E0B">
      <w:pPr>
        <w:spacing w:line="276" w:lineRule="auto"/>
        <w:jc w:val="both"/>
        <w:rPr>
          <w:rFonts w:ascii="Arial" w:hAnsi="Arial" w:cs="Arial"/>
          <w:color w:val="000000" w:themeColor="text1"/>
          <w:sz w:val="22"/>
          <w:lang w:val="es-ES_tradnl"/>
        </w:rPr>
      </w:pPr>
      <w:r w:rsidRPr="000A091D">
        <w:rPr>
          <w:rFonts w:ascii="Arial" w:hAnsi="Arial" w:cs="Arial"/>
          <w:color w:val="000000" w:themeColor="text1"/>
          <w:sz w:val="22"/>
        </w:rPr>
        <w:t>El contrato de prestación de servicios es un contrato estatal típico regulado en el artículo 32.3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0A091D">
        <w:rPr>
          <w:rFonts w:ascii="Arial" w:eastAsia="Calibri" w:hAnsi="Arial" w:cs="Arial"/>
          <w:color w:val="000000" w:themeColor="text1"/>
          <w:sz w:val="22"/>
          <w:lang w:val="es-ES_tradnl"/>
        </w:rPr>
        <w:t xml:space="preserve"> La celebración de dicho contrato debe efectuarse a través de la modalidad de contratación directa. Así lo dispone el artículo 2, numeral 4º, literal h), de la Ley 1150 de 2007:</w:t>
      </w:r>
    </w:p>
    <w:p w14:paraId="7CEA7BE5" w14:textId="77777777" w:rsidR="00E92E0B" w:rsidRPr="000A091D" w:rsidRDefault="00E92E0B" w:rsidP="00E92E0B">
      <w:pPr>
        <w:ind w:right="709"/>
        <w:jc w:val="both"/>
        <w:rPr>
          <w:rFonts w:ascii="Arial" w:eastAsia="Calibri" w:hAnsi="Arial" w:cs="Arial"/>
          <w:color w:val="000000" w:themeColor="text1"/>
          <w:sz w:val="21"/>
          <w:szCs w:val="21"/>
          <w:lang w:val="es-ES_tradnl"/>
        </w:rPr>
      </w:pPr>
    </w:p>
    <w:p w14:paraId="4AA00B2F" w14:textId="77777777" w:rsidR="00E92E0B" w:rsidRPr="000A091D" w:rsidRDefault="00E92E0B" w:rsidP="00E92E0B">
      <w:pPr>
        <w:ind w:left="709" w:right="758"/>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La escogencia del contratista se efectuará con arreglo a las modalidades de selección de licitación pública, selección abreviada, concurso de méritos y contratación directa, con base en las siguientes reglas:</w:t>
      </w:r>
    </w:p>
    <w:p w14:paraId="78D9E1D0" w14:textId="77777777" w:rsidR="00E92E0B" w:rsidRPr="000A091D" w:rsidRDefault="00E92E0B" w:rsidP="00E92E0B">
      <w:pPr>
        <w:spacing w:after="120"/>
        <w:ind w:left="709" w:right="760"/>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w:t>
      </w:r>
    </w:p>
    <w:p w14:paraId="59B8DD4D" w14:textId="77777777" w:rsidR="00E92E0B" w:rsidRPr="000A091D" w:rsidRDefault="00E92E0B" w:rsidP="00E92E0B">
      <w:pPr>
        <w:ind w:left="709" w:right="758"/>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 xml:space="preserve">4. Contratación directa. La modalidad de selección de contratación </w:t>
      </w:r>
      <w:proofErr w:type="gramStart"/>
      <w:r w:rsidRPr="000A091D">
        <w:rPr>
          <w:rFonts w:ascii="Arial" w:eastAsia="Calibri" w:hAnsi="Arial" w:cs="Arial"/>
          <w:color w:val="000000" w:themeColor="text1"/>
          <w:sz w:val="21"/>
          <w:szCs w:val="21"/>
        </w:rPr>
        <w:t>directa,</w:t>
      </w:r>
      <w:proofErr w:type="gramEnd"/>
      <w:r w:rsidRPr="000A091D">
        <w:rPr>
          <w:rFonts w:ascii="Arial" w:eastAsia="Calibri" w:hAnsi="Arial" w:cs="Arial"/>
          <w:color w:val="000000" w:themeColor="text1"/>
          <w:sz w:val="21"/>
          <w:szCs w:val="21"/>
        </w:rPr>
        <w:t xml:space="preserve"> solamente procederá en los siguientes casos:</w:t>
      </w:r>
    </w:p>
    <w:p w14:paraId="240EACD0" w14:textId="77777777" w:rsidR="00E92E0B" w:rsidRPr="000A091D" w:rsidRDefault="00E92E0B" w:rsidP="00E92E0B">
      <w:pPr>
        <w:spacing w:after="120"/>
        <w:ind w:left="709" w:right="760"/>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w:t>
      </w:r>
    </w:p>
    <w:p w14:paraId="6208793C" w14:textId="77777777" w:rsidR="00E92E0B" w:rsidRPr="000A091D" w:rsidRDefault="00E92E0B" w:rsidP="00E92E0B">
      <w:pPr>
        <w:ind w:left="709" w:right="758"/>
        <w:jc w:val="both"/>
        <w:rPr>
          <w:rFonts w:ascii="Arial" w:eastAsia="Calibri" w:hAnsi="Arial" w:cs="Arial"/>
          <w:color w:val="000000" w:themeColor="text1"/>
          <w:sz w:val="21"/>
          <w:szCs w:val="21"/>
        </w:rPr>
      </w:pPr>
      <w:r w:rsidRPr="000A091D">
        <w:rPr>
          <w:rFonts w:ascii="Arial" w:eastAsia="Calibri" w:hAnsi="Arial" w:cs="Arial"/>
          <w:color w:val="000000" w:themeColor="text1"/>
          <w:sz w:val="21"/>
          <w:szCs w:val="21"/>
        </w:rPr>
        <w:t>h) Para la prestación de servicios profesionales y de apoyo a la gestión, o para la ejecución de trabajos artísticos que sólo puedan encomendarse a determinadas personas naturales.</w:t>
      </w:r>
    </w:p>
    <w:p w14:paraId="7A1FCC2F" w14:textId="77777777" w:rsidR="00E92E0B" w:rsidRPr="000A091D" w:rsidRDefault="00E92E0B" w:rsidP="00E92E0B">
      <w:pPr>
        <w:spacing w:line="276" w:lineRule="auto"/>
        <w:ind w:left="709" w:right="760"/>
        <w:jc w:val="both"/>
        <w:rPr>
          <w:rFonts w:ascii="Arial" w:eastAsia="Calibri" w:hAnsi="Arial" w:cs="Arial"/>
          <w:color w:val="000000" w:themeColor="text1"/>
          <w:sz w:val="21"/>
          <w:szCs w:val="21"/>
        </w:rPr>
      </w:pPr>
    </w:p>
    <w:p w14:paraId="30E91BAA" w14:textId="77777777" w:rsidR="00E92E0B" w:rsidRPr="000A091D" w:rsidRDefault="00E92E0B" w:rsidP="00E92E0B">
      <w:pPr>
        <w:tabs>
          <w:tab w:val="left" w:pos="0"/>
        </w:tabs>
        <w:spacing w:line="276" w:lineRule="auto"/>
        <w:jc w:val="both"/>
        <w:rPr>
          <w:rFonts w:ascii="Arial" w:hAnsi="Arial" w:cs="Arial"/>
          <w:noProof/>
          <w:sz w:val="22"/>
          <w:lang w:val="es-ES_tradnl"/>
        </w:rPr>
      </w:pPr>
      <w:r w:rsidRPr="000A091D">
        <w:rPr>
          <w:rFonts w:ascii="Arial" w:hAnsi="Arial" w:cs="Arial"/>
          <w:noProof/>
          <w:sz w:val="22"/>
          <w:lang w:val="es-ES_tradnl"/>
        </w:rPr>
        <w:tab/>
      </w:r>
      <w:r w:rsidRPr="000A091D">
        <w:rPr>
          <w:rFonts w:ascii="Arial" w:hAnsi="Arial" w:cs="Arial"/>
          <w:color w:val="000000" w:themeColor="text1"/>
          <w:sz w:val="22"/>
          <w:lang w:val="es-ES_tradnl"/>
        </w:rPr>
        <w:t>A partir de las disposiciones citadas y de los pronunciamientos judiciales más destacados sobre el tema, es posible señalar las siguientes características del contrato de prestación de servicios</w:t>
      </w:r>
      <w:r w:rsidRPr="000A091D">
        <w:rPr>
          <w:rFonts w:ascii="Arial" w:hAnsi="Arial" w:cs="Arial"/>
          <w:noProof/>
          <w:sz w:val="22"/>
          <w:lang w:val="es-ES_tradnl"/>
        </w:rPr>
        <w:t>:</w:t>
      </w:r>
    </w:p>
    <w:p w14:paraId="79D71482" w14:textId="77777777" w:rsidR="00E92E0B" w:rsidRPr="000A091D" w:rsidRDefault="00E92E0B" w:rsidP="00E92E0B">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p>
    <w:p w14:paraId="4B3AB191" w14:textId="77777777" w:rsidR="00E92E0B" w:rsidRPr="000A091D" w:rsidRDefault="00E92E0B" w:rsidP="00E92E0B">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ii) Si bien se celebran para obtener la prestación personal de un servicio, se diferencian del contrato de trabajo</w:t>
      </w:r>
      <w:r w:rsidRPr="000A091D">
        <w:rPr>
          <w:rStyle w:val="FootnoteReference"/>
          <w:rFonts w:ascii="Arial" w:hAnsi="Arial" w:cs="Arial"/>
          <w:noProof/>
          <w:sz w:val="22"/>
          <w:lang w:val="es-ES_tradnl"/>
        </w:rPr>
        <w:footnoteReference w:id="17"/>
      </w:r>
      <w:r w:rsidRPr="000A091D">
        <w:rPr>
          <w:rFonts w:ascii="Arial" w:hAnsi="Arial" w:cs="Arial"/>
          <w:noProof/>
          <w:sz w:val="22"/>
          <w:lang w:val="es-ES_tradnl"/>
        </w:rPr>
        <w:t xml:space="preserve"> en que quien celebra el contrato de prestación de servicios debe mantener autonomía e independencia en la ejecución de la labor, lo que significa que no debe existir </w:t>
      </w:r>
      <w:r w:rsidRPr="000A091D">
        <w:rPr>
          <w:rFonts w:ascii="Arial" w:hAnsi="Arial" w:cs="Arial"/>
          <w:i/>
          <w:noProof/>
          <w:sz w:val="22"/>
          <w:lang w:val="es-ES_tradnl"/>
        </w:rPr>
        <w:t xml:space="preserve">subordinación </w:t>
      </w:r>
      <w:r w:rsidRPr="000A091D">
        <w:rPr>
          <w:rFonts w:ascii="Arial" w:hAnsi="Arial" w:cs="Arial"/>
          <w:iCs/>
          <w:noProof/>
          <w:sz w:val="22"/>
          <w:lang w:val="es-ES_tradnl"/>
        </w:rPr>
        <w:t>ni</w:t>
      </w:r>
      <w:r w:rsidRPr="000A091D">
        <w:rPr>
          <w:rFonts w:ascii="Arial" w:hAnsi="Arial" w:cs="Arial"/>
          <w:i/>
          <w:noProof/>
          <w:sz w:val="22"/>
          <w:lang w:val="es-ES_tradnl"/>
        </w:rPr>
        <w:t xml:space="preserve"> dependencia</w:t>
      </w:r>
      <w:r w:rsidRPr="000A091D">
        <w:rPr>
          <w:rFonts w:ascii="Arial" w:hAnsi="Arial" w:cs="Arial"/>
          <w:iCs/>
          <w:noProof/>
          <w:sz w:val="22"/>
          <w:lang w:val="es-ES_tradnl"/>
        </w:rPr>
        <w:t>,</w:t>
      </w:r>
      <w:r w:rsidRPr="000A091D">
        <w:rPr>
          <w:rFonts w:ascii="Arial" w:hAnsi="Arial" w:cs="Arial"/>
          <w:noProof/>
          <w:sz w:val="22"/>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0A091D">
        <w:rPr>
          <w:rFonts w:ascii="Arial" w:hAnsi="Arial" w:cs="Arial"/>
          <w:i/>
          <w:noProof/>
          <w:sz w:val="22"/>
          <w:lang w:val="es-ES_tradnl"/>
        </w:rPr>
        <w:t>no pueden</w:t>
      </w:r>
      <w:r w:rsidRPr="000A091D">
        <w:rPr>
          <w:rFonts w:ascii="Arial" w:hAnsi="Arial" w:cs="Arial"/>
          <w:noProof/>
          <w:sz w:val="22"/>
          <w:lang w:val="es-ES_tradnl"/>
        </w:rPr>
        <w:t xml:space="preserve"> generar relación laboral, ni dar lugar a que las entidades estatales paguen por su cuenta los aportes al Sistema de Seguridad Social Integral del contratista. Tal como se indicó, no puede existir subordinación y dependencia, por lo que la relación laboral está proscrita y el contratista es quien, como «trabajador independiente», debe cotizar por su cuenta y riesgo al Sistema de Seguridad Social Integral</w:t>
      </w:r>
      <w:r w:rsidRPr="000A091D">
        <w:rPr>
          <w:rStyle w:val="FootnoteReference"/>
          <w:rFonts w:ascii="Arial" w:hAnsi="Arial" w:cs="Arial"/>
          <w:noProof/>
          <w:sz w:val="22"/>
          <w:lang w:val="es-ES_tradnl"/>
        </w:rPr>
        <w:footnoteReference w:id="18"/>
      </w:r>
      <w:r w:rsidRPr="000A091D">
        <w:rPr>
          <w:rFonts w:ascii="Arial" w:hAnsi="Arial" w:cs="Arial"/>
          <w:noProof/>
          <w:sz w:val="22"/>
          <w:lang w:val="es-ES_tradnl"/>
        </w:rPr>
        <w:t xml:space="preserve">. </w:t>
      </w:r>
    </w:p>
    <w:p w14:paraId="25BAE8B6" w14:textId="77777777" w:rsidR="00E92E0B" w:rsidRPr="000A091D" w:rsidRDefault="00E92E0B" w:rsidP="00E92E0B">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 xml:space="preserve">A pesar de este mandato deontológico, es posible que en la práctica se configure una relación laboral, pues el contrato de trabajo es </w:t>
      </w:r>
      <w:r w:rsidRPr="000A091D">
        <w:rPr>
          <w:rFonts w:ascii="Arial" w:hAnsi="Arial" w:cs="Arial"/>
          <w:i/>
          <w:iCs/>
          <w:noProof/>
          <w:sz w:val="22"/>
          <w:lang w:val="es-ES_tradnl"/>
        </w:rPr>
        <w:t xml:space="preserve">de </w:t>
      </w:r>
      <w:r w:rsidRPr="000A091D">
        <w:rPr>
          <w:rFonts w:ascii="Arial" w:hAnsi="Arial" w:cs="Arial"/>
          <w:i/>
          <w:noProof/>
          <w:sz w:val="22"/>
          <w:lang w:val="es-ES_tradnl"/>
        </w:rPr>
        <w:t>realidad</w:t>
      </w:r>
      <w:r w:rsidRPr="000A091D">
        <w:rPr>
          <w:rFonts w:ascii="Arial" w:hAnsi="Arial" w:cs="Arial"/>
          <w:noProof/>
          <w:sz w:val="22"/>
          <w:lang w:val="es-ES_tradnl"/>
        </w:rPr>
        <w:t>, y para perfeccionarlo rige el principio de prevalencia de la realidad sobre las formalidades. En el sentido anterior, la Corte Constitucional declaró la exequibilidad condicionada del segundo inciso del numeral 3º del artículo 32, indicando que «las expresiones acusadas del numeral 3º del artículo 32 de la Ley 80 de 1993, no vulneran los preceptos constitucionales, razón por la cual deberán ser declaradas exequibles, salvo que se acredite por parte del contratista la existencia de una relación laboral subordinada»</w:t>
      </w:r>
      <w:r w:rsidRPr="000A091D">
        <w:rPr>
          <w:rStyle w:val="FootnoteReference"/>
          <w:rFonts w:ascii="Arial" w:hAnsi="Arial" w:cs="Arial"/>
          <w:noProof/>
          <w:sz w:val="22"/>
          <w:lang w:val="es-ES_tradnl"/>
        </w:rPr>
        <w:footnoteReference w:id="19"/>
      </w:r>
      <w:r w:rsidRPr="000A091D">
        <w:rPr>
          <w:rFonts w:ascii="Arial" w:hAnsi="Arial" w:cs="Arial"/>
          <w:noProof/>
          <w:sz w:val="22"/>
          <w:lang w:val="es-ES_tradnl"/>
        </w:rPr>
        <w:t>. Por su parte, el Consejo de Estado en sentencia de unificación jurisprudencial del 9 de septiembre de 2021 se pronunció respecto de los criterios para identificar la existencia de una relación laboral encubierta o subyacente por contratos de prestación de servicios y definó tres reglas para el efecto</w:t>
      </w:r>
      <w:r w:rsidRPr="000A091D">
        <w:rPr>
          <w:vertAlign w:val="superscript"/>
          <w:lang w:val="es-ES_tradnl"/>
        </w:rPr>
        <w:footnoteReference w:id="20"/>
      </w:r>
      <w:r w:rsidRPr="000A091D">
        <w:rPr>
          <w:rFonts w:ascii="Arial" w:hAnsi="Arial" w:cs="Arial"/>
          <w:noProof/>
          <w:sz w:val="22"/>
          <w:lang w:val="es-ES_tradnl"/>
        </w:rPr>
        <w:t>.</w:t>
      </w:r>
    </w:p>
    <w:p w14:paraId="0E7E4A37" w14:textId="77777777" w:rsidR="00E92E0B" w:rsidRPr="000A091D" w:rsidRDefault="00E92E0B" w:rsidP="00E92E0B">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iii) Deben ser temporales. Así lo consideró</w:t>
      </w:r>
      <w:r w:rsidRPr="000A091D">
        <w:rPr>
          <w:rFonts w:ascii="Arial" w:hAnsi="Arial" w:cs="Arial"/>
          <w:noProof/>
          <w:sz w:val="21"/>
          <w:szCs w:val="21"/>
          <w:lang w:val="es-ES_tradnl"/>
        </w:rPr>
        <w:t xml:space="preserve"> </w:t>
      </w:r>
      <w:r w:rsidRPr="000A091D">
        <w:rPr>
          <w:rFonts w:ascii="Arial" w:hAnsi="Arial" w:cs="Arial"/>
          <w:noProof/>
          <w:sz w:val="22"/>
          <w:lang w:val="es-ES_tradnl"/>
        </w:rPr>
        <w:t xml:space="preserve">el Consejo de Estado en la sentencia de unificación jurisprudencial antes citada, que se refirió a la temporalidad como elemento del contrato estatal de prestación de servicios señalando lo siguiente: </w:t>
      </w:r>
    </w:p>
    <w:p w14:paraId="1DF1C705" w14:textId="77777777" w:rsidR="00E92E0B" w:rsidRPr="000A091D" w:rsidRDefault="00E92E0B" w:rsidP="00E92E0B">
      <w:pPr>
        <w:ind w:left="709" w:right="709"/>
        <w:jc w:val="both"/>
        <w:rPr>
          <w:rFonts w:ascii="Arial" w:hAnsi="Arial" w:cs="Arial"/>
          <w:noProof/>
          <w:sz w:val="21"/>
          <w:szCs w:val="21"/>
          <w:lang w:val="es-ES_tradnl"/>
        </w:rPr>
      </w:pPr>
    </w:p>
    <w:p w14:paraId="5F6CD6A4" w14:textId="77777777" w:rsidR="00E92E0B" w:rsidRPr="000A091D" w:rsidRDefault="00E92E0B" w:rsidP="00E92E0B">
      <w:pPr>
        <w:ind w:left="709" w:right="709"/>
        <w:jc w:val="both"/>
        <w:rPr>
          <w:rFonts w:ascii="Arial" w:hAnsi="Arial" w:cs="Arial"/>
          <w:noProof/>
          <w:sz w:val="21"/>
          <w:szCs w:val="21"/>
          <w:lang w:val="es-ES_tradnl"/>
        </w:rPr>
      </w:pPr>
      <w:r w:rsidRPr="000A091D">
        <w:rPr>
          <w:rFonts w:ascii="Arial" w:hAnsi="Arial" w:cs="Arial"/>
          <w:noProof/>
          <w:sz w:val="21"/>
          <w:szCs w:val="21"/>
          <w:lang w:val="es-ES_tradnl"/>
        </w:rPr>
        <w:t>En ese orden de ideas, la Sala unifica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Pr="000A091D">
        <w:rPr>
          <w:rStyle w:val="FootnoteReference"/>
          <w:rFonts w:ascii="Arial" w:hAnsi="Arial" w:cs="Arial"/>
          <w:noProof/>
          <w:sz w:val="21"/>
          <w:szCs w:val="21"/>
          <w:lang w:val="es-ES_tradnl"/>
        </w:rPr>
        <w:footnoteReference w:id="21"/>
      </w:r>
      <w:r w:rsidRPr="000A091D">
        <w:rPr>
          <w:rFonts w:ascii="Arial" w:hAnsi="Arial" w:cs="Arial"/>
          <w:noProof/>
          <w:sz w:val="21"/>
          <w:szCs w:val="21"/>
          <w:lang w:val="es-ES_tradnl"/>
        </w:rPr>
        <w:t>.</w:t>
      </w:r>
    </w:p>
    <w:p w14:paraId="6D734AE2" w14:textId="77777777" w:rsidR="00E92E0B" w:rsidRPr="000A091D" w:rsidRDefault="00E92E0B" w:rsidP="00E92E0B">
      <w:pPr>
        <w:ind w:left="709" w:right="709"/>
        <w:jc w:val="both"/>
        <w:rPr>
          <w:rFonts w:ascii="Arial" w:hAnsi="Arial" w:cs="Arial"/>
          <w:noProof/>
          <w:sz w:val="21"/>
          <w:szCs w:val="21"/>
          <w:lang w:val="es-ES_tradnl"/>
        </w:rPr>
      </w:pPr>
    </w:p>
    <w:p w14:paraId="7B0CC339" w14:textId="77777777" w:rsidR="00E92E0B" w:rsidRPr="000A091D" w:rsidRDefault="00E92E0B" w:rsidP="00E92E0B">
      <w:pPr>
        <w:spacing w:after="120" w:line="276" w:lineRule="auto"/>
        <w:ind w:firstLine="709"/>
        <w:jc w:val="both"/>
        <w:rPr>
          <w:rFonts w:ascii="Arial" w:hAnsi="Arial" w:cs="Arial"/>
          <w:noProof/>
          <w:sz w:val="22"/>
          <w:lang w:val="es-ES_tradnl"/>
        </w:rPr>
      </w:pPr>
      <w:r w:rsidRPr="000A091D">
        <w:rPr>
          <w:rFonts w:ascii="Arial" w:hAnsi="Arial" w:cs="Arial"/>
          <w:noProof/>
          <w:sz w:val="22"/>
          <w:lang w:val="es-ES_tradnl"/>
        </w:rPr>
        <w:t xml:space="preserve">iv) Se celebran a través de la modalidad de contratación directa, independientemente de la cuantía y del tipo de servicio profesional, siempre que su objeto no sea la consultoría. Esto por cuanto, como lo indicó el Consejo de Estado en la sentencia de unificación jurisprudencial del </w:t>
      </w:r>
      <w:r w:rsidRPr="000A091D">
        <w:rPr>
          <w:rFonts w:ascii="Arial" w:hAnsi="Arial" w:cs="Arial"/>
          <w:color w:val="000000" w:themeColor="text1"/>
          <w:sz w:val="22"/>
          <w:lang w:val="es-ES_tradnl"/>
        </w:rPr>
        <w:t xml:space="preserve">2 de diciembre de </w:t>
      </w:r>
      <w:r w:rsidRPr="000A091D">
        <w:rPr>
          <w:rFonts w:ascii="Arial" w:hAnsi="Arial" w:cs="Arial"/>
          <w:noProof/>
          <w:sz w:val="22"/>
          <w:lang w:val="es-ES_tradnl"/>
        </w:rPr>
        <w:t>2013</w:t>
      </w:r>
      <w:r w:rsidRPr="000A091D">
        <w:rPr>
          <w:rStyle w:val="FootnoteReference"/>
          <w:rFonts w:ascii="Arial" w:hAnsi="Arial" w:cs="Arial"/>
          <w:noProof/>
          <w:sz w:val="22"/>
          <w:lang w:val="es-ES_tradnl"/>
        </w:rPr>
        <w:footnoteReference w:id="22"/>
      </w:r>
      <w:r w:rsidRPr="000A091D">
        <w:rPr>
          <w:rFonts w:ascii="Arial" w:hAnsi="Arial" w:cs="Arial"/>
          <w:noProof/>
          <w:sz w:val="22"/>
          <w:lang w:val="es-ES_tradnl"/>
        </w:rPr>
        <w:t>, si bien en ambos existe un componente intelectual y profesional, el objeto del contrato de consultoría es especial y debe celebrarse, por regla general, mediante un concurso de méritos</w:t>
      </w:r>
      <w:r w:rsidRPr="000A091D">
        <w:rPr>
          <w:rStyle w:val="FootnoteReference"/>
          <w:rFonts w:ascii="Arial" w:hAnsi="Arial" w:cs="Arial"/>
          <w:noProof/>
          <w:sz w:val="22"/>
          <w:lang w:val="es-ES_tradnl"/>
        </w:rPr>
        <w:footnoteReference w:id="23"/>
      </w:r>
      <w:r w:rsidRPr="000A091D">
        <w:rPr>
          <w:rFonts w:ascii="Arial" w:hAnsi="Arial" w:cs="Arial"/>
          <w:noProof/>
          <w:sz w:val="22"/>
          <w:lang w:val="es-ES_tradnl"/>
        </w:rPr>
        <w:t xml:space="preserve">. </w:t>
      </w:r>
    </w:p>
    <w:p w14:paraId="33AA5D1D" w14:textId="77777777" w:rsidR="00E92E0B" w:rsidRPr="000A091D" w:rsidRDefault="00E92E0B" w:rsidP="00E92E0B">
      <w:pPr>
        <w:spacing w:after="120" w:line="276" w:lineRule="auto"/>
        <w:ind w:firstLine="709"/>
        <w:jc w:val="both"/>
        <w:rPr>
          <w:rFonts w:ascii="Arial" w:hAnsi="Arial" w:cs="Arial"/>
          <w:noProof/>
          <w:sz w:val="22"/>
          <w:lang w:val="es-ES_tradnl"/>
        </w:rPr>
      </w:pPr>
      <w:r w:rsidRPr="000A091D">
        <w:rPr>
          <w:rFonts w:ascii="Arial" w:hAnsi="Arial" w:cs="Arial"/>
          <w:noProof/>
          <w:sz w:val="22"/>
          <w:lang w:val="es-ES_tradnl"/>
        </w:rPr>
        <w:t>Debe aclararse que no debe suscribirse un contrato de prestación de servicios profesionales para ejecutar actividades que se enmarcan en los otros contratos tipificados en el artículo 32 de la Ley 80 de 1993, como, por ejemplo, la construcción de una obra.</w:t>
      </w:r>
    </w:p>
    <w:p w14:paraId="29C301AB" w14:textId="77777777" w:rsidR="00E92E0B" w:rsidRPr="000A091D" w:rsidRDefault="00E92E0B" w:rsidP="00E92E0B">
      <w:pPr>
        <w:spacing w:after="120" w:line="276" w:lineRule="auto"/>
        <w:ind w:firstLine="709"/>
        <w:jc w:val="both"/>
        <w:rPr>
          <w:rFonts w:ascii="Arial" w:hAnsi="Arial" w:cs="Arial"/>
          <w:noProof/>
          <w:sz w:val="22"/>
          <w:lang w:val="es-ES_tradnl"/>
        </w:rPr>
      </w:pPr>
      <w:r w:rsidRPr="000A091D">
        <w:rPr>
          <w:rFonts w:ascii="Arial" w:hAnsi="Arial" w:cs="Arial"/>
          <w:noProof/>
          <w:sz w:val="22"/>
          <w:lang w:val="es-ES_tradnl"/>
        </w:rPr>
        <w:t>v) Para celebrarlo no se requiere expedir un acto administrativo de justificación de la contratación directa</w:t>
      </w:r>
      <w:r w:rsidRPr="000A091D">
        <w:rPr>
          <w:rStyle w:val="FootnoteReference"/>
          <w:rFonts w:ascii="Arial" w:hAnsi="Arial" w:cs="Arial"/>
          <w:noProof/>
          <w:sz w:val="22"/>
          <w:lang w:val="es-ES_tradnl"/>
        </w:rPr>
        <w:footnoteReference w:id="24"/>
      </w:r>
      <w:r w:rsidRPr="000A091D">
        <w:rPr>
          <w:rFonts w:ascii="Arial" w:hAnsi="Arial" w:cs="Arial"/>
          <w:noProof/>
          <w:sz w:val="22"/>
          <w:lang w:val="es-ES_tradnl"/>
        </w:rPr>
        <w:t>.</w:t>
      </w:r>
    </w:p>
    <w:p w14:paraId="3923D8AF" w14:textId="77777777" w:rsidR="00E92E0B" w:rsidRPr="000A091D" w:rsidRDefault="00E92E0B" w:rsidP="00E92E0B">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vi)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por naturaleza. Así se infiere del artículo 14, numeral 2º, de la Ley 80 de 1993</w:t>
      </w:r>
      <w:r w:rsidRPr="000A091D">
        <w:rPr>
          <w:rStyle w:val="FootnoteReference"/>
          <w:rFonts w:ascii="Arial" w:hAnsi="Arial" w:cs="Arial"/>
          <w:noProof/>
          <w:sz w:val="22"/>
          <w:lang w:val="es-ES_tradnl"/>
        </w:rPr>
        <w:footnoteReference w:id="25"/>
      </w:r>
      <w:r w:rsidRPr="000A091D">
        <w:rPr>
          <w:rFonts w:ascii="Arial" w:hAnsi="Arial" w:cs="Arial"/>
          <w:noProof/>
          <w:sz w:val="22"/>
          <w:lang w:val="es-ES_tradnl"/>
        </w:rPr>
        <w:t>.</w:t>
      </w:r>
    </w:p>
    <w:p w14:paraId="2F3C8A11" w14:textId="77777777" w:rsidR="00E92E0B" w:rsidRPr="000A091D" w:rsidRDefault="00E92E0B" w:rsidP="00E92E0B">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vii) No es obligatorio liquidar estos contratos, como lo establece el artículo 217 del Decreto 019 de 2012, que modificó el artículo 60 de la Ley 80 de 1993</w:t>
      </w:r>
      <w:r w:rsidRPr="000A091D">
        <w:rPr>
          <w:rStyle w:val="FootnoteReference"/>
          <w:rFonts w:ascii="Arial" w:hAnsi="Arial" w:cs="Arial"/>
          <w:noProof/>
          <w:sz w:val="22"/>
          <w:lang w:val="es-ES_tradnl"/>
        </w:rPr>
        <w:footnoteReference w:id="26"/>
      </w:r>
      <w:r w:rsidRPr="000A091D">
        <w:rPr>
          <w:rFonts w:ascii="Arial" w:hAnsi="Arial" w:cs="Arial"/>
          <w:noProof/>
          <w:sz w:val="22"/>
          <w:lang w:val="es-ES_tradnl"/>
        </w:rPr>
        <w:t>.</w:t>
      </w:r>
    </w:p>
    <w:p w14:paraId="40897582" w14:textId="77777777" w:rsidR="00E92E0B" w:rsidRPr="000A091D" w:rsidRDefault="00E92E0B" w:rsidP="00E92E0B">
      <w:pPr>
        <w:spacing w:before="120" w:line="276" w:lineRule="auto"/>
        <w:ind w:firstLine="709"/>
        <w:jc w:val="both"/>
        <w:rPr>
          <w:rFonts w:ascii="Arial" w:hAnsi="Arial" w:cs="Arial"/>
          <w:noProof/>
          <w:sz w:val="22"/>
          <w:lang w:val="es-ES_tradnl"/>
        </w:rPr>
      </w:pPr>
      <w:r w:rsidRPr="000A091D">
        <w:rPr>
          <w:rFonts w:ascii="Arial" w:hAnsi="Arial" w:cs="Arial"/>
          <w:noProof/>
          <w:sz w:val="22"/>
          <w:lang w:val="es-ES_tradnl"/>
        </w:rPr>
        <w:t>viii) Para celebrarlos no se requiere estar inscrito en el Registro Único de Proponentes –RUP–, como lo señala el artículo 6 de la Ley 1150 de 2007</w:t>
      </w:r>
      <w:r w:rsidRPr="000A091D">
        <w:rPr>
          <w:rStyle w:val="FootnoteReference"/>
          <w:rFonts w:ascii="Arial" w:hAnsi="Arial" w:cs="Arial"/>
          <w:noProof/>
          <w:sz w:val="22"/>
          <w:lang w:val="es-ES_tradnl"/>
        </w:rPr>
        <w:footnoteReference w:id="27"/>
      </w:r>
      <w:r w:rsidRPr="000A091D">
        <w:rPr>
          <w:rFonts w:ascii="Arial" w:hAnsi="Arial" w:cs="Arial"/>
          <w:noProof/>
          <w:sz w:val="22"/>
          <w:lang w:val="es-ES_tradnl"/>
        </w:rPr>
        <w:t>.</w:t>
      </w:r>
    </w:p>
    <w:p w14:paraId="746DD311" w14:textId="77777777" w:rsidR="00E92E0B" w:rsidRPr="000A091D" w:rsidRDefault="00E92E0B" w:rsidP="00E92E0B">
      <w:pPr>
        <w:spacing w:before="120" w:line="276" w:lineRule="auto"/>
        <w:ind w:firstLine="708"/>
        <w:jc w:val="both"/>
        <w:rPr>
          <w:rFonts w:ascii="Arial" w:hAnsi="Arial" w:cs="Arial"/>
          <w:noProof/>
          <w:sz w:val="22"/>
          <w:lang w:val="es-ES_tradnl"/>
        </w:rPr>
      </w:pPr>
      <w:r w:rsidRPr="000A091D">
        <w:rPr>
          <w:rFonts w:ascii="Arial" w:hAnsi="Arial" w:cs="Arial"/>
          <w:noProof/>
          <w:sz w:val="22"/>
          <w:lang w:val="es-ES_tradnl"/>
        </w:rPr>
        <w:t>ix) No es necesario que el Estado exija garantías</w:t>
      </w:r>
      <w:r w:rsidRPr="000A091D">
        <w:rPr>
          <w:rStyle w:val="FootnoteReference"/>
          <w:rFonts w:ascii="Arial" w:hAnsi="Arial" w:cs="Arial"/>
          <w:noProof/>
          <w:sz w:val="22"/>
          <w:lang w:val="es-ES_tradnl"/>
        </w:rPr>
        <w:footnoteReference w:id="28"/>
      </w:r>
      <w:r w:rsidRPr="000A091D">
        <w:rPr>
          <w:rFonts w:ascii="Arial" w:hAnsi="Arial" w:cs="Arial"/>
          <w:noProof/>
          <w:sz w:val="22"/>
          <w:lang w:val="es-ES_tradnl"/>
        </w:rPr>
        <w:t>.</w:t>
      </w:r>
    </w:p>
    <w:p w14:paraId="34472106" w14:textId="77777777" w:rsidR="00E92E0B" w:rsidRPr="000A091D" w:rsidRDefault="00E92E0B" w:rsidP="00E92E0B">
      <w:pPr>
        <w:tabs>
          <w:tab w:val="left" w:pos="0"/>
        </w:tabs>
        <w:spacing w:before="120" w:line="276" w:lineRule="auto"/>
        <w:ind w:firstLine="709"/>
        <w:jc w:val="both"/>
        <w:rPr>
          <w:rFonts w:ascii="Arial" w:hAnsi="Arial" w:cs="Arial"/>
          <w:color w:val="000000" w:themeColor="text1"/>
          <w:sz w:val="21"/>
          <w:szCs w:val="21"/>
        </w:rPr>
      </w:pPr>
      <w:r w:rsidRPr="000A091D">
        <w:rPr>
          <w:rFonts w:ascii="Arial" w:hAnsi="Arial" w:cs="Arial"/>
          <w:color w:val="000000" w:themeColor="text1"/>
          <w:sz w:val="22"/>
        </w:rPr>
        <w:t xml:space="preserve">Como especies del género </w:t>
      </w:r>
      <w:r w:rsidRPr="000A091D">
        <w:rPr>
          <w:rFonts w:ascii="Arial" w:hAnsi="Arial" w:cs="Arial"/>
          <w:i/>
          <w:color w:val="000000" w:themeColor="text1"/>
          <w:sz w:val="22"/>
        </w:rPr>
        <w:t>prestación de servicios,</w:t>
      </w:r>
      <w:r w:rsidRPr="000A091D">
        <w:rPr>
          <w:rFonts w:ascii="Arial" w:hAnsi="Arial" w:cs="Arial"/>
          <w:color w:val="000000" w:themeColor="text1"/>
          <w:sz w:val="22"/>
        </w:rPr>
        <w:t xml:space="preserve"> se incluyen </w:t>
      </w:r>
      <w:r w:rsidRPr="000A091D">
        <w:rPr>
          <w:rFonts w:ascii="Arial" w:hAnsi="Arial" w:cs="Arial"/>
          <w:color w:val="000000" w:themeColor="text1"/>
          <w:sz w:val="22"/>
          <w:lang w:val="es-ES_tradnl"/>
        </w:rPr>
        <w:t xml:space="preserve">los </w:t>
      </w:r>
      <w:r w:rsidRPr="000A091D">
        <w:rPr>
          <w:rFonts w:ascii="Arial" w:hAnsi="Arial" w:cs="Arial"/>
          <w:i/>
          <w:iCs/>
          <w:color w:val="000000" w:themeColor="text1"/>
          <w:sz w:val="22"/>
          <w:lang w:val="es-ES_tradnl"/>
        </w:rPr>
        <w:t>contratos de prestación de servicios profesionales, los contratos de prestación de servicios apoyo a la gestión</w:t>
      </w:r>
      <w:r w:rsidRPr="000A091D">
        <w:rPr>
          <w:rFonts w:ascii="Arial" w:hAnsi="Arial" w:cs="Arial"/>
          <w:color w:val="000000" w:themeColor="text1"/>
          <w:sz w:val="22"/>
          <w:lang w:val="es-ES_tradnl"/>
        </w:rPr>
        <w:t xml:space="preserve"> y los </w:t>
      </w:r>
      <w:r w:rsidRPr="000A091D">
        <w:rPr>
          <w:rFonts w:ascii="Arial" w:hAnsi="Arial" w:cs="Arial"/>
          <w:i/>
          <w:iCs/>
          <w:color w:val="000000" w:themeColor="text1"/>
          <w:sz w:val="22"/>
          <w:lang w:val="es-ES_tradnl"/>
        </w:rPr>
        <w:t>contratos de prestación de servicios artísticos que solo pueden encomendarse a determinadas personas naturales</w:t>
      </w:r>
      <w:r w:rsidRPr="000A091D">
        <w:rPr>
          <w:rFonts w:ascii="Arial" w:hAnsi="Arial" w:cs="Arial"/>
          <w:color w:val="000000" w:themeColor="text1"/>
          <w:sz w:val="22"/>
          <w:vertAlign w:val="superscript"/>
          <w:lang w:val="es-ES_tradnl"/>
        </w:rPr>
        <w:footnoteReference w:id="29"/>
      </w:r>
      <w:r w:rsidRPr="000A091D">
        <w:rPr>
          <w:rFonts w:ascii="Arial" w:hAnsi="Arial" w:cs="Arial"/>
          <w:color w:val="000000" w:themeColor="text1"/>
          <w:sz w:val="22"/>
        </w:rPr>
        <w:t xml:space="preserve">. </w:t>
      </w:r>
      <w:r w:rsidRPr="000A091D">
        <w:rPr>
          <w:rFonts w:ascii="Arial" w:hAnsi="Arial" w:cs="Arial"/>
          <w:color w:val="000000" w:themeColor="text1"/>
          <w:sz w:val="22"/>
          <w:lang w:val="es-ES_tradnl"/>
        </w:rPr>
        <w:t xml:space="preserve">La diferencia entre el contrato de prestación de servicios </w:t>
      </w:r>
      <w:r w:rsidRPr="000A091D">
        <w:rPr>
          <w:rFonts w:ascii="Arial" w:hAnsi="Arial" w:cs="Arial"/>
          <w:i/>
          <w:color w:val="000000" w:themeColor="text1"/>
          <w:sz w:val="22"/>
          <w:lang w:val="es-ES_tradnl"/>
        </w:rPr>
        <w:t>profesionales</w:t>
      </w:r>
      <w:r w:rsidRPr="000A091D">
        <w:rPr>
          <w:rFonts w:ascii="Arial" w:hAnsi="Arial" w:cs="Arial"/>
          <w:color w:val="000000" w:themeColor="text1"/>
          <w:sz w:val="22"/>
          <w:lang w:val="es-ES_tradnl"/>
        </w:rPr>
        <w:t xml:space="preserve"> con las otras dos especies del género en el cual se </w:t>
      </w:r>
      <w:proofErr w:type="gramStart"/>
      <w:r w:rsidRPr="000A091D">
        <w:rPr>
          <w:rFonts w:ascii="Arial" w:hAnsi="Arial" w:cs="Arial"/>
          <w:color w:val="000000" w:themeColor="text1"/>
          <w:sz w:val="22"/>
          <w:lang w:val="es-ES_tradnl"/>
        </w:rPr>
        <w:t>ubican,</w:t>
      </w:r>
      <w:proofErr w:type="gramEnd"/>
      <w:r w:rsidRPr="000A091D">
        <w:rPr>
          <w:rFonts w:ascii="Arial" w:hAnsi="Arial" w:cs="Arial"/>
          <w:color w:val="000000" w:themeColor="text1"/>
          <w:sz w:val="22"/>
          <w:lang w:val="es-ES_tradnl"/>
        </w:rPr>
        <w:t xml:space="preserve"> radica en su contenido intelectual intangible y, al mismo tiempo, en la formación profesional que se exige para desempeñar la labor. Así lo consideró el Consejo de Estado en sentencia de unificación jurisprudencial del 2 de diciembre de 2013, al explicar que:</w:t>
      </w:r>
    </w:p>
    <w:p w14:paraId="27CAA1BF" w14:textId="77777777" w:rsidR="00E92E0B" w:rsidRPr="000A091D" w:rsidRDefault="00E92E0B" w:rsidP="00E92E0B">
      <w:pPr>
        <w:spacing w:line="276" w:lineRule="auto"/>
        <w:ind w:firstLine="709"/>
        <w:jc w:val="both"/>
        <w:rPr>
          <w:rFonts w:ascii="Arial" w:hAnsi="Arial" w:cs="Arial"/>
          <w:color w:val="000000" w:themeColor="text1"/>
          <w:sz w:val="22"/>
          <w:lang w:val="es-ES_tradnl"/>
        </w:rPr>
      </w:pPr>
    </w:p>
    <w:p w14:paraId="23ABE991" w14:textId="77777777" w:rsidR="00E92E0B" w:rsidRPr="000A091D" w:rsidRDefault="00E92E0B" w:rsidP="00E92E0B">
      <w:pPr>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0A091D">
        <w:rPr>
          <w:rStyle w:val="FootnoteReference"/>
          <w:rFonts w:ascii="Arial" w:hAnsi="Arial" w:cs="Arial"/>
          <w:color w:val="000000" w:themeColor="text1"/>
          <w:sz w:val="21"/>
          <w:szCs w:val="21"/>
          <w:lang w:val="es-ES_tradnl"/>
        </w:rPr>
        <w:footnoteReference w:id="30"/>
      </w:r>
      <w:r w:rsidRPr="000A091D">
        <w:rPr>
          <w:rFonts w:ascii="Arial" w:hAnsi="Arial" w:cs="Arial"/>
          <w:color w:val="000000" w:themeColor="text1"/>
          <w:sz w:val="21"/>
          <w:szCs w:val="21"/>
          <w:lang w:val="es-ES_tradnl"/>
        </w:rPr>
        <w:t>.</w:t>
      </w:r>
    </w:p>
    <w:p w14:paraId="152C169A" w14:textId="77777777" w:rsidR="00E92E0B" w:rsidRPr="000A091D" w:rsidRDefault="00E92E0B" w:rsidP="00E92E0B">
      <w:pPr>
        <w:spacing w:line="276" w:lineRule="auto"/>
        <w:ind w:firstLine="709"/>
        <w:jc w:val="both"/>
        <w:rPr>
          <w:rFonts w:ascii="Arial" w:hAnsi="Arial" w:cs="Arial"/>
          <w:color w:val="000000" w:themeColor="text1"/>
          <w:sz w:val="22"/>
          <w:lang w:val="es-ES_tradnl"/>
        </w:rPr>
      </w:pPr>
    </w:p>
    <w:p w14:paraId="576BCAE4" w14:textId="77777777" w:rsidR="00E92E0B" w:rsidRPr="000A091D" w:rsidRDefault="00E92E0B" w:rsidP="00E92E0B">
      <w:pPr>
        <w:spacing w:line="276" w:lineRule="auto"/>
        <w:ind w:firstLine="709"/>
        <w:jc w:val="both"/>
        <w:rPr>
          <w:rFonts w:ascii="Arial" w:hAnsi="Arial" w:cs="Arial"/>
          <w:color w:val="000000" w:themeColor="text1"/>
          <w:sz w:val="22"/>
          <w:lang w:val="es-ES_tradnl"/>
        </w:rPr>
      </w:pPr>
      <w:r w:rsidRPr="000A091D">
        <w:rPr>
          <w:rFonts w:ascii="Arial" w:hAnsi="Arial" w:cs="Arial"/>
          <w:color w:val="000000" w:themeColor="text1"/>
          <w:sz w:val="22"/>
          <w:lang w:val="es-ES_tradnl"/>
        </w:rPr>
        <w:t xml:space="preserve">Lo expuesto, según la jurisprudencia citada, se diferencia del objeto del </w:t>
      </w:r>
      <w:r w:rsidRPr="000A091D">
        <w:rPr>
          <w:rFonts w:ascii="Arial" w:hAnsi="Arial" w:cs="Arial"/>
          <w:i/>
          <w:iCs/>
          <w:color w:val="000000" w:themeColor="text1"/>
          <w:sz w:val="22"/>
          <w:lang w:val="es-ES_tradnl"/>
        </w:rPr>
        <w:t>contrato de prestación de servicios de apoyo a la gestión</w:t>
      </w:r>
      <w:r w:rsidRPr="000A091D">
        <w:rPr>
          <w:rFonts w:ascii="Arial" w:hAnsi="Arial" w:cs="Arial"/>
          <w:color w:val="000000" w:themeColor="text1"/>
          <w:sz w:val="22"/>
          <w:lang w:val="es-ES_tradnl"/>
        </w:rPr>
        <w:t>, en los siguientes aspectos:</w:t>
      </w:r>
    </w:p>
    <w:p w14:paraId="5D536877" w14:textId="77777777" w:rsidR="00E92E0B" w:rsidRPr="000A091D" w:rsidRDefault="00E92E0B" w:rsidP="00E92E0B">
      <w:pPr>
        <w:spacing w:line="276" w:lineRule="auto"/>
        <w:ind w:firstLine="709"/>
        <w:jc w:val="both"/>
        <w:rPr>
          <w:rFonts w:ascii="Arial" w:hAnsi="Arial" w:cs="Arial"/>
          <w:color w:val="000000" w:themeColor="text1"/>
          <w:sz w:val="22"/>
          <w:lang w:val="es-ES_tradnl"/>
        </w:rPr>
      </w:pPr>
    </w:p>
    <w:p w14:paraId="63DB7CB0" w14:textId="77777777" w:rsidR="00E92E0B" w:rsidRPr="000A091D" w:rsidRDefault="00E92E0B" w:rsidP="00E92E0B">
      <w:pPr>
        <w:spacing w:after="120"/>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64B5582" w14:textId="77777777" w:rsidR="00E92E0B" w:rsidRPr="000A091D" w:rsidRDefault="00E92E0B" w:rsidP="00E92E0B">
      <w:pPr>
        <w:spacing w:after="120"/>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 xml:space="preserve">Aunque también se caracteriza por el desempeño de actividad intelectiva, ésta </w:t>
      </w:r>
      <w:proofErr w:type="gramStart"/>
      <w:r w:rsidRPr="000A091D">
        <w:rPr>
          <w:rFonts w:ascii="Arial" w:hAnsi="Arial" w:cs="Arial"/>
          <w:color w:val="000000" w:themeColor="text1"/>
          <w:sz w:val="21"/>
          <w:szCs w:val="21"/>
          <w:lang w:val="es-ES_tradnl"/>
        </w:rPr>
        <w:t>se enmarca dentro de</w:t>
      </w:r>
      <w:proofErr w:type="gramEnd"/>
      <w:r w:rsidRPr="000A091D">
        <w:rPr>
          <w:rFonts w:ascii="Arial" w:hAnsi="Arial" w:cs="Arial"/>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431C59CE" w14:textId="77777777" w:rsidR="00E92E0B" w:rsidRPr="000A091D" w:rsidRDefault="00E92E0B" w:rsidP="00E92E0B">
      <w:pPr>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0A091D">
        <w:rPr>
          <w:rStyle w:val="FootnoteReference"/>
          <w:rFonts w:ascii="Arial" w:hAnsi="Arial" w:cs="Arial"/>
          <w:color w:val="000000" w:themeColor="text1"/>
          <w:sz w:val="21"/>
          <w:szCs w:val="21"/>
          <w:lang w:val="es-ES_tradnl"/>
        </w:rPr>
        <w:footnoteReference w:id="31"/>
      </w:r>
      <w:r w:rsidRPr="000A091D">
        <w:rPr>
          <w:rFonts w:ascii="Arial" w:hAnsi="Arial" w:cs="Arial"/>
          <w:color w:val="000000" w:themeColor="text1"/>
          <w:sz w:val="21"/>
          <w:szCs w:val="21"/>
          <w:lang w:val="es-ES_tradnl"/>
        </w:rPr>
        <w:t>.</w:t>
      </w:r>
    </w:p>
    <w:p w14:paraId="31AE1E29" w14:textId="77777777" w:rsidR="00E92E0B" w:rsidRPr="000A091D" w:rsidRDefault="00E92E0B" w:rsidP="00E92E0B">
      <w:pPr>
        <w:spacing w:line="276" w:lineRule="auto"/>
        <w:ind w:firstLine="709"/>
        <w:jc w:val="both"/>
        <w:rPr>
          <w:rFonts w:ascii="Arial" w:hAnsi="Arial" w:cs="Arial"/>
          <w:color w:val="000000" w:themeColor="text1"/>
          <w:sz w:val="22"/>
          <w:lang w:val="es-ES_tradnl"/>
        </w:rPr>
      </w:pPr>
    </w:p>
    <w:p w14:paraId="7FC7DB10" w14:textId="77777777" w:rsidR="00E92E0B" w:rsidRPr="000A091D" w:rsidRDefault="00E92E0B" w:rsidP="00E92E0B">
      <w:pPr>
        <w:spacing w:line="276" w:lineRule="auto"/>
        <w:ind w:firstLine="709"/>
        <w:jc w:val="both"/>
        <w:rPr>
          <w:rFonts w:ascii="Arial" w:hAnsi="Arial" w:cs="Arial"/>
          <w:color w:val="000000" w:themeColor="text1"/>
          <w:sz w:val="22"/>
          <w:lang w:val="es-ES_tradnl"/>
        </w:rPr>
      </w:pPr>
      <w:r w:rsidRPr="000A091D">
        <w:rPr>
          <w:rFonts w:ascii="Arial" w:hAnsi="Arial" w:cs="Arial"/>
          <w:color w:val="000000" w:themeColor="text1"/>
          <w:sz w:val="22"/>
          <w:lang w:val="es-ES_tradnl"/>
        </w:rPr>
        <w:t xml:space="preserve">En relación con el </w:t>
      </w:r>
      <w:r w:rsidRPr="000A091D">
        <w:rPr>
          <w:rFonts w:ascii="Arial" w:hAnsi="Arial" w:cs="Arial"/>
          <w:i/>
          <w:iCs/>
          <w:color w:val="000000" w:themeColor="text1"/>
          <w:sz w:val="22"/>
          <w:lang w:val="es-ES_tradnl"/>
        </w:rPr>
        <w:t>contrato de prestación de servicios artísticos que solo pueden encomendarse a determinadas personas naturales</w:t>
      </w:r>
      <w:r w:rsidRPr="000A091D">
        <w:rPr>
          <w:rFonts w:ascii="Arial" w:hAnsi="Arial" w:cs="Arial"/>
          <w:color w:val="000000" w:themeColor="text1"/>
          <w:sz w:val="22"/>
          <w:lang w:val="es-ES_tradnl"/>
        </w:rPr>
        <w:t>, señala la mencionada decisión judicial lo siguiente:</w:t>
      </w:r>
    </w:p>
    <w:p w14:paraId="312C02A7" w14:textId="77777777" w:rsidR="00E92E0B" w:rsidRPr="000A091D" w:rsidRDefault="00E92E0B" w:rsidP="00E92E0B">
      <w:pPr>
        <w:ind w:left="709" w:right="709"/>
        <w:jc w:val="both"/>
        <w:rPr>
          <w:rFonts w:ascii="Arial" w:hAnsi="Arial" w:cs="Arial"/>
          <w:color w:val="000000" w:themeColor="text1"/>
          <w:sz w:val="21"/>
          <w:szCs w:val="21"/>
          <w:lang w:val="es-ES_tradnl"/>
        </w:rPr>
      </w:pPr>
    </w:p>
    <w:p w14:paraId="006E94AB" w14:textId="77777777" w:rsidR="00E92E0B" w:rsidRPr="000A091D" w:rsidRDefault="00E92E0B" w:rsidP="00E92E0B">
      <w:pPr>
        <w:ind w:left="709" w:right="709"/>
        <w:jc w:val="both"/>
        <w:rPr>
          <w:rFonts w:ascii="Arial" w:hAnsi="Arial" w:cs="Arial"/>
          <w:color w:val="000000" w:themeColor="text1"/>
          <w:sz w:val="21"/>
          <w:szCs w:val="21"/>
          <w:lang w:val="es-ES_tradnl"/>
        </w:rPr>
      </w:pPr>
      <w:r w:rsidRPr="000A091D">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0A091D">
        <w:rPr>
          <w:rStyle w:val="FootnoteReference"/>
          <w:rFonts w:ascii="Arial" w:hAnsi="Arial" w:cs="Arial"/>
          <w:color w:val="000000" w:themeColor="text1"/>
          <w:sz w:val="21"/>
          <w:szCs w:val="21"/>
          <w:lang w:val="es-ES_tradnl"/>
        </w:rPr>
        <w:footnoteReference w:id="32"/>
      </w:r>
      <w:r w:rsidRPr="000A091D">
        <w:rPr>
          <w:rFonts w:ascii="Arial" w:hAnsi="Arial" w:cs="Arial"/>
          <w:color w:val="000000" w:themeColor="text1"/>
          <w:sz w:val="21"/>
          <w:szCs w:val="21"/>
          <w:lang w:val="es-ES_tradnl"/>
        </w:rPr>
        <w:t>.</w:t>
      </w:r>
    </w:p>
    <w:p w14:paraId="2D4A08FD" w14:textId="77777777" w:rsidR="00E92E0B" w:rsidRPr="000A091D" w:rsidRDefault="00E92E0B" w:rsidP="00E92E0B">
      <w:pPr>
        <w:ind w:left="709" w:right="709"/>
        <w:jc w:val="both"/>
        <w:rPr>
          <w:rFonts w:ascii="Arial" w:hAnsi="Arial" w:cs="Arial"/>
          <w:color w:val="000000" w:themeColor="text1"/>
          <w:sz w:val="21"/>
          <w:szCs w:val="21"/>
          <w:lang w:val="es-ES_tradnl"/>
        </w:rPr>
      </w:pPr>
    </w:p>
    <w:p w14:paraId="0C47937A" w14:textId="77777777" w:rsidR="00E92E0B" w:rsidRDefault="00E92E0B" w:rsidP="00E92E0B">
      <w:pPr>
        <w:spacing w:before="120" w:after="120" w:line="276" w:lineRule="auto"/>
        <w:ind w:firstLine="709"/>
        <w:jc w:val="both"/>
        <w:rPr>
          <w:rFonts w:ascii="Arial" w:hAnsi="Arial" w:cs="Arial"/>
          <w:color w:val="000000" w:themeColor="text1"/>
          <w:sz w:val="22"/>
          <w:lang w:val="es-ES_tradnl"/>
        </w:rPr>
      </w:pPr>
      <w:r w:rsidRPr="000A091D">
        <w:rPr>
          <w:rFonts w:ascii="Arial" w:hAnsi="Arial" w:cs="Arial"/>
          <w:color w:val="000000" w:themeColor="text1"/>
          <w:sz w:val="22"/>
          <w:lang w:val="es-ES_tradnl"/>
        </w:rPr>
        <w:t xml:space="preserve">En este sentido, el contrato de prestación de servicios </w:t>
      </w:r>
      <w:r w:rsidRPr="000A091D">
        <w:rPr>
          <w:rFonts w:ascii="Arial" w:hAnsi="Arial" w:cs="Arial"/>
          <w:i/>
          <w:iCs/>
          <w:color w:val="000000" w:themeColor="text1"/>
          <w:sz w:val="22"/>
          <w:lang w:val="es-ES_tradnl"/>
        </w:rPr>
        <w:t>profesionales</w:t>
      </w:r>
      <w:r w:rsidRPr="000A091D">
        <w:rPr>
          <w:rFonts w:ascii="Arial" w:hAnsi="Arial" w:cs="Arial"/>
          <w:color w:val="000000" w:themeColor="text1"/>
          <w:sz w:val="22"/>
          <w:lang w:val="es-ES_tradnl"/>
        </w:rPr>
        <w:t xml:space="preserve"> se caracteriza porque su objeto guarda relación con el desarrollo de actividades que demandan competencias y habilidades profesionales o especializadas de la persona natural o jurídica a contratar, de manera que se trata de un </w:t>
      </w:r>
      <w:r w:rsidRPr="000A091D">
        <w:rPr>
          <w:rFonts w:ascii="Arial" w:hAnsi="Arial" w:cs="Arial"/>
          <w:i/>
          <w:iCs/>
          <w:color w:val="000000" w:themeColor="text1"/>
          <w:sz w:val="22"/>
          <w:lang w:val="es-ES_tradnl"/>
        </w:rPr>
        <w:t>saber intelectivo cualificado.</w:t>
      </w:r>
      <w:r w:rsidRPr="000A091D">
        <w:rPr>
          <w:rFonts w:ascii="Arial" w:hAnsi="Arial" w:cs="Arial"/>
          <w:color w:val="000000" w:themeColor="text1"/>
          <w:sz w:val="22"/>
          <w:lang w:val="es-ES_tradnl"/>
        </w:rPr>
        <w:t xml:space="preserve"> En cambio, los contratos de prestación de servicios de </w:t>
      </w:r>
      <w:r w:rsidRPr="000A091D">
        <w:rPr>
          <w:rFonts w:ascii="Arial" w:hAnsi="Arial" w:cs="Arial"/>
          <w:i/>
          <w:iCs/>
          <w:color w:val="000000" w:themeColor="text1"/>
          <w:sz w:val="22"/>
          <w:lang w:val="es-ES_tradnl"/>
        </w:rPr>
        <w:t>apoyo a la gestión</w:t>
      </w:r>
      <w:r w:rsidRPr="000A091D">
        <w:rPr>
          <w:rFonts w:ascii="Arial" w:hAnsi="Arial" w:cs="Arial"/>
          <w:color w:val="000000" w:themeColor="text1"/>
          <w:sz w:val="22"/>
          <w:lang w:val="es-ES_tradnl"/>
        </w:rPr>
        <w:t xml:space="preserve"> y de </w:t>
      </w:r>
      <w:r w:rsidRPr="000A091D">
        <w:rPr>
          <w:rFonts w:ascii="Arial" w:hAnsi="Arial" w:cs="Arial"/>
          <w:i/>
          <w:iCs/>
          <w:color w:val="000000" w:themeColor="text1"/>
          <w:sz w:val="22"/>
          <w:lang w:val="es-ES_tradnl"/>
        </w:rPr>
        <w:t>servicios artísticos</w:t>
      </w:r>
      <w:r w:rsidRPr="000A091D">
        <w:rPr>
          <w:rFonts w:ascii="Arial" w:hAnsi="Arial" w:cs="Arial"/>
          <w:color w:val="000000" w:themeColor="text1"/>
          <w:sz w:val="22"/>
          <w:lang w:val="es-ES_tradnl"/>
        </w:rPr>
        <w:t xml:space="preserve"> no involucran ese conocimiento profesional </w:t>
      </w:r>
      <w:r w:rsidRPr="000A091D">
        <w:rPr>
          <w:rFonts w:ascii="Arial" w:hAnsi="Arial" w:cs="Arial"/>
          <w:color w:val="000000" w:themeColor="text1"/>
          <w:sz w:val="22"/>
        </w:rPr>
        <w:t xml:space="preserve">o especializado para su ejecución. En los de apoyo a la gestión </w:t>
      </w:r>
      <w:r w:rsidRPr="000A091D">
        <w:rPr>
          <w:rFonts w:ascii="Arial" w:hAnsi="Arial" w:cs="Arial"/>
          <w:color w:val="000000" w:themeColor="text1"/>
          <w:sz w:val="22"/>
          <w:lang w:val="es-ES_tradnl"/>
        </w:rPr>
        <w:t xml:space="preserve">el contratista desempeña un esfuerzo o actividad de apoyo, acompañamiento, o soporte, </w:t>
      </w:r>
      <w:r w:rsidRPr="000A091D">
        <w:rPr>
          <w:rFonts w:ascii="Arial" w:hAnsi="Arial" w:cs="Arial"/>
          <w:color w:val="000000" w:themeColor="text1"/>
          <w:sz w:val="22"/>
        </w:rPr>
        <w:t xml:space="preserve">en donde </w:t>
      </w:r>
      <w:r w:rsidRPr="000A091D">
        <w:rPr>
          <w:rFonts w:ascii="Arial" w:hAnsi="Arial" w:cs="Arial"/>
          <w:color w:val="000000" w:themeColor="text1"/>
          <w:sz w:val="22"/>
          <w:lang w:val="es-ES_tradnl"/>
        </w:rPr>
        <w:t xml:space="preserve">«lo predominante es el actuar como ejecutor, con el propósito y finalidad de satisfacer necesidades de las entidades estatales en lo relacionado con la gestión administrativa o funcionamiento de </w:t>
      </w:r>
      <w:proofErr w:type="gramStart"/>
      <w:r w:rsidRPr="000A091D">
        <w:rPr>
          <w:rFonts w:ascii="Arial" w:hAnsi="Arial" w:cs="Arial"/>
          <w:color w:val="000000" w:themeColor="text1"/>
          <w:sz w:val="22"/>
          <w:lang w:val="es-ES_tradnl"/>
        </w:rPr>
        <w:t>la misma</w:t>
      </w:r>
      <w:proofErr w:type="gramEnd"/>
      <w:r w:rsidRPr="000A091D">
        <w:rPr>
          <w:rFonts w:ascii="Arial" w:hAnsi="Arial" w:cs="Arial"/>
          <w:color w:val="000000" w:themeColor="text1"/>
          <w:sz w:val="22"/>
          <w:lang w:val="es-ES_tradnl"/>
        </w:rPr>
        <w:t>, por personas no profesionales y que no implican el ejercicio de funciones públicas administrativas». Igualmente, en el contrato de prestación de servicios artísticos lo prevalente es que la persona que lo ejecute se trate de un artista, es decir, «una persona reconocida como realizador o productor de arte, de obras de arte, ejecutor de trabajos artísticos</w:t>
      </w:r>
      <w:bookmarkStart w:id="4" w:name="_Hlk80118732"/>
      <w:r w:rsidRPr="000A091D">
        <w:rPr>
          <w:rFonts w:ascii="Arial" w:hAnsi="Arial" w:cs="Arial"/>
          <w:color w:val="000000" w:themeColor="text1"/>
          <w:sz w:val="22"/>
          <w:lang w:val="es-ES_tradnl"/>
        </w:rPr>
        <w:t>»</w:t>
      </w:r>
      <w:bookmarkEnd w:id="4"/>
      <w:r w:rsidRPr="000A091D">
        <w:rPr>
          <w:rFonts w:ascii="Arial" w:hAnsi="Arial" w:cs="Arial"/>
          <w:color w:val="000000" w:themeColor="text1"/>
          <w:sz w:val="22"/>
          <w:lang w:val="es-ES_tradnl"/>
        </w:rPr>
        <w:t>, en donde es indiferente el carácter de profesional.</w:t>
      </w:r>
    </w:p>
    <w:p w14:paraId="30F16BD3" w14:textId="77777777" w:rsidR="00E92E0B" w:rsidRPr="00F95886" w:rsidRDefault="00E92E0B" w:rsidP="00E92E0B">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Teniendo en cuenta las anteriores características del contrato de prestación de servicios profesionales, así como el régimen de inhabilidades e incompatibilidades previsto para la contratación estatal, se abordará a continuación la inquietud formulada en la consulta.</w:t>
      </w:r>
    </w:p>
    <w:p w14:paraId="38C25E33" w14:textId="77777777" w:rsidR="00E92E0B" w:rsidRPr="00F95886" w:rsidRDefault="00E92E0B" w:rsidP="00E92E0B">
      <w:pPr>
        <w:ind w:left="709" w:right="709"/>
        <w:jc w:val="both"/>
        <w:rPr>
          <w:rFonts w:ascii="Arial" w:hAnsi="Arial" w:cs="Arial"/>
          <w:color w:val="000000" w:themeColor="text1"/>
          <w:sz w:val="21"/>
          <w:szCs w:val="21"/>
          <w:lang w:val="es-ES_tradnl"/>
        </w:rPr>
      </w:pPr>
    </w:p>
    <w:p w14:paraId="13A492E0" w14:textId="77777777" w:rsidR="00E92E0B" w:rsidRPr="00F95886" w:rsidRDefault="00E92E0B" w:rsidP="00E92E0B">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 xml:space="preserve">2.3. Posibilidad de celebrar </w:t>
      </w:r>
      <w:r>
        <w:rPr>
          <w:rFonts w:ascii="Arial" w:eastAsia="Calibri" w:hAnsi="Arial" w:cs="Arial"/>
          <w:b/>
          <w:bCs/>
          <w:color w:val="000000" w:themeColor="text1"/>
          <w:sz w:val="22"/>
          <w:lang w:val="es-ES_tradnl"/>
        </w:rPr>
        <w:t>varios</w:t>
      </w:r>
      <w:r w:rsidRPr="00F95886">
        <w:rPr>
          <w:rFonts w:ascii="Arial" w:eastAsia="Calibri" w:hAnsi="Arial" w:cs="Arial"/>
          <w:b/>
          <w:bCs/>
          <w:color w:val="000000" w:themeColor="text1"/>
          <w:sz w:val="22"/>
          <w:lang w:val="es-ES_tradnl"/>
        </w:rPr>
        <w:t xml:space="preserve"> contratos de prestación de servicios profesionales con entidad</w:t>
      </w:r>
      <w:r>
        <w:rPr>
          <w:rFonts w:ascii="Arial" w:eastAsia="Calibri" w:hAnsi="Arial" w:cs="Arial"/>
          <w:b/>
          <w:bCs/>
          <w:color w:val="000000" w:themeColor="text1"/>
          <w:sz w:val="22"/>
          <w:lang w:val="es-ES_tradnl"/>
        </w:rPr>
        <w:t>es diferentes</w:t>
      </w:r>
      <w:r w:rsidRPr="00F95886">
        <w:rPr>
          <w:rFonts w:ascii="Arial" w:eastAsia="Calibri" w:hAnsi="Arial" w:cs="Arial"/>
          <w:b/>
          <w:bCs/>
          <w:color w:val="000000" w:themeColor="text1"/>
          <w:sz w:val="22"/>
          <w:lang w:val="es-ES_tradnl"/>
        </w:rPr>
        <w:t>, y que además coexistan</w:t>
      </w:r>
    </w:p>
    <w:p w14:paraId="2BA349FB" w14:textId="77777777" w:rsidR="00E92E0B" w:rsidRPr="00F95886" w:rsidRDefault="00E92E0B" w:rsidP="00E92E0B">
      <w:pPr>
        <w:spacing w:line="276" w:lineRule="auto"/>
        <w:jc w:val="both"/>
        <w:rPr>
          <w:rFonts w:ascii="Arial" w:hAnsi="Arial" w:cs="Arial"/>
          <w:color w:val="000000" w:themeColor="text1"/>
          <w:sz w:val="22"/>
          <w:lang w:val="es-ES_tradnl"/>
        </w:rPr>
      </w:pPr>
    </w:p>
    <w:p w14:paraId="3259FB46" w14:textId="77777777" w:rsidR="00E92E0B" w:rsidRPr="00F95886" w:rsidRDefault="00E92E0B" w:rsidP="00E92E0B">
      <w:pPr>
        <w:spacing w:after="120" w:line="276" w:lineRule="auto"/>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Analizado el régimen de inhabilidades e incompatibilidades previsto para la contratación estatal, así como los requisitos y límites de los contratos de prestación de servicios profesionales, se concluye que no existe una inhabilidad, incompatibilidad o prohibición de otra naturaleza para que una entidad estatal celebre dos o más contratos de prestación de servicios profesionales con una misma persona, así dichos contratos coexistan en el tiempo. </w:t>
      </w:r>
    </w:p>
    <w:p w14:paraId="41098525" w14:textId="77777777" w:rsidR="00E92E0B" w:rsidRPr="00F95886" w:rsidRDefault="00E92E0B" w:rsidP="00E92E0B">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 </w:t>
      </w:r>
    </w:p>
    <w:p w14:paraId="2545B8AE" w14:textId="77777777" w:rsidR="00E92E0B" w:rsidRPr="00F95886" w:rsidRDefault="00E92E0B" w:rsidP="00E92E0B">
      <w:pPr>
        <w:spacing w:after="120"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Sin embargo, el hecho de que no haya una causal de inhabilidad o de incompatibilidad no significa que siempre se pueda celebrar el contrato de prestación de servicios profesionales. Para que ello sea viable, deben cumplirse los requisitos a los que se hizo referencia en el numeral 2.2. de este concepto, pues se recuerda que la celebración del contrato de prestación de servicios profesionales con una persona natural es </w:t>
      </w:r>
      <w:r w:rsidRPr="00F95886">
        <w:rPr>
          <w:rFonts w:ascii="Arial" w:hAnsi="Arial" w:cs="Arial"/>
          <w:i/>
          <w:iCs/>
          <w:color w:val="000000" w:themeColor="text1"/>
          <w:sz w:val="22"/>
          <w:lang w:val="es-ES_tradnl"/>
        </w:rPr>
        <w:t>excepcional</w:t>
      </w:r>
      <w:r w:rsidRPr="00F95886">
        <w:rPr>
          <w:rFonts w:ascii="Arial" w:hAnsi="Arial" w:cs="Arial"/>
          <w:color w:val="000000" w:themeColor="text1"/>
          <w:sz w:val="22"/>
          <w:lang w:val="es-ES_tradnl"/>
        </w:rPr>
        <w:t xml:space="preserve">, ya que solo es admisible cuando las «actividades no puedan realizarse con personal de planta o requieran conocimientos especializados», lo cual debe justificarse satisfactoriamente en los estudios previos. Además, dicho contrato debe ser </w:t>
      </w:r>
      <w:r w:rsidRPr="00F95886">
        <w:rPr>
          <w:rFonts w:ascii="Arial" w:hAnsi="Arial" w:cs="Arial"/>
          <w:i/>
          <w:iCs/>
          <w:color w:val="000000" w:themeColor="text1"/>
          <w:sz w:val="22"/>
          <w:lang w:val="es-ES_tradnl"/>
        </w:rPr>
        <w:t>temporal</w:t>
      </w:r>
      <w:r w:rsidRPr="00F95886">
        <w:rPr>
          <w:rFonts w:ascii="Arial" w:hAnsi="Arial" w:cs="Arial"/>
          <w:color w:val="000000" w:themeColor="text1"/>
          <w:sz w:val="22"/>
          <w:lang w:val="es-ES_tradnl"/>
        </w:rPr>
        <w:t xml:space="preserve"> y no puede servir para la creación de nóminas paralelas</w:t>
      </w:r>
      <w:r w:rsidRPr="00F95886">
        <w:rPr>
          <w:rStyle w:val="FootnoteReference"/>
          <w:rFonts w:ascii="Arial" w:hAnsi="Arial" w:cs="Arial"/>
          <w:color w:val="000000" w:themeColor="text1"/>
          <w:sz w:val="22"/>
          <w:lang w:val="es-ES_tradnl"/>
        </w:rPr>
        <w:footnoteReference w:id="33"/>
      </w:r>
      <w:r w:rsidRPr="00F95886">
        <w:rPr>
          <w:rFonts w:ascii="Arial" w:hAnsi="Arial" w:cs="Arial"/>
          <w:color w:val="000000" w:themeColor="text1"/>
          <w:sz w:val="22"/>
          <w:lang w:val="es-ES_tradnl"/>
        </w:rPr>
        <w:t xml:space="preserve">. </w:t>
      </w:r>
    </w:p>
    <w:p w14:paraId="7ECAB5B0" w14:textId="77777777" w:rsidR="00E92E0B" w:rsidRPr="00F95886" w:rsidRDefault="00E92E0B" w:rsidP="00E92E0B">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Si tales factores no se tienen en cuenta, existe el riesgo de que el contratista termine incumpliendo sus obligaciones, por la sobrecarga de actividades.   </w:t>
      </w:r>
    </w:p>
    <w:p w14:paraId="41A90FE8" w14:textId="77777777" w:rsidR="00E92E0B" w:rsidRPr="00D31D23" w:rsidRDefault="00E92E0B" w:rsidP="00E92E0B">
      <w:pPr>
        <w:spacing w:after="120" w:line="276" w:lineRule="auto"/>
        <w:ind w:firstLine="709"/>
        <w:jc w:val="both"/>
        <w:rPr>
          <w:rFonts w:ascii="Arial" w:hAnsi="Arial" w:cs="Arial"/>
          <w:color w:val="000000" w:themeColor="text1"/>
          <w:sz w:val="22"/>
          <w:lang w:val="es-ES_tradnl"/>
        </w:rPr>
      </w:pPr>
    </w:p>
    <w:p w14:paraId="0DD41193" w14:textId="77777777" w:rsidR="00E92E0B" w:rsidRPr="00A844F6" w:rsidRDefault="00E92E0B" w:rsidP="00E92E0B">
      <w:pPr>
        <w:pStyle w:val="ListParagraph"/>
        <w:numPr>
          <w:ilvl w:val="0"/>
          <w:numId w:val="2"/>
        </w:numPr>
        <w:tabs>
          <w:tab w:val="left" w:pos="284"/>
        </w:tabs>
        <w:spacing w:line="276" w:lineRule="auto"/>
        <w:ind w:left="0" w:firstLine="0"/>
        <w:jc w:val="both"/>
        <w:rPr>
          <w:rFonts w:ascii="Arial" w:eastAsia="Calibri" w:hAnsi="Arial" w:cs="Arial"/>
          <w:color w:val="000000" w:themeColor="text1"/>
          <w:sz w:val="22"/>
        </w:rPr>
      </w:pPr>
      <w:r w:rsidRPr="00F95886">
        <w:rPr>
          <w:rFonts w:ascii="Arial" w:eastAsia="Calibri" w:hAnsi="Arial" w:cs="Arial"/>
          <w:b/>
          <w:color w:val="000000" w:themeColor="text1"/>
          <w:sz w:val="22"/>
        </w:rPr>
        <w:t>Respuesta</w:t>
      </w:r>
    </w:p>
    <w:p w14:paraId="1BB2E329" w14:textId="77777777" w:rsidR="00E92E0B" w:rsidRDefault="00E92E0B" w:rsidP="00E92E0B">
      <w:pPr>
        <w:pStyle w:val="ListParagraph"/>
        <w:tabs>
          <w:tab w:val="left" w:pos="284"/>
        </w:tabs>
        <w:spacing w:line="276" w:lineRule="auto"/>
        <w:ind w:left="0"/>
        <w:jc w:val="both"/>
        <w:rPr>
          <w:rFonts w:ascii="Arial" w:eastAsia="Calibri" w:hAnsi="Arial" w:cs="Arial"/>
          <w:color w:val="000000" w:themeColor="text1"/>
          <w:sz w:val="22"/>
        </w:rPr>
      </w:pPr>
    </w:p>
    <w:p w14:paraId="38C15C8F" w14:textId="77777777" w:rsidR="00E92E0B" w:rsidRPr="00A62E8F" w:rsidRDefault="00E92E0B" w:rsidP="00E92E0B">
      <w:pPr>
        <w:pStyle w:val="ListParagraph"/>
        <w:numPr>
          <w:ilvl w:val="0"/>
          <w:numId w:val="6"/>
        </w:numPr>
        <w:spacing w:after="160" w:line="259" w:lineRule="auto"/>
        <w:ind w:right="709"/>
        <w:jc w:val="both"/>
        <w:rPr>
          <w:rFonts w:ascii="Arial" w:hAnsi="Arial" w:cs="Arial"/>
          <w:sz w:val="21"/>
          <w:szCs w:val="21"/>
          <w:lang w:val="es-ES"/>
        </w:rPr>
      </w:pPr>
      <w:r w:rsidRPr="00A8686D">
        <w:rPr>
          <w:rFonts w:ascii="Arial" w:hAnsi="Arial" w:cs="Arial"/>
          <w:sz w:val="21"/>
          <w:szCs w:val="21"/>
          <w:lang w:val="es-ES"/>
        </w:rPr>
        <w:t>¿Si tengo un contrato de prestación de servició profesionales con una entidad pública de orden nacional, puedo tener otro contrato de prestación de servicios profesionales directo con una entidad pública de orden territorial, desde que tenga la capacidad de cumplir con las actividades de las dos entidades, teniendo en cuenta que el contrato seria entrega de productos específicos?</w:t>
      </w:r>
    </w:p>
    <w:p w14:paraId="6D08AA6B" w14:textId="77777777" w:rsidR="00E92E0B" w:rsidRDefault="00E92E0B" w:rsidP="00E92E0B">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No existe una causal de inhabilidad o incompatibilidad que lo prohíba</w:t>
      </w:r>
      <w:r>
        <w:rPr>
          <w:rFonts w:ascii="Arial" w:eastAsia="Calibri" w:hAnsi="Arial" w:cs="Arial"/>
          <w:color w:val="000000" w:themeColor="text1"/>
          <w:sz w:val="22"/>
          <w:lang w:val="es-ES_tradnl"/>
        </w:rPr>
        <w:t xml:space="preserve"> la celebración de dos o más contratos de prestación de servicios con diferentes entidades estatales</w:t>
      </w:r>
      <w:r w:rsidRPr="00F95886">
        <w:rPr>
          <w:rFonts w:ascii="Arial" w:eastAsia="Calibri" w:hAnsi="Arial" w:cs="Arial"/>
          <w:color w:val="000000" w:themeColor="text1"/>
          <w:sz w:val="22"/>
          <w:lang w:val="es-ES_tradnl"/>
        </w:rPr>
        <w:t xml:space="preserve">. Sin embargo, </w:t>
      </w:r>
      <w:r>
        <w:rPr>
          <w:rFonts w:ascii="Arial" w:eastAsia="Calibri" w:hAnsi="Arial" w:cs="Arial"/>
          <w:color w:val="000000" w:themeColor="text1"/>
          <w:sz w:val="22"/>
          <w:lang w:val="es-ES_tradnl"/>
        </w:rPr>
        <w:t>estas últimas</w:t>
      </w:r>
      <w:r w:rsidRPr="00F95886">
        <w:rPr>
          <w:rFonts w:ascii="Arial" w:eastAsia="Calibri" w:hAnsi="Arial" w:cs="Arial"/>
          <w:color w:val="000000" w:themeColor="text1"/>
          <w:sz w:val="22"/>
          <w:lang w:val="es-ES_tradnl"/>
        </w:rPr>
        <w:t xml:space="preserve"> deben ser cuidadosas, en el sentido de verificar que se cumplan los requisitos legales, reglamentarios y jurisprudenciales, dispuestos para los contratos de prestación de servicios profesionales. Adicionalmente, deben analizar en los estudios previos la complejidad y el alcance de las actividades a contratar, de manera que se cercioren de que la persona natural </w:t>
      </w:r>
      <w:r>
        <w:rPr>
          <w:rFonts w:ascii="Arial" w:eastAsia="Calibri" w:hAnsi="Arial" w:cs="Arial"/>
          <w:color w:val="000000" w:themeColor="text1"/>
          <w:sz w:val="22"/>
          <w:lang w:val="es-ES_tradnl"/>
        </w:rPr>
        <w:t>tenga</w:t>
      </w:r>
      <w:r w:rsidRPr="00F95886">
        <w:rPr>
          <w:rFonts w:ascii="Arial" w:eastAsia="Calibri" w:hAnsi="Arial" w:cs="Arial"/>
          <w:color w:val="000000" w:themeColor="text1"/>
          <w:sz w:val="22"/>
          <w:lang w:val="es-ES_tradnl"/>
        </w:rPr>
        <w:t xml:space="preserve"> la capacidad técnica, jurídica y económica para ejecutarlos satisfactoriamente.</w:t>
      </w:r>
    </w:p>
    <w:p w14:paraId="007ECE39" w14:textId="77777777" w:rsidR="00E92E0B" w:rsidRPr="00A8686D" w:rsidRDefault="00E92E0B" w:rsidP="00E92E0B">
      <w:pPr>
        <w:pStyle w:val="ListParagraph"/>
        <w:spacing w:after="160" w:line="259" w:lineRule="auto"/>
        <w:ind w:right="709"/>
        <w:jc w:val="both"/>
        <w:rPr>
          <w:rFonts w:ascii="Arial" w:hAnsi="Arial" w:cs="Arial"/>
          <w:sz w:val="21"/>
          <w:szCs w:val="21"/>
          <w:lang w:val="es-ES"/>
        </w:rPr>
      </w:pPr>
    </w:p>
    <w:p w14:paraId="1BBA2438" w14:textId="77777777" w:rsidR="00E92E0B" w:rsidRPr="00A83A79" w:rsidRDefault="00E92E0B" w:rsidP="00E92E0B">
      <w:pPr>
        <w:pStyle w:val="ListParagraph"/>
        <w:numPr>
          <w:ilvl w:val="0"/>
          <w:numId w:val="6"/>
        </w:numPr>
        <w:spacing w:after="160" w:line="259" w:lineRule="auto"/>
        <w:ind w:left="709" w:right="709"/>
        <w:jc w:val="both"/>
        <w:rPr>
          <w:rFonts w:ascii="Arial" w:hAnsi="Arial" w:cs="Arial"/>
          <w:sz w:val="21"/>
          <w:szCs w:val="21"/>
          <w:lang w:val="es-ES"/>
        </w:rPr>
      </w:pPr>
      <w:r w:rsidRPr="00A8686D">
        <w:rPr>
          <w:rFonts w:ascii="Arial" w:hAnsi="Arial" w:cs="Arial"/>
          <w:sz w:val="21"/>
          <w:szCs w:val="21"/>
          <w:lang w:val="es-ES"/>
        </w:rPr>
        <w:t>¿Si tengo un contrato de prestación de servició profesionales con una entidad pública de orden nacional, puedo presentarme a una licitación de mínima cuantía con otra entidad pública?</w:t>
      </w:r>
    </w:p>
    <w:p w14:paraId="4F0C4512" w14:textId="77777777" w:rsidR="00E92E0B" w:rsidRPr="00F55D6A" w:rsidRDefault="00E92E0B" w:rsidP="00E92E0B">
      <w:pPr>
        <w:spacing w:after="160" w:line="259" w:lineRule="auto"/>
        <w:ind w:right="709" w:firstLine="349"/>
        <w:jc w:val="both"/>
        <w:rPr>
          <w:rFonts w:ascii="Arial" w:eastAsia="Calibri" w:hAnsi="Arial" w:cs="Arial"/>
          <w:color w:val="000000" w:themeColor="text1"/>
          <w:sz w:val="22"/>
          <w:lang w:val="es-ES_tradnl"/>
        </w:rPr>
      </w:pPr>
      <w:r w:rsidRPr="00F55D6A">
        <w:rPr>
          <w:rFonts w:ascii="Arial" w:eastAsia="Calibri" w:hAnsi="Arial" w:cs="Arial"/>
          <w:color w:val="000000" w:themeColor="text1"/>
          <w:sz w:val="22"/>
          <w:lang w:val="es-ES_tradnl"/>
        </w:rPr>
        <w:t xml:space="preserve">No existe una causal de inhabilidad o incompatibilidad que </w:t>
      </w:r>
      <w:r>
        <w:rPr>
          <w:rFonts w:ascii="Arial" w:eastAsia="Calibri" w:hAnsi="Arial" w:cs="Arial"/>
          <w:color w:val="000000" w:themeColor="text1"/>
          <w:sz w:val="22"/>
          <w:lang w:val="es-ES_tradnl"/>
        </w:rPr>
        <w:t>impida</w:t>
      </w:r>
      <w:r w:rsidRPr="00F55D6A">
        <w:rPr>
          <w:rFonts w:ascii="Arial" w:eastAsia="Calibri" w:hAnsi="Arial" w:cs="Arial"/>
          <w:color w:val="000000" w:themeColor="text1"/>
          <w:sz w:val="22"/>
          <w:lang w:val="es-ES_tradnl"/>
        </w:rPr>
        <w:t xml:space="preserve"> la participación en una licitación si se tiene un contrato de prestación de servicios con una entidad Estatal. Sin embargo, no se debe estar incurs</w:t>
      </w:r>
      <w:r>
        <w:rPr>
          <w:rFonts w:ascii="Arial" w:eastAsia="Calibri" w:hAnsi="Arial" w:cs="Arial"/>
          <w:color w:val="000000" w:themeColor="text1"/>
          <w:sz w:val="22"/>
          <w:lang w:val="es-ES_tradnl"/>
        </w:rPr>
        <w:t>o</w:t>
      </w:r>
      <w:r w:rsidRPr="00F55D6A">
        <w:rPr>
          <w:rFonts w:ascii="Arial" w:eastAsia="Calibri" w:hAnsi="Arial" w:cs="Arial"/>
          <w:color w:val="000000" w:themeColor="text1"/>
          <w:sz w:val="22"/>
          <w:lang w:val="es-ES_tradnl"/>
        </w:rPr>
        <w:t xml:space="preserve"> en ninguna de las inhabilidades estipuladas en el artículo 8 de la Ley 80 de 199</w:t>
      </w:r>
      <w:r>
        <w:rPr>
          <w:rFonts w:ascii="Arial" w:eastAsia="Calibri" w:hAnsi="Arial" w:cs="Arial"/>
          <w:color w:val="000000" w:themeColor="text1"/>
          <w:sz w:val="22"/>
          <w:lang w:val="es-ES_tradnl"/>
        </w:rPr>
        <w:t xml:space="preserve">3, </w:t>
      </w:r>
      <w:r w:rsidRPr="00F55D6A">
        <w:rPr>
          <w:rFonts w:ascii="Arial" w:eastAsia="Calibri" w:hAnsi="Arial" w:cs="Arial"/>
          <w:color w:val="000000" w:themeColor="text1"/>
          <w:sz w:val="22"/>
          <w:lang w:val="es-ES_tradnl"/>
        </w:rPr>
        <w:t>para poder participar en un proceso licitatorio.</w:t>
      </w:r>
    </w:p>
    <w:p w14:paraId="24C2A8E2" w14:textId="77777777" w:rsidR="00E92E0B" w:rsidRDefault="00E92E0B" w:rsidP="00E92E0B">
      <w:pPr>
        <w:spacing w:line="276" w:lineRule="auto"/>
        <w:jc w:val="both"/>
        <w:rPr>
          <w:rFonts w:ascii="Arial" w:eastAsia="Calibri" w:hAnsi="Arial" w:cs="Arial"/>
          <w:color w:val="000000" w:themeColor="text1"/>
          <w:sz w:val="22"/>
          <w:lang w:val="es-ES_tradnl"/>
        </w:rPr>
      </w:pPr>
    </w:p>
    <w:p w14:paraId="5AD5A018" w14:textId="77777777" w:rsidR="00E92E0B" w:rsidRDefault="00E92E0B" w:rsidP="00E92E0B">
      <w:pPr>
        <w:pStyle w:val="ListParagraph"/>
        <w:numPr>
          <w:ilvl w:val="0"/>
          <w:numId w:val="6"/>
        </w:numPr>
        <w:spacing w:after="160" w:line="259" w:lineRule="auto"/>
        <w:ind w:left="709" w:right="709"/>
        <w:jc w:val="both"/>
        <w:rPr>
          <w:rFonts w:ascii="Arial" w:hAnsi="Arial" w:cs="Arial"/>
          <w:sz w:val="21"/>
          <w:szCs w:val="21"/>
          <w:lang w:val="es-ES"/>
        </w:rPr>
      </w:pPr>
      <w:r w:rsidRPr="00A8686D">
        <w:rPr>
          <w:rFonts w:ascii="Arial" w:hAnsi="Arial" w:cs="Arial"/>
          <w:sz w:val="21"/>
          <w:szCs w:val="21"/>
          <w:lang w:val="es-ES"/>
        </w:rPr>
        <w:t>Si hago parte como socia de una empresa y trabajo de forma independiente con contrato de prestación de servició profesionales con una entidad pública de orden nacional, la empresa de la que soy socia puede presentarse a una invitación publica en cualquier entidad pública, y de cualquier orden, para prestar cualquier tipo de productos o servicios.</w:t>
      </w:r>
    </w:p>
    <w:p w14:paraId="506BA92F" w14:textId="77777777" w:rsidR="00E92E0B" w:rsidRDefault="00E92E0B" w:rsidP="00E92E0B">
      <w:pPr>
        <w:pStyle w:val="ListParagraph"/>
        <w:spacing w:after="160" w:line="259" w:lineRule="auto"/>
        <w:ind w:left="709" w:right="709"/>
        <w:jc w:val="both"/>
        <w:rPr>
          <w:rFonts w:ascii="Arial" w:hAnsi="Arial" w:cs="Arial"/>
          <w:sz w:val="21"/>
          <w:szCs w:val="21"/>
          <w:lang w:val="es-ES"/>
        </w:rPr>
      </w:pPr>
    </w:p>
    <w:p w14:paraId="4D466290" w14:textId="77777777" w:rsidR="00E92E0B" w:rsidRPr="0035345A" w:rsidRDefault="00E92E0B" w:rsidP="00E92E0B">
      <w:pPr>
        <w:spacing w:after="160" w:line="259" w:lineRule="auto"/>
        <w:ind w:left="349" w:right="709"/>
        <w:jc w:val="both"/>
        <w:rPr>
          <w:rFonts w:ascii="Arial" w:hAnsi="Arial" w:cs="Arial"/>
          <w:sz w:val="21"/>
          <w:szCs w:val="21"/>
          <w:lang w:val="es-ES"/>
        </w:rPr>
      </w:pPr>
      <w:r>
        <w:rPr>
          <w:rFonts w:ascii="Arial" w:eastAsia="Calibri" w:hAnsi="Arial" w:cs="Arial"/>
          <w:color w:val="000000" w:themeColor="text1"/>
          <w:sz w:val="22"/>
          <w:lang w:val="es-ES_tradnl"/>
        </w:rPr>
        <w:t>Dentro del régimen de inhabilidades</w:t>
      </w:r>
      <w:r w:rsidRPr="0035345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w:t>
      </w:r>
      <w:r w:rsidRPr="0035345A">
        <w:rPr>
          <w:rFonts w:ascii="Arial" w:eastAsia="Calibri" w:hAnsi="Arial" w:cs="Arial"/>
          <w:color w:val="000000" w:themeColor="text1"/>
          <w:sz w:val="22"/>
          <w:lang w:val="es-ES_tradnl"/>
        </w:rPr>
        <w:t xml:space="preserve"> incompatibilidad</w:t>
      </w:r>
      <w:r>
        <w:rPr>
          <w:rFonts w:ascii="Arial" w:eastAsia="Calibri" w:hAnsi="Arial" w:cs="Arial"/>
          <w:color w:val="000000" w:themeColor="text1"/>
          <w:sz w:val="22"/>
          <w:lang w:val="es-ES_tradnl"/>
        </w:rPr>
        <w:t>es</w:t>
      </w:r>
      <w:r w:rsidRPr="0035345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no se encuentra establecida ninguna causal </w:t>
      </w:r>
      <w:r w:rsidRPr="0035345A">
        <w:rPr>
          <w:rFonts w:ascii="Arial" w:eastAsia="Calibri" w:hAnsi="Arial" w:cs="Arial"/>
          <w:color w:val="000000" w:themeColor="text1"/>
          <w:sz w:val="22"/>
          <w:lang w:val="es-ES_tradnl"/>
        </w:rPr>
        <w:t>que impida la participación</w:t>
      </w:r>
      <w:r>
        <w:rPr>
          <w:rFonts w:ascii="Arial" w:eastAsia="Calibri" w:hAnsi="Arial" w:cs="Arial"/>
          <w:color w:val="000000" w:themeColor="text1"/>
          <w:sz w:val="22"/>
          <w:lang w:val="es-ES_tradnl"/>
        </w:rPr>
        <w:t xml:space="preserve"> en una invitación pública de una empresa que tiene una socia con un contrato de prestación de servicios profesionales con una entidad estatal. </w:t>
      </w:r>
    </w:p>
    <w:p w14:paraId="20401D22" w14:textId="77777777" w:rsidR="00E92E0B" w:rsidRDefault="00E92E0B" w:rsidP="00E92E0B">
      <w:pPr>
        <w:spacing w:line="276" w:lineRule="auto"/>
        <w:jc w:val="both"/>
        <w:rPr>
          <w:rFonts w:ascii="Arial" w:eastAsia="Calibri" w:hAnsi="Arial" w:cs="Arial"/>
          <w:color w:val="000000" w:themeColor="text1"/>
          <w:sz w:val="22"/>
        </w:rPr>
      </w:pPr>
    </w:p>
    <w:p w14:paraId="56AA6DA1" w14:textId="77777777" w:rsidR="00E92E0B" w:rsidRPr="00F95886" w:rsidRDefault="00E92E0B" w:rsidP="00E92E0B">
      <w:pPr>
        <w:spacing w:line="276" w:lineRule="auto"/>
        <w:jc w:val="both"/>
        <w:rPr>
          <w:rFonts w:ascii="Arial" w:eastAsia="Calibri" w:hAnsi="Arial" w:cs="Arial"/>
          <w:color w:val="000000" w:themeColor="text1"/>
          <w:sz w:val="22"/>
        </w:rPr>
      </w:pPr>
      <w:r w:rsidRPr="00F95886">
        <w:rPr>
          <w:rFonts w:ascii="Arial" w:eastAsia="Calibri" w:hAnsi="Arial" w:cs="Arial"/>
          <w:color w:val="000000" w:themeColor="text1"/>
          <w:sz w:val="22"/>
        </w:rPr>
        <w:t>Este concepto tiene el alcance previsto en el artículo 28 del Código de Procedimiento Administrativo y de lo Contencioso Administrativo.</w:t>
      </w:r>
    </w:p>
    <w:p w14:paraId="633C8FE1" w14:textId="77777777" w:rsidR="00E92E0B" w:rsidRPr="00121EA0" w:rsidRDefault="00E92E0B" w:rsidP="00E92E0B">
      <w:pPr>
        <w:spacing w:line="276" w:lineRule="auto"/>
        <w:jc w:val="both"/>
        <w:rPr>
          <w:rFonts w:ascii="Arial" w:eastAsia="Calibri" w:hAnsi="Arial" w:cs="Arial"/>
          <w:b/>
          <w:bCs/>
          <w:color w:val="000000" w:themeColor="text1"/>
          <w:sz w:val="22"/>
          <w:szCs w:val="22"/>
          <w:lang w:val="es-ES_tradnl"/>
        </w:rPr>
      </w:pPr>
      <w:bookmarkStart w:id="5" w:name="_Hlk57650395"/>
      <w:r>
        <w:rPr>
          <w:rFonts w:ascii="Arial" w:eastAsia="Calibri" w:hAnsi="Arial" w:cs="Arial"/>
          <w:b/>
          <w:bCs/>
          <w:color w:val="000000" w:themeColor="text1"/>
          <w:sz w:val="22"/>
          <w:szCs w:val="22"/>
          <w:lang w:val="es-ES_tradnl"/>
        </w:rPr>
        <w:t xml:space="preserve">  </w:t>
      </w:r>
    </w:p>
    <w:p w14:paraId="25689523" w14:textId="77777777" w:rsidR="00E92E0B" w:rsidRPr="00090325" w:rsidRDefault="00E92E0B" w:rsidP="00E92E0B">
      <w:pPr>
        <w:spacing w:line="276" w:lineRule="auto"/>
        <w:jc w:val="both"/>
        <w:rPr>
          <w:rFonts w:ascii="Arial" w:hAnsi="Arial" w:cs="Arial"/>
          <w:sz w:val="22"/>
          <w:szCs w:val="22"/>
        </w:rPr>
      </w:pPr>
    </w:p>
    <w:p w14:paraId="382E36DB" w14:textId="77777777" w:rsidR="00E92E0B" w:rsidRPr="00090325" w:rsidRDefault="00E92E0B" w:rsidP="00E92E0B">
      <w:pPr>
        <w:spacing w:line="276" w:lineRule="auto"/>
        <w:jc w:val="both"/>
        <w:rPr>
          <w:rFonts w:ascii="Arial" w:hAnsi="Arial" w:cs="Arial"/>
          <w:sz w:val="22"/>
          <w:szCs w:val="22"/>
        </w:rPr>
      </w:pPr>
    </w:p>
    <w:p w14:paraId="5FFB52E9" w14:textId="77777777" w:rsidR="00E92E0B" w:rsidRDefault="00E92E0B" w:rsidP="00E92E0B">
      <w:pPr>
        <w:spacing w:line="276" w:lineRule="auto"/>
        <w:jc w:val="both"/>
        <w:rPr>
          <w:rFonts w:ascii="Arial" w:hAnsi="Arial" w:cs="Arial"/>
          <w:sz w:val="22"/>
          <w:szCs w:val="22"/>
        </w:rPr>
      </w:pPr>
      <w:r w:rsidRPr="00090325">
        <w:rPr>
          <w:rFonts w:ascii="Arial" w:hAnsi="Arial" w:cs="Arial"/>
          <w:sz w:val="22"/>
          <w:szCs w:val="22"/>
        </w:rPr>
        <w:t>Atentamente,</w:t>
      </w:r>
      <w:bookmarkEnd w:id="5"/>
    </w:p>
    <w:p w14:paraId="47A8AF4D" w14:textId="642884ED" w:rsidR="00E92E0B" w:rsidRPr="00090325" w:rsidRDefault="00AD1F35" w:rsidP="00E92E0B">
      <w:pPr>
        <w:spacing w:line="276" w:lineRule="auto"/>
        <w:jc w:val="center"/>
        <w:rPr>
          <w:rFonts w:ascii="Arial" w:hAnsi="Arial" w:cs="Arial"/>
          <w:sz w:val="22"/>
          <w:szCs w:val="22"/>
          <w:lang w:eastAsia="es-CO"/>
        </w:rPr>
      </w:pPr>
      <w:r>
        <w:rPr>
          <w:noProof/>
        </w:rPr>
        <w:drawing>
          <wp:inline distT="0" distB="0" distL="0" distR="0" wp14:anchorId="01805A8F" wp14:editId="341EC6FD">
            <wp:extent cx="2775006" cy="1064730"/>
            <wp:effectExtent l="0" t="0" r="6350" b="2540"/>
            <wp:docPr id="6" name="Picture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2D5A0413" w14:textId="77777777" w:rsidR="00E92E0B" w:rsidRPr="00090325" w:rsidRDefault="00E92E0B" w:rsidP="00E92E0B">
      <w:pPr>
        <w:spacing w:line="276" w:lineRule="auto"/>
        <w:jc w:val="center"/>
        <w:rPr>
          <w:rFonts w:ascii="Arial" w:hAnsi="Arial" w:cs="Arial"/>
          <w:sz w:val="22"/>
          <w:szCs w:val="22"/>
          <w:lang w:eastAsia="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92E0B" w:rsidRPr="00D477DE" w14:paraId="304F2691" w14:textId="77777777" w:rsidTr="006505CB">
        <w:trPr>
          <w:trHeight w:val="315"/>
        </w:trPr>
        <w:tc>
          <w:tcPr>
            <w:tcW w:w="812" w:type="dxa"/>
            <w:vAlign w:val="center"/>
          </w:tcPr>
          <w:p w14:paraId="715B2457" w14:textId="77777777" w:rsidR="00E92E0B" w:rsidRPr="00D477DE" w:rsidRDefault="00E92E0B" w:rsidP="006505CB">
            <w:pPr>
              <w:spacing w:line="276" w:lineRule="auto"/>
              <w:rPr>
                <w:rFonts w:ascii="Arial" w:hAnsi="Arial" w:cs="Arial"/>
                <w:sz w:val="16"/>
                <w:szCs w:val="16"/>
                <w:lang w:eastAsia="es-ES"/>
              </w:rPr>
            </w:pPr>
            <w:r w:rsidRPr="00D477DE">
              <w:rPr>
                <w:rFonts w:ascii="Arial" w:hAnsi="Arial" w:cs="Arial"/>
                <w:sz w:val="16"/>
                <w:szCs w:val="16"/>
                <w:lang w:eastAsia="es-ES"/>
              </w:rPr>
              <w:t>Elaboró:</w:t>
            </w:r>
          </w:p>
        </w:tc>
        <w:tc>
          <w:tcPr>
            <w:tcW w:w="4413" w:type="dxa"/>
            <w:tcBorders>
              <w:bottom w:val="dotted" w:sz="4" w:space="0" w:color="7F7F7F" w:themeColor="text1" w:themeTint="80"/>
            </w:tcBorders>
            <w:vAlign w:val="center"/>
          </w:tcPr>
          <w:p w14:paraId="508E1CD5" w14:textId="77777777" w:rsidR="00E92E0B" w:rsidRPr="00D477DE" w:rsidRDefault="00E92E0B" w:rsidP="006505CB">
            <w:pPr>
              <w:spacing w:line="276" w:lineRule="auto"/>
              <w:rPr>
                <w:rFonts w:ascii="Arial" w:hAnsi="Arial" w:cs="Arial"/>
                <w:color w:val="000000" w:themeColor="text1"/>
                <w:sz w:val="16"/>
                <w:szCs w:val="16"/>
                <w:lang w:val="es-ES_tradnl" w:eastAsia="es-ES"/>
              </w:rPr>
            </w:pPr>
            <w:r w:rsidRPr="00D477DE">
              <w:rPr>
                <w:rFonts w:ascii="Arial" w:hAnsi="Arial" w:cs="Arial"/>
                <w:color w:val="000000" w:themeColor="text1"/>
                <w:sz w:val="16"/>
                <w:szCs w:val="16"/>
                <w:lang w:val="es-ES_tradnl" w:eastAsia="es-ES"/>
              </w:rPr>
              <w:t xml:space="preserve">María Valeska Medellín Mora </w:t>
            </w:r>
          </w:p>
          <w:p w14:paraId="76F501B3" w14:textId="77777777" w:rsidR="00E92E0B" w:rsidRPr="00D477DE" w:rsidRDefault="00E92E0B" w:rsidP="006505CB">
            <w:pPr>
              <w:spacing w:line="276" w:lineRule="auto"/>
              <w:rPr>
                <w:rFonts w:ascii="Arial" w:hAnsi="Arial" w:cs="Arial"/>
                <w:sz w:val="16"/>
                <w:szCs w:val="16"/>
                <w:lang w:eastAsia="es-ES"/>
              </w:rPr>
            </w:pPr>
            <w:r w:rsidRPr="00D477DE">
              <w:rPr>
                <w:rFonts w:ascii="Arial" w:hAnsi="Arial" w:cs="Arial"/>
                <w:color w:val="000000" w:themeColor="text1"/>
                <w:sz w:val="16"/>
                <w:szCs w:val="16"/>
                <w:lang w:val="es-ES_tradnl" w:eastAsia="es-ES"/>
              </w:rPr>
              <w:t>Gestor T1-15 de la Subdirección de Gestión Contractual</w:t>
            </w:r>
          </w:p>
        </w:tc>
      </w:tr>
      <w:tr w:rsidR="00E92E0B" w:rsidRPr="00D477DE" w14:paraId="49CE85AC" w14:textId="77777777" w:rsidTr="006505CB">
        <w:trPr>
          <w:trHeight w:val="330"/>
        </w:trPr>
        <w:tc>
          <w:tcPr>
            <w:tcW w:w="812" w:type="dxa"/>
            <w:vAlign w:val="center"/>
          </w:tcPr>
          <w:p w14:paraId="678749F0" w14:textId="77777777" w:rsidR="00E92E0B" w:rsidRPr="00D477DE" w:rsidRDefault="00E92E0B" w:rsidP="006505CB">
            <w:pPr>
              <w:spacing w:line="276" w:lineRule="auto"/>
              <w:rPr>
                <w:rFonts w:ascii="Arial" w:hAnsi="Arial" w:cs="Arial"/>
                <w:sz w:val="16"/>
                <w:szCs w:val="16"/>
                <w:lang w:eastAsia="es-ES"/>
              </w:rPr>
            </w:pPr>
            <w:r w:rsidRPr="00D477DE">
              <w:rPr>
                <w:rFonts w:ascii="Arial"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C2C5E0B" w14:textId="5E4152D9" w:rsidR="00E92E0B" w:rsidRPr="00D477DE" w:rsidRDefault="00E92E0B" w:rsidP="006505CB">
            <w:pPr>
              <w:spacing w:line="276" w:lineRule="auto"/>
              <w:rPr>
                <w:rFonts w:ascii="Arial" w:hAnsi="Arial" w:cs="Arial"/>
                <w:sz w:val="16"/>
                <w:szCs w:val="16"/>
                <w:lang w:eastAsia="es-ES"/>
              </w:rPr>
            </w:pPr>
            <w:r w:rsidRPr="00D477DE">
              <w:rPr>
                <w:rFonts w:ascii="Arial" w:hAnsi="Arial" w:cs="Arial"/>
                <w:sz w:val="16"/>
                <w:szCs w:val="16"/>
                <w:lang w:eastAsia="es-ES"/>
              </w:rPr>
              <w:t xml:space="preserve">Diana </w:t>
            </w:r>
            <w:r w:rsidR="00634323">
              <w:rPr>
                <w:rFonts w:ascii="Arial" w:hAnsi="Arial" w:cs="Arial"/>
                <w:sz w:val="16"/>
                <w:szCs w:val="16"/>
                <w:lang w:eastAsia="es-ES"/>
              </w:rPr>
              <w:t xml:space="preserve">Carolina </w:t>
            </w:r>
            <w:r w:rsidRPr="00D477DE">
              <w:rPr>
                <w:rFonts w:ascii="Arial" w:hAnsi="Arial" w:cs="Arial"/>
                <w:sz w:val="16"/>
                <w:szCs w:val="16"/>
                <w:lang w:eastAsia="es-ES"/>
              </w:rPr>
              <w:t>Armenta Celis</w:t>
            </w:r>
          </w:p>
          <w:p w14:paraId="5D20AE60" w14:textId="77777777" w:rsidR="00E92E0B" w:rsidRPr="00D477DE" w:rsidRDefault="00E92E0B" w:rsidP="006505CB">
            <w:pPr>
              <w:spacing w:line="276" w:lineRule="auto"/>
              <w:rPr>
                <w:rFonts w:ascii="Arial" w:hAnsi="Arial" w:cs="Arial"/>
                <w:sz w:val="16"/>
                <w:szCs w:val="16"/>
                <w:lang w:eastAsia="es-ES"/>
              </w:rPr>
            </w:pPr>
            <w:r w:rsidRPr="00D477DE">
              <w:rPr>
                <w:rFonts w:ascii="Arial" w:hAnsi="Arial" w:cs="Arial"/>
                <w:color w:val="000000" w:themeColor="text1"/>
                <w:sz w:val="16"/>
                <w:szCs w:val="16"/>
                <w:lang w:val="es-ES_tradnl" w:eastAsia="es-ES"/>
              </w:rPr>
              <w:t>Contratista de la Subdirección de Gestión Contractual</w:t>
            </w:r>
          </w:p>
        </w:tc>
      </w:tr>
      <w:tr w:rsidR="00E92E0B" w:rsidRPr="00D477DE" w14:paraId="595C6F74" w14:textId="77777777" w:rsidTr="006505CB">
        <w:trPr>
          <w:trHeight w:val="300"/>
        </w:trPr>
        <w:tc>
          <w:tcPr>
            <w:tcW w:w="812" w:type="dxa"/>
            <w:vAlign w:val="center"/>
          </w:tcPr>
          <w:p w14:paraId="12EAE770" w14:textId="77777777" w:rsidR="00E92E0B" w:rsidRPr="00D477DE" w:rsidRDefault="00E92E0B" w:rsidP="006505CB">
            <w:pPr>
              <w:spacing w:line="276" w:lineRule="auto"/>
              <w:rPr>
                <w:rFonts w:ascii="Arial" w:hAnsi="Arial" w:cs="Arial"/>
                <w:sz w:val="16"/>
                <w:szCs w:val="16"/>
                <w:lang w:eastAsia="es-ES"/>
              </w:rPr>
            </w:pPr>
            <w:r w:rsidRPr="00D477DE">
              <w:rPr>
                <w:rFonts w:ascii="Arial"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8BD5FE5" w14:textId="77777777" w:rsidR="00E92E0B" w:rsidRPr="00D477DE" w:rsidRDefault="00E92E0B" w:rsidP="006505CB">
            <w:pPr>
              <w:spacing w:line="276" w:lineRule="auto"/>
              <w:rPr>
                <w:rFonts w:ascii="Arial" w:eastAsia="Calibri" w:hAnsi="Arial" w:cs="Arial"/>
                <w:sz w:val="16"/>
                <w:szCs w:val="16"/>
                <w:lang w:val="pt-BR" w:eastAsia="es-ES"/>
              </w:rPr>
            </w:pPr>
            <w:r w:rsidRPr="00D477DE">
              <w:rPr>
                <w:rFonts w:ascii="Arial" w:eastAsia="Calibri" w:hAnsi="Arial" w:cs="Arial"/>
                <w:sz w:val="16"/>
                <w:szCs w:val="16"/>
                <w:lang w:val="pt-BR" w:eastAsia="es-ES"/>
              </w:rPr>
              <w:t>Nohelia Del Carmen Zawady Palacio</w:t>
            </w:r>
          </w:p>
          <w:p w14:paraId="7414B479" w14:textId="77777777" w:rsidR="00E92E0B" w:rsidRPr="00D477DE" w:rsidRDefault="00E92E0B" w:rsidP="006505CB">
            <w:pPr>
              <w:spacing w:line="276" w:lineRule="auto"/>
              <w:rPr>
                <w:rFonts w:ascii="Arial" w:hAnsi="Arial" w:cs="Arial"/>
                <w:sz w:val="16"/>
                <w:szCs w:val="16"/>
                <w:lang w:eastAsia="es-ES"/>
              </w:rPr>
            </w:pPr>
            <w:r w:rsidRPr="00D477DE">
              <w:rPr>
                <w:rFonts w:ascii="Arial" w:eastAsia="Calibri" w:hAnsi="Arial" w:cs="Arial"/>
                <w:sz w:val="16"/>
                <w:szCs w:val="16"/>
                <w:lang w:eastAsia="es-ES"/>
              </w:rPr>
              <w:t xml:space="preserve">Subdirectora de Gestión Contractual </w:t>
            </w:r>
          </w:p>
        </w:tc>
      </w:tr>
    </w:tbl>
    <w:p w14:paraId="4A2CABC0" w14:textId="77777777" w:rsidR="00E92E0B" w:rsidRPr="00090325" w:rsidRDefault="00E92E0B" w:rsidP="00E92E0B">
      <w:pPr>
        <w:spacing w:line="276" w:lineRule="auto"/>
        <w:jc w:val="both"/>
        <w:rPr>
          <w:rFonts w:ascii="Arial" w:hAnsi="Arial" w:cs="Arial"/>
          <w:sz w:val="22"/>
          <w:szCs w:val="22"/>
        </w:rPr>
      </w:pPr>
    </w:p>
    <w:p w14:paraId="2EC5D332" w14:textId="77777777" w:rsidR="00E92E0B" w:rsidRPr="00090325" w:rsidRDefault="00E92E0B" w:rsidP="00E92E0B">
      <w:pPr>
        <w:rPr>
          <w:rFonts w:ascii="Arial" w:hAnsi="Arial" w:cs="Arial"/>
          <w:color w:val="000000" w:themeColor="text1"/>
          <w:sz w:val="22"/>
          <w:szCs w:val="22"/>
        </w:rPr>
      </w:pPr>
    </w:p>
    <w:bookmarkEnd w:id="0"/>
    <w:p w14:paraId="7643F4F6" w14:textId="77777777" w:rsidR="00E92E0B" w:rsidRPr="00090325" w:rsidRDefault="00E92E0B" w:rsidP="00E92E0B">
      <w:pPr>
        <w:spacing w:line="276" w:lineRule="auto"/>
        <w:jc w:val="both"/>
        <w:rPr>
          <w:rFonts w:ascii="Arial" w:eastAsia="Calibri" w:hAnsi="Arial" w:cs="Arial"/>
          <w:sz w:val="22"/>
          <w:szCs w:val="22"/>
          <w:lang w:val="es-ES_tradnl"/>
        </w:rPr>
      </w:pPr>
    </w:p>
    <w:p w14:paraId="28196C5E" w14:textId="77777777" w:rsidR="00E92E0B" w:rsidRDefault="00E92E0B" w:rsidP="00E92E0B">
      <w:pPr>
        <w:rPr>
          <w:rFonts w:ascii="Geomanist Light" w:hAnsi="Geomanist Light"/>
          <w:b/>
          <w:color w:val="404040" w:themeColor="text1" w:themeTint="BF"/>
          <w:lang w:val="es-ES"/>
        </w:rPr>
      </w:pPr>
    </w:p>
    <w:p w14:paraId="725F144F" w14:textId="77777777" w:rsidR="00E92E0B" w:rsidRDefault="00E92E0B" w:rsidP="00E92E0B">
      <w:pPr>
        <w:rPr>
          <w:rFonts w:ascii="Geomanist Light" w:hAnsi="Geomanist Light"/>
          <w:b/>
          <w:color w:val="002060"/>
          <w:lang w:val="es-ES"/>
        </w:rPr>
      </w:pPr>
    </w:p>
    <w:p w14:paraId="449B0373" w14:textId="77777777" w:rsidR="00E92E0B" w:rsidRDefault="00E92E0B" w:rsidP="00E92E0B">
      <w:pPr>
        <w:rPr>
          <w:rFonts w:ascii="Geomanist Light" w:hAnsi="Geomanist Light"/>
          <w:b/>
          <w:color w:val="002060"/>
          <w:lang w:val="es-ES"/>
        </w:rPr>
      </w:pPr>
    </w:p>
    <w:bookmarkEnd w:id="1"/>
    <w:p w14:paraId="09E02A39" w14:textId="77777777" w:rsidR="00E92E0B" w:rsidRPr="006219F8" w:rsidRDefault="00E92E0B" w:rsidP="00E92E0B">
      <w:pPr>
        <w:rPr>
          <w:lang w:val="es-MX"/>
        </w:rPr>
      </w:pPr>
    </w:p>
    <w:p w14:paraId="0336C48E" w14:textId="77777777" w:rsidR="00C2132D" w:rsidRPr="00E92E0B" w:rsidRDefault="00C2132D" w:rsidP="00E92E0B">
      <w:pPr>
        <w:rPr>
          <w:rFonts w:eastAsia="Calibri"/>
        </w:rPr>
      </w:pPr>
    </w:p>
    <w:sectPr w:rsidR="00C2132D" w:rsidRPr="00E92E0B" w:rsidSect="008F76EE">
      <w:headerReference w:type="default" r:id="rId14"/>
      <w:footerReference w:type="default" r:id="rId15"/>
      <w:pgSz w:w="12240" w:h="15840"/>
      <w:pgMar w:top="408" w:right="1701" w:bottom="1276"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B815" w14:textId="77777777" w:rsidR="00AB4E64" w:rsidRDefault="00AB4E64" w:rsidP="0043584B">
      <w:r>
        <w:separator/>
      </w:r>
    </w:p>
  </w:endnote>
  <w:endnote w:type="continuationSeparator" w:id="0">
    <w:p w14:paraId="1763277E" w14:textId="77777777" w:rsidR="00AB4E64" w:rsidRDefault="00AB4E64" w:rsidP="0043584B">
      <w:r>
        <w:continuationSeparator/>
      </w:r>
    </w:p>
  </w:endnote>
  <w:endnote w:type="continuationNotice" w:id="1">
    <w:p w14:paraId="199239C4" w14:textId="77777777" w:rsidR="00A30987" w:rsidRDefault="00A30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Arial Nova">
    <w:altName w:val="Arial"/>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B2FFA" w14:textId="77777777" w:rsidR="006505CB" w:rsidRDefault="00D133D4" w:rsidP="006505CB">
    <w:pPr>
      <w:pStyle w:val="Footer"/>
      <w:spacing w:after="0"/>
    </w:pPr>
    <w:r>
      <w:rPr>
        <w:noProof/>
        <w:lang w:val="en-US"/>
      </w:rPr>
      <w:drawing>
        <wp:inline distT="0" distB="0" distL="0" distR="0" wp14:anchorId="3D2B058D" wp14:editId="3680C76B">
          <wp:extent cx="5742143" cy="892175"/>
          <wp:effectExtent l="0" t="0" r="0" b="3175"/>
          <wp:docPr id="11" name="Picture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6505CB" w:rsidRPr="00080DA3" w14:paraId="3A1AF7F5" w14:textId="77777777" w:rsidTr="006505CB">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70C452B" w14:textId="77777777" w:rsidR="006505CB" w:rsidRPr="00080DA3" w:rsidRDefault="00D133D4" w:rsidP="006505CB">
          <w:pPr>
            <w:pStyle w:val="Footer"/>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CC630B3" w14:textId="77777777" w:rsidR="006505CB" w:rsidRPr="00080DA3" w:rsidRDefault="00D133D4" w:rsidP="006505CB">
          <w:pPr>
            <w:pStyle w:val="Footer"/>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A473810" w14:textId="77777777" w:rsidR="006505CB" w:rsidRPr="00080DA3" w:rsidRDefault="00D133D4" w:rsidP="006505CB">
          <w:pPr>
            <w:pStyle w:val="Footer"/>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93EB386" w14:textId="77777777" w:rsidR="006505CB" w:rsidRPr="004B6B0E" w:rsidRDefault="00D133D4" w:rsidP="006505CB">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57A033A" w14:textId="77777777" w:rsidR="006505CB" w:rsidRPr="00080DA3" w:rsidRDefault="00D133D4" w:rsidP="006505CB">
          <w:pPr>
            <w:pStyle w:val="Footer"/>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DAC978" w14:textId="77777777" w:rsidR="006505CB" w:rsidRPr="00080DA3" w:rsidRDefault="00D133D4" w:rsidP="006505CB">
          <w:pPr>
            <w:pStyle w:val="Footer"/>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86FF51C" w14:textId="77777777" w:rsidR="006505CB" w:rsidRPr="00080DA3" w:rsidRDefault="00D133D4" w:rsidP="006505CB">
          <w:pPr>
            <w:pStyle w:val="Footer"/>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37A7421A" w14:textId="77777777" w:rsidR="006505CB" w:rsidRPr="007B0854" w:rsidRDefault="006505CB" w:rsidP="006505CB">
    <w:pPr>
      <w:pStyle w:val="Footer"/>
      <w:spacing w:after="0" w:line="120" w:lineRule="auto"/>
      <w:rPr>
        <w:lang w:val="es-ES"/>
      </w:rPr>
    </w:pPr>
  </w:p>
  <w:p w14:paraId="269FBFF4" w14:textId="77777777" w:rsidR="006505CB" w:rsidRDefault="006505CB"/>
  <w:p w14:paraId="5993CBAE" w14:textId="77777777" w:rsidR="006505CB" w:rsidRDefault="00650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7EA8C" w14:textId="77777777" w:rsidR="00AB4E64" w:rsidRDefault="00AB4E64" w:rsidP="0043584B">
      <w:r>
        <w:separator/>
      </w:r>
    </w:p>
  </w:footnote>
  <w:footnote w:type="continuationSeparator" w:id="0">
    <w:p w14:paraId="52043F69" w14:textId="77777777" w:rsidR="00AB4E64" w:rsidRDefault="00AB4E64" w:rsidP="0043584B">
      <w:r>
        <w:continuationSeparator/>
      </w:r>
    </w:p>
  </w:footnote>
  <w:footnote w:type="continuationNotice" w:id="1">
    <w:p w14:paraId="5C4D3816" w14:textId="77777777" w:rsidR="00A30987" w:rsidRDefault="00A30987"/>
  </w:footnote>
  <w:footnote w:id="2">
    <w:p w14:paraId="6F198445" w14:textId="77777777" w:rsidR="00E92E0B" w:rsidRPr="00C36C58" w:rsidRDefault="00E92E0B" w:rsidP="00E92E0B">
      <w:pPr>
        <w:pStyle w:val="FootnoteText"/>
        <w:ind w:firstLine="709"/>
        <w:jc w:val="both"/>
        <w:rPr>
          <w:color w:val="000000" w:themeColor="text1"/>
          <w:sz w:val="19"/>
          <w:szCs w:val="19"/>
        </w:rPr>
      </w:pPr>
      <w:r w:rsidRPr="00C36C58">
        <w:rPr>
          <w:rStyle w:val="FootnoteReference"/>
          <w:color w:val="000000" w:themeColor="text1"/>
          <w:sz w:val="19"/>
          <w:szCs w:val="19"/>
        </w:rPr>
        <w:footnoteRef/>
      </w:r>
      <w:r w:rsidRPr="00C36C58">
        <w:rPr>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40F441C1" w14:textId="77777777" w:rsidR="00E92E0B" w:rsidRPr="00025292" w:rsidRDefault="00E92E0B" w:rsidP="00E92E0B">
      <w:pPr>
        <w:pStyle w:val="FootnoteText"/>
        <w:ind w:firstLine="709"/>
        <w:jc w:val="both"/>
        <w:rPr>
          <w:rFonts w:eastAsia="Calibri"/>
          <w:color w:val="000000" w:themeColor="text1"/>
          <w:sz w:val="19"/>
          <w:szCs w:val="19"/>
          <w:lang w:val="es-CO"/>
        </w:rPr>
      </w:pPr>
      <w:r w:rsidRPr="00C36C58">
        <w:rPr>
          <w:color w:val="000000" w:themeColor="text1"/>
          <w:sz w:val="19"/>
          <w:szCs w:val="19"/>
        </w:rPr>
        <w:t>»Las personas jurídicas nacionales y extranjeras deberán acreditar que su duración no será inferior a la del plazo del contrato y un año más».</w:t>
      </w:r>
    </w:p>
  </w:footnote>
  <w:footnote w:id="3">
    <w:p w14:paraId="758B5829" w14:textId="77777777" w:rsidR="00E92E0B" w:rsidRPr="00C36C58" w:rsidRDefault="00E92E0B" w:rsidP="00E92E0B">
      <w:pPr>
        <w:pStyle w:val="FootnoteText"/>
        <w:ind w:firstLine="709"/>
        <w:jc w:val="both"/>
        <w:rPr>
          <w:color w:val="000000" w:themeColor="text1"/>
          <w:sz w:val="19"/>
          <w:szCs w:val="19"/>
        </w:rPr>
      </w:pPr>
      <w:r w:rsidRPr="00C36C58">
        <w:rPr>
          <w:rStyle w:val="FootnoteReference"/>
          <w:color w:val="000000" w:themeColor="text1"/>
          <w:sz w:val="19"/>
          <w:szCs w:val="19"/>
        </w:rPr>
        <w:footnoteRef/>
      </w:r>
      <w:r w:rsidRPr="00C36C58">
        <w:rPr>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7DC20EEF" w14:textId="77777777" w:rsidR="00E92E0B" w:rsidRPr="00C36C58" w:rsidRDefault="00E92E0B" w:rsidP="00E92E0B">
      <w:pPr>
        <w:pStyle w:val="FootnoteText"/>
        <w:ind w:firstLine="709"/>
        <w:jc w:val="both"/>
        <w:rPr>
          <w:color w:val="000000" w:themeColor="text1"/>
          <w:sz w:val="19"/>
          <w:szCs w:val="19"/>
        </w:rPr>
      </w:pPr>
      <w:r w:rsidRPr="00C36C58">
        <w:rPr>
          <w:color w:val="000000" w:themeColor="text1"/>
          <w:sz w:val="19"/>
          <w:szCs w:val="19"/>
        </w:rPr>
        <w:t>»1o.) que sea legalmente capaz.</w:t>
      </w:r>
    </w:p>
    <w:p w14:paraId="18C3D259" w14:textId="77777777" w:rsidR="00E92E0B" w:rsidRPr="00C36C58" w:rsidRDefault="00E92E0B" w:rsidP="00E92E0B">
      <w:pPr>
        <w:pStyle w:val="FootnoteText"/>
        <w:ind w:firstLine="709"/>
        <w:jc w:val="both"/>
        <w:rPr>
          <w:color w:val="000000" w:themeColor="text1"/>
          <w:sz w:val="19"/>
          <w:szCs w:val="19"/>
        </w:rPr>
      </w:pPr>
      <w:r w:rsidRPr="00C36C58">
        <w:rPr>
          <w:color w:val="000000" w:themeColor="text1"/>
          <w:sz w:val="19"/>
          <w:szCs w:val="19"/>
        </w:rPr>
        <w:t>[…]</w:t>
      </w:r>
    </w:p>
    <w:p w14:paraId="2B696CFC" w14:textId="77777777" w:rsidR="00E92E0B" w:rsidRPr="00C36C58" w:rsidRDefault="00E92E0B" w:rsidP="00E92E0B">
      <w:pPr>
        <w:pStyle w:val="FootnoteText"/>
        <w:ind w:firstLine="709"/>
        <w:jc w:val="both"/>
        <w:rPr>
          <w:color w:val="000000" w:themeColor="text1"/>
          <w:sz w:val="19"/>
          <w:szCs w:val="19"/>
        </w:rPr>
      </w:pPr>
      <w:r w:rsidRPr="00C36C58">
        <w:rPr>
          <w:color w:val="000000" w:themeColor="text1"/>
          <w:sz w:val="19"/>
          <w:szCs w:val="19"/>
        </w:rPr>
        <w:t>»La capacidad legal de una persona consiste en poderse obligar por sí misma, sin el ministerio o la autorización de otra».</w:t>
      </w:r>
    </w:p>
  </w:footnote>
  <w:footnote w:id="4">
    <w:p w14:paraId="0686D26C" w14:textId="77777777" w:rsidR="00E92E0B" w:rsidRPr="00C36C58" w:rsidRDefault="00E92E0B" w:rsidP="00E92E0B">
      <w:pPr>
        <w:pStyle w:val="FootnoteText"/>
        <w:ind w:firstLine="709"/>
        <w:jc w:val="both"/>
        <w:rPr>
          <w:color w:val="000000" w:themeColor="text1"/>
          <w:sz w:val="19"/>
          <w:szCs w:val="19"/>
        </w:rPr>
      </w:pPr>
      <w:r w:rsidRPr="00C36C58">
        <w:rPr>
          <w:rStyle w:val="FootnoteReference"/>
          <w:color w:val="000000" w:themeColor="text1"/>
          <w:sz w:val="19"/>
          <w:szCs w:val="19"/>
        </w:rPr>
        <w:footnoteRef/>
      </w:r>
      <w:r w:rsidRPr="00C36C58">
        <w:rPr>
          <w:color w:val="000000" w:themeColor="text1"/>
          <w:sz w:val="19"/>
          <w:szCs w:val="19"/>
        </w:rPr>
        <w:t xml:space="preserve"> En tal sentido, José Luis Benavides comenta que «Aunque la mayoría de las reglas limitativas de la responsabilidad contractual se aplican a la administración, existen también algunas restricciones importantes a la capacidad de los contratistas: </w:t>
      </w:r>
      <w:r w:rsidRPr="00C36C58">
        <w:rPr>
          <w:i/>
          <w:iCs/>
          <w:color w:val="000000" w:themeColor="text1"/>
          <w:sz w:val="19"/>
          <w:szCs w:val="19"/>
        </w:rPr>
        <w:t>el régimen de inhabilidades e incompatibilidades</w:t>
      </w:r>
      <w:r w:rsidRPr="00C36C58">
        <w:rPr>
          <w:color w:val="000000" w:themeColor="text1"/>
          <w:sz w:val="19"/>
          <w:szCs w:val="19"/>
        </w:rPr>
        <w:t xml:space="preserve"> (1) y la obligación de ciertos proponentes de inscribirse en el </w:t>
      </w:r>
      <w:r w:rsidRPr="00C36C58">
        <w:rPr>
          <w:i/>
          <w:iCs/>
          <w:color w:val="000000" w:themeColor="text1"/>
          <w:sz w:val="19"/>
          <w:szCs w:val="19"/>
        </w:rPr>
        <w:t>registro único</w:t>
      </w:r>
      <w:r w:rsidRPr="00C36C58">
        <w:rPr>
          <w:color w:val="000000" w:themeColor="text1"/>
          <w:sz w:val="19"/>
          <w:szCs w:val="19"/>
        </w:rPr>
        <w:t xml:space="preserve"> (2)» (BENAVIDES, José Luis. El contrato estatal. Entre el Derecho público y el Derecho privado. 2ª ed. Bogotá: Universidad Externado de Colombia, 2004. p. 278). </w:t>
      </w:r>
    </w:p>
  </w:footnote>
  <w:footnote w:id="5">
    <w:p w14:paraId="7D4328A9" w14:textId="77777777" w:rsidR="00E92E0B" w:rsidRPr="007C17EA" w:rsidRDefault="00E92E0B" w:rsidP="00E92E0B">
      <w:pPr>
        <w:ind w:firstLine="709"/>
        <w:jc w:val="both"/>
        <w:rPr>
          <w:rFonts w:ascii="Arial" w:hAnsi="Arial" w:cs="Arial"/>
          <w:color w:val="000000" w:themeColor="text1"/>
          <w:sz w:val="19"/>
          <w:szCs w:val="19"/>
          <w:lang w:val="es-ES"/>
        </w:rPr>
      </w:pPr>
      <w:r w:rsidRPr="007C17EA">
        <w:rPr>
          <w:rStyle w:val="FootnoteReferenc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footnote>
  <w:footnote w:id="6">
    <w:p w14:paraId="147BDAC7" w14:textId="77777777" w:rsidR="00E92E0B" w:rsidRPr="00287CAD"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footnote>
  <w:footnote w:id="7">
    <w:p w14:paraId="6E84AFAD" w14:textId="77777777" w:rsidR="00E92E0B" w:rsidRPr="00287CAD"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footnote>
  <w:footnote w:id="8">
    <w:p w14:paraId="73546034" w14:textId="77777777" w:rsidR="00E92E0B" w:rsidRPr="007C17EA" w:rsidRDefault="00E92E0B" w:rsidP="00E92E0B">
      <w:pPr>
        <w:ind w:firstLine="709"/>
        <w:jc w:val="both"/>
        <w:rPr>
          <w:rFonts w:ascii="Arial" w:hAnsi="Arial" w:cs="Arial"/>
          <w:color w:val="000000" w:themeColor="text1"/>
          <w:sz w:val="19"/>
          <w:szCs w:val="19"/>
          <w:lang w:val="es-ES"/>
        </w:rPr>
      </w:pPr>
      <w:r w:rsidRPr="007C17EA">
        <w:rPr>
          <w:rStyle w:val="FootnoteReferenc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9">
    <w:p w14:paraId="06FB9B83" w14:textId="77777777" w:rsidR="00E92E0B" w:rsidRPr="007C17EA"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0">
    <w:p w14:paraId="7D89A45D" w14:textId="77777777" w:rsidR="00E92E0B" w:rsidRPr="007C17EA"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Ibíd., p. 69.</w:t>
      </w:r>
    </w:p>
  </w:footnote>
  <w:footnote w:id="11">
    <w:p w14:paraId="24737155" w14:textId="77777777" w:rsidR="00E92E0B" w:rsidRPr="007C17EA"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Corte Constitucional. Sentencia T-1039 de 2006. Magistrado Ponente: Humberto Sierra Porto. La Corte ha mantenido este criterio en las sentencias: C-903 de 2008. Magistrado Ponente: Jaime Araujo Rentería; C-101 de 2018. Magistrada Ponente Gloria Stella Ortiz Delgado; entre otras. </w:t>
      </w:r>
    </w:p>
  </w:footnote>
  <w:footnote w:id="12">
    <w:p w14:paraId="7BCF92EE" w14:textId="77777777" w:rsidR="00E92E0B" w:rsidRPr="007C17EA"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Consejo de Estado. Sala de Consulta y Servicio Civil. Concepto del 30 de abril de 2015. Expediente: 2251. Consejero Ponente: Álvaro Namén Vargas.</w:t>
      </w:r>
    </w:p>
  </w:footnote>
  <w:footnote w:id="13">
    <w:p w14:paraId="6544B87C" w14:textId="77777777" w:rsidR="00E92E0B" w:rsidRPr="00025292"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Consejo de Estado. Sección Tercera. Subsección A. Sentencia del 24 de junio de 2015. Exp. 40.635. Consejero Ponente: Hernán Andrade Rincón (E).</w:t>
      </w:r>
    </w:p>
  </w:footnote>
  <w:footnote w:id="14">
    <w:p w14:paraId="186648FD" w14:textId="77777777" w:rsidR="00E92E0B" w:rsidRPr="00025292"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Consejo de Estado. Sección Tercera. Subsección C. Sentencia del 22 de mayo de 2013. Exp. 24.057. Consejera Ponente: Olga Melida Valle De De La Hoz.</w:t>
      </w:r>
    </w:p>
  </w:footnote>
  <w:footnote w:id="15">
    <w:p w14:paraId="270AC084" w14:textId="77777777" w:rsidR="00E92E0B" w:rsidRPr="00E8110D" w:rsidRDefault="00E92E0B" w:rsidP="00E92E0B">
      <w:pPr>
        <w:pStyle w:val="FootnoteText"/>
        <w:ind w:firstLine="708"/>
        <w:jc w:val="both"/>
        <w:rPr>
          <w:color w:val="000000" w:themeColor="text1"/>
          <w:sz w:val="19"/>
          <w:szCs w:val="19"/>
          <w:lang w:val="es-CO"/>
        </w:rPr>
      </w:pPr>
      <w:r w:rsidRPr="00C36C58">
        <w:rPr>
          <w:rStyle w:val="FootnoteReference"/>
          <w:color w:val="000000" w:themeColor="text1"/>
          <w:sz w:val="19"/>
          <w:szCs w:val="19"/>
        </w:rPr>
        <w:footnoteRef/>
      </w:r>
      <w:r w:rsidRPr="00C36C58">
        <w:rPr>
          <w:color w:val="000000" w:themeColor="text1"/>
          <w:sz w:val="19"/>
          <w:szCs w:val="19"/>
        </w:rPr>
        <w:t xml:space="preserve"> </w:t>
      </w:r>
      <w:r w:rsidRPr="00C36C58">
        <w:rPr>
          <w:i/>
          <w:iCs/>
          <w:color w:val="000000" w:themeColor="text1"/>
          <w:sz w:val="19"/>
          <w:szCs w:val="19"/>
        </w:rPr>
        <w:t>Ibid</w:t>
      </w:r>
      <w:r w:rsidRPr="00C36C58">
        <w:rPr>
          <w:color w:val="000000" w:themeColor="text1"/>
          <w:sz w:val="19"/>
          <w:szCs w:val="19"/>
        </w:rPr>
        <w:t xml:space="preserve">. </w:t>
      </w:r>
    </w:p>
  </w:footnote>
  <w:footnote w:id="16">
    <w:p w14:paraId="6288610B" w14:textId="77777777" w:rsidR="00E92E0B" w:rsidRPr="00C36C58" w:rsidRDefault="00E92E0B" w:rsidP="00E92E0B">
      <w:pPr>
        <w:pStyle w:val="FootnoteText"/>
        <w:ind w:firstLine="708"/>
        <w:jc w:val="both"/>
        <w:rPr>
          <w:color w:val="000000" w:themeColor="text1"/>
          <w:sz w:val="19"/>
          <w:szCs w:val="19"/>
        </w:rPr>
      </w:pPr>
      <w:r w:rsidRPr="00C36C58">
        <w:rPr>
          <w:rStyle w:val="FootnoteReference"/>
          <w:color w:val="000000" w:themeColor="text1"/>
          <w:sz w:val="19"/>
          <w:szCs w:val="19"/>
        </w:rPr>
        <w:footnoteRef/>
      </w:r>
      <w:r w:rsidRPr="00CE520F">
        <w:rPr>
          <w:color w:val="000000" w:themeColor="text1"/>
          <w:sz w:val="19"/>
          <w:szCs w:val="19"/>
        </w:rPr>
        <w:t xml:space="preserve">  Cfr. Corte Constitucional. Sentencia C-780 de 2001. </w:t>
      </w:r>
      <w:r w:rsidRPr="00C36C58">
        <w:rPr>
          <w:color w:val="000000" w:themeColor="text1"/>
          <w:sz w:val="19"/>
          <w:szCs w:val="19"/>
        </w:rPr>
        <w:t>M.P. Jaime Córdoba Triviño.</w:t>
      </w:r>
    </w:p>
  </w:footnote>
  <w:footnote w:id="17">
    <w:p w14:paraId="24FFBBB7"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01D1115C" w14:textId="77777777" w:rsidR="00E92E0B" w:rsidRPr="00046FD0" w:rsidRDefault="00E92E0B" w:rsidP="00E92E0B">
      <w:pPr>
        <w:pStyle w:val="FootnoteText"/>
        <w:ind w:firstLine="709"/>
        <w:jc w:val="both"/>
        <w:rPr>
          <w:sz w:val="19"/>
          <w:szCs w:val="19"/>
        </w:rPr>
      </w:pPr>
    </w:p>
  </w:footnote>
  <w:footnote w:id="18">
    <w:p w14:paraId="4C939A89"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559C68BD" w14:textId="77777777" w:rsidR="00E92E0B" w:rsidRPr="00046FD0" w:rsidRDefault="00E92E0B" w:rsidP="00E92E0B">
      <w:pPr>
        <w:pStyle w:val="FootnoteText"/>
        <w:ind w:firstLine="709"/>
        <w:jc w:val="both"/>
        <w:rPr>
          <w:sz w:val="19"/>
          <w:szCs w:val="19"/>
        </w:rPr>
      </w:pPr>
      <w:r w:rsidRPr="00046FD0">
        <w:rPr>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C6B0BE0" w14:textId="77777777" w:rsidR="00E92E0B" w:rsidRPr="00046FD0" w:rsidRDefault="00E92E0B" w:rsidP="00E92E0B">
      <w:pPr>
        <w:pStyle w:val="FootnoteText"/>
        <w:ind w:firstLine="709"/>
        <w:jc w:val="both"/>
        <w:rPr>
          <w:sz w:val="19"/>
          <w:szCs w:val="19"/>
        </w:rPr>
      </w:pPr>
      <w:r w:rsidRPr="00046FD0">
        <w:rPr>
          <w:sz w:val="19"/>
          <w:szCs w:val="19"/>
        </w:rPr>
        <w:t>El Gobierno nacional reglamentará el mecanismo para realizar la mensualización de que trata el presente artículo.</w:t>
      </w:r>
    </w:p>
    <w:p w14:paraId="61B37BD2" w14:textId="77777777" w:rsidR="00E92E0B" w:rsidRPr="00046FD0" w:rsidRDefault="00E92E0B" w:rsidP="00E92E0B">
      <w:pPr>
        <w:pStyle w:val="FootnoteText"/>
        <w:ind w:firstLine="709"/>
        <w:jc w:val="both"/>
        <w:rPr>
          <w:sz w:val="19"/>
          <w:szCs w:val="19"/>
          <w:lang w:val="pt-BR"/>
        </w:rPr>
      </w:pPr>
      <w:r w:rsidRPr="00046FD0">
        <w:rPr>
          <w:sz w:val="19"/>
          <w:szCs w:val="19"/>
          <w:lang w:val="pt-BR"/>
        </w:rPr>
        <w:t>[…]».</w:t>
      </w:r>
    </w:p>
    <w:p w14:paraId="3DA21369" w14:textId="77777777" w:rsidR="00E92E0B" w:rsidRPr="00046FD0" w:rsidRDefault="00E92E0B" w:rsidP="00E92E0B">
      <w:pPr>
        <w:pStyle w:val="FootnoteText"/>
        <w:ind w:firstLine="709"/>
        <w:jc w:val="both"/>
        <w:rPr>
          <w:sz w:val="19"/>
          <w:szCs w:val="19"/>
          <w:lang w:val="pt-BR"/>
        </w:rPr>
      </w:pPr>
    </w:p>
  </w:footnote>
  <w:footnote w:id="19">
    <w:p w14:paraId="0DCF811C"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lang w:val="pt-BR"/>
        </w:rPr>
        <w:t xml:space="preserve"> Corte Constitucional. Sentencia C-154 de 1997. </w:t>
      </w:r>
      <w:r w:rsidRPr="00046FD0">
        <w:rPr>
          <w:sz w:val="19"/>
          <w:szCs w:val="19"/>
        </w:rPr>
        <w:t>MP: Hernando Herrera Vergara.</w:t>
      </w:r>
    </w:p>
    <w:p w14:paraId="6C98BA1A" w14:textId="77777777" w:rsidR="00E92E0B" w:rsidRPr="00046FD0" w:rsidRDefault="00E92E0B" w:rsidP="00E92E0B">
      <w:pPr>
        <w:pStyle w:val="FootnoteText"/>
        <w:ind w:firstLine="709"/>
        <w:jc w:val="both"/>
        <w:rPr>
          <w:sz w:val="19"/>
          <w:szCs w:val="19"/>
        </w:rPr>
      </w:pPr>
    </w:p>
  </w:footnote>
  <w:footnote w:id="20">
    <w:p w14:paraId="3A287AB8" w14:textId="77777777" w:rsidR="00E92E0B" w:rsidRPr="00046FD0" w:rsidRDefault="00E92E0B" w:rsidP="00E92E0B">
      <w:pPr>
        <w:pStyle w:val="FootnoteText"/>
        <w:ind w:firstLine="709"/>
        <w:jc w:val="both"/>
        <w:rPr>
          <w:color w:val="000000" w:themeColor="text1"/>
          <w:sz w:val="19"/>
          <w:szCs w:val="19"/>
          <w:lang w:val="es-CO"/>
        </w:rPr>
      </w:pPr>
      <w:r w:rsidRPr="00046FD0">
        <w:rPr>
          <w:rStyle w:val="FootnoteReference"/>
          <w:sz w:val="19"/>
          <w:szCs w:val="19"/>
        </w:rPr>
        <w:footnoteRef/>
      </w:r>
      <w:r w:rsidRPr="00046FD0">
        <w:rPr>
          <w:sz w:val="19"/>
          <w:szCs w:val="19"/>
        </w:rPr>
        <w:t xml:space="preserve"> </w:t>
      </w:r>
      <w:r w:rsidRPr="00046FD0">
        <w:rPr>
          <w:color w:val="000000" w:themeColor="text1"/>
          <w:sz w:val="19"/>
          <w:szCs w:val="19"/>
        </w:rPr>
        <w:t xml:space="preserve">Consejo de Estado. Sección Segunda. Sentencia de Unificación Jurisprudencial </w:t>
      </w:r>
      <w:r w:rsidRPr="00046FD0">
        <w:rPr>
          <w:color w:val="000000" w:themeColor="text1"/>
          <w:sz w:val="19"/>
          <w:szCs w:val="19"/>
          <w:lang w:val="es-CO"/>
        </w:rPr>
        <w:t>SUJ-025-CE-S2-2021.</w:t>
      </w:r>
      <w:r w:rsidRPr="00046FD0">
        <w:rPr>
          <w:color w:val="000000" w:themeColor="text1"/>
          <w:sz w:val="19"/>
          <w:szCs w:val="19"/>
        </w:rPr>
        <w:t xml:space="preserve"> Radicado (1317-2016). El numeral primero de la parte resolutiva de la sentencia señala lo siguiente:</w:t>
      </w:r>
      <w:r w:rsidRPr="00046FD0">
        <w:rPr>
          <w:rFonts w:ascii="Times New Roman" w:eastAsia="Times New Roman" w:hAnsi="Times New Roman" w:cs="Times New Roman"/>
          <w:sz w:val="19"/>
          <w:szCs w:val="19"/>
          <w:lang w:val="es-CO" w:eastAsia="es-ES_tradnl"/>
        </w:rPr>
        <w:t xml:space="preserve"> </w:t>
      </w:r>
      <w:r w:rsidRPr="00046FD0">
        <w:rPr>
          <w:noProof/>
          <w:sz w:val="19"/>
          <w:szCs w:val="19"/>
          <w:lang w:val="es-ES_tradnl"/>
        </w:rPr>
        <w:t>«</w:t>
      </w:r>
      <w:r w:rsidRPr="00046FD0">
        <w:rPr>
          <w:color w:val="000000" w:themeColor="text1"/>
          <w:sz w:val="19"/>
          <w:szCs w:val="19"/>
          <w:lang w:val="es-CO"/>
        </w:rPr>
        <w:t xml:space="preserve">Unificar la jurisprudencia de la Sección Segunda del Consejo de Estado, en el sentido de precisar las siguientes reglas en las relaciones laborales encubiertas o subyacentes: </w:t>
      </w:r>
    </w:p>
    <w:p w14:paraId="3DF8C7AD" w14:textId="77777777" w:rsidR="00E92E0B" w:rsidRPr="00046FD0" w:rsidRDefault="00E92E0B" w:rsidP="00E92E0B">
      <w:pPr>
        <w:pStyle w:val="FootnoteText"/>
        <w:ind w:firstLine="709"/>
        <w:jc w:val="both"/>
        <w:rPr>
          <w:color w:val="000000" w:themeColor="text1"/>
          <w:sz w:val="19"/>
          <w:szCs w:val="19"/>
          <w:lang w:val="es-CO"/>
        </w:rPr>
      </w:pPr>
      <w:r w:rsidRPr="00046FD0">
        <w:rPr>
          <w:color w:val="000000" w:themeColor="text1"/>
          <w:sz w:val="19"/>
          <w:szCs w:val="19"/>
        </w:rPr>
        <w:t xml:space="preserve"> </w:t>
      </w:r>
      <w:r w:rsidRPr="00046FD0">
        <w:rPr>
          <w:sz w:val="19"/>
          <w:szCs w:val="19"/>
          <w:lang w:val="pt-BR"/>
        </w:rPr>
        <w:t>»</w:t>
      </w:r>
      <w:r w:rsidRPr="00046FD0">
        <w:rPr>
          <w:color w:val="000000" w:themeColor="text1"/>
          <w:sz w:val="19"/>
          <w:szCs w:val="19"/>
          <w:lang w:val="es-CO"/>
        </w:rPr>
        <w:t xml:space="preserve">(i) La primera regla define que el concepto de «término estrictamente indispensable», al que alude el numeral 3.º del artículo 32 de la Ley 80 de 1993, es el señalado en los estudios previos y en el objeto del contrato, el cual, de acuerdo con el principio de planeación, tiene que estar justificado en la necesidad de la prestación del servicio a favor de la Administración, de forma esencialmente temporal y, de ninguna manera, con ánimo de permanencia. </w:t>
      </w:r>
    </w:p>
    <w:p w14:paraId="0C1101BB" w14:textId="77777777" w:rsidR="00E92E0B" w:rsidRPr="00046FD0" w:rsidRDefault="00E92E0B" w:rsidP="00E92E0B">
      <w:pPr>
        <w:pStyle w:val="FootnoteText"/>
        <w:ind w:firstLine="709"/>
        <w:jc w:val="both"/>
        <w:rPr>
          <w:color w:val="000000" w:themeColor="text1"/>
          <w:sz w:val="19"/>
          <w:szCs w:val="19"/>
          <w:lang w:val="es-CO"/>
        </w:rPr>
      </w:pPr>
      <w:r w:rsidRPr="00046FD0">
        <w:rPr>
          <w:sz w:val="19"/>
          <w:szCs w:val="19"/>
          <w:lang w:val="pt-BR"/>
        </w:rPr>
        <w:t>»</w:t>
      </w:r>
      <w:r w:rsidRPr="00046FD0">
        <w:rPr>
          <w:color w:val="000000" w:themeColor="text1"/>
          <w:sz w:val="19"/>
          <w:szCs w:val="19"/>
          <w:lang w:val="es-CO"/>
        </w:rPr>
        <w:t xml:space="preserve">(ii) La segunda regla establece un periodo de treinta (30) días hábiles, entre la finalización de un contrato y la ejecución del siguiente, como término de la no solución de continuidad, el cual, en los casos que se exceda, podrá flexibilizarse en atención a las especiales circunstancias que el juez encuentre probadas dentro del expediente. </w:t>
      </w:r>
    </w:p>
    <w:p w14:paraId="037C1A29" w14:textId="77777777" w:rsidR="00E92E0B" w:rsidRDefault="00E92E0B" w:rsidP="00E92E0B">
      <w:pPr>
        <w:pStyle w:val="FootnoteText"/>
        <w:ind w:firstLine="709"/>
        <w:jc w:val="both"/>
        <w:rPr>
          <w:sz w:val="19"/>
          <w:szCs w:val="19"/>
          <w:lang w:val="pt-BR"/>
        </w:rPr>
      </w:pPr>
      <w:r w:rsidRPr="00046FD0">
        <w:rPr>
          <w:sz w:val="19"/>
          <w:szCs w:val="19"/>
          <w:lang w:val="pt-BR"/>
        </w:rPr>
        <w:t>»</w:t>
      </w:r>
      <w:r w:rsidRPr="00046FD0">
        <w:rPr>
          <w:color w:val="000000" w:themeColor="text1"/>
          <w:sz w:val="19"/>
          <w:szCs w:val="19"/>
          <w:lang w:val="es-CO"/>
        </w:rPr>
        <w:t>(iii) La tercera regla determina que frente a la no afiliación al sistema de la Seguridad Social en salud, por parte de la Administración, es improcedente la devolución de los valores que el contratista hubiese asumido de más, en tanto se recaudaron como recursos de naturaleza parafiscal</w:t>
      </w:r>
      <w:r w:rsidRPr="00046FD0">
        <w:rPr>
          <w:sz w:val="19"/>
          <w:szCs w:val="19"/>
          <w:lang w:val="pt-BR"/>
        </w:rPr>
        <w:t>»</w:t>
      </w:r>
      <w:r>
        <w:rPr>
          <w:sz w:val="19"/>
          <w:szCs w:val="19"/>
          <w:lang w:val="pt-BR"/>
        </w:rPr>
        <w:t>.</w:t>
      </w:r>
    </w:p>
    <w:p w14:paraId="4B04455A" w14:textId="77777777" w:rsidR="00E92E0B" w:rsidRPr="00046FD0" w:rsidRDefault="00E92E0B" w:rsidP="00E92E0B">
      <w:pPr>
        <w:pStyle w:val="FootnoteText"/>
        <w:ind w:firstLine="709"/>
        <w:jc w:val="both"/>
        <w:rPr>
          <w:sz w:val="19"/>
          <w:szCs w:val="19"/>
          <w:lang w:val="es-CO"/>
        </w:rPr>
      </w:pPr>
    </w:p>
  </w:footnote>
  <w:footnote w:id="21">
    <w:p w14:paraId="7DE558D8" w14:textId="77777777" w:rsidR="00E92E0B" w:rsidRDefault="00E92E0B" w:rsidP="00E92E0B">
      <w:pPr>
        <w:pStyle w:val="FootnoteText"/>
        <w:ind w:firstLine="709"/>
        <w:jc w:val="both"/>
        <w:rPr>
          <w:color w:val="000000" w:themeColor="text1"/>
          <w:sz w:val="19"/>
          <w:szCs w:val="19"/>
        </w:rPr>
      </w:pPr>
      <w:r w:rsidRPr="00046FD0">
        <w:rPr>
          <w:rStyle w:val="FootnoteReference"/>
          <w:sz w:val="19"/>
          <w:szCs w:val="19"/>
        </w:rPr>
        <w:footnoteRef/>
      </w:r>
      <w:r w:rsidRPr="00046FD0">
        <w:rPr>
          <w:sz w:val="19"/>
          <w:szCs w:val="19"/>
        </w:rPr>
        <w:t xml:space="preserve"> </w:t>
      </w:r>
      <w:r w:rsidRPr="00046FD0">
        <w:rPr>
          <w:color w:val="000000" w:themeColor="text1"/>
          <w:sz w:val="19"/>
          <w:szCs w:val="19"/>
        </w:rPr>
        <w:t xml:space="preserve">Consejo de Estado. Sección Segunda. Sentencia de Unificación Jurisprudencial </w:t>
      </w:r>
      <w:r w:rsidRPr="00046FD0">
        <w:rPr>
          <w:color w:val="000000" w:themeColor="text1"/>
          <w:sz w:val="19"/>
          <w:szCs w:val="19"/>
          <w:lang w:val="es-CO"/>
        </w:rPr>
        <w:t>SUJ-025-CE-S2-2021.</w:t>
      </w:r>
      <w:r w:rsidRPr="00046FD0">
        <w:rPr>
          <w:color w:val="000000" w:themeColor="text1"/>
          <w:sz w:val="19"/>
          <w:szCs w:val="19"/>
        </w:rPr>
        <w:t xml:space="preserve"> Radicado (1317-2016).</w:t>
      </w:r>
      <w:r>
        <w:rPr>
          <w:color w:val="000000" w:themeColor="text1"/>
          <w:sz w:val="19"/>
          <w:szCs w:val="19"/>
        </w:rPr>
        <w:t xml:space="preserve"> En el mismo sentido, la</w:t>
      </w:r>
      <w:r w:rsidRPr="00117CD7">
        <w:rPr>
          <w:color w:val="000000" w:themeColor="text1"/>
          <w:sz w:val="19"/>
          <w:szCs w:val="19"/>
        </w:rPr>
        <w:t xml:space="preserve"> Corte Constitucional expresa que:</w:t>
      </w:r>
      <w:r>
        <w:rPr>
          <w:color w:val="000000" w:themeColor="text1"/>
          <w:sz w:val="19"/>
          <w:szCs w:val="19"/>
        </w:rPr>
        <w:t xml:space="preserve"> «</w:t>
      </w:r>
      <w:r w:rsidRPr="00117CD7">
        <w:rPr>
          <w:color w:val="000000" w:themeColor="text1"/>
          <w:sz w:val="19"/>
          <w:szCs w:val="19"/>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color w:val="000000" w:themeColor="text1"/>
          <w:sz w:val="19"/>
          <w:szCs w:val="19"/>
        </w:rPr>
        <w:t xml:space="preserve">» (Cfr. </w:t>
      </w:r>
      <w:r w:rsidRPr="00046FD0">
        <w:rPr>
          <w:sz w:val="19"/>
          <w:szCs w:val="19"/>
          <w:lang w:val="pt-BR"/>
        </w:rPr>
        <w:t xml:space="preserve">Corte Constitucional. Sentencia C-154 de 1997. </w:t>
      </w:r>
      <w:r w:rsidRPr="00046FD0">
        <w:rPr>
          <w:sz w:val="19"/>
          <w:szCs w:val="19"/>
        </w:rPr>
        <w:t>MP: Hernando Herrera Vergara</w:t>
      </w:r>
      <w:r>
        <w:rPr>
          <w:sz w:val="19"/>
          <w:szCs w:val="19"/>
        </w:rPr>
        <w:t>)</w:t>
      </w:r>
      <w:r>
        <w:rPr>
          <w:color w:val="000000" w:themeColor="text1"/>
          <w:sz w:val="19"/>
          <w:szCs w:val="19"/>
        </w:rPr>
        <w:t>.</w:t>
      </w:r>
    </w:p>
    <w:p w14:paraId="628E5DCA" w14:textId="77777777" w:rsidR="00E92E0B" w:rsidRPr="00046FD0" w:rsidRDefault="00E92E0B" w:rsidP="00E92E0B">
      <w:pPr>
        <w:pStyle w:val="FootnoteText"/>
        <w:ind w:firstLine="709"/>
        <w:rPr>
          <w:sz w:val="19"/>
          <w:szCs w:val="19"/>
          <w:lang w:val="es-CO"/>
        </w:rPr>
      </w:pPr>
    </w:p>
  </w:footnote>
  <w:footnote w:id="22">
    <w:p w14:paraId="0AB0EA06" w14:textId="77777777" w:rsidR="00E92E0B" w:rsidRPr="00046FD0" w:rsidRDefault="00E92E0B" w:rsidP="00E92E0B">
      <w:pPr>
        <w:pStyle w:val="FootnoteText"/>
        <w:ind w:firstLine="709"/>
        <w:jc w:val="both"/>
        <w:rPr>
          <w:sz w:val="19"/>
          <w:szCs w:val="19"/>
          <w:lang w:val="es-CO"/>
        </w:rPr>
      </w:pPr>
      <w:r w:rsidRPr="00046FD0">
        <w:rPr>
          <w:rStyle w:val="FootnoteReference"/>
          <w:sz w:val="19"/>
          <w:szCs w:val="19"/>
        </w:rPr>
        <w:footnoteRef/>
      </w:r>
      <w:r w:rsidRPr="00046FD0">
        <w:rPr>
          <w:sz w:val="19"/>
          <w:szCs w:val="19"/>
        </w:rPr>
        <w:t xml:space="preserve"> </w:t>
      </w:r>
      <w:r w:rsidRPr="00046FD0">
        <w:rPr>
          <w:rFonts w:eastAsia="Times New Roman"/>
          <w:color w:val="000000"/>
          <w:sz w:val="19"/>
          <w:szCs w:val="19"/>
          <w:lang w:val="es-CO" w:eastAsia="es-ES_tradnl"/>
        </w:rPr>
        <w:t>Consejo de Estado. Sección Tercera. Subsección C. Sentencia del 2 de diciembre de 2013. Exp. 41719. C.P. Jaime Orlando Santofimio Gamboa.</w:t>
      </w:r>
    </w:p>
  </w:footnote>
  <w:footnote w:id="23">
    <w:p w14:paraId="400EA146"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C4DE402" w14:textId="77777777" w:rsidR="00E92E0B" w:rsidRPr="00046FD0" w:rsidRDefault="00E92E0B" w:rsidP="00E92E0B">
      <w:pPr>
        <w:pStyle w:val="FootnoteText"/>
        <w:ind w:firstLine="709"/>
        <w:jc w:val="both"/>
        <w:rPr>
          <w:sz w:val="19"/>
          <w:szCs w:val="19"/>
        </w:rPr>
      </w:pPr>
      <w:r w:rsidRPr="00046FD0">
        <w:rPr>
          <w:sz w:val="19"/>
          <w:szCs w:val="19"/>
        </w:rPr>
        <w:t>»Son también contratos de consultoría los que tienen por objeto la interventoría, asesoría, gerencia de obra o de proyectos, dirección, programación y la ejecución de diseños, planos, anteproyectos y proyectos.</w:t>
      </w:r>
    </w:p>
    <w:p w14:paraId="2330D195" w14:textId="77777777" w:rsidR="00E92E0B" w:rsidRPr="00046FD0" w:rsidRDefault="00E92E0B" w:rsidP="00E92E0B">
      <w:pPr>
        <w:pStyle w:val="FootnoteText"/>
        <w:ind w:firstLine="709"/>
        <w:jc w:val="both"/>
        <w:rPr>
          <w:sz w:val="19"/>
          <w:szCs w:val="19"/>
        </w:rPr>
      </w:pPr>
      <w:r w:rsidRPr="00046FD0">
        <w:rPr>
          <w:sz w:val="19"/>
          <w:szCs w:val="19"/>
        </w:rPr>
        <w:t>»Ninguna orden del interventor de una obra podrá darse verbalmente. Es obligatorio para el interventor entregar por escrito sus órdenes o sugerencias y ellas deben enmarcarse dentro de los términos del respectivo contrato».</w:t>
      </w:r>
    </w:p>
  </w:footnote>
  <w:footnote w:id="24">
    <w:p w14:paraId="22E50517"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Así lo dispone el artículo 2.2.1.2.1.4.1. del Decreto 1082 de 2015: «La Entidad Estatal debe señalar en un acto administrativo la justificación para contratar bajo la modalidad de contratación directa, el cual debe contener:</w:t>
      </w:r>
    </w:p>
    <w:p w14:paraId="47011387" w14:textId="77777777" w:rsidR="00E92E0B" w:rsidRPr="00046FD0" w:rsidRDefault="00E92E0B" w:rsidP="00E92E0B">
      <w:pPr>
        <w:pStyle w:val="FootnoteText"/>
        <w:ind w:firstLine="709"/>
        <w:jc w:val="both"/>
        <w:rPr>
          <w:sz w:val="19"/>
          <w:szCs w:val="19"/>
        </w:rPr>
      </w:pPr>
      <w:r w:rsidRPr="00046FD0">
        <w:rPr>
          <w:sz w:val="19"/>
          <w:szCs w:val="19"/>
        </w:rPr>
        <w:t>»1. La causal que invoca para contratar directamente.</w:t>
      </w:r>
    </w:p>
    <w:p w14:paraId="0F570986" w14:textId="77777777" w:rsidR="00E92E0B" w:rsidRPr="00046FD0" w:rsidRDefault="00E92E0B" w:rsidP="00E92E0B">
      <w:pPr>
        <w:pStyle w:val="FootnoteText"/>
        <w:ind w:firstLine="709"/>
        <w:jc w:val="both"/>
        <w:rPr>
          <w:sz w:val="19"/>
          <w:szCs w:val="19"/>
        </w:rPr>
      </w:pPr>
      <w:r w:rsidRPr="00046FD0">
        <w:rPr>
          <w:sz w:val="19"/>
          <w:szCs w:val="19"/>
        </w:rPr>
        <w:t>»2. El objeto del contrato.</w:t>
      </w:r>
    </w:p>
    <w:p w14:paraId="1915073D" w14:textId="77777777" w:rsidR="00E92E0B" w:rsidRPr="00046FD0" w:rsidRDefault="00E92E0B" w:rsidP="00E92E0B">
      <w:pPr>
        <w:pStyle w:val="FootnoteText"/>
        <w:ind w:firstLine="709"/>
        <w:jc w:val="both"/>
        <w:rPr>
          <w:sz w:val="19"/>
          <w:szCs w:val="19"/>
        </w:rPr>
      </w:pPr>
      <w:r w:rsidRPr="00046FD0">
        <w:rPr>
          <w:sz w:val="19"/>
          <w:szCs w:val="19"/>
        </w:rPr>
        <w:t>»3. El presupuesto para la contratación y las condiciones que exigirá al contratista.</w:t>
      </w:r>
    </w:p>
    <w:p w14:paraId="56C3736B" w14:textId="77777777" w:rsidR="00E92E0B" w:rsidRPr="00046FD0" w:rsidRDefault="00E92E0B" w:rsidP="00E92E0B">
      <w:pPr>
        <w:pStyle w:val="FootnoteText"/>
        <w:ind w:firstLine="709"/>
        <w:jc w:val="both"/>
        <w:rPr>
          <w:sz w:val="19"/>
          <w:szCs w:val="19"/>
        </w:rPr>
      </w:pPr>
      <w:r w:rsidRPr="00046FD0">
        <w:rPr>
          <w:sz w:val="19"/>
          <w:szCs w:val="19"/>
        </w:rPr>
        <w:t>»4. El lugar en el cual los interesados pueden consultar los estudios y documentos previos.</w:t>
      </w:r>
    </w:p>
    <w:p w14:paraId="232FBBEB" w14:textId="77777777" w:rsidR="00E92E0B" w:rsidRPr="00046FD0" w:rsidRDefault="00E92E0B" w:rsidP="00E92E0B">
      <w:pPr>
        <w:pStyle w:val="FootnoteText"/>
        <w:ind w:firstLine="709"/>
        <w:jc w:val="both"/>
        <w:rPr>
          <w:sz w:val="19"/>
          <w:szCs w:val="19"/>
        </w:rPr>
      </w:pPr>
      <w:r w:rsidRPr="00046FD0">
        <w:rPr>
          <w:sz w:val="19"/>
          <w:szCs w:val="19"/>
        </w:rPr>
        <w:t>»Este acto administrativo no es necesario cuando el contrato a celebrar es de prestación de servicios profesionales y de apoyo a la gestión, y para los contratos de que tratan los literales (a) y (b) del artículo 2.2.1.2.1.4.3 del presente decreto».</w:t>
      </w:r>
    </w:p>
  </w:footnote>
  <w:footnote w:id="25">
    <w:p w14:paraId="7948FD5C" w14:textId="77777777" w:rsidR="00E92E0B" w:rsidRPr="00046FD0" w:rsidRDefault="00E92E0B" w:rsidP="00E92E0B">
      <w:pPr>
        <w:pStyle w:val="FootnoteText"/>
        <w:jc w:val="both"/>
        <w:rPr>
          <w:sz w:val="19"/>
          <w:szCs w:val="19"/>
        </w:rPr>
      </w:pPr>
    </w:p>
    <w:p w14:paraId="002CAE35"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La norma expresa: «Art. 14. Para el cumplimiento de los fines de la contratación, las entidades estatales al celebrar un contrato:</w:t>
      </w:r>
    </w:p>
    <w:p w14:paraId="4D23DD6D" w14:textId="77777777" w:rsidR="00E92E0B" w:rsidRPr="00046FD0" w:rsidRDefault="00E92E0B" w:rsidP="00E92E0B">
      <w:pPr>
        <w:pStyle w:val="FootnoteText"/>
        <w:ind w:firstLine="709"/>
        <w:jc w:val="both"/>
        <w:rPr>
          <w:sz w:val="19"/>
          <w:szCs w:val="19"/>
        </w:rPr>
      </w:pPr>
      <w:r w:rsidRPr="00046FD0">
        <w:rPr>
          <w:sz w:val="19"/>
          <w:szCs w:val="19"/>
        </w:rPr>
        <w:t>[…]</w:t>
      </w:r>
    </w:p>
    <w:p w14:paraId="73F284F3" w14:textId="77777777" w:rsidR="00E92E0B" w:rsidRPr="00046FD0" w:rsidRDefault="00E92E0B" w:rsidP="00E92E0B">
      <w:pPr>
        <w:pStyle w:val="FootnoteText"/>
        <w:ind w:firstLine="709"/>
        <w:jc w:val="both"/>
        <w:rPr>
          <w:sz w:val="19"/>
          <w:szCs w:val="19"/>
        </w:rPr>
      </w:pPr>
      <w:r w:rsidRPr="00046FD0">
        <w:rPr>
          <w:sz w:val="19"/>
          <w:szCs w:val="19"/>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39E34B26" w14:textId="77777777" w:rsidR="00E92E0B" w:rsidRPr="00046FD0" w:rsidRDefault="00E92E0B" w:rsidP="00E92E0B">
      <w:pPr>
        <w:pStyle w:val="FootnoteText"/>
        <w:ind w:firstLine="709"/>
        <w:jc w:val="both"/>
        <w:rPr>
          <w:sz w:val="19"/>
          <w:szCs w:val="19"/>
        </w:rPr>
      </w:pPr>
      <w:r w:rsidRPr="00046FD0">
        <w:rPr>
          <w:sz w:val="19"/>
          <w:szCs w:val="19"/>
        </w:rPr>
        <w:t>Las entidades estatales podrán pactar estas cláusulas en los contratos de suministro y de prestación de servicios.</w:t>
      </w:r>
    </w:p>
    <w:p w14:paraId="5FC6C7CB" w14:textId="77777777" w:rsidR="00E92E0B" w:rsidRPr="00046FD0" w:rsidRDefault="00E92E0B" w:rsidP="00E92E0B">
      <w:pPr>
        <w:pStyle w:val="FootnoteText"/>
        <w:ind w:firstLine="709"/>
        <w:jc w:val="both"/>
        <w:rPr>
          <w:sz w:val="19"/>
          <w:szCs w:val="19"/>
        </w:rPr>
      </w:pPr>
      <w:r w:rsidRPr="00046FD0">
        <w:rPr>
          <w:sz w:val="19"/>
          <w:szCs w:val="19"/>
        </w:rPr>
        <w:t>[…]».</w:t>
      </w:r>
    </w:p>
  </w:footnote>
  <w:footnote w:id="26">
    <w:p w14:paraId="67EBB287"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La norma dispone: «La liquidación a que se refiere el presente artículo no será obligatoria en los contratos de prestación de servicios profesionales y de apoyo a la gestión».</w:t>
      </w:r>
    </w:p>
  </w:footnote>
  <w:footnote w:id="27">
    <w:p w14:paraId="582CC194"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80B311E" w14:textId="77777777" w:rsidR="00E92E0B" w:rsidRPr="00046FD0" w:rsidRDefault="00E92E0B" w:rsidP="00E92E0B">
      <w:pPr>
        <w:pStyle w:val="FootnoteText"/>
        <w:ind w:firstLine="709"/>
        <w:jc w:val="both"/>
        <w:rPr>
          <w:sz w:val="19"/>
          <w:szCs w:val="19"/>
        </w:rPr>
      </w:pPr>
      <w:r w:rsidRPr="00046FD0">
        <w:rPr>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0682A61" w14:textId="77777777" w:rsidR="00E92E0B" w:rsidRPr="00046FD0" w:rsidRDefault="00E92E0B" w:rsidP="00E92E0B">
      <w:pPr>
        <w:pStyle w:val="FootnoteText"/>
        <w:ind w:firstLine="709"/>
        <w:jc w:val="both"/>
        <w:rPr>
          <w:sz w:val="19"/>
          <w:szCs w:val="19"/>
        </w:rPr>
      </w:pPr>
      <w:r w:rsidRPr="00046FD0">
        <w:rPr>
          <w:sz w:val="19"/>
          <w:szCs w:val="19"/>
        </w:rPr>
        <w:t>[…]».</w:t>
      </w:r>
    </w:p>
  </w:footnote>
  <w:footnote w:id="28">
    <w:p w14:paraId="672ECD50" w14:textId="77777777" w:rsidR="00E92E0B" w:rsidRPr="00046FD0" w:rsidRDefault="00E92E0B" w:rsidP="00E92E0B">
      <w:pPr>
        <w:pStyle w:val="FootnoteText"/>
        <w:ind w:firstLine="709"/>
        <w:jc w:val="both"/>
        <w:rPr>
          <w:sz w:val="19"/>
          <w:szCs w:val="19"/>
        </w:rPr>
      </w:pPr>
      <w:r w:rsidRPr="00046FD0">
        <w:rPr>
          <w:rStyle w:val="FootnoteReference"/>
          <w:sz w:val="19"/>
          <w:szCs w:val="19"/>
        </w:rPr>
        <w:footnoteRef/>
      </w:r>
      <w:r w:rsidRPr="00046FD0">
        <w:rPr>
          <w:sz w:val="19"/>
          <w:szCs w:val="19"/>
        </w:rPr>
        <w:t xml:space="preserve"> 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09875C7E" w14:textId="77777777" w:rsidR="00E92E0B" w:rsidRPr="00046FD0" w:rsidRDefault="00E92E0B" w:rsidP="00E92E0B">
      <w:pPr>
        <w:pStyle w:val="FootnoteText"/>
        <w:ind w:firstLine="709"/>
        <w:jc w:val="both"/>
        <w:rPr>
          <w:sz w:val="19"/>
          <w:szCs w:val="19"/>
        </w:rPr>
      </w:pPr>
    </w:p>
  </w:footnote>
  <w:footnote w:id="29">
    <w:p w14:paraId="28F40CDD" w14:textId="77777777" w:rsidR="00E92E0B" w:rsidRPr="00046FD0" w:rsidRDefault="00E92E0B" w:rsidP="00E92E0B">
      <w:pPr>
        <w:pStyle w:val="FootnoteText"/>
        <w:ind w:firstLine="709"/>
        <w:jc w:val="both"/>
        <w:rPr>
          <w:color w:val="000000" w:themeColor="text1"/>
          <w:sz w:val="19"/>
          <w:szCs w:val="19"/>
        </w:rPr>
      </w:pPr>
      <w:r w:rsidRPr="00046FD0">
        <w:rPr>
          <w:rStyle w:val="FootnoteReference"/>
          <w:color w:val="000000" w:themeColor="text1"/>
          <w:sz w:val="19"/>
          <w:szCs w:val="19"/>
        </w:rPr>
        <w:footnoteRef/>
      </w:r>
      <w:r w:rsidRPr="00046FD0">
        <w:rPr>
          <w:color w:val="000000" w:themeColor="text1"/>
          <w:sz w:val="19"/>
          <w:szCs w:val="19"/>
        </w:rPr>
        <w:t xml:space="preserve"> 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59E51E1" w14:textId="77777777" w:rsidR="00E92E0B" w:rsidRPr="00046FD0" w:rsidRDefault="00E92E0B" w:rsidP="00E92E0B">
      <w:pPr>
        <w:pStyle w:val="FootnoteText"/>
        <w:ind w:firstLine="709"/>
        <w:jc w:val="both"/>
        <w:rPr>
          <w:color w:val="000000" w:themeColor="text1"/>
          <w:sz w:val="19"/>
          <w:szCs w:val="19"/>
        </w:rPr>
      </w:pPr>
      <w:r w:rsidRPr="00046FD0">
        <w:rPr>
          <w:color w:val="000000" w:themeColor="text1"/>
          <w:sz w:val="19"/>
          <w:szCs w:val="19"/>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5B7E52E" w14:textId="77777777" w:rsidR="00E92E0B" w:rsidRPr="00046FD0" w:rsidRDefault="00E92E0B" w:rsidP="00E92E0B">
      <w:pPr>
        <w:pStyle w:val="FootnoteText"/>
        <w:ind w:firstLine="709"/>
        <w:jc w:val="both"/>
        <w:rPr>
          <w:color w:val="000000" w:themeColor="text1"/>
          <w:sz w:val="19"/>
          <w:szCs w:val="19"/>
        </w:rPr>
      </w:pPr>
      <w:r w:rsidRPr="00046FD0">
        <w:rPr>
          <w:color w:val="000000" w:themeColor="text1"/>
          <w:sz w:val="19"/>
          <w:szCs w:val="19"/>
        </w:rPr>
        <w:t>»La Entidad Estatal, para la contratación de trabajos artísticos que solamente puedan en</w:t>
      </w:r>
      <w:r w:rsidRPr="00046FD0">
        <w:rPr>
          <w:color w:val="000000" w:themeColor="text1"/>
          <w:sz w:val="19"/>
          <w:szCs w:val="19"/>
        </w:rPr>
        <w:softHyphen/>
        <w:t>comendarse a determinadas personas naturales, debe justificar esta situación en los estudios y documentos previos».</w:t>
      </w:r>
    </w:p>
    <w:p w14:paraId="4ADFD147" w14:textId="77777777" w:rsidR="00E92E0B" w:rsidRPr="00046FD0" w:rsidRDefault="00E92E0B" w:rsidP="00E92E0B">
      <w:pPr>
        <w:pStyle w:val="FootnoteText"/>
        <w:ind w:firstLine="709"/>
        <w:jc w:val="both"/>
        <w:rPr>
          <w:color w:val="000000" w:themeColor="text1"/>
          <w:sz w:val="19"/>
          <w:szCs w:val="19"/>
        </w:rPr>
      </w:pPr>
    </w:p>
  </w:footnote>
  <w:footnote w:id="30">
    <w:p w14:paraId="076C7A25" w14:textId="77777777" w:rsidR="00E92E0B" w:rsidRPr="00046FD0" w:rsidRDefault="00E92E0B" w:rsidP="00E92E0B">
      <w:pPr>
        <w:pStyle w:val="FootnoteText"/>
        <w:ind w:firstLine="709"/>
        <w:jc w:val="both"/>
        <w:rPr>
          <w:color w:val="000000" w:themeColor="text1"/>
          <w:sz w:val="19"/>
          <w:szCs w:val="19"/>
        </w:rPr>
      </w:pPr>
      <w:r w:rsidRPr="00046FD0">
        <w:rPr>
          <w:rStyle w:val="FootnoteReference"/>
          <w:color w:val="000000" w:themeColor="text1"/>
          <w:sz w:val="19"/>
          <w:szCs w:val="19"/>
        </w:rPr>
        <w:footnoteRef/>
      </w:r>
      <w:r w:rsidRPr="00046FD0">
        <w:rPr>
          <w:color w:val="000000" w:themeColor="text1"/>
          <w:sz w:val="19"/>
          <w:szCs w:val="19"/>
        </w:rPr>
        <w:t xml:space="preserve"> Consejo de Estado. Sección Tercera. Subsección C. Sentencia de Unificación del 2 de diciembre de 2013. Exp. 41.719. C.P. Jaime Orlando Santofimio Gamboa.</w:t>
      </w:r>
    </w:p>
    <w:p w14:paraId="67969FC0" w14:textId="77777777" w:rsidR="00E92E0B" w:rsidRPr="00046FD0" w:rsidRDefault="00E92E0B" w:rsidP="00E92E0B">
      <w:pPr>
        <w:pStyle w:val="FootnoteText"/>
        <w:ind w:firstLine="709"/>
        <w:jc w:val="both"/>
        <w:rPr>
          <w:color w:val="000000" w:themeColor="text1"/>
          <w:sz w:val="19"/>
          <w:szCs w:val="19"/>
        </w:rPr>
      </w:pPr>
    </w:p>
  </w:footnote>
  <w:footnote w:id="31">
    <w:p w14:paraId="187B7F70" w14:textId="77777777" w:rsidR="00E92E0B" w:rsidRPr="00046FD0" w:rsidRDefault="00E92E0B" w:rsidP="00E92E0B">
      <w:pPr>
        <w:pStyle w:val="FootnoteText"/>
        <w:ind w:firstLine="709"/>
        <w:jc w:val="both"/>
        <w:rPr>
          <w:color w:val="000000" w:themeColor="text1"/>
          <w:sz w:val="19"/>
          <w:szCs w:val="19"/>
        </w:rPr>
      </w:pPr>
      <w:r w:rsidRPr="00046FD0">
        <w:rPr>
          <w:rStyle w:val="FootnoteReference"/>
          <w:color w:val="000000" w:themeColor="text1"/>
          <w:sz w:val="19"/>
          <w:szCs w:val="19"/>
        </w:rPr>
        <w:footnoteRef/>
      </w:r>
      <w:r w:rsidRPr="00046FD0">
        <w:rPr>
          <w:color w:val="000000" w:themeColor="text1"/>
          <w:sz w:val="19"/>
          <w:szCs w:val="19"/>
        </w:rPr>
        <w:t xml:space="preserve"> </w:t>
      </w:r>
      <w:r w:rsidRPr="00046FD0">
        <w:rPr>
          <w:i/>
          <w:iCs/>
          <w:color w:val="000000" w:themeColor="text1"/>
          <w:sz w:val="19"/>
          <w:szCs w:val="19"/>
        </w:rPr>
        <w:t>Ibíd</w:t>
      </w:r>
      <w:r w:rsidRPr="00046FD0">
        <w:rPr>
          <w:color w:val="000000" w:themeColor="text1"/>
          <w:sz w:val="19"/>
          <w:szCs w:val="19"/>
        </w:rPr>
        <w:t>.</w:t>
      </w:r>
    </w:p>
    <w:p w14:paraId="54D4BABC" w14:textId="77777777" w:rsidR="00E92E0B" w:rsidRPr="00046FD0" w:rsidRDefault="00E92E0B" w:rsidP="00E92E0B">
      <w:pPr>
        <w:pStyle w:val="FootnoteText"/>
        <w:ind w:firstLine="709"/>
        <w:jc w:val="both"/>
        <w:rPr>
          <w:color w:val="000000" w:themeColor="text1"/>
          <w:sz w:val="19"/>
          <w:szCs w:val="19"/>
        </w:rPr>
      </w:pPr>
    </w:p>
  </w:footnote>
  <w:footnote w:id="32">
    <w:p w14:paraId="000CB058" w14:textId="77777777" w:rsidR="00E92E0B" w:rsidRDefault="00E92E0B" w:rsidP="00E92E0B">
      <w:pPr>
        <w:pStyle w:val="FootnoteText"/>
        <w:ind w:firstLine="709"/>
        <w:jc w:val="both"/>
        <w:rPr>
          <w:color w:val="000000" w:themeColor="text1"/>
          <w:sz w:val="19"/>
          <w:szCs w:val="19"/>
        </w:rPr>
      </w:pPr>
      <w:r w:rsidRPr="00046FD0">
        <w:rPr>
          <w:rStyle w:val="FootnoteReference"/>
          <w:color w:val="000000" w:themeColor="text1"/>
          <w:sz w:val="19"/>
          <w:szCs w:val="19"/>
        </w:rPr>
        <w:footnoteRef/>
      </w:r>
      <w:r w:rsidRPr="00046FD0">
        <w:rPr>
          <w:color w:val="000000" w:themeColor="text1"/>
          <w:sz w:val="19"/>
          <w:szCs w:val="19"/>
        </w:rPr>
        <w:t xml:space="preserve"> </w:t>
      </w:r>
      <w:r w:rsidRPr="00046FD0">
        <w:rPr>
          <w:i/>
          <w:iCs/>
          <w:color w:val="000000" w:themeColor="text1"/>
          <w:sz w:val="19"/>
          <w:szCs w:val="19"/>
        </w:rPr>
        <w:t>Ibíd</w:t>
      </w:r>
      <w:r w:rsidRPr="00046FD0">
        <w:rPr>
          <w:color w:val="000000" w:themeColor="text1"/>
          <w:sz w:val="19"/>
          <w:szCs w:val="19"/>
        </w:rPr>
        <w:t>.</w:t>
      </w:r>
    </w:p>
    <w:p w14:paraId="01D5BE9E" w14:textId="77777777" w:rsidR="00E92E0B" w:rsidRPr="00046FD0" w:rsidRDefault="00E92E0B" w:rsidP="00E92E0B">
      <w:pPr>
        <w:pStyle w:val="FootnoteText"/>
        <w:ind w:firstLine="709"/>
        <w:jc w:val="both"/>
        <w:rPr>
          <w:color w:val="000000" w:themeColor="text1"/>
          <w:sz w:val="19"/>
          <w:szCs w:val="19"/>
        </w:rPr>
      </w:pPr>
    </w:p>
  </w:footnote>
  <w:footnote w:id="33">
    <w:p w14:paraId="7FFE7209" w14:textId="77777777" w:rsidR="00E92E0B" w:rsidRPr="007C17EA" w:rsidRDefault="00E92E0B" w:rsidP="00E92E0B">
      <w:pPr>
        <w:pStyle w:val="FootnoteText"/>
        <w:ind w:firstLine="709"/>
        <w:jc w:val="both"/>
        <w:rPr>
          <w:color w:val="000000" w:themeColor="text1"/>
          <w:sz w:val="19"/>
          <w:szCs w:val="19"/>
        </w:rPr>
      </w:pPr>
      <w:r w:rsidRPr="007C17EA">
        <w:rPr>
          <w:rStyle w:val="FootnoteReference"/>
          <w:color w:val="000000" w:themeColor="text1"/>
          <w:sz w:val="19"/>
          <w:szCs w:val="19"/>
        </w:rPr>
        <w:footnoteRef/>
      </w:r>
      <w:r w:rsidRPr="007C17EA">
        <w:rPr>
          <w:color w:val="000000" w:themeColor="text1"/>
          <w:sz w:val="19"/>
          <w:szCs w:val="19"/>
        </w:rPr>
        <w:t xml:space="preserve"> Así lo ha reconocido la doctrina: «Por otra parte, la reglamentación de la prestación de servicios comprende una paleta normativa que busca limitar la tergiversación de este tipo de contratos en beneficio de las </w:t>
      </w:r>
      <w:r w:rsidRPr="007C17EA">
        <w:rPr>
          <w:i/>
          <w:color w:val="000000" w:themeColor="text1"/>
          <w:sz w:val="19"/>
          <w:szCs w:val="19"/>
        </w:rPr>
        <w:t>nóminas paralelas</w:t>
      </w:r>
      <w:r w:rsidRPr="007C17EA">
        <w:rPr>
          <w:color w:val="000000" w:themeColor="text1"/>
          <w:sz w:val="19"/>
          <w:szCs w:val="19"/>
        </w:rPr>
        <w:t>, como práctica de substitución de los empleos públicos por prestadores de servicios, y las sanciones disciplinarias por entregar a contratistas el ejercicio permanente de funciones administrativas, que implican ejercicio de prerrogativas de poder público, complementadas en la responsabilidad fiscal y personal de los funcionarios» (BENAVIDES, José Luis. Contrato de prestación de servicios. Difícil delimitación frente al contrato realidad. En: Contratos público. Estudios. Bogotá: Universidad Externado de Colombia, 2014. pp. 311-312).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CC29" w14:textId="77777777" w:rsidR="00B80D63" w:rsidRDefault="00B80D63" w:rsidP="006505CB">
    <w:pPr>
      <w:rPr>
        <w:rFonts w:ascii="Geomanist Bold" w:hAnsi="Geomanist Bold"/>
        <w:color w:val="002060"/>
      </w:rPr>
    </w:pPr>
  </w:p>
  <w:p w14:paraId="61D8C171" w14:textId="24C646CC" w:rsidR="00712B28" w:rsidRDefault="00F3129C" w:rsidP="006505CB">
    <w:pPr>
      <w:rPr>
        <w:rFonts w:ascii="Geomanist Bold" w:hAnsi="Geomanist Bold"/>
        <w:color w:val="002060"/>
      </w:rPr>
    </w:pPr>
    <w:r w:rsidRPr="008614E5">
      <w:rPr>
        <w:rFonts w:ascii="Geomanist Bold" w:hAnsi="Geomanist Bold"/>
        <w:color w:val="002060"/>
      </w:rPr>
      <w:t>FORMATO PQRSD</w:t>
    </w:r>
  </w:p>
  <w:p w14:paraId="6813E419" w14:textId="389E00B1" w:rsidR="006505CB" w:rsidRPr="003F58A1" w:rsidRDefault="00D133D4" w:rsidP="006505CB">
    <w:pPr>
      <w:rPr>
        <w:rFonts w:ascii="Geomanist Bold" w:hAnsi="Geomanist Bold"/>
        <w:color w:val="002060"/>
      </w:rPr>
    </w:pPr>
    <w:r w:rsidRPr="008614E5">
      <w:rPr>
        <w:rFonts w:eastAsia="Arial Nova" w:cs="Arial Nova"/>
        <w:noProof/>
        <w:lang w:val="en-US"/>
      </w:rPr>
      <w:drawing>
        <wp:anchor distT="0" distB="0" distL="0" distR="0" simplePos="0" relativeHeight="251658240" behindDoc="1" locked="0" layoutInCell="1" hidden="0" allowOverlap="1" wp14:anchorId="28BFC413" wp14:editId="5FD1D222">
          <wp:simplePos x="0" y="0"/>
          <wp:positionH relativeFrom="margin">
            <wp:align>right</wp:align>
          </wp:positionH>
          <wp:positionV relativeFrom="paragraph">
            <wp:posOffset>6985</wp:posOffset>
          </wp:positionV>
          <wp:extent cx="1657350" cy="676275"/>
          <wp:effectExtent l="0" t="0" r="0" b="9525"/>
          <wp:wrapNone/>
          <wp:docPr id="9" name="Picture 9"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6505CB" w:rsidRPr="00367110" w14:paraId="5857935C" w14:textId="77777777" w:rsidTr="006505CB">
      <w:tc>
        <w:tcPr>
          <w:tcW w:w="6756" w:type="dxa"/>
        </w:tcPr>
        <w:p w14:paraId="5E228DAA" w14:textId="77777777" w:rsidR="006505CB" w:rsidRPr="006478E3" w:rsidRDefault="00D133D4" w:rsidP="006505CB">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6EA192E3" w14:textId="77777777" w:rsidR="006505CB" w:rsidRPr="0057618A" w:rsidRDefault="00D133D4" w:rsidP="006505CB">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78D1064" w14:textId="77777777" w:rsidR="006505CB" w:rsidRPr="00367110" w:rsidRDefault="006505CB" w:rsidP="006505CB">
          <w:pPr>
            <w:jc w:val="right"/>
            <w:rPr>
              <w:rFonts w:eastAsia="Arial Nova" w:cs="Arial Nova"/>
              <w:lang w:eastAsia="es-CO"/>
            </w:rPr>
          </w:pPr>
        </w:p>
      </w:tc>
      <w:tc>
        <w:tcPr>
          <w:tcW w:w="1324" w:type="dxa"/>
        </w:tcPr>
        <w:p w14:paraId="09BAA4F9" w14:textId="77777777" w:rsidR="006505CB" w:rsidRPr="00367110" w:rsidRDefault="006505CB" w:rsidP="006505CB">
          <w:pPr>
            <w:jc w:val="right"/>
            <w:rPr>
              <w:rFonts w:eastAsia="Arial Nova" w:cs="Arial Nova"/>
              <w:lang w:eastAsia="es-CO"/>
            </w:rPr>
          </w:pPr>
        </w:p>
      </w:tc>
    </w:tr>
  </w:tbl>
  <w:p w14:paraId="32BD2563" w14:textId="77777777" w:rsidR="006505CB" w:rsidRPr="00906B3C" w:rsidRDefault="00D133D4" w:rsidP="006505CB">
    <w:pPr>
      <w:pStyle w:val="Header"/>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58241" behindDoc="1" locked="0" layoutInCell="1" allowOverlap="1" wp14:anchorId="0F775C43" wp14:editId="711B3E1E">
          <wp:simplePos x="0" y="0"/>
          <wp:positionH relativeFrom="column">
            <wp:posOffset>62866</wp:posOffset>
          </wp:positionH>
          <wp:positionV relativeFrom="paragraph">
            <wp:posOffset>1905</wp:posOffset>
          </wp:positionV>
          <wp:extent cx="3238500" cy="7620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A69ACB2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3E565D"/>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528C0398"/>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5FDE1768"/>
    <w:multiLevelType w:val="multilevel"/>
    <w:tmpl w:val="5530801A"/>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71C0349E"/>
    <w:multiLevelType w:val="hybridMultilevel"/>
    <w:tmpl w:val="A3547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165310">
    <w:abstractNumId w:val="1"/>
  </w:num>
  <w:num w:numId="2" w16cid:durableId="12901595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511012">
    <w:abstractNumId w:val="3"/>
  </w:num>
  <w:num w:numId="4" w16cid:durableId="1034236562">
    <w:abstractNumId w:val="5"/>
  </w:num>
  <w:num w:numId="5" w16cid:durableId="585458143">
    <w:abstractNumId w:val="4"/>
  </w:num>
  <w:num w:numId="6" w16cid:durableId="12971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4B"/>
    <w:rsid w:val="00015FB9"/>
    <w:rsid w:val="00020A38"/>
    <w:rsid w:val="000250AD"/>
    <w:rsid w:val="000354F1"/>
    <w:rsid w:val="00042124"/>
    <w:rsid w:val="00045B0C"/>
    <w:rsid w:val="0007502A"/>
    <w:rsid w:val="00090325"/>
    <w:rsid w:val="00092B28"/>
    <w:rsid w:val="000A24C4"/>
    <w:rsid w:val="000B0B66"/>
    <w:rsid w:val="000B4DFE"/>
    <w:rsid w:val="000C4829"/>
    <w:rsid w:val="000C7E6D"/>
    <w:rsid w:val="000E7751"/>
    <w:rsid w:val="00117F45"/>
    <w:rsid w:val="00121EA0"/>
    <w:rsid w:val="00126B96"/>
    <w:rsid w:val="00154315"/>
    <w:rsid w:val="00155219"/>
    <w:rsid w:val="001579E5"/>
    <w:rsid w:val="00157AB6"/>
    <w:rsid w:val="0016786B"/>
    <w:rsid w:val="0017184B"/>
    <w:rsid w:val="001A1831"/>
    <w:rsid w:val="001C029A"/>
    <w:rsid w:val="001D31E6"/>
    <w:rsid w:val="001E7E6E"/>
    <w:rsid w:val="001F21EB"/>
    <w:rsid w:val="001F238C"/>
    <w:rsid w:val="001F3152"/>
    <w:rsid w:val="001F333E"/>
    <w:rsid w:val="001F3549"/>
    <w:rsid w:val="002155A0"/>
    <w:rsid w:val="00223B6A"/>
    <w:rsid w:val="002363B4"/>
    <w:rsid w:val="00236E9F"/>
    <w:rsid w:val="002532AD"/>
    <w:rsid w:val="00276738"/>
    <w:rsid w:val="002B0A77"/>
    <w:rsid w:val="002B7B3C"/>
    <w:rsid w:val="002C3715"/>
    <w:rsid w:val="002C50BB"/>
    <w:rsid w:val="002C64BF"/>
    <w:rsid w:val="002D4666"/>
    <w:rsid w:val="002E6DC1"/>
    <w:rsid w:val="00315259"/>
    <w:rsid w:val="00324EAE"/>
    <w:rsid w:val="0035345A"/>
    <w:rsid w:val="00357DA7"/>
    <w:rsid w:val="00360EA0"/>
    <w:rsid w:val="00372329"/>
    <w:rsid w:val="00393621"/>
    <w:rsid w:val="003C797B"/>
    <w:rsid w:val="003C7A48"/>
    <w:rsid w:val="003E15CB"/>
    <w:rsid w:val="003E19E4"/>
    <w:rsid w:val="003E2D33"/>
    <w:rsid w:val="003F3662"/>
    <w:rsid w:val="0040282C"/>
    <w:rsid w:val="00424979"/>
    <w:rsid w:val="0043584B"/>
    <w:rsid w:val="004367EF"/>
    <w:rsid w:val="00443098"/>
    <w:rsid w:val="00463163"/>
    <w:rsid w:val="00466AA8"/>
    <w:rsid w:val="00473C15"/>
    <w:rsid w:val="00487310"/>
    <w:rsid w:val="0048782F"/>
    <w:rsid w:val="0049219F"/>
    <w:rsid w:val="00495C45"/>
    <w:rsid w:val="004A6431"/>
    <w:rsid w:val="004A72D5"/>
    <w:rsid w:val="004E3054"/>
    <w:rsid w:val="004E651F"/>
    <w:rsid w:val="004E6691"/>
    <w:rsid w:val="0050191B"/>
    <w:rsid w:val="0050715F"/>
    <w:rsid w:val="005072CE"/>
    <w:rsid w:val="0051113A"/>
    <w:rsid w:val="00516F39"/>
    <w:rsid w:val="005241D8"/>
    <w:rsid w:val="005466D1"/>
    <w:rsid w:val="0055219E"/>
    <w:rsid w:val="00555A74"/>
    <w:rsid w:val="00556B9D"/>
    <w:rsid w:val="00567B77"/>
    <w:rsid w:val="0057467A"/>
    <w:rsid w:val="005750E5"/>
    <w:rsid w:val="00575269"/>
    <w:rsid w:val="005D6EAF"/>
    <w:rsid w:val="005D7C96"/>
    <w:rsid w:val="005E44B2"/>
    <w:rsid w:val="005E72B5"/>
    <w:rsid w:val="005F233E"/>
    <w:rsid w:val="005F4879"/>
    <w:rsid w:val="005F6118"/>
    <w:rsid w:val="0060640E"/>
    <w:rsid w:val="00612CB7"/>
    <w:rsid w:val="00617D22"/>
    <w:rsid w:val="00620AF8"/>
    <w:rsid w:val="00620DC6"/>
    <w:rsid w:val="00633C03"/>
    <w:rsid w:val="00634323"/>
    <w:rsid w:val="00637BA6"/>
    <w:rsid w:val="006505CB"/>
    <w:rsid w:val="00651A7A"/>
    <w:rsid w:val="00652BCC"/>
    <w:rsid w:val="006808E3"/>
    <w:rsid w:val="006849E3"/>
    <w:rsid w:val="006911B6"/>
    <w:rsid w:val="00692F96"/>
    <w:rsid w:val="006A5C6C"/>
    <w:rsid w:val="006A67C9"/>
    <w:rsid w:val="006B0BC6"/>
    <w:rsid w:val="006B7C2E"/>
    <w:rsid w:val="006B7FA1"/>
    <w:rsid w:val="006C2EB8"/>
    <w:rsid w:val="006C6AEE"/>
    <w:rsid w:val="006D4395"/>
    <w:rsid w:val="006E00B8"/>
    <w:rsid w:val="006F57E3"/>
    <w:rsid w:val="00712B28"/>
    <w:rsid w:val="007173AE"/>
    <w:rsid w:val="00720DAD"/>
    <w:rsid w:val="00736939"/>
    <w:rsid w:val="00745357"/>
    <w:rsid w:val="00747F7F"/>
    <w:rsid w:val="0075544F"/>
    <w:rsid w:val="0075787C"/>
    <w:rsid w:val="00765DDA"/>
    <w:rsid w:val="00785EEF"/>
    <w:rsid w:val="007B6B6E"/>
    <w:rsid w:val="007E04D1"/>
    <w:rsid w:val="007E564A"/>
    <w:rsid w:val="007E7A5B"/>
    <w:rsid w:val="007F0F3F"/>
    <w:rsid w:val="007F5423"/>
    <w:rsid w:val="0085671C"/>
    <w:rsid w:val="00870F97"/>
    <w:rsid w:val="0087241B"/>
    <w:rsid w:val="00874106"/>
    <w:rsid w:val="00883954"/>
    <w:rsid w:val="008976EF"/>
    <w:rsid w:val="008A495E"/>
    <w:rsid w:val="008A4AD8"/>
    <w:rsid w:val="008B3F63"/>
    <w:rsid w:val="008D55FE"/>
    <w:rsid w:val="008E4438"/>
    <w:rsid w:val="008E7C12"/>
    <w:rsid w:val="008F556A"/>
    <w:rsid w:val="008F76EE"/>
    <w:rsid w:val="00910FD6"/>
    <w:rsid w:val="009132B2"/>
    <w:rsid w:val="00914BC0"/>
    <w:rsid w:val="00916E63"/>
    <w:rsid w:val="00956731"/>
    <w:rsid w:val="009611D7"/>
    <w:rsid w:val="009633F9"/>
    <w:rsid w:val="009657FD"/>
    <w:rsid w:val="00965EC9"/>
    <w:rsid w:val="0096799C"/>
    <w:rsid w:val="00985376"/>
    <w:rsid w:val="009A0393"/>
    <w:rsid w:val="009A2040"/>
    <w:rsid w:val="009A7616"/>
    <w:rsid w:val="009B286D"/>
    <w:rsid w:val="009B5AF6"/>
    <w:rsid w:val="009B7FFC"/>
    <w:rsid w:val="009D1B4A"/>
    <w:rsid w:val="009D2F25"/>
    <w:rsid w:val="009F4E9B"/>
    <w:rsid w:val="00A032E7"/>
    <w:rsid w:val="00A037C9"/>
    <w:rsid w:val="00A2548E"/>
    <w:rsid w:val="00A2697F"/>
    <w:rsid w:val="00A30987"/>
    <w:rsid w:val="00A33EBD"/>
    <w:rsid w:val="00A347E4"/>
    <w:rsid w:val="00A405FD"/>
    <w:rsid w:val="00A41F26"/>
    <w:rsid w:val="00A62E8F"/>
    <w:rsid w:val="00A65F44"/>
    <w:rsid w:val="00A66480"/>
    <w:rsid w:val="00A83A79"/>
    <w:rsid w:val="00A8686D"/>
    <w:rsid w:val="00AA48CD"/>
    <w:rsid w:val="00AB4E64"/>
    <w:rsid w:val="00AB690B"/>
    <w:rsid w:val="00AC3889"/>
    <w:rsid w:val="00AC591F"/>
    <w:rsid w:val="00AD1281"/>
    <w:rsid w:val="00AD1F35"/>
    <w:rsid w:val="00AD4670"/>
    <w:rsid w:val="00AE4589"/>
    <w:rsid w:val="00AE5E58"/>
    <w:rsid w:val="00AF1DDE"/>
    <w:rsid w:val="00AF2D89"/>
    <w:rsid w:val="00AF4914"/>
    <w:rsid w:val="00B07756"/>
    <w:rsid w:val="00B1420C"/>
    <w:rsid w:val="00B16D17"/>
    <w:rsid w:val="00B23FED"/>
    <w:rsid w:val="00B244B4"/>
    <w:rsid w:val="00B353AD"/>
    <w:rsid w:val="00B43C80"/>
    <w:rsid w:val="00B45F8F"/>
    <w:rsid w:val="00B57F3D"/>
    <w:rsid w:val="00B80D63"/>
    <w:rsid w:val="00B80DC1"/>
    <w:rsid w:val="00B815AA"/>
    <w:rsid w:val="00B875F3"/>
    <w:rsid w:val="00BA1EB7"/>
    <w:rsid w:val="00BB06A0"/>
    <w:rsid w:val="00BB0C7F"/>
    <w:rsid w:val="00BB3089"/>
    <w:rsid w:val="00BC28C1"/>
    <w:rsid w:val="00BD2D93"/>
    <w:rsid w:val="00BD50C8"/>
    <w:rsid w:val="00BE00D9"/>
    <w:rsid w:val="00BE1C41"/>
    <w:rsid w:val="00BF32DC"/>
    <w:rsid w:val="00C01EC7"/>
    <w:rsid w:val="00C20A57"/>
    <w:rsid w:val="00C2132D"/>
    <w:rsid w:val="00C31AF6"/>
    <w:rsid w:val="00C448F3"/>
    <w:rsid w:val="00C45C61"/>
    <w:rsid w:val="00C47D11"/>
    <w:rsid w:val="00C551C5"/>
    <w:rsid w:val="00C73D62"/>
    <w:rsid w:val="00C7455E"/>
    <w:rsid w:val="00C857A8"/>
    <w:rsid w:val="00C8582E"/>
    <w:rsid w:val="00C972E0"/>
    <w:rsid w:val="00CA10CC"/>
    <w:rsid w:val="00CA3AE5"/>
    <w:rsid w:val="00CA6FEC"/>
    <w:rsid w:val="00CB0E0C"/>
    <w:rsid w:val="00CB124D"/>
    <w:rsid w:val="00CD3794"/>
    <w:rsid w:val="00CE04D9"/>
    <w:rsid w:val="00D062B9"/>
    <w:rsid w:val="00D11888"/>
    <w:rsid w:val="00D133D4"/>
    <w:rsid w:val="00D308C8"/>
    <w:rsid w:val="00D47628"/>
    <w:rsid w:val="00D477DE"/>
    <w:rsid w:val="00D65CDF"/>
    <w:rsid w:val="00D80A29"/>
    <w:rsid w:val="00D81118"/>
    <w:rsid w:val="00D95564"/>
    <w:rsid w:val="00DE48A5"/>
    <w:rsid w:val="00DE7291"/>
    <w:rsid w:val="00DE74D9"/>
    <w:rsid w:val="00E35F9F"/>
    <w:rsid w:val="00E37F88"/>
    <w:rsid w:val="00E4092B"/>
    <w:rsid w:val="00E47148"/>
    <w:rsid w:val="00E53418"/>
    <w:rsid w:val="00E66C48"/>
    <w:rsid w:val="00E91968"/>
    <w:rsid w:val="00E92E0B"/>
    <w:rsid w:val="00E957A2"/>
    <w:rsid w:val="00E96CEC"/>
    <w:rsid w:val="00EA69ED"/>
    <w:rsid w:val="00EB7BA8"/>
    <w:rsid w:val="00EC7431"/>
    <w:rsid w:val="00ED1774"/>
    <w:rsid w:val="00ED2C50"/>
    <w:rsid w:val="00ED3B50"/>
    <w:rsid w:val="00EE519E"/>
    <w:rsid w:val="00EE6C29"/>
    <w:rsid w:val="00EF5A4E"/>
    <w:rsid w:val="00F06C20"/>
    <w:rsid w:val="00F3129C"/>
    <w:rsid w:val="00F34E7D"/>
    <w:rsid w:val="00F4194E"/>
    <w:rsid w:val="00F425A1"/>
    <w:rsid w:val="00F43D7C"/>
    <w:rsid w:val="00F47791"/>
    <w:rsid w:val="00F53F78"/>
    <w:rsid w:val="00F55D6A"/>
    <w:rsid w:val="00F62449"/>
    <w:rsid w:val="00F6276E"/>
    <w:rsid w:val="00F636DB"/>
    <w:rsid w:val="00F736AE"/>
    <w:rsid w:val="00F83D50"/>
    <w:rsid w:val="00F87A2B"/>
    <w:rsid w:val="00F910E4"/>
    <w:rsid w:val="00F96780"/>
    <w:rsid w:val="00FA2ED1"/>
    <w:rsid w:val="00FA3FC8"/>
    <w:rsid w:val="00FD0C67"/>
    <w:rsid w:val="00FD0CC1"/>
    <w:rsid w:val="00FD157E"/>
    <w:rsid w:val="00FD1A66"/>
    <w:rsid w:val="00FD7217"/>
    <w:rsid w:val="00FD7F87"/>
    <w:rsid w:val="00FE0EED"/>
    <w:rsid w:val="00FE2A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6E9B"/>
  <w15:chartTrackingRefBased/>
  <w15:docId w15:val="{53F883B9-C987-4CAD-8706-66E472D7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B9"/>
    <w:rPr>
      <w:rFonts w:ascii="Times New Roman" w:eastAsia="Times New Roman" w:hAnsi="Times New Roman" w:cs="Times New Roman"/>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84B"/>
    <w:pPr>
      <w:tabs>
        <w:tab w:val="center" w:pos="4419"/>
        <w:tab w:val="right" w:pos="8838"/>
      </w:tabs>
      <w:spacing w:after="200" w:line="276" w:lineRule="auto"/>
      <w:jc w:val="both"/>
    </w:pPr>
    <w:rPr>
      <w:rFonts w:asciiTheme="minorHAnsi" w:eastAsiaTheme="minorHAnsi" w:hAnsiTheme="minorHAnsi" w:cstheme="minorBidi"/>
      <w:szCs w:val="22"/>
      <w:lang w:val="es-MX" w:eastAsia="en-US"/>
    </w:rPr>
  </w:style>
  <w:style w:type="character" w:customStyle="1" w:styleId="FooterChar">
    <w:name w:val="Footer Char"/>
    <w:basedOn w:val="DefaultParagraphFont"/>
    <w:link w:val="Footer"/>
    <w:uiPriority w:val="99"/>
    <w:rsid w:val="0043584B"/>
    <w:rPr>
      <w:szCs w:val="22"/>
      <w:lang w:val="es-MX"/>
    </w:rPr>
  </w:style>
  <w:style w:type="paragraph" w:styleId="Header">
    <w:name w:val="header"/>
    <w:basedOn w:val="Normal"/>
    <w:link w:val="HeaderChar"/>
    <w:uiPriority w:val="99"/>
    <w:unhideWhenUsed/>
    <w:rsid w:val="0043584B"/>
    <w:pPr>
      <w:tabs>
        <w:tab w:val="center" w:pos="4252"/>
        <w:tab w:val="right" w:pos="8504"/>
      </w:tabs>
      <w:spacing w:after="200" w:line="276" w:lineRule="auto"/>
      <w:jc w:val="both"/>
    </w:pPr>
    <w:rPr>
      <w:rFonts w:asciiTheme="minorHAnsi" w:eastAsiaTheme="minorHAnsi" w:hAnsiTheme="minorHAnsi" w:cstheme="minorBidi"/>
      <w:szCs w:val="22"/>
      <w:lang w:val="es-MX" w:eastAsia="en-US"/>
    </w:rPr>
  </w:style>
  <w:style w:type="character" w:customStyle="1" w:styleId="HeaderChar">
    <w:name w:val="Header Char"/>
    <w:basedOn w:val="DefaultParagraphFont"/>
    <w:link w:val="Header"/>
    <w:uiPriority w:val="99"/>
    <w:rsid w:val="0043584B"/>
    <w:rPr>
      <w:szCs w:val="22"/>
      <w:lang w:val="es-MX"/>
    </w:rPr>
  </w:style>
  <w:style w:type="table" w:styleId="TableGrid">
    <w:name w:val="Table Grid"/>
    <w:basedOn w:val="TableNormal"/>
    <w:uiPriority w:val="59"/>
    <w:qFormat/>
    <w:rsid w:val="0043584B"/>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3584B"/>
    <w:pPr>
      <w:spacing w:before="100" w:beforeAutospacing="1" w:after="100" w:afterAutospacing="1" w:line="276" w:lineRule="auto"/>
      <w:jc w:val="both"/>
    </w:pPr>
    <w:rPr>
      <w:lang w:eastAsia="es-CO"/>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Re"/>
    <w:basedOn w:val="DefaultParagraphFont"/>
    <w:link w:val="Appelnotedebasde"/>
    <w:uiPriority w:val="99"/>
    <w:unhideWhenUsed/>
    <w:qFormat/>
    <w:rsid w:val="0043584B"/>
    <w:rPr>
      <w:vertAlign w:val="superscript"/>
    </w:rPr>
  </w:style>
  <w:style w:type="paragraph" w:customStyle="1" w:styleId="Appelnotedebasde">
    <w:name w:val="Appel note de bas de..."/>
    <w:basedOn w:val="Normal"/>
    <w:link w:val="FootnoteReference"/>
    <w:uiPriority w:val="99"/>
    <w:rsid w:val="0043584B"/>
    <w:pPr>
      <w:spacing w:after="160" w:line="240" w:lineRule="exact"/>
      <w:jc w:val="both"/>
    </w:pPr>
    <w:rPr>
      <w:rFonts w:asciiTheme="minorHAnsi" w:eastAsiaTheme="minorHAnsi" w:hAnsiTheme="minorHAnsi" w:cstheme="minorBidi"/>
      <w:vertAlign w:val="superscript"/>
      <w:lang w:eastAsia="en-US"/>
    </w:rPr>
  </w:style>
  <w:style w:type="character" w:customStyle="1" w:styleId="NormalWebChar">
    <w:name w:val="Normal (Web) Char"/>
    <w:link w:val="NormalWeb"/>
    <w:uiPriority w:val="99"/>
    <w:locked/>
    <w:rsid w:val="0043584B"/>
    <w:rPr>
      <w:rFonts w:ascii="Times New Roman" w:eastAsia="Times New Roman" w:hAnsi="Times New Roman" w:cs="Times New Roman"/>
      <w:lang w:eastAsia="es-CO"/>
    </w:rPr>
  </w:style>
  <w:style w:type="table" w:customStyle="1" w:styleId="Tablaconcuadrcula1">
    <w:name w:val="Tabla con cuadrícula1"/>
    <w:basedOn w:val="TableNormal"/>
    <w:next w:val="TableGrid"/>
    <w:uiPriority w:val="39"/>
    <w:rsid w:val="004358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43584B"/>
    <w:pPr>
      <w:ind w:left="720"/>
      <w:contextualSpacing/>
    </w:pPr>
    <w:rPr>
      <w:rFonts w:asciiTheme="minorHAnsi" w:eastAsiaTheme="minorHAnsi" w:hAnsiTheme="minorHAnsi" w:cstheme="minorBidi"/>
      <w:lang w:eastAsia="en-US"/>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FootnoteTextChar"/>
    <w:uiPriority w:val="99"/>
    <w:unhideWhenUsed/>
    <w:qFormat/>
    <w:rsid w:val="0043584B"/>
    <w:pPr>
      <w:widowControl w:val="0"/>
      <w:autoSpaceDE w:val="0"/>
      <w:autoSpaceDN w:val="0"/>
    </w:pPr>
    <w:rPr>
      <w:rFonts w:ascii="Arial" w:eastAsia="Arial" w:hAnsi="Arial" w:cs="Arial"/>
      <w:sz w:val="20"/>
      <w:szCs w:val="20"/>
      <w:lang w:val="es-ES" w:eastAsia="en-US"/>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rsid w:val="0043584B"/>
    <w:rPr>
      <w:rFonts w:ascii="Arial" w:eastAsia="Arial" w:hAnsi="Arial" w:cs="Arial"/>
      <w:sz w:val="20"/>
      <w:szCs w:val="20"/>
      <w:lang w:val="es-ES"/>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43584B"/>
  </w:style>
  <w:style w:type="character" w:styleId="Hyperlink">
    <w:name w:val="Hyperlink"/>
    <w:basedOn w:val="DefaultParagraphFont"/>
    <w:uiPriority w:val="99"/>
    <w:unhideWhenUsed/>
    <w:rsid w:val="0043584B"/>
    <w:rPr>
      <w:color w:val="0563C1" w:themeColor="hyperlink"/>
      <w:u w:val="single"/>
    </w:rPr>
  </w:style>
  <w:style w:type="character" w:styleId="Strong">
    <w:name w:val="Strong"/>
    <w:basedOn w:val="DefaultParagraphFont"/>
    <w:uiPriority w:val="22"/>
    <w:qFormat/>
    <w:rsid w:val="002D4666"/>
    <w:rPr>
      <w:b/>
      <w:bCs/>
    </w:rPr>
  </w:style>
  <w:style w:type="character" w:styleId="Emphasis">
    <w:name w:val="Emphasis"/>
    <w:basedOn w:val="DefaultParagraphFont"/>
    <w:uiPriority w:val="20"/>
    <w:qFormat/>
    <w:rsid w:val="002D4666"/>
    <w:rPr>
      <w:i/>
      <w:iCs/>
    </w:rPr>
  </w:style>
  <w:style w:type="paragraph" w:customStyle="1" w:styleId="nueve">
    <w:name w:val="nueve"/>
    <w:basedOn w:val="Normal"/>
    <w:rsid w:val="002D4666"/>
    <w:pPr>
      <w:spacing w:before="100" w:beforeAutospacing="1" w:after="100" w:afterAutospacing="1"/>
    </w:pPr>
  </w:style>
  <w:style w:type="paragraph" w:styleId="Revision">
    <w:name w:val="Revision"/>
    <w:hidden/>
    <w:uiPriority w:val="99"/>
    <w:semiHidden/>
    <w:rsid w:val="00F83D50"/>
    <w:rPr>
      <w:rFonts w:ascii="Times New Roman" w:eastAsia="Times New Roman" w:hAnsi="Times New Roman" w:cs="Times New Roman"/>
      <w:lang w:eastAsia="es-MX"/>
    </w:rPr>
  </w:style>
  <w:style w:type="character" w:styleId="CommentReference">
    <w:name w:val="annotation reference"/>
    <w:basedOn w:val="DefaultParagraphFont"/>
    <w:uiPriority w:val="99"/>
    <w:semiHidden/>
    <w:unhideWhenUsed/>
    <w:rsid w:val="00E53418"/>
    <w:rPr>
      <w:sz w:val="16"/>
      <w:szCs w:val="16"/>
    </w:rPr>
  </w:style>
  <w:style w:type="paragraph" w:styleId="CommentText">
    <w:name w:val="annotation text"/>
    <w:basedOn w:val="Normal"/>
    <w:link w:val="CommentTextChar"/>
    <w:uiPriority w:val="99"/>
    <w:unhideWhenUsed/>
    <w:rsid w:val="00E53418"/>
    <w:rPr>
      <w:sz w:val="20"/>
      <w:szCs w:val="20"/>
    </w:rPr>
  </w:style>
  <w:style w:type="character" w:customStyle="1" w:styleId="CommentTextChar">
    <w:name w:val="Comment Text Char"/>
    <w:basedOn w:val="DefaultParagraphFont"/>
    <w:link w:val="CommentText"/>
    <w:uiPriority w:val="99"/>
    <w:rsid w:val="00E53418"/>
    <w:rPr>
      <w:rFonts w:ascii="Times New Roman" w:eastAsia="Times New Roman" w:hAnsi="Times New Roman" w:cs="Times New Roman"/>
      <w:sz w:val="20"/>
      <w:szCs w:val="20"/>
      <w:lang w:eastAsia="es-MX"/>
    </w:rPr>
  </w:style>
  <w:style w:type="paragraph" w:styleId="CommentSubject">
    <w:name w:val="annotation subject"/>
    <w:basedOn w:val="CommentText"/>
    <w:next w:val="CommentText"/>
    <w:link w:val="CommentSubjectChar"/>
    <w:uiPriority w:val="99"/>
    <w:semiHidden/>
    <w:unhideWhenUsed/>
    <w:rsid w:val="00E53418"/>
    <w:rPr>
      <w:b/>
      <w:bCs/>
    </w:rPr>
  </w:style>
  <w:style w:type="character" w:customStyle="1" w:styleId="CommentSubjectChar">
    <w:name w:val="Comment Subject Char"/>
    <w:basedOn w:val="CommentTextChar"/>
    <w:link w:val="CommentSubject"/>
    <w:uiPriority w:val="99"/>
    <w:semiHidden/>
    <w:rsid w:val="00E53418"/>
    <w:rPr>
      <w:rFonts w:ascii="Times New Roman" w:eastAsia="Times New Roman" w:hAnsi="Times New Roman" w:cs="Times New Roman"/>
      <w:b/>
      <w:bCs/>
      <w:sz w:val="20"/>
      <w:szCs w:val="20"/>
      <w:lang w:eastAsia="es-MX"/>
    </w:rPr>
  </w:style>
  <w:style w:type="character" w:styleId="UnresolvedMention">
    <w:name w:val="Unresolved Mention"/>
    <w:basedOn w:val="DefaultParagraphFont"/>
    <w:uiPriority w:val="99"/>
    <w:semiHidden/>
    <w:unhideWhenUsed/>
    <w:rsid w:val="0096799C"/>
    <w:rPr>
      <w:color w:val="605E5C"/>
      <w:shd w:val="clear" w:color="auto" w:fill="E1DFDD"/>
    </w:rPr>
  </w:style>
  <w:style w:type="character" w:customStyle="1" w:styleId="normaltextrun">
    <w:name w:val="normaltextrun"/>
    <w:basedOn w:val="DefaultParagraphFont"/>
    <w:rsid w:val="008A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87787">
      <w:bodyDiv w:val="1"/>
      <w:marLeft w:val="0"/>
      <w:marRight w:val="0"/>
      <w:marTop w:val="0"/>
      <w:marBottom w:val="0"/>
      <w:divBdr>
        <w:top w:val="none" w:sz="0" w:space="0" w:color="auto"/>
        <w:left w:val="none" w:sz="0" w:space="0" w:color="auto"/>
        <w:bottom w:val="none" w:sz="0" w:space="0" w:color="auto"/>
        <w:right w:val="none" w:sz="0" w:space="0" w:color="auto"/>
      </w:divBdr>
    </w:div>
    <w:div w:id="216093521">
      <w:bodyDiv w:val="1"/>
      <w:marLeft w:val="0"/>
      <w:marRight w:val="0"/>
      <w:marTop w:val="0"/>
      <w:marBottom w:val="0"/>
      <w:divBdr>
        <w:top w:val="none" w:sz="0" w:space="0" w:color="auto"/>
        <w:left w:val="none" w:sz="0" w:space="0" w:color="auto"/>
        <w:bottom w:val="none" w:sz="0" w:space="0" w:color="auto"/>
        <w:right w:val="none" w:sz="0" w:space="0" w:color="auto"/>
      </w:divBdr>
    </w:div>
    <w:div w:id="522942733">
      <w:bodyDiv w:val="1"/>
      <w:marLeft w:val="0"/>
      <w:marRight w:val="0"/>
      <w:marTop w:val="0"/>
      <w:marBottom w:val="0"/>
      <w:divBdr>
        <w:top w:val="none" w:sz="0" w:space="0" w:color="auto"/>
        <w:left w:val="none" w:sz="0" w:space="0" w:color="auto"/>
        <w:bottom w:val="none" w:sz="0" w:space="0" w:color="auto"/>
        <w:right w:val="none" w:sz="0" w:space="0" w:color="auto"/>
      </w:divBdr>
    </w:div>
    <w:div w:id="1133331590">
      <w:bodyDiv w:val="1"/>
      <w:marLeft w:val="0"/>
      <w:marRight w:val="0"/>
      <w:marTop w:val="0"/>
      <w:marBottom w:val="0"/>
      <w:divBdr>
        <w:top w:val="none" w:sz="0" w:space="0" w:color="auto"/>
        <w:left w:val="none" w:sz="0" w:space="0" w:color="auto"/>
        <w:bottom w:val="none" w:sz="0" w:space="0" w:color="auto"/>
        <w:right w:val="none" w:sz="0" w:space="0" w:color="auto"/>
      </w:divBdr>
    </w:div>
    <w:div w:id="1217543608">
      <w:bodyDiv w:val="1"/>
      <w:marLeft w:val="0"/>
      <w:marRight w:val="0"/>
      <w:marTop w:val="0"/>
      <w:marBottom w:val="0"/>
      <w:divBdr>
        <w:top w:val="none" w:sz="0" w:space="0" w:color="auto"/>
        <w:left w:val="none" w:sz="0" w:space="0" w:color="auto"/>
        <w:bottom w:val="none" w:sz="0" w:space="0" w:color="auto"/>
        <w:right w:val="none" w:sz="0" w:space="0" w:color="auto"/>
      </w:divBdr>
    </w:div>
    <w:div w:id="1503396984">
      <w:bodyDiv w:val="1"/>
      <w:marLeft w:val="0"/>
      <w:marRight w:val="0"/>
      <w:marTop w:val="0"/>
      <w:marBottom w:val="0"/>
      <w:divBdr>
        <w:top w:val="none" w:sz="0" w:space="0" w:color="auto"/>
        <w:left w:val="none" w:sz="0" w:space="0" w:color="auto"/>
        <w:bottom w:val="none" w:sz="0" w:space="0" w:color="auto"/>
        <w:right w:val="none" w:sz="0" w:space="0" w:color="auto"/>
      </w:divBdr>
    </w:div>
    <w:div w:id="1533615176">
      <w:bodyDiv w:val="1"/>
      <w:marLeft w:val="0"/>
      <w:marRight w:val="0"/>
      <w:marTop w:val="0"/>
      <w:marBottom w:val="0"/>
      <w:divBdr>
        <w:top w:val="none" w:sz="0" w:space="0" w:color="auto"/>
        <w:left w:val="none" w:sz="0" w:space="0" w:color="auto"/>
        <w:bottom w:val="none" w:sz="0" w:space="0" w:color="auto"/>
        <w:right w:val="none" w:sz="0" w:space="0" w:color="auto"/>
      </w:divBdr>
    </w:div>
    <w:div w:id="1638757601">
      <w:bodyDiv w:val="1"/>
      <w:marLeft w:val="0"/>
      <w:marRight w:val="0"/>
      <w:marTop w:val="0"/>
      <w:marBottom w:val="0"/>
      <w:divBdr>
        <w:top w:val="none" w:sz="0" w:space="0" w:color="auto"/>
        <w:left w:val="none" w:sz="0" w:space="0" w:color="auto"/>
        <w:bottom w:val="none" w:sz="0" w:space="0" w:color="auto"/>
        <w:right w:val="none" w:sz="0" w:space="0" w:color="auto"/>
      </w:divBdr>
    </w:div>
    <w:div w:id="1650553978">
      <w:bodyDiv w:val="1"/>
      <w:marLeft w:val="0"/>
      <w:marRight w:val="0"/>
      <w:marTop w:val="0"/>
      <w:marBottom w:val="0"/>
      <w:divBdr>
        <w:top w:val="none" w:sz="0" w:space="0" w:color="auto"/>
        <w:left w:val="none" w:sz="0" w:space="0" w:color="auto"/>
        <w:bottom w:val="none" w:sz="0" w:space="0" w:color="auto"/>
        <w:right w:val="none" w:sz="0" w:space="0" w:color="auto"/>
      </w:divBdr>
    </w:div>
    <w:div w:id="1748842128">
      <w:bodyDiv w:val="1"/>
      <w:marLeft w:val="0"/>
      <w:marRight w:val="0"/>
      <w:marTop w:val="0"/>
      <w:marBottom w:val="0"/>
      <w:divBdr>
        <w:top w:val="none" w:sz="0" w:space="0" w:color="auto"/>
        <w:left w:val="none" w:sz="0" w:space="0" w:color="auto"/>
        <w:bottom w:val="none" w:sz="0" w:space="0" w:color="auto"/>
        <w:right w:val="none" w:sz="0" w:space="0" w:color="auto"/>
      </w:divBdr>
    </w:div>
    <w:div w:id="1806925723">
      <w:bodyDiv w:val="1"/>
      <w:marLeft w:val="0"/>
      <w:marRight w:val="0"/>
      <w:marTop w:val="0"/>
      <w:marBottom w:val="0"/>
      <w:divBdr>
        <w:top w:val="none" w:sz="0" w:space="0" w:color="auto"/>
        <w:left w:val="none" w:sz="0" w:space="0" w:color="auto"/>
        <w:bottom w:val="none" w:sz="0" w:space="0" w:color="auto"/>
        <w:right w:val="none" w:sz="0" w:space="0" w:color="auto"/>
      </w:divBdr>
    </w:div>
    <w:div w:id="1936133877">
      <w:bodyDiv w:val="1"/>
      <w:marLeft w:val="0"/>
      <w:marRight w:val="0"/>
      <w:marTop w:val="0"/>
      <w:marBottom w:val="0"/>
      <w:divBdr>
        <w:top w:val="none" w:sz="0" w:space="0" w:color="auto"/>
        <w:left w:val="none" w:sz="0" w:space="0" w:color="auto"/>
        <w:bottom w:val="none" w:sz="0" w:space="0" w:color="auto"/>
        <w:right w:val="none" w:sz="0" w:space="0" w:color="auto"/>
      </w:divBdr>
      <w:divsChild>
        <w:div w:id="194084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anapr66@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35E0C-350D-6E44-B50F-34F641E62E53}">
  <ds:schemaRefs>
    <ds:schemaRef ds:uri="http://schemas.openxmlformats.org/officeDocument/2006/bibliography"/>
  </ds:schemaRefs>
</ds:datastoreItem>
</file>

<file path=customXml/itemProps2.xml><?xml version="1.0" encoding="utf-8"?>
<ds:datastoreItem xmlns:ds="http://schemas.openxmlformats.org/officeDocument/2006/customXml" ds:itemID="{B8E0D12A-BA7B-4F92-8629-F3BF1ED1013D}">
  <ds:schemaRefs>
    <ds:schemaRef ds:uri="http://schemas.microsoft.com/office/2006/documentManagement/types"/>
    <ds:schemaRef ds:uri="a6cb9e4b-f1d1-4245-83ec-6cad768d538a"/>
    <ds:schemaRef ds:uri="http://schemas.microsoft.com/office/infopath/2007/PartnerControls"/>
    <ds:schemaRef ds:uri="http://purl.org/dc/elements/1.1/"/>
    <ds:schemaRef ds:uri="http://schemas.openxmlformats.org/package/2006/metadata/core-properties"/>
    <ds:schemaRef ds:uri="http://purl.org/dc/terms/"/>
    <ds:schemaRef ds:uri="9d85dbaf-23eb-4e57-a637-93dcacc8b1a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DD6A72E-6FF5-436A-9C4C-F5D2F3457BC9}">
  <ds:schemaRefs>
    <ds:schemaRef ds:uri="http://schemas.microsoft.com/sharepoint/v3/contenttype/forms"/>
  </ds:schemaRefs>
</ds:datastoreItem>
</file>

<file path=customXml/itemProps4.xml><?xml version="1.0" encoding="utf-8"?>
<ds:datastoreItem xmlns:ds="http://schemas.openxmlformats.org/officeDocument/2006/customXml" ds:itemID="{35D0E3CA-8C0F-4130-A97F-BC3572D2FE1E}"/>
</file>

<file path=docProps/app.xml><?xml version="1.0" encoding="utf-8"?>
<Properties xmlns="http://schemas.openxmlformats.org/officeDocument/2006/extended-properties" xmlns:vt="http://schemas.openxmlformats.org/officeDocument/2006/docPropsVTypes">
  <Template>Normal.dotm</Template>
  <TotalTime>32</TotalTime>
  <Pages>1</Pages>
  <Words>5230</Words>
  <Characters>29816</Characters>
  <Application>Microsoft Office Word</Application>
  <DocSecurity>4</DocSecurity>
  <Lines>248</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 Castro</dc:creator>
  <cp:keywords/>
  <dc:description/>
  <cp:lastModifiedBy>Maria Valeska Medellín Mora</cp:lastModifiedBy>
  <cp:revision>12</cp:revision>
  <cp:lastPrinted>2023-05-03T23:38:00Z</cp:lastPrinted>
  <dcterms:created xsi:type="dcterms:W3CDTF">2023-05-03T22:59:00Z</dcterms:created>
  <dcterms:modified xsi:type="dcterms:W3CDTF">2023-08-30T21:55:00Z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