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4EA3" w:rsidR="00EF4EA3" w:rsidP="00E220B7" w:rsidRDefault="00EF4EA3" w14:paraId="4AFEB47C" w14:textId="77777777">
      <w:pPr>
        <w:spacing w:after="0" w:line="240" w:lineRule="auto"/>
        <w:ind w:left="1416" w:hanging="1416"/>
        <w:jc w:val="right"/>
        <w:rPr>
          <w:rFonts w:ascii="Arial" w:hAnsi="Arial" w:eastAsia="Calibri" w:cs="Arial"/>
          <w:b/>
          <w:color w:val="000000"/>
          <w:sz w:val="20"/>
          <w:szCs w:val="20"/>
          <w:lang w:val="es-ES_tradnl" w:eastAsia="es-ES_tradnl"/>
        </w:rPr>
      </w:pPr>
      <w:bookmarkStart w:name="_Hlk28946138" w:id="0"/>
      <w:bookmarkStart w:name="_Hlk29548183" w:id="1"/>
      <w:r w:rsidRPr="5042E1A4">
        <w:rPr>
          <w:rFonts w:ascii="Arial" w:hAnsi="Arial" w:eastAsia="Times New Roman" w:cs="Arial"/>
          <w:color w:val="000000" w:themeColor="text1"/>
          <w:sz w:val="16"/>
          <w:szCs w:val="16"/>
          <w:lang w:val="es-ES" w:eastAsia="es-ES"/>
        </w:rPr>
        <w:t>CCE-DES-FM-17</w:t>
      </w:r>
    </w:p>
    <w:bookmarkEnd w:id="0"/>
    <w:bookmarkEnd w:id="1"/>
    <w:p w:rsidRPr="00EF4EA3" w:rsidR="00EF4EA3" w:rsidP="5042E1A4" w:rsidRDefault="20D7D1B4" w14:paraId="582667A3" w14:textId="1D9DA74D">
      <w:pPr>
        <w:spacing w:after="0" w:line="240" w:lineRule="auto"/>
        <w:jc w:val="both"/>
        <w:rPr>
          <w:rFonts w:ascii="Arial" w:hAnsi="Arial" w:eastAsia="Calibri" w:cs="Arial"/>
          <w:b/>
          <w:bCs/>
          <w:lang w:val="es-ES" w:eastAsia="es-ES"/>
        </w:rPr>
      </w:pPr>
      <w:r w:rsidRPr="5042E1A4">
        <w:rPr>
          <w:rFonts w:ascii="Arial" w:hAnsi="Arial" w:eastAsia="Calibri" w:cs="Arial"/>
          <w:b/>
          <w:bCs/>
          <w:lang w:val="es-ES" w:eastAsia="es-ES"/>
        </w:rPr>
        <w:t>PRINC</w:t>
      </w:r>
      <w:r w:rsidRPr="5042E1A4" w:rsidR="00EF4EA3">
        <w:rPr>
          <w:rFonts w:ascii="Arial" w:hAnsi="Arial" w:eastAsia="Calibri" w:cs="Arial"/>
          <w:b/>
          <w:bCs/>
          <w:lang w:val="es-ES" w:eastAsia="es-ES"/>
        </w:rPr>
        <w:t xml:space="preserve">IPIO DE PLANEACIÓN – Estudios previos </w:t>
      </w:r>
    </w:p>
    <w:p w:rsidRPr="00EF4EA3" w:rsidR="00EF4EA3" w:rsidP="00B03DC3" w:rsidRDefault="00EF4EA3" w14:paraId="5462BA72" w14:textId="77777777">
      <w:pPr>
        <w:spacing w:after="0" w:line="240" w:lineRule="auto"/>
        <w:jc w:val="both"/>
        <w:rPr>
          <w:rFonts w:ascii="Arial" w:hAnsi="Arial" w:eastAsia="Calibri" w:cs="Arial"/>
          <w:sz w:val="20"/>
          <w:szCs w:val="20"/>
          <w:lang w:val="es-ES_tradnl" w:eastAsia="es-ES_tradnl"/>
        </w:rPr>
      </w:pPr>
    </w:p>
    <w:p w:rsidRPr="00B03DC3" w:rsidR="00B03DC3" w:rsidP="00B03DC3" w:rsidRDefault="00B03DC3" w14:paraId="1C668A36" w14:textId="356F93E5">
      <w:pPr>
        <w:spacing w:after="0" w:line="240" w:lineRule="auto"/>
        <w:jc w:val="both"/>
        <w:rPr>
          <w:rFonts w:ascii="Arial" w:hAnsi="Arial" w:eastAsia="Calibri" w:cs="Arial"/>
          <w:bCs/>
          <w:sz w:val="20"/>
          <w:szCs w:val="20"/>
          <w:lang w:val="es-MX"/>
        </w:rPr>
      </w:pPr>
      <w:r w:rsidRPr="00B03DC3">
        <w:rPr>
          <w:rFonts w:ascii="Arial" w:hAnsi="Arial" w:eastAsia="Calibri" w:cs="Arial"/>
          <w:bCs/>
          <w:sz w:val="20"/>
          <w:szCs w:val="20"/>
          <w:lang w:val="es-MX"/>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rsidRPr="00B03DC3" w:rsidR="00B03DC3" w:rsidP="00B03DC3" w:rsidRDefault="00B03DC3" w14:paraId="14898FDC" w14:textId="72A49711">
      <w:pPr>
        <w:spacing w:before="120" w:after="0" w:line="240" w:lineRule="auto"/>
        <w:jc w:val="both"/>
        <w:rPr>
          <w:rFonts w:ascii="Arial" w:hAnsi="Arial" w:eastAsia="Times New Roman" w:cs="Arial"/>
          <w:sz w:val="20"/>
          <w:szCs w:val="20"/>
          <w:lang w:eastAsia="es-ES_tradnl"/>
        </w:rPr>
      </w:pPr>
      <w:r w:rsidRPr="00B03DC3">
        <w:rPr>
          <w:rFonts w:ascii="Arial" w:hAnsi="Arial" w:eastAsia="Calibri" w:cs="Arial"/>
          <w:bCs/>
          <w:sz w:val="20"/>
          <w:szCs w:val="20"/>
          <w:lang w:val="es-MX"/>
        </w:rPr>
        <w:t>[…]</w:t>
      </w:r>
    </w:p>
    <w:p w:rsidRPr="00B03DC3" w:rsidR="00B03DC3" w:rsidP="00B03DC3" w:rsidRDefault="00B03DC3" w14:paraId="24D0FBC8" w14:textId="77777777">
      <w:pPr>
        <w:widowControl w:val="0"/>
        <w:tabs>
          <w:tab w:val="left" w:pos="1305"/>
        </w:tabs>
        <w:autoSpaceDE w:val="0"/>
        <w:autoSpaceDN w:val="0"/>
        <w:spacing w:after="0" w:line="240" w:lineRule="auto"/>
        <w:rPr>
          <w:rFonts w:ascii="Arial" w:hAnsi="Arial" w:eastAsia="Calibri" w:cs="Arial"/>
          <w:sz w:val="20"/>
          <w:szCs w:val="20"/>
          <w:lang w:val="es-MX"/>
        </w:rPr>
      </w:pPr>
    </w:p>
    <w:p w:rsidRPr="00B03DC3" w:rsidR="00B03DC3" w:rsidP="00B03DC3" w:rsidRDefault="00B03DC3" w14:paraId="0057EA0C" w14:textId="77777777">
      <w:pPr>
        <w:spacing w:after="120" w:line="240" w:lineRule="auto"/>
        <w:jc w:val="both"/>
        <w:rPr>
          <w:rFonts w:ascii="Arial" w:hAnsi="Arial" w:eastAsia="Times New Roman" w:cs="Arial"/>
          <w:sz w:val="20"/>
          <w:szCs w:val="20"/>
          <w:lang w:eastAsia="es-ES_tradnl"/>
        </w:rPr>
      </w:pPr>
      <w:r w:rsidRPr="00B03DC3">
        <w:rPr>
          <w:rFonts w:ascii="Arial" w:hAnsi="Arial" w:eastAsia="Times New Roman" w:cs="Arial"/>
          <w:sz w:val="20"/>
          <w:szCs w:val="20"/>
          <w:lang w:eastAsia="es-ES_tradnl"/>
        </w:rPr>
        <w:t xml:space="preserve">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w:t>
      </w:r>
      <w:proofErr w:type="spellStart"/>
      <w:r w:rsidRPr="00B03DC3">
        <w:rPr>
          <w:rFonts w:ascii="Arial" w:hAnsi="Arial" w:eastAsia="Times New Roman" w:cs="Arial"/>
          <w:sz w:val="20"/>
          <w:szCs w:val="20"/>
          <w:lang w:eastAsia="es-ES_tradnl"/>
        </w:rPr>
        <w:t>iii</w:t>
      </w:r>
      <w:proofErr w:type="spellEnd"/>
      <w:r w:rsidRPr="00B03DC3">
        <w:rPr>
          <w:rFonts w:ascii="Arial" w:hAnsi="Arial" w:eastAsia="Times New Roman" w:cs="Arial"/>
          <w:sz w:val="20"/>
          <w:szCs w:val="20"/>
          <w:lang w:eastAsia="es-ES_tradnl"/>
        </w:rPr>
        <w:t xml:space="preserve">) las calidades, especificaciones, cantidades y demás características que puedan o deban reunir los bienes, las obras o los servicios cuya contratación se haya determinado necesaria, </w:t>
      </w:r>
      <w:r w:rsidRPr="00B03DC3">
        <w:rPr>
          <w:rFonts w:ascii="Arial" w:hAnsi="Arial" w:eastAsia="Times New Roman" w:cs="Arial"/>
          <w:i/>
          <w:iCs/>
          <w:sz w:val="20"/>
          <w:szCs w:val="20"/>
          <w:lang w:eastAsia="es-ES_tradnl"/>
        </w:rPr>
        <w:t xml:space="preserve">iv) los costos, valores y alternativas que, a precios de mercado reales, podría demandar la celebración y ejecución del contrato, </w:t>
      </w:r>
      <w:r w:rsidRPr="00B03DC3">
        <w:rPr>
          <w:rFonts w:ascii="Arial" w:hAnsi="Arial" w:eastAsia="Times New Roman" w:cs="Arial"/>
          <w:sz w:val="20"/>
          <w:szCs w:val="20"/>
          <w:lang w:eastAsia="es-ES_tradnl"/>
        </w:rPr>
        <w:t xml:space="preserve">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B03DC3">
        <w:rPr>
          <w:rFonts w:ascii="Arial" w:hAnsi="Arial" w:eastAsia="Times New Roman" w:cs="Arial"/>
          <w:sz w:val="20"/>
          <w:szCs w:val="20"/>
          <w:lang w:eastAsia="es-ES_tradnl"/>
        </w:rPr>
        <w:t>vii</w:t>
      </w:r>
      <w:proofErr w:type="spellEnd"/>
      <w:r w:rsidRPr="00B03DC3">
        <w:rPr>
          <w:rFonts w:ascii="Arial" w:hAnsi="Arial" w:eastAsia="Times New Roman" w:cs="Arial"/>
          <w:sz w:val="20"/>
          <w:szCs w:val="20"/>
          <w:lang w:eastAsia="es-ES_tradnl"/>
        </w:rPr>
        <w:t>) los procedimientos, trámites y requisitos que deban satisfacerse, reunirse u obtenerse para llevar a cabo la selección del respectivo contratista y la celebración del contrato que se pretenda celebrar.</w:t>
      </w:r>
    </w:p>
    <w:p w:rsidRPr="00B03DC3" w:rsidR="00B03DC3" w:rsidP="00B03DC3" w:rsidRDefault="00B03DC3" w14:paraId="47BA7F4A" w14:textId="77777777">
      <w:pPr>
        <w:spacing w:after="120" w:line="240" w:lineRule="auto"/>
        <w:jc w:val="both"/>
        <w:rPr>
          <w:rFonts w:ascii="Arial" w:hAnsi="Arial" w:eastAsia="Times New Roman" w:cs="Arial"/>
          <w:sz w:val="20"/>
          <w:szCs w:val="20"/>
          <w:lang w:eastAsia="es-ES_tradnl"/>
        </w:rPr>
      </w:pPr>
      <w:r w:rsidRPr="00B03DC3">
        <w:rPr>
          <w:rFonts w:ascii="Arial" w:hAnsi="Arial" w:eastAsia="Times New Roman" w:cs="Arial"/>
          <w:sz w:val="20"/>
          <w:szCs w:val="20"/>
          <w:lang w:eastAsia="es-ES_tradnl"/>
        </w:rPr>
        <w:t xml:space="preserve">Por ello, el hecho que las entidades cumplan con los elementos mínimos establecidos en la norma y aquellos adicionales que identifiquen en la etapa de planeación de los </w:t>
      </w:r>
      <w:r w:rsidRPr="00B03DC3">
        <w:rPr>
          <w:rFonts w:ascii="Arial" w:hAnsi="Arial" w:eastAsia="Calibri" w:cs="Arial"/>
          <w:bCs/>
          <w:sz w:val="20"/>
          <w:szCs w:val="20"/>
          <w:lang w:val="es-ES_tradnl" w:eastAsia="es-ES_tradnl"/>
        </w:rPr>
        <w:t xml:space="preserve">procedimientos de contratación, permite que los contratos resultantes cuenten con el sustento técnico, económico y jurídico que incidirá </w:t>
      </w:r>
      <w:r w:rsidRPr="00B03DC3">
        <w:rPr>
          <w:rFonts w:ascii="Arial" w:hAnsi="Arial" w:eastAsia="Times New Roman" w:cs="Arial"/>
          <w:sz w:val="20"/>
          <w:szCs w:val="20"/>
          <w:lang w:eastAsia="es-ES_tradnl"/>
        </w:rPr>
        <w:t>en una adecuada ejecución.</w:t>
      </w:r>
    </w:p>
    <w:p w:rsidRPr="00EF4EA3" w:rsidR="00EF4EA3" w:rsidP="00EF4EA3" w:rsidRDefault="00EF4EA3" w14:paraId="39A98775" w14:textId="77777777">
      <w:pPr>
        <w:spacing w:after="0" w:line="240" w:lineRule="auto"/>
        <w:jc w:val="both"/>
        <w:rPr>
          <w:rFonts w:ascii="Arial" w:hAnsi="Arial" w:eastAsia="Calibri" w:cs="Arial"/>
          <w:sz w:val="20"/>
          <w:szCs w:val="20"/>
          <w:lang w:val="es-ES_tradnl" w:eastAsia="es-ES_tradnl"/>
        </w:rPr>
      </w:pPr>
    </w:p>
    <w:p w:rsidRPr="00EF4EA3" w:rsidR="00EF4EA3" w:rsidP="00EF4EA3" w:rsidRDefault="00EF4EA3" w14:paraId="37BE5990" w14:textId="77777777">
      <w:pPr>
        <w:spacing w:after="0" w:line="240" w:lineRule="auto"/>
        <w:jc w:val="both"/>
        <w:rPr>
          <w:rFonts w:ascii="Arial" w:hAnsi="Arial" w:eastAsia="Calibri" w:cs="Arial"/>
          <w:b/>
          <w:bCs/>
          <w:szCs w:val="24"/>
          <w:lang w:val="es-ES_tradnl" w:eastAsia="es-ES_tradnl"/>
        </w:rPr>
      </w:pPr>
      <w:r w:rsidRPr="00EF4EA3">
        <w:rPr>
          <w:rFonts w:ascii="Arial" w:hAnsi="Arial" w:eastAsia="Calibri" w:cs="Arial"/>
          <w:b/>
          <w:bCs/>
          <w:szCs w:val="24"/>
          <w:lang w:val="es-ES_tradnl" w:eastAsia="es-ES_tradnl"/>
        </w:rPr>
        <w:t xml:space="preserve">PRINCIPIO DE PLANEACIÓN </w:t>
      </w:r>
      <w:r w:rsidRPr="00EF4EA3">
        <w:rPr>
          <w:rFonts w:ascii="Arial" w:hAnsi="Arial" w:eastAsia="Calibri" w:cs="Arial"/>
          <w:b/>
          <w:color w:val="000000"/>
          <w:szCs w:val="24"/>
          <w:lang w:eastAsia="es-ES_tradnl"/>
        </w:rPr>
        <w:t>–</w:t>
      </w:r>
      <w:r w:rsidRPr="00EF4EA3">
        <w:rPr>
          <w:rFonts w:ascii="Arial" w:hAnsi="Arial" w:eastAsia="Calibri" w:cs="Arial"/>
          <w:b/>
          <w:bCs/>
          <w:szCs w:val="24"/>
          <w:lang w:val="es-ES_tradnl" w:eastAsia="es-ES_tradnl"/>
        </w:rPr>
        <w:t xml:space="preserve"> </w:t>
      </w:r>
      <w:r w:rsidRPr="00EF4EA3">
        <w:rPr>
          <w:rFonts w:ascii="Arial" w:hAnsi="Arial" w:eastAsia="Calibri" w:cs="Arial"/>
          <w:b/>
          <w:szCs w:val="24"/>
          <w:lang w:val="es-ES_tradnl" w:eastAsia="es-ES_tradnl"/>
        </w:rPr>
        <w:t xml:space="preserve">Análisis del sector económico y de los oferentes </w:t>
      </w:r>
    </w:p>
    <w:p w:rsidR="00B03DC3" w:rsidP="00EF4EA3" w:rsidRDefault="00B03DC3" w14:paraId="7A116395" w14:textId="2672445B">
      <w:pPr>
        <w:spacing w:after="0" w:line="240" w:lineRule="auto"/>
        <w:jc w:val="both"/>
        <w:rPr>
          <w:rFonts w:ascii="Arial" w:hAnsi="Arial" w:eastAsia="Calibri" w:cs="Arial"/>
          <w:b/>
          <w:bCs/>
          <w:sz w:val="20"/>
          <w:szCs w:val="20"/>
          <w:lang w:val="es-ES_tradnl" w:eastAsia="es-ES_tradnl"/>
        </w:rPr>
      </w:pPr>
    </w:p>
    <w:p w:rsidRPr="00B03DC3" w:rsidR="00B03DC3" w:rsidP="00B03DC3" w:rsidRDefault="00B03DC3" w14:paraId="1AB447D4" w14:textId="1C0A40AB">
      <w:pPr>
        <w:spacing w:before="120" w:after="0" w:line="240" w:lineRule="auto"/>
        <w:jc w:val="both"/>
        <w:rPr>
          <w:rFonts w:ascii="Arial" w:hAnsi="Arial" w:eastAsia="Calibri" w:cs="Arial"/>
          <w:bCs/>
          <w:sz w:val="20"/>
          <w:szCs w:val="20"/>
          <w:lang w:val="es-ES_tradnl" w:eastAsia="es-ES_tradnl"/>
        </w:rPr>
      </w:pPr>
      <w:r>
        <w:rPr>
          <w:rFonts w:ascii="Arial" w:hAnsi="Arial" w:eastAsia="Calibri" w:cs="Arial"/>
          <w:bCs/>
          <w:sz w:val="20"/>
          <w:szCs w:val="20"/>
          <w:lang w:val="es-ES_tradnl" w:eastAsia="es-ES_tradnl"/>
        </w:rPr>
        <w:t xml:space="preserve">[…] </w:t>
      </w:r>
      <w:r w:rsidRPr="00B03DC3">
        <w:rPr>
          <w:rFonts w:ascii="Arial" w:hAnsi="Arial" w:eastAsia="Calibri" w:cs="Arial"/>
          <w:bCs/>
          <w:sz w:val="20"/>
          <w:szCs w:val="20"/>
          <w:lang w:val="es-ES_tradnl" w:eastAsia="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rsidRPr="00B03DC3" w:rsidR="00B03DC3" w:rsidP="00B03DC3" w:rsidRDefault="00B03DC3" w14:paraId="11345EB2" w14:textId="77777777">
      <w:pPr>
        <w:spacing w:before="120" w:after="0" w:line="240" w:lineRule="auto"/>
        <w:jc w:val="both"/>
        <w:rPr>
          <w:rFonts w:ascii="Arial" w:hAnsi="Arial" w:eastAsia="Calibri" w:cs="Arial"/>
          <w:bCs/>
          <w:sz w:val="20"/>
          <w:szCs w:val="20"/>
          <w:lang w:val="es-ES_tradnl" w:eastAsia="es-ES_tradnl"/>
        </w:rPr>
      </w:pPr>
      <w:r w:rsidRPr="00B03DC3">
        <w:rPr>
          <w:rFonts w:ascii="Arial" w:hAnsi="Arial" w:eastAsia="Calibri" w:cs="Arial"/>
          <w:bCs/>
          <w:sz w:val="20"/>
          <w:szCs w:val="20"/>
          <w:lang w:val="es-ES_tradnl" w:eastAsia="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rsidRPr="00B03DC3" w:rsidR="00B03DC3" w:rsidP="00B03DC3" w:rsidRDefault="00B03DC3" w14:paraId="21217B81" w14:textId="77777777">
      <w:pPr>
        <w:spacing w:before="120" w:after="0" w:line="240" w:lineRule="auto"/>
        <w:jc w:val="both"/>
        <w:rPr>
          <w:rFonts w:ascii="Arial" w:hAnsi="Arial" w:eastAsia="Calibri" w:cs="Arial"/>
          <w:bCs/>
          <w:sz w:val="20"/>
          <w:szCs w:val="20"/>
          <w:lang w:val="es-ES_tradnl" w:eastAsia="es-ES_tradnl"/>
        </w:rPr>
      </w:pPr>
      <w:r w:rsidRPr="00B03DC3">
        <w:rPr>
          <w:rFonts w:ascii="Arial" w:hAnsi="Arial" w:eastAsia="Calibri" w:cs="Arial"/>
          <w:bCs/>
          <w:sz w:val="20"/>
          <w:szCs w:val="20"/>
          <w:lang w:val="es-ES_tradnl" w:eastAsia="es-ES_tradnl"/>
        </w:rPr>
        <w:lastRenderedPageBreak/>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rsidRPr="00EF4EA3" w:rsidR="00B03DC3" w:rsidP="00EF4EA3" w:rsidRDefault="00B03DC3" w14:paraId="08B52EF4" w14:textId="77777777">
      <w:pPr>
        <w:spacing w:after="0" w:line="240" w:lineRule="auto"/>
        <w:jc w:val="both"/>
        <w:rPr>
          <w:rFonts w:ascii="Arial" w:hAnsi="Arial" w:eastAsia="Calibri" w:cs="Arial"/>
          <w:b/>
          <w:bCs/>
          <w:sz w:val="20"/>
          <w:szCs w:val="20"/>
          <w:lang w:val="es-ES_tradnl" w:eastAsia="es-ES_tradnl"/>
        </w:rPr>
      </w:pPr>
    </w:p>
    <w:p w:rsidRPr="00EF4EA3" w:rsidR="00EF4EA3" w:rsidP="00EF4EA3" w:rsidRDefault="00EF4EA3" w14:paraId="57950D10" w14:textId="77777777">
      <w:pPr>
        <w:spacing w:after="0" w:line="240" w:lineRule="auto"/>
        <w:jc w:val="both"/>
        <w:rPr>
          <w:rFonts w:ascii="Arial" w:hAnsi="Arial" w:eastAsia="Calibri" w:cs="Arial"/>
          <w:b/>
          <w:bCs/>
          <w:szCs w:val="24"/>
          <w:lang w:val="es-ES_tradnl" w:eastAsia="es-ES_tradnl"/>
        </w:rPr>
      </w:pPr>
      <w:r w:rsidRPr="00EF4EA3">
        <w:rPr>
          <w:rFonts w:ascii="Arial" w:hAnsi="Arial" w:eastAsia="Calibri" w:cs="Arial"/>
          <w:b/>
          <w:bCs/>
          <w:szCs w:val="24"/>
          <w:lang w:val="es-ES_tradnl" w:eastAsia="es-ES_tradnl"/>
        </w:rPr>
        <w:t xml:space="preserve">PRECIO – Concepto – Estructuración </w:t>
      </w:r>
    </w:p>
    <w:p w:rsidRPr="00EF4EA3" w:rsidR="00EF4EA3" w:rsidP="00EF4EA3" w:rsidRDefault="00EF4EA3" w14:paraId="0C2310EF" w14:textId="77777777">
      <w:pPr>
        <w:spacing w:after="0" w:line="240" w:lineRule="auto"/>
        <w:jc w:val="both"/>
        <w:rPr>
          <w:rFonts w:ascii="Arial" w:hAnsi="Arial" w:eastAsia="Calibri" w:cs="Arial"/>
          <w:sz w:val="20"/>
          <w:szCs w:val="20"/>
          <w:lang w:val="es-ES_tradnl" w:eastAsia="es-ES_tradnl"/>
        </w:rPr>
      </w:pPr>
    </w:p>
    <w:p w:rsidRPr="00B03DC3" w:rsidR="00B03DC3" w:rsidP="00B03DC3" w:rsidRDefault="00B03DC3" w14:paraId="2B60D739" w14:textId="67352ABD">
      <w:pPr>
        <w:spacing w:after="120" w:line="240" w:lineRule="auto"/>
        <w:jc w:val="both"/>
        <w:rPr>
          <w:rFonts w:ascii="Arial" w:hAnsi="Arial" w:eastAsia="Times New Roman" w:cs="Arial"/>
          <w:bCs/>
          <w:sz w:val="20"/>
          <w:szCs w:val="20"/>
          <w:lang w:val="es-ES" w:eastAsia="es-ES_tradnl"/>
        </w:rPr>
      </w:pPr>
      <w:r w:rsidRPr="00B03DC3">
        <w:rPr>
          <w:rFonts w:ascii="Arial" w:hAnsi="Arial" w:eastAsia="Times New Roman" w:cs="Arial"/>
          <w:bCs/>
          <w:sz w:val="20"/>
          <w:szCs w:val="20"/>
          <w:lang w:val="es-ES_tradnl" w:eastAsia="es-ES_tradnl"/>
        </w:rPr>
        <w:t>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w:t>
      </w:r>
    </w:p>
    <w:p w:rsidRPr="00B03DC3" w:rsidR="00B03DC3" w:rsidP="00B03DC3" w:rsidRDefault="00B03DC3" w14:paraId="3D2D6971" w14:textId="77777777">
      <w:pPr>
        <w:spacing w:before="120" w:after="120" w:line="240" w:lineRule="auto"/>
        <w:jc w:val="both"/>
        <w:rPr>
          <w:rFonts w:ascii="Arial" w:hAnsi="Arial" w:cs="Arial"/>
          <w:bCs/>
          <w:sz w:val="20"/>
          <w:szCs w:val="20"/>
          <w:lang w:val="es-ES_tradnl"/>
        </w:rPr>
      </w:pPr>
      <w:r w:rsidRPr="00B03DC3">
        <w:rPr>
          <w:rFonts w:ascii="Arial" w:hAnsi="Arial" w:eastAsia="Times New Roman" w:cs="Arial"/>
          <w:bCs/>
          <w:sz w:val="20"/>
          <w:szCs w:val="20"/>
          <w:lang w:val="es-ES_tradnl" w:eastAsia="es-ES_tradnl"/>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w:t>
      </w:r>
      <w:r w:rsidRPr="00B03DC3">
        <w:rPr>
          <w:rFonts w:ascii="Arial" w:hAnsi="Arial" w:cs="Arial"/>
          <w:bCs/>
          <w:sz w:val="20"/>
          <w:szCs w:val="20"/>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w:t>
      </w:r>
      <w:proofErr w:type="spellStart"/>
      <w:r w:rsidRPr="00B03DC3">
        <w:rPr>
          <w:rFonts w:ascii="Arial" w:hAnsi="Arial" w:cs="Arial"/>
          <w:bCs/>
          <w:sz w:val="20"/>
          <w:szCs w:val="20"/>
          <w:lang w:val="es-ES_tradnl"/>
        </w:rPr>
        <w:t>iii</w:t>
      </w:r>
      <w:proofErr w:type="spellEnd"/>
      <w:r w:rsidRPr="00B03DC3">
        <w:rPr>
          <w:rFonts w:ascii="Arial" w:hAnsi="Arial" w:cs="Arial"/>
          <w:bCs/>
          <w:sz w:val="20"/>
          <w:szCs w:val="20"/>
          <w:lang w:val="es-ES_tradnl"/>
        </w:rPr>
        <w:t>) la administración delegada de recursos –en la que se distinguen los costos de inversión de los honorarios del administrador–.</w:t>
      </w:r>
    </w:p>
    <w:p w:rsidRPr="00B03DC3" w:rsidR="00B03DC3" w:rsidP="00B03DC3" w:rsidRDefault="00B03DC3" w14:paraId="1232F5AF" w14:textId="2335CA4D">
      <w:pPr>
        <w:spacing w:after="120" w:line="240" w:lineRule="auto"/>
        <w:jc w:val="both"/>
        <w:rPr>
          <w:rFonts w:ascii="Arial" w:hAnsi="Arial" w:eastAsia="Calibri" w:cs="Arial"/>
          <w:bCs/>
          <w:sz w:val="20"/>
          <w:szCs w:val="20"/>
          <w:lang w:val="es-ES_tradnl" w:eastAsia="es-ES_tradnl"/>
        </w:rPr>
      </w:pPr>
      <w:r w:rsidRPr="00ED21E7">
        <w:rPr>
          <w:rFonts w:ascii="Arial" w:hAnsi="Arial" w:eastAsia="Calibri" w:cs="Arial"/>
          <w:bCs/>
          <w:sz w:val="20"/>
          <w:szCs w:val="20"/>
          <w:lang w:val="es-ES_tradnl" w:eastAsia="es-ES_tradnl"/>
        </w:rPr>
        <w:t xml:space="preserve">La </w:t>
      </w:r>
      <w:r w:rsidRPr="00ED21E7" w:rsidR="00871572">
        <w:rPr>
          <w:rFonts w:ascii="Arial" w:hAnsi="Arial" w:eastAsia="Calibri" w:cs="Arial"/>
          <w:bCs/>
          <w:sz w:val="20"/>
          <w:szCs w:val="20"/>
          <w:lang w:val="es-ES_tradnl" w:eastAsia="es-ES_tradnl"/>
        </w:rPr>
        <w:t>“</w:t>
      </w:r>
      <w:r w:rsidRPr="00ED21E7">
        <w:rPr>
          <w:rFonts w:ascii="Arial" w:hAnsi="Arial" w:eastAsia="Calibri" w:cs="Arial"/>
          <w:bCs/>
          <w:sz w:val="20"/>
          <w:szCs w:val="20"/>
          <w:lang w:val="es-ES_tradnl" w:eastAsia="es-ES_tradnl"/>
        </w:rPr>
        <w:t>Guía para la Elaboración de Estudios del Sector</w:t>
      </w:r>
      <w:r w:rsidRPr="00ED21E7" w:rsidR="00871572">
        <w:rPr>
          <w:rFonts w:ascii="Arial" w:hAnsi="Arial" w:eastAsia="Calibri" w:cs="Arial"/>
          <w:bCs/>
          <w:sz w:val="20"/>
          <w:szCs w:val="20"/>
          <w:lang w:val="es-ES_tradnl" w:eastAsia="es-ES_tradnl"/>
        </w:rPr>
        <w:t>”</w:t>
      </w:r>
      <w:r w:rsidRPr="00ED21E7">
        <w:rPr>
          <w:rFonts w:ascii="Arial" w:hAnsi="Arial" w:eastAsia="Calibri" w:cs="Arial"/>
          <w:bCs/>
          <w:sz w:val="20"/>
          <w:szCs w:val="20"/>
          <w:lang w:val="es-ES_tradnl" w:eastAsia="es-ES_tradnl"/>
        </w:rPr>
        <w:t xml:space="preserve"> dispone que el análisis de los diferentes precios de los bienes y servicios a contratar que se registran en el mercado, pueden consultarse a través de mecanismo como: i) la solicitud de cotizaciones, ii) bases de datos especializadas, y </w:t>
      </w:r>
      <w:proofErr w:type="spellStart"/>
      <w:r w:rsidRPr="00ED21E7">
        <w:rPr>
          <w:rFonts w:ascii="Arial" w:hAnsi="Arial" w:eastAsia="Calibri" w:cs="Arial"/>
          <w:bCs/>
          <w:sz w:val="20"/>
          <w:szCs w:val="20"/>
          <w:lang w:val="es-ES_tradnl" w:eastAsia="es-ES_tradnl"/>
        </w:rPr>
        <w:t>iii</w:t>
      </w:r>
      <w:proofErr w:type="spellEnd"/>
      <w:r w:rsidRPr="00ED21E7">
        <w:rPr>
          <w:rFonts w:ascii="Arial" w:hAnsi="Arial" w:eastAsia="Calibri" w:cs="Arial"/>
          <w:bCs/>
          <w:sz w:val="20"/>
          <w:szCs w:val="20"/>
          <w:lang w:val="es-ES_tradnl" w:eastAsia="es-ES_tradnl"/>
        </w:rPr>
        <w:t>) el análisis de precios históricos.</w:t>
      </w:r>
      <w:r w:rsidRPr="00B03DC3">
        <w:rPr>
          <w:rFonts w:ascii="Arial" w:hAnsi="Arial" w:eastAsia="Calibri" w:cs="Arial"/>
          <w:bCs/>
          <w:sz w:val="20"/>
          <w:szCs w:val="20"/>
          <w:lang w:val="es-ES_tradnl" w:eastAsia="es-ES_tradnl"/>
        </w:rPr>
        <w:t xml:space="preserve"> </w:t>
      </w:r>
    </w:p>
    <w:p w:rsidR="00AD24C6" w:rsidP="00EF4EA3" w:rsidRDefault="00AD24C6" w14:paraId="1CE30425" w14:textId="77777777">
      <w:pPr>
        <w:spacing w:after="0" w:line="240" w:lineRule="auto"/>
        <w:jc w:val="both"/>
        <w:rPr>
          <w:rFonts w:ascii="Arial" w:hAnsi="Arial" w:eastAsia="Calibri" w:cs="Arial"/>
          <w:color w:val="000000"/>
          <w:szCs w:val="24"/>
          <w:lang w:val="es-ES_tradnl" w:eastAsia="es-ES_tradnl"/>
        </w:rPr>
      </w:pPr>
    </w:p>
    <w:p w:rsidR="00AD24C6" w:rsidP="00EF4EA3" w:rsidRDefault="00AD24C6" w14:paraId="39FDAC4A" w14:textId="77777777">
      <w:pPr>
        <w:spacing w:after="0" w:line="240" w:lineRule="auto"/>
        <w:jc w:val="both"/>
        <w:rPr>
          <w:rFonts w:ascii="Arial" w:hAnsi="Arial" w:eastAsia="Calibri" w:cs="Arial"/>
          <w:color w:val="000000"/>
          <w:szCs w:val="24"/>
          <w:lang w:val="es-ES_tradnl" w:eastAsia="es-ES_tradnl"/>
        </w:rPr>
      </w:pPr>
    </w:p>
    <w:p w:rsidR="00AD24C6" w:rsidP="00EF4EA3" w:rsidRDefault="00AD24C6" w14:paraId="2C4F5FC8" w14:textId="77777777">
      <w:pPr>
        <w:spacing w:after="0" w:line="240" w:lineRule="auto"/>
        <w:jc w:val="both"/>
        <w:rPr>
          <w:rFonts w:ascii="Arial" w:hAnsi="Arial" w:eastAsia="Calibri" w:cs="Arial"/>
          <w:color w:val="000000"/>
          <w:szCs w:val="24"/>
          <w:lang w:val="es-ES_tradnl" w:eastAsia="es-ES_tradnl"/>
        </w:rPr>
      </w:pPr>
    </w:p>
    <w:p w:rsidR="00AD24C6" w:rsidP="00EF4EA3" w:rsidRDefault="00AD24C6" w14:paraId="71A8408B" w14:textId="77777777">
      <w:pPr>
        <w:spacing w:after="0" w:line="240" w:lineRule="auto"/>
        <w:jc w:val="both"/>
        <w:rPr>
          <w:rFonts w:ascii="Arial" w:hAnsi="Arial" w:eastAsia="Calibri" w:cs="Arial"/>
          <w:color w:val="000000"/>
          <w:szCs w:val="24"/>
          <w:lang w:val="es-ES_tradnl" w:eastAsia="es-ES_tradnl"/>
        </w:rPr>
      </w:pPr>
    </w:p>
    <w:p w:rsidR="00B03DC3" w:rsidP="00B03DC3" w:rsidRDefault="00B03DC3" w14:paraId="5FB068F8" w14:textId="77777777">
      <w:pPr>
        <w:spacing w:after="0" w:line="240" w:lineRule="auto"/>
      </w:pPr>
    </w:p>
    <w:p w:rsidR="00B03DC3" w:rsidP="00B03DC3" w:rsidRDefault="00B03DC3" w14:paraId="619584C9" w14:textId="77777777">
      <w:pPr>
        <w:spacing w:after="0" w:line="240" w:lineRule="auto"/>
      </w:pPr>
    </w:p>
    <w:p w:rsidR="00AD24C6" w:rsidP="00B03DC3" w:rsidRDefault="00AD24C6" w14:paraId="54D0DD92" w14:textId="6AFD28C6">
      <w:pPr>
        <w:spacing w:after="0" w:line="240" w:lineRule="auto"/>
        <w:jc w:val="right"/>
        <w:rPr>
          <w:rFonts w:ascii="Arial" w:hAnsi="Arial" w:eastAsia="Calibri" w:cs="Arial"/>
          <w:color w:val="000000"/>
          <w:szCs w:val="24"/>
          <w:lang w:val="es-ES_tradnl" w:eastAsia="es-ES_tradnl"/>
        </w:rPr>
      </w:pPr>
    </w:p>
    <w:p w:rsidR="00B03DC3" w:rsidP="006D33E0" w:rsidRDefault="00B03DC3" w14:paraId="0536663E" w14:textId="77777777">
      <w:pPr>
        <w:spacing w:after="0" w:line="240" w:lineRule="auto"/>
        <w:rPr>
          <w:rFonts w:ascii="Arial" w:hAnsi="Arial" w:eastAsia="Times New Roman" w:cs="Arial"/>
          <w:lang w:val="es-ES" w:eastAsia="es-ES"/>
        </w:rPr>
      </w:pPr>
    </w:p>
    <w:p w:rsidR="00ED21E7" w:rsidP="006D33E0" w:rsidRDefault="00ED21E7" w14:paraId="6A8F9C39" w14:textId="77777777">
      <w:pPr>
        <w:spacing w:after="0" w:line="240" w:lineRule="auto"/>
        <w:rPr>
          <w:rFonts w:ascii="Arial" w:hAnsi="Arial" w:eastAsia="Times New Roman" w:cs="Arial"/>
          <w:lang w:val="es-ES" w:eastAsia="es-ES"/>
        </w:rPr>
      </w:pPr>
    </w:p>
    <w:p w:rsidR="00ED21E7" w:rsidP="00ED21E7" w:rsidRDefault="00ED21E7" w14:paraId="3502AD24" w14:textId="30D9ACDF">
      <w:pPr>
        <w:spacing w:after="0" w:line="240" w:lineRule="auto"/>
        <w:jc w:val="right"/>
        <w:rPr>
          <w:rFonts w:ascii="Arial" w:hAnsi="Arial" w:eastAsia="Times New Roman" w:cs="Arial"/>
          <w:lang w:val="es-ES" w:eastAsia="es-ES"/>
        </w:rPr>
      </w:pPr>
      <w:r w:rsidRPr="00ED21E7">
        <w:rPr>
          <w:rFonts w:ascii="Arial" w:hAnsi="Arial" w:eastAsia="Times New Roman" w:cs="Arial"/>
          <w:noProof/>
          <w:lang w:val="es-ES" w:eastAsia="es-ES"/>
        </w:rPr>
        <w:drawing>
          <wp:inline distT="0" distB="0" distL="0" distR="0" wp14:anchorId="44E8B84C" wp14:editId="4B995A23">
            <wp:extent cx="3001108" cy="779145"/>
            <wp:effectExtent l="0" t="0" r="8890" b="1905"/>
            <wp:docPr id="512871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502" cy="782363"/>
                    </a:xfrm>
                    <a:prstGeom prst="rect">
                      <a:avLst/>
                    </a:prstGeom>
                    <a:noFill/>
                    <a:ln>
                      <a:noFill/>
                    </a:ln>
                  </pic:spPr>
                </pic:pic>
              </a:graphicData>
            </a:graphic>
          </wp:inline>
        </w:drawing>
      </w:r>
    </w:p>
    <w:p w:rsidR="00ED21E7" w:rsidP="006D33E0" w:rsidRDefault="00ED21E7" w14:paraId="53053676" w14:textId="77777777">
      <w:pPr>
        <w:spacing w:after="0" w:line="240" w:lineRule="auto"/>
        <w:rPr>
          <w:rFonts w:ascii="Arial" w:hAnsi="Arial" w:eastAsia="Times New Roman" w:cs="Arial"/>
          <w:lang w:val="es-ES" w:eastAsia="es-ES"/>
        </w:rPr>
      </w:pPr>
    </w:p>
    <w:p w:rsidR="00B03DC3" w:rsidP="00EF4EA3" w:rsidRDefault="00B03DC3" w14:paraId="04FD381D" w14:textId="77777777">
      <w:pPr>
        <w:spacing w:after="0" w:line="240" w:lineRule="auto"/>
        <w:jc w:val="both"/>
        <w:rPr>
          <w:rFonts w:ascii="Arial" w:hAnsi="Arial" w:eastAsia="Calibri" w:cs="Arial"/>
          <w:color w:val="000000"/>
          <w:szCs w:val="24"/>
          <w:lang w:val="es-ES_tradnl" w:eastAsia="es-ES_tradnl"/>
        </w:rPr>
      </w:pPr>
    </w:p>
    <w:p w:rsidRPr="00EF4EA3" w:rsidR="00EF4EA3" w:rsidP="00EF4EA3" w:rsidRDefault="00EF4EA3" w14:paraId="459B5258" w14:textId="4FAEB1D5">
      <w:pPr>
        <w:spacing w:after="0" w:line="240" w:lineRule="auto"/>
        <w:jc w:val="both"/>
        <w:rPr>
          <w:rFonts w:ascii="Arial" w:hAnsi="Arial" w:eastAsia="Calibri" w:cs="Arial"/>
          <w:color w:val="000000"/>
          <w:szCs w:val="24"/>
          <w:lang w:val="es-ES_tradnl" w:eastAsia="es-ES_tradnl"/>
        </w:rPr>
      </w:pPr>
      <w:r w:rsidRPr="00EF4EA3">
        <w:rPr>
          <w:rFonts w:ascii="Arial" w:hAnsi="Arial" w:eastAsia="Calibri" w:cs="Arial"/>
          <w:color w:val="000000"/>
          <w:szCs w:val="24"/>
          <w:lang w:val="es-ES_tradnl" w:eastAsia="es-ES_tradnl"/>
        </w:rPr>
        <w:t>Señora</w:t>
      </w:r>
    </w:p>
    <w:p w:rsidR="00EF4EA3" w:rsidP="00EF4EA3" w:rsidRDefault="00EF4EA3" w14:paraId="51A199AE" w14:textId="624B67AF">
      <w:pPr>
        <w:spacing w:after="0" w:line="240" w:lineRule="auto"/>
        <w:jc w:val="both"/>
        <w:rPr>
          <w:rFonts w:ascii="Arial" w:hAnsi="Arial" w:eastAsia="Calibri" w:cs="Arial"/>
          <w:b/>
          <w:color w:val="000000"/>
          <w:szCs w:val="24"/>
          <w:lang w:val="es-ES_tradnl" w:eastAsia="es-ES_tradnl"/>
        </w:rPr>
      </w:pPr>
      <w:r>
        <w:rPr>
          <w:rFonts w:ascii="Arial" w:hAnsi="Arial" w:eastAsia="Calibri" w:cs="Arial"/>
          <w:b/>
          <w:color w:val="000000"/>
          <w:szCs w:val="24"/>
          <w:lang w:val="es-ES_tradnl" w:eastAsia="es-ES_tradnl"/>
        </w:rPr>
        <w:t>Karen Gutiérrez</w:t>
      </w:r>
    </w:p>
    <w:p w:rsidRPr="00366906" w:rsidR="00366906" w:rsidP="00EF4EA3" w:rsidRDefault="008B197F" w14:paraId="7B224358" w14:textId="4FEE1D31">
      <w:pPr>
        <w:spacing w:after="0" w:line="240" w:lineRule="auto"/>
        <w:jc w:val="both"/>
        <w:rPr>
          <w:rFonts w:ascii="Arial" w:hAnsi="Arial" w:eastAsia="Calibri" w:cs="Arial"/>
          <w:bCs/>
          <w:color w:val="000000"/>
          <w:szCs w:val="24"/>
          <w:lang w:val="es-ES_tradnl" w:eastAsia="es-ES_tradnl"/>
        </w:rPr>
      </w:pPr>
      <w:hyperlink w:history="1" r:id="rId12">
        <w:r w:rsidRPr="009C522C" w:rsidR="00366906">
          <w:rPr>
            <w:rStyle w:val="Hipervnculo"/>
            <w:rFonts w:ascii="Arial" w:hAnsi="Arial" w:eastAsia="Calibri" w:cs="Arial"/>
            <w:bCs/>
            <w:szCs w:val="24"/>
            <w:lang w:val="es-ES_tradnl" w:eastAsia="es-ES_tradnl"/>
          </w:rPr>
          <w:t>kajudi2018@gmail.com</w:t>
        </w:r>
      </w:hyperlink>
      <w:r w:rsidR="00366906">
        <w:rPr>
          <w:rFonts w:ascii="Arial" w:hAnsi="Arial" w:eastAsia="Calibri" w:cs="Arial"/>
          <w:bCs/>
          <w:color w:val="000000"/>
          <w:szCs w:val="24"/>
          <w:lang w:val="es-ES_tradnl" w:eastAsia="es-ES_tradnl"/>
        </w:rPr>
        <w:t xml:space="preserve"> </w:t>
      </w:r>
    </w:p>
    <w:p w:rsidRPr="00EF4EA3" w:rsidR="00EF4EA3" w:rsidP="00EF4EA3" w:rsidRDefault="00A2453B" w14:paraId="30A4B29E" w14:textId="0520874E">
      <w:pPr>
        <w:spacing w:after="0" w:line="240" w:lineRule="auto"/>
        <w:jc w:val="both"/>
        <w:rPr>
          <w:rFonts w:ascii="Arial" w:hAnsi="Arial" w:eastAsia="Calibri" w:cs="Arial"/>
          <w:color w:val="000000"/>
          <w:szCs w:val="24"/>
          <w:lang w:val="es-ES_tradnl" w:eastAsia="es-ES_tradnl"/>
        </w:rPr>
      </w:pPr>
      <w:r>
        <w:rPr>
          <w:rFonts w:ascii="Arial" w:hAnsi="Arial" w:eastAsia="Calibri" w:cs="Arial"/>
          <w:color w:val="000000"/>
          <w:szCs w:val="24"/>
          <w:lang w:val="es-ES_tradnl" w:eastAsia="es-ES_tradnl"/>
        </w:rPr>
        <w:t xml:space="preserve">Bogotá D.C </w:t>
      </w:r>
    </w:p>
    <w:p w:rsidRPr="00EF4EA3" w:rsidR="00EF4EA3" w:rsidP="00EF4EA3" w:rsidRDefault="00EF4EA3" w14:paraId="3F919143" w14:textId="77777777">
      <w:pPr>
        <w:spacing w:after="0" w:line="240" w:lineRule="auto"/>
        <w:jc w:val="both"/>
        <w:rPr>
          <w:rFonts w:ascii="Arial" w:hAnsi="Arial" w:eastAsia="Calibri" w:cs="Arial"/>
          <w:color w:val="000000"/>
          <w:szCs w:val="24"/>
          <w:lang w:val="es-ES_tradnl" w:eastAsia="es-ES_tradnl"/>
        </w:rPr>
      </w:pPr>
    </w:p>
    <w:p w:rsidRPr="00EF4EA3" w:rsidR="00EF4EA3" w:rsidP="00EF4EA3" w:rsidRDefault="00EF4EA3" w14:paraId="4E7E8424" w14:textId="1E42FD53">
      <w:pPr>
        <w:spacing w:after="0" w:line="240" w:lineRule="auto"/>
        <w:jc w:val="center"/>
        <w:rPr>
          <w:rFonts w:ascii="Arial" w:hAnsi="Arial" w:eastAsia="Calibri" w:cs="Arial"/>
          <w:b/>
          <w:bCs/>
          <w:color w:val="000000"/>
          <w:szCs w:val="24"/>
          <w:lang w:val="es-ES_tradnl" w:eastAsia="es-ES_tradnl"/>
        </w:rPr>
      </w:pPr>
      <w:r w:rsidRPr="00EF4EA3">
        <w:rPr>
          <w:rFonts w:ascii="Arial" w:hAnsi="Arial" w:eastAsia="Calibri" w:cs="Arial"/>
          <w:b/>
          <w:bCs/>
          <w:color w:val="000000"/>
          <w:szCs w:val="24"/>
          <w:lang w:val="es-ES_tradnl" w:eastAsia="es-ES_tradnl"/>
        </w:rPr>
        <w:t xml:space="preserve">Concepto C ‒ </w:t>
      </w:r>
      <w:r w:rsidR="00366906">
        <w:rPr>
          <w:rFonts w:ascii="Arial" w:hAnsi="Arial" w:eastAsia="Calibri" w:cs="Arial"/>
          <w:b/>
          <w:bCs/>
          <w:color w:val="000000"/>
          <w:szCs w:val="24"/>
          <w:lang w:val="es-ES_tradnl" w:eastAsia="es-ES_tradnl"/>
        </w:rPr>
        <w:t>397</w:t>
      </w:r>
      <w:r w:rsidRPr="00EF4EA3">
        <w:rPr>
          <w:rFonts w:ascii="Arial" w:hAnsi="Arial" w:eastAsia="Calibri" w:cs="Arial"/>
          <w:b/>
          <w:bCs/>
          <w:color w:val="000000"/>
          <w:szCs w:val="24"/>
          <w:lang w:val="es-ES_tradnl" w:eastAsia="es-ES_tradnl"/>
        </w:rPr>
        <w:t xml:space="preserve"> de 202</w:t>
      </w:r>
      <w:r w:rsidR="00366906">
        <w:rPr>
          <w:rFonts w:ascii="Arial" w:hAnsi="Arial" w:eastAsia="Calibri" w:cs="Arial"/>
          <w:b/>
          <w:bCs/>
          <w:color w:val="000000"/>
          <w:szCs w:val="24"/>
          <w:lang w:val="es-ES_tradnl" w:eastAsia="es-ES_tradnl"/>
        </w:rPr>
        <w:t>3</w:t>
      </w:r>
    </w:p>
    <w:p w:rsidRPr="00EF4EA3" w:rsidR="00EF4EA3" w:rsidP="00EF4EA3" w:rsidRDefault="00EF4EA3" w14:paraId="531D7E37" w14:textId="77777777">
      <w:pPr>
        <w:spacing w:after="0" w:line="240" w:lineRule="auto"/>
        <w:jc w:val="both"/>
        <w:rPr>
          <w:rFonts w:ascii="Arial" w:hAnsi="Arial" w:eastAsia="Calibri" w:cs="Arial"/>
          <w:color w:val="000000"/>
          <w:szCs w:val="24"/>
          <w:lang w:val="es-ES_tradnl" w:eastAsia="es-ES_tradnl"/>
        </w:rPr>
      </w:pPr>
    </w:p>
    <w:tbl>
      <w:tblPr>
        <w:tblStyle w:val="Tablaconcuadrcula"/>
        <w:tblW w:w="9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06"/>
        <w:gridCol w:w="6509"/>
      </w:tblGrid>
      <w:tr w:rsidRPr="00EF4EA3" w:rsidR="00EF4EA3" w:rsidTr="00086875" w14:paraId="18EFFADD" w14:textId="77777777">
        <w:trPr>
          <w:trHeight w:val="867"/>
        </w:trPr>
        <w:tc>
          <w:tcPr>
            <w:tcW w:w="2606" w:type="dxa"/>
          </w:tcPr>
          <w:p w:rsidRPr="00EF4EA3" w:rsidR="00EF4EA3" w:rsidP="00EF4EA3" w:rsidRDefault="00EF4EA3" w14:paraId="2D7FF50C" w14:textId="77777777">
            <w:pPr>
              <w:jc w:val="both"/>
              <w:rPr>
                <w:rFonts w:ascii="Arial" w:hAnsi="Arial" w:eastAsia="Calibri" w:cs="Arial"/>
                <w:color w:val="000000"/>
                <w:szCs w:val="24"/>
                <w:lang w:val="es-ES_tradnl" w:eastAsia="es-ES_tradnl"/>
              </w:rPr>
            </w:pPr>
            <w:r w:rsidRPr="00EF4EA3">
              <w:rPr>
                <w:rFonts w:ascii="Arial" w:hAnsi="Arial" w:eastAsia="Calibri" w:cs="Arial"/>
                <w:b/>
                <w:color w:val="000000"/>
                <w:szCs w:val="24"/>
                <w:lang w:val="es-ES_tradnl" w:eastAsia="es-ES_tradnl"/>
              </w:rPr>
              <w:t>Temas:</w:t>
            </w:r>
            <w:r w:rsidRPr="00EF4EA3">
              <w:rPr>
                <w:rFonts w:ascii="Arial" w:hAnsi="Arial" w:eastAsia="Calibri" w:cs="Arial"/>
                <w:color w:val="000000"/>
                <w:szCs w:val="24"/>
                <w:lang w:val="es-ES_tradnl" w:eastAsia="es-ES_tradnl"/>
              </w:rPr>
              <w:t xml:space="preserve">                                      </w:t>
            </w:r>
          </w:p>
        </w:tc>
        <w:tc>
          <w:tcPr>
            <w:tcW w:w="6509" w:type="dxa"/>
          </w:tcPr>
          <w:p w:rsidRPr="00EF4EA3" w:rsidR="00EF4EA3" w:rsidP="00EF4EA3" w:rsidRDefault="00EF4EA3" w14:paraId="20E8AADF" w14:textId="2E403A1F">
            <w:pPr>
              <w:jc w:val="both"/>
              <w:rPr>
                <w:rFonts w:ascii="Arial" w:hAnsi="Arial" w:eastAsia="Calibri" w:cs="Arial"/>
                <w:color w:val="000000"/>
                <w:szCs w:val="24"/>
                <w:highlight w:val="yellow"/>
                <w:lang w:val="es-ES_tradnl" w:eastAsia="es-ES_tradnl"/>
              </w:rPr>
            </w:pPr>
            <w:r w:rsidRPr="00EF4EA3">
              <w:rPr>
                <w:rFonts w:ascii="Arial" w:hAnsi="Arial" w:eastAsia="Calibri" w:cs="Arial"/>
                <w:bCs/>
                <w:szCs w:val="24"/>
                <w:lang w:val="es-ES_tradnl" w:eastAsia="es-ES_tradnl"/>
              </w:rPr>
              <w:t>PRINCIPIO DE PLANEACIÓN – Estudios previos / PRINCIPIO DE PLANEACIÓN – Análisis del sector económico y de los oferentes / PRECIO – Concepto – Estructuración</w:t>
            </w:r>
          </w:p>
        </w:tc>
      </w:tr>
      <w:tr w:rsidRPr="00EF4EA3" w:rsidR="00EF4EA3" w:rsidTr="00086875" w14:paraId="22C501A3" w14:textId="77777777">
        <w:trPr>
          <w:trHeight w:val="573"/>
        </w:trPr>
        <w:tc>
          <w:tcPr>
            <w:tcW w:w="2606" w:type="dxa"/>
          </w:tcPr>
          <w:p w:rsidRPr="00EF4EA3" w:rsidR="00EF4EA3" w:rsidP="00086875" w:rsidRDefault="00EF4EA3" w14:paraId="4977BF8F" w14:textId="77777777">
            <w:pPr>
              <w:jc w:val="both"/>
              <w:rPr>
                <w:rFonts w:ascii="Arial" w:hAnsi="Arial" w:eastAsia="Calibri" w:cs="Arial"/>
                <w:b/>
                <w:color w:val="000000"/>
                <w:szCs w:val="24"/>
                <w:lang w:val="es-ES_tradnl" w:eastAsia="es-ES_tradnl"/>
              </w:rPr>
            </w:pPr>
            <w:r w:rsidRPr="00EF4EA3">
              <w:rPr>
                <w:rFonts w:ascii="Arial" w:hAnsi="Arial" w:eastAsia="Calibri" w:cs="Arial"/>
                <w:b/>
                <w:color w:val="000000"/>
                <w:szCs w:val="24"/>
                <w:lang w:val="es-ES_tradnl" w:eastAsia="es-ES_tradnl"/>
              </w:rPr>
              <w:t>Radicación:</w:t>
            </w:r>
            <w:r w:rsidRPr="00EF4EA3">
              <w:rPr>
                <w:rFonts w:ascii="Arial" w:hAnsi="Arial" w:eastAsia="Calibri" w:cs="Arial"/>
                <w:color w:val="000000"/>
                <w:szCs w:val="24"/>
                <w:lang w:val="es-ES_tradnl" w:eastAsia="es-ES_tradnl"/>
              </w:rPr>
              <w:t xml:space="preserve">                              </w:t>
            </w:r>
          </w:p>
        </w:tc>
        <w:tc>
          <w:tcPr>
            <w:tcW w:w="6509" w:type="dxa"/>
          </w:tcPr>
          <w:p w:rsidRPr="00EF4EA3" w:rsidR="00EF4EA3" w:rsidP="00086875" w:rsidRDefault="00EF4EA3" w14:paraId="11FCB189" w14:textId="58D08C01">
            <w:pPr>
              <w:jc w:val="both"/>
              <w:rPr>
                <w:rFonts w:ascii="Arial" w:hAnsi="Arial" w:eastAsia="Calibri" w:cs="Arial"/>
                <w:color w:val="000000"/>
                <w:szCs w:val="24"/>
                <w:lang w:val="es-ES_tradnl" w:eastAsia="es-ES_tradnl"/>
              </w:rPr>
            </w:pPr>
            <w:r w:rsidRPr="00EF4EA3">
              <w:rPr>
                <w:rFonts w:ascii="Arial" w:hAnsi="Arial" w:eastAsia="Calibri" w:cs="Arial"/>
                <w:color w:val="000000"/>
                <w:szCs w:val="24"/>
                <w:lang w:val="es-ES_tradnl" w:eastAsia="es-ES_tradnl"/>
              </w:rPr>
              <w:t xml:space="preserve">Respuesta a consulta </w:t>
            </w:r>
            <w:r w:rsidR="00366906">
              <w:rPr>
                <w:rFonts w:ascii="Arial" w:hAnsi="Arial" w:eastAsia="Calibri" w:cs="Arial"/>
                <w:color w:val="000000"/>
                <w:szCs w:val="24"/>
                <w:lang w:val="es-ES_tradnl" w:eastAsia="es-ES_tradnl"/>
              </w:rPr>
              <w:t xml:space="preserve"> </w:t>
            </w:r>
            <w:r w:rsidRPr="00246CEE" w:rsidR="00246CEE">
              <w:rPr>
                <w:rFonts w:ascii="Arial" w:hAnsi="Arial" w:eastAsia="Calibri" w:cs="Arial"/>
                <w:color w:val="000000"/>
                <w:szCs w:val="24"/>
                <w:lang w:val="es-ES_tradnl" w:eastAsia="es-ES_tradnl"/>
              </w:rPr>
              <w:t>P202</w:t>
            </w:r>
            <w:r w:rsidR="00366906">
              <w:rPr>
                <w:rFonts w:ascii="Arial" w:hAnsi="Arial" w:eastAsia="Calibri" w:cs="Arial"/>
                <w:color w:val="000000"/>
                <w:szCs w:val="24"/>
                <w:lang w:val="es-ES_tradnl" w:eastAsia="es-ES_tradnl"/>
              </w:rPr>
              <w:t>30815014223</w:t>
            </w:r>
          </w:p>
          <w:p w:rsidRPr="00EF4EA3" w:rsidR="00EF4EA3" w:rsidP="00086875" w:rsidRDefault="00EF4EA3" w14:paraId="26338D6B" w14:textId="77777777">
            <w:pPr>
              <w:jc w:val="both"/>
              <w:rPr>
                <w:rFonts w:ascii="Arial" w:hAnsi="Arial" w:eastAsia="Calibri" w:cs="Arial"/>
                <w:color w:val="000000"/>
                <w:szCs w:val="24"/>
                <w:lang w:val="es-ES_tradnl" w:eastAsia="es-ES_tradnl"/>
              </w:rPr>
            </w:pPr>
            <w:r w:rsidRPr="00EF4EA3">
              <w:rPr>
                <w:rFonts w:ascii="Arial" w:hAnsi="Arial" w:eastAsia="Calibri" w:cs="Arial"/>
                <w:color w:val="000000"/>
                <w:szCs w:val="24"/>
                <w:lang w:val="es-ES_tradnl" w:eastAsia="es-ES_tradnl"/>
              </w:rPr>
              <w:t xml:space="preserve"> </w:t>
            </w:r>
          </w:p>
        </w:tc>
      </w:tr>
    </w:tbl>
    <w:p w:rsidRPr="00EF4EA3" w:rsidR="00EF4EA3" w:rsidP="006D33E0" w:rsidRDefault="00EF4EA3" w14:paraId="7B1EBAD1" w14:textId="01FEDCAF">
      <w:pPr>
        <w:spacing w:after="0" w:line="240" w:lineRule="auto"/>
        <w:jc w:val="both"/>
        <w:rPr>
          <w:rFonts w:ascii="Arial" w:hAnsi="Arial" w:eastAsia="Calibri" w:cs="Arial"/>
          <w:bCs/>
          <w:color w:val="000000"/>
          <w:szCs w:val="24"/>
          <w:lang w:val="es-ES_tradnl" w:eastAsia="es-ES_tradnl"/>
        </w:rPr>
      </w:pPr>
      <w:r w:rsidRPr="00EF4EA3">
        <w:rPr>
          <w:rFonts w:ascii="Arial" w:hAnsi="Arial" w:eastAsia="Calibri" w:cs="Arial"/>
          <w:color w:val="000000"/>
          <w:szCs w:val="24"/>
          <w:lang w:val="es-ES_tradnl" w:eastAsia="es-ES_tradnl"/>
        </w:rPr>
        <w:t>Estimada</w:t>
      </w:r>
      <w:r w:rsidR="00366906">
        <w:rPr>
          <w:rFonts w:ascii="Arial" w:hAnsi="Arial" w:eastAsia="Calibri" w:cs="Arial"/>
          <w:color w:val="000000"/>
          <w:szCs w:val="24"/>
          <w:lang w:val="es-ES_tradnl" w:eastAsia="es-ES_tradnl"/>
        </w:rPr>
        <w:t xml:space="preserve"> señora</w:t>
      </w:r>
      <w:r w:rsidRPr="00A2453B" w:rsidR="00A2453B">
        <w:rPr>
          <w:rFonts w:ascii="Arial" w:hAnsi="Arial" w:eastAsia="Calibri" w:cs="Arial"/>
          <w:b/>
          <w:color w:val="000000"/>
          <w:szCs w:val="24"/>
          <w:lang w:val="es-ES_tradnl" w:eastAsia="es-ES_tradnl"/>
        </w:rPr>
        <w:t xml:space="preserve"> </w:t>
      </w:r>
      <w:r w:rsidRPr="00A2453B" w:rsidR="00A2453B">
        <w:rPr>
          <w:rFonts w:ascii="Arial" w:hAnsi="Arial" w:eastAsia="Calibri" w:cs="Arial"/>
          <w:bCs/>
          <w:color w:val="000000"/>
          <w:szCs w:val="24"/>
          <w:lang w:val="es-ES_tradnl" w:eastAsia="es-ES_tradnl"/>
        </w:rPr>
        <w:t>Gutiérrez</w:t>
      </w:r>
      <w:r w:rsidRPr="00EF4EA3">
        <w:rPr>
          <w:rFonts w:ascii="Arial" w:hAnsi="Arial" w:eastAsia="Calibri" w:cs="Arial"/>
          <w:bCs/>
          <w:color w:val="000000"/>
          <w:szCs w:val="24"/>
          <w:lang w:val="es-ES_tradnl" w:eastAsia="es-ES_tradnl"/>
        </w:rPr>
        <w:t>:</w:t>
      </w:r>
    </w:p>
    <w:p w:rsidRPr="00EF4EA3" w:rsidR="00EF4EA3" w:rsidP="00EF4EA3" w:rsidRDefault="00EF4EA3" w14:paraId="64F1EFAA" w14:textId="77777777">
      <w:pPr>
        <w:spacing w:after="0" w:line="240" w:lineRule="auto"/>
        <w:jc w:val="both"/>
        <w:rPr>
          <w:rFonts w:ascii="Arial" w:hAnsi="Arial" w:eastAsia="Calibri" w:cs="Arial"/>
          <w:color w:val="000000"/>
          <w:szCs w:val="24"/>
          <w:lang w:val="es-ES_tradnl" w:eastAsia="es-ES_tradnl"/>
        </w:rPr>
      </w:pPr>
    </w:p>
    <w:p w:rsidRPr="00EF4EA3" w:rsidR="00EF4EA3" w:rsidP="00EF4EA3" w:rsidRDefault="00EF4EA3" w14:paraId="308443D2" w14:textId="61F7DFA8">
      <w:pPr>
        <w:spacing w:after="0" w:line="276" w:lineRule="auto"/>
        <w:jc w:val="both"/>
        <w:rPr>
          <w:rFonts w:ascii="Arial" w:hAnsi="Arial" w:eastAsia="Calibri" w:cs="Arial"/>
          <w:color w:val="000000"/>
          <w:szCs w:val="24"/>
          <w:lang w:val="es-ES_tradnl" w:eastAsia="es-ES_tradnl"/>
        </w:rPr>
      </w:pPr>
      <w:r w:rsidRPr="00EF4EA3">
        <w:rPr>
          <w:rFonts w:ascii="Arial" w:hAnsi="Arial" w:eastAsia="Calibri"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A2453B">
        <w:rPr>
          <w:rFonts w:ascii="Arial" w:hAnsi="Arial" w:eastAsia="Calibri" w:cs="Arial"/>
          <w:color w:val="000000"/>
          <w:szCs w:val="24"/>
          <w:lang w:val="es-ES_tradnl" w:eastAsia="es-ES_tradnl"/>
        </w:rPr>
        <w:t>1</w:t>
      </w:r>
      <w:r w:rsidR="00366906">
        <w:rPr>
          <w:rFonts w:ascii="Arial" w:hAnsi="Arial" w:eastAsia="Calibri" w:cs="Arial"/>
          <w:color w:val="000000"/>
          <w:szCs w:val="24"/>
          <w:lang w:val="es-ES_tradnl" w:eastAsia="es-ES_tradnl"/>
        </w:rPr>
        <w:t>5</w:t>
      </w:r>
      <w:r w:rsidRPr="00EF4EA3">
        <w:rPr>
          <w:rFonts w:ascii="Arial" w:hAnsi="Arial" w:eastAsia="Calibri" w:cs="Arial"/>
          <w:color w:val="000000"/>
          <w:szCs w:val="24"/>
          <w:lang w:val="es-ES_tradnl" w:eastAsia="es-ES_tradnl"/>
        </w:rPr>
        <w:t xml:space="preserve"> de </w:t>
      </w:r>
      <w:r w:rsidR="00A2453B">
        <w:rPr>
          <w:rFonts w:ascii="Arial" w:hAnsi="Arial" w:eastAsia="Calibri" w:cs="Arial"/>
          <w:color w:val="000000"/>
          <w:szCs w:val="24"/>
          <w:lang w:val="es-ES_tradnl" w:eastAsia="es-ES_tradnl"/>
        </w:rPr>
        <w:t>agosto</w:t>
      </w:r>
      <w:r w:rsidRPr="00EF4EA3">
        <w:rPr>
          <w:rFonts w:ascii="Arial" w:hAnsi="Arial" w:eastAsia="Calibri" w:cs="Arial"/>
          <w:color w:val="000000"/>
          <w:szCs w:val="24"/>
          <w:lang w:val="es-ES_tradnl" w:eastAsia="es-ES_tradnl"/>
        </w:rPr>
        <w:t xml:space="preserve"> del 202</w:t>
      </w:r>
      <w:r w:rsidR="00366906">
        <w:rPr>
          <w:rFonts w:ascii="Arial" w:hAnsi="Arial" w:eastAsia="Calibri" w:cs="Arial"/>
          <w:color w:val="000000"/>
          <w:szCs w:val="24"/>
          <w:lang w:val="es-ES_tradnl" w:eastAsia="es-ES_tradnl"/>
        </w:rPr>
        <w:t>3</w:t>
      </w:r>
      <w:r w:rsidRPr="00EF4EA3">
        <w:rPr>
          <w:rFonts w:ascii="Arial" w:hAnsi="Arial" w:eastAsia="Calibri" w:cs="Arial"/>
          <w:color w:val="000000"/>
          <w:szCs w:val="24"/>
          <w:lang w:val="es-ES_tradnl" w:eastAsia="es-ES_tradnl"/>
        </w:rPr>
        <w:t>.</w:t>
      </w:r>
    </w:p>
    <w:p w:rsidRPr="00EF4EA3" w:rsidR="00EF4EA3" w:rsidP="00EF4EA3" w:rsidRDefault="00EF4EA3" w14:paraId="5D2A9AD1" w14:textId="77777777">
      <w:pPr>
        <w:spacing w:after="0" w:line="276" w:lineRule="auto"/>
        <w:jc w:val="both"/>
        <w:rPr>
          <w:rFonts w:ascii="Arial" w:hAnsi="Arial" w:eastAsia="Calibri" w:cs="Arial"/>
          <w:b/>
          <w:color w:val="000000"/>
          <w:szCs w:val="24"/>
          <w:lang w:val="es-ES_tradnl" w:eastAsia="es-ES_tradnl"/>
        </w:rPr>
      </w:pPr>
    </w:p>
    <w:p w:rsidRPr="00EF4EA3" w:rsidR="00EF4EA3" w:rsidP="00EF4EA3" w:rsidRDefault="00EF4EA3" w14:paraId="4682215C" w14:textId="77777777">
      <w:pPr>
        <w:numPr>
          <w:ilvl w:val="0"/>
          <w:numId w:val="1"/>
        </w:numPr>
        <w:tabs>
          <w:tab w:val="left" w:pos="0"/>
          <w:tab w:val="left" w:pos="142"/>
          <w:tab w:val="left" w:pos="284"/>
        </w:tabs>
        <w:spacing w:after="0" w:line="276" w:lineRule="auto"/>
        <w:contextualSpacing/>
        <w:jc w:val="both"/>
        <w:rPr>
          <w:rFonts w:ascii="Arial" w:hAnsi="Arial" w:eastAsia="Calibri" w:cs="Arial"/>
          <w:b/>
          <w:color w:val="000000"/>
          <w:lang w:val="es-ES_tradnl"/>
        </w:rPr>
      </w:pPr>
      <w:r w:rsidRPr="00EF4EA3">
        <w:rPr>
          <w:rFonts w:ascii="Arial" w:hAnsi="Arial" w:eastAsia="Calibri" w:cs="Arial"/>
          <w:b/>
          <w:color w:val="000000"/>
          <w:lang w:val="es-ES_tradnl"/>
        </w:rPr>
        <w:t xml:space="preserve">Problema planteado </w:t>
      </w:r>
    </w:p>
    <w:p w:rsidRPr="00EF4EA3" w:rsidR="00EF4EA3" w:rsidP="00EF4EA3" w:rsidRDefault="00EF4EA3" w14:paraId="0946B3AC" w14:textId="77777777">
      <w:pPr>
        <w:tabs>
          <w:tab w:val="left" w:pos="426"/>
        </w:tabs>
        <w:spacing w:after="0" w:line="276" w:lineRule="auto"/>
        <w:jc w:val="both"/>
        <w:rPr>
          <w:rFonts w:ascii="Arial" w:hAnsi="Arial" w:eastAsia="Calibri" w:cs="Arial"/>
          <w:b/>
          <w:color w:val="000000"/>
          <w:szCs w:val="24"/>
          <w:lang w:val="es-ES_tradnl" w:eastAsia="es-ES_tradnl"/>
        </w:rPr>
      </w:pPr>
    </w:p>
    <w:p w:rsidR="00366906" w:rsidP="00EF4EA3" w:rsidRDefault="00EF4EA3" w14:paraId="3AA047BC" w14:textId="77777777">
      <w:pPr>
        <w:spacing w:after="0" w:line="276" w:lineRule="auto"/>
        <w:jc w:val="both"/>
        <w:rPr>
          <w:rFonts w:ascii="Arial" w:hAnsi="Arial" w:eastAsia="Times New Roman" w:cs="Arial"/>
          <w:color w:val="000000"/>
          <w:szCs w:val="24"/>
          <w:lang w:val="es-ES_tradnl" w:eastAsia="es-ES_tradnl"/>
        </w:rPr>
      </w:pPr>
      <w:r w:rsidRPr="00EF4EA3">
        <w:rPr>
          <w:rFonts w:ascii="Arial" w:hAnsi="Arial" w:eastAsia="Times New Roman" w:cs="Arial"/>
          <w:color w:val="000000"/>
          <w:szCs w:val="24"/>
          <w:lang w:val="es-ES_tradnl" w:eastAsia="es-ES_tradnl"/>
        </w:rPr>
        <w:t>Usted formula la siguiente pregunta</w:t>
      </w:r>
      <w:r w:rsidR="00366906">
        <w:rPr>
          <w:rFonts w:ascii="Arial" w:hAnsi="Arial" w:eastAsia="Times New Roman" w:cs="Arial"/>
          <w:color w:val="000000"/>
          <w:szCs w:val="24"/>
          <w:lang w:val="es-ES_tradnl" w:eastAsia="es-ES_tradnl"/>
        </w:rPr>
        <w:t>, con relación al principio de planeación y a los  estudios del sector, al respecto consulta</w:t>
      </w:r>
      <w:r w:rsidRPr="00A2453B" w:rsidR="00A2453B">
        <w:rPr>
          <w:rFonts w:ascii="Arial" w:hAnsi="Arial" w:eastAsia="Times New Roman" w:cs="Arial"/>
          <w:color w:val="000000"/>
          <w:szCs w:val="24"/>
          <w:lang w:val="es-ES_tradnl" w:eastAsia="es-ES_tradnl"/>
        </w:rPr>
        <w:t>:</w:t>
      </w:r>
    </w:p>
    <w:p w:rsidR="00366906" w:rsidP="00EF4EA3" w:rsidRDefault="00366906" w14:paraId="620F40B1" w14:textId="77777777">
      <w:pPr>
        <w:spacing w:after="0" w:line="276" w:lineRule="auto"/>
        <w:jc w:val="both"/>
        <w:rPr>
          <w:rFonts w:ascii="Arial" w:hAnsi="Arial" w:eastAsia="Times New Roman" w:cs="Arial"/>
          <w:color w:val="000000"/>
          <w:szCs w:val="24"/>
          <w:lang w:val="es-ES_tradnl" w:eastAsia="es-ES_tradnl"/>
        </w:rPr>
      </w:pPr>
    </w:p>
    <w:p w:rsidRPr="00425524" w:rsidR="00EF4EA3" w:rsidP="00425524" w:rsidRDefault="00A2453B" w14:paraId="78677A83" w14:textId="13D07F88">
      <w:pPr>
        <w:spacing w:after="120" w:line="240" w:lineRule="auto"/>
        <w:ind w:left="709" w:right="709"/>
        <w:jc w:val="both"/>
        <w:rPr>
          <w:rFonts w:ascii="Arial" w:hAnsi="Arial" w:eastAsia="Times New Roman" w:cs="Arial"/>
          <w:sz w:val="21"/>
          <w:szCs w:val="21"/>
          <w:lang w:eastAsia="es-ES_tradnl"/>
        </w:rPr>
      </w:pPr>
      <w:r w:rsidRPr="00425524">
        <w:rPr>
          <w:rFonts w:ascii="Arial" w:hAnsi="Arial" w:eastAsia="Times New Roman" w:cs="Arial"/>
          <w:sz w:val="21"/>
          <w:szCs w:val="21"/>
          <w:lang w:eastAsia="es-ES_tradnl"/>
        </w:rPr>
        <w:t xml:space="preserve"> </w:t>
      </w:r>
      <w:r w:rsidRPr="00425524" w:rsidR="00871572">
        <w:rPr>
          <w:rFonts w:ascii="Arial" w:hAnsi="Arial" w:eastAsia="Times New Roman" w:cs="Arial"/>
          <w:sz w:val="21"/>
          <w:szCs w:val="21"/>
          <w:lang w:eastAsia="es-ES_tradnl"/>
        </w:rPr>
        <w:t>“</w:t>
      </w:r>
      <w:r w:rsidRPr="00425524" w:rsidR="00366906">
        <w:rPr>
          <w:rFonts w:ascii="Arial" w:hAnsi="Arial" w:eastAsia="Times New Roman" w:cs="Arial"/>
          <w:sz w:val="21"/>
          <w:szCs w:val="21"/>
          <w:lang w:eastAsia="es-ES_tradnl"/>
        </w:rPr>
        <w:t xml:space="preserve">Frente a la adquisición de bienes y servicios con relación al comportamiento del gasto histórico expuesto en la GUÍA DE ELABORACIÓN DE ESTUDIOS DEL SECTOR - </w:t>
      </w:r>
      <w:proofErr w:type="spellStart"/>
      <w:r w:rsidRPr="00425524" w:rsidR="00366906">
        <w:rPr>
          <w:rFonts w:ascii="Arial" w:hAnsi="Arial" w:eastAsia="Times New Roman" w:cs="Arial"/>
          <w:sz w:val="21"/>
          <w:szCs w:val="21"/>
          <w:lang w:eastAsia="es-ES_tradnl"/>
        </w:rPr>
        <w:t>Gees</w:t>
      </w:r>
      <w:proofErr w:type="spellEnd"/>
      <w:r w:rsidRPr="00425524" w:rsidR="00366906">
        <w:rPr>
          <w:rFonts w:ascii="Arial" w:hAnsi="Arial" w:eastAsia="Times New Roman" w:cs="Arial"/>
          <w:sz w:val="21"/>
          <w:szCs w:val="21"/>
          <w:lang w:eastAsia="es-ES_tradnl"/>
        </w:rPr>
        <w:t xml:space="preserve"> Versión 2, una vez analizados los lineamientos señalados dentro de la misma. </w:t>
      </w:r>
      <w:proofErr w:type="gramStart"/>
      <w:r w:rsidRPr="00425524" w:rsidR="00366906">
        <w:rPr>
          <w:rFonts w:ascii="Arial" w:hAnsi="Arial" w:eastAsia="Times New Roman" w:cs="Arial"/>
          <w:sz w:val="21"/>
          <w:szCs w:val="21"/>
          <w:lang w:eastAsia="es-ES_tradnl"/>
        </w:rPr>
        <w:t>Es procedente realizar análisis de variables económicas cuando la modalidad de contratación es Subasta?</w:t>
      </w:r>
      <w:proofErr w:type="gramEnd"/>
      <w:r w:rsidRPr="00425524" w:rsidR="00366906">
        <w:rPr>
          <w:rFonts w:ascii="Arial" w:hAnsi="Arial" w:eastAsia="Times New Roman" w:cs="Arial"/>
          <w:sz w:val="21"/>
          <w:szCs w:val="21"/>
          <w:lang w:eastAsia="es-ES_tradnl"/>
        </w:rPr>
        <w:t xml:space="preserve"> lo anterior teniendo en cuenta la dinámica de ésta en cuanto a precios históricos vs la realidad cambiante del mercado.</w:t>
      </w:r>
      <w:r w:rsidRPr="00425524" w:rsidR="00871572">
        <w:rPr>
          <w:rFonts w:ascii="Arial" w:hAnsi="Arial" w:eastAsia="Times New Roman" w:cs="Arial"/>
          <w:sz w:val="21"/>
          <w:szCs w:val="21"/>
          <w:lang w:eastAsia="es-ES_tradnl"/>
        </w:rPr>
        <w:t>”</w:t>
      </w:r>
      <w:r w:rsidRPr="00425524" w:rsidR="00366906">
        <w:rPr>
          <w:rFonts w:ascii="Arial" w:hAnsi="Arial" w:eastAsia="Times New Roman" w:cs="Arial"/>
          <w:sz w:val="21"/>
          <w:szCs w:val="21"/>
          <w:lang w:eastAsia="es-ES_tradnl"/>
        </w:rPr>
        <w:t xml:space="preserve"> (SIC).</w:t>
      </w:r>
      <w:r w:rsidRPr="00425524">
        <w:rPr>
          <w:rFonts w:ascii="Arial" w:hAnsi="Arial" w:eastAsia="Times New Roman" w:cs="Arial"/>
          <w:sz w:val="21"/>
          <w:szCs w:val="21"/>
          <w:lang w:eastAsia="es-ES_tradnl"/>
        </w:rPr>
        <w:t xml:space="preserve"> </w:t>
      </w:r>
    </w:p>
    <w:p w:rsidRPr="00EF4EA3" w:rsidR="00EF4EA3" w:rsidP="00EF4EA3" w:rsidRDefault="00EF4EA3" w14:paraId="34D3FA29" w14:textId="77777777">
      <w:pPr>
        <w:spacing w:after="0" w:line="276" w:lineRule="auto"/>
        <w:jc w:val="both"/>
        <w:rPr>
          <w:rFonts w:ascii="Arial" w:hAnsi="Arial" w:eastAsia="Times New Roman" w:cs="Arial"/>
          <w:color w:val="000000"/>
          <w:szCs w:val="24"/>
          <w:lang w:val="es-ES_tradnl" w:eastAsia="es-ES_tradnl"/>
        </w:rPr>
      </w:pPr>
    </w:p>
    <w:p w:rsidRPr="00EF4EA3" w:rsidR="00EF4EA3" w:rsidP="00EF4EA3" w:rsidRDefault="00EF4EA3" w14:paraId="54F59FB3" w14:textId="77777777">
      <w:pPr>
        <w:numPr>
          <w:ilvl w:val="0"/>
          <w:numId w:val="1"/>
        </w:numPr>
        <w:tabs>
          <w:tab w:val="left" w:pos="0"/>
          <w:tab w:val="left" w:pos="284"/>
        </w:tabs>
        <w:spacing w:after="0" w:line="240" w:lineRule="auto"/>
        <w:contextualSpacing/>
        <w:jc w:val="both"/>
        <w:rPr>
          <w:rFonts w:ascii="Arial" w:hAnsi="Arial" w:eastAsia="Calibri" w:cs="Arial"/>
          <w:b/>
          <w:color w:val="000000"/>
          <w:lang w:val="es-ES_tradnl"/>
        </w:rPr>
      </w:pPr>
      <w:r w:rsidRPr="00EF4EA3">
        <w:rPr>
          <w:rFonts w:ascii="Arial" w:hAnsi="Arial" w:eastAsia="Calibri" w:cs="Arial"/>
          <w:b/>
          <w:color w:val="000000"/>
          <w:lang w:val="es-ES_tradnl"/>
        </w:rPr>
        <w:t>Consideraciones</w:t>
      </w:r>
    </w:p>
    <w:p w:rsidRPr="00EF4EA3" w:rsidR="00EF4EA3" w:rsidP="00EF4EA3" w:rsidRDefault="00EF4EA3" w14:paraId="6DFC78A1" w14:textId="77777777">
      <w:pPr>
        <w:spacing w:after="0" w:line="276" w:lineRule="auto"/>
        <w:jc w:val="both"/>
        <w:rPr>
          <w:rFonts w:ascii="Arial" w:hAnsi="Arial" w:eastAsia="Calibri" w:cs="Arial"/>
          <w:color w:val="000000"/>
          <w:sz w:val="20"/>
          <w:szCs w:val="20"/>
          <w:lang w:val="es-ES_tradnl" w:eastAsia="es-ES_tradnl"/>
        </w:rPr>
      </w:pPr>
    </w:p>
    <w:p w:rsidRPr="00EF4EA3" w:rsidR="00EF4EA3" w:rsidP="00EF4EA3" w:rsidRDefault="001261F2" w14:paraId="09ACBA31" w14:textId="1BF9695F">
      <w:pPr>
        <w:spacing w:after="120" w:line="276" w:lineRule="auto"/>
        <w:jc w:val="both"/>
        <w:rPr>
          <w:rFonts w:ascii="Arial" w:hAnsi="Arial" w:eastAsia="Times New Roman" w:cs="Arial"/>
          <w:bCs/>
          <w:szCs w:val="24"/>
          <w:lang w:eastAsia="es-ES_tradnl"/>
        </w:rPr>
      </w:pPr>
      <w:r>
        <w:rPr>
          <w:rFonts w:ascii="Arial" w:hAnsi="Arial" w:eastAsia="Calibri" w:cs="Arial"/>
          <w:color w:val="000000"/>
          <w:szCs w:val="24"/>
          <w:lang w:val="es-ES_tradnl" w:eastAsia="en-GB"/>
        </w:rPr>
        <w:t xml:space="preserve">Es menester </w:t>
      </w:r>
      <w:r w:rsidR="00B104ED">
        <w:rPr>
          <w:rFonts w:ascii="Arial" w:hAnsi="Arial" w:eastAsia="Calibri" w:cs="Arial"/>
          <w:color w:val="000000"/>
          <w:szCs w:val="24"/>
          <w:lang w:val="es-ES_tradnl" w:eastAsia="en-GB"/>
        </w:rPr>
        <w:t xml:space="preserve">aclarar, </w:t>
      </w:r>
      <w:r w:rsidRPr="00EF4EA3" w:rsidR="00B104ED">
        <w:rPr>
          <w:rFonts w:ascii="Arial" w:hAnsi="Arial" w:eastAsia="Calibri" w:cs="Arial"/>
          <w:color w:val="000000"/>
          <w:szCs w:val="24"/>
          <w:lang w:val="es-ES_tradnl" w:eastAsia="en-GB"/>
        </w:rPr>
        <w:t>que</w:t>
      </w:r>
      <w:r w:rsidRPr="00EF4EA3" w:rsidR="00EF4EA3">
        <w:rPr>
          <w:rFonts w:ascii="Arial" w:hAnsi="Arial" w:eastAsia="Calibri" w:cs="Arial"/>
          <w:color w:val="000000"/>
          <w:szCs w:val="24"/>
          <w:lang w:val="es-ES_tradnl" w:eastAsia="en-GB"/>
        </w:rPr>
        <w:t xml:space="preserve"> </w:t>
      </w:r>
      <w:r w:rsidRPr="00EF4EA3" w:rsidR="00EF4EA3">
        <w:rPr>
          <w:rFonts w:ascii="Arial" w:hAnsi="Arial" w:eastAsia="Times New Roman" w:cs="Arial"/>
          <w:bCs/>
          <w:szCs w:val="24"/>
          <w:lang w:eastAsia="es-ES_tradnl"/>
        </w:rPr>
        <w:t xml:space="preserve">en ejercicio de las competencias establecidas en los artículos 3.5 y 11.8 del Decreto 4170 de 2011, la Agencia Nacional de Contratación Pública – Colombia Compra Eficiente resuelve las consultas sobre los asuntos de su competencia, esto es, </w:t>
      </w:r>
      <w:r w:rsidRPr="00EF4EA3" w:rsidR="00EF4EA3">
        <w:rPr>
          <w:rFonts w:ascii="Arial" w:hAnsi="Arial" w:eastAsia="Times New Roman" w:cs="Arial"/>
          <w:bCs/>
          <w:szCs w:val="24"/>
          <w:lang w:eastAsia="es-ES_tradnl"/>
        </w:rPr>
        <w:lastRenderedPageBreak/>
        <w:t>sobre las temáticas de la contratación estatal y compras públicas relacionadas en los artículos citados.</w:t>
      </w:r>
      <w:bookmarkStart w:name="_Hlk61701014" w:id="2"/>
      <w:bookmarkStart w:name="_Hlk62136649" w:id="3"/>
      <w:r w:rsidRPr="00EF4EA3" w:rsidR="00EF4EA3">
        <w:rPr>
          <w:rFonts w:ascii="Arial" w:hAnsi="Arial" w:eastAsia="Times New Roman" w:cs="Arial"/>
          <w:bCs/>
          <w:szCs w:val="24"/>
          <w:lang w:eastAsia="es-ES_tradnl"/>
        </w:rPr>
        <w:t xml:space="preserve"> </w:t>
      </w:r>
      <w:r w:rsidRPr="00EF4EA3" w:rsidR="00EF4EA3">
        <w:rPr>
          <w:rFonts w:ascii="Arial" w:hAnsi="Arial" w:eastAsia="Times New Roman" w:cs="Arial"/>
          <w:szCs w:val="24"/>
          <w:lang w:val="es-ES" w:eastAsia="es-ES_tradnl"/>
        </w:rPr>
        <w:t>Es necesario tener en cuenta que</w:t>
      </w:r>
      <w:r w:rsidR="000864EE">
        <w:rPr>
          <w:rFonts w:ascii="Arial" w:hAnsi="Arial" w:eastAsia="Times New Roman" w:cs="Arial"/>
          <w:szCs w:val="24"/>
          <w:lang w:val="es-ES" w:eastAsia="es-ES_tradnl"/>
        </w:rPr>
        <w:t>,</w:t>
      </w:r>
      <w:r w:rsidRPr="00EF4EA3" w:rsidR="00EF4EA3">
        <w:rPr>
          <w:rFonts w:ascii="Arial" w:hAnsi="Arial" w:eastAsia="Times New Roman" w:cs="Arial"/>
          <w:szCs w:val="24"/>
          <w:lang w:val="es-ES" w:eastAsia="es-ES_tradnl"/>
        </w:rPr>
        <w:t xml:space="preserve"> </w:t>
      </w:r>
      <w:bookmarkStart w:name="_Hlk61026958" w:id="4"/>
      <w:r w:rsidRPr="00EF4EA3" w:rsidR="00EF4EA3">
        <w:rPr>
          <w:rFonts w:ascii="Arial" w:hAnsi="Arial" w:eastAsia="Times New Roman" w:cs="Arial"/>
          <w:szCs w:val="24"/>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F4EA3" w:rsidR="00EF4EA3">
        <w:rPr>
          <w:rFonts w:ascii="Arial" w:hAnsi="Arial" w:eastAsia="Times New Roman" w:cs="Arial"/>
          <w:bCs/>
          <w:szCs w:val="24"/>
          <w:lang w:eastAsia="es-ES_tradnl"/>
        </w:rPr>
        <w:t xml:space="preserve"> de todos los partícipes de la contratación estatal.</w:t>
      </w:r>
    </w:p>
    <w:p w:rsidRPr="00EF4EA3" w:rsidR="00EF4EA3" w:rsidP="00EF4EA3" w:rsidRDefault="00EF4EA3" w14:paraId="426FAD76" w14:textId="78A84A43">
      <w:pPr>
        <w:spacing w:after="120" w:line="276" w:lineRule="auto"/>
        <w:ind w:firstLine="709"/>
        <w:jc w:val="both"/>
        <w:rPr>
          <w:rFonts w:ascii="Arial" w:hAnsi="Arial" w:eastAsia="Calibri" w:cs="Arial"/>
          <w:color w:val="000000"/>
          <w:szCs w:val="24"/>
          <w:lang w:val="es-ES" w:eastAsia="es-ES_tradnl"/>
        </w:rPr>
      </w:pPr>
      <w:r w:rsidRPr="00EF4EA3">
        <w:rPr>
          <w:rFonts w:ascii="Arial" w:hAnsi="Arial" w:eastAsia="Times New Roman" w:cs="Arial"/>
          <w:szCs w:val="24"/>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F4EA3">
        <w:rPr>
          <w:rFonts w:ascii="Arial" w:hAnsi="Arial" w:eastAsia="Times New Roman" w:cs="Arial"/>
          <w:szCs w:val="24"/>
          <w:vertAlign w:val="superscript"/>
          <w:lang w:val="es-ES" w:eastAsia="es-ES_tradnl"/>
        </w:rPr>
        <w:footnoteReference w:id="1"/>
      </w:r>
      <w:r w:rsidRPr="00EF4EA3">
        <w:rPr>
          <w:rFonts w:ascii="Arial" w:hAnsi="Arial" w:eastAsia="Times New Roman" w:cs="Arial"/>
          <w:szCs w:val="24"/>
          <w:lang w:val="es-ES" w:eastAsia="es-ES_tradnl"/>
        </w:rPr>
        <w:t>. Esta competencia de interpretación de normas generales, por definición, no puede extenderse a la resolución de controversias, ni a brindar asesorías sobre casos puntuales.</w:t>
      </w:r>
      <w:bookmarkEnd w:id="4"/>
      <w:r w:rsidRPr="00EF4EA3">
        <w:rPr>
          <w:rFonts w:ascii="Arial" w:hAnsi="Arial" w:eastAsia="Times New Roman" w:cs="Arial"/>
          <w:szCs w:val="24"/>
          <w:lang w:val="es-ES" w:eastAsia="es-ES_tradnl"/>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2"/>
      <w:bookmarkEnd w:id="3"/>
      <w:r w:rsidRPr="00EF4EA3">
        <w:rPr>
          <w:rFonts w:ascii="Arial" w:hAnsi="Arial" w:eastAsia="Calibri" w:cs="Arial"/>
          <w:color w:val="000000"/>
          <w:szCs w:val="24"/>
          <w:lang w:eastAsia="es-ES_tradnl"/>
        </w:rPr>
        <w:t xml:space="preserve">Sin perjuicio de lo anterior, </w:t>
      </w:r>
      <w:r w:rsidRPr="00EF4EA3">
        <w:rPr>
          <w:rFonts w:ascii="Arial" w:hAnsi="Arial" w:eastAsia="Calibri" w:cs="Arial"/>
          <w:color w:val="000000"/>
          <w:szCs w:val="24"/>
          <w:lang w:val="es-ES" w:eastAsia="es-ES_tradnl"/>
        </w:rPr>
        <w:t xml:space="preserve">la Subdirección, dentro de los límites de sus </w:t>
      </w:r>
      <w:r w:rsidRPr="00B03DC3">
        <w:rPr>
          <w:rFonts w:ascii="Arial" w:hAnsi="Arial" w:eastAsia="Calibri" w:cs="Arial"/>
          <w:color w:val="000000"/>
          <w:szCs w:val="24"/>
          <w:lang w:val="es-ES" w:eastAsia="es-ES_tradnl"/>
        </w:rPr>
        <w:t>atribuciones resolverá la consulta conforme a las normas generales en materia de contratación estatal.</w:t>
      </w:r>
      <w:r w:rsidRPr="00B03DC3" w:rsidR="000864EE">
        <w:rPr>
          <w:rFonts w:ascii="Arial" w:hAnsi="Arial" w:eastAsia="Calibri" w:cs="Arial"/>
          <w:bCs/>
          <w:color w:val="000000" w:themeColor="text1"/>
        </w:rPr>
        <w:t xml:space="preserve"> Para estos efectos, </w:t>
      </w:r>
      <w:r w:rsidRPr="00B03DC3" w:rsidR="000864EE">
        <w:rPr>
          <w:rFonts w:ascii="Arial" w:hAnsi="Arial" w:eastAsia="Calibri" w:cs="Arial"/>
          <w:bCs/>
          <w:color w:val="000000" w:themeColor="text1"/>
          <w:lang w:val="es-ES"/>
        </w:rPr>
        <w:t xml:space="preserve">se analizarán los siguientes temas: </w:t>
      </w:r>
      <w:r w:rsidRPr="00E27BD3" w:rsidR="000864EE">
        <w:rPr>
          <w:rFonts w:ascii="Arial" w:hAnsi="Arial" w:eastAsia="Calibri" w:cs="Arial"/>
          <w:bCs/>
          <w:color w:val="000000" w:themeColor="text1"/>
          <w:lang w:val="es-ES"/>
        </w:rPr>
        <w:t xml:space="preserve">i) el principio de planeación </w:t>
      </w:r>
      <w:r w:rsidRPr="00E27BD3" w:rsidR="00554071">
        <w:rPr>
          <w:rFonts w:ascii="Arial" w:hAnsi="Arial" w:cs="Arial"/>
          <w:bCs/>
          <w:lang w:val="es-ES"/>
        </w:rPr>
        <w:t>y los estudios y documentos previos del contrato</w:t>
      </w:r>
      <w:r w:rsidRPr="00E27BD3" w:rsidR="000864EE">
        <w:rPr>
          <w:rFonts w:ascii="Arial" w:hAnsi="Arial" w:eastAsia="Calibri" w:cs="Arial"/>
          <w:lang w:val="es-ES_tradnl"/>
        </w:rPr>
        <w:t xml:space="preserve"> y; ii) </w:t>
      </w:r>
      <w:r w:rsidRPr="00E27BD3" w:rsidR="00554071">
        <w:rPr>
          <w:rFonts w:ascii="Arial" w:hAnsi="Arial" w:eastAsia="Calibri" w:cs="Arial"/>
          <w:color w:val="000000"/>
          <w:lang w:val="es-ES_tradnl" w:eastAsia="en-GB"/>
        </w:rPr>
        <w:t>la autonomía de las entidades estatales para calcular el precio en los contratos estatales</w:t>
      </w:r>
      <w:r w:rsidRPr="00E27BD3" w:rsidR="000864EE">
        <w:rPr>
          <w:rFonts w:ascii="Arial" w:hAnsi="Arial" w:eastAsia="Calibri" w:cs="Arial"/>
          <w:lang w:val="es-ES_tradnl"/>
        </w:rPr>
        <w:t>.</w:t>
      </w:r>
    </w:p>
    <w:p w:rsidRPr="00EF4EA3" w:rsidR="00EF4EA3" w:rsidP="00B03DC3" w:rsidRDefault="00EF4EA3" w14:paraId="59BB2786" w14:textId="16032E4D">
      <w:pPr>
        <w:spacing w:after="0" w:line="276" w:lineRule="auto"/>
        <w:ind w:firstLine="709"/>
        <w:jc w:val="both"/>
        <w:rPr>
          <w:rFonts w:ascii="Arial" w:hAnsi="Arial" w:eastAsia="Calibri" w:cs="Arial"/>
          <w:color w:val="000000"/>
          <w:lang w:val="es-ES_tradnl" w:eastAsia="es-ES_tradnl"/>
        </w:rPr>
      </w:pPr>
      <w:r w:rsidRPr="00EF4EA3">
        <w:rPr>
          <w:rFonts w:ascii="Arial" w:hAnsi="Arial" w:eastAsia="Calibri" w:cs="Arial"/>
          <w:color w:val="000000"/>
          <w:lang w:val="es-ES_tradnl" w:eastAsia="es-ES_tradnl"/>
        </w:rPr>
        <w:t xml:space="preserve">La Agencia Nacional de Contratación Pública – Colombia Compra Eficiente se pronunció, en términos generales, sobre el deber de elaborar análisis del sector frente a los procesos de contratación en los </w:t>
      </w:r>
      <w:r w:rsidRPr="00EF4EA3">
        <w:rPr>
          <w:rFonts w:ascii="Arial" w:hAnsi="Arial" w:eastAsia="Calibri" w:cs="Arial"/>
          <w:szCs w:val="24"/>
          <w:lang w:val="es-ES_tradnl" w:eastAsia="es-ES_tradnl"/>
        </w:rPr>
        <w:t xml:space="preserve">Conceptos 2202013000000037 del 7 de enero de 2020 y C-223 del 29 de abril de 2020 –radicado No. 2202013000003261– y C–148 de 2021. Igualmente, en los Conceptos C-387 del 23 de junio de 2020 –radicado No. 2202013000005289–, </w:t>
      </w:r>
      <w:r w:rsidRPr="00EF4EA3">
        <w:rPr>
          <w:rFonts w:ascii="Arial" w:hAnsi="Arial" w:eastAsia="Calibri" w:cs="Arial"/>
          <w:color w:val="0B1107"/>
          <w:szCs w:val="24"/>
          <w:lang w:eastAsia="es-ES_tradnl"/>
        </w:rPr>
        <w:t xml:space="preserve">C-415 del 7 de julio </w:t>
      </w:r>
      <w:r w:rsidRPr="00EF4EA3">
        <w:rPr>
          <w:rFonts w:ascii="Arial" w:hAnsi="Arial" w:eastAsia="Calibri" w:cs="Arial"/>
          <w:szCs w:val="24"/>
          <w:lang w:val="es-ES_tradnl" w:eastAsia="es-ES_tradnl"/>
        </w:rPr>
        <w:t xml:space="preserve">–radicado No. </w:t>
      </w:r>
      <w:r w:rsidRPr="00EF4EA3">
        <w:rPr>
          <w:rFonts w:ascii="Arial" w:hAnsi="Arial" w:eastAsia="Times New Roman" w:cs="Arial"/>
          <w:color w:val="000000"/>
          <w:szCs w:val="24"/>
          <w:lang w:eastAsia="es-ES_tradnl"/>
        </w:rPr>
        <w:t>2202013000005931–</w:t>
      </w:r>
      <w:r w:rsidRPr="00EF4EA3">
        <w:rPr>
          <w:rFonts w:ascii="Arial" w:hAnsi="Arial" w:eastAsia="Calibri" w:cs="Arial"/>
          <w:color w:val="0B1107"/>
          <w:szCs w:val="24"/>
          <w:lang w:eastAsia="es-ES_tradnl"/>
        </w:rPr>
        <w:t xml:space="preserve">, </w:t>
      </w:r>
      <w:r w:rsidRPr="00EF4EA3">
        <w:rPr>
          <w:rFonts w:ascii="Arial" w:hAnsi="Arial" w:eastAsia="Calibri" w:cs="Arial"/>
          <w:szCs w:val="24"/>
          <w:lang w:eastAsia="es-ES_tradnl"/>
        </w:rPr>
        <w:t>C-443 del 7 de julio de 2020 –</w:t>
      </w:r>
      <w:r w:rsidRPr="00EF4EA3">
        <w:rPr>
          <w:rFonts w:ascii="Arial" w:hAnsi="Arial" w:eastAsia="Calibri" w:cs="Arial"/>
          <w:szCs w:val="24"/>
          <w:lang w:val="es-ES_tradnl" w:eastAsia="es-ES_tradnl"/>
        </w:rPr>
        <w:t>radicado No.</w:t>
      </w:r>
      <w:r w:rsidRPr="00EF4EA3">
        <w:rPr>
          <w:rFonts w:ascii="Arial" w:hAnsi="Arial" w:eastAsia="Times New Roman" w:cs="Arial"/>
          <w:color w:val="000000"/>
          <w:szCs w:val="24"/>
          <w:lang w:eastAsia="es-ES_tradnl"/>
        </w:rPr>
        <w:t xml:space="preserve"> 2202013000005933–, C-387 del 23 de junio de 2020 –radicado No. </w:t>
      </w:r>
      <w:r w:rsidRPr="00EF4EA3">
        <w:rPr>
          <w:rFonts w:ascii="Arial" w:hAnsi="Arial" w:eastAsia="Times New Roman" w:cs="Arial"/>
          <w:color w:val="000000"/>
          <w:szCs w:val="24"/>
          <w:shd w:val="clear" w:color="auto" w:fill="FFFFFF"/>
          <w:lang w:eastAsia="es-ES_tradnl"/>
        </w:rPr>
        <w:t xml:space="preserve">4202013000004275–, </w:t>
      </w:r>
      <w:r w:rsidRPr="00EF4EA3">
        <w:rPr>
          <w:rFonts w:ascii="Arial" w:hAnsi="Arial" w:eastAsia="Calibri" w:cs="Arial"/>
          <w:szCs w:val="24"/>
          <w:lang w:val="es-ES_tradnl" w:eastAsia="es-ES_tradnl"/>
        </w:rPr>
        <w:t xml:space="preserve">2202013000000037 del 7 de enero de 2020, C-223 del 29 de abril de 2020, </w:t>
      </w:r>
      <w:r w:rsidRPr="00EF4EA3">
        <w:rPr>
          <w:rFonts w:ascii="Arial" w:hAnsi="Arial" w:eastAsia="Calibri" w:cs="Arial"/>
          <w:color w:val="000000"/>
          <w:lang w:val="es-ES_tradnl" w:eastAsia="es-ES_tradnl"/>
        </w:rPr>
        <w:t xml:space="preserve">C-671 de 2020 de 23 de noviembre de 2020, </w:t>
      </w:r>
      <w:r w:rsidR="003716F4">
        <w:rPr>
          <w:rFonts w:ascii="Arial" w:hAnsi="Arial" w:eastAsia="Calibri" w:cs="Arial"/>
          <w:color w:val="000000"/>
          <w:lang w:val="es-ES_tradnl" w:eastAsia="es-ES_tradnl"/>
        </w:rPr>
        <w:t xml:space="preserve">C-148 del </w:t>
      </w:r>
      <w:r w:rsidR="00174082">
        <w:rPr>
          <w:rFonts w:ascii="Arial" w:hAnsi="Arial" w:eastAsia="Calibri" w:cs="Arial"/>
          <w:color w:val="000000"/>
          <w:lang w:val="es-ES_tradnl" w:eastAsia="es-ES_tradnl"/>
        </w:rPr>
        <w:t xml:space="preserve">9 de abril de 2021, </w:t>
      </w:r>
      <w:r w:rsidRPr="00EF4EA3">
        <w:rPr>
          <w:rFonts w:ascii="Arial" w:hAnsi="Arial" w:eastAsia="Calibri" w:cs="Arial"/>
          <w:color w:val="000000"/>
          <w:lang w:val="es-ES_tradnl" w:eastAsia="es-ES_tradnl"/>
        </w:rPr>
        <w:t>C-215 del 12 de mayo de 2021</w:t>
      </w:r>
      <w:r w:rsidR="00A2453B">
        <w:rPr>
          <w:rFonts w:ascii="Arial" w:hAnsi="Arial" w:eastAsia="Calibri" w:cs="Arial"/>
          <w:color w:val="000000"/>
          <w:lang w:val="es-ES_tradnl" w:eastAsia="es-ES_tradnl"/>
        </w:rPr>
        <w:t xml:space="preserve">, </w:t>
      </w:r>
      <w:r w:rsidR="003716F4">
        <w:rPr>
          <w:rFonts w:ascii="Arial" w:hAnsi="Arial" w:eastAsia="Calibri" w:cs="Arial"/>
          <w:color w:val="000000"/>
          <w:lang w:val="es-ES_tradnl" w:eastAsia="es-ES_tradnl"/>
        </w:rPr>
        <w:t xml:space="preserve">C-294 del 10 de septiembre de 2021, </w:t>
      </w:r>
      <w:r w:rsidRPr="00EF4EA3">
        <w:rPr>
          <w:rFonts w:ascii="Arial" w:hAnsi="Arial" w:eastAsia="Calibri" w:cs="Arial"/>
          <w:color w:val="000000"/>
          <w:lang w:val="es-ES_tradnl" w:eastAsia="es-ES_tradnl"/>
        </w:rPr>
        <w:t>C-742 de 27 de diciembre de 2021</w:t>
      </w:r>
      <w:r w:rsidR="003716F4">
        <w:rPr>
          <w:rFonts w:ascii="Arial" w:hAnsi="Arial" w:eastAsia="Calibri" w:cs="Arial"/>
          <w:color w:val="000000"/>
          <w:lang w:val="es-ES_tradnl" w:eastAsia="es-ES_tradnl"/>
        </w:rPr>
        <w:t xml:space="preserve"> y</w:t>
      </w:r>
      <w:r w:rsidRPr="00EF4EA3">
        <w:rPr>
          <w:rFonts w:ascii="Arial" w:hAnsi="Arial" w:eastAsia="Calibri" w:cs="Arial"/>
          <w:color w:val="000000"/>
          <w:lang w:val="es-ES_tradnl" w:eastAsia="es-ES_tradnl"/>
        </w:rPr>
        <w:t xml:space="preserve"> </w:t>
      </w:r>
      <w:r w:rsidR="00A2453B">
        <w:rPr>
          <w:rFonts w:ascii="Arial" w:hAnsi="Arial" w:eastAsia="Calibri" w:cs="Arial"/>
          <w:color w:val="000000"/>
          <w:lang w:val="es-ES_tradnl" w:eastAsia="es-ES_tradnl"/>
        </w:rPr>
        <w:t xml:space="preserve">C-017 del 22 de febrero de 2022, </w:t>
      </w:r>
      <w:r w:rsidRPr="00EF4EA3">
        <w:rPr>
          <w:rFonts w:ascii="Arial" w:hAnsi="Arial" w:eastAsia="Calibri" w:cs="Arial"/>
          <w:color w:val="000000"/>
          <w:lang w:val="es-ES_tradnl" w:eastAsia="es-ES_tradnl"/>
        </w:rPr>
        <w:t xml:space="preserve">se pronunció  </w:t>
      </w:r>
      <w:r w:rsidRPr="00EF4EA3">
        <w:rPr>
          <w:rFonts w:ascii="Arial" w:hAnsi="Arial" w:eastAsia="Calibri" w:cs="Arial"/>
          <w:szCs w:val="24"/>
          <w:lang w:val="es-ES_tradnl" w:eastAsia="es-ES_tradnl"/>
        </w:rPr>
        <w:t xml:space="preserve">sobre planeación y </w:t>
      </w:r>
      <w:r w:rsidRPr="00EF4EA3">
        <w:rPr>
          <w:rFonts w:ascii="Arial" w:hAnsi="Arial" w:eastAsia="Calibri" w:cs="Arial"/>
          <w:szCs w:val="24"/>
          <w:lang w:val="es-ES_tradnl" w:eastAsia="es-ES_tradnl"/>
        </w:rPr>
        <w:lastRenderedPageBreak/>
        <w:t>estudios previos en el Estatuto General de Contratación de la Administración Pública</w:t>
      </w:r>
      <w:r w:rsidRPr="00EF4EA3">
        <w:rPr>
          <w:rFonts w:ascii="Arial" w:hAnsi="Arial" w:eastAsia="Calibri" w:cs="Arial"/>
          <w:color w:val="000000"/>
          <w:lang w:val="es-ES_tradnl" w:eastAsia="es-ES_tradnl"/>
        </w:rPr>
        <w:t>.</w:t>
      </w:r>
      <w:r w:rsidR="00554071">
        <w:rPr>
          <w:rFonts w:ascii="Arial" w:hAnsi="Arial" w:eastAsia="Calibri" w:cs="Arial"/>
          <w:color w:val="000000"/>
          <w:lang w:val="es-ES_tradnl" w:eastAsia="es-ES_tradnl"/>
        </w:rPr>
        <w:t xml:space="preserve"> Por otro lado, esta Agencia </w:t>
      </w:r>
      <w:r w:rsidRPr="007E58C1" w:rsidR="00554071">
        <w:rPr>
          <w:rFonts w:ascii="Arial" w:hAnsi="Arial" w:eastAsia="Calibri" w:cs="Arial"/>
          <w:lang w:val="es-MX"/>
        </w:rPr>
        <w:t>se ha pronunciado en varias ocasiones sobre el precio de los contratos estatales y formas para su cálculo</w:t>
      </w:r>
      <w:r w:rsidR="00554071">
        <w:rPr>
          <w:rFonts w:ascii="Arial" w:hAnsi="Arial" w:eastAsia="Calibri" w:cs="Arial"/>
          <w:lang w:val="es-MX"/>
        </w:rPr>
        <w:t>, concretamente, en los</w:t>
      </w:r>
      <w:r w:rsidRPr="007E58C1" w:rsidR="00554071">
        <w:rPr>
          <w:rFonts w:ascii="Arial" w:hAnsi="Arial" w:eastAsia="Calibri" w:cs="Arial"/>
          <w:lang w:val="es-MX"/>
        </w:rPr>
        <w:t xml:space="preserve"> conceptos 4201912000007092 del 29 de noviembre de 2019, </w:t>
      </w:r>
      <w:hyperlink w:tgtFrame="_blank" w:history="1" r:id="rId13">
        <w:r w:rsidRPr="007E58C1" w:rsidR="00554071">
          <w:rPr>
            <w:rFonts w:ascii="Arial" w:hAnsi="Arial" w:eastAsia="Calibri" w:cs="Arial"/>
            <w:lang w:val="es-MX"/>
          </w:rPr>
          <w:t>2201913000008566</w:t>
        </w:r>
      </w:hyperlink>
      <w:r w:rsidRPr="007E58C1" w:rsidR="00554071">
        <w:rPr>
          <w:rFonts w:ascii="Arial" w:hAnsi="Arial" w:eastAsia="Calibri" w:cs="Arial"/>
          <w:lang w:val="es-MX"/>
        </w:rPr>
        <w:t xml:space="preserve"> del 18 de noviembre de 2019,  4201913000007822 de 27 de diciembre de 2019, C–037 del 28 de enero de 2020, C-191 del 16 de marzo de 2020 y C-211 del 8 de abril de 2020, C−469 del 27 de septiembre de 2020, C−480 del 16 de septiembre de 2020</w:t>
      </w:r>
      <w:r w:rsidR="00871572">
        <w:rPr>
          <w:rFonts w:ascii="Arial" w:hAnsi="Arial" w:eastAsia="Calibri" w:cs="Arial"/>
          <w:lang w:val="es-MX"/>
        </w:rPr>
        <w:t xml:space="preserve">, </w:t>
      </w:r>
      <w:r w:rsidRPr="007E58C1" w:rsidR="00554071">
        <w:rPr>
          <w:rFonts w:ascii="Arial" w:hAnsi="Arial" w:eastAsia="Calibri" w:cs="Arial"/>
          <w:lang w:val="es-MX"/>
        </w:rPr>
        <w:t>C-059 del 10 de marzo de 2021</w:t>
      </w:r>
      <w:r w:rsidR="00871572">
        <w:rPr>
          <w:rFonts w:ascii="Arial" w:hAnsi="Arial" w:eastAsia="Calibri" w:cs="Arial"/>
          <w:lang w:val="es-MX"/>
        </w:rPr>
        <w:t xml:space="preserve"> y C-607 del 2</w:t>
      </w:r>
      <w:r w:rsidR="000D0143">
        <w:rPr>
          <w:rFonts w:ascii="Arial" w:hAnsi="Arial" w:eastAsia="Calibri" w:cs="Arial"/>
          <w:lang w:val="es-MX"/>
        </w:rPr>
        <w:t>3</w:t>
      </w:r>
      <w:r w:rsidR="00871572">
        <w:rPr>
          <w:rFonts w:ascii="Arial" w:hAnsi="Arial" w:eastAsia="Calibri" w:cs="Arial"/>
          <w:lang w:val="es-MX"/>
        </w:rPr>
        <w:t xml:space="preserve"> de septiembre de 2022</w:t>
      </w:r>
      <w:r w:rsidR="00871572">
        <w:rPr>
          <w:rFonts w:ascii="Arial" w:hAnsi="Arial" w:eastAsia="Calibri" w:cs="Arial"/>
          <w:color w:val="000000"/>
          <w:lang w:val="es-ES_tradnl" w:eastAsia="es-ES_tradnl"/>
        </w:rPr>
        <w:t xml:space="preserve">. </w:t>
      </w:r>
      <w:r w:rsidRPr="00EF4EA3">
        <w:rPr>
          <w:rFonts w:ascii="Arial" w:hAnsi="Arial" w:eastAsia="Calibri" w:cs="Arial"/>
          <w:color w:val="000000"/>
          <w:lang w:val="es-ES_tradnl" w:eastAsia="es-ES_tradnl"/>
        </w:rPr>
        <w:t xml:space="preserve">Las tesis expuestas se reiteran </w:t>
      </w:r>
      <w:r w:rsidR="000864EE">
        <w:rPr>
          <w:rFonts w:ascii="Arial" w:hAnsi="Arial" w:eastAsia="Calibri" w:cs="Arial"/>
          <w:color w:val="000000"/>
          <w:lang w:val="es-ES_tradnl" w:eastAsia="es-ES_tradnl"/>
        </w:rPr>
        <w:t xml:space="preserve">y se complementan </w:t>
      </w:r>
      <w:r w:rsidRPr="00EF4EA3">
        <w:rPr>
          <w:rFonts w:ascii="Arial" w:hAnsi="Arial" w:eastAsia="Calibri" w:cs="Arial"/>
          <w:color w:val="000000"/>
          <w:lang w:val="es-ES_tradnl" w:eastAsia="es-ES_tradnl"/>
        </w:rPr>
        <w:t xml:space="preserve">en lo pertinente. </w:t>
      </w:r>
      <w:bookmarkStart w:name="_Hlk54011258" w:id="5"/>
    </w:p>
    <w:p w:rsidR="00554071" w:rsidP="00B03DC3" w:rsidRDefault="00554071" w14:paraId="10F13BD4" w14:textId="77777777">
      <w:pPr>
        <w:pStyle w:val="Prrafodelista"/>
        <w:spacing w:line="276" w:lineRule="auto"/>
        <w:jc w:val="both"/>
        <w:rPr>
          <w:rFonts w:ascii="Arial" w:hAnsi="Arial" w:cs="Arial"/>
          <w:b/>
          <w:bCs/>
          <w:sz w:val="22"/>
          <w:lang w:val="es-ES"/>
        </w:rPr>
      </w:pPr>
      <w:bookmarkStart w:name="_Hlk114838478" w:id="6"/>
    </w:p>
    <w:p w:rsidRPr="002052BB" w:rsidR="00554071" w:rsidP="00554071" w:rsidRDefault="00554071" w14:paraId="79726397" w14:textId="22E39C55">
      <w:pPr>
        <w:pStyle w:val="Prrafodelista"/>
        <w:numPr>
          <w:ilvl w:val="1"/>
          <w:numId w:val="2"/>
        </w:numPr>
        <w:spacing w:line="276" w:lineRule="auto"/>
        <w:jc w:val="both"/>
        <w:rPr>
          <w:rFonts w:ascii="Arial" w:hAnsi="Arial" w:cs="Arial"/>
          <w:b/>
          <w:bCs/>
          <w:sz w:val="22"/>
          <w:lang w:val="es-ES"/>
        </w:rPr>
      </w:pPr>
      <w:r w:rsidRPr="002052BB">
        <w:rPr>
          <w:rFonts w:ascii="Arial" w:hAnsi="Arial" w:cs="Arial"/>
          <w:b/>
          <w:bCs/>
          <w:sz w:val="22"/>
          <w:lang w:val="es-ES"/>
        </w:rPr>
        <w:t xml:space="preserve">Principio de planeación y los estudios y documentos previos del contrato </w:t>
      </w:r>
    </w:p>
    <w:p w:rsidR="00554071" w:rsidP="00B03DC3" w:rsidRDefault="00554071" w14:paraId="6A6B8F9C" w14:textId="77777777">
      <w:pPr>
        <w:spacing w:after="0" w:line="276" w:lineRule="auto"/>
        <w:contextualSpacing/>
        <w:jc w:val="both"/>
        <w:rPr>
          <w:rFonts w:ascii="Arial" w:hAnsi="Arial" w:eastAsia="Calibri" w:cs="Arial"/>
          <w:bCs/>
          <w:szCs w:val="24"/>
          <w:lang w:val="es-ES_tradnl" w:eastAsia="es-ES_tradnl"/>
        </w:rPr>
      </w:pPr>
    </w:p>
    <w:p w:rsidRPr="00EF4EA3" w:rsidR="00EF4EA3" w:rsidP="00B03DC3" w:rsidRDefault="00EF4EA3" w14:paraId="7BE8358A" w14:textId="20D6C5B6">
      <w:pPr>
        <w:spacing w:after="120" w:line="276" w:lineRule="auto"/>
        <w:jc w:val="both"/>
        <w:rPr>
          <w:rFonts w:ascii="Times New Roman" w:hAnsi="Times New Roman" w:eastAsia="Times New Roman" w:cs="Times New Roman"/>
          <w:sz w:val="24"/>
          <w:szCs w:val="24"/>
          <w:lang w:eastAsia="es-ES_tradnl"/>
        </w:rPr>
      </w:pPr>
      <w:r w:rsidRPr="00EF4EA3">
        <w:rPr>
          <w:rFonts w:ascii="Arial" w:hAnsi="Arial" w:eastAsia="Calibri" w:cs="Arial"/>
          <w:bCs/>
          <w:szCs w:val="24"/>
          <w:lang w:val="es-ES_tradnl" w:eastAsia="es-ES_tradnl"/>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w:t>
      </w:r>
      <w:r w:rsidRPr="00086875">
        <w:rPr>
          <w:rFonts w:ascii="Arial" w:hAnsi="Arial" w:eastAsia="Calibri" w:cs="Arial"/>
          <w:bCs/>
          <w:i/>
          <w:iCs/>
          <w:szCs w:val="24"/>
          <w:lang w:val="es-ES_tradnl" w:eastAsia="es-ES_tradnl"/>
        </w:rPr>
        <w:t>precios</w:t>
      </w:r>
      <w:r w:rsidRPr="00EF4EA3">
        <w:rPr>
          <w:rFonts w:ascii="Arial" w:hAnsi="Arial" w:eastAsia="Calibri" w:cs="Arial"/>
          <w:bCs/>
          <w:szCs w:val="24"/>
          <w:lang w:val="es-ES_tradnl" w:eastAsia="es-ES_tradnl"/>
        </w:rPr>
        <w:t xml:space="preserve">, costos, riesgos, garantías, disponibilidad, oferentes, etc. </w:t>
      </w:r>
      <w:bookmarkEnd w:id="6"/>
      <w:r w:rsidRPr="00EF4EA3">
        <w:rPr>
          <w:rFonts w:ascii="Arial" w:hAnsi="Arial" w:eastAsia="Calibri" w:cs="Arial"/>
          <w:bCs/>
          <w:szCs w:val="24"/>
          <w:lang w:val="es-ES_tradnl" w:eastAsia="es-ES_tradnl"/>
        </w:rPr>
        <w:t>Lo anterior con la finalidad de realizar la escogencia diligente de la mejor oferta, para beneficiar los intereses y fines públicos inmersos en la contratación de las entidades estatales</w:t>
      </w:r>
      <w:bookmarkEnd w:id="5"/>
      <w:r w:rsidRPr="00EF4EA3">
        <w:rPr>
          <w:rFonts w:ascii="Arial" w:hAnsi="Arial" w:eastAsia="Calibri" w:cs="Arial"/>
          <w:bCs/>
          <w:sz w:val="21"/>
          <w:szCs w:val="21"/>
          <w:lang w:val="es-ES_tradnl" w:eastAsia="es-ES_tradnl"/>
        </w:rPr>
        <w:t>.</w:t>
      </w:r>
    </w:p>
    <w:p w:rsidRPr="00EF4EA3" w:rsidR="00EF4EA3" w:rsidP="00EF4EA3" w:rsidRDefault="00EF4EA3" w14:paraId="165AE4A0" w14:textId="77777777">
      <w:pPr>
        <w:spacing w:before="120" w:after="0" w:line="276" w:lineRule="auto"/>
        <w:ind w:firstLine="708"/>
        <w:jc w:val="both"/>
        <w:rPr>
          <w:rFonts w:ascii="Arial" w:hAnsi="Arial" w:eastAsia="Calibri" w:cs="Arial"/>
          <w:bCs/>
          <w:lang w:val="es-ES"/>
        </w:rPr>
      </w:pPr>
      <w:r w:rsidRPr="00EF4EA3">
        <w:rPr>
          <w:rFonts w:ascii="Arial" w:hAnsi="Arial" w:eastAsia="Calibri" w:cs="Arial"/>
          <w:bCs/>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w:t>
      </w:r>
      <w:r w:rsidRPr="00382227">
        <w:rPr>
          <w:rFonts w:ascii="Arial" w:hAnsi="Arial" w:eastAsia="Calibri" w:cs="Arial"/>
          <w:bCs/>
          <w:u w:val="single"/>
          <w:lang w:val="es-MX"/>
        </w:rPr>
        <w:t>el valor del futuro contrato y su correlativo respaldo presupuestal</w:t>
      </w:r>
      <w:r w:rsidRPr="00EF4EA3">
        <w:rPr>
          <w:rFonts w:ascii="Arial" w:hAnsi="Arial" w:eastAsia="Calibri" w:cs="Arial"/>
          <w:bCs/>
          <w:lang w:val="es-MX"/>
        </w:rPr>
        <w:t xml:space="preserve">, se tienen, por ejemplo, las siguientes reglas derivadas de la aplicación del principio de economía previsto en el artículo 25 de la Ley 80 de 1993: </w:t>
      </w:r>
    </w:p>
    <w:p w:rsidRPr="00EF4EA3" w:rsidR="00EF4EA3" w:rsidP="00EF4EA3" w:rsidRDefault="00EF4EA3" w14:paraId="38017A69" w14:textId="77777777">
      <w:pPr>
        <w:spacing w:after="0" w:line="276" w:lineRule="auto"/>
        <w:ind w:firstLine="708"/>
        <w:jc w:val="both"/>
        <w:rPr>
          <w:rFonts w:ascii="Arial" w:hAnsi="Arial" w:eastAsia="Calibri" w:cs="Arial"/>
          <w:bCs/>
          <w:lang w:val="es-ES"/>
        </w:rPr>
      </w:pPr>
    </w:p>
    <w:p w:rsidRPr="00EF4EA3" w:rsidR="00EF4EA3" w:rsidP="006D33E0" w:rsidRDefault="00EF4EA3" w14:paraId="2BC1CF09" w14:textId="77777777">
      <w:pPr>
        <w:spacing w:after="0" w:line="240" w:lineRule="auto"/>
        <w:ind w:left="709" w:right="709"/>
        <w:jc w:val="both"/>
        <w:rPr>
          <w:rFonts w:ascii="Arial" w:hAnsi="Arial" w:eastAsia="Calibri" w:cs="Arial"/>
          <w:sz w:val="21"/>
          <w:szCs w:val="21"/>
          <w:lang w:val="es-MX"/>
        </w:rPr>
      </w:pPr>
      <w:r w:rsidRPr="00EF4EA3">
        <w:rPr>
          <w:rFonts w:ascii="Arial" w:hAnsi="Arial" w:eastAsia="Calibri" w:cs="Arial"/>
          <w:sz w:val="21"/>
          <w:szCs w:val="21"/>
          <w:lang w:val="es-MX"/>
        </w:rPr>
        <w:t>7o. La conveniencia o inconveniencia del objeto a contratar y las autorizaciones y aprobaciones para ello, se analizarán o impartirán con antelación al inicio del proceso de selección del contratista o al de la firma del contrato, según el caso.</w:t>
      </w:r>
    </w:p>
    <w:p w:rsidRPr="00EF4EA3" w:rsidR="00EF4EA3" w:rsidP="006D33E0" w:rsidRDefault="00EF4EA3" w14:paraId="45304B49" w14:textId="77777777">
      <w:pPr>
        <w:spacing w:after="120" w:line="240" w:lineRule="auto"/>
        <w:ind w:left="709" w:right="709"/>
        <w:jc w:val="both"/>
        <w:rPr>
          <w:rFonts w:ascii="Arial" w:hAnsi="Arial" w:eastAsia="Calibri" w:cs="Arial"/>
          <w:sz w:val="21"/>
          <w:szCs w:val="21"/>
          <w:lang w:val="es-MX"/>
        </w:rPr>
      </w:pPr>
      <w:r w:rsidRPr="00EF4EA3">
        <w:rPr>
          <w:rFonts w:ascii="Arial" w:hAnsi="Arial" w:eastAsia="Calibri" w:cs="Arial"/>
          <w:sz w:val="21"/>
          <w:szCs w:val="21"/>
          <w:lang w:val="es-MX"/>
        </w:rPr>
        <w:t>[…]</w:t>
      </w:r>
    </w:p>
    <w:p w:rsidRPr="00EF4EA3" w:rsidR="00EF4EA3" w:rsidP="006D33E0" w:rsidRDefault="00EF4EA3" w14:paraId="68C50024" w14:textId="77777777">
      <w:pPr>
        <w:spacing w:after="120" w:line="240" w:lineRule="auto"/>
        <w:ind w:left="709" w:right="709"/>
        <w:jc w:val="both"/>
        <w:rPr>
          <w:rFonts w:ascii="Arial" w:hAnsi="Arial" w:eastAsia="Calibri" w:cs="Arial"/>
          <w:sz w:val="21"/>
          <w:szCs w:val="21"/>
          <w:lang w:val="es-MX"/>
        </w:rPr>
      </w:pPr>
      <w:r w:rsidRPr="00EF4EA3">
        <w:rPr>
          <w:rFonts w:ascii="Arial" w:hAnsi="Arial" w:eastAsia="Calibri" w:cs="Arial"/>
          <w:sz w:val="21"/>
          <w:szCs w:val="21"/>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rsidRPr="00EF4EA3" w:rsidR="00EF4EA3" w:rsidP="006D33E0" w:rsidRDefault="00EF4EA3" w14:paraId="68A35000" w14:textId="77777777">
      <w:pPr>
        <w:spacing w:after="120" w:line="240" w:lineRule="auto"/>
        <w:ind w:left="709" w:right="709"/>
        <w:jc w:val="both"/>
        <w:rPr>
          <w:rFonts w:ascii="Arial" w:hAnsi="Arial" w:eastAsia="Calibri" w:cs="Arial"/>
          <w:sz w:val="21"/>
          <w:szCs w:val="21"/>
          <w:lang w:val="es-MX"/>
        </w:rPr>
      </w:pPr>
      <w:r w:rsidRPr="00EF4EA3">
        <w:rPr>
          <w:rFonts w:ascii="Arial" w:hAnsi="Arial" w:eastAsia="Calibri" w:cs="Arial"/>
          <w:sz w:val="21"/>
          <w:szCs w:val="21"/>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rsidRPr="00EF4EA3" w:rsidR="00EF4EA3" w:rsidP="006D33E0" w:rsidRDefault="00EF4EA3" w14:paraId="5C40F18E"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lastRenderedPageBreak/>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rsidRPr="00EF4EA3" w:rsidR="00EF4EA3" w:rsidP="006D33E0" w:rsidRDefault="00EF4EA3" w14:paraId="427FC175" w14:textId="77777777">
      <w:pPr>
        <w:spacing w:after="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rsidRPr="00EF4EA3" w:rsidR="00EF4EA3" w:rsidP="00086875" w:rsidRDefault="00EF4EA3" w14:paraId="3A2D7C6C" w14:textId="77777777">
      <w:pPr>
        <w:spacing w:after="0" w:line="240" w:lineRule="auto"/>
        <w:ind w:left="709" w:right="709"/>
        <w:jc w:val="both"/>
        <w:rPr>
          <w:rFonts w:ascii="Arial" w:hAnsi="Arial" w:eastAsia="Times New Roman" w:cs="Arial"/>
          <w:szCs w:val="24"/>
          <w:lang w:eastAsia="es-ES_tradnl"/>
        </w:rPr>
      </w:pPr>
    </w:p>
    <w:p w:rsidRPr="00EF4EA3" w:rsidR="00EF4EA3" w:rsidP="00EF4EA3" w:rsidRDefault="00EF4EA3" w14:paraId="7E0B09AE" w14:textId="4A68ED9F">
      <w:pPr>
        <w:spacing w:after="0" w:line="276" w:lineRule="auto"/>
        <w:ind w:firstLine="709"/>
        <w:jc w:val="both"/>
        <w:rPr>
          <w:rFonts w:ascii="Arial" w:hAnsi="Arial" w:eastAsia="Times New Roman" w:cs="Arial"/>
          <w:szCs w:val="24"/>
          <w:lang w:eastAsia="es-ES_tradnl"/>
        </w:rPr>
      </w:pPr>
      <w:r w:rsidRPr="00EF4EA3">
        <w:rPr>
          <w:rFonts w:ascii="Arial" w:hAnsi="Arial" w:eastAsia="Times New Roman" w:cs="Arial"/>
          <w:szCs w:val="24"/>
          <w:lang w:eastAsia="es-ES_tradnl"/>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w:t>
      </w:r>
      <w:r w:rsidR="00871572">
        <w:rPr>
          <w:rFonts w:ascii="Arial" w:hAnsi="Arial" w:eastAsia="Times New Roman" w:cs="Arial"/>
          <w:szCs w:val="24"/>
          <w:lang w:eastAsia="es-ES_tradnl"/>
        </w:rPr>
        <w:t>“</w:t>
      </w:r>
      <w:r w:rsidRPr="00EF4EA3">
        <w:rPr>
          <w:rFonts w:ascii="Arial" w:hAnsi="Arial" w:eastAsia="Times New Roman" w:cs="Arial"/>
          <w:szCs w:val="24"/>
          <w:lang w:eastAsia="es-ES_tradnl"/>
        </w:rPr>
        <w:t>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00871572">
        <w:rPr>
          <w:rFonts w:ascii="Arial" w:hAnsi="Arial" w:eastAsia="Times New Roman" w:cs="Arial"/>
          <w:szCs w:val="24"/>
          <w:lang w:eastAsia="es-ES_tradnl"/>
        </w:rPr>
        <w:t>”</w:t>
      </w:r>
      <w:r w:rsidRPr="00EF4EA3">
        <w:rPr>
          <w:rFonts w:ascii="Arial" w:hAnsi="Arial" w:eastAsia="Times New Roman" w:cs="Arial"/>
          <w:szCs w:val="24"/>
          <w:vertAlign w:val="superscript"/>
          <w:lang w:eastAsia="es-ES_tradnl"/>
        </w:rPr>
        <w:footnoteReference w:id="2"/>
      </w:r>
      <w:r w:rsidRPr="00EF4EA3">
        <w:rPr>
          <w:rFonts w:ascii="Arial" w:hAnsi="Arial" w:eastAsia="Times New Roman" w:cs="Arial"/>
          <w:szCs w:val="24"/>
          <w:lang w:eastAsia="es-ES_tradnl"/>
        </w:rPr>
        <w:t>. En congruencia con el artículo 25 de la Ley 80 de 1993, el Decreto Único Reglamentario del Sector Administrativo de Planeación Nacional –Decreto 1082 de 2015–, dispone en el artículo 2.2.1.1.2.1.1 el contenido mínimo de los estudios y documentos previos:</w:t>
      </w:r>
    </w:p>
    <w:p w:rsidRPr="00EF4EA3" w:rsidR="00EF4EA3" w:rsidP="00EF4EA3" w:rsidRDefault="00EF4EA3" w14:paraId="087F5F3C" w14:textId="77777777">
      <w:pPr>
        <w:spacing w:after="0" w:line="276" w:lineRule="auto"/>
        <w:ind w:left="709" w:right="709"/>
        <w:rPr>
          <w:rFonts w:ascii="Calibri" w:hAnsi="Calibri" w:eastAsia="Times New Roman" w:cs="Times New Roman"/>
          <w:lang w:eastAsia="es-CO"/>
        </w:rPr>
      </w:pPr>
    </w:p>
    <w:p w:rsidRPr="00EF4EA3" w:rsidR="00EF4EA3" w:rsidP="006D33E0" w:rsidRDefault="00EF4EA3" w14:paraId="19754090"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rsidRPr="00EF4EA3" w:rsidR="00EF4EA3" w:rsidP="006D33E0" w:rsidRDefault="00EF4EA3" w14:paraId="423A9DE4"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1. La descripción de la necesidad que la Entidad Estatal pretende satisfacer con el Proceso de Contratación. ​</w:t>
      </w:r>
    </w:p>
    <w:p w:rsidRPr="00EF4EA3" w:rsidR="00EF4EA3" w:rsidP="006D33E0" w:rsidRDefault="00EF4EA3" w14:paraId="5DC81BE7"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2. El objeto a contratar, con sus especificaciones, las autorizaciones, permisos y licencias requeridos para su ejecución, y cuando el contrato incluye diseño y construcción, los documentos técnicos para el desarrollo del proyecto. </w:t>
      </w:r>
    </w:p>
    <w:p w:rsidRPr="00EF4EA3" w:rsidR="00EF4EA3" w:rsidP="006D33E0" w:rsidRDefault="00EF4EA3" w14:paraId="60E35238"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3. La modalidad de selección del contratista y su justificación, incluyendo los fundamentos jurídicos. </w:t>
      </w:r>
    </w:p>
    <w:p w:rsidRPr="00EF4EA3" w:rsidR="00EF4EA3" w:rsidP="006D33E0" w:rsidRDefault="00EF4EA3" w14:paraId="0BD61E5D"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4. El valor estimado del contrato y la justificación </w:t>
      </w:r>
      <w:proofErr w:type="gramStart"/>
      <w:r w:rsidRPr="00EF4EA3">
        <w:rPr>
          <w:rFonts w:ascii="Arial" w:hAnsi="Arial" w:eastAsia="Times New Roman" w:cs="Arial"/>
          <w:sz w:val="21"/>
          <w:szCs w:val="21"/>
          <w:lang w:eastAsia="es-ES_tradnl"/>
        </w:rPr>
        <w:t>del mismo</w:t>
      </w:r>
      <w:proofErr w:type="gramEnd"/>
      <w:r w:rsidRPr="00EF4EA3">
        <w:rPr>
          <w:rFonts w:ascii="Arial" w:hAnsi="Arial" w:eastAsia="Times New Roman" w:cs="Arial"/>
          <w:sz w:val="21"/>
          <w:szCs w:val="21"/>
          <w:lang w:eastAsia="es-ES_tradnl"/>
        </w:rPr>
        <w:t xml:space="preserve">. Cuando el valor del contrato esté determinado por precios unitarios, la Entidad Estatal debe incluir la forma como los calculó y soportar sus cálculos presupuestales en la estimación </w:t>
      </w:r>
      <w:r w:rsidRPr="00EF4EA3">
        <w:rPr>
          <w:rFonts w:ascii="Arial" w:hAnsi="Arial" w:eastAsia="Times New Roman" w:cs="Arial"/>
          <w:sz w:val="21"/>
          <w:szCs w:val="21"/>
          <w:lang w:eastAsia="es-ES_tradnl"/>
        </w:rPr>
        <w:lastRenderedPageBreak/>
        <w:t xml:space="preserve">de aquellos. Si el contrato es de concesión, la Entidad Estatal no debe publicar el modelo financiero utilizado en su estructuración. </w:t>
      </w:r>
    </w:p>
    <w:p w:rsidRPr="00EF4EA3" w:rsidR="00EF4EA3" w:rsidP="006D33E0" w:rsidRDefault="00EF4EA3" w14:paraId="30579E78"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5. Los criterios para seleccionar la oferta más favorable. </w:t>
      </w:r>
    </w:p>
    <w:p w:rsidRPr="00EF4EA3" w:rsidR="00EF4EA3" w:rsidP="006D33E0" w:rsidRDefault="00EF4EA3" w14:paraId="2C671C6A"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6. El análisis de Riesgo y la forma de mitigarlo. </w:t>
      </w:r>
    </w:p>
    <w:p w:rsidRPr="00EF4EA3" w:rsidR="00EF4EA3" w:rsidP="006D33E0" w:rsidRDefault="00EF4EA3" w14:paraId="0AB9D88A"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7. Las garantías que la Entidad Estatal contempla exigir en el proceso de contratación. </w:t>
      </w:r>
    </w:p>
    <w:p w:rsidRPr="00EF4EA3" w:rsidR="00EF4EA3" w:rsidP="006D33E0" w:rsidRDefault="00EF4EA3" w14:paraId="16B4EB4B" w14:textId="77777777">
      <w:pPr>
        <w:spacing w:after="12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 xml:space="preserve">8. La indicación de si el proceso de contratación está cobijado por un acuerdo comercial. </w:t>
      </w:r>
    </w:p>
    <w:p w:rsidRPr="00EF4EA3" w:rsidR="00EF4EA3" w:rsidP="006D33E0" w:rsidRDefault="00EF4EA3" w14:paraId="35B368D3" w14:textId="77777777">
      <w:pPr>
        <w:spacing w:after="0" w:line="240" w:lineRule="auto"/>
        <w:ind w:left="709" w:right="709"/>
        <w:jc w:val="both"/>
        <w:rPr>
          <w:rFonts w:ascii="Arial" w:hAnsi="Arial" w:eastAsia="Times New Roman" w:cs="Arial"/>
          <w:sz w:val="21"/>
          <w:szCs w:val="21"/>
          <w:lang w:eastAsia="es-ES_tradnl"/>
        </w:rPr>
      </w:pPr>
      <w:r w:rsidRPr="00EF4EA3">
        <w:rPr>
          <w:rFonts w:ascii="Arial" w:hAnsi="Arial" w:eastAsia="Times New Roman" w:cs="Arial"/>
          <w:sz w:val="21"/>
          <w:szCs w:val="21"/>
          <w:lang w:eastAsia="es-ES_tradnl"/>
        </w:rPr>
        <w:t>El presente artículo no es aplicable a la contratación por mínima cuantía.</w:t>
      </w:r>
    </w:p>
    <w:p w:rsidRPr="00EF4EA3" w:rsidR="00EF4EA3" w:rsidP="00086875" w:rsidRDefault="00EF4EA3" w14:paraId="3EC9328E" w14:textId="77777777">
      <w:pPr>
        <w:widowControl w:val="0"/>
        <w:tabs>
          <w:tab w:val="left" w:pos="1305"/>
        </w:tabs>
        <w:autoSpaceDE w:val="0"/>
        <w:autoSpaceDN w:val="0"/>
        <w:spacing w:after="0" w:line="276" w:lineRule="auto"/>
        <w:rPr>
          <w:rFonts w:ascii="Arial" w:hAnsi="Arial" w:eastAsia="Calibri" w:cs="Arial"/>
          <w:lang w:val="es-MX"/>
        </w:rPr>
      </w:pPr>
    </w:p>
    <w:p w:rsidRPr="00EF4EA3" w:rsidR="00EF4EA3" w:rsidP="001600C5" w:rsidRDefault="00EF4EA3" w14:paraId="47A54B80" w14:textId="77777777">
      <w:pPr>
        <w:spacing w:after="120" w:line="276" w:lineRule="auto"/>
        <w:ind w:firstLine="709"/>
        <w:jc w:val="both"/>
        <w:rPr>
          <w:rFonts w:ascii="Arial" w:hAnsi="Arial" w:eastAsia="Times New Roman" w:cs="Arial"/>
          <w:szCs w:val="24"/>
          <w:lang w:eastAsia="es-ES_tradnl"/>
        </w:rPr>
      </w:pPr>
      <w:bookmarkStart w:name="_Hlk54011351" w:id="7"/>
      <w:r w:rsidRPr="00EF4EA3">
        <w:rPr>
          <w:rFonts w:ascii="Arial" w:hAnsi="Arial" w:eastAsia="Times New Roman" w:cs="Arial"/>
          <w:szCs w:val="24"/>
          <w:lang w:eastAsia="es-ES_tradnl"/>
        </w:rPr>
        <w:t xml:space="preserve">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w:t>
      </w:r>
      <w:proofErr w:type="spellStart"/>
      <w:r w:rsidRPr="00EF4EA3">
        <w:rPr>
          <w:rFonts w:ascii="Arial" w:hAnsi="Arial" w:eastAsia="Times New Roman" w:cs="Arial"/>
          <w:szCs w:val="24"/>
          <w:lang w:eastAsia="es-ES_tradnl"/>
        </w:rPr>
        <w:t>iii</w:t>
      </w:r>
      <w:proofErr w:type="spellEnd"/>
      <w:r w:rsidRPr="00EF4EA3">
        <w:rPr>
          <w:rFonts w:ascii="Arial" w:hAnsi="Arial" w:eastAsia="Times New Roman" w:cs="Arial"/>
          <w:szCs w:val="24"/>
          <w:lang w:eastAsia="es-ES_tradnl"/>
        </w:rPr>
        <w:t xml:space="preserve">) las calidades, especificaciones, cantidades y demás características que puedan o deban reunir los bienes, las obras o los servicios cuya contratación se haya determinado necesaria, </w:t>
      </w:r>
      <w:r w:rsidRPr="00526C25">
        <w:rPr>
          <w:rFonts w:ascii="Arial" w:hAnsi="Arial" w:eastAsia="Times New Roman" w:cs="Arial"/>
          <w:i/>
          <w:iCs/>
          <w:szCs w:val="24"/>
          <w:u w:val="single"/>
          <w:lang w:eastAsia="es-ES_tradnl"/>
        </w:rPr>
        <w:t>iv) los costos, valores y alternativas que, a precios de mercado reales, podría demandar la celebración y ejecución del contrato,</w:t>
      </w:r>
      <w:r w:rsidRPr="00086875">
        <w:rPr>
          <w:rFonts w:ascii="Arial" w:hAnsi="Arial" w:eastAsia="Times New Roman" w:cs="Arial"/>
          <w:i/>
          <w:iCs/>
          <w:szCs w:val="24"/>
          <w:lang w:eastAsia="es-ES_tradnl"/>
        </w:rPr>
        <w:t xml:space="preserve"> </w:t>
      </w:r>
      <w:r w:rsidRPr="00EF4EA3">
        <w:rPr>
          <w:rFonts w:ascii="Arial" w:hAnsi="Arial" w:eastAsia="Times New Roman" w:cs="Arial"/>
          <w:szCs w:val="24"/>
          <w:lang w:eastAsia="es-ES_tradnl"/>
        </w:rPr>
        <w:t xml:space="preserve">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EF4EA3">
        <w:rPr>
          <w:rFonts w:ascii="Arial" w:hAnsi="Arial" w:eastAsia="Times New Roman" w:cs="Arial"/>
          <w:szCs w:val="24"/>
          <w:lang w:eastAsia="es-ES_tradnl"/>
        </w:rPr>
        <w:t>vii</w:t>
      </w:r>
      <w:proofErr w:type="spellEnd"/>
      <w:r w:rsidRPr="00EF4EA3">
        <w:rPr>
          <w:rFonts w:ascii="Arial" w:hAnsi="Arial" w:eastAsia="Times New Roman" w:cs="Arial"/>
          <w:szCs w:val="24"/>
          <w:lang w:eastAsia="es-ES_tradnl"/>
        </w:rPr>
        <w:t>) los procedimientos, trámites y requisitos que deban satisfacerse, reunirse u obtenerse para llevar a cabo la selección del respectivo contratista y la celebración del contrato que se pretenda celebrar.</w:t>
      </w:r>
    </w:p>
    <w:bookmarkEnd w:id="7"/>
    <w:p w:rsidRPr="00EF4EA3" w:rsidR="00EF4EA3" w:rsidP="001600C5" w:rsidRDefault="00EF4EA3" w14:paraId="2B4E4624" w14:textId="77777777">
      <w:pPr>
        <w:spacing w:after="120" w:line="276" w:lineRule="auto"/>
        <w:ind w:firstLine="709"/>
        <w:jc w:val="both"/>
        <w:rPr>
          <w:rFonts w:ascii="Arial" w:hAnsi="Arial" w:eastAsia="Times New Roman" w:cs="Arial"/>
          <w:szCs w:val="24"/>
          <w:lang w:eastAsia="es-ES_tradnl"/>
        </w:rPr>
      </w:pPr>
      <w:r w:rsidRPr="00EF4EA3">
        <w:rPr>
          <w:rFonts w:ascii="Arial" w:hAnsi="Arial" w:eastAsia="Times New Roman" w:cs="Arial"/>
          <w:szCs w:val="24"/>
          <w:lang w:eastAsia="es-ES_tradnl"/>
        </w:rPr>
        <w:t xml:space="preserve">Por ello, el hecho que las entidades cumplan con los elementos mínimos establecidos en la norma y aquellos adicionales que identifiquen en la etapa de planeación de los </w:t>
      </w:r>
      <w:r w:rsidRPr="00EF4EA3">
        <w:rPr>
          <w:rFonts w:ascii="Arial" w:hAnsi="Arial" w:eastAsia="Calibri" w:cs="Arial"/>
          <w:bCs/>
          <w:szCs w:val="24"/>
          <w:lang w:val="es-ES_tradnl" w:eastAsia="es-ES_tradnl"/>
        </w:rPr>
        <w:t xml:space="preserve">procedimientos de contratación, permite que los contratos resultantes cuenten con el sustento técnico, económico y jurídico que incidirá </w:t>
      </w:r>
      <w:r w:rsidRPr="00EF4EA3">
        <w:rPr>
          <w:rFonts w:ascii="Arial" w:hAnsi="Arial" w:eastAsia="Times New Roman" w:cs="Arial"/>
          <w:szCs w:val="24"/>
          <w:lang w:eastAsia="es-ES_tradnl"/>
        </w:rPr>
        <w:t>en una adecuada ejecución.</w:t>
      </w:r>
    </w:p>
    <w:p w:rsidRPr="00EF4EA3" w:rsidR="00EF4EA3" w:rsidP="2E150ADA" w:rsidRDefault="00EF4EA3" w14:paraId="74E5A858" w14:textId="225E9DE4">
      <w:pPr>
        <w:spacing w:after="120" w:line="276" w:lineRule="auto"/>
        <w:ind w:firstLine="0"/>
        <w:jc w:val="both"/>
        <w:rPr>
          <w:rFonts w:ascii="Arial" w:hAnsi="Arial" w:eastAsia="Times New Roman" w:cs="Arial"/>
          <w:lang w:eastAsia="es-ES"/>
        </w:rPr>
      </w:pPr>
      <w:r w:rsidRPr="2E150ADA" w:rsidR="51BFE972">
        <w:rPr>
          <w:rFonts w:ascii="Arial" w:hAnsi="Arial" w:eastAsia="Times New Roman" w:cs="Arial"/>
          <w:lang w:eastAsia="es-ES"/>
        </w:rPr>
        <w:t xml:space="preserve">           </w:t>
      </w:r>
      <w:r w:rsidRPr="2E150ADA" w:rsidR="00EF4EA3">
        <w:rPr>
          <w:rFonts w:ascii="Arial" w:hAnsi="Arial" w:eastAsia="Times New Roman" w:cs="Arial"/>
          <w:lang w:eastAsia="es-ES"/>
        </w:rPr>
        <w:t xml:space="preserve">Mas allá del cumplimiento de la normativa, </w:t>
      </w:r>
      <w:r w:rsidRPr="2E150ADA" w:rsidR="00871572">
        <w:rPr>
          <w:rFonts w:ascii="Arial" w:hAnsi="Arial" w:eastAsia="Times New Roman" w:cs="Arial"/>
          <w:lang w:eastAsia="es-ES"/>
        </w:rPr>
        <w:t>“</w:t>
      </w:r>
      <w:r w:rsidRPr="2E150ADA" w:rsidR="00EF4EA3">
        <w:rPr>
          <w:rFonts w:ascii="Arial" w:hAnsi="Arial" w:eastAsia="Times New Roman" w:cs="Arial"/>
          <w:lang w:eastAsia="es-ES"/>
        </w:rPr>
        <w:t>los estudios y documentos previos son el soporte para elaborar el proyecto de pliegos, los pliegos de condiciones, y el contrato</w:t>
      </w:r>
      <w:r w:rsidRPr="2E150ADA" w:rsidR="00871572">
        <w:rPr>
          <w:rFonts w:ascii="Arial" w:hAnsi="Arial" w:eastAsia="Times New Roman" w:cs="Arial"/>
          <w:lang w:eastAsia="es-ES"/>
        </w:rPr>
        <w:t>”</w:t>
      </w:r>
      <w:r w:rsidRPr="2E150ADA">
        <w:rPr>
          <w:rFonts w:ascii="Arial" w:hAnsi="Arial" w:eastAsia="Times New Roman" w:cs="Arial"/>
          <w:vertAlign w:val="superscript"/>
          <w:lang w:eastAsia="es-ES"/>
        </w:rPr>
        <w:footnoteReference w:id="3"/>
      </w:r>
      <w:r w:rsidRPr="2E150ADA" w:rsidR="00EF4EA3">
        <w:rPr>
          <w:rFonts w:ascii="Arial" w:hAnsi="Arial" w:eastAsia="Times New Roman" w:cs="Arial"/>
          <w:lang w:eastAsia="es-ES"/>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rsidRPr="00EF4EA3" w:rsidR="00EF4EA3" w:rsidP="001600C5" w:rsidRDefault="00EF4EA3" w14:paraId="29782CEF" w14:textId="77777777">
      <w:pPr>
        <w:spacing w:after="120" w:line="276" w:lineRule="auto"/>
        <w:ind w:firstLine="709"/>
        <w:jc w:val="both"/>
        <w:rPr>
          <w:rFonts w:ascii="Arial" w:hAnsi="Arial" w:eastAsia="Times New Roman" w:cs="Arial"/>
          <w:szCs w:val="24"/>
          <w:lang w:eastAsia="es-ES_tradnl"/>
        </w:rPr>
      </w:pPr>
      <w:bookmarkStart w:name="_Hlk54011438" w:id="9"/>
      <w:r w:rsidRPr="00EF4EA3">
        <w:rPr>
          <w:rFonts w:ascii="Arial" w:hAnsi="Arial" w:eastAsia="Times New Roman" w:cs="Arial"/>
          <w:szCs w:val="24"/>
          <w:lang w:eastAsia="es-ES_tradnl"/>
        </w:rPr>
        <w:t xml:space="preserve">De lo explicado se desprende que </w:t>
      </w:r>
      <w:r w:rsidRPr="00266E2E">
        <w:rPr>
          <w:rFonts w:ascii="Arial" w:hAnsi="Arial" w:eastAsia="Times New Roman" w:cs="Arial"/>
          <w:szCs w:val="24"/>
          <w:u w:val="single"/>
          <w:lang w:eastAsia="es-ES_tradnl"/>
        </w:rPr>
        <w:t xml:space="preserve">los estudios y documentos previos son necesarios antes de la celebración del contrato, pues fundamentan las condiciones que la entidad </w:t>
      </w:r>
      <w:r w:rsidRPr="00266E2E">
        <w:rPr>
          <w:rFonts w:ascii="Arial" w:hAnsi="Arial" w:eastAsia="Times New Roman" w:cs="Arial"/>
          <w:szCs w:val="24"/>
          <w:u w:val="single"/>
          <w:lang w:eastAsia="es-ES_tradnl"/>
        </w:rPr>
        <w:lastRenderedPageBreak/>
        <w:t>estatal exige en su proceso de contratación</w:t>
      </w:r>
      <w:r w:rsidRPr="00EF4EA3">
        <w:rPr>
          <w:rFonts w:ascii="Arial" w:hAnsi="Arial" w:eastAsia="Times New Roman" w:cs="Arial"/>
          <w:szCs w:val="24"/>
          <w:lang w:eastAsia="es-ES_tradnl"/>
        </w:rPr>
        <w:t>. Sin embargo, luego de la suscripción del contrato la entidad no debe actuar unilateralmente, sino que debe respetar la buena fe contractual y proceder de acuerdo con lo pactado</w:t>
      </w:r>
      <w:bookmarkEnd w:id="9"/>
      <w:r w:rsidRPr="00EF4EA3">
        <w:rPr>
          <w:rFonts w:ascii="Arial" w:hAnsi="Arial" w:eastAsia="Times New Roman" w:cs="Arial"/>
          <w:szCs w:val="24"/>
          <w:vertAlign w:val="superscript"/>
          <w:lang w:eastAsia="es-ES_tradnl"/>
        </w:rPr>
        <w:footnoteReference w:id="4"/>
      </w:r>
      <w:r w:rsidRPr="00EF4EA3">
        <w:rPr>
          <w:rFonts w:ascii="Arial" w:hAnsi="Arial" w:eastAsia="Times New Roman" w:cs="Arial"/>
          <w:szCs w:val="24"/>
          <w:lang w:eastAsia="es-ES_tradnl"/>
        </w:rPr>
        <w:t>.</w:t>
      </w:r>
    </w:p>
    <w:p w:rsidRPr="00EF4EA3" w:rsidR="00EF4EA3" w:rsidP="001600C5" w:rsidRDefault="00EF4EA3" w14:paraId="02609522" w14:textId="77777777">
      <w:pPr>
        <w:spacing w:after="120" w:line="276" w:lineRule="auto"/>
        <w:ind w:firstLine="709"/>
        <w:jc w:val="both"/>
        <w:rPr>
          <w:rFonts w:ascii="Arial" w:hAnsi="Arial" w:eastAsia="Times New Roman" w:cs="Arial"/>
          <w:szCs w:val="24"/>
          <w:lang w:eastAsia="es-ES_tradnl"/>
        </w:rPr>
      </w:pPr>
      <w:r w:rsidRPr="002168DE">
        <w:rPr>
          <w:rFonts w:ascii="Arial" w:hAnsi="Arial" w:eastAsia="Times New Roman" w:cs="Arial"/>
          <w:szCs w:val="24"/>
          <w:u w:val="single"/>
          <w:lang w:eastAsia="es-ES_tradnl"/>
        </w:rPr>
        <w:t>El numeral 12 del artículo 25 de la Ley 80 de 1993, antes citado, establece el deber de las entidades de realizar estudios previos en dos momentos específicos: i) previo a la apertura de un proceso de selección y ii) previo a la firma del contrato en el caso en que la modalidad de selección sea contratación directa</w:t>
      </w:r>
      <w:r w:rsidRPr="00EF4EA3">
        <w:rPr>
          <w:rFonts w:ascii="Arial" w:hAnsi="Arial" w:eastAsia="Times New Roman" w:cs="Arial"/>
          <w:szCs w:val="24"/>
          <w:lang w:eastAsia="es-ES_tradnl"/>
        </w:rPr>
        <w:t xml:space="preserve">. </w:t>
      </w:r>
    </w:p>
    <w:p w:rsidR="00EF4EA3" w:rsidP="001600C5" w:rsidRDefault="00EF4EA3" w14:paraId="4E45F7B1" w14:textId="2DED0CC3">
      <w:pPr>
        <w:spacing w:after="120" w:line="276" w:lineRule="auto"/>
        <w:ind w:firstLine="709"/>
        <w:jc w:val="both"/>
        <w:rPr>
          <w:rFonts w:ascii="Arial" w:hAnsi="Arial" w:eastAsia="Times New Roman" w:cs="Arial"/>
          <w:szCs w:val="24"/>
          <w:lang w:eastAsia="es-ES_tradnl"/>
        </w:rPr>
      </w:pPr>
      <w:r w:rsidRPr="00EF4EA3">
        <w:rPr>
          <w:rFonts w:ascii="Arial" w:hAnsi="Arial" w:eastAsia="Times New Roman" w:cs="Arial"/>
          <w:szCs w:val="24"/>
          <w:lang w:eastAsia="es-ES_tradnl"/>
        </w:rPr>
        <w:t xml:space="preserve">En cuanto a la responsabilidad de la elaboración de los estudios y documentos previos, corresponde a </w:t>
      </w:r>
      <w:r w:rsidR="00871572">
        <w:rPr>
          <w:rFonts w:ascii="Arial" w:hAnsi="Arial" w:eastAsia="Times New Roman" w:cs="Arial"/>
          <w:szCs w:val="24"/>
          <w:lang w:eastAsia="es-ES_tradnl"/>
        </w:rPr>
        <w:t>“</w:t>
      </w:r>
      <w:r w:rsidRPr="00EF4EA3">
        <w:rPr>
          <w:rFonts w:ascii="Arial" w:hAnsi="Arial" w:eastAsia="Times New Roman" w:cs="Arial"/>
          <w:szCs w:val="24"/>
          <w:lang w:eastAsia="es-ES_tradnl"/>
        </w:rPr>
        <w:t>la oficina, dependencia o departamento que tenga la necesidad de que se celebre el contrato</w:t>
      </w:r>
      <w:r w:rsidR="00871572">
        <w:rPr>
          <w:rFonts w:ascii="Arial" w:hAnsi="Arial" w:eastAsia="Times New Roman" w:cs="Arial"/>
          <w:szCs w:val="24"/>
          <w:lang w:eastAsia="es-ES_tradnl"/>
        </w:rPr>
        <w:t>”</w:t>
      </w:r>
      <w:r w:rsidRPr="00EF4EA3">
        <w:rPr>
          <w:rFonts w:ascii="Arial" w:hAnsi="Arial" w:eastAsia="Times New Roman" w:cs="Arial"/>
          <w:szCs w:val="24"/>
          <w:lang w:eastAsia="es-ES_tradnl"/>
        </w:rPr>
        <w:t xml:space="preserve">, de acuerdo con </w:t>
      </w:r>
      <w:r w:rsidR="00871572">
        <w:rPr>
          <w:rFonts w:ascii="Arial" w:hAnsi="Arial" w:eastAsia="Times New Roman" w:cs="Arial"/>
          <w:szCs w:val="24"/>
          <w:lang w:eastAsia="es-ES_tradnl"/>
        </w:rPr>
        <w:t>“</w:t>
      </w:r>
      <w:r w:rsidRPr="00EF4EA3">
        <w:rPr>
          <w:rFonts w:ascii="Arial" w:hAnsi="Arial" w:eastAsia="Times New Roman" w:cs="Arial"/>
          <w:szCs w:val="24"/>
          <w:lang w:eastAsia="es-ES_tradnl"/>
        </w:rPr>
        <w:t>las instrucciones y procedimientos establecidos en el Manual de Contratación de la Entidad, en el marco de la Ley y los reglamentos vigentes</w:t>
      </w:r>
      <w:r w:rsidR="00871572">
        <w:rPr>
          <w:rFonts w:ascii="Arial" w:hAnsi="Arial" w:eastAsia="Times New Roman" w:cs="Arial"/>
          <w:szCs w:val="24"/>
          <w:lang w:eastAsia="es-ES_tradnl"/>
        </w:rPr>
        <w:t>”</w:t>
      </w:r>
      <w:r w:rsidRPr="00EF4EA3">
        <w:rPr>
          <w:rFonts w:ascii="Arial" w:hAnsi="Arial" w:eastAsia="Times New Roman" w:cs="Arial"/>
          <w:szCs w:val="24"/>
          <w:vertAlign w:val="superscript"/>
          <w:lang w:eastAsia="es-ES_tradnl"/>
        </w:rPr>
        <w:footnoteReference w:id="5"/>
      </w:r>
      <w:r w:rsidRPr="00EF4EA3">
        <w:rPr>
          <w:rFonts w:ascii="Arial" w:hAnsi="Arial" w:eastAsia="Times New Roman" w:cs="Arial"/>
          <w:szCs w:val="24"/>
          <w:lang w:eastAsia="es-ES_tradnl"/>
        </w:rPr>
        <w:t xml:space="preserve">. De esta manera, de conformidad con la estructura interna de cada entidad, la elaboración de los estudios previos corresponderá al funcionario responsable de la dependencia </w:t>
      </w:r>
      <w:r w:rsidRPr="00EF4EA3">
        <w:rPr>
          <w:rFonts w:ascii="Arial" w:hAnsi="Arial" w:eastAsia="Times New Roman" w:cs="Arial"/>
          <w:spacing w:val="2"/>
          <w:szCs w:val="24"/>
          <w:lang w:eastAsia="es-ES_tradnl"/>
        </w:rPr>
        <w:t xml:space="preserve">con </w:t>
      </w:r>
      <w:r w:rsidRPr="00EF4EA3">
        <w:rPr>
          <w:rFonts w:ascii="Arial" w:hAnsi="Arial" w:eastAsia="Times New Roman" w:cs="Arial"/>
          <w:szCs w:val="24"/>
          <w:lang w:eastAsia="es-ES_tradnl"/>
        </w:rPr>
        <w:t>la necesidad a</w:t>
      </w:r>
      <w:r w:rsidRPr="00EF4EA3">
        <w:rPr>
          <w:rFonts w:ascii="Arial" w:hAnsi="Arial" w:eastAsia="Times New Roman" w:cs="Arial"/>
          <w:spacing w:val="-4"/>
          <w:szCs w:val="24"/>
          <w:lang w:eastAsia="es-ES_tradnl"/>
        </w:rPr>
        <w:t xml:space="preserve"> </w:t>
      </w:r>
      <w:r w:rsidRPr="00EF4EA3">
        <w:rPr>
          <w:rFonts w:ascii="Arial" w:hAnsi="Arial" w:eastAsia="Times New Roman" w:cs="Arial"/>
          <w:szCs w:val="24"/>
          <w:lang w:eastAsia="es-ES_tradnl"/>
        </w:rPr>
        <w:t>satisfacer.</w:t>
      </w:r>
    </w:p>
    <w:p w:rsidRPr="00EF4EA3" w:rsidR="00EF4EA3" w:rsidP="001600C5" w:rsidRDefault="0008053B" w14:paraId="6D3C1FEF" w14:textId="3B1911C6">
      <w:pPr>
        <w:spacing w:after="120" w:line="276" w:lineRule="auto"/>
        <w:jc w:val="both"/>
        <w:rPr>
          <w:rFonts w:ascii="Arial" w:hAnsi="Arial" w:eastAsia="Calibri" w:cs="Arial"/>
          <w:bCs/>
          <w:szCs w:val="24"/>
          <w:lang w:val="es-ES_tradnl" w:eastAsia="es-ES_tradnl"/>
        </w:rPr>
      </w:pPr>
      <w:r>
        <w:rPr>
          <w:rFonts w:ascii="Arial" w:hAnsi="Arial" w:eastAsia="Times New Roman" w:cs="Arial"/>
          <w:szCs w:val="24"/>
          <w:lang w:eastAsia="es-ES_tradnl"/>
        </w:rPr>
        <w:tab/>
      </w:r>
      <w:r w:rsidRPr="00086875">
        <w:rPr>
          <w:rFonts w:ascii="Arial" w:hAnsi="Arial" w:eastAsia="Times New Roman" w:cs="Arial"/>
          <w:szCs w:val="24"/>
          <w:lang w:eastAsia="es-ES_tradnl"/>
        </w:rPr>
        <w:t xml:space="preserve">Por otra </w:t>
      </w:r>
      <w:r>
        <w:rPr>
          <w:rFonts w:ascii="Arial" w:hAnsi="Arial" w:eastAsia="Times New Roman" w:cs="Arial"/>
          <w:szCs w:val="24"/>
          <w:lang w:eastAsia="es-ES_tradnl"/>
        </w:rPr>
        <w:t>p</w:t>
      </w:r>
      <w:r w:rsidRPr="00086875">
        <w:rPr>
          <w:rFonts w:ascii="Arial" w:hAnsi="Arial" w:eastAsia="Times New Roman" w:cs="Arial"/>
          <w:szCs w:val="24"/>
          <w:lang w:eastAsia="es-ES_tradnl"/>
        </w:rPr>
        <w:t>art</w:t>
      </w:r>
      <w:r>
        <w:rPr>
          <w:rFonts w:ascii="Arial" w:hAnsi="Arial" w:eastAsia="Times New Roman" w:cs="Arial"/>
          <w:szCs w:val="24"/>
          <w:lang w:eastAsia="es-ES_tradnl"/>
        </w:rPr>
        <w:t>e</w:t>
      </w:r>
      <w:r w:rsidRPr="00086875">
        <w:rPr>
          <w:rFonts w:ascii="Arial" w:hAnsi="Arial" w:eastAsia="Times New Roman" w:cs="Arial"/>
          <w:szCs w:val="24"/>
          <w:lang w:eastAsia="es-ES_tradnl"/>
        </w:rPr>
        <w:t>, l</w:t>
      </w:r>
      <w:r w:rsidRPr="00086875" w:rsidR="00EF4EA3">
        <w:rPr>
          <w:rFonts w:ascii="Arial" w:hAnsi="Arial" w:eastAsia="Times New Roman" w:cs="Arial"/>
          <w:szCs w:val="24"/>
          <w:lang w:eastAsia="es-ES_tradnl"/>
        </w:rPr>
        <w:t>os numerales 2 y</w:t>
      </w:r>
      <w:r w:rsidRPr="0008053B" w:rsidR="00EF4EA3">
        <w:rPr>
          <w:rFonts w:ascii="Arial" w:hAnsi="Arial" w:eastAsia="Times New Roman" w:cs="Arial"/>
          <w:szCs w:val="24"/>
          <w:lang w:eastAsia="es-ES_tradnl"/>
        </w:rPr>
        <w:t xml:space="preserve"> 4 del artículo 2.2.1.1.2.1.1 del Decreto 1082 de 2015 </w:t>
      </w:r>
      <w:r w:rsidRPr="006D3EAB" w:rsidR="00EF4EA3">
        <w:rPr>
          <w:rFonts w:ascii="Arial" w:hAnsi="Arial" w:eastAsia="Times New Roman" w:cs="Arial"/>
          <w:szCs w:val="24"/>
          <w:u w:val="single"/>
          <w:lang w:eastAsia="es-ES_tradnl"/>
        </w:rPr>
        <w:t>exigen que se determine el objeto a contratar con sus especificaciones y se estime el costo que implica la celebración del contrato</w:t>
      </w:r>
      <w:r w:rsidRPr="00EF4EA3" w:rsidR="00EF4EA3">
        <w:rPr>
          <w:rFonts w:ascii="Arial" w:hAnsi="Arial" w:eastAsia="Times New Roman" w:cs="Arial"/>
          <w:szCs w:val="24"/>
          <w:lang w:eastAsia="es-ES_tradnl"/>
        </w:rPr>
        <w:t xml:space="preserve">. </w:t>
      </w:r>
      <w:r w:rsidRPr="00EF4EA3" w:rsidR="00EF4EA3">
        <w:rPr>
          <w:rFonts w:ascii="Arial" w:hAnsi="Arial" w:eastAsia="Calibri" w:cs="Arial"/>
          <w:bCs/>
          <w:szCs w:val="24"/>
          <w:lang w:val="es-ES_tradnl" w:eastAsia="es-ES_tradnl"/>
        </w:rPr>
        <w:t xml:space="preserve">Para cumplir </w:t>
      </w:r>
      <w:r w:rsidR="00D010B6">
        <w:rPr>
          <w:rFonts w:ascii="Arial" w:hAnsi="Arial" w:eastAsia="Calibri" w:cs="Arial"/>
          <w:bCs/>
          <w:szCs w:val="24"/>
          <w:lang w:val="es-ES_tradnl" w:eastAsia="es-ES_tradnl"/>
        </w:rPr>
        <w:t xml:space="preserve">con </w:t>
      </w:r>
      <w:r w:rsidRPr="00EF4EA3" w:rsidR="00EF4EA3">
        <w:rPr>
          <w:rFonts w:ascii="Arial" w:hAnsi="Arial" w:eastAsia="Calibri" w:cs="Arial"/>
          <w:bCs/>
          <w:szCs w:val="24"/>
          <w:lang w:val="es-ES_tradnl" w:eastAsia="es-ES_tradnl"/>
        </w:rPr>
        <w:t xml:space="preserve">este objetivo </w:t>
      </w:r>
      <w:r w:rsidRPr="00AF0D53" w:rsidR="00EF4EA3">
        <w:rPr>
          <w:rFonts w:ascii="Arial" w:hAnsi="Arial" w:eastAsia="Calibri" w:cs="Arial"/>
          <w:bCs/>
          <w:szCs w:val="24"/>
          <w:u w:val="single"/>
          <w:lang w:val="es-ES_tradnl" w:eastAsia="es-ES_tradnl"/>
        </w:rPr>
        <w:t>es necesario el estudio del mercado y el análisis del sector económico y de los oferentes</w:t>
      </w:r>
      <w:r w:rsidRPr="00EF4EA3" w:rsidR="00EF4EA3">
        <w:rPr>
          <w:rFonts w:ascii="Arial" w:hAnsi="Arial" w:eastAsia="Calibri" w:cs="Arial"/>
          <w:bCs/>
          <w:szCs w:val="24"/>
          <w:lang w:val="es-ES_tradnl" w:eastAsia="es-ES_tradnl"/>
        </w:rPr>
        <w:t xml:space="preserve">,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name="_Hlk36117416" w:id="10"/>
      <w:r w:rsidRPr="00EF4EA3" w:rsidR="00EF4EA3">
        <w:rPr>
          <w:rFonts w:ascii="Arial" w:hAnsi="Arial" w:eastAsia="Calibri" w:cs="Arial"/>
          <w:bCs/>
          <w:szCs w:val="24"/>
          <w:lang w:val="es-ES_tradnl" w:eastAsia="es-ES_tradnl"/>
        </w:rPr>
        <w:t>2.2.1.1.1.6.1 del Decreto 1082 de 2015</w:t>
      </w:r>
      <w:bookmarkEnd w:id="10"/>
      <w:r w:rsidRPr="00EF4EA3" w:rsidR="00EF4EA3">
        <w:rPr>
          <w:rFonts w:ascii="Arial" w:hAnsi="Arial" w:eastAsia="Calibri" w:cs="Arial"/>
          <w:bCs/>
          <w:szCs w:val="24"/>
          <w:lang w:val="es-ES_tradnl" w:eastAsia="es-ES_tradnl"/>
        </w:rPr>
        <w:t xml:space="preserve"> dispone que </w:t>
      </w:r>
      <w:r w:rsidR="00871572">
        <w:rPr>
          <w:rFonts w:ascii="Arial" w:hAnsi="Arial" w:eastAsia="Calibri" w:cs="Arial"/>
          <w:bCs/>
          <w:szCs w:val="24"/>
          <w:lang w:val="es-ES_tradnl" w:eastAsia="es-ES_tradnl"/>
        </w:rPr>
        <w:t>“</w:t>
      </w:r>
      <w:r w:rsidRPr="00EF4EA3" w:rsidR="00EF4EA3">
        <w:rPr>
          <w:rFonts w:ascii="Arial" w:hAnsi="Arial" w:eastAsia="Calibri" w:cs="Arial"/>
          <w:bCs/>
          <w:szCs w:val="24"/>
          <w:lang w:val="es-ES_tradnl" w:eastAsia="es-ES_tradnl"/>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00871572">
        <w:rPr>
          <w:rFonts w:ascii="Arial" w:hAnsi="Arial" w:eastAsia="Calibri" w:cs="Arial"/>
          <w:bCs/>
          <w:szCs w:val="24"/>
          <w:lang w:val="es-ES_tradnl" w:eastAsia="es-ES_tradnl"/>
        </w:rPr>
        <w:t>”</w:t>
      </w:r>
      <w:r w:rsidRPr="00EF4EA3" w:rsidR="00EF4EA3">
        <w:rPr>
          <w:rFonts w:ascii="Arial" w:hAnsi="Arial" w:eastAsia="Calibri" w:cs="Arial"/>
          <w:bCs/>
          <w:szCs w:val="24"/>
          <w:lang w:val="es-ES_tradnl" w:eastAsia="es-ES_tradnl"/>
        </w:rPr>
        <w:t>.</w:t>
      </w:r>
    </w:p>
    <w:p w:rsidRPr="00EF4EA3" w:rsidR="00EF4EA3" w:rsidP="001600C5" w:rsidRDefault="00EF4EA3" w14:paraId="36A2147A" w14:textId="1F1F7FAF">
      <w:pPr>
        <w:spacing w:before="120" w:after="0" w:line="276" w:lineRule="auto"/>
        <w:ind w:firstLine="709"/>
        <w:jc w:val="both"/>
        <w:rPr>
          <w:rFonts w:ascii="Arial" w:hAnsi="Arial" w:eastAsia="Calibri" w:cs="Arial"/>
          <w:bCs/>
          <w:szCs w:val="24"/>
          <w:lang w:val="es-ES_tradnl" w:eastAsia="es-ES_tradnl"/>
        </w:rPr>
      </w:pPr>
      <w:r w:rsidRPr="00ED21E7">
        <w:rPr>
          <w:rFonts w:ascii="Arial" w:hAnsi="Arial" w:eastAsia="Calibri" w:cs="Arial"/>
          <w:bCs/>
          <w:szCs w:val="24"/>
          <w:lang w:val="es-ES_tradnl" w:eastAsia="es-ES_tradnl"/>
        </w:rPr>
        <w:t xml:space="preserve">De acuerdo con la norma citada, </w:t>
      </w:r>
      <w:bookmarkStart w:name="_Hlk36140682" w:id="11"/>
      <w:r w:rsidRPr="00ED21E7">
        <w:rPr>
          <w:rFonts w:ascii="Arial" w:hAnsi="Arial" w:eastAsia="Calibri" w:cs="Arial"/>
          <w:bCs/>
          <w:szCs w:val="24"/>
          <w:u w:val="single"/>
          <w:lang w:val="es-ES_tradnl" w:eastAsia="es-ES_tradnl"/>
        </w:rPr>
        <w:t>la entidad debe realizar el análisis necesario para conocer el sector relativo al objeto del proceso de contratación, sin que sea relevante la modalidad de selección</w:t>
      </w:r>
      <w:r w:rsidR="00D540A4">
        <w:rPr>
          <w:rFonts w:ascii="Arial" w:hAnsi="Arial" w:eastAsia="Calibri" w:cs="Arial"/>
          <w:bCs/>
          <w:szCs w:val="24"/>
          <w:lang w:val="es-ES_tradnl" w:eastAsia="es-ES_tradnl"/>
        </w:rPr>
        <w:t xml:space="preserve">, </w:t>
      </w:r>
      <w:r w:rsidRPr="000B5B1D" w:rsidR="00E159C8">
        <w:rPr>
          <w:rFonts w:ascii="Arial" w:hAnsi="Arial" w:eastAsia="Calibri" w:cs="Arial"/>
          <w:bCs/>
          <w:szCs w:val="24"/>
          <w:u w:val="single"/>
          <w:lang w:val="es-ES_tradnl" w:eastAsia="es-ES_tradnl"/>
        </w:rPr>
        <w:t xml:space="preserve">lo que indica que este deber </w:t>
      </w:r>
      <w:r w:rsidRPr="000B5B1D" w:rsidR="0001221C">
        <w:rPr>
          <w:rFonts w:ascii="Arial" w:hAnsi="Arial" w:eastAsia="Calibri" w:cs="Arial"/>
          <w:bCs/>
          <w:szCs w:val="24"/>
          <w:u w:val="single"/>
          <w:lang w:val="es-ES_tradnl" w:eastAsia="es-ES_tradnl"/>
        </w:rPr>
        <w:t>de planeación y de análisis del sector se extiende</w:t>
      </w:r>
      <w:r w:rsidRPr="000B5B1D" w:rsidR="005137E3">
        <w:rPr>
          <w:rFonts w:ascii="Arial" w:hAnsi="Arial" w:eastAsia="Calibri" w:cs="Arial"/>
          <w:bCs/>
          <w:szCs w:val="24"/>
          <w:u w:val="single"/>
          <w:lang w:val="es-ES_tradnl" w:eastAsia="es-ES_tradnl"/>
        </w:rPr>
        <w:t xml:space="preserve">, por ende, </w:t>
      </w:r>
      <w:r w:rsidRPr="000B5B1D" w:rsidR="0035145C">
        <w:rPr>
          <w:rFonts w:ascii="Arial" w:hAnsi="Arial" w:eastAsia="Calibri" w:cs="Arial"/>
          <w:bCs/>
          <w:szCs w:val="24"/>
          <w:u w:val="single"/>
          <w:lang w:val="es-ES_tradnl" w:eastAsia="es-ES_tradnl"/>
        </w:rPr>
        <w:t>a los procesos de selección abreviada</w:t>
      </w:r>
      <w:r w:rsidRPr="000B5B1D" w:rsidR="000B5B1D">
        <w:rPr>
          <w:rFonts w:ascii="Arial" w:hAnsi="Arial" w:eastAsia="Calibri" w:cs="Arial"/>
          <w:bCs/>
          <w:szCs w:val="24"/>
          <w:u w:val="single"/>
          <w:lang w:val="es-ES_tradnl" w:eastAsia="es-ES_tradnl"/>
        </w:rPr>
        <w:t xml:space="preserve"> objeto de la presente consulta</w:t>
      </w:r>
      <w:r w:rsidRPr="00EF4EA3">
        <w:rPr>
          <w:rFonts w:ascii="Arial" w:hAnsi="Arial" w:eastAsia="Calibri" w:cs="Arial"/>
          <w:bCs/>
          <w:szCs w:val="24"/>
          <w:lang w:val="es-ES_tradnl" w:eastAsia="es-ES_tradnl"/>
        </w:rPr>
        <w:t xml:space="preserve">. Hacer un análisis desde la perspectiva legal implica la revisión de la regulación vigente para </w:t>
      </w:r>
      <w:r w:rsidRPr="00EF4EA3">
        <w:rPr>
          <w:rFonts w:ascii="Arial" w:hAnsi="Arial" w:eastAsia="Calibri" w:cs="Arial"/>
          <w:bCs/>
          <w:szCs w:val="24"/>
          <w:lang w:val="es-ES_tradnl" w:eastAsia="es-ES_tradnl"/>
        </w:rPr>
        <w:lastRenderedPageBreak/>
        <w:t>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rsidRPr="00EF4EA3" w:rsidR="00EF4EA3" w:rsidP="001600C5" w:rsidRDefault="00EF4EA3" w14:paraId="02F86185" w14:textId="77777777">
      <w:pPr>
        <w:spacing w:before="120" w:after="0" w:line="276" w:lineRule="auto"/>
        <w:ind w:firstLine="709"/>
        <w:jc w:val="both"/>
        <w:rPr>
          <w:rFonts w:ascii="Arial" w:hAnsi="Arial" w:eastAsia="Calibri" w:cs="Arial"/>
          <w:bCs/>
          <w:szCs w:val="24"/>
          <w:lang w:val="es-ES_tradnl" w:eastAsia="es-ES_tradnl"/>
        </w:rPr>
      </w:pPr>
      <w:r w:rsidRPr="00EF4EA3">
        <w:rPr>
          <w:rFonts w:ascii="Arial" w:hAnsi="Arial" w:eastAsia="Calibri" w:cs="Arial"/>
          <w:bCs/>
          <w:szCs w:val="24"/>
          <w:lang w:val="es-ES_tradnl" w:eastAsia="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rsidRPr="00EF4EA3" w:rsidR="00EF4EA3" w:rsidP="001600C5" w:rsidRDefault="00EF4EA3" w14:paraId="0DC1CC97" w14:textId="77777777">
      <w:pPr>
        <w:spacing w:before="120" w:after="0" w:line="276" w:lineRule="auto"/>
        <w:ind w:firstLine="709"/>
        <w:jc w:val="both"/>
        <w:rPr>
          <w:rFonts w:ascii="Arial" w:hAnsi="Arial" w:eastAsia="Calibri" w:cs="Arial"/>
          <w:bCs/>
          <w:szCs w:val="24"/>
          <w:lang w:val="es-ES_tradnl" w:eastAsia="es-ES_tradnl"/>
        </w:rPr>
      </w:pPr>
      <w:r w:rsidRPr="00EF4EA3">
        <w:rPr>
          <w:rFonts w:ascii="Arial" w:hAnsi="Arial" w:eastAsia="Calibri" w:cs="Arial"/>
          <w:bCs/>
          <w:szCs w:val="24"/>
          <w:lang w:val="es-ES_tradnl" w:eastAsia="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bookmarkEnd w:id="11"/>
    <w:p w:rsidRPr="00EF4EA3" w:rsidR="00537AD2" w:rsidP="001600C5" w:rsidRDefault="00207AEA" w14:paraId="4C11407F" w14:textId="609BC0FA">
      <w:pPr>
        <w:spacing w:before="120" w:after="120" w:line="276" w:lineRule="auto"/>
        <w:ind w:firstLine="709"/>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La </w:t>
      </w:r>
      <w:r w:rsidR="00871572">
        <w:rPr>
          <w:rFonts w:ascii="Arial" w:hAnsi="Arial" w:eastAsia="Calibri" w:cs="Arial"/>
          <w:bCs/>
          <w:szCs w:val="24"/>
          <w:lang w:val="es-ES_tradnl" w:eastAsia="es-ES_tradnl"/>
        </w:rPr>
        <w:t>“</w:t>
      </w:r>
      <w:r w:rsidRPr="00EF4EA3" w:rsidR="00EF4EA3">
        <w:rPr>
          <w:rFonts w:ascii="Arial" w:hAnsi="Arial" w:eastAsia="Calibri" w:cs="Arial"/>
          <w:bCs/>
          <w:szCs w:val="24"/>
          <w:lang w:val="es-ES_tradnl" w:eastAsia="es-ES_tradnl"/>
        </w:rPr>
        <w:t xml:space="preserve">Guía para la Elaboración de </w:t>
      </w:r>
      <w:r w:rsidRPr="008F292A" w:rsidR="00EF4EA3">
        <w:rPr>
          <w:rFonts w:ascii="Arial" w:hAnsi="Arial" w:eastAsia="Calibri" w:cs="Arial"/>
          <w:bCs/>
          <w:szCs w:val="24"/>
          <w:lang w:val="es-ES_tradnl" w:eastAsia="es-ES_tradnl"/>
        </w:rPr>
        <w:t>Estudios del Sector</w:t>
      </w:r>
      <w:r w:rsidR="00871572">
        <w:rPr>
          <w:rFonts w:ascii="Arial" w:hAnsi="Arial" w:eastAsia="Calibri" w:cs="Arial"/>
          <w:bCs/>
          <w:szCs w:val="24"/>
          <w:lang w:val="es-ES_tradnl" w:eastAsia="es-ES_tradnl"/>
        </w:rPr>
        <w:t>”</w:t>
      </w:r>
      <w:r w:rsidR="007B2C76">
        <w:rPr>
          <w:rStyle w:val="Refdenotaalpie"/>
          <w:rFonts w:ascii="Arial" w:hAnsi="Arial" w:eastAsia="Calibri" w:cs="Arial"/>
          <w:bCs/>
          <w:szCs w:val="24"/>
          <w:lang w:val="es-ES_tradnl" w:eastAsia="es-ES_tradnl"/>
        </w:rPr>
        <w:footnoteReference w:id="6"/>
      </w:r>
      <w:r>
        <w:rPr>
          <w:rFonts w:ascii="Arial" w:hAnsi="Arial" w:eastAsia="Calibri" w:cs="Arial"/>
          <w:bCs/>
          <w:szCs w:val="24"/>
          <w:lang w:val="es-ES_tradnl" w:eastAsia="es-ES_tradnl"/>
        </w:rPr>
        <w:t xml:space="preserve">, expedida por la Agencia Nacional de Contratación Pública – Colombia Compra Eficiente, </w:t>
      </w:r>
      <w:r w:rsidR="007B2C76">
        <w:rPr>
          <w:rFonts w:ascii="Arial" w:hAnsi="Arial" w:eastAsia="Calibri" w:cs="Arial"/>
          <w:bCs/>
          <w:szCs w:val="24"/>
          <w:lang w:val="es-ES_tradnl" w:eastAsia="es-ES_tradnl"/>
        </w:rPr>
        <w:t xml:space="preserve">en relación con el análisis de la </w:t>
      </w:r>
      <w:r w:rsidR="00C93F10">
        <w:rPr>
          <w:rFonts w:ascii="Arial" w:hAnsi="Arial" w:eastAsia="Calibri" w:cs="Arial"/>
          <w:bCs/>
          <w:szCs w:val="24"/>
          <w:lang w:val="es-ES_tradnl" w:eastAsia="es-ES_tradnl"/>
        </w:rPr>
        <w:t>d</w:t>
      </w:r>
      <w:r w:rsidR="007B2C76">
        <w:rPr>
          <w:rFonts w:ascii="Arial" w:hAnsi="Arial" w:eastAsia="Calibri" w:cs="Arial"/>
          <w:bCs/>
          <w:szCs w:val="24"/>
          <w:lang w:val="es-ES_tradnl" w:eastAsia="es-ES_tradnl"/>
        </w:rPr>
        <w:t xml:space="preserve">emanda, </w:t>
      </w:r>
      <w:r w:rsidR="00C93F10">
        <w:rPr>
          <w:rFonts w:ascii="Arial" w:hAnsi="Arial" w:eastAsia="Calibri" w:cs="Arial"/>
          <w:bCs/>
          <w:szCs w:val="24"/>
          <w:lang w:val="es-ES_tradnl" w:eastAsia="es-ES_tradnl"/>
        </w:rPr>
        <w:t xml:space="preserve">dispone que </w:t>
      </w:r>
      <w:r w:rsidR="00537AD2">
        <w:rPr>
          <w:rFonts w:ascii="Arial" w:hAnsi="Arial" w:eastAsia="Calibri" w:cs="Arial"/>
          <w:bCs/>
          <w:szCs w:val="24"/>
          <w:lang w:val="es-ES_tradnl" w:eastAsia="es-ES_tradnl"/>
        </w:rPr>
        <w:t xml:space="preserve">las entidades pueden acudir a la revisión del </w:t>
      </w:r>
      <w:r w:rsidRPr="008F292A" w:rsidR="00537AD2">
        <w:rPr>
          <w:rFonts w:ascii="Arial" w:hAnsi="Arial" w:eastAsia="Calibri" w:cs="Arial"/>
          <w:bCs/>
          <w:szCs w:val="24"/>
          <w:u w:val="single"/>
          <w:lang w:val="es-ES_tradnl" w:eastAsia="es-ES_tradnl"/>
        </w:rPr>
        <w:t>gasto histórico</w:t>
      </w:r>
      <w:r w:rsidR="00537AD2">
        <w:rPr>
          <w:rFonts w:ascii="Arial" w:hAnsi="Arial" w:eastAsia="Calibri" w:cs="Arial"/>
          <w:bCs/>
          <w:szCs w:val="24"/>
          <w:lang w:val="es-ES_tradnl" w:eastAsia="es-ES_tradnl"/>
        </w:rPr>
        <w:t xml:space="preserve">. </w:t>
      </w:r>
      <w:r w:rsidRPr="008F292A" w:rsidR="007B2C76">
        <w:rPr>
          <w:rFonts w:ascii="Arial" w:hAnsi="Arial" w:eastAsia="Calibri" w:cs="Arial"/>
          <w:bCs/>
          <w:szCs w:val="24"/>
          <w:u w:val="single"/>
          <w:lang w:val="es-ES_tradnl" w:eastAsia="es-ES_tradnl"/>
        </w:rPr>
        <w:t>Est</w:t>
      </w:r>
      <w:r w:rsidRPr="008F292A" w:rsidR="00C93F10">
        <w:rPr>
          <w:rFonts w:ascii="Arial" w:hAnsi="Arial" w:eastAsia="Calibri" w:cs="Arial"/>
          <w:bCs/>
          <w:szCs w:val="24"/>
          <w:u w:val="single"/>
          <w:lang w:val="es-ES_tradnl" w:eastAsia="es-ES_tradnl"/>
        </w:rPr>
        <w:t>a herramienta</w:t>
      </w:r>
      <w:r w:rsidRPr="008F292A" w:rsidR="007B2C76">
        <w:rPr>
          <w:rFonts w:ascii="Arial" w:hAnsi="Arial" w:eastAsia="Calibri" w:cs="Arial"/>
          <w:bCs/>
          <w:szCs w:val="24"/>
          <w:u w:val="single"/>
          <w:lang w:val="es-ES_tradnl" w:eastAsia="es-ES_tradnl"/>
        </w:rPr>
        <w:t xml:space="preserve"> sirve de referente para futuros </w:t>
      </w:r>
      <w:r w:rsidRPr="008F292A" w:rsidR="00C93F10">
        <w:rPr>
          <w:rFonts w:ascii="Arial" w:hAnsi="Arial" w:eastAsia="Calibri" w:cs="Arial"/>
          <w:bCs/>
          <w:szCs w:val="24"/>
          <w:u w:val="single"/>
          <w:lang w:val="es-ES_tradnl" w:eastAsia="es-ES_tradnl"/>
        </w:rPr>
        <w:t>p</w:t>
      </w:r>
      <w:r w:rsidRPr="008F292A" w:rsidR="007B2C76">
        <w:rPr>
          <w:rFonts w:ascii="Arial" w:hAnsi="Arial" w:eastAsia="Calibri" w:cs="Arial"/>
          <w:bCs/>
          <w:szCs w:val="24"/>
          <w:u w:val="single"/>
          <w:lang w:val="es-ES_tradnl" w:eastAsia="es-ES_tradnl"/>
        </w:rPr>
        <w:t xml:space="preserve">rocesos de </w:t>
      </w:r>
      <w:r w:rsidRPr="008F292A" w:rsidR="00C93F10">
        <w:rPr>
          <w:rFonts w:ascii="Arial" w:hAnsi="Arial" w:eastAsia="Calibri" w:cs="Arial"/>
          <w:bCs/>
          <w:szCs w:val="24"/>
          <w:u w:val="single"/>
          <w:lang w:val="es-ES_tradnl" w:eastAsia="es-ES_tradnl"/>
        </w:rPr>
        <w:t>c</w:t>
      </w:r>
      <w:r w:rsidRPr="008F292A" w:rsidR="007B2C76">
        <w:rPr>
          <w:rFonts w:ascii="Arial" w:hAnsi="Arial" w:eastAsia="Calibri" w:cs="Arial"/>
          <w:bCs/>
          <w:szCs w:val="24"/>
          <w:u w:val="single"/>
          <w:lang w:val="es-ES_tradnl" w:eastAsia="es-ES_tradnl"/>
        </w:rPr>
        <w:t xml:space="preserve">ontratación </w:t>
      </w:r>
      <w:r w:rsidRPr="008F292A" w:rsidR="00C93F10">
        <w:rPr>
          <w:rFonts w:ascii="Arial" w:hAnsi="Arial" w:eastAsia="Calibri" w:cs="Arial"/>
          <w:bCs/>
          <w:szCs w:val="24"/>
          <w:u w:val="single"/>
          <w:lang w:val="es-ES_tradnl" w:eastAsia="es-ES_tradnl"/>
        </w:rPr>
        <w:t xml:space="preserve">que pretenda adelantar la entidad, </w:t>
      </w:r>
      <w:r w:rsidRPr="008F292A" w:rsidR="007B2C76">
        <w:rPr>
          <w:rFonts w:ascii="Arial" w:hAnsi="Arial" w:eastAsia="Calibri" w:cs="Arial"/>
          <w:bCs/>
          <w:szCs w:val="24"/>
          <w:u w:val="single"/>
          <w:lang w:val="es-ES_tradnl" w:eastAsia="es-ES_tradnl"/>
        </w:rPr>
        <w:t xml:space="preserve">y provee información necesaria en cuanto a aspectos relacionados con: i) la relevancia de categorías de compras, ii) los principales y </w:t>
      </w:r>
      <w:r w:rsidRPr="008F292A" w:rsidR="00CF41FA">
        <w:rPr>
          <w:rFonts w:ascii="Arial" w:hAnsi="Arial" w:eastAsia="Calibri" w:cs="Arial"/>
          <w:bCs/>
          <w:szCs w:val="24"/>
          <w:u w:val="single"/>
          <w:lang w:val="es-ES_tradnl" w:eastAsia="es-ES_tradnl"/>
        </w:rPr>
        <w:t>potenciales</w:t>
      </w:r>
      <w:r w:rsidRPr="008F292A" w:rsidR="007B2C76">
        <w:rPr>
          <w:rFonts w:ascii="Arial" w:hAnsi="Arial" w:eastAsia="Calibri" w:cs="Arial"/>
          <w:bCs/>
          <w:szCs w:val="24"/>
          <w:u w:val="single"/>
          <w:lang w:val="es-ES_tradnl" w:eastAsia="es-ES_tradnl"/>
        </w:rPr>
        <w:t xml:space="preserve"> proveedores, </w:t>
      </w:r>
      <w:proofErr w:type="spellStart"/>
      <w:r w:rsidRPr="008F292A" w:rsidR="007B2C76">
        <w:rPr>
          <w:rFonts w:ascii="Arial" w:hAnsi="Arial" w:eastAsia="Calibri" w:cs="Arial"/>
          <w:bCs/>
          <w:szCs w:val="24"/>
          <w:u w:val="single"/>
          <w:lang w:val="es-ES_tradnl" w:eastAsia="es-ES_tradnl"/>
        </w:rPr>
        <w:t>iii</w:t>
      </w:r>
      <w:proofErr w:type="spellEnd"/>
      <w:r w:rsidRPr="008F292A" w:rsidR="007B2C76">
        <w:rPr>
          <w:rFonts w:ascii="Arial" w:hAnsi="Arial" w:eastAsia="Calibri" w:cs="Arial"/>
          <w:bCs/>
          <w:szCs w:val="24"/>
          <w:u w:val="single"/>
          <w:lang w:val="es-ES_tradnl" w:eastAsia="es-ES_tradnl"/>
        </w:rPr>
        <w:t xml:space="preserve">) </w:t>
      </w:r>
      <w:r w:rsidRPr="008F292A" w:rsidR="007B2C76">
        <w:rPr>
          <w:rFonts w:ascii="Arial" w:hAnsi="Arial" w:eastAsia="Calibri" w:cs="Arial"/>
          <w:bCs/>
          <w:i/>
          <w:iCs/>
          <w:szCs w:val="24"/>
          <w:u w:val="single"/>
          <w:lang w:val="es-ES_tradnl" w:eastAsia="es-ES_tradnl"/>
        </w:rPr>
        <w:t>los históricos de precios,</w:t>
      </w:r>
      <w:r w:rsidRPr="008F292A" w:rsidR="007B2C76">
        <w:rPr>
          <w:rFonts w:ascii="Arial" w:hAnsi="Arial" w:eastAsia="Calibri" w:cs="Arial"/>
          <w:bCs/>
          <w:szCs w:val="24"/>
          <w:u w:val="single"/>
          <w:lang w:val="es-ES_tradnl" w:eastAsia="es-ES_tradnl"/>
        </w:rPr>
        <w:t xml:space="preserve"> iv) la retroalimentación general del mercado, entre otros</w:t>
      </w:r>
      <w:r w:rsidR="007B2C76">
        <w:rPr>
          <w:rFonts w:ascii="Arial" w:hAnsi="Arial" w:eastAsia="Calibri" w:cs="Arial"/>
          <w:bCs/>
          <w:szCs w:val="24"/>
          <w:lang w:val="es-ES_tradnl" w:eastAsia="es-ES_tradnl"/>
        </w:rPr>
        <w:t xml:space="preserve">. </w:t>
      </w:r>
      <w:r w:rsidR="00537AD2">
        <w:rPr>
          <w:rFonts w:ascii="Arial" w:hAnsi="Arial" w:eastAsia="Calibri" w:cs="Arial"/>
          <w:bCs/>
          <w:szCs w:val="24"/>
          <w:lang w:val="es-ES_tradnl" w:eastAsia="es-ES_tradnl"/>
        </w:rPr>
        <w:lastRenderedPageBreak/>
        <w:t xml:space="preserve">Mediante esta herramienta la entidad puede determinar </w:t>
      </w:r>
      <w:r w:rsidR="00C7535E">
        <w:rPr>
          <w:rFonts w:ascii="Arial" w:hAnsi="Arial" w:eastAsia="Calibri" w:cs="Arial"/>
          <w:bCs/>
          <w:szCs w:val="24"/>
          <w:lang w:val="es-ES_tradnl" w:eastAsia="es-ES_tradnl"/>
        </w:rPr>
        <w:t>cómo</w:t>
      </w:r>
      <w:r w:rsidR="00537AD2">
        <w:rPr>
          <w:rFonts w:ascii="Arial" w:hAnsi="Arial" w:eastAsia="Calibri" w:cs="Arial"/>
          <w:bCs/>
          <w:szCs w:val="24"/>
          <w:lang w:val="es-ES_tradnl" w:eastAsia="es-ES_tradnl"/>
        </w:rPr>
        <w:t xml:space="preserve"> ha adquirido en el pasado el bien, obra o servicio, o como adquieren </w:t>
      </w:r>
      <w:r w:rsidR="00C93F10">
        <w:rPr>
          <w:rFonts w:ascii="Arial" w:hAnsi="Arial" w:eastAsia="Calibri" w:cs="Arial"/>
          <w:bCs/>
          <w:szCs w:val="24"/>
          <w:lang w:val="es-ES_tradnl" w:eastAsia="es-ES_tradnl"/>
        </w:rPr>
        <w:t>otras entidades estatales</w:t>
      </w:r>
      <w:r w:rsidR="00537AD2">
        <w:rPr>
          <w:rFonts w:ascii="Arial" w:hAnsi="Arial" w:eastAsia="Calibri" w:cs="Arial"/>
          <w:bCs/>
          <w:szCs w:val="24"/>
          <w:lang w:val="es-ES_tradnl" w:eastAsia="es-ES_tradnl"/>
        </w:rPr>
        <w:t xml:space="preserve"> y las empresas privadas </w:t>
      </w:r>
      <w:r w:rsidR="00C93F10">
        <w:rPr>
          <w:rFonts w:ascii="Arial" w:hAnsi="Arial" w:eastAsia="Calibri" w:cs="Arial"/>
          <w:bCs/>
          <w:szCs w:val="24"/>
          <w:lang w:val="es-ES_tradnl" w:eastAsia="es-ES_tradnl"/>
        </w:rPr>
        <w:t xml:space="preserve">un determinado </w:t>
      </w:r>
      <w:r w:rsidR="00537AD2">
        <w:rPr>
          <w:rFonts w:ascii="Arial" w:hAnsi="Arial" w:eastAsia="Calibri" w:cs="Arial"/>
          <w:bCs/>
          <w:szCs w:val="24"/>
          <w:lang w:val="es-ES_tradnl" w:eastAsia="es-ES_tradnl"/>
        </w:rPr>
        <w:t xml:space="preserve">bien, obra o servicios. </w:t>
      </w:r>
    </w:p>
    <w:p w:rsidR="00584F2F" w:rsidP="00B03DC3" w:rsidRDefault="00CF41FA" w14:paraId="4357124E" w14:textId="7B021A16">
      <w:pPr>
        <w:spacing w:after="0" w:line="276" w:lineRule="auto"/>
        <w:ind w:firstLine="709"/>
        <w:jc w:val="both"/>
        <w:rPr>
          <w:rFonts w:ascii="Arial" w:hAnsi="Arial" w:eastAsia="Calibri" w:cs="Arial"/>
          <w:bCs/>
          <w:szCs w:val="24"/>
          <w:lang w:val="es-ES_tradnl" w:eastAsia="es-ES_tradnl"/>
        </w:rPr>
      </w:pPr>
      <w:r w:rsidRPr="00A76BFF">
        <w:rPr>
          <w:rFonts w:ascii="Arial" w:hAnsi="Arial" w:eastAsia="Calibri" w:cs="Arial"/>
          <w:bCs/>
          <w:szCs w:val="24"/>
          <w:u w:val="single"/>
          <w:lang w:val="es-ES_tradnl" w:eastAsia="es-ES_tradnl"/>
        </w:rPr>
        <w:t xml:space="preserve">El estudio de mercado permite comprender la dinámica de los </w:t>
      </w:r>
      <w:r w:rsidRPr="00A76BFF" w:rsidR="008F451C">
        <w:rPr>
          <w:rFonts w:ascii="Arial" w:hAnsi="Arial" w:eastAsia="Calibri" w:cs="Arial"/>
          <w:bCs/>
          <w:szCs w:val="24"/>
          <w:u w:val="single"/>
          <w:lang w:val="es-ES_tradnl" w:eastAsia="es-ES_tradnl"/>
        </w:rPr>
        <w:t>precios</w:t>
      </w:r>
      <w:r w:rsidRPr="00A76BFF">
        <w:rPr>
          <w:rFonts w:ascii="Arial" w:hAnsi="Arial" w:eastAsia="Calibri" w:cs="Arial"/>
          <w:bCs/>
          <w:szCs w:val="24"/>
          <w:u w:val="single"/>
          <w:lang w:val="es-ES_tradnl" w:eastAsia="es-ES_tradnl"/>
        </w:rPr>
        <w:t xml:space="preserve"> y establecer el presupuesto oficial de la contratación</w:t>
      </w:r>
      <w:r>
        <w:rPr>
          <w:rFonts w:ascii="Arial" w:hAnsi="Arial" w:eastAsia="Calibri" w:cs="Arial"/>
          <w:bCs/>
          <w:szCs w:val="24"/>
          <w:lang w:val="es-ES_tradnl" w:eastAsia="es-ES_tradnl"/>
        </w:rPr>
        <w:t xml:space="preserve">. Este comprende la realización de un análisis de los diferentes precios de los bienes y servicios </w:t>
      </w:r>
      <w:r w:rsidR="00C93F10">
        <w:rPr>
          <w:rFonts w:ascii="Arial" w:hAnsi="Arial" w:eastAsia="Calibri" w:cs="Arial"/>
          <w:bCs/>
          <w:szCs w:val="24"/>
          <w:lang w:val="es-ES_tradnl" w:eastAsia="es-ES_tradnl"/>
        </w:rPr>
        <w:t xml:space="preserve">a </w:t>
      </w:r>
      <w:r>
        <w:rPr>
          <w:rFonts w:ascii="Arial" w:hAnsi="Arial" w:eastAsia="Calibri" w:cs="Arial"/>
          <w:bCs/>
          <w:szCs w:val="24"/>
          <w:lang w:val="es-ES_tradnl" w:eastAsia="es-ES_tradnl"/>
        </w:rPr>
        <w:t>contrata</w:t>
      </w:r>
      <w:r w:rsidR="00C93F10">
        <w:rPr>
          <w:rFonts w:ascii="Arial" w:hAnsi="Arial" w:eastAsia="Calibri" w:cs="Arial"/>
          <w:bCs/>
          <w:szCs w:val="24"/>
          <w:lang w:val="es-ES_tradnl" w:eastAsia="es-ES_tradnl"/>
        </w:rPr>
        <w:t>r</w:t>
      </w:r>
      <w:r>
        <w:rPr>
          <w:rFonts w:ascii="Arial" w:hAnsi="Arial" w:eastAsia="Calibri" w:cs="Arial"/>
          <w:bCs/>
          <w:szCs w:val="24"/>
          <w:lang w:val="es-ES_tradnl" w:eastAsia="es-ES_tradnl"/>
        </w:rPr>
        <w:t xml:space="preserve"> que se registran en el mercado</w:t>
      </w:r>
      <w:r w:rsidR="00584F2F">
        <w:rPr>
          <w:rFonts w:ascii="Arial" w:hAnsi="Arial" w:eastAsia="Calibri" w:cs="Arial"/>
          <w:bCs/>
          <w:szCs w:val="24"/>
          <w:lang w:val="es-ES_tradnl" w:eastAsia="es-ES_tradnl"/>
        </w:rPr>
        <w:t>.</w:t>
      </w:r>
    </w:p>
    <w:p w:rsidR="00554071" w:rsidP="00B03DC3" w:rsidRDefault="00554071" w14:paraId="3113B803" w14:textId="77777777">
      <w:pPr>
        <w:spacing w:after="0" w:line="276" w:lineRule="auto"/>
        <w:contextualSpacing/>
        <w:jc w:val="both"/>
        <w:rPr>
          <w:rFonts w:ascii="Arial" w:hAnsi="Arial" w:cs="Arial"/>
          <w:b/>
          <w:lang w:val="es-ES_tradnl"/>
        </w:rPr>
      </w:pPr>
    </w:p>
    <w:p w:rsidRPr="0033016F" w:rsidR="00554071" w:rsidP="00B03DC3" w:rsidRDefault="00554071" w14:paraId="4834B8B8" w14:textId="2CC23263">
      <w:pPr>
        <w:spacing w:after="0" w:line="276" w:lineRule="auto"/>
        <w:contextualSpacing/>
        <w:jc w:val="both"/>
        <w:rPr>
          <w:rFonts w:ascii="Arial" w:hAnsi="Arial" w:cs="Arial"/>
          <w:b/>
          <w:lang w:val="es-ES_tradnl"/>
        </w:rPr>
      </w:pPr>
      <w:r w:rsidRPr="0033016F">
        <w:rPr>
          <w:rFonts w:ascii="Arial" w:hAnsi="Arial" w:cs="Arial"/>
          <w:b/>
          <w:lang w:val="es-ES_tradnl"/>
        </w:rPr>
        <w:t>2.</w:t>
      </w:r>
      <w:r>
        <w:rPr>
          <w:rFonts w:ascii="Arial" w:hAnsi="Arial" w:cs="Arial"/>
          <w:b/>
          <w:lang w:val="es-ES_tradnl"/>
        </w:rPr>
        <w:t>2</w:t>
      </w:r>
      <w:r w:rsidRPr="0033016F">
        <w:rPr>
          <w:rFonts w:ascii="Arial" w:hAnsi="Arial" w:cs="Arial"/>
          <w:b/>
          <w:lang w:val="es-ES_tradnl"/>
        </w:rPr>
        <w:t>. Autonomía para calcular el precio</w:t>
      </w:r>
      <w:r>
        <w:rPr>
          <w:rFonts w:ascii="Arial" w:hAnsi="Arial" w:cs="Arial"/>
          <w:b/>
          <w:lang w:val="es-ES_tradnl"/>
        </w:rPr>
        <w:t xml:space="preserve"> y la forma de pago en</w:t>
      </w:r>
      <w:r w:rsidRPr="0033016F">
        <w:rPr>
          <w:rFonts w:ascii="Arial" w:hAnsi="Arial" w:cs="Arial"/>
          <w:b/>
          <w:lang w:val="es-ES_tradnl"/>
        </w:rPr>
        <w:t xml:space="preserve"> los contratos estatales</w:t>
      </w:r>
    </w:p>
    <w:p w:rsidR="00554071" w:rsidP="00B03DC3" w:rsidRDefault="00554071" w14:paraId="5104F14E" w14:textId="77777777">
      <w:pPr>
        <w:spacing w:after="0" w:line="276" w:lineRule="auto"/>
        <w:ind w:firstLine="709"/>
        <w:contextualSpacing/>
        <w:jc w:val="both"/>
        <w:rPr>
          <w:rFonts w:ascii="Arial" w:hAnsi="Arial" w:eastAsia="Calibri" w:cs="Arial"/>
          <w:lang w:val="es-MX"/>
        </w:rPr>
      </w:pPr>
    </w:p>
    <w:p w:rsidRPr="00EF4EA3" w:rsidR="00584F2F" w:rsidP="00B03DC3" w:rsidRDefault="00C7535E" w14:paraId="0BCE3B3D" w14:textId="0FC941DB">
      <w:pPr>
        <w:spacing w:after="120" w:line="276" w:lineRule="auto"/>
        <w:jc w:val="both"/>
        <w:rPr>
          <w:rFonts w:ascii="Arial" w:hAnsi="Arial" w:eastAsia="Calibri" w:cs="Arial"/>
          <w:lang w:val="es-MX"/>
        </w:rPr>
      </w:pPr>
      <w:r>
        <w:rPr>
          <w:rFonts w:ascii="Arial" w:hAnsi="Arial" w:eastAsia="Calibri" w:cs="Arial"/>
          <w:lang w:val="es-MX"/>
        </w:rPr>
        <w:t>En relación con e</w:t>
      </w:r>
      <w:r w:rsidRPr="00EF4EA3" w:rsidR="00584F2F">
        <w:rPr>
          <w:rFonts w:ascii="Arial" w:hAnsi="Arial" w:eastAsia="Calibri" w:cs="Arial"/>
          <w:lang w:val="es-MX"/>
        </w:rPr>
        <w:t>l precio</w:t>
      </w:r>
      <w:r>
        <w:rPr>
          <w:rFonts w:ascii="Arial" w:hAnsi="Arial" w:eastAsia="Calibri" w:cs="Arial"/>
          <w:lang w:val="es-MX"/>
        </w:rPr>
        <w:t xml:space="preserve">, </w:t>
      </w:r>
      <w:r w:rsidR="00554071">
        <w:rPr>
          <w:rFonts w:ascii="Arial" w:hAnsi="Arial" w:eastAsia="Calibri" w:cs="Arial"/>
          <w:lang w:val="es-MX"/>
        </w:rPr>
        <w:t xml:space="preserve">debe señalarse que </w:t>
      </w:r>
      <w:r>
        <w:rPr>
          <w:rFonts w:ascii="Arial" w:hAnsi="Arial" w:eastAsia="Calibri" w:cs="Arial"/>
          <w:lang w:val="es-MX"/>
        </w:rPr>
        <w:t>este</w:t>
      </w:r>
      <w:r w:rsidRPr="00EF4EA3" w:rsidR="00584F2F">
        <w:rPr>
          <w:rFonts w:ascii="Arial" w:hAnsi="Arial" w:eastAsia="Calibri" w:cs="Arial"/>
          <w:lang w:val="es-MX"/>
        </w:rPr>
        <w:t xml:space="preserve"> es el </w:t>
      </w:r>
      <w:r w:rsidR="00871572">
        <w:rPr>
          <w:rFonts w:ascii="Arial" w:hAnsi="Arial" w:eastAsia="Calibri" w:cs="Arial"/>
          <w:lang w:val="es-MX"/>
        </w:rPr>
        <w:t>“</w:t>
      </w:r>
      <w:r w:rsidRPr="00EF4EA3" w:rsidR="00584F2F">
        <w:rPr>
          <w:rFonts w:ascii="Arial" w:hAnsi="Arial" w:eastAsia="Calibri" w:cs="Arial"/>
          <w:lang w:val="es-MX"/>
        </w:rPr>
        <w:t>valor pecuniario en que se estima algo</w:t>
      </w:r>
      <w:r w:rsidR="00871572">
        <w:rPr>
          <w:rFonts w:ascii="Arial" w:hAnsi="Arial" w:eastAsia="Calibri" w:cs="Arial"/>
          <w:lang w:val="es-MX"/>
        </w:rPr>
        <w:t>”</w:t>
      </w:r>
      <w:r w:rsidRPr="00EF4EA3" w:rsidR="00584F2F">
        <w:rPr>
          <w:rFonts w:ascii="Arial" w:hAnsi="Arial" w:eastAsia="Calibri" w:cs="Arial"/>
          <w:vertAlign w:val="superscript"/>
          <w:lang w:val="es-MX"/>
        </w:rPr>
        <w:footnoteReference w:id="7"/>
      </w:r>
      <w:r w:rsidRPr="00EF4EA3" w:rsidR="00584F2F">
        <w:rPr>
          <w:rFonts w:ascii="Arial" w:hAnsi="Arial" w:eastAsia="Calibri" w:cs="Arial"/>
          <w:lang w:val="es-MX"/>
        </w:rPr>
        <w:t>. En nuestro ordenamiento jurídico, tenemos una definición de precio en el Código Civil y en el Código de Comercio. Ambas codificaciones, al regular el contrato de compraventa, definen el precio como el dinero que el comprador entrega a cambio de la cosa vendida</w:t>
      </w:r>
      <w:r w:rsidR="00CA0FFE">
        <w:rPr>
          <w:rStyle w:val="Refdenotaalpie"/>
          <w:rFonts w:ascii="Arial" w:hAnsi="Arial" w:eastAsia="Calibri" w:cs="Arial"/>
          <w:lang w:val="es-MX"/>
        </w:rPr>
        <w:footnoteReference w:id="8"/>
      </w:r>
      <w:r w:rsidR="00CA0FFE">
        <w:rPr>
          <w:rFonts w:ascii="Arial" w:hAnsi="Arial" w:eastAsia="Calibri" w:cs="Arial"/>
          <w:lang w:val="es-MX"/>
        </w:rPr>
        <w:t>.</w:t>
      </w:r>
    </w:p>
    <w:p w:rsidRPr="00EF4EA3" w:rsidR="00584F2F" w:rsidP="001600C5" w:rsidRDefault="00584F2F" w14:paraId="23E783D4" w14:textId="77777777">
      <w:pPr>
        <w:spacing w:after="120" w:line="276" w:lineRule="auto"/>
        <w:ind w:firstLine="708"/>
        <w:jc w:val="both"/>
        <w:rPr>
          <w:rFonts w:ascii="Arial" w:hAnsi="Arial" w:eastAsia="Times New Roman" w:cs="Arial"/>
          <w:bCs/>
          <w:szCs w:val="24"/>
          <w:lang w:val="es-ES" w:eastAsia="es-ES_tradnl"/>
        </w:rPr>
      </w:pPr>
      <w:r w:rsidRPr="00EF4EA3">
        <w:rPr>
          <w:rFonts w:ascii="Arial" w:hAnsi="Arial" w:eastAsia="Times New Roman" w:cs="Arial"/>
          <w:bCs/>
          <w:szCs w:val="24"/>
          <w:lang w:val="es-ES_tradnl" w:eastAsia="es-ES_tradnl"/>
        </w:rPr>
        <w:t>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EF4EA3">
        <w:rPr>
          <w:rFonts w:ascii="Arial" w:hAnsi="Arial" w:eastAsia="Times New Roman" w:cs="Arial"/>
          <w:bCs/>
          <w:szCs w:val="24"/>
          <w:vertAlign w:val="superscript"/>
          <w:lang w:val="es-ES_tradnl" w:eastAsia="es-ES_tradnl"/>
        </w:rPr>
        <w:footnoteReference w:id="9"/>
      </w:r>
      <w:r w:rsidRPr="00EF4EA3">
        <w:rPr>
          <w:rFonts w:ascii="Arial" w:hAnsi="Arial" w:eastAsia="Times New Roman" w:cs="Arial"/>
          <w:bCs/>
          <w:szCs w:val="24"/>
          <w:lang w:val="es-ES_tradnl" w:eastAsia="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sidRPr="00EF4EA3">
        <w:rPr>
          <w:rFonts w:ascii="Arial" w:hAnsi="Arial" w:eastAsia="Times New Roman" w:cs="Arial"/>
          <w:bCs/>
          <w:szCs w:val="24"/>
          <w:vertAlign w:val="superscript"/>
          <w:lang w:val="es-ES_tradnl" w:eastAsia="es-ES_tradnl"/>
        </w:rPr>
        <w:footnoteReference w:id="10"/>
      </w:r>
      <w:r w:rsidRPr="00EF4EA3">
        <w:rPr>
          <w:rFonts w:ascii="Arial" w:hAnsi="Arial" w:eastAsia="Times New Roman" w:cs="Arial"/>
          <w:bCs/>
          <w:szCs w:val="24"/>
          <w:lang w:val="es-ES_tradnl" w:eastAsia="es-ES_tradnl"/>
        </w:rPr>
        <w:t>.</w:t>
      </w:r>
    </w:p>
    <w:p w:rsidRPr="0033016F" w:rsidR="00B940CF" w:rsidP="00B940CF" w:rsidRDefault="00584F2F" w14:paraId="1C06084B" w14:textId="679553D4">
      <w:pPr>
        <w:spacing w:before="120" w:after="120" w:line="276" w:lineRule="auto"/>
        <w:ind w:firstLine="709"/>
        <w:jc w:val="both"/>
        <w:rPr>
          <w:rFonts w:ascii="Arial" w:hAnsi="Arial" w:cs="Arial"/>
          <w:bCs/>
          <w:lang w:val="es-ES_tradnl"/>
        </w:rPr>
      </w:pPr>
      <w:r w:rsidRPr="00EF4EA3">
        <w:rPr>
          <w:rFonts w:ascii="Arial" w:hAnsi="Arial" w:eastAsia="Times New Roman" w:cs="Arial"/>
          <w:bCs/>
          <w:szCs w:val="24"/>
          <w:lang w:val="es-ES_tradnl" w:eastAsia="es-ES_tradnl"/>
        </w:rPr>
        <w:lastRenderedPageBreak/>
        <w:t xml:space="preserve">Desde la etapa de planeación, en la fase precontractual, las entidades estatales </w:t>
      </w:r>
      <w:r w:rsidRPr="00ED21E7">
        <w:rPr>
          <w:rFonts w:ascii="Arial" w:hAnsi="Arial" w:eastAsia="Times New Roman" w:cs="Arial"/>
          <w:bCs/>
          <w:szCs w:val="24"/>
          <w:u w:val="single"/>
          <w:lang w:val="es-ES_tradnl" w:eastAsia="es-ES_tradnl"/>
        </w:rPr>
        <w:t xml:space="preserve">deben calcular el presupuesto oficial </w:t>
      </w:r>
      <w:r w:rsidRPr="00ED21E7" w:rsidR="00E44ED9">
        <w:rPr>
          <w:rFonts w:ascii="Arial" w:hAnsi="Arial" w:eastAsia="Times New Roman" w:cs="Arial"/>
          <w:bCs/>
          <w:szCs w:val="24"/>
          <w:u w:val="single"/>
          <w:lang w:val="es-ES_tradnl" w:eastAsia="es-ES_tradnl"/>
        </w:rPr>
        <w:t xml:space="preserve">estimado </w:t>
      </w:r>
      <w:r w:rsidRPr="00ED21E7">
        <w:rPr>
          <w:rFonts w:ascii="Arial" w:hAnsi="Arial" w:eastAsia="Times New Roman" w:cs="Arial"/>
          <w:bCs/>
          <w:szCs w:val="24"/>
          <w:u w:val="single"/>
          <w:lang w:val="es-ES_tradnl" w:eastAsia="es-ES_tradnl"/>
        </w:rPr>
        <w:t>destinado para satisfacer la necesidad que se pretende suplir con el contrato</w:t>
      </w:r>
      <w:r w:rsidRPr="00EF4EA3">
        <w:rPr>
          <w:rFonts w:ascii="Arial" w:hAnsi="Arial" w:eastAsia="Times New Roman" w:cs="Arial"/>
          <w:bCs/>
          <w:szCs w:val="24"/>
          <w:lang w:val="es-ES_tradnl" w:eastAsia="es-ES_tradnl"/>
        </w:rPr>
        <w:t xml:space="preserve">, </w:t>
      </w:r>
      <w:r w:rsidRPr="00907EF8">
        <w:rPr>
          <w:rFonts w:ascii="Arial" w:hAnsi="Arial" w:eastAsia="Times New Roman" w:cs="Arial"/>
          <w:bCs/>
          <w:szCs w:val="24"/>
          <w:u w:val="single"/>
          <w:lang w:val="es-ES_tradnl" w:eastAsia="es-ES_tradnl"/>
        </w:rPr>
        <w:t>mediante la realización del análisis del sector –que incluye el estudio del mercado– y definir la metodología con la cual estructurarán el precio del contrato</w:t>
      </w:r>
      <w:r w:rsidRPr="00EF4EA3">
        <w:rPr>
          <w:rFonts w:ascii="Arial" w:hAnsi="Arial" w:eastAsia="Times New Roman" w:cs="Arial"/>
          <w:bCs/>
          <w:szCs w:val="24"/>
          <w:lang w:val="es-ES_tradnl" w:eastAsia="es-ES_tradnl"/>
        </w:rPr>
        <w:t xml:space="preserve">. Dicho de otro modo, hace parte de los estudios previos la definición del esquema que la Administración usará para estipular el precio. </w:t>
      </w:r>
      <w:r w:rsidRPr="0033016F" w:rsidR="00B940CF">
        <w:rPr>
          <w:rFonts w:ascii="Arial" w:hAnsi="Arial" w:cs="Arial"/>
          <w:bCs/>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w:t>
      </w:r>
      <w:proofErr w:type="spellStart"/>
      <w:r w:rsidRPr="0033016F" w:rsidR="00B940CF">
        <w:rPr>
          <w:rFonts w:ascii="Arial" w:hAnsi="Arial" w:cs="Arial"/>
          <w:bCs/>
          <w:lang w:val="es-ES_tradnl"/>
        </w:rPr>
        <w:t>iii</w:t>
      </w:r>
      <w:proofErr w:type="spellEnd"/>
      <w:r w:rsidRPr="0033016F" w:rsidR="00B940CF">
        <w:rPr>
          <w:rFonts w:ascii="Arial" w:hAnsi="Arial" w:cs="Arial"/>
          <w:bCs/>
          <w:lang w:val="es-ES_tradnl"/>
        </w:rPr>
        <w:t>) la administración delegada de recursos –en la que se distinguen los costos de inversión de los honorarios del administrador–.</w:t>
      </w:r>
    </w:p>
    <w:p w:rsidR="00C93F10" w:rsidP="001600C5" w:rsidRDefault="002A7601" w14:paraId="265851AB" w14:textId="37EBA732">
      <w:pPr>
        <w:spacing w:after="120" w:line="276" w:lineRule="auto"/>
        <w:ind w:firstLine="709"/>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La </w:t>
      </w:r>
      <w:r w:rsidR="00871572">
        <w:rPr>
          <w:rFonts w:ascii="Arial" w:hAnsi="Arial" w:eastAsia="Calibri" w:cs="Arial"/>
          <w:bCs/>
          <w:szCs w:val="24"/>
          <w:lang w:val="es-ES_tradnl" w:eastAsia="es-ES_tradnl"/>
        </w:rPr>
        <w:t>“</w:t>
      </w:r>
      <w:r w:rsidRPr="00EF4EA3">
        <w:rPr>
          <w:rFonts w:ascii="Arial" w:hAnsi="Arial" w:eastAsia="Calibri" w:cs="Arial"/>
          <w:bCs/>
          <w:szCs w:val="24"/>
          <w:lang w:val="es-ES_tradnl" w:eastAsia="es-ES_tradnl"/>
        </w:rPr>
        <w:t>Guía para la Elaboración de Estudios del Sector</w:t>
      </w:r>
      <w:r w:rsidR="00871572">
        <w:rPr>
          <w:rFonts w:ascii="Arial" w:hAnsi="Arial" w:eastAsia="Calibri" w:cs="Arial"/>
          <w:bCs/>
          <w:szCs w:val="24"/>
          <w:lang w:val="es-ES_tradnl" w:eastAsia="es-ES_tradnl"/>
        </w:rPr>
        <w:t>”</w:t>
      </w:r>
      <w:r>
        <w:rPr>
          <w:rFonts w:ascii="Arial" w:hAnsi="Arial" w:eastAsia="Calibri" w:cs="Arial"/>
          <w:bCs/>
          <w:szCs w:val="24"/>
          <w:lang w:val="es-ES_tradnl" w:eastAsia="es-ES_tradnl"/>
        </w:rPr>
        <w:t xml:space="preserve"> dispone que el análisis de los diferentes precios de los bienes y servicios a contratar que se registran en el mercado, </w:t>
      </w:r>
      <w:r w:rsidR="00CF41FA">
        <w:rPr>
          <w:rFonts w:ascii="Arial" w:hAnsi="Arial" w:eastAsia="Calibri" w:cs="Arial"/>
          <w:bCs/>
          <w:szCs w:val="24"/>
          <w:lang w:val="es-ES_tradnl" w:eastAsia="es-ES_tradnl"/>
        </w:rPr>
        <w:t>pueden consultarse a través de mecanismo como</w:t>
      </w:r>
      <w:r>
        <w:rPr>
          <w:rFonts w:ascii="Arial" w:hAnsi="Arial" w:eastAsia="Calibri" w:cs="Arial"/>
          <w:bCs/>
          <w:szCs w:val="24"/>
          <w:lang w:val="es-ES_tradnl" w:eastAsia="es-ES_tradnl"/>
        </w:rPr>
        <w:t xml:space="preserve">: i) </w:t>
      </w:r>
      <w:r w:rsidR="00CF41FA">
        <w:rPr>
          <w:rFonts w:ascii="Arial" w:hAnsi="Arial" w:eastAsia="Calibri" w:cs="Arial"/>
          <w:bCs/>
          <w:szCs w:val="24"/>
          <w:lang w:val="es-ES_tradnl" w:eastAsia="es-ES_tradnl"/>
        </w:rPr>
        <w:t>la solicitud de cotizaciones</w:t>
      </w:r>
      <w:r w:rsidR="00584F2F">
        <w:rPr>
          <w:rFonts w:ascii="Arial" w:hAnsi="Arial" w:eastAsia="Calibri" w:cs="Arial"/>
          <w:bCs/>
          <w:szCs w:val="24"/>
          <w:lang w:val="es-ES_tradnl" w:eastAsia="es-ES_tradnl"/>
        </w:rPr>
        <w:t>,</w:t>
      </w:r>
      <w:r>
        <w:rPr>
          <w:rFonts w:ascii="Arial" w:hAnsi="Arial" w:eastAsia="Calibri" w:cs="Arial"/>
          <w:bCs/>
          <w:szCs w:val="24"/>
          <w:lang w:val="es-ES_tradnl" w:eastAsia="es-ES_tradnl"/>
        </w:rPr>
        <w:t xml:space="preserve"> ii)</w:t>
      </w:r>
      <w:r w:rsidR="00C93F10">
        <w:rPr>
          <w:rFonts w:ascii="Arial" w:hAnsi="Arial" w:eastAsia="Calibri" w:cs="Arial"/>
          <w:bCs/>
          <w:szCs w:val="24"/>
          <w:lang w:val="es-ES_tradnl" w:eastAsia="es-ES_tradnl"/>
        </w:rPr>
        <w:t xml:space="preserve"> </w:t>
      </w:r>
      <w:r w:rsidR="00CF41FA">
        <w:rPr>
          <w:rFonts w:ascii="Arial" w:hAnsi="Arial" w:eastAsia="Calibri" w:cs="Arial"/>
          <w:bCs/>
          <w:szCs w:val="24"/>
          <w:lang w:val="es-ES_tradnl" w:eastAsia="es-ES_tradnl"/>
        </w:rPr>
        <w:t xml:space="preserve">bases de datos </w:t>
      </w:r>
      <w:r w:rsidR="008F451C">
        <w:rPr>
          <w:rFonts w:ascii="Arial" w:hAnsi="Arial" w:eastAsia="Calibri" w:cs="Arial"/>
          <w:bCs/>
          <w:szCs w:val="24"/>
          <w:lang w:val="es-ES_tradnl" w:eastAsia="es-ES_tradnl"/>
        </w:rPr>
        <w:t>especializadas</w:t>
      </w:r>
      <w:r>
        <w:rPr>
          <w:rFonts w:ascii="Arial" w:hAnsi="Arial" w:eastAsia="Calibri" w:cs="Arial"/>
          <w:bCs/>
          <w:szCs w:val="24"/>
          <w:lang w:val="es-ES_tradnl" w:eastAsia="es-ES_tradnl"/>
        </w:rPr>
        <w:t>,</w:t>
      </w:r>
      <w:r w:rsidR="00CF41FA">
        <w:rPr>
          <w:rFonts w:ascii="Arial" w:hAnsi="Arial" w:eastAsia="Calibri" w:cs="Arial"/>
          <w:bCs/>
          <w:szCs w:val="24"/>
          <w:lang w:val="es-ES_tradnl" w:eastAsia="es-ES_tradnl"/>
        </w:rPr>
        <w:t xml:space="preserve"> y </w:t>
      </w:r>
      <w:proofErr w:type="spellStart"/>
      <w:r w:rsidRPr="00ED21E7">
        <w:rPr>
          <w:rFonts w:ascii="Arial" w:hAnsi="Arial" w:eastAsia="Calibri" w:cs="Arial"/>
          <w:bCs/>
          <w:szCs w:val="24"/>
          <w:lang w:val="es-ES_tradnl" w:eastAsia="es-ES_tradnl"/>
        </w:rPr>
        <w:t>iii</w:t>
      </w:r>
      <w:proofErr w:type="spellEnd"/>
      <w:r w:rsidRPr="00ED21E7">
        <w:rPr>
          <w:rFonts w:ascii="Arial" w:hAnsi="Arial" w:eastAsia="Calibri" w:cs="Arial"/>
          <w:bCs/>
          <w:szCs w:val="24"/>
          <w:lang w:val="es-ES_tradnl" w:eastAsia="es-ES_tradnl"/>
        </w:rPr>
        <w:t xml:space="preserve">) </w:t>
      </w:r>
      <w:r w:rsidRPr="00ED21E7" w:rsidR="00CF41FA">
        <w:rPr>
          <w:rFonts w:ascii="Arial" w:hAnsi="Arial" w:eastAsia="Calibri" w:cs="Arial"/>
          <w:bCs/>
          <w:szCs w:val="24"/>
          <w:lang w:val="es-ES_tradnl" w:eastAsia="es-ES_tradnl"/>
        </w:rPr>
        <w:t>el análisis de precios históricos.</w:t>
      </w:r>
      <w:r w:rsidR="00CF41FA">
        <w:rPr>
          <w:rFonts w:ascii="Arial" w:hAnsi="Arial" w:eastAsia="Calibri" w:cs="Arial"/>
          <w:bCs/>
          <w:szCs w:val="24"/>
          <w:lang w:val="es-ES_tradnl" w:eastAsia="es-ES_tradnl"/>
        </w:rPr>
        <w:t xml:space="preserve"> </w:t>
      </w:r>
      <w:bookmarkStart w:name="_Hlk91231640" w:id="12"/>
    </w:p>
    <w:p w:rsidR="00207AEA" w:rsidP="001600C5" w:rsidRDefault="00C93F10" w14:paraId="0E0B3C3C" w14:textId="745C7B11">
      <w:pPr>
        <w:spacing w:after="120" w:line="276" w:lineRule="auto"/>
        <w:ind w:firstLine="709"/>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En relación con la revisión de precios por solicitud de cotizaciones, mediante este mecanismo se requiere a los potenciales proveedores de los bienes o servicios para que remitan la información necesaria para determinar, entre otros aspectos el valor del servicio o del bien correspondiente. </w:t>
      </w:r>
      <w:r w:rsidR="008263E2">
        <w:rPr>
          <w:rFonts w:ascii="Arial" w:hAnsi="Arial" w:eastAsia="Calibri" w:cs="Arial"/>
          <w:bCs/>
          <w:szCs w:val="24"/>
          <w:lang w:val="es-ES_tradnl" w:eastAsia="es-ES_tradnl"/>
        </w:rPr>
        <w:t xml:space="preserve">Por su parte, la revisión de bases de datos especializadas es el mecanismo que se adelanta </w:t>
      </w:r>
      <w:r w:rsidR="002A7601">
        <w:rPr>
          <w:rFonts w:ascii="Arial" w:hAnsi="Arial" w:eastAsia="Calibri" w:cs="Arial"/>
          <w:bCs/>
          <w:szCs w:val="24"/>
          <w:lang w:val="es-ES_tradnl" w:eastAsia="es-ES_tradnl"/>
        </w:rPr>
        <w:t xml:space="preserve">cuando </w:t>
      </w:r>
      <w:r w:rsidR="008263E2">
        <w:rPr>
          <w:rFonts w:ascii="Arial" w:hAnsi="Arial" w:eastAsia="Calibri" w:cs="Arial"/>
          <w:bCs/>
          <w:szCs w:val="24"/>
          <w:lang w:val="es-ES_tradnl" w:eastAsia="es-ES_tradnl"/>
        </w:rPr>
        <w:t xml:space="preserve">por las condiciones del mercado del bien o servicio a contratar se requiera, y el responsable deberá de dejar constancia de las constas realizadas y de los precios que soportan su estudio. Finalmente, </w:t>
      </w:r>
      <w:r w:rsidRPr="0095709F" w:rsidR="008263E2">
        <w:rPr>
          <w:rFonts w:ascii="Arial" w:hAnsi="Arial" w:eastAsia="Calibri" w:cs="Arial"/>
          <w:bCs/>
          <w:szCs w:val="24"/>
          <w:u w:val="single"/>
          <w:lang w:val="es-ES_tradnl" w:eastAsia="es-ES_tradnl"/>
        </w:rPr>
        <w:t>en la revisión de precios históricos se sugiere verificar la variación de los precios históricos derivados del indica de precios al consumidor en cada año, examinando si se han presentado fenómenos económicos que hayan implicado fluctuaciones importantes en el comercio del bien o servicio, en todo caso, las características del bien o servicio deben ser las misma entre una contratación y otra</w:t>
      </w:r>
      <w:r w:rsidR="008263E2">
        <w:rPr>
          <w:rStyle w:val="Refdenotaalpie"/>
          <w:rFonts w:ascii="Arial" w:hAnsi="Arial" w:eastAsia="Calibri" w:cs="Arial"/>
          <w:bCs/>
          <w:szCs w:val="24"/>
          <w:lang w:val="es-ES_tradnl" w:eastAsia="es-ES_tradnl"/>
        </w:rPr>
        <w:footnoteReference w:id="11"/>
      </w:r>
      <w:r w:rsidR="008263E2">
        <w:rPr>
          <w:rFonts w:ascii="Arial" w:hAnsi="Arial" w:eastAsia="Calibri" w:cs="Arial"/>
          <w:bCs/>
          <w:szCs w:val="24"/>
          <w:lang w:val="es-ES_tradnl" w:eastAsia="es-ES_tradnl"/>
        </w:rPr>
        <w:t xml:space="preserve">. </w:t>
      </w:r>
    </w:p>
    <w:p w:rsidRPr="0072299B" w:rsidR="00584F2F" w:rsidP="001600C5" w:rsidRDefault="00584F2F" w14:paraId="669E0C89" w14:textId="77777777">
      <w:pPr>
        <w:spacing w:after="120" w:line="276" w:lineRule="auto"/>
        <w:ind w:firstLine="709"/>
        <w:jc w:val="both"/>
        <w:rPr>
          <w:rFonts w:ascii="Arial" w:hAnsi="Arial" w:eastAsia="Calibri" w:cs="Arial"/>
          <w:bCs/>
          <w:szCs w:val="24"/>
          <w:u w:val="single"/>
          <w:lang w:val="es-ES_tradnl" w:eastAsia="es-ES_tradnl"/>
        </w:rPr>
      </w:pPr>
      <w:r>
        <w:rPr>
          <w:rFonts w:ascii="Arial" w:hAnsi="Arial" w:eastAsia="Calibri" w:cs="Arial"/>
          <w:bCs/>
          <w:szCs w:val="24"/>
          <w:lang w:val="es-ES_tradnl" w:eastAsia="es-ES_tradnl"/>
        </w:rPr>
        <w:t xml:space="preserve">Cualquiera que sea el mecanismo empleado para conocer los precios del mercado, es importante identificar y analizar las variables que pueden incidir en los precios como por ejemplo la variación del IPC o de la tasa de cambio, así como el cambio en los precios de las materias primas. </w:t>
      </w:r>
      <w:r w:rsidRPr="0072299B">
        <w:rPr>
          <w:rFonts w:ascii="Arial" w:hAnsi="Arial" w:eastAsia="Calibri" w:cs="Arial"/>
          <w:bCs/>
          <w:szCs w:val="24"/>
          <w:u w:val="single"/>
          <w:lang w:val="es-ES_tradnl" w:eastAsia="es-ES_tradnl"/>
        </w:rPr>
        <w:t xml:space="preserve">La conclusión de estudio de mercado deberá responder claramente </w:t>
      </w:r>
      <w:r w:rsidRPr="0072299B">
        <w:rPr>
          <w:rFonts w:ascii="Arial" w:hAnsi="Arial" w:eastAsia="Calibri" w:cs="Arial"/>
          <w:bCs/>
          <w:szCs w:val="24"/>
          <w:u w:val="single"/>
          <w:lang w:val="es-ES_tradnl" w:eastAsia="es-ES_tradnl"/>
        </w:rPr>
        <w:lastRenderedPageBreak/>
        <w:t xml:space="preserve">cuáles son las dinámicas de precios y, de esta manera, establecer el Presupuesto Oficial del Proceso de Contratación. </w:t>
      </w:r>
    </w:p>
    <w:p w:rsidR="00871CD7" w:rsidP="00B03DC3" w:rsidRDefault="00B44C70" w14:paraId="56290CEC" w14:textId="33A5869E">
      <w:pPr>
        <w:spacing w:after="120" w:line="276" w:lineRule="auto"/>
        <w:ind w:firstLine="709"/>
        <w:jc w:val="both"/>
        <w:rPr>
          <w:rFonts w:ascii="Arial" w:hAnsi="Arial" w:cs="Arial"/>
          <w:bCs/>
          <w:lang w:val="es-ES_tradnl"/>
        </w:rPr>
      </w:pPr>
      <w:bookmarkStart w:name="_Hlk114843688" w:id="13"/>
      <w:r>
        <w:rPr>
          <w:rFonts w:ascii="Arial" w:hAnsi="Arial" w:eastAsia="Times New Roman" w:cs="Arial"/>
          <w:bCs/>
          <w:szCs w:val="24"/>
          <w:lang w:val="es-ES_tradnl" w:eastAsia="es-ES_tradnl"/>
        </w:rPr>
        <w:t xml:space="preserve">Sin perjuicio de los mecanismos señalados en la guía para realizar un análisis de los precios de los bienes o servicios a contratar, </w:t>
      </w:r>
      <w:r>
        <w:rPr>
          <w:rFonts w:ascii="Arial" w:hAnsi="Arial" w:eastAsia="Calibri" w:cs="Arial"/>
          <w:bCs/>
          <w:szCs w:val="24"/>
          <w:lang w:val="es-ES_tradnl" w:eastAsia="es-ES_tradnl"/>
        </w:rPr>
        <w:t xml:space="preserve">que se tratan de </w:t>
      </w:r>
      <w:r w:rsidRPr="004B25B3">
        <w:rPr>
          <w:rFonts w:ascii="Arial" w:hAnsi="Arial" w:cs="Arial"/>
          <w:color w:val="000000"/>
          <w:shd w:val="clear" w:color="auto" w:fill="FFFFFF"/>
        </w:rPr>
        <w:t>criterios de buenas prácticas y de apoyo a los partícipes de la contratación pública</w:t>
      </w:r>
      <w:r w:rsidR="00B940CF">
        <w:rPr>
          <w:rFonts w:ascii="Arial" w:hAnsi="Arial" w:cs="Arial"/>
          <w:color w:val="000000"/>
          <w:shd w:val="clear" w:color="auto" w:fill="FFFFFF"/>
        </w:rPr>
        <w:t>,</w:t>
      </w:r>
      <w:r w:rsidRPr="004B25B3">
        <w:rPr>
          <w:rFonts w:ascii="Arial" w:hAnsi="Arial" w:eastAsia="Times New Roman" w:cs="Arial"/>
          <w:bCs/>
          <w:szCs w:val="24"/>
          <w:lang w:val="es-ES_tradnl" w:eastAsia="es-ES_tradnl"/>
        </w:rPr>
        <w:t xml:space="preserve"> las entidades sometidas al Estatuto General de Contratación de la Administración Pública, como las excluidas de este –es decir, las que tienen un régimen especial– gozan de autonomía para configurar el precio</w:t>
      </w:r>
      <w:r w:rsidR="00B940CF">
        <w:rPr>
          <w:rFonts w:ascii="Arial" w:hAnsi="Arial" w:eastAsia="Times New Roman" w:cs="Arial"/>
          <w:bCs/>
          <w:szCs w:val="24"/>
          <w:lang w:val="es-ES_tradnl" w:eastAsia="es-ES_tradnl"/>
        </w:rPr>
        <w:t>, respetando los limites previstos en el ordenamiento jurídico</w:t>
      </w:r>
      <w:r>
        <w:rPr>
          <w:rFonts w:ascii="Arial" w:hAnsi="Arial" w:eastAsia="Times New Roman" w:cs="Arial"/>
          <w:bCs/>
          <w:szCs w:val="24"/>
          <w:lang w:val="es-ES_tradnl" w:eastAsia="es-ES_tradnl"/>
        </w:rPr>
        <w:t xml:space="preserve">. </w:t>
      </w:r>
      <w:r w:rsidRPr="0033016F" w:rsidR="00B940CF">
        <w:rPr>
          <w:rFonts w:ascii="Arial" w:hAnsi="Arial" w:cs="Arial"/>
          <w:bCs/>
          <w:lang w:val="es-ES_tradnl"/>
        </w:rPr>
        <w:t xml:space="preserve">En tal perspectiva, cuentan con discrecionalidad para establecer en el pliego de condiciones o en su documento equivalente, así como en el contrato, el </w:t>
      </w:r>
      <w:r w:rsidR="00B940CF">
        <w:rPr>
          <w:rFonts w:ascii="Arial" w:hAnsi="Arial" w:cs="Arial"/>
          <w:bCs/>
          <w:lang w:val="es-ES_tradnl"/>
        </w:rPr>
        <w:t xml:space="preserve">precio del contrato. </w:t>
      </w:r>
    </w:p>
    <w:bookmarkEnd w:id="12"/>
    <w:p w:rsidRPr="00086875" w:rsidR="00EF4EA3" w:rsidP="008B7F97" w:rsidRDefault="00EF4EA3" w14:paraId="71BA8007" w14:textId="77777777">
      <w:pPr>
        <w:tabs>
          <w:tab w:val="left" w:pos="0"/>
        </w:tabs>
        <w:spacing w:after="0" w:line="240" w:lineRule="auto"/>
        <w:contextualSpacing/>
        <w:jc w:val="both"/>
        <w:rPr>
          <w:rFonts w:ascii="Arial" w:hAnsi="Arial" w:eastAsia="Calibri" w:cs="Arial"/>
          <w:bCs/>
          <w:color w:val="000000"/>
          <w:szCs w:val="24"/>
          <w:lang w:val="es-ES_tradnl" w:eastAsia="es-ES_tradnl"/>
        </w:rPr>
      </w:pPr>
    </w:p>
    <w:bookmarkEnd w:id="13"/>
    <w:p w:rsidRPr="00EF4EA3" w:rsidR="00EF4EA3" w:rsidP="00B03DC3" w:rsidRDefault="00EF4EA3" w14:paraId="1ACE7AC4" w14:textId="42D45E6E">
      <w:pPr>
        <w:tabs>
          <w:tab w:val="left" w:pos="0"/>
        </w:tabs>
        <w:spacing w:after="0" w:line="240" w:lineRule="auto"/>
        <w:contextualSpacing/>
        <w:jc w:val="both"/>
        <w:rPr>
          <w:rFonts w:ascii="Arial" w:hAnsi="Arial" w:eastAsia="Calibri" w:cs="Arial"/>
          <w:b/>
          <w:color w:val="000000"/>
          <w:szCs w:val="24"/>
          <w:lang w:val="es-ES_tradnl" w:eastAsia="es-ES_tradnl"/>
        </w:rPr>
      </w:pPr>
      <w:r w:rsidRPr="00EF4EA3">
        <w:rPr>
          <w:rFonts w:ascii="Arial" w:hAnsi="Arial" w:eastAsia="Calibri" w:cs="Arial"/>
          <w:b/>
          <w:color w:val="000000"/>
          <w:szCs w:val="24"/>
          <w:lang w:val="es-ES_tradnl" w:eastAsia="es-ES_tradnl"/>
        </w:rPr>
        <w:t>3. Respuesta</w:t>
      </w:r>
    </w:p>
    <w:p w:rsidR="00EF4EA3" w:rsidP="00B03DC3" w:rsidRDefault="00EF4EA3" w14:paraId="7E486C2B" w14:textId="0B4509BC">
      <w:pPr>
        <w:tabs>
          <w:tab w:val="left" w:pos="0"/>
        </w:tabs>
        <w:spacing w:after="0" w:line="240" w:lineRule="auto"/>
        <w:contextualSpacing/>
        <w:jc w:val="both"/>
        <w:rPr>
          <w:rFonts w:ascii="Arial" w:hAnsi="Arial" w:eastAsia="Calibri" w:cs="Arial"/>
          <w:color w:val="000000"/>
          <w:szCs w:val="24"/>
          <w:lang w:val="es-ES_tradnl" w:eastAsia="es-ES_tradnl"/>
        </w:rPr>
      </w:pPr>
    </w:p>
    <w:p w:rsidRPr="00425524" w:rsidR="00AD24C6" w:rsidP="00425524" w:rsidRDefault="00425524" w14:paraId="72932CDD" w14:textId="1BCA3C96">
      <w:pPr>
        <w:spacing w:after="120" w:line="240" w:lineRule="auto"/>
        <w:ind w:left="709" w:right="709"/>
        <w:jc w:val="both"/>
        <w:rPr>
          <w:rFonts w:ascii="Arial" w:hAnsi="Arial" w:eastAsia="Times New Roman" w:cs="Arial"/>
          <w:sz w:val="21"/>
          <w:szCs w:val="21"/>
          <w:lang w:eastAsia="es-ES_tradnl"/>
        </w:rPr>
      </w:pPr>
      <w:r w:rsidRPr="00425524">
        <w:rPr>
          <w:rFonts w:ascii="Arial" w:hAnsi="Arial" w:eastAsia="Times New Roman" w:cs="Arial"/>
          <w:sz w:val="21"/>
          <w:szCs w:val="21"/>
          <w:lang w:eastAsia="es-ES_tradnl"/>
        </w:rPr>
        <w:t xml:space="preserve">“Frente a la adquisición de bienes y servicios con relación al comportamiento del gasto histórico expuesto en la GUÍA DE ELABORACIÓN DE ESTUDIOS DEL SECTOR - </w:t>
      </w:r>
      <w:proofErr w:type="spellStart"/>
      <w:r w:rsidRPr="00425524">
        <w:rPr>
          <w:rFonts w:ascii="Arial" w:hAnsi="Arial" w:eastAsia="Times New Roman" w:cs="Arial"/>
          <w:sz w:val="21"/>
          <w:szCs w:val="21"/>
          <w:lang w:eastAsia="es-ES_tradnl"/>
        </w:rPr>
        <w:t>Gees</w:t>
      </w:r>
      <w:proofErr w:type="spellEnd"/>
      <w:r w:rsidRPr="00425524">
        <w:rPr>
          <w:rFonts w:ascii="Arial" w:hAnsi="Arial" w:eastAsia="Times New Roman" w:cs="Arial"/>
          <w:sz w:val="21"/>
          <w:szCs w:val="21"/>
          <w:lang w:eastAsia="es-ES_tradnl"/>
        </w:rPr>
        <w:t xml:space="preserve"> Versión 2, una vez analizados los lineamientos señalados dentro de la misma. </w:t>
      </w:r>
      <w:proofErr w:type="gramStart"/>
      <w:r w:rsidRPr="00425524">
        <w:rPr>
          <w:rFonts w:ascii="Arial" w:hAnsi="Arial" w:eastAsia="Times New Roman" w:cs="Arial"/>
          <w:sz w:val="21"/>
          <w:szCs w:val="21"/>
          <w:lang w:eastAsia="es-ES_tradnl"/>
        </w:rPr>
        <w:t>Es procedente realizar análisis de variables económicas cuando la modalidad de contratación es Subasta?</w:t>
      </w:r>
      <w:proofErr w:type="gramEnd"/>
      <w:r w:rsidRPr="00425524">
        <w:rPr>
          <w:rFonts w:ascii="Arial" w:hAnsi="Arial" w:eastAsia="Times New Roman" w:cs="Arial"/>
          <w:sz w:val="21"/>
          <w:szCs w:val="21"/>
          <w:lang w:eastAsia="es-ES_tradnl"/>
        </w:rPr>
        <w:t xml:space="preserve"> lo anterior teniendo en cuenta la dinámica de ésta en cuanto a precios históricos vs la realidad cambiante del mercado.” (SIC).</w:t>
      </w:r>
    </w:p>
    <w:p w:rsidR="00425524" w:rsidP="00B03DC3" w:rsidRDefault="00425524" w14:paraId="01DF89A0" w14:textId="77777777">
      <w:pPr>
        <w:tabs>
          <w:tab w:val="left" w:pos="0"/>
        </w:tabs>
        <w:spacing w:after="0" w:line="240" w:lineRule="auto"/>
        <w:contextualSpacing/>
        <w:jc w:val="both"/>
        <w:rPr>
          <w:rFonts w:ascii="Arial" w:hAnsi="Arial" w:eastAsia="Calibri" w:cs="Arial"/>
          <w:color w:val="000000"/>
          <w:szCs w:val="24"/>
          <w:lang w:val="es-ES_tradnl" w:eastAsia="es-ES_tradnl"/>
        </w:rPr>
      </w:pPr>
    </w:p>
    <w:p w:rsidRPr="00EF4EA3" w:rsidR="00425524" w:rsidP="00B03DC3" w:rsidRDefault="00425524" w14:paraId="202876FE" w14:textId="77777777">
      <w:pPr>
        <w:tabs>
          <w:tab w:val="left" w:pos="0"/>
        </w:tabs>
        <w:spacing w:after="0" w:line="240" w:lineRule="auto"/>
        <w:contextualSpacing/>
        <w:jc w:val="both"/>
        <w:rPr>
          <w:rFonts w:ascii="Arial" w:hAnsi="Arial" w:eastAsia="Calibri" w:cs="Arial"/>
          <w:color w:val="000000"/>
          <w:szCs w:val="24"/>
          <w:lang w:val="es-ES_tradnl" w:eastAsia="es-ES_tradnl"/>
        </w:rPr>
      </w:pPr>
    </w:p>
    <w:p w:rsidR="00E96A30" w:rsidP="00B03DC3" w:rsidRDefault="0052002B" w14:paraId="51575C53" w14:textId="77ABF299">
      <w:pPr>
        <w:spacing w:after="120" w:line="276" w:lineRule="auto"/>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Conforme lo expuesto, </w:t>
      </w:r>
      <w:r w:rsidR="00FE67EF">
        <w:rPr>
          <w:rFonts w:ascii="Arial" w:hAnsi="Arial" w:eastAsia="Calibri" w:cs="Arial"/>
          <w:bCs/>
          <w:szCs w:val="24"/>
          <w:lang w:val="es-ES_tradnl" w:eastAsia="es-ES_tradnl"/>
        </w:rPr>
        <w:t>e</w:t>
      </w:r>
      <w:r w:rsidRPr="00FE67EF" w:rsidR="00FE67EF">
        <w:rPr>
          <w:rFonts w:ascii="Arial" w:hAnsi="Arial" w:eastAsia="Calibri" w:cs="Arial"/>
          <w:bCs/>
          <w:szCs w:val="24"/>
          <w:lang w:val="es-ES_tradnl" w:eastAsia="es-ES_tradnl"/>
        </w:rPr>
        <w:t xml:space="preserve">l numeral 12 del artículo 25 de la Ley 80 de 1993, establece </w:t>
      </w:r>
      <w:r w:rsidRPr="00FE67EF" w:rsidR="00FE67EF">
        <w:rPr>
          <w:rFonts w:ascii="Arial" w:hAnsi="Arial" w:eastAsia="Calibri" w:cs="Arial"/>
          <w:bCs/>
          <w:szCs w:val="24"/>
          <w:u w:val="single"/>
          <w:lang w:val="es-ES_tradnl" w:eastAsia="es-ES_tradnl"/>
        </w:rPr>
        <w:t>el deber de las entidades de realizar estudios previos en dos momentos específicos</w:t>
      </w:r>
      <w:r w:rsidRPr="00FE67EF" w:rsidR="00FE67EF">
        <w:rPr>
          <w:rFonts w:ascii="Arial" w:hAnsi="Arial" w:eastAsia="Calibri" w:cs="Arial"/>
          <w:bCs/>
          <w:szCs w:val="24"/>
          <w:lang w:val="es-ES_tradnl" w:eastAsia="es-ES_tradnl"/>
        </w:rPr>
        <w:t>: i) previo a la apertura de un proceso de selección y ii) previo a la firma del contrato en el caso en que la modalidad de selección sea contratación directa.</w:t>
      </w:r>
      <w:r w:rsidR="00A72655">
        <w:rPr>
          <w:rFonts w:ascii="Arial" w:hAnsi="Arial" w:eastAsia="Calibri" w:cs="Arial"/>
          <w:bCs/>
          <w:szCs w:val="24"/>
          <w:lang w:val="es-ES_tradnl" w:eastAsia="es-ES_tradnl"/>
        </w:rPr>
        <w:t xml:space="preserve"> De igual </w:t>
      </w:r>
      <w:r w:rsidR="00BD30ED">
        <w:rPr>
          <w:rFonts w:ascii="Arial" w:hAnsi="Arial" w:eastAsia="Calibri" w:cs="Arial"/>
          <w:bCs/>
          <w:szCs w:val="24"/>
          <w:lang w:val="es-ES_tradnl" w:eastAsia="es-ES_tradnl"/>
        </w:rPr>
        <w:t xml:space="preserve">forma, </w:t>
      </w:r>
      <w:r w:rsidRPr="00A72655" w:rsidR="00BD30ED">
        <w:rPr>
          <w:rFonts w:ascii="Arial" w:hAnsi="Arial" w:eastAsia="Calibri" w:cs="Arial"/>
          <w:bCs/>
          <w:szCs w:val="24"/>
          <w:lang w:val="es-ES_tradnl" w:eastAsia="es-ES_tradnl"/>
        </w:rPr>
        <w:t>los</w:t>
      </w:r>
      <w:r w:rsidRPr="00A72655" w:rsidR="00A72655">
        <w:rPr>
          <w:rFonts w:ascii="Arial" w:hAnsi="Arial" w:eastAsia="Calibri" w:cs="Arial"/>
          <w:bCs/>
          <w:szCs w:val="24"/>
          <w:lang w:val="es-ES_tradnl" w:eastAsia="es-ES_tradnl"/>
        </w:rPr>
        <w:t xml:space="preserve"> numerales 2 y 4 del artículo 2.2.1.1.2.1.1 del Decreto 1082 de 2015 </w:t>
      </w:r>
      <w:r w:rsidRPr="00BD30ED" w:rsidR="00A72655">
        <w:rPr>
          <w:rFonts w:ascii="Arial" w:hAnsi="Arial" w:eastAsia="Calibri" w:cs="Arial"/>
          <w:bCs/>
          <w:szCs w:val="24"/>
          <w:u w:val="single"/>
          <w:lang w:val="es-ES_tradnl" w:eastAsia="es-ES_tradnl"/>
        </w:rPr>
        <w:t>exigen que se determine el objeto a contratar con sus especificaciones y se estime el costo que implica la celebración del contrato</w:t>
      </w:r>
      <w:r w:rsidRPr="00A72655" w:rsidR="00A72655">
        <w:rPr>
          <w:rFonts w:ascii="Arial" w:hAnsi="Arial" w:eastAsia="Calibri" w:cs="Arial"/>
          <w:bCs/>
          <w:szCs w:val="24"/>
          <w:lang w:val="es-ES_tradnl" w:eastAsia="es-ES_tradnl"/>
        </w:rPr>
        <w:t xml:space="preserve">. Para cumplir con este objetivo es necesario </w:t>
      </w:r>
      <w:r w:rsidRPr="00BD30ED" w:rsidR="00A72655">
        <w:rPr>
          <w:rFonts w:ascii="Arial" w:hAnsi="Arial" w:eastAsia="Calibri" w:cs="Arial"/>
          <w:bCs/>
          <w:szCs w:val="24"/>
          <w:u w:val="single"/>
          <w:lang w:val="es-ES_tradnl" w:eastAsia="es-ES_tradnl"/>
        </w:rPr>
        <w:t>el estudio del mercado y el análisis del sector económico</w:t>
      </w:r>
      <w:r w:rsidRPr="00A72655" w:rsidR="00A72655">
        <w:rPr>
          <w:rFonts w:ascii="Arial" w:hAnsi="Arial" w:eastAsia="Calibri" w:cs="Arial"/>
          <w:bCs/>
          <w:szCs w:val="24"/>
          <w:lang w:val="es-ES_tradnl" w:eastAsia="es-ES_tradnl"/>
        </w:rPr>
        <w:t xml:space="preserve"> y de los oferentes, actividad de planeación previa que sirve para identificar aspectos concretos del mercado que pueden afectar el proceso de selección o las condiciones del negocio a realizar mediante el proceso de contratación de bienes, obras o servicios.</w:t>
      </w:r>
    </w:p>
    <w:p w:rsidR="00125DFB" w:rsidP="00B03DC3" w:rsidRDefault="00125DFB" w14:paraId="05048E7A" w14:textId="77777777">
      <w:pPr>
        <w:spacing w:after="120" w:line="276" w:lineRule="auto"/>
        <w:jc w:val="both"/>
        <w:rPr>
          <w:rFonts w:ascii="Arial" w:hAnsi="Arial" w:eastAsia="Calibri" w:cs="Arial"/>
          <w:bCs/>
          <w:szCs w:val="24"/>
          <w:lang w:val="es-ES_tradnl" w:eastAsia="es-ES_tradnl"/>
        </w:rPr>
      </w:pPr>
    </w:p>
    <w:p w:rsidRPr="00F17FAF" w:rsidR="00125DFB" w:rsidP="00125DFB" w:rsidRDefault="00125DFB" w14:paraId="4FE11C38" w14:textId="66B0914D">
      <w:pPr>
        <w:spacing w:after="120" w:line="276" w:lineRule="auto"/>
        <w:ind w:firstLine="708"/>
        <w:jc w:val="both"/>
        <w:rPr>
          <w:rFonts w:ascii="Arial" w:hAnsi="Arial" w:eastAsia="Calibri" w:cs="Arial"/>
          <w:bCs/>
          <w:szCs w:val="24"/>
          <w:lang w:val="es-ES_tradnl" w:eastAsia="es-ES_tradnl"/>
        </w:rPr>
      </w:pPr>
      <w:r w:rsidRPr="00125DFB">
        <w:rPr>
          <w:rFonts w:ascii="Arial" w:hAnsi="Arial" w:eastAsia="Calibri" w:cs="Arial"/>
          <w:bCs/>
          <w:szCs w:val="24"/>
          <w:lang w:val="es-ES_tradnl" w:eastAsia="es-ES_tradnl"/>
        </w:rPr>
        <w:t xml:space="preserve">De acuerdo con </w:t>
      </w:r>
      <w:r w:rsidR="00F17FAF">
        <w:rPr>
          <w:rFonts w:ascii="Arial" w:hAnsi="Arial" w:eastAsia="Calibri" w:cs="Arial"/>
          <w:bCs/>
          <w:szCs w:val="24"/>
          <w:lang w:val="es-ES_tradnl" w:eastAsia="es-ES_tradnl"/>
        </w:rPr>
        <w:t>las anteriores referencias normativas</w:t>
      </w:r>
      <w:r w:rsidRPr="00125DFB">
        <w:rPr>
          <w:rFonts w:ascii="Arial" w:hAnsi="Arial" w:eastAsia="Calibri" w:cs="Arial"/>
          <w:bCs/>
          <w:szCs w:val="24"/>
          <w:lang w:val="es-ES_tradnl" w:eastAsia="es-ES_tradnl"/>
        </w:rPr>
        <w:t xml:space="preserve">, la entidad debe realizar el análisis necesario para conocer el sector relativo al objeto del proceso de contratación, </w:t>
      </w:r>
      <w:r w:rsidRPr="00F17FAF">
        <w:rPr>
          <w:rFonts w:ascii="Arial" w:hAnsi="Arial" w:eastAsia="Calibri" w:cs="Arial"/>
          <w:bCs/>
          <w:szCs w:val="24"/>
          <w:u w:val="single"/>
          <w:lang w:val="es-ES_tradnl" w:eastAsia="es-ES_tradnl"/>
        </w:rPr>
        <w:t>sin que sea relevante la modalidad de selección, lo que indica que este deber de planeación y de análisis del sector se extiende, por ende, a los procesos de selección abreviada objeto de la presente consulta</w:t>
      </w:r>
      <w:r w:rsidR="009E17F3">
        <w:rPr>
          <w:rFonts w:ascii="Arial" w:hAnsi="Arial" w:eastAsia="Calibri" w:cs="Arial"/>
          <w:bCs/>
          <w:szCs w:val="24"/>
          <w:lang w:val="es-ES_tradnl" w:eastAsia="es-ES_tradnl"/>
        </w:rPr>
        <w:t xml:space="preserve"> resultando acorde con un </w:t>
      </w:r>
      <w:r w:rsidRPr="009E17F3" w:rsidR="009E17F3">
        <w:rPr>
          <w:rFonts w:ascii="Arial" w:hAnsi="Arial" w:eastAsia="Calibri" w:cs="Arial"/>
          <w:bCs/>
          <w:szCs w:val="24"/>
          <w:lang w:val="es-ES_tradnl" w:eastAsia="es-ES_tradnl"/>
        </w:rPr>
        <w:t>a</w:t>
      </w:r>
      <w:r w:rsidR="009E17F3">
        <w:rPr>
          <w:rFonts w:ascii="Arial" w:hAnsi="Arial" w:eastAsia="Calibri" w:cs="Arial"/>
          <w:bCs/>
          <w:szCs w:val="24"/>
          <w:lang w:val="es-ES_tradnl" w:eastAsia="es-ES_tradnl"/>
        </w:rPr>
        <w:t>n</w:t>
      </w:r>
      <w:r w:rsidRPr="009E17F3" w:rsidR="009E17F3">
        <w:rPr>
          <w:rFonts w:ascii="Arial" w:hAnsi="Arial" w:eastAsia="Calibri" w:cs="Arial"/>
          <w:bCs/>
          <w:szCs w:val="24"/>
          <w:lang w:val="es-ES_tradnl" w:eastAsia="es-ES_tradnl"/>
        </w:rPr>
        <w:t>álisis de variables económicas</w:t>
      </w:r>
      <w:r w:rsidR="00F17FAF">
        <w:rPr>
          <w:rFonts w:ascii="Arial" w:hAnsi="Arial" w:eastAsia="Calibri" w:cs="Arial"/>
          <w:bCs/>
          <w:szCs w:val="24"/>
          <w:lang w:val="es-ES_tradnl" w:eastAsia="es-ES_tradnl"/>
        </w:rPr>
        <w:t>.</w:t>
      </w:r>
    </w:p>
    <w:p w:rsidR="00E96A30" w:rsidP="00B03DC3" w:rsidRDefault="00E96A30" w14:paraId="352E9DC6" w14:textId="77777777">
      <w:pPr>
        <w:spacing w:after="120" w:line="276" w:lineRule="auto"/>
        <w:jc w:val="both"/>
        <w:rPr>
          <w:rFonts w:ascii="Arial" w:hAnsi="Arial" w:eastAsia="Calibri" w:cs="Arial"/>
          <w:bCs/>
          <w:szCs w:val="24"/>
          <w:lang w:val="es-ES_tradnl" w:eastAsia="es-ES_tradnl"/>
        </w:rPr>
      </w:pPr>
    </w:p>
    <w:p w:rsidRPr="00982D5A" w:rsidR="00B44C70" w:rsidP="00982D5A" w:rsidRDefault="00E96A30" w14:paraId="35BA0F29" w14:textId="79BEC320">
      <w:pPr>
        <w:spacing w:before="120" w:after="120" w:line="276" w:lineRule="auto"/>
        <w:ind w:firstLine="709"/>
        <w:jc w:val="both"/>
        <w:rPr>
          <w:rFonts w:ascii="Arial" w:hAnsi="Arial" w:eastAsia="Times New Roman" w:cs="Arial"/>
          <w:bCs/>
          <w:szCs w:val="24"/>
          <w:lang w:val="es-ES_tradnl" w:eastAsia="es-ES_tradnl"/>
        </w:rPr>
      </w:pPr>
      <w:r w:rsidRPr="00982D5A">
        <w:rPr>
          <w:rFonts w:ascii="Arial" w:hAnsi="Arial" w:eastAsia="Times New Roman" w:cs="Arial"/>
          <w:bCs/>
          <w:szCs w:val="24"/>
          <w:lang w:val="es-ES_tradnl" w:eastAsia="es-ES_tradnl"/>
        </w:rPr>
        <w:lastRenderedPageBreak/>
        <w:t>Ahora bien</w:t>
      </w:r>
      <w:r w:rsidRPr="00982D5A" w:rsidR="00FE180B">
        <w:rPr>
          <w:rFonts w:ascii="Arial" w:hAnsi="Arial" w:eastAsia="Times New Roman" w:cs="Arial"/>
          <w:bCs/>
          <w:szCs w:val="24"/>
          <w:lang w:val="es-ES_tradnl" w:eastAsia="es-ES_tradnl"/>
        </w:rPr>
        <w:t xml:space="preserve">, teniendo en cuenta la explicación que antecede en la parte considerativa, </w:t>
      </w:r>
      <w:r w:rsidRPr="00982D5A" w:rsidR="0052002B">
        <w:rPr>
          <w:rFonts w:ascii="Arial" w:hAnsi="Arial" w:eastAsia="Times New Roman" w:cs="Arial"/>
          <w:bCs/>
          <w:szCs w:val="24"/>
          <w:lang w:val="es-ES_tradnl" w:eastAsia="es-ES_tradnl"/>
        </w:rPr>
        <w:t>e</w:t>
      </w:r>
      <w:r w:rsidRPr="00982D5A" w:rsidR="00B44C70">
        <w:rPr>
          <w:rFonts w:ascii="Arial" w:hAnsi="Arial" w:eastAsia="Times New Roman" w:cs="Arial"/>
          <w:bCs/>
          <w:szCs w:val="24"/>
          <w:lang w:val="es-ES_tradnl" w:eastAsia="es-ES_tradnl"/>
        </w:rPr>
        <w:t xml:space="preserve">l precio es el </w:t>
      </w:r>
      <w:r w:rsidRPr="00982D5A" w:rsidR="00871572">
        <w:rPr>
          <w:rFonts w:ascii="Arial" w:hAnsi="Arial" w:eastAsia="Times New Roman" w:cs="Arial"/>
          <w:bCs/>
          <w:szCs w:val="24"/>
          <w:lang w:val="es-ES_tradnl" w:eastAsia="es-ES_tradnl"/>
        </w:rPr>
        <w:t>“</w:t>
      </w:r>
      <w:r w:rsidRPr="00982D5A" w:rsidR="00B44C70">
        <w:rPr>
          <w:rFonts w:ascii="Arial" w:hAnsi="Arial" w:eastAsia="Times New Roman" w:cs="Arial"/>
          <w:bCs/>
          <w:szCs w:val="24"/>
          <w:lang w:val="es-ES_tradnl" w:eastAsia="es-ES_tradnl"/>
        </w:rPr>
        <w:t>valor pecuniario en que se estima algo</w:t>
      </w:r>
      <w:r w:rsidRPr="00982D5A" w:rsidR="00871572">
        <w:rPr>
          <w:rFonts w:ascii="Arial" w:hAnsi="Arial" w:eastAsia="Times New Roman" w:cs="Arial"/>
          <w:bCs/>
          <w:szCs w:val="24"/>
          <w:lang w:val="es-ES_tradnl" w:eastAsia="es-ES_tradnl"/>
        </w:rPr>
        <w:t>”</w:t>
      </w:r>
      <w:r w:rsidRPr="00982D5A" w:rsidR="00B44C70">
        <w:rPr>
          <w:rFonts w:ascii="Arial" w:hAnsi="Arial" w:eastAsia="Times New Roman" w:cs="Arial"/>
          <w:bCs/>
          <w:szCs w:val="24"/>
          <w:lang w:val="es-ES_tradnl" w:eastAsia="es-ES_tradnl"/>
        </w:rPr>
        <w:t xml:space="preserve">. </w:t>
      </w:r>
      <w:r w:rsidRPr="00EF4EA3" w:rsidR="00F5660F">
        <w:rPr>
          <w:rFonts w:ascii="Arial" w:hAnsi="Arial" w:eastAsia="Times New Roman" w:cs="Arial"/>
          <w:bCs/>
          <w:szCs w:val="24"/>
          <w:lang w:val="es-ES_tradnl" w:eastAsia="es-ES_tradnl"/>
        </w:rPr>
        <w:t>En los términos de los artículos 1864 y 1865 del Código Civi</w:t>
      </w:r>
      <w:r w:rsidR="00F5660F">
        <w:rPr>
          <w:rFonts w:ascii="Arial" w:hAnsi="Arial" w:eastAsia="Times New Roman" w:cs="Arial"/>
          <w:bCs/>
          <w:szCs w:val="24"/>
          <w:lang w:val="es-ES_tradnl" w:eastAsia="es-ES_tradnl"/>
        </w:rPr>
        <w:t>l, e</w:t>
      </w:r>
      <w:r w:rsidRPr="00EF4EA3" w:rsidR="00B44C70">
        <w:rPr>
          <w:rFonts w:ascii="Arial" w:hAnsi="Arial" w:eastAsia="Times New Roman" w:cs="Arial"/>
          <w:bCs/>
          <w:szCs w:val="24"/>
          <w:lang w:val="es-ES_tradnl" w:eastAsia="es-ES_tradnl"/>
        </w:rPr>
        <w:t>l precio, entonces, es el valor que se da por el objeto, generalmente en dinero, que debe ser determinado o determinable y, de manera general</w:t>
      </w:r>
      <w:r w:rsidR="00F5660F">
        <w:rPr>
          <w:rFonts w:ascii="Arial" w:hAnsi="Arial" w:eastAsia="Times New Roman" w:cs="Arial"/>
          <w:bCs/>
          <w:szCs w:val="24"/>
          <w:lang w:val="es-ES_tradnl" w:eastAsia="es-ES_tradnl"/>
        </w:rPr>
        <w:t>,</w:t>
      </w:r>
      <w:r w:rsidRPr="00EF4EA3" w:rsidR="00B44C70">
        <w:rPr>
          <w:rFonts w:ascii="Arial" w:hAnsi="Arial" w:eastAsia="Times New Roman" w:cs="Arial"/>
          <w:bCs/>
          <w:szCs w:val="24"/>
          <w:lang w:val="es-ES_tradnl" w:eastAsia="es-ES_tradnl"/>
        </w:rPr>
        <w:t xml:space="preserve"> está compuesto por dos elementos esenciales: los costos y la utilidad, cuya estructuración interna depende de las condiciones técnicas, financieras, regulatorias, etc. de cada contrato.</w:t>
      </w:r>
    </w:p>
    <w:p w:rsidRPr="00EF4EA3" w:rsidR="00B44C70" w:rsidP="001600C5" w:rsidRDefault="00B44C70" w14:paraId="3DE469F1" w14:textId="77777777">
      <w:pPr>
        <w:spacing w:before="120" w:after="120" w:line="276" w:lineRule="auto"/>
        <w:ind w:firstLine="709"/>
        <w:jc w:val="both"/>
        <w:rPr>
          <w:rFonts w:ascii="Arial" w:hAnsi="Arial" w:eastAsia="Times New Roman" w:cs="Arial"/>
          <w:bCs/>
          <w:szCs w:val="24"/>
          <w:lang w:val="es-ES_tradnl" w:eastAsia="es-ES_tradnl"/>
        </w:rPr>
      </w:pPr>
      <w:r w:rsidRPr="00EF4EA3">
        <w:rPr>
          <w:rFonts w:ascii="Arial" w:hAnsi="Arial" w:eastAsia="Times New Roman" w:cs="Arial"/>
          <w:bCs/>
          <w:szCs w:val="24"/>
          <w:lang w:val="es-ES_tradnl" w:eastAsia="es-ES_tradnl"/>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w:t>
      </w:r>
    </w:p>
    <w:p w:rsidR="00B44C70" w:rsidP="001600C5" w:rsidRDefault="00B44C70" w14:paraId="7EC1186A" w14:textId="786C6CD5">
      <w:pPr>
        <w:spacing w:after="120" w:line="276" w:lineRule="auto"/>
        <w:ind w:firstLine="709"/>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El análisis de los diferentes precios de los bienes y servicios a contratar que se registran en el mercado, según la </w:t>
      </w:r>
      <w:r w:rsidR="00871572">
        <w:rPr>
          <w:rFonts w:ascii="Arial" w:hAnsi="Arial" w:eastAsia="Calibri" w:cs="Arial"/>
          <w:bCs/>
          <w:szCs w:val="24"/>
          <w:lang w:val="es-ES_tradnl" w:eastAsia="es-ES_tradnl"/>
        </w:rPr>
        <w:t>“</w:t>
      </w:r>
      <w:r w:rsidRPr="00EF4EA3">
        <w:rPr>
          <w:rFonts w:ascii="Arial" w:hAnsi="Arial" w:eastAsia="Calibri" w:cs="Arial"/>
          <w:bCs/>
          <w:szCs w:val="24"/>
          <w:lang w:val="es-ES_tradnl" w:eastAsia="es-ES_tradnl"/>
        </w:rPr>
        <w:t>Guía para la Elaboración de Estudios del Sector</w:t>
      </w:r>
      <w:r w:rsidR="00871572">
        <w:rPr>
          <w:rFonts w:ascii="Arial" w:hAnsi="Arial" w:eastAsia="Calibri" w:cs="Arial"/>
          <w:bCs/>
          <w:szCs w:val="24"/>
          <w:lang w:val="es-ES_tradnl" w:eastAsia="es-ES_tradnl"/>
        </w:rPr>
        <w:t>”</w:t>
      </w:r>
      <w:r>
        <w:rPr>
          <w:rFonts w:ascii="Arial" w:hAnsi="Arial" w:eastAsia="Calibri" w:cs="Arial"/>
          <w:bCs/>
          <w:szCs w:val="24"/>
          <w:lang w:val="es-ES_tradnl" w:eastAsia="es-ES_tradnl"/>
        </w:rPr>
        <w:t xml:space="preserve">, estos pueden consultarse a través de mecanismo como la solicitud de cotizaciones, bases de datos especializadas y el análisis de </w:t>
      </w:r>
      <w:r w:rsidRPr="0070478B">
        <w:rPr>
          <w:rFonts w:ascii="Arial" w:hAnsi="Arial" w:eastAsia="Calibri" w:cs="Arial"/>
          <w:bCs/>
          <w:szCs w:val="24"/>
          <w:u w:val="single"/>
          <w:lang w:val="es-ES_tradnl" w:eastAsia="es-ES_tradnl"/>
        </w:rPr>
        <w:t>precios históricos</w:t>
      </w:r>
      <w:r w:rsidR="0070478B">
        <w:rPr>
          <w:rFonts w:ascii="Arial" w:hAnsi="Arial" w:eastAsia="Calibri" w:cs="Arial"/>
          <w:bCs/>
          <w:szCs w:val="24"/>
          <w:lang w:val="es-ES_tradnl" w:eastAsia="es-ES_tradnl"/>
        </w:rPr>
        <w:t xml:space="preserve">, en este último </w:t>
      </w:r>
      <w:r w:rsidRPr="0070478B" w:rsidR="0070478B">
        <w:rPr>
          <w:rFonts w:ascii="Arial" w:hAnsi="Arial" w:eastAsia="Calibri" w:cs="Arial"/>
          <w:bCs/>
          <w:szCs w:val="24"/>
          <w:lang w:val="es-ES_tradnl" w:eastAsia="es-ES_tradnl"/>
        </w:rPr>
        <w:t>se sugiere verificar la variación de los precios históricos derivados del indica de precios al consumidor en cada año, examinando si se han presentado fenómenos económicos que hayan implicado fluctuaciones importantes en el comercio del bien o servicio, en todo caso, las características del bien o servicio deben ser las misma entre una contratación y otra</w:t>
      </w:r>
      <w:r>
        <w:rPr>
          <w:rFonts w:ascii="Arial" w:hAnsi="Arial" w:eastAsia="Calibri" w:cs="Arial"/>
          <w:bCs/>
          <w:szCs w:val="24"/>
          <w:lang w:val="es-ES_tradnl" w:eastAsia="es-ES_tradnl"/>
        </w:rPr>
        <w:t xml:space="preserve">. </w:t>
      </w:r>
    </w:p>
    <w:p w:rsidR="00061838" w:rsidP="001600C5" w:rsidRDefault="00061838" w14:paraId="487E3AFF" w14:textId="69430B1E">
      <w:pPr>
        <w:spacing w:after="120" w:line="276" w:lineRule="auto"/>
        <w:ind w:firstLine="709"/>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La mencionada Guía, también refiere, </w:t>
      </w:r>
      <w:r w:rsidRPr="00061838">
        <w:rPr>
          <w:rFonts w:ascii="Arial" w:hAnsi="Arial" w:eastAsia="Calibri" w:cs="Arial"/>
          <w:bCs/>
          <w:szCs w:val="24"/>
          <w:lang w:val="es-ES_tradnl" w:eastAsia="es-ES_tradnl"/>
        </w:rPr>
        <w:t xml:space="preserve">en relación con el análisis de la </w:t>
      </w:r>
      <w:r w:rsidRPr="00061838" w:rsidR="00A1350A">
        <w:rPr>
          <w:rFonts w:ascii="Arial" w:hAnsi="Arial" w:eastAsia="Calibri" w:cs="Arial"/>
          <w:bCs/>
          <w:szCs w:val="24"/>
          <w:lang w:val="es-ES_tradnl" w:eastAsia="es-ES_tradnl"/>
        </w:rPr>
        <w:t>demanda, que</w:t>
      </w:r>
      <w:r w:rsidRPr="00061838">
        <w:rPr>
          <w:rFonts w:ascii="Arial" w:hAnsi="Arial" w:eastAsia="Calibri" w:cs="Arial"/>
          <w:bCs/>
          <w:szCs w:val="24"/>
          <w:lang w:val="es-ES_tradnl" w:eastAsia="es-ES_tradnl"/>
        </w:rPr>
        <w:t xml:space="preserve"> las entidades pueden acudir a la </w:t>
      </w:r>
      <w:r w:rsidRPr="00A1350A">
        <w:rPr>
          <w:rFonts w:ascii="Arial" w:hAnsi="Arial" w:eastAsia="Calibri" w:cs="Arial"/>
          <w:bCs/>
          <w:szCs w:val="24"/>
          <w:u w:val="single"/>
          <w:lang w:val="es-ES_tradnl" w:eastAsia="es-ES_tradnl"/>
        </w:rPr>
        <w:t>revisión del gasto histórico</w:t>
      </w:r>
      <w:r w:rsidRPr="00061838">
        <w:rPr>
          <w:rFonts w:ascii="Arial" w:hAnsi="Arial" w:eastAsia="Calibri" w:cs="Arial"/>
          <w:bCs/>
          <w:szCs w:val="24"/>
          <w:lang w:val="es-ES_tradnl" w:eastAsia="es-ES_tradnl"/>
        </w:rPr>
        <w:t xml:space="preserve">. Esta herramienta sirve de referente para futuros procesos de contratación que pretenda adelantar la entidad, y provee información necesaria en cuanto a aspectos relacionados con: i) la relevancia de categorías de compras, ii) los principales y potenciales proveedores, </w:t>
      </w:r>
      <w:proofErr w:type="spellStart"/>
      <w:r w:rsidRPr="00061838">
        <w:rPr>
          <w:rFonts w:ascii="Arial" w:hAnsi="Arial" w:eastAsia="Calibri" w:cs="Arial"/>
          <w:bCs/>
          <w:szCs w:val="24"/>
          <w:lang w:val="es-ES_tradnl" w:eastAsia="es-ES_tradnl"/>
        </w:rPr>
        <w:t>iii</w:t>
      </w:r>
      <w:proofErr w:type="spellEnd"/>
      <w:r w:rsidRPr="00061838">
        <w:rPr>
          <w:rFonts w:ascii="Arial" w:hAnsi="Arial" w:eastAsia="Calibri" w:cs="Arial"/>
          <w:bCs/>
          <w:szCs w:val="24"/>
          <w:lang w:val="es-ES_tradnl" w:eastAsia="es-ES_tradnl"/>
        </w:rPr>
        <w:t>) los históricos de precios, iv) la retroalimentación general del mercado, entre otros.</w:t>
      </w:r>
    </w:p>
    <w:p w:rsidR="00B44C70" w:rsidP="001600C5" w:rsidRDefault="00B44C70" w14:paraId="3B71BF43" w14:textId="2A34043D">
      <w:pPr>
        <w:spacing w:after="120" w:line="276" w:lineRule="auto"/>
        <w:ind w:firstLine="709"/>
        <w:jc w:val="both"/>
        <w:rPr>
          <w:rFonts w:ascii="Arial" w:hAnsi="Arial" w:eastAsia="Calibri" w:cs="Arial"/>
          <w:bCs/>
          <w:szCs w:val="24"/>
          <w:lang w:val="es-ES_tradnl" w:eastAsia="es-ES_tradnl"/>
        </w:rPr>
      </w:pPr>
      <w:r>
        <w:rPr>
          <w:rFonts w:ascii="Arial" w:hAnsi="Arial" w:eastAsia="Calibri" w:cs="Arial"/>
          <w:bCs/>
          <w:szCs w:val="24"/>
          <w:lang w:val="es-ES_tradnl" w:eastAsia="es-ES_tradnl"/>
        </w:rPr>
        <w:t xml:space="preserve">Cualquiera que sea el mecanismo empleado para conocer los precios del mercado, es importante identificar y analizar las variables que pueden incidir en los precios como por ejemplo la variación del IPC o de la tasa de cambio, así como el cambio en los precios de las materias primas. </w:t>
      </w:r>
      <w:r w:rsidRPr="000C71D8">
        <w:rPr>
          <w:rFonts w:ascii="Arial" w:hAnsi="Arial" w:eastAsia="Calibri" w:cs="Arial"/>
          <w:bCs/>
          <w:szCs w:val="24"/>
          <w:u w:val="single"/>
          <w:lang w:val="es-ES_tradnl" w:eastAsia="es-ES_tradnl"/>
        </w:rPr>
        <w:t>La conclusión de estudio de mercado deberá responder claramente cuáles son las dinámicas de precios y, de esta manera, establecer el Presupuesto Oficial del Proceso de Contratación</w:t>
      </w:r>
      <w:r>
        <w:rPr>
          <w:rFonts w:ascii="Arial" w:hAnsi="Arial" w:eastAsia="Calibri" w:cs="Arial"/>
          <w:bCs/>
          <w:szCs w:val="24"/>
          <w:lang w:val="es-ES_tradnl" w:eastAsia="es-ES_tradnl"/>
        </w:rPr>
        <w:t xml:space="preserve">. </w:t>
      </w:r>
      <w:r w:rsidR="000C71D8">
        <w:rPr>
          <w:rFonts w:ascii="Arial" w:hAnsi="Arial" w:eastAsia="Calibri" w:cs="Arial"/>
          <w:bCs/>
          <w:szCs w:val="24"/>
          <w:lang w:val="es-ES_tradnl" w:eastAsia="es-ES_tradnl"/>
        </w:rPr>
        <w:t xml:space="preserve"> </w:t>
      </w:r>
    </w:p>
    <w:p w:rsidR="00EC4423" w:rsidP="00EC4423" w:rsidRDefault="00B44C70" w14:paraId="5F121462" w14:textId="2FBCDAE4">
      <w:pPr>
        <w:spacing w:after="120" w:line="276" w:lineRule="auto"/>
        <w:ind w:firstLine="709"/>
        <w:jc w:val="both"/>
        <w:rPr>
          <w:rFonts w:ascii="Arial" w:hAnsi="Arial" w:cs="Arial"/>
          <w:bCs/>
          <w:lang w:val="es-ES_tradnl"/>
        </w:rPr>
      </w:pPr>
      <w:r>
        <w:rPr>
          <w:rFonts w:ascii="Arial" w:hAnsi="Arial" w:eastAsia="Times New Roman" w:cs="Arial"/>
          <w:bCs/>
          <w:szCs w:val="24"/>
          <w:lang w:val="es-ES_tradnl" w:eastAsia="es-ES_tradnl"/>
        </w:rPr>
        <w:t xml:space="preserve">Sin perjuicio de los mecanismos señalados en la guía para realizar un análisis de los precios de los bienes o servicios a contratar, </w:t>
      </w:r>
      <w:r>
        <w:rPr>
          <w:rFonts w:ascii="Arial" w:hAnsi="Arial" w:eastAsia="Calibri" w:cs="Arial"/>
          <w:bCs/>
          <w:szCs w:val="24"/>
          <w:lang w:val="es-ES_tradnl" w:eastAsia="es-ES_tradnl"/>
        </w:rPr>
        <w:t xml:space="preserve">teniendo en cuenta que se tratan de </w:t>
      </w:r>
      <w:r w:rsidRPr="004B25B3">
        <w:rPr>
          <w:rFonts w:ascii="Arial" w:hAnsi="Arial" w:cs="Arial"/>
          <w:color w:val="000000"/>
          <w:shd w:val="clear" w:color="auto" w:fill="FFFFFF"/>
        </w:rPr>
        <w:t>criterios de buenas prácticas y de apoyo a los partícipes de la contratación pública</w:t>
      </w:r>
      <w:r w:rsidR="00F02CA8">
        <w:rPr>
          <w:rFonts w:ascii="Arial" w:hAnsi="Arial" w:eastAsia="Times New Roman" w:cs="Arial"/>
          <w:bCs/>
          <w:szCs w:val="24"/>
          <w:lang w:val="es-ES_tradnl" w:eastAsia="es-ES_tradnl"/>
        </w:rPr>
        <w:t xml:space="preserve">, </w:t>
      </w:r>
      <w:r w:rsidRPr="004B25B3">
        <w:rPr>
          <w:rFonts w:ascii="Arial" w:hAnsi="Arial" w:eastAsia="Times New Roman" w:cs="Arial"/>
          <w:bCs/>
          <w:szCs w:val="24"/>
          <w:lang w:val="es-ES_tradnl" w:eastAsia="es-ES_tradnl"/>
        </w:rPr>
        <w:t xml:space="preserve">las entidades sometidas al Estatuto General de Contratación de la Administración </w:t>
      </w:r>
      <w:proofErr w:type="gramStart"/>
      <w:r w:rsidRPr="004B25B3">
        <w:rPr>
          <w:rFonts w:ascii="Arial" w:hAnsi="Arial" w:eastAsia="Times New Roman" w:cs="Arial"/>
          <w:bCs/>
          <w:szCs w:val="24"/>
          <w:lang w:val="es-ES_tradnl" w:eastAsia="es-ES_tradnl"/>
        </w:rPr>
        <w:t>Pública,</w:t>
      </w:r>
      <w:proofErr w:type="gramEnd"/>
      <w:r w:rsidRPr="004B25B3">
        <w:rPr>
          <w:rFonts w:ascii="Arial" w:hAnsi="Arial" w:eastAsia="Times New Roman" w:cs="Arial"/>
          <w:bCs/>
          <w:szCs w:val="24"/>
          <w:lang w:val="es-ES_tradnl" w:eastAsia="es-ES_tradnl"/>
        </w:rPr>
        <w:t xml:space="preserve"> gozan de autonomía para configurar el precio</w:t>
      </w:r>
      <w:r>
        <w:rPr>
          <w:rFonts w:ascii="Arial" w:hAnsi="Arial" w:eastAsia="Times New Roman" w:cs="Arial"/>
          <w:bCs/>
          <w:szCs w:val="24"/>
          <w:lang w:val="es-ES_tradnl" w:eastAsia="es-ES_tradnl"/>
        </w:rPr>
        <w:t xml:space="preserve">. </w:t>
      </w:r>
      <w:r w:rsidRPr="0033016F" w:rsidR="00EC4423">
        <w:rPr>
          <w:rFonts w:ascii="Arial" w:hAnsi="Arial" w:cs="Arial"/>
          <w:bCs/>
          <w:lang w:val="es-ES_tradnl"/>
        </w:rPr>
        <w:t xml:space="preserve">En tal perspectiva, cuentan con </w:t>
      </w:r>
      <w:r w:rsidRPr="0033016F" w:rsidR="00EC4423">
        <w:rPr>
          <w:rFonts w:ascii="Arial" w:hAnsi="Arial" w:cs="Arial"/>
          <w:bCs/>
          <w:lang w:val="es-ES_tradnl"/>
        </w:rPr>
        <w:lastRenderedPageBreak/>
        <w:t xml:space="preserve">discrecionalidad para establecer en el pliego de condiciones o en su documento equivalente, así como en el contrato, el </w:t>
      </w:r>
      <w:r w:rsidR="00EC4423">
        <w:rPr>
          <w:rFonts w:ascii="Arial" w:hAnsi="Arial" w:cs="Arial"/>
          <w:bCs/>
          <w:lang w:val="es-ES_tradnl"/>
        </w:rPr>
        <w:t xml:space="preserve">precio del contrato. </w:t>
      </w:r>
    </w:p>
    <w:p w:rsidRPr="00EF4EA3" w:rsidR="00EF4EA3" w:rsidP="001600C5" w:rsidRDefault="00EF4EA3" w14:paraId="7F340705" w14:textId="77777777">
      <w:pPr>
        <w:spacing w:after="0" w:line="276" w:lineRule="auto"/>
        <w:jc w:val="both"/>
        <w:rPr>
          <w:rFonts w:ascii="Arial" w:hAnsi="Arial" w:eastAsia="Times New Roman" w:cs="Arial"/>
          <w:color w:val="000000"/>
          <w:szCs w:val="24"/>
          <w:lang w:eastAsia="es-ES_tradnl"/>
        </w:rPr>
      </w:pPr>
    </w:p>
    <w:p w:rsidR="00EF4EA3" w:rsidP="00EF4EA3" w:rsidRDefault="000D0143" w14:paraId="7C5FC740" w14:textId="093326A3">
      <w:pPr>
        <w:spacing w:after="0" w:line="276" w:lineRule="auto"/>
        <w:jc w:val="both"/>
        <w:rPr>
          <w:rFonts w:ascii="Arial" w:hAnsi="Arial" w:eastAsia="Times New Roman" w:cs="Arial"/>
          <w:color w:val="000000"/>
          <w:lang w:val="es-ES_tradnl" w:eastAsia="es-CO"/>
        </w:rPr>
      </w:pPr>
      <w:r w:rsidRPr="000D0143">
        <w:rPr>
          <w:rFonts w:ascii="Arial" w:hAnsi="Arial" w:eastAsia="Times New Roman" w:cs="Arial"/>
          <w:color w:val="000000"/>
          <w:lang w:val="es-ES_tradnl" w:eastAsia="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EF4EA3" w:rsidR="000D0143" w:rsidP="00EF4EA3" w:rsidRDefault="000D0143" w14:paraId="525E19AB" w14:textId="77777777">
      <w:pPr>
        <w:spacing w:after="0" w:line="276" w:lineRule="auto"/>
        <w:jc w:val="both"/>
        <w:rPr>
          <w:rFonts w:ascii="Arial" w:hAnsi="Arial" w:eastAsia="Times New Roman" w:cs="Arial"/>
          <w:color w:val="000000"/>
          <w:lang w:val="es-ES_tradnl" w:eastAsia="es-CO"/>
        </w:rPr>
      </w:pPr>
    </w:p>
    <w:p w:rsidRPr="00EF4EA3" w:rsidR="00EF4EA3" w:rsidP="00EF4EA3" w:rsidRDefault="00EF4EA3" w14:paraId="016BCCCD" w14:textId="77777777">
      <w:pPr>
        <w:spacing w:after="0" w:line="276" w:lineRule="auto"/>
        <w:jc w:val="both"/>
        <w:rPr>
          <w:rFonts w:ascii="Arial" w:hAnsi="Arial" w:eastAsia="Times New Roman" w:cs="Arial"/>
          <w:color w:val="000000"/>
          <w:lang w:val="es-ES_tradnl" w:eastAsia="es-CO"/>
        </w:rPr>
      </w:pPr>
      <w:r w:rsidRPr="00EF4EA3">
        <w:rPr>
          <w:rFonts w:ascii="Arial" w:hAnsi="Arial" w:eastAsia="Times New Roman" w:cs="Arial"/>
          <w:color w:val="000000"/>
          <w:lang w:val="es-ES_tradnl" w:eastAsia="es-CO"/>
        </w:rPr>
        <w:t>Atentamente,</w:t>
      </w:r>
    </w:p>
    <w:p w:rsidRPr="00EF4EA3" w:rsidR="00EF4EA3" w:rsidP="00EF4EA3" w:rsidRDefault="00EF4EA3" w14:paraId="1F9C9357" w14:textId="3A6E3AB0">
      <w:pPr>
        <w:spacing w:after="0" w:line="240" w:lineRule="auto"/>
        <w:jc w:val="center"/>
        <w:rPr>
          <w:rFonts w:ascii="Arial" w:hAnsi="Arial" w:eastAsia="Times New Roman" w:cs="Arial"/>
          <w:color w:val="000000"/>
          <w:sz w:val="18"/>
          <w:szCs w:val="20"/>
          <w:lang w:val="es-ES_tradnl" w:eastAsia="es-CO"/>
        </w:rPr>
      </w:pPr>
    </w:p>
    <w:p w:rsidR="0022774A" w:rsidP="0022774A" w:rsidRDefault="0022774A" w14:paraId="0466E234" w14:textId="77777777">
      <w:pPr>
        <w:spacing w:after="0" w:line="276" w:lineRule="auto"/>
        <w:jc w:val="center"/>
        <w:rPr>
          <w:rFonts w:ascii="Arial" w:hAnsi="Arial" w:eastAsia="Times New Roman" w:cs="Arial"/>
          <w:color w:val="000000"/>
          <w:lang w:val="es-ES_tradnl" w:eastAsia="es-CO"/>
        </w:rPr>
      </w:pPr>
    </w:p>
    <w:p w:rsidRPr="00D505B1" w:rsidR="0022774A" w:rsidP="0022774A" w:rsidRDefault="00ED21E7" w14:paraId="4C1FB589" w14:textId="29602E02">
      <w:pPr>
        <w:spacing w:after="0" w:line="276" w:lineRule="auto"/>
        <w:jc w:val="center"/>
        <w:rPr>
          <w:rFonts w:ascii="Arial" w:hAnsi="Arial" w:eastAsia="Times New Roman" w:cs="Arial"/>
          <w:color w:val="000000"/>
          <w:lang w:val="es-ES_tradnl" w:eastAsia="es-CO"/>
        </w:rPr>
      </w:pPr>
      <w:r w:rsidRPr="00ED21E7">
        <w:rPr>
          <w:rFonts w:ascii="Calibri" w:hAnsi="Calibri" w:eastAsia="Calibri" w:cs="Times New Roman"/>
          <w:noProof/>
          <w:lang w:val="es-ES"/>
        </w:rPr>
        <w:drawing>
          <wp:inline distT="0" distB="0" distL="0" distR="0" wp14:anchorId="69D1C569" wp14:editId="2F8F405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p w:rsidR="00FB347B" w:rsidRDefault="00FB347B" w14:paraId="5CC80ED9" w14:textId="77777777"/>
    <w:tbl>
      <w:tblPr>
        <w:tblStyle w:val="Tablaconcuadrcula11"/>
        <w:tblpPr w:leftFromText="141" w:rightFromText="141" w:vertAnchor="text" w:horzAnchor="margin" w:tblpY="-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
        <w:gridCol w:w="5195"/>
      </w:tblGrid>
      <w:tr w:rsidRPr="000D0143" w:rsidR="000D0143" w:rsidTr="00ED00B7" w14:paraId="639E40B8" w14:textId="77777777">
        <w:trPr>
          <w:trHeight w:val="286"/>
        </w:trPr>
        <w:tc>
          <w:tcPr>
            <w:tcW w:w="901" w:type="dxa"/>
            <w:vAlign w:val="center"/>
            <w:hideMark/>
          </w:tcPr>
          <w:p w:rsidRPr="000D0143" w:rsidR="000D0143" w:rsidP="000D0143" w:rsidRDefault="000D0143" w14:paraId="1DE7D56E" w14:textId="77777777">
            <w:pPr>
              <w:spacing w:line="276" w:lineRule="auto"/>
              <w:rPr>
                <w:rFonts w:ascii="Arial" w:hAnsi="Arial" w:eastAsia="Times New Roman" w:cs="Arial"/>
                <w:sz w:val="16"/>
                <w:szCs w:val="16"/>
                <w:lang w:eastAsia="es-ES"/>
              </w:rPr>
            </w:pPr>
            <w:r w:rsidRPr="000D0143">
              <w:rPr>
                <w:rFonts w:ascii="Arial" w:hAnsi="Arial" w:eastAsia="Times New Roman" w:cs="Arial"/>
                <w:sz w:val="16"/>
                <w:szCs w:val="16"/>
                <w:lang w:eastAsia="es-ES"/>
              </w:rPr>
              <w:t>Elaboró:</w:t>
            </w:r>
          </w:p>
        </w:tc>
        <w:tc>
          <w:tcPr>
            <w:tcW w:w="5195" w:type="dxa"/>
            <w:tcBorders>
              <w:top w:val="nil"/>
              <w:left w:val="nil"/>
              <w:bottom w:val="dotted" w:color="7F7F7F" w:sz="4" w:space="0"/>
              <w:right w:val="nil"/>
            </w:tcBorders>
            <w:vAlign w:val="center"/>
            <w:hideMark/>
          </w:tcPr>
          <w:p w:rsidRPr="000D0143" w:rsidR="000D0143" w:rsidP="000D0143" w:rsidRDefault="000D0143" w14:paraId="61F395FB" w14:textId="77777777">
            <w:pPr>
              <w:spacing w:line="276" w:lineRule="auto"/>
              <w:rPr>
                <w:rFonts w:ascii="Arial" w:hAnsi="Arial" w:eastAsia="Times New Roman" w:cs="Arial"/>
                <w:sz w:val="16"/>
                <w:szCs w:val="16"/>
                <w:lang w:eastAsia="es-ES"/>
              </w:rPr>
            </w:pPr>
            <w:r w:rsidRPr="000D0143">
              <w:rPr>
                <w:rFonts w:ascii="Arial" w:hAnsi="Arial" w:eastAsia="Times New Roman" w:cs="Arial"/>
                <w:sz w:val="16"/>
                <w:szCs w:val="16"/>
                <w:lang w:eastAsia="es-ES"/>
              </w:rPr>
              <w:t>Gabriel Alejandro Murcia Taboada</w:t>
            </w:r>
          </w:p>
          <w:p w:rsidRPr="000D0143" w:rsidR="000D0143" w:rsidP="000D0143" w:rsidRDefault="000D0143" w14:paraId="58CDA0CA" w14:textId="77777777">
            <w:pPr>
              <w:spacing w:line="276" w:lineRule="auto"/>
              <w:rPr>
                <w:rFonts w:ascii="Arial" w:hAnsi="Arial" w:eastAsia="Times New Roman" w:cs="Arial"/>
                <w:sz w:val="16"/>
                <w:szCs w:val="16"/>
                <w:lang w:eastAsia="es-ES"/>
              </w:rPr>
            </w:pPr>
            <w:r w:rsidRPr="000D0143">
              <w:rPr>
                <w:rFonts w:ascii="Arial" w:hAnsi="Arial" w:eastAsia="Times New Roman" w:cs="Arial"/>
                <w:sz w:val="16"/>
                <w:szCs w:val="16"/>
                <w:lang w:eastAsia="es-ES"/>
              </w:rPr>
              <w:t>Contratista de la Subdirección de Gestión Contractual</w:t>
            </w:r>
          </w:p>
        </w:tc>
      </w:tr>
      <w:tr w:rsidRPr="000D0143" w:rsidR="000D0143" w:rsidTr="00ED00B7" w14:paraId="0026AE9E" w14:textId="77777777">
        <w:trPr>
          <w:trHeight w:val="299"/>
        </w:trPr>
        <w:tc>
          <w:tcPr>
            <w:tcW w:w="901" w:type="dxa"/>
            <w:vAlign w:val="center"/>
          </w:tcPr>
          <w:p w:rsidRPr="000D0143" w:rsidR="000D0143" w:rsidP="000D0143" w:rsidRDefault="000D0143" w14:paraId="4925BCCB" w14:textId="77777777">
            <w:pPr>
              <w:spacing w:line="276" w:lineRule="auto"/>
              <w:rPr>
                <w:rFonts w:ascii="Arial" w:hAnsi="Arial" w:eastAsia="Times New Roman" w:cs="Arial"/>
                <w:sz w:val="16"/>
                <w:szCs w:val="16"/>
                <w:lang w:eastAsia="es-ES"/>
              </w:rPr>
            </w:pPr>
            <w:r w:rsidRPr="000D0143">
              <w:rPr>
                <w:rFonts w:ascii="Arial" w:hAnsi="Arial" w:eastAsia="Times New Roman" w:cs="Arial"/>
                <w:sz w:val="16"/>
                <w:szCs w:val="16"/>
                <w:lang w:eastAsia="es-ES"/>
              </w:rPr>
              <w:t>Revisó:</w:t>
            </w:r>
          </w:p>
        </w:tc>
        <w:tc>
          <w:tcPr>
            <w:tcW w:w="5195" w:type="dxa"/>
            <w:tcBorders>
              <w:top w:val="dotted" w:color="7F7F7F" w:sz="4" w:space="0"/>
              <w:left w:val="nil"/>
              <w:bottom w:val="dotted" w:color="7F7F7F" w:sz="4" w:space="0"/>
              <w:right w:val="nil"/>
            </w:tcBorders>
            <w:vAlign w:val="center"/>
          </w:tcPr>
          <w:p w:rsidRPr="000D0143" w:rsidR="000D0143" w:rsidP="000D0143" w:rsidRDefault="000D0143" w14:paraId="47C88B71" w14:textId="77777777">
            <w:pPr>
              <w:rPr>
                <w:rFonts w:ascii="Arial" w:hAnsi="Arial" w:eastAsia="Times New Roman" w:cs="Arial"/>
                <w:color w:val="000000"/>
                <w:sz w:val="16"/>
                <w:szCs w:val="16"/>
                <w:lang w:val="es-ES" w:eastAsia="es-ES"/>
              </w:rPr>
            </w:pPr>
            <w:r w:rsidRPr="000D0143">
              <w:rPr>
                <w:rFonts w:ascii="Arial" w:hAnsi="Arial" w:eastAsia="Times New Roman" w:cs="Arial"/>
                <w:color w:val="000000"/>
                <w:sz w:val="16"/>
                <w:szCs w:val="16"/>
                <w:lang w:val="es-ES" w:eastAsia="es-ES"/>
              </w:rPr>
              <w:t xml:space="preserve">Diana Carolina Armenta Celis </w:t>
            </w:r>
          </w:p>
          <w:p w:rsidRPr="000D0143" w:rsidR="000D0143" w:rsidP="000D0143" w:rsidRDefault="000D0143" w14:paraId="739A43C4" w14:textId="77777777">
            <w:pPr>
              <w:spacing w:line="276" w:lineRule="auto"/>
              <w:rPr>
                <w:rFonts w:ascii="Arial" w:hAnsi="Arial" w:eastAsia="Times New Roman" w:cs="Arial"/>
                <w:sz w:val="16"/>
                <w:szCs w:val="16"/>
                <w:lang w:eastAsia="es-ES"/>
              </w:rPr>
            </w:pPr>
            <w:r w:rsidRPr="000D0143">
              <w:rPr>
                <w:rFonts w:ascii="Arial" w:hAnsi="Arial" w:eastAsia="Times New Roman" w:cs="Arial"/>
                <w:color w:val="000000"/>
                <w:sz w:val="16"/>
                <w:szCs w:val="16"/>
                <w:lang w:val="es-ES" w:eastAsia="es-ES"/>
              </w:rPr>
              <w:t xml:space="preserve">Contratista de la Subdirección de Gestión Contractual    </w:t>
            </w:r>
          </w:p>
        </w:tc>
      </w:tr>
      <w:tr w:rsidRPr="000D0143" w:rsidR="000D0143" w:rsidTr="00ED00B7" w14:paraId="686FCA99" w14:textId="77777777">
        <w:trPr>
          <w:trHeight w:val="272"/>
        </w:trPr>
        <w:tc>
          <w:tcPr>
            <w:tcW w:w="901" w:type="dxa"/>
            <w:vAlign w:val="center"/>
            <w:hideMark/>
          </w:tcPr>
          <w:p w:rsidRPr="000D0143" w:rsidR="000D0143" w:rsidP="000D0143" w:rsidRDefault="000D0143" w14:paraId="670592FA" w14:textId="77777777">
            <w:pPr>
              <w:spacing w:line="276" w:lineRule="auto"/>
              <w:rPr>
                <w:rFonts w:ascii="Arial" w:hAnsi="Arial" w:eastAsia="Times New Roman" w:cs="Arial"/>
                <w:sz w:val="16"/>
                <w:szCs w:val="16"/>
                <w:lang w:eastAsia="es-ES"/>
              </w:rPr>
            </w:pPr>
            <w:r w:rsidRPr="000D0143">
              <w:rPr>
                <w:rFonts w:ascii="Arial" w:hAnsi="Arial" w:eastAsia="Times New Roman" w:cs="Arial"/>
                <w:sz w:val="16"/>
                <w:szCs w:val="16"/>
                <w:lang w:eastAsia="es-ES"/>
              </w:rPr>
              <w:t>Aprobó:</w:t>
            </w:r>
          </w:p>
        </w:tc>
        <w:tc>
          <w:tcPr>
            <w:tcW w:w="5195" w:type="dxa"/>
            <w:tcBorders>
              <w:top w:val="dotted" w:color="7F7F7F" w:sz="4" w:space="0"/>
              <w:left w:val="nil"/>
              <w:bottom w:val="dotted" w:color="7F7F7F" w:sz="4" w:space="0"/>
              <w:right w:val="nil"/>
            </w:tcBorders>
            <w:vAlign w:val="center"/>
            <w:hideMark/>
          </w:tcPr>
          <w:p w:rsidRPr="000D0143" w:rsidR="000D0143" w:rsidP="000D0143" w:rsidRDefault="000D0143" w14:paraId="5BE467C6" w14:textId="77777777">
            <w:pPr>
              <w:spacing w:line="276" w:lineRule="auto"/>
              <w:jc w:val="both"/>
              <w:rPr>
                <w:rFonts w:ascii="Arial" w:hAnsi="Arial" w:eastAsia="Times New Roman" w:cs="Arial"/>
                <w:sz w:val="16"/>
                <w:szCs w:val="16"/>
                <w:lang w:eastAsia="es-MX"/>
              </w:rPr>
            </w:pPr>
            <w:r w:rsidRPr="000D0143">
              <w:rPr>
                <w:rFonts w:ascii="Arial" w:hAnsi="Arial" w:eastAsia="Times New Roman" w:cs="Arial"/>
                <w:sz w:val="16"/>
                <w:szCs w:val="16"/>
                <w:lang w:eastAsia="es-MX"/>
              </w:rPr>
              <w:t>Nohelia del Carmen Zawady Palacio</w:t>
            </w:r>
          </w:p>
          <w:p w:rsidRPr="000D0143" w:rsidR="000D0143" w:rsidP="000D0143" w:rsidRDefault="000D0143" w14:paraId="646DEED2" w14:textId="77777777">
            <w:pPr>
              <w:spacing w:line="276" w:lineRule="auto"/>
              <w:rPr>
                <w:rFonts w:ascii="Arial" w:hAnsi="Arial" w:eastAsia="Times New Roman" w:cs="Arial"/>
                <w:sz w:val="16"/>
                <w:szCs w:val="16"/>
                <w:lang w:eastAsia="es-ES"/>
              </w:rPr>
            </w:pPr>
            <w:r w:rsidRPr="000D0143">
              <w:rPr>
                <w:rFonts w:ascii="Arial" w:hAnsi="Arial" w:eastAsia="Times New Roman" w:cs="Arial"/>
                <w:sz w:val="16"/>
                <w:szCs w:val="16"/>
                <w:lang w:eastAsia="es-MX"/>
              </w:rPr>
              <w:t>Subdirectora de Gestión Contractual</w:t>
            </w:r>
          </w:p>
        </w:tc>
      </w:tr>
    </w:tbl>
    <w:p w:rsidR="000D0143" w:rsidRDefault="000D0143" w14:paraId="2A947F63" w14:textId="77777777"/>
    <w:sectPr w:rsidR="000D0143" w:rsidSect="005D791B">
      <w:headerReference w:type="default" r:id="rId15"/>
      <w:footerReference w:type="default" r:id="rId16"/>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AC6" w:rsidP="00EF4EA3" w:rsidRDefault="00C23AC6" w14:paraId="3792C4B3" w14:textId="77777777">
      <w:pPr>
        <w:spacing w:after="0" w:line="240" w:lineRule="auto"/>
      </w:pPr>
      <w:r>
        <w:separator/>
      </w:r>
    </w:p>
  </w:endnote>
  <w:endnote w:type="continuationSeparator" w:id="0">
    <w:p w:rsidR="00C23AC6" w:rsidP="00EF4EA3" w:rsidRDefault="00C23AC6" w14:paraId="1451BE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F4EA3" w:rsidR="00C659C4" w:rsidP="00FE42ED" w:rsidRDefault="00246CEE" w14:paraId="72CC3512" w14:textId="77777777">
    <w:pPr>
      <w:pStyle w:val="Piedepgina"/>
      <w:jc w:val="right"/>
      <w:rPr>
        <w:rFonts w:ascii="Arial" w:hAnsi="Arial" w:cs="Arial"/>
        <w:color w:val="7F7F7F"/>
        <w:sz w:val="16"/>
        <w:szCs w:val="16"/>
      </w:rPr>
    </w:pPr>
    <w:r w:rsidRPr="00EF4EA3">
      <w:rPr>
        <w:rFonts w:ascii="Arial" w:hAnsi="Arial" w:cs="Arial"/>
        <w:bCs/>
        <w:color w:val="7F7F7F"/>
        <w:sz w:val="16"/>
        <w:szCs w:val="16"/>
      </w:rPr>
      <w:t xml:space="preserve">Página </w:t>
    </w:r>
    <w:r w:rsidRPr="00EF4EA3">
      <w:rPr>
        <w:rFonts w:ascii="Arial" w:hAnsi="Arial" w:cs="Arial"/>
        <w:b/>
        <w:bCs/>
        <w:color w:val="7F7F7F"/>
        <w:sz w:val="16"/>
        <w:szCs w:val="16"/>
      </w:rPr>
      <w:fldChar w:fldCharType="begin"/>
    </w:r>
    <w:r w:rsidRPr="00EF4EA3">
      <w:rPr>
        <w:rFonts w:ascii="Arial" w:hAnsi="Arial" w:cs="Arial"/>
        <w:b/>
        <w:bCs/>
        <w:color w:val="7F7F7F"/>
        <w:sz w:val="16"/>
        <w:szCs w:val="16"/>
      </w:rPr>
      <w:instrText>PAGE  \* Arabic  \* MERGEFORMAT</w:instrText>
    </w:r>
    <w:r w:rsidRPr="00EF4EA3">
      <w:rPr>
        <w:rFonts w:ascii="Arial" w:hAnsi="Arial" w:cs="Arial"/>
        <w:b/>
        <w:bCs/>
        <w:color w:val="7F7F7F"/>
        <w:sz w:val="16"/>
        <w:szCs w:val="16"/>
      </w:rPr>
      <w:fldChar w:fldCharType="separate"/>
    </w:r>
    <w:r w:rsidRPr="00EF4EA3">
      <w:rPr>
        <w:rFonts w:ascii="Arial" w:hAnsi="Arial" w:cs="Arial"/>
        <w:b/>
        <w:bCs/>
        <w:noProof/>
        <w:color w:val="7F7F7F"/>
        <w:sz w:val="16"/>
        <w:szCs w:val="16"/>
      </w:rPr>
      <w:t>2</w:t>
    </w:r>
    <w:r w:rsidRPr="00EF4EA3">
      <w:rPr>
        <w:rFonts w:ascii="Arial" w:hAnsi="Arial" w:cs="Arial"/>
        <w:b/>
        <w:bCs/>
        <w:color w:val="7F7F7F"/>
        <w:sz w:val="16"/>
        <w:szCs w:val="16"/>
      </w:rPr>
      <w:fldChar w:fldCharType="end"/>
    </w:r>
    <w:r w:rsidRPr="00EF4EA3">
      <w:rPr>
        <w:rFonts w:ascii="Arial" w:hAnsi="Arial" w:cs="Arial"/>
        <w:color w:val="7F7F7F"/>
        <w:sz w:val="16"/>
        <w:szCs w:val="16"/>
      </w:rPr>
      <w:t xml:space="preserve"> de </w:t>
    </w:r>
    <w:r w:rsidRPr="00EF4EA3">
      <w:rPr>
        <w:rFonts w:ascii="Arial" w:hAnsi="Arial" w:cs="Arial"/>
        <w:b/>
        <w:bCs/>
        <w:color w:val="7F7F7F"/>
        <w:sz w:val="16"/>
        <w:szCs w:val="16"/>
      </w:rPr>
      <w:fldChar w:fldCharType="begin"/>
    </w:r>
    <w:r w:rsidRPr="00EF4EA3">
      <w:rPr>
        <w:rFonts w:ascii="Arial" w:hAnsi="Arial" w:cs="Arial"/>
        <w:b/>
        <w:bCs/>
        <w:color w:val="7F7F7F"/>
        <w:sz w:val="16"/>
        <w:szCs w:val="16"/>
      </w:rPr>
      <w:instrText>NUMPAGES  \* Arabic  \* MERGEFORMAT</w:instrText>
    </w:r>
    <w:r w:rsidRPr="00EF4EA3">
      <w:rPr>
        <w:rFonts w:ascii="Arial" w:hAnsi="Arial" w:cs="Arial"/>
        <w:b/>
        <w:bCs/>
        <w:color w:val="7F7F7F"/>
        <w:sz w:val="16"/>
        <w:szCs w:val="16"/>
      </w:rPr>
      <w:fldChar w:fldCharType="separate"/>
    </w:r>
    <w:r w:rsidRPr="00EF4EA3">
      <w:rPr>
        <w:rFonts w:ascii="Arial" w:hAnsi="Arial" w:cs="Arial"/>
        <w:b/>
        <w:bCs/>
        <w:noProof/>
        <w:color w:val="7F7F7F"/>
        <w:sz w:val="16"/>
        <w:szCs w:val="16"/>
      </w:rPr>
      <w:t>15</w:t>
    </w:r>
    <w:r w:rsidRPr="00EF4EA3">
      <w:rPr>
        <w:rFonts w:ascii="Arial" w:hAnsi="Arial" w:cs="Arial"/>
        <w:b/>
        <w:bCs/>
        <w:color w:val="7F7F7F"/>
        <w:sz w:val="16"/>
        <w:szCs w:val="16"/>
      </w:rPr>
      <w:fldChar w:fldCharType="end"/>
    </w:r>
  </w:p>
  <w:p w:rsidR="00C659C4" w:rsidP="00322937" w:rsidRDefault="00246CEE" w14:paraId="1F1CF76A" w14:textId="77777777">
    <w:pPr>
      <w:pStyle w:val="Piedepgina"/>
      <w:jc w:val="center"/>
      <w:rPr>
        <w:lang w:val="es-ES"/>
      </w:rPr>
    </w:pPr>
    <w:r>
      <w:rPr>
        <w:noProof/>
      </w:rPr>
      <w:drawing>
        <wp:inline distT="0" distB="0" distL="0" distR="0" wp14:anchorId="545FFD5E" wp14:editId="0187E7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C659C4" w:rsidP="007B0854" w:rsidRDefault="00C659C4" w14:paraId="354C6B5C" w14:textId="77777777">
    <w:pPr>
      <w:pStyle w:val="Piedepgina"/>
      <w:jc w:val="center"/>
      <w:rPr>
        <w:lang w:val="es-ES"/>
      </w:rPr>
    </w:pPr>
  </w:p>
  <w:p w:rsidRPr="007B0854" w:rsidR="00C659C4" w:rsidP="007B0854" w:rsidRDefault="00C659C4" w14:paraId="4FBF77B2"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AC6" w:rsidP="00EF4EA3" w:rsidRDefault="00C23AC6" w14:paraId="0806DB60" w14:textId="77777777">
      <w:pPr>
        <w:spacing w:after="0" w:line="240" w:lineRule="auto"/>
      </w:pPr>
      <w:r>
        <w:separator/>
      </w:r>
    </w:p>
  </w:footnote>
  <w:footnote w:type="continuationSeparator" w:id="0">
    <w:p w:rsidR="00C23AC6" w:rsidP="00EF4EA3" w:rsidRDefault="00C23AC6" w14:paraId="396914D6" w14:textId="77777777">
      <w:pPr>
        <w:spacing w:after="0" w:line="240" w:lineRule="auto"/>
      </w:pPr>
      <w:r>
        <w:continuationSeparator/>
      </w:r>
    </w:p>
  </w:footnote>
  <w:footnote w:id="1">
    <w:p w:rsidRPr="00CA0FFE" w:rsidR="00EF4EA3" w:rsidP="00CA0FFE" w:rsidRDefault="00EF4EA3" w14:paraId="6839FA6A" w14:textId="77777777">
      <w:pPr>
        <w:pStyle w:val="Car1"/>
        <w:spacing w:before="120" w:after="120"/>
        <w:ind w:firstLine="708"/>
        <w:jc w:val="both"/>
        <w:rPr>
          <w:rFonts w:ascii="Arial" w:hAnsi="Arial" w:cs="Arial"/>
          <w:sz w:val="19"/>
          <w:szCs w:val="19"/>
          <w:lang w:val="es-ES"/>
        </w:rPr>
      </w:pPr>
      <w:r w:rsidRPr="00CA0FFE">
        <w:rPr>
          <w:rStyle w:val="Refdenotaalpie"/>
          <w:rFonts w:ascii="Arial" w:hAnsi="Arial" w:cs="Arial"/>
          <w:sz w:val="19"/>
          <w:szCs w:val="19"/>
        </w:rPr>
        <w:footnoteRef/>
      </w:r>
      <w:r w:rsidRPr="00CA0FFE">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A0FFE">
        <w:rPr>
          <w:rFonts w:ascii="Arial" w:hAnsi="Arial" w:cs="Arial"/>
          <w:i/>
          <w:iCs/>
          <w:sz w:val="19"/>
          <w:szCs w:val="19"/>
        </w:rPr>
        <w:t xml:space="preserve">ibidem </w:t>
      </w:r>
      <w:r w:rsidRPr="00CA0FFE">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CA0FFE">
        <w:rPr>
          <w:rFonts w:ascii="Arial" w:hAnsi="Arial" w:cs="Arial"/>
          <w:sz w:val="19"/>
          <w:szCs w:val="19"/>
        </w:rPr>
        <w:t>bsolver</w:t>
      </w:r>
      <w:proofErr w:type="spellEnd"/>
      <w:r w:rsidRPr="00CA0FFE">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A0FFE">
        <w:rPr>
          <w:rFonts w:ascii="Arial" w:hAnsi="Arial" w:cs="Arial"/>
          <w:sz w:val="19"/>
          <w:szCs w:val="19"/>
        </w:rPr>
        <w:t>bsolver</w:t>
      </w:r>
      <w:proofErr w:type="spellEnd"/>
      <w:r w:rsidRPr="00CA0FFE">
        <w:rPr>
          <w:rFonts w:ascii="Arial" w:hAnsi="Arial" w:cs="Arial"/>
          <w:sz w:val="19"/>
          <w:szCs w:val="19"/>
        </w:rPr>
        <w:t xml:space="preserve"> consultas sobre la aplicación de normas de carácter general».</w:t>
      </w:r>
    </w:p>
  </w:footnote>
  <w:footnote w:id="2">
    <w:p w:rsidRPr="00CA0FFE" w:rsidR="00EF4EA3" w:rsidP="00CA0FFE" w:rsidRDefault="00EF4EA3" w14:paraId="13489F0F" w14:textId="77777777">
      <w:pPr>
        <w:spacing w:before="120" w:after="120"/>
        <w:ind w:firstLine="707"/>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position w:val="6"/>
          <w:sz w:val="19"/>
          <w:szCs w:val="19"/>
        </w:rPr>
        <w:t xml:space="preserve"> </w:t>
      </w:r>
      <w:r w:rsidRPr="00CA0FFE">
        <w:rPr>
          <w:rFonts w:ascii="Arial" w:hAnsi="Arial" w:cs="Arial"/>
          <w:sz w:val="19"/>
          <w:szCs w:val="19"/>
        </w:rPr>
        <w:t>DEIK ACOSTAMADIEDO, Carolina, Guía de Contratación Estatal: Deber de planeación y modalidades de selección, Buenos Aires, 2015, p. 59.</w:t>
      </w:r>
    </w:p>
    <w:p w:rsidRPr="00CA0FFE" w:rsidR="00EF4EA3" w:rsidP="00CA0FFE" w:rsidRDefault="00EF4EA3" w14:paraId="640AC12A" w14:textId="77777777">
      <w:pPr>
        <w:pStyle w:val="Car1"/>
        <w:spacing w:before="120" w:after="120"/>
        <w:jc w:val="both"/>
        <w:rPr>
          <w:rFonts w:ascii="Arial" w:hAnsi="Arial" w:cs="Arial"/>
          <w:sz w:val="19"/>
          <w:szCs w:val="19"/>
        </w:rPr>
      </w:pPr>
    </w:p>
  </w:footnote>
  <w:footnote w:id="3">
    <w:p w:rsidRPr="00CA0FFE" w:rsidR="00EF4EA3" w:rsidP="00CA0FFE" w:rsidRDefault="00EF4EA3" w14:paraId="44A2688E" w14:textId="6805CA5D">
      <w:pPr>
        <w:pStyle w:val="Textoindependiente"/>
        <w:spacing w:before="120" w:line="240" w:lineRule="auto"/>
        <w:ind w:firstLine="709"/>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position w:val="6"/>
          <w:sz w:val="19"/>
          <w:szCs w:val="19"/>
        </w:rPr>
        <w:t xml:space="preserve"> </w:t>
      </w:r>
      <w:r w:rsidRPr="00CA0FFE">
        <w:rPr>
          <w:rFonts w:ascii="Arial" w:hAnsi="Arial" w:cs="Arial"/>
          <w:sz w:val="19"/>
          <w:szCs w:val="19"/>
        </w:rPr>
        <w:t xml:space="preserve">«Artículo </w:t>
      </w:r>
      <w:bookmarkStart w:name="_Hlk54173885" w:id="8"/>
      <w:r w:rsidRPr="00CA0FFE">
        <w:rPr>
          <w:rFonts w:ascii="Arial" w:hAnsi="Arial" w:cs="Arial"/>
          <w:sz w:val="19"/>
          <w:szCs w:val="19"/>
        </w:rPr>
        <w:t>2.2.1.1.2.1.1</w:t>
      </w:r>
      <w:bookmarkEnd w:id="8"/>
      <w:r w:rsidRPr="00CA0FFE">
        <w:rPr>
          <w:rFonts w:ascii="Arial" w:hAnsi="Arial" w:cs="Arial"/>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4">
    <w:p w:rsidRPr="00CA0FFE" w:rsidR="00EF4EA3" w:rsidP="00CA0FFE" w:rsidRDefault="00EF4EA3" w14:paraId="2591EFA5" w14:textId="77777777">
      <w:pPr>
        <w:pStyle w:val="Textoindependiente"/>
        <w:spacing w:before="120" w:line="240" w:lineRule="auto"/>
        <w:ind w:firstLine="709"/>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Consejo de Estado. Sección Tercera. Subsección B. Sentencia del 31 de agosto de 2011. </w:t>
      </w:r>
      <w:proofErr w:type="spellStart"/>
      <w:r w:rsidRPr="00CA0FFE">
        <w:rPr>
          <w:rFonts w:ascii="Arial" w:hAnsi="Arial" w:cs="Arial"/>
          <w:sz w:val="19"/>
          <w:szCs w:val="19"/>
        </w:rPr>
        <w:t>Exp</w:t>
      </w:r>
      <w:proofErr w:type="spellEnd"/>
      <w:r w:rsidRPr="00CA0FFE">
        <w:rPr>
          <w:rFonts w:ascii="Arial" w:hAnsi="Arial" w:cs="Arial"/>
          <w:sz w:val="19"/>
          <w:szCs w:val="19"/>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rsidRPr="00CA0FFE" w:rsidR="00EF4EA3" w:rsidP="00CA0FFE" w:rsidRDefault="00EF4EA3" w14:paraId="6AA36188" w14:textId="77777777">
      <w:pPr>
        <w:pStyle w:val="Car1"/>
        <w:spacing w:before="120" w:after="120"/>
        <w:jc w:val="both"/>
        <w:rPr>
          <w:rFonts w:ascii="Arial" w:hAnsi="Arial" w:cs="Arial"/>
          <w:sz w:val="19"/>
          <w:szCs w:val="19"/>
        </w:rPr>
      </w:pPr>
    </w:p>
  </w:footnote>
  <w:footnote w:id="5">
    <w:p w:rsidRPr="00CA0FFE" w:rsidR="00EF4EA3" w:rsidP="00CA0FFE" w:rsidRDefault="00EF4EA3" w14:paraId="18E1A162" w14:textId="77777777">
      <w:pPr>
        <w:spacing w:before="120" w:after="120"/>
        <w:ind w:firstLine="708"/>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i/>
          <w:sz w:val="19"/>
          <w:szCs w:val="19"/>
        </w:rPr>
        <w:t>Ibidem</w:t>
      </w:r>
      <w:r w:rsidRPr="00CA0FFE">
        <w:rPr>
          <w:rFonts w:ascii="Arial" w:hAnsi="Arial" w:cs="Arial"/>
          <w:sz w:val="19"/>
          <w:szCs w:val="19"/>
        </w:rPr>
        <w:t>.</w:t>
      </w:r>
    </w:p>
    <w:p w:rsidRPr="00CA0FFE" w:rsidR="00EF4EA3" w:rsidP="00CA0FFE" w:rsidRDefault="00EF4EA3" w14:paraId="22F8F390" w14:textId="77777777">
      <w:pPr>
        <w:spacing w:before="120" w:after="120"/>
        <w:jc w:val="both"/>
        <w:rPr>
          <w:rFonts w:ascii="Arial" w:hAnsi="Arial" w:cs="Arial"/>
          <w:sz w:val="19"/>
          <w:szCs w:val="19"/>
        </w:rPr>
      </w:pPr>
    </w:p>
  </w:footnote>
  <w:footnote w:id="6">
    <w:p w:rsidRPr="00CA0FFE" w:rsidR="007B2C76" w:rsidP="00CA0FFE" w:rsidRDefault="007B2C76" w14:paraId="37C67F1D" w14:textId="04095A53">
      <w:pPr>
        <w:spacing w:before="120" w:after="120" w:line="240" w:lineRule="auto"/>
        <w:ind w:firstLine="709"/>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sidR="00207AEA">
        <w:rPr>
          <w:rFonts w:ascii="Arial" w:hAnsi="Arial" w:eastAsia="Calibri" w:cs="Arial"/>
          <w:bCs/>
          <w:sz w:val="19"/>
          <w:szCs w:val="19"/>
          <w:lang w:val="es-ES_tradnl" w:eastAsia="es-ES_tradnl"/>
        </w:rPr>
        <w:t>Esta Guía es un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p>
  </w:footnote>
  <w:footnote w:id="7">
    <w:p w:rsidRPr="00CA0FFE" w:rsidR="00584F2F" w:rsidP="00CA0FFE" w:rsidRDefault="00584F2F" w14:paraId="5AD4243E" w14:textId="75DADAB8">
      <w:pPr>
        <w:pStyle w:val="Car1"/>
        <w:spacing w:before="120" w:after="120"/>
        <w:ind w:firstLine="708"/>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sz w:val="19"/>
          <w:szCs w:val="19"/>
          <w:lang w:val="es-ES"/>
        </w:rPr>
        <w:t>Diccionario de la Lengua Española.</w:t>
      </w:r>
      <w:r w:rsidRPr="00CA0FFE">
        <w:rPr>
          <w:rFonts w:ascii="Arial" w:hAnsi="Arial" w:cs="Arial"/>
          <w:sz w:val="19"/>
          <w:szCs w:val="19"/>
        </w:rPr>
        <w:t xml:space="preserve"> </w:t>
      </w:r>
    </w:p>
  </w:footnote>
  <w:footnote w:id="8">
    <w:p w:rsidRPr="00EF4EA3" w:rsidR="00CA0FFE" w:rsidP="00CA0FFE" w:rsidRDefault="00CA0FFE" w14:paraId="081660B8" w14:textId="77777777">
      <w:pPr>
        <w:spacing w:before="120" w:after="120" w:line="240" w:lineRule="auto"/>
        <w:ind w:firstLine="708"/>
        <w:jc w:val="both"/>
        <w:rPr>
          <w:rFonts w:ascii="Arial" w:hAnsi="Arial" w:eastAsia="Calibri" w:cs="Arial"/>
          <w:sz w:val="19"/>
          <w:szCs w:val="19"/>
          <w:lang w:val="es-MX"/>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EF4EA3">
        <w:rPr>
          <w:rFonts w:ascii="Arial" w:hAnsi="Arial" w:eastAsia="Calibri" w:cs="Arial"/>
          <w:sz w:val="19"/>
          <w:szCs w:val="19"/>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rsidRPr="00CA0FFE" w:rsidR="00CA0FFE" w:rsidP="002A7601" w:rsidRDefault="00CA0FFE" w14:paraId="0FA7D54E" w14:textId="5A59A4A3">
      <w:pPr>
        <w:spacing w:before="120" w:after="120" w:line="240" w:lineRule="auto"/>
        <w:jc w:val="both"/>
        <w:rPr>
          <w:rFonts w:ascii="Arial" w:hAnsi="Arial" w:cs="Arial"/>
          <w:sz w:val="19"/>
          <w:szCs w:val="19"/>
        </w:rPr>
      </w:pPr>
      <w:r w:rsidRPr="00EF4EA3">
        <w:rPr>
          <w:rFonts w:ascii="Arial" w:hAnsi="Arial" w:eastAsia="Calibri" w:cs="Arial"/>
          <w:sz w:val="19"/>
          <w:szCs w:val="19"/>
          <w:lang w:val="es-MX"/>
        </w:rPr>
        <w:t>[Artículo 905 del Código de Comercio]: La compraventa es un contrato en que una de las partes se obliga a trasmitir la propiedad de una cosa y la otra a pagarla en dinero. El dinero que el comprador da por la cosa vendida se llama precio.</w:t>
      </w:r>
    </w:p>
  </w:footnote>
  <w:footnote w:id="9">
    <w:p w:rsidRPr="00CA0FFE" w:rsidR="00584F2F" w:rsidP="00CA0FFE" w:rsidRDefault="00584F2F" w14:paraId="177F4E3F" w14:textId="77777777">
      <w:pPr>
        <w:pStyle w:val="Car1"/>
        <w:spacing w:before="120" w:after="120"/>
        <w:ind w:firstLine="708"/>
        <w:jc w:val="both"/>
        <w:rPr>
          <w:rFonts w:ascii="Arial" w:hAnsi="Arial" w:cs="Arial"/>
          <w:sz w:val="19"/>
          <w:szCs w:val="19"/>
          <w:lang w:val="es-ES"/>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sz w:val="19"/>
          <w:szCs w:val="19"/>
          <w:lang w:val="es-ES"/>
        </w:rPr>
        <w:t xml:space="preserve">Marín Cortés, Fabián G. El precio. Ed. Librería Jurídica Sánchez R. Ltda. y Centro de Estudios de Derecho Administrativo, Medellín, 2012, p. 60. </w:t>
      </w:r>
    </w:p>
  </w:footnote>
  <w:footnote w:id="10">
    <w:p w:rsidRPr="00CA0FFE" w:rsidR="00584F2F" w:rsidP="00CA0FFE" w:rsidRDefault="00584F2F" w14:paraId="5C083EF7" w14:textId="77777777">
      <w:pPr>
        <w:pStyle w:val="Car1"/>
        <w:spacing w:before="120" w:after="120"/>
        <w:ind w:firstLine="708"/>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sz w:val="19"/>
          <w:szCs w:val="19"/>
          <w:lang w:val="es-ES"/>
        </w:rPr>
        <w:t>Consejo de Estado, Sección Tercera, Subsección A sentencia de 19 de julio de 2018, M.P. Marta Nubia Velázquez Rico, Rad. 2013-01826(57.576)</w:t>
      </w:r>
      <w:r w:rsidRPr="00CA0FFE">
        <w:rPr>
          <w:rFonts w:ascii="Arial" w:hAnsi="Arial" w:cs="Arial"/>
          <w:sz w:val="19"/>
          <w:szCs w:val="19"/>
        </w:rPr>
        <w:t xml:space="preserve"> </w:t>
      </w:r>
    </w:p>
    <w:p w:rsidRPr="00CA0FFE" w:rsidR="00584F2F" w:rsidP="00CA0FFE" w:rsidRDefault="00584F2F" w14:paraId="436478A0" w14:textId="77777777">
      <w:pPr>
        <w:pStyle w:val="Car1"/>
        <w:spacing w:before="120" w:after="120"/>
        <w:ind w:firstLine="708"/>
        <w:jc w:val="both"/>
        <w:rPr>
          <w:rFonts w:ascii="Arial" w:hAnsi="Arial" w:cs="Arial"/>
          <w:sz w:val="19"/>
          <w:szCs w:val="19"/>
        </w:rPr>
      </w:pPr>
    </w:p>
  </w:footnote>
  <w:footnote w:id="11">
    <w:p w:rsidRPr="00CA0FFE" w:rsidR="008263E2" w:rsidP="00CA0FFE" w:rsidRDefault="008263E2" w14:paraId="54236844" w14:textId="14ABAA0A">
      <w:pPr>
        <w:pStyle w:val="Textonotapie"/>
        <w:spacing w:before="120" w:after="120"/>
        <w:ind w:firstLine="708"/>
        <w:jc w:val="both"/>
        <w:rPr>
          <w:rFonts w:ascii="Arial" w:hAnsi="Arial" w:eastAsia="Calibri" w:cs="Arial"/>
          <w:bCs/>
          <w:sz w:val="19"/>
          <w:szCs w:val="19"/>
          <w:lang w:val="es-ES_tradnl"/>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eastAsia="Calibri" w:cs="Arial"/>
          <w:bCs/>
          <w:sz w:val="19"/>
          <w:szCs w:val="19"/>
          <w:lang w:val="es-ES_tradnl"/>
        </w:rPr>
        <w:t xml:space="preserve">Colombia Compra Eficiente: «Guía para la Elaboración de Estudios del Sector», disponible en el siguiente enlace: </w:t>
      </w:r>
      <w:hyperlink w:history="1" r:id="rId1">
        <w:r w:rsidRPr="00CA0FFE">
          <w:rPr>
            <w:rStyle w:val="Hipervnculo"/>
            <w:rFonts w:ascii="Arial" w:hAnsi="Arial" w:eastAsia="Calibri" w:cs="Arial"/>
            <w:bCs/>
            <w:sz w:val="19"/>
            <w:szCs w:val="19"/>
            <w:lang w:val="es-ES_tradnl"/>
          </w:rPr>
          <w:t>https://www.colombiacompra.gov.co/sites/cce_public/files/cce_documentos/cce-eicp-gi-18._gees_v.2_2.pdf</w:t>
        </w:r>
      </w:hyperlink>
      <w:r w:rsidRPr="00CA0FFE">
        <w:rPr>
          <w:rFonts w:ascii="Arial" w:hAnsi="Arial" w:eastAsia="Calibri" w:cs="Arial"/>
          <w:bCs/>
          <w:sz w:val="19"/>
          <w:szCs w:val="19"/>
          <w:lang w:val="es-ES_tradnl"/>
        </w:rPr>
        <w:t xml:space="preserve">  </w:t>
      </w:r>
    </w:p>
    <w:p w:rsidRPr="00CA0FFE" w:rsidR="008263E2" w:rsidP="00CA0FFE" w:rsidRDefault="008263E2" w14:paraId="018D185C" w14:textId="77777777">
      <w:pPr>
        <w:pStyle w:val="Textonotapie"/>
        <w:spacing w:before="120" w:after="120"/>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659C4" w:rsidRDefault="00246CEE" w14:paraId="0B7BDB7F" w14:textId="77777777">
    <w:pPr>
      <w:pStyle w:val="Encabezado"/>
    </w:pPr>
    <w:r>
      <w:rPr>
        <w:noProof/>
        <w:lang w:val="es-ES_tradnl" w:eastAsia="es-ES_tradnl"/>
      </w:rPr>
      <w:drawing>
        <wp:anchor distT="0" distB="0" distL="114300" distR="114300" simplePos="0" relativeHeight="251659264" behindDoc="1" locked="0" layoutInCell="1" allowOverlap="1" wp14:anchorId="1891F7E6" wp14:editId="32DFF25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8450358">
    <w:abstractNumId w:val="0"/>
  </w:num>
  <w:num w:numId="2" w16cid:durableId="6462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A3"/>
    <w:rsid w:val="0001221C"/>
    <w:rsid w:val="00057501"/>
    <w:rsid w:val="00061838"/>
    <w:rsid w:val="0008053B"/>
    <w:rsid w:val="000864EE"/>
    <w:rsid w:val="00086875"/>
    <w:rsid w:val="000B5B1D"/>
    <w:rsid w:val="000C71D8"/>
    <w:rsid w:val="000D0143"/>
    <w:rsid w:val="000D26E2"/>
    <w:rsid w:val="00125DFB"/>
    <w:rsid w:val="001261F2"/>
    <w:rsid w:val="001425C6"/>
    <w:rsid w:val="001600C5"/>
    <w:rsid w:val="00174082"/>
    <w:rsid w:val="00181A0F"/>
    <w:rsid w:val="001A5C14"/>
    <w:rsid w:val="001E5C90"/>
    <w:rsid w:val="002052BB"/>
    <w:rsid w:val="00207AEA"/>
    <w:rsid w:val="002168DE"/>
    <w:rsid w:val="0022774A"/>
    <w:rsid w:val="00244680"/>
    <w:rsid w:val="00246CEE"/>
    <w:rsid w:val="00250D03"/>
    <w:rsid w:val="0026556A"/>
    <w:rsid w:val="00266E2E"/>
    <w:rsid w:val="002A7601"/>
    <w:rsid w:val="0035145C"/>
    <w:rsid w:val="00366906"/>
    <w:rsid w:val="003716F4"/>
    <w:rsid w:val="00382227"/>
    <w:rsid w:val="00425524"/>
    <w:rsid w:val="004442F6"/>
    <w:rsid w:val="0046662E"/>
    <w:rsid w:val="004A6B28"/>
    <w:rsid w:val="004B6ED0"/>
    <w:rsid w:val="005137E3"/>
    <w:rsid w:val="0052002B"/>
    <w:rsid w:val="00526C25"/>
    <w:rsid w:val="00537AD2"/>
    <w:rsid w:val="00554071"/>
    <w:rsid w:val="00584F2F"/>
    <w:rsid w:val="005A3892"/>
    <w:rsid w:val="005C7C54"/>
    <w:rsid w:val="00642DE0"/>
    <w:rsid w:val="006D33E0"/>
    <w:rsid w:val="006D3EAB"/>
    <w:rsid w:val="006D762F"/>
    <w:rsid w:val="0070478B"/>
    <w:rsid w:val="0072299B"/>
    <w:rsid w:val="007B2C76"/>
    <w:rsid w:val="008263E2"/>
    <w:rsid w:val="00871572"/>
    <w:rsid w:val="00871CD7"/>
    <w:rsid w:val="008B7F97"/>
    <w:rsid w:val="008F292A"/>
    <w:rsid w:val="008F451C"/>
    <w:rsid w:val="00907EF8"/>
    <w:rsid w:val="00920DFC"/>
    <w:rsid w:val="009228EB"/>
    <w:rsid w:val="0095709F"/>
    <w:rsid w:val="00982D5A"/>
    <w:rsid w:val="009E17F3"/>
    <w:rsid w:val="00A1350A"/>
    <w:rsid w:val="00A2453B"/>
    <w:rsid w:val="00A72655"/>
    <w:rsid w:val="00A76BFF"/>
    <w:rsid w:val="00A977AF"/>
    <w:rsid w:val="00AD24C6"/>
    <w:rsid w:val="00AF0D53"/>
    <w:rsid w:val="00B03DC3"/>
    <w:rsid w:val="00B104ED"/>
    <w:rsid w:val="00B44C70"/>
    <w:rsid w:val="00B54572"/>
    <w:rsid w:val="00B940CF"/>
    <w:rsid w:val="00BD30ED"/>
    <w:rsid w:val="00C23AC6"/>
    <w:rsid w:val="00C659C4"/>
    <w:rsid w:val="00C7535E"/>
    <w:rsid w:val="00C93F10"/>
    <w:rsid w:val="00CA0FFE"/>
    <w:rsid w:val="00CE0152"/>
    <w:rsid w:val="00CE6648"/>
    <w:rsid w:val="00CF41FA"/>
    <w:rsid w:val="00D010B6"/>
    <w:rsid w:val="00D15A6E"/>
    <w:rsid w:val="00D540A4"/>
    <w:rsid w:val="00DF4C66"/>
    <w:rsid w:val="00E159C8"/>
    <w:rsid w:val="00E220B7"/>
    <w:rsid w:val="00E27BD3"/>
    <w:rsid w:val="00E44ED9"/>
    <w:rsid w:val="00E54257"/>
    <w:rsid w:val="00E96A30"/>
    <w:rsid w:val="00EC4423"/>
    <w:rsid w:val="00ED21E7"/>
    <w:rsid w:val="00EF4EA3"/>
    <w:rsid w:val="00F02CA8"/>
    <w:rsid w:val="00F17FAF"/>
    <w:rsid w:val="00F5660F"/>
    <w:rsid w:val="00FB347B"/>
    <w:rsid w:val="00FE180B"/>
    <w:rsid w:val="00FE67EF"/>
    <w:rsid w:val="20D7D1B4"/>
    <w:rsid w:val="2E150ADA"/>
    <w:rsid w:val="5042E1A4"/>
    <w:rsid w:val="51BFE9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E8C2"/>
  <w15:chartTrackingRefBased/>
  <w15:docId w15:val="{79161CCE-EFA5-44E3-937E-624536F1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F4EA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F4EA3"/>
  </w:style>
  <w:style w:type="paragraph" w:styleId="Piedepgina">
    <w:name w:val="footer"/>
    <w:basedOn w:val="Normal"/>
    <w:link w:val="PiedepginaCar"/>
    <w:uiPriority w:val="99"/>
    <w:unhideWhenUsed/>
    <w:rsid w:val="00EF4EA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F4EA3"/>
  </w:style>
  <w:style w:type="paragraph" w:styleId="Sinespaciado">
    <w:name w:val="No Spacing"/>
    <w:uiPriority w:val="1"/>
    <w:qFormat/>
    <w:rsid w:val="00EF4EA3"/>
    <w:pPr>
      <w:spacing w:after="0" w:line="240" w:lineRule="auto"/>
    </w:pPr>
  </w:style>
  <w:style w:type="paragraph" w:styleId="Textoindependiente">
    <w:name w:val="Body Text"/>
    <w:basedOn w:val="Normal"/>
    <w:link w:val="TextoindependienteCar"/>
    <w:uiPriority w:val="99"/>
    <w:unhideWhenUsed/>
    <w:rsid w:val="00EF4EA3"/>
    <w:pPr>
      <w:spacing w:after="120"/>
    </w:pPr>
  </w:style>
  <w:style w:type="character" w:styleId="TextoindependienteCar" w:customStyle="1">
    <w:name w:val="Texto independiente Car"/>
    <w:basedOn w:val="Fuentedeprrafopredeter"/>
    <w:link w:val="Textoindependiente"/>
    <w:uiPriority w:val="99"/>
    <w:rsid w:val="00EF4EA3"/>
  </w:style>
  <w:style w:type="table" w:styleId="Tablaconcuadrcula">
    <w:name w:val="Table Grid"/>
    <w:basedOn w:val="Tablanormal"/>
    <w:uiPriority w:val="59"/>
    <w:rsid w:val="00EF4E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notapieCar" w:customStyle="1">
    <w:name w:val="Texto nota pie Car"/>
    <w:basedOn w:val="Fuentedeprrafopredeter"/>
    <w:link w:val="Textonotapie"/>
    <w:uiPriority w:val="99"/>
    <w:qFormat/>
    <w:locked/>
    <w:rsid w:val="00EF4EA3"/>
    <w:rPr>
      <w:sz w:val="20"/>
      <w:szCs w:val="20"/>
      <w:lang w:val="es-MX"/>
    </w:rPr>
  </w:style>
  <w:style w:type="paragraph" w:styleId="Car1" w:customStyle="1">
    <w:name w:val="Car1"/>
    <w:basedOn w:val="Normal"/>
    <w:next w:val="Textonotapie"/>
    <w:uiPriority w:val="99"/>
    <w:unhideWhenUsed/>
    <w:qFormat/>
    <w:rsid w:val="00EF4EA3"/>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EF4EA3"/>
    <w:rPr>
      <w:vertAlign w:val="superscript"/>
    </w:rPr>
  </w:style>
  <w:style w:type="paragraph" w:styleId="Appelnotedebasde" w:customStyle="1">
    <w:name w:val="Appel note de bas de..."/>
    <w:basedOn w:val="Normal"/>
    <w:link w:val="Refdenotaalpie"/>
    <w:uiPriority w:val="99"/>
    <w:rsid w:val="00EF4EA3"/>
    <w:pPr>
      <w:spacing w:line="240" w:lineRule="exact"/>
    </w:pPr>
    <w:rPr>
      <w:vertAlign w:val="superscript"/>
    </w:rPr>
  </w:style>
  <w:style w:type="paragraph" w:styleId="Textonotapie">
    <w:name w:val="footnote text"/>
    <w:basedOn w:val="Normal"/>
    <w:link w:val="TextonotapieCar"/>
    <w:uiPriority w:val="99"/>
    <w:semiHidden/>
    <w:unhideWhenUsed/>
    <w:rsid w:val="00EF4EA3"/>
    <w:pPr>
      <w:spacing w:after="0" w:line="240" w:lineRule="auto"/>
    </w:pPr>
    <w:rPr>
      <w:sz w:val="20"/>
      <w:szCs w:val="20"/>
      <w:lang w:val="es-MX"/>
    </w:rPr>
  </w:style>
  <w:style w:type="character" w:styleId="TextonotapieCar1" w:customStyle="1">
    <w:name w:val="Texto nota pie Car1"/>
    <w:basedOn w:val="Fuentedeprrafopredeter"/>
    <w:uiPriority w:val="99"/>
    <w:semiHidden/>
    <w:rsid w:val="00EF4EA3"/>
    <w:rPr>
      <w:sz w:val="20"/>
      <w:szCs w:val="20"/>
    </w:rPr>
  </w:style>
  <w:style w:type="paragraph" w:styleId="Revisin">
    <w:name w:val="Revision"/>
    <w:hidden/>
    <w:uiPriority w:val="99"/>
    <w:semiHidden/>
    <w:rsid w:val="00AD24C6"/>
    <w:pPr>
      <w:spacing w:after="0" w:line="240" w:lineRule="auto"/>
    </w:pPr>
  </w:style>
  <w:style w:type="character" w:styleId="Hipervnculo">
    <w:name w:val="Hyperlink"/>
    <w:basedOn w:val="Fuentedeprrafopredeter"/>
    <w:uiPriority w:val="99"/>
    <w:unhideWhenUsed/>
    <w:rsid w:val="008263E2"/>
    <w:rPr>
      <w:color w:val="0563C1" w:themeColor="hyperlink"/>
      <w:u w:val="single"/>
    </w:rPr>
  </w:style>
  <w:style w:type="character" w:styleId="Mencinsinresolver">
    <w:name w:val="Unresolved Mention"/>
    <w:basedOn w:val="Fuentedeprrafopredeter"/>
    <w:uiPriority w:val="99"/>
    <w:semiHidden/>
    <w:unhideWhenUsed/>
    <w:rsid w:val="008263E2"/>
    <w:rPr>
      <w:color w:val="605E5C"/>
      <w:shd w:val="clear" w:color="auto" w:fill="E1DFDD"/>
    </w:rPr>
  </w:style>
  <w:style w:type="table" w:styleId="Tablaconcuadrcula1" w:customStyle="1">
    <w:name w:val="Tabla con cuadrícula1"/>
    <w:basedOn w:val="Tablanormal"/>
    <w:next w:val="Tablaconcuadrcula"/>
    <w:uiPriority w:val="59"/>
    <w:qFormat/>
    <w:rsid w:val="002277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4071"/>
    <w:pPr>
      <w:spacing w:after="0" w:line="240" w:lineRule="auto"/>
      <w:ind w:left="720"/>
      <w:contextualSpacing/>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4071"/>
    <w:rPr>
      <w:sz w:val="24"/>
      <w:lang w:val="es-MX"/>
    </w:rPr>
  </w:style>
  <w:style w:type="character" w:styleId="Refdecomentario">
    <w:name w:val="annotation reference"/>
    <w:basedOn w:val="Fuentedeprrafopredeter"/>
    <w:uiPriority w:val="99"/>
    <w:semiHidden/>
    <w:unhideWhenUsed/>
    <w:rsid w:val="009228EB"/>
    <w:rPr>
      <w:sz w:val="16"/>
      <w:szCs w:val="16"/>
    </w:rPr>
  </w:style>
  <w:style w:type="paragraph" w:styleId="Textocomentario">
    <w:name w:val="annotation text"/>
    <w:basedOn w:val="Normal"/>
    <w:link w:val="TextocomentarioCar"/>
    <w:uiPriority w:val="99"/>
    <w:unhideWhenUsed/>
    <w:rsid w:val="009228EB"/>
    <w:pPr>
      <w:spacing w:line="240" w:lineRule="auto"/>
    </w:pPr>
    <w:rPr>
      <w:sz w:val="20"/>
      <w:szCs w:val="20"/>
    </w:rPr>
  </w:style>
  <w:style w:type="character" w:styleId="TextocomentarioCar" w:customStyle="1">
    <w:name w:val="Texto comentario Car"/>
    <w:basedOn w:val="Fuentedeprrafopredeter"/>
    <w:link w:val="Textocomentario"/>
    <w:uiPriority w:val="99"/>
    <w:rsid w:val="009228EB"/>
    <w:rPr>
      <w:sz w:val="20"/>
      <w:szCs w:val="20"/>
    </w:rPr>
  </w:style>
  <w:style w:type="paragraph" w:styleId="Asuntodelcomentario">
    <w:name w:val="annotation subject"/>
    <w:basedOn w:val="Textocomentario"/>
    <w:next w:val="Textocomentario"/>
    <w:link w:val="AsuntodelcomentarioCar"/>
    <w:uiPriority w:val="99"/>
    <w:semiHidden/>
    <w:unhideWhenUsed/>
    <w:rsid w:val="009228EB"/>
    <w:rPr>
      <w:b/>
      <w:bCs/>
    </w:rPr>
  </w:style>
  <w:style w:type="character" w:styleId="AsuntodelcomentarioCar" w:customStyle="1">
    <w:name w:val="Asunto del comentario Car"/>
    <w:basedOn w:val="TextocomentarioCar"/>
    <w:link w:val="Asuntodelcomentario"/>
    <w:uiPriority w:val="99"/>
    <w:semiHidden/>
    <w:rsid w:val="009228EB"/>
    <w:rPr>
      <w:b/>
      <w:bCs/>
      <w:sz w:val="20"/>
      <w:szCs w:val="20"/>
    </w:rPr>
  </w:style>
  <w:style w:type="table" w:styleId="Tablaconcuadrcula11" w:customStyle="1">
    <w:name w:val="Tabla con cuadrícula11"/>
    <w:basedOn w:val="Tablanormal"/>
    <w:next w:val="Tablaconcuadrcula"/>
    <w:uiPriority w:val="59"/>
    <w:rsid w:val="000D0143"/>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1002">
      <w:bodyDiv w:val="1"/>
      <w:marLeft w:val="0"/>
      <w:marRight w:val="0"/>
      <w:marTop w:val="0"/>
      <w:marBottom w:val="0"/>
      <w:divBdr>
        <w:top w:val="none" w:sz="0" w:space="0" w:color="auto"/>
        <w:left w:val="none" w:sz="0" w:space="0" w:color="auto"/>
        <w:bottom w:val="none" w:sz="0" w:space="0" w:color="auto"/>
        <w:right w:val="none" w:sz="0" w:space="0" w:color="auto"/>
      </w:divBdr>
      <w:divsChild>
        <w:div w:id="741023157">
          <w:marLeft w:val="0"/>
          <w:marRight w:val="0"/>
          <w:marTop w:val="0"/>
          <w:marBottom w:val="0"/>
          <w:divBdr>
            <w:top w:val="none" w:sz="0" w:space="0" w:color="auto"/>
            <w:left w:val="none" w:sz="0" w:space="0" w:color="auto"/>
            <w:bottom w:val="none" w:sz="0" w:space="0" w:color="auto"/>
            <w:right w:val="none" w:sz="0" w:space="0" w:color="auto"/>
          </w:divBdr>
        </w:div>
        <w:div w:id="1090614923">
          <w:marLeft w:val="0"/>
          <w:marRight w:val="0"/>
          <w:marTop w:val="0"/>
          <w:marBottom w:val="0"/>
          <w:divBdr>
            <w:top w:val="none" w:sz="0" w:space="0" w:color="auto"/>
            <w:left w:val="none" w:sz="0" w:space="0" w:color="auto"/>
            <w:bottom w:val="none" w:sz="0" w:space="0" w:color="auto"/>
            <w:right w:val="none" w:sz="0" w:space="0" w:color="auto"/>
          </w:divBdr>
        </w:div>
        <w:div w:id="1665161912">
          <w:marLeft w:val="0"/>
          <w:marRight w:val="0"/>
          <w:marTop w:val="0"/>
          <w:marBottom w:val="0"/>
          <w:divBdr>
            <w:top w:val="none" w:sz="0" w:space="0" w:color="auto"/>
            <w:left w:val="none" w:sz="0" w:space="0" w:color="auto"/>
            <w:bottom w:val="none" w:sz="0" w:space="0" w:color="auto"/>
            <w:right w:val="none" w:sz="0" w:space="0" w:color="auto"/>
          </w:divBdr>
        </w:div>
        <w:div w:id="1615163394">
          <w:marLeft w:val="0"/>
          <w:marRight w:val="0"/>
          <w:marTop w:val="0"/>
          <w:marBottom w:val="0"/>
          <w:divBdr>
            <w:top w:val="none" w:sz="0" w:space="0" w:color="auto"/>
            <w:left w:val="none" w:sz="0" w:space="0" w:color="auto"/>
            <w:bottom w:val="none" w:sz="0" w:space="0" w:color="auto"/>
            <w:right w:val="none" w:sz="0" w:space="0" w:color="auto"/>
          </w:divBdr>
        </w:div>
        <w:div w:id="365106926">
          <w:marLeft w:val="0"/>
          <w:marRight w:val="0"/>
          <w:marTop w:val="0"/>
          <w:marBottom w:val="0"/>
          <w:divBdr>
            <w:top w:val="none" w:sz="0" w:space="0" w:color="auto"/>
            <w:left w:val="none" w:sz="0" w:space="0" w:color="auto"/>
            <w:bottom w:val="none" w:sz="0" w:space="0" w:color="auto"/>
            <w:right w:val="none" w:sz="0" w:space="0" w:color="auto"/>
          </w:divBdr>
        </w:div>
        <w:div w:id="1017192072">
          <w:marLeft w:val="0"/>
          <w:marRight w:val="0"/>
          <w:marTop w:val="0"/>
          <w:marBottom w:val="0"/>
          <w:divBdr>
            <w:top w:val="none" w:sz="0" w:space="0" w:color="auto"/>
            <w:left w:val="none" w:sz="0" w:space="0" w:color="auto"/>
            <w:bottom w:val="none" w:sz="0" w:space="0" w:color="auto"/>
            <w:right w:val="none" w:sz="0" w:space="0" w:color="auto"/>
          </w:divBdr>
        </w:div>
        <w:div w:id="127031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poxta2.colombiacompra.gov.co/sites/docs/_layouts/15/listform.aspx?PageType=6&amp;ListId=%7b41406f67-8aaf-444a-8f23-f6b9ad006b34%7d&amp;ID=91046"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ajudi2018@gmail.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1A8D-793E-4309-8802-70EC6C1B08F2}">
  <ds:schemaRefs>
    <ds:schemaRef ds:uri="http://schemas.microsoft.com/sharepoint/v3/contenttype/forms"/>
  </ds:schemaRefs>
</ds:datastoreItem>
</file>

<file path=customXml/itemProps2.xml><?xml version="1.0" encoding="utf-8"?>
<ds:datastoreItem xmlns:ds="http://schemas.openxmlformats.org/officeDocument/2006/customXml" ds:itemID="{4494DE2D-F071-4B5E-9671-25C9850DED9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494A8EFF-4ACE-4FE0-A12C-CCE5A6EF556F}"/>
</file>

<file path=customXml/itemProps4.xml><?xml version="1.0" encoding="utf-8"?>
<ds:datastoreItem xmlns:ds="http://schemas.openxmlformats.org/officeDocument/2006/customXml" ds:itemID="{829CB78D-E669-4438-BF1F-717DF15F18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Andreina Cerpa Muñoz</cp:lastModifiedBy>
  <cp:revision>3</cp:revision>
  <dcterms:created xsi:type="dcterms:W3CDTF">2023-10-03T23:30:00Z</dcterms:created>
  <dcterms:modified xsi:type="dcterms:W3CDTF">2023-10-11T20:48:23Z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