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AA58" w14:textId="77777777" w:rsidR="005F1A74" w:rsidRPr="00355BE8" w:rsidRDefault="005F1A74" w:rsidP="005F1A74">
      <w:pPr>
        <w:tabs>
          <w:tab w:val="left" w:pos="426"/>
        </w:tabs>
        <w:spacing w:after="0" w:line="240" w:lineRule="auto"/>
        <w:rPr>
          <w:rFonts w:ascii="Century Gothic" w:eastAsia="Calibri" w:hAnsi="Century Gothic" w:cs="Arial"/>
          <w:b/>
          <w:bCs/>
          <w:sz w:val="20"/>
          <w:szCs w:val="20"/>
        </w:rPr>
      </w:pPr>
      <w:bookmarkStart w:id="0" w:name="_Hlk94281581"/>
      <w:bookmarkStart w:id="1" w:name="_Hlk102489058"/>
      <w:bookmarkStart w:id="2" w:name="_Hlk34951122"/>
      <w:bookmarkStart w:id="3" w:name="_Hlk77152637"/>
      <w:bookmarkStart w:id="4" w:name="_Hlk77157066"/>
    </w:p>
    <w:p w14:paraId="51E6D21A" w14:textId="77777777" w:rsidR="005F1A74" w:rsidRPr="00355BE8" w:rsidRDefault="005F1A74" w:rsidP="005F1A74">
      <w:pPr>
        <w:tabs>
          <w:tab w:val="left" w:pos="426"/>
        </w:tabs>
        <w:spacing w:after="0" w:line="240" w:lineRule="auto"/>
        <w:rPr>
          <w:rFonts w:ascii="Century Gothic" w:eastAsia="Calibri" w:hAnsi="Century Gothic" w:cs="Arial"/>
          <w:b/>
          <w:bCs/>
        </w:rPr>
      </w:pPr>
      <w:r w:rsidRPr="00355BE8">
        <w:rPr>
          <w:rFonts w:ascii="Century Gothic" w:eastAsia="Calibri" w:hAnsi="Century Gothic" w:cs="Arial"/>
          <w:b/>
          <w:bCs/>
        </w:rPr>
        <w:t>CONTRATO ESTATAL – Definición – Alcance</w:t>
      </w:r>
      <w:bookmarkEnd w:id="3"/>
    </w:p>
    <w:p w14:paraId="1F170B03" w14:textId="77777777" w:rsidR="005F1A74" w:rsidRPr="00355BE8" w:rsidRDefault="005F1A74" w:rsidP="005F1A74">
      <w:pPr>
        <w:tabs>
          <w:tab w:val="left" w:pos="426"/>
        </w:tabs>
        <w:spacing w:after="0" w:line="240" w:lineRule="auto"/>
        <w:rPr>
          <w:rFonts w:ascii="Century Gothic" w:eastAsia="Calibri" w:hAnsi="Century Gothic" w:cs="Arial"/>
          <w:b/>
          <w:bCs/>
          <w:sz w:val="20"/>
          <w:szCs w:val="20"/>
        </w:rPr>
      </w:pPr>
    </w:p>
    <w:bookmarkEnd w:id="4"/>
    <w:p w14:paraId="520E2437" w14:textId="77777777" w:rsidR="005F1A74" w:rsidRPr="00355BE8" w:rsidRDefault="005F1A74" w:rsidP="005F1A74">
      <w:pPr>
        <w:tabs>
          <w:tab w:val="left" w:pos="426"/>
        </w:tabs>
        <w:spacing w:after="0" w:line="240" w:lineRule="auto"/>
        <w:jc w:val="both"/>
        <w:rPr>
          <w:rFonts w:ascii="Century Gothic" w:eastAsia="Calibri" w:hAnsi="Century Gothic" w:cs="Arial"/>
          <w:noProof/>
          <w:sz w:val="20"/>
          <w:szCs w:val="20"/>
          <w:lang w:val="es-ES_tradnl"/>
        </w:rPr>
      </w:pPr>
      <w:r w:rsidRPr="00355BE8">
        <w:rPr>
          <w:rFonts w:ascii="Century Gothic" w:eastAsia="Calibri" w:hAnsi="Century Gothic" w:cs="Arial"/>
          <w:noProof/>
          <w:sz w:val="20"/>
          <w:szCs w:val="20"/>
          <w:lang w:val="es-ES_tradnl"/>
        </w:rPr>
        <w:t>De acuerdo con el artículo 1495 del Código Civil, el contrato es un acto por el cual una parte se obliga con otra a dar, hacer o no hacer alguna cosa. Por su parte, el artículo 1º de la Ley 80 de 1993 determina que su objetivo es disponer reglas y principios que rigieran los contratos de las entidades estatales. A su turno, el artículo 32 define los contratos estatales como todos los actos jurídicos generadores de obligaciones que celebren las entidades a las que se refiere la Ley 80 de 1993. Nótese que para la definición de contrato estatal basta con que una de las entidades que enumera el artículo 2º de la Ley 80 de 1993 sea una de las partes, sin importar el extremo de la relación jurídico negocial que asuma.</w:t>
      </w:r>
    </w:p>
    <w:p w14:paraId="03903FAE" w14:textId="77777777" w:rsidR="005F1A74" w:rsidRPr="00355BE8" w:rsidRDefault="005F1A74" w:rsidP="005F1A74">
      <w:pPr>
        <w:tabs>
          <w:tab w:val="left" w:pos="426"/>
        </w:tabs>
        <w:spacing w:after="0" w:line="240" w:lineRule="auto"/>
        <w:rPr>
          <w:rFonts w:ascii="Century Gothic" w:eastAsia="Calibri" w:hAnsi="Century Gothic" w:cs="Arial"/>
          <w:noProof/>
          <w:sz w:val="20"/>
          <w:szCs w:val="20"/>
          <w:lang w:val="es-ES_tradnl"/>
        </w:rPr>
      </w:pPr>
    </w:p>
    <w:p w14:paraId="4FE7A6B0" w14:textId="77777777" w:rsidR="005F1A74" w:rsidRPr="00355BE8" w:rsidRDefault="005F1A74" w:rsidP="005F1A74">
      <w:pPr>
        <w:spacing w:after="0" w:line="240" w:lineRule="auto"/>
        <w:jc w:val="both"/>
        <w:rPr>
          <w:rFonts w:ascii="Century Gothic" w:hAnsi="Century Gothic" w:cs="Arial"/>
          <w:b/>
          <w:bCs/>
          <w:color w:val="000000" w:themeColor="text1"/>
          <w:lang w:val="es-ES"/>
        </w:rPr>
      </w:pPr>
      <w:r w:rsidRPr="00355BE8">
        <w:rPr>
          <w:rFonts w:ascii="Century Gothic" w:hAnsi="Century Gothic" w:cs="Arial"/>
          <w:b/>
          <w:bCs/>
          <w:color w:val="000000" w:themeColor="text1"/>
          <w:lang w:val="es-ES"/>
        </w:rPr>
        <w:t xml:space="preserve">PRINCIPIO DE PLANEACIÓN </w:t>
      </w:r>
      <w:r w:rsidRPr="00355BE8">
        <w:rPr>
          <w:rFonts w:ascii="Century Gothic" w:hAnsi="Century Gothic" w:cs="Arial"/>
          <w:b/>
          <w:bCs/>
          <w:color w:val="000000" w:themeColor="text1"/>
        </w:rPr>
        <w:t>–</w:t>
      </w:r>
      <w:r w:rsidRPr="00355BE8">
        <w:rPr>
          <w:rFonts w:ascii="Century Gothic" w:hAnsi="Century Gothic" w:cs="Arial"/>
          <w:b/>
          <w:bCs/>
          <w:color w:val="000000" w:themeColor="text1"/>
          <w:lang w:val="es-ES"/>
        </w:rPr>
        <w:t xml:space="preserve"> Estudios previos </w:t>
      </w:r>
    </w:p>
    <w:p w14:paraId="04F29BC9" w14:textId="77777777" w:rsidR="005F1A74" w:rsidRPr="00355BE8" w:rsidRDefault="005F1A74" w:rsidP="005F1A74">
      <w:pPr>
        <w:spacing w:after="0" w:line="240" w:lineRule="auto"/>
        <w:jc w:val="both"/>
        <w:rPr>
          <w:rFonts w:ascii="Century Gothic" w:hAnsi="Century Gothic" w:cs="Arial"/>
          <w:b/>
          <w:bCs/>
          <w:color w:val="000000" w:themeColor="text1"/>
          <w:lang w:val="es-ES"/>
        </w:rPr>
      </w:pPr>
    </w:p>
    <w:p w14:paraId="6A4F2C6F" w14:textId="77777777" w:rsidR="005F1A74" w:rsidRPr="00355BE8" w:rsidRDefault="005F1A74" w:rsidP="005F1A74">
      <w:pPr>
        <w:spacing w:after="0" w:line="240" w:lineRule="auto"/>
        <w:jc w:val="both"/>
        <w:rPr>
          <w:rFonts w:ascii="Century Gothic" w:hAnsi="Century Gothic" w:cs="Arial"/>
          <w:color w:val="000000" w:themeColor="text1"/>
          <w:sz w:val="20"/>
          <w:szCs w:val="20"/>
          <w:lang w:val="es-ES"/>
        </w:rPr>
      </w:pPr>
      <w:r w:rsidRPr="00355BE8">
        <w:rPr>
          <w:rFonts w:ascii="Century Gothic" w:hAnsi="Century Gothic" w:cs="Arial"/>
          <w:color w:val="000000" w:themeColor="text1"/>
          <w:sz w:val="20"/>
          <w:szCs w:val="20"/>
          <w:lang w:val="es-ES"/>
        </w:rPr>
        <w:t>En virtud del principio de economía, para iniciar un proceso de contratación, inclusive de contratación directa, se requieren unos estudios previos.  Con ellos, se estructuran, concretan y viabilizan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y se estime el costo que implica la celebración del contrato.</w:t>
      </w:r>
    </w:p>
    <w:p w14:paraId="7A6883EC" w14:textId="77777777" w:rsidR="005F1A74" w:rsidRPr="00355BE8" w:rsidRDefault="005F1A74" w:rsidP="005F1A74">
      <w:pPr>
        <w:spacing w:after="0" w:line="240" w:lineRule="auto"/>
        <w:jc w:val="both"/>
        <w:rPr>
          <w:rFonts w:ascii="Century Gothic" w:hAnsi="Century Gothic" w:cs="Arial"/>
          <w:color w:val="000000" w:themeColor="text1"/>
          <w:sz w:val="20"/>
          <w:szCs w:val="20"/>
          <w:lang w:val="es-ES"/>
        </w:rPr>
      </w:pPr>
    </w:p>
    <w:p w14:paraId="169A00A1" w14:textId="77777777" w:rsidR="005F1A74" w:rsidRPr="00355BE8" w:rsidRDefault="005F1A74" w:rsidP="005F1A74">
      <w:pPr>
        <w:spacing w:after="0" w:line="240" w:lineRule="auto"/>
        <w:jc w:val="both"/>
        <w:rPr>
          <w:rFonts w:ascii="Century Gothic" w:hAnsi="Century Gothic" w:cs="Arial"/>
          <w:color w:val="000000" w:themeColor="text1"/>
          <w:sz w:val="20"/>
          <w:szCs w:val="20"/>
          <w:lang w:val="es-ES"/>
        </w:rPr>
      </w:pPr>
      <w:r w:rsidRPr="00355BE8">
        <w:rPr>
          <w:rFonts w:ascii="Century Gothic" w:hAnsi="Century Gothic" w:cs="Arial"/>
          <w:color w:val="000000" w:themeColor="text1"/>
          <w:sz w:val="20"/>
          <w:szCs w:val="20"/>
          <w:lang w:val="es-ES"/>
        </w:rPr>
        <w:t>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w:t>
      </w:r>
    </w:p>
    <w:p w14:paraId="2D16D8C3" w14:textId="77777777" w:rsidR="005F1A74" w:rsidRPr="00355BE8" w:rsidRDefault="005F1A74" w:rsidP="005F1A74">
      <w:pPr>
        <w:spacing w:after="0" w:line="240" w:lineRule="auto"/>
        <w:jc w:val="both"/>
        <w:rPr>
          <w:rFonts w:ascii="Century Gothic" w:eastAsia="Geomanist Light" w:hAnsi="Century Gothic" w:cs="Arial"/>
          <w:color w:val="000000" w:themeColor="text1"/>
          <w:sz w:val="20"/>
          <w:szCs w:val="20"/>
          <w:lang w:val="es-MX"/>
        </w:rPr>
      </w:pPr>
    </w:p>
    <w:p w14:paraId="60867420" w14:textId="77777777" w:rsidR="005F1A74" w:rsidRPr="00355BE8" w:rsidRDefault="005F1A74" w:rsidP="005F1A74">
      <w:pPr>
        <w:spacing w:after="0" w:line="276" w:lineRule="auto"/>
        <w:jc w:val="both"/>
        <w:rPr>
          <w:rFonts w:ascii="Century Gothic" w:eastAsia="Calibri" w:hAnsi="Century Gothic" w:cs="Arial"/>
          <w:b/>
          <w:color w:val="000000" w:themeColor="text1"/>
          <w:lang w:val="es-ES_tradnl"/>
        </w:rPr>
      </w:pPr>
      <w:r w:rsidRPr="00355BE8">
        <w:rPr>
          <w:rFonts w:ascii="Century Gothic" w:eastAsia="Calibri" w:hAnsi="Century Gothic" w:cs="Arial"/>
          <w:b/>
          <w:color w:val="000000" w:themeColor="text1"/>
          <w:lang w:val="es-ES_tradnl"/>
        </w:rPr>
        <w:t>PRINCIPIO DE PUBLICIDAD – Fundamentos normativos</w:t>
      </w:r>
    </w:p>
    <w:p w14:paraId="2121CDD0"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_tradnl"/>
        </w:rPr>
      </w:pPr>
    </w:p>
    <w:p w14:paraId="28E16467"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
        </w:rPr>
      </w:pPr>
      <w:r w:rsidRPr="00355BE8">
        <w:rPr>
          <w:rFonts w:ascii="Century Gothic" w:eastAsia="Calibri" w:hAnsi="Century Gothic" w:cs="Arial"/>
          <w:bCs/>
          <w:color w:val="000000" w:themeColor="text1"/>
          <w:sz w:val="20"/>
          <w:szCs w:val="20"/>
          <w:lang w:val="es-ES"/>
        </w:rPr>
        <w:t xml:space="preserve">[…] en virtud de lo dispuesto en el artículo 3 de la Ley 1150 de 2007, desarrollado por el artículo 2.2.1.1.1.7.1. del Decreto 1082 de 2015, las entidades están obligadas a publicar en el SECOP todos los documentos relacionados con el </w:t>
      </w:r>
      <w:r w:rsidRPr="00355BE8">
        <w:rPr>
          <w:rFonts w:ascii="Century Gothic" w:eastAsia="Calibri" w:hAnsi="Century Gothic" w:cs="Arial"/>
          <w:bCs/>
          <w:i/>
          <w:iCs/>
          <w:color w:val="000000" w:themeColor="text1"/>
          <w:sz w:val="20"/>
          <w:szCs w:val="20"/>
          <w:lang w:val="es-ES"/>
        </w:rPr>
        <w:t>Proceso de Contratación</w:t>
      </w:r>
      <w:r w:rsidRPr="00355BE8">
        <w:rPr>
          <w:rFonts w:ascii="Century Gothic" w:eastAsia="Calibri" w:hAnsi="Century Gothic" w:cs="Arial"/>
          <w:bCs/>
          <w:color w:val="000000" w:themeColor="text1"/>
          <w:sz w:val="20"/>
          <w:szCs w:val="20"/>
          <w:lang w:val="es-ES"/>
        </w:rPr>
        <w:t xml:space="preserve"> expedidos durante las etapas precontractual, de ejecución y </w:t>
      </w:r>
      <w:proofErr w:type="spellStart"/>
      <w:r w:rsidRPr="00355BE8">
        <w:rPr>
          <w:rFonts w:ascii="Century Gothic" w:eastAsia="Calibri" w:hAnsi="Century Gothic" w:cs="Arial"/>
          <w:bCs/>
          <w:color w:val="000000" w:themeColor="text1"/>
          <w:sz w:val="20"/>
          <w:szCs w:val="20"/>
          <w:lang w:val="es-ES"/>
        </w:rPr>
        <w:t>postcontractual</w:t>
      </w:r>
      <w:proofErr w:type="spellEnd"/>
      <w:r w:rsidRPr="00355BE8">
        <w:rPr>
          <w:rFonts w:ascii="Century Gothic" w:eastAsia="Calibri" w:hAnsi="Century Gothic" w:cs="Arial"/>
          <w:bCs/>
          <w:color w:val="000000" w:themeColor="text1"/>
          <w:sz w:val="20"/>
          <w:szCs w:val="20"/>
          <w:lang w:val="es-E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69D593F7"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
        </w:rPr>
      </w:pPr>
    </w:p>
    <w:p w14:paraId="419A4EAF"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
        </w:rPr>
      </w:pPr>
      <w:r w:rsidRPr="00355BE8">
        <w:rPr>
          <w:rFonts w:ascii="Century Gothic" w:eastAsia="Calibri" w:hAnsi="Century Gothic" w:cs="Arial"/>
          <w:bCs/>
          <w:color w:val="000000" w:themeColor="text1"/>
          <w:sz w:val="20"/>
          <w:szCs w:val="20"/>
          <w:lang w:val="es-ES"/>
        </w:rPr>
        <w:t xml:space="preserve">Adicionalmente, el deber de publicar la actividad contractual de las entidades estatales no solo está regulado en el artículo 3 de la Ley 1150 de 2007 y en el artículo 2.2.1.1.1.7.1 del Decreto 1082 de 2015, sino también en la Ley 1712 de 2014 y en el Decreto 1081 de 2015. Estas normas no solo refuerzan y complementan al régimen de contratación estatal en </w:t>
      </w:r>
      <w:r w:rsidRPr="00355BE8">
        <w:rPr>
          <w:rFonts w:ascii="Century Gothic" w:eastAsia="Calibri" w:hAnsi="Century Gothic" w:cs="Arial"/>
          <w:bCs/>
          <w:color w:val="000000" w:themeColor="text1"/>
          <w:sz w:val="20"/>
          <w:szCs w:val="20"/>
          <w:lang w:val="es-ES"/>
        </w:rPr>
        <w:lastRenderedPageBreak/>
        <w:t xml:space="preserve">cuanto a la publicidad, sino que lo amplía, para incluir la publicación de los “procedimientos” y la información relativa a la “gestión contractual”, sin el condicionamiento de tratarse exclusivamente de los </w:t>
      </w:r>
      <w:r w:rsidRPr="00355BE8">
        <w:rPr>
          <w:rFonts w:ascii="Century Gothic" w:eastAsia="Calibri" w:hAnsi="Century Gothic" w:cs="Arial"/>
          <w:bCs/>
          <w:i/>
          <w:iCs/>
          <w:color w:val="000000" w:themeColor="text1"/>
          <w:sz w:val="20"/>
          <w:szCs w:val="20"/>
          <w:lang w:val="es-ES"/>
        </w:rPr>
        <w:t xml:space="preserve">Documentos del Proceso </w:t>
      </w:r>
      <w:r w:rsidRPr="00355BE8">
        <w:rPr>
          <w:rFonts w:ascii="Century Gothic" w:eastAsia="Calibri" w:hAnsi="Century Gothic" w:cs="Arial"/>
          <w:bCs/>
          <w:color w:val="000000" w:themeColor="text1"/>
          <w:sz w:val="20"/>
          <w:szCs w:val="20"/>
          <w:lang w:val="es-ES"/>
        </w:rPr>
        <w:t>expedidos por la “entidad estatal”.</w:t>
      </w:r>
    </w:p>
    <w:p w14:paraId="57C97540"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
        </w:rPr>
      </w:pPr>
    </w:p>
    <w:p w14:paraId="66A404BE" w14:textId="77777777" w:rsidR="005F1A74" w:rsidRPr="00355BE8" w:rsidRDefault="005F1A74" w:rsidP="005F1A74">
      <w:pPr>
        <w:spacing w:after="0" w:line="240" w:lineRule="auto"/>
        <w:jc w:val="both"/>
        <w:rPr>
          <w:rFonts w:ascii="Century Gothic" w:eastAsia="Calibri" w:hAnsi="Century Gothic" w:cs="Arial"/>
          <w:bCs/>
          <w:color w:val="000000" w:themeColor="text1"/>
          <w:sz w:val="20"/>
          <w:szCs w:val="20"/>
          <w:lang w:val="es-ES"/>
        </w:rPr>
      </w:pPr>
      <w:r w:rsidRPr="00355BE8">
        <w:rPr>
          <w:rFonts w:ascii="Century Gothic" w:eastAsia="Calibri" w:hAnsi="Century Gothic" w:cs="Arial"/>
          <w:bCs/>
          <w:color w:val="000000" w:themeColor="text1"/>
          <w:sz w:val="20"/>
          <w:szCs w:val="20"/>
          <w:lang w:val="es-ES"/>
        </w:rPr>
        <w:t xml:space="preserve">Las publicaciones que corresponde efectuar a las entidades estatales, como sujetos obligados por la normativa de la transparencia y acceso a la información pública, antes que una derogación o subrogación del contenido del deber de publicidad regulado por el EGCAP, suponen una ampliación de su alcance, que lo extiende de la simple publicación de la información “producida por la entidad estatal” asociada a la noción de </w:t>
      </w:r>
      <w:r w:rsidRPr="00355BE8">
        <w:rPr>
          <w:rFonts w:ascii="Century Gothic" w:eastAsia="Calibri" w:hAnsi="Century Gothic" w:cs="Arial"/>
          <w:bCs/>
          <w:i/>
          <w:iCs/>
          <w:color w:val="000000" w:themeColor="text1"/>
          <w:sz w:val="20"/>
          <w:szCs w:val="20"/>
          <w:lang w:val="es-ES"/>
        </w:rPr>
        <w:t>Documentos del Proceso</w:t>
      </w:r>
      <w:r w:rsidRPr="00355BE8">
        <w:rPr>
          <w:rFonts w:ascii="Century Gothic" w:eastAsia="Calibri" w:hAnsi="Century Gothic" w:cs="Arial"/>
          <w:bCs/>
          <w:color w:val="000000" w:themeColor="text1"/>
          <w:sz w:val="20"/>
          <w:szCs w:val="20"/>
          <w:lang w:val="es-ES"/>
        </w:rPr>
        <w:t xml:space="preserve">. Esto implica que la publicación que corresponde a las entidades estatales, como sujetos obligados en el marco de la Ley 1712 de 2014, se extiende a todo el desarrollo del procedimiento, desde la etapa de planeación hasta el vencimiento de las garantías, incluyendo cada actuación que se produzca en ese lapso.  </w:t>
      </w:r>
    </w:p>
    <w:p w14:paraId="1B13E1A6" w14:textId="77777777" w:rsidR="005F1A74" w:rsidRDefault="005F1A74" w:rsidP="00812F1D">
      <w:pPr>
        <w:spacing w:after="0"/>
        <w:rPr>
          <w:rFonts w:ascii="Century Gothic" w:eastAsia="Geomanist Light" w:hAnsi="Century Gothic" w:cs="Arial"/>
          <w:color w:val="201F1E"/>
          <w:lang w:val="es-MX"/>
        </w:rPr>
      </w:pPr>
    </w:p>
    <w:p w14:paraId="3D3D1980" w14:textId="77777777" w:rsidR="005F1A74" w:rsidRDefault="005F1A74" w:rsidP="00812F1D">
      <w:pPr>
        <w:spacing w:after="0"/>
        <w:rPr>
          <w:rFonts w:ascii="Century Gothic" w:eastAsia="Geomanist Light" w:hAnsi="Century Gothic" w:cs="Arial"/>
          <w:color w:val="201F1E"/>
          <w:lang w:val="es-MX"/>
        </w:rPr>
      </w:pPr>
    </w:p>
    <w:p w14:paraId="0CC51684" w14:textId="77777777" w:rsidR="005F1A74" w:rsidRDefault="005F1A74" w:rsidP="00812F1D">
      <w:pPr>
        <w:spacing w:after="0"/>
        <w:rPr>
          <w:rFonts w:ascii="Century Gothic" w:eastAsia="Geomanist Light" w:hAnsi="Century Gothic" w:cs="Arial"/>
          <w:color w:val="201F1E"/>
          <w:lang w:val="es-MX"/>
        </w:rPr>
      </w:pPr>
    </w:p>
    <w:p w14:paraId="3AF17995" w14:textId="77777777" w:rsidR="005F1A74" w:rsidRDefault="005F1A74" w:rsidP="00812F1D">
      <w:pPr>
        <w:spacing w:after="0"/>
        <w:rPr>
          <w:rFonts w:ascii="Century Gothic" w:eastAsia="Geomanist Light" w:hAnsi="Century Gothic" w:cs="Arial"/>
          <w:color w:val="201F1E"/>
          <w:lang w:val="es-MX"/>
        </w:rPr>
      </w:pPr>
    </w:p>
    <w:p w14:paraId="018678F2" w14:textId="77777777" w:rsidR="005F1A74" w:rsidRDefault="005F1A74" w:rsidP="00812F1D">
      <w:pPr>
        <w:spacing w:after="0"/>
        <w:rPr>
          <w:rFonts w:ascii="Century Gothic" w:eastAsia="Geomanist Light" w:hAnsi="Century Gothic" w:cs="Arial"/>
          <w:color w:val="201F1E"/>
          <w:lang w:val="es-MX"/>
        </w:rPr>
      </w:pPr>
    </w:p>
    <w:p w14:paraId="42EC734B" w14:textId="77777777" w:rsidR="005F1A74" w:rsidRDefault="005F1A74" w:rsidP="00812F1D">
      <w:pPr>
        <w:spacing w:after="0"/>
        <w:rPr>
          <w:rFonts w:ascii="Century Gothic" w:eastAsia="Geomanist Light" w:hAnsi="Century Gothic" w:cs="Arial"/>
          <w:color w:val="201F1E"/>
          <w:lang w:val="es-MX"/>
        </w:rPr>
      </w:pPr>
    </w:p>
    <w:p w14:paraId="6F369A3B" w14:textId="77777777" w:rsidR="005F1A74" w:rsidRDefault="005F1A74" w:rsidP="00812F1D">
      <w:pPr>
        <w:spacing w:after="0"/>
        <w:rPr>
          <w:rFonts w:ascii="Century Gothic" w:eastAsia="Geomanist Light" w:hAnsi="Century Gothic" w:cs="Arial"/>
          <w:color w:val="201F1E"/>
          <w:lang w:val="es-MX"/>
        </w:rPr>
      </w:pPr>
    </w:p>
    <w:p w14:paraId="34B524D0" w14:textId="77777777" w:rsidR="005F1A74" w:rsidRDefault="005F1A74" w:rsidP="00812F1D">
      <w:pPr>
        <w:spacing w:after="0"/>
        <w:rPr>
          <w:rFonts w:ascii="Century Gothic" w:eastAsia="Geomanist Light" w:hAnsi="Century Gothic" w:cs="Arial"/>
          <w:color w:val="201F1E"/>
          <w:lang w:val="es-MX"/>
        </w:rPr>
      </w:pPr>
    </w:p>
    <w:p w14:paraId="79835A2B" w14:textId="77777777" w:rsidR="005F1A74" w:rsidRDefault="005F1A74" w:rsidP="00812F1D">
      <w:pPr>
        <w:spacing w:after="0"/>
        <w:rPr>
          <w:rFonts w:ascii="Century Gothic" w:eastAsia="Geomanist Light" w:hAnsi="Century Gothic" w:cs="Arial"/>
          <w:color w:val="201F1E"/>
          <w:lang w:val="es-MX"/>
        </w:rPr>
      </w:pPr>
    </w:p>
    <w:p w14:paraId="5B59CA30" w14:textId="77777777" w:rsidR="005F1A74" w:rsidRDefault="005F1A74" w:rsidP="00812F1D">
      <w:pPr>
        <w:spacing w:after="0"/>
        <w:rPr>
          <w:rFonts w:ascii="Century Gothic" w:eastAsia="Geomanist Light" w:hAnsi="Century Gothic" w:cs="Arial"/>
          <w:color w:val="201F1E"/>
          <w:lang w:val="es-MX"/>
        </w:rPr>
      </w:pPr>
    </w:p>
    <w:p w14:paraId="2821063F" w14:textId="77777777" w:rsidR="005F1A74" w:rsidRDefault="005F1A74" w:rsidP="00812F1D">
      <w:pPr>
        <w:spacing w:after="0"/>
        <w:rPr>
          <w:rFonts w:ascii="Century Gothic" w:eastAsia="Geomanist Light" w:hAnsi="Century Gothic" w:cs="Arial"/>
          <w:color w:val="201F1E"/>
          <w:lang w:val="es-MX"/>
        </w:rPr>
      </w:pPr>
    </w:p>
    <w:p w14:paraId="1C2F450D" w14:textId="77777777" w:rsidR="005F1A74" w:rsidRDefault="005F1A74" w:rsidP="00812F1D">
      <w:pPr>
        <w:spacing w:after="0"/>
        <w:rPr>
          <w:rFonts w:ascii="Century Gothic" w:eastAsia="Geomanist Light" w:hAnsi="Century Gothic" w:cs="Arial"/>
          <w:color w:val="201F1E"/>
          <w:lang w:val="es-MX"/>
        </w:rPr>
      </w:pPr>
    </w:p>
    <w:p w14:paraId="1E948BA4" w14:textId="77777777" w:rsidR="005F1A74" w:rsidRDefault="005F1A74" w:rsidP="00812F1D">
      <w:pPr>
        <w:spacing w:after="0"/>
        <w:rPr>
          <w:rFonts w:ascii="Century Gothic" w:eastAsia="Geomanist Light" w:hAnsi="Century Gothic" w:cs="Arial"/>
          <w:color w:val="201F1E"/>
          <w:lang w:val="es-MX"/>
        </w:rPr>
      </w:pPr>
    </w:p>
    <w:p w14:paraId="64832050" w14:textId="77777777" w:rsidR="005F1A74" w:rsidRDefault="005F1A74" w:rsidP="00812F1D">
      <w:pPr>
        <w:spacing w:after="0"/>
        <w:rPr>
          <w:rFonts w:ascii="Century Gothic" w:eastAsia="Geomanist Light" w:hAnsi="Century Gothic" w:cs="Arial"/>
          <w:color w:val="201F1E"/>
          <w:lang w:val="es-MX"/>
        </w:rPr>
      </w:pPr>
    </w:p>
    <w:p w14:paraId="407E4032" w14:textId="77777777" w:rsidR="005F1A74" w:rsidRDefault="005F1A74" w:rsidP="00812F1D">
      <w:pPr>
        <w:spacing w:after="0"/>
        <w:rPr>
          <w:rFonts w:ascii="Century Gothic" w:eastAsia="Geomanist Light" w:hAnsi="Century Gothic" w:cs="Arial"/>
          <w:color w:val="201F1E"/>
          <w:lang w:val="es-MX"/>
        </w:rPr>
      </w:pPr>
    </w:p>
    <w:p w14:paraId="1081FD49" w14:textId="77777777" w:rsidR="005F1A74" w:rsidRDefault="005F1A74" w:rsidP="00812F1D">
      <w:pPr>
        <w:spacing w:after="0"/>
        <w:rPr>
          <w:rFonts w:ascii="Century Gothic" w:eastAsia="Geomanist Light" w:hAnsi="Century Gothic" w:cs="Arial"/>
          <w:color w:val="201F1E"/>
          <w:lang w:val="es-MX"/>
        </w:rPr>
      </w:pPr>
    </w:p>
    <w:p w14:paraId="28326906" w14:textId="77777777" w:rsidR="005F1A74" w:rsidRDefault="005F1A74" w:rsidP="00812F1D">
      <w:pPr>
        <w:spacing w:after="0"/>
        <w:rPr>
          <w:rFonts w:ascii="Century Gothic" w:eastAsia="Geomanist Light" w:hAnsi="Century Gothic" w:cs="Arial"/>
          <w:color w:val="201F1E"/>
          <w:lang w:val="es-MX"/>
        </w:rPr>
      </w:pPr>
    </w:p>
    <w:p w14:paraId="13C04F5E" w14:textId="77777777" w:rsidR="005F1A74" w:rsidRDefault="005F1A74" w:rsidP="00812F1D">
      <w:pPr>
        <w:spacing w:after="0"/>
        <w:rPr>
          <w:rFonts w:ascii="Century Gothic" w:eastAsia="Geomanist Light" w:hAnsi="Century Gothic" w:cs="Arial"/>
          <w:color w:val="201F1E"/>
          <w:lang w:val="es-MX"/>
        </w:rPr>
      </w:pPr>
    </w:p>
    <w:p w14:paraId="5C8AE656" w14:textId="77777777" w:rsidR="005F1A74" w:rsidRDefault="005F1A74" w:rsidP="00812F1D">
      <w:pPr>
        <w:spacing w:after="0"/>
        <w:rPr>
          <w:rFonts w:ascii="Century Gothic" w:eastAsia="Geomanist Light" w:hAnsi="Century Gothic" w:cs="Arial"/>
          <w:color w:val="201F1E"/>
          <w:lang w:val="es-MX"/>
        </w:rPr>
      </w:pPr>
    </w:p>
    <w:p w14:paraId="171FF61A" w14:textId="77777777" w:rsidR="005F1A74" w:rsidRDefault="005F1A74" w:rsidP="00812F1D">
      <w:pPr>
        <w:spacing w:after="0"/>
        <w:rPr>
          <w:rFonts w:ascii="Century Gothic" w:eastAsia="Geomanist Light" w:hAnsi="Century Gothic" w:cs="Arial"/>
          <w:color w:val="201F1E"/>
          <w:lang w:val="es-MX"/>
        </w:rPr>
      </w:pPr>
    </w:p>
    <w:p w14:paraId="32DF1D80" w14:textId="77777777" w:rsidR="005F1A74" w:rsidRDefault="005F1A74" w:rsidP="00812F1D">
      <w:pPr>
        <w:spacing w:after="0"/>
        <w:rPr>
          <w:rFonts w:ascii="Century Gothic" w:eastAsia="Geomanist Light" w:hAnsi="Century Gothic" w:cs="Arial"/>
          <w:color w:val="201F1E"/>
          <w:lang w:val="es-MX"/>
        </w:rPr>
      </w:pPr>
    </w:p>
    <w:p w14:paraId="0238F727" w14:textId="77777777" w:rsidR="005F1A74" w:rsidRDefault="005F1A74" w:rsidP="00812F1D">
      <w:pPr>
        <w:spacing w:after="0"/>
        <w:rPr>
          <w:rFonts w:ascii="Century Gothic" w:eastAsia="Geomanist Light" w:hAnsi="Century Gothic" w:cs="Arial"/>
          <w:color w:val="201F1E"/>
          <w:lang w:val="es-MX"/>
        </w:rPr>
      </w:pPr>
    </w:p>
    <w:p w14:paraId="499002FC" w14:textId="77777777" w:rsidR="005F1A74" w:rsidRDefault="005F1A74" w:rsidP="00812F1D">
      <w:pPr>
        <w:spacing w:after="0"/>
        <w:rPr>
          <w:rFonts w:ascii="Century Gothic" w:eastAsia="Geomanist Light" w:hAnsi="Century Gothic" w:cs="Arial"/>
          <w:color w:val="201F1E"/>
          <w:lang w:val="es-MX"/>
        </w:rPr>
      </w:pPr>
    </w:p>
    <w:p w14:paraId="1021D09B" w14:textId="77777777" w:rsidR="005F1A74" w:rsidRDefault="005F1A74" w:rsidP="00812F1D">
      <w:pPr>
        <w:spacing w:after="0"/>
        <w:rPr>
          <w:rFonts w:ascii="Century Gothic" w:eastAsia="Geomanist Light" w:hAnsi="Century Gothic" w:cs="Arial"/>
          <w:color w:val="201F1E"/>
          <w:lang w:val="es-MX"/>
        </w:rPr>
      </w:pPr>
    </w:p>
    <w:p w14:paraId="20E672A3" w14:textId="77777777" w:rsidR="005F1A74" w:rsidRDefault="005F1A74" w:rsidP="00812F1D">
      <w:pPr>
        <w:spacing w:after="0"/>
        <w:rPr>
          <w:rFonts w:ascii="Century Gothic" w:eastAsia="Geomanist Light" w:hAnsi="Century Gothic" w:cs="Arial"/>
          <w:color w:val="201F1E"/>
          <w:lang w:val="es-MX"/>
        </w:rPr>
      </w:pPr>
    </w:p>
    <w:p w14:paraId="02A255C4" w14:textId="77777777" w:rsidR="005F1A74" w:rsidRDefault="005F1A74" w:rsidP="00812F1D">
      <w:pPr>
        <w:spacing w:after="0"/>
        <w:rPr>
          <w:rFonts w:ascii="Century Gothic" w:eastAsia="Geomanist Light" w:hAnsi="Century Gothic" w:cs="Arial"/>
          <w:color w:val="201F1E"/>
          <w:lang w:val="es-MX"/>
        </w:rPr>
      </w:pPr>
    </w:p>
    <w:p w14:paraId="5BEB685A" w14:textId="77777777" w:rsidR="005F1A74" w:rsidRDefault="005F1A74" w:rsidP="00812F1D">
      <w:pPr>
        <w:spacing w:after="0"/>
        <w:rPr>
          <w:rFonts w:ascii="Century Gothic" w:eastAsia="Geomanist Light" w:hAnsi="Century Gothic" w:cs="Arial"/>
          <w:color w:val="201F1E"/>
          <w:lang w:val="es-MX"/>
        </w:rPr>
      </w:pPr>
    </w:p>
    <w:p w14:paraId="6C669BB0" w14:textId="77777777" w:rsidR="005F1A74" w:rsidRDefault="005F1A74" w:rsidP="00812F1D">
      <w:pPr>
        <w:spacing w:after="0"/>
        <w:rPr>
          <w:rFonts w:ascii="Century Gothic" w:eastAsia="Geomanist Light" w:hAnsi="Century Gothic" w:cs="Arial"/>
          <w:color w:val="201F1E"/>
          <w:lang w:val="es-MX"/>
        </w:rPr>
      </w:pPr>
    </w:p>
    <w:p w14:paraId="4D082FD0" w14:textId="710F20B4" w:rsidR="00812F1D" w:rsidRDefault="00812F1D" w:rsidP="00812F1D">
      <w:pPr>
        <w:spacing w:after="0"/>
        <w:rPr>
          <w:rFonts w:ascii="Century Gothic" w:eastAsia="Geomanist Light" w:hAnsi="Century Gothic" w:cs="Arial"/>
          <w:color w:val="201F1E"/>
          <w:lang w:val="es-MX"/>
        </w:rPr>
      </w:pPr>
      <w:r w:rsidRPr="00355BE8">
        <w:rPr>
          <w:rFonts w:ascii="Century Gothic" w:eastAsia="Geomanist Light" w:hAnsi="Century Gothic" w:cs="Arial"/>
          <w:color w:val="201F1E"/>
          <w:lang w:val="es-MX"/>
        </w:rPr>
        <w:lastRenderedPageBreak/>
        <w:t xml:space="preserve">Bogotá D.C., </w:t>
      </w:r>
      <w:r w:rsidR="00DE43B9" w:rsidRPr="00DE43B9">
        <w:rPr>
          <w:rFonts w:ascii="Century Gothic" w:eastAsia="Geomanist Light" w:hAnsi="Century Gothic" w:cs="Arial"/>
          <w:color w:val="201F1E"/>
          <w:lang w:val="es-MX"/>
        </w:rPr>
        <w:t xml:space="preserve">10 de </w:t>
      </w:r>
      <w:proofErr w:type="gramStart"/>
      <w:r w:rsidR="00DE43B9" w:rsidRPr="00DE43B9">
        <w:rPr>
          <w:rFonts w:ascii="Century Gothic" w:eastAsia="Geomanist Light" w:hAnsi="Century Gothic" w:cs="Arial"/>
          <w:color w:val="201F1E"/>
          <w:lang w:val="es-MX"/>
        </w:rPr>
        <w:t>Octubre</w:t>
      </w:r>
      <w:proofErr w:type="gramEnd"/>
      <w:r w:rsidR="00DE43B9" w:rsidRPr="00DE43B9">
        <w:rPr>
          <w:rFonts w:ascii="Century Gothic" w:eastAsia="Geomanist Light" w:hAnsi="Century Gothic" w:cs="Arial"/>
          <w:color w:val="201F1E"/>
          <w:lang w:val="es-MX"/>
        </w:rPr>
        <w:t xml:space="preserve"> de 2023</w:t>
      </w:r>
    </w:p>
    <w:p w14:paraId="5E955498" w14:textId="77777777" w:rsidR="00DE43B9" w:rsidRDefault="00DE43B9" w:rsidP="00812F1D">
      <w:pPr>
        <w:spacing w:after="0"/>
        <w:rPr>
          <w:rFonts w:ascii="Century Gothic" w:eastAsia="Geomanist Light" w:hAnsi="Century Gothic" w:cs="Arial"/>
          <w:color w:val="201F1E"/>
          <w:lang w:val="es-MX"/>
        </w:rPr>
      </w:pPr>
    </w:p>
    <w:p w14:paraId="72541DA6" w14:textId="4C1C99A3" w:rsidR="00DE43B9" w:rsidRPr="00355BE8" w:rsidRDefault="00DE43B9" w:rsidP="00DE43B9">
      <w:pPr>
        <w:spacing w:after="0"/>
        <w:jc w:val="right"/>
        <w:rPr>
          <w:rFonts w:ascii="Century Gothic" w:eastAsia="Geomanist Light" w:hAnsi="Century Gothic" w:cs="Arial"/>
          <w:color w:val="201F1E"/>
          <w:lang w:val="es-MX"/>
        </w:rPr>
      </w:pPr>
      <w:r>
        <w:rPr>
          <w:rFonts w:ascii="Century Gothic" w:eastAsia="Geomanist Light" w:hAnsi="Century Gothic" w:cs="Arial"/>
          <w:noProof/>
          <w:color w:val="201F1E"/>
          <w:lang w:val="es-MX"/>
        </w:rPr>
        <w:drawing>
          <wp:inline distT="0" distB="0" distL="0" distR="0" wp14:anchorId="27550658" wp14:editId="028A5DD0">
            <wp:extent cx="2943860" cy="685800"/>
            <wp:effectExtent l="0" t="0" r="8890" b="0"/>
            <wp:docPr id="1309541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860" cy="685800"/>
                    </a:xfrm>
                    <a:prstGeom prst="rect">
                      <a:avLst/>
                    </a:prstGeom>
                    <a:noFill/>
                    <a:ln>
                      <a:noFill/>
                    </a:ln>
                  </pic:spPr>
                </pic:pic>
              </a:graphicData>
            </a:graphic>
          </wp:inline>
        </w:drawing>
      </w:r>
    </w:p>
    <w:p w14:paraId="1D6D5143" w14:textId="77777777" w:rsidR="00812F1D" w:rsidRPr="00355BE8" w:rsidRDefault="00812F1D" w:rsidP="00812F1D">
      <w:pPr>
        <w:spacing w:after="0"/>
        <w:contextualSpacing/>
        <w:jc w:val="both"/>
        <w:rPr>
          <w:rFonts w:ascii="Century Gothic" w:eastAsia="Calibri" w:hAnsi="Century Gothic" w:cs="Arial"/>
          <w:lang w:val="es-ES_tradnl" w:eastAsia="es-ES_tradnl"/>
        </w:rPr>
      </w:pPr>
    </w:p>
    <w:p w14:paraId="05D32713" w14:textId="77777777" w:rsidR="00812F1D" w:rsidRPr="00355BE8" w:rsidRDefault="00812F1D" w:rsidP="00812F1D">
      <w:pPr>
        <w:contextualSpacing/>
        <w:jc w:val="both"/>
        <w:rPr>
          <w:rFonts w:ascii="Century Gothic" w:eastAsia="Calibri" w:hAnsi="Century Gothic" w:cs="Arial"/>
          <w:lang w:eastAsia="es-ES_tradnl"/>
        </w:rPr>
      </w:pPr>
      <w:r w:rsidRPr="00355BE8">
        <w:rPr>
          <w:rFonts w:ascii="Century Gothic" w:eastAsia="Calibri" w:hAnsi="Century Gothic" w:cs="Arial"/>
          <w:lang w:eastAsia="es-ES_tradnl"/>
        </w:rPr>
        <w:t>Doctor</w:t>
      </w:r>
    </w:p>
    <w:p w14:paraId="108EAC11" w14:textId="77777777" w:rsidR="00812F1D" w:rsidRPr="00355BE8" w:rsidRDefault="00812F1D" w:rsidP="00812F1D">
      <w:pPr>
        <w:contextualSpacing/>
        <w:jc w:val="both"/>
        <w:rPr>
          <w:rFonts w:ascii="Century Gothic" w:eastAsia="Calibri" w:hAnsi="Century Gothic" w:cs="Arial"/>
          <w:b/>
          <w:lang w:eastAsia="es-ES_tradnl"/>
        </w:rPr>
      </w:pPr>
      <w:r w:rsidRPr="00355BE8">
        <w:rPr>
          <w:rFonts w:ascii="Century Gothic" w:eastAsia="Calibri" w:hAnsi="Century Gothic" w:cs="Arial"/>
          <w:b/>
          <w:lang w:eastAsia="es-ES_tradnl"/>
        </w:rPr>
        <w:t xml:space="preserve">Walter Epifanio </w:t>
      </w:r>
      <w:bookmarkStart w:id="5" w:name="_Hlk146199004"/>
      <w:r w:rsidRPr="00355BE8">
        <w:rPr>
          <w:rFonts w:ascii="Century Gothic" w:eastAsia="Calibri" w:hAnsi="Century Gothic" w:cs="Arial"/>
          <w:b/>
          <w:lang w:eastAsia="es-ES_tradnl"/>
        </w:rPr>
        <w:t xml:space="preserve">Asprilla Cáceres </w:t>
      </w:r>
      <w:bookmarkEnd w:id="5"/>
    </w:p>
    <w:p w14:paraId="4C6BC970" w14:textId="77777777" w:rsidR="00812F1D" w:rsidRPr="00355BE8" w:rsidRDefault="00812F1D" w:rsidP="00812F1D">
      <w:pPr>
        <w:contextualSpacing/>
        <w:jc w:val="both"/>
        <w:rPr>
          <w:rFonts w:ascii="Century Gothic" w:eastAsia="Geomanist Light" w:hAnsi="Century Gothic" w:cs="Arial"/>
          <w:color w:val="000000" w:themeColor="text1"/>
          <w:lang w:val="es-MX"/>
        </w:rPr>
      </w:pPr>
      <w:r w:rsidRPr="00355BE8">
        <w:rPr>
          <w:rFonts w:ascii="Century Gothic" w:eastAsia="Geomanist Light" w:hAnsi="Century Gothic" w:cs="Arial"/>
          <w:color w:val="000000" w:themeColor="text1"/>
          <w:lang w:val="es-MX"/>
        </w:rPr>
        <w:t>Jefe de la Oficina Asesora Jurídica</w:t>
      </w:r>
    </w:p>
    <w:p w14:paraId="5E1BAF8B" w14:textId="77777777" w:rsidR="00812F1D" w:rsidRPr="00355BE8" w:rsidRDefault="00812F1D" w:rsidP="00812F1D">
      <w:pPr>
        <w:contextualSpacing/>
        <w:jc w:val="both"/>
        <w:rPr>
          <w:rFonts w:ascii="Century Gothic" w:eastAsia="Geomanist Light" w:hAnsi="Century Gothic" w:cs="Arial"/>
          <w:color w:val="000000" w:themeColor="text1"/>
          <w:lang w:val="es-MX"/>
        </w:rPr>
      </w:pPr>
      <w:r w:rsidRPr="00355BE8">
        <w:rPr>
          <w:rFonts w:ascii="Century Gothic" w:eastAsia="Geomanist Light" w:hAnsi="Century Gothic" w:cs="Arial"/>
          <w:color w:val="000000" w:themeColor="text1"/>
          <w:lang w:val="es-MX"/>
        </w:rPr>
        <w:t>Ministerio de Educación</w:t>
      </w:r>
    </w:p>
    <w:p w14:paraId="672A49E0" w14:textId="77777777" w:rsidR="00812F1D" w:rsidRPr="00355BE8" w:rsidRDefault="00812F1D" w:rsidP="00812F1D">
      <w:pPr>
        <w:contextualSpacing/>
        <w:jc w:val="both"/>
        <w:rPr>
          <w:rFonts w:ascii="Century Gothic" w:eastAsia="Calibri" w:hAnsi="Century Gothic" w:cs="Arial"/>
          <w:lang w:eastAsia="es-ES_tradnl"/>
        </w:rPr>
      </w:pPr>
      <w:r w:rsidRPr="00355BE8">
        <w:rPr>
          <w:rFonts w:ascii="Century Gothic" w:eastAsia="Geomanist Light" w:hAnsi="Century Gothic" w:cs="Arial"/>
          <w:color w:val="000000" w:themeColor="text1"/>
          <w:lang w:val="es-MX"/>
        </w:rPr>
        <w:t>Bogotá D.C.</w:t>
      </w:r>
      <w:r w:rsidRPr="00355BE8">
        <w:rPr>
          <w:rFonts w:ascii="Century Gothic" w:eastAsia="Calibri" w:hAnsi="Century Gothic" w:cs="Arial"/>
          <w:lang w:eastAsia="es-ES_tradnl"/>
        </w:rPr>
        <w:t xml:space="preserve">  </w:t>
      </w:r>
    </w:p>
    <w:p w14:paraId="5C61032B" w14:textId="77777777" w:rsidR="00812F1D" w:rsidRPr="00355BE8" w:rsidRDefault="00812F1D" w:rsidP="00812F1D">
      <w:pPr>
        <w:contextualSpacing/>
        <w:jc w:val="both"/>
        <w:rPr>
          <w:rFonts w:ascii="Century Gothic" w:eastAsia="Calibri" w:hAnsi="Century Gothic" w:cs="Arial"/>
          <w:lang w:val="es-ES_tradnl" w:eastAsia="es-ES_tradnl"/>
        </w:rPr>
      </w:pPr>
    </w:p>
    <w:p w14:paraId="10C37EF0" w14:textId="77777777" w:rsidR="00812F1D" w:rsidRPr="00355BE8" w:rsidRDefault="00812F1D" w:rsidP="00812F1D">
      <w:pPr>
        <w:contextualSpacing/>
        <w:rPr>
          <w:rFonts w:ascii="Century Gothic" w:eastAsia="Calibri" w:hAnsi="Century Gothic" w:cs="Arial"/>
          <w:b/>
          <w:lang w:val="es-ES_tradnl" w:eastAsia="es-ES_tradnl"/>
        </w:rPr>
      </w:pPr>
    </w:p>
    <w:p w14:paraId="36E96965" w14:textId="77777777" w:rsidR="00812F1D" w:rsidRPr="00355BE8" w:rsidRDefault="00812F1D" w:rsidP="00812F1D">
      <w:pPr>
        <w:ind w:left="2124" w:firstLine="570"/>
        <w:contextualSpacing/>
        <w:rPr>
          <w:rFonts w:ascii="Century Gothic" w:eastAsia="Calibri" w:hAnsi="Century Gothic" w:cs="Arial"/>
          <w:b/>
          <w:lang w:val="es-ES_tradnl" w:eastAsia="es-ES_tradnl"/>
        </w:rPr>
      </w:pPr>
      <w:r w:rsidRPr="00355BE8">
        <w:rPr>
          <w:rFonts w:ascii="Century Gothic" w:eastAsia="Calibri" w:hAnsi="Century Gothic" w:cs="Arial"/>
          <w:b/>
          <w:lang w:val="es-ES_tradnl" w:eastAsia="es-ES_tradnl"/>
        </w:rPr>
        <w:t>Concepto C – 422 de 2023</w:t>
      </w:r>
    </w:p>
    <w:p w14:paraId="337D27FA" w14:textId="77777777" w:rsidR="00812F1D" w:rsidRPr="00355BE8" w:rsidRDefault="00812F1D" w:rsidP="00812F1D">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2F1D" w:rsidRPr="00355BE8" w14:paraId="7102C076" w14:textId="77777777" w:rsidTr="00706B2D">
        <w:tc>
          <w:tcPr>
            <w:tcW w:w="2689" w:type="dxa"/>
          </w:tcPr>
          <w:p w14:paraId="637364F4" w14:textId="77777777" w:rsidR="00812F1D" w:rsidRPr="00355BE8" w:rsidRDefault="00812F1D" w:rsidP="00706B2D">
            <w:pPr>
              <w:contextualSpacing/>
              <w:jc w:val="both"/>
              <w:rPr>
                <w:rFonts w:ascii="Century Gothic" w:eastAsia="Calibri" w:hAnsi="Century Gothic" w:cs="Arial"/>
                <w:lang w:val="es-ES_tradnl" w:eastAsia="es-ES_tradnl"/>
              </w:rPr>
            </w:pPr>
            <w:r w:rsidRPr="00355BE8">
              <w:rPr>
                <w:rFonts w:ascii="Century Gothic" w:eastAsia="Calibri" w:hAnsi="Century Gothic" w:cs="Arial"/>
                <w:b/>
                <w:lang w:val="es-ES_tradnl" w:eastAsia="es-ES_tradnl"/>
              </w:rPr>
              <w:t>Temas:</w:t>
            </w:r>
            <w:r w:rsidRPr="00355BE8">
              <w:rPr>
                <w:rFonts w:ascii="Century Gothic" w:eastAsia="Calibri" w:hAnsi="Century Gothic" w:cs="Arial"/>
                <w:lang w:val="es-ES_tradnl" w:eastAsia="es-ES_tradnl"/>
              </w:rPr>
              <w:t xml:space="preserve">                                      </w:t>
            </w:r>
          </w:p>
        </w:tc>
        <w:tc>
          <w:tcPr>
            <w:tcW w:w="6237" w:type="dxa"/>
          </w:tcPr>
          <w:p w14:paraId="5CF4DB40" w14:textId="77777777" w:rsidR="00812F1D" w:rsidRPr="00355BE8" w:rsidRDefault="00812F1D" w:rsidP="00706B2D">
            <w:pPr>
              <w:spacing w:after="120"/>
              <w:contextualSpacing/>
              <w:jc w:val="both"/>
              <w:rPr>
                <w:rFonts w:ascii="Century Gothic" w:eastAsia="Calibri" w:hAnsi="Century Gothic" w:cs="Arial"/>
                <w:lang w:val="es-MX" w:eastAsia="es-ES_tradnl"/>
              </w:rPr>
            </w:pPr>
            <w:r w:rsidRPr="00355BE8">
              <w:rPr>
                <w:rFonts w:ascii="Century Gothic" w:eastAsia="Calibri" w:hAnsi="Century Gothic" w:cs="Arial"/>
                <w:lang w:val="es-MX" w:eastAsia="es-ES_tradnl"/>
              </w:rPr>
              <w:t xml:space="preserve">CONTRATO ESTATAL – Definición – Alcance / PRINCIPIO DE PLANEACIÓN – Estudios previos / PRINCIPIO DE PUBLICIDAD – Fundamentos normativos  </w:t>
            </w:r>
          </w:p>
          <w:p w14:paraId="388C14B2" w14:textId="77777777" w:rsidR="00812F1D" w:rsidRPr="00355BE8" w:rsidRDefault="00812F1D" w:rsidP="00706B2D">
            <w:pPr>
              <w:spacing w:after="120"/>
              <w:contextualSpacing/>
              <w:jc w:val="both"/>
              <w:rPr>
                <w:rFonts w:ascii="Century Gothic" w:eastAsia="Calibri" w:hAnsi="Century Gothic" w:cs="Arial"/>
                <w:sz w:val="12"/>
                <w:szCs w:val="12"/>
                <w:lang w:val="es-ES_tradnl" w:eastAsia="es-ES_tradnl"/>
              </w:rPr>
            </w:pPr>
          </w:p>
        </w:tc>
      </w:tr>
      <w:tr w:rsidR="00812F1D" w:rsidRPr="00355BE8" w14:paraId="73D0FCF2" w14:textId="77777777" w:rsidTr="00706B2D">
        <w:trPr>
          <w:trHeight w:val="227"/>
        </w:trPr>
        <w:tc>
          <w:tcPr>
            <w:tcW w:w="2689" w:type="dxa"/>
          </w:tcPr>
          <w:p w14:paraId="119E59DE" w14:textId="77777777" w:rsidR="00812F1D" w:rsidRPr="00355BE8" w:rsidRDefault="00812F1D" w:rsidP="00706B2D">
            <w:pPr>
              <w:contextualSpacing/>
              <w:jc w:val="both"/>
              <w:rPr>
                <w:rFonts w:ascii="Century Gothic" w:eastAsia="Calibri" w:hAnsi="Century Gothic" w:cs="Arial"/>
                <w:b/>
                <w:lang w:val="es-ES_tradnl" w:eastAsia="es-ES_tradnl"/>
              </w:rPr>
            </w:pPr>
            <w:r w:rsidRPr="00355BE8">
              <w:rPr>
                <w:rFonts w:ascii="Century Gothic" w:eastAsia="Calibri" w:hAnsi="Century Gothic" w:cs="Arial"/>
                <w:b/>
                <w:lang w:val="es-ES_tradnl" w:eastAsia="es-ES_tradnl"/>
              </w:rPr>
              <w:t>Radicación:</w:t>
            </w:r>
            <w:r w:rsidRPr="00355BE8">
              <w:rPr>
                <w:rFonts w:ascii="Century Gothic" w:eastAsia="Calibri" w:hAnsi="Century Gothic" w:cs="Arial"/>
                <w:lang w:val="es-ES_tradnl" w:eastAsia="es-ES_tradnl"/>
              </w:rPr>
              <w:t xml:space="preserve">                             </w:t>
            </w:r>
          </w:p>
        </w:tc>
        <w:tc>
          <w:tcPr>
            <w:tcW w:w="6237" w:type="dxa"/>
          </w:tcPr>
          <w:p w14:paraId="02EA5BD0" w14:textId="77777777" w:rsidR="00812F1D" w:rsidRPr="00355BE8" w:rsidRDefault="00812F1D" w:rsidP="00706B2D">
            <w:pPr>
              <w:contextualSpacing/>
              <w:jc w:val="both"/>
              <w:rPr>
                <w:rFonts w:ascii="Century Gothic" w:eastAsia="Calibri" w:hAnsi="Century Gothic" w:cs="Arial"/>
                <w:lang w:val="es-ES_tradnl" w:eastAsia="es-ES_tradnl"/>
              </w:rPr>
            </w:pPr>
            <w:r w:rsidRPr="00355BE8">
              <w:rPr>
                <w:rFonts w:ascii="Century Gothic" w:eastAsia="Calibri" w:hAnsi="Century Gothic" w:cs="Arial"/>
                <w:lang w:val="es-ES_tradnl" w:eastAsia="es-ES_tradnl"/>
              </w:rPr>
              <w:t>Respuesta a la consulta P20230901014753</w:t>
            </w:r>
          </w:p>
        </w:tc>
      </w:tr>
    </w:tbl>
    <w:p w14:paraId="3384CD92" w14:textId="77777777" w:rsidR="00812F1D" w:rsidRPr="00355BE8" w:rsidRDefault="00812F1D" w:rsidP="00812F1D">
      <w:pPr>
        <w:contextualSpacing/>
        <w:jc w:val="both"/>
        <w:rPr>
          <w:rFonts w:ascii="Century Gothic" w:eastAsia="Calibri" w:hAnsi="Century Gothic" w:cs="Arial"/>
          <w:lang w:val="es-ES_tradnl" w:eastAsia="es-ES_tradnl"/>
        </w:rPr>
      </w:pPr>
    </w:p>
    <w:p w14:paraId="08CF3BF9" w14:textId="77777777" w:rsidR="00812F1D" w:rsidRPr="00355BE8" w:rsidRDefault="00812F1D" w:rsidP="00812F1D">
      <w:pPr>
        <w:contextualSpacing/>
        <w:jc w:val="both"/>
        <w:rPr>
          <w:rFonts w:ascii="Century Gothic" w:eastAsia="Calibri" w:hAnsi="Century Gothic" w:cs="Arial"/>
          <w:lang w:val="es-ES_tradnl" w:eastAsia="es-ES_tradnl"/>
        </w:rPr>
      </w:pPr>
    </w:p>
    <w:p w14:paraId="113C8272" w14:textId="77777777" w:rsidR="00812F1D" w:rsidRPr="00355BE8" w:rsidRDefault="00812F1D" w:rsidP="00812F1D">
      <w:pPr>
        <w:contextualSpacing/>
        <w:jc w:val="both"/>
        <w:rPr>
          <w:rFonts w:ascii="Century Gothic" w:eastAsia="Calibri" w:hAnsi="Century Gothic" w:cs="Arial"/>
          <w:lang w:val="es-ES" w:eastAsia="es-ES"/>
        </w:rPr>
      </w:pPr>
      <w:r w:rsidRPr="00355BE8">
        <w:rPr>
          <w:rFonts w:ascii="Century Gothic" w:eastAsia="Calibri" w:hAnsi="Century Gothic" w:cs="Arial"/>
          <w:lang w:val="es-ES" w:eastAsia="es-ES"/>
        </w:rPr>
        <w:t xml:space="preserve">Respetado doctor </w:t>
      </w:r>
      <w:r w:rsidRPr="00355BE8">
        <w:rPr>
          <w:rFonts w:ascii="Century Gothic" w:eastAsia="Times New Roman" w:hAnsi="Century Gothic" w:cs="Arial"/>
          <w:lang w:eastAsia="es-ES"/>
        </w:rPr>
        <w:t>Asprilla Cáceres</w:t>
      </w:r>
      <w:r w:rsidRPr="00355BE8">
        <w:rPr>
          <w:rFonts w:ascii="Century Gothic" w:eastAsia="Calibri" w:hAnsi="Century Gothic" w:cs="Arial"/>
          <w:lang w:val="es-ES" w:eastAsia="es-ES"/>
        </w:rPr>
        <w:t xml:space="preserve">: </w:t>
      </w:r>
    </w:p>
    <w:p w14:paraId="596511B9" w14:textId="77777777" w:rsidR="00812F1D" w:rsidRPr="00355BE8" w:rsidRDefault="00812F1D" w:rsidP="00812F1D">
      <w:pPr>
        <w:spacing w:line="276" w:lineRule="auto"/>
        <w:contextualSpacing/>
        <w:jc w:val="both"/>
        <w:rPr>
          <w:rFonts w:ascii="Century Gothic" w:eastAsia="Calibri" w:hAnsi="Century Gothic" w:cs="Arial"/>
          <w:szCs w:val="24"/>
          <w:lang w:val="es-ES_tradnl" w:eastAsia="es-ES_tradnl"/>
        </w:rPr>
      </w:pPr>
    </w:p>
    <w:bookmarkEnd w:id="0"/>
    <w:bookmarkEnd w:id="1"/>
    <w:p w14:paraId="1565DCE5" w14:textId="77777777" w:rsidR="00812F1D" w:rsidRPr="00355BE8" w:rsidRDefault="00812F1D" w:rsidP="00812F1D">
      <w:pPr>
        <w:spacing w:after="0" w:line="276" w:lineRule="auto"/>
        <w:jc w:val="both"/>
        <w:rPr>
          <w:rFonts w:ascii="Century Gothic" w:eastAsia="Calibri" w:hAnsi="Century Gothic" w:cs="Arial"/>
          <w:color w:val="000000" w:themeColor="text1"/>
          <w:lang w:val="es-ES_tradnl"/>
        </w:rPr>
      </w:pPr>
      <w:r w:rsidRPr="00355BE8">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6" w:name="_Hlk99120496"/>
      <w:r w:rsidRPr="00355BE8">
        <w:rPr>
          <w:rFonts w:ascii="Century Gothic" w:eastAsia="Arial MT" w:hAnsi="Century Gothic" w:cs="Arial"/>
          <w:lang w:val="es-ES"/>
        </w:rPr>
        <w:t xml:space="preserve">, </w:t>
      </w:r>
      <w:bookmarkEnd w:id="6"/>
      <w:r w:rsidRPr="00355BE8">
        <w:rPr>
          <w:rFonts w:ascii="Century Gothic" w:eastAsia="Calibri" w:hAnsi="Century Gothic" w:cs="Arial"/>
          <w:color w:val="000000" w:themeColor="text1"/>
          <w:lang w:val="es-ES_tradnl"/>
        </w:rPr>
        <w:t>la Agencia Nacional de Contratación Pública – Colombia Compra Eficiente responde la petición radicada el 1° de septiembre de 2023.</w:t>
      </w:r>
    </w:p>
    <w:p w14:paraId="7FD80C3D" w14:textId="77777777" w:rsidR="00812F1D" w:rsidRPr="00355BE8" w:rsidRDefault="00812F1D" w:rsidP="00812F1D">
      <w:pPr>
        <w:spacing w:after="0" w:line="276" w:lineRule="auto"/>
        <w:jc w:val="both"/>
        <w:rPr>
          <w:rFonts w:ascii="Century Gothic" w:eastAsia="Calibri" w:hAnsi="Century Gothic" w:cs="Arial"/>
          <w:b/>
          <w:color w:val="000000" w:themeColor="text1"/>
          <w:lang w:val="es-ES_tradnl"/>
        </w:rPr>
      </w:pPr>
    </w:p>
    <w:p w14:paraId="1E5A7234" w14:textId="77777777" w:rsidR="00812F1D" w:rsidRPr="00355BE8" w:rsidRDefault="00812F1D" w:rsidP="00812F1D">
      <w:pPr>
        <w:pStyle w:val="Prrafodelista"/>
        <w:numPr>
          <w:ilvl w:val="0"/>
          <w:numId w:val="1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355BE8">
        <w:rPr>
          <w:rFonts w:ascii="Century Gothic" w:eastAsia="Calibri" w:hAnsi="Century Gothic" w:cs="Arial"/>
          <w:b/>
          <w:color w:val="000000" w:themeColor="text1"/>
          <w:lang w:val="es-ES_tradnl"/>
        </w:rPr>
        <w:t xml:space="preserve">Problemas planteados </w:t>
      </w:r>
    </w:p>
    <w:p w14:paraId="0EDBFA0E" w14:textId="77777777" w:rsidR="00812F1D" w:rsidRPr="00355BE8" w:rsidRDefault="00812F1D" w:rsidP="00812F1D">
      <w:pPr>
        <w:tabs>
          <w:tab w:val="left" w:pos="426"/>
        </w:tabs>
        <w:spacing w:after="0" w:line="276" w:lineRule="auto"/>
        <w:jc w:val="both"/>
        <w:rPr>
          <w:rFonts w:ascii="Century Gothic" w:eastAsia="Calibri" w:hAnsi="Century Gothic" w:cs="Arial"/>
          <w:b/>
          <w:color w:val="000000" w:themeColor="text1"/>
          <w:lang w:val="es-ES_tradnl"/>
        </w:rPr>
      </w:pPr>
    </w:p>
    <w:p w14:paraId="2814914D" w14:textId="77777777" w:rsidR="00812F1D" w:rsidRPr="00355BE8" w:rsidRDefault="00812F1D" w:rsidP="00812F1D">
      <w:pPr>
        <w:spacing w:after="0" w:line="276" w:lineRule="auto"/>
        <w:jc w:val="both"/>
        <w:rPr>
          <w:rFonts w:ascii="Century Gothic" w:hAnsi="Century Gothic" w:cs="Arial"/>
          <w:color w:val="000000" w:themeColor="text1"/>
          <w:lang w:val="es-ES_tradnl"/>
        </w:rPr>
      </w:pPr>
      <w:bookmarkStart w:id="7" w:name="_Hlk145941697"/>
      <w:bookmarkStart w:id="8" w:name="_Hlk132728388"/>
      <w:bookmarkStart w:id="9" w:name="_Hlk142917142"/>
      <w:r w:rsidRPr="00355BE8">
        <w:rPr>
          <w:rFonts w:ascii="Century Gothic" w:hAnsi="Century Gothic" w:cs="Arial"/>
          <w:color w:val="000000" w:themeColor="text1"/>
          <w:lang w:val="es-ES_tradnl"/>
        </w:rPr>
        <w:t xml:space="preserve">Usted realiza las siguientes preguntas: </w:t>
      </w:r>
      <w:bookmarkStart w:id="10" w:name="_Hlk146280461"/>
      <w:r w:rsidRPr="00355BE8">
        <w:rPr>
          <w:rFonts w:ascii="Century Gothic" w:hAnsi="Century Gothic" w:cs="Arial"/>
          <w:color w:val="000000" w:themeColor="text1"/>
          <w:lang w:val="es-ES_tradnl"/>
        </w:rPr>
        <w:t xml:space="preserve">i) “¿Las licencias o autorizaciones de uso de obras protegidas por derecho de autor en las cuales el MEN funge como licenciante se rigen por la normativa de contratación pública o privada, en particular la de derechos de autor?”, </w:t>
      </w:r>
      <w:proofErr w:type="spellStart"/>
      <w:r w:rsidRPr="00355BE8">
        <w:rPr>
          <w:rFonts w:ascii="Century Gothic" w:hAnsi="Century Gothic" w:cs="Arial"/>
          <w:color w:val="000000" w:themeColor="text1"/>
          <w:lang w:val="es-ES_tradnl"/>
        </w:rPr>
        <w:t>ii</w:t>
      </w:r>
      <w:proofErr w:type="spellEnd"/>
      <w:r w:rsidRPr="00355BE8">
        <w:rPr>
          <w:rFonts w:ascii="Century Gothic" w:hAnsi="Century Gothic" w:cs="Arial"/>
          <w:color w:val="000000" w:themeColor="text1"/>
          <w:lang w:val="es-ES_tradnl"/>
        </w:rPr>
        <w:t xml:space="preserve">) “¿Las licencias o autorizaciones de uso de obras protegidas por derecho de autor en las cuales el MEN funge como licenciatario se rigen por la normativa de contratación pública o privada, en particular la de derechos de autor?”, </w:t>
      </w:r>
      <w:bookmarkStart w:id="11" w:name="_Hlk146281033"/>
      <w:proofErr w:type="spellStart"/>
      <w:r w:rsidRPr="00355BE8">
        <w:rPr>
          <w:rFonts w:ascii="Century Gothic" w:hAnsi="Century Gothic" w:cs="Arial"/>
          <w:color w:val="000000" w:themeColor="text1"/>
          <w:lang w:val="es-ES_tradnl"/>
        </w:rPr>
        <w:t>iii</w:t>
      </w:r>
      <w:proofErr w:type="spellEnd"/>
      <w:r w:rsidRPr="00355BE8">
        <w:rPr>
          <w:rFonts w:ascii="Century Gothic" w:hAnsi="Century Gothic" w:cs="Arial"/>
          <w:color w:val="000000" w:themeColor="text1"/>
          <w:lang w:val="es-ES_tradnl"/>
        </w:rPr>
        <w:t xml:space="preserve">) “¿El MEN como titular de los derechos patrimoniales de obras protegidas por derecho de autor debe elaborar estudios </w:t>
      </w:r>
      <w:r w:rsidRPr="00355BE8">
        <w:rPr>
          <w:rFonts w:ascii="Century Gothic" w:hAnsi="Century Gothic" w:cs="Arial"/>
          <w:color w:val="000000" w:themeColor="text1"/>
          <w:lang w:val="es-ES_tradnl"/>
        </w:rPr>
        <w:lastRenderedPageBreak/>
        <w:t>previos para suscribir una licencia o autorización de uso de obras protegidas por derecho de autor, cuando funge como licenciante?”</w:t>
      </w:r>
      <w:bookmarkEnd w:id="10"/>
      <w:r w:rsidRPr="00355BE8">
        <w:rPr>
          <w:rFonts w:ascii="Century Gothic" w:hAnsi="Century Gothic" w:cs="Arial"/>
          <w:color w:val="000000" w:themeColor="text1"/>
          <w:lang w:val="es-ES_tradnl"/>
        </w:rPr>
        <w:t xml:space="preserve">, </w:t>
      </w:r>
      <w:proofErr w:type="spellStart"/>
      <w:r w:rsidRPr="00355BE8">
        <w:rPr>
          <w:rFonts w:ascii="Century Gothic" w:hAnsi="Century Gothic" w:cs="Arial"/>
          <w:color w:val="000000" w:themeColor="text1"/>
          <w:lang w:val="es-ES_tradnl"/>
        </w:rPr>
        <w:t>iv</w:t>
      </w:r>
      <w:proofErr w:type="spellEnd"/>
      <w:r w:rsidRPr="00355BE8">
        <w:rPr>
          <w:rFonts w:ascii="Century Gothic" w:hAnsi="Century Gothic" w:cs="Arial"/>
          <w:color w:val="000000" w:themeColor="text1"/>
          <w:lang w:val="es-ES_tradnl"/>
        </w:rPr>
        <w:t>) “¿Es necesario elaborar estudios previos para suscribir una licencia o autorización de uso de obras protegidas por derecho de autor cuando este Ministerio funge en calidad de licenciatario?”</w:t>
      </w:r>
      <w:bookmarkEnd w:id="11"/>
      <w:r w:rsidRPr="00355BE8">
        <w:rPr>
          <w:rFonts w:ascii="Century Gothic" w:hAnsi="Century Gothic" w:cs="Arial"/>
          <w:color w:val="000000" w:themeColor="text1"/>
          <w:lang w:val="es-ES_tradnl"/>
        </w:rPr>
        <w:t xml:space="preserve">, v) “¿Las licencias o autorizaciones de uso de obras protegidas por derecho de autor en las cuales este Ministerio funge en calidad de licenciante deben ser publicadas en el SECOP II?”, vi) “¿Las licencias o autorizaciones de uso de obras protegidas por derecho de autor en las cuales este Ministerio funge en calidad de licenciatario deben ser publicadas en el SECOP II?” y </w:t>
      </w:r>
      <w:proofErr w:type="spellStart"/>
      <w:r w:rsidRPr="00355BE8">
        <w:rPr>
          <w:rFonts w:ascii="Century Gothic" w:hAnsi="Century Gothic" w:cs="Arial"/>
          <w:color w:val="000000" w:themeColor="text1"/>
          <w:lang w:val="es-ES_tradnl"/>
        </w:rPr>
        <w:t>vii</w:t>
      </w:r>
      <w:proofErr w:type="spellEnd"/>
      <w:r w:rsidRPr="00355BE8">
        <w:rPr>
          <w:rFonts w:ascii="Century Gothic" w:hAnsi="Century Gothic" w:cs="Arial"/>
          <w:color w:val="000000" w:themeColor="text1"/>
          <w:lang w:val="es-ES_tradnl"/>
        </w:rPr>
        <w:t xml:space="preserve">) “En caso de ser afirmativa las respuestas a los interrogantes 5 y 6, ¿i) cuál sería la tipología contractual de las licencias?, </w:t>
      </w:r>
      <w:proofErr w:type="spellStart"/>
      <w:r w:rsidRPr="00355BE8">
        <w:rPr>
          <w:rFonts w:ascii="Century Gothic" w:hAnsi="Century Gothic" w:cs="Arial"/>
          <w:color w:val="000000" w:themeColor="text1"/>
          <w:lang w:val="es-ES_tradnl"/>
        </w:rPr>
        <w:t>ii</w:t>
      </w:r>
      <w:proofErr w:type="spellEnd"/>
      <w:r w:rsidRPr="00355BE8">
        <w:rPr>
          <w:rFonts w:ascii="Century Gothic" w:hAnsi="Century Gothic" w:cs="Arial"/>
          <w:color w:val="000000" w:themeColor="text1"/>
          <w:lang w:val="es-ES_tradnl"/>
        </w:rPr>
        <w:t xml:space="preserve">) ¿cuál sería la tipología contractual a utilizar dentro del SECOP II?, </w:t>
      </w:r>
      <w:proofErr w:type="spellStart"/>
      <w:r w:rsidRPr="00355BE8">
        <w:rPr>
          <w:rFonts w:ascii="Century Gothic" w:hAnsi="Century Gothic" w:cs="Arial"/>
          <w:color w:val="000000" w:themeColor="text1"/>
          <w:lang w:val="es-ES_tradnl"/>
        </w:rPr>
        <w:t>iii</w:t>
      </w:r>
      <w:proofErr w:type="spellEnd"/>
      <w:r w:rsidRPr="00355BE8">
        <w:rPr>
          <w:rFonts w:ascii="Century Gothic" w:hAnsi="Century Gothic" w:cs="Arial"/>
          <w:color w:val="000000" w:themeColor="text1"/>
          <w:lang w:val="es-ES_tradnl"/>
        </w:rPr>
        <w:t xml:space="preserve">) ¿cómo debería publicarse? y </w:t>
      </w:r>
      <w:proofErr w:type="spellStart"/>
      <w:r w:rsidRPr="00355BE8">
        <w:rPr>
          <w:rFonts w:ascii="Century Gothic" w:hAnsi="Century Gothic" w:cs="Arial"/>
          <w:color w:val="000000" w:themeColor="text1"/>
          <w:lang w:val="es-ES_tradnl"/>
        </w:rPr>
        <w:t>iv</w:t>
      </w:r>
      <w:proofErr w:type="spellEnd"/>
      <w:r w:rsidRPr="00355BE8">
        <w:rPr>
          <w:rFonts w:ascii="Century Gothic" w:hAnsi="Century Gothic" w:cs="Arial"/>
          <w:color w:val="000000" w:themeColor="text1"/>
          <w:lang w:val="es-ES_tradnl"/>
        </w:rPr>
        <w:t>) ¿qué documentos se necesitan para realizar la publicación en el SECOP II?”.</w:t>
      </w:r>
    </w:p>
    <w:bookmarkEnd w:id="7"/>
    <w:p w14:paraId="381702E0" w14:textId="77777777" w:rsidR="00812F1D" w:rsidRPr="00355BE8" w:rsidRDefault="00812F1D" w:rsidP="00812F1D">
      <w:pPr>
        <w:spacing w:after="0" w:line="276" w:lineRule="auto"/>
        <w:jc w:val="both"/>
        <w:rPr>
          <w:rFonts w:ascii="Century Gothic" w:hAnsi="Century Gothic" w:cs="Arial"/>
          <w:color w:val="000000" w:themeColor="text1"/>
          <w:lang w:val="es-ES_tradnl"/>
        </w:rPr>
      </w:pPr>
    </w:p>
    <w:bookmarkEnd w:id="8"/>
    <w:bookmarkEnd w:id="9"/>
    <w:p w14:paraId="65D62549" w14:textId="77777777" w:rsidR="00812F1D" w:rsidRPr="00355BE8" w:rsidRDefault="00812F1D" w:rsidP="00812F1D">
      <w:pPr>
        <w:pStyle w:val="Prrafodelista"/>
        <w:numPr>
          <w:ilvl w:val="0"/>
          <w:numId w:val="1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355BE8">
        <w:rPr>
          <w:rFonts w:ascii="Century Gothic" w:eastAsia="Calibri" w:hAnsi="Century Gothic" w:cs="Arial"/>
          <w:b/>
          <w:color w:val="000000" w:themeColor="text1"/>
          <w:lang w:val="es-ES_tradnl"/>
        </w:rPr>
        <w:t>Consideraciones</w:t>
      </w:r>
    </w:p>
    <w:p w14:paraId="63616085" w14:textId="77777777" w:rsidR="00812F1D" w:rsidRPr="00355BE8" w:rsidRDefault="00812F1D" w:rsidP="00812F1D">
      <w:pPr>
        <w:spacing w:after="0" w:line="276" w:lineRule="auto"/>
        <w:jc w:val="both"/>
        <w:rPr>
          <w:rFonts w:ascii="Century Gothic" w:eastAsia="Calibri" w:hAnsi="Century Gothic" w:cs="Arial"/>
          <w:color w:val="000000" w:themeColor="text1"/>
          <w:lang w:val="es-ES"/>
        </w:rPr>
      </w:pPr>
    </w:p>
    <w:p w14:paraId="29C0C9F3" w14:textId="77777777" w:rsidR="00812F1D" w:rsidRPr="00355BE8" w:rsidRDefault="00812F1D" w:rsidP="00812F1D">
      <w:pPr>
        <w:spacing w:after="120" w:line="276" w:lineRule="auto"/>
        <w:jc w:val="both"/>
        <w:rPr>
          <w:rFonts w:ascii="Century Gothic" w:hAnsi="Century Gothic" w:cs="Arial"/>
          <w:lang w:val="es-ES"/>
        </w:rPr>
      </w:pPr>
      <w:r w:rsidRPr="00355BE8">
        <w:rPr>
          <w:rFonts w:ascii="Century Gothic" w:hAnsi="Century Gothic" w:cs="Arial"/>
          <w:bCs/>
        </w:rPr>
        <w:t xml:space="preserve">En ejercicio de las competencias establecidas en el Decreto Ley 4170 de 2011, la Agencia Nacional de Contratación Pública – Colombia Compra Eficiente resuelve consultas sobre </w:t>
      </w:r>
      <w:r w:rsidRPr="00355BE8">
        <w:rPr>
          <w:rFonts w:ascii="Century Gothic" w:hAnsi="Century Gothic" w:cs="Arial"/>
          <w:lang w:val="es-ES"/>
        </w:rPr>
        <w:t>la aplicación de normas de carácter general en materia de compras y contratación pública. En ese sentido, resolver casos particulares o interpretar normas ajenas al sistema de compras públicas desborda las atribuciones asignadas por el legislador extraordinario, que no concibió a Colombia Compra Eficiente como una autoridad para solucionar problemas jurídicos concretos</w:t>
      </w:r>
      <w:r w:rsidRPr="00355BE8">
        <w:rPr>
          <w:rFonts w:ascii="Century Gothic" w:hAnsi="Century Gothic" w:cs="Arial"/>
          <w:bCs/>
        </w:rPr>
        <w:t xml:space="preserve"> de todos los partícipes de la contratación estatal ni establecer el alcance de cualquier norma vigente en el ordenamiento jurídico.</w:t>
      </w:r>
    </w:p>
    <w:p w14:paraId="64103DE0" w14:textId="77777777" w:rsidR="00812F1D" w:rsidRPr="00355BE8" w:rsidRDefault="00812F1D" w:rsidP="00812F1D">
      <w:pPr>
        <w:spacing w:after="120" w:line="276" w:lineRule="auto"/>
        <w:ind w:firstLine="708"/>
        <w:jc w:val="both"/>
        <w:rPr>
          <w:rFonts w:ascii="Century Gothic" w:hAnsi="Century Gothic" w:cs="Arial"/>
          <w:lang w:val="es-ES"/>
        </w:rPr>
      </w:pPr>
      <w:r w:rsidRPr="00355BE8">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55BE8">
        <w:rPr>
          <w:rFonts w:ascii="Century Gothic" w:hAnsi="Century Gothic" w:cs="Arial"/>
          <w:vertAlign w:val="superscript"/>
          <w:lang w:val="es-ES"/>
        </w:rPr>
        <w:footnoteReference w:id="2"/>
      </w:r>
      <w:r w:rsidRPr="00355BE8">
        <w:rPr>
          <w:rFonts w:ascii="Century Gothic" w:hAnsi="Century Gothic" w:cs="Arial"/>
          <w:lang w:val="es-ES"/>
        </w:rPr>
        <w:t xml:space="preserve">. Esta competencia de interpretación de normas generales, </w:t>
      </w:r>
      <w:r w:rsidRPr="00355BE8">
        <w:rPr>
          <w:rFonts w:ascii="Century Gothic" w:hAnsi="Century Gothic" w:cs="Arial"/>
          <w:lang w:val="es-ES"/>
        </w:rPr>
        <w:lastRenderedPageBreak/>
        <w:t xml:space="preserve">por definición, no puede extenderse a la resolución de controversias, brindar asesorías sobre casos puntuales ni, mucho menos, interpretar cualquier disposición que no esté directamente relacionada con el sistema de compras. Este último es el caso de las normas de propiedad intelectual que rijan las actividades de licenciamiento y, por tanto, la Agencia carece de atribuciones para pronunciarse sobre su alcance. Por lo anterior, previo concepto de sus órganos asesores, la solución de casos particulares o la interpretación de disposiciones de otros subsistemas normativos corresponden a la entidad de adoptar la decisión correspondiente y, en caso de conflicto, a las autoridades judiciales, fiscales y disciplinarias. </w:t>
      </w:r>
    </w:p>
    <w:p w14:paraId="5E22A8F8" w14:textId="77777777" w:rsidR="00812F1D" w:rsidRPr="00355BE8" w:rsidRDefault="00812F1D" w:rsidP="00812F1D">
      <w:pPr>
        <w:spacing w:before="120" w:after="0" w:line="276" w:lineRule="auto"/>
        <w:ind w:firstLine="709"/>
        <w:jc w:val="both"/>
        <w:rPr>
          <w:rFonts w:ascii="Century Gothic" w:eastAsia="Calibri" w:hAnsi="Century Gothic" w:cs="Arial"/>
          <w:lang w:val="es-ES"/>
        </w:rPr>
      </w:pPr>
      <w:r w:rsidRPr="00355BE8">
        <w:rPr>
          <w:rFonts w:ascii="Century Gothic" w:eastAsia="Calibri" w:hAnsi="Century Gothic" w:cs="Arial"/>
        </w:rPr>
        <w:t xml:space="preserve">Sin perjuicio de lo anterior, </w:t>
      </w:r>
      <w:r w:rsidRPr="00355BE8">
        <w:rPr>
          <w:rFonts w:ascii="Century Gothic" w:eastAsia="Calibri" w:hAnsi="Century Gothic" w:cs="Arial"/>
          <w:lang w:val="es-ES"/>
        </w:rPr>
        <w:t xml:space="preserve">la Agencia –dentro de los límites de sus atribuciones, es decir, </w:t>
      </w:r>
      <w:bookmarkStart w:id="12" w:name="_Hlk61025408"/>
      <w:r w:rsidRPr="00355BE8">
        <w:rPr>
          <w:rFonts w:ascii="Century Gothic" w:eastAsia="Calibri" w:hAnsi="Century Gothic" w:cs="Arial"/>
          <w:lang w:val="es-ES"/>
        </w:rPr>
        <w:t xml:space="preserve">haciendo abstracción del caso particular </w:t>
      </w:r>
      <w:bookmarkEnd w:id="12"/>
      <w:r w:rsidRPr="00355BE8">
        <w:rPr>
          <w:rFonts w:ascii="Century Gothic" w:eastAsia="Calibri" w:hAnsi="Century Gothic" w:cs="Arial"/>
          <w:lang w:val="es-ES"/>
        </w:rPr>
        <w:t xml:space="preserve">expuesto en la petición– resolverá la consulta únicamente conforme a las normas generales del sistema de compras públicas. Con este objetivo se analizarán los siguientes temas: i) definición de contrato estatal y régimen jurídico aplicable, </w:t>
      </w:r>
      <w:proofErr w:type="spellStart"/>
      <w:r w:rsidRPr="00355BE8">
        <w:rPr>
          <w:rFonts w:ascii="Century Gothic" w:eastAsia="Calibri" w:hAnsi="Century Gothic" w:cs="Arial"/>
          <w:lang w:val="es-ES"/>
        </w:rPr>
        <w:t>ii</w:t>
      </w:r>
      <w:proofErr w:type="spellEnd"/>
      <w:r w:rsidRPr="00355BE8">
        <w:rPr>
          <w:rFonts w:ascii="Century Gothic" w:eastAsia="Calibri" w:hAnsi="Century Gothic" w:cs="Arial"/>
          <w:lang w:val="es-ES"/>
        </w:rPr>
        <w:t xml:space="preserve">) principio de planeación y estudios previos en el sistema de compras públicas y </w:t>
      </w:r>
      <w:proofErr w:type="spellStart"/>
      <w:r w:rsidRPr="00355BE8">
        <w:rPr>
          <w:rFonts w:ascii="Century Gothic" w:eastAsia="Calibri" w:hAnsi="Century Gothic" w:cs="Arial"/>
          <w:lang w:val="es-ES"/>
        </w:rPr>
        <w:t>iii</w:t>
      </w:r>
      <w:proofErr w:type="spellEnd"/>
      <w:r w:rsidRPr="00355BE8">
        <w:rPr>
          <w:rFonts w:ascii="Century Gothic" w:eastAsia="Calibri" w:hAnsi="Century Gothic" w:cs="Arial"/>
          <w:lang w:val="es-ES"/>
        </w:rPr>
        <w:t xml:space="preserve">) deber de publicidad y transparencia en la contratación estatal. </w:t>
      </w:r>
    </w:p>
    <w:p w14:paraId="72B90FD4" w14:textId="77777777" w:rsidR="00812F1D" w:rsidRPr="00355BE8" w:rsidRDefault="00812F1D" w:rsidP="00812F1D">
      <w:pPr>
        <w:spacing w:before="120" w:after="0" w:line="276" w:lineRule="auto"/>
        <w:ind w:firstLine="709"/>
        <w:jc w:val="both"/>
        <w:rPr>
          <w:rFonts w:ascii="Century Gothic" w:eastAsia="Calibri" w:hAnsi="Century Gothic" w:cs="Arial"/>
          <w:color w:val="000000" w:themeColor="text1"/>
          <w:lang w:val="es-ES"/>
        </w:rPr>
      </w:pPr>
      <w:r w:rsidRPr="00355BE8">
        <w:rPr>
          <w:rFonts w:ascii="Century Gothic" w:eastAsia="Calibri" w:hAnsi="Century Gothic" w:cs="Arial"/>
          <w:color w:val="000000" w:themeColor="text1"/>
          <w:lang w:val="es-ES"/>
        </w:rPr>
        <w:t xml:space="preserve">La Agencia Nacional de Contratación Pública - Colombia Compra Eficiente, </w:t>
      </w:r>
      <w:r w:rsidRPr="00355BE8">
        <w:rPr>
          <w:rFonts w:ascii="Century Gothic" w:eastAsia="Calibri" w:hAnsi="Century Gothic" w:cs="Arial"/>
          <w:bCs/>
          <w:color w:val="000000" w:themeColor="text1"/>
        </w:rPr>
        <w:t xml:space="preserve">en los Conceptos 4201912000006493 del 15 de noviembre de 2019, 4201912000006710 del 19 de noviembre de 2019 y C-466 del 21 de julio de 2022, analizó la definición de contrato estatal. Asimismo, </w:t>
      </w:r>
      <w:r w:rsidRPr="00355BE8">
        <w:rPr>
          <w:rFonts w:ascii="Century Gothic" w:hAnsi="Century Gothic" w:cs="Arial"/>
          <w:noProof/>
          <w:color w:val="000000" w:themeColor="text1"/>
          <w:lang w:val="es-ES_tradnl"/>
        </w:rPr>
        <w:t>se pronunció sobre el principio de planeación y los estudios previos en</w:t>
      </w:r>
      <w:r w:rsidRPr="00355BE8">
        <w:rPr>
          <w:rFonts w:ascii="Century Gothic" w:hAnsi="Century Gothic" w:cs="Arial"/>
          <w:lang w:val="es-ES_tradnl"/>
        </w:rPr>
        <w:t xml:space="preserve"> los Conceptos 4201912000006310 del 9 de octubre de 2019, C-223 del 29 de abril de 2020, C-443 del 7 de julio de 2020 y C-503 del 17 de septiembre de 2021</w:t>
      </w:r>
      <w:r w:rsidRPr="00355BE8">
        <w:rPr>
          <w:rFonts w:ascii="Century Gothic" w:hAnsi="Century Gothic" w:cs="Arial"/>
          <w:noProof/>
          <w:color w:val="000000" w:themeColor="text1"/>
          <w:lang w:val="es-ES_tradnl"/>
        </w:rPr>
        <w:t xml:space="preserve">. De igual forma, analizó los principios de la contratación pública en los conceptos No. 4201912000007661 del 24 de diciembre de 2019, C-640 del 2 de octubre de 2020, C-701 del 7 de diciembre de 2020, C-715 del 9 de diciembre de 2020, C-762 del 14 de diciembre de 2020. Finalmente, </w:t>
      </w:r>
      <w:r w:rsidRPr="00355BE8">
        <w:rPr>
          <w:rStyle w:val="normaltextrun"/>
          <w:rFonts w:ascii="Century Gothic" w:hAnsi="Century Gothic" w:cs="Arial"/>
          <w:color w:val="000000"/>
          <w:shd w:val="clear" w:color="auto" w:fill="FFFFFF"/>
        </w:rPr>
        <w:t xml:space="preserve">se ha pronunciado sobre los principios de publicidad y de acceso a la información pública en la contratación estatal, así como sobre </w:t>
      </w:r>
      <w:r w:rsidRPr="00355BE8">
        <w:rPr>
          <w:rStyle w:val="normaltextrun"/>
          <w:rFonts w:ascii="Century Gothic" w:hAnsi="Century Gothic" w:cs="Arial"/>
          <w:color w:val="000000"/>
          <w:shd w:val="clear" w:color="auto" w:fill="FFFFFF"/>
          <w:lang w:val="es-ES"/>
        </w:rPr>
        <w:t xml:space="preserve">los fundamentos normativos del deber de publicar la documentación contractual, en el Concepto </w:t>
      </w:r>
      <w:r w:rsidRPr="00355BE8">
        <w:rPr>
          <w:rStyle w:val="normaltextrun"/>
          <w:rFonts w:ascii="Century Gothic" w:hAnsi="Century Gothic" w:cs="Arial"/>
          <w:color w:val="000000"/>
          <w:shd w:val="clear" w:color="auto" w:fill="FFFFFF"/>
        </w:rPr>
        <w:t xml:space="preserve">CU-367 del 23 de julio de 2020, el cual fue reiterado –entre otros– en los Conceptos C−433 de 24 de julio de 2020, C−468 del 24 de julio de 2020, C−474 de 24 de julio de 2020, C−488 del 28 de julio de 2020, C−544 del 21 de agosto de 2020, C−575 del 27 de agosto de 2020, C−643 del 26 de octubre de 2020, C−661 del 17 de noviembre de 2020, C-094 </w:t>
      </w:r>
      <w:r w:rsidRPr="00355BE8">
        <w:rPr>
          <w:rStyle w:val="normaltextrun"/>
          <w:rFonts w:ascii="Century Gothic" w:hAnsi="Century Gothic" w:cs="Arial"/>
          <w:color w:val="000000"/>
          <w:shd w:val="clear" w:color="auto" w:fill="FFFFFF"/>
        </w:rPr>
        <w:lastRenderedPageBreak/>
        <w:t>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y C-379 del 22 de junio de 2022</w:t>
      </w:r>
      <w:r w:rsidRPr="00355BE8">
        <w:rPr>
          <w:rStyle w:val="Refdenotaalpie"/>
          <w:rFonts w:ascii="Century Gothic" w:eastAsia="Calibri" w:hAnsi="Century Gothic" w:cs="Arial"/>
        </w:rPr>
        <w:footnoteReference w:id="3"/>
      </w:r>
      <w:r w:rsidRPr="00355BE8">
        <w:rPr>
          <w:rStyle w:val="normaltextrun"/>
          <w:rFonts w:ascii="Century Gothic" w:hAnsi="Century Gothic" w:cs="Arial"/>
          <w:color w:val="000000"/>
          <w:shd w:val="clear" w:color="auto" w:fill="FFFFFF"/>
        </w:rPr>
        <w:t xml:space="preserve">. </w:t>
      </w:r>
      <w:r w:rsidRPr="00355BE8">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40A11AC5" w14:textId="77777777" w:rsidR="00812F1D" w:rsidRPr="00355BE8" w:rsidRDefault="00812F1D" w:rsidP="00812F1D">
      <w:pPr>
        <w:spacing w:after="0" w:line="276" w:lineRule="auto"/>
        <w:contextualSpacing/>
        <w:jc w:val="both"/>
        <w:rPr>
          <w:rFonts w:ascii="Century Gothic" w:eastAsia="Times New Roman" w:hAnsi="Century Gothic" w:cs="Arial"/>
          <w:b/>
          <w:szCs w:val="24"/>
          <w:lang w:eastAsia="es-ES_tradnl"/>
        </w:rPr>
      </w:pPr>
    </w:p>
    <w:p w14:paraId="7F8CE0FD" w14:textId="77777777" w:rsidR="00812F1D" w:rsidRPr="00355BE8" w:rsidRDefault="00812F1D" w:rsidP="00812F1D">
      <w:pPr>
        <w:spacing w:after="0" w:line="276" w:lineRule="auto"/>
        <w:jc w:val="both"/>
        <w:rPr>
          <w:rFonts w:ascii="Century Gothic" w:eastAsia="Calibri" w:hAnsi="Century Gothic" w:cs="Arial"/>
          <w:b/>
          <w:bCs/>
          <w:lang w:val="es-ES_tradnl"/>
        </w:rPr>
      </w:pPr>
      <w:bookmarkStart w:id="13" w:name="_Hlk75784645"/>
      <w:r w:rsidRPr="00355BE8">
        <w:rPr>
          <w:rFonts w:ascii="Century Gothic" w:eastAsia="Calibri" w:hAnsi="Century Gothic" w:cs="Arial"/>
          <w:b/>
          <w:bCs/>
          <w:lang w:val="es-ES_tradnl"/>
        </w:rPr>
        <w:t>2.1. Definición de contrato estatal y régimen jurídico aplicable</w:t>
      </w:r>
    </w:p>
    <w:p w14:paraId="5AA0398D" w14:textId="77777777" w:rsidR="00812F1D" w:rsidRPr="00355BE8" w:rsidRDefault="00812F1D" w:rsidP="00812F1D">
      <w:pPr>
        <w:spacing w:after="0" w:line="276" w:lineRule="auto"/>
        <w:jc w:val="both"/>
        <w:rPr>
          <w:rFonts w:ascii="Century Gothic" w:eastAsia="Calibri" w:hAnsi="Century Gothic" w:cs="Arial"/>
          <w:b/>
          <w:bCs/>
          <w:lang w:val="es-ES_tradnl"/>
        </w:rPr>
      </w:pPr>
    </w:p>
    <w:p w14:paraId="4FCCC8F0" w14:textId="77777777" w:rsidR="00812F1D" w:rsidRPr="00355BE8" w:rsidRDefault="00812F1D" w:rsidP="00812F1D">
      <w:pPr>
        <w:widowControl w:val="0"/>
        <w:autoSpaceDE w:val="0"/>
        <w:autoSpaceDN w:val="0"/>
        <w:spacing w:after="0"/>
        <w:jc w:val="both"/>
        <w:rPr>
          <w:rFonts w:ascii="Century Gothic" w:eastAsia="Arial" w:hAnsi="Century Gothic" w:cs="Arial"/>
          <w:color w:val="000000"/>
          <w:lang w:val="es-ES"/>
        </w:rPr>
      </w:pPr>
      <w:r w:rsidRPr="00355BE8">
        <w:rPr>
          <w:rFonts w:ascii="Century Gothic" w:eastAsia="Arial" w:hAnsi="Century Gothic" w:cs="Arial"/>
          <w:color w:val="000000"/>
          <w:lang w:val="es-ES"/>
        </w:rPr>
        <w:t>De acuerdo con el artículo 1495 del Código Civil, el contrato es un acto por el cual una parte se obliga con otra a dar, hacer o no hacer alguna cosa. Por su parte, el artículo 1 de la Ley 80 de 1993 determina que su objetivo es disponer reglas y principios que rigen los contratos de las entidades</w:t>
      </w:r>
      <w:r w:rsidRPr="00355BE8">
        <w:rPr>
          <w:rFonts w:ascii="Century Gothic" w:eastAsia="Arial" w:hAnsi="Century Gothic" w:cs="Arial"/>
          <w:color w:val="000000"/>
          <w:spacing w:val="-3"/>
          <w:lang w:val="es-ES"/>
        </w:rPr>
        <w:t xml:space="preserve"> </w:t>
      </w:r>
      <w:r w:rsidRPr="00355BE8">
        <w:rPr>
          <w:rFonts w:ascii="Century Gothic" w:eastAsia="Arial" w:hAnsi="Century Gothic" w:cs="Arial"/>
          <w:color w:val="000000"/>
          <w:lang w:val="es-ES"/>
        </w:rPr>
        <w:t>estatales. Seguidamente, el artículo 2 define, para los efectos de la contratación estatal, quiénes se denominan entidades estatales, servidores y servicios públicos. El numeral primero de la norma citada dispone que se denominan entidades</w:t>
      </w:r>
      <w:r w:rsidRPr="00355BE8">
        <w:rPr>
          <w:rFonts w:ascii="Century Gothic" w:eastAsia="Arial" w:hAnsi="Century Gothic" w:cs="Arial"/>
          <w:color w:val="000000"/>
          <w:spacing w:val="-3"/>
          <w:lang w:val="es-ES"/>
        </w:rPr>
        <w:t xml:space="preserve"> </w:t>
      </w:r>
      <w:r w:rsidRPr="00355BE8">
        <w:rPr>
          <w:rFonts w:ascii="Century Gothic" w:eastAsia="Arial" w:hAnsi="Century Gothic" w:cs="Arial"/>
          <w:color w:val="000000"/>
          <w:lang w:val="es-ES"/>
        </w:rPr>
        <w:t>estatales:</w:t>
      </w:r>
    </w:p>
    <w:p w14:paraId="7E457C8B" w14:textId="77777777" w:rsidR="00812F1D" w:rsidRPr="003360CA" w:rsidRDefault="00812F1D" w:rsidP="00812F1D">
      <w:pPr>
        <w:widowControl w:val="0"/>
        <w:autoSpaceDE w:val="0"/>
        <w:autoSpaceDN w:val="0"/>
        <w:spacing w:before="5" w:after="0" w:line="276" w:lineRule="auto"/>
        <w:jc w:val="both"/>
        <w:rPr>
          <w:rFonts w:ascii="Century Gothic" w:eastAsia="Arial" w:hAnsi="Century Gothic" w:cs="Arial"/>
          <w:color w:val="000000"/>
          <w:sz w:val="20"/>
          <w:szCs w:val="20"/>
          <w:lang w:val="es-ES"/>
        </w:rPr>
      </w:pPr>
    </w:p>
    <w:p w14:paraId="4AC7ED23" w14:textId="77777777" w:rsidR="00812F1D" w:rsidRPr="003360CA" w:rsidRDefault="00812F1D" w:rsidP="00812F1D">
      <w:pPr>
        <w:widowControl w:val="0"/>
        <w:tabs>
          <w:tab w:val="left" w:pos="1068"/>
        </w:tabs>
        <w:autoSpaceDE w:val="0"/>
        <w:autoSpaceDN w:val="0"/>
        <w:spacing w:after="120" w:line="240" w:lineRule="auto"/>
        <w:ind w:left="709" w:right="709"/>
        <w:jc w:val="both"/>
        <w:rPr>
          <w:rFonts w:ascii="Century Gothic" w:eastAsia="Arial" w:hAnsi="Century Gothic" w:cs="Arial"/>
          <w:color w:val="000000"/>
          <w:sz w:val="20"/>
          <w:szCs w:val="20"/>
          <w:lang w:val="es-ES"/>
        </w:rPr>
      </w:pPr>
      <w:r w:rsidRPr="003360CA">
        <w:rPr>
          <w:rFonts w:ascii="Century Gothic" w:eastAsia="Arial" w:hAnsi="Century Gothic" w:cs="Arial"/>
          <w:color w:val="000000"/>
          <w:sz w:val="20"/>
          <w:szCs w:val="20"/>
          <w:lang w:val="es-ES"/>
        </w:rPr>
        <w:t xml:space="preserve">“a) La Nación, las regiones, los departamentos, las provincias, el distrito capital y los distritos especiales, las áreas metropolitanas, las asociaciones de municipios, los territorios indígenas y los municipios; </w:t>
      </w:r>
      <w:r w:rsidRPr="003360CA">
        <w:rPr>
          <w:rFonts w:ascii="Century Gothic" w:eastAsia="Arial" w:hAnsi="Century Gothic" w:cs="Arial"/>
          <w:i/>
          <w:color w:val="000000"/>
          <w:sz w:val="20"/>
          <w:szCs w:val="20"/>
          <w:lang w:val="es-ES"/>
        </w:rPr>
        <w:t>los establecimientos públicos</w:t>
      </w:r>
      <w:r w:rsidRPr="003360CA">
        <w:rPr>
          <w:rFonts w:ascii="Century Gothic" w:eastAsia="Arial" w:hAnsi="Century Gothic" w:cs="Arial"/>
          <w:color w:val="000000"/>
          <w:sz w:val="20"/>
          <w:szCs w:val="20"/>
          <w:lang w:val="es-ES"/>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w:t>
      </w:r>
      <w:r w:rsidRPr="003360CA">
        <w:rPr>
          <w:rFonts w:ascii="Century Gothic" w:eastAsia="Arial" w:hAnsi="Century Gothic" w:cs="Arial"/>
          <w:color w:val="000000"/>
          <w:spacing w:val="-13"/>
          <w:sz w:val="20"/>
          <w:szCs w:val="20"/>
          <w:lang w:val="es-ES"/>
        </w:rPr>
        <w:t xml:space="preserve"> </w:t>
      </w:r>
      <w:r w:rsidRPr="003360CA">
        <w:rPr>
          <w:rFonts w:ascii="Century Gothic" w:eastAsia="Arial" w:hAnsi="Century Gothic" w:cs="Arial"/>
          <w:color w:val="000000"/>
          <w:sz w:val="20"/>
          <w:szCs w:val="20"/>
          <w:lang w:val="es-ES"/>
        </w:rPr>
        <w:t>niveles.</w:t>
      </w:r>
    </w:p>
    <w:p w14:paraId="72E12F4E" w14:textId="77777777" w:rsidR="00812F1D" w:rsidRPr="003360CA" w:rsidRDefault="00812F1D" w:rsidP="00812F1D">
      <w:pPr>
        <w:widowControl w:val="0"/>
        <w:tabs>
          <w:tab w:val="left" w:pos="1083"/>
        </w:tabs>
        <w:autoSpaceDE w:val="0"/>
        <w:autoSpaceDN w:val="0"/>
        <w:spacing w:after="0" w:line="240" w:lineRule="auto"/>
        <w:ind w:left="709" w:right="709"/>
        <w:jc w:val="both"/>
        <w:rPr>
          <w:rFonts w:ascii="Century Gothic" w:eastAsia="Arial" w:hAnsi="Century Gothic" w:cs="Arial"/>
          <w:color w:val="000000"/>
          <w:sz w:val="20"/>
          <w:szCs w:val="20"/>
          <w:lang w:val="es-ES"/>
        </w:rPr>
      </w:pPr>
      <w:r w:rsidRPr="003360CA">
        <w:rPr>
          <w:rFonts w:ascii="Century Gothic" w:eastAsia="Arial" w:hAnsi="Century Gothic" w:cs="Arial"/>
          <w:color w:val="000000"/>
          <w:sz w:val="20"/>
          <w:szCs w:val="20"/>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w:t>
      </w:r>
      <w:r w:rsidRPr="003360CA">
        <w:rPr>
          <w:rFonts w:ascii="Century Gothic" w:eastAsia="Arial" w:hAnsi="Century Gothic" w:cs="Arial"/>
          <w:color w:val="000000"/>
          <w:spacing w:val="-19"/>
          <w:sz w:val="20"/>
          <w:szCs w:val="20"/>
          <w:lang w:val="es-ES"/>
        </w:rPr>
        <w:t xml:space="preserve"> </w:t>
      </w:r>
      <w:r w:rsidRPr="003360CA">
        <w:rPr>
          <w:rFonts w:ascii="Century Gothic" w:eastAsia="Arial" w:hAnsi="Century Gothic" w:cs="Arial"/>
          <w:color w:val="000000"/>
          <w:sz w:val="20"/>
          <w:szCs w:val="20"/>
          <w:lang w:val="es-ES"/>
        </w:rPr>
        <w:t>contratos”.</w:t>
      </w:r>
    </w:p>
    <w:p w14:paraId="43E0AA23" w14:textId="77777777" w:rsidR="00812F1D" w:rsidRPr="00355BE8" w:rsidRDefault="00812F1D" w:rsidP="00812F1D">
      <w:pPr>
        <w:widowControl w:val="0"/>
        <w:autoSpaceDE w:val="0"/>
        <w:autoSpaceDN w:val="0"/>
        <w:spacing w:before="4" w:after="0" w:line="276" w:lineRule="auto"/>
        <w:jc w:val="both"/>
        <w:rPr>
          <w:rFonts w:ascii="Century Gothic" w:eastAsia="Arial" w:hAnsi="Century Gothic" w:cs="Arial"/>
          <w:color w:val="000000"/>
          <w:lang w:val="es-ES"/>
        </w:rPr>
      </w:pPr>
    </w:p>
    <w:p w14:paraId="1CEBE2A6"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color w:val="000000"/>
          <w:lang w:val="es-ES"/>
        </w:rPr>
      </w:pPr>
      <w:r w:rsidRPr="00355BE8">
        <w:rPr>
          <w:rFonts w:ascii="Century Gothic" w:eastAsia="Arial" w:hAnsi="Century Gothic" w:cs="Arial"/>
          <w:color w:val="000000"/>
          <w:lang w:val="es-ES"/>
        </w:rPr>
        <w:t xml:space="preserve">A su turno, el artículo 32 define los contratos estatales como todos los actos jurídicos generadores de obligaciones que celebren las entidades a las que se refiere la Ley 80 de 1993. Nótese que para la definición de contrato estatal basta </w:t>
      </w:r>
      <w:r w:rsidRPr="00355BE8">
        <w:rPr>
          <w:rFonts w:ascii="Century Gothic" w:eastAsia="Arial" w:hAnsi="Century Gothic" w:cs="Arial"/>
          <w:color w:val="000000"/>
          <w:lang w:val="es-ES"/>
        </w:rPr>
        <w:lastRenderedPageBreak/>
        <w:t>con que una de las entidades que enumera el artículo 2º de la Ley 80 de 1993 sea una de las partes, sin importar el extremo de la relación jurídico negocial que</w:t>
      </w:r>
      <w:r w:rsidRPr="00355BE8">
        <w:rPr>
          <w:rFonts w:ascii="Century Gothic" w:eastAsia="Arial" w:hAnsi="Century Gothic" w:cs="Arial"/>
          <w:color w:val="000000"/>
          <w:spacing w:val="-14"/>
          <w:lang w:val="es-ES"/>
        </w:rPr>
        <w:t xml:space="preserve"> </w:t>
      </w:r>
      <w:r w:rsidRPr="00355BE8">
        <w:rPr>
          <w:rFonts w:ascii="Century Gothic" w:eastAsia="Arial" w:hAnsi="Century Gothic" w:cs="Arial"/>
          <w:color w:val="000000"/>
          <w:lang w:val="es-ES"/>
        </w:rPr>
        <w:t>asuma. El Consejo de Estado ha sostenido que el criterio definitorio de un contrato estatal es que haya sido celebrado por una entidad estatal: “Nótese cómo, [sic]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355BE8">
        <w:rPr>
          <w:rFonts w:ascii="Century Gothic" w:eastAsia="Arial" w:hAnsi="Century Gothic" w:cs="Arial"/>
          <w:color w:val="000000"/>
          <w:spacing w:val="-4"/>
          <w:lang w:val="es-ES"/>
        </w:rPr>
        <w:t xml:space="preserve"> </w:t>
      </w:r>
      <w:r w:rsidRPr="00355BE8">
        <w:rPr>
          <w:rFonts w:ascii="Century Gothic" w:eastAsia="Arial" w:hAnsi="Century Gothic" w:cs="Arial"/>
          <w:color w:val="000000"/>
          <w:lang w:val="es-ES"/>
        </w:rPr>
        <w:t>públicas”</w:t>
      </w:r>
      <w:r w:rsidRPr="00355BE8">
        <w:rPr>
          <w:rFonts w:ascii="Century Gothic" w:eastAsia="Arial" w:hAnsi="Century Gothic" w:cs="Arial"/>
          <w:color w:val="000000"/>
          <w:vertAlign w:val="superscript"/>
          <w:lang w:val="es-ES"/>
        </w:rPr>
        <w:footnoteReference w:id="4"/>
      </w:r>
      <w:r w:rsidRPr="00355BE8">
        <w:rPr>
          <w:rFonts w:ascii="Century Gothic" w:eastAsia="Arial" w:hAnsi="Century Gothic" w:cs="Arial"/>
          <w:color w:val="000000"/>
          <w:lang w:val="es-ES"/>
        </w:rPr>
        <w:t>.</w:t>
      </w:r>
    </w:p>
    <w:p w14:paraId="2062BD4B" w14:textId="77777777" w:rsidR="00812F1D" w:rsidRPr="00355BE8" w:rsidRDefault="00812F1D" w:rsidP="00812F1D">
      <w:pPr>
        <w:tabs>
          <w:tab w:val="left" w:pos="0"/>
        </w:tabs>
        <w:spacing w:line="276" w:lineRule="auto"/>
        <w:jc w:val="both"/>
        <w:rPr>
          <w:rFonts w:ascii="Century Gothic" w:eastAsia="Calibri" w:hAnsi="Century Gothic" w:cs="Arial"/>
          <w:lang w:val="es-MX"/>
        </w:rPr>
      </w:pPr>
      <w:r w:rsidRPr="00355BE8">
        <w:rPr>
          <w:rFonts w:ascii="Century Gothic" w:eastAsia="Calibri" w:hAnsi="Century Gothic" w:cs="Arial"/>
          <w:lang w:val="es-MX"/>
        </w:rPr>
        <w:tab/>
        <w:t xml:space="preserve">En la etapa precontractual de la contratación estatal, cuando la Administración está elaborando los estudios previos, para lograr con éxito el proceso de contratación que requiere para satisfacer una necesidad de bienes, obras o servicios con la finalidad de cumplir los cometidos estatales, debe analizarse, según el objeto a contratar, cuál es el tipo de contrato, las obligaciones y prestaciones a pactar que mejor satisfagan los intereses de la Administración como entidad contratante. </w:t>
      </w:r>
      <w:r w:rsidRPr="00355BE8">
        <w:rPr>
          <w:rFonts w:ascii="Century Gothic" w:hAnsi="Century Gothic" w:cs="Arial"/>
          <w:bCs/>
        </w:rPr>
        <w:t>Es así como, por ejemplo, el artículo 40 de la Ley 80 de 1993 permite que dentro del contenido de un contrato estatal se admitan las estipulaciones conformes con las normas civiles, comerciales y las especiales previstas en dicha ley que correspondan a su esencia y naturaleza. Por ello, las entidades pueden celebrar todos los contratos y acuerdos permitidos por la autonomía de la voluntad requeridos para cumplir con los fines estatales.</w:t>
      </w:r>
    </w:p>
    <w:p w14:paraId="0704A890" w14:textId="77777777" w:rsidR="00812F1D" w:rsidRPr="00355BE8" w:rsidRDefault="00812F1D" w:rsidP="00812F1D">
      <w:pPr>
        <w:spacing w:after="120" w:line="276" w:lineRule="auto"/>
        <w:ind w:firstLine="708"/>
        <w:jc w:val="both"/>
        <w:rPr>
          <w:rFonts w:ascii="Century Gothic" w:hAnsi="Century Gothic" w:cs="Arial"/>
          <w:bCs/>
        </w:rPr>
      </w:pPr>
      <w:r w:rsidRPr="00355BE8">
        <w:rPr>
          <w:rFonts w:ascii="Century Gothic" w:hAnsi="Century Gothic" w:cs="Arial"/>
          <w:bCs/>
        </w:rPr>
        <w:t>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w:t>
      </w:r>
      <w:r w:rsidRPr="00355BE8">
        <w:rPr>
          <w:rStyle w:val="Refdenotaalpie"/>
          <w:rFonts w:ascii="Century Gothic" w:hAnsi="Century Gothic" w:cs="Arial"/>
          <w:bCs/>
        </w:rPr>
        <w:footnoteReference w:id="5"/>
      </w:r>
      <w:r w:rsidRPr="00355BE8">
        <w:rPr>
          <w:rFonts w:ascii="Century Gothic" w:hAnsi="Century Gothic" w:cs="Arial"/>
          <w:bCs/>
        </w:rPr>
        <w:t xml:space="preserve"> en la legislación civil y comercial de derecho privado</w:t>
      </w:r>
      <w:r w:rsidRPr="00355BE8">
        <w:rPr>
          <w:rStyle w:val="Refdenotaalpie"/>
          <w:rFonts w:ascii="Century Gothic" w:hAnsi="Century Gothic" w:cs="Arial"/>
          <w:bCs/>
        </w:rPr>
        <w:footnoteReference w:id="6"/>
      </w:r>
      <w:r w:rsidRPr="00355BE8">
        <w:rPr>
          <w:rFonts w:ascii="Century Gothic" w:hAnsi="Century Gothic" w:cs="Arial"/>
          <w:bCs/>
        </w:rPr>
        <w:t xml:space="preserve"> o en el Estatuto General de Contratación Pública</w:t>
      </w:r>
      <w:r w:rsidRPr="00355BE8">
        <w:rPr>
          <w:rStyle w:val="Refdenotaalpie"/>
          <w:rFonts w:ascii="Century Gothic" w:hAnsi="Century Gothic" w:cs="Arial"/>
          <w:bCs/>
        </w:rPr>
        <w:footnoteReference w:id="7"/>
      </w:r>
      <w:r w:rsidRPr="00355BE8">
        <w:rPr>
          <w:rFonts w:ascii="Century Gothic" w:hAnsi="Century Gothic" w:cs="Arial"/>
          <w:bCs/>
        </w:rPr>
        <w:t xml:space="preserve"> o bien pueden acudir a los contratos atípicos, donde sus estipulaciones pueden ser puramente de creación de la voluntad de las partes  –</w:t>
      </w:r>
      <w:r w:rsidRPr="00355BE8">
        <w:rPr>
          <w:rFonts w:ascii="Century Gothic" w:hAnsi="Century Gothic" w:cs="Arial"/>
          <w:bCs/>
        </w:rPr>
        <w:lastRenderedPageBreak/>
        <w:t>siempre y cuando no contraríen normas de orden público– o pueden ser mixtas, haciendo uso de estipulaciones que responden a diferentes combinaciones de objetos contractuales</w:t>
      </w:r>
      <w:r w:rsidRPr="00355BE8">
        <w:rPr>
          <w:rStyle w:val="Refdenotaalpie"/>
          <w:rFonts w:ascii="Century Gothic" w:hAnsi="Century Gothic" w:cs="Arial"/>
          <w:bCs/>
        </w:rPr>
        <w:footnoteReference w:id="8"/>
      </w:r>
      <w:r w:rsidRPr="00355BE8">
        <w:rPr>
          <w:rFonts w:ascii="Century Gothic" w:hAnsi="Century Gothic" w:cs="Arial"/>
          <w:bCs/>
        </w:rPr>
        <w:t>.</w:t>
      </w:r>
    </w:p>
    <w:p w14:paraId="58C34645" w14:textId="77777777" w:rsidR="00812F1D" w:rsidRPr="00355BE8" w:rsidRDefault="00812F1D" w:rsidP="00812F1D">
      <w:pPr>
        <w:pStyle w:val="Sinespaciado"/>
        <w:spacing w:before="120" w:line="276" w:lineRule="auto"/>
        <w:ind w:firstLine="709"/>
        <w:jc w:val="both"/>
        <w:rPr>
          <w:rFonts w:ascii="Century Gothic" w:hAnsi="Century Gothic" w:cs="Arial"/>
          <w:color w:val="000000" w:themeColor="text1"/>
          <w:sz w:val="22"/>
        </w:rPr>
      </w:pPr>
      <w:r w:rsidRPr="00355BE8">
        <w:rPr>
          <w:rFonts w:ascii="Century Gothic" w:hAnsi="Century Gothic" w:cs="Arial"/>
          <w:bCs/>
          <w:sz w:val="22"/>
        </w:rPr>
        <w:t xml:space="preserve">La doctrina reconoce este fenómeno entendiendo que </w:t>
      </w:r>
      <w:r w:rsidRPr="00355BE8">
        <w:rPr>
          <w:rFonts w:ascii="Century Gothic" w:hAnsi="Century Gothic" w:cs="Arial"/>
          <w:bCs/>
          <w:sz w:val="22"/>
          <w:lang w:val="es-ES_tradnl"/>
        </w:rPr>
        <w:t>“</w:t>
      </w:r>
      <w:r w:rsidRPr="00355BE8">
        <w:rPr>
          <w:rFonts w:ascii="Century Gothic" w:hAnsi="Century Gothic" w:cs="Arial"/>
          <w:bCs/>
          <w:sz w:val="22"/>
        </w:rPr>
        <w:t>la ley no crea el contrato, sino que reconoce su existencia, afirmación que implica reconocer que, en un principio, todos los contratos que hoy se reputan como típicos eran innominados – atípicos, deviniendo en típicos con la intervención del legislador</w:t>
      </w:r>
      <w:r w:rsidRPr="00355BE8">
        <w:rPr>
          <w:rFonts w:ascii="Century Gothic" w:hAnsi="Century Gothic" w:cs="Arial"/>
          <w:bCs/>
          <w:sz w:val="22"/>
          <w:lang w:val="es-ES_tradnl"/>
        </w:rPr>
        <w:t>”</w:t>
      </w:r>
      <w:r w:rsidRPr="00355BE8">
        <w:rPr>
          <w:rStyle w:val="Refdenotaalpie"/>
          <w:rFonts w:ascii="Century Gothic" w:hAnsi="Century Gothic" w:cs="Arial"/>
          <w:bCs/>
          <w:sz w:val="22"/>
          <w:lang w:val="es-ES_tradnl"/>
        </w:rPr>
        <w:footnoteReference w:id="9"/>
      </w:r>
      <w:r w:rsidRPr="00355BE8">
        <w:rPr>
          <w:rFonts w:ascii="Century Gothic" w:hAnsi="Century Gothic" w:cs="Arial"/>
          <w:bCs/>
          <w:sz w:val="22"/>
          <w:lang w:val="es-ES_tradnl"/>
        </w:rPr>
        <w:t xml:space="preserve">. Asimismo, cuando se está ante </w:t>
      </w:r>
      <w:r w:rsidRPr="00355BE8">
        <w:rPr>
          <w:rFonts w:ascii="Century Gothic" w:hAnsi="Century Gothic" w:cs="Arial"/>
          <w:color w:val="000000" w:themeColor="text1"/>
          <w:sz w:val="22"/>
        </w:rPr>
        <w:t>la existencia de un contrato complejo</w:t>
      </w:r>
      <w:r w:rsidRPr="00355BE8">
        <w:rPr>
          <w:rStyle w:val="Refdenotaalpie"/>
          <w:rFonts w:ascii="Century Gothic" w:hAnsi="Century Gothic" w:cs="Arial"/>
          <w:color w:val="000000" w:themeColor="text1"/>
          <w:sz w:val="22"/>
        </w:rPr>
        <w:footnoteReference w:id="10"/>
      </w:r>
      <w:r w:rsidRPr="00355BE8">
        <w:rPr>
          <w:rFonts w:ascii="Century Gothic" w:hAnsi="Century Gothic" w:cs="Arial"/>
          <w:color w:val="000000" w:themeColor="text1"/>
          <w:sz w:val="22"/>
        </w:rPr>
        <w:t>, porque la voluntad de las partes involucra diversas estipulaciones que por lo general son propios de varios tipos contractuales, se dificulta definir el criterio interpretativo para disciplinar el contrato. No obstante, surge la necesidad de desentrañar dicha voluntad de los contratantes y, para el efecto, puede acudirse a la siguiente solución planteada por la Corte Suprema de Justicia, en sentencia de casación del 31 de mayo de 1938:</w:t>
      </w:r>
    </w:p>
    <w:p w14:paraId="566BBA7A" w14:textId="77777777" w:rsidR="00812F1D" w:rsidRPr="00355BE8" w:rsidRDefault="00812F1D" w:rsidP="00812F1D">
      <w:pPr>
        <w:pStyle w:val="Sinespaciado"/>
        <w:spacing w:line="276" w:lineRule="auto"/>
        <w:jc w:val="both"/>
        <w:rPr>
          <w:rFonts w:ascii="Century Gothic" w:hAnsi="Century Gothic" w:cs="Arial"/>
          <w:color w:val="000000" w:themeColor="text1"/>
          <w:sz w:val="22"/>
        </w:rPr>
      </w:pPr>
    </w:p>
    <w:p w14:paraId="7DDDCC5C" w14:textId="77777777" w:rsidR="00812F1D" w:rsidRPr="003360CA" w:rsidRDefault="00812F1D" w:rsidP="00812F1D">
      <w:pPr>
        <w:pStyle w:val="Sinespaciado"/>
        <w:ind w:left="709" w:right="709"/>
        <w:jc w:val="both"/>
        <w:rPr>
          <w:rFonts w:ascii="Century Gothic" w:hAnsi="Century Gothic" w:cs="Arial"/>
          <w:color w:val="000000" w:themeColor="text1"/>
          <w:sz w:val="20"/>
          <w:szCs w:val="20"/>
        </w:rPr>
      </w:pPr>
      <w:r w:rsidRPr="003360CA">
        <w:rPr>
          <w:rFonts w:ascii="Century Gothic" w:hAnsi="Century Gothic" w:cs="Arial"/>
          <w:color w:val="000000" w:themeColor="text1"/>
          <w:sz w:val="20"/>
          <w:szCs w:val="20"/>
        </w:rPr>
        <w:t>“Las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esos criterios no han de violentar la voluntad libremente configurada de las partes dentro de los amplios límites a ella trazados por el legislador”</w:t>
      </w:r>
      <w:r w:rsidRPr="003360CA">
        <w:rPr>
          <w:rStyle w:val="Refdenotaalpie"/>
          <w:rFonts w:ascii="Century Gothic" w:hAnsi="Century Gothic" w:cs="Arial"/>
          <w:color w:val="000000" w:themeColor="text1"/>
          <w:sz w:val="20"/>
          <w:szCs w:val="20"/>
        </w:rPr>
        <w:footnoteReference w:id="11"/>
      </w:r>
      <w:r w:rsidRPr="003360CA">
        <w:rPr>
          <w:rFonts w:ascii="Century Gothic" w:hAnsi="Century Gothic" w:cs="Arial"/>
          <w:color w:val="000000" w:themeColor="text1"/>
          <w:sz w:val="20"/>
          <w:szCs w:val="20"/>
        </w:rPr>
        <w:t>.</w:t>
      </w:r>
    </w:p>
    <w:p w14:paraId="40F5D0CB" w14:textId="77777777" w:rsidR="00812F1D" w:rsidRPr="00355BE8" w:rsidRDefault="00812F1D" w:rsidP="00812F1D">
      <w:pPr>
        <w:pStyle w:val="Sinespaciado"/>
        <w:spacing w:line="276" w:lineRule="auto"/>
        <w:ind w:left="709" w:right="709"/>
        <w:jc w:val="both"/>
        <w:rPr>
          <w:rFonts w:ascii="Century Gothic" w:hAnsi="Century Gothic" w:cs="Arial"/>
          <w:color w:val="000000" w:themeColor="text1"/>
          <w:sz w:val="21"/>
          <w:szCs w:val="21"/>
        </w:rPr>
      </w:pPr>
    </w:p>
    <w:p w14:paraId="3157E0D3" w14:textId="38426714" w:rsidR="00812F1D" w:rsidRPr="00355BE8" w:rsidRDefault="00812F1D" w:rsidP="00812F1D">
      <w:pPr>
        <w:pStyle w:val="Sinespaciado"/>
        <w:spacing w:line="276" w:lineRule="auto"/>
        <w:ind w:firstLine="709"/>
        <w:jc w:val="both"/>
        <w:rPr>
          <w:rFonts w:ascii="Century Gothic" w:hAnsi="Century Gothic" w:cs="Arial"/>
          <w:color w:val="000000" w:themeColor="text1"/>
          <w:sz w:val="22"/>
        </w:rPr>
      </w:pPr>
      <w:r w:rsidRPr="00355BE8">
        <w:rPr>
          <w:rFonts w:ascii="Century Gothic" w:hAnsi="Century Gothic" w:cs="Arial"/>
          <w:color w:val="000000" w:themeColor="text1"/>
          <w:sz w:val="22"/>
        </w:rPr>
        <w:t xml:space="preserve">Por su parte, el Consejo de Estado también ha entendido que los contratos estatales pueden calificarse como contratos mixtos cuando involucran prestaciones de igual connotación y, en pronunciamiento proferido con ocasión de una consulta relacionada con la </w:t>
      </w:r>
      <w:proofErr w:type="spellStart"/>
      <w:r w:rsidRPr="00355BE8">
        <w:rPr>
          <w:rFonts w:ascii="Century Gothic" w:hAnsi="Century Gothic" w:cs="Arial"/>
          <w:color w:val="000000" w:themeColor="text1"/>
          <w:sz w:val="22"/>
        </w:rPr>
        <w:t>causación</w:t>
      </w:r>
      <w:proofErr w:type="spellEnd"/>
      <w:r w:rsidRPr="00355BE8">
        <w:rPr>
          <w:rFonts w:ascii="Century Gothic" w:hAnsi="Century Gothic" w:cs="Arial"/>
          <w:color w:val="000000" w:themeColor="text1"/>
          <w:sz w:val="22"/>
        </w:rPr>
        <w:t xml:space="preserve"> de la estampilla </w:t>
      </w:r>
      <w:proofErr w:type="spellStart"/>
      <w:r w:rsidRPr="00355BE8">
        <w:rPr>
          <w:rFonts w:ascii="Century Gothic" w:hAnsi="Century Gothic" w:cs="Arial"/>
          <w:color w:val="000000" w:themeColor="text1"/>
          <w:sz w:val="22"/>
        </w:rPr>
        <w:t>prouniversidades</w:t>
      </w:r>
      <w:proofErr w:type="spellEnd"/>
      <w:r w:rsidRPr="00355BE8">
        <w:rPr>
          <w:rFonts w:ascii="Century Gothic" w:hAnsi="Century Gothic" w:cs="Arial"/>
          <w:color w:val="000000" w:themeColor="text1"/>
          <w:sz w:val="22"/>
        </w:rPr>
        <w:t xml:space="preserve"> por la suscripción de contratos de suministro de materiales, personal y mantenimientos para las sedes de una entidad, consideró lo siguiente frente a la interpretación de estos contratos:</w:t>
      </w:r>
    </w:p>
    <w:p w14:paraId="1358D9C5" w14:textId="77777777" w:rsidR="00812F1D" w:rsidRPr="00355BE8" w:rsidRDefault="00812F1D" w:rsidP="003360CA">
      <w:pPr>
        <w:pStyle w:val="Sinespaciado"/>
        <w:jc w:val="both"/>
        <w:rPr>
          <w:rFonts w:ascii="Century Gothic" w:hAnsi="Century Gothic" w:cs="Arial"/>
          <w:color w:val="000000" w:themeColor="text1"/>
          <w:sz w:val="22"/>
        </w:rPr>
      </w:pPr>
    </w:p>
    <w:p w14:paraId="52A7093F" w14:textId="77777777" w:rsidR="00812F1D" w:rsidRPr="003360CA" w:rsidRDefault="00812F1D" w:rsidP="00812F1D">
      <w:pPr>
        <w:pStyle w:val="Sinespaciado"/>
        <w:widowControl w:val="0"/>
        <w:autoSpaceDE w:val="0"/>
        <w:autoSpaceDN w:val="0"/>
        <w:ind w:left="709" w:right="709"/>
        <w:jc w:val="both"/>
        <w:rPr>
          <w:rFonts w:ascii="Century Gothic" w:hAnsi="Century Gothic" w:cs="Arial"/>
          <w:color w:val="000000" w:themeColor="text1"/>
          <w:sz w:val="20"/>
          <w:szCs w:val="20"/>
        </w:rPr>
      </w:pPr>
      <w:r w:rsidRPr="00355BE8">
        <w:rPr>
          <w:rFonts w:ascii="Century Gothic" w:hAnsi="Century Gothic" w:cs="Arial"/>
          <w:color w:val="000000" w:themeColor="text1"/>
          <w:sz w:val="21"/>
          <w:szCs w:val="21"/>
        </w:rPr>
        <w:t>“</w:t>
      </w:r>
      <w:r w:rsidRPr="003360CA">
        <w:rPr>
          <w:rFonts w:ascii="Century Gothic" w:hAnsi="Century Gothic" w:cs="Arial"/>
          <w:color w:val="000000" w:themeColor="text1"/>
          <w:sz w:val="20"/>
          <w:szCs w:val="20"/>
        </w:rPr>
        <w:t xml:space="preserve">Es posible que existan contratos mixtos que contengan prestaciones </w:t>
      </w:r>
      <w:r w:rsidRPr="003360CA">
        <w:rPr>
          <w:rFonts w:ascii="Century Gothic" w:hAnsi="Century Gothic" w:cs="Arial"/>
          <w:color w:val="000000" w:themeColor="text1"/>
          <w:sz w:val="20"/>
          <w:szCs w:val="20"/>
        </w:rPr>
        <w:lastRenderedPageBreak/>
        <w:t>correspondientes a varios tipos o clases de contratos, que no se encuentran relacionados con otros contratos típicos o atípicos, nominados o innominados a que se refieren los artículos 32 y 40 de la Ley 80 de 1993.</w:t>
      </w:r>
    </w:p>
    <w:p w14:paraId="6D1A95F1" w14:textId="77777777" w:rsidR="00812F1D" w:rsidRPr="003360CA" w:rsidRDefault="00812F1D" w:rsidP="00812F1D">
      <w:pPr>
        <w:pStyle w:val="Sinespaciado"/>
        <w:ind w:left="709" w:right="709"/>
        <w:jc w:val="both"/>
        <w:rPr>
          <w:rFonts w:ascii="Century Gothic" w:hAnsi="Century Gothic" w:cs="Arial"/>
          <w:color w:val="000000" w:themeColor="text1"/>
          <w:sz w:val="20"/>
          <w:szCs w:val="20"/>
        </w:rPr>
      </w:pPr>
      <w:r w:rsidRPr="003360CA">
        <w:rPr>
          <w:rFonts w:ascii="Century Gothic" w:hAnsi="Century Gothic" w:cs="Arial"/>
          <w:color w:val="000000" w:themeColor="text1"/>
          <w:sz w:val="20"/>
          <w:szCs w:val="20"/>
        </w:rPr>
        <w:t>[…]</w:t>
      </w:r>
    </w:p>
    <w:p w14:paraId="2FF73982" w14:textId="77777777" w:rsidR="00812F1D" w:rsidRPr="003360CA" w:rsidRDefault="00812F1D" w:rsidP="00812F1D">
      <w:pPr>
        <w:pStyle w:val="Sinespaciado"/>
        <w:widowControl w:val="0"/>
        <w:autoSpaceDE w:val="0"/>
        <w:autoSpaceDN w:val="0"/>
        <w:spacing w:before="120"/>
        <w:ind w:left="709" w:right="709"/>
        <w:jc w:val="both"/>
        <w:rPr>
          <w:rFonts w:ascii="Century Gothic" w:hAnsi="Century Gothic" w:cs="Arial"/>
          <w:color w:val="000000" w:themeColor="text1"/>
          <w:sz w:val="20"/>
          <w:szCs w:val="20"/>
        </w:rPr>
      </w:pPr>
      <w:r w:rsidRPr="003360CA">
        <w:rPr>
          <w:rFonts w:ascii="Century Gothic" w:hAnsi="Century Gothic" w:cs="Arial"/>
          <w:color w:val="000000" w:themeColor="text1"/>
          <w:sz w:val="20"/>
          <w:szCs w:val="20"/>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14:paraId="3A660CEA" w14:textId="77777777" w:rsidR="00812F1D" w:rsidRPr="003360CA" w:rsidRDefault="00812F1D" w:rsidP="00812F1D">
      <w:pPr>
        <w:pStyle w:val="Sinespaciado"/>
        <w:widowControl w:val="0"/>
        <w:autoSpaceDE w:val="0"/>
        <w:autoSpaceDN w:val="0"/>
        <w:spacing w:before="120"/>
        <w:ind w:left="709" w:right="709"/>
        <w:jc w:val="both"/>
        <w:rPr>
          <w:rFonts w:ascii="Century Gothic" w:hAnsi="Century Gothic" w:cs="Arial"/>
          <w:color w:val="000000" w:themeColor="text1"/>
          <w:sz w:val="20"/>
          <w:szCs w:val="20"/>
        </w:rPr>
      </w:pPr>
      <w:r w:rsidRPr="003360CA">
        <w:rPr>
          <w:rFonts w:ascii="Century Gothic" w:hAnsi="Century Gothic" w:cs="Arial"/>
          <w:color w:val="000000" w:themeColor="text1"/>
          <w:sz w:val="20"/>
          <w:szCs w:val="20"/>
        </w:rPr>
        <w:t xml:space="preserve">El ejemplo de contratos mixtos más común se refiere, como se señaló, al suministro de equipos necesarios para la prestación del servicio público de la entidad, con prestaciones accesorias y necesarias, relacionadas con su instalación y su puesta en funcionamiento, así como servicios de capacitación de asesoría de la entidad en el uso de </w:t>
      </w:r>
      <w:proofErr w:type="gramStart"/>
      <w:r w:rsidRPr="003360CA">
        <w:rPr>
          <w:rFonts w:ascii="Century Gothic" w:hAnsi="Century Gothic" w:cs="Arial"/>
          <w:color w:val="000000" w:themeColor="text1"/>
          <w:sz w:val="20"/>
          <w:szCs w:val="20"/>
        </w:rPr>
        <w:t>los mismos</w:t>
      </w:r>
      <w:proofErr w:type="gramEnd"/>
      <w:r w:rsidRPr="003360CA">
        <w:rPr>
          <w:rFonts w:ascii="Century Gothic" w:hAnsi="Century Gothic" w:cs="Arial"/>
          <w:color w:val="000000" w:themeColor="text1"/>
          <w:sz w:val="20"/>
          <w:szCs w:val="20"/>
        </w:rPr>
        <w:t>”</w:t>
      </w:r>
      <w:r w:rsidRPr="003360CA">
        <w:rPr>
          <w:rStyle w:val="Refdenotaalpie"/>
          <w:rFonts w:ascii="Century Gothic" w:hAnsi="Century Gothic" w:cs="Arial"/>
          <w:color w:val="000000" w:themeColor="text1"/>
          <w:sz w:val="20"/>
          <w:szCs w:val="20"/>
        </w:rPr>
        <w:footnoteReference w:id="12"/>
      </w:r>
      <w:r w:rsidRPr="003360CA">
        <w:rPr>
          <w:rFonts w:ascii="Century Gothic" w:hAnsi="Century Gothic" w:cs="Arial"/>
          <w:color w:val="000000" w:themeColor="text1"/>
          <w:sz w:val="20"/>
          <w:szCs w:val="20"/>
        </w:rPr>
        <w:t>.</w:t>
      </w:r>
    </w:p>
    <w:p w14:paraId="780A3AEE" w14:textId="77777777" w:rsidR="00812F1D" w:rsidRPr="00355BE8" w:rsidRDefault="00812F1D" w:rsidP="00812F1D">
      <w:pPr>
        <w:pStyle w:val="Sinespaciado"/>
        <w:widowControl w:val="0"/>
        <w:autoSpaceDE w:val="0"/>
        <w:autoSpaceDN w:val="0"/>
        <w:ind w:right="709"/>
        <w:jc w:val="both"/>
        <w:rPr>
          <w:rFonts w:ascii="Century Gothic" w:hAnsi="Century Gothic" w:cs="Arial"/>
          <w:color w:val="000000" w:themeColor="text1"/>
          <w:sz w:val="22"/>
        </w:rPr>
      </w:pPr>
    </w:p>
    <w:p w14:paraId="3B83B911"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color w:val="000000"/>
          <w:lang w:val="es-ES"/>
        </w:rPr>
      </w:pPr>
      <w:r w:rsidRPr="00355BE8">
        <w:rPr>
          <w:rFonts w:ascii="Century Gothic" w:hAnsi="Century Gothic" w:cs="Arial"/>
          <w:color w:val="000000" w:themeColor="text1"/>
        </w:rPr>
        <w:t>Resulta del caso precisar que la tipología contractual incide en aspectos como el proceso de selección que debe realizarse, los requisitos habilitantes o ponderables a incorporar en el pliego de condiciones para seleccionar de manera objetiva la mejor oferta; y si debe o no exigirse el Registro Único de Proponentes –RUP–, entre otras cuestiones importantes para el proceso de contratación.</w:t>
      </w:r>
      <w:r w:rsidRPr="00355BE8">
        <w:rPr>
          <w:rFonts w:ascii="Century Gothic" w:eastAsia="Arial" w:hAnsi="Century Gothic" w:cs="Arial"/>
          <w:color w:val="000000"/>
          <w:lang w:val="es-ES"/>
        </w:rPr>
        <w:t xml:space="preserve"> En este contexto,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e innominados</w:t>
      </w:r>
      <w:r w:rsidRPr="00355BE8">
        <w:rPr>
          <w:rFonts w:ascii="Century Gothic" w:eastAsia="Arial" w:hAnsi="Century Gothic" w:cs="Arial"/>
          <w:color w:val="000000"/>
          <w:vertAlign w:val="superscript"/>
          <w:lang w:val="es-ES"/>
        </w:rPr>
        <w:footnoteReference w:id="13"/>
      </w:r>
      <w:r w:rsidRPr="00355BE8">
        <w:rPr>
          <w:rFonts w:ascii="Century Gothic" w:eastAsia="Arial" w:hAnsi="Century Gothic" w:cs="Arial"/>
          <w:color w:val="000000"/>
          <w:lang w:val="es-ES"/>
        </w:rPr>
        <w:t xml:space="preserve">. Conforme con lo anterior, el contrato estatal es un acuerdo de voluntades efectuado por las </w:t>
      </w:r>
      <w:r w:rsidRPr="00355BE8">
        <w:rPr>
          <w:rFonts w:ascii="Century Gothic" w:eastAsia="Arial" w:hAnsi="Century Gothic" w:cs="Arial"/>
          <w:color w:val="000000"/>
          <w:lang w:val="es-ES"/>
        </w:rPr>
        <w:lastRenderedPageBreak/>
        <w:t>entidades públicas que genera, extingue o modifica obligaciones para quienes lo</w:t>
      </w:r>
      <w:r w:rsidRPr="00355BE8">
        <w:rPr>
          <w:rFonts w:ascii="Century Gothic" w:eastAsia="Arial" w:hAnsi="Century Gothic" w:cs="Arial"/>
          <w:color w:val="000000"/>
          <w:spacing w:val="-5"/>
          <w:lang w:val="es-ES"/>
        </w:rPr>
        <w:t xml:space="preserve"> </w:t>
      </w:r>
      <w:r w:rsidRPr="00355BE8">
        <w:rPr>
          <w:rFonts w:ascii="Century Gothic" w:eastAsia="Arial" w:hAnsi="Century Gothic" w:cs="Arial"/>
          <w:color w:val="000000"/>
          <w:lang w:val="es-ES"/>
        </w:rPr>
        <w:t xml:space="preserve">suscriben, cuya celebración no se encuentra limitada, de forma exclusiva, a las entidades referidas en la Ley 80 de 1993, sino que, como lo advierte el Consejo de Estado, puede ser suscrito por entidades públicas con regímenes especiales de contratación, caso en el cual se tratará de un contrato estatal especial. </w:t>
      </w:r>
    </w:p>
    <w:p w14:paraId="475F9DB6"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color w:val="000000"/>
          <w:lang w:val="es-ES"/>
        </w:rPr>
      </w:pPr>
      <w:r w:rsidRPr="00355BE8">
        <w:rPr>
          <w:rFonts w:ascii="Century Gothic" w:eastAsia="Arial" w:hAnsi="Century Gothic" w:cs="Arial"/>
          <w:color w:val="000000"/>
          <w:lang w:val="es-ES"/>
        </w:rPr>
        <w:t xml:space="preserve">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 El Estatuto General de Contratación de la Administración Pública no hizo distinción en este aspecto. Por tanto, siempre que una de las entidades estatales celebre un contrato –con un sujeto público o privado– se está en presencia de un contrato estatal y, por tanto, el régimen jurídico de dicho contrato será el Estatuto General de Contratación de la Administración Pública o uno propio y especial, según sea el caso. </w:t>
      </w:r>
    </w:p>
    <w:p w14:paraId="3A323578" w14:textId="77777777" w:rsidR="00812F1D" w:rsidRPr="00355BE8" w:rsidRDefault="00812F1D" w:rsidP="00812F1D">
      <w:pPr>
        <w:widowControl w:val="0"/>
        <w:autoSpaceDE w:val="0"/>
        <w:autoSpaceDN w:val="0"/>
        <w:spacing w:after="0" w:line="276" w:lineRule="auto"/>
        <w:ind w:firstLine="709"/>
        <w:jc w:val="both"/>
        <w:rPr>
          <w:rFonts w:ascii="Century Gothic" w:eastAsia="Arial" w:hAnsi="Century Gothic" w:cs="Arial"/>
          <w:color w:val="000000"/>
          <w:lang w:val="es-ES"/>
        </w:rPr>
      </w:pPr>
      <w:r w:rsidRPr="00355BE8">
        <w:rPr>
          <w:rFonts w:ascii="Century Gothic" w:eastAsia="Arial" w:hAnsi="Century Gothic" w:cs="Arial"/>
          <w:color w:val="000000"/>
          <w:lang w:val="es-ES"/>
        </w:rPr>
        <w:t xml:space="preserve">Asimismo, como explicó la Agencia en el Concepto C-084 del 11 de marzo de 2020, el Decreto Ley 393 de 1991, el Decreto Ley 591 de 1991, la Ley 1286 de 2009 y el Documento CONPES 3582 de 2009, determinan qué actividades son consideradas como de ciencia, tecnología e innovación. En caso de que las Entidades Estatales no tengan certeza sobre la catalogación de las actividades científicas, tecnológicas y de innovación, deben acudir al Ministerio de Ciencia, Tecnología e Innovación, autoridad competente en la materia, como dispone el numeral 15 de la Circular Externa Única. Entonces la entidad, como responsable de estructurar sus procedimientos de selección, debe definir si el objeto a contratar es de aquellas actividades consideradas de ciencia, tecnología e innovación. </w:t>
      </w:r>
    </w:p>
    <w:p w14:paraId="333A1B14" w14:textId="77777777" w:rsidR="00812F1D" w:rsidRPr="00355BE8" w:rsidRDefault="00812F1D" w:rsidP="00812F1D">
      <w:pPr>
        <w:spacing w:before="120" w:after="0" w:line="276" w:lineRule="auto"/>
        <w:ind w:firstLine="709"/>
        <w:jc w:val="both"/>
        <w:rPr>
          <w:rFonts w:ascii="Century Gothic" w:eastAsia="Calibri" w:hAnsi="Century Gothic" w:cs="Arial"/>
          <w:lang w:val="es-ES"/>
        </w:rPr>
      </w:pPr>
      <w:r w:rsidRPr="00355BE8">
        <w:rPr>
          <w:rFonts w:ascii="Century Gothic" w:eastAsia="Calibri" w:hAnsi="Century Gothic" w:cs="Arial"/>
          <w:lang w:val="es-ES"/>
        </w:rPr>
        <w:t>Por lo demás, el concepto citado también aclaró que el artículo 167 de la Ley 1955 de 2019 no establece que la explotación comercial de derechos de propiedad intelectual o bienes intangibles suponga una actividad, programa, proyecto o iniciativa de ciencia, tecnología e innovación, sino que los beneficios o regalías que se generen por dicha explotación, deben ser destinados a tales actividades, programas, proyectos o iniciativas o, en su defecto, a la promoción de industrias creativas, en los términos del artículo 2 de la Ley 1834 de 2017</w:t>
      </w:r>
      <w:r w:rsidRPr="00355BE8">
        <w:rPr>
          <w:rStyle w:val="Refdenotaalpie"/>
          <w:rFonts w:ascii="Century Gothic" w:eastAsia="Calibri" w:hAnsi="Century Gothic" w:cs="Arial"/>
        </w:rPr>
        <w:footnoteReference w:id="14"/>
      </w:r>
      <w:r w:rsidRPr="00355BE8">
        <w:rPr>
          <w:rFonts w:ascii="Century Gothic" w:eastAsia="Calibri" w:hAnsi="Century Gothic" w:cs="Arial"/>
          <w:lang w:val="es-ES"/>
        </w:rPr>
        <w:t xml:space="preserve">. Por </w:t>
      </w:r>
      <w:r w:rsidRPr="00355BE8">
        <w:rPr>
          <w:rFonts w:ascii="Century Gothic" w:eastAsia="Calibri" w:hAnsi="Century Gothic" w:cs="Arial"/>
          <w:lang w:val="es-ES"/>
        </w:rPr>
        <w:lastRenderedPageBreak/>
        <w:t>tanto, en relación con estos contratos debe efectuarse el mismo análisis señalado en el párrafo anterior, con la finalidad de definir su régimen jurídico.</w:t>
      </w:r>
    </w:p>
    <w:p w14:paraId="572DA9FA" w14:textId="77777777" w:rsidR="00812F1D" w:rsidRPr="00355BE8" w:rsidRDefault="00812F1D" w:rsidP="00812F1D">
      <w:pPr>
        <w:spacing w:after="0" w:line="276" w:lineRule="auto"/>
        <w:jc w:val="both"/>
        <w:rPr>
          <w:rFonts w:ascii="Century Gothic" w:hAnsi="Century Gothic" w:cs="Arial"/>
          <w:spacing w:val="2"/>
          <w:lang w:eastAsia="es-CO"/>
        </w:rPr>
      </w:pPr>
    </w:p>
    <w:p w14:paraId="0DDEC240" w14:textId="77777777" w:rsidR="00812F1D" w:rsidRPr="00355BE8" w:rsidRDefault="00812F1D" w:rsidP="00812F1D">
      <w:pPr>
        <w:spacing w:after="0" w:line="276" w:lineRule="auto"/>
        <w:jc w:val="both"/>
        <w:rPr>
          <w:rFonts w:ascii="Century Gothic" w:eastAsia="Calibri" w:hAnsi="Century Gothic" w:cs="Arial"/>
          <w:b/>
          <w:bCs/>
          <w:color w:val="000000" w:themeColor="text1"/>
          <w:lang w:eastAsia="en-GB"/>
        </w:rPr>
      </w:pPr>
      <w:r w:rsidRPr="00355BE8">
        <w:rPr>
          <w:rFonts w:ascii="Century Gothic" w:eastAsia="Calibri" w:hAnsi="Century Gothic" w:cs="Arial"/>
          <w:b/>
          <w:bCs/>
          <w:color w:val="000000" w:themeColor="text1"/>
          <w:lang w:eastAsia="en-GB"/>
        </w:rPr>
        <w:t xml:space="preserve">2.2. </w:t>
      </w:r>
      <w:bookmarkStart w:id="14" w:name="_Hlk131062005"/>
      <w:r w:rsidRPr="00355BE8">
        <w:rPr>
          <w:rFonts w:ascii="Century Gothic" w:eastAsia="Calibri" w:hAnsi="Century Gothic" w:cs="Arial"/>
          <w:b/>
          <w:bCs/>
          <w:color w:val="000000" w:themeColor="text1"/>
          <w:lang w:val="es-ES_tradnl" w:eastAsia="en-GB"/>
        </w:rPr>
        <w:t xml:space="preserve">Principio de planeación y estudios previos en el sistema de compras públicas </w:t>
      </w:r>
    </w:p>
    <w:p w14:paraId="35CED057" w14:textId="77777777" w:rsidR="00812F1D" w:rsidRPr="00355BE8" w:rsidRDefault="00812F1D" w:rsidP="00812F1D">
      <w:pPr>
        <w:spacing w:after="0" w:line="276" w:lineRule="auto"/>
        <w:jc w:val="both"/>
        <w:rPr>
          <w:rFonts w:ascii="Century Gothic" w:eastAsia="Calibri" w:hAnsi="Century Gothic" w:cs="Arial"/>
          <w:lang w:val="es-MX"/>
        </w:rPr>
      </w:pPr>
    </w:p>
    <w:p w14:paraId="5A1B7132" w14:textId="77777777" w:rsidR="00812F1D" w:rsidRPr="00355BE8" w:rsidRDefault="00812F1D" w:rsidP="00812F1D">
      <w:pPr>
        <w:spacing w:after="120" w:line="276" w:lineRule="auto"/>
        <w:jc w:val="both"/>
        <w:rPr>
          <w:rFonts w:ascii="Century Gothic" w:hAnsi="Century Gothic" w:cs="Arial"/>
          <w:bCs/>
          <w:lang w:val="es-ES_tradnl"/>
        </w:rPr>
      </w:pPr>
      <w:r w:rsidRPr="00355BE8">
        <w:rPr>
          <w:rFonts w:ascii="Century Gothic" w:hAnsi="Century Gothic" w:cs="Arial"/>
          <w:bCs/>
          <w:lang w:val="es-ES_tradnl"/>
        </w:rPr>
        <w:t>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Una debida planeación debe conducir a una escogencia diligente de la mejor oferta, para beneficiar los intereses y fines públicos inmersos en la contratación de las entidades estatales, buscando siempre la correcta ejecución del contrato</w:t>
      </w:r>
      <w:r w:rsidRPr="00355BE8">
        <w:rPr>
          <w:rStyle w:val="Refdenotaalpie"/>
          <w:rFonts w:ascii="Century Gothic" w:hAnsi="Century Gothic" w:cs="Arial"/>
        </w:rPr>
        <w:footnoteReference w:id="15"/>
      </w:r>
      <w:r w:rsidRPr="00355BE8">
        <w:rPr>
          <w:rFonts w:ascii="Century Gothic" w:hAnsi="Century Gothic" w:cs="Arial"/>
          <w:bCs/>
          <w:lang w:val="es-ES_tradnl"/>
        </w:rPr>
        <w:t>.</w:t>
      </w:r>
      <w:r w:rsidRPr="00355BE8">
        <w:rPr>
          <w:rFonts w:ascii="Century Gothic" w:hAnsi="Century Gothic" w:cs="Arial"/>
          <w:szCs w:val="24"/>
          <w:lang w:eastAsia="es-CO"/>
        </w:rPr>
        <w:t xml:space="preserve"> </w:t>
      </w:r>
    </w:p>
    <w:p w14:paraId="69D271F7" w14:textId="77777777" w:rsidR="00812F1D" w:rsidRPr="00355BE8" w:rsidRDefault="00812F1D" w:rsidP="00812F1D">
      <w:pPr>
        <w:spacing w:after="0" w:line="276" w:lineRule="auto"/>
        <w:ind w:firstLine="708"/>
        <w:jc w:val="both"/>
        <w:rPr>
          <w:rFonts w:ascii="Century Gothic" w:hAnsi="Century Gothic" w:cs="Arial"/>
          <w:bCs/>
        </w:rPr>
      </w:pPr>
      <w:r w:rsidRPr="00355BE8">
        <w:rPr>
          <w:rFonts w:ascii="Century Gothic" w:hAnsi="Century Gothic" w:cs="Arial"/>
          <w:bCs/>
        </w:rPr>
        <w:lastRenderedPageBreak/>
        <w:t xml:space="preserve">El Estatuto General de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w:t>
      </w:r>
      <w:r w:rsidRPr="00355BE8">
        <w:rPr>
          <w:rFonts w:ascii="Century Gothic" w:hAnsi="Century Gothic" w:cs="Arial"/>
          <w:bCs/>
          <w:lang w:val="es-ES_tradnl"/>
        </w:rPr>
        <w:t>colaboran</w:t>
      </w:r>
      <w:r w:rsidRPr="00355BE8">
        <w:rPr>
          <w:rFonts w:ascii="Century Gothic" w:hAnsi="Century Gothic" w:cs="Arial"/>
          <w:bCs/>
        </w:rPr>
        <w:t xml:space="preserve"> en su consecución. Por ello, respecto al principio de economía, el artículo 25 de la Ley 80 de 1993 dispone que: </w:t>
      </w:r>
    </w:p>
    <w:p w14:paraId="496AF2A9" w14:textId="77777777" w:rsidR="00812F1D" w:rsidRPr="00355BE8" w:rsidRDefault="00812F1D" w:rsidP="00812F1D">
      <w:pPr>
        <w:pStyle w:val="Sinespaciado"/>
        <w:spacing w:line="276" w:lineRule="auto"/>
        <w:ind w:firstLine="708"/>
        <w:jc w:val="both"/>
        <w:rPr>
          <w:rFonts w:ascii="Century Gothic" w:hAnsi="Century Gothic" w:cs="Arial"/>
          <w:bCs/>
          <w:sz w:val="22"/>
          <w:lang w:val="es-ES"/>
        </w:rPr>
      </w:pPr>
    </w:p>
    <w:p w14:paraId="26EC26BF" w14:textId="77777777" w:rsidR="00812F1D" w:rsidRPr="003360CA" w:rsidRDefault="00812F1D" w:rsidP="00812F1D">
      <w:pPr>
        <w:pStyle w:val="Sinespaciado"/>
        <w:ind w:left="709" w:right="709"/>
        <w:jc w:val="both"/>
        <w:rPr>
          <w:rFonts w:ascii="Century Gothic" w:hAnsi="Century Gothic" w:cs="Arial"/>
          <w:sz w:val="20"/>
          <w:szCs w:val="20"/>
        </w:rPr>
      </w:pPr>
      <w:r w:rsidRPr="003360CA">
        <w:rPr>
          <w:rFonts w:ascii="Century Gothic" w:hAnsi="Century Gothic" w:cs="Arial"/>
          <w:sz w:val="20"/>
          <w:szCs w:val="20"/>
        </w:rPr>
        <w:t>“7o. La conveniencia o inconveniencia del objeto a contratar y las autorizaciones y aprobaciones para ello, se analizarán o impartirán con antelación al inicio del proceso de selección del contratista o al de la firma del contrato, según el caso.</w:t>
      </w:r>
    </w:p>
    <w:p w14:paraId="4C972FB3" w14:textId="77777777" w:rsidR="00812F1D" w:rsidRPr="003360CA" w:rsidRDefault="00812F1D" w:rsidP="00812F1D">
      <w:pPr>
        <w:pStyle w:val="Sinespaciado"/>
        <w:spacing w:after="120"/>
        <w:ind w:left="709" w:right="709"/>
        <w:jc w:val="both"/>
        <w:rPr>
          <w:rFonts w:ascii="Century Gothic" w:hAnsi="Century Gothic" w:cs="Arial"/>
          <w:sz w:val="20"/>
          <w:szCs w:val="20"/>
        </w:rPr>
      </w:pPr>
      <w:r w:rsidRPr="003360CA">
        <w:rPr>
          <w:rFonts w:ascii="Century Gothic" w:hAnsi="Century Gothic" w:cs="Arial"/>
          <w:sz w:val="20"/>
          <w:szCs w:val="20"/>
        </w:rPr>
        <w:t>[…]</w:t>
      </w:r>
    </w:p>
    <w:p w14:paraId="5F0DB659" w14:textId="77777777" w:rsidR="00812F1D" w:rsidRPr="003360CA" w:rsidRDefault="00812F1D" w:rsidP="00812F1D">
      <w:pPr>
        <w:pStyle w:val="Sinespaciado"/>
        <w:ind w:left="709" w:right="709"/>
        <w:jc w:val="both"/>
        <w:rPr>
          <w:rFonts w:ascii="Century Gothic" w:hAnsi="Century Gothic" w:cs="Arial"/>
          <w:sz w:val="20"/>
          <w:szCs w:val="20"/>
        </w:rPr>
      </w:pPr>
      <w:r w:rsidRPr="003360CA">
        <w:rPr>
          <w:rFonts w:ascii="Century Gothic" w:hAnsi="Century Gothic" w:cs="Arial"/>
          <w:sz w:val="20"/>
          <w:szCs w:val="20"/>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C1969BF" w14:textId="77777777" w:rsidR="00812F1D" w:rsidRPr="003360CA" w:rsidRDefault="00812F1D" w:rsidP="00812F1D">
      <w:pPr>
        <w:spacing w:after="0"/>
        <w:ind w:left="709" w:right="709"/>
        <w:jc w:val="both"/>
        <w:rPr>
          <w:rFonts w:ascii="Century Gothic" w:hAnsi="Century Gothic" w:cs="Arial"/>
          <w:sz w:val="20"/>
          <w:szCs w:val="20"/>
        </w:rPr>
      </w:pPr>
      <w:r w:rsidRPr="003360CA">
        <w:rPr>
          <w:rFonts w:ascii="Century Gothic" w:hAnsi="Century Gothic" w:cs="Arial"/>
          <w:sz w:val="20"/>
          <w:szCs w:val="20"/>
        </w:rPr>
        <w:t xml:space="preserve">[…]”. </w:t>
      </w:r>
    </w:p>
    <w:p w14:paraId="65FA9010" w14:textId="77777777" w:rsidR="00812F1D" w:rsidRPr="00355BE8" w:rsidRDefault="00812F1D" w:rsidP="00812F1D">
      <w:pPr>
        <w:pStyle w:val="Sinespaciado"/>
        <w:spacing w:line="276" w:lineRule="auto"/>
        <w:ind w:firstLine="709"/>
        <w:jc w:val="both"/>
        <w:rPr>
          <w:rFonts w:ascii="Century Gothic" w:hAnsi="Century Gothic" w:cs="Arial"/>
          <w:sz w:val="22"/>
        </w:rPr>
      </w:pPr>
    </w:p>
    <w:p w14:paraId="5875A12F" w14:textId="77777777" w:rsidR="00812F1D" w:rsidRPr="00355BE8" w:rsidRDefault="00812F1D" w:rsidP="00812F1D">
      <w:pPr>
        <w:pStyle w:val="Sinespaciado"/>
        <w:spacing w:line="276" w:lineRule="auto"/>
        <w:ind w:firstLine="709"/>
        <w:jc w:val="both"/>
        <w:rPr>
          <w:rFonts w:ascii="Century Gothic" w:hAnsi="Century Gothic" w:cs="Arial"/>
          <w:sz w:val="22"/>
        </w:rPr>
      </w:pPr>
      <w:r w:rsidRPr="00355BE8">
        <w:rPr>
          <w:rFonts w:ascii="Century Gothic" w:hAnsi="Century Gothic" w:cs="Arial"/>
          <w:sz w:val="22"/>
        </w:rPr>
        <w:t xml:space="preserve">De las normas citadas se resalta que, en virtud del principio de economía, para iniciar un proceso de contratación, inclusive de contratación directa, se requieren unos estudios previos.  Con ellos, se estructuran, concretan y viabilizan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La norma exige que se determine la necesidad, el objeto a contratar </w:t>
      </w:r>
      <w:r w:rsidRPr="00355BE8">
        <w:rPr>
          <w:rFonts w:ascii="Century Gothic" w:hAnsi="Century Gothic" w:cs="Arial"/>
          <w:sz w:val="22"/>
        </w:rPr>
        <w:lastRenderedPageBreak/>
        <w:t xml:space="preserve">con sus especificaciones y se estime el costo que implica la celebración del contrato de la siguiente manera: </w:t>
      </w:r>
    </w:p>
    <w:p w14:paraId="33B56D14" w14:textId="77777777" w:rsidR="00812F1D" w:rsidRPr="00355BE8" w:rsidRDefault="00812F1D" w:rsidP="00812F1D">
      <w:pPr>
        <w:pStyle w:val="Sinespaciado"/>
        <w:spacing w:line="276" w:lineRule="auto"/>
        <w:jc w:val="both"/>
        <w:rPr>
          <w:rFonts w:ascii="Century Gothic" w:hAnsi="Century Gothic" w:cs="Arial"/>
          <w:sz w:val="22"/>
        </w:rPr>
      </w:pPr>
    </w:p>
    <w:p w14:paraId="52266C69" w14:textId="77777777" w:rsidR="00812F1D" w:rsidRPr="00355BE8" w:rsidRDefault="00812F1D" w:rsidP="00812F1D">
      <w:pPr>
        <w:pStyle w:val="Sinespaciado"/>
        <w:ind w:left="709" w:right="709"/>
        <w:jc w:val="both"/>
        <w:rPr>
          <w:rFonts w:ascii="Century Gothic" w:hAnsi="Century Gothic" w:cs="Arial"/>
          <w:sz w:val="21"/>
          <w:szCs w:val="21"/>
        </w:rPr>
      </w:pPr>
      <w:r w:rsidRPr="00355BE8">
        <w:rPr>
          <w:rFonts w:ascii="Century Gothic" w:hAnsi="Century Gothic" w:cs="Arial"/>
          <w:sz w:val="21"/>
          <w:szCs w:val="21"/>
        </w:rPr>
        <w:t xml:space="preserve">“1. La descripción de la necesidad que la Entidad Estatal pretende satisfacer con el Proceso de Contratación. </w:t>
      </w:r>
    </w:p>
    <w:p w14:paraId="2719D150" w14:textId="77777777" w:rsidR="00812F1D" w:rsidRPr="00355BE8" w:rsidRDefault="00812F1D" w:rsidP="00812F1D">
      <w:pPr>
        <w:pStyle w:val="Sinespaciado"/>
        <w:ind w:left="709" w:right="709"/>
        <w:jc w:val="both"/>
        <w:rPr>
          <w:rFonts w:ascii="Century Gothic" w:hAnsi="Century Gothic" w:cs="Arial"/>
          <w:sz w:val="12"/>
          <w:szCs w:val="12"/>
        </w:rPr>
      </w:pPr>
    </w:p>
    <w:p w14:paraId="247FA362" w14:textId="77777777" w:rsidR="00812F1D" w:rsidRPr="00355BE8" w:rsidRDefault="00812F1D" w:rsidP="00812F1D">
      <w:pPr>
        <w:pStyle w:val="Sinespaciado"/>
        <w:ind w:left="709" w:right="709"/>
        <w:jc w:val="both"/>
        <w:rPr>
          <w:rFonts w:ascii="Century Gothic" w:hAnsi="Century Gothic" w:cs="Arial"/>
          <w:sz w:val="21"/>
          <w:szCs w:val="21"/>
        </w:rPr>
      </w:pPr>
      <w:r w:rsidRPr="00355BE8">
        <w:rPr>
          <w:rFonts w:ascii="Century Gothic" w:hAnsi="Century Gothic"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4FABBEB7" w14:textId="77777777" w:rsidR="00812F1D" w:rsidRPr="00355BE8" w:rsidRDefault="00812F1D" w:rsidP="00812F1D">
      <w:pPr>
        <w:spacing w:after="0" w:line="276" w:lineRule="auto"/>
        <w:jc w:val="both"/>
        <w:rPr>
          <w:rFonts w:ascii="Century Gothic" w:hAnsi="Century Gothic" w:cs="Arial"/>
          <w:bCs/>
          <w:lang w:val="es-ES_tradnl"/>
        </w:rPr>
      </w:pPr>
      <w:r w:rsidRPr="00355BE8">
        <w:rPr>
          <w:rFonts w:ascii="Century Gothic" w:hAnsi="Century Gothic" w:cs="Arial"/>
          <w:bCs/>
          <w:lang w:val="es-ES_tradnl"/>
        </w:rPr>
        <w:tab/>
        <w:t>[…]”.</w:t>
      </w:r>
    </w:p>
    <w:p w14:paraId="0AC063B3" w14:textId="77777777" w:rsidR="00812F1D" w:rsidRPr="00355BE8" w:rsidRDefault="00812F1D" w:rsidP="00812F1D">
      <w:pPr>
        <w:spacing w:after="0" w:line="276" w:lineRule="auto"/>
        <w:jc w:val="both"/>
        <w:rPr>
          <w:rFonts w:ascii="Century Gothic" w:hAnsi="Century Gothic" w:cs="Arial"/>
          <w:bCs/>
          <w:lang w:val="es-ES_tradnl"/>
        </w:rPr>
      </w:pPr>
    </w:p>
    <w:p w14:paraId="11BD8F1D" w14:textId="77777777" w:rsidR="00812F1D" w:rsidRPr="00355BE8" w:rsidRDefault="00812F1D" w:rsidP="00812F1D">
      <w:pPr>
        <w:spacing w:after="120" w:line="276" w:lineRule="auto"/>
        <w:ind w:firstLine="709"/>
        <w:jc w:val="both"/>
        <w:rPr>
          <w:rFonts w:ascii="Century Gothic" w:hAnsi="Century Gothic" w:cs="Arial"/>
          <w:bCs/>
          <w:lang w:val="es-ES_tradnl"/>
        </w:rPr>
      </w:pPr>
      <w:r w:rsidRPr="00355BE8">
        <w:rPr>
          <w:rFonts w:ascii="Century Gothic" w:hAnsi="Century Gothic" w:cs="Arial"/>
          <w:bCs/>
          <w:lang w:val="es-ES_tradnl"/>
        </w:rPr>
        <w:t xml:space="preserve">Para cumplir este objetivo es necesario el estudio del mercado y el análisis del sector económico y de los oferentes, actividad de planeación previa que sirve para identificar aspectos concretos del mercado. Lo que se identifique puede afectar el proceso de selección o las condiciones del negocio a realizar a través del proceso de contratación de bienes, obras o servicios. En este sentido, el artículo </w:t>
      </w:r>
      <w:bookmarkStart w:id="15" w:name="_Hlk36117416"/>
      <w:r w:rsidRPr="00355BE8">
        <w:rPr>
          <w:rFonts w:ascii="Century Gothic" w:hAnsi="Century Gothic" w:cs="Arial"/>
          <w:bCs/>
          <w:lang w:val="es-ES_tradnl"/>
        </w:rPr>
        <w:t>2.2.1.1.1.6.1 del Decreto 1082 de 2015</w:t>
      </w:r>
      <w:bookmarkEnd w:id="15"/>
      <w:r w:rsidRPr="00355BE8">
        <w:rPr>
          <w:rFonts w:ascii="Century Gothic" w:hAnsi="Century Gothic" w:cs="Arial"/>
          <w:bCs/>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30281125" w14:textId="77777777" w:rsidR="00812F1D" w:rsidRPr="00355BE8" w:rsidRDefault="00812F1D" w:rsidP="00812F1D">
      <w:pPr>
        <w:spacing w:before="120" w:line="276" w:lineRule="auto"/>
        <w:ind w:firstLine="709"/>
        <w:jc w:val="both"/>
        <w:rPr>
          <w:rFonts w:ascii="Century Gothic" w:hAnsi="Century Gothic" w:cs="Arial"/>
          <w:bCs/>
          <w:lang w:val="es-ES_tradnl"/>
        </w:rPr>
      </w:pPr>
      <w:r w:rsidRPr="00355BE8">
        <w:rPr>
          <w:rFonts w:ascii="Century Gothic" w:hAnsi="Century Gothic" w:cs="Arial"/>
          <w:bCs/>
          <w:lang w:val="es-ES_tradnl"/>
        </w:rPr>
        <w:t xml:space="preserve">De acuerdo con la norma citada, </w:t>
      </w:r>
      <w:bookmarkStart w:id="16" w:name="_Hlk36140682"/>
      <w:r w:rsidRPr="00355BE8">
        <w:rPr>
          <w:rFonts w:ascii="Century Gothic" w:hAnsi="Century Gothic" w:cs="Arial"/>
          <w:bCs/>
          <w:lang w:val="es-ES_tradnl"/>
        </w:rPr>
        <w:t xml:space="preserve">la entidad debe realizar el análisis necesario para conocer el sector relativo al objeto del proceso de contratación, sin que sea relevante la modalidad de selección. La realización de un análisis desde la perspectiva legal implica la revisión de la regulación vigente para el mercado dentro del que se encuentra el objeto del contrato. La perspectiva comercial se refiere a analizar quiénes pueden ofrecer el bien o servicio que se quiere contratar, cuáles son sus condiciones, y si tienen condiciones especiales que sean relevantes para determinar los requisitos habilitantes, cuando apliquen, entre otros. </w:t>
      </w:r>
    </w:p>
    <w:p w14:paraId="0C268878" w14:textId="77777777" w:rsidR="00812F1D" w:rsidRPr="00355BE8" w:rsidRDefault="00812F1D" w:rsidP="00812F1D">
      <w:pPr>
        <w:spacing w:before="120" w:line="276" w:lineRule="auto"/>
        <w:ind w:firstLine="709"/>
        <w:jc w:val="both"/>
        <w:rPr>
          <w:rFonts w:ascii="Century Gothic" w:hAnsi="Century Gothic" w:cs="Arial"/>
          <w:bCs/>
          <w:lang w:val="es-ES_tradnl"/>
        </w:rPr>
      </w:pPr>
      <w:r w:rsidRPr="00355BE8">
        <w:rPr>
          <w:rFonts w:ascii="Century Gothic" w:hAnsi="Century Gothic" w:cs="Arial"/>
          <w:bCs/>
          <w:lang w:val="es-ES_tradnl"/>
        </w:rPr>
        <w:t>Desde una perspectiva financiera, el análisis conlleva una revisión de las características financieras que se presentan dentro del mercado del bien o servicio.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3D4E16C5" w14:textId="77777777" w:rsidR="00812F1D" w:rsidRPr="00355BE8" w:rsidRDefault="00812F1D" w:rsidP="00812F1D">
      <w:pPr>
        <w:spacing w:before="120" w:line="276" w:lineRule="auto"/>
        <w:ind w:firstLine="709"/>
        <w:jc w:val="both"/>
        <w:rPr>
          <w:rFonts w:ascii="Century Gothic" w:hAnsi="Century Gothic" w:cs="Arial"/>
          <w:bCs/>
          <w:lang w:val="es-ES_tradnl"/>
        </w:rPr>
      </w:pPr>
      <w:r w:rsidRPr="00355BE8">
        <w:rPr>
          <w:rFonts w:ascii="Century Gothic" w:hAnsi="Century Gothic" w:cs="Arial"/>
          <w:bCs/>
          <w:lang w:val="es-ES_tradnl"/>
        </w:rPr>
        <w:t xml:space="preserve">Para negociar y adelantar un proceso de selección de manera adecuada, es necesario conocer la estructura de los posibles contratistas, pues permite identificar la forma en la que suplirá los requerimientos de la entidad. El análisis del </w:t>
      </w:r>
      <w:r w:rsidRPr="00355BE8">
        <w:rPr>
          <w:rFonts w:ascii="Century Gothic" w:hAnsi="Century Gothic" w:cs="Arial"/>
          <w:bCs/>
          <w:lang w:val="es-ES_tradnl"/>
        </w:rPr>
        <w:lastRenderedPageBreak/>
        <w:t>sector debe tener en cuenta el objeto del proceso de contratación, las condiciones del bien o servicio y las ventajas que representa para la Administración contratar el bien o servicio con el contratista. Por ello, el análisis del sector permite sustentar la decisión de realizar un proceso de contratación desde el punto de vista de la eficiencia, eficacia y economía.</w:t>
      </w:r>
    </w:p>
    <w:p w14:paraId="77CC5FBA" w14:textId="77777777" w:rsidR="00812F1D" w:rsidRPr="00355BE8" w:rsidRDefault="00812F1D" w:rsidP="00812F1D">
      <w:pPr>
        <w:spacing w:before="120" w:line="276" w:lineRule="auto"/>
        <w:ind w:firstLine="709"/>
        <w:jc w:val="both"/>
        <w:rPr>
          <w:rFonts w:ascii="Century Gothic" w:hAnsi="Century Gothic" w:cs="Arial"/>
          <w:bCs/>
          <w:lang w:val="es-ES_tradnl"/>
        </w:rPr>
      </w:pPr>
      <w:r w:rsidRPr="00355BE8">
        <w:rPr>
          <w:rFonts w:ascii="Century Gothic" w:hAnsi="Century Gothic" w:cs="Arial"/>
          <w:bCs/>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De igual forma, podrá estudiar la demanda para determinar cómo las entidades estatales y los particulares adquieren esos bienes, obras o servicios para extraer las mejores prácticas e información para el proceso de contratación. </w:t>
      </w:r>
    </w:p>
    <w:bookmarkEnd w:id="16"/>
    <w:p w14:paraId="76814C71" w14:textId="77777777" w:rsidR="00812F1D" w:rsidRPr="00355BE8" w:rsidRDefault="00812F1D" w:rsidP="00812F1D">
      <w:pPr>
        <w:spacing w:before="120" w:after="120" w:line="276" w:lineRule="auto"/>
        <w:ind w:firstLine="709"/>
        <w:jc w:val="both"/>
        <w:rPr>
          <w:rFonts w:ascii="Century Gothic" w:hAnsi="Century Gothic" w:cs="Arial"/>
          <w:bCs/>
          <w:lang w:val="es-ES_tradnl"/>
        </w:rPr>
      </w:pPr>
      <w:r w:rsidRPr="00355BE8">
        <w:rPr>
          <w:rFonts w:ascii="Century Gothic" w:hAnsi="Century Gothic" w:cs="Arial"/>
          <w:bCs/>
          <w:lang w:val="es-ES_tradnl"/>
        </w:rPr>
        <w:t>Colombia Compra Eficiente dispone de una “Guía para la Elaboración de Estudios del Sector”, instrumento que sirve de apoyo para entender el mercado del bien, obra o servicio que la entidad estatal pretende adquirir. Lo anterior con el fin de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595E7E37" w14:textId="77777777" w:rsidR="00812F1D" w:rsidRPr="00355BE8" w:rsidRDefault="00812F1D" w:rsidP="00812F1D">
      <w:pPr>
        <w:spacing w:after="120" w:line="276" w:lineRule="auto"/>
        <w:ind w:firstLine="709"/>
        <w:jc w:val="both"/>
        <w:rPr>
          <w:rFonts w:ascii="Century Gothic" w:hAnsi="Century Gothic" w:cs="Arial"/>
          <w:bCs/>
          <w:lang w:val="es-ES_tradnl"/>
        </w:rPr>
      </w:pPr>
      <w:r w:rsidRPr="00355BE8">
        <w:rPr>
          <w:rFonts w:ascii="Century Gothic" w:hAnsi="Century Gothic" w:cs="Arial"/>
          <w:bCs/>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w:t>
      </w:r>
    </w:p>
    <w:p w14:paraId="191CE4DE" w14:textId="77777777" w:rsidR="00812F1D" w:rsidRPr="00355BE8" w:rsidRDefault="00812F1D" w:rsidP="00812F1D">
      <w:pPr>
        <w:spacing w:after="120" w:line="276" w:lineRule="auto"/>
        <w:ind w:firstLine="709"/>
        <w:jc w:val="both"/>
        <w:rPr>
          <w:rFonts w:ascii="Century Gothic" w:hAnsi="Century Gothic" w:cs="Arial"/>
          <w:lang w:val="es-ES_tradnl"/>
        </w:rPr>
      </w:pPr>
      <w:r w:rsidRPr="00355BE8">
        <w:rPr>
          <w:rFonts w:ascii="Century Gothic" w:hAnsi="Century Gothic" w:cs="Arial"/>
          <w:bCs/>
          <w:lang w:val="es-ES_tradnl"/>
        </w:rPr>
        <w:lastRenderedPageBreak/>
        <w:t xml:space="preserve">La Entidad Estatal debe consignar en los Documentos del Proceso, bien sea en los estudios previos o en la información de soporte de estos, los aspectos de que trata el artículo 2.2.1.1.1.6.1 del Decreto 1082 de 2015. </w:t>
      </w:r>
      <w:r w:rsidRPr="00355BE8">
        <w:rPr>
          <w:rFonts w:ascii="Century Gothic" w:hAnsi="Century Gothic" w:cs="Arial"/>
          <w:lang w:val="es-ES_tradnl"/>
        </w:rPr>
        <w:t xml:space="preserve">De esta manera, deben existir unos estudios previos para fijar los criterios de escogencia del contratista. Dichos criterios tienen fundamento en el análisis del mercado, en el cual nada obsta para que la entidad identifique a varios proveedores en condiciones de cumplir el objeto del contrato. </w:t>
      </w:r>
    </w:p>
    <w:p w14:paraId="0484C6CF" w14:textId="77777777" w:rsidR="00812F1D" w:rsidRPr="00355BE8" w:rsidRDefault="00812F1D" w:rsidP="00812F1D">
      <w:pPr>
        <w:spacing w:after="120" w:line="276" w:lineRule="auto"/>
        <w:ind w:firstLine="709"/>
        <w:jc w:val="both"/>
        <w:rPr>
          <w:rFonts w:ascii="Century Gothic" w:hAnsi="Century Gothic" w:cs="Arial"/>
          <w:sz w:val="21"/>
          <w:szCs w:val="21"/>
          <w:lang w:val="es-ES_tradnl"/>
        </w:rPr>
      </w:pPr>
      <w:r w:rsidRPr="00355BE8">
        <w:rPr>
          <w:rFonts w:ascii="Century Gothic" w:hAnsi="Century Gothic" w:cs="Arial"/>
          <w:lang w:val="es-ES_tradnl"/>
        </w:rPr>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que no sea mayor ni menor. Esto se logra con el estudio del mercado y sus costos, el cual debe estar a disposición de los participantes del procedimiento contractual</w:t>
      </w:r>
      <w:r w:rsidRPr="00355BE8">
        <w:rPr>
          <w:rStyle w:val="Refdenotaalpie"/>
          <w:rFonts w:ascii="Century Gothic" w:hAnsi="Century Gothic" w:cs="Arial"/>
          <w:lang w:val="es-ES_tradnl"/>
        </w:rPr>
        <w:footnoteReference w:id="16"/>
      </w:r>
      <w:r w:rsidRPr="00355BE8">
        <w:rPr>
          <w:rFonts w:ascii="Century Gothic" w:hAnsi="Century Gothic" w:cs="Arial"/>
          <w:lang w:val="es-ES_tradnl"/>
        </w:rPr>
        <w:t>.</w:t>
      </w:r>
    </w:p>
    <w:p w14:paraId="74CBA27A" w14:textId="77777777" w:rsidR="00812F1D" w:rsidRPr="00355BE8" w:rsidRDefault="00812F1D" w:rsidP="00812F1D">
      <w:pPr>
        <w:spacing w:after="120" w:line="276" w:lineRule="auto"/>
        <w:ind w:firstLine="709"/>
        <w:jc w:val="both"/>
        <w:rPr>
          <w:rFonts w:ascii="Century Gothic" w:hAnsi="Century Gothic" w:cs="Arial"/>
          <w:noProof/>
          <w:color w:val="000000" w:themeColor="text1"/>
          <w:lang w:val="es-ES_tradnl"/>
        </w:rPr>
      </w:pPr>
      <w:r w:rsidRPr="00355BE8">
        <w:rPr>
          <w:rFonts w:ascii="Century Gothic" w:hAnsi="Century Gothic" w:cs="Arial"/>
          <w:lang w:val="es-ES_tradnl"/>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432513C3" w14:textId="77777777" w:rsidR="00812F1D" w:rsidRPr="00355BE8" w:rsidRDefault="00812F1D" w:rsidP="00812F1D">
      <w:pPr>
        <w:spacing w:line="276" w:lineRule="auto"/>
        <w:jc w:val="both"/>
        <w:rPr>
          <w:rFonts w:ascii="Century Gothic" w:hAnsi="Century Gothic" w:cs="Arial"/>
          <w:shd w:val="clear" w:color="auto" w:fill="FFFFFF"/>
        </w:rPr>
      </w:pPr>
      <w:r w:rsidRPr="00355BE8">
        <w:rPr>
          <w:rStyle w:val="normaltextrun"/>
          <w:rFonts w:ascii="Century Gothic" w:hAnsi="Century Gothic" w:cs="Arial"/>
          <w:shd w:val="clear" w:color="auto" w:fill="FFFFFF"/>
        </w:rPr>
        <w:tab/>
        <w:t xml:space="preserve">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contienen las razones de que esta sea la adecuada para ejecutar el objeto contractual. El artículo 2.2.1.1.2.1.1 del Decreto 1082 de 2015, que señala el contenido de los estudios y documentos previos, y el principio de selección objetiva requiere un análisis detallado para conocer las condiciones en que se debe adquirir el bien o servicio que satisface su necesidad. </w:t>
      </w:r>
      <w:r w:rsidRPr="00355BE8">
        <w:rPr>
          <w:rFonts w:ascii="Century Gothic" w:hAnsi="Century Gothic" w:cs="Arial"/>
          <w:shd w:val="clear" w:color="auto" w:fill="FFFFFF"/>
        </w:rPr>
        <w:t xml:space="preserve">De las consideraciones anteriores, es claro que las entidades públicas con la </w:t>
      </w:r>
      <w:r w:rsidRPr="00355BE8">
        <w:rPr>
          <w:rFonts w:ascii="Century Gothic" w:hAnsi="Century Gothic" w:cs="Arial"/>
          <w:shd w:val="clear" w:color="auto" w:fill="FFFFFF"/>
        </w:rPr>
        <w:lastRenderedPageBreak/>
        <w:t xml:space="preserve">elaboración de los estudios previos sustentan los argumentos relacionados con la idoneidad de la persona a contratar. </w:t>
      </w:r>
    </w:p>
    <w:p w14:paraId="0073F9FC" w14:textId="77777777" w:rsidR="00812F1D" w:rsidRPr="00355BE8" w:rsidRDefault="00812F1D" w:rsidP="00812F1D">
      <w:pPr>
        <w:spacing w:after="0" w:line="276" w:lineRule="auto"/>
        <w:ind w:firstLine="708"/>
        <w:jc w:val="both"/>
        <w:rPr>
          <w:rFonts w:ascii="Century Gothic" w:hAnsi="Century Gothic" w:cs="Arial"/>
          <w:shd w:val="clear" w:color="auto" w:fill="FFFFFF"/>
        </w:rPr>
      </w:pPr>
      <w:r w:rsidRPr="00355BE8">
        <w:rPr>
          <w:rFonts w:ascii="Century Gothic" w:hAnsi="Century Gothic" w:cs="Arial"/>
          <w:shd w:val="clear" w:color="auto" w:fill="FFFFFF"/>
        </w:rPr>
        <w:t>Tratándose de los interadministrativos, es posible una entidad estatal tenga la necesidad de determinado bien o servicio para satisfacer el cumplimiento de sus funciones y quien es la interesada en iniciar la suscripción de determinado contrato estatal, donde es posible identificar los roles de contratante y contratista. En estos últimos, una entidad estatal más que aunar esfuerzos para satisfacer una necesidad conjunta con otra, busca mediante el cumplimiento de una contraprestación adquirir determinados bienes o servicios prestados por un contratista, en este caso por otra entidad estatal. En estos últimos supuestos sería posible identificar de forma más precisa a la entidad que funge como contratante y la que lo hace como contratista</w:t>
      </w:r>
      <w:r w:rsidRPr="00355BE8">
        <w:rPr>
          <w:rStyle w:val="Refdenotaalpie"/>
          <w:rFonts w:ascii="Century Gothic" w:hAnsi="Century Gothic" w:cs="Arial"/>
          <w:shd w:val="clear" w:color="auto" w:fill="FFFFFF"/>
        </w:rPr>
        <w:footnoteReference w:id="17"/>
      </w:r>
      <w:r w:rsidRPr="00355BE8">
        <w:rPr>
          <w:rFonts w:ascii="Century Gothic" w:hAnsi="Century Gothic" w:cs="Arial"/>
          <w:shd w:val="clear" w:color="auto" w:fill="FFFFFF"/>
        </w:rPr>
        <w:t xml:space="preserve">. Por ello, como se explicó en el Concepto C-503 del 17 de septiembre de 2021, la entidad que tiene la necesidad de contratación o asume la posición de contratante es la que elabora los estudios previos. </w:t>
      </w:r>
    </w:p>
    <w:p w14:paraId="7C49D95D" w14:textId="77777777" w:rsidR="00812F1D" w:rsidRPr="00355BE8" w:rsidRDefault="00812F1D" w:rsidP="00812F1D">
      <w:pPr>
        <w:widowControl w:val="0"/>
        <w:autoSpaceDE w:val="0"/>
        <w:autoSpaceDN w:val="0"/>
        <w:spacing w:after="0" w:line="276" w:lineRule="auto"/>
        <w:jc w:val="both"/>
        <w:rPr>
          <w:rFonts w:ascii="Century Gothic" w:eastAsia="Calibri" w:hAnsi="Century Gothic" w:cs="Arial"/>
          <w:color w:val="000000"/>
          <w:lang w:val="es-ES_tradnl" w:eastAsia="es-ES" w:bidi="es-ES"/>
        </w:rPr>
      </w:pPr>
    </w:p>
    <w:p w14:paraId="3824B40E" w14:textId="77777777" w:rsidR="00812F1D" w:rsidRPr="00355BE8" w:rsidRDefault="00812F1D" w:rsidP="00812F1D">
      <w:pPr>
        <w:spacing w:after="0" w:line="276" w:lineRule="auto"/>
        <w:jc w:val="both"/>
        <w:rPr>
          <w:rFonts w:ascii="Century Gothic" w:eastAsia="Calibri" w:hAnsi="Century Gothic" w:cs="Arial"/>
          <w:b/>
          <w:color w:val="000000" w:themeColor="text1"/>
          <w:lang w:val="es-ES_tradnl"/>
        </w:rPr>
      </w:pPr>
      <w:r w:rsidRPr="00355BE8">
        <w:rPr>
          <w:rFonts w:ascii="Century Gothic" w:eastAsia="Calibri" w:hAnsi="Century Gothic" w:cs="Arial"/>
          <w:b/>
          <w:bCs/>
          <w:color w:val="000000"/>
          <w:lang w:eastAsia="en-GB"/>
        </w:rPr>
        <w:t xml:space="preserve">2.3. </w:t>
      </w:r>
      <w:r w:rsidRPr="00355BE8">
        <w:rPr>
          <w:rFonts w:ascii="Century Gothic" w:eastAsia="Calibri" w:hAnsi="Century Gothic" w:cs="Arial"/>
          <w:b/>
          <w:color w:val="000000" w:themeColor="text1"/>
          <w:lang w:val="es-ES_tradnl"/>
        </w:rPr>
        <w:t>Deber de publicidad y transparencia en la contratación estatal</w:t>
      </w:r>
    </w:p>
    <w:p w14:paraId="731C586C" w14:textId="77777777" w:rsidR="00812F1D" w:rsidRPr="00355BE8" w:rsidRDefault="00812F1D" w:rsidP="00812F1D">
      <w:pPr>
        <w:spacing w:after="0" w:line="276" w:lineRule="auto"/>
        <w:jc w:val="both"/>
        <w:rPr>
          <w:rFonts w:ascii="Century Gothic" w:eastAsia="Calibri" w:hAnsi="Century Gothic" w:cs="Arial"/>
          <w:b/>
          <w:bCs/>
          <w:color w:val="000000"/>
          <w:lang w:eastAsia="en-GB"/>
        </w:rPr>
      </w:pPr>
    </w:p>
    <w:p w14:paraId="2179112F" w14:textId="77777777" w:rsidR="00812F1D" w:rsidRPr="00355BE8" w:rsidRDefault="00812F1D" w:rsidP="00812F1D">
      <w:pPr>
        <w:spacing w:line="276" w:lineRule="auto"/>
        <w:jc w:val="both"/>
        <w:rPr>
          <w:rFonts w:ascii="Century Gothic" w:hAnsi="Century Gothic" w:cs="Arial"/>
        </w:rPr>
      </w:pPr>
      <w:r w:rsidRPr="00355BE8">
        <w:rPr>
          <w:rFonts w:ascii="Century Gothic" w:eastAsia="Calibri" w:hAnsi="Century Gothic" w:cs="Arial"/>
          <w:color w:val="000000"/>
          <w:lang w:eastAsia="en-GB"/>
        </w:rPr>
        <w:t xml:space="preserve">Con independencia del régimen contractual, </w:t>
      </w:r>
      <w:r w:rsidRPr="00355BE8">
        <w:rPr>
          <w:rFonts w:ascii="Century Gothic" w:hAnsi="Century Gothic" w:cs="Arial"/>
        </w:rPr>
        <w:t xml:space="preserve">en armonía con el artículo 209 constitucional, el numeral 8 del artículo 3 de la Ley 1437 de 2011 dispone que “En virtud del principio de transparencia, la actividad administrativa es del dominio público, por consiguiente, toda persona puede conocer las actuaciones de la administración, salvo reserva legal”. Asimismo, el numeral 9 </w:t>
      </w:r>
      <w:r w:rsidRPr="00355BE8">
        <w:rPr>
          <w:rFonts w:ascii="Century Gothic" w:hAnsi="Century Gothic" w:cs="Arial"/>
          <w:i/>
          <w:iCs/>
        </w:rPr>
        <w:t>ibidem</w:t>
      </w:r>
      <w:r w:rsidRPr="00355BE8">
        <w:rPr>
          <w:rFonts w:ascii="Century Gothic" w:hAnsi="Century Gothic" w:cs="Arial"/>
        </w:rPr>
        <w:t xml:space="preserve"> precisa lo siguiente: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  </w:t>
      </w:r>
    </w:p>
    <w:p w14:paraId="3C950BEB" w14:textId="77777777" w:rsidR="00812F1D" w:rsidRPr="00355BE8" w:rsidRDefault="00812F1D" w:rsidP="00812F1D">
      <w:pPr>
        <w:widowControl w:val="0"/>
        <w:tabs>
          <w:tab w:val="left" w:pos="728"/>
        </w:tabs>
        <w:autoSpaceDE w:val="0"/>
        <w:autoSpaceDN w:val="0"/>
        <w:spacing w:after="120" w:line="276" w:lineRule="auto"/>
        <w:jc w:val="both"/>
        <w:rPr>
          <w:rFonts w:ascii="Century Gothic" w:eastAsia="Arial" w:hAnsi="Century Gothic" w:cs="Arial"/>
          <w:b/>
          <w:lang w:val="es-ES"/>
        </w:rPr>
      </w:pPr>
      <w:r w:rsidRPr="00355BE8">
        <w:rPr>
          <w:rFonts w:ascii="Century Gothic" w:hAnsi="Century Gothic" w:cs="Arial"/>
        </w:rPr>
        <w:tab/>
      </w:r>
      <w:r w:rsidRPr="00355BE8">
        <w:rPr>
          <w:rFonts w:ascii="Century Gothic" w:eastAsia="Arial" w:hAnsi="Century Gothic" w:cs="Arial"/>
          <w:lang w:val="es-ES"/>
        </w:rPr>
        <w:t xml:space="preserve">Para la Corte Constitucional el principio de publicidad es la garantía de las personas de conocer las actuaciones judiciales y administrativas y, con base en ese </w:t>
      </w:r>
      <w:r w:rsidRPr="00355BE8">
        <w:rPr>
          <w:rFonts w:ascii="Century Gothic" w:eastAsia="Arial" w:hAnsi="Century Gothic" w:cs="Arial"/>
          <w:lang w:val="es-ES"/>
        </w:rPr>
        <w:lastRenderedPageBreak/>
        <w:t>conocimiento, tener la posibilidad de exigir que se realicen conforme a la ley</w:t>
      </w:r>
      <w:r w:rsidRPr="00355BE8">
        <w:rPr>
          <w:rFonts w:ascii="Century Gothic" w:eastAsia="Arial" w:hAnsi="Century Gothic" w:cs="Arial"/>
          <w:sz w:val="21"/>
          <w:szCs w:val="21"/>
          <w:vertAlign w:val="superscript"/>
          <w:lang w:val="es-ES"/>
        </w:rPr>
        <w:footnoteReference w:id="18"/>
      </w:r>
      <w:r w:rsidRPr="00355BE8">
        <w:rPr>
          <w:rFonts w:ascii="Century Gothic" w:eastAsia="Arial" w:hAnsi="Century Gothic" w:cs="Arial"/>
          <w:sz w:val="21"/>
          <w:szCs w:val="21"/>
          <w:lang w:val="es-ES"/>
        </w:rPr>
        <w:t>.</w:t>
      </w:r>
      <w:r w:rsidRPr="00355BE8">
        <w:rPr>
          <w:rFonts w:ascii="Century Gothic" w:eastAsia="Arial" w:hAnsi="Century Gothic" w:cs="Arial"/>
          <w:b/>
          <w:lang w:val="es-ES"/>
        </w:rPr>
        <w:t xml:space="preserve"> </w:t>
      </w:r>
      <w:r w:rsidRPr="00355BE8">
        <w:rPr>
          <w:rFonts w:ascii="Century Gothic" w:eastAsia="Arial" w:hAnsi="Century Gothic" w:cs="Arial"/>
          <w:bCs/>
          <w:lang w:val="es-ES"/>
        </w:rPr>
        <w:t xml:space="preserve">Este </w:t>
      </w:r>
      <w:r w:rsidRPr="00355BE8">
        <w:rPr>
          <w:rFonts w:ascii="Century Gothic" w:eastAsia="Arial" w:hAnsi="Century Gothic" w:cs="Arial"/>
          <w:lang w:val="es-ES"/>
        </w:rPr>
        <w:t>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355BE8">
        <w:rPr>
          <w:rFonts w:ascii="Century Gothic" w:eastAsia="Arial" w:hAnsi="Century Gothic" w:cs="Arial"/>
          <w:vertAlign w:val="superscript"/>
          <w:lang w:val="es-ES"/>
        </w:rPr>
        <w:footnoteReference w:id="19"/>
      </w:r>
      <w:r w:rsidRPr="00355BE8">
        <w:rPr>
          <w:rFonts w:ascii="Century Gothic" w:eastAsia="Arial" w:hAnsi="Century Gothic" w:cs="Arial"/>
          <w:lang w:val="es-ES"/>
        </w:rPr>
        <w:t xml:space="preserve">. </w:t>
      </w:r>
    </w:p>
    <w:p w14:paraId="3CF71A07" w14:textId="77777777" w:rsidR="00812F1D" w:rsidRPr="00355BE8" w:rsidRDefault="00812F1D" w:rsidP="00812F1D">
      <w:pPr>
        <w:widowControl w:val="0"/>
        <w:tabs>
          <w:tab w:val="left" w:pos="728"/>
        </w:tabs>
        <w:autoSpaceDE w:val="0"/>
        <w:autoSpaceDN w:val="0"/>
        <w:spacing w:after="120" w:line="276" w:lineRule="auto"/>
        <w:jc w:val="both"/>
        <w:rPr>
          <w:rFonts w:ascii="Century Gothic" w:eastAsia="Arial" w:hAnsi="Century Gothic" w:cs="Arial"/>
          <w:lang w:val="es-ES"/>
        </w:rPr>
      </w:pPr>
      <w:r w:rsidRPr="00355BE8">
        <w:rPr>
          <w:rFonts w:ascii="Century Gothic" w:eastAsia="Arial" w:hAnsi="Century Gothic" w:cs="Arial"/>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355BE8">
        <w:rPr>
          <w:rFonts w:ascii="Century Gothic" w:eastAsia="Arial" w:hAnsi="Century Gothic" w:cs="Arial"/>
          <w:vertAlign w:val="superscript"/>
          <w:lang w:val="es-ES"/>
        </w:rPr>
        <w:footnoteReference w:id="20"/>
      </w:r>
      <w:r w:rsidRPr="00355BE8">
        <w:rPr>
          <w:rFonts w:ascii="Century Gothic" w:eastAsia="Arial" w:hAnsi="Century Gothic" w:cs="Arial"/>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EAE4858" w14:textId="77777777" w:rsidR="00812F1D" w:rsidRPr="00355BE8" w:rsidRDefault="00812F1D" w:rsidP="00812F1D">
      <w:pPr>
        <w:widowControl w:val="0"/>
        <w:tabs>
          <w:tab w:val="left" w:pos="728"/>
        </w:tabs>
        <w:autoSpaceDE w:val="0"/>
        <w:autoSpaceDN w:val="0"/>
        <w:spacing w:after="120" w:line="276" w:lineRule="auto"/>
        <w:jc w:val="both"/>
        <w:rPr>
          <w:rFonts w:ascii="Century Gothic" w:eastAsia="Arial" w:hAnsi="Century Gothic" w:cs="Arial"/>
          <w:lang w:val="es-ES"/>
        </w:rPr>
      </w:pPr>
      <w:r w:rsidRPr="00355BE8">
        <w:rPr>
          <w:rFonts w:ascii="Century Gothic" w:eastAsia="Arial" w:hAnsi="Century Gothic" w:cs="Arial"/>
          <w:lang w:val="es-ES"/>
        </w:rPr>
        <w:tab/>
        <w:t xml:space="preserve">La ley citada establece, en el literal e) del artículo 9, que los sujetos </w:t>
      </w:r>
      <w:r w:rsidRPr="00355BE8">
        <w:rPr>
          <w:rFonts w:ascii="Century Gothic" w:eastAsia="Arial" w:hAnsi="Century Gothic" w:cs="Arial"/>
          <w:lang w:val="es-ES"/>
        </w:rPr>
        <w:lastRenderedPageBreak/>
        <w:t>obligados, que son todas las entidades públicas</w:t>
      </w:r>
      <w:r w:rsidRPr="00355BE8">
        <w:rPr>
          <w:rFonts w:ascii="Century Gothic" w:eastAsia="Arial" w:hAnsi="Century Gothic" w:cs="Arial"/>
          <w:vertAlign w:val="superscript"/>
          <w:lang w:val="es-ES"/>
        </w:rPr>
        <w:footnoteReference w:id="21"/>
      </w:r>
      <w:r w:rsidRPr="00355BE8">
        <w:rPr>
          <w:rFonts w:ascii="Century Gothic" w:eastAsia="Arial" w:hAnsi="Century Gothic" w:cs="Arial"/>
          <w:lang w:val="es-ES"/>
        </w:rPr>
        <w:t>, deben publicar la información relativa a su contratación. Esta obligación fue en principio desarrollada por el Decreto 103 de 2015, hoy compilado en el Decreto Único Reglamentario 1081 de 2015</w:t>
      </w:r>
      <w:r w:rsidRPr="00355BE8">
        <w:rPr>
          <w:rFonts w:ascii="Century Gothic" w:eastAsia="Arial" w:hAnsi="Century Gothic" w:cs="Arial"/>
          <w:vertAlign w:val="superscript"/>
          <w:lang w:val="es-ES"/>
        </w:rPr>
        <w:footnoteReference w:id="22"/>
      </w:r>
      <w:r w:rsidRPr="00355BE8">
        <w:rPr>
          <w:rFonts w:ascii="Century Gothic" w:eastAsia="Arial" w:hAnsi="Century Gothic" w:cs="Arial"/>
          <w:lang w:val="es-ES"/>
        </w:rPr>
        <w:t>, el cual dispuso que la publicación de la información contractual de los sujetos obligados, que contratan con cargo a recursos públicos, debe hacerse en el Sistema Electrónico de Contratación Pública –SECOP–.</w:t>
      </w:r>
    </w:p>
    <w:p w14:paraId="2F1A54F3" w14:textId="77777777" w:rsidR="00812F1D" w:rsidRPr="00355BE8" w:rsidRDefault="00812F1D" w:rsidP="00812F1D">
      <w:pPr>
        <w:widowControl w:val="0"/>
        <w:tabs>
          <w:tab w:val="left" w:pos="728"/>
        </w:tabs>
        <w:autoSpaceDE w:val="0"/>
        <w:autoSpaceDN w:val="0"/>
        <w:spacing w:after="120" w:line="276" w:lineRule="auto"/>
        <w:jc w:val="both"/>
        <w:rPr>
          <w:rFonts w:ascii="Century Gothic" w:eastAsia="Arial" w:hAnsi="Century Gothic" w:cs="Arial"/>
          <w:lang w:val="es-ES"/>
        </w:rPr>
      </w:pPr>
      <w:r w:rsidRPr="00355BE8">
        <w:rPr>
          <w:rFonts w:ascii="Century Gothic" w:eastAsia="Arial" w:hAnsi="Century Gothic" w:cs="Arial"/>
          <w:lang w:val="es-ES"/>
        </w:rPr>
        <w:tab/>
        <w:t>Asimismo, de acuerdo con el literal g) del artículo 11 de la misma Ley,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355BE8">
        <w:rPr>
          <w:rFonts w:ascii="Century Gothic" w:eastAsia="Arial" w:hAnsi="Century Gothic" w:cs="Arial"/>
          <w:vertAlign w:val="superscript"/>
          <w:lang w:val="es-ES"/>
        </w:rPr>
        <w:footnoteReference w:id="23"/>
      </w:r>
      <w:r w:rsidRPr="00355BE8">
        <w:rPr>
          <w:rFonts w:ascii="Century Gothic" w:eastAsia="Arial" w:hAnsi="Century Gothic" w:cs="Arial"/>
          <w:lang w:val="es-ES"/>
        </w:rPr>
        <w:t>.</w:t>
      </w:r>
    </w:p>
    <w:p w14:paraId="2039C738" w14:textId="77777777" w:rsidR="00812F1D" w:rsidRPr="00355BE8" w:rsidRDefault="00812F1D" w:rsidP="00812F1D">
      <w:pPr>
        <w:widowControl w:val="0"/>
        <w:tabs>
          <w:tab w:val="left" w:pos="728"/>
        </w:tabs>
        <w:autoSpaceDE w:val="0"/>
        <w:autoSpaceDN w:val="0"/>
        <w:spacing w:after="120" w:line="276" w:lineRule="auto"/>
        <w:jc w:val="both"/>
        <w:rPr>
          <w:rFonts w:ascii="Century Gothic" w:hAnsi="Century Gothic" w:cs="Arial"/>
          <w:lang w:val="es-ES"/>
        </w:rPr>
      </w:pPr>
      <w:r w:rsidRPr="00355BE8">
        <w:rPr>
          <w:rFonts w:ascii="Century Gothic" w:eastAsia="Arial" w:hAnsi="Century Gothic" w:cs="Arial"/>
          <w:lang w:val="es-ES"/>
        </w:rPr>
        <w:tab/>
      </w:r>
      <w:r w:rsidRPr="00355BE8">
        <w:rPr>
          <w:rFonts w:ascii="Century Gothic" w:hAnsi="Century Gothic" w:cs="Arial"/>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deben publicarse y al SECOP como medio de publicación</w:t>
      </w:r>
      <w:r w:rsidRPr="00355BE8">
        <w:rPr>
          <w:rFonts w:ascii="Century Gothic" w:hAnsi="Century Gothic" w:cs="Arial"/>
          <w:vertAlign w:val="superscript"/>
          <w:lang w:val="es-ES"/>
        </w:rPr>
        <w:footnoteReference w:id="24"/>
      </w:r>
      <w:r w:rsidRPr="00355BE8">
        <w:rPr>
          <w:rFonts w:ascii="Century Gothic" w:hAnsi="Century Gothic" w:cs="Arial"/>
          <w:lang w:val="es-ES"/>
        </w:rPr>
        <w:t xml:space="preserve">. De acuerdo con esto, las entidades deben cumplir con el principio </w:t>
      </w:r>
      <w:r w:rsidRPr="00355BE8">
        <w:rPr>
          <w:rFonts w:ascii="Century Gothic" w:hAnsi="Century Gothic" w:cs="Arial"/>
          <w:lang w:val="es-ES"/>
        </w:rPr>
        <w:lastRenderedPageBreak/>
        <w:t>de publicidad respecto de su actividad contractual como garantía para los administrados, para conocer las actuaciones y participar en el control de estas, siendo el SECOP la herramienta que dispuso el Estado para que las entidades cumplan el principio de publicidad.</w:t>
      </w:r>
    </w:p>
    <w:p w14:paraId="639C7A1F" w14:textId="77777777" w:rsidR="00812F1D" w:rsidRPr="00355BE8" w:rsidRDefault="00812F1D" w:rsidP="00812F1D">
      <w:pPr>
        <w:widowControl w:val="0"/>
        <w:tabs>
          <w:tab w:val="left" w:pos="728"/>
        </w:tabs>
        <w:autoSpaceDE w:val="0"/>
        <w:autoSpaceDN w:val="0"/>
        <w:spacing w:after="120" w:line="276" w:lineRule="auto"/>
        <w:jc w:val="both"/>
        <w:rPr>
          <w:rFonts w:ascii="Century Gothic" w:hAnsi="Century Gothic" w:cs="Arial"/>
          <w:lang w:val="es-ES"/>
        </w:rPr>
      </w:pPr>
      <w:r w:rsidRPr="00355BE8">
        <w:rPr>
          <w:rFonts w:ascii="Century Gothic" w:hAnsi="Century Gothic" w:cs="Arial"/>
          <w:lang w:val="es-ES"/>
        </w:rPr>
        <w:tab/>
        <w:t>Ahora bien, las entidades estatales, conforme al artículo 2.2.1.1.1.7.1 del Decreto 1082 de 2015, tienen la obligación de publicar en el SECOP “[…] los Documentos del Proceso y los actos administrativos del Proceso de Contratación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505DBBF"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lang w:val="es-ES"/>
        </w:rPr>
      </w:pPr>
      <w:r w:rsidRPr="00355BE8">
        <w:rPr>
          <w:rFonts w:ascii="Century Gothic" w:eastAsia="Arial" w:hAnsi="Century Gothic" w:cs="Arial"/>
          <w:lang w:val="es-ES"/>
        </w:rPr>
        <w:t xml:space="preserve">No obstante, para identificar los documentos que deben publicarse, es necesario realizar una interpretación sistemática de las disposiciones del Decreto 1082 del 2015, comoquiera que el anterior no es un listado taxativo, sino enunciativo. En efecto, además de los documentos enlistados, el artículo 2.2.1.1.1.3.1 </w:t>
      </w:r>
      <w:proofErr w:type="spellStart"/>
      <w:r w:rsidRPr="00355BE8">
        <w:rPr>
          <w:rFonts w:ascii="Century Gothic" w:eastAsia="Arial" w:hAnsi="Century Gothic" w:cs="Arial"/>
          <w:i/>
          <w:iCs/>
          <w:lang w:val="es-ES"/>
        </w:rPr>
        <w:t>Ibídem</w:t>
      </w:r>
      <w:proofErr w:type="spellEnd"/>
      <w:r w:rsidRPr="00355BE8">
        <w:rPr>
          <w:rFonts w:ascii="Century Gothic" w:eastAsia="Arial" w:hAnsi="Century Gothic" w:cs="Arial"/>
          <w:lang w:val="es-ES"/>
        </w:rPr>
        <w:t xml:space="preserve"> recoge en la noción de </w:t>
      </w:r>
      <w:r w:rsidRPr="00355BE8">
        <w:rPr>
          <w:rFonts w:ascii="Century Gothic" w:eastAsia="Arial" w:hAnsi="Century Gothic" w:cs="Arial"/>
          <w:i/>
          <w:iCs/>
          <w:lang w:val="es-ES"/>
        </w:rPr>
        <w:t>Documentos del Proceso</w:t>
      </w:r>
      <w:r w:rsidRPr="00355BE8">
        <w:rPr>
          <w:rFonts w:ascii="Century Gothic" w:eastAsia="Arial" w:hAnsi="Century Gothic" w:cs="Arial"/>
          <w:lang w:val="es-ES"/>
        </w:rPr>
        <w:t xml:space="preserve"> “cualquier otro documento expedido por la Entidad Estatal durante el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xml:space="preserve">. Este mismo artículo define la expresión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CCBD1C1" w14:textId="77777777" w:rsidR="00812F1D" w:rsidRPr="00355BE8" w:rsidRDefault="00812F1D" w:rsidP="00812F1D">
      <w:pPr>
        <w:widowControl w:val="0"/>
        <w:autoSpaceDE w:val="0"/>
        <w:autoSpaceDN w:val="0"/>
        <w:spacing w:after="120" w:line="276" w:lineRule="auto"/>
        <w:ind w:firstLine="708"/>
        <w:jc w:val="both"/>
        <w:rPr>
          <w:rFonts w:ascii="Century Gothic" w:eastAsia="Arial" w:hAnsi="Century Gothic" w:cs="Arial"/>
          <w:lang w:val="es-ES"/>
        </w:rPr>
      </w:pPr>
      <w:r w:rsidRPr="00355BE8">
        <w:rPr>
          <w:rFonts w:ascii="Century Gothic" w:eastAsia="Arial" w:hAnsi="Century Gothic" w:cs="Arial"/>
          <w:lang w:val="es-ES"/>
        </w:rPr>
        <w:t xml:space="preserve">En todo caso, de conformidad con la segunda parte del inciso primero del artículo 2.2.1.1.1.7.1 </w:t>
      </w:r>
      <w:proofErr w:type="spellStart"/>
      <w:r w:rsidRPr="00355BE8">
        <w:rPr>
          <w:rFonts w:ascii="Century Gothic" w:eastAsia="Arial" w:hAnsi="Century Gothic" w:cs="Arial"/>
          <w:i/>
          <w:iCs/>
          <w:lang w:val="es-ES"/>
        </w:rPr>
        <w:t>Ibídem</w:t>
      </w:r>
      <w:proofErr w:type="spellEnd"/>
      <w:r w:rsidRPr="00355BE8">
        <w:rPr>
          <w:rFonts w:ascii="Century Gothic" w:eastAsia="Arial" w:hAnsi="Century Gothic" w:cs="Arial"/>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355BE8">
        <w:rPr>
          <w:rFonts w:ascii="Century Gothic" w:eastAsia="Arial" w:hAnsi="Century Gothic" w:cs="Arial"/>
          <w:i/>
          <w:iCs/>
          <w:lang w:val="es-ES"/>
        </w:rPr>
        <w:t xml:space="preserve"> </w:t>
      </w:r>
      <w:r w:rsidRPr="00355BE8">
        <w:rPr>
          <w:rFonts w:ascii="Century Gothic" w:eastAsia="Arial" w:hAnsi="Century Gothic" w:cs="Arial"/>
          <w:lang w:val="es-ES"/>
        </w:rPr>
        <w:t xml:space="preserve">Del deber de publicidad, de conformidad con la tercera parte del inciso </w:t>
      </w:r>
      <w:r w:rsidRPr="00355BE8">
        <w:rPr>
          <w:rFonts w:ascii="Century Gothic" w:eastAsia="Arial" w:hAnsi="Century Gothic" w:cs="Arial"/>
          <w:lang w:val="es-ES"/>
        </w:rPr>
        <w:lastRenderedPageBreak/>
        <w:t>primero de la referida norma, también se encuentran exentos los documentos de las operaciones que se realicen en bolsa de productos.</w:t>
      </w:r>
    </w:p>
    <w:p w14:paraId="423AA8C3"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lang w:val="es-ES"/>
        </w:rPr>
      </w:pPr>
      <w:r w:rsidRPr="00355BE8">
        <w:rPr>
          <w:rFonts w:ascii="Century Gothic" w:eastAsia="Arial" w:hAnsi="Century Gothic" w:cs="Arial"/>
          <w:lang w:val="es-ES"/>
        </w:rPr>
        <w:t xml:space="preserve">De lo anterior puede concluirse que, </w:t>
      </w:r>
      <w:bookmarkStart w:id="17" w:name="_Hlk134529941"/>
      <w:r w:rsidRPr="00355BE8">
        <w:rPr>
          <w:rFonts w:ascii="Century Gothic" w:eastAsia="Arial" w:hAnsi="Century Gothic" w:cs="Arial"/>
          <w:lang w:val="es-ES"/>
        </w:rPr>
        <w:t xml:space="preserve">en virtud de lo dispuesto en el artículo 3 de la Ley 1150 de 2007, desarrollado por el artículo 2.2.1.1.1.7.1. del Decreto 1082 de 2015, las entidades están obligadas a publicar en el SECOP todos los documentos relacionados con el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xml:space="preserve"> expedidos durante las etapas precontractual, de ejecución y </w:t>
      </w:r>
      <w:proofErr w:type="spellStart"/>
      <w:r w:rsidRPr="00355BE8">
        <w:rPr>
          <w:rFonts w:ascii="Century Gothic" w:eastAsia="Arial" w:hAnsi="Century Gothic" w:cs="Arial"/>
          <w:lang w:val="es-ES"/>
        </w:rPr>
        <w:t>postcontractual</w:t>
      </w:r>
      <w:proofErr w:type="spellEnd"/>
      <w:r w:rsidRPr="00355BE8">
        <w:rPr>
          <w:rFonts w:ascii="Century Gothic" w:eastAsia="Arial" w:hAnsi="Century Gothic" w:cs="Arial"/>
          <w:lang w:val="es-E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5F691DE6" w14:textId="77777777" w:rsidR="00812F1D" w:rsidRPr="00355BE8" w:rsidRDefault="00812F1D" w:rsidP="00812F1D">
      <w:pPr>
        <w:spacing w:before="120" w:after="120" w:line="276" w:lineRule="auto"/>
        <w:ind w:firstLine="709"/>
        <w:jc w:val="both"/>
        <w:rPr>
          <w:rFonts w:ascii="Century Gothic" w:eastAsia="Calibri" w:hAnsi="Century Gothic" w:cs="Arial"/>
          <w:lang w:val="es-ES"/>
        </w:rPr>
      </w:pPr>
      <w:r w:rsidRPr="00355BE8">
        <w:rPr>
          <w:rFonts w:ascii="Century Gothic" w:eastAsia="Calibri" w:hAnsi="Century Gothic" w:cs="Arial"/>
          <w:lang w:val="es-ES"/>
        </w:rPr>
        <w:t xml:space="preserve">Adicionalmente, el deber de publicar la actividad contractual de las entidades estatales no solo está regulado en el artículo 3 de la Ley 1150 de 2007 y en el </w:t>
      </w:r>
      <w:r w:rsidRPr="00355BE8">
        <w:rPr>
          <w:rFonts w:ascii="Century Gothic" w:eastAsia="Arial" w:hAnsi="Century Gothic" w:cs="Arial"/>
          <w:lang w:val="es-ES"/>
        </w:rPr>
        <w:t xml:space="preserve">artículo 2.2.1.1.1.7.1 del Decreto 1082 de 2015, sino también en la Ley 1712 de 2014 y en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355BE8">
        <w:rPr>
          <w:rFonts w:ascii="Century Gothic" w:eastAsia="Arial" w:hAnsi="Century Gothic" w:cs="Arial"/>
          <w:i/>
          <w:iCs/>
          <w:lang w:val="es-ES"/>
        </w:rPr>
        <w:t xml:space="preserve">Documentos del Proceso </w:t>
      </w:r>
      <w:r w:rsidRPr="00355BE8">
        <w:rPr>
          <w:rFonts w:ascii="Century Gothic" w:eastAsia="Arial" w:hAnsi="Century Gothic" w:cs="Arial"/>
          <w:lang w:val="es-ES"/>
        </w:rPr>
        <w:t>expedidos por la “entidad estatal”.</w:t>
      </w:r>
    </w:p>
    <w:p w14:paraId="5EACF152" w14:textId="77777777" w:rsidR="00812F1D" w:rsidRPr="00355BE8" w:rsidRDefault="00812F1D" w:rsidP="00812F1D">
      <w:pPr>
        <w:spacing w:after="120" w:line="276" w:lineRule="auto"/>
        <w:ind w:firstLine="708"/>
        <w:jc w:val="both"/>
        <w:rPr>
          <w:rFonts w:ascii="Century Gothic" w:eastAsia="Calibri" w:hAnsi="Century Gothic" w:cs="Arial"/>
          <w:bCs/>
          <w:color w:val="000000" w:themeColor="text1"/>
          <w:lang w:val="es-ES_tradnl"/>
        </w:rPr>
      </w:pPr>
      <w:r w:rsidRPr="00355BE8">
        <w:rPr>
          <w:rFonts w:ascii="Century Gothic" w:eastAsia="Calibri" w:hAnsi="Century Gothic" w:cs="Arial"/>
          <w:lang w:val="es-ES"/>
        </w:rPr>
        <w:t xml:space="preserve">Las publicaciones que corresponde efectuar a las entidades estatales, como sujetos obligados por la normativa de la transparencia y acceso a la información pública, antes que una derogación o subrogación del contenido del deber de publicidad regulado por el EGCAP, suponen una ampliación de su alcance, que lo extiende de la simple publicación de la información “producida por la entidad estatal” asociada a la noción de </w:t>
      </w:r>
      <w:r w:rsidRPr="00355BE8">
        <w:rPr>
          <w:rFonts w:ascii="Century Gothic" w:eastAsia="Calibri" w:hAnsi="Century Gothic" w:cs="Arial"/>
          <w:i/>
          <w:iCs/>
          <w:lang w:val="es-ES"/>
        </w:rPr>
        <w:t>Documentos del Proceso</w:t>
      </w:r>
      <w:r w:rsidRPr="00355BE8">
        <w:rPr>
          <w:rFonts w:ascii="Century Gothic" w:eastAsia="Calibri" w:hAnsi="Century Gothic" w:cs="Arial"/>
          <w:lang w:val="es-ES"/>
        </w:rPr>
        <w:t xml:space="preserve">. Esto implica que la publicación que corresponde a las entidades estatales, como sujetos obligados en el marco de la Ley 1712 de 2014, se extiende a todo el desarrollo del procedimiento, desde la etapa de planeación hasta el vencimiento de las garantías, incluyendo cada actuación que se produzca en ese lapso.  </w:t>
      </w:r>
      <w:r w:rsidRPr="00355BE8">
        <w:rPr>
          <w:rFonts w:ascii="Century Gothic" w:eastAsia="Calibri" w:hAnsi="Century Gothic" w:cs="Arial"/>
          <w:bCs/>
          <w:color w:val="000000" w:themeColor="text1"/>
          <w:lang w:val="es-ES_tradnl"/>
        </w:rPr>
        <w:t xml:space="preserve">  </w:t>
      </w:r>
    </w:p>
    <w:bookmarkEnd w:id="17"/>
    <w:p w14:paraId="2BB2BECB" w14:textId="77777777" w:rsidR="00812F1D" w:rsidRPr="00355BE8" w:rsidRDefault="00812F1D" w:rsidP="00812F1D">
      <w:pPr>
        <w:widowControl w:val="0"/>
        <w:autoSpaceDE w:val="0"/>
        <w:autoSpaceDN w:val="0"/>
        <w:spacing w:after="120" w:line="276" w:lineRule="auto"/>
        <w:ind w:firstLine="709"/>
        <w:jc w:val="both"/>
        <w:rPr>
          <w:rFonts w:ascii="Century Gothic" w:hAnsi="Century Gothic" w:cs="Arial"/>
          <w:lang w:val="es-MX"/>
        </w:rPr>
      </w:pPr>
      <w:r w:rsidRPr="00355BE8">
        <w:rPr>
          <w:rFonts w:ascii="Century Gothic" w:eastAsia="Arial" w:hAnsi="Century Gothic" w:cs="Arial"/>
          <w:lang w:val="es-ES"/>
        </w:rPr>
        <w:t xml:space="preserve">Conforme a esto, las entidades estarán obligadas a publicar todos los documentos que se produzcan en el marco del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xml:space="preserve">, de conformidad con las normas que regulan la respectiva modalidad de selección. En este sentido, resulta necesario precisar que, en lo que tiene que ver con la modalidad de selección de contratación directa, </w:t>
      </w:r>
      <w:bookmarkStart w:id="18" w:name="_Hlk48034832"/>
      <w:r w:rsidRPr="00355BE8">
        <w:rPr>
          <w:rFonts w:ascii="Century Gothic" w:eastAsia="Arial" w:hAnsi="Century Gothic" w:cs="Arial"/>
          <w:lang w:val="es-ES"/>
        </w:rPr>
        <w:t xml:space="preserve">en virtud de lo dispuesto en el </w:t>
      </w:r>
      <w:r w:rsidRPr="00355BE8">
        <w:rPr>
          <w:rFonts w:ascii="Century Gothic" w:eastAsia="Arial" w:hAnsi="Century Gothic" w:cs="Arial"/>
          <w:lang w:val="es-ES"/>
        </w:rPr>
        <w:lastRenderedPageBreak/>
        <w:t xml:space="preserve">artículo </w:t>
      </w:r>
      <w:r w:rsidRPr="00355BE8">
        <w:rPr>
          <w:rFonts w:ascii="Century Gothic" w:hAnsi="Century Gothic" w:cs="Arial"/>
          <w:lang w:val="es-MX"/>
        </w:rPr>
        <w:t>2.2.1.2.1.4.3 del Decreto 1082 de 2015</w:t>
      </w:r>
      <w:r w:rsidRPr="00355BE8">
        <w:rPr>
          <w:rFonts w:ascii="Century Gothic" w:hAnsi="Century Gothic" w:cs="Arial"/>
          <w:b/>
          <w:bCs/>
          <w:vertAlign w:val="superscript"/>
          <w:lang w:val="es-MX"/>
        </w:rPr>
        <w:footnoteReference w:id="25"/>
      </w:r>
      <w:r w:rsidRPr="00355BE8">
        <w:rPr>
          <w:rFonts w:ascii="Century Gothic" w:hAnsi="Century Gothic" w:cs="Arial"/>
          <w:lang w:val="es-MX"/>
        </w:rPr>
        <w:t xml:space="preserve">, las entidades no están obligadas a publicar los estudios y documentos previos relacionados con: i) la contratación de empréstitos, </w:t>
      </w:r>
      <w:proofErr w:type="spellStart"/>
      <w:r w:rsidRPr="00355BE8">
        <w:rPr>
          <w:rFonts w:ascii="Century Gothic" w:hAnsi="Century Gothic" w:cs="Arial"/>
          <w:lang w:val="es-MX"/>
        </w:rPr>
        <w:t>ii</w:t>
      </w:r>
      <w:proofErr w:type="spellEnd"/>
      <w:r w:rsidRPr="00355BE8">
        <w:rPr>
          <w:rFonts w:ascii="Century Gothic" w:hAnsi="Century Gothic" w:cs="Arial"/>
          <w:lang w:val="es-MX"/>
        </w:rPr>
        <w:t>) los contratos</w:t>
      </w:r>
      <w:r w:rsidRPr="00355BE8">
        <w:rPr>
          <w:rFonts w:ascii="Century Gothic" w:hAnsi="Century Gothic" w:cs="Arial"/>
          <w:b/>
          <w:bCs/>
          <w:lang w:val="es-MX"/>
        </w:rPr>
        <w:t xml:space="preserve"> </w:t>
      </w:r>
      <w:r w:rsidRPr="00355BE8">
        <w:rPr>
          <w:rFonts w:ascii="Century Gothic" w:hAnsi="Century Gothic" w:cs="Arial"/>
          <w:lang w:val="es-MX"/>
        </w:rPr>
        <w:t xml:space="preserve">interadministrativos que celebre el Ministerio de Hacienda y Crédito Público con el Banco de la República, y </w:t>
      </w:r>
      <w:proofErr w:type="spellStart"/>
      <w:r w:rsidRPr="00355BE8">
        <w:rPr>
          <w:rFonts w:ascii="Century Gothic" w:hAnsi="Century Gothic" w:cs="Arial"/>
          <w:lang w:val="es-MX"/>
        </w:rPr>
        <w:t>iii</w:t>
      </w:r>
      <w:proofErr w:type="spellEnd"/>
      <w:r w:rsidRPr="00355BE8">
        <w:rPr>
          <w:rFonts w:ascii="Century Gothic" w:hAnsi="Century Gothic" w:cs="Arial"/>
          <w:lang w:val="es-MX"/>
        </w:rPr>
        <w:t>) los contratos a los que se refiere el artículo 2.2.1.2.1.4.6 del Decreto 1082 de 2015, relacionados con bienes y servicios del Sector Defensa, la Dirección Nacional de Inteligencia y la Unidad Nacional de Protección que requieren reserva para su adquisición</w:t>
      </w:r>
      <w:bookmarkEnd w:id="18"/>
      <w:r w:rsidRPr="00355BE8">
        <w:rPr>
          <w:rFonts w:ascii="Century Gothic" w:hAnsi="Century Gothic" w:cs="Arial"/>
          <w:vertAlign w:val="superscript"/>
          <w:lang w:val="es-MX"/>
        </w:rPr>
        <w:footnoteReference w:id="26"/>
      </w:r>
      <w:r w:rsidRPr="00355BE8">
        <w:rPr>
          <w:rFonts w:ascii="Century Gothic" w:hAnsi="Century Gothic" w:cs="Arial"/>
          <w:lang w:val="es-MX"/>
        </w:rPr>
        <w:t>.</w:t>
      </w:r>
    </w:p>
    <w:p w14:paraId="034E29B9" w14:textId="77777777" w:rsidR="00812F1D" w:rsidRPr="00355BE8" w:rsidRDefault="00812F1D" w:rsidP="00812F1D">
      <w:pPr>
        <w:spacing w:after="120" w:line="276" w:lineRule="auto"/>
        <w:ind w:firstLine="709"/>
        <w:jc w:val="both"/>
        <w:rPr>
          <w:rFonts w:ascii="Century Gothic" w:hAnsi="Century Gothic" w:cs="Arial"/>
          <w:lang w:val="es-ES"/>
        </w:rPr>
      </w:pPr>
      <w:r w:rsidRPr="00355BE8">
        <w:rPr>
          <w:rFonts w:ascii="Century Gothic" w:hAnsi="Century Gothic" w:cs="Arial"/>
          <w:lang w:val="es-ES"/>
        </w:rPr>
        <w:t xml:space="preserve"> En conclusión, el artículo 3 de la Ley 1150 de 2007 desarrolla los principios de publicidad y transparencia de las actuaciones contractuales, del cual se desprende un deber de publicar las actuaciones contractuales, el cual se extiende también a las entidades de régimen exceptuado conforme al artículo 53 de la Ley 2195 de 2022. Esto implica que todas las entidades estatales están obligadas a publicar los documentos en los que se evidencia el desarrollo de sus procesos de contratación, pues el objetivo consiste en materializar el derecho a conocer e intervenir en las decisiones de la Administración Pública.</w:t>
      </w:r>
    </w:p>
    <w:p w14:paraId="68A3459E" w14:textId="77777777" w:rsidR="00812F1D" w:rsidRPr="00355BE8" w:rsidRDefault="00812F1D" w:rsidP="00812F1D">
      <w:pPr>
        <w:spacing w:after="120" w:line="276" w:lineRule="auto"/>
        <w:ind w:firstLine="709"/>
        <w:jc w:val="both"/>
        <w:rPr>
          <w:rFonts w:ascii="Century Gothic" w:eastAsia="Calibri" w:hAnsi="Century Gothic" w:cs="Arial"/>
          <w:lang w:val="es-MX"/>
        </w:rPr>
      </w:pPr>
      <w:r w:rsidRPr="00355BE8">
        <w:rPr>
          <w:rFonts w:ascii="Century Gothic" w:eastAsia="Calibri" w:hAnsi="Century Gothic" w:cs="Arial"/>
          <w:lang w:val="es-MX"/>
        </w:rPr>
        <w:t>Debe precisarse que la calidad de contrato estatal obedece a un criterio eminentemente orgánico, por lo que son todos aquellos celebrados por alguna de entidad estatal, de las cuales, las enlistadas en el artículo 2 de la Ley 80 de 1993, están obligadas a aplicar las normas contenidas en dicha ley</w:t>
      </w:r>
      <w:r w:rsidRPr="00355BE8">
        <w:rPr>
          <w:rFonts w:ascii="Century Gothic" w:eastAsia="Calibri" w:hAnsi="Century Gothic" w:cs="Arial"/>
          <w:vertAlign w:val="superscript"/>
          <w:lang w:val="es-MX"/>
        </w:rPr>
        <w:footnoteReference w:id="27"/>
      </w:r>
      <w:r w:rsidRPr="00355BE8">
        <w:rPr>
          <w:rFonts w:ascii="Century Gothic" w:eastAsia="Calibri" w:hAnsi="Century Gothic" w:cs="Arial"/>
          <w:lang w:val="es-MX"/>
        </w:rPr>
        <w:t xml:space="preserve">. No obstante, la Ley 80 de 1993, la Ley 1150 de 1993 y su reglamentación, no constituyen un conjunto de normas que por sí solas gobiernen el grueso de las relaciones contractuales de las entidades estatales. Por el contrario, constituyen una serie de reglas y principios que deben aplicarse de manera prevalente en los contratos que celebren dichos entes, pero que deben complementarse con el derecho privado, ámbito jurídico </w:t>
      </w:r>
      <w:r w:rsidRPr="00355BE8">
        <w:rPr>
          <w:rFonts w:ascii="Century Gothic" w:eastAsia="Calibri" w:hAnsi="Century Gothic" w:cs="Arial"/>
          <w:lang w:val="es-MX"/>
        </w:rPr>
        <w:lastRenderedPageBreak/>
        <w:t>del que surgen la gran mayoría de tipologías contractuales celebradas por las entidades públicas como se desprende de los artículos 13 y 40 de la Ley 80 de 1993</w:t>
      </w:r>
      <w:r w:rsidRPr="00355BE8">
        <w:rPr>
          <w:rFonts w:ascii="Century Gothic" w:eastAsia="Calibri" w:hAnsi="Century Gothic" w:cs="Arial"/>
          <w:vertAlign w:val="superscript"/>
          <w:lang w:val="es-MX"/>
        </w:rPr>
        <w:footnoteReference w:id="28"/>
      </w:r>
      <w:r w:rsidRPr="00355BE8">
        <w:rPr>
          <w:rFonts w:ascii="Century Gothic" w:eastAsia="Calibri" w:hAnsi="Century Gothic" w:cs="Arial"/>
          <w:lang w:val="es-MX"/>
        </w:rPr>
        <w:t>.</w:t>
      </w:r>
    </w:p>
    <w:p w14:paraId="5AB2AD12" w14:textId="77777777" w:rsidR="00812F1D" w:rsidRPr="00355BE8" w:rsidRDefault="00812F1D" w:rsidP="00812F1D">
      <w:pPr>
        <w:spacing w:after="120" w:line="276" w:lineRule="auto"/>
        <w:ind w:firstLine="709"/>
        <w:jc w:val="both"/>
        <w:rPr>
          <w:rFonts w:ascii="Century Gothic" w:eastAsia="Calibri" w:hAnsi="Century Gothic" w:cs="Arial"/>
          <w:lang w:val="es-MX"/>
        </w:rPr>
      </w:pPr>
      <w:r w:rsidRPr="00355BE8">
        <w:rPr>
          <w:rFonts w:ascii="Century Gothic" w:eastAsia="Calibri" w:hAnsi="Century Gothic" w:cs="Arial"/>
          <w:lang w:val="es-MX"/>
        </w:rPr>
        <w:t xml:space="preserve">De acuerdo con esto, las 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tipologías contractuales distintas a las del artículo 32 </w:t>
      </w:r>
      <w:r w:rsidRPr="00355BE8">
        <w:rPr>
          <w:rFonts w:ascii="Century Gothic" w:eastAsia="Calibri" w:hAnsi="Century Gothic" w:cs="Arial"/>
          <w:i/>
          <w:iCs/>
          <w:lang w:val="es-MX"/>
        </w:rPr>
        <w:t>ibidem</w:t>
      </w:r>
      <w:r w:rsidRPr="00355BE8">
        <w:rPr>
          <w:rFonts w:ascii="Century Gothic" w:eastAsia="Calibri" w:hAnsi="Century Gothic" w:cs="Arial"/>
          <w:lang w:val="es-MX"/>
        </w:rPr>
        <w:t xml:space="preserve">, en los que además de las disposiciones del EGCAP deberán aplicarse en su mayoría normas de derecho privado, lo que de ninguna manera desvirtúa la calidad de estatal de dichos contratos. </w:t>
      </w:r>
    </w:p>
    <w:p w14:paraId="13A660E3" w14:textId="77777777" w:rsidR="00812F1D" w:rsidRPr="00355BE8" w:rsidRDefault="00812F1D" w:rsidP="00812F1D">
      <w:pPr>
        <w:spacing w:after="0" w:line="276" w:lineRule="auto"/>
        <w:ind w:firstLine="709"/>
        <w:jc w:val="both"/>
        <w:rPr>
          <w:rFonts w:ascii="Century Gothic" w:eastAsia="Calibri" w:hAnsi="Century Gothic" w:cs="Arial"/>
          <w:color w:val="000000"/>
          <w:lang w:eastAsia="en-GB"/>
        </w:rPr>
      </w:pPr>
      <w:r w:rsidRPr="00355BE8">
        <w:rPr>
          <w:rFonts w:ascii="Century Gothic" w:eastAsia="Calibri" w:hAnsi="Century Gothic" w:cs="Arial"/>
          <w:lang w:val="es-MX"/>
        </w:rPr>
        <w:t xml:space="preserve">Dicha calidad de contrato estatal tampoco depende de que la relación contractual implique o no la erogación de recursos públicos, pues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3 de la Ley 1150 de 2007 y la normativa de la transparencia y el acceso a la información </w:t>
      </w:r>
      <w:r w:rsidRPr="00355BE8">
        <w:rPr>
          <w:rFonts w:ascii="Century Gothic" w:eastAsia="Calibri" w:hAnsi="Century Gothic" w:cs="Arial"/>
          <w:lang w:val="es-MX"/>
        </w:rPr>
        <w:lastRenderedPageBreak/>
        <w:t xml:space="preserve">pública, materializa los principios de publicidad y transparencia en el ámbito de la contratación estatal, estableciendo el SECOP como medio de publicidad principal de las actuaciones contractuales públicas. </w:t>
      </w:r>
    </w:p>
    <w:bookmarkEnd w:id="13"/>
    <w:bookmarkEnd w:id="14"/>
    <w:p w14:paraId="70DF93AB" w14:textId="77777777" w:rsidR="00812F1D" w:rsidRPr="00355BE8" w:rsidRDefault="00812F1D" w:rsidP="00812F1D">
      <w:pPr>
        <w:tabs>
          <w:tab w:val="left" w:pos="426"/>
        </w:tabs>
        <w:spacing w:after="0" w:line="276" w:lineRule="auto"/>
        <w:jc w:val="both"/>
        <w:rPr>
          <w:rFonts w:ascii="Century Gothic" w:hAnsi="Century Gothic" w:cs="Arial"/>
        </w:rPr>
      </w:pPr>
    </w:p>
    <w:p w14:paraId="4C30F198" w14:textId="77777777" w:rsidR="00812F1D" w:rsidRPr="00355BE8" w:rsidRDefault="00812F1D" w:rsidP="00812F1D">
      <w:pPr>
        <w:tabs>
          <w:tab w:val="left" w:pos="0"/>
        </w:tabs>
        <w:spacing w:after="0"/>
        <w:jc w:val="both"/>
        <w:rPr>
          <w:rFonts w:ascii="Century Gothic" w:eastAsia="Calibri" w:hAnsi="Century Gothic" w:cs="Arial"/>
          <w:b/>
          <w:color w:val="000000" w:themeColor="text1"/>
          <w:lang w:val="es-ES_tradnl"/>
        </w:rPr>
      </w:pPr>
      <w:r w:rsidRPr="00355BE8">
        <w:rPr>
          <w:rFonts w:ascii="Century Gothic" w:eastAsia="Calibri" w:hAnsi="Century Gothic" w:cs="Arial"/>
          <w:b/>
          <w:color w:val="000000" w:themeColor="text1"/>
          <w:lang w:val="es-ES_tradnl"/>
        </w:rPr>
        <w:t>3. Respuesta</w:t>
      </w:r>
    </w:p>
    <w:p w14:paraId="0CB13268" w14:textId="77777777" w:rsidR="00812F1D" w:rsidRPr="00355BE8" w:rsidRDefault="00812F1D" w:rsidP="00812F1D">
      <w:pPr>
        <w:spacing w:after="0" w:line="276" w:lineRule="auto"/>
        <w:ind w:firstLine="709"/>
        <w:jc w:val="both"/>
        <w:rPr>
          <w:rFonts w:ascii="Century Gothic" w:eastAsia="Times New Roman" w:hAnsi="Century Gothic" w:cs="Arial"/>
          <w:lang w:eastAsia="es-CO"/>
        </w:rPr>
      </w:pPr>
      <w:bookmarkStart w:id="20" w:name="_Hlk131064197"/>
    </w:p>
    <w:p w14:paraId="04E77FA0" w14:textId="77777777" w:rsidR="00812F1D" w:rsidRPr="00355BE8" w:rsidRDefault="00812F1D" w:rsidP="00812F1D">
      <w:pPr>
        <w:spacing w:after="120" w:line="240" w:lineRule="auto"/>
        <w:ind w:left="709" w:right="709"/>
        <w:jc w:val="both"/>
        <w:rPr>
          <w:rFonts w:ascii="Century Gothic" w:hAnsi="Century Gothic" w:cs="Arial"/>
          <w:color w:val="000000" w:themeColor="text1"/>
          <w:sz w:val="21"/>
          <w:szCs w:val="21"/>
          <w:lang w:val="es-ES_tradnl"/>
        </w:rPr>
      </w:pPr>
      <w:r w:rsidRPr="00355BE8">
        <w:rPr>
          <w:rFonts w:ascii="Century Gothic" w:hAnsi="Century Gothic" w:cs="Arial"/>
          <w:color w:val="000000" w:themeColor="text1"/>
          <w:sz w:val="21"/>
          <w:szCs w:val="21"/>
          <w:lang w:val="es-ES_tradnl"/>
        </w:rPr>
        <w:t>i) “¿Las licencias o autorizaciones de uso de obras protegidas por derecho de autor en las cuales el MEN funge como licenciante se rigen por la normativa de contratación pública o privada, en particular la de derechos de autor?”.</w:t>
      </w:r>
    </w:p>
    <w:p w14:paraId="4017C74F" w14:textId="77777777" w:rsidR="00812F1D" w:rsidRPr="00355BE8" w:rsidRDefault="00812F1D" w:rsidP="00812F1D">
      <w:pPr>
        <w:spacing w:after="0" w:line="240" w:lineRule="auto"/>
        <w:ind w:left="709" w:right="709"/>
        <w:jc w:val="both"/>
        <w:rPr>
          <w:rFonts w:ascii="Century Gothic" w:hAnsi="Century Gothic" w:cs="Arial"/>
          <w:color w:val="000000" w:themeColor="text1"/>
          <w:sz w:val="21"/>
          <w:szCs w:val="21"/>
          <w:lang w:val="es-ES_tradnl"/>
        </w:rPr>
      </w:pPr>
      <w:proofErr w:type="spellStart"/>
      <w:r w:rsidRPr="00355BE8">
        <w:rPr>
          <w:rFonts w:ascii="Century Gothic" w:hAnsi="Century Gothic" w:cs="Arial"/>
          <w:color w:val="000000" w:themeColor="text1"/>
          <w:sz w:val="21"/>
          <w:szCs w:val="21"/>
          <w:lang w:val="es-ES_tradnl"/>
        </w:rPr>
        <w:t>ii</w:t>
      </w:r>
      <w:proofErr w:type="spellEnd"/>
      <w:r w:rsidRPr="00355BE8">
        <w:rPr>
          <w:rFonts w:ascii="Century Gothic" w:hAnsi="Century Gothic" w:cs="Arial"/>
          <w:color w:val="000000" w:themeColor="text1"/>
          <w:sz w:val="21"/>
          <w:szCs w:val="21"/>
          <w:lang w:val="es-ES_tradnl"/>
        </w:rPr>
        <w:t>) “¿Las licencias o autorizaciones de uso de obras protegidas por derecho de autor en las cuales el MEN funge como licenciatario se rigen por la normativa de contratación pública o privada, en particular la de derechos de autor?”.</w:t>
      </w:r>
    </w:p>
    <w:p w14:paraId="6B4605A7" w14:textId="77777777" w:rsidR="00812F1D" w:rsidRPr="00355BE8" w:rsidRDefault="00812F1D" w:rsidP="00812F1D">
      <w:pPr>
        <w:spacing w:after="0" w:line="276" w:lineRule="auto"/>
        <w:jc w:val="both"/>
        <w:rPr>
          <w:rFonts w:ascii="Century Gothic" w:hAnsi="Century Gothic" w:cs="Arial"/>
          <w:color w:val="000000" w:themeColor="text1"/>
          <w:lang w:val="es-ES_tradnl"/>
        </w:rPr>
      </w:pPr>
    </w:p>
    <w:p w14:paraId="7853BD58" w14:textId="77777777" w:rsidR="00812F1D" w:rsidRPr="00355BE8" w:rsidRDefault="00812F1D" w:rsidP="00812F1D">
      <w:pPr>
        <w:widowControl w:val="0"/>
        <w:autoSpaceDE w:val="0"/>
        <w:autoSpaceDN w:val="0"/>
        <w:spacing w:after="120" w:line="276" w:lineRule="auto"/>
        <w:jc w:val="both"/>
        <w:rPr>
          <w:rFonts w:ascii="Century Gothic" w:eastAsia="Arial" w:hAnsi="Century Gothic" w:cs="Arial"/>
          <w:color w:val="000000"/>
          <w:lang w:val="es-ES"/>
        </w:rPr>
      </w:pPr>
      <w:r w:rsidRPr="00355BE8">
        <w:rPr>
          <w:rFonts w:ascii="Century Gothic" w:hAnsi="Century Gothic" w:cs="Arial"/>
        </w:rPr>
        <w:t xml:space="preserve">Conforme a la interpretación de las normas del sistema de compras públicas, </w:t>
      </w:r>
      <w:bookmarkEnd w:id="20"/>
      <w:r w:rsidRPr="00355BE8">
        <w:rPr>
          <w:rFonts w:ascii="Century Gothic" w:eastAsia="Arial" w:hAnsi="Century Gothic" w:cs="Arial"/>
          <w:color w:val="000000"/>
          <w:lang w:val="es-ES"/>
        </w:rPr>
        <w:t xml:space="preserve">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 El Estatuto General de Contratación de la Administración Pública no hizo distinción en este aspecto. Por tanto, siempre que una de las entidades estatales celebre un contrato –con un sujeto público o privado– se está en presencia de un contrato estatal y, por tanto, el régimen jurídico de dicho contrato será el Estatuto General de Contratación de la Administración Pública o uno propio y especial, según sea el caso. </w:t>
      </w:r>
    </w:p>
    <w:p w14:paraId="3F93C58A" w14:textId="77777777" w:rsidR="00812F1D" w:rsidRPr="00355BE8" w:rsidRDefault="00812F1D" w:rsidP="00812F1D">
      <w:pPr>
        <w:widowControl w:val="0"/>
        <w:autoSpaceDE w:val="0"/>
        <w:autoSpaceDN w:val="0"/>
        <w:spacing w:after="0" w:line="276" w:lineRule="auto"/>
        <w:ind w:firstLine="709"/>
        <w:jc w:val="both"/>
        <w:rPr>
          <w:rFonts w:ascii="Century Gothic" w:eastAsia="Arial" w:hAnsi="Century Gothic" w:cs="Arial"/>
          <w:color w:val="000000"/>
          <w:lang w:val="es-ES"/>
        </w:rPr>
      </w:pPr>
      <w:r w:rsidRPr="00355BE8">
        <w:rPr>
          <w:rFonts w:ascii="Century Gothic" w:eastAsia="Arial" w:hAnsi="Century Gothic" w:cs="Arial"/>
          <w:color w:val="000000"/>
          <w:lang w:val="es-ES"/>
        </w:rPr>
        <w:t xml:space="preserve">Asimismo, como explicó la Agencia en el Concepto C-084 del 11 de marzo de 2020, el Decreto Ley 393 de 1991, el Decreto Ley 591 de 1991, la Ley 1286 de 2009 y el Documento CONPES 3582 de 2009, determinan qué actividades son consideradas como de ciencia, tecnología e innovación. En caso de que las Entidades Estatales no tengan certeza sobre la catalogación de las actividades científicas, tecnológicas y de innovación, deben acudir al Ministerio de Ciencia, Tecnología e Innovación, autoridad competente en la materia, como dispone el numeral 15 de la Circular Externa Única. Entonces la entidad, como responsable de estructurar sus procedimientos de selección, debe definir si el objeto a contratar es de aquellas actividades consideradas de ciencia, tecnología e innovación. </w:t>
      </w:r>
    </w:p>
    <w:p w14:paraId="230E209E" w14:textId="77777777" w:rsidR="00812F1D" w:rsidRPr="00355BE8" w:rsidRDefault="00812F1D" w:rsidP="00812F1D">
      <w:pPr>
        <w:spacing w:before="120" w:line="276" w:lineRule="auto"/>
        <w:ind w:firstLine="709"/>
        <w:jc w:val="both"/>
        <w:rPr>
          <w:rFonts w:ascii="Century Gothic" w:eastAsia="Calibri" w:hAnsi="Century Gothic" w:cs="Arial"/>
          <w:lang w:val="es-ES"/>
        </w:rPr>
      </w:pPr>
      <w:r w:rsidRPr="00355BE8">
        <w:rPr>
          <w:rFonts w:ascii="Century Gothic" w:eastAsia="Calibri" w:hAnsi="Century Gothic" w:cs="Arial"/>
          <w:lang w:val="es-ES"/>
        </w:rPr>
        <w:lastRenderedPageBreak/>
        <w:t>Por lo demás, el concepto citado también aclaró que el artículo 167 de la Ley 1955 de 2019 no establece que la explotación comercial de derechos de propiedad intelectual o bienes intangibles suponga una actividad, programa, proyecto o iniciativa de ciencia, tecnología e innovación, sino que los beneficios o regalías que se generen por dicha explotación, deben ser destinados a tales actividades, programas, proyectos o iniciativas o, en su defecto, a la promoción de industrias creativas, en los términos del artículo 2 de la Ley 1834 de 2017. Por tanto, en relación con estos contratos debe efectuarse el mismo análisis señalado en el párrafo anterior, con la finalidad de definir su régimen jurídico.</w:t>
      </w:r>
    </w:p>
    <w:p w14:paraId="70060CEF" w14:textId="77777777" w:rsidR="00812F1D" w:rsidRPr="00355BE8" w:rsidRDefault="00812F1D" w:rsidP="00812F1D">
      <w:pPr>
        <w:spacing w:before="120" w:after="0" w:line="276" w:lineRule="auto"/>
        <w:ind w:firstLine="709"/>
        <w:jc w:val="both"/>
        <w:rPr>
          <w:rFonts w:ascii="Century Gothic" w:eastAsia="Calibri" w:hAnsi="Century Gothic" w:cs="Arial"/>
          <w:lang w:val="es-ES"/>
        </w:rPr>
      </w:pPr>
      <w:r w:rsidRPr="00355BE8">
        <w:rPr>
          <w:rFonts w:ascii="Century Gothic" w:eastAsia="Calibri" w:hAnsi="Century Gothic" w:cs="Arial"/>
          <w:lang w:val="es-ES"/>
        </w:rPr>
        <w:t>Dentro de este marco general, corresponde a cada entidad pública, en ejercicio de su competencia y previa valoración de los elementos fácticos y jurídicos, determinar la forma de suscribir los contratos de licenciamiento, lo que se extiende al régimen de planeación y de publicidad como se observará al momento de resolver las cuestiones planteadas.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o la interpretación de disposiciones de subsistemas normativos ajenos a las compras públicas corresponden a la entidad de adoptar la decisión correspondiente y, en caso de conflicto, a las autoridades judiciales, fiscales y disciplinarias.</w:t>
      </w:r>
    </w:p>
    <w:p w14:paraId="332B2E3A" w14:textId="77777777" w:rsidR="00812F1D" w:rsidRPr="00355BE8" w:rsidRDefault="00812F1D" w:rsidP="00812F1D">
      <w:pPr>
        <w:spacing w:after="0" w:line="276" w:lineRule="auto"/>
        <w:ind w:firstLine="709"/>
        <w:jc w:val="both"/>
        <w:rPr>
          <w:rFonts w:ascii="Century Gothic" w:eastAsia="Calibri" w:hAnsi="Century Gothic" w:cs="Arial"/>
          <w:lang w:val="es-ES"/>
        </w:rPr>
      </w:pPr>
    </w:p>
    <w:p w14:paraId="1A993539" w14:textId="77777777" w:rsidR="00812F1D" w:rsidRPr="00355BE8" w:rsidRDefault="00812F1D" w:rsidP="00812F1D">
      <w:pPr>
        <w:spacing w:after="120" w:line="240" w:lineRule="auto"/>
        <w:ind w:left="709" w:right="709"/>
        <w:jc w:val="both"/>
        <w:rPr>
          <w:rFonts w:ascii="Century Gothic" w:hAnsi="Century Gothic" w:cs="Arial"/>
          <w:color w:val="000000" w:themeColor="text1"/>
          <w:sz w:val="21"/>
          <w:szCs w:val="21"/>
          <w:lang w:val="es-ES_tradnl"/>
        </w:rPr>
      </w:pPr>
      <w:proofErr w:type="spellStart"/>
      <w:r w:rsidRPr="00355BE8">
        <w:rPr>
          <w:rFonts w:ascii="Century Gothic" w:hAnsi="Century Gothic" w:cs="Arial"/>
          <w:color w:val="000000" w:themeColor="text1"/>
          <w:sz w:val="21"/>
          <w:szCs w:val="21"/>
          <w:lang w:val="es-ES_tradnl"/>
        </w:rPr>
        <w:t>iii</w:t>
      </w:r>
      <w:proofErr w:type="spellEnd"/>
      <w:r w:rsidRPr="00355BE8">
        <w:rPr>
          <w:rFonts w:ascii="Century Gothic" w:hAnsi="Century Gothic" w:cs="Arial"/>
          <w:color w:val="000000" w:themeColor="text1"/>
          <w:sz w:val="21"/>
          <w:szCs w:val="21"/>
          <w:lang w:val="es-ES_tradnl"/>
        </w:rPr>
        <w:t>) “¿El MEN como titular de los derechos patrimoniales de obras protegidas por derecho de autor debe elaborar estudios previos para suscribir una licencia o autorización de uso de obras protegidas por derecho de autor, cuando funge como licenciante?”.</w:t>
      </w:r>
    </w:p>
    <w:p w14:paraId="029B907F" w14:textId="77777777" w:rsidR="00812F1D" w:rsidRPr="00355BE8" w:rsidRDefault="00812F1D" w:rsidP="00812F1D">
      <w:pPr>
        <w:spacing w:after="0" w:line="240" w:lineRule="auto"/>
        <w:ind w:left="709" w:right="709"/>
        <w:jc w:val="both"/>
        <w:rPr>
          <w:rFonts w:ascii="Century Gothic" w:hAnsi="Century Gothic" w:cs="Arial"/>
          <w:color w:val="000000" w:themeColor="text1"/>
          <w:sz w:val="21"/>
          <w:szCs w:val="21"/>
          <w:lang w:val="es-ES_tradnl"/>
        </w:rPr>
      </w:pPr>
      <w:proofErr w:type="spellStart"/>
      <w:r w:rsidRPr="00355BE8">
        <w:rPr>
          <w:rFonts w:ascii="Century Gothic" w:hAnsi="Century Gothic" w:cs="Arial"/>
          <w:color w:val="000000" w:themeColor="text1"/>
          <w:sz w:val="21"/>
          <w:szCs w:val="21"/>
          <w:lang w:val="es-ES_tradnl"/>
        </w:rPr>
        <w:t>iv</w:t>
      </w:r>
      <w:proofErr w:type="spellEnd"/>
      <w:r w:rsidRPr="00355BE8">
        <w:rPr>
          <w:rFonts w:ascii="Century Gothic" w:hAnsi="Century Gothic" w:cs="Arial"/>
          <w:color w:val="000000" w:themeColor="text1"/>
          <w:sz w:val="21"/>
          <w:szCs w:val="21"/>
          <w:lang w:val="es-ES_tradnl"/>
        </w:rPr>
        <w:t>) “¿Es necesario elaborar estudios previos para suscribir una licencia o autorización de uso de obras protegidas por derecho de autor cuando este Ministerio funge en calidad de licenciatario?”.</w:t>
      </w:r>
    </w:p>
    <w:p w14:paraId="250301E0" w14:textId="77777777" w:rsidR="00812F1D" w:rsidRPr="00355BE8" w:rsidRDefault="00812F1D" w:rsidP="00812F1D">
      <w:pPr>
        <w:spacing w:after="0" w:line="276" w:lineRule="auto"/>
        <w:jc w:val="both"/>
        <w:rPr>
          <w:rFonts w:ascii="Century Gothic" w:hAnsi="Century Gothic" w:cs="Arial"/>
          <w:color w:val="000000" w:themeColor="text1"/>
          <w:lang w:val="es-ES_tradnl"/>
        </w:rPr>
      </w:pPr>
    </w:p>
    <w:p w14:paraId="7F6BA885" w14:textId="77777777" w:rsidR="00812F1D" w:rsidRPr="00355BE8" w:rsidRDefault="00812F1D" w:rsidP="00812F1D">
      <w:pPr>
        <w:spacing w:line="276" w:lineRule="auto"/>
        <w:jc w:val="both"/>
        <w:rPr>
          <w:rFonts w:ascii="Century Gothic" w:hAnsi="Century Gothic" w:cs="Arial"/>
          <w:shd w:val="clear" w:color="auto" w:fill="FFFFFF"/>
        </w:rPr>
      </w:pPr>
      <w:r w:rsidRPr="00355BE8">
        <w:rPr>
          <w:rFonts w:ascii="Century Gothic" w:hAnsi="Century Gothic" w:cs="Arial"/>
        </w:rPr>
        <w:t xml:space="preserve">Haciendo abstracción de situaciones concretas o </w:t>
      </w:r>
      <w:r w:rsidRPr="00355BE8">
        <w:rPr>
          <w:rFonts w:ascii="Century Gothic" w:eastAsia="Calibri" w:hAnsi="Century Gothic" w:cs="Arial"/>
          <w:lang w:val="es-ES"/>
        </w:rPr>
        <w:t>de disposiciones que correspondan a subsistemas normativos ajenos a las compras públicas</w:t>
      </w:r>
      <w:r w:rsidRPr="00355BE8">
        <w:rPr>
          <w:rFonts w:ascii="Century Gothic" w:hAnsi="Century Gothic" w:cs="Arial"/>
        </w:rPr>
        <w:t xml:space="preserve">, </w:t>
      </w:r>
      <w:r w:rsidRPr="00355BE8">
        <w:rPr>
          <w:rStyle w:val="normaltextrun"/>
          <w:rFonts w:ascii="Century Gothic" w:hAnsi="Century Gothic" w:cs="Arial"/>
          <w:shd w:val="clear" w:color="auto" w:fill="FFFFFF"/>
        </w:rPr>
        <w:t xml:space="preserve">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contienen las razones </w:t>
      </w:r>
      <w:r w:rsidRPr="00355BE8">
        <w:rPr>
          <w:rStyle w:val="normaltextrun"/>
          <w:rFonts w:ascii="Century Gothic" w:hAnsi="Century Gothic" w:cs="Arial"/>
          <w:shd w:val="clear" w:color="auto" w:fill="FFFFFF"/>
        </w:rPr>
        <w:lastRenderedPageBreak/>
        <w:t xml:space="preserve">de que esta sea la adecuada para ejecutar el objeto contractual. El artículo 2.2.1.1.2.1.1 del Decreto 1082 de 2015, que señala el contenido de los estudios y documentos previos, y el principio de selección objetiva requiere un análisis detallado para conocer las condiciones en que se debe adquirir el bien o servicio que satisface su necesidad. </w:t>
      </w:r>
      <w:r w:rsidRPr="00355BE8">
        <w:rPr>
          <w:rFonts w:ascii="Century Gothic" w:hAnsi="Century Gothic" w:cs="Arial"/>
          <w:shd w:val="clear" w:color="auto" w:fill="FFFFFF"/>
        </w:rPr>
        <w:t xml:space="preserve">De las consideraciones anteriores, es claro que las entidades públicas con la elaboración de los estudios previos sustentan los argumentos relacionados con la idoneidad de la persona a contratar. </w:t>
      </w:r>
    </w:p>
    <w:p w14:paraId="602CE55C" w14:textId="77777777" w:rsidR="00812F1D" w:rsidRPr="00355BE8" w:rsidRDefault="00812F1D" w:rsidP="00812F1D">
      <w:pPr>
        <w:spacing w:after="0" w:line="276" w:lineRule="auto"/>
        <w:ind w:firstLine="708"/>
        <w:jc w:val="both"/>
        <w:rPr>
          <w:rFonts w:ascii="Century Gothic" w:hAnsi="Century Gothic" w:cs="Arial"/>
          <w:shd w:val="clear" w:color="auto" w:fill="FFFFFF"/>
        </w:rPr>
      </w:pPr>
      <w:r w:rsidRPr="00355BE8">
        <w:rPr>
          <w:rFonts w:ascii="Century Gothic" w:hAnsi="Century Gothic" w:cs="Arial"/>
          <w:shd w:val="clear" w:color="auto" w:fill="FFFFFF"/>
        </w:rPr>
        <w:t xml:space="preserve">Tratándose de los interadministrativos, es posible una entidad estatal tenga la necesidad de determinado bien o servicio para satisfacer el cumplimiento de sus funciones y quien es la interesada en iniciar la suscripción de determinado contrato estatal, donde es posible identificar los roles de contratante y contratista. En estos últimos, una entidad estatal más que aunar esfuerzos para satisfacer una necesidad conjunta con otra, busca mediante el cumplimiento de una contraprestación adquirir determinados bienes o servicios prestados por un contratista, en este caso por otra entidad estatal. En estos últimos supuestos sería posible identificar de forma más precisa a la entidad que funge como contratante y la que lo hace como contratista. Por ello, como se explicó en el Concepto C-503 del 17 de septiembre de 2021, la entidad que tiene la necesidad de contratación o asume la posición de contratante es la que elabora los estudios previos. </w:t>
      </w:r>
    </w:p>
    <w:p w14:paraId="3567DBC1" w14:textId="77777777" w:rsidR="00812F1D" w:rsidRPr="00355BE8" w:rsidRDefault="00812F1D" w:rsidP="00812F1D">
      <w:pPr>
        <w:spacing w:after="0" w:line="276" w:lineRule="auto"/>
        <w:ind w:firstLine="709"/>
        <w:jc w:val="both"/>
        <w:rPr>
          <w:rFonts w:ascii="Century Gothic" w:eastAsia="Calibri" w:hAnsi="Century Gothic" w:cs="Arial"/>
          <w:lang w:val="es-ES"/>
        </w:rPr>
      </w:pPr>
    </w:p>
    <w:p w14:paraId="6C665314" w14:textId="77777777" w:rsidR="00812F1D" w:rsidRPr="00355BE8" w:rsidRDefault="00812F1D" w:rsidP="00812F1D">
      <w:pPr>
        <w:spacing w:after="120" w:line="240" w:lineRule="auto"/>
        <w:ind w:left="709" w:right="709"/>
        <w:jc w:val="both"/>
        <w:rPr>
          <w:rFonts w:ascii="Century Gothic" w:hAnsi="Century Gothic" w:cs="Arial"/>
          <w:color w:val="000000" w:themeColor="text1"/>
          <w:sz w:val="21"/>
          <w:szCs w:val="21"/>
          <w:lang w:val="es-ES_tradnl"/>
        </w:rPr>
      </w:pPr>
      <w:r w:rsidRPr="00355BE8">
        <w:rPr>
          <w:rFonts w:ascii="Century Gothic" w:hAnsi="Century Gothic" w:cs="Arial"/>
          <w:color w:val="000000" w:themeColor="text1"/>
          <w:sz w:val="21"/>
          <w:szCs w:val="21"/>
          <w:lang w:val="es-ES_tradnl"/>
        </w:rPr>
        <w:t>v) “¿Las licencias o autorizaciones de uso de obras protegidas por derecho de autor en las cuales este Ministerio funge en calidad de licenciante deben ser publicadas en el SECOP II?”.</w:t>
      </w:r>
    </w:p>
    <w:p w14:paraId="2C8E098C" w14:textId="77777777" w:rsidR="00812F1D" w:rsidRPr="00355BE8" w:rsidRDefault="00812F1D" w:rsidP="00812F1D">
      <w:pPr>
        <w:spacing w:after="0" w:line="240" w:lineRule="auto"/>
        <w:ind w:left="709" w:right="709"/>
        <w:jc w:val="both"/>
        <w:rPr>
          <w:rFonts w:ascii="Century Gothic" w:hAnsi="Century Gothic" w:cs="Arial"/>
          <w:color w:val="000000" w:themeColor="text1"/>
          <w:sz w:val="21"/>
          <w:szCs w:val="21"/>
          <w:lang w:val="es-ES_tradnl"/>
        </w:rPr>
      </w:pPr>
      <w:r w:rsidRPr="00355BE8">
        <w:rPr>
          <w:rFonts w:ascii="Century Gothic" w:hAnsi="Century Gothic" w:cs="Arial"/>
          <w:color w:val="000000" w:themeColor="text1"/>
          <w:sz w:val="21"/>
          <w:szCs w:val="21"/>
          <w:lang w:val="es-ES_tradnl"/>
        </w:rPr>
        <w:t>vi) “¿Las licencias o autorizaciones de uso de obras protegidas por derecho de autor en las cuales este Ministerio funge en calidad de licenciatario deben ser publicadas en el SECOP II?”.</w:t>
      </w:r>
    </w:p>
    <w:p w14:paraId="60110D42" w14:textId="77777777" w:rsidR="00812F1D" w:rsidRPr="00355BE8" w:rsidRDefault="00812F1D" w:rsidP="00812F1D">
      <w:pPr>
        <w:spacing w:after="0" w:line="276" w:lineRule="auto"/>
        <w:jc w:val="both"/>
        <w:rPr>
          <w:rFonts w:ascii="Century Gothic" w:hAnsi="Century Gothic" w:cs="Arial"/>
          <w:color w:val="000000" w:themeColor="text1"/>
          <w:lang w:val="es-ES_tradnl"/>
        </w:rPr>
      </w:pPr>
    </w:p>
    <w:p w14:paraId="09368F2C" w14:textId="77777777" w:rsidR="00812F1D" w:rsidRPr="00355BE8" w:rsidRDefault="00812F1D" w:rsidP="00812F1D">
      <w:pPr>
        <w:spacing w:after="120" w:line="276" w:lineRule="auto"/>
        <w:jc w:val="both"/>
        <w:rPr>
          <w:rFonts w:ascii="Century Gothic" w:hAnsi="Century Gothic" w:cs="Arial"/>
          <w:lang w:val="es-ES"/>
        </w:rPr>
      </w:pPr>
      <w:bookmarkStart w:id="21" w:name="_Hlk146289668"/>
      <w:r w:rsidRPr="00355BE8">
        <w:rPr>
          <w:rFonts w:ascii="Century Gothic" w:hAnsi="Century Gothic" w:cs="Arial"/>
        </w:rPr>
        <w:t xml:space="preserve">Haciendo abstracción de situaciones concretas o </w:t>
      </w:r>
      <w:r w:rsidRPr="00355BE8">
        <w:rPr>
          <w:rFonts w:ascii="Century Gothic" w:eastAsia="Calibri" w:hAnsi="Century Gothic" w:cs="Arial"/>
          <w:lang w:val="es-ES"/>
        </w:rPr>
        <w:t>de disposiciones que correspondan a subsistemas normativos ajenos a las compras públicas</w:t>
      </w:r>
      <w:bookmarkEnd w:id="21"/>
      <w:r w:rsidRPr="00355BE8">
        <w:rPr>
          <w:rFonts w:ascii="Century Gothic" w:hAnsi="Century Gothic" w:cs="Arial"/>
        </w:rPr>
        <w:t xml:space="preserve">, </w:t>
      </w:r>
      <w:r w:rsidRPr="00355BE8">
        <w:rPr>
          <w:rFonts w:ascii="Century Gothic" w:hAnsi="Century Gothic" w:cs="Arial"/>
          <w:lang w:val="es-ES"/>
        </w:rPr>
        <w:t>el artículo 3 de la Ley 1150 de 2007 desarrolla los principios de publicidad y transparencia de las actuaciones contractuales, del cual se desprende un deber de publicar las actuaciones contractuales, el cual se extiende también a las entidades de régimen exceptuado conforme al artículo 53 de la Ley 2195 de 2022. Esto implica que todas las entidades estatales están obligadas a publicar los documentos en los que se evidencia el desarrollo de sus procesos de contratación, pues el objetivo consiste en materializar el derecho a conocer e intervenir en las decisiones de la Administración Pública.</w:t>
      </w:r>
    </w:p>
    <w:p w14:paraId="0D1F3792" w14:textId="77777777" w:rsidR="00812F1D" w:rsidRPr="00355BE8" w:rsidRDefault="00812F1D" w:rsidP="00812F1D">
      <w:pPr>
        <w:widowControl w:val="0"/>
        <w:autoSpaceDE w:val="0"/>
        <w:autoSpaceDN w:val="0"/>
        <w:spacing w:after="120" w:line="276" w:lineRule="auto"/>
        <w:ind w:firstLine="709"/>
        <w:jc w:val="both"/>
        <w:rPr>
          <w:rFonts w:ascii="Century Gothic" w:eastAsia="Arial" w:hAnsi="Century Gothic" w:cs="Arial"/>
          <w:color w:val="000000"/>
          <w:lang w:val="es-ES"/>
        </w:rPr>
      </w:pPr>
      <w:r w:rsidRPr="00355BE8">
        <w:rPr>
          <w:rFonts w:ascii="Century Gothic" w:eastAsia="Arial" w:hAnsi="Century Gothic" w:cs="Arial"/>
          <w:color w:val="000000"/>
          <w:lang w:val="es-ES"/>
        </w:rPr>
        <w:lastRenderedPageBreak/>
        <w:t>En este contexto,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e innominados. Conforme con lo anterior, el contrato estatal es un acuerdo de voluntades efectuado por las entidades públicas que genera, extingue o modifica obligaciones para quienes lo</w:t>
      </w:r>
      <w:r w:rsidRPr="00355BE8">
        <w:rPr>
          <w:rFonts w:ascii="Century Gothic" w:eastAsia="Arial" w:hAnsi="Century Gothic" w:cs="Arial"/>
          <w:color w:val="000000"/>
          <w:spacing w:val="-5"/>
          <w:lang w:val="es-ES"/>
        </w:rPr>
        <w:t xml:space="preserve"> </w:t>
      </w:r>
      <w:r w:rsidRPr="00355BE8">
        <w:rPr>
          <w:rFonts w:ascii="Century Gothic" w:eastAsia="Arial" w:hAnsi="Century Gothic" w:cs="Arial"/>
          <w:color w:val="000000"/>
          <w:lang w:val="es-ES"/>
        </w:rPr>
        <w:t xml:space="preserve">suscriben, cuya celebración no se encuentra limitada, de forma exclusiva, a las entidades referidas en la Ley 80 de 1993, sino que, como lo advierte el Consejo de Estado, puede ser suscrito por entidades públicas con regímenes especiales de contratación, caso en el cual se tratará de un contrato estatal especial. </w:t>
      </w:r>
    </w:p>
    <w:p w14:paraId="01A39271" w14:textId="77777777" w:rsidR="00812F1D" w:rsidRPr="00355BE8" w:rsidRDefault="00812F1D" w:rsidP="00812F1D">
      <w:pPr>
        <w:spacing w:after="0" w:line="276" w:lineRule="auto"/>
        <w:ind w:firstLine="709"/>
        <w:jc w:val="both"/>
        <w:rPr>
          <w:rFonts w:ascii="Century Gothic" w:eastAsia="Calibri" w:hAnsi="Century Gothic" w:cs="Arial"/>
          <w:color w:val="000000"/>
          <w:lang w:eastAsia="en-GB"/>
        </w:rPr>
      </w:pPr>
      <w:r w:rsidRPr="00355BE8">
        <w:rPr>
          <w:rFonts w:ascii="Century Gothic" w:eastAsia="Calibri" w:hAnsi="Century Gothic" w:cs="Arial"/>
          <w:lang w:val="es-MX"/>
        </w:rPr>
        <w:t xml:space="preserve">Dicha calidad de contrato estatal tampoco depende de que la relación contractual implique o no la erogación de recursos públicos, pues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3 de la Ley 1150 de 2007 y la normativa de la transparencia y el acceso a la información pública, materializa los principios de publicidad y transparencia en el ámbito de la contratación estatal, estableciendo el SECOP como medio de publicidad principal de las actuaciones contractuales públicas. </w:t>
      </w:r>
    </w:p>
    <w:p w14:paraId="7B35A794" w14:textId="77777777" w:rsidR="00812F1D" w:rsidRPr="00355BE8" w:rsidRDefault="00812F1D" w:rsidP="00812F1D">
      <w:pPr>
        <w:spacing w:after="0" w:line="276" w:lineRule="auto"/>
        <w:ind w:firstLine="709"/>
        <w:jc w:val="both"/>
        <w:rPr>
          <w:rFonts w:ascii="Century Gothic" w:eastAsia="Calibri" w:hAnsi="Century Gothic" w:cs="Arial"/>
          <w:lang w:val="es-ES"/>
        </w:rPr>
      </w:pPr>
    </w:p>
    <w:p w14:paraId="546AD140" w14:textId="77777777" w:rsidR="00812F1D" w:rsidRPr="00355BE8" w:rsidRDefault="00812F1D" w:rsidP="00812F1D">
      <w:pPr>
        <w:spacing w:after="0" w:line="240" w:lineRule="auto"/>
        <w:ind w:left="709" w:right="709"/>
        <w:jc w:val="both"/>
        <w:rPr>
          <w:rFonts w:ascii="Century Gothic" w:hAnsi="Century Gothic" w:cs="Arial"/>
          <w:color w:val="000000" w:themeColor="text1"/>
          <w:sz w:val="21"/>
          <w:szCs w:val="21"/>
          <w:lang w:val="es-ES_tradnl"/>
        </w:rPr>
      </w:pPr>
      <w:proofErr w:type="spellStart"/>
      <w:r w:rsidRPr="00355BE8">
        <w:rPr>
          <w:rFonts w:ascii="Century Gothic" w:hAnsi="Century Gothic" w:cs="Arial"/>
          <w:color w:val="000000" w:themeColor="text1"/>
          <w:sz w:val="21"/>
          <w:szCs w:val="21"/>
          <w:lang w:val="es-ES_tradnl"/>
        </w:rPr>
        <w:t>vii</w:t>
      </w:r>
      <w:proofErr w:type="spellEnd"/>
      <w:r w:rsidRPr="00355BE8">
        <w:rPr>
          <w:rFonts w:ascii="Century Gothic" w:hAnsi="Century Gothic" w:cs="Arial"/>
          <w:color w:val="000000" w:themeColor="text1"/>
          <w:sz w:val="21"/>
          <w:szCs w:val="21"/>
          <w:lang w:val="es-ES_tradnl"/>
        </w:rPr>
        <w:t xml:space="preserve">) “En caso de ser afirmativa las respuestas a los interrogantes 5 y 6, ¿i) cuál sería la tipología contractual de las licencias?, </w:t>
      </w:r>
      <w:proofErr w:type="spellStart"/>
      <w:r w:rsidRPr="00355BE8">
        <w:rPr>
          <w:rFonts w:ascii="Century Gothic" w:hAnsi="Century Gothic" w:cs="Arial"/>
          <w:color w:val="000000" w:themeColor="text1"/>
          <w:sz w:val="21"/>
          <w:szCs w:val="21"/>
          <w:lang w:val="es-ES_tradnl"/>
        </w:rPr>
        <w:t>ii</w:t>
      </w:r>
      <w:proofErr w:type="spellEnd"/>
      <w:r w:rsidRPr="00355BE8">
        <w:rPr>
          <w:rFonts w:ascii="Century Gothic" w:hAnsi="Century Gothic" w:cs="Arial"/>
          <w:color w:val="000000" w:themeColor="text1"/>
          <w:sz w:val="21"/>
          <w:szCs w:val="21"/>
          <w:lang w:val="es-ES_tradnl"/>
        </w:rPr>
        <w:t xml:space="preserve">) ¿cuál sería </w:t>
      </w:r>
      <w:proofErr w:type="gramStart"/>
      <w:r w:rsidRPr="00355BE8">
        <w:rPr>
          <w:rFonts w:ascii="Century Gothic" w:hAnsi="Century Gothic" w:cs="Arial"/>
          <w:color w:val="000000" w:themeColor="text1"/>
          <w:sz w:val="21"/>
          <w:szCs w:val="21"/>
          <w:lang w:val="es-ES_tradnl"/>
        </w:rPr>
        <w:t>la tipología contractual a utilizar</w:t>
      </w:r>
      <w:proofErr w:type="gramEnd"/>
      <w:r w:rsidRPr="00355BE8">
        <w:rPr>
          <w:rFonts w:ascii="Century Gothic" w:hAnsi="Century Gothic" w:cs="Arial"/>
          <w:color w:val="000000" w:themeColor="text1"/>
          <w:sz w:val="21"/>
          <w:szCs w:val="21"/>
          <w:lang w:val="es-ES_tradnl"/>
        </w:rPr>
        <w:t xml:space="preserve"> dentro del SECOP II?, </w:t>
      </w:r>
      <w:proofErr w:type="spellStart"/>
      <w:r w:rsidRPr="00355BE8">
        <w:rPr>
          <w:rFonts w:ascii="Century Gothic" w:hAnsi="Century Gothic" w:cs="Arial"/>
          <w:color w:val="000000" w:themeColor="text1"/>
          <w:sz w:val="21"/>
          <w:szCs w:val="21"/>
          <w:lang w:val="es-ES_tradnl"/>
        </w:rPr>
        <w:t>iii</w:t>
      </w:r>
      <w:proofErr w:type="spellEnd"/>
      <w:r w:rsidRPr="00355BE8">
        <w:rPr>
          <w:rFonts w:ascii="Century Gothic" w:hAnsi="Century Gothic" w:cs="Arial"/>
          <w:color w:val="000000" w:themeColor="text1"/>
          <w:sz w:val="21"/>
          <w:szCs w:val="21"/>
          <w:lang w:val="es-ES_tradnl"/>
        </w:rPr>
        <w:t xml:space="preserve">) ¿cómo debería publicarse? y </w:t>
      </w:r>
      <w:proofErr w:type="spellStart"/>
      <w:r w:rsidRPr="00355BE8">
        <w:rPr>
          <w:rFonts w:ascii="Century Gothic" w:hAnsi="Century Gothic" w:cs="Arial"/>
          <w:color w:val="000000" w:themeColor="text1"/>
          <w:sz w:val="21"/>
          <w:szCs w:val="21"/>
          <w:lang w:val="es-ES_tradnl"/>
        </w:rPr>
        <w:t>iv</w:t>
      </w:r>
      <w:proofErr w:type="spellEnd"/>
      <w:r w:rsidRPr="00355BE8">
        <w:rPr>
          <w:rFonts w:ascii="Century Gothic" w:hAnsi="Century Gothic" w:cs="Arial"/>
          <w:color w:val="000000" w:themeColor="text1"/>
          <w:sz w:val="21"/>
          <w:szCs w:val="21"/>
          <w:lang w:val="es-ES_tradnl"/>
        </w:rPr>
        <w:t>) ¿qué documentos se necesitan para realizar la publicación en el SECOP II?”.</w:t>
      </w:r>
    </w:p>
    <w:p w14:paraId="20EA6CA1" w14:textId="77777777" w:rsidR="00812F1D" w:rsidRPr="00355BE8" w:rsidRDefault="00812F1D" w:rsidP="00812F1D">
      <w:pPr>
        <w:spacing w:after="0" w:line="276" w:lineRule="auto"/>
        <w:jc w:val="both"/>
        <w:rPr>
          <w:rFonts w:ascii="Century Gothic" w:hAnsi="Century Gothic" w:cs="Arial"/>
          <w:color w:val="000000" w:themeColor="text1"/>
          <w:lang w:val="es-ES_tradnl"/>
        </w:rPr>
      </w:pPr>
    </w:p>
    <w:p w14:paraId="5C5610F0" w14:textId="77777777" w:rsidR="00812F1D" w:rsidRPr="00355BE8" w:rsidRDefault="00812F1D" w:rsidP="00812F1D">
      <w:pPr>
        <w:widowControl w:val="0"/>
        <w:autoSpaceDE w:val="0"/>
        <w:autoSpaceDN w:val="0"/>
        <w:spacing w:after="120" w:line="276" w:lineRule="auto"/>
        <w:jc w:val="both"/>
        <w:rPr>
          <w:rFonts w:ascii="Century Gothic" w:eastAsia="Arial" w:hAnsi="Century Gothic" w:cs="Arial"/>
          <w:lang w:val="es-ES"/>
        </w:rPr>
      </w:pPr>
      <w:r w:rsidRPr="00355BE8">
        <w:rPr>
          <w:rFonts w:ascii="Century Gothic" w:hAnsi="Century Gothic" w:cs="Arial"/>
        </w:rPr>
        <w:t xml:space="preserve">Haciendo abstracción de situaciones concretas o de disposiciones que correspondan a subsistemas normativos ajenos a las compras públicas, </w:t>
      </w:r>
      <w:r w:rsidRPr="00355BE8">
        <w:rPr>
          <w:rFonts w:ascii="Century Gothic" w:hAnsi="Century Gothic" w:cs="Arial"/>
          <w:lang w:val="es-ES"/>
        </w:rPr>
        <w:t xml:space="preserve">las publicaciones se realizan de acuerdo con la naturaleza jurídica del contrato, independientemente de que se encuentre tipificado o no en el ordenamiento jurídico, en las condiciones y plazos que disponga la ley o el reglamento. </w:t>
      </w:r>
      <w:r w:rsidRPr="00355BE8">
        <w:rPr>
          <w:rFonts w:ascii="Century Gothic" w:eastAsia="Arial" w:hAnsi="Century Gothic" w:cs="Arial"/>
          <w:lang w:val="es-ES"/>
        </w:rPr>
        <w:t xml:space="preserve">En virtud de lo dispuesto en el artículo 3 de la Ley 1150 de 2007, desarrollado por el artículo 2.2.1.1.1.7.1. del Decreto 1082 de 2015, las entidades están obligadas a publicar en </w:t>
      </w:r>
      <w:r w:rsidRPr="00355BE8">
        <w:rPr>
          <w:rFonts w:ascii="Century Gothic" w:eastAsia="Arial" w:hAnsi="Century Gothic" w:cs="Arial"/>
          <w:lang w:val="es-ES"/>
        </w:rPr>
        <w:lastRenderedPageBreak/>
        <w:t xml:space="preserve">el SECOP todos los documentos relacionados con el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xml:space="preserve"> expedidos durante las etapas precontractual, de ejecución y </w:t>
      </w:r>
      <w:proofErr w:type="spellStart"/>
      <w:r w:rsidRPr="00355BE8">
        <w:rPr>
          <w:rFonts w:ascii="Century Gothic" w:eastAsia="Arial" w:hAnsi="Century Gothic" w:cs="Arial"/>
          <w:lang w:val="es-ES"/>
        </w:rPr>
        <w:t>postcontractual</w:t>
      </w:r>
      <w:proofErr w:type="spellEnd"/>
      <w:r w:rsidRPr="00355BE8">
        <w:rPr>
          <w:rFonts w:ascii="Century Gothic" w:eastAsia="Arial" w:hAnsi="Century Gothic" w:cs="Arial"/>
          <w:lang w:val="es-E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6CD4A6B8" w14:textId="77777777" w:rsidR="00812F1D" w:rsidRPr="00355BE8" w:rsidRDefault="00812F1D" w:rsidP="00812F1D">
      <w:pPr>
        <w:spacing w:before="120" w:after="120" w:line="276" w:lineRule="auto"/>
        <w:ind w:firstLine="709"/>
        <w:jc w:val="both"/>
        <w:rPr>
          <w:rFonts w:ascii="Century Gothic" w:eastAsia="Calibri" w:hAnsi="Century Gothic" w:cs="Arial"/>
          <w:lang w:val="es-ES"/>
        </w:rPr>
      </w:pPr>
      <w:r w:rsidRPr="00355BE8">
        <w:rPr>
          <w:rFonts w:ascii="Century Gothic" w:eastAsia="Calibri" w:hAnsi="Century Gothic" w:cs="Arial"/>
          <w:lang w:val="es-ES"/>
        </w:rPr>
        <w:t xml:space="preserve">Adicionalmente, el deber de publicar la actividad contractual de las entidades estatales no solo está regulado en el artículo 3 de la Ley 1150 de 2007 y en el </w:t>
      </w:r>
      <w:r w:rsidRPr="00355BE8">
        <w:rPr>
          <w:rFonts w:ascii="Century Gothic" w:eastAsia="Arial" w:hAnsi="Century Gothic" w:cs="Arial"/>
          <w:lang w:val="es-ES"/>
        </w:rPr>
        <w:t xml:space="preserve">artículo 2.2.1.1.1.7.1 del Decreto 1082 de 2015, sino también en la Ley 1712 de 2014 y en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355BE8">
        <w:rPr>
          <w:rFonts w:ascii="Century Gothic" w:eastAsia="Arial" w:hAnsi="Century Gothic" w:cs="Arial"/>
          <w:i/>
          <w:iCs/>
          <w:lang w:val="es-ES"/>
        </w:rPr>
        <w:t xml:space="preserve">Documentos del Proceso </w:t>
      </w:r>
      <w:r w:rsidRPr="00355BE8">
        <w:rPr>
          <w:rFonts w:ascii="Century Gothic" w:eastAsia="Arial" w:hAnsi="Century Gothic" w:cs="Arial"/>
          <w:lang w:val="es-ES"/>
        </w:rPr>
        <w:t>expedidos por la “entidad estatal”.</w:t>
      </w:r>
    </w:p>
    <w:p w14:paraId="350CD163" w14:textId="77777777" w:rsidR="00812F1D" w:rsidRPr="00355BE8" w:rsidRDefault="00812F1D" w:rsidP="00812F1D">
      <w:pPr>
        <w:spacing w:after="120" w:line="276" w:lineRule="auto"/>
        <w:ind w:firstLine="708"/>
        <w:jc w:val="both"/>
        <w:rPr>
          <w:rFonts w:ascii="Century Gothic" w:eastAsia="Arial" w:hAnsi="Century Gothic" w:cs="Arial"/>
          <w:lang w:val="es-ES"/>
        </w:rPr>
      </w:pPr>
      <w:r w:rsidRPr="00355BE8">
        <w:rPr>
          <w:rFonts w:ascii="Century Gothic" w:eastAsia="Calibri" w:hAnsi="Century Gothic" w:cs="Arial"/>
          <w:lang w:val="es-ES"/>
        </w:rPr>
        <w:t xml:space="preserve">Las publicaciones que corresponde efectuar a las entidades estatales, como sujetos obligados por la normativa de la transparencia y acceso a la información pública, antes que una derogación o subrogación del contenido del deber de publicidad regulado por el EGCAP, suponen una ampliación de su alcance, que lo extiende de la simple publicación de la información “producida por la entidad estatal” asociada a la noción de </w:t>
      </w:r>
      <w:r w:rsidRPr="00355BE8">
        <w:rPr>
          <w:rFonts w:ascii="Century Gothic" w:eastAsia="Calibri" w:hAnsi="Century Gothic" w:cs="Arial"/>
          <w:i/>
          <w:iCs/>
          <w:lang w:val="es-ES"/>
        </w:rPr>
        <w:t>Documentos del Proceso</w:t>
      </w:r>
      <w:r w:rsidRPr="00355BE8">
        <w:rPr>
          <w:rFonts w:ascii="Century Gothic" w:eastAsia="Calibri" w:hAnsi="Century Gothic" w:cs="Arial"/>
          <w:lang w:val="es-ES"/>
        </w:rPr>
        <w:t xml:space="preserve">. Esto implica que la publicación que corresponde a las entidades estatales, como sujetos obligados en el marco de la Ley 1712 de 2014, se extiende a todo el desarrollo del procedimiento, desde la etapa de planeación hasta el vencimiento de las garantías, incluyendo cada actuación que se produzca en ese lapso. </w:t>
      </w:r>
      <w:r w:rsidRPr="00355BE8">
        <w:rPr>
          <w:rFonts w:ascii="Century Gothic" w:eastAsia="Arial" w:hAnsi="Century Gothic" w:cs="Arial"/>
          <w:lang w:val="es-ES"/>
        </w:rPr>
        <w:t xml:space="preserve">Conforme a esto, las entidades estarán obligadas a publicar todos los documentos que se produzcan en el marco del </w:t>
      </w:r>
      <w:r w:rsidRPr="00355BE8">
        <w:rPr>
          <w:rFonts w:ascii="Century Gothic" w:eastAsia="Arial" w:hAnsi="Century Gothic" w:cs="Arial"/>
          <w:i/>
          <w:iCs/>
          <w:lang w:val="es-ES"/>
        </w:rPr>
        <w:t>Proceso de Contratación</w:t>
      </w:r>
      <w:r w:rsidRPr="00355BE8">
        <w:rPr>
          <w:rFonts w:ascii="Century Gothic" w:eastAsia="Arial" w:hAnsi="Century Gothic" w:cs="Arial"/>
          <w:lang w:val="es-ES"/>
        </w:rPr>
        <w:t>, de conformidad con las normas que regulan la respectiva modalidad de selección.</w:t>
      </w:r>
    </w:p>
    <w:p w14:paraId="47C99636" w14:textId="77777777" w:rsidR="00812F1D" w:rsidRPr="00355BE8" w:rsidRDefault="00812F1D" w:rsidP="00812F1D">
      <w:pPr>
        <w:spacing w:after="0" w:line="276" w:lineRule="auto"/>
        <w:jc w:val="both"/>
        <w:rPr>
          <w:rFonts w:ascii="Century Gothic" w:eastAsia="Arial" w:hAnsi="Century Gothic" w:cs="Arial"/>
          <w:color w:val="000000"/>
        </w:rPr>
      </w:pPr>
    </w:p>
    <w:p w14:paraId="1B9467E4" w14:textId="77777777" w:rsidR="00812F1D" w:rsidRPr="00355BE8" w:rsidRDefault="00812F1D" w:rsidP="00812F1D">
      <w:pPr>
        <w:widowControl w:val="0"/>
        <w:autoSpaceDE w:val="0"/>
        <w:autoSpaceDN w:val="0"/>
        <w:spacing w:after="0" w:line="276" w:lineRule="auto"/>
        <w:jc w:val="both"/>
        <w:rPr>
          <w:rFonts w:ascii="Century Gothic" w:hAnsi="Century Gothic" w:cs="Arial"/>
          <w:color w:val="000000" w:themeColor="text1"/>
          <w:lang w:val="es-ES_tradnl" w:bidi="es-ES"/>
        </w:rPr>
      </w:pPr>
      <w:r w:rsidRPr="00355BE8">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27625A3D" w14:textId="77777777" w:rsidR="00812F1D" w:rsidRPr="00355BE8" w:rsidRDefault="00812F1D" w:rsidP="00812F1D">
      <w:pPr>
        <w:widowControl w:val="0"/>
        <w:autoSpaceDE w:val="0"/>
        <w:autoSpaceDN w:val="0"/>
        <w:spacing w:after="0" w:line="276" w:lineRule="auto"/>
        <w:jc w:val="both"/>
        <w:rPr>
          <w:rFonts w:ascii="Century Gothic" w:hAnsi="Century Gothic" w:cs="Arial"/>
          <w:color w:val="000000" w:themeColor="text1"/>
          <w:lang w:val="es-ES_tradnl" w:bidi="es-ES"/>
        </w:rPr>
      </w:pPr>
    </w:p>
    <w:p w14:paraId="032CA9C9" w14:textId="77777777" w:rsidR="00812F1D" w:rsidRPr="00355BE8" w:rsidRDefault="00812F1D" w:rsidP="00812F1D">
      <w:pPr>
        <w:tabs>
          <w:tab w:val="left" w:pos="426"/>
        </w:tabs>
        <w:spacing w:line="276" w:lineRule="auto"/>
        <w:jc w:val="both"/>
        <w:rPr>
          <w:rFonts w:ascii="Century Gothic" w:eastAsia="Times New Roman" w:hAnsi="Century Gothic" w:cs="Arial"/>
          <w:color w:val="000000" w:themeColor="text1"/>
        </w:rPr>
      </w:pPr>
      <w:r w:rsidRPr="00355BE8">
        <w:rPr>
          <w:rFonts w:ascii="Century Gothic" w:eastAsia="Times New Roman" w:hAnsi="Century Gothic" w:cs="Arial"/>
          <w:color w:val="000000" w:themeColor="text1"/>
        </w:rPr>
        <w:t>Atentamente,</w:t>
      </w:r>
    </w:p>
    <w:p w14:paraId="637A2C67" w14:textId="041A52C0" w:rsidR="00812F1D" w:rsidRPr="00355BE8" w:rsidRDefault="00281BD6" w:rsidP="00812F1D">
      <w:pPr>
        <w:jc w:val="center"/>
        <w:rPr>
          <w:rFonts w:ascii="Century Gothic" w:eastAsia="Times New Roman" w:hAnsi="Century Gothic" w:cs="Arial"/>
          <w:lang w:eastAsia="es-CO"/>
        </w:rPr>
      </w:pPr>
      <w:r>
        <w:rPr>
          <w:noProof/>
        </w:rPr>
        <w:lastRenderedPageBreak/>
        <w:drawing>
          <wp:inline distT="0" distB="0" distL="0" distR="0" wp14:anchorId="00E55237" wp14:editId="788FBFE0">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12F1D" w:rsidRPr="00355BE8" w14:paraId="04443035" w14:textId="77777777" w:rsidTr="00706B2D">
        <w:trPr>
          <w:trHeight w:val="409"/>
        </w:trPr>
        <w:tc>
          <w:tcPr>
            <w:tcW w:w="817" w:type="dxa"/>
            <w:tcBorders>
              <w:top w:val="nil"/>
              <w:left w:val="nil"/>
              <w:bottom w:val="nil"/>
              <w:right w:val="nil"/>
            </w:tcBorders>
            <w:vAlign w:val="center"/>
            <w:hideMark/>
          </w:tcPr>
          <w:p w14:paraId="610667F3"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DCEC1C6"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Juan David Montoya Penagos</w:t>
            </w:r>
          </w:p>
          <w:p w14:paraId="0FECA35F"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Contratista de la Subdirección de Gestión Contractual</w:t>
            </w:r>
          </w:p>
        </w:tc>
      </w:tr>
      <w:tr w:rsidR="00812F1D" w:rsidRPr="00355BE8" w14:paraId="4D0F68A2" w14:textId="77777777" w:rsidTr="00706B2D">
        <w:trPr>
          <w:trHeight w:val="409"/>
        </w:trPr>
        <w:tc>
          <w:tcPr>
            <w:tcW w:w="817" w:type="dxa"/>
            <w:tcBorders>
              <w:top w:val="nil"/>
              <w:left w:val="nil"/>
              <w:right w:val="nil"/>
            </w:tcBorders>
            <w:vAlign w:val="center"/>
          </w:tcPr>
          <w:p w14:paraId="46FA19AD" w14:textId="77777777" w:rsidR="00812F1D" w:rsidRPr="00355BE8" w:rsidRDefault="00812F1D" w:rsidP="00706B2D">
            <w:pPr>
              <w:jc w:val="both"/>
              <w:rPr>
                <w:rFonts w:ascii="Century Gothic" w:hAnsi="Century Gothic" w:cs="Arial"/>
                <w:sz w:val="16"/>
                <w:szCs w:val="16"/>
              </w:rPr>
            </w:pPr>
            <w:r w:rsidRPr="00355BE8">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3B7D313"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Alejandro Sarmiento Cantillo</w:t>
            </w:r>
          </w:p>
          <w:p w14:paraId="3E292F7B"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 xml:space="preserve">Gestor T1 </w:t>
            </w:r>
            <w:r w:rsidRPr="00355BE8">
              <w:rPr>
                <w:rFonts w:ascii="Arial" w:hAnsi="Arial" w:cs="Arial"/>
                <w:sz w:val="16"/>
                <w:szCs w:val="16"/>
              </w:rPr>
              <w:t>‒</w:t>
            </w:r>
            <w:r w:rsidRPr="00355BE8">
              <w:rPr>
                <w:rFonts w:ascii="Century Gothic" w:hAnsi="Century Gothic" w:cs="Arial"/>
                <w:sz w:val="16"/>
                <w:szCs w:val="16"/>
              </w:rPr>
              <w:t xml:space="preserve"> 15 de la Subdirecci</w:t>
            </w:r>
            <w:r w:rsidRPr="00355BE8">
              <w:rPr>
                <w:rFonts w:ascii="Century Gothic" w:hAnsi="Century Gothic" w:cs="Century Gothic"/>
                <w:sz w:val="16"/>
                <w:szCs w:val="16"/>
              </w:rPr>
              <w:t>ó</w:t>
            </w:r>
            <w:r w:rsidRPr="00355BE8">
              <w:rPr>
                <w:rFonts w:ascii="Century Gothic" w:hAnsi="Century Gothic" w:cs="Arial"/>
                <w:sz w:val="16"/>
                <w:szCs w:val="16"/>
              </w:rPr>
              <w:t>n de Gestión Contractual</w:t>
            </w:r>
          </w:p>
        </w:tc>
      </w:tr>
      <w:tr w:rsidR="00812F1D" w:rsidRPr="00355BE8" w14:paraId="03642AC0" w14:textId="77777777" w:rsidTr="00706B2D">
        <w:trPr>
          <w:trHeight w:val="389"/>
        </w:trPr>
        <w:tc>
          <w:tcPr>
            <w:tcW w:w="817" w:type="dxa"/>
            <w:tcBorders>
              <w:top w:val="nil"/>
              <w:left w:val="nil"/>
              <w:bottom w:val="nil"/>
              <w:right w:val="nil"/>
            </w:tcBorders>
            <w:vAlign w:val="center"/>
            <w:hideMark/>
          </w:tcPr>
          <w:p w14:paraId="632DFEB8"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691B9F3"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 xml:space="preserve">Nohelia del Carmen </w:t>
            </w:r>
            <w:proofErr w:type="spellStart"/>
            <w:r w:rsidRPr="00355BE8">
              <w:rPr>
                <w:rFonts w:ascii="Century Gothic" w:hAnsi="Century Gothic" w:cs="Arial"/>
                <w:sz w:val="16"/>
                <w:szCs w:val="16"/>
              </w:rPr>
              <w:t>Zawady</w:t>
            </w:r>
            <w:proofErr w:type="spellEnd"/>
            <w:r w:rsidRPr="00355BE8">
              <w:rPr>
                <w:rFonts w:ascii="Century Gothic" w:hAnsi="Century Gothic" w:cs="Arial"/>
                <w:sz w:val="16"/>
                <w:szCs w:val="16"/>
              </w:rPr>
              <w:t xml:space="preserve"> Palacio</w:t>
            </w:r>
          </w:p>
          <w:p w14:paraId="4F9788B3" w14:textId="77777777" w:rsidR="00812F1D" w:rsidRPr="00355BE8" w:rsidRDefault="00812F1D" w:rsidP="00706B2D">
            <w:pPr>
              <w:spacing w:after="0" w:line="240" w:lineRule="auto"/>
              <w:jc w:val="both"/>
              <w:rPr>
                <w:rFonts w:ascii="Century Gothic" w:hAnsi="Century Gothic" w:cs="Arial"/>
                <w:sz w:val="16"/>
                <w:szCs w:val="16"/>
              </w:rPr>
            </w:pPr>
            <w:r w:rsidRPr="00355BE8">
              <w:rPr>
                <w:rFonts w:ascii="Century Gothic" w:hAnsi="Century Gothic" w:cs="Arial"/>
                <w:sz w:val="16"/>
                <w:szCs w:val="16"/>
              </w:rPr>
              <w:t>Subdirectora de Gestión Contractual ANCP – CCE</w:t>
            </w:r>
          </w:p>
        </w:tc>
      </w:tr>
      <w:bookmarkEnd w:id="2"/>
    </w:tbl>
    <w:p w14:paraId="34C8B48F" w14:textId="77777777" w:rsidR="00812F1D" w:rsidRPr="00355BE8" w:rsidRDefault="00812F1D" w:rsidP="00812F1D">
      <w:pPr>
        <w:tabs>
          <w:tab w:val="left" w:pos="0"/>
        </w:tabs>
        <w:spacing w:line="276" w:lineRule="auto"/>
        <w:contextualSpacing/>
        <w:jc w:val="both"/>
        <w:rPr>
          <w:rFonts w:ascii="Century Gothic" w:hAnsi="Century Gothic" w:cs="Arial"/>
          <w:lang w:val="es-MX"/>
        </w:rPr>
      </w:pPr>
    </w:p>
    <w:p w14:paraId="12C39D41" w14:textId="77777777" w:rsidR="00812F1D" w:rsidRPr="00355BE8" w:rsidRDefault="00812F1D" w:rsidP="00812F1D">
      <w:pPr>
        <w:rPr>
          <w:rFonts w:ascii="Century Gothic" w:hAnsi="Century Gothic" w:cs="Arial"/>
        </w:rPr>
      </w:pPr>
    </w:p>
    <w:p w14:paraId="75748F24" w14:textId="77777777" w:rsidR="00812F1D" w:rsidRPr="00355BE8" w:rsidRDefault="00812F1D" w:rsidP="00812F1D">
      <w:pPr>
        <w:rPr>
          <w:rFonts w:ascii="Century Gothic" w:hAnsi="Century Gothic" w:cs="Arial"/>
        </w:rPr>
      </w:pPr>
      <w:r w:rsidRPr="00355BE8">
        <w:rPr>
          <w:rFonts w:ascii="Century Gothic" w:hAnsi="Century Gothic" w:cs="Arial"/>
        </w:rPr>
        <w:t xml:space="preserve"> </w:t>
      </w:r>
    </w:p>
    <w:p w14:paraId="0F293BF4" w14:textId="7BBFAB11" w:rsidR="00127233" w:rsidRPr="00765095" w:rsidRDefault="00127233" w:rsidP="00765095"/>
    <w:sectPr w:rsidR="00127233" w:rsidRPr="0076509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AA85" w14:textId="77777777" w:rsidR="00F2456A" w:rsidRDefault="00F2456A" w:rsidP="004A1847">
      <w:pPr>
        <w:spacing w:after="0" w:line="240" w:lineRule="auto"/>
      </w:pPr>
      <w:r>
        <w:separator/>
      </w:r>
    </w:p>
  </w:endnote>
  <w:endnote w:type="continuationSeparator" w:id="0">
    <w:p w14:paraId="1AF83DD8" w14:textId="77777777" w:rsidR="00F2456A" w:rsidRDefault="00F2456A" w:rsidP="004A1847">
      <w:pPr>
        <w:spacing w:after="0" w:line="240" w:lineRule="auto"/>
      </w:pPr>
      <w:r>
        <w:continuationSeparator/>
      </w:r>
    </w:p>
  </w:endnote>
  <w:endnote w:type="continuationNotice" w:id="1">
    <w:p w14:paraId="23CCFC22" w14:textId="77777777" w:rsidR="00F2456A" w:rsidRDefault="00F24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06B1" w14:textId="77777777" w:rsidR="00F2456A" w:rsidRDefault="00F2456A" w:rsidP="004A1847">
      <w:pPr>
        <w:spacing w:after="0" w:line="240" w:lineRule="auto"/>
      </w:pPr>
      <w:r>
        <w:separator/>
      </w:r>
    </w:p>
  </w:footnote>
  <w:footnote w:type="continuationSeparator" w:id="0">
    <w:p w14:paraId="50F207D6" w14:textId="77777777" w:rsidR="00F2456A" w:rsidRDefault="00F2456A" w:rsidP="004A1847">
      <w:pPr>
        <w:spacing w:after="0" w:line="240" w:lineRule="auto"/>
      </w:pPr>
      <w:r>
        <w:continuationSeparator/>
      </w:r>
    </w:p>
  </w:footnote>
  <w:footnote w:type="continuationNotice" w:id="1">
    <w:p w14:paraId="1AFF0A03" w14:textId="77777777" w:rsidR="00F2456A" w:rsidRDefault="00F2456A">
      <w:pPr>
        <w:spacing w:after="0" w:line="240" w:lineRule="auto"/>
      </w:pPr>
    </w:p>
  </w:footnote>
  <w:footnote w:id="2">
    <w:p w14:paraId="74917EE5" w14:textId="77777777" w:rsidR="00812F1D" w:rsidRPr="00355BE8" w:rsidRDefault="00812F1D" w:rsidP="00812F1D">
      <w:pPr>
        <w:pStyle w:val="Textonotapie"/>
        <w:ind w:firstLine="708"/>
        <w:jc w:val="both"/>
        <w:rPr>
          <w:rFonts w:ascii="Century Gothic" w:hAnsi="Century Gothic" w:cs="Arial"/>
          <w:sz w:val="18"/>
          <w:szCs w:val="18"/>
          <w:lang w:val="es-ES"/>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La Agencia Nacional de Contratación Pública </w:t>
      </w:r>
      <w:r w:rsidRPr="00355BE8">
        <w:rPr>
          <w:rFonts w:ascii="Arial" w:hAnsi="Arial" w:cs="Arial"/>
          <w:sz w:val="18"/>
          <w:szCs w:val="18"/>
        </w:rPr>
        <w:t>‒</w:t>
      </w:r>
      <w:r w:rsidRPr="00355BE8">
        <w:rPr>
          <w:rFonts w:ascii="Century Gothic" w:hAnsi="Century Gothic" w:cs="Arial"/>
          <w:sz w:val="18"/>
          <w:szCs w:val="18"/>
        </w:rPr>
        <w:t xml:space="preserve"> Colombia Compra Eficiente fue creada por el Decreto Ley 4170 de 2011. Su objetivo es servir como ente rector de la pol</w:t>
      </w:r>
      <w:r w:rsidRPr="00355BE8">
        <w:rPr>
          <w:rFonts w:ascii="Century Gothic" w:hAnsi="Century Gothic" w:cs="Century Gothic"/>
          <w:sz w:val="18"/>
          <w:szCs w:val="18"/>
        </w:rPr>
        <w:t>í</w:t>
      </w:r>
      <w:r w:rsidRPr="00355BE8">
        <w:rPr>
          <w:rFonts w:ascii="Century Gothic" w:hAnsi="Century Gothic" w:cs="Arial"/>
          <w:sz w:val="18"/>
          <w:szCs w:val="18"/>
        </w:rPr>
        <w:t>tica de compras y contrataci</w:t>
      </w:r>
      <w:r w:rsidRPr="00355BE8">
        <w:rPr>
          <w:rFonts w:ascii="Century Gothic" w:hAnsi="Century Gothic" w:cs="Century Gothic"/>
          <w:sz w:val="18"/>
          <w:szCs w:val="18"/>
        </w:rPr>
        <w:t>ó</w:t>
      </w:r>
      <w:r w:rsidRPr="00355BE8">
        <w:rPr>
          <w:rFonts w:ascii="Century Gothic" w:hAnsi="Century Gothic" w:cs="Arial"/>
          <w:sz w:val="18"/>
          <w:szCs w:val="18"/>
        </w:rPr>
        <w:t xml:space="preserve">n del Estado. Para tales fines, como </w:t>
      </w:r>
      <w:r w:rsidRPr="00355BE8">
        <w:rPr>
          <w:rFonts w:ascii="Century Gothic" w:hAnsi="Century Gothic" w:cs="Century Gothic"/>
          <w:sz w:val="18"/>
          <w:szCs w:val="18"/>
        </w:rPr>
        <w:t>ó</w:t>
      </w:r>
      <w:r w:rsidRPr="00355BE8">
        <w:rPr>
          <w:rFonts w:ascii="Century Gothic" w:hAnsi="Century Gothic" w:cs="Arial"/>
          <w:sz w:val="18"/>
          <w:szCs w:val="18"/>
        </w:rPr>
        <w:t>rgano t</w:t>
      </w:r>
      <w:r w:rsidRPr="00355BE8">
        <w:rPr>
          <w:rFonts w:ascii="Century Gothic" w:hAnsi="Century Gothic" w:cs="Century Gothic"/>
          <w:sz w:val="18"/>
          <w:szCs w:val="18"/>
        </w:rPr>
        <w:t>é</w:t>
      </w:r>
      <w:r w:rsidRPr="00355BE8">
        <w:rPr>
          <w:rFonts w:ascii="Century Gothic" w:hAnsi="Century Gothic" w:cs="Arial"/>
          <w:sz w:val="18"/>
          <w:szCs w:val="18"/>
        </w:rPr>
        <w:t>cnico especializado, le corresponde formular pol</w:t>
      </w:r>
      <w:r w:rsidRPr="00355BE8">
        <w:rPr>
          <w:rFonts w:ascii="Century Gothic" w:hAnsi="Century Gothic" w:cs="Century Gothic"/>
          <w:sz w:val="18"/>
          <w:szCs w:val="18"/>
        </w:rPr>
        <w:t>í</w:t>
      </w:r>
      <w:r w:rsidRPr="00355BE8">
        <w:rPr>
          <w:rFonts w:ascii="Century Gothic" w:hAnsi="Century Gothic" w:cs="Arial"/>
          <w:sz w:val="18"/>
          <w:szCs w:val="18"/>
        </w:rPr>
        <w:t>ticas p</w:t>
      </w:r>
      <w:r w:rsidRPr="00355BE8">
        <w:rPr>
          <w:rFonts w:ascii="Century Gothic" w:hAnsi="Century Gothic" w:cs="Century Gothic"/>
          <w:sz w:val="18"/>
          <w:szCs w:val="18"/>
        </w:rPr>
        <w:t>ú</w:t>
      </w:r>
      <w:r w:rsidRPr="00355BE8">
        <w:rPr>
          <w:rFonts w:ascii="Century Gothic" w:hAnsi="Century Gothic" w:cs="Arial"/>
          <w:sz w:val="18"/>
          <w:szCs w:val="18"/>
        </w:rPr>
        <w:t>blicas y normas y unificar los procesos de contrataci</w:t>
      </w:r>
      <w:r w:rsidRPr="00355BE8">
        <w:rPr>
          <w:rFonts w:ascii="Century Gothic" w:hAnsi="Century Gothic" w:cs="Century Gothic"/>
          <w:sz w:val="18"/>
          <w:szCs w:val="18"/>
        </w:rPr>
        <w:t>ó</w:t>
      </w:r>
      <w:r w:rsidRPr="00355BE8">
        <w:rPr>
          <w:rFonts w:ascii="Century Gothic" w:hAnsi="Century Gothic" w:cs="Arial"/>
          <w:sz w:val="18"/>
          <w:szCs w:val="18"/>
        </w:rPr>
        <w:t>n estatal, con el fin de lograr una mayor eficiencia, transparencia y optimizaci</w:t>
      </w:r>
      <w:r w:rsidRPr="00355BE8">
        <w:rPr>
          <w:rFonts w:ascii="Century Gothic" w:hAnsi="Century Gothic" w:cs="Century Gothic"/>
          <w:sz w:val="18"/>
          <w:szCs w:val="18"/>
        </w:rPr>
        <w:t>ó</w:t>
      </w:r>
      <w:r w:rsidRPr="00355BE8">
        <w:rPr>
          <w:rFonts w:ascii="Century Gothic" w:hAnsi="Century Gothic" w:cs="Arial"/>
          <w:sz w:val="18"/>
          <w:szCs w:val="18"/>
        </w:rPr>
        <w:t>n de los recursos del Estado. El art</w:t>
      </w:r>
      <w:r w:rsidRPr="00355BE8">
        <w:rPr>
          <w:rFonts w:ascii="Century Gothic" w:hAnsi="Century Gothic" w:cs="Century Gothic"/>
          <w:sz w:val="18"/>
          <w:szCs w:val="18"/>
        </w:rPr>
        <w:t>í</w:t>
      </w:r>
      <w:r w:rsidRPr="00355BE8">
        <w:rPr>
          <w:rFonts w:ascii="Century Gothic" w:hAnsi="Century Gothic" w:cs="Arial"/>
          <w:sz w:val="18"/>
          <w:szCs w:val="18"/>
        </w:rPr>
        <w:t xml:space="preserve">culo 3 </w:t>
      </w:r>
      <w:r w:rsidRPr="00355BE8">
        <w:rPr>
          <w:rFonts w:ascii="Century Gothic" w:hAnsi="Century Gothic" w:cs="Arial"/>
          <w:i/>
          <w:iCs/>
          <w:sz w:val="18"/>
          <w:szCs w:val="18"/>
        </w:rPr>
        <w:t xml:space="preserve">ibidem </w:t>
      </w:r>
      <w:r w:rsidRPr="00355BE8">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355BE8">
        <w:rPr>
          <w:rFonts w:ascii="Century Gothic" w:hAnsi="Century Gothic" w:cs="Arial"/>
          <w:sz w:val="18"/>
          <w:szCs w:val="18"/>
        </w:rPr>
        <w:t>bsolver</w:t>
      </w:r>
      <w:proofErr w:type="spellEnd"/>
      <w:r w:rsidRPr="00355BE8">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355BE8">
        <w:rPr>
          <w:rFonts w:ascii="Century Gothic" w:hAnsi="Century Gothic" w:cs="Arial"/>
          <w:sz w:val="18"/>
          <w:szCs w:val="18"/>
        </w:rPr>
        <w:t>bsolver</w:t>
      </w:r>
      <w:proofErr w:type="spellEnd"/>
      <w:r w:rsidRPr="00355BE8">
        <w:rPr>
          <w:rFonts w:ascii="Century Gothic" w:hAnsi="Century Gothic" w:cs="Arial"/>
          <w:sz w:val="18"/>
          <w:szCs w:val="18"/>
        </w:rPr>
        <w:t xml:space="preserve"> consultas sobre la aplicación de normas de carácter general”.</w:t>
      </w:r>
    </w:p>
  </w:footnote>
  <w:footnote w:id="3">
    <w:p w14:paraId="0CBE0D0F"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55BE8">
          <w:rPr>
            <w:rStyle w:val="Hipervnculo"/>
            <w:rFonts w:ascii="Century Gothic" w:hAnsi="Century Gothic" w:cs="Arial"/>
            <w:sz w:val="18"/>
            <w:szCs w:val="18"/>
          </w:rPr>
          <w:t>https://relatoria.colombiacompra.gov.co/busqueda/conceptos</w:t>
        </w:r>
      </w:hyperlink>
      <w:r w:rsidRPr="00355BE8">
        <w:rPr>
          <w:rStyle w:val="Hipervnculo"/>
          <w:rFonts w:ascii="Century Gothic" w:hAnsi="Century Gothic" w:cs="Arial"/>
          <w:sz w:val="18"/>
          <w:szCs w:val="18"/>
        </w:rPr>
        <w:t xml:space="preserve">. </w:t>
      </w:r>
      <w:r w:rsidRPr="00355BE8">
        <w:rPr>
          <w:rFonts w:ascii="Century Gothic" w:hAnsi="Century Gothic" w:cs="Arial"/>
          <w:sz w:val="18"/>
          <w:szCs w:val="18"/>
          <w:shd w:val="clear" w:color="auto" w:fill="E6E6E6"/>
        </w:rPr>
        <w:t xml:space="preserve"> </w:t>
      </w:r>
    </w:p>
  </w:footnote>
  <w:footnote w:id="4">
    <w:p w14:paraId="7207A148" w14:textId="77777777" w:rsidR="00812F1D" w:rsidRPr="00355BE8" w:rsidRDefault="00812F1D" w:rsidP="00812F1D">
      <w:pPr>
        <w:pStyle w:val="Textonotapie"/>
        <w:ind w:left="102" w:right="108" w:firstLine="709"/>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Consejo de Estado. Sección Tercera. Sentencia del 4 de abril de 2002, C.P. Alier E. Hernández Enríquez, Rad. 1999-0290-01 (17.244).</w:t>
      </w:r>
    </w:p>
  </w:footnote>
  <w:footnote w:id="5">
    <w:p w14:paraId="29C34723"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Que tienen una definición y regulación establecida en la ley. </w:t>
      </w:r>
    </w:p>
  </w:footnote>
  <w:footnote w:id="6">
    <w:p w14:paraId="438CC67B"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Por ejemplo: contratos de compraventa, suministro, depósito, seguro, arrendamiento, mutuo, mandato etc. </w:t>
      </w:r>
    </w:p>
  </w:footnote>
  <w:footnote w:id="7">
    <w:p w14:paraId="0AA74271"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Por ejemplo: contratos de obra pública, prestación de servicios, consultoría, concesión, fiducia pública y encargo fiduciario. </w:t>
      </w:r>
    </w:p>
  </w:footnote>
  <w:footnote w:id="8">
    <w:p w14:paraId="4DAC8FCA"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OSPINA MENA, Jesús Marino. Régimen de la Contratación Estatal. Un salto a la contratación liquida, Ed 1ª Dike, 2020, Bogotá, p. 164. </w:t>
      </w:r>
    </w:p>
  </w:footnote>
  <w:footnote w:id="9">
    <w:p w14:paraId="70150EB3"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Style w:val="Refdenotaalpie"/>
          <w:rFonts w:ascii="Century Gothic" w:hAnsi="Century Gothic" w:cs="Arial"/>
          <w:sz w:val="18"/>
          <w:szCs w:val="18"/>
        </w:rPr>
        <w:t xml:space="preserve"> </w:t>
      </w:r>
      <w:r w:rsidRPr="00355BE8">
        <w:rPr>
          <w:rFonts w:ascii="Century Gothic" w:hAnsi="Century Gothic" w:cs="Arial"/>
          <w:sz w:val="18"/>
          <w:szCs w:val="18"/>
        </w:rPr>
        <w:t>ARRUBLA PAUCAR, Jaime. Contratos Mercantiles, Tomo III, Contratos Atípicos, 8 Ed, Legis, 2015, p. 23.</w:t>
      </w:r>
    </w:p>
  </w:footnote>
  <w:footnote w:id="10">
    <w:p w14:paraId="72E1CC74" w14:textId="77777777" w:rsidR="00812F1D" w:rsidRPr="00355BE8" w:rsidRDefault="00812F1D" w:rsidP="00812F1D">
      <w:pPr>
        <w:pStyle w:val="Textonotapie"/>
        <w:ind w:firstLine="708"/>
        <w:jc w:val="both"/>
        <w:rPr>
          <w:rFonts w:ascii="Century Gothic" w:hAnsi="Century Gothic" w:cs="Arial"/>
          <w:iCs/>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w:t>
      </w:r>
      <w:r w:rsidRPr="00355BE8">
        <w:rPr>
          <w:rFonts w:ascii="Century Gothic" w:hAnsi="Century Gothic" w:cs="Arial"/>
          <w:iCs/>
          <w:color w:val="000000" w:themeColor="text1"/>
          <w:sz w:val="18"/>
          <w:szCs w:val="18"/>
        </w:rPr>
        <w:t xml:space="preserve">NARVAEZ GARCÍA, José Ignacio, Derecho mercantil colombiano. Obligaciones y contratos mercantiles. 2 </w:t>
      </w:r>
      <w:proofErr w:type="gramStart"/>
      <w:r w:rsidRPr="00355BE8">
        <w:rPr>
          <w:rFonts w:ascii="Century Gothic" w:hAnsi="Century Gothic" w:cs="Arial"/>
          <w:iCs/>
          <w:color w:val="000000" w:themeColor="text1"/>
          <w:sz w:val="18"/>
          <w:szCs w:val="18"/>
        </w:rPr>
        <w:t>Ed.</w:t>
      </w:r>
      <w:proofErr w:type="gramEnd"/>
      <w:r w:rsidRPr="00355BE8">
        <w:rPr>
          <w:rFonts w:ascii="Century Gothic" w:hAnsi="Century Gothic" w:cs="Arial"/>
          <w:iCs/>
          <w:color w:val="000000" w:themeColor="text1"/>
          <w:sz w:val="18"/>
          <w:szCs w:val="18"/>
        </w:rPr>
        <w:t xml:space="preserve"> Bogotá: Legis, 2002. p.67.</w:t>
      </w:r>
    </w:p>
  </w:footnote>
  <w:footnote w:id="11">
    <w:p w14:paraId="5B6D7FD7" w14:textId="77777777" w:rsidR="00812F1D" w:rsidRPr="00355BE8" w:rsidRDefault="00812F1D" w:rsidP="00812F1D">
      <w:pPr>
        <w:pStyle w:val="Textonotapie"/>
        <w:ind w:firstLine="708"/>
        <w:jc w:val="both"/>
        <w:rPr>
          <w:rFonts w:ascii="Century Gothic" w:hAnsi="Century Gothic" w:cs="Arial"/>
          <w:iCs/>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w:t>
      </w:r>
      <w:r w:rsidRPr="00355BE8">
        <w:rPr>
          <w:rFonts w:ascii="Century Gothic" w:hAnsi="Century Gothic" w:cs="Arial"/>
          <w:iCs/>
          <w:color w:val="000000" w:themeColor="text1"/>
          <w:sz w:val="18"/>
          <w:szCs w:val="18"/>
        </w:rPr>
        <w:t>Gaceta Judicial T.XLVIII, p.50. Citada por: SUAREZ BELTRÁN, Gonzalo. Estudios de derecho contractual público. Bogotá: Legis, 2014. p. 239.</w:t>
      </w:r>
    </w:p>
  </w:footnote>
  <w:footnote w:id="12">
    <w:p w14:paraId="12CE4522" w14:textId="77777777" w:rsidR="00812F1D" w:rsidRPr="00355BE8" w:rsidRDefault="00812F1D" w:rsidP="00812F1D">
      <w:pPr>
        <w:pStyle w:val="Textonotapie"/>
        <w:ind w:firstLine="708"/>
        <w:jc w:val="both"/>
        <w:rPr>
          <w:rFonts w:ascii="Century Gothic" w:hAnsi="Century Gothic" w:cs="Arial"/>
          <w:color w:val="000000" w:themeColor="text1"/>
          <w:sz w:val="18"/>
          <w:szCs w:val="18"/>
          <w:lang w:val="es-CO"/>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w:t>
      </w:r>
      <w:r w:rsidRPr="00355BE8">
        <w:rPr>
          <w:rFonts w:ascii="Century Gothic" w:hAnsi="Century Gothic" w:cs="Arial"/>
          <w:iCs/>
          <w:color w:val="000000" w:themeColor="text1"/>
          <w:sz w:val="18"/>
          <w:szCs w:val="18"/>
        </w:rPr>
        <w:t>CONSEJO DE ESTADO. Sala de Consulta y Servicio Civil. Concepto</w:t>
      </w:r>
      <w:r w:rsidRPr="00355BE8">
        <w:rPr>
          <w:rFonts w:ascii="Century Gothic" w:hAnsi="Century Gothic" w:cs="Arial"/>
          <w:bCs/>
          <w:color w:val="000000" w:themeColor="text1"/>
          <w:sz w:val="18"/>
          <w:szCs w:val="18"/>
        </w:rPr>
        <w:t xml:space="preserve"> </w:t>
      </w:r>
      <w:r w:rsidRPr="00355BE8">
        <w:rPr>
          <w:rFonts w:ascii="Century Gothic" w:hAnsi="Century Gothic" w:cs="Arial"/>
          <w:iCs/>
          <w:color w:val="000000" w:themeColor="text1"/>
          <w:sz w:val="18"/>
          <w:szCs w:val="18"/>
        </w:rPr>
        <w:t>del 5 de septiembre de 2018. Exp. 2.386. C.P. Edgar González López. Este concepto reitera pronunciamientos anteriores relacionados con la estampilla pro-universidades, tales como: Conceptos 2.229 de 2015, 2.271 de 2016, 2.229 de 2017, 2.324 de 2017.</w:t>
      </w:r>
    </w:p>
  </w:footnote>
  <w:footnote w:id="13">
    <w:p w14:paraId="0E3EDDA8" w14:textId="77777777" w:rsidR="00812F1D" w:rsidRPr="00355BE8" w:rsidRDefault="00812F1D" w:rsidP="00812F1D">
      <w:pPr>
        <w:spacing w:after="0" w:line="242" w:lineRule="auto"/>
        <w:ind w:left="102" w:right="108" w:firstLine="709"/>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ibídem,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355BE8">
        <w:rPr>
          <w:rFonts w:ascii="Century Gothic" w:hAnsi="Century Gothic" w:cs="Arial"/>
          <w:spacing w:val="-2"/>
          <w:sz w:val="18"/>
          <w:szCs w:val="18"/>
        </w:rPr>
        <w:t xml:space="preserve"> </w:t>
      </w:r>
      <w:r w:rsidRPr="00355BE8">
        <w:rPr>
          <w:rFonts w:ascii="Century Gothic" w:hAnsi="Century Gothic" w:cs="Arial"/>
          <w:sz w:val="18"/>
          <w:szCs w:val="18"/>
        </w:rPr>
        <w:t>estatal”.</w:t>
      </w:r>
    </w:p>
  </w:footnote>
  <w:footnote w:id="14">
    <w:p w14:paraId="1CCA2144"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Ley 1955 de 2019: “La entidad pública que sea titular de bienes intangibles y derechos de propiedad intelectual podrá negociar su explotación comercial.</w:t>
      </w:r>
    </w:p>
    <w:p w14:paraId="116B0021" w14:textId="77777777" w:rsidR="00812F1D" w:rsidRPr="00355BE8" w:rsidRDefault="00812F1D" w:rsidP="00812F1D">
      <w:pPr>
        <w:pStyle w:val="Textonotapie"/>
        <w:ind w:firstLine="708"/>
        <w:jc w:val="both"/>
        <w:rPr>
          <w:rFonts w:ascii="Century Gothic" w:hAnsi="Century Gothic" w:cs="Arial"/>
          <w:sz w:val="18"/>
          <w:szCs w:val="18"/>
        </w:rPr>
      </w:pPr>
      <w:r w:rsidRPr="00355BE8">
        <w:rPr>
          <w:rFonts w:ascii="Century Gothic" w:hAnsi="Century Gothic" w:cs="Arial"/>
          <w:sz w:val="18"/>
          <w:szCs w:val="18"/>
        </w:rPr>
        <w:t xml:space="preserve">Los beneficios o regalías que se generen de la explotación comercial del bien intangible o derecho de propiedad intelectual de titularidad de la entidad </w:t>
      </w:r>
      <w:proofErr w:type="gramStart"/>
      <w:r w:rsidRPr="00355BE8">
        <w:rPr>
          <w:rFonts w:ascii="Century Gothic" w:hAnsi="Century Gothic" w:cs="Arial"/>
          <w:sz w:val="18"/>
          <w:szCs w:val="18"/>
        </w:rPr>
        <w:t>pública,</w:t>
      </w:r>
      <w:proofErr w:type="gramEnd"/>
      <w:r w:rsidRPr="00355BE8">
        <w:rPr>
          <w:rFonts w:ascii="Century Gothic" w:hAnsi="Century Gothic" w:cs="Arial"/>
          <w:sz w:val="18"/>
          <w:szCs w:val="18"/>
        </w:rPr>
        <w:t xml:space="preserve"> deberán ser destinados para el apoyo e inversión a los programas, proyectos, actividades e iniciativas de ciencia, tecnología e innovación de la entidad pública. Para lo anterior, la entidad pública podrá suscribir convenios de ejecución con fondos o fiducias que garanticen dicha destinación.</w:t>
      </w:r>
    </w:p>
    <w:p w14:paraId="50F09DF8" w14:textId="77777777" w:rsidR="00812F1D" w:rsidRPr="00355BE8" w:rsidRDefault="00812F1D" w:rsidP="00812F1D">
      <w:pPr>
        <w:pStyle w:val="Textonotapie"/>
        <w:ind w:firstLine="708"/>
        <w:jc w:val="both"/>
        <w:rPr>
          <w:rFonts w:ascii="Century Gothic" w:hAnsi="Century Gothic" w:cs="Arial"/>
          <w:sz w:val="18"/>
          <w:szCs w:val="18"/>
          <w:lang w:val="es-ES"/>
        </w:rPr>
      </w:pPr>
      <w:r w:rsidRPr="00355BE8">
        <w:rPr>
          <w:rFonts w:ascii="Century Gothic" w:hAnsi="Century Gothic" w:cs="Arial"/>
          <w:sz w:val="18"/>
          <w:szCs w:val="18"/>
        </w:rPr>
        <w:t>&lt;Inciso modificado por el artículo 107 de la Ley 2294 de 2023. El nuevo texto es el siguiente:&gt; Para aquellas entidades públicas que no desarrollen o ejecuten programas, proyectos, actividades e iniciativas de ciencia, tecnología e innovación, los beneficios o regalías que genere la explotación comercial de sus bienes intangibles o propiedad intelectual, deberá ser destinada a promover el aprovechamiento de la propiedad intelectual o a la promoción de industrias creativas, de conformidad con el artículo 2o de la Ley 1834 de 2017, o aquella que la modifique o sustituya”.</w:t>
      </w:r>
    </w:p>
  </w:footnote>
  <w:footnote w:id="15">
    <w:p w14:paraId="39E924D6" w14:textId="77777777" w:rsidR="00812F1D" w:rsidRPr="00355BE8" w:rsidRDefault="00812F1D" w:rsidP="00812F1D">
      <w:pPr>
        <w:pStyle w:val="Textoindependiente"/>
        <w:ind w:left="100" w:right="105" w:firstLine="707"/>
        <w:jc w:val="both"/>
        <w:rPr>
          <w:rFonts w:ascii="Century Gothic" w:hAnsi="Century Gothic"/>
          <w:sz w:val="18"/>
          <w:szCs w:val="18"/>
          <w:lang w:eastAsia="en-US"/>
        </w:rPr>
      </w:pPr>
      <w:r w:rsidRPr="00355BE8">
        <w:rPr>
          <w:rStyle w:val="Refdenotaalpie"/>
          <w:rFonts w:ascii="Century Gothic" w:hAnsi="Century Gothic"/>
          <w:sz w:val="18"/>
          <w:szCs w:val="18"/>
        </w:rPr>
        <w:footnoteRef/>
      </w:r>
      <w:r w:rsidRPr="00355BE8">
        <w:rPr>
          <w:rFonts w:ascii="Century Gothic" w:hAnsi="Century Gothic"/>
          <w:sz w:val="18"/>
          <w:szCs w:val="18"/>
        </w:rPr>
        <w:t xml:space="preserve"> La Corte Constitucional, en Sentencia C-300 de 2012 M.P. Jorge Ignacio Pretel Chabljub,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4036F53E" w14:textId="77777777" w:rsidR="00812F1D" w:rsidRPr="00355BE8" w:rsidRDefault="00812F1D" w:rsidP="00812F1D">
      <w:pPr>
        <w:pStyle w:val="Textoindependiente"/>
        <w:ind w:left="100" w:right="103" w:firstLine="608"/>
        <w:jc w:val="both"/>
        <w:rPr>
          <w:rFonts w:ascii="Century Gothic" w:hAnsi="Century Gothic"/>
          <w:sz w:val="18"/>
          <w:szCs w:val="18"/>
        </w:rPr>
      </w:pPr>
      <w:r w:rsidRPr="00355BE8">
        <w:rPr>
          <w:rFonts w:ascii="Century Gothic" w:hAnsi="Century Gothic"/>
          <w:sz w:val="18"/>
          <w:szCs w:val="18"/>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176B1AA7" w14:textId="77777777" w:rsidR="00812F1D" w:rsidRPr="00355BE8" w:rsidRDefault="00812F1D" w:rsidP="00812F1D">
      <w:pPr>
        <w:pStyle w:val="Textoindependiente"/>
        <w:ind w:left="100" w:right="103" w:firstLine="608"/>
        <w:jc w:val="both"/>
        <w:rPr>
          <w:rFonts w:ascii="Century Gothic" w:hAnsi="Century Gothic"/>
          <w:sz w:val="18"/>
          <w:szCs w:val="18"/>
        </w:rPr>
      </w:pPr>
      <w:r w:rsidRPr="00355BE8">
        <w:rPr>
          <w:rFonts w:ascii="Century Gothic" w:hAnsi="Century Gothic"/>
          <w:sz w:val="18"/>
          <w:szCs w:val="18"/>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footnote>
  <w:footnote w:id="16">
    <w:p w14:paraId="02EA24F4" w14:textId="77777777" w:rsidR="00812F1D" w:rsidRPr="00355BE8" w:rsidRDefault="00812F1D" w:rsidP="00812F1D">
      <w:pPr>
        <w:pStyle w:val="Textonotapie"/>
        <w:ind w:firstLine="708"/>
        <w:jc w:val="both"/>
        <w:rPr>
          <w:rFonts w:ascii="Century Gothic" w:hAnsi="Century Gothic" w:cs="Arial"/>
          <w:sz w:val="18"/>
          <w:szCs w:val="18"/>
          <w:lang w:val="es-CO"/>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Consejo de Estado. Sección Tercera. Sentencia del 27 de abril de 2011. Exp. 18.293. C.P. Ruth Stella Correa Palacio.</w:t>
      </w:r>
    </w:p>
  </w:footnote>
  <w:footnote w:id="17">
    <w:p w14:paraId="6B986587"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Cfr. Consejo de Estado. Sección Tercera. Sentencia de 25 de octubre de 2019. Rad. 25000232600020110100201(60304). CP: Martha Nubia Velásquez Rico. Entre otras providencias en las que el Consejo de Estado da criterios para identificar qué entidad actúan como contratante o como contratista.</w:t>
      </w:r>
    </w:p>
  </w:footnote>
  <w:footnote w:id="18">
    <w:p w14:paraId="507BD16C"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Corte Constitucional. Sentencia C- 341 del 4 de junio de 2014. M. P. Mauricio González Cuervo.</w:t>
      </w:r>
    </w:p>
  </w:footnote>
  <w:footnote w:id="19">
    <w:p w14:paraId="391E03DC"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F86F0C7"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rPr>
        <w:t>Lo anterior, sin perjuicio de las publicaciones previstas en el numeral 3 del artículo 30 de la Ley 80 de 1993.</w:t>
      </w:r>
    </w:p>
    <w:p w14:paraId="06CFE4AD"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70848747"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rPr>
        <w:t>[…]</w:t>
      </w:r>
    </w:p>
    <w:p w14:paraId="2746A51B"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footnote>
  <w:footnote w:id="20">
    <w:p w14:paraId="5C38CF74"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21">
    <w:p w14:paraId="0A7B7C65"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Ley 1712 de 2014: “Artículo 5. Ámbito de aplicación. Las disposiciones de esta ley serán aplicables a las siguientes personas en calidad de sujetos obligados: </w:t>
      </w:r>
    </w:p>
    <w:p w14:paraId="3E5FEDB5"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22">
    <w:p w14:paraId="012F0962"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Fonts w:ascii="Century Gothic" w:hAnsi="Century Gothic" w:cs="Arial"/>
          <w:color w:val="000000" w:themeColor="text1"/>
          <w:sz w:val="18"/>
          <w:szCs w:val="18"/>
          <w:vertAlign w:val="superscript"/>
          <w:lang w:val="es-ES" w:eastAsia="es-ES"/>
        </w:rPr>
        <w:footnoteRef/>
      </w:r>
      <w:r w:rsidRPr="00355BE8">
        <w:rPr>
          <w:rFonts w:ascii="Century Gothic" w:hAnsi="Century Gothic" w:cs="Arial"/>
          <w:color w:val="000000" w:themeColor="text1"/>
          <w:sz w:val="18"/>
          <w:szCs w:val="18"/>
          <w:vertAlign w:val="superscript"/>
          <w:lang w:val="es-ES" w:eastAsia="es-ES"/>
        </w:rPr>
        <w:t xml:space="preserve"> </w:t>
      </w:r>
      <w:r w:rsidRPr="00355BE8">
        <w:rPr>
          <w:rFonts w:ascii="Century Gothic" w:hAnsi="Century Gothic" w:cs="Arial"/>
          <w:color w:val="000000" w:themeColor="text1"/>
          <w:sz w:val="18"/>
          <w:szCs w:val="18"/>
          <w:lang w:val="es-ES" w:eastAsia="es-ES"/>
        </w:rPr>
        <w:t>“</w:t>
      </w:r>
      <w:r w:rsidRPr="00355BE8">
        <w:rPr>
          <w:rFonts w:ascii="Century Gothic" w:hAnsi="Century Gothic"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48792CD"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lang w:val="es-ES" w:eastAsia="es-ES"/>
        </w:rPr>
      </w:pPr>
      <w:r w:rsidRPr="00355BE8">
        <w:rPr>
          <w:rFonts w:ascii="Century Gothic" w:hAnsi="Century Gothic" w:cs="Arial"/>
          <w:color w:val="000000" w:themeColor="text1"/>
          <w:sz w:val="18"/>
          <w:szCs w:val="18"/>
        </w:rPr>
        <w:t>[…].</w:t>
      </w:r>
    </w:p>
    <w:p w14:paraId="60177DAA"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lang w:val="es-ES" w:eastAsia="es-ES"/>
        </w:rPr>
      </w:pPr>
      <w:r w:rsidRPr="00355BE8">
        <w:rPr>
          <w:rFonts w:ascii="Century Gothic" w:hAnsi="Century Gothic" w:cs="Arial"/>
          <w:color w:val="000000" w:themeColor="text1"/>
          <w:sz w:val="18"/>
          <w:szCs w:val="18"/>
          <w:lang w:val="es-ES" w:eastAsia="es-ES"/>
        </w:rPr>
        <w:t xml:space="preserve">Los sujetos obligados que contratan con recursos públicos y recursos </w:t>
      </w:r>
      <w:proofErr w:type="gramStart"/>
      <w:r w:rsidRPr="00355BE8">
        <w:rPr>
          <w:rFonts w:ascii="Century Gothic" w:hAnsi="Century Gothic" w:cs="Arial"/>
          <w:color w:val="000000" w:themeColor="text1"/>
          <w:sz w:val="18"/>
          <w:szCs w:val="18"/>
          <w:lang w:val="es-ES" w:eastAsia="es-ES"/>
        </w:rPr>
        <w:t>privados,</w:t>
      </w:r>
      <w:proofErr w:type="gramEnd"/>
      <w:r w:rsidRPr="00355BE8">
        <w:rPr>
          <w:rFonts w:ascii="Century Gothic" w:hAnsi="Century Gothic" w:cs="Arial"/>
          <w:color w:val="000000" w:themeColor="text1"/>
          <w:sz w:val="18"/>
          <w:szCs w:val="18"/>
          <w:lang w:val="es-ES" w:eastAsia="es-ES"/>
        </w:rPr>
        <w:t xml:space="preserve"> deben publicar la información de su gestión contractual con cargo a recursos públicos en el Sistema Electrónico para la Contratación Pública [SECOP]”.</w:t>
      </w:r>
    </w:p>
  </w:footnote>
  <w:footnote w:id="23">
    <w:p w14:paraId="003CDB21" w14:textId="77777777" w:rsidR="00812F1D" w:rsidRPr="00355BE8" w:rsidRDefault="00812F1D" w:rsidP="00812F1D">
      <w:pPr>
        <w:pStyle w:val="Textonotapie"/>
        <w:ind w:right="49" w:firstLine="709"/>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C</w:t>
      </w:r>
      <w:r w:rsidRPr="00355BE8">
        <w:rPr>
          <w:rFonts w:ascii="Century Gothic" w:hAnsi="Century Gothic" w:cs="Arial"/>
          <w:color w:val="000000" w:themeColor="text1"/>
          <w:sz w:val="18"/>
          <w:szCs w:val="18"/>
          <w:lang w:val="es-ES" w:eastAsia="es-ES"/>
        </w:rPr>
        <w:t xml:space="preserve">orte Constitucional. Sentencia C-274 de 9 de mayo de 2013. M.P. María Victoria Calle Correa. </w:t>
      </w:r>
    </w:p>
  </w:footnote>
  <w:footnote w:id="24">
    <w:p w14:paraId="39AF3896" w14:textId="77777777" w:rsidR="00812F1D" w:rsidRPr="00355BE8" w:rsidRDefault="00812F1D" w:rsidP="00812F1D">
      <w:pPr>
        <w:pStyle w:val="Textonotapie"/>
        <w:ind w:right="49" w:firstLine="708"/>
        <w:jc w:val="both"/>
        <w:rPr>
          <w:rFonts w:ascii="Century Gothic" w:hAnsi="Century Gothic" w:cs="Arial"/>
          <w:color w:val="000000" w:themeColor="text1"/>
          <w:sz w:val="18"/>
          <w:szCs w:val="18"/>
        </w:rPr>
      </w:pPr>
      <w:r w:rsidRPr="00355BE8">
        <w:rPr>
          <w:rStyle w:val="Refdenotaalpie"/>
          <w:rFonts w:ascii="Century Gothic" w:hAnsi="Century Gothic" w:cs="Arial"/>
          <w:color w:val="000000" w:themeColor="text1"/>
          <w:sz w:val="18"/>
          <w:szCs w:val="18"/>
        </w:rPr>
        <w:footnoteRef/>
      </w:r>
      <w:r w:rsidRPr="00355BE8">
        <w:rPr>
          <w:rFonts w:ascii="Century Gothic" w:hAnsi="Century Gothic"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21AA3CB" w14:textId="77777777" w:rsidR="00812F1D" w:rsidRPr="00355BE8" w:rsidRDefault="00812F1D" w:rsidP="00812F1D">
      <w:pPr>
        <w:pStyle w:val="Textonotapie"/>
        <w:ind w:right="49" w:firstLine="708"/>
        <w:jc w:val="both"/>
        <w:rPr>
          <w:rFonts w:ascii="Century Gothic" w:hAnsi="Century Gothic" w:cs="Arial"/>
          <w:color w:val="000000" w:themeColor="text1"/>
          <w:sz w:val="18"/>
          <w:szCs w:val="18"/>
          <w:lang w:val="es-ES"/>
        </w:rPr>
      </w:pPr>
      <w:r w:rsidRPr="00355BE8">
        <w:rPr>
          <w:rFonts w:ascii="Century Gothic" w:hAnsi="Century Gothic"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25">
    <w:p w14:paraId="230A67AF" w14:textId="77777777" w:rsidR="00812F1D" w:rsidRPr="00355BE8" w:rsidRDefault="00812F1D" w:rsidP="00812F1D">
      <w:pPr>
        <w:pStyle w:val="Textonotapie"/>
        <w:ind w:firstLine="708"/>
        <w:jc w:val="both"/>
        <w:rPr>
          <w:rFonts w:ascii="Century Gothic" w:hAnsi="Century Gothic" w:cs="Arial"/>
          <w:sz w:val="18"/>
          <w:szCs w:val="18"/>
          <w:lang w:val="es-CO"/>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Decreto 1082 de 2015 “Artículo 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w:t>
      </w:r>
    </w:p>
  </w:footnote>
  <w:footnote w:id="26">
    <w:p w14:paraId="61385C3F" w14:textId="77777777" w:rsidR="00812F1D" w:rsidRPr="00355BE8" w:rsidRDefault="00812F1D" w:rsidP="00812F1D">
      <w:pPr>
        <w:pStyle w:val="Textonotapie"/>
        <w:rPr>
          <w:rFonts w:ascii="Century Gothic" w:hAnsi="Century Gothic" w:cs="Arial"/>
          <w:sz w:val="18"/>
          <w:szCs w:val="18"/>
        </w:rPr>
      </w:pPr>
    </w:p>
    <w:p w14:paraId="4A37B527"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Decreto 1082 de 2015 “Artículo 2.2.1.2.1.4.6. Contratación de Bienes y Servicios en el Sector Defensa, </w:t>
      </w:r>
      <w:bookmarkStart w:id="19" w:name="_Hlk48034091"/>
      <w:r w:rsidRPr="00355BE8">
        <w:rPr>
          <w:rFonts w:ascii="Century Gothic" w:hAnsi="Century Gothic" w:cs="Arial"/>
          <w:sz w:val="18"/>
          <w:szCs w:val="18"/>
        </w:rPr>
        <w:t>la Dirección Nacional de Inteligencia y la Unidad Nacional de Protección</w:t>
      </w:r>
      <w:bookmarkEnd w:id="19"/>
      <w:r w:rsidRPr="00355BE8">
        <w:rPr>
          <w:rFonts w:ascii="Century Gothic" w:hAnsi="Century Gothic" w:cs="Arial"/>
          <w:sz w:val="18"/>
          <w:szCs w:val="18"/>
        </w:rPr>
        <w:t xml:space="preserve">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562D71F5" w14:textId="77777777" w:rsidR="00812F1D" w:rsidRPr="00355BE8" w:rsidRDefault="00812F1D" w:rsidP="00812F1D">
      <w:pPr>
        <w:pStyle w:val="Textonotapie"/>
        <w:ind w:firstLine="708"/>
        <w:rPr>
          <w:rFonts w:ascii="Century Gothic" w:hAnsi="Century Gothic"/>
          <w:sz w:val="18"/>
          <w:szCs w:val="18"/>
          <w:lang w:val="es-CO"/>
        </w:rPr>
      </w:pPr>
      <w:r w:rsidRPr="00355BE8">
        <w:rPr>
          <w:rFonts w:ascii="Century Gothic" w:hAnsi="Century Gothic"/>
          <w:sz w:val="18"/>
          <w:szCs w:val="18"/>
        </w:rPr>
        <w:t xml:space="preserve"> </w:t>
      </w:r>
    </w:p>
  </w:footnote>
  <w:footnote w:id="27">
    <w:p w14:paraId="2879A736" w14:textId="77777777" w:rsidR="00812F1D" w:rsidRPr="00355BE8" w:rsidRDefault="00812F1D" w:rsidP="00812F1D">
      <w:pPr>
        <w:pStyle w:val="Textonotapie"/>
        <w:ind w:firstLine="708"/>
        <w:jc w:val="both"/>
        <w:rPr>
          <w:rFonts w:ascii="Century Gothic" w:hAnsi="Century Gothic" w:cs="Arial"/>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Ley 80 de 1993 “</w:t>
      </w:r>
      <w:r w:rsidRPr="00355BE8">
        <w:rPr>
          <w:rStyle w:val="Textoennegrita"/>
          <w:rFonts w:ascii="Century Gothic" w:hAnsi="Century Gothic" w:cs="Arial"/>
          <w:color w:val="000000"/>
          <w:sz w:val="18"/>
          <w:szCs w:val="18"/>
        </w:rPr>
        <w:t>Articulo 32. De los contratos estatales. </w:t>
      </w:r>
      <w:r w:rsidRPr="00355BE8">
        <w:rPr>
          <w:rFonts w:ascii="Century Gothic" w:hAnsi="Century Gothic" w:cs="Arial"/>
          <w:color w:val="000000"/>
          <w:sz w:val="18"/>
          <w:szCs w:val="18"/>
        </w:rPr>
        <w:t>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28">
    <w:p w14:paraId="5E1088F9" w14:textId="77777777" w:rsidR="00812F1D" w:rsidRPr="00355BE8" w:rsidRDefault="00812F1D" w:rsidP="00812F1D">
      <w:pPr>
        <w:pStyle w:val="NormalWeb"/>
        <w:spacing w:before="0" w:beforeAutospacing="0" w:after="0" w:afterAutospacing="0"/>
        <w:ind w:firstLine="708"/>
        <w:jc w:val="both"/>
        <w:rPr>
          <w:rFonts w:ascii="Century Gothic" w:hAnsi="Century Gothic" w:cs="Arial"/>
          <w:color w:val="000000"/>
          <w:sz w:val="18"/>
          <w:szCs w:val="18"/>
        </w:rPr>
      </w:pPr>
      <w:r w:rsidRPr="00355BE8">
        <w:rPr>
          <w:rStyle w:val="Refdenotaalpie"/>
          <w:rFonts w:ascii="Century Gothic" w:hAnsi="Century Gothic" w:cs="Arial"/>
          <w:sz w:val="18"/>
          <w:szCs w:val="18"/>
        </w:rPr>
        <w:footnoteRef/>
      </w:r>
      <w:r w:rsidRPr="00355BE8">
        <w:rPr>
          <w:rFonts w:ascii="Century Gothic" w:hAnsi="Century Gothic" w:cs="Arial"/>
          <w:sz w:val="18"/>
          <w:szCs w:val="18"/>
        </w:rPr>
        <w:t xml:space="preserve"> Ley 80 de 1993 “</w:t>
      </w:r>
      <w:r w:rsidRPr="00355BE8">
        <w:rPr>
          <w:rFonts w:ascii="Century Gothic" w:hAnsi="Century Gothic" w:cs="Arial"/>
          <w:color w:val="000000"/>
          <w:sz w:val="18"/>
          <w:szCs w:val="18"/>
        </w:rPr>
        <w:t>Artículo 13</w:t>
      </w:r>
      <w:r w:rsidRPr="00355BE8">
        <w:rPr>
          <w:rFonts w:ascii="Century Gothic" w:hAnsi="Century Gothic" w:cs="Arial"/>
          <w:b/>
          <w:bCs/>
          <w:color w:val="000000"/>
          <w:sz w:val="18"/>
          <w:szCs w:val="18"/>
        </w:rPr>
        <w:t xml:space="preserve">. </w:t>
      </w:r>
      <w:r w:rsidRPr="00355BE8">
        <w:rPr>
          <w:rFonts w:ascii="Century Gothic" w:hAnsi="Century Gothic" w:cs="Arial"/>
          <w:color w:val="000000"/>
          <w:sz w:val="18"/>
          <w:szCs w:val="18"/>
        </w:rPr>
        <w:t>De la normatividad aplicable a los contratos estatales. Los contratos que celebren las entidades a que se refiere el artículo 2o. del presente estatuto se regirán por las disposiciones comerciales y civiles pertinentes, salvo en las materias particularmente reguladas en esta ley. </w:t>
      </w:r>
    </w:p>
    <w:p w14:paraId="3B63A7CD" w14:textId="77777777" w:rsidR="00812F1D" w:rsidRPr="00355BE8" w:rsidRDefault="00812F1D" w:rsidP="00812F1D">
      <w:pPr>
        <w:spacing w:after="0"/>
        <w:jc w:val="both"/>
        <w:rPr>
          <w:rFonts w:ascii="Century Gothic" w:hAnsi="Century Gothic" w:cs="Arial"/>
          <w:color w:val="000000"/>
          <w:sz w:val="18"/>
          <w:szCs w:val="18"/>
          <w:lang w:eastAsia="es-CO"/>
        </w:rPr>
      </w:pPr>
      <w:r w:rsidRPr="00355BE8">
        <w:rPr>
          <w:rFonts w:ascii="Century Gothic" w:hAnsi="Century Gothic" w:cs="Arial"/>
          <w:color w:val="000000"/>
          <w:sz w:val="18"/>
          <w:szCs w:val="18"/>
          <w:lang w:eastAsia="es-CO"/>
        </w:rPr>
        <w:t> </w:t>
      </w:r>
      <w:r w:rsidRPr="00355BE8">
        <w:rPr>
          <w:rFonts w:ascii="Century Gothic" w:hAnsi="Century Gothic" w:cs="Arial"/>
          <w:color w:val="000000"/>
          <w:sz w:val="18"/>
          <w:szCs w:val="18"/>
          <w:lang w:eastAsia="es-CO"/>
        </w:rPr>
        <w:tab/>
        <w:t>Los contratos celebrados en el exterior se podrán regir en su ejecución por las reglas del país en donde se hayan suscrito, a menos que deban cumplirse en Colombia. </w:t>
      </w:r>
    </w:p>
    <w:p w14:paraId="79293A29" w14:textId="77777777" w:rsidR="00812F1D" w:rsidRPr="00355BE8" w:rsidRDefault="00812F1D" w:rsidP="00812F1D">
      <w:pPr>
        <w:spacing w:after="0"/>
        <w:jc w:val="both"/>
        <w:rPr>
          <w:rFonts w:ascii="Century Gothic" w:hAnsi="Century Gothic" w:cs="Arial"/>
          <w:color w:val="000000"/>
          <w:sz w:val="18"/>
          <w:szCs w:val="18"/>
          <w:lang w:eastAsia="es-CO"/>
        </w:rPr>
      </w:pPr>
      <w:r w:rsidRPr="00355BE8">
        <w:rPr>
          <w:rFonts w:ascii="Century Gothic" w:hAnsi="Century Gothic" w:cs="Arial"/>
          <w:color w:val="000000"/>
          <w:sz w:val="18"/>
          <w:szCs w:val="18"/>
          <w:lang w:eastAsia="es-CO"/>
        </w:rPr>
        <w:t>  </w:t>
      </w:r>
      <w:r w:rsidRPr="00355BE8">
        <w:rPr>
          <w:rFonts w:ascii="Century Gothic" w:hAnsi="Century Gothic" w:cs="Arial"/>
          <w:color w:val="000000"/>
          <w:sz w:val="18"/>
          <w:szCs w:val="18"/>
          <w:lang w:eastAsia="es-CO"/>
        </w:rPr>
        <w:tab/>
        <w:t>Los contratos que se celebren en Colombia y deban ejecutarse o cumplirse en el extranjero, podrán someterse a la ley extranjera. </w:t>
      </w:r>
    </w:p>
    <w:p w14:paraId="3DA93D2B" w14:textId="77777777" w:rsidR="00812F1D" w:rsidRPr="00355BE8" w:rsidRDefault="00812F1D" w:rsidP="00812F1D">
      <w:pPr>
        <w:pStyle w:val="NormalWeb"/>
        <w:spacing w:before="0" w:beforeAutospacing="0" w:after="0" w:afterAutospacing="0"/>
        <w:ind w:firstLine="708"/>
        <w:jc w:val="both"/>
        <w:rPr>
          <w:rFonts w:ascii="Century Gothic" w:hAnsi="Century Gothic" w:cs="Arial"/>
          <w:sz w:val="18"/>
          <w:szCs w:val="18"/>
        </w:rPr>
      </w:pPr>
      <w:r w:rsidRPr="00355BE8">
        <w:rPr>
          <w:rFonts w:ascii="Century Gothic" w:hAnsi="Century Gothic" w:cs="Arial"/>
          <w:sz w:val="18"/>
          <w:szCs w:val="18"/>
        </w:rPr>
        <w:t>[…]</w:t>
      </w:r>
    </w:p>
    <w:p w14:paraId="209C6148" w14:textId="77777777" w:rsidR="00812F1D" w:rsidRPr="00355BE8" w:rsidRDefault="00812F1D" w:rsidP="00812F1D">
      <w:pPr>
        <w:pStyle w:val="NormalWeb"/>
        <w:spacing w:before="0" w:beforeAutospacing="0" w:after="0" w:afterAutospacing="0"/>
        <w:ind w:firstLine="708"/>
        <w:jc w:val="both"/>
        <w:rPr>
          <w:rFonts w:ascii="Century Gothic" w:hAnsi="Century Gothic" w:cs="Arial"/>
          <w:color w:val="000000"/>
          <w:sz w:val="18"/>
          <w:szCs w:val="18"/>
        </w:rPr>
      </w:pPr>
      <w:r w:rsidRPr="00355BE8">
        <w:rPr>
          <w:rFonts w:ascii="Century Gothic" w:hAnsi="Century Gothic" w:cs="Arial"/>
          <w:color w:val="000000"/>
          <w:sz w:val="18"/>
          <w:szCs w:val="18"/>
        </w:rPr>
        <w:t>Artículo 40. Del contenido del contrato estatal. Las estipulaciones de los contratos serán las que de acuerdo con las normas civiles, comerciales y las previstas en esta ley, correspondan a su esencia y naturaleza. </w:t>
      </w:r>
    </w:p>
    <w:p w14:paraId="2A4CC5A6" w14:textId="77777777" w:rsidR="00812F1D" w:rsidRPr="00355BE8" w:rsidRDefault="00812F1D" w:rsidP="00812F1D">
      <w:pPr>
        <w:spacing w:after="0"/>
        <w:jc w:val="both"/>
        <w:rPr>
          <w:rFonts w:ascii="Century Gothic" w:hAnsi="Century Gothic" w:cs="Arial"/>
          <w:color w:val="000000"/>
          <w:sz w:val="18"/>
          <w:szCs w:val="18"/>
          <w:lang w:eastAsia="es-CO"/>
        </w:rPr>
      </w:pPr>
      <w:r w:rsidRPr="00355BE8">
        <w:rPr>
          <w:rFonts w:ascii="Century Gothic" w:hAnsi="Century Gothic" w:cs="Arial"/>
          <w:color w:val="000000"/>
          <w:sz w:val="18"/>
          <w:szCs w:val="18"/>
          <w:lang w:eastAsia="es-CO"/>
        </w:rPr>
        <w:t>  </w:t>
      </w:r>
      <w:r w:rsidRPr="00355BE8">
        <w:rPr>
          <w:rFonts w:ascii="Century Gothic" w:hAnsi="Century Gothic" w:cs="Arial"/>
          <w:color w:val="000000"/>
          <w:sz w:val="18"/>
          <w:szCs w:val="18"/>
          <w:lang w:eastAsia="es-CO"/>
        </w:rPr>
        <w:tab/>
        <w:t>Las entidades podrán celebrar los contratos y acuerdos que permitan la autonomía de la voluntad y requieran el cumplimiento de los fines estatales. </w:t>
      </w:r>
    </w:p>
    <w:p w14:paraId="5E473783" w14:textId="77777777" w:rsidR="00812F1D" w:rsidRPr="00355BE8" w:rsidRDefault="00812F1D" w:rsidP="00812F1D">
      <w:pPr>
        <w:spacing w:after="0"/>
        <w:jc w:val="both"/>
        <w:rPr>
          <w:rFonts w:ascii="Century Gothic" w:hAnsi="Century Gothic" w:cs="Arial"/>
          <w:color w:val="000000"/>
          <w:sz w:val="18"/>
          <w:szCs w:val="18"/>
          <w:lang w:eastAsia="es-CO"/>
        </w:rPr>
      </w:pPr>
      <w:r w:rsidRPr="00355BE8">
        <w:rPr>
          <w:rFonts w:ascii="Century Gothic" w:hAnsi="Century Gothic" w:cs="Arial"/>
          <w:color w:val="000000"/>
          <w:sz w:val="18"/>
          <w:szCs w:val="18"/>
          <w:lang w:eastAsia="es-CO"/>
        </w:rPr>
        <w:t xml:space="preserve">   </w:t>
      </w:r>
      <w:r w:rsidRPr="00355BE8">
        <w:rPr>
          <w:rFonts w:ascii="Century Gothic" w:hAnsi="Century Gothic" w:cs="Arial"/>
          <w:color w:val="000000"/>
          <w:sz w:val="18"/>
          <w:szCs w:val="18"/>
          <w:lang w:eastAsia="es-CO"/>
        </w:rPr>
        <w:tab/>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6D297DFF" w14:textId="77777777" w:rsidR="00812F1D" w:rsidRPr="00355BE8" w:rsidRDefault="00812F1D" w:rsidP="00812F1D">
      <w:pPr>
        <w:spacing w:after="0"/>
        <w:jc w:val="both"/>
        <w:rPr>
          <w:rFonts w:ascii="Century Gothic" w:hAnsi="Century Gothic" w:cs="Arial"/>
          <w:color w:val="000000"/>
          <w:sz w:val="18"/>
          <w:szCs w:val="18"/>
          <w:lang w:eastAsia="es-CO"/>
        </w:rPr>
      </w:pPr>
      <w:r w:rsidRPr="00355BE8">
        <w:rPr>
          <w:rFonts w:ascii="Century Gothic" w:hAnsi="Century Gothic" w:cs="Arial"/>
          <w:color w:val="000000"/>
          <w:sz w:val="18"/>
          <w:szCs w:val="18"/>
          <w:lang w:eastAsia="es-CO"/>
        </w:rPr>
        <w:t>  </w:t>
      </w:r>
      <w:r w:rsidRPr="00355BE8">
        <w:rPr>
          <w:rFonts w:ascii="Century Gothic" w:hAnsi="Century Gothic" w:cs="Arial"/>
          <w:color w:val="000000"/>
          <w:sz w:val="18"/>
          <w:szCs w:val="18"/>
          <w:lang w:eastAsia="es-CO"/>
        </w:rPr>
        <w:tab/>
        <w:t>En los contratos de empréstito o cualquier otra forma de financiación de organismos multilaterales, podrán incluirse las previsiones y particularidades contempladas en los reglamentos de tales entidades, que no sean contrarias a la Constitución o a la ley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69018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E4177"/>
    <w:rsid w:val="001F7DC6"/>
    <w:rsid w:val="002421BB"/>
    <w:rsid w:val="002707A2"/>
    <w:rsid w:val="00281BD6"/>
    <w:rsid w:val="002951A0"/>
    <w:rsid w:val="002962BC"/>
    <w:rsid w:val="002A093D"/>
    <w:rsid w:val="002A0DD0"/>
    <w:rsid w:val="002A49AC"/>
    <w:rsid w:val="002A64FD"/>
    <w:rsid w:val="002C7A84"/>
    <w:rsid w:val="002E4FD9"/>
    <w:rsid w:val="00322A85"/>
    <w:rsid w:val="003360CA"/>
    <w:rsid w:val="003448F4"/>
    <w:rsid w:val="00374F5E"/>
    <w:rsid w:val="00377E3E"/>
    <w:rsid w:val="003A779E"/>
    <w:rsid w:val="003D0F4D"/>
    <w:rsid w:val="003D5B0D"/>
    <w:rsid w:val="003E0499"/>
    <w:rsid w:val="003F3941"/>
    <w:rsid w:val="00406575"/>
    <w:rsid w:val="0042722E"/>
    <w:rsid w:val="004A1847"/>
    <w:rsid w:val="004A305D"/>
    <w:rsid w:val="004F21C4"/>
    <w:rsid w:val="004F685F"/>
    <w:rsid w:val="005566E8"/>
    <w:rsid w:val="00574867"/>
    <w:rsid w:val="00591460"/>
    <w:rsid w:val="005A2340"/>
    <w:rsid w:val="005C3777"/>
    <w:rsid w:val="005C5CDC"/>
    <w:rsid w:val="005D476C"/>
    <w:rsid w:val="005F1A74"/>
    <w:rsid w:val="006219F8"/>
    <w:rsid w:val="00665D70"/>
    <w:rsid w:val="006900D9"/>
    <w:rsid w:val="006A3693"/>
    <w:rsid w:val="00706C16"/>
    <w:rsid w:val="00756841"/>
    <w:rsid w:val="007649AB"/>
    <w:rsid w:val="00765095"/>
    <w:rsid w:val="00771D0C"/>
    <w:rsid w:val="007833AC"/>
    <w:rsid w:val="007B268C"/>
    <w:rsid w:val="007B7171"/>
    <w:rsid w:val="007C3DC2"/>
    <w:rsid w:val="007E5497"/>
    <w:rsid w:val="00806F5F"/>
    <w:rsid w:val="00812F1D"/>
    <w:rsid w:val="00820278"/>
    <w:rsid w:val="008843B6"/>
    <w:rsid w:val="00891928"/>
    <w:rsid w:val="008A446D"/>
    <w:rsid w:val="008C3B30"/>
    <w:rsid w:val="008D180B"/>
    <w:rsid w:val="008F0EA7"/>
    <w:rsid w:val="00923EEF"/>
    <w:rsid w:val="00927F33"/>
    <w:rsid w:val="009419F9"/>
    <w:rsid w:val="009604F6"/>
    <w:rsid w:val="00961B09"/>
    <w:rsid w:val="00965334"/>
    <w:rsid w:val="0097093E"/>
    <w:rsid w:val="009C71FA"/>
    <w:rsid w:val="009C72E7"/>
    <w:rsid w:val="009F3A13"/>
    <w:rsid w:val="00A122D3"/>
    <w:rsid w:val="00A17F13"/>
    <w:rsid w:val="00A20739"/>
    <w:rsid w:val="00A33C78"/>
    <w:rsid w:val="00AB02C6"/>
    <w:rsid w:val="00AB0ADB"/>
    <w:rsid w:val="00B72CD3"/>
    <w:rsid w:val="00B72FFF"/>
    <w:rsid w:val="00BC3D36"/>
    <w:rsid w:val="00BD7F72"/>
    <w:rsid w:val="00BF5313"/>
    <w:rsid w:val="00C04FB3"/>
    <w:rsid w:val="00C31186"/>
    <w:rsid w:val="00C330EB"/>
    <w:rsid w:val="00C40D8B"/>
    <w:rsid w:val="00C754BE"/>
    <w:rsid w:val="00C76B1C"/>
    <w:rsid w:val="00CB6357"/>
    <w:rsid w:val="00CC1B26"/>
    <w:rsid w:val="00D25888"/>
    <w:rsid w:val="00D423A2"/>
    <w:rsid w:val="00D63AC2"/>
    <w:rsid w:val="00D7383B"/>
    <w:rsid w:val="00DA231B"/>
    <w:rsid w:val="00DE43B9"/>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179F7"/>
    <w:rsid w:val="00F2456A"/>
    <w:rsid w:val="00F31EDC"/>
    <w:rsid w:val="00F462B3"/>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12F1D"/>
    <w:pPr>
      <w:spacing w:line="240" w:lineRule="exact"/>
    </w:pPr>
    <w:rPr>
      <w:vertAlign w:val="superscript"/>
    </w:rPr>
  </w:style>
  <w:style w:type="character" w:customStyle="1" w:styleId="NormalWebCar">
    <w:name w:val="Normal (Web) Car"/>
    <w:link w:val="NormalWeb"/>
    <w:uiPriority w:val="99"/>
    <w:rsid w:val="00812F1D"/>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12F1D"/>
    <w:rPr>
      <w:rFonts w:ascii="Geomanist Light" w:hAnsi="Geomanist Light"/>
      <w:lang w:val="es-ES"/>
    </w:rPr>
  </w:style>
  <w:style w:type="paragraph" w:styleId="Textoindependiente">
    <w:name w:val="Body Text"/>
    <w:basedOn w:val="Normal"/>
    <w:link w:val="TextoindependienteCar"/>
    <w:uiPriority w:val="1"/>
    <w:qFormat/>
    <w:rsid w:val="00812F1D"/>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12F1D"/>
    <w:rPr>
      <w:rFonts w:ascii="Arial" w:eastAsia="Arial" w:hAnsi="Arial" w:cs="Arial"/>
      <w:lang w:val="es-ES" w:eastAsia="es-ES" w:bidi="es-ES"/>
    </w:rPr>
  </w:style>
  <w:style w:type="paragraph" w:styleId="Sinespaciado">
    <w:name w:val="No Spacing"/>
    <w:aliases w:val="No Indent"/>
    <w:uiPriority w:val="3"/>
    <w:qFormat/>
    <w:rsid w:val="00812F1D"/>
    <w:pPr>
      <w:spacing w:after="0" w:line="240" w:lineRule="auto"/>
    </w:pPr>
    <w:rPr>
      <w:sz w:val="24"/>
      <w:lang w:val="es-MX"/>
    </w:rPr>
  </w:style>
  <w:style w:type="character" w:styleId="Textoennegrita">
    <w:name w:val="Strong"/>
    <w:basedOn w:val="Fuentedeprrafopredeter"/>
    <w:uiPriority w:val="22"/>
    <w:qFormat/>
    <w:rsid w:val="00812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D00A695-281E-4BF2-BB0B-8C11A659BFE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8946</Words>
  <Characters>49205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2023-10-04T19:46:00Z</dcterms:created>
  <dcterms:modified xsi:type="dcterms:W3CDTF">2023-10-11T17:00:00Z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