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798F" w14:textId="77777777" w:rsidR="000C2EBB" w:rsidRPr="00E8534C" w:rsidRDefault="000C2EBB" w:rsidP="00E245AB">
      <w:pPr>
        <w:spacing w:after="0"/>
        <w:rPr>
          <w:rFonts w:ascii="Century Gothic" w:hAnsi="Century Gothic"/>
          <w:sz w:val="20"/>
          <w:szCs w:val="20"/>
        </w:rPr>
      </w:pPr>
      <w:bookmarkStart w:id="0" w:name="_Hlk143780582"/>
    </w:p>
    <w:p w14:paraId="7185231F" w14:textId="77777777" w:rsidR="00CA1725" w:rsidRPr="004204E3" w:rsidRDefault="00CA1725" w:rsidP="00CA1725">
      <w:pPr>
        <w:spacing w:after="0" w:line="240" w:lineRule="auto"/>
        <w:jc w:val="both"/>
        <w:rPr>
          <w:rFonts w:ascii="Century Gothic" w:eastAsia="Calibri" w:hAnsi="Century Gothic" w:cs="Arial"/>
          <w:b/>
          <w:sz w:val="20"/>
          <w:szCs w:val="20"/>
          <w:lang w:val="es-ES_tradnl" w:eastAsia="es-ES"/>
        </w:rPr>
      </w:pPr>
      <w:r w:rsidRPr="004204E3">
        <w:rPr>
          <w:rFonts w:ascii="Century Gothic" w:eastAsia="Calibri" w:hAnsi="Century Gothic" w:cs="Arial"/>
          <w:b/>
          <w:bCs/>
          <w:sz w:val="20"/>
          <w:szCs w:val="20"/>
          <w:lang w:val="es-MX"/>
        </w:rPr>
        <w:t>EMPRESAS DE SERIVICIOS PÚBLICOS DOMICILIARIOS – Naturaleza jurídica – Régimen contractual</w:t>
      </w:r>
      <w:r w:rsidRPr="004204E3">
        <w:rPr>
          <w:rFonts w:ascii="Century Gothic" w:eastAsia="Calibri" w:hAnsi="Century Gothic" w:cs="Arial"/>
          <w:b/>
          <w:sz w:val="20"/>
          <w:szCs w:val="20"/>
          <w:lang w:val="es-ES_tradnl" w:eastAsia="es-ES"/>
        </w:rPr>
        <w:tab/>
      </w:r>
    </w:p>
    <w:p w14:paraId="2E545AB2" w14:textId="77777777" w:rsidR="00CA1725" w:rsidRPr="004204E3" w:rsidRDefault="00CA1725" w:rsidP="00CA1725">
      <w:pPr>
        <w:spacing w:after="0" w:line="240" w:lineRule="auto"/>
        <w:jc w:val="both"/>
        <w:rPr>
          <w:rFonts w:ascii="Century Gothic" w:eastAsia="Calibri" w:hAnsi="Century Gothic" w:cs="Arial"/>
          <w:b/>
          <w:sz w:val="20"/>
          <w:szCs w:val="20"/>
          <w:lang w:val="es-ES_tradnl" w:eastAsia="es-ES"/>
        </w:rPr>
      </w:pPr>
    </w:p>
    <w:p w14:paraId="1BA16383" w14:textId="77777777"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Las empresas de servicios públicos son sociedades por acciones cuyo objeto es la prestación de los servicios públicos.</w:t>
      </w:r>
    </w:p>
    <w:p w14:paraId="1F29EB49"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p>
    <w:p w14:paraId="197346D3" w14:textId="77777777"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w:t>
      </w:r>
    </w:p>
    <w:p w14:paraId="7670C2E6"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5EF1DEE0" w14:textId="77777777"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El artículo 31 de la le Ley 142 de 1994, modificado por el artículo 3 de la Ley 689 de 2001, dispone que los contratos que celebren las 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domiciliarios, indicando que sus actos se rigen por los principios y reglas aplicables a los particulares.</w:t>
      </w:r>
    </w:p>
    <w:p w14:paraId="000011D1"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1DB83B9F" w14:textId="77777777"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–Ley 80 de 1993–. En otras palabras, dichas empresas 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w:t>
      </w:r>
    </w:p>
    <w:p w14:paraId="3FD3FB2F"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42581915"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r w:rsidRPr="004204E3">
        <w:rPr>
          <w:rFonts w:ascii="Century Gothic" w:eastAsia="Calibri" w:hAnsi="Century Gothic" w:cs="Arial"/>
          <w:b/>
          <w:bCs/>
          <w:sz w:val="20"/>
          <w:szCs w:val="20"/>
          <w:lang w:val="es-MX"/>
        </w:rPr>
        <w:t xml:space="preserve">EMPRESAS DE SERVICIOS PÚBLICOS DOMICILIARIOS – Aplicabilidad Ley 80 de 1993 – Ley 142 de 1994 </w:t>
      </w:r>
    </w:p>
    <w:p w14:paraId="48C720C2"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p>
    <w:p w14:paraId="1A407C0F" w14:textId="77777777"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A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Estatuto General de Contratación de la Administración Pública –Ley 80 de 1993–, la Ley 1150 de 2007 y demás normas complementarias, así como en las situaciones en las que la Ley 142 de 1994 u otras leyes especiales lo dispongan.</w:t>
      </w:r>
    </w:p>
    <w:p w14:paraId="36E40D2A"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65D9C332"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r w:rsidRPr="004204E3">
        <w:rPr>
          <w:rFonts w:ascii="Century Gothic" w:eastAsia="Calibri" w:hAnsi="Century Gothic" w:cs="Arial"/>
          <w:b/>
          <w:bCs/>
          <w:sz w:val="20"/>
          <w:szCs w:val="20"/>
          <w:lang w:val="es-MX"/>
        </w:rPr>
        <w:t>PUBLICIDAD SECOP – Entidades exceptuadas – Estatuto general de contratación – Modificación del artículo 53 – Ley 2195 de 2022</w:t>
      </w:r>
    </w:p>
    <w:p w14:paraId="6E22452E"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p>
    <w:p w14:paraId="33C4E4C1" w14:textId="5BC65443"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lastRenderedPageBreak/>
        <w:t xml:space="preserve">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w:t>
      </w:r>
      <w:r w:rsidR="0001004F"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contará con la información oficial de la contratación realizada con dineros públicos, para lo cual establecerá los patrones a que haya lugar y se encargará de su difusión a través de canales electrónicos</w:t>
      </w:r>
      <w:r w:rsidR="0001004F"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w:t>
      </w:r>
    </w:p>
    <w:p w14:paraId="2388A172"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4BA66A61" w14:textId="0FE09BE9"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 xml:space="preserve">La Ley 2195 de 2022, por medio de la cual se adoptan medidas en materia de transparencia, prevención y lucha contra la corrupción. Según lo dispone su artículo 1, esta Ley </w:t>
      </w:r>
      <w:r w:rsidR="0001004F"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 xml:space="preserve">[…]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w:t>
      </w:r>
      <w:r w:rsidR="0001004F"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4A4BEE85"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5E0A31A4"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r w:rsidRPr="004204E3">
        <w:rPr>
          <w:rFonts w:ascii="Century Gothic" w:eastAsia="Calibri" w:hAnsi="Century Gothic" w:cs="Arial"/>
          <w:b/>
          <w:bCs/>
          <w:sz w:val="20"/>
          <w:szCs w:val="20"/>
          <w:lang w:val="es-MX"/>
        </w:rPr>
        <w:t>SECOP II – Deber de publicidad – Entidades exceptuadas – Documentos relacionados con la actividad contractual</w:t>
      </w:r>
    </w:p>
    <w:p w14:paraId="481F4BCD" w14:textId="77777777" w:rsidR="00CA1725" w:rsidRPr="004204E3" w:rsidRDefault="00CA1725" w:rsidP="00CA1725">
      <w:pPr>
        <w:spacing w:after="0" w:line="240" w:lineRule="auto"/>
        <w:jc w:val="both"/>
        <w:rPr>
          <w:rFonts w:ascii="Century Gothic" w:eastAsia="Calibri" w:hAnsi="Century Gothic" w:cs="Arial"/>
          <w:b/>
          <w:bCs/>
          <w:sz w:val="20"/>
          <w:szCs w:val="20"/>
          <w:lang w:val="es-MX"/>
        </w:rPr>
      </w:pPr>
    </w:p>
    <w:p w14:paraId="73ABCE89" w14:textId="52E25F65"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 xml:space="preserve">El mencionado deber de publicidad debe cumplirse en el SECOP II o </w:t>
      </w:r>
      <w:r w:rsidR="00D64E58"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la plataforma transaccional que haga sus veces</w:t>
      </w:r>
      <w:r w:rsidR="00D64E58"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00D64E58"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la plataforma que haga sus veces</w:t>
      </w:r>
      <w:r w:rsidR="00D64E58" w:rsidRPr="004204E3">
        <w:rPr>
          <w:rFonts w:ascii="Century Gothic" w:eastAsia="Calibri" w:hAnsi="Century Gothic" w:cs="Arial"/>
          <w:sz w:val="20"/>
          <w:szCs w:val="20"/>
          <w:lang w:val="es-MX"/>
        </w:rPr>
        <w:t xml:space="preserve">” </w:t>
      </w:r>
      <w:r w:rsidRPr="004204E3">
        <w:rPr>
          <w:rFonts w:ascii="Century Gothic" w:eastAsia="Calibri" w:hAnsi="Century Gothic" w:cs="Arial"/>
          <w:sz w:val="20"/>
          <w:szCs w:val="20"/>
          <w:lang w:val="es-MX"/>
        </w:rPr>
        <w:t>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211F6086" w14:textId="77777777" w:rsidR="00CA1725" w:rsidRPr="004204E3" w:rsidRDefault="00CA1725" w:rsidP="00CA1725">
      <w:pPr>
        <w:spacing w:after="0" w:line="240" w:lineRule="auto"/>
        <w:jc w:val="both"/>
        <w:rPr>
          <w:rFonts w:ascii="Century Gothic" w:eastAsia="Calibri" w:hAnsi="Century Gothic" w:cs="Arial"/>
          <w:sz w:val="20"/>
          <w:szCs w:val="20"/>
          <w:lang w:val="es-MX"/>
        </w:rPr>
      </w:pPr>
    </w:p>
    <w:p w14:paraId="4BC6A6CE" w14:textId="123D16E2" w:rsidR="00CA1725" w:rsidRPr="004204E3" w:rsidRDefault="00CA1725" w:rsidP="00CA1725">
      <w:pPr>
        <w:spacing w:after="0" w:line="240" w:lineRule="auto"/>
        <w:jc w:val="both"/>
        <w:rPr>
          <w:rFonts w:ascii="Century Gothic" w:eastAsia="Calibri" w:hAnsi="Century Gothic" w:cs="Arial"/>
          <w:sz w:val="20"/>
          <w:szCs w:val="20"/>
          <w:lang w:val="es-MX"/>
        </w:rPr>
      </w:pPr>
      <w:r w:rsidRPr="004204E3">
        <w:rPr>
          <w:rFonts w:ascii="Century Gothic" w:eastAsia="Calibri" w:hAnsi="Century Gothic" w:cs="Arial"/>
          <w:sz w:val="20"/>
          <w:szCs w:val="20"/>
          <w:lang w:val="es-MX"/>
        </w:rPr>
        <w:t xml:space="preserve">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w:t>
      </w:r>
      <w:r w:rsidR="00D64E58"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 los documentos, contratos, actos e información generada por oferentes, contratista, contratante, supervisor o interventor, tanto en la etapa precontractual, como en la contractual y la postcontractual</w:t>
      </w:r>
      <w:r w:rsidR="00D64E58"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 xml:space="preserve">. En ese sentido, el artículo 53 de la Ley 2195 de 2022 establece el deber de publicar toda aquella información relacionada con el respectivo contrato, sin incluir ninguna excepción relacionada con la </w:t>
      </w:r>
      <w:r w:rsidRPr="004204E3">
        <w:rPr>
          <w:rFonts w:ascii="Century Gothic" w:eastAsia="Calibri" w:hAnsi="Century Gothic" w:cs="Arial"/>
          <w:sz w:val="20"/>
          <w:szCs w:val="20"/>
          <w:lang w:val="es-MX"/>
        </w:rPr>
        <w:lastRenderedPageBreak/>
        <w:t xml:space="preserve">naturaleza u objeto contractual, por lo que no puede colegirse que los procesos de contratación relacionados con asuntos </w:t>
      </w:r>
      <w:r w:rsidR="00CE280D"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no misionales</w:t>
      </w:r>
      <w:r w:rsidR="00CE280D" w:rsidRPr="004204E3">
        <w:rPr>
          <w:rFonts w:ascii="Century Gothic" w:eastAsia="Calibri" w:hAnsi="Century Gothic" w:cs="Arial"/>
          <w:sz w:val="20"/>
          <w:szCs w:val="20"/>
          <w:lang w:val="es-MX"/>
        </w:rPr>
        <w:t>”</w:t>
      </w:r>
      <w:r w:rsidRPr="004204E3">
        <w:rPr>
          <w:rFonts w:ascii="Century Gothic" w:eastAsia="Calibri" w:hAnsi="Century Gothic" w:cs="Arial"/>
          <w:sz w:val="20"/>
          <w:szCs w:val="20"/>
          <w:lang w:val="es-MX"/>
        </w:rPr>
        <w:t xml:space="preserve"> estén per se excluidos del deber de publicidad.</w:t>
      </w:r>
    </w:p>
    <w:p w14:paraId="17CDDE3D" w14:textId="77777777" w:rsidR="00F03D84" w:rsidRPr="004204E3" w:rsidRDefault="00F03D84" w:rsidP="00E245AB">
      <w:pPr>
        <w:spacing w:after="0"/>
        <w:rPr>
          <w:rFonts w:ascii="Century Gothic" w:hAnsi="Century Gothic"/>
        </w:rPr>
      </w:pPr>
    </w:p>
    <w:p w14:paraId="6871C0FC" w14:textId="77777777" w:rsidR="000C2EBB" w:rsidRPr="004204E3" w:rsidRDefault="000C2EBB" w:rsidP="00E245AB">
      <w:pPr>
        <w:spacing w:after="0"/>
        <w:rPr>
          <w:rFonts w:ascii="Century Gothic" w:hAnsi="Century Gothic"/>
        </w:rPr>
      </w:pPr>
    </w:p>
    <w:p w14:paraId="3549B7F7" w14:textId="77777777" w:rsidR="00CA1725" w:rsidRPr="004204E3" w:rsidRDefault="00CA1725" w:rsidP="00E245AB">
      <w:pPr>
        <w:spacing w:after="0"/>
        <w:rPr>
          <w:rFonts w:ascii="Century Gothic" w:hAnsi="Century Gothic"/>
        </w:rPr>
      </w:pPr>
    </w:p>
    <w:p w14:paraId="2B8E92CE" w14:textId="77777777" w:rsidR="00CA1725" w:rsidRPr="004204E3" w:rsidRDefault="00CA1725" w:rsidP="00E245AB">
      <w:pPr>
        <w:spacing w:after="0"/>
        <w:rPr>
          <w:rFonts w:ascii="Century Gothic" w:hAnsi="Century Gothic"/>
        </w:rPr>
      </w:pPr>
    </w:p>
    <w:p w14:paraId="55FCE798" w14:textId="77777777" w:rsidR="00CA1725" w:rsidRPr="004204E3" w:rsidRDefault="00CA1725" w:rsidP="00E245AB">
      <w:pPr>
        <w:spacing w:after="0"/>
        <w:rPr>
          <w:rFonts w:ascii="Century Gothic" w:hAnsi="Century Gothic"/>
        </w:rPr>
      </w:pPr>
    </w:p>
    <w:p w14:paraId="5487272C" w14:textId="77777777" w:rsidR="00CA1725" w:rsidRPr="004204E3" w:rsidRDefault="00CA1725" w:rsidP="00E245AB">
      <w:pPr>
        <w:spacing w:after="0"/>
        <w:rPr>
          <w:rFonts w:ascii="Century Gothic" w:hAnsi="Century Gothic"/>
        </w:rPr>
      </w:pPr>
    </w:p>
    <w:p w14:paraId="13301939" w14:textId="77777777" w:rsidR="00CA1725" w:rsidRPr="004204E3" w:rsidRDefault="00CA1725" w:rsidP="00E245AB">
      <w:pPr>
        <w:spacing w:after="0"/>
        <w:rPr>
          <w:rFonts w:ascii="Century Gothic" w:hAnsi="Century Gothic"/>
        </w:rPr>
      </w:pPr>
    </w:p>
    <w:p w14:paraId="5593A896" w14:textId="77777777" w:rsidR="00CA1725" w:rsidRPr="004204E3" w:rsidRDefault="00CA1725" w:rsidP="00E245AB">
      <w:pPr>
        <w:spacing w:after="0"/>
        <w:rPr>
          <w:rFonts w:ascii="Century Gothic" w:hAnsi="Century Gothic"/>
        </w:rPr>
      </w:pPr>
    </w:p>
    <w:p w14:paraId="43D65E19" w14:textId="77777777" w:rsidR="00CA1725" w:rsidRPr="004204E3" w:rsidRDefault="00CA1725" w:rsidP="00E245AB">
      <w:pPr>
        <w:spacing w:after="0"/>
        <w:rPr>
          <w:rFonts w:ascii="Century Gothic" w:hAnsi="Century Gothic"/>
        </w:rPr>
      </w:pPr>
    </w:p>
    <w:p w14:paraId="11885DDF" w14:textId="77777777" w:rsidR="00CA1725" w:rsidRPr="004204E3" w:rsidRDefault="00CA1725" w:rsidP="00E245AB">
      <w:pPr>
        <w:spacing w:after="0"/>
        <w:rPr>
          <w:rFonts w:ascii="Century Gothic" w:hAnsi="Century Gothic"/>
        </w:rPr>
      </w:pPr>
    </w:p>
    <w:p w14:paraId="29925B1D" w14:textId="77777777" w:rsidR="00CA1725" w:rsidRPr="004204E3" w:rsidRDefault="00CA1725" w:rsidP="00E245AB">
      <w:pPr>
        <w:spacing w:after="0"/>
        <w:rPr>
          <w:rFonts w:ascii="Century Gothic" w:hAnsi="Century Gothic"/>
        </w:rPr>
      </w:pPr>
    </w:p>
    <w:p w14:paraId="13719677" w14:textId="77777777" w:rsidR="00CA1725" w:rsidRPr="004204E3" w:rsidRDefault="00CA1725" w:rsidP="00E245AB">
      <w:pPr>
        <w:spacing w:after="0"/>
        <w:rPr>
          <w:rFonts w:ascii="Century Gothic" w:hAnsi="Century Gothic"/>
        </w:rPr>
      </w:pPr>
    </w:p>
    <w:p w14:paraId="07C39AC6" w14:textId="77777777" w:rsidR="00CA1725" w:rsidRPr="004204E3" w:rsidRDefault="00CA1725" w:rsidP="00E245AB">
      <w:pPr>
        <w:spacing w:after="0"/>
        <w:rPr>
          <w:rFonts w:ascii="Century Gothic" w:hAnsi="Century Gothic"/>
        </w:rPr>
      </w:pPr>
    </w:p>
    <w:p w14:paraId="2B930C70" w14:textId="77777777" w:rsidR="00CA1725" w:rsidRPr="004204E3" w:rsidRDefault="00CA1725" w:rsidP="00E245AB">
      <w:pPr>
        <w:spacing w:after="0"/>
        <w:rPr>
          <w:rFonts w:ascii="Century Gothic" w:hAnsi="Century Gothic"/>
        </w:rPr>
      </w:pPr>
    </w:p>
    <w:p w14:paraId="11647F35" w14:textId="77777777" w:rsidR="00CA1725" w:rsidRPr="004204E3" w:rsidRDefault="00CA1725" w:rsidP="00E245AB">
      <w:pPr>
        <w:spacing w:after="0"/>
        <w:rPr>
          <w:rFonts w:ascii="Century Gothic" w:hAnsi="Century Gothic"/>
        </w:rPr>
      </w:pPr>
    </w:p>
    <w:p w14:paraId="1C54E67D" w14:textId="77777777" w:rsidR="00CA1725" w:rsidRPr="004204E3" w:rsidRDefault="00CA1725" w:rsidP="00E245AB">
      <w:pPr>
        <w:spacing w:after="0"/>
        <w:rPr>
          <w:rFonts w:ascii="Century Gothic" w:hAnsi="Century Gothic"/>
        </w:rPr>
      </w:pPr>
    </w:p>
    <w:p w14:paraId="279AD42C" w14:textId="77777777" w:rsidR="00CA1725" w:rsidRPr="004204E3" w:rsidRDefault="00CA1725" w:rsidP="00E245AB">
      <w:pPr>
        <w:spacing w:after="0"/>
        <w:rPr>
          <w:rFonts w:ascii="Century Gothic" w:hAnsi="Century Gothic"/>
        </w:rPr>
      </w:pPr>
    </w:p>
    <w:p w14:paraId="63906851" w14:textId="77777777" w:rsidR="00CA1725" w:rsidRPr="004204E3" w:rsidRDefault="00CA1725" w:rsidP="00E245AB">
      <w:pPr>
        <w:spacing w:after="0"/>
        <w:rPr>
          <w:rFonts w:ascii="Century Gothic" w:hAnsi="Century Gothic"/>
        </w:rPr>
      </w:pPr>
    </w:p>
    <w:p w14:paraId="0D4C6C10" w14:textId="77777777" w:rsidR="00CA1725" w:rsidRPr="004204E3" w:rsidRDefault="00CA1725" w:rsidP="00E245AB">
      <w:pPr>
        <w:spacing w:after="0"/>
        <w:rPr>
          <w:rFonts w:ascii="Century Gothic" w:hAnsi="Century Gothic"/>
        </w:rPr>
      </w:pPr>
    </w:p>
    <w:p w14:paraId="1FEF7392" w14:textId="77777777" w:rsidR="00CA1725" w:rsidRPr="004204E3" w:rsidRDefault="00CA1725" w:rsidP="00E245AB">
      <w:pPr>
        <w:spacing w:after="0"/>
        <w:rPr>
          <w:rFonts w:ascii="Century Gothic" w:hAnsi="Century Gothic"/>
        </w:rPr>
      </w:pPr>
    </w:p>
    <w:p w14:paraId="44BDF884" w14:textId="77777777" w:rsidR="00CA1725" w:rsidRPr="004204E3" w:rsidRDefault="00CA1725" w:rsidP="00E245AB">
      <w:pPr>
        <w:spacing w:after="0"/>
        <w:rPr>
          <w:rFonts w:ascii="Century Gothic" w:hAnsi="Century Gothic"/>
        </w:rPr>
      </w:pPr>
    </w:p>
    <w:p w14:paraId="0F53B09C" w14:textId="77777777" w:rsidR="00CA1725" w:rsidRPr="004204E3" w:rsidRDefault="00CA1725" w:rsidP="00E245AB">
      <w:pPr>
        <w:spacing w:after="0"/>
        <w:rPr>
          <w:rFonts w:ascii="Century Gothic" w:hAnsi="Century Gothic"/>
        </w:rPr>
      </w:pPr>
    </w:p>
    <w:p w14:paraId="7693D767" w14:textId="77777777" w:rsidR="00CA1725" w:rsidRPr="004204E3" w:rsidRDefault="00CA1725" w:rsidP="00E245AB">
      <w:pPr>
        <w:spacing w:after="0"/>
        <w:rPr>
          <w:rFonts w:ascii="Century Gothic" w:hAnsi="Century Gothic"/>
        </w:rPr>
      </w:pPr>
    </w:p>
    <w:p w14:paraId="5201B2B4" w14:textId="77777777" w:rsidR="00CA1725" w:rsidRPr="004204E3" w:rsidRDefault="00CA1725" w:rsidP="00E245AB">
      <w:pPr>
        <w:spacing w:after="0"/>
        <w:rPr>
          <w:rFonts w:ascii="Century Gothic" w:hAnsi="Century Gothic"/>
        </w:rPr>
      </w:pPr>
    </w:p>
    <w:p w14:paraId="53E5EEDF" w14:textId="77777777" w:rsidR="00CA1725" w:rsidRPr="004204E3" w:rsidRDefault="00CA1725" w:rsidP="00E245AB">
      <w:pPr>
        <w:spacing w:after="0"/>
        <w:rPr>
          <w:rFonts w:ascii="Century Gothic" w:hAnsi="Century Gothic"/>
        </w:rPr>
      </w:pPr>
    </w:p>
    <w:p w14:paraId="0D0F9AD3" w14:textId="77777777" w:rsidR="00CA1725" w:rsidRPr="004204E3" w:rsidRDefault="00CA1725" w:rsidP="00E245AB">
      <w:pPr>
        <w:spacing w:after="0"/>
        <w:rPr>
          <w:rFonts w:ascii="Century Gothic" w:hAnsi="Century Gothic"/>
        </w:rPr>
      </w:pPr>
    </w:p>
    <w:p w14:paraId="3C3AC14A" w14:textId="77777777" w:rsidR="00CA1725" w:rsidRPr="004204E3" w:rsidRDefault="00CA1725" w:rsidP="00E245AB">
      <w:pPr>
        <w:spacing w:after="0"/>
        <w:rPr>
          <w:rFonts w:ascii="Century Gothic" w:hAnsi="Century Gothic"/>
        </w:rPr>
      </w:pPr>
    </w:p>
    <w:p w14:paraId="26AC8B53" w14:textId="77777777" w:rsidR="00CA1725" w:rsidRPr="004204E3" w:rsidRDefault="00CA1725" w:rsidP="00E245AB">
      <w:pPr>
        <w:spacing w:after="0"/>
        <w:rPr>
          <w:rFonts w:ascii="Century Gothic" w:hAnsi="Century Gothic"/>
        </w:rPr>
      </w:pPr>
    </w:p>
    <w:p w14:paraId="27E37A5F" w14:textId="77777777" w:rsidR="00CA1725" w:rsidRPr="004204E3" w:rsidRDefault="00CA1725" w:rsidP="00E245AB">
      <w:pPr>
        <w:spacing w:after="0"/>
        <w:rPr>
          <w:rFonts w:ascii="Century Gothic" w:hAnsi="Century Gothic"/>
        </w:rPr>
      </w:pPr>
    </w:p>
    <w:p w14:paraId="3FC2CECF" w14:textId="77777777" w:rsidR="00CA1725" w:rsidRPr="004204E3" w:rsidRDefault="00CA1725" w:rsidP="00E245AB">
      <w:pPr>
        <w:spacing w:after="0"/>
        <w:rPr>
          <w:rFonts w:ascii="Century Gothic" w:hAnsi="Century Gothic"/>
        </w:rPr>
      </w:pPr>
    </w:p>
    <w:p w14:paraId="12CE5F0A" w14:textId="77777777" w:rsidR="00CA1725" w:rsidRPr="004204E3" w:rsidRDefault="00CA1725" w:rsidP="00E245AB">
      <w:pPr>
        <w:spacing w:after="0"/>
        <w:rPr>
          <w:rFonts w:ascii="Century Gothic" w:hAnsi="Century Gothic"/>
        </w:rPr>
      </w:pPr>
    </w:p>
    <w:p w14:paraId="0BDD4303" w14:textId="77777777" w:rsidR="00CA1725" w:rsidRPr="004204E3" w:rsidRDefault="00CA1725" w:rsidP="00E245AB">
      <w:pPr>
        <w:spacing w:after="0"/>
        <w:rPr>
          <w:rFonts w:ascii="Century Gothic" w:hAnsi="Century Gothic"/>
        </w:rPr>
      </w:pPr>
    </w:p>
    <w:p w14:paraId="0A7BD853" w14:textId="77777777" w:rsidR="00CA1725" w:rsidRPr="004204E3" w:rsidRDefault="00CA1725" w:rsidP="00E245AB">
      <w:pPr>
        <w:spacing w:after="0"/>
        <w:rPr>
          <w:rFonts w:ascii="Century Gothic" w:hAnsi="Century Gothic"/>
        </w:rPr>
      </w:pPr>
    </w:p>
    <w:p w14:paraId="02D0C2C6" w14:textId="77777777" w:rsidR="00CA1725" w:rsidRPr="004204E3" w:rsidRDefault="00CA1725" w:rsidP="00E245AB">
      <w:pPr>
        <w:spacing w:after="0"/>
        <w:rPr>
          <w:rFonts w:ascii="Century Gothic" w:hAnsi="Century Gothic"/>
        </w:rPr>
      </w:pPr>
    </w:p>
    <w:p w14:paraId="5544AD65" w14:textId="77777777" w:rsidR="00CA1725" w:rsidRPr="004204E3" w:rsidRDefault="00CA1725" w:rsidP="00E245AB">
      <w:pPr>
        <w:spacing w:after="0"/>
        <w:rPr>
          <w:rFonts w:ascii="Century Gothic" w:hAnsi="Century Gothic"/>
        </w:rPr>
      </w:pPr>
    </w:p>
    <w:p w14:paraId="5924285D" w14:textId="77777777" w:rsidR="00CA1725" w:rsidRPr="004204E3" w:rsidRDefault="00CA1725" w:rsidP="00E245AB">
      <w:pPr>
        <w:spacing w:after="0"/>
        <w:rPr>
          <w:rFonts w:ascii="Century Gothic" w:hAnsi="Century Gothic"/>
        </w:rPr>
      </w:pPr>
    </w:p>
    <w:p w14:paraId="78898BCA" w14:textId="77777777" w:rsidR="00CA1725" w:rsidRPr="004204E3" w:rsidRDefault="00CA1725" w:rsidP="00E245AB">
      <w:pPr>
        <w:spacing w:after="0"/>
        <w:rPr>
          <w:rFonts w:ascii="Century Gothic" w:hAnsi="Century Gothic"/>
        </w:rPr>
      </w:pPr>
    </w:p>
    <w:p w14:paraId="024B6377" w14:textId="77777777" w:rsidR="00CA1725" w:rsidRPr="004204E3" w:rsidRDefault="00CA1725" w:rsidP="00E245AB">
      <w:pPr>
        <w:spacing w:after="0"/>
        <w:rPr>
          <w:rFonts w:ascii="Century Gothic" w:hAnsi="Century Gothic"/>
        </w:rPr>
      </w:pPr>
    </w:p>
    <w:p w14:paraId="3FE2184B" w14:textId="2E92B225" w:rsidR="00E245AB" w:rsidRPr="004204E3" w:rsidRDefault="00E245AB" w:rsidP="00E245AB">
      <w:pPr>
        <w:spacing w:after="0"/>
        <w:rPr>
          <w:rFonts w:ascii="Century Gothic" w:hAnsi="Century Gothic"/>
        </w:rPr>
      </w:pPr>
      <w:r w:rsidRPr="004204E3">
        <w:rPr>
          <w:rFonts w:ascii="Century Gothic" w:hAnsi="Century Gothic"/>
        </w:rPr>
        <w:t xml:space="preserve">Bogotá D.C., </w:t>
      </w:r>
      <w:r w:rsidR="00F129E0">
        <w:rPr>
          <w:rFonts w:ascii="Century Gothic" w:hAnsi="Century Gothic"/>
        </w:rPr>
        <w:t>24 de octubre del 2023</w:t>
      </w:r>
    </w:p>
    <w:p w14:paraId="5FCADBF9" w14:textId="77777777" w:rsidR="00E245AB" w:rsidRDefault="00E245AB" w:rsidP="00E245AB">
      <w:pPr>
        <w:spacing w:after="0"/>
        <w:rPr>
          <w:rFonts w:ascii="Century Gothic" w:hAnsi="Century Gothic"/>
        </w:rPr>
      </w:pPr>
    </w:p>
    <w:p w14:paraId="2423D9E2" w14:textId="70A99224" w:rsidR="009B7A49" w:rsidRPr="004204E3" w:rsidRDefault="00703CD9" w:rsidP="00703CD9">
      <w:pPr>
        <w:spacing w:after="0"/>
        <w:jc w:val="right"/>
        <w:rPr>
          <w:rFonts w:ascii="Century Gothic" w:hAnsi="Century Gothic"/>
        </w:rPr>
      </w:pPr>
      <w:r>
        <w:rPr>
          <w:rFonts w:ascii="Century Gothic" w:hAnsi="Century Gothic"/>
          <w:noProof/>
        </w:rPr>
        <w:drawing>
          <wp:inline distT="0" distB="0" distL="0" distR="0" wp14:anchorId="34586F95" wp14:editId="742AA80B">
            <wp:extent cx="2786332" cy="724535"/>
            <wp:effectExtent l="0" t="0" r="0" b="0"/>
            <wp:docPr id="11024002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0024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01141" cy="728386"/>
                    </a:xfrm>
                    <a:prstGeom prst="rect">
                      <a:avLst/>
                    </a:prstGeom>
                  </pic:spPr>
                </pic:pic>
              </a:graphicData>
            </a:graphic>
          </wp:inline>
        </w:drawing>
      </w:r>
    </w:p>
    <w:bookmarkEnd w:id="0"/>
    <w:p w14:paraId="4CE6524F" w14:textId="77777777" w:rsidR="00AA46B5" w:rsidRPr="004204E3" w:rsidRDefault="00AA46B5" w:rsidP="00AA46B5">
      <w:pPr>
        <w:spacing w:after="0"/>
        <w:rPr>
          <w:rFonts w:ascii="Century Gothic" w:eastAsia="Geomanist Light" w:hAnsi="Century Gothic" w:cs="Arial"/>
          <w:color w:val="201F1E"/>
          <w:lang w:val="es-MX"/>
        </w:rPr>
      </w:pPr>
      <w:r w:rsidRPr="004204E3">
        <w:rPr>
          <w:rFonts w:ascii="Century Gothic" w:hAnsi="Century Gothic" w:cs="Arial"/>
          <w:lang w:val="es-MX"/>
        </w:rPr>
        <w:t>Señor:</w:t>
      </w:r>
    </w:p>
    <w:p w14:paraId="3AF06C4D" w14:textId="295AC363" w:rsidR="00AA46B5" w:rsidRPr="004204E3" w:rsidRDefault="002040E5" w:rsidP="00AA46B5">
      <w:pPr>
        <w:spacing w:after="0" w:line="276" w:lineRule="auto"/>
        <w:rPr>
          <w:rFonts w:ascii="Century Gothic" w:hAnsi="Century Gothic" w:cs="Arial"/>
          <w:b/>
          <w:bCs/>
          <w:lang w:val="es-MX"/>
        </w:rPr>
      </w:pPr>
      <w:r w:rsidRPr="004204E3">
        <w:rPr>
          <w:rFonts w:ascii="Century Gothic" w:hAnsi="Century Gothic" w:cs="Arial"/>
          <w:b/>
          <w:bCs/>
          <w:lang w:val="es-MX"/>
        </w:rPr>
        <w:t xml:space="preserve">Juan Sebastián Borja Garzón </w:t>
      </w:r>
    </w:p>
    <w:p w14:paraId="3477AA61" w14:textId="77D174B7" w:rsidR="00AA46B5" w:rsidRPr="004204E3" w:rsidRDefault="005F6B5F" w:rsidP="00AA46B5">
      <w:pPr>
        <w:spacing w:after="0" w:line="276" w:lineRule="auto"/>
        <w:rPr>
          <w:rFonts w:ascii="Century Gothic" w:hAnsi="Century Gothic" w:cs="Arial"/>
          <w:lang w:val="es-MX"/>
        </w:rPr>
      </w:pPr>
      <w:r w:rsidRPr="004204E3">
        <w:rPr>
          <w:rFonts w:ascii="Century Gothic" w:hAnsi="Century Gothic" w:cs="Arial"/>
          <w:lang w:val="es-MX"/>
        </w:rPr>
        <w:t>Bogotá D.C.</w:t>
      </w:r>
    </w:p>
    <w:p w14:paraId="6DD00DFF" w14:textId="77777777" w:rsidR="00AA46B5" w:rsidRPr="004204E3" w:rsidRDefault="00AA46B5" w:rsidP="00AA46B5">
      <w:pPr>
        <w:spacing w:after="0" w:line="276" w:lineRule="auto"/>
        <w:rPr>
          <w:rFonts w:ascii="Century Gothic" w:hAnsi="Century Gothic" w:cs="Arial"/>
          <w:lang w:val="es-MX"/>
        </w:rPr>
      </w:pPr>
    </w:p>
    <w:p w14:paraId="61B5E9C5" w14:textId="77777777" w:rsidR="00AA46B5" w:rsidRPr="004204E3" w:rsidRDefault="00AA46B5" w:rsidP="00AA46B5">
      <w:pPr>
        <w:spacing w:after="0" w:line="276" w:lineRule="auto"/>
        <w:rPr>
          <w:rFonts w:ascii="Century Gothic" w:hAnsi="Century Gothic" w:cs="Arial"/>
          <w:lang w:val="es-MX"/>
        </w:rPr>
      </w:pPr>
    </w:p>
    <w:p w14:paraId="1AD60768" w14:textId="2640887A" w:rsidR="00AA46B5" w:rsidRPr="004204E3" w:rsidRDefault="00AA46B5" w:rsidP="00AA46B5">
      <w:pPr>
        <w:spacing w:after="0" w:line="276" w:lineRule="auto"/>
        <w:ind w:left="2832"/>
        <w:rPr>
          <w:rFonts w:ascii="Century Gothic" w:eastAsia="Calibri" w:hAnsi="Century Gothic" w:cs="Arial"/>
          <w:b/>
          <w:bCs/>
          <w:lang w:val="es-ES"/>
        </w:rPr>
      </w:pPr>
      <w:r w:rsidRPr="004204E3">
        <w:rPr>
          <w:rFonts w:ascii="Century Gothic" w:eastAsia="Calibri" w:hAnsi="Century Gothic" w:cs="Arial"/>
          <w:b/>
          <w:bCs/>
          <w:lang w:val="es-ES"/>
        </w:rPr>
        <w:t xml:space="preserve">Concepto </w:t>
      </w:r>
      <w:r w:rsidR="00651F76" w:rsidRPr="004204E3">
        <w:rPr>
          <w:rFonts w:ascii="Century Gothic" w:eastAsia="Calibri" w:hAnsi="Century Gothic" w:cs="Arial"/>
          <w:b/>
          <w:bCs/>
          <w:lang w:val="es-ES"/>
        </w:rPr>
        <w:t xml:space="preserve">C-457 </w:t>
      </w:r>
      <w:r w:rsidRPr="004204E3">
        <w:rPr>
          <w:rFonts w:ascii="Century Gothic" w:eastAsia="Calibri" w:hAnsi="Century Gothic" w:cs="Arial"/>
          <w:b/>
          <w:bCs/>
          <w:lang w:val="es-ES"/>
        </w:rPr>
        <w:t>del 2023</w:t>
      </w:r>
    </w:p>
    <w:p w14:paraId="1FE6D648" w14:textId="77777777" w:rsidR="00AA46B5" w:rsidRPr="004204E3" w:rsidRDefault="00AA46B5" w:rsidP="00AA46B5">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AA46B5" w:rsidRPr="004204E3" w14:paraId="2EF5665E" w14:textId="77777777" w:rsidTr="00A05ACE">
        <w:trPr>
          <w:jc w:val="right"/>
        </w:trPr>
        <w:tc>
          <w:tcPr>
            <w:tcW w:w="1838" w:type="dxa"/>
          </w:tcPr>
          <w:p w14:paraId="75B75627" w14:textId="77777777" w:rsidR="00AA46B5" w:rsidRPr="004204E3" w:rsidRDefault="00AA46B5" w:rsidP="00A05ACE">
            <w:pPr>
              <w:spacing w:line="276" w:lineRule="auto"/>
              <w:jc w:val="center"/>
              <w:rPr>
                <w:rFonts w:ascii="Century Gothic" w:eastAsia="Calibri" w:hAnsi="Century Gothic" w:cs="Arial"/>
                <w:lang w:val="es-ES_tradnl"/>
              </w:rPr>
            </w:pPr>
            <w:r w:rsidRPr="004204E3">
              <w:rPr>
                <w:rFonts w:ascii="Century Gothic" w:eastAsia="Calibri" w:hAnsi="Century Gothic" w:cs="Arial"/>
                <w:b/>
                <w:lang w:val="es-ES_tradnl"/>
              </w:rPr>
              <w:t>Temas:</w:t>
            </w:r>
          </w:p>
        </w:tc>
        <w:tc>
          <w:tcPr>
            <w:tcW w:w="6237" w:type="dxa"/>
          </w:tcPr>
          <w:p w14:paraId="115ABE1D" w14:textId="61A1C003" w:rsidR="00CB60E0" w:rsidRPr="004204E3" w:rsidRDefault="00CB60E0" w:rsidP="00F73266">
            <w:pPr>
              <w:spacing w:after="120" w:line="276" w:lineRule="auto"/>
              <w:contextualSpacing/>
              <w:jc w:val="both"/>
              <w:rPr>
                <w:rFonts w:ascii="Century Gothic" w:eastAsia="Calibri" w:hAnsi="Century Gothic" w:cs="Arial"/>
                <w:bCs/>
                <w:lang w:val="es-MX" w:eastAsia="es-ES_tradnl"/>
              </w:rPr>
            </w:pPr>
            <w:r w:rsidRPr="004204E3">
              <w:rPr>
                <w:rFonts w:ascii="Century Gothic" w:eastAsia="Calibri" w:hAnsi="Century Gothic" w:cs="Arial"/>
                <w:bCs/>
                <w:lang w:val="es-MX" w:eastAsia="es-ES_tradnl"/>
              </w:rPr>
              <w:t xml:space="preserve">EMPRESAS DE SERIVICIOS PÚBLICOS DOMICILIARIOS – Naturaleza jurídica – Régimen contractual / </w:t>
            </w:r>
            <w:r w:rsidR="00A46B1B" w:rsidRPr="004204E3">
              <w:rPr>
                <w:rFonts w:ascii="Century Gothic" w:eastAsia="Calibri" w:hAnsi="Century Gothic" w:cs="Arial"/>
                <w:bCs/>
                <w:lang w:val="es-MX" w:eastAsia="es-ES_tradnl"/>
              </w:rPr>
              <w:t>EMPRESAS DE SERVICIOS PÚBLICOS DOMICILIARIOS – Aplicabilidad Ley 80 de 1993 – Ley 142 de 1994 /</w:t>
            </w:r>
            <w:r w:rsidR="00F73266" w:rsidRPr="004204E3">
              <w:rPr>
                <w:rFonts w:ascii="Century Gothic" w:eastAsia="Calibri" w:hAnsi="Century Gothic" w:cs="Arial"/>
                <w:bCs/>
                <w:lang w:val="es-MX" w:eastAsia="es-ES_tradnl"/>
              </w:rPr>
              <w:t xml:space="preserve"> PUBLICIDAD SECOP – Entidades exceptuadas – Estatuto general de contratación – Modificación del artículo 53 – Ley 2195 de 2022</w:t>
            </w:r>
            <w:r w:rsidR="009554B9" w:rsidRPr="004204E3">
              <w:rPr>
                <w:rFonts w:ascii="Century Gothic" w:eastAsia="Calibri" w:hAnsi="Century Gothic" w:cs="Arial"/>
                <w:bCs/>
                <w:lang w:val="es-MX" w:eastAsia="es-ES_tradnl"/>
              </w:rPr>
              <w:t xml:space="preserve"> /</w:t>
            </w:r>
            <w:r w:rsidR="009554B9" w:rsidRPr="004204E3">
              <w:rPr>
                <w:rFonts w:ascii="Century Gothic" w:hAnsi="Century Gothic"/>
              </w:rPr>
              <w:t xml:space="preserve"> </w:t>
            </w:r>
            <w:r w:rsidR="009554B9" w:rsidRPr="004204E3">
              <w:rPr>
                <w:rFonts w:ascii="Century Gothic" w:eastAsia="Calibri" w:hAnsi="Century Gothic" w:cs="Arial"/>
                <w:bCs/>
                <w:lang w:val="es-MX" w:eastAsia="es-ES_tradnl"/>
              </w:rPr>
              <w:t>SECOP II – Deber de publicidad – Entidades exceptuadas – Documentos relacionados con la actividad contractual</w:t>
            </w:r>
          </w:p>
          <w:p w14:paraId="157119BF" w14:textId="18A63995" w:rsidR="009F3034" w:rsidRPr="004204E3" w:rsidRDefault="00CB60E0" w:rsidP="00CB60E0">
            <w:pPr>
              <w:spacing w:after="120" w:line="276" w:lineRule="auto"/>
              <w:contextualSpacing/>
              <w:jc w:val="both"/>
              <w:rPr>
                <w:rFonts w:ascii="Century Gothic" w:eastAsia="Calibri" w:hAnsi="Century Gothic" w:cs="Arial"/>
                <w:bCs/>
                <w:lang w:val="es-MX" w:eastAsia="es-ES_tradnl"/>
              </w:rPr>
            </w:pPr>
            <w:r w:rsidRPr="004204E3">
              <w:rPr>
                <w:rFonts w:ascii="Century Gothic" w:eastAsia="Calibri" w:hAnsi="Century Gothic" w:cs="Arial"/>
                <w:bCs/>
                <w:lang w:val="es-MX" w:eastAsia="es-ES_tradnl"/>
              </w:rPr>
              <w:tab/>
            </w:r>
          </w:p>
        </w:tc>
      </w:tr>
      <w:tr w:rsidR="00AA46B5" w:rsidRPr="004204E3" w14:paraId="2F4DA6DD" w14:textId="77777777" w:rsidTr="00A05ACE">
        <w:trPr>
          <w:jc w:val="right"/>
        </w:trPr>
        <w:tc>
          <w:tcPr>
            <w:tcW w:w="1838" w:type="dxa"/>
          </w:tcPr>
          <w:p w14:paraId="1764DD8C" w14:textId="77777777" w:rsidR="00AA46B5" w:rsidRPr="004204E3" w:rsidRDefault="00AA46B5" w:rsidP="00A05ACE">
            <w:pPr>
              <w:spacing w:line="276" w:lineRule="auto"/>
              <w:jc w:val="center"/>
              <w:rPr>
                <w:rFonts w:ascii="Century Gothic" w:eastAsia="Calibri" w:hAnsi="Century Gothic" w:cs="Arial"/>
                <w:b/>
                <w:lang w:val="es-ES"/>
              </w:rPr>
            </w:pPr>
            <w:r w:rsidRPr="004204E3">
              <w:rPr>
                <w:rFonts w:ascii="Century Gothic" w:eastAsia="Calibri" w:hAnsi="Century Gothic" w:cs="Arial"/>
                <w:b/>
                <w:lang w:val="es-ES"/>
              </w:rPr>
              <w:t>Radicación:</w:t>
            </w:r>
          </w:p>
        </w:tc>
        <w:tc>
          <w:tcPr>
            <w:tcW w:w="6237" w:type="dxa"/>
          </w:tcPr>
          <w:p w14:paraId="1393FC95" w14:textId="3847489E" w:rsidR="00AA46B5" w:rsidRPr="004204E3" w:rsidRDefault="00AA46B5" w:rsidP="009F3034">
            <w:pPr>
              <w:spacing w:line="276" w:lineRule="auto"/>
              <w:jc w:val="both"/>
              <w:rPr>
                <w:rFonts w:ascii="Century Gothic" w:eastAsia="Calibri" w:hAnsi="Century Gothic" w:cs="Arial"/>
                <w:lang w:val="es-ES"/>
              </w:rPr>
            </w:pPr>
            <w:r w:rsidRPr="004204E3">
              <w:rPr>
                <w:rFonts w:ascii="Century Gothic" w:eastAsia="Calibri" w:hAnsi="Century Gothic" w:cs="Arial"/>
                <w:lang w:val="es-ES"/>
              </w:rPr>
              <w:t xml:space="preserve">Respuesta a consulta Nro. </w:t>
            </w:r>
            <w:r w:rsidR="00B33BCC" w:rsidRPr="004204E3">
              <w:rPr>
                <w:rFonts w:ascii="Century Gothic" w:eastAsia="Calibri" w:hAnsi="Century Gothic" w:cs="Arial"/>
                <w:lang w:val="es-ES"/>
              </w:rPr>
              <w:t>P20230914015119</w:t>
            </w:r>
            <w:r w:rsidRPr="004204E3">
              <w:rPr>
                <w:rFonts w:ascii="Century Gothic" w:eastAsia="Calibri" w:hAnsi="Century Gothic" w:cs="Arial"/>
                <w:lang w:val="es-ES"/>
              </w:rPr>
              <w:t>.</w:t>
            </w:r>
          </w:p>
        </w:tc>
      </w:tr>
    </w:tbl>
    <w:p w14:paraId="510731BE" w14:textId="77777777" w:rsidR="00AA46B5" w:rsidRPr="004204E3" w:rsidRDefault="00AA46B5" w:rsidP="00AA46B5">
      <w:pPr>
        <w:spacing w:line="276" w:lineRule="auto"/>
        <w:jc w:val="both"/>
        <w:rPr>
          <w:rFonts w:ascii="Century Gothic" w:eastAsia="Calibri" w:hAnsi="Century Gothic" w:cs="Arial"/>
          <w:lang w:val="es-ES_tradnl"/>
        </w:rPr>
      </w:pPr>
    </w:p>
    <w:p w14:paraId="1C0C2E7A" w14:textId="40D5D942" w:rsidR="00AA46B5" w:rsidRPr="004204E3" w:rsidRDefault="00AA46B5" w:rsidP="00AA46B5">
      <w:pPr>
        <w:spacing w:line="276" w:lineRule="auto"/>
        <w:jc w:val="both"/>
        <w:rPr>
          <w:rFonts w:ascii="Century Gothic" w:eastAsia="Calibri" w:hAnsi="Century Gothic" w:cs="Arial"/>
          <w:bCs/>
          <w:lang w:val="es-ES_tradnl"/>
        </w:rPr>
      </w:pPr>
      <w:r w:rsidRPr="004204E3">
        <w:rPr>
          <w:rFonts w:ascii="Century Gothic" w:eastAsia="Calibri" w:hAnsi="Century Gothic" w:cs="Arial"/>
          <w:lang w:val="es-ES_tradnl"/>
        </w:rPr>
        <w:t xml:space="preserve">Estimado señor </w:t>
      </w:r>
      <w:r w:rsidR="0098122D" w:rsidRPr="004204E3">
        <w:rPr>
          <w:rFonts w:ascii="Century Gothic" w:hAnsi="Century Gothic" w:cs="Arial"/>
          <w:lang w:val="es-MX"/>
        </w:rPr>
        <w:t>Borja Garzón</w:t>
      </w:r>
      <w:r w:rsidRPr="004204E3">
        <w:rPr>
          <w:rFonts w:ascii="Century Gothic" w:eastAsia="Calibri" w:hAnsi="Century Gothic" w:cs="Arial"/>
          <w:bCs/>
          <w:lang w:val="es-ES_tradnl"/>
        </w:rPr>
        <w:t>:</w:t>
      </w:r>
    </w:p>
    <w:p w14:paraId="0F293BF4" w14:textId="4420CC8A" w:rsidR="00127233" w:rsidRPr="004204E3" w:rsidRDefault="00AA46B5" w:rsidP="00BE1799">
      <w:pPr>
        <w:spacing w:after="0" w:line="276" w:lineRule="auto"/>
        <w:jc w:val="both"/>
        <w:rPr>
          <w:rFonts w:ascii="Century Gothic" w:eastAsia="Calibri" w:hAnsi="Century Gothic" w:cs="Arial"/>
          <w:lang w:val="es-ES"/>
        </w:rPr>
      </w:pPr>
      <w:r w:rsidRPr="004204E3">
        <w:rPr>
          <w:rFonts w:ascii="Century Gothic" w:eastAsia="Calibri" w:hAnsi="Century Gothic"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BE1799" w:rsidRPr="004204E3">
        <w:rPr>
          <w:rFonts w:ascii="Century Gothic" w:eastAsia="Calibri" w:hAnsi="Century Gothic" w:cs="Arial"/>
          <w:lang w:val="es-ES"/>
        </w:rPr>
        <w:t>06 de septiembre del 2023</w:t>
      </w:r>
      <w:r w:rsidR="00B65BB2" w:rsidRPr="004204E3">
        <w:rPr>
          <w:rFonts w:ascii="Century Gothic" w:eastAsia="Calibri" w:hAnsi="Century Gothic" w:cs="Arial"/>
          <w:lang w:val="es-ES"/>
        </w:rPr>
        <w:t xml:space="preserve">, </w:t>
      </w:r>
      <w:r w:rsidR="00BE1799" w:rsidRPr="004204E3">
        <w:rPr>
          <w:rFonts w:ascii="Century Gothic" w:eastAsia="Calibri" w:hAnsi="Century Gothic" w:cs="Arial"/>
          <w:lang w:val="es-ES"/>
        </w:rPr>
        <w:t>radicada por el Departamento Nacional de Planeación</w:t>
      </w:r>
      <w:r w:rsidR="00B65BB2" w:rsidRPr="004204E3">
        <w:rPr>
          <w:rFonts w:ascii="Century Gothic" w:eastAsia="Calibri" w:hAnsi="Century Gothic" w:cs="Arial"/>
          <w:lang w:val="es-ES"/>
        </w:rPr>
        <w:t>,</w:t>
      </w:r>
      <w:r w:rsidR="00BE1799" w:rsidRPr="004204E3">
        <w:rPr>
          <w:rFonts w:ascii="Century Gothic" w:eastAsia="Calibri" w:hAnsi="Century Gothic" w:cs="Arial"/>
          <w:lang w:val="es-ES"/>
        </w:rPr>
        <w:t xml:space="preserve"> </w:t>
      </w:r>
      <w:r w:rsidR="001A3BCE" w:rsidRPr="004204E3">
        <w:rPr>
          <w:rFonts w:ascii="Century Gothic" w:eastAsia="Calibri" w:hAnsi="Century Gothic" w:cs="Arial"/>
          <w:lang w:val="es-ES"/>
        </w:rPr>
        <w:t>con radicado</w:t>
      </w:r>
      <w:r w:rsidR="008339EE" w:rsidRPr="004204E3">
        <w:rPr>
          <w:rFonts w:ascii="Century Gothic" w:eastAsia="Calibri" w:hAnsi="Century Gothic" w:cs="Arial"/>
          <w:lang w:val="es-ES"/>
        </w:rPr>
        <w:t xml:space="preserve"> Nro.</w:t>
      </w:r>
      <w:r w:rsidR="001A3BCE" w:rsidRPr="004204E3">
        <w:rPr>
          <w:rFonts w:ascii="Century Gothic" w:eastAsia="Calibri" w:hAnsi="Century Gothic" w:cs="Arial"/>
          <w:lang w:val="es-ES"/>
        </w:rPr>
        <w:t xml:space="preserve"> 20233200588161 del 13 de septiembre del 2023.</w:t>
      </w:r>
    </w:p>
    <w:p w14:paraId="0CC03EBD" w14:textId="77777777" w:rsidR="00837EB8" w:rsidRPr="004204E3" w:rsidRDefault="00837EB8" w:rsidP="00BE1799">
      <w:pPr>
        <w:spacing w:after="0" w:line="276" w:lineRule="auto"/>
        <w:jc w:val="both"/>
        <w:rPr>
          <w:rFonts w:ascii="Century Gothic" w:eastAsia="Calibri" w:hAnsi="Century Gothic" w:cs="Arial"/>
          <w:lang w:val="es-ES"/>
        </w:rPr>
      </w:pPr>
    </w:p>
    <w:p w14:paraId="128D7380" w14:textId="77777777" w:rsidR="00837EB8" w:rsidRPr="004204E3" w:rsidRDefault="00837EB8" w:rsidP="00837EB8">
      <w:pPr>
        <w:pStyle w:val="Prrafodelista"/>
        <w:numPr>
          <w:ilvl w:val="0"/>
          <w:numId w:val="17"/>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4204E3">
        <w:rPr>
          <w:rFonts w:ascii="Century Gothic" w:eastAsia="Calibri" w:hAnsi="Century Gothic" w:cs="Arial"/>
          <w:b/>
          <w:lang w:val="es-ES_tradnl"/>
        </w:rPr>
        <w:t xml:space="preserve">Problema planteado </w:t>
      </w:r>
    </w:p>
    <w:p w14:paraId="5794A3BB" w14:textId="77777777" w:rsidR="00837EB8" w:rsidRPr="004204E3" w:rsidRDefault="00837EB8" w:rsidP="00837EB8">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7C5A198B" w14:textId="3E7F4A8C" w:rsidR="00837EB8" w:rsidRPr="004204E3" w:rsidRDefault="00837EB8" w:rsidP="00837EB8">
      <w:pPr>
        <w:spacing w:after="0" w:line="276" w:lineRule="auto"/>
        <w:jc w:val="both"/>
        <w:rPr>
          <w:rFonts w:ascii="Century Gothic" w:hAnsi="Century Gothic" w:cs="Arial"/>
          <w:lang w:val="es-ES_tradnl"/>
        </w:rPr>
      </w:pPr>
      <w:r w:rsidRPr="004204E3">
        <w:rPr>
          <w:rFonts w:ascii="Century Gothic" w:hAnsi="Century Gothic" w:cs="Arial"/>
          <w:lang w:val="es-ES_tradnl"/>
        </w:rPr>
        <w:t xml:space="preserve">Respecto </w:t>
      </w:r>
      <w:r w:rsidR="00CF0606" w:rsidRPr="004204E3">
        <w:rPr>
          <w:rFonts w:ascii="Century Gothic" w:hAnsi="Century Gothic" w:cs="Arial"/>
          <w:lang w:val="es-ES_tradnl"/>
        </w:rPr>
        <w:t>a las empresas de servicios p</w:t>
      </w:r>
      <w:r w:rsidR="000C2EBB" w:rsidRPr="004204E3">
        <w:rPr>
          <w:rFonts w:ascii="Century Gothic" w:hAnsi="Century Gothic" w:cs="Arial"/>
          <w:lang w:val="es-ES_tradnl"/>
        </w:rPr>
        <w:t>úblicos mixta</w:t>
      </w:r>
      <w:r w:rsidR="00950A42" w:rsidRPr="004204E3">
        <w:rPr>
          <w:rFonts w:ascii="Century Gothic" w:hAnsi="Century Gothic" w:cs="Arial"/>
          <w:lang w:val="es-ES_tradnl"/>
        </w:rPr>
        <w:t>s</w:t>
      </w:r>
      <w:r w:rsidRPr="004204E3">
        <w:rPr>
          <w:rFonts w:ascii="Century Gothic" w:hAnsi="Century Gothic" w:cs="Arial"/>
          <w:lang w:val="es-ES_tradnl"/>
        </w:rPr>
        <w:t xml:space="preserve">, usted realiza la siguiente consulta: </w:t>
      </w:r>
    </w:p>
    <w:p w14:paraId="2792D6D1" w14:textId="77777777" w:rsidR="00837EB8" w:rsidRPr="004204E3" w:rsidRDefault="00837EB8" w:rsidP="00837EB8">
      <w:pPr>
        <w:spacing w:after="0" w:line="276" w:lineRule="auto"/>
        <w:jc w:val="both"/>
        <w:rPr>
          <w:rFonts w:ascii="Century Gothic" w:hAnsi="Century Gothic" w:cs="Arial"/>
          <w:lang w:val="es-ES_tradnl"/>
        </w:rPr>
      </w:pPr>
    </w:p>
    <w:p w14:paraId="42C4CA30" w14:textId="261CD755" w:rsidR="00837EB8" w:rsidRPr="004204E3" w:rsidRDefault="00837EB8" w:rsidP="00A73D28">
      <w:pPr>
        <w:spacing w:after="0" w:line="240" w:lineRule="auto"/>
        <w:ind w:left="709" w:right="709"/>
        <w:jc w:val="both"/>
        <w:rPr>
          <w:rFonts w:ascii="Century Gothic" w:hAnsi="Century Gothic"/>
          <w:sz w:val="21"/>
          <w:szCs w:val="21"/>
        </w:rPr>
      </w:pPr>
      <w:r w:rsidRPr="004204E3">
        <w:rPr>
          <w:rFonts w:ascii="Century Gothic" w:hAnsi="Century Gothic"/>
          <w:sz w:val="21"/>
          <w:szCs w:val="21"/>
        </w:rPr>
        <w:lastRenderedPageBreak/>
        <w:t xml:space="preserve">“[…] </w:t>
      </w:r>
      <w:r w:rsidR="00FE278E" w:rsidRPr="004204E3">
        <w:rPr>
          <w:rFonts w:ascii="Century Gothic" w:hAnsi="Century Gothic"/>
          <w:sz w:val="21"/>
          <w:szCs w:val="21"/>
        </w:rPr>
        <w:t xml:space="preserve">¿Una empresa </w:t>
      </w:r>
      <w:r w:rsidR="008C35C6" w:rsidRPr="004204E3">
        <w:rPr>
          <w:rFonts w:ascii="Century Gothic" w:hAnsi="Century Gothic"/>
          <w:sz w:val="21"/>
          <w:szCs w:val="21"/>
        </w:rPr>
        <w:t xml:space="preserve">de servicios públicos mixta puede establecer invitaciones privadas para procesos de contratación con cuantía </w:t>
      </w:r>
      <w:r w:rsidR="00A73D28" w:rsidRPr="004204E3">
        <w:rPr>
          <w:rFonts w:ascii="Century Gothic" w:hAnsi="Century Gothic"/>
          <w:sz w:val="21"/>
          <w:szCs w:val="21"/>
        </w:rPr>
        <w:t>menos a cinco mil (5.000) SMMLV? Cuando se habla de invitaciones privadas se hace alusión a invitaciones a 2 o más oferentes inscritos en el banco de proveedores por medio de correo electrónico.</w:t>
      </w:r>
    </w:p>
    <w:p w14:paraId="0B0B81F4" w14:textId="77777777" w:rsidR="00A73D28" w:rsidRPr="004204E3" w:rsidRDefault="00A73D28" w:rsidP="00A73D28">
      <w:pPr>
        <w:spacing w:after="0" w:line="240" w:lineRule="auto"/>
        <w:ind w:left="709" w:right="709"/>
        <w:jc w:val="both"/>
        <w:rPr>
          <w:rFonts w:ascii="Century Gothic" w:hAnsi="Century Gothic"/>
          <w:sz w:val="21"/>
          <w:szCs w:val="21"/>
        </w:rPr>
      </w:pPr>
    </w:p>
    <w:p w14:paraId="0EE60ECB" w14:textId="1C1C5918" w:rsidR="00A73D28" w:rsidRPr="004204E3" w:rsidRDefault="00A73D28" w:rsidP="00A73D28">
      <w:pPr>
        <w:spacing w:after="0" w:line="240" w:lineRule="auto"/>
        <w:ind w:left="709" w:right="709"/>
        <w:jc w:val="both"/>
        <w:rPr>
          <w:rFonts w:ascii="Century Gothic" w:hAnsi="Century Gothic"/>
          <w:sz w:val="21"/>
          <w:szCs w:val="21"/>
        </w:rPr>
      </w:pPr>
      <w:r w:rsidRPr="004204E3">
        <w:rPr>
          <w:rFonts w:ascii="Century Gothic" w:hAnsi="Century Gothic"/>
          <w:sz w:val="21"/>
          <w:szCs w:val="21"/>
        </w:rPr>
        <w:t xml:space="preserve">2. </w:t>
      </w:r>
      <w:r w:rsidR="000E7E5D" w:rsidRPr="004204E3">
        <w:rPr>
          <w:rFonts w:ascii="Century Gothic" w:hAnsi="Century Gothic"/>
          <w:sz w:val="21"/>
          <w:szCs w:val="21"/>
        </w:rPr>
        <w:t>¿Los contratos suscritos con régimen del código sustantivo del trabajo en relación con la prestación de servicios y recursos propios de una empresa de servicios públicos mixta no se deben publicar en el SECOP II?</w:t>
      </w:r>
    </w:p>
    <w:p w14:paraId="46917B0C" w14:textId="77777777" w:rsidR="000E7E5D" w:rsidRPr="004204E3" w:rsidRDefault="000E7E5D" w:rsidP="00A73D28">
      <w:pPr>
        <w:spacing w:after="0" w:line="240" w:lineRule="auto"/>
        <w:ind w:left="709" w:right="709"/>
        <w:jc w:val="both"/>
        <w:rPr>
          <w:rFonts w:ascii="Century Gothic" w:hAnsi="Century Gothic"/>
          <w:sz w:val="21"/>
          <w:szCs w:val="21"/>
        </w:rPr>
      </w:pPr>
    </w:p>
    <w:p w14:paraId="2EF40FA5" w14:textId="5CBD195B" w:rsidR="000E7E5D" w:rsidRPr="004204E3" w:rsidRDefault="000E7E5D" w:rsidP="000E7E5D">
      <w:pPr>
        <w:spacing w:after="0" w:line="240" w:lineRule="auto"/>
        <w:ind w:left="709" w:right="709"/>
        <w:jc w:val="both"/>
        <w:rPr>
          <w:rFonts w:ascii="Century Gothic" w:hAnsi="Century Gothic"/>
          <w:sz w:val="21"/>
          <w:szCs w:val="21"/>
        </w:rPr>
      </w:pPr>
      <w:r w:rsidRPr="004204E3">
        <w:rPr>
          <w:rFonts w:ascii="Century Gothic" w:hAnsi="Century Gothic"/>
          <w:sz w:val="21"/>
          <w:szCs w:val="21"/>
        </w:rPr>
        <w:t>3. ¿Una empresa de servicios públicos mixta puede realizar sus procesos de contratación por medio de su página web de conformidad con lo establecido en su manual de contratación y publicar únicamente el contrato en el SECOP II una vez se suscriba?</w:t>
      </w:r>
    </w:p>
    <w:p w14:paraId="791208F6" w14:textId="77777777" w:rsidR="000E7E5D" w:rsidRPr="004204E3" w:rsidRDefault="000E7E5D" w:rsidP="000E7E5D">
      <w:pPr>
        <w:spacing w:after="0" w:line="240" w:lineRule="auto"/>
        <w:ind w:left="709" w:right="709"/>
        <w:jc w:val="both"/>
        <w:rPr>
          <w:rFonts w:ascii="Century Gothic" w:hAnsi="Century Gothic"/>
          <w:sz w:val="21"/>
          <w:szCs w:val="21"/>
        </w:rPr>
      </w:pPr>
    </w:p>
    <w:p w14:paraId="369D6C23" w14:textId="705D029C" w:rsidR="000E7E5D" w:rsidRPr="004204E3" w:rsidRDefault="000E7E5D" w:rsidP="008E25E1">
      <w:pPr>
        <w:spacing w:after="0" w:line="240" w:lineRule="auto"/>
        <w:ind w:left="709" w:right="709"/>
        <w:jc w:val="both"/>
        <w:rPr>
          <w:rFonts w:ascii="Century Gothic" w:hAnsi="Century Gothic"/>
          <w:sz w:val="21"/>
          <w:szCs w:val="21"/>
        </w:rPr>
      </w:pPr>
      <w:r w:rsidRPr="004204E3">
        <w:rPr>
          <w:rFonts w:ascii="Century Gothic" w:hAnsi="Century Gothic"/>
          <w:sz w:val="21"/>
          <w:szCs w:val="21"/>
        </w:rPr>
        <w:t xml:space="preserve">4. </w:t>
      </w:r>
      <w:r w:rsidR="008E25E1" w:rsidRPr="004204E3">
        <w:rPr>
          <w:rFonts w:ascii="Century Gothic" w:hAnsi="Century Gothic"/>
          <w:sz w:val="21"/>
          <w:szCs w:val="21"/>
        </w:rPr>
        <w:t>Sírvase indicar cómo puede establecer de manera correcta la cuantía que deberá aplicar una empresa de servicios públicos para limitar sus procesos de contratación y cumplir con la normatividad vigente. […]”</w:t>
      </w:r>
    </w:p>
    <w:p w14:paraId="5BF8C0FA" w14:textId="77777777" w:rsidR="00A73D28" w:rsidRPr="004204E3" w:rsidRDefault="00A73D28" w:rsidP="00837EB8">
      <w:pPr>
        <w:spacing w:after="0" w:line="276" w:lineRule="auto"/>
        <w:ind w:left="709" w:right="709"/>
        <w:jc w:val="both"/>
        <w:rPr>
          <w:rFonts w:ascii="Century Gothic" w:hAnsi="Century Gothic"/>
        </w:rPr>
      </w:pPr>
    </w:p>
    <w:p w14:paraId="6E26C36F" w14:textId="77777777" w:rsidR="00374A33" w:rsidRPr="004204E3" w:rsidRDefault="00374A33" w:rsidP="00374A33">
      <w:pPr>
        <w:pStyle w:val="Prrafodelista"/>
        <w:numPr>
          <w:ilvl w:val="0"/>
          <w:numId w:val="17"/>
        </w:numPr>
        <w:tabs>
          <w:tab w:val="left" w:pos="0"/>
          <w:tab w:val="left" w:pos="284"/>
        </w:tabs>
        <w:spacing w:after="0" w:line="276" w:lineRule="auto"/>
        <w:ind w:left="360"/>
        <w:jc w:val="both"/>
        <w:rPr>
          <w:rFonts w:ascii="Century Gothic" w:eastAsia="Calibri" w:hAnsi="Century Gothic" w:cs="Arial"/>
          <w:b/>
          <w:lang w:val="es-ES_tradnl"/>
        </w:rPr>
      </w:pPr>
      <w:r w:rsidRPr="004204E3">
        <w:rPr>
          <w:rFonts w:ascii="Century Gothic" w:eastAsia="Calibri" w:hAnsi="Century Gothic" w:cs="Arial"/>
          <w:b/>
          <w:lang w:val="es-ES_tradnl"/>
        </w:rPr>
        <w:t>Consideraciones</w:t>
      </w:r>
    </w:p>
    <w:p w14:paraId="6024751B" w14:textId="77777777" w:rsidR="00374A33" w:rsidRPr="004204E3" w:rsidRDefault="00374A33" w:rsidP="00374A33">
      <w:pPr>
        <w:pStyle w:val="Prrafodelista"/>
        <w:tabs>
          <w:tab w:val="left" w:pos="0"/>
          <w:tab w:val="left" w:pos="284"/>
        </w:tabs>
        <w:spacing w:after="0" w:line="276" w:lineRule="auto"/>
        <w:ind w:left="0"/>
        <w:contextualSpacing w:val="0"/>
        <w:jc w:val="both"/>
        <w:rPr>
          <w:rFonts w:ascii="Century Gothic" w:eastAsia="Calibri" w:hAnsi="Century Gothic" w:cs="Arial"/>
          <w:b/>
          <w:lang w:val="es-ES_tradnl"/>
        </w:rPr>
      </w:pPr>
    </w:p>
    <w:p w14:paraId="71AD6958" w14:textId="77777777" w:rsidR="00374A33" w:rsidRPr="004204E3" w:rsidRDefault="00374A33" w:rsidP="00374A33">
      <w:pPr>
        <w:spacing w:after="120" w:line="276" w:lineRule="auto"/>
        <w:jc w:val="both"/>
        <w:rPr>
          <w:rFonts w:ascii="Century Gothic" w:hAnsi="Century Gothic" w:cs="Arial"/>
          <w:lang w:val="es-ES"/>
        </w:rPr>
      </w:pPr>
      <w:r w:rsidRPr="004204E3">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4204E3">
        <w:rPr>
          <w:rFonts w:ascii="Century Gothic" w:hAnsi="Century Gothic" w:cs="Arial"/>
        </w:rPr>
        <w:t xml:space="preserve">. </w:t>
      </w:r>
      <w:r w:rsidRPr="004204E3">
        <w:rPr>
          <w:rFonts w:ascii="Century Gothic" w:hAnsi="Century Gothic" w:cs="Arial"/>
          <w:lang w:val="es-ES"/>
        </w:rPr>
        <w:t xml:space="preserve">Es necesario tener en cuenta que </w:t>
      </w:r>
      <w:bookmarkStart w:id="3" w:name="_Hlk61026958"/>
      <w:r w:rsidRPr="004204E3">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204E3">
        <w:rPr>
          <w:rFonts w:ascii="Century Gothic" w:hAnsi="Century Gothic" w:cs="Arial"/>
        </w:rPr>
        <w:t xml:space="preserve"> de todos los partícipes de la contratación estatal.</w:t>
      </w:r>
      <w:r w:rsidRPr="004204E3">
        <w:rPr>
          <w:rFonts w:ascii="Century Gothic" w:hAnsi="Century Gothic" w:cs="Arial"/>
          <w:lang w:val="es-ES"/>
        </w:rPr>
        <w:t xml:space="preserve"> </w:t>
      </w:r>
      <w:bookmarkEnd w:id="1"/>
      <w:bookmarkEnd w:id="2"/>
      <w:bookmarkEnd w:id="3"/>
    </w:p>
    <w:p w14:paraId="24AF3B53" w14:textId="77777777" w:rsidR="00374A33" w:rsidRPr="004204E3" w:rsidRDefault="00374A33" w:rsidP="00374A33">
      <w:pPr>
        <w:spacing w:after="120" w:line="276" w:lineRule="auto"/>
        <w:ind w:firstLine="708"/>
        <w:jc w:val="both"/>
        <w:rPr>
          <w:rFonts w:ascii="Century Gothic" w:hAnsi="Century Gothic" w:cs="Arial"/>
          <w:lang w:val="es-ES"/>
        </w:rPr>
      </w:pPr>
      <w:r w:rsidRPr="004204E3">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204E3">
        <w:rPr>
          <w:rFonts w:ascii="Century Gothic" w:eastAsia="Calibri" w:hAnsi="Century Gothic" w:cs="Arial"/>
          <w:vertAlign w:val="superscript"/>
          <w:lang w:val="es-ES"/>
        </w:rPr>
        <w:footnoteReference w:id="1"/>
      </w:r>
      <w:r w:rsidRPr="004204E3">
        <w:rPr>
          <w:rFonts w:ascii="Century Gothic" w:eastAsia="Calibri" w:hAnsi="Century Gothic" w:cs="Arial"/>
          <w:lang w:val="es-ES"/>
        </w:rPr>
        <w:t xml:space="preserve">. Esta competencia de interpretación de normas generales, </w:t>
      </w:r>
      <w:r w:rsidRPr="004204E3">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7183976C" w14:textId="12610593" w:rsidR="00374A33" w:rsidRPr="004204E3" w:rsidRDefault="00374A33" w:rsidP="00374A33">
      <w:pPr>
        <w:spacing w:before="120" w:after="120" w:line="276" w:lineRule="auto"/>
        <w:ind w:firstLine="709"/>
        <w:jc w:val="both"/>
        <w:rPr>
          <w:rFonts w:ascii="Century Gothic" w:eastAsia="Calibri" w:hAnsi="Century Gothic" w:cs="Arial"/>
          <w:lang w:val="es-ES_tradnl" w:eastAsia="es-MX"/>
        </w:rPr>
      </w:pPr>
      <w:r w:rsidRPr="004204E3">
        <w:rPr>
          <w:rFonts w:ascii="Century Gothic" w:eastAsia="Calibri" w:hAnsi="Century Gothic" w:cs="Arial"/>
          <w:color w:val="000000"/>
          <w:lang w:val="es-MX"/>
        </w:rPr>
        <w:t xml:space="preserve">Sin perjuicio de lo anterior, </w:t>
      </w:r>
      <w:r w:rsidRPr="004204E3">
        <w:rPr>
          <w:rFonts w:ascii="Century Gothic" w:eastAsia="Calibri" w:hAnsi="Century Gothic" w:cs="Arial"/>
          <w:color w:val="000000"/>
          <w:lang w:val="es-ES"/>
        </w:rPr>
        <w:t xml:space="preserve">la Subdirección de Gestión Contractual –dentro de los límites de sus atribuciones, esto es, </w:t>
      </w:r>
      <w:bookmarkStart w:id="4" w:name="_Hlk61025408"/>
      <w:r w:rsidRPr="004204E3">
        <w:rPr>
          <w:rFonts w:ascii="Century Gothic" w:eastAsia="Calibri" w:hAnsi="Century Gothic" w:cs="Arial"/>
          <w:color w:val="000000"/>
          <w:lang w:val="es-ES"/>
        </w:rPr>
        <w:t>haciendo abstracción del caso particular expuesto por el peticionari</w:t>
      </w:r>
      <w:bookmarkEnd w:id="4"/>
      <w:r w:rsidRPr="004204E3">
        <w:rPr>
          <w:rFonts w:ascii="Century Gothic" w:eastAsia="Calibri" w:hAnsi="Century Gothic" w:cs="Arial"/>
          <w:color w:val="000000"/>
          <w:lang w:val="es-ES"/>
        </w:rPr>
        <w:t>o– resolverá la consulta conforme a las normas generales en materia de contratación estatal</w:t>
      </w:r>
      <w:r w:rsidRPr="004204E3">
        <w:rPr>
          <w:rFonts w:ascii="Century Gothic" w:eastAsia="Calibri" w:hAnsi="Century Gothic" w:cs="Arial"/>
          <w:lang w:val="es-ES_tradnl" w:eastAsia="es-MX"/>
        </w:rPr>
        <w:t>. Con este objetivo se analizarán los siguientes temas</w:t>
      </w:r>
      <w:r w:rsidRPr="004204E3">
        <w:rPr>
          <w:rFonts w:ascii="Century Gothic" w:hAnsi="Century Gothic" w:cs="Arial"/>
          <w:color w:val="000000" w:themeColor="text1"/>
          <w:lang w:val="es-ES_tradnl"/>
        </w:rPr>
        <w:t xml:space="preserve">: </w:t>
      </w:r>
      <w:r w:rsidR="00CC1212" w:rsidRPr="004204E3">
        <w:rPr>
          <w:rFonts w:ascii="Century Gothic" w:hAnsi="Century Gothic" w:cs="Arial"/>
          <w:color w:val="000000" w:themeColor="text1"/>
          <w:lang w:val="es-ES_tradnl"/>
        </w:rPr>
        <w:t>i) naturaleza jurídica de las Empresas Prestadoras de Servicios Públicos Domiciliarios; ii) régimen contractual de las Empresas Prestadoras de Servicios Públicos Domiciliarios. Situaciones de aplicabilidad de la Ley 80 de 1993; iii) deber de las entidades estatales exceptuadas del Estatuto General de Contratación de la Administración Pública de publicar los documentos relacionados con su actividad contractual en el SECOP II y; iv) Uso del SECOP II por las entidades exceptuadas del Estatuto General de Contratación de la Administración Pública.</w:t>
      </w:r>
    </w:p>
    <w:p w14:paraId="2E501B05" w14:textId="77777777" w:rsidR="00CD19B3" w:rsidRPr="004204E3" w:rsidRDefault="00CD19B3" w:rsidP="00CD19B3">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La Agencia Nacional de Contratación Pública – Colombia Compra Eficiente se pronunció sobre 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 Así mismo, se pronunció sobre el régimen contractual de los prestadores de servicios públicos domiciliarios en los Conceptos C-027 del 23 de enero de 2020, C-032 del 19 de febrero de 2020, C-157 del 16 de marzo de 2020, el C-147 del 17 de marzo de 2020, C-168 del 31 de marzo de 2020, C-158 del 3 de abril de 2020, C-227 del 7 de abril de 2020, C-362 del 3 de julio de 2020, C-462 del 24 de julio de 2020, C-718 del 17 de diciembre de 2020, C-053 del 9 de marzo de 2021, C-072 del 16 de marzo de 2021, C-077 del 16 de marzo de 2021, </w:t>
      </w:r>
      <w:r w:rsidRPr="004204E3">
        <w:rPr>
          <w:rFonts w:ascii="Century Gothic" w:eastAsia="Calibri" w:hAnsi="Century Gothic" w:cs="Arial"/>
          <w:bCs/>
          <w:lang w:val="es-MX"/>
        </w:rPr>
        <w:lastRenderedPageBreak/>
        <w:t>C-218 del 14 de mayo de 2021, C-290 del 15 de junio de 2021, C-163 del 29 de marzo de 2022 y C-651 del 07 de octubre de 2022.</w:t>
      </w:r>
    </w:p>
    <w:p w14:paraId="48C49CF6" w14:textId="222D35AD" w:rsidR="00AA40A2" w:rsidRPr="004204E3" w:rsidRDefault="00AA40A2" w:rsidP="00AA40A2">
      <w:pPr>
        <w:spacing w:after="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Por otro lado, esta </w:t>
      </w:r>
      <w:r w:rsidR="00F3601F" w:rsidRPr="004204E3">
        <w:rPr>
          <w:rFonts w:ascii="Century Gothic" w:eastAsia="Calibri" w:hAnsi="Century Gothic" w:cs="Arial"/>
          <w:bCs/>
          <w:lang w:val="es-MX"/>
        </w:rPr>
        <w:t>Agencia</w:t>
      </w:r>
      <w:r w:rsidRPr="004204E3">
        <w:rPr>
          <w:rFonts w:ascii="Century Gothic" w:eastAsia="Calibri" w:hAnsi="Century Gothic" w:cs="Arial"/>
          <w:bCs/>
          <w:lang w:val="es-MX"/>
        </w:rPr>
        <w:t xml:space="preserve"> se ha pronunciado en diferentes oportunidades respecto a la aplicación los principios de publicidad y de acceso a la información pública en la contratación estatal sus fundamentos normativos y el deber de publicar la documentación contractual en el SECOP,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w:t>
      </w:r>
      <w:r w:rsidR="00142DB7" w:rsidRPr="004204E3">
        <w:rPr>
          <w:rFonts w:ascii="Century Gothic" w:eastAsia="Calibri" w:hAnsi="Century Gothic" w:cs="Arial"/>
          <w:bCs/>
          <w:lang w:val="es-MX"/>
        </w:rPr>
        <w:t xml:space="preserve">, </w:t>
      </w:r>
      <w:r w:rsidRPr="004204E3">
        <w:rPr>
          <w:rFonts w:ascii="Century Gothic" w:eastAsia="Calibri" w:hAnsi="Century Gothic" w:cs="Arial"/>
          <w:bCs/>
          <w:lang w:val="es-MX"/>
        </w:rPr>
        <w:t>C- 821 de 29 de noviembre de 2022</w:t>
      </w:r>
      <w:r w:rsidR="00142DB7" w:rsidRPr="004204E3">
        <w:rPr>
          <w:rFonts w:ascii="Century Gothic" w:eastAsia="Calibri" w:hAnsi="Century Gothic" w:cs="Arial"/>
          <w:bCs/>
          <w:lang w:val="es-MX"/>
        </w:rPr>
        <w:t xml:space="preserve"> y C-071 del 28 de marzo del 2023</w:t>
      </w:r>
      <w:r w:rsidRPr="004204E3">
        <w:rPr>
          <w:rStyle w:val="Refdenotaalpie"/>
          <w:rFonts w:ascii="Century Gothic" w:eastAsia="Calibri" w:hAnsi="Century Gothic" w:cs="Arial"/>
        </w:rPr>
        <w:footnoteReference w:id="2"/>
      </w:r>
      <w:r w:rsidRPr="004204E3">
        <w:rPr>
          <w:rFonts w:ascii="Century Gothic" w:eastAsia="Calibri" w:hAnsi="Century Gothic" w:cs="Arial"/>
          <w:bCs/>
          <w:lang w:val="es-MX"/>
        </w:rPr>
        <w:t xml:space="preserve">. Las tesis expuestas en los anteriores conceptos se reiteran a continuación y se complementan en lo pertinente: </w:t>
      </w:r>
    </w:p>
    <w:p w14:paraId="007F874D" w14:textId="77777777" w:rsidR="00AA40A2" w:rsidRPr="004204E3" w:rsidRDefault="00AA40A2" w:rsidP="00374A33">
      <w:pPr>
        <w:spacing w:after="0" w:line="276" w:lineRule="auto"/>
        <w:ind w:firstLine="709"/>
        <w:jc w:val="both"/>
        <w:rPr>
          <w:rFonts w:ascii="Century Gothic" w:eastAsia="Calibri" w:hAnsi="Century Gothic" w:cs="Arial"/>
          <w:lang w:val="es-ES_tradnl" w:eastAsia="es-ES_tradnl"/>
        </w:rPr>
      </w:pPr>
    </w:p>
    <w:p w14:paraId="77E412CE" w14:textId="77777777" w:rsidR="00F86D2F" w:rsidRPr="004204E3" w:rsidRDefault="007644EA" w:rsidP="00F86D2F">
      <w:pPr>
        <w:spacing w:after="120" w:line="276" w:lineRule="auto"/>
        <w:contextualSpacing/>
        <w:jc w:val="both"/>
        <w:rPr>
          <w:rFonts w:ascii="Century Gothic" w:eastAsia="Calibri" w:hAnsi="Century Gothic" w:cs="Arial"/>
          <w:b/>
          <w:lang w:val="es-MX"/>
        </w:rPr>
      </w:pPr>
      <w:r w:rsidRPr="004204E3">
        <w:rPr>
          <w:rFonts w:ascii="Century Gothic" w:eastAsia="Calibri" w:hAnsi="Century Gothic" w:cs="Arial"/>
          <w:b/>
          <w:lang w:val="es-MX"/>
        </w:rPr>
        <w:t>2.1. Naturaleza jurídica de las Empresas Prestadoras de Servicios Públicos Domiciliarios</w:t>
      </w:r>
    </w:p>
    <w:p w14:paraId="6B91B7B0" w14:textId="77777777" w:rsidR="00F86D2F" w:rsidRPr="004204E3" w:rsidRDefault="00F86D2F" w:rsidP="00F86D2F">
      <w:pPr>
        <w:spacing w:after="120" w:line="276" w:lineRule="auto"/>
        <w:contextualSpacing/>
        <w:jc w:val="both"/>
        <w:rPr>
          <w:rFonts w:ascii="Century Gothic" w:eastAsia="Calibri" w:hAnsi="Century Gothic" w:cs="Arial"/>
          <w:b/>
          <w:lang w:val="es-MX"/>
        </w:rPr>
      </w:pPr>
    </w:p>
    <w:p w14:paraId="6F9D96C2" w14:textId="4BE0532F" w:rsidR="007644EA" w:rsidRPr="004204E3" w:rsidRDefault="007644EA" w:rsidP="00F86D2F">
      <w:pPr>
        <w:spacing w:after="0" w:line="276" w:lineRule="auto"/>
        <w:contextualSpacing/>
        <w:jc w:val="both"/>
        <w:rPr>
          <w:rFonts w:ascii="Century Gothic" w:eastAsia="Calibri" w:hAnsi="Century Gothic" w:cs="Arial"/>
          <w:b/>
          <w:lang w:val="es-MX"/>
        </w:rPr>
      </w:pPr>
      <w:r w:rsidRPr="004204E3">
        <w:rPr>
          <w:rFonts w:ascii="Century Gothic" w:eastAsia="Calibri" w:hAnsi="Century Gothic" w:cs="Arial"/>
          <w:bCs/>
          <w:lang w:val="es-MX"/>
        </w:rPr>
        <w:t>El artículo 14 de la Ley 142 de 1994 contiene las definiciones para la correcta aplicación e interpretación del régimen de servicios públicos domiciliarios. Esta norma define las empresas de servicios públicos oficial, mixta y privada en los siguientes términos:</w:t>
      </w:r>
    </w:p>
    <w:p w14:paraId="0BAD7675" w14:textId="77777777" w:rsidR="007644EA" w:rsidRPr="004204E3" w:rsidRDefault="007644EA" w:rsidP="00F86D2F">
      <w:pPr>
        <w:spacing w:after="0" w:line="276" w:lineRule="auto"/>
        <w:contextualSpacing/>
        <w:rPr>
          <w:rFonts w:ascii="Century Gothic" w:eastAsia="Calibri" w:hAnsi="Century Gothic" w:cs="Arial"/>
          <w:bCs/>
          <w:lang w:val="es-MX"/>
        </w:rPr>
      </w:pPr>
    </w:p>
    <w:p w14:paraId="18A62239" w14:textId="77777777" w:rsidR="007644EA" w:rsidRPr="004204E3" w:rsidRDefault="007644EA" w:rsidP="00F86D2F">
      <w:pPr>
        <w:spacing w:after="0" w:line="276"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“14.5. Empresa de servicios públicos oficial. Es aquella en cuyo capital la Nación, las entidades territoriales, o las entidades descentralizadas de aquella o estas tienen el 100% de los aportes.</w:t>
      </w:r>
    </w:p>
    <w:p w14:paraId="387BB5A1" w14:textId="77777777" w:rsidR="007644EA" w:rsidRPr="004204E3" w:rsidRDefault="007644EA" w:rsidP="00F86D2F">
      <w:pPr>
        <w:spacing w:after="0" w:line="276" w:lineRule="auto"/>
        <w:ind w:left="709" w:right="709"/>
        <w:contextualSpacing/>
        <w:jc w:val="both"/>
        <w:rPr>
          <w:rFonts w:ascii="Century Gothic" w:eastAsia="Calibri" w:hAnsi="Century Gothic" w:cs="Arial"/>
          <w:bCs/>
          <w:sz w:val="21"/>
          <w:szCs w:val="21"/>
          <w:lang w:val="es-MX"/>
        </w:rPr>
      </w:pPr>
    </w:p>
    <w:p w14:paraId="7CF3C1EB" w14:textId="77777777" w:rsidR="007644EA" w:rsidRPr="004204E3" w:rsidRDefault="007644EA" w:rsidP="00F86D2F">
      <w:pPr>
        <w:spacing w:after="0" w:line="276"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lastRenderedPageBreak/>
        <w:t>14.6. Empresa de servicios públicos mixta. Es aquella en cuyo capital la Nación, las entidades territoriales, o las entidades descentralizadas de aquella o éstas tienen aportes iguales o superiores al 50%. </w:t>
      </w:r>
    </w:p>
    <w:p w14:paraId="2E634BCF" w14:textId="77777777" w:rsidR="007644EA" w:rsidRPr="004204E3" w:rsidRDefault="007644EA" w:rsidP="00F86D2F">
      <w:pPr>
        <w:spacing w:after="0" w:line="276" w:lineRule="auto"/>
        <w:ind w:left="709" w:right="709"/>
        <w:contextualSpacing/>
        <w:jc w:val="both"/>
        <w:rPr>
          <w:rFonts w:ascii="Century Gothic" w:eastAsia="Calibri" w:hAnsi="Century Gothic" w:cs="Arial"/>
          <w:bCs/>
          <w:sz w:val="21"/>
          <w:szCs w:val="21"/>
          <w:lang w:val="es-MX"/>
        </w:rPr>
      </w:pPr>
    </w:p>
    <w:p w14:paraId="32600C5B" w14:textId="77777777" w:rsidR="007644EA" w:rsidRPr="004204E3" w:rsidRDefault="007644EA" w:rsidP="00F86D2F">
      <w:pPr>
        <w:spacing w:after="0" w:line="276"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29C6D5D4" w14:textId="77777777" w:rsidR="007644EA" w:rsidRPr="004204E3" w:rsidRDefault="007644EA" w:rsidP="00F86D2F">
      <w:pPr>
        <w:spacing w:after="0" w:line="276" w:lineRule="auto"/>
        <w:rPr>
          <w:rFonts w:ascii="Century Gothic" w:eastAsia="Calibri" w:hAnsi="Century Gothic" w:cs="Arial"/>
          <w:bCs/>
          <w:lang w:val="es-MX"/>
        </w:rPr>
      </w:pPr>
    </w:p>
    <w:p w14:paraId="4C05E687" w14:textId="77777777" w:rsidR="007644EA" w:rsidRPr="004204E3" w:rsidRDefault="007644EA" w:rsidP="00F86D2F">
      <w:pPr>
        <w:spacing w:after="120" w:line="276" w:lineRule="auto"/>
        <w:ind w:firstLine="708"/>
        <w:jc w:val="both"/>
        <w:rPr>
          <w:rFonts w:ascii="Century Gothic" w:eastAsia="Calibri" w:hAnsi="Century Gothic" w:cs="Arial"/>
          <w:bCs/>
          <w:lang w:val="es-MX"/>
        </w:rPr>
      </w:pPr>
      <w:r w:rsidRPr="004204E3">
        <w:rPr>
          <w:rFonts w:ascii="Century Gothic" w:eastAsia="Calibri" w:hAnsi="Century Gothic" w:cs="Arial"/>
          <w:bCs/>
          <w:lang w:val="es-MX"/>
        </w:rPr>
        <w:t xml:space="preserve">A su vez, el artículo 17 de la citada Ley señala que “las empresas de servicios públicos son sociedades por acciones cuyo objeto es la prestación de los servicios públicos de que trata esta ley”. 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por servicios. El artículo 68 </w:t>
      </w:r>
      <w:r w:rsidRPr="004204E3">
        <w:rPr>
          <w:rFonts w:ascii="Century Gothic" w:eastAsia="Calibri" w:hAnsi="Century Gothic" w:cs="Arial"/>
          <w:bCs/>
          <w:i/>
          <w:iCs/>
          <w:lang w:val="es-MX"/>
        </w:rPr>
        <w:t>ibídem</w:t>
      </w:r>
      <w:r w:rsidRPr="004204E3">
        <w:rPr>
          <w:rFonts w:ascii="Century Gothic" w:eastAsia="Calibri" w:hAnsi="Century Gothic" w:cs="Arial"/>
          <w:bCs/>
          <w:lang w:val="es-MX"/>
        </w:rPr>
        <w:t>, al enlistar las entidades descentralizadas del orden nacional, se refirió únicamente a las empresas oficiales de servicios públicos, esto es, aquellas en las que la participación del Estado es del 100%</w:t>
      </w:r>
      <w:r w:rsidRPr="004204E3">
        <w:rPr>
          <w:rFonts w:ascii="Century Gothic" w:eastAsia="Calibri" w:hAnsi="Century Gothic" w:cs="Arial"/>
          <w:bCs/>
          <w:vertAlign w:val="superscript"/>
          <w:lang w:val="es-MX"/>
        </w:rPr>
        <w:footnoteReference w:id="3"/>
      </w:r>
    </w:p>
    <w:p w14:paraId="1969B1F2" w14:textId="058B1E9E" w:rsidR="007644EA" w:rsidRPr="004204E3" w:rsidRDefault="007644EA" w:rsidP="00F86D2F">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Lo anterior llevó a pensar a las </w:t>
      </w:r>
      <w:r w:rsidR="000A4E2F" w:rsidRPr="004204E3">
        <w:rPr>
          <w:rFonts w:ascii="Century Gothic" w:eastAsia="Calibri" w:hAnsi="Century Gothic" w:cs="Arial"/>
          <w:bCs/>
          <w:lang w:val="es-MX"/>
        </w:rPr>
        <w:t>E</w:t>
      </w:r>
      <w:r w:rsidRPr="004204E3">
        <w:rPr>
          <w:rFonts w:ascii="Century Gothic" w:eastAsia="Calibri" w:hAnsi="Century Gothic" w:cs="Arial"/>
          <w:bCs/>
          <w:lang w:val="es-MX"/>
        </w:rPr>
        <w:t xml:space="preserve">ntidades y participes del sistema de compras públicas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“g) Las demás </w:t>
      </w:r>
      <w:r w:rsidR="00E246C7" w:rsidRPr="004204E3">
        <w:rPr>
          <w:rFonts w:ascii="Century Gothic" w:eastAsia="Calibri" w:hAnsi="Century Gothic" w:cs="Arial"/>
          <w:bCs/>
          <w:lang w:val="es-MX"/>
        </w:rPr>
        <w:t>E</w:t>
      </w:r>
      <w:r w:rsidRPr="004204E3">
        <w:rPr>
          <w:rFonts w:ascii="Century Gothic" w:eastAsia="Calibri" w:hAnsi="Century Gothic" w:cs="Arial"/>
          <w:bCs/>
          <w:lang w:val="es-MX"/>
        </w:rPr>
        <w:t>ntidades administrativas nacionales con personería jurídica que cree, organice o autorice la ley para que formen parte de la Rama Ejecutiva del Poder Público”.</w:t>
      </w:r>
    </w:p>
    <w:p w14:paraId="06DC4FC8" w14:textId="77777777" w:rsidR="007644EA" w:rsidRPr="004204E3" w:rsidRDefault="007644EA" w:rsidP="00F86D2F">
      <w:pPr>
        <w:spacing w:before="120" w:after="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La Corte Constitucional, además de señalar la pertenencia a la Rama Ejecutiva de las empresas de servicios públicos mixtas y privadas, sostuvo que se </w:t>
      </w:r>
      <w:r w:rsidRPr="004204E3">
        <w:rPr>
          <w:rFonts w:ascii="Century Gothic" w:eastAsia="Calibri" w:hAnsi="Century Gothic" w:cs="Arial"/>
          <w:bCs/>
          <w:lang w:val="es-MX"/>
        </w:rPr>
        <w:lastRenderedPageBreak/>
        <w:t>trataba de entidades descentralizadas por servicios, en los términos del artículo 68 de la Ley 489 de 1998:</w:t>
      </w:r>
    </w:p>
    <w:p w14:paraId="4CED6E58" w14:textId="77777777" w:rsidR="007644EA" w:rsidRPr="004204E3" w:rsidRDefault="007644EA" w:rsidP="00F86D2F">
      <w:pPr>
        <w:spacing w:after="0" w:line="276" w:lineRule="auto"/>
        <w:contextualSpacing/>
        <w:jc w:val="both"/>
        <w:rPr>
          <w:rFonts w:ascii="Century Gothic" w:eastAsia="Calibri" w:hAnsi="Century Gothic" w:cs="Arial"/>
          <w:bCs/>
          <w:lang w:val="es-MX"/>
        </w:rPr>
      </w:pPr>
    </w:p>
    <w:p w14:paraId="4BAEF2C5"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11A45060"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p>
    <w:p w14:paraId="67AC406C"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56306F5C"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p>
    <w:p w14:paraId="1B2D0D7E"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2A6B51EC"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p>
    <w:p w14:paraId="72329895"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Así las cosas, de cara a la constitucionalidad del artículo 38 de la Ley 489 de 1998, y concretamente de la expresión “las empresas oficiales de servicios públicos domiciliarios” contenida en su literal d), la Corte declarará su exequibiliad, por considerar que dentro del supuesto normativo del literal g) se comprenden las empresas mixtas o privadas de servicios públicos, que de esta manera viene a conformar también la Rama Ejecutiva del poder público.</w:t>
      </w:r>
    </w:p>
    <w:p w14:paraId="1A1481C5"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p>
    <w:p w14:paraId="1FC31CF0"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w:t>
      </w:r>
    </w:p>
    <w:p w14:paraId="1B39E9C6"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p>
    <w:p w14:paraId="17CA0874" w14:textId="77777777" w:rsidR="007644EA" w:rsidRPr="004204E3" w:rsidRDefault="007644EA" w:rsidP="006F234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 xml:space="preserve">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w:t>
      </w:r>
      <w:r w:rsidRPr="004204E3">
        <w:rPr>
          <w:rFonts w:ascii="Century Gothic" w:eastAsia="Calibri" w:hAnsi="Century Gothic" w:cs="Arial"/>
          <w:bCs/>
          <w:sz w:val="21"/>
          <w:szCs w:val="21"/>
          <w:lang w:val="es-MX"/>
        </w:rPr>
        <w:lastRenderedPageBreak/>
        <w:t>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4204E3">
        <w:rPr>
          <w:rFonts w:ascii="Century Gothic" w:eastAsia="Calibri" w:hAnsi="Century Gothic" w:cs="Arial"/>
          <w:bCs/>
          <w:sz w:val="21"/>
          <w:szCs w:val="21"/>
          <w:vertAlign w:val="superscript"/>
          <w:lang w:val="es-MX"/>
        </w:rPr>
        <w:footnoteReference w:id="4"/>
      </w:r>
    </w:p>
    <w:p w14:paraId="3CB31478" w14:textId="77777777" w:rsidR="007644EA" w:rsidRPr="004204E3" w:rsidRDefault="007644EA" w:rsidP="00F86D2F">
      <w:pPr>
        <w:spacing w:after="0" w:line="276" w:lineRule="auto"/>
        <w:contextualSpacing/>
        <w:rPr>
          <w:rFonts w:ascii="Century Gothic" w:eastAsia="Calibri" w:hAnsi="Century Gothic" w:cs="Arial"/>
          <w:bCs/>
          <w:lang w:val="es-MX"/>
        </w:rPr>
      </w:pPr>
    </w:p>
    <w:p w14:paraId="3D2520A0" w14:textId="77777777" w:rsidR="007644EA" w:rsidRPr="004204E3" w:rsidRDefault="007644EA" w:rsidP="00F86D2F">
      <w:pPr>
        <w:spacing w:after="0" w:line="276" w:lineRule="auto"/>
        <w:contextualSpacing/>
        <w:jc w:val="both"/>
        <w:rPr>
          <w:rFonts w:ascii="Century Gothic" w:eastAsia="Calibri" w:hAnsi="Century Gothic" w:cs="Arial"/>
          <w:bCs/>
          <w:lang w:val="es-MX"/>
        </w:rPr>
      </w:pPr>
      <w:r w:rsidRPr="004204E3">
        <w:rPr>
          <w:rFonts w:ascii="Century Gothic" w:eastAsia="Calibri" w:hAnsi="Century Gothic" w:cs="Arial"/>
          <w:bCs/>
          <w:lang w:val="es-MX"/>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54617C94" w14:textId="77777777" w:rsidR="007644EA" w:rsidRPr="004204E3" w:rsidRDefault="007644EA" w:rsidP="00F86D2F">
      <w:pPr>
        <w:spacing w:after="0" w:line="276" w:lineRule="auto"/>
        <w:contextualSpacing/>
        <w:rPr>
          <w:rFonts w:ascii="Century Gothic" w:eastAsia="Calibri" w:hAnsi="Century Gothic" w:cs="Arial"/>
          <w:bCs/>
          <w:lang w:val="es-MX"/>
        </w:rPr>
      </w:pPr>
    </w:p>
    <w:p w14:paraId="3AF52D88" w14:textId="77777777" w:rsidR="007644EA" w:rsidRPr="004204E3" w:rsidRDefault="007644EA" w:rsidP="005F3C82">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6AE0863B" w14:textId="77777777" w:rsidR="007644EA" w:rsidRPr="004204E3" w:rsidRDefault="007644EA" w:rsidP="005F3C82">
      <w:pPr>
        <w:spacing w:after="0" w:line="240" w:lineRule="auto"/>
        <w:ind w:left="709" w:right="709"/>
        <w:contextualSpacing/>
        <w:jc w:val="both"/>
        <w:rPr>
          <w:rFonts w:ascii="Century Gothic" w:eastAsia="Calibri" w:hAnsi="Century Gothic" w:cs="Arial"/>
          <w:bCs/>
          <w:sz w:val="21"/>
          <w:szCs w:val="21"/>
          <w:lang w:val="es-MX"/>
        </w:rPr>
      </w:pPr>
    </w:p>
    <w:p w14:paraId="428A7EBE" w14:textId="77777777" w:rsidR="007644EA" w:rsidRPr="004204E3" w:rsidRDefault="007644EA" w:rsidP="005F3C82">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w:t>
      </w:r>
    </w:p>
    <w:p w14:paraId="562D1BDC" w14:textId="77777777" w:rsidR="007644EA" w:rsidRPr="004204E3" w:rsidRDefault="007644EA" w:rsidP="005F3C82">
      <w:pPr>
        <w:spacing w:after="0" w:line="240" w:lineRule="auto"/>
        <w:ind w:left="709" w:right="709"/>
        <w:contextualSpacing/>
        <w:jc w:val="both"/>
        <w:rPr>
          <w:rFonts w:ascii="Century Gothic" w:eastAsia="Calibri" w:hAnsi="Century Gothic" w:cs="Arial"/>
          <w:bCs/>
          <w:sz w:val="21"/>
          <w:szCs w:val="21"/>
          <w:lang w:val="es-MX"/>
        </w:rPr>
      </w:pPr>
    </w:p>
    <w:p w14:paraId="1B92A2C9" w14:textId="77777777" w:rsidR="007644EA" w:rsidRPr="004204E3" w:rsidRDefault="007644EA" w:rsidP="005F3C82">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Pr="004204E3">
        <w:rPr>
          <w:rFonts w:ascii="Century Gothic" w:eastAsia="Calibri" w:hAnsi="Century Gothic" w:cs="Arial"/>
          <w:bCs/>
          <w:sz w:val="21"/>
          <w:szCs w:val="21"/>
          <w:vertAlign w:val="superscript"/>
          <w:lang w:val="es-MX"/>
        </w:rPr>
        <w:footnoteReference w:id="5"/>
      </w:r>
      <w:r w:rsidRPr="004204E3">
        <w:rPr>
          <w:rFonts w:ascii="Century Gothic" w:eastAsia="Calibri" w:hAnsi="Century Gothic" w:cs="Arial"/>
          <w:bCs/>
          <w:sz w:val="21"/>
          <w:szCs w:val="21"/>
          <w:lang w:val="es-MX"/>
        </w:rPr>
        <w:t xml:space="preserve"> </w:t>
      </w:r>
    </w:p>
    <w:p w14:paraId="637BC705" w14:textId="77777777" w:rsidR="007644EA" w:rsidRPr="004204E3" w:rsidRDefault="007644EA" w:rsidP="00F86D2F">
      <w:pPr>
        <w:spacing w:after="0" w:line="276" w:lineRule="auto"/>
        <w:ind w:left="709" w:right="709"/>
        <w:contextualSpacing/>
        <w:jc w:val="both"/>
        <w:rPr>
          <w:rFonts w:ascii="Century Gothic" w:eastAsia="Calibri" w:hAnsi="Century Gothic" w:cs="Arial"/>
          <w:bCs/>
          <w:lang w:val="es-MX"/>
        </w:rPr>
      </w:pPr>
    </w:p>
    <w:p w14:paraId="1E8EE808" w14:textId="77777777" w:rsidR="007644EA" w:rsidRPr="004204E3" w:rsidRDefault="007644EA" w:rsidP="00F86D2F">
      <w:pPr>
        <w:spacing w:after="0" w:line="276" w:lineRule="auto"/>
        <w:ind w:firstLine="709"/>
        <w:contextualSpacing/>
        <w:jc w:val="both"/>
        <w:rPr>
          <w:rFonts w:ascii="Century Gothic" w:eastAsia="Calibri" w:hAnsi="Century Gothic" w:cs="Arial"/>
          <w:bCs/>
          <w:lang w:val="es-MX"/>
        </w:rPr>
      </w:pPr>
      <w:r w:rsidRPr="004204E3">
        <w:rPr>
          <w:rFonts w:ascii="Century Gothic" w:eastAsia="Calibri" w:hAnsi="Century Gothic" w:cs="Arial"/>
          <w:bCs/>
          <w:lang w:val="es-MX"/>
        </w:rPr>
        <w:lastRenderedPageBreak/>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 Una vez expuesta la naturaleza jurídica de las empresas prestadoras de servicios públicos domiciliarios, teniendo en cuenta el objeto de la consulta, a continuación, se procede a explicar el régimen contractual que les aplica. </w:t>
      </w:r>
    </w:p>
    <w:p w14:paraId="6B682CE2" w14:textId="77777777" w:rsidR="007644EA" w:rsidRPr="004204E3" w:rsidRDefault="007644EA" w:rsidP="00F86D2F">
      <w:pPr>
        <w:spacing w:after="0" w:line="276" w:lineRule="auto"/>
        <w:contextualSpacing/>
        <w:jc w:val="both"/>
        <w:rPr>
          <w:rFonts w:ascii="Century Gothic" w:eastAsia="Calibri" w:hAnsi="Century Gothic" w:cs="Arial"/>
          <w:bCs/>
          <w:lang w:val="es-MX"/>
        </w:rPr>
      </w:pPr>
    </w:p>
    <w:p w14:paraId="22100D6F" w14:textId="77777777" w:rsidR="006F0D8F" w:rsidRPr="004204E3" w:rsidRDefault="006F0D8F" w:rsidP="00F86D2F">
      <w:pPr>
        <w:spacing w:after="0" w:line="276" w:lineRule="auto"/>
        <w:contextualSpacing/>
        <w:jc w:val="both"/>
        <w:rPr>
          <w:rFonts w:ascii="Century Gothic" w:eastAsia="Calibri" w:hAnsi="Century Gothic" w:cs="Arial"/>
          <w:b/>
          <w:lang w:val="es-MX"/>
        </w:rPr>
      </w:pPr>
      <w:r w:rsidRPr="004204E3">
        <w:rPr>
          <w:rFonts w:ascii="Century Gothic" w:eastAsia="Calibri" w:hAnsi="Century Gothic" w:cs="Arial"/>
          <w:b/>
          <w:lang w:val="es-MX"/>
        </w:rPr>
        <w:t>2.2. Régimen contractual de las empresas prestadoras de servicios públicos domiciliarios. Situaciones de aplicabilidad de la Ley 80 de 1993</w:t>
      </w:r>
    </w:p>
    <w:p w14:paraId="5CE025F4" w14:textId="77777777" w:rsidR="006F0D8F" w:rsidRPr="004204E3" w:rsidRDefault="006F0D8F" w:rsidP="00F86D2F">
      <w:pPr>
        <w:spacing w:after="0" w:line="276" w:lineRule="auto"/>
        <w:contextualSpacing/>
        <w:jc w:val="both"/>
        <w:rPr>
          <w:rFonts w:ascii="Century Gothic" w:eastAsia="Calibri" w:hAnsi="Century Gothic" w:cs="Arial"/>
          <w:bCs/>
          <w:lang w:val="es-MX"/>
        </w:rPr>
      </w:pPr>
    </w:p>
    <w:p w14:paraId="1E1CD82F" w14:textId="77777777" w:rsidR="006F0D8F" w:rsidRPr="004204E3" w:rsidRDefault="006F0D8F" w:rsidP="00F86D2F">
      <w:pPr>
        <w:spacing w:after="0" w:line="276" w:lineRule="auto"/>
        <w:contextualSpacing/>
        <w:jc w:val="both"/>
        <w:rPr>
          <w:rFonts w:ascii="Century Gothic" w:eastAsia="Calibri" w:hAnsi="Century Gothic" w:cs="Arial"/>
          <w:bCs/>
          <w:lang w:val="es-MX"/>
        </w:rPr>
      </w:pPr>
      <w:r w:rsidRPr="004204E3">
        <w:rPr>
          <w:rFonts w:ascii="Century Gothic" w:eastAsia="Calibri" w:hAnsi="Century Gothic" w:cs="Arial"/>
          <w:bCs/>
          <w:lang w:val="es-MX"/>
        </w:rPr>
        <w:t>La Constitución Política de 1991 incorporó un modelo de liberación para prestar servicios públicos domiciliarios, con arreglo al cual estos pueden ofrecerse en el mercado, en un esquema de libre competencia, directamente por el Estado, por particulares o por comunidades organizadas.</w:t>
      </w:r>
      <w:r w:rsidRPr="004204E3">
        <w:rPr>
          <w:rFonts w:ascii="Century Gothic" w:eastAsia="Calibri" w:hAnsi="Century Gothic" w:cs="Arial"/>
          <w:bCs/>
          <w:vertAlign w:val="superscript"/>
          <w:lang w:val="es-MX"/>
        </w:rPr>
        <w:footnoteReference w:id="6"/>
      </w:r>
      <w:r w:rsidRPr="004204E3">
        <w:rPr>
          <w:rFonts w:ascii="Century Gothic" w:eastAsia="Calibri" w:hAnsi="Century Gothic" w:cs="Arial"/>
          <w:bCs/>
          <w:lang w:val="es-MX"/>
        </w:rPr>
        <w:t xml:space="preserve"> En tal sentido, el artículo 365 de la Constitución dispone lo siguiente:</w:t>
      </w:r>
    </w:p>
    <w:p w14:paraId="539E550B" w14:textId="77777777" w:rsidR="006F0D8F" w:rsidRPr="004204E3" w:rsidRDefault="006F0D8F" w:rsidP="00F86D2F">
      <w:pPr>
        <w:spacing w:after="0" w:line="276" w:lineRule="auto"/>
        <w:contextualSpacing/>
        <w:jc w:val="both"/>
        <w:rPr>
          <w:rFonts w:ascii="Century Gothic" w:eastAsia="Calibri" w:hAnsi="Century Gothic" w:cs="Arial"/>
          <w:bCs/>
          <w:lang w:val="es-MX"/>
        </w:rPr>
      </w:pPr>
    </w:p>
    <w:p w14:paraId="7C317C41" w14:textId="77777777" w:rsidR="006F0D8F" w:rsidRPr="004204E3" w:rsidRDefault="006F0D8F" w:rsidP="00882473">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“Los servicios públicos son inherentes a la finalidad social del Estado. Es deber del Estado asegurar su prestación eficiente a todos los habitantes del territorio nacional.</w:t>
      </w:r>
    </w:p>
    <w:p w14:paraId="1178D415" w14:textId="77777777" w:rsidR="006F0D8F" w:rsidRPr="004204E3" w:rsidRDefault="006F0D8F" w:rsidP="00882473">
      <w:pPr>
        <w:spacing w:after="0" w:line="240" w:lineRule="auto"/>
        <w:ind w:left="709" w:right="709"/>
        <w:contextualSpacing/>
        <w:jc w:val="both"/>
        <w:rPr>
          <w:rFonts w:ascii="Century Gothic" w:eastAsia="Calibri" w:hAnsi="Century Gothic" w:cs="Arial"/>
          <w:bCs/>
          <w:sz w:val="21"/>
          <w:szCs w:val="21"/>
          <w:lang w:val="es-MX"/>
        </w:rPr>
      </w:pPr>
    </w:p>
    <w:p w14:paraId="636CF6E1" w14:textId="77777777" w:rsidR="006F0D8F" w:rsidRPr="004204E3" w:rsidRDefault="006F0D8F" w:rsidP="00882473">
      <w:pPr>
        <w:spacing w:after="0" w:line="240" w:lineRule="auto"/>
        <w:ind w:left="709" w:right="709"/>
        <w:contextualSpacing/>
        <w:jc w:val="both"/>
        <w:rPr>
          <w:rFonts w:ascii="Century Gothic" w:eastAsia="Calibri" w:hAnsi="Century Gothic" w:cs="Arial"/>
          <w:bCs/>
          <w:lang w:val="es-MX"/>
        </w:rPr>
      </w:pPr>
      <w:r w:rsidRPr="004204E3">
        <w:rPr>
          <w:rFonts w:ascii="Century Gothic" w:eastAsia="Calibri" w:hAnsi="Century Gothic" w:cs="Arial"/>
          <w:bCs/>
          <w:sz w:val="21"/>
          <w:szCs w:val="21"/>
          <w:lang w:val="es-MX"/>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6647F9FE" w14:textId="77777777" w:rsidR="006F0D8F" w:rsidRPr="004204E3" w:rsidRDefault="006F0D8F" w:rsidP="00F86D2F">
      <w:pPr>
        <w:spacing w:after="0" w:line="276" w:lineRule="auto"/>
        <w:ind w:left="709" w:right="709"/>
        <w:jc w:val="both"/>
        <w:rPr>
          <w:rFonts w:ascii="Century Gothic" w:eastAsia="Calibri" w:hAnsi="Century Gothic" w:cs="Arial"/>
          <w:bCs/>
          <w:lang w:val="es-MX"/>
        </w:rPr>
      </w:pPr>
    </w:p>
    <w:p w14:paraId="724E6075" w14:textId="77777777" w:rsidR="006F0D8F" w:rsidRPr="004204E3" w:rsidRDefault="006F0D8F" w:rsidP="00F86D2F">
      <w:pPr>
        <w:spacing w:after="120" w:line="276" w:lineRule="auto"/>
        <w:ind w:firstLine="708"/>
        <w:jc w:val="both"/>
        <w:rPr>
          <w:rFonts w:ascii="Century Gothic" w:eastAsia="Calibri" w:hAnsi="Century Gothic" w:cs="Arial"/>
          <w:bCs/>
          <w:lang w:val="es-MX"/>
        </w:rPr>
      </w:pPr>
      <w:r w:rsidRPr="004204E3">
        <w:rPr>
          <w:rFonts w:ascii="Century Gothic" w:eastAsia="Calibri" w:hAnsi="Century Gothic" w:cs="Arial"/>
          <w:bCs/>
          <w:lang w:val="es-MX"/>
        </w:rPr>
        <w:t xml:space="preserve">Con base en este presupuesto constitucional de liberación de los servicios públicos domiciliarios, el legislador expidió la Ley 142 de 1994, mediante la cual se establece el régimen de los servicios públicos domiciliarios. El artículo 15 </w:t>
      </w:r>
      <w:r w:rsidRPr="004204E3">
        <w:rPr>
          <w:rFonts w:ascii="Century Gothic" w:eastAsia="Calibri" w:hAnsi="Century Gothic" w:cs="Arial"/>
          <w:bCs/>
          <w:i/>
          <w:iCs/>
          <w:lang w:val="es-MX"/>
        </w:rPr>
        <w:t>Ibidem</w:t>
      </w:r>
      <w:r w:rsidRPr="004204E3">
        <w:rPr>
          <w:rFonts w:ascii="Century Gothic" w:eastAsia="Calibri" w:hAnsi="Century Gothic" w:cs="Arial"/>
          <w:bCs/>
          <w:lang w:val="es-MX"/>
        </w:rPr>
        <w:t xml:space="preserve">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4204E3">
        <w:rPr>
          <w:rFonts w:ascii="Century Gothic" w:eastAsia="Calibri" w:hAnsi="Century Gothic" w:cs="Arial"/>
          <w:bCs/>
          <w:vertAlign w:val="superscript"/>
          <w:lang w:val="es-MX"/>
        </w:rPr>
        <w:footnoteReference w:id="7"/>
      </w:r>
      <w:r w:rsidRPr="004204E3">
        <w:rPr>
          <w:rFonts w:ascii="Century Gothic" w:eastAsia="Calibri" w:hAnsi="Century Gothic" w:cs="Arial"/>
          <w:bCs/>
          <w:lang w:val="es-MX"/>
        </w:rPr>
        <w:t>.</w:t>
      </w:r>
    </w:p>
    <w:p w14:paraId="43D76AE1" w14:textId="5C4BC3DD" w:rsidR="006F0D8F" w:rsidRPr="004204E3" w:rsidRDefault="006F0D8F" w:rsidP="00F86D2F">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Ahora bien, </w:t>
      </w:r>
      <w:bookmarkStart w:id="5" w:name="_Hlk120622020"/>
      <w:r w:rsidRPr="004204E3">
        <w:rPr>
          <w:rFonts w:ascii="Century Gothic" w:eastAsia="Calibri" w:hAnsi="Century Gothic" w:cs="Arial"/>
          <w:bCs/>
          <w:lang w:val="es-MX"/>
        </w:rPr>
        <w:t xml:space="preserve">en lo que atañe específicamente al régimen de contratación, el artículo 31 de la le Ley 142 de 1994, modificado por el artículo 3 de la Ley 689 de 2001, dispone que los contratos que celebren las </w:t>
      </w:r>
      <w:r w:rsidR="000152A2" w:rsidRPr="004204E3">
        <w:rPr>
          <w:rFonts w:ascii="Century Gothic" w:eastAsia="Calibri" w:hAnsi="Century Gothic" w:cs="Arial"/>
          <w:bCs/>
          <w:lang w:val="es-MX"/>
        </w:rPr>
        <w:t>e</w:t>
      </w:r>
      <w:r w:rsidRPr="004204E3">
        <w:rPr>
          <w:rFonts w:ascii="Century Gothic" w:eastAsia="Calibri" w:hAnsi="Century Gothic" w:cs="Arial"/>
          <w:bCs/>
          <w:lang w:val="es-MX"/>
        </w:rPr>
        <w:t xml:space="preserve">ntidades estatales que prestan los servicios públicos domiciliarios “no estarán sujetos a las disposiciones del Estatuto General de Contratación de la Administración Pública, salvo en lo que la presente ley disponga otra cosa”. Por su parte, el artículo 32 de la Ley 142 de 1994, consagra el régimen de derecho privado para las empresas de servicios públicos </w:t>
      </w:r>
      <w:r w:rsidRPr="004204E3">
        <w:rPr>
          <w:rFonts w:ascii="Century Gothic" w:eastAsia="Calibri" w:hAnsi="Century Gothic" w:cs="Arial"/>
          <w:bCs/>
          <w:lang w:val="es-MX"/>
        </w:rPr>
        <w:lastRenderedPageBreak/>
        <w:t>domiciliarios, indicando que sus actos se rigen por los principios y reglas aplicables a los particulares</w:t>
      </w:r>
      <w:r w:rsidRPr="004204E3">
        <w:rPr>
          <w:rFonts w:ascii="Century Gothic" w:eastAsia="Calibri" w:hAnsi="Century Gothic" w:cs="Arial"/>
          <w:bCs/>
          <w:vertAlign w:val="superscript"/>
          <w:lang w:val="es-MX"/>
        </w:rPr>
        <w:footnoteReference w:id="8"/>
      </w:r>
      <w:r w:rsidRPr="004204E3">
        <w:rPr>
          <w:rFonts w:ascii="Century Gothic" w:eastAsia="Calibri" w:hAnsi="Century Gothic" w:cs="Arial"/>
          <w:bCs/>
          <w:lang w:val="es-MX"/>
        </w:rPr>
        <w:t>.</w:t>
      </w:r>
      <w:bookmarkEnd w:id="5"/>
    </w:p>
    <w:p w14:paraId="3A2C15AD" w14:textId="77777777" w:rsidR="006F0D8F" w:rsidRPr="004204E3" w:rsidRDefault="006F0D8F" w:rsidP="00F86D2F">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En consecuencia, </w:t>
      </w:r>
      <w:bookmarkStart w:id="6" w:name="_Hlk120622006"/>
      <w:r w:rsidRPr="004204E3">
        <w:rPr>
          <w:rFonts w:ascii="Century Gothic" w:eastAsia="Calibri" w:hAnsi="Century Gothic" w:cs="Arial"/>
          <w:bCs/>
          <w:lang w:val="es-MX"/>
        </w:rPr>
        <w:t>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-en adelante EGCAP-</w:t>
      </w:r>
      <w:r w:rsidRPr="004204E3">
        <w:rPr>
          <w:rFonts w:ascii="Century Gothic" w:eastAsia="Calibri" w:hAnsi="Century Gothic" w:cs="Arial"/>
          <w:bCs/>
          <w:vertAlign w:val="superscript"/>
          <w:lang w:val="es-MX"/>
        </w:rPr>
        <w:footnoteReference w:id="9"/>
      </w:r>
      <w:r w:rsidRPr="004204E3">
        <w:rPr>
          <w:rFonts w:ascii="Century Gothic" w:eastAsia="Calibri" w:hAnsi="Century Gothic" w:cs="Arial"/>
          <w:bCs/>
          <w:lang w:val="es-MX"/>
        </w:rPr>
        <w:t>. En otras palabras, dichas empresas se sujetan, en su actividad contractual, a las disposiciones del derecho privado, salvo en aquellos casos en los que la Constitución, la Ley 142 de 1994 u otras leyes especiales, sometan tal conducta al EGCAP, es decir, a la Ley 80 de 1993, Ley 1150 de 2007 y demás normas complementarias.</w:t>
      </w:r>
    </w:p>
    <w:bookmarkEnd w:id="6"/>
    <w:p w14:paraId="484862D1" w14:textId="61A3DBCE" w:rsidR="006F0D8F" w:rsidRPr="004204E3" w:rsidRDefault="006F0D8F" w:rsidP="00F86D2F">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Lo anterior no significa que la actividad contractual de las empresas prestadoras de servicios públicos domiciliarios se rija por un </w:t>
      </w:r>
      <w:r w:rsidR="00E60ACC" w:rsidRPr="004204E3">
        <w:rPr>
          <w:rFonts w:ascii="Century Gothic" w:eastAsia="Calibri" w:hAnsi="Century Gothic" w:cs="Arial"/>
          <w:bCs/>
          <w:lang w:val="es-MX"/>
        </w:rPr>
        <w:t>“</w:t>
      </w:r>
      <w:r w:rsidRPr="004204E3">
        <w:rPr>
          <w:rFonts w:ascii="Century Gothic" w:eastAsia="Calibri" w:hAnsi="Century Gothic" w:cs="Arial"/>
          <w:bCs/>
          <w:lang w:val="es-MX"/>
        </w:rPr>
        <w:t>derecho privado puro</w:t>
      </w:r>
      <w:r w:rsidR="00E60ACC" w:rsidRPr="004204E3">
        <w:rPr>
          <w:rFonts w:ascii="Century Gothic" w:eastAsia="Calibri" w:hAnsi="Century Gothic" w:cs="Arial"/>
          <w:bCs/>
          <w:lang w:val="es-MX"/>
        </w:rPr>
        <w:t>”</w:t>
      </w:r>
      <w:r w:rsidRPr="004204E3">
        <w:rPr>
          <w:rFonts w:ascii="Century Gothic" w:eastAsia="Calibri" w:hAnsi="Century Gothic" w:cs="Arial"/>
          <w:bCs/>
          <w:lang w:val="es-MX"/>
        </w:rPr>
        <w:t>, pues este se encuentra irrigado, entre otras cosas, por los principios de la función administrativa y de la gestión fiscal, previstos en los artículos 209 y 267 de la Constitución, toda vez que así lo dispone el artículo 13 de la Ley 1150 de 2007</w:t>
      </w:r>
      <w:r w:rsidRPr="004204E3">
        <w:rPr>
          <w:rFonts w:ascii="Century Gothic" w:eastAsia="Calibri" w:hAnsi="Century Gothic" w:cs="Arial"/>
          <w:bCs/>
          <w:lang w:val="es-MX"/>
        </w:rPr>
        <w:footnoteReference w:id="10"/>
      </w:r>
      <w:r w:rsidRPr="004204E3">
        <w:rPr>
          <w:rFonts w:ascii="Century Gothic" w:eastAsia="Calibri" w:hAnsi="Century Gothic" w:cs="Arial"/>
          <w:bCs/>
          <w:lang w:val="es-MX"/>
        </w:rPr>
        <w:t>.</w:t>
      </w:r>
    </w:p>
    <w:p w14:paraId="1C03C505" w14:textId="77777777" w:rsidR="006F0D8F" w:rsidRPr="004204E3" w:rsidRDefault="006F0D8F" w:rsidP="00F86D2F">
      <w:pPr>
        <w:spacing w:before="120" w:after="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lastRenderedPageBreak/>
        <w:t>Ahora bien, pese a que el artículo 31 de la Ley 142 de 1994, modificado por el artículo 3 de la Ley 689 de 2001, dispuso que los contratos celebrados por las entidades prestadoras de servicios públicos no se regirían por las disposiciones contenidas en el EGCAP, dicha norma estableció como excepción a esta regla general, las situaciones en las que estas entidades deberán aplicarlo, así:</w:t>
      </w:r>
    </w:p>
    <w:p w14:paraId="57AA032B" w14:textId="77777777" w:rsidR="006F0D8F" w:rsidRPr="004204E3" w:rsidRDefault="006F0D8F" w:rsidP="00EA7D9A">
      <w:pPr>
        <w:spacing w:after="0" w:line="240" w:lineRule="auto"/>
        <w:contextualSpacing/>
        <w:jc w:val="both"/>
        <w:rPr>
          <w:rFonts w:ascii="Century Gothic" w:eastAsia="Calibri" w:hAnsi="Century Gothic" w:cs="Arial"/>
          <w:bCs/>
          <w:lang w:val="es-MX"/>
        </w:rPr>
      </w:pPr>
    </w:p>
    <w:p w14:paraId="304864DC"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 xml:space="preserve">“Artículo 31. Régimen de la Contratación. </w:t>
      </w:r>
    </w:p>
    <w:p w14:paraId="64521666"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p>
    <w:p w14:paraId="3C323606"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w:t>
      </w:r>
    </w:p>
    <w:p w14:paraId="6D4F5E64"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p>
    <w:p w14:paraId="18E516D8"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w:t>
      </w:r>
      <w:r w:rsidRPr="004204E3">
        <w:rPr>
          <w:rFonts w:ascii="Century Gothic" w:eastAsia="Calibri" w:hAnsi="Century Gothic" w:cs="Arial"/>
          <w:bCs/>
          <w:i/>
          <w:iCs/>
          <w:sz w:val="21"/>
          <w:szCs w:val="21"/>
          <w:lang w:val="es-MX"/>
        </w:rPr>
        <w:t>Cuando la inclusión sea forzosa, todo lo relativo a tales cláusulas se regirá, en cuanto sea pertinente, por lo dispuesto en la Ley 80 de 1993</w:t>
      </w:r>
      <w:r w:rsidRPr="004204E3">
        <w:rPr>
          <w:rFonts w:ascii="Century Gothic" w:eastAsia="Calibri" w:hAnsi="Century Gothic" w:cs="Arial"/>
          <w:b/>
          <w:i/>
          <w:iCs/>
          <w:sz w:val="21"/>
          <w:szCs w:val="21"/>
          <w:lang w:val="es-MX"/>
        </w:rPr>
        <w:t>,</w:t>
      </w:r>
      <w:r w:rsidRPr="004204E3">
        <w:rPr>
          <w:rFonts w:ascii="Century Gothic" w:eastAsia="Calibri" w:hAnsi="Century Gothic" w:cs="Arial"/>
          <w:bCs/>
          <w:sz w:val="21"/>
          <w:szCs w:val="21"/>
          <w:lang w:val="es-MX"/>
        </w:rPr>
        <w:t xml:space="preserve">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27AA2154"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p>
    <w:p w14:paraId="44CD6A95" w14:textId="77777777" w:rsidR="006F0D8F" w:rsidRPr="004204E3" w:rsidRDefault="006F0D8F" w:rsidP="00EA7D9A">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 [Énfasis fuera de texto]</w:t>
      </w:r>
    </w:p>
    <w:p w14:paraId="177EB285" w14:textId="77777777" w:rsidR="006F0D8F" w:rsidRPr="004204E3" w:rsidRDefault="006F0D8F" w:rsidP="00F86D2F">
      <w:pPr>
        <w:spacing w:after="0" w:line="276" w:lineRule="auto"/>
        <w:contextualSpacing/>
        <w:jc w:val="both"/>
        <w:rPr>
          <w:rFonts w:ascii="Century Gothic" w:eastAsia="Calibri" w:hAnsi="Century Gothic" w:cs="Arial"/>
          <w:bCs/>
          <w:lang w:val="es-MX"/>
        </w:rPr>
      </w:pPr>
    </w:p>
    <w:p w14:paraId="72934A5E" w14:textId="77777777" w:rsidR="006F0D8F" w:rsidRPr="004204E3" w:rsidRDefault="006F0D8F" w:rsidP="00F86D2F">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De lo anterior se colige </w:t>
      </w:r>
      <w:bookmarkStart w:id="7" w:name="_Hlk120625815"/>
      <w:r w:rsidRPr="004204E3">
        <w:rPr>
          <w:rFonts w:ascii="Century Gothic" w:eastAsia="Calibri" w:hAnsi="Century Gothic" w:cs="Arial"/>
          <w:bCs/>
          <w:lang w:val="es-MX"/>
        </w:rPr>
        <w:t>que, a pesar de que las empresas prestadoras de servicios públicos domiciliarios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EGCAP –Ley 80 de 1993–, la Ley 1150 de 2007 y demás normas complementarias, así como en las situaciones en las que la Ley 142 de 1994 u otras leyes especiales lo dispongan.</w:t>
      </w:r>
      <w:bookmarkEnd w:id="7"/>
    </w:p>
    <w:p w14:paraId="1798DEE1" w14:textId="77777777" w:rsidR="006F0D8F" w:rsidRPr="004204E3" w:rsidRDefault="006F0D8F" w:rsidP="00F86D2F">
      <w:pPr>
        <w:spacing w:after="0" w:line="276" w:lineRule="auto"/>
        <w:ind w:firstLine="709"/>
        <w:contextualSpacing/>
        <w:jc w:val="both"/>
        <w:rPr>
          <w:rFonts w:ascii="Century Gothic" w:eastAsia="Calibri" w:hAnsi="Century Gothic" w:cs="Arial"/>
          <w:bCs/>
          <w:lang w:val="es-MX"/>
        </w:rPr>
      </w:pPr>
      <w:r w:rsidRPr="004204E3">
        <w:rPr>
          <w:rFonts w:ascii="Century Gothic" w:eastAsia="Calibri" w:hAnsi="Century Gothic" w:cs="Arial"/>
          <w:bCs/>
          <w:lang w:val="es-MX"/>
        </w:rPr>
        <w:t xml:space="preserve">Teniendo en cuenta lo expuesto, a continuación, se procede a analizar la obligación de las empresas prestadoras de servicios públicos domiciliarios de publicar todo lo relacionado con su actividad contractual en la plataforma SECOP II. </w:t>
      </w:r>
    </w:p>
    <w:p w14:paraId="408319B0" w14:textId="77777777" w:rsidR="00246CE2" w:rsidRPr="004204E3" w:rsidRDefault="00246CE2" w:rsidP="00246CE2">
      <w:pPr>
        <w:spacing w:after="0" w:line="276" w:lineRule="auto"/>
        <w:contextualSpacing/>
        <w:jc w:val="both"/>
        <w:rPr>
          <w:rFonts w:ascii="Century Gothic" w:eastAsia="Calibri" w:hAnsi="Century Gothic" w:cs="Arial"/>
          <w:bCs/>
          <w:lang w:val="es-MX"/>
        </w:rPr>
      </w:pPr>
    </w:p>
    <w:p w14:paraId="58BDDE94" w14:textId="25BC78CF" w:rsidR="00246CE2" w:rsidRPr="004204E3" w:rsidRDefault="00246CE2" w:rsidP="00246CE2">
      <w:pPr>
        <w:spacing w:after="0" w:line="276" w:lineRule="auto"/>
        <w:contextualSpacing/>
        <w:jc w:val="both"/>
        <w:rPr>
          <w:rFonts w:ascii="Century Gothic" w:eastAsia="Calibri" w:hAnsi="Century Gothic" w:cs="Arial"/>
          <w:b/>
          <w:lang w:val="es-MX"/>
        </w:rPr>
      </w:pPr>
      <w:r w:rsidRPr="004204E3">
        <w:rPr>
          <w:rFonts w:ascii="Century Gothic" w:eastAsia="Calibri" w:hAnsi="Century Gothic" w:cs="Arial"/>
          <w:b/>
          <w:lang w:val="es-MX"/>
        </w:rPr>
        <w:lastRenderedPageBreak/>
        <w:t xml:space="preserve">2.3. Deber de las </w:t>
      </w:r>
      <w:r w:rsidR="005C6EBF" w:rsidRPr="004204E3">
        <w:rPr>
          <w:rFonts w:ascii="Century Gothic" w:eastAsia="Calibri" w:hAnsi="Century Gothic" w:cs="Arial"/>
          <w:b/>
          <w:lang w:val="es-MX"/>
        </w:rPr>
        <w:t>E</w:t>
      </w:r>
      <w:r w:rsidRPr="004204E3">
        <w:rPr>
          <w:rFonts w:ascii="Century Gothic" w:eastAsia="Calibri" w:hAnsi="Century Gothic" w:cs="Arial"/>
          <w:b/>
          <w:lang w:val="es-MX"/>
        </w:rPr>
        <w:t xml:space="preserve">ntidades </w:t>
      </w:r>
      <w:r w:rsidR="005C6EBF" w:rsidRPr="004204E3">
        <w:rPr>
          <w:rFonts w:ascii="Century Gothic" w:eastAsia="Calibri" w:hAnsi="Century Gothic" w:cs="Arial"/>
          <w:b/>
          <w:lang w:val="es-MX"/>
        </w:rPr>
        <w:t>E</w:t>
      </w:r>
      <w:r w:rsidRPr="004204E3">
        <w:rPr>
          <w:rFonts w:ascii="Century Gothic" w:eastAsia="Calibri" w:hAnsi="Century Gothic" w:cs="Arial"/>
          <w:b/>
          <w:lang w:val="es-MX"/>
        </w:rPr>
        <w:t>statales, exceptuadas del Estatuto General de Contratación de la Administración Pública, de publicar los documentos relacionados con su actividad contractual en el SECOP II. Modificación introducida por el artículo 53 de la Ley 2195 de 2022</w:t>
      </w:r>
    </w:p>
    <w:p w14:paraId="0710CA3B" w14:textId="77777777" w:rsidR="00246CE2" w:rsidRPr="004204E3" w:rsidRDefault="00246CE2" w:rsidP="00246CE2">
      <w:pPr>
        <w:spacing w:after="0" w:line="276" w:lineRule="auto"/>
        <w:contextualSpacing/>
        <w:jc w:val="both"/>
        <w:rPr>
          <w:rFonts w:ascii="Century Gothic" w:eastAsia="Calibri" w:hAnsi="Century Gothic" w:cs="Arial"/>
          <w:bCs/>
          <w:lang w:val="es-MX"/>
        </w:rPr>
      </w:pPr>
    </w:p>
    <w:p w14:paraId="2A2AF394" w14:textId="77777777" w:rsidR="00246CE2" w:rsidRPr="004204E3" w:rsidRDefault="00246CE2" w:rsidP="00246CE2">
      <w:pPr>
        <w:spacing w:after="0" w:line="276" w:lineRule="auto"/>
        <w:contextualSpacing/>
        <w:jc w:val="both"/>
        <w:rPr>
          <w:rFonts w:ascii="Century Gothic" w:eastAsia="Calibri" w:hAnsi="Century Gothic" w:cs="Arial"/>
          <w:bCs/>
          <w:lang w:val="es-MX"/>
        </w:rPr>
      </w:pPr>
      <w:r w:rsidRPr="004204E3">
        <w:rPr>
          <w:rFonts w:ascii="Century Gothic" w:eastAsia="Calibri" w:hAnsi="Century Gothic" w:cs="Arial"/>
          <w:bCs/>
          <w:lang w:val="es-MX"/>
        </w:rPr>
        <w:t xml:space="preserve">Uno de los postulados más importantes de un Estado Social y Democrático de Derecho es el </w:t>
      </w:r>
      <w:r w:rsidRPr="004204E3">
        <w:rPr>
          <w:rFonts w:ascii="Century Gothic" w:eastAsia="Calibri" w:hAnsi="Century Gothic" w:cs="Arial"/>
          <w:bCs/>
          <w:i/>
          <w:iCs/>
          <w:lang w:val="es-MX"/>
        </w:rPr>
        <w:t>principio de publicidad</w:t>
      </w:r>
      <w:r w:rsidRPr="004204E3">
        <w:rPr>
          <w:rFonts w:ascii="Century Gothic" w:eastAsia="Calibri" w:hAnsi="Century Gothic" w:cs="Arial"/>
          <w:bCs/>
          <w:lang w:val="es-MX"/>
        </w:rPr>
        <w:t>, pues este permite que las actuaciones de las autoridades gocen de visibilidad.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4CCF4CCE" w14:textId="77777777" w:rsidR="00246CE2" w:rsidRPr="004204E3" w:rsidRDefault="00246CE2" w:rsidP="00246CE2">
      <w:pPr>
        <w:spacing w:after="0" w:line="276" w:lineRule="auto"/>
        <w:ind w:firstLine="709"/>
        <w:contextualSpacing/>
        <w:jc w:val="both"/>
        <w:rPr>
          <w:rFonts w:ascii="Century Gothic" w:eastAsia="Calibri" w:hAnsi="Century Gothic" w:cs="Arial"/>
          <w:bCs/>
          <w:lang w:val="es-MX"/>
        </w:rPr>
      </w:pPr>
    </w:p>
    <w:p w14:paraId="47C26516" w14:textId="77777777" w:rsidR="00246CE2" w:rsidRPr="004204E3" w:rsidRDefault="00246CE2" w:rsidP="00A50445">
      <w:pPr>
        <w:tabs>
          <w:tab w:val="left" w:pos="3885"/>
        </w:tabs>
        <w:spacing w:after="0" w:line="240" w:lineRule="auto"/>
        <w:ind w:left="709" w:right="709"/>
        <w:contextualSpacing/>
        <w:jc w:val="both"/>
        <w:rPr>
          <w:rFonts w:ascii="Century Gothic" w:eastAsia="Calibri" w:hAnsi="Century Gothic" w:cs="Arial"/>
          <w:bCs/>
          <w:sz w:val="21"/>
          <w:szCs w:val="21"/>
          <w:lang w:val="es-MX"/>
        </w:rPr>
      </w:pPr>
      <m:oMath>
        <m:r>
          <m:rPr>
            <m:sty m:val="p"/>
          </m:rPr>
          <w:rPr>
            <w:rFonts w:ascii="Cambria Math" w:eastAsia="Calibri" w:hAnsi="Cambria Math" w:cs="Arial"/>
            <w:sz w:val="21"/>
            <w:szCs w:val="21"/>
            <w:lang w:val="es-MX"/>
          </w:rPr>
          <m:t>"</m:t>
        </m:r>
      </m:oMath>
      <w:r w:rsidRPr="004204E3">
        <w:rPr>
          <w:rFonts w:ascii="Century Gothic" w:eastAsia="Calibri" w:hAnsi="Century Gothic" w:cs="Arial"/>
          <w:bCs/>
          <w:sz w:val="21"/>
          <w:szCs w:val="21"/>
          <w:lang w:val="es-MX"/>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7ACC633" w14:textId="77777777" w:rsidR="00246CE2" w:rsidRPr="004204E3" w:rsidRDefault="00246CE2" w:rsidP="00A50445">
      <w:pPr>
        <w:tabs>
          <w:tab w:val="left" w:pos="3885"/>
        </w:tabs>
        <w:spacing w:after="0" w:line="240" w:lineRule="auto"/>
        <w:ind w:left="709" w:right="709"/>
        <w:contextualSpacing/>
        <w:jc w:val="both"/>
        <w:rPr>
          <w:rFonts w:ascii="Century Gothic" w:eastAsia="Calibri" w:hAnsi="Century Gothic" w:cs="Arial"/>
          <w:bCs/>
          <w:sz w:val="21"/>
          <w:szCs w:val="21"/>
          <w:lang w:val="es-MX"/>
        </w:rPr>
      </w:pPr>
    </w:p>
    <w:p w14:paraId="0A3C57C4" w14:textId="77777777" w:rsidR="00246CE2" w:rsidRPr="004204E3" w:rsidRDefault="00246CE2" w:rsidP="00A50445">
      <w:pPr>
        <w:tabs>
          <w:tab w:val="left" w:pos="3885"/>
          <w:tab w:val="left" w:pos="8222"/>
        </w:tabs>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4204E3">
        <w:rPr>
          <w:rFonts w:ascii="Century Gothic" w:eastAsia="Calibri" w:hAnsi="Century Gothic" w:cs="Arial"/>
          <w:bCs/>
          <w:sz w:val="21"/>
          <w:szCs w:val="21"/>
          <w:vertAlign w:val="superscript"/>
          <w:lang w:val="es-MX"/>
        </w:rPr>
        <w:footnoteReference w:id="11"/>
      </w:r>
    </w:p>
    <w:p w14:paraId="47FFA762" w14:textId="77777777" w:rsidR="00246CE2" w:rsidRPr="004204E3" w:rsidRDefault="00246CE2" w:rsidP="00246CE2">
      <w:pPr>
        <w:spacing w:after="0" w:line="276" w:lineRule="auto"/>
        <w:ind w:firstLine="709"/>
        <w:contextualSpacing/>
        <w:jc w:val="both"/>
        <w:rPr>
          <w:rFonts w:ascii="Century Gothic" w:eastAsia="Calibri" w:hAnsi="Century Gothic" w:cs="Arial"/>
          <w:bCs/>
          <w:lang w:val="es-MX"/>
        </w:rPr>
      </w:pPr>
    </w:p>
    <w:p w14:paraId="35C548BF" w14:textId="77777777" w:rsidR="00246CE2" w:rsidRPr="004204E3" w:rsidRDefault="00246CE2" w:rsidP="00246CE2">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w:t>
      </w:r>
      <w:r w:rsidRPr="004204E3">
        <w:rPr>
          <w:rFonts w:ascii="Century Gothic" w:eastAsia="Calibri" w:hAnsi="Century Gothic" w:cs="Arial"/>
          <w:bCs/>
          <w:lang w:val="es-MX"/>
        </w:rPr>
        <w:lastRenderedPageBreak/>
        <w:t>públicos, para lo cual establecerá los patrones a que haya lugar y se encargará de su difusión a través de canales electrónicos”</w:t>
      </w:r>
      <w:r w:rsidRPr="004204E3">
        <w:rPr>
          <w:rFonts w:ascii="Century Gothic" w:eastAsia="Calibri" w:hAnsi="Century Gothic" w:cs="Arial"/>
          <w:bCs/>
          <w:vertAlign w:val="superscript"/>
          <w:lang w:val="es-MX"/>
        </w:rPr>
        <w:footnoteReference w:id="12"/>
      </w:r>
      <w:r w:rsidRPr="004204E3">
        <w:rPr>
          <w:rFonts w:ascii="Century Gothic" w:eastAsia="Calibri" w:hAnsi="Century Gothic" w:cs="Arial"/>
          <w:bCs/>
          <w:lang w:val="es-MX"/>
        </w:rPr>
        <w:t xml:space="preserve">. </w:t>
      </w:r>
    </w:p>
    <w:p w14:paraId="6C84A1AC" w14:textId="77777777" w:rsidR="00246CE2" w:rsidRPr="004204E3" w:rsidRDefault="00246CE2" w:rsidP="00246CE2">
      <w:pPr>
        <w:spacing w:after="120" w:line="276" w:lineRule="auto"/>
        <w:ind w:firstLine="708"/>
        <w:jc w:val="both"/>
        <w:rPr>
          <w:rFonts w:ascii="Century Gothic" w:eastAsia="Calibri" w:hAnsi="Century Gothic" w:cs="Arial"/>
          <w:bCs/>
          <w:lang w:val="es-MX"/>
        </w:rPr>
      </w:pPr>
      <w:r w:rsidRPr="004204E3">
        <w:rPr>
          <w:rFonts w:ascii="Century Gothic" w:eastAsia="Calibri" w:hAnsi="Century Gothic" w:cs="Arial"/>
          <w:bCs/>
          <w:lang w:val="es-MX"/>
        </w:rPr>
        <w:t>De otra parte, la Ley 1712 de 2014, “</w:t>
      </w:r>
      <w:r w:rsidRPr="004204E3">
        <w:rPr>
          <w:rFonts w:ascii="Century Gothic" w:eastAsia="Calibri" w:hAnsi="Century Gothic" w:cs="Arial"/>
        </w:rPr>
        <w:t>P</w:t>
      </w:r>
      <w:r w:rsidRPr="004204E3">
        <w:rPr>
          <w:rFonts w:ascii="Century Gothic" w:eastAsia="Times New Roman" w:hAnsi="Century Gothic" w:cs="Arial"/>
          <w:lang w:eastAsia="es-CO"/>
        </w:rPr>
        <w:t>or medio de la cual se crea la Ley de Transparencia y del Derecho de Acceso a la Información Pública Nacional y se dictan otras disposiciones</w:t>
      </w:r>
      <w:r w:rsidRPr="004204E3">
        <w:rPr>
          <w:rFonts w:ascii="Century Gothic" w:eastAsia="Calibri" w:hAnsi="Century Gothic" w:cs="Arial"/>
          <w:bCs/>
          <w:lang w:val="es-MX"/>
        </w:rPr>
        <w:t xml:space="preserve">”, identifica como principios que orientan el derecho de acceso a la información pública, el principio de máxima publicidad, el principio de transparencia en la información y el principio de buena fe. El principio de </w:t>
      </w:r>
      <w:r w:rsidRPr="004204E3">
        <w:rPr>
          <w:rFonts w:ascii="Century Gothic" w:eastAsia="Calibri" w:hAnsi="Century Gothic" w:cs="Arial"/>
          <w:bCs/>
          <w:i/>
          <w:iCs/>
          <w:lang w:val="es-MX"/>
        </w:rPr>
        <w:t>máxima publicidad</w:t>
      </w:r>
      <w:r w:rsidRPr="004204E3">
        <w:rPr>
          <w:rFonts w:ascii="Century Gothic" w:eastAsia="Calibri" w:hAnsi="Century Gothic" w:cs="Arial"/>
          <w:bCs/>
          <w:lang w:val="es-MX"/>
        </w:rPr>
        <w:t xml:space="preserve"> establece que “toda información en posesión, bajo control o custodia de un sujeto obligado es pública y no podrá ser reservada o limitada sino por disposición constitucional o legal”</w:t>
      </w:r>
      <w:r w:rsidRPr="004204E3">
        <w:rPr>
          <w:rFonts w:ascii="Century Gothic" w:eastAsia="Calibri" w:hAnsi="Century Gothic" w:cs="Arial"/>
          <w:bCs/>
          <w:vertAlign w:val="superscript"/>
          <w:lang w:val="es-MX"/>
        </w:rPr>
        <w:footnoteReference w:id="13"/>
      </w:r>
      <w:r w:rsidRPr="004204E3">
        <w:rPr>
          <w:rFonts w:ascii="Century Gothic" w:eastAsia="Calibri" w:hAnsi="Century Gothic" w:cs="Arial"/>
          <w:bCs/>
          <w:lang w:val="es-MX"/>
        </w:rPr>
        <w:t xml:space="preserve">. El </w:t>
      </w:r>
      <w:r w:rsidRPr="004204E3">
        <w:rPr>
          <w:rFonts w:ascii="Century Gothic" w:eastAsia="Calibri" w:hAnsi="Century Gothic" w:cs="Arial"/>
          <w:bCs/>
          <w:i/>
          <w:iCs/>
          <w:lang w:val="es-MX"/>
        </w:rPr>
        <w:t>principio de transparencia</w:t>
      </w:r>
      <w:r w:rsidRPr="004204E3">
        <w:rPr>
          <w:rFonts w:ascii="Century Gothic" w:eastAsia="Calibri" w:hAnsi="Century Gothic" w:cs="Arial"/>
          <w:bCs/>
          <w:lang w:val="es-MX"/>
        </w:rPr>
        <w:t xml:space="preserve"> en la información alude al deber de los sujetos de proporcionar y facilitar el acceso a la misma en los términos más amplios posibles, a través de los medios y procedimientos legales</w:t>
      </w:r>
      <w:r w:rsidRPr="004204E3">
        <w:rPr>
          <w:rFonts w:ascii="Century Gothic" w:eastAsia="Times New Roman" w:hAnsi="Century Gothic" w:cs="Arial"/>
          <w:vertAlign w:val="superscript"/>
          <w:lang w:eastAsia="es-CO"/>
        </w:rPr>
        <w:footnoteReference w:id="14"/>
      </w:r>
      <w:r w:rsidRPr="004204E3">
        <w:rPr>
          <w:rFonts w:ascii="Century Gothic" w:eastAsia="Calibri" w:hAnsi="Century Gothic" w:cs="Arial"/>
          <w:bCs/>
          <w:lang w:val="es-MX"/>
        </w:rPr>
        <w:t xml:space="preserve">. Y el </w:t>
      </w:r>
      <w:r w:rsidRPr="004204E3">
        <w:rPr>
          <w:rFonts w:ascii="Century Gothic" w:eastAsia="Calibri" w:hAnsi="Century Gothic" w:cs="Arial"/>
          <w:bCs/>
          <w:i/>
          <w:iCs/>
          <w:lang w:val="es-MX"/>
        </w:rPr>
        <w:t>principio de buena fe</w:t>
      </w:r>
      <w:r w:rsidRPr="004204E3">
        <w:rPr>
          <w:rFonts w:ascii="Century Gothic" w:eastAsia="Calibri" w:hAnsi="Century Gothic" w:cs="Arial"/>
          <w:bCs/>
          <w:lang w:val="es-MX"/>
        </w:rPr>
        <w:t xml:space="preserve"> hace referencia al deber de todo sujeto obligado de cumplir con las obligaciones derivadas del derecho de acceso a la información </w:t>
      </w:r>
      <w:r w:rsidRPr="004204E3">
        <w:rPr>
          <w:rFonts w:ascii="Century Gothic" w:eastAsia="Calibri" w:hAnsi="Century Gothic" w:cs="Arial"/>
          <w:bCs/>
          <w:lang w:val="es-MX"/>
        </w:rPr>
        <w:lastRenderedPageBreak/>
        <w:t>pública con motivación honesta, leal y desprovista de cualquier intención dolosa o culposa</w:t>
      </w:r>
      <w:r w:rsidRPr="004204E3">
        <w:rPr>
          <w:rFonts w:ascii="Century Gothic" w:eastAsia="Calibri" w:hAnsi="Century Gothic" w:cs="Arial"/>
          <w:bCs/>
          <w:vertAlign w:val="superscript"/>
          <w:lang w:val="es-MX"/>
        </w:rPr>
        <w:footnoteReference w:id="15"/>
      </w:r>
      <w:r w:rsidRPr="004204E3">
        <w:rPr>
          <w:rFonts w:ascii="Century Gothic" w:eastAsia="Calibri" w:hAnsi="Century Gothic" w:cs="Arial"/>
          <w:bCs/>
          <w:lang w:val="es-MX"/>
        </w:rPr>
        <w:t xml:space="preserve">. </w:t>
      </w:r>
    </w:p>
    <w:p w14:paraId="373B3EF8" w14:textId="77777777" w:rsidR="00246CE2" w:rsidRPr="004204E3" w:rsidRDefault="00246CE2" w:rsidP="00246CE2">
      <w:pPr>
        <w:spacing w:after="120" w:line="276" w:lineRule="auto"/>
        <w:ind w:firstLine="709"/>
        <w:jc w:val="both"/>
        <w:rPr>
          <w:rFonts w:ascii="Century Gothic" w:eastAsia="Times New Roman" w:hAnsi="Century Gothic" w:cs="Arial"/>
          <w:lang w:eastAsia="es-CO"/>
        </w:rPr>
      </w:pPr>
      <w:r w:rsidRPr="004204E3">
        <w:rPr>
          <w:rFonts w:ascii="Century Gothic" w:eastAsia="Calibri" w:hAnsi="Century Gothic" w:cs="Arial"/>
          <w:bCs/>
          <w:lang w:val="es-MX"/>
        </w:rPr>
        <w:t xml:space="preserve">La citada Ley establece, </w:t>
      </w:r>
      <w:bookmarkStart w:id="9" w:name="_Hlk112225357"/>
      <w:r w:rsidRPr="004204E3">
        <w:rPr>
          <w:rFonts w:ascii="Century Gothic" w:eastAsia="Calibri" w:hAnsi="Century Gothic" w:cs="Arial"/>
          <w:bCs/>
          <w:lang w:val="es-MX"/>
        </w:rPr>
        <w:t xml:space="preserve">en el literal e) del artículo 9, que los </w:t>
      </w:r>
      <w:r w:rsidRPr="004204E3">
        <w:rPr>
          <w:rFonts w:ascii="Century Gothic" w:eastAsia="Calibri" w:hAnsi="Century Gothic" w:cs="Arial"/>
          <w:bCs/>
          <w:i/>
          <w:iCs/>
          <w:lang w:val="es-MX"/>
        </w:rPr>
        <w:t>sujetos obligados</w:t>
      </w:r>
      <w:r w:rsidRPr="004204E3">
        <w:rPr>
          <w:rFonts w:ascii="Century Gothic" w:eastAsia="Calibri" w:hAnsi="Century Gothic" w:cs="Arial"/>
          <w:bCs/>
          <w:lang w:val="es-MX"/>
        </w:rPr>
        <w:t xml:space="preserve"> deben publicar la información relativa a su contratación</w:t>
      </w:r>
      <w:r w:rsidRPr="004204E3">
        <w:rPr>
          <w:rStyle w:val="Refdenotaalpie"/>
          <w:rFonts w:ascii="Century Gothic" w:eastAsia="Times New Roman" w:hAnsi="Century Gothic" w:cs="Arial"/>
          <w:lang w:eastAsia="es-CO"/>
        </w:rPr>
        <w:footnoteReference w:id="16"/>
      </w:r>
      <w:r w:rsidRPr="004204E3">
        <w:rPr>
          <w:rFonts w:ascii="Century Gothic" w:eastAsia="Calibri" w:hAnsi="Century Gothic" w:cs="Arial"/>
          <w:bCs/>
          <w:lang w:val="es-MX"/>
        </w:rPr>
        <w:t xml:space="preserve">. El artículo 5 ibidem, al describir qué se entiende por sujetos obligados, consagra una lista cuyo propósito es incluir a cualquier entidad, órgano, organismo, o persona natural que desempeñe funciones públicas o administre recursos públicos. </w:t>
      </w:r>
      <w:r w:rsidRPr="004204E3">
        <w:rPr>
          <w:rFonts w:ascii="Century Gothic" w:eastAsia="Arial MT" w:hAnsi="Century Gothic" w:cs="Arial"/>
          <w:lang w:val="es-ES"/>
        </w:rPr>
        <w:t>Igualmente, establece que son sujetos obligados las empresas públicas, las empresas del Estado y las sociedades en las que el Estado tenga participación, sin que importe su monto</w:t>
      </w:r>
      <w:r w:rsidRPr="004204E3">
        <w:rPr>
          <w:rFonts w:ascii="Century Gothic" w:eastAsia="Times New Roman" w:hAnsi="Century Gothic" w:cs="Arial"/>
          <w:vertAlign w:val="superscript"/>
          <w:lang w:eastAsia="es-CO"/>
        </w:rPr>
        <w:footnoteReference w:id="17"/>
      </w:r>
      <w:r w:rsidRPr="004204E3">
        <w:rPr>
          <w:rFonts w:ascii="Century Gothic" w:eastAsia="Arial MT" w:hAnsi="Century Gothic" w:cs="Arial"/>
          <w:lang w:val="es-ES"/>
        </w:rPr>
        <w:t>.</w:t>
      </w:r>
      <w:r w:rsidRPr="004204E3">
        <w:rPr>
          <w:rFonts w:ascii="Century Gothic" w:eastAsia="Times New Roman" w:hAnsi="Century Gothic"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bookmarkEnd w:id="9"/>
    <w:p w14:paraId="76EB70C1" w14:textId="77777777" w:rsidR="00246CE2" w:rsidRPr="004204E3" w:rsidRDefault="00246CE2" w:rsidP="00246CE2">
      <w:pPr>
        <w:spacing w:after="120" w:line="276" w:lineRule="auto"/>
        <w:ind w:firstLine="708"/>
        <w:jc w:val="both"/>
        <w:rPr>
          <w:rFonts w:ascii="Century Gothic" w:eastAsia="Calibri" w:hAnsi="Century Gothic" w:cs="Arial"/>
          <w:bCs/>
          <w:lang w:val="es-MX"/>
        </w:rPr>
      </w:pPr>
      <w:r w:rsidRPr="004204E3">
        <w:rPr>
          <w:rFonts w:ascii="Century Gothic" w:eastAsia="Calibri" w:hAnsi="Century Gothic" w:cs="Arial"/>
          <w:bCs/>
          <w:lang w:val="es-MX"/>
        </w:rPr>
        <w:t>Esta obligación fue desarrollada por el artículo 2.1.1.2.1.7. del Decreto Único Reglamentario 1081 de 2015</w:t>
      </w:r>
      <w:r w:rsidRPr="004204E3">
        <w:rPr>
          <w:rFonts w:ascii="Century Gothic" w:eastAsia="Calibri" w:hAnsi="Century Gothic" w:cs="Arial"/>
          <w:bCs/>
          <w:vertAlign w:val="superscript"/>
          <w:lang w:val="es-MX"/>
        </w:rPr>
        <w:footnoteReference w:id="18"/>
      </w:r>
      <w:r w:rsidRPr="004204E3">
        <w:rPr>
          <w:rFonts w:ascii="Century Gothic" w:eastAsia="Calibri" w:hAnsi="Century Gothic" w:cs="Arial"/>
          <w:bCs/>
          <w:lang w:val="es-MX"/>
        </w:rPr>
        <w:t xml:space="preserve">, el cual dispuso que la publicación de la información </w:t>
      </w:r>
      <w:r w:rsidRPr="004204E3">
        <w:rPr>
          <w:rFonts w:ascii="Century Gothic" w:eastAsia="Calibri" w:hAnsi="Century Gothic" w:cs="Arial"/>
          <w:bCs/>
          <w:lang w:val="es-MX"/>
        </w:rPr>
        <w:lastRenderedPageBreak/>
        <w:t>contractual de los sujetos obligados, que contratan con cargo a recursos públicos, debe hacerse en el Sistema Electrónico para la Contratación Pública ─</w:t>
      </w:r>
      <w:r w:rsidRPr="004204E3">
        <w:rPr>
          <w:rFonts w:ascii="Century Gothic" w:eastAsia="Calibri" w:hAnsi="Century Gothic" w:cs="Arial"/>
          <w:bCs/>
          <w:lang w:val="es-MX"/>
        </w:rPr>
        <w:softHyphen/>
        <w:t xml:space="preserve"> </w:t>
      </w:r>
      <w:r w:rsidRPr="004204E3">
        <w:rPr>
          <w:rFonts w:ascii="Century Gothic" w:eastAsia="Calibri" w:hAnsi="Century Gothic" w:cs="Arial"/>
          <w:bCs/>
          <w:lang w:val="es-MX"/>
        </w:rPr>
        <w:softHyphen/>
        <w:t>SECOP–.</w:t>
      </w:r>
    </w:p>
    <w:p w14:paraId="415192F3" w14:textId="77777777" w:rsidR="00246CE2" w:rsidRPr="004204E3" w:rsidRDefault="00246CE2" w:rsidP="00246CE2">
      <w:pPr>
        <w:spacing w:after="0" w:line="276" w:lineRule="auto"/>
        <w:ind w:firstLine="709"/>
        <w:contextualSpacing/>
        <w:jc w:val="both"/>
        <w:rPr>
          <w:rFonts w:ascii="Century Gothic" w:eastAsia="Calibri" w:hAnsi="Century Gothic" w:cs="Arial"/>
          <w:bCs/>
          <w:lang w:val="es-MX"/>
        </w:rPr>
      </w:pPr>
      <w:r w:rsidRPr="004204E3">
        <w:rPr>
          <w:rFonts w:ascii="Century Gothic" w:eastAsia="Calibri" w:hAnsi="Century Gothic" w:cs="Arial"/>
          <w:bCs/>
          <w:lang w:val="es-MX"/>
        </w:rPr>
        <w:t xml:space="preserve">Las anteriores disposiciones normativas fueron complementadas con la expedición de la </w:t>
      </w:r>
      <w:bookmarkStart w:id="10" w:name="_Hlk109111930"/>
      <w:r w:rsidRPr="004204E3">
        <w:rPr>
          <w:rFonts w:ascii="Century Gothic" w:eastAsia="Calibri" w:hAnsi="Century Gothic" w:cs="Arial"/>
          <w:bCs/>
          <w:lang w:val="es-MX"/>
        </w:rPr>
        <w:t xml:space="preserve">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EGCAP de publicar los documentos relacionados con su actividad contractual en el Sistema Electrónico para la Contratación Pública –SECOP II- o la plataforma transaccional que haga sus veces. </w:t>
      </w:r>
      <w:bookmarkEnd w:id="10"/>
      <w:r w:rsidRPr="004204E3">
        <w:rPr>
          <w:rFonts w:ascii="Century Gothic" w:eastAsia="Calibri" w:hAnsi="Century Gothic" w:cs="Arial"/>
          <w:bCs/>
          <w:lang w:val="es-MX"/>
        </w:rPr>
        <w:t>Al respecto, la norma citada, de manera expresa, señala:</w:t>
      </w:r>
    </w:p>
    <w:p w14:paraId="717F5169" w14:textId="77777777" w:rsidR="00246CE2" w:rsidRPr="004204E3" w:rsidRDefault="00246CE2" w:rsidP="00527F43">
      <w:pPr>
        <w:spacing w:after="0" w:line="240" w:lineRule="auto"/>
        <w:ind w:firstLine="301"/>
        <w:contextualSpacing/>
        <w:rPr>
          <w:rFonts w:ascii="Century Gothic" w:eastAsia="Calibri" w:hAnsi="Century Gothic" w:cs="Arial"/>
          <w:bCs/>
          <w:lang w:val="es-MX"/>
        </w:rPr>
      </w:pPr>
    </w:p>
    <w:p w14:paraId="3C6320E1" w14:textId="77777777" w:rsidR="00246CE2" w:rsidRPr="004204E3" w:rsidRDefault="00246CE2" w:rsidP="00527F43">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“Adiciónese los siguientes incisos al artículo 13 de la Ley 1150 de 2007, el cual quedará así:</w:t>
      </w:r>
    </w:p>
    <w:p w14:paraId="41F13BC5" w14:textId="77777777" w:rsidR="00246CE2" w:rsidRPr="004204E3" w:rsidRDefault="00246CE2" w:rsidP="00527F43">
      <w:pPr>
        <w:spacing w:after="0" w:line="240" w:lineRule="auto"/>
        <w:ind w:left="709" w:right="709"/>
        <w:contextualSpacing/>
        <w:jc w:val="both"/>
        <w:rPr>
          <w:rFonts w:ascii="Century Gothic" w:eastAsia="Calibri" w:hAnsi="Century Gothic" w:cs="Arial"/>
          <w:bCs/>
          <w:sz w:val="21"/>
          <w:szCs w:val="21"/>
          <w:lang w:val="es-MX"/>
        </w:rPr>
      </w:pPr>
    </w:p>
    <w:p w14:paraId="5E8EBAD9" w14:textId="77777777" w:rsidR="00246CE2" w:rsidRPr="004204E3" w:rsidRDefault="00246CE2" w:rsidP="00527F43">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24A2FF36" w14:textId="77777777" w:rsidR="00246CE2" w:rsidRPr="004204E3" w:rsidRDefault="00246CE2" w:rsidP="00246CE2">
      <w:pPr>
        <w:spacing w:after="0" w:line="240" w:lineRule="auto"/>
        <w:ind w:left="709" w:right="709"/>
        <w:contextualSpacing/>
        <w:jc w:val="both"/>
        <w:rPr>
          <w:rFonts w:ascii="Century Gothic" w:eastAsia="Calibri" w:hAnsi="Century Gothic" w:cs="Arial"/>
          <w:bCs/>
          <w:sz w:val="21"/>
          <w:szCs w:val="21"/>
          <w:lang w:val="es-MX"/>
        </w:rPr>
      </w:pPr>
    </w:p>
    <w:p w14:paraId="1C256F12" w14:textId="77777777" w:rsidR="00246CE2" w:rsidRPr="004204E3" w:rsidRDefault="00246CE2" w:rsidP="00B27EFD">
      <w:pPr>
        <w:spacing w:after="0" w:line="240" w:lineRule="auto"/>
        <w:ind w:left="709" w:right="709"/>
        <w:contextualSpacing/>
        <w:jc w:val="both"/>
        <w:rPr>
          <w:rFonts w:ascii="Century Gothic" w:eastAsia="Calibri" w:hAnsi="Century Gothic" w:cs="Arial"/>
          <w:bCs/>
          <w:i/>
          <w:iCs/>
          <w:sz w:val="21"/>
          <w:szCs w:val="21"/>
          <w:lang w:val="es-MX"/>
        </w:rPr>
      </w:pPr>
      <w:r w:rsidRPr="004204E3">
        <w:rPr>
          <w:rFonts w:ascii="Century Gothic" w:eastAsia="Calibri" w:hAnsi="Century Gothic" w:cs="Arial"/>
          <w:bCs/>
          <w:i/>
          <w:iCs/>
          <w:sz w:val="21"/>
          <w:szCs w:val="21"/>
          <w:lang w:val="es-MX"/>
        </w:rPr>
        <w:lastRenderedPageBreak/>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6322BEB5" w14:textId="77777777" w:rsidR="00246CE2" w:rsidRPr="004204E3" w:rsidRDefault="00246CE2" w:rsidP="00B27EFD">
      <w:pPr>
        <w:spacing w:after="0" w:line="240" w:lineRule="auto"/>
        <w:ind w:left="709" w:right="709"/>
        <w:contextualSpacing/>
        <w:jc w:val="both"/>
        <w:rPr>
          <w:rFonts w:ascii="Century Gothic" w:eastAsia="Calibri" w:hAnsi="Century Gothic" w:cs="Arial"/>
          <w:bCs/>
          <w:sz w:val="21"/>
          <w:szCs w:val="21"/>
          <w:lang w:val="es-MX"/>
        </w:rPr>
      </w:pPr>
    </w:p>
    <w:p w14:paraId="46FB164C" w14:textId="77777777" w:rsidR="00246CE2" w:rsidRPr="004204E3" w:rsidRDefault="00246CE2" w:rsidP="00B27EFD">
      <w:pPr>
        <w:spacing w:after="0" w:line="240" w:lineRule="auto"/>
        <w:ind w:left="709" w:right="709"/>
        <w:contextualSpacing/>
        <w:jc w:val="both"/>
        <w:rPr>
          <w:rFonts w:ascii="Century Gothic" w:eastAsia="Calibri" w:hAnsi="Century Gothic" w:cs="Arial"/>
          <w:bCs/>
          <w:sz w:val="21"/>
          <w:szCs w:val="21"/>
          <w:lang w:val="es-MX"/>
        </w:rPr>
      </w:pPr>
      <w:r w:rsidRPr="004204E3">
        <w:rPr>
          <w:rFonts w:ascii="Century Gothic" w:eastAsia="Calibri" w:hAnsi="Century Gothic" w:cs="Arial"/>
          <w:bCs/>
          <w:sz w:val="21"/>
          <w:szCs w:val="21"/>
          <w:lang w:val="es-MX"/>
        </w:rPr>
        <w:t>A partir de la entrada en vigencia de la presente Ley, se establecerá un periodo de transición de seis (6) meses, para que las entidades den cumplimiento efectivo a lo aquí establecido”. [Énfasis fuera de texto].</w:t>
      </w:r>
    </w:p>
    <w:p w14:paraId="299334B5" w14:textId="77777777" w:rsidR="00246CE2" w:rsidRPr="004204E3" w:rsidRDefault="00246CE2" w:rsidP="00246CE2">
      <w:pPr>
        <w:spacing w:after="0" w:line="276" w:lineRule="auto"/>
        <w:ind w:firstLine="709"/>
        <w:contextualSpacing/>
        <w:jc w:val="both"/>
        <w:rPr>
          <w:rFonts w:ascii="Century Gothic" w:eastAsia="Calibri" w:hAnsi="Century Gothic" w:cs="Arial"/>
          <w:bCs/>
          <w:lang w:val="es-MX"/>
        </w:rPr>
      </w:pPr>
    </w:p>
    <w:p w14:paraId="0F59C818" w14:textId="77777777" w:rsidR="00246CE2" w:rsidRPr="004204E3" w:rsidRDefault="00246CE2" w:rsidP="00246CE2">
      <w:pPr>
        <w:spacing w:after="120" w:line="276" w:lineRule="auto"/>
        <w:ind w:firstLine="709"/>
        <w:jc w:val="both"/>
        <w:rPr>
          <w:rFonts w:ascii="Century Gothic" w:eastAsia="Calibri" w:hAnsi="Century Gothic" w:cs="Arial"/>
          <w:lang w:val="es-ES_tradnl"/>
        </w:rPr>
      </w:pPr>
      <w:r w:rsidRPr="004204E3">
        <w:rPr>
          <w:rFonts w:ascii="Century Gothic" w:eastAsia="Calibri" w:hAnsi="Century Gothic" w:cs="Arial"/>
          <w:lang w:val="es-ES_tradnl"/>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14:paraId="025DE703" w14:textId="77777777" w:rsidR="00246CE2" w:rsidRPr="004204E3" w:rsidRDefault="00246CE2" w:rsidP="00246CE2">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Ahora bien, cabe destacar que cuando la norma trascrita hace referencia a que 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en el futuro dicha plataforma sea remplazada por otra que tenga una denominación distinta, las entidades que tienen un régimen exceptuado deben continuar publicando la documentación de su actividad contractual en la nueva plataforma transaccional que para el efecto se cree. En ese sentido, la locución “la plataforma que haga sus veces” no puede interpretarse como una autorización para que las entidades obligadas en virtud del artículo 53 de la Ley 2195 de 2022 empleen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67740A98" w14:textId="77777777" w:rsidR="00246CE2" w:rsidRPr="004204E3" w:rsidRDefault="00246CE2" w:rsidP="00246CE2">
      <w:pPr>
        <w:spacing w:after="120" w:line="276" w:lineRule="auto"/>
        <w:ind w:firstLine="709"/>
        <w:jc w:val="both"/>
        <w:rPr>
          <w:rFonts w:ascii="Century Gothic" w:eastAsia="Calibri" w:hAnsi="Century Gothic" w:cs="Arial"/>
          <w:bCs/>
          <w:lang w:val="es-MX"/>
        </w:rPr>
      </w:pPr>
      <w:bookmarkStart w:id="11" w:name="_Hlk109111956"/>
      <w:r w:rsidRPr="004204E3">
        <w:rPr>
          <w:rFonts w:ascii="Century Gothic" w:eastAsia="Calibri" w:hAnsi="Century Gothic" w:cs="Arial"/>
          <w:bCs/>
          <w:lang w:val="es-MX"/>
        </w:rPr>
        <w:t xml:space="preserve">En cuanto a los documentos que deben ser publicados en el SECOP II a efectos de dar cumplimiento al mandato consagrado en el artículo 53 de la Ley </w:t>
      </w:r>
      <w:r w:rsidRPr="004204E3">
        <w:rPr>
          <w:rFonts w:ascii="Century Gothic" w:eastAsia="Calibri" w:hAnsi="Century Gothic" w:cs="Arial"/>
          <w:bCs/>
          <w:lang w:val="es-MX"/>
        </w:rPr>
        <w:lastRenderedPageBreak/>
        <w:t xml:space="preserve">2195 de 2022, es preciso advertir que la disposición hace referencia a los documentos relacionados con su </w:t>
      </w:r>
      <w:r w:rsidRPr="004204E3">
        <w:rPr>
          <w:rFonts w:ascii="Century Gothic" w:eastAsia="Calibri" w:hAnsi="Century Gothic" w:cs="Arial"/>
          <w:bCs/>
          <w:i/>
          <w:iCs/>
          <w:lang w:val="es-MX"/>
        </w:rPr>
        <w:t>actividad contractual</w:t>
      </w:r>
      <w:r w:rsidRPr="004204E3">
        <w:rPr>
          <w:rFonts w:ascii="Century Gothic" w:eastAsia="Calibri" w:hAnsi="Century Gothic" w:cs="Arial"/>
          <w:bCs/>
          <w:lang w:val="es-MX"/>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tanto, </w:t>
      </w:r>
      <w:bookmarkEnd w:id="11"/>
      <w:r w:rsidRPr="004204E3">
        <w:rPr>
          <w:rFonts w:ascii="Century Gothic" w:eastAsia="Calibri" w:hAnsi="Century Gothic" w:cs="Arial"/>
          <w:bCs/>
          <w:lang w:val="es-MX"/>
        </w:rPr>
        <w:t xml:space="preserve">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69C76560" w14:textId="77777777" w:rsidR="00246CE2" w:rsidRPr="004204E3" w:rsidRDefault="00246CE2" w:rsidP="00246CE2">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Sin perjuicio de lo anterior, vale la pena aclarar que el cumplimiento del deber de publicación de la documentación contractual debe armonizarse con las normas aplicables al tipo de información que estas contienen</w:t>
      </w:r>
      <w:r w:rsidRPr="004204E3">
        <w:rPr>
          <w:rFonts w:ascii="Century Gothic" w:eastAsia="Calibri" w:hAnsi="Century Gothic" w:cs="Arial"/>
          <w:bCs/>
          <w:vertAlign w:val="superscript"/>
          <w:lang w:val="es-MX"/>
        </w:rPr>
        <w:footnoteReference w:id="19"/>
      </w:r>
      <w:r w:rsidRPr="004204E3">
        <w:rPr>
          <w:rFonts w:ascii="Century Gothic" w:eastAsia="Calibri" w:hAnsi="Century Gothic" w:cs="Arial"/>
          <w:bCs/>
          <w:lang w:val="es-MX"/>
        </w:rPr>
        <w:t xml:space="preserve">. Lo anterior significa que, respecto de datos sensibles, información sometida a reserva o de la cual proceda un tratamiento especial que impida su publicidad, las entidades deberán proceder de conformidad con el tratamiento que impongan tales normas. </w:t>
      </w:r>
    </w:p>
    <w:p w14:paraId="218903E5" w14:textId="77777777" w:rsidR="00246CE2" w:rsidRPr="004204E3" w:rsidRDefault="00246CE2" w:rsidP="00246CE2">
      <w:pPr>
        <w:spacing w:after="120" w:line="276" w:lineRule="auto"/>
        <w:ind w:firstLine="709"/>
        <w:jc w:val="both"/>
        <w:rPr>
          <w:rFonts w:ascii="Century Gothic" w:eastAsia="Calibri" w:hAnsi="Century Gothic" w:cs="Arial"/>
          <w:bCs/>
          <w:lang w:val="es-MX"/>
        </w:rPr>
      </w:pPr>
      <w:bookmarkStart w:id="12" w:name="_Hlk109111976"/>
      <w:r w:rsidRPr="004204E3">
        <w:rPr>
          <w:rFonts w:ascii="Century Gothic" w:eastAsia="Calibri" w:hAnsi="Century Gothic" w:cs="Arial"/>
          <w:bCs/>
          <w:lang w:val="es-MX"/>
        </w:rPr>
        <w:t xml:space="preserve">Por otro lado, el inciso final del artículo 53 dispone que “A partir de la entrada en vigencia de la presente Ley, se establecerá un periodo de transición de seis (6) </w:t>
      </w:r>
      <w:r w:rsidRPr="004204E3">
        <w:rPr>
          <w:rFonts w:ascii="Century Gothic" w:eastAsia="Calibri" w:hAnsi="Century Gothic" w:cs="Arial"/>
          <w:bCs/>
          <w:lang w:val="es-MX"/>
        </w:rPr>
        <w:lastRenderedPageBreak/>
        <w:t>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bookmarkEnd w:id="12"/>
      <w:r w:rsidRPr="004204E3">
        <w:rPr>
          <w:rFonts w:ascii="Century Gothic" w:eastAsia="Calibri" w:hAnsi="Century Gothic" w:cs="Arial"/>
          <w:bCs/>
          <w:lang w:val="es-MX"/>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r w:rsidRPr="004204E3">
        <w:rPr>
          <w:rFonts w:ascii="Century Gothic" w:eastAsia="Calibri" w:hAnsi="Century Gothic" w:cs="Arial"/>
          <w:bCs/>
          <w:vertAlign w:val="superscript"/>
          <w:lang w:val="es-MX"/>
        </w:rPr>
        <w:footnoteReference w:id="20"/>
      </w:r>
      <w:r w:rsidRPr="004204E3">
        <w:rPr>
          <w:rFonts w:ascii="Century Gothic" w:eastAsia="Calibri" w:hAnsi="Century Gothic" w:cs="Arial"/>
          <w:bCs/>
          <w:lang w:val="es-MX"/>
        </w:rPr>
        <w:t xml:space="preserve">. </w:t>
      </w:r>
    </w:p>
    <w:p w14:paraId="206730E0" w14:textId="77777777" w:rsidR="00246CE2" w:rsidRPr="004204E3" w:rsidRDefault="00246CE2" w:rsidP="00246CE2">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Teniendo en cuenta el marco normativo antes reseñado, 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4204E3">
        <w:rPr>
          <w:rFonts w:ascii="Century Gothic" w:eastAsia="Calibri" w:hAnsi="Century Gothic" w:cs="Arial"/>
          <w:bCs/>
          <w:vertAlign w:val="superscript"/>
          <w:lang w:val="es-MX"/>
        </w:rPr>
        <w:footnoteReference w:id="21"/>
      </w:r>
      <w:r w:rsidRPr="004204E3">
        <w:rPr>
          <w:rFonts w:ascii="Century Gothic" w:eastAsia="Calibri" w:hAnsi="Century Gothic" w:cs="Arial"/>
          <w:bCs/>
          <w:lang w:val="es-MX"/>
        </w:rPr>
        <w:t xml:space="preserve">. </w:t>
      </w:r>
    </w:p>
    <w:p w14:paraId="31CABC32" w14:textId="77777777" w:rsidR="00246CE2" w:rsidRPr="004204E3" w:rsidRDefault="00246CE2" w:rsidP="00246CE2">
      <w:pPr>
        <w:spacing w:after="12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t xml:space="preserve">De lo expuesto en los considerandos de este concepto, de cara a la consulta planteada acerca de la obligación de publicación de las empresas de servicios públicos, se concluye que estas empresas,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EGCAP deberán cumplir con el deber de publicación analizado en el presente concepto, sin que sea posible modular sus efectos.   </w:t>
      </w:r>
    </w:p>
    <w:p w14:paraId="49A29431" w14:textId="77777777" w:rsidR="00246CE2" w:rsidRPr="004204E3" w:rsidRDefault="00246CE2" w:rsidP="00246CE2">
      <w:pPr>
        <w:spacing w:before="120" w:after="0" w:line="276" w:lineRule="auto"/>
        <w:ind w:firstLine="709"/>
        <w:jc w:val="both"/>
        <w:rPr>
          <w:rFonts w:ascii="Century Gothic" w:eastAsia="Calibri" w:hAnsi="Century Gothic" w:cs="Arial"/>
          <w:bCs/>
          <w:lang w:val="es-MX"/>
        </w:rPr>
      </w:pPr>
      <w:r w:rsidRPr="004204E3">
        <w:rPr>
          <w:rFonts w:ascii="Century Gothic" w:eastAsia="Calibri" w:hAnsi="Century Gothic" w:cs="Arial"/>
          <w:bCs/>
          <w:lang w:val="es-MX"/>
        </w:rPr>
        <w:lastRenderedPageBreak/>
        <w:t xml:space="preserve">La anterior conclusión se refuerza si se tiene en cuenta que, de conformidad con el literal e) del artículo 9 y el literal g) del artículo 11 de la Ley 1712 de 2014, desarrollados en el artículo 7 del Decreto 103 de 2015 –compilado en el artículo 2.1.1.2.1.7. del Decreto 1081 de 2015–a los cuales se ha hecho mención en el presente concepto, las entidades estatales –incluidas las que se rigen generalmente por el derecho privado en materia contractual–, al ser </w:t>
      </w:r>
      <w:r w:rsidRPr="004204E3">
        <w:rPr>
          <w:rFonts w:ascii="Century Gothic" w:eastAsia="Calibri" w:hAnsi="Century Gothic" w:cs="Arial"/>
          <w:bCs/>
          <w:i/>
          <w:iCs/>
          <w:lang w:val="es-MX"/>
        </w:rPr>
        <w:t>sujetos obligados</w:t>
      </w:r>
      <w:r w:rsidRPr="004204E3">
        <w:rPr>
          <w:rFonts w:ascii="Century Gothic" w:eastAsia="Calibri" w:hAnsi="Century Gothic" w:cs="Arial"/>
          <w:bCs/>
          <w:lang w:val="es-MX"/>
        </w:rPr>
        <w:t xml:space="preserve"> a garantizar el derecho de acceso a la información y a los documentos públicos, deben publicar en el SECOP los documentos relacionados con su gestión contractual.</w:t>
      </w:r>
    </w:p>
    <w:p w14:paraId="7D1C0752" w14:textId="77777777" w:rsidR="00246CE2" w:rsidRPr="004204E3" w:rsidRDefault="00246CE2" w:rsidP="00246CE2">
      <w:pPr>
        <w:spacing w:after="0" w:line="276" w:lineRule="auto"/>
        <w:contextualSpacing/>
        <w:jc w:val="both"/>
        <w:rPr>
          <w:rFonts w:ascii="Century Gothic" w:eastAsia="Calibri" w:hAnsi="Century Gothic" w:cs="Arial"/>
          <w:b/>
          <w:lang w:val="es-MX"/>
        </w:rPr>
      </w:pPr>
    </w:p>
    <w:p w14:paraId="3751C7BB" w14:textId="77777777" w:rsidR="00246CE2" w:rsidRPr="004204E3" w:rsidRDefault="00246CE2" w:rsidP="00246CE2">
      <w:pPr>
        <w:spacing w:after="0" w:line="276" w:lineRule="auto"/>
        <w:contextualSpacing/>
        <w:jc w:val="both"/>
        <w:rPr>
          <w:rFonts w:ascii="Century Gothic" w:eastAsia="Calibri" w:hAnsi="Century Gothic" w:cs="Arial"/>
          <w:b/>
          <w:bCs/>
          <w:lang w:val="es-ES_tradnl" w:eastAsia="es-ES_tradnl"/>
        </w:rPr>
      </w:pPr>
      <w:r w:rsidRPr="004204E3">
        <w:rPr>
          <w:rFonts w:ascii="Century Gothic" w:eastAsia="Calibri" w:hAnsi="Century Gothic" w:cs="Arial"/>
          <w:b/>
          <w:lang w:val="es-MX"/>
        </w:rPr>
        <w:t xml:space="preserve">2.4. </w:t>
      </w:r>
      <w:r w:rsidRPr="004204E3">
        <w:rPr>
          <w:rFonts w:ascii="Century Gothic" w:eastAsia="Calibri" w:hAnsi="Century Gothic" w:cs="Arial"/>
          <w:b/>
          <w:bCs/>
          <w:lang w:val="es-ES_tradnl" w:eastAsia="es-ES_tradnl"/>
        </w:rPr>
        <w:t>Alcance del deber de las entidades con regímenes especiales de publicar en el SECOP II la información concerniente a su actividad contractual</w:t>
      </w:r>
    </w:p>
    <w:p w14:paraId="57681CFC" w14:textId="77777777" w:rsidR="00246CE2" w:rsidRPr="004204E3" w:rsidRDefault="00246CE2" w:rsidP="00246CE2">
      <w:pPr>
        <w:spacing w:after="0" w:line="276" w:lineRule="auto"/>
        <w:contextualSpacing/>
        <w:jc w:val="both"/>
        <w:rPr>
          <w:rFonts w:ascii="Century Gothic" w:eastAsia="Calibri" w:hAnsi="Century Gothic" w:cs="Arial"/>
          <w:b/>
          <w:bCs/>
          <w:lang w:val="es-ES_tradnl" w:eastAsia="es-ES_tradnl"/>
        </w:rPr>
      </w:pPr>
    </w:p>
    <w:p w14:paraId="502CD766" w14:textId="77777777" w:rsidR="00246CE2" w:rsidRPr="004204E3" w:rsidRDefault="00246CE2" w:rsidP="00246CE2">
      <w:pPr>
        <w:spacing w:after="120" w:line="276" w:lineRule="auto"/>
        <w:jc w:val="both"/>
        <w:rPr>
          <w:rFonts w:ascii="Century Gothic" w:eastAsia="Calibri" w:hAnsi="Century Gothic" w:cs="Arial"/>
          <w:lang w:val="es-ES_tradnl" w:eastAsia="es-ES_tradnl"/>
        </w:rPr>
      </w:pPr>
      <w:r w:rsidRPr="004204E3">
        <w:rPr>
          <w:rFonts w:ascii="Century Gothic" w:eastAsia="Calibri" w:hAnsi="Century Gothic" w:cs="Arial"/>
          <w:lang w:val="es-ES_tradnl" w:eastAsia="es-ES_tradnl"/>
        </w:rPr>
        <w:t xml:space="preserve">Una vez explicada la obligación que les asiste a las entidades con regímenes exceptuados de publicar en el SECOP II lo concerniente a su actividad contractual y, teniendo en cuenta la consulta planteada, debe analizarse el alcance de esta obligación para determinar si esta aplica a toda la actividad contractual de este tipo de entidades. </w:t>
      </w:r>
    </w:p>
    <w:p w14:paraId="63503473" w14:textId="77777777" w:rsidR="00246CE2" w:rsidRPr="004204E3" w:rsidRDefault="00246CE2" w:rsidP="00246CE2">
      <w:pPr>
        <w:spacing w:after="120" w:line="276" w:lineRule="auto"/>
        <w:ind w:firstLine="708"/>
        <w:jc w:val="both"/>
        <w:rPr>
          <w:rFonts w:ascii="Century Gothic" w:eastAsia="Calibri" w:hAnsi="Century Gothic" w:cs="Arial"/>
          <w:lang w:val="es-ES_tradnl" w:eastAsia="es-ES_tradnl"/>
        </w:rPr>
      </w:pPr>
      <w:r w:rsidRPr="004204E3">
        <w:rPr>
          <w:rFonts w:ascii="Century Gothic" w:eastAsia="Calibri" w:hAnsi="Century Gothic" w:cs="Arial"/>
          <w:lang w:val="es-ES_tradnl" w:eastAsia="es-ES_tradnl"/>
        </w:rPr>
        <w:t>El artículo 53 de la Ley 2195 de 2022 dispone que las entidades con regímenes especiales “</w:t>
      </w:r>
      <w:r w:rsidRPr="004204E3">
        <w:rPr>
          <w:rStyle w:val="normaltextrun"/>
          <w:rFonts w:ascii="Century Gothic" w:hAnsi="Century Gothic" w:cs="Arial"/>
          <w:shd w:val="clear" w:color="auto" w:fill="FFFFFF"/>
        </w:rPr>
        <w:t>deberán publicar los documentos relacionados con su actividad contractual en el Sistema Electrónico para la Contratación Pública –SECOP II– o la plataforma transaccional que haga sus veces”</w:t>
      </w:r>
      <w:r w:rsidRPr="004204E3">
        <w:rPr>
          <w:rFonts w:ascii="Century Gothic" w:eastAsia="Calibri" w:hAnsi="Century Gothic" w:cs="Arial"/>
          <w:lang w:val="es-ES_tradnl"/>
        </w:rPr>
        <w:t>. Como</w:t>
      </w:r>
      <w:r w:rsidRPr="004204E3">
        <w:rPr>
          <w:rStyle w:val="normaltextrun"/>
          <w:rFonts w:ascii="Century Gothic" w:hAnsi="Century Gothic" w:cs="Arial"/>
          <w:shd w:val="clear" w:color="auto" w:fill="FFFFFF"/>
        </w:rPr>
        <w:t xml:space="preserve"> puede observarse, la disposición objeto de estudio </w:t>
      </w:r>
      <w:r w:rsidRPr="004204E3">
        <w:rPr>
          <w:rFonts w:ascii="Century Gothic" w:eastAsia="Calibri" w:hAnsi="Century Gothic"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4204E3">
        <w:rPr>
          <w:rFonts w:ascii="Century Gothic" w:eastAsia="Calibri" w:hAnsi="Century Gothic" w:cs="Arial"/>
          <w:i/>
          <w:iCs/>
          <w:lang w:val="es-ES_tradnl" w:eastAsia="es-ES_tradnl"/>
        </w:rPr>
        <w:t>recursos públicos</w:t>
      </w:r>
      <w:r w:rsidRPr="004204E3">
        <w:rPr>
          <w:rFonts w:ascii="Century Gothic" w:eastAsia="Calibri" w:hAnsi="Century Gothic" w:cs="Arial"/>
          <w:lang w:val="es-ES_tradnl" w:eastAsia="es-ES_tradnl"/>
        </w:rPr>
        <w:t xml:space="preserve">.  </w:t>
      </w:r>
    </w:p>
    <w:p w14:paraId="16F91C29" w14:textId="77777777" w:rsidR="00246CE2" w:rsidRPr="004204E3" w:rsidRDefault="00246CE2" w:rsidP="00246CE2">
      <w:pPr>
        <w:spacing w:after="120" w:line="276" w:lineRule="auto"/>
        <w:ind w:firstLine="708"/>
        <w:jc w:val="both"/>
        <w:rPr>
          <w:rFonts w:ascii="Century Gothic" w:eastAsia="Calibri" w:hAnsi="Century Gothic" w:cs="Arial"/>
          <w:lang w:val="es-ES_tradnl" w:eastAsia="es-ES_tradnl"/>
        </w:rPr>
      </w:pPr>
      <w:r w:rsidRPr="004204E3">
        <w:rPr>
          <w:rFonts w:ascii="Century Gothic" w:eastAsia="Calibri" w:hAnsi="Century Gothic" w:cs="Arial"/>
          <w:lang w:val="es-ES_tradnl" w:eastAsia="es-ES_tradnl"/>
        </w:rPr>
        <w:t>D</w:t>
      </w:r>
      <w:r w:rsidRPr="004204E3">
        <w:rPr>
          <w:rStyle w:val="normaltextrun"/>
          <w:rFonts w:ascii="Century Gothic" w:hAnsi="Century Gothic" w:cs="Arial"/>
          <w:shd w:val="clear" w:color="auto" w:fill="FFFFFF"/>
        </w:rPr>
        <w:t xml:space="preserve">e la lectura del artículo antes citado se pueden extraer al menos dos posturas contrapuestas relacionadas con la interpretación que se realice de la norma. </w:t>
      </w:r>
      <w:r w:rsidRPr="004204E3">
        <w:rPr>
          <w:rFonts w:ascii="Century Gothic" w:eastAsia="Calibri" w:hAnsi="Century Gothic" w:cs="Arial"/>
          <w:lang w:val="es-ES_tradnl" w:eastAsia="es-ES_tradnl"/>
        </w:rPr>
        <w:t xml:space="preserve">En primer lugar, una interpretación </w:t>
      </w:r>
      <w:r w:rsidRPr="004204E3">
        <w:rPr>
          <w:rFonts w:ascii="Century Gothic" w:eastAsia="Calibri" w:hAnsi="Century Gothic" w:cs="Arial"/>
          <w:i/>
          <w:iCs/>
          <w:lang w:val="es-ES_tradnl" w:eastAsia="es-ES_tradnl"/>
        </w:rPr>
        <w:t>exegética</w:t>
      </w:r>
      <w:r w:rsidRPr="004204E3">
        <w:rPr>
          <w:rFonts w:ascii="Century Gothic" w:eastAsia="Calibri" w:hAnsi="Century Gothic" w:cs="Arial"/>
          <w:lang w:val="es-ES_tradnl" w:eastAsia="es-ES_tradnl"/>
        </w:rPr>
        <w:t xml:space="preserve"> de la disposición plantearía que, dado que el artículo 53 no señala que 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4204E3">
        <w:rPr>
          <w:rFonts w:ascii="Century Gothic" w:eastAsia="Calibri" w:hAnsi="Century Gothic" w:cs="Arial"/>
          <w:i/>
          <w:iCs/>
          <w:lang w:val="es-ES_tradnl" w:eastAsia="es-ES_tradnl"/>
        </w:rPr>
        <w:t>sistemática</w:t>
      </w:r>
      <w:r w:rsidRPr="004204E3">
        <w:rPr>
          <w:rFonts w:ascii="Century Gothic" w:eastAsia="Calibri" w:hAnsi="Century Gothic" w:cs="Arial"/>
          <w:lang w:val="es-ES_tradnl" w:eastAsia="es-ES_tradnl"/>
        </w:rPr>
        <w:t xml:space="preserve"> de la norma concluiría que el artículo 53, al modificar una disposición de la Ley 1150 de 2007, debe armonizarse con todo el cuerpo normativo consagrado en dicha Ley y, dado que este se refiere a la contratación que se </w:t>
      </w:r>
      <w:r w:rsidRPr="004204E3">
        <w:rPr>
          <w:rFonts w:ascii="Century Gothic" w:eastAsia="Calibri" w:hAnsi="Century Gothic" w:cs="Arial"/>
          <w:lang w:val="es-ES_tradnl" w:eastAsia="es-ES_tradnl"/>
        </w:rPr>
        <w:lastRenderedPageBreak/>
        <w:t xml:space="preserve">realiza </w:t>
      </w:r>
      <w:r w:rsidRPr="004204E3">
        <w:rPr>
          <w:rFonts w:ascii="Century Gothic" w:eastAsia="Calibri" w:hAnsi="Century Gothic" w:cs="Arial"/>
          <w:i/>
          <w:iCs/>
          <w:lang w:val="es-ES_tradnl" w:eastAsia="es-ES_tradnl"/>
        </w:rPr>
        <w:t>con dineros públicos</w:t>
      </w:r>
      <w:r w:rsidRPr="004204E3">
        <w:rPr>
          <w:rFonts w:ascii="Century Gothic" w:eastAsia="Calibri" w:hAnsi="Century Gothic"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14:paraId="6DBA1873" w14:textId="77777777" w:rsidR="00246CE2" w:rsidRPr="004204E3" w:rsidRDefault="00246CE2" w:rsidP="00246CE2">
      <w:pPr>
        <w:spacing w:after="120" w:line="276" w:lineRule="auto"/>
        <w:ind w:firstLine="709"/>
        <w:jc w:val="both"/>
        <w:rPr>
          <w:rStyle w:val="normaltextrun"/>
          <w:rFonts w:ascii="Century Gothic" w:hAnsi="Century Gothic" w:cs="Arial"/>
          <w:shd w:val="clear" w:color="auto" w:fill="FFFFFF"/>
        </w:rPr>
      </w:pPr>
      <w:bookmarkStart w:id="13" w:name="_Hlk110869120"/>
      <w:r w:rsidRPr="004204E3">
        <w:rPr>
          <w:rFonts w:ascii="Century Gothic" w:eastAsia="Calibri" w:hAnsi="Century Gothic" w:cs="Arial"/>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4204E3">
        <w:rPr>
          <w:rStyle w:val="normaltextrun"/>
          <w:rFonts w:ascii="Century Gothic" w:hAnsi="Century Gothic" w:cs="Arial"/>
          <w:shd w:val="clear" w:color="auto" w:fill="FFFFFF"/>
          <w:lang w:val="es-ES"/>
        </w:rPr>
        <w:t xml:space="preserve">Ley 2195 de 2022 debe interpretarse de forma sistemática con </w:t>
      </w:r>
      <w:r w:rsidRPr="004204E3">
        <w:rPr>
          <w:rStyle w:val="normaltextrun"/>
          <w:rFonts w:ascii="Century Gothic" w:hAnsi="Century Gothic" w:cs="Arial"/>
          <w:shd w:val="clear" w:color="auto" w:fill="FFFFFF"/>
        </w:rPr>
        <w:t xml:space="preserve">los preceptos que existen sobre la materia, como, entre otros, los siguientes enunciados normativos: i) los artículos 74 y 209 de la Constitución, ii) el artículo 3, literal c) de la Ley 1150 de 2007, iii) los artículos 3, 9, literal e) y 11, literal g), de la Ley 1712 de 2014, y iv) los artículos 7 al 10 del Decreto 103 de 2015 –compilado en los artículos 2.1.1.1.1. al 2.1.1.6.1. del Decreto 1081 de 2015–. </w:t>
      </w:r>
    </w:p>
    <w:p w14:paraId="1748DF87" w14:textId="77777777" w:rsidR="00246CE2" w:rsidRPr="004204E3" w:rsidRDefault="00246CE2" w:rsidP="00246CE2">
      <w:pPr>
        <w:spacing w:after="120" w:line="276" w:lineRule="auto"/>
        <w:ind w:firstLine="709"/>
        <w:jc w:val="both"/>
        <w:rPr>
          <w:rFonts w:ascii="Century Gothic" w:hAnsi="Century Gothic" w:cs="Arial"/>
          <w:shd w:val="clear" w:color="auto" w:fill="FFFFFF"/>
          <w:lang w:val="es-ES"/>
        </w:rPr>
      </w:pPr>
      <w:r w:rsidRPr="004204E3">
        <w:rPr>
          <w:rStyle w:val="normaltextrun"/>
          <w:rFonts w:ascii="Century Gothic" w:hAnsi="Century Gothic"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w:t>
      </w:r>
      <w:r w:rsidRPr="004204E3">
        <w:rPr>
          <w:rStyle w:val="normaltextrun"/>
          <w:rFonts w:ascii="Century Gothic" w:hAnsi="Century Gothic" w:cs="Arial"/>
          <w:i/>
          <w:iCs/>
          <w:shd w:val="clear" w:color="auto" w:fill="FFFFFF"/>
          <w:lang w:val="es-ES"/>
        </w:rPr>
        <w:t>sistemática</w:t>
      </w:r>
      <w:r w:rsidRPr="004204E3">
        <w:rPr>
          <w:rStyle w:val="normaltextrun"/>
          <w:rFonts w:ascii="Century Gothic" w:hAnsi="Century Gothic" w:cs="Arial"/>
          <w:shd w:val="clear" w:color="auto" w:fill="FFFFFF"/>
          <w:lang w:val="es-ES"/>
        </w:rPr>
        <w:t xml:space="preserve">. </w:t>
      </w:r>
      <w:r w:rsidRPr="004204E3">
        <w:rPr>
          <w:rStyle w:val="eop"/>
          <w:rFonts w:ascii="Century Gothic" w:hAnsi="Century Gothic" w:cs="Arial"/>
          <w:shd w:val="clear" w:color="auto" w:fill="FFFFFF"/>
        </w:rPr>
        <w:t xml:space="preserve"> En este sentido, debe </w:t>
      </w:r>
      <w:r w:rsidRPr="004204E3">
        <w:rPr>
          <w:rFonts w:ascii="Century Gothic" w:eastAsia="Calibri" w:hAnsi="Century Gothic" w:cs="Arial"/>
          <w:lang w:val="es-ES_tradnl" w:eastAsia="es-ES_tradnl"/>
        </w:rPr>
        <w:t xml:space="preserve">señalarse que </w:t>
      </w:r>
      <w:r w:rsidRPr="004204E3">
        <w:rPr>
          <w:rFonts w:ascii="Century Gothic" w:hAnsi="Century Gothic" w:cs="Arial"/>
          <w:i/>
          <w:iCs/>
          <w:lang w:val="es-ES_tradnl" w:eastAsia="es-CO"/>
        </w:rPr>
        <w:t>contratación con cargo a recursos públicos</w:t>
      </w:r>
      <w:r w:rsidRPr="004204E3">
        <w:rPr>
          <w:rFonts w:ascii="Century Gothic" w:hAnsi="Century Gothic" w:cs="Arial"/>
          <w:lang w:val="es-ES_tradnl" w:eastAsia="es-CO"/>
        </w:rPr>
        <w:t xml:space="preserve"> es un concepto al que alude expresamente la Ley 1150 de 2007, incluso desde el mismo título, pues este indica que dicha Ley es </w:t>
      </w:r>
      <w:r w:rsidRPr="004204E3">
        <w:rPr>
          <w:rFonts w:ascii="Century Gothic" w:eastAsia="Calibri" w:hAnsi="Century Gothic" w:cs="Arial"/>
          <w:lang w:val="es-ES_tradnl"/>
        </w:rPr>
        <w:t>“</w:t>
      </w:r>
      <w:r w:rsidRPr="004204E3">
        <w:rPr>
          <w:rFonts w:ascii="Century Gothic" w:hAnsi="Century Gothic" w:cs="Arial"/>
        </w:rPr>
        <w:t>Por medio de la cual se introducen medidas para la eficiencia y la transparencia en la Ley </w:t>
      </w:r>
      <w:hyperlink r:id="rId12" w:anchor="1" w:history="1">
        <w:r w:rsidRPr="004204E3">
          <w:rPr>
            <w:rStyle w:val="Hipervnculo"/>
            <w:rFonts w:ascii="Century Gothic" w:hAnsi="Century Gothic" w:cs="Arial"/>
          </w:rPr>
          <w:t>80</w:t>
        </w:r>
      </w:hyperlink>
      <w:r w:rsidRPr="004204E3">
        <w:rPr>
          <w:rFonts w:ascii="Century Gothic" w:hAnsi="Century Gothic" w:cs="Arial"/>
        </w:rPr>
        <w:t xml:space="preserve"> de 1993 y se dictan otras disposiciones generales sobre la contratación con </w:t>
      </w:r>
      <w:r w:rsidRPr="004204E3">
        <w:rPr>
          <w:rFonts w:ascii="Century Gothic" w:hAnsi="Century Gothic" w:cs="Arial"/>
          <w:i/>
          <w:iCs/>
        </w:rPr>
        <w:t>Recursos Públicos</w:t>
      </w:r>
      <w:r w:rsidRPr="004204E3">
        <w:rPr>
          <w:rFonts w:ascii="Century Gothic" w:eastAsia="Calibri" w:hAnsi="Century Gothic" w:cs="Arial"/>
          <w:lang w:val="es-ES_tradnl"/>
        </w:rPr>
        <w:t>”</w:t>
      </w:r>
      <w:r w:rsidRPr="004204E3">
        <w:rPr>
          <w:rFonts w:ascii="Century Gothic" w:hAnsi="Century Gothic" w:cs="Arial"/>
        </w:rPr>
        <w:t>.</w:t>
      </w:r>
      <w:r w:rsidRPr="004204E3">
        <w:rPr>
          <w:rFonts w:ascii="Century Gothic" w:hAnsi="Century Gothic" w:cs="Arial"/>
          <w:lang w:val="es-ES_tradnl" w:eastAsia="es-CO"/>
        </w:rPr>
        <w:t xml:space="preserve"> Asimismo, la terminología </w:t>
      </w:r>
      <w:r w:rsidRPr="004204E3">
        <w:rPr>
          <w:rFonts w:ascii="Century Gothic" w:hAnsi="Century Gothic" w:cs="Arial"/>
          <w:i/>
          <w:iCs/>
          <w:lang w:val="es-ES_tradnl" w:eastAsia="es-CO"/>
        </w:rPr>
        <w:t xml:space="preserve">contratación con cargo recursos públicos </w:t>
      </w:r>
      <w:r w:rsidRPr="004204E3">
        <w:rPr>
          <w:rFonts w:ascii="Century Gothic" w:hAnsi="Century Gothic" w:cs="Arial"/>
          <w:lang w:val="es-ES_tradnl" w:eastAsia="es-CO"/>
        </w:rPr>
        <w:t>se encuentra en el artículo primero, al definir el ámbito de aplicación de sus disposiciones</w:t>
      </w:r>
      <w:r w:rsidRPr="004204E3">
        <w:rPr>
          <w:rStyle w:val="Refdenotaalpie"/>
          <w:rFonts w:ascii="Century Gothic" w:hAnsi="Century Gothic" w:cs="Arial"/>
          <w:lang w:val="es-ES_tradnl" w:eastAsia="es-CO"/>
        </w:rPr>
        <w:footnoteReference w:id="22"/>
      </w:r>
      <w:r w:rsidRPr="004204E3">
        <w:rPr>
          <w:rFonts w:ascii="Century Gothic" w:hAnsi="Century Gothic" w:cs="Arial"/>
          <w:lang w:val="es-ES_tradnl" w:eastAsia="es-CO"/>
        </w:rPr>
        <w:t xml:space="preserve"> y en el literal c) del artículo 3 –del que surge el deber de publicar en el SECOP–, que expresamente </w:t>
      </w:r>
      <w:r w:rsidRPr="004204E3">
        <w:rPr>
          <w:rStyle w:val="normaltextrun"/>
          <w:rFonts w:ascii="Century Gothic" w:hAnsi="Century Gothic" w:cs="Arial"/>
          <w:shd w:val="clear" w:color="auto" w:fill="FFFFFF"/>
          <w:lang w:val="es-ES"/>
        </w:rPr>
        <w:t xml:space="preserve">establece que ese aparte del artículo se aplica a la </w:t>
      </w:r>
      <w:r w:rsidRPr="004204E3">
        <w:rPr>
          <w:rStyle w:val="normaltextrun"/>
          <w:rFonts w:ascii="Century Gothic" w:hAnsi="Century Gothic" w:cs="Arial"/>
          <w:i/>
          <w:iCs/>
          <w:shd w:val="clear" w:color="auto" w:fill="FFFFFF"/>
          <w:lang w:val="es-ES"/>
        </w:rPr>
        <w:t>“contratación realizada con dineros públicos”</w:t>
      </w:r>
      <w:r w:rsidRPr="004204E3">
        <w:rPr>
          <w:rStyle w:val="normaltextrun"/>
          <w:rFonts w:ascii="Century Gothic" w:hAnsi="Century Gothic" w:cs="Arial"/>
          <w:shd w:val="clear" w:color="auto" w:fill="FFFFFF"/>
          <w:lang w:val="es-ES"/>
        </w:rPr>
        <w:t xml:space="preserve">. </w:t>
      </w:r>
      <w:r w:rsidRPr="004204E3">
        <w:rPr>
          <w:rStyle w:val="normaltextrun"/>
          <w:rFonts w:ascii="Century Gothic" w:hAnsi="Century Gothic"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bookmarkEnd w:id="13"/>
    <w:p w14:paraId="61B3F94F" w14:textId="77777777" w:rsidR="00246CE2" w:rsidRPr="004204E3" w:rsidRDefault="00246CE2" w:rsidP="00246CE2">
      <w:pPr>
        <w:spacing w:after="0" w:line="276" w:lineRule="auto"/>
        <w:ind w:firstLine="709"/>
        <w:jc w:val="both"/>
        <w:rPr>
          <w:rFonts w:ascii="Century Gothic" w:hAnsi="Century Gothic" w:cs="Arial"/>
        </w:rPr>
      </w:pPr>
      <w:r w:rsidRPr="004204E3">
        <w:rPr>
          <w:rFonts w:ascii="Century Gothic" w:hAnsi="Century Gothic" w:cs="Arial"/>
          <w:lang w:val="es-ES_tradnl" w:eastAsia="es-CO"/>
        </w:rPr>
        <w:lastRenderedPageBreak/>
        <w:t xml:space="preserve">Por otro lado, </w:t>
      </w:r>
      <w:r w:rsidRPr="004204E3">
        <w:rPr>
          <w:rFonts w:ascii="Century Gothic" w:hAnsi="Century Gothic" w:cs="Arial"/>
        </w:rPr>
        <w:t xml:space="preserve">el Decreto 103, mediante el cual se reglamentó la Ley 1712 de 2014, y que fue compilado </w:t>
      </w:r>
      <w:r w:rsidRPr="004204E3">
        <w:rPr>
          <w:rStyle w:val="normaltextrun"/>
          <w:rFonts w:ascii="Century Gothic" w:hAnsi="Century Gothic" w:cs="Arial"/>
          <w:shd w:val="clear" w:color="auto" w:fill="FFFFFF"/>
        </w:rPr>
        <w:t xml:space="preserve">en los artículos 2.1.1.1.1. al 2.1.1.6.1. del Decreto 1081 de 2015–.  </w:t>
      </w:r>
      <w:r w:rsidRPr="004204E3">
        <w:rPr>
          <w:rFonts w:ascii="Century Gothic" w:hAnsi="Century Gothic" w:cs="Arial"/>
        </w:rPr>
        <w:t>señala:</w:t>
      </w:r>
    </w:p>
    <w:p w14:paraId="50703F8A" w14:textId="77777777" w:rsidR="00246CE2" w:rsidRPr="004204E3" w:rsidRDefault="00246CE2" w:rsidP="003E6457">
      <w:pPr>
        <w:spacing w:after="0" w:line="240" w:lineRule="auto"/>
        <w:ind w:firstLine="709"/>
        <w:contextualSpacing/>
        <w:jc w:val="both"/>
        <w:rPr>
          <w:rFonts w:ascii="Century Gothic" w:hAnsi="Century Gothic" w:cs="Arial"/>
        </w:rPr>
      </w:pPr>
      <w:r w:rsidRPr="004204E3">
        <w:rPr>
          <w:rFonts w:ascii="Century Gothic" w:hAnsi="Century Gothic" w:cs="Arial"/>
        </w:rPr>
        <w:t xml:space="preserve"> </w:t>
      </w:r>
    </w:p>
    <w:p w14:paraId="7D4263ED" w14:textId="77777777" w:rsidR="00246CE2" w:rsidRPr="004204E3" w:rsidRDefault="00246CE2" w:rsidP="003E6457">
      <w:pPr>
        <w:spacing w:after="0" w:line="240" w:lineRule="auto"/>
        <w:ind w:left="709" w:right="709"/>
        <w:contextualSpacing/>
        <w:jc w:val="both"/>
        <w:rPr>
          <w:rFonts w:ascii="Century Gothic" w:eastAsia="Times New Roman" w:hAnsi="Century Gothic" w:cs="Arial"/>
          <w:sz w:val="21"/>
          <w:szCs w:val="21"/>
          <w:lang w:eastAsia="es-CO"/>
        </w:rPr>
      </w:pPr>
      <w:r w:rsidRPr="004204E3">
        <w:rPr>
          <w:rFonts w:ascii="Century Gothic" w:eastAsia="Times New Roman" w:hAnsi="Century Gothic" w:cs="Arial"/>
          <w:sz w:val="21"/>
          <w:szCs w:val="21"/>
          <w:lang w:eastAsia="es-CO"/>
        </w:rPr>
        <w:t>“Artículo 7°.</w:t>
      </w:r>
      <w:r w:rsidRPr="004204E3">
        <w:rPr>
          <w:rFonts w:ascii="Century Gothic" w:eastAsia="Times New Roman" w:hAnsi="Century Gothic" w:cs="Arial"/>
          <w:i/>
          <w:iCs/>
          <w:sz w:val="21"/>
          <w:szCs w:val="21"/>
          <w:lang w:eastAsia="es-CO"/>
        </w:rPr>
        <w:t xml:space="preserve"> Publicación de la información contractual. </w:t>
      </w:r>
      <w:r w:rsidRPr="004204E3">
        <w:rPr>
          <w:rFonts w:ascii="Century Gothic" w:eastAsia="Times New Roman" w:hAnsi="Century Gothic" w:cs="Arial"/>
          <w:sz w:val="21"/>
          <w:szCs w:val="21"/>
          <w:lang w:eastAsia="es-CO"/>
        </w:rPr>
        <w:t xml:space="preserve">De conformidad con el literal (c) del artículo 3° de la Ley 1150 de 2007, el sistema de información del Estado en el cual los sujetos obligados que contratan </w:t>
      </w:r>
      <w:r w:rsidRPr="004204E3">
        <w:rPr>
          <w:rFonts w:ascii="Century Gothic" w:eastAsia="Times New Roman" w:hAnsi="Century Gothic" w:cs="Arial"/>
          <w:i/>
          <w:iCs/>
          <w:sz w:val="21"/>
          <w:szCs w:val="21"/>
          <w:lang w:eastAsia="es-CO"/>
        </w:rPr>
        <w:t>con cargo a recursos públicos</w:t>
      </w:r>
      <w:r w:rsidRPr="004204E3">
        <w:rPr>
          <w:rFonts w:ascii="Century Gothic" w:eastAsia="Times New Roman" w:hAnsi="Century Gothic" w:cs="Arial"/>
          <w:sz w:val="21"/>
          <w:szCs w:val="21"/>
          <w:lang w:eastAsia="es-CO"/>
        </w:rPr>
        <w:t xml:space="preserve"> deben cumplir la obligación de publicar la información de su gestión contractual es el Sistema Electrónico para la Contratación Pública (Secop). </w:t>
      </w:r>
    </w:p>
    <w:p w14:paraId="77007048" w14:textId="77777777" w:rsidR="00246CE2" w:rsidRPr="004204E3" w:rsidRDefault="00246CE2" w:rsidP="003E6457">
      <w:pPr>
        <w:spacing w:after="0" w:line="240" w:lineRule="auto"/>
        <w:ind w:left="709" w:right="709"/>
        <w:contextualSpacing/>
        <w:jc w:val="both"/>
        <w:rPr>
          <w:rFonts w:ascii="Century Gothic" w:eastAsia="Times New Roman" w:hAnsi="Century Gothic" w:cs="Arial"/>
          <w:sz w:val="21"/>
          <w:szCs w:val="21"/>
          <w:lang w:eastAsia="es-CO"/>
        </w:rPr>
      </w:pPr>
      <w:r w:rsidRPr="004204E3">
        <w:rPr>
          <w:rFonts w:ascii="Century Gothic" w:eastAsia="Times New Roman" w:hAnsi="Century Gothic" w:cs="Arial"/>
          <w:sz w:val="21"/>
          <w:szCs w:val="21"/>
          <w:lang w:eastAsia="es-CO"/>
        </w:rPr>
        <w:t>  </w:t>
      </w:r>
    </w:p>
    <w:p w14:paraId="66E07DA7" w14:textId="77777777" w:rsidR="00246CE2" w:rsidRPr="004204E3" w:rsidRDefault="00246CE2" w:rsidP="003E6457">
      <w:pPr>
        <w:spacing w:after="0" w:line="240" w:lineRule="auto"/>
        <w:ind w:left="709" w:right="709"/>
        <w:contextualSpacing/>
        <w:jc w:val="both"/>
        <w:rPr>
          <w:rFonts w:ascii="Century Gothic" w:eastAsia="Times New Roman" w:hAnsi="Century Gothic" w:cs="Arial"/>
          <w:sz w:val="21"/>
          <w:szCs w:val="21"/>
          <w:lang w:eastAsia="es-CO"/>
        </w:rPr>
      </w:pPr>
      <w:r w:rsidRPr="004204E3">
        <w:rPr>
          <w:rFonts w:ascii="Century Gothic" w:eastAsia="Times New Roman" w:hAnsi="Century Gothic" w:cs="Arial"/>
          <w:sz w:val="21"/>
          <w:szCs w:val="21"/>
          <w:lang w:eastAsia="es-CO"/>
        </w:rPr>
        <w:t xml:space="preserve">Los sujetos obligados que contratan </w:t>
      </w:r>
      <w:r w:rsidRPr="004204E3">
        <w:rPr>
          <w:rFonts w:ascii="Century Gothic" w:eastAsia="Times New Roman" w:hAnsi="Century Gothic" w:cs="Arial"/>
          <w:i/>
          <w:iCs/>
          <w:sz w:val="21"/>
          <w:szCs w:val="21"/>
          <w:lang w:eastAsia="es-CO"/>
        </w:rPr>
        <w:t>con cargo a recursos públicos</w:t>
      </w:r>
      <w:r w:rsidRPr="004204E3">
        <w:rPr>
          <w:rFonts w:ascii="Century Gothic" w:eastAsia="Times New Roman" w:hAnsi="Century Gothic" w:cs="Arial"/>
          <w:sz w:val="21"/>
          <w:szCs w:val="21"/>
          <w:lang w:eastAsia="es-CO"/>
        </w:rPr>
        <w:t xml:space="preserve"> deben publicar la información de su gestión contractual en el plazo previsto en el artículo 19 del Decreto 1510 de 2013, o el que lo modifique, sustituya o adicione. </w:t>
      </w:r>
    </w:p>
    <w:p w14:paraId="4D41677A" w14:textId="77777777" w:rsidR="00246CE2" w:rsidRPr="004204E3" w:rsidRDefault="00246CE2" w:rsidP="003E6457">
      <w:pPr>
        <w:spacing w:after="0" w:line="240" w:lineRule="auto"/>
        <w:ind w:left="709" w:right="709"/>
        <w:contextualSpacing/>
        <w:jc w:val="both"/>
        <w:rPr>
          <w:rFonts w:ascii="Century Gothic" w:eastAsia="Times New Roman" w:hAnsi="Century Gothic" w:cs="Arial"/>
          <w:sz w:val="21"/>
          <w:szCs w:val="21"/>
          <w:lang w:eastAsia="es-CO"/>
        </w:rPr>
      </w:pPr>
      <w:r w:rsidRPr="004204E3">
        <w:rPr>
          <w:rFonts w:ascii="Century Gothic" w:eastAsia="Times New Roman" w:hAnsi="Century Gothic" w:cs="Arial"/>
          <w:sz w:val="21"/>
          <w:szCs w:val="21"/>
          <w:lang w:eastAsia="es-CO"/>
        </w:rPr>
        <w:t>  </w:t>
      </w:r>
    </w:p>
    <w:p w14:paraId="612B9E2B" w14:textId="77777777" w:rsidR="00246CE2" w:rsidRPr="004204E3" w:rsidRDefault="00246CE2" w:rsidP="003E6457">
      <w:pPr>
        <w:spacing w:after="0" w:line="240" w:lineRule="auto"/>
        <w:ind w:left="709" w:right="709"/>
        <w:contextualSpacing/>
        <w:jc w:val="both"/>
        <w:rPr>
          <w:rFonts w:ascii="Century Gothic" w:eastAsia="Times New Roman" w:hAnsi="Century Gothic" w:cs="Arial"/>
          <w:sz w:val="21"/>
          <w:szCs w:val="21"/>
          <w:lang w:eastAsia="es-CO"/>
        </w:rPr>
      </w:pPr>
      <w:r w:rsidRPr="004204E3">
        <w:rPr>
          <w:rFonts w:ascii="Century Gothic" w:eastAsia="Times New Roman" w:hAnsi="Century Gothic" w:cs="Arial"/>
          <w:sz w:val="21"/>
          <w:szCs w:val="21"/>
          <w:lang w:eastAsia="es-CO"/>
        </w:rPr>
        <w:t xml:space="preserve">Los sujetos obligados que contratan con recursos públicos y recursos privados, deben publicar la información de su gestión contractual con cargo a recursos públicos en el Sistema Electrónico para la Contratación Pública (Secop)”. (Énfasis fuera del texto original). </w:t>
      </w:r>
    </w:p>
    <w:p w14:paraId="615FB235" w14:textId="77777777" w:rsidR="00246CE2" w:rsidRPr="004204E3" w:rsidRDefault="00246CE2" w:rsidP="003E6457">
      <w:pPr>
        <w:spacing w:after="0" w:line="240" w:lineRule="auto"/>
        <w:ind w:left="709" w:right="709"/>
        <w:contextualSpacing/>
        <w:jc w:val="both"/>
        <w:rPr>
          <w:rFonts w:ascii="Century Gothic" w:eastAsia="Times New Roman" w:hAnsi="Century Gothic" w:cs="Arial"/>
          <w:lang w:eastAsia="es-CO"/>
        </w:rPr>
      </w:pPr>
      <w:r w:rsidRPr="004204E3">
        <w:rPr>
          <w:rFonts w:ascii="Century Gothic" w:eastAsia="Times New Roman" w:hAnsi="Century Gothic" w:cs="Arial"/>
          <w:lang w:eastAsia="es-CO"/>
        </w:rPr>
        <w:t>  </w:t>
      </w:r>
    </w:p>
    <w:p w14:paraId="2F448C3F" w14:textId="77777777" w:rsidR="00246CE2" w:rsidRPr="004204E3" w:rsidRDefault="00246CE2" w:rsidP="00246CE2">
      <w:pPr>
        <w:spacing w:after="120" w:line="276" w:lineRule="auto"/>
        <w:ind w:firstLine="709"/>
        <w:jc w:val="both"/>
        <w:rPr>
          <w:rFonts w:ascii="Century Gothic" w:eastAsia="Calibri" w:hAnsi="Century Gothic" w:cs="Arial"/>
          <w:lang w:val="es-ES_tradnl" w:eastAsia="es-ES_tradnl"/>
        </w:rPr>
      </w:pPr>
      <w:bookmarkStart w:id="14" w:name="_Hlk110869205"/>
      <w:r w:rsidRPr="004204E3">
        <w:rPr>
          <w:rFonts w:ascii="Century Gothic" w:eastAsia="Calibri" w:hAnsi="Century Gothic"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bookmarkEnd w:id="14"/>
    <w:p w14:paraId="73C5236D" w14:textId="2D7900F9" w:rsidR="00246CE2" w:rsidRPr="004204E3" w:rsidRDefault="00246CE2" w:rsidP="00246CE2">
      <w:pPr>
        <w:spacing w:after="0" w:line="276" w:lineRule="auto"/>
        <w:ind w:firstLine="709"/>
        <w:jc w:val="both"/>
        <w:rPr>
          <w:rFonts w:ascii="Century Gothic" w:hAnsi="Century Gothic" w:cs="Arial"/>
          <w:lang w:val="es-ES"/>
        </w:rPr>
      </w:pPr>
      <w:r w:rsidRPr="004204E3">
        <w:rPr>
          <w:rStyle w:val="normaltextrun"/>
          <w:rFonts w:ascii="Century Gothic" w:hAnsi="Century Gothic" w:cs="Arial"/>
          <w:shd w:val="clear" w:color="auto" w:fill="FFFFFF"/>
          <w:lang w:val="es-ES"/>
        </w:rPr>
        <w:t xml:space="preserve">En consonancia con la interpretación antes expuesta, </w:t>
      </w:r>
      <w:r w:rsidRPr="004204E3">
        <w:rPr>
          <w:rFonts w:ascii="Century Gothic" w:hAnsi="Century Gothic" w:cs="Arial"/>
          <w:lang w:val="es-ES"/>
        </w:rPr>
        <w:t xml:space="preserve">la </w:t>
      </w:r>
      <w:r w:rsidRPr="004204E3">
        <w:rPr>
          <w:rFonts w:ascii="Century Gothic" w:eastAsia="Calibri" w:hAnsi="Century Gothic" w:cs="Arial"/>
          <w:lang w:val="es-ES"/>
        </w:rPr>
        <w:t>Circular 002 del 1 de junio de 2022</w:t>
      </w:r>
      <w:r w:rsidRPr="004204E3">
        <w:rPr>
          <w:rFonts w:ascii="Century Gothic" w:eastAsia="Calibri" w:hAnsi="Century Gothic" w:cs="Arial"/>
          <w:vertAlign w:val="superscript"/>
          <w:lang w:val="es-ES"/>
        </w:rPr>
        <w:footnoteReference w:id="23"/>
      </w:r>
      <w:r w:rsidRPr="004204E3">
        <w:rPr>
          <w:rFonts w:ascii="Century Gothic" w:eastAsia="Calibri" w:hAnsi="Century Gothic" w:cs="Arial"/>
          <w:lang w:val="es-ES"/>
        </w:rPr>
        <w:t>, dictada por el Departamento Administrativo de la Presidencia de la República</w:t>
      </w:r>
      <w:r w:rsidRPr="004204E3">
        <w:rPr>
          <w:rFonts w:ascii="Century Gothic" w:hAnsi="Century Gothic" w:cs="Arial"/>
          <w:lang w:val="es-ES"/>
        </w:rPr>
        <w:t>, a través de la cual fueron impartidas instrucciones relacionadas con la aplicación del artículo 53 de la Ley 2195 de 2022, en el numeral I –</w:t>
      </w:r>
      <w:r w:rsidRPr="004204E3">
        <w:rPr>
          <w:rFonts w:ascii="Century Gothic" w:hAnsi="Century Gothic" w:cs="Arial"/>
          <w:lang w:val="es-ES"/>
        </w:rPr>
        <w:lastRenderedPageBreak/>
        <w:t xml:space="preserve">denominado </w:t>
      </w:r>
      <w:r w:rsidR="003E6457" w:rsidRPr="004204E3">
        <w:rPr>
          <w:rFonts w:ascii="Century Gothic" w:hAnsi="Century Gothic" w:cs="Arial"/>
          <w:lang w:val="es-ES"/>
        </w:rPr>
        <w:t>“</w:t>
      </w:r>
      <w:r w:rsidRPr="004204E3">
        <w:rPr>
          <w:rFonts w:ascii="Century Gothic" w:hAnsi="Century Gothic" w:cs="Arial"/>
          <w:lang w:val="es-ES"/>
        </w:rPr>
        <w:t>Publicación de los documentos contractuales en el SECOP II</w:t>
      </w:r>
      <w:r w:rsidR="003E6457" w:rsidRPr="004204E3">
        <w:rPr>
          <w:rFonts w:ascii="Century Gothic" w:hAnsi="Century Gothic" w:cs="Arial"/>
          <w:lang w:val="es-ES"/>
        </w:rPr>
        <w:t>”</w:t>
      </w:r>
      <w:r w:rsidRPr="004204E3">
        <w:rPr>
          <w:rFonts w:ascii="Century Gothic" w:hAnsi="Century Gothic" w:cs="Arial"/>
          <w:lang w:val="es-ES"/>
        </w:rPr>
        <w:t xml:space="preserve">–, señala: </w:t>
      </w:r>
    </w:p>
    <w:p w14:paraId="6CED04EE" w14:textId="77777777" w:rsidR="00246CE2" w:rsidRPr="004204E3" w:rsidRDefault="00246CE2" w:rsidP="003E6457">
      <w:pPr>
        <w:spacing w:after="0" w:line="240" w:lineRule="auto"/>
        <w:ind w:left="709" w:right="709"/>
        <w:contextualSpacing/>
        <w:jc w:val="both"/>
        <w:rPr>
          <w:rFonts w:ascii="Century Gothic" w:eastAsia="Calibri" w:hAnsi="Century Gothic" w:cs="Arial"/>
          <w:lang w:val="es-ES_tradnl" w:eastAsia="es-ES_tradnl"/>
        </w:rPr>
      </w:pPr>
    </w:p>
    <w:p w14:paraId="5BE313DF" w14:textId="77777777" w:rsidR="00246CE2" w:rsidRPr="004204E3" w:rsidRDefault="00246CE2" w:rsidP="00E8534C">
      <w:pPr>
        <w:spacing w:after="0" w:line="240" w:lineRule="auto"/>
        <w:ind w:left="709" w:right="709"/>
        <w:contextualSpacing/>
        <w:jc w:val="both"/>
        <w:rPr>
          <w:rFonts w:ascii="Century Gothic" w:eastAsia="Calibri" w:hAnsi="Century Gothic" w:cs="Arial"/>
          <w:sz w:val="21"/>
          <w:szCs w:val="21"/>
          <w:lang w:val="es-ES_tradnl" w:eastAsia="es-ES_tradnl"/>
        </w:rPr>
      </w:pPr>
      <w:r w:rsidRPr="004204E3">
        <w:rPr>
          <w:rFonts w:ascii="Century Gothic" w:eastAsia="Calibri" w:hAnsi="Century Gothic" w:cs="Arial"/>
          <w:sz w:val="21"/>
          <w:szCs w:val="21"/>
          <w:lang w:val="es-ES_tradnl" w:eastAsia="es-ES_tradnl"/>
        </w:rPr>
        <w:t xml:space="preserve">“El Sistema Electrónico de Contratación Pública – SECOP – es una herramienta tecnológica de apoyo a la contratación pública, en la cual se encuentra la información oficial de la contratación realizada </w:t>
      </w:r>
      <w:r w:rsidRPr="004204E3">
        <w:rPr>
          <w:rFonts w:ascii="Century Gothic" w:eastAsia="Calibri" w:hAnsi="Century Gothic" w:cs="Arial"/>
          <w:i/>
          <w:iCs/>
          <w:sz w:val="21"/>
          <w:szCs w:val="21"/>
          <w:lang w:val="es-ES_tradnl" w:eastAsia="es-ES_tradnl"/>
        </w:rPr>
        <w:t>con dineros públicos</w:t>
      </w:r>
      <w:r w:rsidRPr="004204E3">
        <w:rPr>
          <w:rFonts w:ascii="Century Gothic" w:eastAsia="Calibri" w:hAnsi="Century Gothic" w:cs="Arial"/>
          <w:sz w:val="21"/>
          <w:szCs w:val="21"/>
          <w:lang w:val="es-ES_tradnl" w:eastAsia="es-ES_tradnl"/>
        </w:rPr>
        <w:t xml:space="preserve">. Lo anterior, de conformidad con lo establecido en el literal c) del artículo 3 de la Ley 1150 de 2007. </w:t>
      </w:r>
    </w:p>
    <w:p w14:paraId="317E4421" w14:textId="77777777" w:rsidR="00246CE2" w:rsidRPr="004204E3" w:rsidRDefault="00246CE2" w:rsidP="00E8534C">
      <w:pPr>
        <w:spacing w:after="0" w:line="240" w:lineRule="auto"/>
        <w:ind w:left="709" w:right="709"/>
        <w:contextualSpacing/>
        <w:jc w:val="both"/>
        <w:rPr>
          <w:rFonts w:ascii="Century Gothic" w:eastAsia="Calibri" w:hAnsi="Century Gothic" w:cs="Arial"/>
          <w:sz w:val="21"/>
          <w:szCs w:val="21"/>
          <w:lang w:val="es-ES_tradnl" w:eastAsia="es-ES_tradnl"/>
        </w:rPr>
      </w:pPr>
    </w:p>
    <w:p w14:paraId="540871F7" w14:textId="77777777" w:rsidR="00246CE2" w:rsidRPr="004204E3" w:rsidRDefault="00246CE2" w:rsidP="00E8534C">
      <w:pPr>
        <w:spacing w:after="0" w:line="240" w:lineRule="auto"/>
        <w:ind w:left="709" w:right="709"/>
        <w:contextualSpacing/>
        <w:jc w:val="both"/>
        <w:rPr>
          <w:rFonts w:ascii="Century Gothic" w:eastAsia="Calibri" w:hAnsi="Century Gothic" w:cs="Arial"/>
          <w:sz w:val="21"/>
          <w:szCs w:val="21"/>
          <w:lang w:val="es-ES_tradnl" w:eastAsia="es-ES_tradnl"/>
        </w:rPr>
      </w:pPr>
      <w:r w:rsidRPr="004204E3">
        <w:rPr>
          <w:rFonts w:ascii="Century Gothic" w:eastAsia="Calibri" w:hAnsi="Century Gothic" w:cs="Arial"/>
          <w:sz w:val="21"/>
          <w:szCs w:val="21"/>
          <w:lang w:val="es-ES_tradnl" w:eastAsia="es-ES_tradnl"/>
        </w:rPr>
        <w:t xml:space="preserve">En ese sentido, las entidades obligadas en virtud del artículo 53 de la Ley 2195 de 2022, deberán realizar la publicación en el SECOP II </w:t>
      </w:r>
      <w:r w:rsidRPr="004204E3">
        <w:rPr>
          <w:rFonts w:ascii="Century Gothic" w:eastAsia="Calibri" w:hAnsi="Century Gothic" w:cs="Arial"/>
          <w:i/>
          <w:iCs/>
          <w:sz w:val="21"/>
          <w:szCs w:val="21"/>
          <w:lang w:val="es-ES_tradnl" w:eastAsia="es-ES_tradnl"/>
        </w:rPr>
        <w:t>de aquellos documentos relacionados con la actividad contractual que se realice con dineros públicos”</w:t>
      </w:r>
      <w:r w:rsidRPr="004204E3">
        <w:rPr>
          <w:rFonts w:ascii="Century Gothic" w:eastAsia="Calibri" w:hAnsi="Century Gothic" w:cs="Arial"/>
          <w:sz w:val="21"/>
          <w:szCs w:val="21"/>
          <w:lang w:val="es-ES_tradnl" w:eastAsia="es-ES_tradnl"/>
        </w:rPr>
        <w:t xml:space="preserve"> […] </w:t>
      </w:r>
      <w:r w:rsidRPr="004204E3">
        <w:rPr>
          <w:rFonts w:ascii="Century Gothic" w:hAnsi="Century Gothic" w:cs="Arial"/>
          <w:sz w:val="21"/>
          <w:szCs w:val="21"/>
          <w:lang w:val="es-ES"/>
        </w:rPr>
        <w:t>(Énfasis fuera del texto original).</w:t>
      </w:r>
    </w:p>
    <w:p w14:paraId="6308F19C" w14:textId="77777777" w:rsidR="00246CE2" w:rsidRPr="004204E3" w:rsidRDefault="00246CE2" w:rsidP="00246CE2">
      <w:pPr>
        <w:spacing w:after="0" w:line="276" w:lineRule="auto"/>
        <w:ind w:firstLine="709"/>
        <w:contextualSpacing/>
        <w:jc w:val="both"/>
        <w:rPr>
          <w:rFonts w:ascii="Century Gothic" w:eastAsia="Calibri" w:hAnsi="Century Gothic" w:cs="Arial"/>
          <w:lang w:val="es-ES_tradnl" w:eastAsia="es-ES_tradnl"/>
        </w:rPr>
      </w:pPr>
    </w:p>
    <w:p w14:paraId="6929E88D" w14:textId="77777777" w:rsidR="00246CE2" w:rsidRPr="004204E3" w:rsidRDefault="00246CE2" w:rsidP="00246CE2">
      <w:pPr>
        <w:spacing w:after="0" w:line="276" w:lineRule="auto"/>
        <w:ind w:firstLine="709"/>
        <w:jc w:val="both"/>
        <w:rPr>
          <w:rFonts w:ascii="Century Gothic" w:hAnsi="Century Gothic" w:cs="Arial"/>
          <w:shd w:val="clear" w:color="auto" w:fill="FFFFFF"/>
        </w:rPr>
      </w:pPr>
      <w:r w:rsidRPr="004204E3">
        <w:rPr>
          <w:rFonts w:ascii="Century Gothic" w:hAnsi="Century Gothic"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recursos públicos, cuya información es la que debe publicarse en el SECOP II, acorde con la interpretación sistemática que permite armonizar el referido artículo 53 de la Ley 2195 de 2022 con todo el contexto normativo que establece que en dicha plataforma se debe publicar solo la información relativa a la actividad contractual con dineros públicos. </w:t>
      </w:r>
      <w:r w:rsidRPr="004204E3">
        <w:rPr>
          <w:rStyle w:val="normaltextrun"/>
          <w:rFonts w:ascii="Century Gothic" w:hAnsi="Century Gothic" w:cs="Arial"/>
          <w:shd w:val="clear" w:color="auto" w:fill="FFFFFF"/>
        </w:rPr>
        <w:t xml:space="preserve">Así las cosas, la Agencia Nacional de Contratación Pública – Colombia Compra Eficiente considera que la modificación introducida por el artículo 53 de la Ley 2195 de 2022 no afecta la interpretación adoptada hasta el momento, en el sentido de que la </w:t>
      </w:r>
      <w:r w:rsidRPr="004204E3">
        <w:rPr>
          <w:rStyle w:val="normaltextrun"/>
          <w:rFonts w:ascii="Century Gothic" w:hAnsi="Century Gothic" w:cs="Arial"/>
          <w:shd w:val="clear" w:color="auto" w:fill="FFFFFF"/>
          <w:lang w:val="es-ES"/>
        </w:rPr>
        <w:t xml:space="preserve">publicación de la información oficial de la contratación en el SECOP debe realizarse si los negocios jurídicos adelantados fueron financiados con recursos públicos. </w:t>
      </w:r>
    </w:p>
    <w:p w14:paraId="07CB653C" w14:textId="77777777" w:rsidR="00246CE2" w:rsidRPr="004204E3" w:rsidRDefault="00246CE2" w:rsidP="00246CE2">
      <w:pPr>
        <w:spacing w:after="0" w:line="276" w:lineRule="auto"/>
        <w:contextualSpacing/>
        <w:jc w:val="both"/>
        <w:rPr>
          <w:rFonts w:ascii="Century Gothic" w:eastAsia="Calibri" w:hAnsi="Century Gothic" w:cs="Arial"/>
          <w:bCs/>
          <w:lang w:val="es-MX"/>
        </w:rPr>
      </w:pPr>
    </w:p>
    <w:p w14:paraId="5D4B40F0" w14:textId="77777777" w:rsidR="00112087" w:rsidRPr="004204E3" w:rsidRDefault="00112087" w:rsidP="00112087">
      <w:pPr>
        <w:tabs>
          <w:tab w:val="left" w:pos="284"/>
        </w:tabs>
        <w:spacing w:after="0" w:line="276" w:lineRule="auto"/>
        <w:contextualSpacing/>
        <w:jc w:val="both"/>
        <w:rPr>
          <w:rFonts w:ascii="Century Gothic" w:eastAsia="Calibri" w:hAnsi="Century Gothic" w:cs="Arial"/>
          <w:b/>
          <w:lang w:val="es-MX"/>
        </w:rPr>
      </w:pPr>
      <w:r w:rsidRPr="004204E3">
        <w:rPr>
          <w:rFonts w:ascii="Century Gothic" w:eastAsia="Calibri" w:hAnsi="Century Gothic" w:cs="Arial"/>
          <w:b/>
          <w:lang w:val="es-MX"/>
        </w:rPr>
        <w:t>3. Respuesta</w:t>
      </w:r>
    </w:p>
    <w:p w14:paraId="2B072855" w14:textId="77777777" w:rsidR="00112087" w:rsidRPr="004204E3" w:rsidRDefault="00112087" w:rsidP="00112087">
      <w:pPr>
        <w:spacing w:after="0" w:line="276" w:lineRule="auto"/>
        <w:contextualSpacing/>
        <w:jc w:val="both"/>
        <w:rPr>
          <w:rFonts w:ascii="Century Gothic" w:eastAsia="Calibri" w:hAnsi="Century Gothic" w:cs="Arial"/>
          <w:lang w:val="es-ES_tradnl"/>
        </w:rPr>
      </w:pPr>
    </w:p>
    <w:p w14:paraId="11734777" w14:textId="77777777" w:rsidR="00112087" w:rsidRPr="004204E3" w:rsidRDefault="00112087" w:rsidP="00112087">
      <w:pPr>
        <w:spacing w:after="0" w:line="240" w:lineRule="auto"/>
        <w:ind w:left="709" w:right="709"/>
        <w:jc w:val="both"/>
        <w:rPr>
          <w:rFonts w:ascii="Century Gothic" w:hAnsi="Century Gothic"/>
          <w:sz w:val="21"/>
          <w:szCs w:val="21"/>
        </w:rPr>
      </w:pPr>
      <w:r w:rsidRPr="004204E3">
        <w:rPr>
          <w:rFonts w:ascii="Century Gothic" w:hAnsi="Century Gothic"/>
          <w:sz w:val="21"/>
          <w:szCs w:val="21"/>
        </w:rPr>
        <w:t>“[…] ¿Una empresa de servicios públicos mixta puede establecer invitaciones privadas para procesos de contratación con cuantía menos a cinco mil (5.000) SMMLV? Cuando se habla de invitaciones privadas se hace alusión a invitaciones a 2 o más oferentes inscritos en el banco de proveedores por medio de correo electrónico.</w:t>
      </w:r>
    </w:p>
    <w:p w14:paraId="0E894F10" w14:textId="77777777" w:rsidR="00112087" w:rsidRPr="004204E3" w:rsidRDefault="00112087" w:rsidP="00112087">
      <w:pPr>
        <w:spacing w:after="0" w:line="240" w:lineRule="auto"/>
        <w:ind w:left="709" w:right="709"/>
        <w:jc w:val="both"/>
        <w:rPr>
          <w:rFonts w:ascii="Century Gothic" w:hAnsi="Century Gothic"/>
          <w:sz w:val="21"/>
          <w:szCs w:val="21"/>
        </w:rPr>
      </w:pPr>
    </w:p>
    <w:p w14:paraId="44AAE072" w14:textId="77777777" w:rsidR="00112087" w:rsidRPr="004204E3" w:rsidRDefault="00112087" w:rsidP="00112087">
      <w:pPr>
        <w:spacing w:after="0" w:line="240" w:lineRule="auto"/>
        <w:ind w:left="709" w:right="709"/>
        <w:jc w:val="both"/>
        <w:rPr>
          <w:rFonts w:ascii="Century Gothic" w:hAnsi="Century Gothic"/>
          <w:sz w:val="21"/>
          <w:szCs w:val="21"/>
        </w:rPr>
      </w:pPr>
      <w:r w:rsidRPr="004204E3">
        <w:rPr>
          <w:rFonts w:ascii="Century Gothic" w:hAnsi="Century Gothic"/>
          <w:sz w:val="21"/>
          <w:szCs w:val="21"/>
        </w:rPr>
        <w:t>2. ¿Los contratos suscritos con régimen del código sustantivo del trabajo en relación con la prestación de servicios y recursos propios de una empresa de servicios públicos mixta no se deben publicar en el SECOP II?</w:t>
      </w:r>
    </w:p>
    <w:p w14:paraId="6A7141C4" w14:textId="77777777" w:rsidR="00112087" w:rsidRPr="004204E3" w:rsidRDefault="00112087" w:rsidP="00112087">
      <w:pPr>
        <w:spacing w:after="0" w:line="240" w:lineRule="auto"/>
        <w:ind w:left="709" w:right="709"/>
        <w:jc w:val="both"/>
        <w:rPr>
          <w:rFonts w:ascii="Century Gothic" w:hAnsi="Century Gothic"/>
          <w:sz w:val="21"/>
          <w:szCs w:val="21"/>
        </w:rPr>
      </w:pPr>
    </w:p>
    <w:p w14:paraId="15F4D991" w14:textId="77777777" w:rsidR="00112087" w:rsidRPr="004204E3" w:rsidRDefault="00112087" w:rsidP="00112087">
      <w:pPr>
        <w:spacing w:after="0" w:line="240" w:lineRule="auto"/>
        <w:ind w:left="709" w:right="709"/>
        <w:jc w:val="both"/>
        <w:rPr>
          <w:rFonts w:ascii="Century Gothic" w:hAnsi="Century Gothic"/>
          <w:sz w:val="21"/>
          <w:szCs w:val="21"/>
        </w:rPr>
      </w:pPr>
      <w:r w:rsidRPr="004204E3">
        <w:rPr>
          <w:rFonts w:ascii="Century Gothic" w:hAnsi="Century Gothic"/>
          <w:sz w:val="21"/>
          <w:szCs w:val="21"/>
        </w:rPr>
        <w:lastRenderedPageBreak/>
        <w:t>3. ¿Una empresa de servicios públicos mixta puede realizar sus procesos de contratación por medio de su página web de conformidad con lo establecido en su manual de contratación y publicar únicamente el contrato en el SECOP II una vez se suscriba?</w:t>
      </w:r>
    </w:p>
    <w:p w14:paraId="6D4B4F96" w14:textId="77777777" w:rsidR="00112087" w:rsidRPr="004204E3" w:rsidRDefault="00112087" w:rsidP="00112087">
      <w:pPr>
        <w:spacing w:after="0" w:line="240" w:lineRule="auto"/>
        <w:ind w:left="709" w:right="709"/>
        <w:jc w:val="both"/>
        <w:rPr>
          <w:rFonts w:ascii="Century Gothic" w:hAnsi="Century Gothic"/>
          <w:sz w:val="21"/>
          <w:szCs w:val="21"/>
        </w:rPr>
      </w:pPr>
    </w:p>
    <w:p w14:paraId="7D392B5E" w14:textId="77777777" w:rsidR="00112087" w:rsidRPr="004204E3" w:rsidRDefault="00112087" w:rsidP="00112087">
      <w:pPr>
        <w:spacing w:after="0" w:line="240" w:lineRule="auto"/>
        <w:ind w:left="709" w:right="709"/>
        <w:jc w:val="both"/>
        <w:rPr>
          <w:rFonts w:ascii="Century Gothic" w:hAnsi="Century Gothic"/>
          <w:sz w:val="21"/>
          <w:szCs w:val="21"/>
        </w:rPr>
      </w:pPr>
      <w:r w:rsidRPr="004204E3">
        <w:rPr>
          <w:rFonts w:ascii="Century Gothic" w:hAnsi="Century Gothic"/>
          <w:sz w:val="21"/>
          <w:szCs w:val="21"/>
        </w:rPr>
        <w:t>4. Sírvase indicar cómo puede establecer de manera correcta la cuantía que deberá aplicar una empresa de servicios públicos para limitar sus procesos de contratación y cumplir con la normatividad vigente. […]”</w:t>
      </w:r>
    </w:p>
    <w:p w14:paraId="12BA79C8" w14:textId="77777777" w:rsidR="00A73D28" w:rsidRPr="004204E3" w:rsidRDefault="00A73D28" w:rsidP="00112087">
      <w:pPr>
        <w:spacing w:after="0" w:line="276" w:lineRule="auto"/>
        <w:ind w:right="709"/>
        <w:jc w:val="both"/>
        <w:rPr>
          <w:rFonts w:ascii="Century Gothic" w:hAnsi="Century Gothic"/>
        </w:rPr>
      </w:pPr>
    </w:p>
    <w:p w14:paraId="670D4E26" w14:textId="77777777" w:rsidR="00F97CF8" w:rsidRPr="004204E3" w:rsidRDefault="003C4E42" w:rsidP="00F97CF8">
      <w:pPr>
        <w:spacing w:after="120" w:line="276" w:lineRule="auto"/>
        <w:jc w:val="both"/>
        <w:rPr>
          <w:rFonts w:ascii="Century Gothic" w:hAnsi="Century Gothic" w:cs="Arial"/>
        </w:rPr>
      </w:pPr>
      <w:r w:rsidRPr="004204E3">
        <w:rPr>
          <w:rFonts w:ascii="Century Gothic" w:hAnsi="Century Gothic" w:cs="Arial"/>
        </w:rPr>
        <w:t>De acuerdo con lo explicado supra, en virtud de lo dispuesto en los artículos 3, numeral 5° y 11, numeral 8° del Decreto Ley 4170 de 2011, la Agencia Nacional de Contratación Pública –Colombia Compra Eficiente– resuelve las consultas sobre los asuntos de su competencia, esto es, sobre las temáticas de la contratación estatal y compras públicas relacionadas en la aplicación de normas de alcance general. Dicha competencia no puede extenderse a la resolución de casos particulares, brindar asesorías o validar actuaciones de Entidades Estatales, toda vez que ello desborda las atribuciones asignadas por el legislador extraordinario.</w:t>
      </w:r>
    </w:p>
    <w:p w14:paraId="25BDF89A" w14:textId="03B45056" w:rsidR="007B3B4D" w:rsidRDefault="00F97CF8" w:rsidP="00AB71C9">
      <w:pPr>
        <w:spacing w:after="120" w:line="276" w:lineRule="auto"/>
        <w:ind w:firstLine="708"/>
        <w:jc w:val="both"/>
        <w:rPr>
          <w:rFonts w:ascii="Century Gothic" w:eastAsia="Calibri" w:hAnsi="Century Gothic" w:cs="Arabic Typesetting"/>
          <w:bCs/>
          <w:lang w:val="es-MX"/>
        </w:rPr>
      </w:pPr>
      <w:r w:rsidRPr="0062644E">
        <w:rPr>
          <w:rFonts w:ascii="Century Gothic" w:hAnsi="Century Gothic" w:cs="Arabic Typesetting"/>
        </w:rPr>
        <w:t>Así las cosas</w:t>
      </w:r>
      <w:r w:rsidRPr="0062644E">
        <w:rPr>
          <w:rFonts w:ascii="Century Gothic" w:eastAsia="Calibri" w:hAnsi="Century Gothic" w:cs="Arabic Typesetting"/>
          <w:bCs/>
          <w:lang w:val="es-MX"/>
        </w:rPr>
        <w:t xml:space="preserve">, </w:t>
      </w:r>
      <w:r w:rsidR="00257198" w:rsidRPr="0062644E">
        <w:rPr>
          <w:rFonts w:ascii="Century Gothic" w:eastAsia="Calibri" w:hAnsi="Century Gothic" w:cs="Arabic Typesetting"/>
          <w:bCs/>
          <w:lang w:val="es-MX"/>
        </w:rPr>
        <w:t xml:space="preserve">y </w:t>
      </w:r>
      <w:r w:rsidRPr="0062644E">
        <w:rPr>
          <w:rFonts w:ascii="Century Gothic" w:eastAsia="Calibri" w:hAnsi="Century Gothic" w:cs="Arabic Typesetting"/>
          <w:bCs/>
          <w:lang w:val="es-MX"/>
        </w:rPr>
        <w:t>en relación con las empresas prestadoras de servicios públicos domiciliarios debe señalarse que, conforme</w:t>
      </w:r>
      <w:r w:rsidR="00F31024" w:rsidRPr="0062644E">
        <w:rPr>
          <w:rFonts w:ascii="Century Gothic" w:eastAsia="Calibri" w:hAnsi="Century Gothic" w:cs="Arabic Typesetting"/>
          <w:bCs/>
          <w:lang w:val="es-MX"/>
        </w:rPr>
        <w:t xml:space="preserve"> a</w:t>
      </w:r>
      <w:r w:rsidRPr="0062644E">
        <w:rPr>
          <w:rFonts w:ascii="Century Gothic" w:eastAsia="Calibri" w:hAnsi="Century Gothic" w:cs="Arabic Typesetting"/>
          <w:bCs/>
          <w:lang w:val="es-MX"/>
        </w:rPr>
        <w:t xml:space="preserve"> </w:t>
      </w:r>
      <w:r w:rsidR="00D737EA" w:rsidRPr="0062644E">
        <w:rPr>
          <w:rFonts w:ascii="Century Gothic" w:eastAsia="Calibri" w:hAnsi="Century Gothic" w:cs="Arabic Typesetting"/>
          <w:bCs/>
          <w:lang w:val="es-MX"/>
        </w:rPr>
        <w:t>los</w:t>
      </w:r>
      <w:r w:rsidRPr="0062644E">
        <w:rPr>
          <w:rFonts w:ascii="Century Gothic" w:eastAsia="Calibri" w:hAnsi="Century Gothic" w:cs="Arabic Typesetting"/>
          <w:bCs/>
          <w:lang w:val="es-MX"/>
        </w:rPr>
        <w:t xml:space="preserve"> artículo</w:t>
      </w:r>
      <w:r w:rsidR="00D737EA" w:rsidRPr="0062644E">
        <w:rPr>
          <w:rFonts w:ascii="Century Gothic" w:eastAsia="Calibri" w:hAnsi="Century Gothic" w:cs="Arabic Typesetting"/>
          <w:bCs/>
          <w:lang w:val="es-MX"/>
        </w:rPr>
        <w:t>s</w:t>
      </w:r>
      <w:r w:rsidRPr="0062644E">
        <w:rPr>
          <w:rFonts w:ascii="Century Gothic" w:eastAsia="Calibri" w:hAnsi="Century Gothic" w:cs="Arabic Typesetting"/>
          <w:bCs/>
          <w:lang w:val="es-MX"/>
        </w:rPr>
        <w:t xml:space="preserve"> 31 y 32 de la Ley 142 de 1994, modificados por la Ley 689 de 2001, el régimen jurídico que, por regla general, debe aplicarse a </w:t>
      </w:r>
      <w:r w:rsidR="00180534" w:rsidRPr="0062644E">
        <w:rPr>
          <w:rFonts w:ascii="Century Gothic" w:eastAsia="Calibri" w:hAnsi="Century Gothic" w:cs="Arabic Typesetting"/>
          <w:bCs/>
          <w:lang w:val="es-MX"/>
        </w:rPr>
        <w:t xml:space="preserve">los procesos de </w:t>
      </w:r>
      <w:r w:rsidRPr="0062644E">
        <w:rPr>
          <w:rFonts w:ascii="Century Gothic" w:eastAsia="Calibri" w:hAnsi="Century Gothic" w:cs="Arabic Typesetting"/>
          <w:bCs/>
          <w:lang w:val="es-MX"/>
        </w:rPr>
        <w:t>contratación que</w:t>
      </w:r>
      <w:r w:rsidR="00180534" w:rsidRPr="0062644E">
        <w:rPr>
          <w:rFonts w:ascii="Century Gothic" w:eastAsia="Calibri" w:hAnsi="Century Gothic" w:cs="Arabic Typesetting"/>
          <w:bCs/>
          <w:lang w:val="es-MX"/>
        </w:rPr>
        <w:t xml:space="preserve"> adelantan</w:t>
      </w:r>
      <w:r w:rsidR="00027DCB" w:rsidRPr="0062644E">
        <w:rPr>
          <w:rFonts w:ascii="Century Gothic" w:eastAsia="Calibri" w:hAnsi="Century Gothic" w:cs="Arabic Typesetting"/>
          <w:bCs/>
          <w:lang w:val="es-MX"/>
        </w:rPr>
        <w:t>,</w:t>
      </w:r>
      <w:r w:rsidRPr="0062644E">
        <w:rPr>
          <w:rFonts w:ascii="Century Gothic" w:eastAsia="Calibri" w:hAnsi="Century Gothic" w:cs="Arabic Typesetting"/>
          <w:bCs/>
          <w:lang w:val="es-MX"/>
        </w:rPr>
        <w:t xml:space="preserve"> es el derecho privado y solo excepcionalmente el contenido en el EGCAP. En otras palabras, las empresas prestadoras de servicios públicos domiciliarios se sujetan, en su actividad contractual, a las disposiciones del derecho privado, salvo en aquellos casos en los que la Constitución, la Ley 142 de 1994 u otras leyes especiales, sometan tal conducta al EGCAP, es decir, a la Ley 80 de 1993, la Ley 1150 de 2007 y demás normas complementarias, como es el caso del artículo 53 de la Ley 2195 de 2022, que modificó el artículo 13 de la Ley 1150 de 2007, el cual consagra los principios de actividad contractual aplicables a las </w:t>
      </w:r>
      <w:r w:rsidR="00055E69">
        <w:rPr>
          <w:rFonts w:ascii="Century Gothic" w:eastAsia="Calibri" w:hAnsi="Century Gothic" w:cs="Arabic Typesetting"/>
          <w:bCs/>
          <w:lang w:val="es-MX"/>
        </w:rPr>
        <w:t>E</w:t>
      </w:r>
      <w:r w:rsidRPr="0062644E">
        <w:rPr>
          <w:rFonts w:ascii="Century Gothic" w:eastAsia="Calibri" w:hAnsi="Century Gothic" w:cs="Arabic Typesetting"/>
          <w:bCs/>
          <w:lang w:val="es-MX"/>
        </w:rPr>
        <w:t>ntidades no sujetas al Estatuto</w:t>
      </w:r>
      <w:r w:rsidR="00BE369A" w:rsidRPr="0062644E">
        <w:rPr>
          <w:rFonts w:ascii="Century Gothic" w:eastAsia="Calibri" w:hAnsi="Century Gothic" w:cs="Arabic Typesetting"/>
          <w:bCs/>
          <w:lang w:val="es-MX"/>
        </w:rPr>
        <w:t>.</w:t>
      </w:r>
      <w:r w:rsidR="009A3058" w:rsidRPr="0062644E">
        <w:rPr>
          <w:rFonts w:ascii="Century Gothic" w:eastAsia="Calibri" w:hAnsi="Century Gothic" w:cs="Arabic Typesetting"/>
          <w:bCs/>
          <w:lang w:val="es-MX"/>
        </w:rPr>
        <w:t xml:space="preserve"> </w:t>
      </w:r>
      <w:r w:rsidR="00BE369A" w:rsidRPr="0062644E">
        <w:rPr>
          <w:rFonts w:ascii="Century Gothic" w:eastAsia="Calibri" w:hAnsi="Century Gothic" w:cs="Arabic Typesetting"/>
          <w:bCs/>
          <w:lang w:val="es-MX"/>
        </w:rPr>
        <w:t>Bajo ese contexto</w:t>
      </w:r>
      <w:r w:rsidR="0009639E" w:rsidRPr="0062644E">
        <w:rPr>
          <w:rFonts w:ascii="Century Gothic" w:eastAsia="Calibri" w:hAnsi="Century Gothic" w:cs="Arabic Typesetting"/>
          <w:bCs/>
          <w:lang w:val="es-MX"/>
        </w:rPr>
        <w:t xml:space="preserve"> </w:t>
      </w:r>
      <w:r w:rsidR="0009639E" w:rsidRPr="0062644E">
        <w:rPr>
          <w:rFonts w:ascii="Century Gothic" w:eastAsia="Calibri" w:hAnsi="Century Gothic" w:cs="Arial"/>
          <w:bCs/>
          <w:lang w:val="es-MX"/>
        </w:rPr>
        <w:t>de la lectura sistemática de las normas previamente referidas</w:t>
      </w:r>
      <w:r w:rsidR="009A3058" w:rsidRPr="0062644E">
        <w:rPr>
          <w:rFonts w:ascii="Century Gothic" w:eastAsia="Calibri" w:hAnsi="Century Gothic" w:cs="Arabic Typesetting"/>
          <w:bCs/>
          <w:lang w:val="es-MX"/>
        </w:rPr>
        <w:t xml:space="preserve"> </w:t>
      </w:r>
      <w:r w:rsidR="00BE369A" w:rsidRPr="0062644E">
        <w:rPr>
          <w:rFonts w:ascii="Century Gothic" w:eastAsia="Calibri" w:hAnsi="Century Gothic" w:cs="Arabic Typesetting"/>
          <w:bCs/>
          <w:lang w:val="es-MX"/>
        </w:rPr>
        <w:t>las empresas prestadoras de servicios públicos dentro de su autonomía definen</w:t>
      </w:r>
      <w:r w:rsidR="003C49A1" w:rsidRPr="0062644E">
        <w:rPr>
          <w:rFonts w:ascii="Century Gothic" w:eastAsia="Calibri" w:hAnsi="Century Gothic" w:cs="Arabic Typesetting"/>
          <w:bCs/>
          <w:lang w:val="es-MX"/>
        </w:rPr>
        <w:t xml:space="preserve"> la forma en la que adelanta sus procesos contractuales</w:t>
      </w:r>
      <w:r w:rsidR="00C6619E" w:rsidRPr="0062644E">
        <w:rPr>
          <w:rFonts w:ascii="Century Gothic" w:eastAsia="Calibri" w:hAnsi="Century Gothic" w:cs="Arabic Typesetting"/>
          <w:bCs/>
          <w:lang w:val="es-MX"/>
        </w:rPr>
        <w:t>, que como se indicó en precedencia</w:t>
      </w:r>
      <w:r w:rsidR="00C6619E">
        <w:rPr>
          <w:rFonts w:ascii="Century Gothic" w:eastAsia="Calibri" w:hAnsi="Century Gothic" w:cs="Arabic Typesetting"/>
          <w:bCs/>
          <w:lang w:val="es-MX"/>
        </w:rPr>
        <w:t xml:space="preserve"> </w:t>
      </w:r>
      <w:r w:rsidR="00520507">
        <w:rPr>
          <w:rFonts w:ascii="Century Gothic" w:eastAsia="Calibri" w:hAnsi="Century Gothic" w:cs="Arabic Typesetting"/>
          <w:bCs/>
          <w:lang w:val="es-MX"/>
        </w:rPr>
        <w:t>serán bajo las disposiciones consagradas en el derecho privado</w:t>
      </w:r>
      <w:r w:rsidR="003A4653">
        <w:rPr>
          <w:rFonts w:ascii="Century Gothic" w:eastAsia="Calibri" w:hAnsi="Century Gothic" w:cs="Arabic Typesetting"/>
          <w:bCs/>
          <w:lang w:val="es-MX"/>
        </w:rPr>
        <w:t xml:space="preserve">. </w:t>
      </w:r>
    </w:p>
    <w:p w14:paraId="33EE20FD" w14:textId="32E39F58" w:rsidR="007B3B4D" w:rsidRDefault="00402695" w:rsidP="0028143D">
      <w:pPr>
        <w:spacing w:after="120" w:line="276" w:lineRule="auto"/>
        <w:ind w:firstLine="708"/>
        <w:jc w:val="both"/>
        <w:rPr>
          <w:rFonts w:ascii="Century Gothic" w:eastAsia="Calibri" w:hAnsi="Century Gothic" w:cs="Arial"/>
          <w:bCs/>
          <w:lang w:val="es-MX"/>
        </w:rPr>
      </w:pPr>
      <w:r w:rsidRPr="00596CD0">
        <w:rPr>
          <w:rFonts w:ascii="Century Gothic" w:eastAsia="Calibri" w:hAnsi="Century Gothic" w:cs="Arabic Typesetting"/>
          <w:bCs/>
          <w:lang w:val="es-MX"/>
        </w:rPr>
        <w:t xml:space="preserve">Ahora bien, </w:t>
      </w:r>
      <w:r w:rsidR="006B6C25" w:rsidRPr="00596CD0">
        <w:rPr>
          <w:rFonts w:ascii="Century Gothic" w:eastAsia="Calibri" w:hAnsi="Century Gothic" w:cs="Arabic Typesetting"/>
          <w:bCs/>
          <w:lang w:val="es-MX"/>
        </w:rPr>
        <w:t xml:space="preserve">en lo que respecta a la </w:t>
      </w:r>
      <w:r w:rsidR="00DE71BC" w:rsidRPr="00596CD0">
        <w:rPr>
          <w:rFonts w:ascii="Century Gothic" w:eastAsia="Calibri" w:hAnsi="Century Gothic" w:cs="Arabic Typesetting"/>
          <w:bCs/>
          <w:lang w:val="es-MX"/>
        </w:rPr>
        <w:t xml:space="preserve">publicación de los </w:t>
      </w:r>
      <w:r w:rsidR="00442287" w:rsidRPr="00596CD0">
        <w:rPr>
          <w:rFonts w:ascii="Century Gothic" w:eastAsia="Calibri" w:hAnsi="Century Gothic" w:cs="Arial"/>
          <w:bCs/>
          <w:lang w:val="es-MX"/>
        </w:rPr>
        <w:t xml:space="preserve">documentos relacionados </w:t>
      </w:r>
      <w:r w:rsidR="00E81611" w:rsidRPr="00596CD0">
        <w:rPr>
          <w:rFonts w:ascii="Century Gothic" w:eastAsia="Calibri" w:hAnsi="Century Gothic" w:cs="Arial"/>
          <w:bCs/>
          <w:lang w:val="es-MX"/>
        </w:rPr>
        <w:t>a</w:t>
      </w:r>
      <w:r w:rsidR="00442287" w:rsidRPr="00596CD0">
        <w:rPr>
          <w:rFonts w:ascii="Century Gothic" w:eastAsia="Calibri" w:hAnsi="Century Gothic" w:cs="Arial"/>
          <w:bCs/>
          <w:lang w:val="es-MX"/>
        </w:rPr>
        <w:t xml:space="preserve"> </w:t>
      </w:r>
      <w:r w:rsidR="00E81611" w:rsidRPr="00596CD0">
        <w:rPr>
          <w:rFonts w:ascii="Century Gothic" w:eastAsia="Calibri" w:hAnsi="Century Gothic" w:cs="Arial"/>
          <w:bCs/>
          <w:lang w:val="es-MX"/>
        </w:rPr>
        <w:t>la</w:t>
      </w:r>
      <w:r w:rsidR="00442287" w:rsidRPr="00596CD0">
        <w:rPr>
          <w:rFonts w:ascii="Century Gothic" w:eastAsia="Calibri" w:hAnsi="Century Gothic" w:cs="Arial"/>
          <w:bCs/>
          <w:lang w:val="es-MX"/>
        </w:rPr>
        <w:t xml:space="preserve"> actividad contractual, </w:t>
      </w:r>
      <w:r w:rsidR="00A8297E" w:rsidRPr="00596CD0">
        <w:rPr>
          <w:rFonts w:ascii="Century Gothic" w:eastAsia="Calibri" w:hAnsi="Century Gothic" w:cs="Arial"/>
          <w:bCs/>
          <w:lang w:val="es-MX"/>
        </w:rPr>
        <w:t xml:space="preserve">de conformidad con lo </w:t>
      </w:r>
      <w:r w:rsidR="00446C30">
        <w:rPr>
          <w:rFonts w:ascii="Century Gothic" w:eastAsia="Calibri" w:hAnsi="Century Gothic" w:cs="Arial"/>
          <w:bCs/>
          <w:lang w:val="es-MX"/>
        </w:rPr>
        <w:t>manifestado</w:t>
      </w:r>
      <w:r w:rsidR="00F83753">
        <w:rPr>
          <w:rFonts w:ascii="Century Gothic" w:eastAsia="Calibri" w:hAnsi="Century Gothic" w:cs="Arial"/>
          <w:bCs/>
          <w:lang w:val="es-MX"/>
        </w:rPr>
        <w:t xml:space="preserve"> en este concepto</w:t>
      </w:r>
      <w:r w:rsidR="00A8297E" w:rsidRPr="00596CD0">
        <w:rPr>
          <w:rFonts w:ascii="Century Gothic" w:eastAsia="Calibri" w:hAnsi="Century Gothic" w:cs="Arial"/>
          <w:bCs/>
          <w:lang w:val="es-MX"/>
        </w:rPr>
        <w:t>, el artículo 53 de la Ley 2195 de 2022</w:t>
      </w:r>
      <w:r w:rsidR="007E5C8C" w:rsidRPr="00596CD0">
        <w:rPr>
          <w:rFonts w:ascii="Century Gothic" w:eastAsia="Calibri" w:hAnsi="Century Gothic" w:cs="Arial"/>
          <w:bCs/>
          <w:lang w:val="es-MX"/>
        </w:rPr>
        <w:t xml:space="preserve">, </w:t>
      </w:r>
      <w:r w:rsidR="002F0D97" w:rsidRPr="00596CD0">
        <w:rPr>
          <w:rFonts w:ascii="Century Gothic" w:eastAsia="Calibri" w:hAnsi="Century Gothic" w:cs="Arial"/>
          <w:bCs/>
          <w:lang w:val="es-MX"/>
        </w:rPr>
        <w:t>establece el deber de publicar toda aquella información relacionada con la actividad contractual, sin incluir ninguna excepción relacionada con la naturaleza u objeto contractual.</w:t>
      </w:r>
      <w:r w:rsidR="007D69B0">
        <w:rPr>
          <w:rFonts w:ascii="Century Gothic" w:eastAsia="Calibri" w:hAnsi="Century Gothic" w:cs="Arial"/>
          <w:bCs/>
          <w:lang w:val="es-MX"/>
        </w:rPr>
        <w:t xml:space="preserve"> </w:t>
      </w:r>
      <w:r w:rsidR="002F0D97" w:rsidRPr="00596CD0">
        <w:rPr>
          <w:rFonts w:ascii="Century Gothic" w:eastAsia="Calibri" w:hAnsi="Century Gothic" w:cs="Arial"/>
          <w:bCs/>
          <w:lang w:val="es-MX"/>
        </w:rPr>
        <w:t xml:space="preserve">Por lo </w:t>
      </w:r>
      <w:r w:rsidR="002F0D97" w:rsidRPr="00596CD0">
        <w:rPr>
          <w:rFonts w:ascii="Century Gothic" w:eastAsia="Calibri" w:hAnsi="Century Gothic" w:cs="Arial"/>
          <w:bCs/>
          <w:lang w:val="es-MX"/>
        </w:rPr>
        <w:lastRenderedPageBreak/>
        <w:t xml:space="preserve">tanto, </w:t>
      </w:r>
      <w:r w:rsidR="009C48E6">
        <w:rPr>
          <w:rFonts w:ascii="Century Gothic" w:eastAsia="Calibri" w:hAnsi="Century Gothic" w:cs="Arial"/>
          <w:bCs/>
          <w:lang w:val="es-MX"/>
        </w:rPr>
        <w:t>las E</w:t>
      </w:r>
      <w:r w:rsidR="009C48E6" w:rsidRPr="00596CD0">
        <w:rPr>
          <w:rFonts w:ascii="Century Gothic" w:eastAsia="Calibri" w:hAnsi="Century Gothic" w:cs="Arial"/>
          <w:bCs/>
          <w:lang w:val="es-MX"/>
        </w:rPr>
        <w:t>ntidades exceptuadas</w:t>
      </w:r>
      <w:r w:rsidR="009C48E6">
        <w:rPr>
          <w:rFonts w:ascii="Century Gothic" w:eastAsia="Calibri" w:hAnsi="Century Gothic" w:cs="Arial"/>
          <w:bCs/>
          <w:lang w:val="es-MX"/>
        </w:rPr>
        <w:t xml:space="preserve">, entre estas las empresas de </w:t>
      </w:r>
      <w:r w:rsidR="009C48E6" w:rsidRPr="0062644E">
        <w:rPr>
          <w:rFonts w:ascii="Century Gothic" w:eastAsia="Calibri" w:hAnsi="Century Gothic" w:cs="Arabic Typesetting"/>
          <w:bCs/>
          <w:lang w:val="es-MX"/>
        </w:rPr>
        <w:t>servicios públicos domiciliarios</w:t>
      </w:r>
      <w:r w:rsidR="009C48E6">
        <w:rPr>
          <w:rFonts w:ascii="Century Gothic" w:eastAsia="Calibri" w:hAnsi="Century Gothic" w:cs="Arabic Typesetting"/>
          <w:bCs/>
          <w:lang w:val="es-MX"/>
        </w:rPr>
        <w:t>,</w:t>
      </w:r>
      <w:r w:rsidR="0028143D">
        <w:rPr>
          <w:rFonts w:ascii="Century Gothic" w:eastAsia="Calibri" w:hAnsi="Century Gothic" w:cs="Arabic Typesetting"/>
          <w:bCs/>
          <w:lang w:val="es-MX"/>
        </w:rPr>
        <w:t xml:space="preserve"> tienen el deber de publicar en el SECOP II</w:t>
      </w:r>
      <w:r w:rsidR="0028143D">
        <w:rPr>
          <w:rFonts w:ascii="Century Gothic" w:eastAsia="Calibri" w:hAnsi="Century Gothic" w:cs="Arial"/>
          <w:bCs/>
          <w:lang w:val="es-MX"/>
        </w:rPr>
        <w:t xml:space="preserve">, </w:t>
      </w:r>
      <w:r w:rsidR="002F0D97" w:rsidRPr="00596CD0">
        <w:rPr>
          <w:rFonts w:ascii="Century Gothic" w:eastAsia="Calibri" w:hAnsi="Century Gothic" w:cs="Arial"/>
          <w:bCs/>
          <w:lang w:val="es-MX"/>
        </w:rPr>
        <w:t>todo documento expedido durante las diferentes etapas del proceso contractual, abarcando desde la fase previa a su celebración, pasando por la ejecución y hasta la fase posterior a su ejecución. Lo anterior sin perjuicio de las reservas de información establecidas en normas de orden constitucional o legal.</w:t>
      </w:r>
    </w:p>
    <w:p w14:paraId="557A90C9" w14:textId="2269AF6B" w:rsidR="000A17AD" w:rsidRPr="002F0D97" w:rsidRDefault="000A17AD" w:rsidP="00857A89">
      <w:pPr>
        <w:spacing w:after="120" w:line="276" w:lineRule="auto"/>
        <w:ind w:firstLine="708"/>
        <w:jc w:val="both"/>
        <w:rPr>
          <w:rFonts w:ascii="Century Gothic" w:eastAsia="Calibri" w:hAnsi="Century Gothic" w:cs="Arial"/>
          <w:bCs/>
          <w:lang w:val="es-MX"/>
        </w:rPr>
      </w:pPr>
      <w:r>
        <w:rPr>
          <w:rFonts w:ascii="Century Gothic" w:eastAsia="Calibri" w:hAnsi="Century Gothic" w:cs="Arial"/>
          <w:bCs/>
          <w:lang w:val="es-MX"/>
        </w:rPr>
        <w:t xml:space="preserve">Finalmente, ha de precisarse que </w:t>
      </w:r>
      <w:r w:rsidR="00D139B1">
        <w:rPr>
          <w:rFonts w:ascii="Century Gothic" w:eastAsia="Calibri" w:hAnsi="Century Gothic" w:cs="Arial"/>
          <w:bCs/>
          <w:lang w:val="es-MX"/>
        </w:rPr>
        <w:t xml:space="preserve">los contratos de trabajo no son susceptibles de publicación, no </w:t>
      </w:r>
      <w:r w:rsidR="00A63C11">
        <w:rPr>
          <w:rFonts w:ascii="Century Gothic" w:eastAsia="Calibri" w:hAnsi="Century Gothic" w:cs="Arial"/>
          <w:bCs/>
          <w:lang w:val="es-MX"/>
        </w:rPr>
        <w:t>obstante,</w:t>
      </w:r>
      <w:r w:rsidR="00D139B1">
        <w:rPr>
          <w:rFonts w:ascii="Century Gothic" w:eastAsia="Calibri" w:hAnsi="Century Gothic" w:cs="Arial"/>
          <w:bCs/>
          <w:lang w:val="es-MX"/>
        </w:rPr>
        <w:t xml:space="preserve"> tratándose de contratos de prestación de servicios, </w:t>
      </w:r>
      <w:r w:rsidR="00A35ED1">
        <w:rPr>
          <w:rFonts w:ascii="Century Gothic" w:eastAsia="Calibri" w:hAnsi="Century Gothic" w:cs="Arial"/>
          <w:bCs/>
          <w:lang w:val="es-MX"/>
        </w:rPr>
        <w:t xml:space="preserve">estos al ser </w:t>
      </w:r>
      <w:r w:rsidR="00441A38">
        <w:rPr>
          <w:rFonts w:ascii="Century Gothic" w:eastAsia="Calibri" w:hAnsi="Century Gothic" w:cs="Arial"/>
          <w:bCs/>
          <w:lang w:val="es-MX"/>
        </w:rPr>
        <w:t xml:space="preserve">catalogados como </w:t>
      </w:r>
      <w:r w:rsidR="00441A38" w:rsidRPr="00441A38">
        <w:rPr>
          <w:rFonts w:ascii="Century Gothic" w:eastAsia="Calibri" w:hAnsi="Century Gothic" w:cs="Arial"/>
          <w:bCs/>
          <w:lang w:val="es-MX"/>
        </w:rPr>
        <w:t xml:space="preserve">documentos </w:t>
      </w:r>
      <w:r w:rsidR="00441A38">
        <w:rPr>
          <w:rFonts w:ascii="Century Gothic" w:eastAsia="Calibri" w:hAnsi="Century Gothic" w:cs="Arial"/>
          <w:bCs/>
          <w:lang w:val="es-MX"/>
        </w:rPr>
        <w:t xml:space="preserve">de la actividad contractual deberán ser </w:t>
      </w:r>
      <w:r w:rsidR="0081082D">
        <w:rPr>
          <w:rFonts w:ascii="Century Gothic" w:eastAsia="Calibri" w:hAnsi="Century Gothic" w:cs="Arial"/>
          <w:bCs/>
          <w:lang w:val="es-MX"/>
        </w:rPr>
        <w:t xml:space="preserve">debidamente publicados. </w:t>
      </w:r>
    </w:p>
    <w:p w14:paraId="4F6BBF7A" w14:textId="77777777" w:rsidR="00466F86" w:rsidRPr="004204E3" w:rsidRDefault="00466F86" w:rsidP="00466F86">
      <w:pPr>
        <w:jc w:val="both"/>
        <w:rPr>
          <w:rFonts w:ascii="Century Gothic" w:hAnsi="Century Gothic" w:cs="Arial"/>
        </w:rPr>
      </w:pPr>
      <w:r w:rsidRPr="004204E3">
        <w:rPr>
          <w:rFonts w:ascii="Century Gothic" w:hAnsi="Century Gothic" w:cs="Arial"/>
          <w:lang w:val="es-MX"/>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4C958C94" w14:textId="13604647" w:rsidR="00C22DCD" w:rsidRPr="004204E3" w:rsidRDefault="00466F86" w:rsidP="00F64A9B">
      <w:pPr>
        <w:spacing w:after="120" w:line="276" w:lineRule="auto"/>
        <w:jc w:val="both"/>
        <w:rPr>
          <w:rFonts w:ascii="Century Gothic" w:hAnsi="Century Gothic" w:cs="Arial"/>
        </w:rPr>
      </w:pPr>
      <w:r w:rsidRPr="004204E3">
        <w:rPr>
          <w:rFonts w:ascii="Century Gothic" w:hAnsi="Century Gothic" w:cs="Arial"/>
          <w:lang w:val="es-ES"/>
        </w:rPr>
        <w:t>Atentamente,</w:t>
      </w:r>
    </w:p>
    <w:p w14:paraId="3F98C586" w14:textId="55467A84" w:rsidR="00C22DCD" w:rsidRPr="004204E3" w:rsidRDefault="006D659C" w:rsidP="00F64A9B">
      <w:pPr>
        <w:spacing w:after="120" w:line="276" w:lineRule="auto"/>
        <w:ind w:firstLine="708"/>
        <w:jc w:val="center"/>
        <w:rPr>
          <w:rFonts w:ascii="Century Gothic" w:eastAsia="Calibri" w:hAnsi="Century Gothic" w:cs="Arabic Typesetting"/>
          <w:bCs/>
          <w:lang w:val="es-MX"/>
        </w:rPr>
      </w:pPr>
      <w:r>
        <w:rPr>
          <w:rFonts w:ascii="Arial" w:hAnsi="Arial" w:cs="Arial"/>
          <w:noProof/>
        </w:rPr>
        <w:drawing>
          <wp:inline distT="0" distB="0" distL="0" distR="0" wp14:anchorId="0BD6F1CF" wp14:editId="500757E2">
            <wp:extent cx="3157855" cy="1212215"/>
            <wp:effectExtent l="0" t="0" r="4445" b="6985"/>
            <wp:docPr id="209107735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7855" cy="121221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C22DCD" w:rsidRPr="004204E3" w14:paraId="4A3C6E82" w14:textId="77777777" w:rsidTr="00A05ACE">
        <w:trPr>
          <w:trHeight w:val="315"/>
        </w:trPr>
        <w:tc>
          <w:tcPr>
            <w:tcW w:w="812" w:type="dxa"/>
            <w:vAlign w:val="center"/>
            <w:hideMark/>
          </w:tcPr>
          <w:p w14:paraId="3EB510DE" w14:textId="77777777" w:rsidR="00C22DCD" w:rsidRPr="004204E3"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eastAsia="es-ES_tradnl"/>
              </w:rPr>
              <w:t>Elaboró:</w:t>
            </w:r>
          </w:p>
        </w:tc>
        <w:tc>
          <w:tcPr>
            <w:tcW w:w="4291" w:type="dxa"/>
            <w:tcBorders>
              <w:top w:val="nil"/>
              <w:left w:val="nil"/>
              <w:bottom w:val="dotted" w:sz="4" w:space="0" w:color="7F7F7F" w:themeColor="text1" w:themeTint="80"/>
              <w:right w:val="nil"/>
            </w:tcBorders>
            <w:vAlign w:val="center"/>
            <w:hideMark/>
          </w:tcPr>
          <w:p w14:paraId="4354DDB4" w14:textId="6BCB3C81" w:rsidR="00C22DCD" w:rsidRPr="004204E3" w:rsidRDefault="00C22DCD" w:rsidP="007B3B4D">
            <w:pPr>
              <w:jc w:val="both"/>
              <w:rPr>
                <w:rFonts w:ascii="Century Gothic" w:eastAsia="Times New Roman" w:hAnsi="Century Gothic" w:cs="Arial"/>
                <w:sz w:val="12"/>
                <w:szCs w:val="12"/>
                <w:lang w:val="es-ES_tradnl" w:eastAsia="es-ES_tradnl"/>
              </w:rPr>
            </w:pPr>
            <w:r w:rsidRPr="004204E3">
              <w:rPr>
                <w:rFonts w:ascii="Century Gothic" w:eastAsia="Times New Roman" w:hAnsi="Century Gothic" w:cs="Arial"/>
                <w:sz w:val="12"/>
                <w:szCs w:val="12"/>
                <w:lang w:val="es-ES_tradnl" w:eastAsia="es-ES_tradnl"/>
              </w:rPr>
              <w:t>Ana María Ortiz Ballesteros</w:t>
            </w:r>
          </w:p>
          <w:p w14:paraId="29CA200D" w14:textId="77777777" w:rsidR="00C22DCD" w:rsidRPr="004204E3"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val="es-ES_tradnl" w:eastAsia="es-ES_tradnl"/>
              </w:rPr>
              <w:t>Contratista de la Subdirección de Gestión Contractual</w:t>
            </w:r>
          </w:p>
        </w:tc>
      </w:tr>
      <w:tr w:rsidR="00C22DCD" w:rsidRPr="004204E3" w14:paraId="11ACBFDB" w14:textId="77777777" w:rsidTr="00A05ACE">
        <w:trPr>
          <w:trHeight w:val="330"/>
        </w:trPr>
        <w:tc>
          <w:tcPr>
            <w:tcW w:w="812" w:type="dxa"/>
            <w:vAlign w:val="center"/>
            <w:hideMark/>
          </w:tcPr>
          <w:p w14:paraId="0B685EA0" w14:textId="77777777" w:rsidR="00C22DCD" w:rsidRPr="004204E3"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eastAsia="es-ES_tradnl"/>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3E02DB18" w14:textId="1AF00F25" w:rsidR="00C22DCD" w:rsidRPr="004204E3" w:rsidRDefault="00466F86" w:rsidP="007B3B4D">
            <w:pPr>
              <w:spacing w:line="276" w:lineRule="auto"/>
              <w:jc w:val="both"/>
              <w:rPr>
                <w:rFonts w:ascii="Century Gothic" w:eastAsia="Times New Roman" w:hAnsi="Century Gothic" w:cs="Arial"/>
                <w:sz w:val="12"/>
                <w:szCs w:val="12"/>
                <w:lang w:val="es-ES_tradnl" w:eastAsia="es-ES"/>
              </w:rPr>
            </w:pPr>
            <w:r w:rsidRPr="004204E3">
              <w:rPr>
                <w:rFonts w:ascii="Century Gothic" w:eastAsia="Times New Roman" w:hAnsi="Century Gothic" w:cs="Arial"/>
                <w:sz w:val="12"/>
                <w:szCs w:val="12"/>
                <w:lang w:val="es-ES_tradnl" w:eastAsia="es-ES"/>
              </w:rPr>
              <w:t xml:space="preserve">Alejandro Sarmiento </w:t>
            </w:r>
            <w:r w:rsidR="007B3B4D" w:rsidRPr="004204E3">
              <w:rPr>
                <w:rFonts w:ascii="Century Gothic" w:eastAsia="Times New Roman" w:hAnsi="Century Gothic" w:cs="Arial"/>
                <w:sz w:val="12"/>
                <w:szCs w:val="12"/>
                <w:lang w:val="es-ES_tradnl" w:eastAsia="es-ES"/>
              </w:rPr>
              <w:t>Cantillo</w:t>
            </w:r>
          </w:p>
          <w:p w14:paraId="0E9BFFB0" w14:textId="31B24FBC" w:rsidR="00C22DCD" w:rsidRPr="004204E3" w:rsidRDefault="007B3B4D" w:rsidP="007B3B4D">
            <w:pPr>
              <w:jc w:val="both"/>
              <w:rPr>
                <w:rFonts w:ascii="Century Gothic" w:eastAsia="Times New Roman" w:hAnsi="Century Gothic" w:cs="Arial"/>
                <w:sz w:val="12"/>
                <w:szCs w:val="12"/>
                <w:lang w:val="es-ES_tradnl" w:eastAsia="es-ES"/>
              </w:rPr>
            </w:pPr>
            <w:r w:rsidRPr="004204E3">
              <w:rPr>
                <w:rFonts w:ascii="Century Gothic" w:eastAsia="Times New Roman" w:hAnsi="Century Gothic" w:cs="Arial"/>
                <w:sz w:val="12"/>
                <w:szCs w:val="12"/>
                <w:lang w:val="es-ES_tradnl" w:eastAsia="es-ES"/>
              </w:rPr>
              <w:t>Gestor código T1 grado15 Subdirección de Gestión Contractual</w:t>
            </w:r>
          </w:p>
        </w:tc>
      </w:tr>
      <w:tr w:rsidR="00C22DCD" w:rsidRPr="007B3B4D" w14:paraId="4123E1BB" w14:textId="77777777" w:rsidTr="00A05ACE">
        <w:trPr>
          <w:trHeight w:val="300"/>
        </w:trPr>
        <w:tc>
          <w:tcPr>
            <w:tcW w:w="812" w:type="dxa"/>
            <w:vAlign w:val="center"/>
            <w:hideMark/>
          </w:tcPr>
          <w:p w14:paraId="2B4901E3" w14:textId="77777777" w:rsidR="00C22DCD" w:rsidRPr="004204E3"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eastAsia="es-ES_tradnl"/>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2ADA2653" w14:textId="77777777" w:rsidR="00C22DCD" w:rsidRPr="004204E3"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eastAsia="es-ES_tradnl"/>
              </w:rPr>
              <w:t>Nohelia del Carmen Zawady Palacio</w:t>
            </w:r>
          </w:p>
          <w:p w14:paraId="0DFD1539" w14:textId="77777777" w:rsidR="00C22DCD" w:rsidRPr="007B3B4D" w:rsidRDefault="00C22DCD" w:rsidP="007B3B4D">
            <w:pPr>
              <w:jc w:val="both"/>
              <w:rPr>
                <w:rFonts w:ascii="Century Gothic" w:eastAsia="Times New Roman" w:hAnsi="Century Gothic" w:cs="Arial"/>
                <w:sz w:val="12"/>
                <w:szCs w:val="12"/>
                <w:lang w:eastAsia="es-ES_tradnl"/>
              </w:rPr>
            </w:pPr>
            <w:r w:rsidRPr="004204E3">
              <w:rPr>
                <w:rFonts w:ascii="Century Gothic" w:eastAsia="Times New Roman" w:hAnsi="Century Gothic" w:cs="Arial"/>
                <w:sz w:val="12"/>
                <w:szCs w:val="12"/>
                <w:lang w:eastAsia="es-ES_tradnl"/>
              </w:rPr>
              <w:t>Subdirectora de Gestión Contractual</w:t>
            </w:r>
            <w:r w:rsidRPr="007B3B4D">
              <w:rPr>
                <w:rFonts w:ascii="Century Gothic" w:eastAsia="Times New Roman" w:hAnsi="Century Gothic" w:cs="Arial"/>
                <w:sz w:val="12"/>
                <w:szCs w:val="12"/>
                <w:lang w:eastAsia="es-ES_tradnl"/>
              </w:rPr>
              <w:t xml:space="preserve"> </w:t>
            </w:r>
          </w:p>
        </w:tc>
      </w:tr>
    </w:tbl>
    <w:p w14:paraId="18979B5A" w14:textId="77777777" w:rsidR="00C22DCD" w:rsidRPr="007B3B4D" w:rsidRDefault="00C22DCD" w:rsidP="007B3B4D">
      <w:pPr>
        <w:spacing w:after="0" w:line="240" w:lineRule="auto"/>
        <w:jc w:val="both"/>
        <w:rPr>
          <w:rFonts w:ascii="Century Gothic" w:eastAsia="Times New Roman" w:hAnsi="Century Gothic" w:cs="Arial"/>
          <w:sz w:val="12"/>
          <w:szCs w:val="12"/>
          <w:lang w:val="es-MX" w:eastAsia="es-ES_tradnl"/>
        </w:rPr>
      </w:pPr>
    </w:p>
    <w:p w14:paraId="0B2F8C10" w14:textId="77777777" w:rsidR="00C22DCD" w:rsidRPr="007B3B4D" w:rsidRDefault="00C22DCD" w:rsidP="00C22DCD">
      <w:pPr>
        <w:spacing w:after="0" w:line="240" w:lineRule="auto"/>
        <w:rPr>
          <w:rFonts w:ascii="Geomanist Light" w:eastAsia="Times New Roman" w:hAnsi="Geomanist Light" w:cs="Times New Roman"/>
          <w:sz w:val="12"/>
          <w:szCs w:val="12"/>
          <w:lang w:val="es-MX" w:eastAsia="en-GB"/>
        </w:rPr>
      </w:pPr>
    </w:p>
    <w:p w14:paraId="3A1CF66A" w14:textId="77777777" w:rsidR="00C22DCD" w:rsidRPr="00A44D1E" w:rsidRDefault="00C22DCD" w:rsidP="00C22DCD">
      <w:pPr>
        <w:spacing w:after="0" w:line="240" w:lineRule="auto"/>
        <w:jc w:val="both"/>
        <w:rPr>
          <w:rFonts w:ascii="Geomanist Light" w:eastAsia="Times New Roman" w:hAnsi="Geomanist Light" w:cs="Arial"/>
          <w:color w:val="000000" w:themeColor="text1"/>
          <w:sz w:val="24"/>
          <w:szCs w:val="24"/>
          <w:lang w:val="es-ES_tradnl" w:eastAsia="es-ES_tradnl"/>
        </w:rPr>
      </w:pPr>
    </w:p>
    <w:p w14:paraId="0426079E" w14:textId="77777777" w:rsidR="00C22DCD" w:rsidRPr="006830FE" w:rsidRDefault="00C22DCD" w:rsidP="00C22DCD">
      <w:pPr>
        <w:spacing w:before="120" w:after="0" w:line="276" w:lineRule="auto"/>
        <w:jc w:val="both"/>
        <w:rPr>
          <w:rFonts w:ascii="Arial" w:eastAsia="Calibri" w:hAnsi="Arial" w:cs="Arial"/>
          <w:sz w:val="24"/>
          <w:lang w:val="es-ES_tradnl"/>
        </w:rPr>
      </w:pPr>
    </w:p>
    <w:p w14:paraId="41FEFA56" w14:textId="77777777" w:rsidR="00C22DCD" w:rsidRPr="006830FE" w:rsidRDefault="00C22DCD" w:rsidP="00C22DCD">
      <w:pPr>
        <w:spacing w:after="0" w:line="240" w:lineRule="auto"/>
        <w:rPr>
          <w:rFonts w:ascii="Geomanist Light" w:hAnsi="Geomanist Light"/>
          <w:b/>
          <w:color w:val="404040" w:themeColor="text1" w:themeTint="BF"/>
          <w:lang w:val="es-ES_tradnl"/>
        </w:rPr>
      </w:pPr>
    </w:p>
    <w:p w14:paraId="6DD68916" w14:textId="77777777" w:rsidR="00C22DCD" w:rsidRDefault="00C22DCD" w:rsidP="00C22DCD">
      <w:pPr>
        <w:spacing w:after="0" w:line="240" w:lineRule="auto"/>
        <w:rPr>
          <w:rFonts w:ascii="Geomanist Light" w:hAnsi="Geomanist Light"/>
          <w:b/>
          <w:color w:val="404040" w:themeColor="text1" w:themeTint="BF"/>
          <w:lang w:val="es-ES"/>
        </w:rPr>
      </w:pPr>
    </w:p>
    <w:p w14:paraId="5A55F4A5" w14:textId="77777777" w:rsidR="00C22DCD" w:rsidRDefault="00C22DCD" w:rsidP="00C22DCD">
      <w:pPr>
        <w:spacing w:after="0" w:line="240" w:lineRule="auto"/>
        <w:rPr>
          <w:rFonts w:ascii="Geomanist Light" w:hAnsi="Geomanist Light"/>
          <w:b/>
          <w:color w:val="404040" w:themeColor="text1" w:themeTint="BF"/>
          <w:lang w:val="es-ES"/>
        </w:rPr>
      </w:pPr>
    </w:p>
    <w:p w14:paraId="3F3FFF56" w14:textId="77777777" w:rsidR="00CF6CE6" w:rsidRPr="00F97CF8" w:rsidRDefault="00CF6CE6" w:rsidP="00F97CF8">
      <w:pPr>
        <w:spacing w:after="120" w:line="276" w:lineRule="auto"/>
        <w:ind w:firstLine="708"/>
        <w:jc w:val="both"/>
        <w:rPr>
          <w:rFonts w:ascii="Century Gothic" w:hAnsi="Century Gothic" w:cs="Arabic Typesetting"/>
        </w:rPr>
      </w:pPr>
    </w:p>
    <w:p w14:paraId="3C1FB877" w14:textId="53958CCB" w:rsidR="00F97CF8" w:rsidRPr="00F97CF8" w:rsidRDefault="00F97CF8" w:rsidP="00F97CF8">
      <w:pPr>
        <w:spacing w:after="120" w:line="276" w:lineRule="auto"/>
        <w:jc w:val="both"/>
        <w:rPr>
          <w:rFonts w:ascii="Century Gothic" w:hAnsi="Century Gothic" w:cs="Arial"/>
        </w:rPr>
      </w:pPr>
    </w:p>
    <w:sectPr w:rsidR="00F97CF8" w:rsidRPr="00F97CF8" w:rsidSect="002E4FD9">
      <w:headerReference w:type="default" r:id="rId14"/>
      <w:footerReference w:type="default" r:id="rId15"/>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3576" w14:textId="77777777" w:rsidR="00AF53F1" w:rsidRDefault="00AF53F1" w:rsidP="004A1847">
      <w:pPr>
        <w:spacing w:after="0" w:line="240" w:lineRule="auto"/>
      </w:pPr>
      <w:r>
        <w:separator/>
      </w:r>
    </w:p>
  </w:endnote>
  <w:endnote w:type="continuationSeparator" w:id="0">
    <w:p w14:paraId="6961C9E1" w14:textId="77777777" w:rsidR="00AF53F1" w:rsidRDefault="00AF53F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abic Typesetting">
    <w:charset w:val="B2"/>
    <w:family w:val="script"/>
    <w:pitch w:val="variable"/>
    <w:sig w:usb0="80002007" w:usb1="80000000" w:usb2="00000008" w:usb3="00000000" w:csb0="000000D3"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B20C" w14:textId="77777777" w:rsidR="00AF53F1" w:rsidRDefault="00AF53F1" w:rsidP="004A1847">
      <w:pPr>
        <w:spacing w:after="0" w:line="240" w:lineRule="auto"/>
      </w:pPr>
      <w:r>
        <w:separator/>
      </w:r>
    </w:p>
  </w:footnote>
  <w:footnote w:type="continuationSeparator" w:id="0">
    <w:p w14:paraId="1E09374A" w14:textId="77777777" w:rsidR="00AF53F1" w:rsidRDefault="00AF53F1" w:rsidP="004A1847">
      <w:pPr>
        <w:spacing w:after="0" w:line="240" w:lineRule="auto"/>
      </w:pPr>
      <w:r>
        <w:continuationSeparator/>
      </w:r>
    </w:p>
  </w:footnote>
  <w:footnote w:id="1">
    <w:p w14:paraId="1219AD77" w14:textId="77777777" w:rsidR="00374A33" w:rsidRPr="00246CE2" w:rsidRDefault="00374A33" w:rsidP="00374A33">
      <w:pPr>
        <w:pStyle w:val="Textonotapie"/>
        <w:ind w:firstLine="708"/>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La Agencia Nacional de Contratación Pública </w:t>
      </w:r>
      <w:r w:rsidRPr="00246CE2">
        <w:rPr>
          <w:rFonts w:ascii="Arial" w:hAnsi="Arial" w:cs="Arial"/>
          <w:sz w:val="18"/>
          <w:szCs w:val="18"/>
        </w:rPr>
        <w:t>‒</w:t>
      </w:r>
      <w:r w:rsidRPr="00246CE2">
        <w:rPr>
          <w:rFonts w:ascii="Century Gothic" w:hAnsi="Century Gothic" w:cs="Arial"/>
          <w:sz w:val="18"/>
          <w:szCs w:val="18"/>
        </w:rPr>
        <w:t xml:space="preserve"> Colombia Compra Eficiente fue creada por el Decreto Ley 4170 de 2011. Su objetivo es servir como ente rector de la pol</w:t>
      </w:r>
      <w:r w:rsidRPr="00246CE2">
        <w:rPr>
          <w:rFonts w:ascii="Century Gothic" w:hAnsi="Century Gothic" w:cs="Century Gothic"/>
          <w:sz w:val="18"/>
          <w:szCs w:val="18"/>
        </w:rPr>
        <w:t>í</w:t>
      </w:r>
      <w:r w:rsidRPr="00246CE2">
        <w:rPr>
          <w:rFonts w:ascii="Century Gothic" w:hAnsi="Century Gothic" w:cs="Arial"/>
          <w:sz w:val="18"/>
          <w:szCs w:val="18"/>
        </w:rPr>
        <w:t>tica de compras y contrataci</w:t>
      </w:r>
      <w:r w:rsidRPr="00246CE2">
        <w:rPr>
          <w:rFonts w:ascii="Century Gothic" w:hAnsi="Century Gothic" w:cs="Century Gothic"/>
          <w:sz w:val="18"/>
          <w:szCs w:val="18"/>
        </w:rPr>
        <w:t>ó</w:t>
      </w:r>
      <w:r w:rsidRPr="00246CE2">
        <w:rPr>
          <w:rFonts w:ascii="Century Gothic" w:hAnsi="Century Gothic" w:cs="Arial"/>
          <w:sz w:val="18"/>
          <w:szCs w:val="18"/>
        </w:rPr>
        <w:t xml:space="preserve">n del Estado. Para tales fines, como </w:t>
      </w:r>
      <w:r w:rsidRPr="00246CE2">
        <w:rPr>
          <w:rFonts w:ascii="Century Gothic" w:hAnsi="Century Gothic" w:cs="Century Gothic"/>
          <w:sz w:val="18"/>
          <w:szCs w:val="18"/>
        </w:rPr>
        <w:t>ó</w:t>
      </w:r>
      <w:r w:rsidRPr="00246CE2">
        <w:rPr>
          <w:rFonts w:ascii="Century Gothic" w:hAnsi="Century Gothic" w:cs="Arial"/>
          <w:sz w:val="18"/>
          <w:szCs w:val="18"/>
        </w:rPr>
        <w:t>rgano t</w:t>
      </w:r>
      <w:r w:rsidRPr="00246CE2">
        <w:rPr>
          <w:rFonts w:ascii="Century Gothic" w:hAnsi="Century Gothic" w:cs="Century Gothic"/>
          <w:sz w:val="18"/>
          <w:szCs w:val="18"/>
        </w:rPr>
        <w:t>é</w:t>
      </w:r>
      <w:r w:rsidRPr="00246CE2">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246CE2">
        <w:rPr>
          <w:rFonts w:ascii="Century Gothic" w:hAnsi="Century Gothic" w:cs="Arial"/>
          <w:i/>
          <w:iCs/>
          <w:sz w:val="18"/>
          <w:szCs w:val="18"/>
        </w:rPr>
        <w:t xml:space="preserve">ibidem </w:t>
      </w:r>
      <w:r w:rsidRPr="00246CE2">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E207688" w14:textId="77777777" w:rsidR="00374A33" w:rsidRPr="00246CE2" w:rsidRDefault="00374A33" w:rsidP="00374A33">
      <w:pPr>
        <w:pStyle w:val="Textonotapie"/>
        <w:ind w:firstLine="708"/>
        <w:jc w:val="both"/>
        <w:rPr>
          <w:rFonts w:ascii="Century Gothic" w:hAnsi="Century Gothic" w:cs="Arial"/>
          <w:sz w:val="18"/>
          <w:szCs w:val="18"/>
          <w:lang w:val="es-ES"/>
        </w:rPr>
      </w:pPr>
    </w:p>
  </w:footnote>
  <w:footnote w:id="2">
    <w:p w14:paraId="39C6666E" w14:textId="62FC7E6E" w:rsidR="00AA40A2" w:rsidRPr="00682FD9" w:rsidRDefault="00AA40A2" w:rsidP="00682FD9">
      <w:pPr>
        <w:ind w:firstLine="708"/>
        <w:jc w:val="both"/>
        <w:rPr>
          <w:rFonts w:ascii="Century Gothic" w:hAnsi="Century Gothic"/>
          <w:sz w:val="18"/>
          <w:szCs w:val="18"/>
        </w:rPr>
      </w:pPr>
      <w:r w:rsidRPr="00682FD9">
        <w:rPr>
          <w:rStyle w:val="Refdenotaalpie"/>
          <w:rFonts w:ascii="Century Gothic" w:hAnsi="Century Gothic" w:cs="Arial"/>
          <w:sz w:val="18"/>
          <w:szCs w:val="18"/>
        </w:rPr>
        <w:footnoteRef/>
      </w:r>
      <w:r w:rsidR="00682FD9" w:rsidRPr="00682FD9">
        <w:rPr>
          <w:rFonts w:ascii="Century Gothic" w:hAnsi="Century Gothic"/>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682FD9" w:rsidRPr="00682FD9">
          <w:rPr>
            <w:rStyle w:val="Hipervnculo"/>
            <w:rFonts w:ascii="Century Gothic" w:hAnsi="Century Gothic"/>
            <w:sz w:val="18"/>
            <w:szCs w:val="18"/>
          </w:rPr>
          <w:t>https://relatoria.colombiacompra.gov.co/busqueda/conceptos</w:t>
        </w:r>
      </w:hyperlink>
      <w:r w:rsidR="00682FD9" w:rsidRPr="00682FD9">
        <w:rPr>
          <w:rFonts w:ascii="Century Gothic" w:hAnsi="Century Gothic"/>
          <w:sz w:val="18"/>
          <w:szCs w:val="18"/>
        </w:rPr>
        <w:t xml:space="preserve"> </w:t>
      </w:r>
    </w:p>
    <w:p w14:paraId="0B54545E" w14:textId="77777777" w:rsidR="00AA40A2" w:rsidRPr="00246CE2" w:rsidRDefault="00AA40A2" w:rsidP="00AA40A2">
      <w:pPr>
        <w:pStyle w:val="Textonotapie"/>
        <w:ind w:firstLine="708"/>
        <w:contextualSpacing/>
        <w:jc w:val="both"/>
        <w:rPr>
          <w:rFonts w:ascii="Century Gothic" w:hAnsi="Century Gothic" w:cs="Arial"/>
          <w:sz w:val="18"/>
          <w:szCs w:val="18"/>
        </w:rPr>
      </w:pPr>
    </w:p>
  </w:footnote>
  <w:footnote w:id="3">
    <w:p w14:paraId="168EB9DD" w14:textId="656B9B45" w:rsidR="007644EA" w:rsidRPr="00246CE2" w:rsidRDefault="007644EA" w:rsidP="007644EA">
      <w:pPr>
        <w:pStyle w:val="Textonotapie"/>
        <w:ind w:firstLine="708"/>
        <w:contextualSpacing/>
        <w:jc w:val="both"/>
        <w:rPr>
          <w:rFonts w:ascii="Century Gothic" w:hAnsi="Century Gothic" w:cs="Arial"/>
          <w:color w:val="000000"/>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w:t>
      </w:r>
      <w:r w:rsidRPr="00246CE2">
        <w:rPr>
          <w:rFonts w:ascii="Century Gothic" w:hAnsi="Century Gothic" w:cs="Arial"/>
          <w:color w:val="000000"/>
          <w:sz w:val="18"/>
          <w:szCs w:val="18"/>
        </w:rPr>
        <w:t xml:space="preserve">Ley 489 de 1998: </w:t>
      </w:r>
      <w:r w:rsidR="004D0CC2">
        <w:rPr>
          <w:rFonts w:ascii="Century Gothic" w:hAnsi="Century Gothic" w:cs="Arial"/>
          <w:color w:val="000000"/>
          <w:sz w:val="18"/>
          <w:szCs w:val="18"/>
        </w:rPr>
        <w:t>“</w:t>
      </w:r>
      <w:r w:rsidRPr="00246CE2">
        <w:rPr>
          <w:rFonts w:ascii="Century Gothic" w:hAnsi="Century Gothic" w:cs="Arial"/>
          <w:color w:val="000000"/>
          <w:sz w:val="18"/>
          <w:szCs w:val="18"/>
        </w:rPr>
        <w:t>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246CE2">
        <w:rPr>
          <w:rFonts w:ascii="Century Gothic" w:hAnsi="Century Gothic" w:cs="Arial"/>
          <w:bCs/>
          <w:i/>
          <w:iCs/>
          <w:color w:val="000000"/>
          <w:sz w:val="18"/>
          <w:szCs w:val="18"/>
        </w:rPr>
        <w:t>las empresas oficiales de servicios públicos</w:t>
      </w:r>
      <w:r w:rsidRPr="00246CE2">
        <w:rPr>
          <w:rFonts w:ascii="Century Gothic" w:hAnsi="Century Gothic" w:cs="Arial"/>
          <w:color w:val="000000"/>
          <w:sz w:val="18"/>
          <w:szCs w:val="18"/>
        </w:rPr>
        <w:t> y las demás entidades creadas por la ley o con su autorización, cuyo objeto principal sea el ejercicio de funciones administrativas, la prestación de servicios públicos o la realización de actividades.</w:t>
      </w:r>
    </w:p>
    <w:p w14:paraId="7C7D0C27" w14:textId="77777777" w:rsidR="007644EA" w:rsidRPr="00246CE2" w:rsidRDefault="007644EA" w:rsidP="007644EA">
      <w:pPr>
        <w:pStyle w:val="Textonotapie"/>
        <w:ind w:firstLine="708"/>
        <w:contextualSpacing/>
        <w:jc w:val="both"/>
        <w:rPr>
          <w:rFonts w:ascii="Century Gothic" w:hAnsi="Century Gothic" w:cs="Arial"/>
          <w:sz w:val="18"/>
          <w:szCs w:val="18"/>
        </w:rPr>
      </w:pPr>
    </w:p>
  </w:footnote>
  <w:footnote w:id="4">
    <w:p w14:paraId="40479B42" w14:textId="403E7297" w:rsidR="007644EA" w:rsidRPr="00246CE2" w:rsidRDefault="007644EA" w:rsidP="00EA1F99">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lang w:val="pt-PT"/>
        </w:rPr>
        <w:t xml:space="preserve"> Corte Constitucional. Sentencia C-736 de 2007. </w:t>
      </w:r>
      <w:r w:rsidRPr="00246CE2">
        <w:rPr>
          <w:rFonts w:ascii="Century Gothic" w:hAnsi="Century Gothic" w:cs="Arial"/>
          <w:sz w:val="18"/>
          <w:szCs w:val="18"/>
        </w:rPr>
        <w:t>M.P. Marco Gerardo Monroy Cabra.</w:t>
      </w:r>
    </w:p>
  </w:footnote>
  <w:footnote w:id="5">
    <w:p w14:paraId="161C03C1" w14:textId="77777777" w:rsidR="007644EA" w:rsidRPr="00246CE2" w:rsidRDefault="007644EA" w:rsidP="007644EA">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Ibid.</w:t>
      </w:r>
    </w:p>
    <w:p w14:paraId="4BC8AF3F" w14:textId="77777777" w:rsidR="007644EA" w:rsidRPr="00246CE2" w:rsidRDefault="007644EA" w:rsidP="007644EA">
      <w:pPr>
        <w:pStyle w:val="Textonotapie"/>
        <w:ind w:firstLine="708"/>
        <w:contextualSpacing/>
        <w:jc w:val="both"/>
        <w:rPr>
          <w:rFonts w:ascii="Century Gothic" w:hAnsi="Century Gothic" w:cs="Arial"/>
          <w:sz w:val="18"/>
          <w:szCs w:val="18"/>
        </w:rPr>
      </w:pPr>
    </w:p>
  </w:footnote>
  <w:footnote w:id="6">
    <w:p w14:paraId="5EAB1269" w14:textId="6D9EDDD6" w:rsidR="006F0D8F" w:rsidRPr="00246CE2" w:rsidRDefault="006F0D8F" w:rsidP="006F0D8F">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Así lo ha reconocido la doctrina en la materia, al afirmar: </w:t>
      </w:r>
      <w:r w:rsidR="005F3C82">
        <w:rPr>
          <w:rFonts w:ascii="Century Gothic" w:hAnsi="Century Gothic" w:cs="Arial"/>
          <w:sz w:val="18"/>
          <w:szCs w:val="18"/>
        </w:rPr>
        <w:t>“</w:t>
      </w:r>
      <w:r w:rsidRPr="00246CE2">
        <w:rPr>
          <w:rFonts w:ascii="Century Gothic" w:hAnsi="Century Gothic" w:cs="Arial"/>
          <w:sz w:val="18"/>
          <w:szCs w:val="18"/>
        </w:rPr>
        <w:t>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63EE3A95" w14:textId="5D14F38D" w:rsidR="006F0D8F" w:rsidRPr="00246CE2" w:rsidRDefault="005F3C82" w:rsidP="006F0D8F">
      <w:pPr>
        <w:pStyle w:val="Textonotapie"/>
        <w:ind w:firstLine="708"/>
        <w:contextualSpacing/>
        <w:jc w:val="both"/>
        <w:rPr>
          <w:rFonts w:ascii="Century Gothic" w:hAnsi="Century Gothic" w:cs="Arial"/>
          <w:sz w:val="18"/>
          <w:szCs w:val="18"/>
        </w:rPr>
      </w:pPr>
      <w:r>
        <w:rPr>
          <w:rFonts w:ascii="Century Gothic" w:hAnsi="Century Gothic" w:cs="Arial"/>
          <w:sz w:val="18"/>
          <w:szCs w:val="18"/>
        </w:rPr>
        <w:t>“</w:t>
      </w:r>
      <w:r w:rsidR="006F0D8F" w:rsidRPr="00246CE2">
        <w:rPr>
          <w:rFonts w:ascii="Century Gothic" w:hAnsi="Century Gothic" w:cs="Arial"/>
          <w:sz w:val="18"/>
          <w:szCs w:val="18"/>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454A4A4F" w14:textId="325A1B55" w:rsidR="006F0D8F" w:rsidRPr="00246CE2" w:rsidRDefault="005F3C82" w:rsidP="006F0D8F">
      <w:pPr>
        <w:pStyle w:val="Textonotapie"/>
        <w:ind w:firstLine="708"/>
        <w:contextualSpacing/>
        <w:jc w:val="both"/>
        <w:rPr>
          <w:rFonts w:ascii="Century Gothic" w:hAnsi="Century Gothic" w:cs="Arial"/>
          <w:sz w:val="18"/>
          <w:szCs w:val="18"/>
        </w:rPr>
      </w:pPr>
      <w:r>
        <w:rPr>
          <w:rFonts w:ascii="Century Gothic" w:hAnsi="Century Gothic" w:cs="Arial"/>
          <w:sz w:val="18"/>
          <w:szCs w:val="18"/>
        </w:rPr>
        <w:t>“</w:t>
      </w:r>
      <w:r w:rsidR="006F0D8F" w:rsidRPr="00246CE2">
        <w:rPr>
          <w:rFonts w:ascii="Century Gothic" w:hAnsi="Century Gothic" w:cs="Arial"/>
          <w:sz w:val="18"/>
          <w:szCs w:val="18"/>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w:t>
      </w:r>
      <w:r>
        <w:rPr>
          <w:rFonts w:ascii="Century Gothic" w:hAnsi="Century Gothic" w:cs="Arial"/>
          <w:sz w:val="18"/>
          <w:szCs w:val="18"/>
        </w:rPr>
        <w:t>”</w:t>
      </w:r>
      <w:r w:rsidR="006F0D8F" w:rsidRPr="00246CE2">
        <w:rPr>
          <w:rFonts w:ascii="Century Gothic" w:hAnsi="Century Gothic" w:cs="Arial"/>
          <w:sz w:val="18"/>
          <w:szCs w:val="18"/>
        </w:rPr>
        <w:t xml:space="preserve"> (NÚÑEZ FORERO, Felipe. Servicios públicos domiciliarios, telecomunicaciones e infraestructura (instituciones, regulación y competencia). Bogotá: Universidad Externado de Colombia, 2017. p. 43).</w:t>
      </w:r>
    </w:p>
    <w:p w14:paraId="4E118CEB" w14:textId="77777777" w:rsidR="006F0D8F" w:rsidRPr="00246CE2" w:rsidRDefault="006F0D8F" w:rsidP="006F0D8F">
      <w:pPr>
        <w:pStyle w:val="Textonotapie"/>
        <w:ind w:firstLine="708"/>
        <w:contextualSpacing/>
        <w:jc w:val="both"/>
        <w:rPr>
          <w:rFonts w:ascii="Century Gothic" w:hAnsi="Century Gothic" w:cs="Arial"/>
          <w:sz w:val="18"/>
          <w:szCs w:val="18"/>
        </w:rPr>
      </w:pPr>
    </w:p>
  </w:footnote>
  <w:footnote w:id="7">
    <w:p w14:paraId="1257F382" w14:textId="074C4755" w:rsidR="006F0D8F" w:rsidRPr="00246CE2" w:rsidRDefault="006F0D8F" w:rsidP="006F0D8F">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En efecto, dicho artículo establece: </w:t>
      </w:r>
      <w:r w:rsidR="00EB30F6">
        <w:rPr>
          <w:rFonts w:ascii="Century Gothic" w:hAnsi="Century Gothic" w:cs="Arial"/>
          <w:sz w:val="18"/>
          <w:szCs w:val="18"/>
        </w:rPr>
        <w:t>“</w:t>
      </w:r>
      <w:r w:rsidRPr="00246CE2">
        <w:rPr>
          <w:rFonts w:ascii="Century Gothic" w:hAnsi="Century Gothic" w:cs="Arial"/>
          <w:sz w:val="18"/>
          <w:szCs w:val="18"/>
        </w:rPr>
        <w:t>Pueden prestar los servicios públicos:</w:t>
      </w:r>
    </w:p>
    <w:p w14:paraId="5325776D" w14:textId="28E478B8"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15.1. Las empresas de servicios públicos.</w:t>
      </w:r>
    </w:p>
    <w:p w14:paraId="5F636916" w14:textId="6C3C3931"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15.2. Las personas naturales o jurídicas que produzcan para ellas mismas, o como consecuencia o complemento de su actividad principal, los bienes y servicios propios del objeto de las empresas de servicios públicos.</w:t>
      </w:r>
    </w:p>
    <w:p w14:paraId="03C35EB1" w14:textId="5A3A5062"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15.3. Los municipios cuando asuman en forma directa, a través de su administración central, la prestación de los servicios públicos, conforme a lo dispuesto en esta Ley.</w:t>
      </w:r>
    </w:p>
    <w:p w14:paraId="79145CC7" w14:textId="01B0A0D7"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15.4. Las organizaciones autorizadas conforme a esta Ley para prestar servicios públicos en municipios menores en zonas rurales y en áreas o zonas urbanas específicas.</w:t>
      </w:r>
    </w:p>
    <w:p w14:paraId="1D382C24" w14:textId="38A17084"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15.5. Las entidades autorizadas para prestar servicios públicos durante los períodos de transición previstos en esta Ley.</w:t>
      </w:r>
    </w:p>
    <w:p w14:paraId="0F021FA6" w14:textId="591B6AFB"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15.6. Las entidades descentralizadas de cualquier orden territorial o nacional que al momento de expedirse esta Ley estén prestando cualquiera de los servicios públicos y se ajusten a lo establecido</w:t>
      </w:r>
    </w:p>
    <w:p w14:paraId="5F84CA1E" w14:textId="6A656197" w:rsidR="006F0D8F" w:rsidRPr="00246CE2" w:rsidRDefault="006F0D8F"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en el parágrafo del artículo 17</w:t>
      </w:r>
      <w:r w:rsidR="00EB30F6">
        <w:rPr>
          <w:rFonts w:ascii="Century Gothic" w:hAnsi="Century Gothic" w:cs="Arial"/>
          <w:sz w:val="18"/>
          <w:szCs w:val="18"/>
        </w:rPr>
        <w:t>”</w:t>
      </w:r>
    </w:p>
    <w:p w14:paraId="044ABE30" w14:textId="77777777" w:rsidR="006F0D8F" w:rsidRPr="00246CE2" w:rsidRDefault="006F0D8F" w:rsidP="006F0D8F">
      <w:pPr>
        <w:pStyle w:val="Textonotapie"/>
        <w:ind w:firstLine="708"/>
        <w:contextualSpacing/>
        <w:jc w:val="both"/>
        <w:rPr>
          <w:rFonts w:ascii="Century Gothic" w:hAnsi="Century Gothic" w:cs="Arial"/>
          <w:sz w:val="18"/>
          <w:szCs w:val="18"/>
        </w:rPr>
      </w:pPr>
    </w:p>
  </w:footnote>
  <w:footnote w:id="8">
    <w:p w14:paraId="426EF062" w14:textId="3B4752BF" w:rsidR="006F0D8F" w:rsidRPr="00246CE2" w:rsidRDefault="006F0D8F" w:rsidP="006F0D8F">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Así lo establece la norma: </w:t>
      </w:r>
      <w:r w:rsidR="00EA7D9A">
        <w:rPr>
          <w:rFonts w:ascii="Century Gothic" w:hAnsi="Century Gothic" w:cs="Arial"/>
          <w:sz w:val="18"/>
          <w:szCs w:val="18"/>
        </w:rPr>
        <w:t>“</w:t>
      </w:r>
      <w:r w:rsidRPr="00246CE2">
        <w:rPr>
          <w:rFonts w:ascii="Century Gothic" w:hAnsi="Century Gothic" w:cs="Arial"/>
          <w:sz w:val="18"/>
          <w:szCs w:val="18"/>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3508BB3D" w14:textId="4D41DA86" w:rsidR="006F0D8F" w:rsidRPr="00246CE2" w:rsidRDefault="000152A2" w:rsidP="006F0D8F">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La regla precedente se aplicará, inclusive, a las sociedades en las que las entidades públicas sean parte, sin atender al porcentaje que sus aportes representen dentro del capital social, ni a la naturaleza del acto o del derecho que se ejerce.</w:t>
      </w:r>
    </w:p>
    <w:p w14:paraId="517F80F9" w14:textId="6F1A4C23" w:rsidR="006F0D8F" w:rsidRPr="00246CE2" w:rsidRDefault="000152A2" w:rsidP="00C54FE0">
      <w:pPr>
        <w:pStyle w:val="Textonotapie"/>
        <w:ind w:firstLine="708"/>
        <w:contextualSpacing/>
        <w:jc w:val="both"/>
        <w:rPr>
          <w:rFonts w:ascii="Century Gothic" w:hAnsi="Century Gothic" w:cs="Arial"/>
          <w:sz w:val="18"/>
          <w:szCs w:val="18"/>
        </w:rPr>
      </w:pPr>
      <w:r w:rsidRPr="00246CE2">
        <w:rPr>
          <w:rFonts w:ascii="Century Gothic" w:hAnsi="Century Gothic" w:cs="Arial"/>
          <w:sz w:val="18"/>
          <w:szCs w:val="18"/>
        </w:rPr>
        <w:t>“</w:t>
      </w:r>
      <w:r w:rsidR="006F0D8F" w:rsidRPr="00246CE2">
        <w:rPr>
          <w:rFonts w:ascii="Century Gothic" w:hAnsi="Century Gothic" w:cs="Arial"/>
          <w:sz w:val="18"/>
          <w:szCs w:val="18"/>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r w:rsidR="00C54FE0">
        <w:rPr>
          <w:rFonts w:ascii="Century Gothic" w:hAnsi="Century Gothic" w:cs="Arial"/>
          <w:sz w:val="18"/>
          <w:szCs w:val="18"/>
        </w:rPr>
        <w:t>”</w:t>
      </w:r>
    </w:p>
  </w:footnote>
  <w:footnote w:id="9">
    <w:p w14:paraId="0CC45BD0" w14:textId="045AB899" w:rsidR="006F0D8F" w:rsidRPr="00246CE2" w:rsidRDefault="006F0D8F" w:rsidP="00C54FE0">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footnote>
  <w:footnote w:id="10">
    <w:p w14:paraId="6402E45F" w14:textId="0FAFC417" w:rsidR="006F0D8F" w:rsidRPr="00246CE2" w:rsidRDefault="006F0D8F" w:rsidP="006F0D8F">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8 Esta norma dispone: </w:t>
      </w:r>
      <w:r w:rsidR="00EA7D9A">
        <w:rPr>
          <w:rFonts w:ascii="Century Gothic" w:hAnsi="Century Gothic" w:cs="Arial"/>
          <w:sz w:val="18"/>
          <w:szCs w:val="18"/>
        </w:rPr>
        <w:t>“</w:t>
      </w:r>
      <w:r w:rsidRPr="00246CE2">
        <w:rPr>
          <w:rFonts w:ascii="Century Gothic" w:hAnsi="Century Gothic" w:cs="Arial"/>
          <w:sz w:val="18"/>
          <w:szCs w:val="18"/>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EA7D9A">
        <w:rPr>
          <w:rFonts w:ascii="Century Gothic" w:hAnsi="Century Gothic" w:cs="Arial"/>
          <w:sz w:val="18"/>
          <w:szCs w:val="18"/>
        </w:rPr>
        <w:t>”</w:t>
      </w:r>
      <w:r w:rsidRPr="00246CE2">
        <w:rPr>
          <w:rFonts w:ascii="Century Gothic" w:hAnsi="Century Gothic" w:cs="Arial"/>
          <w:sz w:val="18"/>
          <w:szCs w:val="18"/>
        </w:rPr>
        <w:t xml:space="preserve">. </w:t>
      </w:r>
    </w:p>
    <w:p w14:paraId="5DFFF7FC" w14:textId="77777777" w:rsidR="006F0D8F" w:rsidRPr="00246CE2" w:rsidRDefault="006F0D8F" w:rsidP="006F0D8F">
      <w:pPr>
        <w:pStyle w:val="Textonotapie"/>
        <w:ind w:firstLine="708"/>
        <w:contextualSpacing/>
        <w:jc w:val="both"/>
        <w:rPr>
          <w:rFonts w:ascii="Century Gothic" w:hAnsi="Century Gothic" w:cs="Arial"/>
          <w:sz w:val="18"/>
          <w:szCs w:val="18"/>
        </w:rPr>
      </w:pPr>
    </w:p>
  </w:footnote>
  <w:footnote w:id="11">
    <w:p w14:paraId="4B4BA294" w14:textId="77777777" w:rsidR="00246CE2" w:rsidRPr="00246CE2" w:rsidRDefault="00246CE2" w:rsidP="00A50445">
      <w:pPr>
        <w:pStyle w:val="Textonotapie"/>
        <w:ind w:firstLine="708"/>
        <w:contextualSpacing/>
        <w:jc w:val="both"/>
        <w:rPr>
          <w:rFonts w:ascii="Century Gothic" w:hAnsi="Century Gothic" w:cs="Arial"/>
          <w:color w:val="000000"/>
          <w:sz w:val="18"/>
          <w:szCs w:val="18"/>
        </w:rPr>
      </w:pPr>
      <w:r w:rsidRPr="00246CE2">
        <w:rPr>
          <w:rStyle w:val="Refdenotaalpie"/>
          <w:rFonts w:ascii="Century Gothic" w:hAnsi="Century Gothic" w:cs="Arial"/>
          <w:color w:val="000000"/>
          <w:sz w:val="18"/>
          <w:szCs w:val="18"/>
        </w:rPr>
        <w:footnoteRef/>
      </w:r>
      <w:r w:rsidRPr="00246CE2">
        <w:rPr>
          <w:rFonts w:ascii="Century Gothic" w:hAnsi="Century Gothic" w:cs="Arial"/>
          <w:color w:val="000000"/>
          <w:sz w:val="18"/>
          <w:szCs w:val="18"/>
        </w:rPr>
        <w:t xml:space="preserve"> Corte Constitucional. Sentencia C- 341 del 4 de junio de 2014. M. P. Mauricio González Cuervo.</w:t>
      </w:r>
    </w:p>
    <w:p w14:paraId="2FA8E760" w14:textId="77777777" w:rsidR="00246CE2" w:rsidRPr="00246CE2" w:rsidRDefault="00246CE2" w:rsidP="00246CE2">
      <w:pPr>
        <w:pStyle w:val="Textonotapie"/>
        <w:ind w:firstLine="709"/>
        <w:contextualSpacing/>
        <w:jc w:val="both"/>
        <w:rPr>
          <w:rFonts w:ascii="Century Gothic" w:hAnsi="Century Gothic" w:cs="Arial"/>
          <w:color w:val="000000"/>
          <w:sz w:val="18"/>
          <w:szCs w:val="18"/>
        </w:rPr>
      </w:pPr>
    </w:p>
  </w:footnote>
  <w:footnote w:id="12">
    <w:p w14:paraId="74CFF827" w14:textId="28FDB38F" w:rsidR="00246CE2" w:rsidRDefault="00246CE2" w:rsidP="0075632D">
      <w:pPr>
        <w:pStyle w:val="Textonotapie"/>
        <w:ind w:firstLine="709"/>
        <w:contextualSpacing/>
        <w:jc w:val="both"/>
        <w:rPr>
          <w:rFonts w:ascii="Century Gothic" w:hAnsi="Century Gothic" w:cs="Arial"/>
          <w:color w:val="000000"/>
          <w:sz w:val="18"/>
          <w:szCs w:val="18"/>
        </w:rPr>
      </w:pPr>
      <w:r w:rsidRPr="00246CE2">
        <w:rPr>
          <w:rStyle w:val="Refdenotaalpie"/>
          <w:rFonts w:ascii="Century Gothic" w:hAnsi="Century Gothic" w:cs="Arial"/>
          <w:color w:val="000000"/>
          <w:sz w:val="18"/>
          <w:szCs w:val="18"/>
        </w:rPr>
        <w:footnoteRef/>
      </w:r>
      <w:r w:rsidRPr="00246CE2">
        <w:rPr>
          <w:rFonts w:ascii="Century Gothic" w:hAnsi="Century Gothic" w:cs="Arial"/>
          <w:color w:val="000000"/>
          <w:sz w:val="18"/>
          <w:szCs w:val="18"/>
        </w:rPr>
        <w:t xml:space="preserve"> Ley 1150 de 2007: </w:t>
      </w:r>
      <w:r w:rsidR="00D73FFD">
        <w:rPr>
          <w:rFonts w:ascii="Century Gothic" w:hAnsi="Century Gothic" w:cs="Arial"/>
          <w:color w:val="000000"/>
          <w:sz w:val="18"/>
          <w:szCs w:val="18"/>
        </w:rPr>
        <w:t>“</w:t>
      </w:r>
      <w:r w:rsidRPr="00246CE2">
        <w:rPr>
          <w:rFonts w:ascii="Century Gothic" w:hAnsi="Century Gothic" w:cs="Arial"/>
          <w:color w:val="000000"/>
          <w:sz w:val="18"/>
          <w:szCs w:val="18"/>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0CAE799" w14:textId="77777777" w:rsidR="0075632D" w:rsidRPr="00246CE2" w:rsidRDefault="0075632D" w:rsidP="0075632D">
      <w:pPr>
        <w:pStyle w:val="Textonotapie"/>
        <w:ind w:firstLine="709"/>
        <w:contextualSpacing/>
        <w:jc w:val="both"/>
        <w:rPr>
          <w:rFonts w:ascii="Century Gothic" w:hAnsi="Century Gothic" w:cs="Arial"/>
          <w:color w:val="000000"/>
          <w:sz w:val="18"/>
          <w:szCs w:val="18"/>
        </w:rPr>
      </w:pPr>
    </w:p>
    <w:p w14:paraId="696FDB63" w14:textId="056B99C5" w:rsidR="00246CE2" w:rsidRPr="00246CE2" w:rsidRDefault="0075632D" w:rsidP="00246CE2">
      <w:pPr>
        <w:pStyle w:val="Textonotapie"/>
        <w:ind w:firstLine="709"/>
        <w:contextualSpacing/>
        <w:jc w:val="both"/>
        <w:rPr>
          <w:rFonts w:ascii="Century Gothic" w:hAnsi="Century Gothic" w:cs="Arial"/>
          <w:color w:val="000000"/>
          <w:sz w:val="18"/>
          <w:szCs w:val="18"/>
        </w:rPr>
      </w:pPr>
      <w:r>
        <w:rPr>
          <w:rFonts w:ascii="Century Gothic" w:hAnsi="Century Gothic" w:cs="Arial"/>
          <w:color w:val="000000"/>
          <w:sz w:val="18"/>
          <w:szCs w:val="18"/>
        </w:rPr>
        <w:t>“</w:t>
      </w:r>
      <w:r w:rsidR="00246CE2" w:rsidRPr="00246CE2">
        <w:rPr>
          <w:rFonts w:ascii="Century Gothic" w:hAnsi="Century Gothic" w:cs="Arial"/>
          <w:color w:val="000000"/>
          <w:sz w:val="18"/>
          <w:szCs w:val="18"/>
        </w:rPr>
        <w:t>Lo anterior, sin perjuicio de las publicaciones previstas en el numeral 3 del artículo 30 de la Ley 80 de 1993.</w:t>
      </w:r>
    </w:p>
    <w:p w14:paraId="03406279" w14:textId="040366C2" w:rsidR="00246CE2" w:rsidRPr="00246CE2" w:rsidRDefault="0075632D" w:rsidP="00246CE2">
      <w:pPr>
        <w:pStyle w:val="Textonotapie"/>
        <w:ind w:firstLine="709"/>
        <w:contextualSpacing/>
        <w:jc w:val="both"/>
        <w:rPr>
          <w:rFonts w:ascii="Century Gothic" w:hAnsi="Century Gothic" w:cs="Arial"/>
          <w:color w:val="000000"/>
          <w:sz w:val="18"/>
          <w:szCs w:val="18"/>
        </w:rPr>
      </w:pPr>
      <w:r>
        <w:rPr>
          <w:rFonts w:ascii="Century Gothic" w:hAnsi="Century Gothic" w:cs="Arial"/>
          <w:color w:val="000000"/>
          <w:sz w:val="18"/>
          <w:szCs w:val="18"/>
        </w:rPr>
        <w:t>“</w:t>
      </w:r>
      <w:r w:rsidR="00246CE2" w:rsidRPr="00246CE2">
        <w:rPr>
          <w:rFonts w:ascii="Century Gothic" w:hAnsi="Century Gothic" w:cs="Arial"/>
          <w:color w:val="000000"/>
          <w:sz w:val="18"/>
          <w:szCs w:val="18"/>
        </w:rPr>
        <w:t xml:space="preserve">Con el fin de materializar los objetivos a que se refiere el inciso anterior, el Gobierno Nacional desarrollará el Sistema Electrónico para la Contratación Pública, Secop, el cual: </w:t>
      </w:r>
    </w:p>
    <w:p w14:paraId="580E78F3" w14:textId="77777777" w:rsidR="00246CE2" w:rsidRPr="00246CE2" w:rsidRDefault="00246CE2" w:rsidP="00246CE2">
      <w:pPr>
        <w:pStyle w:val="Textonotapie"/>
        <w:ind w:firstLine="709"/>
        <w:contextualSpacing/>
        <w:jc w:val="both"/>
        <w:rPr>
          <w:rFonts w:ascii="Century Gothic" w:hAnsi="Century Gothic" w:cs="Arial"/>
          <w:color w:val="000000"/>
          <w:sz w:val="18"/>
          <w:szCs w:val="18"/>
        </w:rPr>
      </w:pPr>
      <w:r w:rsidRPr="00246CE2">
        <w:rPr>
          <w:rFonts w:ascii="Century Gothic" w:hAnsi="Century Gothic" w:cs="Arial"/>
          <w:color w:val="000000"/>
          <w:sz w:val="18"/>
          <w:szCs w:val="18"/>
        </w:rPr>
        <w:t>[…]</w:t>
      </w:r>
    </w:p>
    <w:p w14:paraId="252E9D25" w14:textId="7240D9D0" w:rsidR="00246CE2" w:rsidRPr="00246CE2" w:rsidRDefault="0075632D" w:rsidP="0075632D">
      <w:pPr>
        <w:pStyle w:val="Textonotapie"/>
        <w:ind w:firstLine="709"/>
        <w:contextualSpacing/>
        <w:jc w:val="both"/>
        <w:rPr>
          <w:rFonts w:ascii="Century Gothic" w:hAnsi="Century Gothic" w:cs="Arial"/>
          <w:color w:val="000000"/>
          <w:sz w:val="18"/>
          <w:szCs w:val="18"/>
        </w:rPr>
      </w:pPr>
      <w:r>
        <w:rPr>
          <w:rFonts w:ascii="Century Gothic" w:hAnsi="Century Gothic" w:cs="Arial"/>
          <w:color w:val="000000"/>
          <w:sz w:val="18"/>
          <w:szCs w:val="18"/>
        </w:rPr>
        <w:t>“</w:t>
      </w:r>
      <w:r w:rsidR="00246CE2" w:rsidRPr="00246CE2">
        <w:rPr>
          <w:rFonts w:ascii="Century Gothic" w:hAnsi="Century Gothic" w:cs="Arial"/>
          <w:color w:val="000000"/>
          <w:sz w:val="18"/>
          <w:szCs w:val="18"/>
        </w:rPr>
        <w:t>c) Contará con la información oficial de la contratación realizada con dineros públicos, para lo cual establecerá los patrones a que haya lugar y se encargará de su difusión a través de canales electrónico</w:t>
      </w:r>
      <w:r>
        <w:rPr>
          <w:rFonts w:ascii="Century Gothic" w:hAnsi="Century Gothic" w:cs="Arial"/>
          <w:color w:val="000000"/>
          <w:sz w:val="18"/>
          <w:szCs w:val="18"/>
        </w:rPr>
        <w:t>”</w:t>
      </w:r>
      <w:r w:rsidR="00246CE2" w:rsidRPr="00246CE2">
        <w:rPr>
          <w:rFonts w:ascii="Century Gothic" w:hAnsi="Century Gothic" w:cs="Arial"/>
          <w:color w:val="000000"/>
          <w:sz w:val="18"/>
          <w:szCs w:val="18"/>
        </w:rPr>
        <w:t xml:space="preserve">. </w:t>
      </w:r>
    </w:p>
  </w:footnote>
  <w:footnote w:id="13">
    <w:p w14:paraId="084F62D2" w14:textId="6FECBECC" w:rsidR="00246CE2" w:rsidRPr="00246CE2" w:rsidRDefault="00246CE2" w:rsidP="00246CE2">
      <w:pPr>
        <w:pStyle w:val="Textonotapie"/>
        <w:ind w:firstLine="709"/>
        <w:contextualSpacing/>
        <w:jc w:val="both"/>
        <w:rPr>
          <w:rFonts w:ascii="Century Gothic" w:hAnsi="Century Gothic" w:cs="Arial"/>
          <w:color w:val="000000"/>
          <w:sz w:val="18"/>
          <w:szCs w:val="18"/>
        </w:rPr>
      </w:pPr>
      <w:r w:rsidRPr="00246CE2">
        <w:rPr>
          <w:rStyle w:val="Refdenotaalpie"/>
          <w:rFonts w:ascii="Century Gothic" w:hAnsi="Century Gothic" w:cs="Arial"/>
          <w:color w:val="000000"/>
          <w:sz w:val="18"/>
          <w:szCs w:val="18"/>
        </w:rPr>
        <w:footnoteRef/>
      </w:r>
      <w:r w:rsidRPr="00246CE2">
        <w:rPr>
          <w:rFonts w:ascii="Century Gothic" w:hAnsi="Century Gothic" w:cs="Arial"/>
          <w:color w:val="000000"/>
          <w:sz w:val="18"/>
          <w:szCs w:val="18"/>
        </w:rPr>
        <w:t xml:space="preserve"> Ley 1712 de 2014: </w:t>
      </w:r>
      <w:r w:rsidR="0075632D">
        <w:rPr>
          <w:rFonts w:ascii="Century Gothic" w:hAnsi="Century Gothic" w:cs="Arial"/>
          <w:color w:val="000000"/>
          <w:sz w:val="18"/>
          <w:szCs w:val="18"/>
        </w:rPr>
        <w:t>“</w:t>
      </w:r>
      <w:r w:rsidRPr="00246CE2">
        <w:rPr>
          <w:rFonts w:ascii="Century Gothic" w:hAnsi="Century Gothic" w:cs="Arial"/>
          <w:color w:val="000000"/>
          <w:sz w:val="18"/>
          <w:szCs w:val="18"/>
        </w:rPr>
        <w:t>Artículo 2. Toda información en posesión, bajo control o custodia de un sujeto obligado es pública y no podrá ser reservada o limitada sino por disposición constitucional o legal, de conformidad con la presente ley</w:t>
      </w:r>
      <w:r w:rsidR="0075632D">
        <w:rPr>
          <w:rFonts w:ascii="Century Gothic" w:hAnsi="Century Gothic" w:cs="Arial"/>
          <w:color w:val="000000"/>
          <w:sz w:val="18"/>
          <w:szCs w:val="18"/>
        </w:rPr>
        <w:t>”</w:t>
      </w:r>
      <w:r w:rsidRPr="00246CE2">
        <w:rPr>
          <w:rFonts w:ascii="Century Gothic" w:hAnsi="Century Gothic" w:cs="Arial"/>
          <w:color w:val="000000"/>
          <w:sz w:val="18"/>
          <w:szCs w:val="18"/>
        </w:rPr>
        <w:t>.</w:t>
      </w:r>
    </w:p>
  </w:footnote>
  <w:footnote w:id="14">
    <w:p w14:paraId="48400222" w14:textId="77777777" w:rsidR="00246CE2" w:rsidRPr="00246CE2" w:rsidRDefault="00246CE2" w:rsidP="0075632D">
      <w:pPr>
        <w:pStyle w:val="Textonotapie"/>
        <w:ind w:firstLine="707"/>
        <w:contextualSpacing/>
        <w:jc w:val="both"/>
        <w:rPr>
          <w:rFonts w:ascii="Century Gothic" w:hAnsi="Century Gothic" w:cs="Arial"/>
          <w:sz w:val="18"/>
          <w:szCs w:val="18"/>
          <w:lang w:val="es-CO"/>
        </w:rPr>
      </w:pPr>
      <w:r w:rsidRPr="00246CE2">
        <w:rPr>
          <w:rStyle w:val="Refdenotaalpie"/>
          <w:rFonts w:ascii="Century Gothic" w:hAnsi="Century Gothic" w:cs="Arial"/>
          <w:sz w:val="18"/>
          <w:szCs w:val="18"/>
        </w:rPr>
        <w:footnoteRef/>
      </w:r>
      <w:r w:rsidRPr="00246CE2">
        <w:rPr>
          <w:rFonts w:ascii="Century Gothic" w:hAnsi="Century Gothic" w:cs="Arial"/>
          <w:sz w:val="18"/>
          <w:szCs w:val="18"/>
          <w:vertAlign w:val="superscript"/>
        </w:rPr>
        <w:t xml:space="preserve"> </w:t>
      </w:r>
      <w:r w:rsidRPr="00246CE2">
        <w:rPr>
          <w:rFonts w:ascii="Century Gothic" w:hAnsi="Century Gothic" w:cs="Arial"/>
          <w:sz w:val="18"/>
          <w:szCs w:val="18"/>
        </w:rPr>
        <w:t xml:space="preserve">Ley 1712 de 2014: «Artículo 3. </w:t>
      </w:r>
      <w:bookmarkStart w:id="8" w:name="3"/>
      <w:r w:rsidRPr="00246CE2">
        <w:rPr>
          <w:rFonts w:ascii="Century Gothic" w:hAnsi="Century Gothic" w:cs="Arial"/>
          <w:sz w:val="18"/>
          <w:szCs w:val="18"/>
          <w:lang w:val="es-CO"/>
        </w:rPr>
        <w:t>Otros principios de la transparencia y acceso a la información pública.</w:t>
      </w:r>
      <w:bookmarkEnd w:id="8"/>
      <w:r w:rsidRPr="00246CE2">
        <w:rPr>
          <w:rFonts w:ascii="Century Gothic" w:hAnsi="Century Gothic" w:cs="Arial"/>
          <w:sz w:val="18"/>
          <w:szCs w:val="18"/>
          <w:lang w:val="es-CO"/>
        </w:rPr>
        <w:t> </w:t>
      </w:r>
    </w:p>
    <w:p w14:paraId="5A9EB3FB" w14:textId="77777777" w:rsidR="00246CE2" w:rsidRPr="00246CE2" w:rsidRDefault="00246CE2" w:rsidP="00246CE2">
      <w:pPr>
        <w:pStyle w:val="Textonotapie"/>
        <w:ind w:firstLine="707"/>
        <w:contextualSpacing/>
        <w:jc w:val="both"/>
        <w:rPr>
          <w:rFonts w:ascii="Century Gothic" w:hAnsi="Century Gothic" w:cs="Arial"/>
          <w:sz w:val="18"/>
          <w:szCs w:val="18"/>
          <w:lang w:val="es-CO"/>
        </w:rPr>
      </w:pPr>
      <w:r w:rsidRPr="00246CE2">
        <w:rPr>
          <w:rFonts w:ascii="Century Gothic" w:hAnsi="Century Gothic" w:cs="Arial"/>
          <w:sz w:val="18"/>
          <w:szCs w:val="18"/>
          <w:lang w:val="es-CO"/>
        </w:rPr>
        <w:t>[…]</w:t>
      </w:r>
    </w:p>
    <w:p w14:paraId="156B9807" w14:textId="6705C97F" w:rsidR="00246CE2" w:rsidRPr="00246CE2" w:rsidRDefault="00246CE2" w:rsidP="00246CE2">
      <w:pPr>
        <w:pStyle w:val="Textonotapie"/>
        <w:ind w:firstLine="707"/>
        <w:contextualSpacing/>
        <w:jc w:val="both"/>
        <w:rPr>
          <w:rFonts w:ascii="Century Gothic" w:hAnsi="Century Gothic" w:cs="Arial"/>
          <w:sz w:val="18"/>
          <w:szCs w:val="18"/>
        </w:rPr>
      </w:pPr>
      <w:r w:rsidRPr="00246CE2">
        <w:rPr>
          <w:rStyle w:val="baj"/>
          <w:rFonts w:ascii="Century Gothic" w:hAnsi="Century Gothic" w:cs="Arial"/>
          <w:sz w:val="18"/>
          <w:szCs w:val="18"/>
        </w:rPr>
        <w:t>Principio de transparencia</w:t>
      </w:r>
      <w:r w:rsidRPr="00246CE2">
        <w:rPr>
          <w:rFonts w:ascii="Century Gothic" w:hAnsi="Century Gothic" w:cs="Arial"/>
          <w:sz w:val="18"/>
          <w:szCs w:val="18"/>
        </w:rPr>
        <w:t xml:space="preserve">. Principio conforme al cual toda la información en poder de los sujetos obligados definidos en esta ley se presume pública, en </w:t>
      </w:r>
      <w:r w:rsidR="0075632D" w:rsidRPr="00246CE2">
        <w:rPr>
          <w:rFonts w:ascii="Century Gothic" w:hAnsi="Century Gothic" w:cs="Arial"/>
          <w:sz w:val="18"/>
          <w:szCs w:val="18"/>
        </w:rPr>
        <w:t>consecuencia,</w:t>
      </w:r>
      <w:r w:rsidRPr="00246CE2">
        <w:rPr>
          <w:rFonts w:ascii="Century Gothic" w:hAnsi="Century Gothic" w:cs="Arial"/>
          <w:sz w:val="18"/>
          <w:szCs w:val="18"/>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5BB3F0F9" w14:textId="77777777" w:rsidR="00246CE2" w:rsidRPr="00246CE2" w:rsidRDefault="00246CE2" w:rsidP="00246CE2">
      <w:pPr>
        <w:pStyle w:val="Textonotapie"/>
        <w:contextualSpacing/>
        <w:jc w:val="both"/>
        <w:rPr>
          <w:rFonts w:ascii="Century Gothic" w:hAnsi="Century Gothic" w:cs="Arial"/>
          <w:sz w:val="18"/>
          <w:szCs w:val="18"/>
          <w:lang w:val="es-CO"/>
        </w:rPr>
      </w:pPr>
    </w:p>
  </w:footnote>
  <w:footnote w:id="15">
    <w:p w14:paraId="213075A6" w14:textId="77777777" w:rsidR="00246CE2" w:rsidRPr="00246CE2" w:rsidRDefault="00246CE2" w:rsidP="00246CE2">
      <w:pPr>
        <w:pStyle w:val="Textonotapie"/>
        <w:ind w:firstLine="707"/>
        <w:contextualSpacing/>
        <w:jc w:val="both"/>
        <w:rPr>
          <w:rFonts w:ascii="Century Gothic" w:hAnsi="Century Gothic" w:cs="Arial"/>
          <w:sz w:val="18"/>
          <w:szCs w:val="18"/>
          <w:lang w:val="es-CO"/>
        </w:rPr>
      </w:pPr>
      <w:r w:rsidRPr="00246CE2">
        <w:rPr>
          <w:rStyle w:val="Refdenotaalpie"/>
          <w:rFonts w:ascii="Century Gothic" w:hAnsi="Century Gothic" w:cs="Arial"/>
          <w:sz w:val="18"/>
          <w:szCs w:val="18"/>
        </w:rPr>
        <w:footnoteRef/>
      </w:r>
      <w:r w:rsidRPr="00246CE2">
        <w:rPr>
          <w:rFonts w:ascii="Century Gothic" w:hAnsi="Century Gothic" w:cs="Arial"/>
          <w:sz w:val="18"/>
          <w:szCs w:val="18"/>
          <w:vertAlign w:val="superscript"/>
        </w:rPr>
        <w:t xml:space="preserve"> </w:t>
      </w:r>
      <w:r w:rsidRPr="00246CE2">
        <w:rPr>
          <w:rFonts w:ascii="Century Gothic" w:hAnsi="Century Gothic" w:cs="Arial"/>
          <w:sz w:val="18"/>
          <w:szCs w:val="18"/>
        </w:rPr>
        <w:t xml:space="preserve">Ley 1712 de 2014: «Artículo 3. </w:t>
      </w:r>
      <w:r w:rsidRPr="00246CE2">
        <w:rPr>
          <w:rFonts w:ascii="Century Gothic" w:hAnsi="Century Gothic" w:cs="Arial"/>
          <w:sz w:val="18"/>
          <w:szCs w:val="18"/>
          <w:lang w:val="es-CO"/>
        </w:rPr>
        <w:t>Otros principios de la transparencia y acceso a la información pública. </w:t>
      </w:r>
    </w:p>
    <w:p w14:paraId="5B1E1813" w14:textId="77777777" w:rsidR="00246CE2" w:rsidRPr="00246CE2" w:rsidRDefault="00246CE2" w:rsidP="00246CE2">
      <w:pPr>
        <w:pStyle w:val="Textonotapie"/>
        <w:ind w:firstLine="707"/>
        <w:contextualSpacing/>
        <w:jc w:val="both"/>
        <w:rPr>
          <w:rFonts w:ascii="Century Gothic" w:hAnsi="Century Gothic" w:cs="Arial"/>
          <w:sz w:val="18"/>
          <w:szCs w:val="18"/>
          <w:lang w:val="es-ES"/>
        </w:rPr>
      </w:pPr>
      <w:r w:rsidRPr="00246CE2">
        <w:rPr>
          <w:rFonts w:ascii="Century Gothic" w:hAnsi="Century Gothic" w:cs="Arial"/>
          <w:sz w:val="18"/>
          <w:szCs w:val="18"/>
          <w:lang w:val="es-ES"/>
        </w:rPr>
        <w:t>[…]</w:t>
      </w:r>
    </w:p>
    <w:p w14:paraId="2C8E88A4" w14:textId="77777777" w:rsidR="00246CE2" w:rsidRPr="00246CE2" w:rsidRDefault="00246CE2" w:rsidP="00246CE2">
      <w:pPr>
        <w:pStyle w:val="Textonotapie"/>
        <w:ind w:firstLine="707"/>
        <w:contextualSpacing/>
        <w:jc w:val="both"/>
        <w:rPr>
          <w:rFonts w:ascii="Century Gothic" w:hAnsi="Century Gothic" w:cs="Arial"/>
          <w:sz w:val="18"/>
          <w:szCs w:val="18"/>
          <w:lang w:val="es-ES"/>
        </w:rPr>
      </w:pPr>
      <w:r w:rsidRPr="00246CE2">
        <w:rPr>
          <w:rStyle w:val="baj"/>
          <w:rFonts w:ascii="Century Gothic" w:hAnsi="Century Gothic" w:cs="Arial"/>
          <w:b/>
          <w:bCs/>
          <w:sz w:val="18"/>
          <w:szCs w:val="18"/>
        </w:rPr>
        <w:t>Principio de buena fe</w:t>
      </w:r>
      <w:r w:rsidRPr="00246CE2">
        <w:rPr>
          <w:rFonts w:ascii="Century Gothic" w:hAnsi="Century Gothic"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16">
    <w:p w14:paraId="2FF5AC6E" w14:textId="43F827F2" w:rsidR="00246CE2" w:rsidRPr="00246CE2" w:rsidRDefault="00246CE2" w:rsidP="0075632D">
      <w:pPr>
        <w:pStyle w:val="Textonotapie"/>
        <w:ind w:firstLine="707"/>
        <w:contextualSpacing/>
        <w:jc w:val="both"/>
        <w:rPr>
          <w:rFonts w:ascii="Century Gothic" w:hAnsi="Century Gothic" w:cs="Arial"/>
          <w:sz w:val="18"/>
          <w:szCs w:val="18"/>
          <w:shd w:val="clear" w:color="auto" w:fill="FFFFFF"/>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Ley 1712 de 2014: </w:t>
      </w:r>
      <w:r w:rsidR="001D7CF8">
        <w:rPr>
          <w:rFonts w:ascii="Century Gothic" w:hAnsi="Century Gothic" w:cs="Arial"/>
          <w:sz w:val="18"/>
          <w:szCs w:val="18"/>
        </w:rPr>
        <w:t>“</w:t>
      </w:r>
      <w:r w:rsidRPr="00246CE2">
        <w:rPr>
          <w:rFonts w:ascii="Century Gothic" w:hAnsi="Century Gothic" w:cs="Arial"/>
          <w:sz w:val="18"/>
          <w:szCs w:val="18"/>
        </w:rPr>
        <w:t xml:space="preserve">Artículo 9. </w:t>
      </w:r>
      <w:r w:rsidRPr="00246CE2">
        <w:rPr>
          <w:rFonts w:ascii="Century Gothic" w:hAnsi="Century Gothic" w:cs="Arial"/>
          <w:sz w:val="18"/>
          <w:szCs w:val="18"/>
          <w:shd w:val="clear" w:color="auto" w:fill="FFFFFF"/>
        </w:rPr>
        <w:t> </w:t>
      </w:r>
      <w:r w:rsidRPr="00246CE2">
        <w:rPr>
          <w:rStyle w:val="nfasis"/>
          <w:rFonts w:ascii="Century Gothic" w:hAnsi="Century Gothic" w:cs="Arial"/>
          <w:sz w:val="18"/>
          <w:szCs w:val="18"/>
          <w:shd w:val="clear" w:color="auto" w:fill="FFFFFF"/>
        </w:rPr>
        <w:t>Información mínima obligatoria respecto a la estructura del sujeto obligado. </w:t>
      </w:r>
      <w:r w:rsidRPr="00246CE2">
        <w:rPr>
          <w:rFonts w:ascii="Century Gothic" w:hAnsi="Century Gothic" w:cs="Arial"/>
          <w:sz w:val="18"/>
          <w:szCs w:val="18"/>
          <w:shd w:val="clear" w:color="auto" w:fill="FFFFFF"/>
        </w:rPr>
        <w:t>Todo sujeto obligado deberá publicar la siguiente información mínima obligatoria de manera proactiva en los sistemas de información del Estado o herramientas que lo sustituyan:</w:t>
      </w:r>
    </w:p>
    <w:p w14:paraId="7EE4C236" w14:textId="77777777" w:rsidR="00246CE2" w:rsidRPr="00246CE2" w:rsidRDefault="00246CE2" w:rsidP="00246CE2">
      <w:pPr>
        <w:pStyle w:val="Textonotapie"/>
        <w:ind w:firstLine="707"/>
        <w:contextualSpacing/>
        <w:jc w:val="both"/>
        <w:rPr>
          <w:rFonts w:ascii="Century Gothic" w:hAnsi="Century Gothic" w:cs="Arial"/>
          <w:sz w:val="18"/>
          <w:szCs w:val="18"/>
          <w:shd w:val="clear" w:color="auto" w:fill="FFFFFF"/>
        </w:rPr>
      </w:pPr>
      <w:r w:rsidRPr="00246CE2">
        <w:rPr>
          <w:rFonts w:ascii="Century Gothic" w:hAnsi="Century Gothic" w:cs="Arial"/>
          <w:sz w:val="18"/>
          <w:szCs w:val="18"/>
          <w:shd w:val="clear" w:color="auto" w:fill="FFFFFF"/>
        </w:rPr>
        <w:t>[…]</w:t>
      </w:r>
    </w:p>
    <w:p w14:paraId="28FB920C" w14:textId="5BE93D32" w:rsidR="00246CE2" w:rsidRPr="00246CE2" w:rsidRDefault="00246CE2" w:rsidP="00246CE2">
      <w:pPr>
        <w:pStyle w:val="Textonotapie"/>
        <w:ind w:firstLine="707"/>
        <w:contextualSpacing/>
        <w:jc w:val="both"/>
        <w:rPr>
          <w:rFonts w:ascii="Century Gothic" w:hAnsi="Century Gothic" w:cs="Arial"/>
          <w:sz w:val="18"/>
          <w:szCs w:val="18"/>
          <w:lang w:val="es-ES"/>
        </w:rPr>
      </w:pPr>
      <w:r w:rsidRPr="00246CE2">
        <w:rPr>
          <w:rFonts w:ascii="Century Gothic" w:hAnsi="Century Gothic"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246CE2">
        <w:rPr>
          <w:rFonts w:ascii="Century Gothic" w:hAnsi="Century Gothic" w:cs="Arial"/>
          <w:sz w:val="18"/>
          <w:szCs w:val="18"/>
        </w:rPr>
        <w:t xml:space="preserve"> </w:t>
      </w:r>
      <w:r w:rsidRPr="00246CE2">
        <w:rPr>
          <w:rFonts w:ascii="Century Gothic" w:hAnsi="Century Gothic"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001D7CF8">
        <w:rPr>
          <w:rFonts w:ascii="Century Gothic" w:hAnsi="Century Gothic" w:cs="Arial"/>
          <w:sz w:val="18"/>
          <w:szCs w:val="18"/>
        </w:rPr>
        <w:t>”</w:t>
      </w:r>
      <w:r w:rsidRPr="00246CE2">
        <w:rPr>
          <w:rFonts w:ascii="Century Gothic" w:hAnsi="Century Gothic" w:cs="Arial"/>
          <w:sz w:val="18"/>
          <w:szCs w:val="18"/>
        </w:rPr>
        <w:t>.</w:t>
      </w:r>
    </w:p>
  </w:footnote>
  <w:footnote w:id="17">
    <w:p w14:paraId="6E89122B" w14:textId="5C0910BB" w:rsidR="00246CE2" w:rsidRPr="00246CE2" w:rsidRDefault="00246CE2" w:rsidP="0075632D">
      <w:pPr>
        <w:spacing w:after="0" w:line="240" w:lineRule="auto"/>
        <w:ind w:firstLine="707"/>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Ley 1712 de 2014: </w:t>
      </w:r>
      <w:r w:rsidR="001D7CF8">
        <w:rPr>
          <w:rFonts w:ascii="Century Gothic" w:hAnsi="Century Gothic" w:cs="Arial"/>
          <w:sz w:val="18"/>
          <w:szCs w:val="18"/>
        </w:rPr>
        <w:t>“</w:t>
      </w:r>
      <w:r w:rsidRPr="00246CE2">
        <w:rPr>
          <w:rFonts w:ascii="Century Gothic" w:hAnsi="Century Gothic" w:cs="Arial"/>
          <w:sz w:val="18"/>
          <w:szCs w:val="18"/>
        </w:rPr>
        <w:t>Artículo 5. Ámbito de aplicación. Las disposiciones de esta ley serán aplicables a las siguientes personas en calidad de sujetos obligados:</w:t>
      </w:r>
    </w:p>
    <w:p w14:paraId="3B1CFFBB" w14:textId="02CC9926" w:rsidR="00246CE2" w:rsidRPr="00246CE2" w:rsidRDefault="0075632D" w:rsidP="0075632D">
      <w:pPr>
        <w:spacing w:after="0" w:line="240" w:lineRule="auto"/>
        <w:ind w:firstLine="707"/>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sidR="00527F43">
        <w:rPr>
          <w:rFonts w:ascii="Century Gothic" w:hAnsi="Century Gothic" w:cs="Arial"/>
          <w:sz w:val="18"/>
          <w:szCs w:val="18"/>
        </w:rPr>
        <w:t>”</w:t>
      </w:r>
      <w:r w:rsidR="00246CE2" w:rsidRPr="00246CE2">
        <w:rPr>
          <w:rFonts w:ascii="Century Gothic" w:hAnsi="Century Gothic" w:cs="Arial"/>
          <w:sz w:val="18"/>
          <w:szCs w:val="18"/>
        </w:rPr>
        <w:t>.</w:t>
      </w:r>
    </w:p>
  </w:footnote>
  <w:footnote w:id="18">
    <w:p w14:paraId="628B83BF" w14:textId="4051B93C" w:rsidR="00246CE2" w:rsidRPr="00246CE2" w:rsidRDefault="00246CE2" w:rsidP="00527F43">
      <w:pPr>
        <w:pStyle w:val="Textonotapie"/>
        <w:ind w:firstLine="707"/>
        <w:contextualSpacing/>
        <w:jc w:val="both"/>
        <w:rPr>
          <w:rFonts w:ascii="Century Gothic" w:hAnsi="Century Gothic" w:cs="Arial"/>
          <w:color w:val="000000"/>
          <w:sz w:val="18"/>
          <w:szCs w:val="18"/>
        </w:rPr>
      </w:pPr>
      <w:r w:rsidRPr="00246CE2">
        <w:rPr>
          <w:rFonts w:ascii="Century Gothic" w:eastAsia="Times New Roman" w:hAnsi="Century Gothic" w:cs="Arial"/>
          <w:color w:val="000000"/>
          <w:sz w:val="18"/>
          <w:szCs w:val="18"/>
          <w:vertAlign w:val="superscript"/>
          <w:lang w:val="es-ES" w:eastAsia="es-ES"/>
        </w:rPr>
        <w:footnoteRef/>
      </w:r>
      <w:r w:rsidRPr="00246CE2">
        <w:rPr>
          <w:rFonts w:ascii="Century Gothic" w:eastAsia="Times New Roman" w:hAnsi="Century Gothic" w:cs="Arial"/>
          <w:color w:val="000000"/>
          <w:sz w:val="18"/>
          <w:szCs w:val="18"/>
          <w:vertAlign w:val="superscript"/>
          <w:lang w:val="es-ES" w:eastAsia="es-ES"/>
        </w:rPr>
        <w:t xml:space="preserve"> </w:t>
      </w:r>
      <w:r w:rsidR="0075632D">
        <w:rPr>
          <w:rFonts w:ascii="Century Gothic" w:eastAsia="Times New Roman" w:hAnsi="Century Gothic" w:cs="Arial"/>
          <w:color w:val="000000"/>
          <w:sz w:val="18"/>
          <w:szCs w:val="18"/>
          <w:lang w:val="es-ES" w:eastAsia="es-ES"/>
        </w:rPr>
        <w:t>“</w:t>
      </w:r>
      <w:r w:rsidRPr="00246CE2">
        <w:rPr>
          <w:rFonts w:ascii="Century Gothic" w:hAnsi="Century Gothic"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D4A15EC" w14:textId="77777777" w:rsidR="00246CE2" w:rsidRPr="00246CE2" w:rsidRDefault="00246CE2" w:rsidP="00246CE2">
      <w:pPr>
        <w:pStyle w:val="Textonotapie"/>
        <w:ind w:firstLine="709"/>
        <w:contextualSpacing/>
        <w:jc w:val="both"/>
        <w:rPr>
          <w:rFonts w:ascii="Century Gothic" w:eastAsia="Times New Roman" w:hAnsi="Century Gothic" w:cs="Arial"/>
          <w:color w:val="000000"/>
          <w:sz w:val="18"/>
          <w:szCs w:val="18"/>
          <w:lang w:val="es-ES" w:eastAsia="es-ES"/>
        </w:rPr>
      </w:pPr>
      <w:r w:rsidRPr="00246CE2">
        <w:rPr>
          <w:rFonts w:ascii="Century Gothic" w:hAnsi="Century Gothic" w:cs="Arial"/>
          <w:color w:val="000000"/>
          <w:sz w:val="18"/>
          <w:szCs w:val="18"/>
        </w:rPr>
        <w:t>[…].</w:t>
      </w:r>
    </w:p>
    <w:p w14:paraId="3E37C8EA" w14:textId="38FE26FA" w:rsidR="00246CE2" w:rsidRPr="00246CE2" w:rsidRDefault="00B27EFD" w:rsidP="00246CE2">
      <w:pPr>
        <w:pStyle w:val="Textonotapie"/>
        <w:ind w:firstLine="709"/>
        <w:contextualSpacing/>
        <w:jc w:val="both"/>
        <w:rPr>
          <w:rFonts w:ascii="Century Gothic" w:eastAsia="Times New Roman" w:hAnsi="Century Gothic" w:cs="Arial"/>
          <w:color w:val="000000"/>
          <w:sz w:val="18"/>
          <w:szCs w:val="18"/>
          <w:lang w:val="es-ES" w:eastAsia="es-ES"/>
        </w:rPr>
      </w:pPr>
      <w:r>
        <w:rPr>
          <w:rFonts w:ascii="Century Gothic" w:eastAsia="Times New Roman" w:hAnsi="Century Gothic" w:cs="Arial"/>
          <w:color w:val="000000"/>
          <w:sz w:val="18"/>
          <w:szCs w:val="18"/>
          <w:lang w:val="es-ES" w:eastAsia="es-ES"/>
        </w:rPr>
        <w:t>“</w:t>
      </w:r>
      <w:r w:rsidR="00246CE2" w:rsidRPr="00246CE2">
        <w:rPr>
          <w:rFonts w:ascii="Century Gothic" w:eastAsia="Times New Roman" w:hAnsi="Century Gothic" w:cs="Arial"/>
          <w:color w:val="000000"/>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r>
        <w:rPr>
          <w:rFonts w:ascii="Century Gothic" w:eastAsia="Times New Roman" w:hAnsi="Century Gothic" w:cs="Arial"/>
          <w:color w:val="000000"/>
          <w:sz w:val="18"/>
          <w:szCs w:val="18"/>
          <w:lang w:val="es-ES" w:eastAsia="es-ES"/>
        </w:rPr>
        <w:t>”</w:t>
      </w:r>
      <w:r w:rsidR="00246CE2" w:rsidRPr="00246CE2">
        <w:rPr>
          <w:rFonts w:ascii="Century Gothic" w:eastAsia="Times New Roman" w:hAnsi="Century Gothic" w:cs="Arial"/>
          <w:color w:val="000000"/>
          <w:sz w:val="18"/>
          <w:szCs w:val="18"/>
          <w:lang w:val="es-ES" w:eastAsia="es-ES"/>
        </w:rPr>
        <w:t>.</w:t>
      </w:r>
    </w:p>
    <w:p w14:paraId="7D238C1A" w14:textId="77777777" w:rsidR="00246CE2" w:rsidRPr="00246CE2" w:rsidRDefault="00246CE2" w:rsidP="00246CE2">
      <w:pPr>
        <w:pStyle w:val="Textonotapie"/>
        <w:ind w:firstLine="709"/>
        <w:contextualSpacing/>
        <w:jc w:val="both"/>
        <w:rPr>
          <w:rFonts w:ascii="Century Gothic" w:eastAsia="Times New Roman" w:hAnsi="Century Gothic" w:cs="Arial"/>
          <w:color w:val="000000"/>
          <w:sz w:val="18"/>
          <w:szCs w:val="18"/>
          <w:lang w:val="es-ES" w:eastAsia="es-ES"/>
        </w:rPr>
      </w:pPr>
    </w:p>
  </w:footnote>
  <w:footnote w:id="19">
    <w:p w14:paraId="57C2AC24" w14:textId="64B88A35" w:rsidR="00246CE2" w:rsidRPr="00246CE2" w:rsidRDefault="00246CE2" w:rsidP="00246CE2">
      <w:pPr>
        <w:pStyle w:val="Textonotapie"/>
        <w:ind w:firstLine="709"/>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Ley 1437 de 2011: </w:t>
      </w:r>
      <w:r w:rsidR="00B27EFD">
        <w:rPr>
          <w:rFonts w:ascii="Century Gothic" w:hAnsi="Century Gothic" w:cs="Arial"/>
          <w:sz w:val="18"/>
          <w:szCs w:val="18"/>
        </w:rPr>
        <w:t>“</w:t>
      </w:r>
      <w:r w:rsidRPr="00246CE2">
        <w:rPr>
          <w:rFonts w:ascii="Century Gothic" w:hAnsi="Century Gothic" w:cs="Arial"/>
          <w:sz w:val="18"/>
          <w:szCs w:val="18"/>
        </w:rPr>
        <w:t xml:space="preserve">Artículo 24. Informaciones y documentos reservados. Solo tendrán carácter reservado las informaciones y documentos expresamente sometidos a reserva por la Constitución Política o la ley, y en especial:  </w:t>
      </w:r>
    </w:p>
    <w:p w14:paraId="6252D417" w14:textId="320BF97F"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1. Los relacionados con la defensa o seguridad nacionales.  </w:t>
      </w:r>
    </w:p>
    <w:p w14:paraId="1E9F6F98" w14:textId="480F5376"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2. Las instrucciones en materia diplomática o sobre negociaciones reservadas.  </w:t>
      </w:r>
    </w:p>
    <w:p w14:paraId="6588C9A5" w14:textId="1941885E"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4BACBE52" w14:textId="0B2F631A"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D0E2189" w14:textId="3585FEA4"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5. Los datos referentes a la información financiera y comercial, en los términos de la Ley Estatutaria 1266 de 2008.  </w:t>
      </w:r>
    </w:p>
    <w:p w14:paraId="62296520" w14:textId="3506EE9C"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6. Los protegidos por el secreto comercial o industrial, así como los planes estratégicos de las empresas públicas de servicios públicos.  </w:t>
      </w:r>
    </w:p>
    <w:p w14:paraId="69196D17" w14:textId="124C0A29"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7. Los amparados por el secreto profesional.  </w:t>
      </w:r>
    </w:p>
    <w:p w14:paraId="0F7AFDD9" w14:textId="4E5980D7"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 xml:space="preserve">8. Los datos genéticos humanos.  </w:t>
      </w:r>
    </w:p>
    <w:p w14:paraId="7C693649" w14:textId="7039AD5E" w:rsidR="00246CE2" w:rsidRPr="00246CE2" w:rsidRDefault="00B27EFD" w:rsidP="00246CE2">
      <w:pPr>
        <w:pStyle w:val="Textonotapie"/>
        <w:ind w:firstLine="709"/>
        <w:contextualSpacing/>
        <w:jc w:val="both"/>
        <w:rPr>
          <w:rFonts w:ascii="Century Gothic" w:hAnsi="Century Gothic" w:cs="Arial"/>
          <w:sz w:val="18"/>
          <w:szCs w:val="18"/>
        </w:rPr>
      </w:pPr>
      <w:r>
        <w:rPr>
          <w:rFonts w:ascii="Century Gothic" w:hAnsi="Century Gothic" w:cs="Arial"/>
          <w:sz w:val="18"/>
          <w:szCs w:val="18"/>
        </w:rPr>
        <w:t>“</w:t>
      </w:r>
      <w:r w:rsidR="00246CE2" w:rsidRPr="00246CE2">
        <w:rPr>
          <w:rFonts w:ascii="Century Gothic" w:hAnsi="Century Gothic"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sidR="00EA58E8">
        <w:rPr>
          <w:rFonts w:ascii="Century Gothic" w:hAnsi="Century Gothic" w:cs="Arial"/>
          <w:sz w:val="18"/>
          <w:szCs w:val="18"/>
        </w:rPr>
        <w:t>”</w:t>
      </w:r>
      <w:r w:rsidR="00246CE2" w:rsidRPr="00246CE2">
        <w:rPr>
          <w:rFonts w:ascii="Century Gothic" w:hAnsi="Century Gothic" w:cs="Arial"/>
          <w:sz w:val="18"/>
          <w:szCs w:val="18"/>
        </w:rPr>
        <w:t xml:space="preserve">.  </w:t>
      </w:r>
    </w:p>
  </w:footnote>
  <w:footnote w:id="20">
    <w:p w14:paraId="23EBD870" w14:textId="750443DB" w:rsidR="00246CE2" w:rsidRPr="00246CE2" w:rsidRDefault="00246CE2" w:rsidP="00E33792">
      <w:pPr>
        <w:pStyle w:val="Textonotapie"/>
        <w:ind w:firstLine="708"/>
        <w:contextualSpacing/>
        <w:jc w:val="both"/>
        <w:rPr>
          <w:rFonts w:ascii="Century Gothic" w:hAnsi="Century Gothic" w:cs="Arial"/>
          <w:sz w:val="18"/>
          <w:szCs w:val="18"/>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w:t>
      </w:r>
      <w:r w:rsidRPr="00246CE2">
        <w:rPr>
          <w:rFonts w:ascii="Century Gothic" w:eastAsia="Calibri" w:hAnsi="Century Gothic" w:cs="Arial"/>
          <w:sz w:val="18"/>
          <w:szCs w:val="18"/>
          <w:lang w:val="es-ES_tradnl"/>
        </w:rPr>
        <w:t xml:space="preserve">En armonía con lo anterior, en la Circular Externa 002 de esta Agencia se establece, que: </w:t>
      </w:r>
      <w:r w:rsidR="00E33792">
        <w:rPr>
          <w:rFonts w:ascii="Century Gothic" w:eastAsia="Calibri" w:hAnsi="Century Gothic" w:cs="Arial"/>
          <w:sz w:val="18"/>
          <w:szCs w:val="18"/>
          <w:lang w:val="es-ES_tradnl"/>
        </w:rPr>
        <w:t>“</w:t>
      </w:r>
      <w:r w:rsidRPr="00246CE2">
        <w:rPr>
          <w:rFonts w:ascii="Century Gothic" w:eastAsia="Calibri" w:hAnsi="Century Gothic" w:cs="Arial"/>
          <w:sz w:val="18"/>
          <w:szCs w:val="18"/>
          <w:lang w:val="es-ES_tradnl"/>
        </w:rPr>
        <w:t>Todos los procesos de contratación creados en el SECOP I antes del 18 de julio de 2022, 23:59 horas, por parte de estas entidades estatales, podrán continuar siendo gestionados en esta plataforma</w:t>
      </w:r>
      <w:r w:rsidR="00E33792">
        <w:rPr>
          <w:rFonts w:ascii="Century Gothic" w:eastAsia="Calibri" w:hAnsi="Century Gothic" w:cs="Arial"/>
          <w:sz w:val="18"/>
          <w:szCs w:val="18"/>
          <w:lang w:val="es-ES_tradnl"/>
        </w:rPr>
        <w:t>”</w:t>
      </w:r>
      <w:r w:rsidRPr="00246CE2">
        <w:rPr>
          <w:rFonts w:ascii="Century Gothic" w:eastAsia="Calibri" w:hAnsi="Century Gothic" w:cs="Arial"/>
          <w:sz w:val="18"/>
          <w:szCs w:val="18"/>
          <w:lang w:val="es-ES_tradnl"/>
        </w:rPr>
        <w:t>.</w:t>
      </w:r>
    </w:p>
  </w:footnote>
  <w:footnote w:id="21">
    <w:p w14:paraId="29DB12BC" w14:textId="041E49F2" w:rsidR="00246CE2" w:rsidRPr="00246CE2" w:rsidRDefault="00246CE2" w:rsidP="00246CE2">
      <w:pPr>
        <w:pStyle w:val="Textonotapie"/>
        <w:ind w:firstLine="709"/>
        <w:contextualSpacing/>
        <w:jc w:val="both"/>
        <w:rPr>
          <w:rFonts w:ascii="Century Gothic" w:hAnsi="Century Gothic" w:cs="Arial"/>
          <w:color w:val="000000"/>
          <w:sz w:val="18"/>
          <w:szCs w:val="18"/>
        </w:rPr>
      </w:pPr>
      <w:r w:rsidRPr="00246CE2">
        <w:rPr>
          <w:rStyle w:val="Refdenotaalpie"/>
          <w:rFonts w:ascii="Century Gothic" w:hAnsi="Century Gothic" w:cs="Arial"/>
          <w:color w:val="000000"/>
          <w:sz w:val="18"/>
          <w:szCs w:val="18"/>
        </w:rPr>
        <w:footnoteRef/>
      </w:r>
      <w:r w:rsidRPr="00246CE2">
        <w:rPr>
          <w:rFonts w:ascii="Century Gothic" w:hAnsi="Century Gothic" w:cs="Arial"/>
          <w:color w:val="000000"/>
          <w:sz w:val="18"/>
          <w:szCs w:val="18"/>
        </w:rPr>
        <w:t xml:space="preserve"> </w:t>
      </w:r>
      <w:r w:rsidR="00E33792">
        <w:rPr>
          <w:rFonts w:ascii="Century Gothic" w:hAnsi="Century Gothic" w:cs="Arial"/>
          <w:color w:val="000000"/>
          <w:sz w:val="18"/>
          <w:szCs w:val="18"/>
        </w:rPr>
        <w:t>“</w:t>
      </w:r>
      <w:r w:rsidRPr="00246CE2">
        <w:rPr>
          <w:rFonts w:ascii="Century Gothic" w:hAnsi="Century Gothic" w:cs="Arial"/>
          <w:color w:val="000000"/>
          <w:sz w:val="18"/>
          <w:szCs w:val="18"/>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 del contrato no implica erogación presupuestal</w:t>
      </w:r>
      <w:r w:rsidR="00E33792">
        <w:rPr>
          <w:rFonts w:ascii="Century Gothic" w:hAnsi="Century Gothic" w:cs="Arial"/>
          <w:color w:val="000000"/>
          <w:sz w:val="18"/>
          <w:szCs w:val="18"/>
        </w:rPr>
        <w:t>”</w:t>
      </w:r>
      <w:r w:rsidRPr="00246CE2">
        <w:rPr>
          <w:rFonts w:ascii="Century Gothic" w:hAnsi="Century Gothic" w:cs="Arial"/>
          <w:color w:val="000000"/>
          <w:sz w:val="18"/>
          <w:szCs w:val="18"/>
        </w:rPr>
        <w:t>.</w:t>
      </w:r>
    </w:p>
    <w:p w14:paraId="546A8C2A" w14:textId="77777777" w:rsidR="00246CE2" w:rsidRPr="00246CE2" w:rsidRDefault="00246CE2" w:rsidP="00246CE2">
      <w:pPr>
        <w:pStyle w:val="Textonotapie"/>
        <w:ind w:firstLine="709"/>
        <w:contextualSpacing/>
        <w:jc w:val="both"/>
        <w:rPr>
          <w:rFonts w:ascii="Century Gothic" w:hAnsi="Century Gothic" w:cs="Arial"/>
          <w:color w:val="000000"/>
          <w:sz w:val="18"/>
          <w:szCs w:val="18"/>
        </w:rPr>
      </w:pPr>
    </w:p>
  </w:footnote>
  <w:footnote w:id="22">
    <w:p w14:paraId="2E72A327" w14:textId="1682F411" w:rsidR="00246CE2" w:rsidRPr="00246CE2" w:rsidRDefault="00246CE2" w:rsidP="00187AA3">
      <w:pPr>
        <w:pStyle w:val="Textonotapie"/>
        <w:ind w:firstLine="708"/>
        <w:contextualSpacing/>
        <w:jc w:val="both"/>
        <w:rPr>
          <w:rFonts w:ascii="Century Gothic" w:hAnsi="Century Gothic" w:cs="Arial"/>
          <w:sz w:val="18"/>
          <w:szCs w:val="18"/>
          <w:lang w:val="es-CO"/>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Ley 1150 de 2007. </w:t>
      </w:r>
      <w:r w:rsidR="00187AA3">
        <w:rPr>
          <w:rFonts w:ascii="Century Gothic" w:hAnsi="Century Gothic" w:cs="Arial"/>
          <w:sz w:val="18"/>
          <w:szCs w:val="18"/>
        </w:rPr>
        <w:t>“</w:t>
      </w:r>
      <w:r w:rsidRPr="00246CE2">
        <w:rPr>
          <w:rFonts w:ascii="Century Gothic" w:hAnsi="Century Gothic" w:cs="Arial"/>
          <w:sz w:val="18"/>
          <w:szCs w:val="18"/>
        </w:rPr>
        <w:t>Artículo 1. Objeto. La presente ley tiene por objeto introducir modificaciones en la Ley 80 de 1993, así como dictar otras disposiciones generales aplicables a toda contratación con recursos públicos</w:t>
      </w:r>
      <w:r w:rsidR="00187AA3">
        <w:rPr>
          <w:rFonts w:ascii="Century Gothic" w:hAnsi="Century Gothic" w:cs="Arial"/>
          <w:sz w:val="18"/>
          <w:szCs w:val="18"/>
        </w:rPr>
        <w:t>”</w:t>
      </w:r>
      <w:r w:rsidRPr="00246CE2">
        <w:rPr>
          <w:rFonts w:ascii="Century Gothic" w:hAnsi="Century Gothic" w:cs="Arial"/>
          <w:sz w:val="18"/>
          <w:szCs w:val="18"/>
        </w:rPr>
        <w:t>.</w:t>
      </w:r>
    </w:p>
  </w:footnote>
  <w:footnote w:id="23">
    <w:p w14:paraId="7EE9C989" w14:textId="77777777" w:rsidR="00246CE2" w:rsidRPr="00246CE2" w:rsidRDefault="00246CE2" w:rsidP="00246CE2">
      <w:pPr>
        <w:autoSpaceDE w:val="0"/>
        <w:autoSpaceDN w:val="0"/>
        <w:adjustRightInd w:val="0"/>
        <w:spacing w:after="0" w:line="240" w:lineRule="auto"/>
        <w:ind w:firstLine="708"/>
        <w:contextualSpacing/>
        <w:jc w:val="both"/>
        <w:rPr>
          <w:rFonts w:ascii="Century Gothic" w:eastAsia="Calibri" w:hAnsi="Century Gothic" w:cs="Arial"/>
          <w:sz w:val="18"/>
          <w:szCs w:val="18"/>
          <w:lang w:val="es-ES" w:eastAsia="es-ES_tradnl"/>
        </w:rPr>
      </w:pPr>
      <w:r w:rsidRPr="00246CE2">
        <w:rPr>
          <w:rStyle w:val="Refdenotaalpie"/>
          <w:rFonts w:ascii="Century Gothic" w:hAnsi="Century Gothic" w:cs="Arial"/>
          <w:sz w:val="18"/>
          <w:szCs w:val="18"/>
        </w:rPr>
        <w:footnoteRef/>
      </w:r>
      <w:r w:rsidRPr="00246CE2">
        <w:rPr>
          <w:rFonts w:ascii="Century Gothic" w:hAnsi="Century Gothic" w:cs="Arial"/>
          <w:sz w:val="18"/>
          <w:szCs w:val="18"/>
        </w:rPr>
        <w:t xml:space="preserve"> E</w:t>
      </w:r>
      <w:r w:rsidRPr="00246CE2">
        <w:rPr>
          <w:rFonts w:ascii="Century Gothic" w:eastAsia="Calibri" w:hAnsi="Century Gothic" w:cs="Arial"/>
          <w:sz w:val="18"/>
          <w:szCs w:val="18"/>
          <w:lang w:val="es-ES_tradnl" w:eastAsia="es-ES_tradnl"/>
        </w:rPr>
        <w:t xml:space="preserve">l pasado </w:t>
      </w:r>
      <w:r w:rsidRPr="00246CE2">
        <w:rPr>
          <w:rFonts w:ascii="Century Gothic" w:eastAsia="Calibri" w:hAnsi="Century Gothic" w:cs="Arial"/>
          <w:sz w:val="18"/>
          <w:szCs w:val="18"/>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14:paraId="69E579B7" w14:textId="77777777" w:rsidR="00246CE2" w:rsidRPr="00740AA8" w:rsidRDefault="00246CE2" w:rsidP="00246CE2">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5pt;height:10.8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854046">
    <w:abstractNumId w:val="7"/>
  </w:num>
  <w:num w:numId="2" w16cid:durableId="998461779">
    <w:abstractNumId w:val="3"/>
  </w:num>
  <w:num w:numId="3" w16cid:durableId="547108696">
    <w:abstractNumId w:val="5"/>
  </w:num>
  <w:num w:numId="4" w16cid:durableId="1916669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649">
    <w:abstractNumId w:val="3"/>
  </w:num>
  <w:num w:numId="6" w16cid:durableId="2077312423">
    <w:abstractNumId w:val="14"/>
  </w:num>
  <w:num w:numId="7" w16cid:durableId="432820253">
    <w:abstractNumId w:val="6"/>
  </w:num>
  <w:num w:numId="8" w16cid:durableId="1447892275">
    <w:abstractNumId w:val="13"/>
  </w:num>
  <w:num w:numId="9" w16cid:durableId="997077884">
    <w:abstractNumId w:val="8"/>
  </w:num>
  <w:num w:numId="10" w16cid:durableId="545527361">
    <w:abstractNumId w:val="12"/>
  </w:num>
  <w:num w:numId="11" w16cid:durableId="364142001">
    <w:abstractNumId w:val="9"/>
  </w:num>
  <w:num w:numId="12" w16cid:durableId="61954534">
    <w:abstractNumId w:val="2"/>
  </w:num>
  <w:num w:numId="13" w16cid:durableId="1817214367">
    <w:abstractNumId w:val="4"/>
  </w:num>
  <w:num w:numId="14" w16cid:durableId="715660725">
    <w:abstractNumId w:val="15"/>
  </w:num>
  <w:num w:numId="15" w16cid:durableId="2110851233">
    <w:abstractNumId w:val="11"/>
  </w:num>
  <w:num w:numId="16" w16cid:durableId="1484613888">
    <w:abstractNumId w:val="0"/>
  </w:num>
  <w:num w:numId="17" w16cid:durableId="1200699721">
    <w:abstractNumId w:val="1"/>
  </w:num>
  <w:num w:numId="18" w16cid:durableId="1538657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1004F"/>
    <w:rsid w:val="000152A2"/>
    <w:rsid w:val="00027DCB"/>
    <w:rsid w:val="00041D3E"/>
    <w:rsid w:val="00055E69"/>
    <w:rsid w:val="00061B2A"/>
    <w:rsid w:val="00082362"/>
    <w:rsid w:val="0009639E"/>
    <w:rsid w:val="000A17AD"/>
    <w:rsid w:val="000A4E2F"/>
    <w:rsid w:val="000A683E"/>
    <w:rsid w:val="000B19B9"/>
    <w:rsid w:val="000C2EBB"/>
    <w:rsid w:val="000D0334"/>
    <w:rsid w:val="000E7E5D"/>
    <w:rsid w:val="000F6486"/>
    <w:rsid w:val="00112087"/>
    <w:rsid w:val="0012218E"/>
    <w:rsid w:val="00125105"/>
    <w:rsid w:val="00127233"/>
    <w:rsid w:val="00142DB7"/>
    <w:rsid w:val="00151845"/>
    <w:rsid w:val="00153517"/>
    <w:rsid w:val="00180534"/>
    <w:rsid w:val="00187AA3"/>
    <w:rsid w:val="001A3BCE"/>
    <w:rsid w:val="001D7CF8"/>
    <w:rsid w:val="001E4177"/>
    <w:rsid w:val="001E490F"/>
    <w:rsid w:val="001F7DC6"/>
    <w:rsid w:val="002040E5"/>
    <w:rsid w:val="002421BB"/>
    <w:rsid w:val="00246CE2"/>
    <w:rsid w:val="00257198"/>
    <w:rsid w:val="002707A2"/>
    <w:rsid w:val="0028143D"/>
    <w:rsid w:val="002951A0"/>
    <w:rsid w:val="002962BC"/>
    <w:rsid w:val="002A093D"/>
    <w:rsid w:val="002A0DD0"/>
    <w:rsid w:val="002A49AC"/>
    <w:rsid w:val="002A64FD"/>
    <w:rsid w:val="002C7A84"/>
    <w:rsid w:val="002E3748"/>
    <w:rsid w:val="002E4FD9"/>
    <w:rsid w:val="002E7253"/>
    <w:rsid w:val="002F0D97"/>
    <w:rsid w:val="00322A85"/>
    <w:rsid w:val="003448F4"/>
    <w:rsid w:val="00374A33"/>
    <w:rsid w:val="00374F5E"/>
    <w:rsid w:val="00377E3E"/>
    <w:rsid w:val="003A4653"/>
    <w:rsid w:val="003A779E"/>
    <w:rsid w:val="003C49A1"/>
    <w:rsid w:val="003C4E42"/>
    <w:rsid w:val="003C5C60"/>
    <w:rsid w:val="003D0F4D"/>
    <w:rsid w:val="003D5B0D"/>
    <w:rsid w:val="003E0499"/>
    <w:rsid w:val="003E1F8D"/>
    <w:rsid w:val="003E6457"/>
    <w:rsid w:val="003F3941"/>
    <w:rsid w:val="00402695"/>
    <w:rsid w:val="00406575"/>
    <w:rsid w:val="004204E3"/>
    <w:rsid w:val="0042722E"/>
    <w:rsid w:val="00441A38"/>
    <w:rsid w:val="00442287"/>
    <w:rsid w:val="00446C30"/>
    <w:rsid w:val="00466F86"/>
    <w:rsid w:val="004A1847"/>
    <w:rsid w:val="004A305D"/>
    <w:rsid w:val="004D0CC2"/>
    <w:rsid w:val="004F21C4"/>
    <w:rsid w:val="004F685F"/>
    <w:rsid w:val="00520507"/>
    <w:rsid w:val="00527F43"/>
    <w:rsid w:val="005566E8"/>
    <w:rsid w:val="00574867"/>
    <w:rsid w:val="00591460"/>
    <w:rsid w:val="00596CD0"/>
    <w:rsid w:val="005A2340"/>
    <w:rsid w:val="005C3777"/>
    <w:rsid w:val="005C5CDC"/>
    <w:rsid w:val="005C6EBF"/>
    <w:rsid w:val="005D476C"/>
    <w:rsid w:val="005F3C82"/>
    <w:rsid w:val="005F6B5F"/>
    <w:rsid w:val="006219F8"/>
    <w:rsid w:val="0062644E"/>
    <w:rsid w:val="00651F76"/>
    <w:rsid w:val="00665D70"/>
    <w:rsid w:val="00682FD9"/>
    <w:rsid w:val="006900D9"/>
    <w:rsid w:val="006A2E58"/>
    <w:rsid w:val="006B6C25"/>
    <w:rsid w:val="006D659C"/>
    <w:rsid w:val="006F0D8F"/>
    <w:rsid w:val="006F234A"/>
    <w:rsid w:val="00703CD9"/>
    <w:rsid w:val="00706C16"/>
    <w:rsid w:val="00722858"/>
    <w:rsid w:val="0075632D"/>
    <w:rsid w:val="00756841"/>
    <w:rsid w:val="007644EA"/>
    <w:rsid w:val="007649AB"/>
    <w:rsid w:val="00771D0C"/>
    <w:rsid w:val="007833AC"/>
    <w:rsid w:val="007845D3"/>
    <w:rsid w:val="007B1E69"/>
    <w:rsid w:val="007B268C"/>
    <w:rsid w:val="007B3B4D"/>
    <w:rsid w:val="007B7171"/>
    <w:rsid w:val="007C3DC2"/>
    <w:rsid w:val="007D69B0"/>
    <w:rsid w:val="007E5497"/>
    <w:rsid w:val="007E5C8C"/>
    <w:rsid w:val="007E7793"/>
    <w:rsid w:val="00806F5F"/>
    <w:rsid w:val="0081082D"/>
    <w:rsid w:val="00820278"/>
    <w:rsid w:val="008339EE"/>
    <w:rsid w:val="00837EB8"/>
    <w:rsid w:val="00853E0F"/>
    <w:rsid w:val="00857A89"/>
    <w:rsid w:val="00857B08"/>
    <w:rsid w:val="00882473"/>
    <w:rsid w:val="008843B6"/>
    <w:rsid w:val="00891928"/>
    <w:rsid w:val="008A446D"/>
    <w:rsid w:val="008A7B17"/>
    <w:rsid w:val="008C35C6"/>
    <w:rsid w:val="008D180B"/>
    <w:rsid w:val="008E25E1"/>
    <w:rsid w:val="008F0EA7"/>
    <w:rsid w:val="009003B8"/>
    <w:rsid w:val="00923EEF"/>
    <w:rsid w:val="009419F9"/>
    <w:rsid w:val="00950A42"/>
    <w:rsid w:val="009554B9"/>
    <w:rsid w:val="00961B09"/>
    <w:rsid w:val="00965334"/>
    <w:rsid w:val="0097093E"/>
    <w:rsid w:val="0098122D"/>
    <w:rsid w:val="009A3058"/>
    <w:rsid w:val="009A6976"/>
    <w:rsid w:val="009B7A49"/>
    <w:rsid w:val="009C48E6"/>
    <w:rsid w:val="009C71FA"/>
    <w:rsid w:val="009C72E7"/>
    <w:rsid w:val="009F3034"/>
    <w:rsid w:val="009F3A13"/>
    <w:rsid w:val="00A052F6"/>
    <w:rsid w:val="00A122D3"/>
    <w:rsid w:val="00A17F13"/>
    <w:rsid w:val="00A20739"/>
    <w:rsid w:val="00A33C78"/>
    <w:rsid w:val="00A35ED1"/>
    <w:rsid w:val="00A46B1B"/>
    <w:rsid w:val="00A50445"/>
    <w:rsid w:val="00A63C11"/>
    <w:rsid w:val="00A73D28"/>
    <w:rsid w:val="00A8297E"/>
    <w:rsid w:val="00AA40A2"/>
    <w:rsid w:val="00AA46B5"/>
    <w:rsid w:val="00AB02C6"/>
    <w:rsid w:val="00AB0ADB"/>
    <w:rsid w:val="00AB71C9"/>
    <w:rsid w:val="00AC7F34"/>
    <w:rsid w:val="00AF53F1"/>
    <w:rsid w:val="00B27EFD"/>
    <w:rsid w:val="00B33BCC"/>
    <w:rsid w:val="00B5155A"/>
    <w:rsid w:val="00B65BB2"/>
    <w:rsid w:val="00B72CD3"/>
    <w:rsid w:val="00B72FFF"/>
    <w:rsid w:val="00B94141"/>
    <w:rsid w:val="00BC3D36"/>
    <w:rsid w:val="00BD3638"/>
    <w:rsid w:val="00BD7F72"/>
    <w:rsid w:val="00BE1799"/>
    <w:rsid w:val="00BE369A"/>
    <w:rsid w:val="00C04FB3"/>
    <w:rsid w:val="00C22DCD"/>
    <w:rsid w:val="00C330EB"/>
    <w:rsid w:val="00C54FE0"/>
    <w:rsid w:val="00C633A0"/>
    <w:rsid w:val="00C6619E"/>
    <w:rsid w:val="00C754BE"/>
    <w:rsid w:val="00C76B1C"/>
    <w:rsid w:val="00CA1725"/>
    <w:rsid w:val="00CB60E0"/>
    <w:rsid w:val="00CB6357"/>
    <w:rsid w:val="00CC1212"/>
    <w:rsid w:val="00CC1B26"/>
    <w:rsid w:val="00CD19B3"/>
    <w:rsid w:val="00CE280D"/>
    <w:rsid w:val="00CF0606"/>
    <w:rsid w:val="00CF6CE6"/>
    <w:rsid w:val="00D122B1"/>
    <w:rsid w:val="00D139B1"/>
    <w:rsid w:val="00D423A2"/>
    <w:rsid w:val="00D63AC2"/>
    <w:rsid w:val="00D64E58"/>
    <w:rsid w:val="00D737EA"/>
    <w:rsid w:val="00D7383B"/>
    <w:rsid w:val="00D73FFD"/>
    <w:rsid w:val="00DA231B"/>
    <w:rsid w:val="00DE71BC"/>
    <w:rsid w:val="00DF5254"/>
    <w:rsid w:val="00E16408"/>
    <w:rsid w:val="00E20894"/>
    <w:rsid w:val="00E245AB"/>
    <w:rsid w:val="00E246C7"/>
    <w:rsid w:val="00E2764C"/>
    <w:rsid w:val="00E27F2E"/>
    <w:rsid w:val="00E33792"/>
    <w:rsid w:val="00E50AFE"/>
    <w:rsid w:val="00E60ACC"/>
    <w:rsid w:val="00E771DC"/>
    <w:rsid w:val="00E81611"/>
    <w:rsid w:val="00E8534C"/>
    <w:rsid w:val="00E8772A"/>
    <w:rsid w:val="00E90F6B"/>
    <w:rsid w:val="00E92C27"/>
    <w:rsid w:val="00E97D30"/>
    <w:rsid w:val="00EA0E3D"/>
    <w:rsid w:val="00EA1F99"/>
    <w:rsid w:val="00EA58E8"/>
    <w:rsid w:val="00EA7D9A"/>
    <w:rsid w:val="00EB30F6"/>
    <w:rsid w:val="00EB5199"/>
    <w:rsid w:val="00EE1AA8"/>
    <w:rsid w:val="00F03D84"/>
    <w:rsid w:val="00F078B7"/>
    <w:rsid w:val="00F079DF"/>
    <w:rsid w:val="00F129E0"/>
    <w:rsid w:val="00F31024"/>
    <w:rsid w:val="00F31EDC"/>
    <w:rsid w:val="00F3601F"/>
    <w:rsid w:val="00F462B3"/>
    <w:rsid w:val="00F5664F"/>
    <w:rsid w:val="00F64A9B"/>
    <w:rsid w:val="00F666C4"/>
    <w:rsid w:val="00F73266"/>
    <w:rsid w:val="00F76AFC"/>
    <w:rsid w:val="00F83753"/>
    <w:rsid w:val="00F86D2F"/>
    <w:rsid w:val="00F97CF8"/>
    <w:rsid w:val="00FB5DD1"/>
    <w:rsid w:val="00FC2B5D"/>
    <w:rsid w:val="00FE278E"/>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37EB8"/>
    <w:rPr>
      <w:rFonts w:ascii="Geomanist Light" w:hAnsi="Geomanist Light"/>
      <w:lang w:val="es-ES"/>
    </w:rPr>
  </w:style>
  <w:style w:type="paragraph" w:customStyle="1" w:styleId="Appelnotedebasde">
    <w:name w:val="Appel note de bas de..."/>
    <w:basedOn w:val="Normal"/>
    <w:link w:val="Refdenotaalpie"/>
    <w:uiPriority w:val="99"/>
    <w:rsid w:val="00374A33"/>
    <w:pPr>
      <w:spacing w:line="240" w:lineRule="exact"/>
    </w:pPr>
    <w:rPr>
      <w:vertAlign w:val="superscript"/>
    </w:rPr>
  </w:style>
  <w:style w:type="character" w:customStyle="1" w:styleId="baj">
    <w:name w:val="b_aj"/>
    <w:basedOn w:val="Fuentedeprrafopredeter"/>
    <w:rsid w:val="00246CE2"/>
  </w:style>
  <w:style w:type="character" w:styleId="nfasis">
    <w:name w:val="Emphasis"/>
    <w:basedOn w:val="Fuentedeprrafopredeter"/>
    <w:uiPriority w:val="20"/>
    <w:qFormat/>
    <w:rsid w:val="00246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70485991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080_199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mp"/><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7E1C02B8-11F1-4086-A309-BE3AC3B6B9E0}"/>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AF108429-1A06-4ED5-9EAD-7E252BDD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8416</Words>
  <Characters>46292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3</cp:revision>
  <cp:lastPrinted>2023-01-10T21:18:00Z</cp:lastPrinted>
  <dcterms:created xsi:type="dcterms:W3CDTF">2023-10-26T16:56:00Z</dcterms:created>
  <dcterms:modified xsi:type="dcterms:W3CDTF">2023-10-26T16:57:00Z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