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5B33A" w14:textId="77777777" w:rsidR="00535540" w:rsidRPr="007E7C01" w:rsidRDefault="00535540" w:rsidP="00565A2E">
      <w:pPr>
        <w:spacing w:line="240" w:lineRule="auto"/>
        <w:jc w:val="both"/>
        <w:rPr>
          <w:rFonts w:ascii="Arial" w:hAnsi="Arial" w:cs="Arial"/>
          <w:b/>
          <w:sz w:val="20"/>
          <w:szCs w:val="20"/>
          <w:lang w:val="es-ES_tradnl"/>
        </w:rPr>
      </w:pPr>
      <w:bookmarkStart w:id="0" w:name="_Hlk34951122"/>
      <w:r w:rsidRPr="007E7C01">
        <w:rPr>
          <w:rFonts w:ascii="Arial" w:hAnsi="Arial" w:cs="Arial"/>
          <w:b/>
          <w:sz w:val="20"/>
          <w:szCs w:val="20"/>
          <w:lang w:val="es-ES_tradnl"/>
        </w:rPr>
        <w:t xml:space="preserve">ANTICIPO – Regulación normativa </w:t>
      </w:r>
    </w:p>
    <w:p w14:paraId="00C9B49B" w14:textId="77777777" w:rsidR="00535540" w:rsidRPr="007E7C01" w:rsidRDefault="00535540" w:rsidP="00565A2E">
      <w:pPr>
        <w:spacing w:line="240" w:lineRule="auto"/>
        <w:jc w:val="both"/>
        <w:rPr>
          <w:rFonts w:ascii="Arial" w:hAnsi="Arial" w:cs="Arial"/>
          <w:sz w:val="20"/>
          <w:szCs w:val="20"/>
          <w:lang w:val="es-ES_tradnl"/>
        </w:rPr>
      </w:pPr>
      <w:r w:rsidRPr="007E7C01">
        <w:rPr>
          <w:rFonts w:ascii="Arial" w:hAnsi="Arial" w:cs="Arial"/>
          <w:sz w:val="20"/>
          <w:szCs w:val="20"/>
          <w:lang w:val="es-ES_tradnl"/>
        </w:rPr>
        <w:t xml:space="preserve">En materia de contratación pública, la figura del anticipo está prevista en dos (2) normas: el inciso primero del parágrafo del artículo 40 de la Ley 80 de 1993 y en el artículo 91 de la Ley 1474 de 2011. En cuanto al Estatuto General de Contratación de la Administración Pública, se dispone la posibilidad de pactar anticipos en los contratos, pero sujeto a determinadas limitaciones. En efecto, la norma prescribe que «En los contratos que celebren las entidades estatales se podrá pactar el pago anticipado y la entrega de anticipos, pero su monto no podrá exceder del cincuenta por ciento (50%) del valor del respectivo contrato». Por su parte, el artículo 91 de la Ley 1474 de 2011 consagra una regla especial para el manejo del anticipo. </w:t>
      </w:r>
    </w:p>
    <w:p w14:paraId="55224D70" w14:textId="77777777" w:rsidR="00535540" w:rsidRPr="00193825" w:rsidRDefault="00535540" w:rsidP="00565A2E">
      <w:pPr>
        <w:spacing w:line="240" w:lineRule="auto"/>
        <w:jc w:val="both"/>
        <w:rPr>
          <w:rFonts w:ascii="Arial" w:hAnsi="Arial" w:cs="Arial"/>
          <w:b/>
          <w:sz w:val="20"/>
          <w:szCs w:val="20"/>
        </w:rPr>
      </w:pPr>
      <w:r w:rsidRPr="00193825">
        <w:rPr>
          <w:rFonts w:ascii="Arial" w:hAnsi="Arial" w:cs="Arial"/>
          <w:b/>
          <w:sz w:val="20"/>
          <w:szCs w:val="20"/>
        </w:rPr>
        <w:t>ANTICIPO – Definición jurisprudencial</w:t>
      </w:r>
    </w:p>
    <w:p w14:paraId="2001A532" w14:textId="2A83BE74" w:rsidR="00535540" w:rsidRPr="00193825" w:rsidRDefault="00535540" w:rsidP="00565A2E">
      <w:pPr>
        <w:spacing w:line="240" w:lineRule="auto"/>
        <w:jc w:val="both"/>
        <w:rPr>
          <w:rFonts w:ascii="Arial" w:hAnsi="Arial" w:cs="Arial"/>
          <w:sz w:val="20"/>
          <w:szCs w:val="20"/>
          <w:lang w:val="es-ES_tradnl"/>
        </w:rPr>
      </w:pPr>
      <w:r w:rsidRPr="00193825">
        <w:rPr>
          <w:rFonts w:ascii="Arial" w:hAnsi="Arial" w:cs="Arial"/>
          <w:sz w:val="20"/>
          <w:szCs w:val="20"/>
          <w:lang w:val="es-ES_tradnl"/>
        </w:rPr>
        <w:t xml:space="preserve">[…], </w:t>
      </w:r>
      <w:r w:rsidRPr="00193825">
        <w:rPr>
          <w:rFonts w:ascii="Arial" w:hAnsi="Arial" w:cs="Arial"/>
          <w:sz w:val="20"/>
          <w:szCs w:val="20"/>
        </w:rPr>
        <w:t xml:space="preserve">el Consejo de Estado </w:t>
      </w:r>
      <w:r w:rsidR="00193825" w:rsidRPr="00193825">
        <w:rPr>
          <w:rFonts w:ascii="Arial" w:hAnsi="Arial" w:cs="Arial"/>
          <w:sz w:val="20"/>
          <w:szCs w:val="20"/>
        </w:rPr>
        <w:t xml:space="preserve">ha precisado su naturaleza jurídica fijando parámetros para su aplicación. En uno de sus pronunciamientos más recientes, el Consejo de Estado </w:t>
      </w:r>
      <w:r w:rsidRPr="00193825">
        <w:rPr>
          <w:rFonts w:ascii="Arial" w:hAnsi="Arial" w:cs="Arial"/>
          <w:sz w:val="20"/>
          <w:szCs w:val="20"/>
        </w:rPr>
        <w:t xml:space="preserve">se refirió </w:t>
      </w:r>
      <w:r w:rsidR="00193825" w:rsidRPr="00193825">
        <w:rPr>
          <w:rFonts w:ascii="Arial" w:hAnsi="Arial" w:cs="Arial"/>
          <w:sz w:val="20"/>
          <w:szCs w:val="20"/>
        </w:rPr>
        <w:t>al</w:t>
      </w:r>
      <w:r w:rsidRPr="00193825">
        <w:rPr>
          <w:rFonts w:ascii="Arial" w:hAnsi="Arial" w:cs="Arial"/>
          <w:sz w:val="20"/>
          <w:szCs w:val="20"/>
        </w:rPr>
        <w:t xml:space="preserve"> anticipo como </w:t>
      </w:r>
      <w:r w:rsidRPr="00193825">
        <w:rPr>
          <w:rFonts w:ascii="Arial" w:hAnsi="Arial" w:cs="Arial"/>
          <w:color w:val="000000" w:themeColor="text1"/>
          <w:sz w:val="20"/>
          <w:szCs w:val="20"/>
        </w:rPr>
        <w:t>«</w:t>
      </w:r>
      <w:r w:rsidRPr="00193825">
        <w:rPr>
          <w:rFonts w:ascii="Arial" w:hAnsi="Arial" w:cs="Arial"/>
          <w:sz w:val="20"/>
          <w:szCs w:val="20"/>
        </w:rPr>
        <w:t>un recurso o suma correspondiente a un porcentaje del valor total del contrato, pactado como contraprestación, que la entidad pública le entrega al contratista para que sea invertida específicamente en la ejecución del contrato y sea manejada generalmente en cuenta separada, con imposición de obligaciones relacionadas con legalización y amortización de la inversión, de suerte que el monto entregado como anticipo no ingresa al patrimonio del contratista sino cuando ha sido debidamente amortizado</w:t>
      </w:r>
      <w:r w:rsidR="00193825" w:rsidRPr="00193825">
        <w:rPr>
          <w:rFonts w:ascii="Arial" w:hAnsi="Arial" w:cs="Arial"/>
          <w:color w:val="000000" w:themeColor="text1"/>
          <w:sz w:val="20"/>
          <w:szCs w:val="20"/>
        </w:rPr>
        <w:t>»</w:t>
      </w:r>
    </w:p>
    <w:p w14:paraId="7A2B367E" w14:textId="77777777" w:rsidR="00535540" w:rsidRPr="00257611" w:rsidRDefault="00535540" w:rsidP="00565A2E">
      <w:pPr>
        <w:spacing w:line="240" w:lineRule="auto"/>
        <w:jc w:val="both"/>
        <w:rPr>
          <w:rFonts w:ascii="Arial" w:hAnsi="Arial" w:cs="Arial"/>
          <w:b/>
          <w:color w:val="000000" w:themeColor="text1"/>
          <w:sz w:val="20"/>
          <w:szCs w:val="20"/>
        </w:rPr>
      </w:pPr>
      <w:r w:rsidRPr="00257611">
        <w:rPr>
          <w:rFonts w:ascii="Arial" w:hAnsi="Arial" w:cs="Arial"/>
          <w:b/>
          <w:color w:val="000000" w:themeColor="text1"/>
          <w:sz w:val="20"/>
          <w:szCs w:val="20"/>
        </w:rPr>
        <w:t xml:space="preserve">ANTICIPO – Autonomía de la voluntad – Derechos y obligaciones recíprocas </w:t>
      </w:r>
    </w:p>
    <w:p w14:paraId="66D67CFA" w14:textId="77777777" w:rsidR="00535540" w:rsidRPr="00C948E9" w:rsidRDefault="00535540" w:rsidP="00565A2E">
      <w:pPr>
        <w:spacing w:line="240" w:lineRule="auto"/>
        <w:jc w:val="both"/>
        <w:rPr>
          <w:rFonts w:ascii="Arial" w:hAnsi="Arial" w:cs="Arial"/>
          <w:sz w:val="20"/>
          <w:szCs w:val="20"/>
          <w:lang w:val="es-ES_tradnl"/>
        </w:rPr>
      </w:pPr>
      <w:r w:rsidRPr="00257611">
        <w:rPr>
          <w:rFonts w:ascii="Arial" w:hAnsi="Arial" w:cs="Arial"/>
          <w:sz w:val="20"/>
          <w:szCs w:val="20"/>
          <w:lang w:val="es-ES_tradnl"/>
        </w:rPr>
        <w:t xml:space="preserve">Como característica esencial del anticipo, derivada del artículo 40 de la Ley 80 de 1993, el pacto proviene de la autonomía de la voluntad de las partes. De allí que se generen una serie de derechos y obligaciones recíprocos entre ellas. Por un lado, el contratante tiene la obligación de entregar el valor pactado como anticipo y el derecho a que los recursos sean empleados en la forma estipulada. Por otro lado, el contratista </w:t>
      </w:r>
      <w:r w:rsidRPr="00C948E9">
        <w:rPr>
          <w:rFonts w:ascii="Arial" w:hAnsi="Arial" w:cs="Arial"/>
          <w:sz w:val="20"/>
          <w:szCs w:val="20"/>
          <w:lang w:val="es-ES_tradnl"/>
        </w:rPr>
        <w:t xml:space="preserve">tiene derecho a recibir dicho anticipo y la obligación de destinarlo a la ejecución del contrato. </w:t>
      </w:r>
    </w:p>
    <w:p w14:paraId="495B093E" w14:textId="21B37CE9" w:rsidR="00535540" w:rsidRPr="00C948E9" w:rsidRDefault="00535540" w:rsidP="00565A2E">
      <w:pPr>
        <w:spacing w:line="240" w:lineRule="auto"/>
        <w:jc w:val="both"/>
        <w:rPr>
          <w:rFonts w:ascii="Arial" w:hAnsi="Arial" w:cs="Arial"/>
          <w:b/>
          <w:color w:val="000000" w:themeColor="text1"/>
          <w:sz w:val="20"/>
          <w:szCs w:val="20"/>
        </w:rPr>
      </w:pPr>
      <w:r w:rsidRPr="00C948E9">
        <w:rPr>
          <w:rFonts w:ascii="Arial" w:hAnsi="Arial" w:cs="Arial"/>
          <w:b/>
          <w:color w:val="000000" w:themeColor="text1"/>
          <w:sz w:val="20"/>
          <w:szCs w:val="20"/>
        </w:rPr>
        <w:t>CONSTITUCIÓN DE FIDUCIA O PATRIMONIO AUTÓNOMO IRREVOCABLE – Artículo 91 ley 1474 de 2011</w:t>
      </w:r>
      <w:r w:rsidR="002127B8" w:rsidRPr="00C948E9">
        <w:rPr>
          <w:rFonts w:ascii="Arial" w:hAnsi="Arial" w:cs="Arial"/>
          <w:b/>
          <w:color w:val="000000" w:themeColor="text1"/>
          <w:sz w:val="20"/>
          <w:szCs w:val="20"/>
        </w:rPr>
        <w:t xml:space="preserve"> - </w:t>
      </w:r>
      <w:r w:rsidR="002127B8" w:rsidRPr="00565A2E">
        <w:rPr>
          <w:rFonts w:ascii="Arial" w:hAnsi="Arial" w:cs="Arial"/>
          <w:bCs/>
          <w:sz w:val="20"/>
          <w:szCs w:val="20"/>
        </w:rPr>
        <w:t>Contratos aplicables</w:t>
      </w:r>
    </w:p>
    <w:p w14:paraId="3F19CB31" w14:textId="77777777" w:rsidR="00C948E9" w:rsidRPr="00C948E9" w:rsidRDefault="00C948E9" w:rsidP="00C948E9">
      <w:pPr>
        <w:spacing w:before="120" w:line="240" w:lineRule="auto"/>
        <w:jc w:val="both"/>
        <w:rPr>
          <w:rFonts w:ascii="Arial" w:hAnsi="Arial" w:cs="Arial"/>
          <w:sz w:val="20"/>
          <w:szCs w:val="20"/>
        </w:rPr>
      </w:pPr>
      <w:r w:rsidRPr="00C948E9">
        <w:rPr>
          <w:rFonts w:ascii="Arial" w:hAnsi="Arial" w:cs="Arial"/>
          <w:sz w:val="20"/>
          <w:szCs w:val="20"/>
        </w:rPr>
        <w:t xml:space="preserve">En ese sentido, es claro que el artículo 91 de la Ley 1474 de 2011 determina el ámbito de aplicación, al enumerar los casos en los cuales es deber del contratista constituir un patrimonio autónomo o una fiducia para administrar los recursos del anticipo. Para tales efectos, se establecen los siguientes contratos: i) obra, ii) concesión, iii) salud y </w:t>
      </w:r>
      <w:proofErr w:type="spellStart"/>
      <w:r w:rsidRPr="00C948E9">
        <w:rPr>
          <w:rFonts w:ascii="Arial" w:hAnsi="Arial" w:cs="Arial"/>
          <w:sz w:val="20"/>
          <w:szCs w:val="20"/>
        </w:rPr>
        <w:t>iv</w:t>
      </w:r>
      <w:proofErr w:type="spellEnd"/>
      <w:r w:rsidRPr="00C948E9">
        <w:rPr>
          <w:rFonts w:ascii="Arial" w:hAnsi="Arial" w:cs="Arial"/>
          <w:sz w:val="20"/>
          <w:szCs w:val="20"/>
        </w:rPr>
        <w:t xml:space="preserve">) los contratos derivados de un proceso de licitación pública. </w:t>
      </w:r>
    </w:p>
    <w:p w14:paraId="5B94ECAB" w14:textId="6F6FF4E8" w:rsidR="00C948E9" w:rsidRPr="00C948E9" w:rsidRDefault="00C948E9" w:rsidP="00C948E9">
      <w:pPr>
        <w:spacing w:before="120" w:line="240" w:lineRule="auto"/>
        <w:jc w:val="both"/>
        <w:rPr>
          <w:rFonts w:ascii="Arial" w:hAnsi="Arial" w:cs="Arial"/>
          <w:sz w:val="20"/>
          <w:szCs w:val="20"/>
        </w:rPr>
      </w:pPr>
      <w:r w:rsidRPr="4DB45523">
        <w:rPr>
          <w:rFonts w:ascii="Arial" w:hAnsi="Arial" w:cs="Arial"/>
          <w:sz w:val="20"/>
          <w:szCs w:val="20"/>
        </w:rPr>
        <w:t xml:space="preserve">Aunque la norma menciona la modalidad de selección de licitación pública, también determina una excepción general de su aplicación para </w:t>
      </w:r>
      <w:r w:rsidR="53421789" w:rsidRPr="4DB45523">
        <w:rPr>
          <w:rFonts w:ascii="Arial" w:hAnsi="Arial" w:cs="Arial"/>
          <w:sz w:val="20"/>
          <w:szCs w:val="20"/>
        </w:rPr>
        <w:t>los tipos</w:t>
      </w:r>
      <w:r w:rsidRPr="4DB45523">
        <w:rPr>
          <w:rFonts w:ascii="Arial" w:hAnsi="Arial" w:cs="Arial"/>
          <w:sz w:val="20"/>
          <w:szCs w:val="20"/>
        </w:rPr>
        <w:t xml:space="preserve"> de contratos cuya disposición resulta obligatoria. Ello es así, por cuanto la expresión </w:t>
      </w:r>
      <w:r w:rsidRPr="4DB45523">
        <w:rPr>
          <w:rFonts w:ascii="Arial" w:hAnsi="Arial" w:cs="Arial"/>
          <w:color w:val="000000" w:themeColor="text1"/>
          <w:sz w:val="20"/>
          <w:szCs w:val="20"/>
        </w:rPr>
        <w:t>«</w:t>
      </w:r>
      <w:r w:rsidRPr="4DB45523">
        <w:rPr>
          <w:rFonts w:ascii="Arial" w:hAnsi="Arial" w:cs="Arial"/>
          <w:i/>
          <w:iCs/>
          <w:sz w:val="20"/>
          <w:szCs w:val="20"/>
        </w:rPr>
        <w:t>salvo que el contrato sea de menor o mínima cuantía</w:t>
      </w:r>
      <w:r w:rsidRPr="4DB45523">
        <w:rPr>
          <w:rFonts w:ascii="Arial" w:hAnsi="Arial" w:cs="Arial"/>
          <w:color w:val="000000" w:themeColor="text1"/>
          <w:sz w:val="20"/>
          <w:szCs w:val="20"/>
        </w:rPr>
        <w:t xml:space="preserve">», describe que, a pesar de las enunciaciones anteriores, dicha disposición imperativa no aplica en el supuesto de hecho de que la cuantía del contrato no resulte ser de mayor cuantía. </w:t>
      </w:r>
    </w:p>
    <w:p w14:paraId="5C5DFA9B" w14:textId="77777777" w:rsidR="00535540" w:rsidRPr="00257F4F" w:rsidRDefault="00535540" w:rsidP="00565A2E">
      <w:pPr>
        <w:spacing w:line="276" w:lineRule="auto"/>
        <w:jc w:val="both"/>
        <w:outlineLvl w:val="0"/>
        <w:rPr>
          <w:rFonts w:ascii="Arial" w:hAnsi="Arial" w:cs="Arial"/>
          <w:bCs/>
          <w:color w:val="000000" w:themeColor="text1"/>
          <w:sz w:val="20"/>
          <w:szCs w:val="20"/>
        </w:rPr>
      </w:pPr>
    </w:p>
    <w:p w14:paraId="1C63E4CD" w14:textId="77777777" w:rsidR="00535540" w:rsidRPr="00257F4F" w:rsidRDefault="00535540" w:rsidP="00565A2E">
      <w:pPr>
        <w:spacing w:line="276" w:lineRule="auto"/>
        <w:jc w:val="both"/>
        <w:outlineLvl w:val="0"/>
        <w:rPr>
          <w:rFonts w:ascii="Arial" w:hAnsi="Arial" w:cs="Arial"/>
          <w:bCs/>
          <w:color w:val="000000" w:themeColor="text1"/>
          <w:sz w:val="20"/>
          <w:szCs w:val="20"/>
        </w:rPr>
      </w:pPr>
    </w:p>
    <w:p w14:paraId="3F4D53CE" w14:textId="77777777" w:rsidR="00535540" w:rsidRPr="000F4A3A" w:rsidRDefault="00535540" w:rsidP="00565A2E">
      <w:pPr>
        <w:spacing w:line="276" w:lineRule="auto"/>
        <w:jc w:val="both"/>
        <w:outlineLvl w:val="0"/>
        <w:rPr>
          <w:rFonts w:ascii="Arial" w:hAnsi="Arial" w:cs="Arial"/>
          <w:bCs/>
          <w:color w:val="000000" w:themeColor="text1"/>
        </w:rPr>
      </w:pPr>
    </w:p>
    <w:p w14:paraId="2A07FB6F" w14:textId="63850040" w:rsidR="00535540" w:rsidRPr="00C33398" w:rsidRDefault="00535540" w:rsidP="00565A2E">
      <w:pPr>
        <w:spacing w:line="276" w:lineRule="auto"/>
        <w:jc w:val="both"/>
        <w:rPr>
          <w:rFonts w:ascii="Arial" w:eastAsia="Geomanist Light" w:hAnsi="Arial" w:cs="Arial"/>
          <w:color w:val="201F1E"/>
          <w:lang w:val="es-MX"/>
        </w:rPr>
      </w:pPr>
      <w:r w:rsidRPr="000F4A3A">
        <w:rPr>
          <w:rFonts w:ascii="Arial" w:hAnsi="Arial" w:cs="Arial"/>
          <w:bCs/>
          <w:color w:val="000000" w:themeColor="text1"/>
        </w:rPr>
        <w:br w:type="page"/>
      </w:r>
      <w:r w:rsidR="006141FB" w:rsidRPr="006141FB">
        <w:rPr>
          <w:rFonts w:ascii="Arial" w:hAnsi="Arial" w:cs="Arial"/>
          <w:noProof/>
          <w:color w:val="000000" w:themeColor="text1"/>
        </w:rPr>
        <w:lastRenderedPageBreak/>
        <w:drawing>
          <wp:anchor distT="0" distB="0" distL="114300" distR="114300" simplePos="0" relativeHeight="251658240" behindDoc="1" locked="0" layoutInCell="1" allowOverlap="1" wp14:anchorId="03398DB2" wp14:editId="7A87A90F">
            <wp:simplePos x="0" y="0"/>
            <wp:positionH relativeFrom="margin">
              <wp:posOffset>3811270</wp:posOffset>
            </wp:positionH>
            <wp:positionV relativeFrom="paragraph">
              <wp:posOffset>150495</wp:posOffset>
            </wp:positionV>
            <wp:extent cx="2159000" cy="5969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162882" cy="597973"/>
                    </a:xfrm>
                    <a:prstGeom prst="rect">
                      <a:avLst/>
                    </a:prstGeom>
                  </pic:spPr>
                </pic:pic>
              </a:graphicData>
            </a:graphic>
            <wp14:sizeRelH relativeFrom="margin">
              <wp14:pctWidth>0</wp14:pctWidth>
            </wp14:sizeRelH>
            <wp14:sizeRelV relativeFrom="margin">
              <wp14:pctHeight>0</wp14:pctHeight>
            </wp14:sizeRelV>
          </wp:anchor>
        </w:drawing>
      </w:r>
      <w:r w:rsidRPr="00C33398">
        <w:rPr>
          <w:rFonts w:ascii="Arial" w:eastAsia="Geomanist Light" w:hAnsi="Arial" w:cs="Arial"/>
          <w:color w:val="000000" w:themeColor="text1"/>
          <w:lang w:val="es-MX"/>
        </w:rPr>
        <w:t>Bogotá D.C., </w:t>
      </w:r>
      <w:r w:rsidR="006141FB">
        <w:rPr>
          <w:rFonts w:ascii="Arial" w:eastAsia="Geomanist Light" w:hAnsi="Arial" w:cs="Arial"/>
          <w:color w:val="201F1E"/>
          <w:lang w:val="es-MX"/>
        </w:rPr>
        <w:t>13 de Marzo de 2023</w:t>
      </w:r>
    </w:p>
    <w:p w14:paraId="4EDBDF2D" w14:textId="1A8E441B" w:rsidR="00535540" w:rsidRDefault="00535540" w:rsidP="00565A2E">
      <w:pPr>
        <w:spacing w:line="276" w:lineRule="auto"/>
        <w:jc w:val="both"/>
        <w:outlineLvl w:val="0"/>
        <w:rPr>
          <w:rFonts w:ascii="Arial" w:hAnsi="Arial" w:cs="Arial"/>
          <w:color w:val="000000" w:themeColor="text1"/>
        </w:rPr>
      </w:pPr>
    </w:p>
    <w:p w14:paraId="36063724" w14:textId="77777777" w:rsidR="00535540" w:rsidRPr="000F4A3A" w:rsidRDefault="00535540" w:rsidP="00565A2E">
      <w:pPr>
        <w:spacing w:line="276" w:lineRule="auto"/>
        <w:jc w:val="both"/>
        <w:outlineLvl w:val="0"/>
        <w:rPr>
          <w:rFonts w:ascii="Arial" w:hAnsi="Arial" w:cs="Arial"/>
          <w:color w:val="000000" w:themeColor="text1"/>
        </w:rPr>
      </w:pPr>
    </w:p>
    <w:p w14:paraId="7AC95EF4" w14:textId="6D3AB3B6" w:rsidR="005E6DBC" w:rsidRPr="00862F7A" w:rsidRDefault="005E6DBC" w:rsidP="00565A2E">
      <w:pPr>
        <w:spacing w:after="0" w:line="276" w:lineRule="auto"/>
        <w:jc w:val="both"/>
        <w:rPr>
          <w:rFonts w:ascii="Arial" w:hAnsi="Arial" w:cs="Arial"/>
        </w:rPr>
      </w:pPr>
      <w:r w:rsidRPr="00862F7A">
        <w:rPr>
          <w:rFonts w:ascii="Arial" w:hAnsi="Arial" w:cs="Arial"/>
        </w:rPr>
        <w:t>Señor</w:t>
      </w:r>
    </w:p>
    <w:p w14:paraId="640D9FFB" w14:textId="4EEBAF2E" w:rsidR="00535540" w:rsidRDefault="00862F7A" w:rsidP="00565A2E">
      <w:pPr>
        <w:spacing w:after="0" w:line="276" w:lineRule="auto"/>
        <w:jc w:val="both"/>
        <w:rPr>
          <w:rFonts w:ascii="Arial" w:hAnsi="Arial" w:cs="Arial"/>
          <w:b/>
          <w:bCs/>
        </w:rPr>
      </w:pPr>
      <w:r>
        <w:rPr>
          <w:rFonts w:ascii="Arial" w:hAnsi="Arial" w:cs="Arial"/>
          <w:b/>
          <w:bCs/>
        </w:rPr>
        <w:t>Gerson Vega Vargas</w:t>
      </w:r>
    </w:p>
    <w:p w14:paraId="79BF49D4" w14:textId="3ADCA8B2" w:rsidR="00535540" w:rsidRPr="00563DED" w:rsidRDefault="00000000" w:rsidP="00565A2E">
      <w:pPr>
        <w:spacing w:after="0" w:line="276" w:lineRule="auto"/>
        <w:jc w:val="both"/>
        <w:rPr>
          <w:rFonts w:ascii="Arial" w:hAnsi="Arial" w:cs="Arial"/>
        </w:rPr>
      </w:pPr>
      <w:hyperlink r:id="rId12" w:history="1">
        <w:r w:rsidR="00563DED" w:rsidRPr="00767B4E">
          <w:rPr>
            <w:rStyle w:val="Hipervnculo"/>
            <w:rFonts w:ascii="Arial" w:hAnsi="Arial" w:cs="Arial"/>
          </w:rPr>
          <w:t>gersonvega@gmail.com</w:t>
        </w:r>
      </w:hyperlink>
      <w:r w:rsidR="00535540" w:rsidRPr="00563DED">
        <w:rPr>
          <w:rFonts w:ascii="Arial" w:hAnsi="Arial" w:cs="Arial"/>
        </w:rPr>
        <w:t xml:space="preserve"> </w:t>
      </w:r>
    </w:p>
    <w:p w14:paraId="3A804E90" w14:textId="6E12C317" w:rsidR="00535540" w:rsidRPr="000F4A3A" w:rsidRDefault="00563DED" w:rsidP="00565A2E">
      <w:pPr>
        <w:spacing w:after="0" w:line="276" w:lineRule="auto"/>
        <w:jc w:val="both"/>
        <w:rPr>
          <w:rFonts w:ascii="Arial" w:hAnsi="Arial" w:cs="Arial"/>
          <w:color w:val="000000" w:themeColor="text1"/>
        </w:rPr>
      </w:pPr>
      <w:r>
        <w:rPr>
          <w:rFonts w:ascii="Arial" w:hAnsi="Arial" w:cs="Arial"/>
          <w:color w:val="000000" w:themeColor="text1"/>
        </w:rPr>
        <w:t>Florida</w:t>
      </w:r>
      <w:r w:rsidR="00920744">
        <w:rPr>
          <w:rFonts w:ascii="Arial" w:hAnsi="Arial" w:cs="Arial"/>
          <w:color w:val="000000" w:themeColor="text1"/>
        </w:rPr>
        <w:t>blanca</w:t>
      </w:r>
      <w:r w:rsidR="00535540" w:rsidRPr="000F4A3A">
        <w:rPr>
          <w:rFonts w:ascii="Arial" w:hAnsi="Arial" w:cs="Arial"/>
          <w:color w:val="000000" w:themeColor="text1"/>
        </w:rPr>
        <w:t>, Santander</w:t>
      </w:r>
    </w:p>
    <w:p w14:paraId="6752D096" w14:textId="77777777" w:rsidR="00535540" w:rsidRPr="000F4A3A" w:rsidRDefault="00535540" w:rsidP="00565A2E">
      <w:pPr>
        <w:spacing w:line="276" w:lineRule="auto"/>
        <w:jc w:val="both"/>
        <w:rPr>
          <w:rFonts w:ascii="Arial" w:hAnsi="Arial" w:cs="Arial"/>
          <w:color w:val="000000" w:themeColor="text1"/>
        </w:rPr>
      </w:pPr>
    </w:p>
    <w:p w14:paraId="6F19085F" w14:textId="5738AA66" w:rsidR="00535540" w:rsidRPr="000D1127" w:rsidRDefault="00535540" w:rsidP="00565A2E">
      <w:pPr>
        <w:spacing w:line="276" w:lineRule="auto"/>
        <w:ind w:firstLine="2694"/>
        <w:jc w:val="both"/>
        <w:outlineLvl w:val="0"/>
        <w:rPr>
          <w:rFonts w:ascii="Arial" w:hAnsi="Arial" w:cs="Arial"/>
          <w:b/>
        </w:rPr>
      </w:pPr>
      <w:r w:rsidRPr="000D1127">
        <w:rPr>
          <w:rFonts w:ascii="Arial" w:hAnsi="Arial" w:cs="Arial"/>
          <w:b/>
        </w:rPr>
        <w:t xml:space="preserve">Concepto C – </w:t>
      </w:r>
      <w:r w:rsidR="008A5559">
        <w:rPr>
          <w:rFonts w:ascii="Arial" w:hAnsi="Arial" w:cs="Arial"/>
          <w:b/>
        </w:rPr>
        <w:t>003</w:t>
      </w:r>
      <w:r w:rsidRPr="000D1127">
        <w:rPr>
          <w:rFonts w:ascii="Arial" w:hAnsi="Arial" w:cs="Arial"/>
          <w:b/>
        </w:rPr>
        <w:t xml:space="preserve"> de 202</w:t>
      </w:r>
      <w:r w:rsidR="008A5559">
        <w:rPr>
          <w:rFonts w:ascii="Arial" w:hAnsi="Arial" w:cs="Arial"/>
          <w:b/>
        </w:rPr>
        <w:t>3</w:t>
      </w: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535540" w:rsidRPr="000D1127" w14:paraId="671FFD78" w14:textId="77777777" w:rsidTr="0031307F">
        <w:tc>
          <w:tcPr>
            <w:tcW w:w="2689" w:type="dxa"/>
            <w:hideMark/>
          </w:tcPr>
          <w:p w14:paraId="2E630459" w14:textId="77777777" w:rsidR="00535540" w:rsidRPr="000D1127" w:rsidRDefault="00535540" w:rsidP="00565A2E">
            <w:pPr>
              <w:jc w:val="both"/>
              <w:rPr>
                <w:rFonts w:ascii="Arial" w:hAnsi="Arial" w:cs="Arial"/>
              </w:rPr>
            </w:pPr>
            <w:r w:rsidRPr="000D1127">
              <w:rPr>
                <w:rFonts w:ascii="Arial" w:hAnsi="Arial" w:cs="Arial"/>
                <w:b/>
              </w:rPr>
              <w:t>Temas:</w:t>
            </w:r>
            <w:r w:rsidRPr="000D1127">
              <w:rPr>
                <w:rFonts w:ascii="Arial" w:hAnsi="Arial" w:cs="Arial"/>
              </w:rPr>
              <w:t xml:space="preserve">           </w:t>
            </w:r>
          </w:p>
          <w:p w14:paraId="27AA8A19" w14:textId="77777777" w:rsidR="00535540" w:rsidRPr="000D1127" w:rsidRDefault="00535540" w:rsidP="00565A2E">
            <w:pPr>
              <w:jc w:val="both"/>
              <w:rPr>
                <w:rFonts w:ascii="Arial" w:hAnsi="Arial" w:cs="Arial"/>
              </w:rPr>
            </w:pPr>
            <w:r w:rsidRPr="000D1127">
              <w:rPr>
                <w:rFonts w:ascii="Arial" w:hAnsi="Arial" w:cs="Arial"/>
              </w:rPr>
              <w:t xml:space="preserve">                           </w:t>
            </w:r>
          </w:p>
        </w:tc>
        <w:tc>
          <w:tcPr>
            <w:tcW w:w="6237" w:type="dxa"/>
            <w:hideMark/>
          </w:tcPr>
          <w:p w14:paraId="5480AAA9" w14:textId="437298EE" w:rsidR="00535540" w:rsidRPr="000D1127" w:rsidRDefault="00535540" w:rsidP="00565A2E">
            <w:pPr>
              <w:jc w:val="both"/>
              <w:outlineLvl w:val="0"/>
              <w:rPr>
                <w:rFonts w:ascii="Arial" w:hAnsi="Arial" w:cs="Arial"/>
                <w:bCs/>
              </w:rPr>
            </w:pPr>
            <w:r w:rsidRPr="000D1127">
              <w:rPr>
                <w:rFonts w:ascii="Arial" w:hAnsi="Arial" w:cs="Arial"/>
                <w:bCs/>
                <w:lang w:val="es-ES_tradnl"/>
              </w:rPr>
              <w:t xml:space="preserve">ANTICIPO – Regulación normativa </w:t>
            </w:r>
            <w:r w:rsidRPr="000D1127">
              <w:rPr>
                <w:rFonts w:ascii="Arial" w:hAnsi="Arial" w:cs="Arial"/>
                <w:bCs/>
              </w:rPr>
              <w:t>/ ANTICIPO – Definición jurisprudencial / ANTICIPO – Autonomía de la voluntad – Derechos y obligaciones recíprocos / CONSTITUCIÓN DE FIDUCIA O PATRIMONIO AUTÓNOMO IRREVOCABLE – Artículo 91 ley 1474 de 2011- Contratos aplicables</w:t>
            </w:r>
            <w:r w:rsidR="002127B8">
              <w:rPr>
                <w:rFonts w:ascii="Arial" w:hAnsi="Arial" w:cs="Arial"/>
                <w:bCs/>
              </w:rPr>
              <w:t>.</w:t>
            </w:r>
            <w:r w:rsidRPr="000D1127">
              <w:rPr>
                <w:rFonts w:ascii="Arial" w:hAnsi="Arial" w:cs="Arial"/>
                <w:bCs/>
              </w:rPr>
              <w:t xml:space="preserve"> </w:t>
            </w:r>
          </w:p>
        </w:tc>
      </w:tr>
      <w:tr w:rsidR="00535540" w:rsidRPr="000D1127" w14:paraId="3DCB4E4C" w14:textId="77777777" w:rsidTr="0031307F">
        <w:trPr>
          <w:trHeight w:val="215"/>
        </w:trPr>
        <w:tc>
          <w:tcPr>
            <w:tcW w:w="2689" w:type="dxa"/>
          </w:tcPr>
          <w:p w14:paraId="514BC9E5" w14:textId="77777777" w:rsidR="00535540" w:rsidRPr="000D1127" w:rsidRDefault="00535540" w:rsidP="00565A2E">
            <w:pPr>
              <w:spacing w:before="120"/>
              <w:jc w:val="both"/>
              <w:rPr>
                <w:rFonts w:ascii="Arial" w:hAnsi="Arial" w:cs="Arial"/>
                <w:b/>
              </w:rPr>
            </w:pPr>
            <w:r w:rsidRPr="000D1127">
              <w:rPr>
                <w:rFonts w:ascii="Arial" w:hAnsi="Arial" w:cs="Arial"/>
                <w:b/>
              </w:rPr>
              <w:t>Radicación:</w:t>
            </w:r>
            <w:r w:rsidRPr="000D1127">
              <w:rPr>
                <w:rFonts w:ascii="Arial" w:hAnsi="Arial" w:cs="Arial"/>
              </w:rPr>
              <w:t xml:space="preserve">                              </w:t>
            </w:r>
          </w:p>
        </w:tc>
        <w:tc>
          <w:tcPr>
            <w:tcW w:w="6237" w:type="dxa"/>
          </w:tcPr>
          <w:p w14:paraId="638D4635" w14:textId="77777777" w:rsidR="00535540" w:rsidRPr="000D1127" w:rsidRDefault="00535540" w:rsidP="00565A2E">
            <w:pPr>
              <w:spacing w:before="120"/>
              <w:jc w:val="both"/>
              <w:rPr>
                <w:rFonts w:ascii="Arial" w:hAnsi="Arial" w:cs="Arial"/>
              </w:rPr>
            </w:pPr>
            <w:r w:rsidRPr="000D1127">
              <w:rPr>
                <w:rFonts w:ascii="Arial" w:hAnsi="Arial" w:cs="Arial"/>
              </w:rPr>
              <w:t>Respuesta a consulta P20221024010706</w:t>
            </w:r>
          </w:p>
        </w:tc>
      </w:tr>
    </w:tbl>
    <w:p w14:paraId="038D4491" w14:textId="77777777" w:rsidR="00840F76" w:rsidRDefault="00840F76" w:rsidP="00565A2E">
      <w:pPr>
        <w:pStyle w:val="Textoindependiente"/>
        <w:spacing w:before="7" w:line="276" w:lineRule="auto"/>
        <w:jc w:val="both"/>
        <w:rPr>
          <w:rFonts w:ascii="Arial" w:hAnsi="Arial" w:cs="Arial"/>
          <w:sz w:val="22"/>
          <w:szCs w:val="22"/>
        </w:rPr>
      </w:pPr>
    </w:p>
    <w:p w14:paraId="3B879ACB" w14:textId="6162CEF4" w:rsidR="00535540" w:rsidRPr="000F4A3A" w:rsidRDefault="00535540" w:rsidP="00565A2E">
      <w:pPr>
        <w:pStyle w:val="Textoindependiente"/>
        <w:spacing w:before="7" w:line="276" w:lineRule="auto"/>
        <w:jc w:val="both"/>
        <w:rPr>
          <w:rFonts w:ascii="Arial" w:eastAsiaTheme="minorHAnsi" w:hAnsi="Arial" w:cs="Arial"/>
          <w:sz w:val="22"/>
          <w:szCs w:val="22"/>
        </w:rPr>
      </w:pPr>
      <w:r w:rsidRPr="000F4A3A">
        <w:rPr>
          <w:rFonts w:ascii="Arial" w:hAnsi="Arial" w:cs="Arial"/>
          <w:sz w:val="22"/>
          <w:szCs w:val="22"/>
        </w:rPr>
        <w:t>Estimad</w:t>
      </w:r>
      <w:r w:rsidR="00840F76">
        <w:rPr>
          <w:rFonts w:ascii="Arial" w:hAnsi="Arial" w:cs="Arial"/>
          <w:sz w:val="22"/>
          <w:szCs w:val="22"/>
        </w:rPr>
        <w:t>o</w:t>
      </w:r>
      <w:r w:rsidRPr="000F4A3A">
        <w:rPr>
          <w:rFonts w:ascii="Arial" w:hAnsi="Arial" w:cs="Arial"/>
          <w:sz w:val="22"/>
          <w:szCs w:val="22"/>
        </w:rPr>
        <w:t xml:space="preserve"> señor </w:t>
      </w:r>
      <w:r w:rsidR="00840F76">
        <w:rPr>
          <w:rFonts w:ascii="Arial" w:eastAsiaTheme="minorHAnsi" w:hAnsi="Arial" w:cs="Arial"/>
          <w:sz w:val="22"/>
          <w:szCs w:val="22"/>
        </w:rPr>
        <w:t>Vega</w:t>
      </w:r>
      <w:r w:rsidRPr="000F4A3A">
        <w:rPr>
          <w:rFonts w:ascii="Arial" w:eastAsiaTheme="minorHAnsi" w:hAnsi="Arial" w:cs="Arial"/>
          <w:sz w:val="22"/>
          <w:szCs w:val="22"/>
        </w:rPr>
        <w:t xml:space="preserve">, </w:t>
      </w:r>
    </w:p>
    <w:p w14:paraId="5C4A27C6" w14:textId="77777777" w:rsidR="00535540" w:rsidRPr="000F4A3A" w:rsidRDefault="00535540" w:rsidP="00565A2E">
      <w:pPr>
        <w:spacing w:line="276" w:lineRule="auto"/>
        <w:jc w:val="both"/>
        <w:rPr>
          <w:rFonts w:ascii="Arial" w:hAnsi="Arial" w:cs="Arial"/>
        </w:rPr>
      </w:pPr>
      <w:r w:rsidRPr="000F4A3A">
        <w:rPr>
          <w:rFonts w:ascii="Arial" w:hAnsi="Arial" w:cs="Arial"/>
        </w:rPr>
        <w:t>En ejercicio de la competencia otorgada por el numeral 8 del artículo 11 y el numeral 5 del artículo 3 del Decreto Ley 4170 de 2011, la Agencia Nacional de Contratación Pública− Colombia Compra Eficiente responde su consulta de fecha 24 de octubre de 2022.</w:t>
      </w:r>
    </w:p>
    <w:p w14:paraId="23E4C274" w14:textId="77777777" w:rsidR="00535540" w:rsidRPr="000F4A3A" w:rsidRDefault="00535540" w:rsidP="00565A2E">
      <w:pPr>
        <w:pStyle w:val="Ttulo1"/>
        <w:numPr>
          <w:ilvl w:val="0"/>
          <w:numId w:val="4"/>
        </w:numPr>
        <w:tabs>
          <w:tab w:val="num" w:pos="360"/>
          <w:tab w:val="left" w:pos="586"/>
        </w:tabs>
        <w:spacing w:before="0" w:line="276" w:lineRule="auto"/>
        <w:ind w:left="286" w:hanging="286"/>
        <w:jc w:val="both"/>
      </w:pPr>
      <w:r w:rsidRPr="000F4A3A">
        <w:t>Problema</w:t>
      </w:r>
      <w:r w:rsidRPr="000F4A3A">
        <w:rPr>
          <w:spacing w:val="-2"/>
        </w:rPr>
        <w:t xml:space="preserve"> </w:t>
      </w:r>
      <w:r w:rsidRPr="000F4A3A">
        <w:t>planteado</w:t>
      </w:r>
    </w:p>
    <w:p w14:paraId="1A04A8B8" w14:textId="77777777" w:rsidR="00535540" w:rsidRDefault="00535540" w:rsidP="00565A2E">
      <w:pPr>
        <w:adjustRightInd w:val="0"/>
        <w:spacing w:after="0" w:line="276" w:lineRule="auto"/>
        <w:jc w:val="both"/>
        <w:rPr>
          <w:rFonts w:ascii="Arial" w:hAnsi="Arial" w:cs="Arial"/>
        </w:rPr>
      </w:pPr>
    </w:p>
    <w:p w14:paraId="3FC966BF" w14:textId="6D546CAD" w:rsidR="00535540" w:rsidRDefault="00535540" w:rsidP="00565A2E">
      <w:pPr>
        <w:adjustRightInd w:val="0"/>
        <w:spacing w:line="276" w:lineRule="auto"/>
        <w:jc w:val="both"/>
        <w:rPr>
          <w:rFonts w:ascii="Arial" w:hAnsi="Arial" w:cs="Arial"/>
        </w:rPr>
      </w:pPr>
      <w:r w:rsidRPr="000F4A3A">
        <w:rPr>
          <w:rFonts w:ascii="Arial" w:hAnsi="Arial" w:cs="Arial"/>
        </w:rPr>
        <w:t xml:space="preserve">Usted formula la siguiente </w:t>
      </w:r>
      <w:r w:rsidR="00681362">
        <w:rPr>
          <w:rFonts w:ascii="Arial" w:hAnsi="Arial" w:cs="Arial"/>
        </w:rPr>
        <w:t>consulta</w:t>
      </w:r>
      <w:r w:rsidRPr="000F4A3A">
        <w:rPr>
          <w:rFonts w:ascii="Arial" w:hAnsi="Arial" w:cs="Arial"/>
        </w:rPr>
        <w:t xml:space="preserve">: </w:t>
      </w:r>
    </w:p>
    <w:p w14:paraId="008E6D9E" w14:textId="30718F99" w:rsidR="00535540" w:rsidRPr="00565A2E" w:rsidRDefault="00535540" w:rsidP="00565A2E">
      <w:pPr>
        <w:adjustRightInd w:val="0"/>
        <w:spacing w:line="240" w:lineRule="auto"/>
        <w:ind w:left="709" w:right="709"/>
        <w:jc w:val="both"/>
        <w:rPr>
          <w:rFonts w:ascii="Arial" w:hAnsi="Arial" w:cs="Arial"/>
          <w:sz w:val="21"/>
          <w:szCs w:val="21"/>
        </w:rPr>
      </w:pPr>
      <w:r w:rsidRPr="00565A2E">
        <w:rPr>
          <w:rFonts w:ascii="Arial" w:hAnsi="Arial" w:cs="Arial"/>
          <w:sz w:val="21"/>
          <w:szCs w:val="21"/>
        </w:rPr>
        <w:t>«</w:t>
      </w:r>
      <w:r w:rsidR="00565A2E" w:rsidRPr="00565A2E">
        <w:rPr>
          <w:rFonts w:ascii="Arial" w:hAnsi="Arial" w:cs="Arial"/>
          <w:bCs/>
          <w:sz w:val="21"/>
          <w:szCs w:val="21"/>
        </w:rPr>
        <w:t>Si producto de una Licitación de Obra Pública se suscriben varios contratos de obra,</w:t>
      </w:r>
      <w:r w:rsidR="00565A2E">
        <w:rPr>
          <w:rFonts w:ascii="Arial" w:hAnsi="Arial" w:cs="Arial"/>
          <w:bCs/>
          <w:sz w:val="21"/>
          <w:szCs w:val="21"/>
        </w:rPr>
        <w:t xml:space="preserve"> </w:t>
      </w:r>
      <w:r w:rsidR="00565A2E" w:rsidRPr="00565A2E">
        <w:rPr>
          <w:rFonts w:ascii="Arial" w:hAnsi="Arial" w:cs="Arial"/>
          <w:bCs/>
          <w:sz w:val="21"/>
          <w:szCs w:val="21"/>
        </w:rPr>
        <w:t>cuyos valores individualmente considerados corresponden a la menor cuantía de la</w:t>
      </w:r>
      <w:r w:rsidR="00565A2E">
        <w:rPr>
          <w:rFonts w:ascii="Arial" w:hAnsi="Arial" w:cs="Arial"/>
          <w:bCs/>
          <w:sz w:val="21"/>
          <w:szCs w:val="21"/>
        </w:rPr>
        <w:t xml:space="preserve"> </w:t>
      </w:r>
      <w:r w:rsidR="00565A2E" w:rsidRPr="00565A2E">
        <w:rPr>
          <w:rFonts w:ascii="Arial" w:hAnsi="Arial" w:cs="Arial"/>
          <w:bCs/>
          <w:sz w:val="21"/>
          <w:szCs w:val="21"/>
        </w:rPr>
        <w:t>respectiva entidad (se trató de una licitación por lotes), ¿aplica la regla general del art.91 de la ley 1474/2011 según la cual "el contratista deberá constituir una fiducia o un</w:t>
      </w:r>
      <w:r w:rsidR="00244281">
        <w:rPr>
          <w:rFonts w:ascii="Arial" w:hAnsi="Arial" w:cs="Arial"/>
          <w:bCs/>
          <w:sz w:val="21"/>
          <w:szCs w:val="21"/>
        </w:rPr>
        <w:t xml:space="preserve"> </w:t>
      </w:r>
      <w:r w:rsidR="00565A2E" w:rsidRPr="00565A2E">
        <w:rPr>
          <w:rFonts w:ascii="Arial" w:hAnsi="Arial" w:cs="Arial"/>
          <w:bCs/>
          <w:sz w:val="21"/>
          <w:szCs w:val="21"/>
        </w:rPr>
        <w:t>patrimonio autónomo irrevocable para el manejo de los recursos que reciba a título de</w:t>
      </w:r>
      <w:r w:rsidR="00244281">
        <w:rPr>
          <w:rFonts w:ascii="Arial" w:hAnsi="Arial" w:cs="Arial"/>
          <w:bCs/>
          <w:sz w:val="21"/>
          <w:szCs w:val="21"/>
        </w:rPr>
        <w:t xml:space="preserve"> </w:t>
      </w:r>
      <w:r w:rsidR="00565A2E" w:rsidRPr="00565A2E">
        <w:rPr>
          <w:rFonts w:ascii="Arial" w:hAnsi="Arial" w:cs="Arial"/>
          <w:bCs/>
          <w:sz w:val="21"/>
          <w:szCs w:val="21"/>
        </w:rPr>
        <w:t>anticipo"?, o ¿aplica la excepción "salvo que el contrato sea de menor o mínima</w:t>
      </w:r>
      <w:r w:rsidR="00244281">
        <w:rPr>
          <w:rFonts w:ascii="Arial" w:hAnsi="Arial" w:cs="Arial"/>
          <w:bCs/>
          <w:sz w:val="21"/>
          <w:szCs w:val="21"/>
        </w:rPr>
        <w:t xml:space="preserve"> </w:t>
      </w:r>
      <w:r w:rsidR="00565A2E" w:rsidRPr="00565A2E">
        <w:rPr>
          <w:rFonts w:ascii="Arial" w:hAnsi="Arial" w:cs="Arial"/>
          <w:bCs/>
          <w:sz w:val="21"/>
          <w:szCs w:val="21"/>
        </w:rPr>
        <w:t>cuantía</w:t>
      </w:r>
      <w:r w:rsidRPr="00565A2E">
        <w:rPr>
          <w:rFonts w:ascii="Arial" w:hAnsi="Arial" w:cs="Arial"/>
          <w:sz w:val="21"/>
          <w:szCs w:val="21"/>
        </w:rPr>
        <w:t>?»</w:t>
      </w:r>
      <w:r w:rsidR="00244281">
        <w:rPr>
          <w:rFonts w:ascii="Arial" w:hAnsi="Arial" w:cs="Arial"/>
          <w:sz w:val="21"/>
          <w:szCs w:val="21"/>
        </w:rPr>
        <w:t xml:space="preserve"> (Sic)</w:t>
      </w:r>
      <w:r w:rsidRPr="00565A2E">
        <w:rPr>
          <w:rFonts w:ascii="Arial" w:hAnsi="Arial" w:cs="Arial"/>
          <w:sz w:val="21"/>
          <w:szCs w:val="21"/>
        </w:rPr>
        <w:t xml:space="preserve">. </w:t>
      </w:r>
    </w:p>
    <w:p w14:paraId="46427FF0" w14:textId="77777777" w:rsidR="00535540" w:rsidRPr="000F4A3A" w:rsidRDefault="00535540" w:rsidP="00565A2E">
      <w:pPr>
        <w:pStyle w:val="Ttulo1"/>
        <w:numPr>
          <w:ilvl w:val="0"/>
          <w:numId w:val="4"/>
        </w:numPr>
        <w:tabs>
          <w:tab w:val="num" w:pos="360"/>
          <w:tab w:val="left" w:pos="586"/>
        </w:tabs>
        <w:spacing w:before="0" w:after="240" w:line="276" w:lineRule="auto"/>
        <w:ind w:left="286" w:hanging="286"/>
        <w:jc w:val="both"/>
      </w:pPr>
      <w:r w:rsidRPr="000F4A3A">
        <w:t>Consideraciones</w:t>
      </w:r>
    </w:p>
    <w:p w14:paraId="0032EE09" w14:textId="3BCCD28A" w:rsidR="00535540" w:rsidRPr="000F4A3A" w:rsidRDefault="00535540" w:rsidP="00565A2E">
      <w:pPr>
        <w:spacing w:after="240" w:line="276" w:lineRule="auto"/>
        <w:jc w:val="both"/>
        <w:rPr>
          <w:rFonts w:ascii="Arial" w:hAnsi="Arial" w:cs="Arial"/>
          <w:color w:val="000000" w:themeColor="text1"/>
          <w:u w:val="single"/>
        </w:rPr>
      </w:pPr>
      <w:r w:rsidRPr="000F4A3A">
        <w:rPr>
          <w:rFonts w:ascii="Arial" w:hAnsi="Arial" w:cs="Arial"/>
          <w:color w:val="000000" w:themeColor="text1"/>
          <w:lang w:val="es-ES_tradnl"/>
        </w:rPr>
        <w:t>La Subdirección de Gestión Contractual responderá la consulta, luego de analizar los siguientes temas:</w:t>
      </w:r>
      <w:r w:rsidRPr="000F4A3A">
        <w:rPr>
          <w:rFonts w:ascii="Arial" w:eastAsia="Times New Roman" w:hAnsi="Arial" w:cs="Arial"/>
          <w:color w:val="000000" w:themeColor="text1"/>
        </w:rPr>
        <w:t xml:space="preserve"> i) </w:t>
      </w:r>
      <w:r w:rsidR="003572D5" w:rsidRPr="003572D5">
        <w:rPr>
          <w:rFonts w:ascii="Arial" w:eastAsia="Times New Roman" w:hAnsi="Arial" w:cs="Arial"/>
          <w:color w:val="000000" w:themeColor="text1"/>
        </w:rPr>
        <w:t xml:space="preserve">Competencia consultiva de </w:t>
      </w:r>
      <w:r w:rsidRPr="000F4A3A">
        <w:rPr>
          <w:rFonts w:ascii="Arial" w:eastAsia="Times New Roman" w:hAnsi="Arial" w:cs="Arial"/>
          <w:color w:val="000000" w:themeColor="text1"/>
        </w:rPr>
        <w:t xml:space="preserve">la </w:t>
      </w:r>
      <w:r w:rsidR="003572D5" w:rsidRPr="003572D5">
        <w:rPr>
          <w:rFonts w:ascii="Arial" w:eastAsia="Times New Roman" w:hAnsi="Arial" w:cs="Arial"/>
          <w:color w:val="000000" w:themeColor="text1"/>
        </w:rPr>
        <w:t>Agencia Nacional de Contratación Pública – Colombia Compra Eficiente</w:t>
      </w:r>
      <w:r w:rsidR="003572D5">
        <w:rPr>
          <w:rFonts w:ascii="Arial" w:eastAsia="Times New Roman" w:hAnsi="Arial" w:cs="Arial"/>
          <w:color w:val="000000" w:themeColor="text1"/>
        </w:rPr>
        <w:t>; ii)</w:t>
      </w:r>
      <w:r w:rsidRPr="000F4A3A">
        <w:rPr>
          <w:rFonts w:ascii="Arial" w:eastAsia="Times New Roman" w:hAnsi="Arial" w:cs="Arial"/>
          <w:color w:val="000000" w:themeColor="text1"/>
        </w:rPr>
        <w:t xml:space="preserve"> </w:t>
      </w:r>
      <w:r w:rsidRPr="000F4A3A">
        <w:rPr>
          <w:rFonts w:ascii="Arial" w:hAnsi="Arial" w:cs="Arial"/>
          <w:color w:val="000000" w:themeColor="text1"/>
        </w:rPr>
        <w:t>naturaleza jurídica del anticipo</w:t>
      </w:r>
      <w:r w:rsidR="003572D5">
        <w:rPr>
          <w:rFonts w:ascii="Arial" w:hAnsi="Arial" w:cs="Arial"/>
          <w:color w:val="000000" w:themeColor="text1"/>
        </w:rPr>
        <w:t>;</w:t>
      </w:r>
      <w:r w:rsidRPr="000F4A3A">
        <w:rPr>
          <w:rFonts w:ascii="Arial" w:hAnsi="Arial" w:cs="Arial"/>
          <w:color w:val="000000" w:themeColor="text1"/>
        </w:rPr>
        <w:t xml:space="preserve"> y ii) el ámbito de aplicación del artículo 91 de la Ley 1474 de 2011.</w:t>
      </w:r>
    </w:p>
    <w:p w14:paraId="3CE28C90" w14:textId="672031B2" w:rsidR="00535540" w:rsidRDefault="00535540" w:rsidP="00565A2E">
      <w:pPr>
        <w:spacing w:before="120" w:line="276" w:lineRule="auto"/>
        <w:ind w:firstLine="851"/>
        <w:jc w:val="both"/>
        <w:rPr>
          <w:rFonts w:ascii="Arial" w:hAnsi="Arial" w:cs="Arial"/>
          <w:color w:val="000000" w:themeColor="text1"/>
        </w:rPr>
      </w:pPr>
      <w:r w:rsidRPr="000F4A3A">
        <w:rPr>
          <w:rFonts w:ascii="Arial" w:hAnsi="Arial" w:cs="Arial"/>
        </w:rPr>
        <w:t xml:space="preserve">La Agencia Nacional de Contratación Pública – Colombia Compra Eficiente en los conceptos con radicados números 4201714000000768 del 10 de marzo de 2017, 4201713000000879 del 24 de marzo de 2017, 4201713000002621 del 27 de julio de 2017,  4201714000004176 del 28 de agosto de 2017, 4201714000005628 del 11 de diciembre de 2017, 4201814000000698 del 14 de abril de 2018, C-049 del 21 de febrero de 2020, C-209 del 16 de marzo de 2020, C-693 del 25 de noviembre de 2020, C-731 del 14 de diciembre de 2020, C-154 del 18 de mayo de 2021, </w:t>
      </w:r>
      <w:r w:rsidR="00204F88">
        <w:rPr>
          <w:rFonts w:ascii="Arial" w:hAnsi="Arial" w:cs="Arial"/>
        </w:rPr>
        <w:t xml:space="preserve">C-842 del 7 de diciembre de 2022, </w:t>
      </w:r>
      <w:r w:rsidR="00D17750">
        <w:rPr>
          <w:rFonts w:ascii="Arial" w:hAnsi="Arial" w:cs="Arial"/>
        </w:rPr>
        <w:t>C-825</w:t>
      </w:r>
      <w:r w:rsidR="00204F88">
        <w:rPr>
          <w:rFonts w:ascii="Arial" w:hAnsi="Arial" w:cs="Arial"/>
        </w:rPr>
        <w:t xml:space="preserve"> del 28 de diciembre de 2022 y C-033 de</w:t>
      </w:r>
      <w:r w:rsidR="005029F9">
        <w:rPr>
          <w:rFonts w:ascii="Arial" w:hAnsi="Arial" w:cs="Arial"/>
        </w:rPr>
        <w:t xml:space="preserve"> 27 de febrero de 2023</w:t>
      </w:r>
      <w:r w:rsidR="00D17750">
        <w:rPr>
          <w:rFonts w:ascii="Arial" w:hAnsi="Arial" w:cs="Arial"/>
        </w:rPr>
        <w:t xml:space="preserve"> </w:t>
      </w:r>
      <w:r w:rsidR="005029F9">
        <w:rPr>
          <w:rFonts w:ascii="Arial" w:hAnsi="Arial" w:cs="Arial"/>
        </w:rPr>
        <w:t>se</w:t>
      </w:r>
      <w:r w:rsidR="00D17750">
        <w:rPr>
          <w:rFonts w:ascii="Arial" w:hAnsi="Arial" w:cs="Arial"/>
        </w:rPr>
        <w:t xml:space="preserve"> </w:t>
      </w:r>
      <w:r w:rsidRPr="000F4A3A">
        <w:rPr>
          <w:rFonts w:ascii="Arial" w:hAnsi="Arial" w:cs="Arial"/>
        </w:rPr>
        <w:t>abordó el análisis y estudio de la facultad de las entidades estatales para pactar la entrega de anticipos en los contratos estatales</w:t>
      </w:r>
      <w:r w:rsidR="00994070">
        <w:rPr>
          <w:rFonts w:ascii="Arial" w:hAnsi="Arial" w:cs="Arial"/>
        </w:rPr>
        <w:t xml:space="preserve"> y el ámbito de aplicación del artículo 91 de la Ley 1474 de 2011</w:t>
      </w:r>
      <w:r w:rsidRPr="000F4A3A">
        <w:rPr>
          <w:rFonts w:ascii="Arial" w:hAnsi="Arial" w:cs="Arial"/>
          <w:color w:val="000000" w:themeColor="text1"/>
        </w:rPr>
        <w:t xml:space="preserve">. La tesis propuesta </w:t>
      </w:r>
      <w:r w:rsidR="00994070">
        <w:rPr>
          <w:rFonts w:ascii="Arial" w:hAnsi="Arial" w:cs="Arial"/>
          <w:color w:val="000000" w:themeColor="text1"/>
        </w:rPr>
        <w:t xml:space="preserve">en dichos conceptos </w:t>
      </w:r>
      <w:r w:rsidRPr="000F4A3A">
        <w:rPr>
          <w:rFonts w:ascii="Arial" w:hAnsi="Arial" w:cs="Arial"/>
          <w:color w:val="000000" w:themeColor="text1"/>
        </w:rPr>
        <w:t>se expone a continuación y se complementa en lo pertinente:</w:t>
      </w:r>
    </w:p>
    <w:p w14:paraId="6CA60F54" w14:textId="77777777" w:rsidR="00CA7AF8" w:rsidRPr="009D7080" w:rsidRDefault="00CA7AF8" w:rsidP="00CA7AF8">
      <w:pPr>
        <w:spacing w:line="276" w:lineRule="auto"/>
        <w:jc w:val="both"/>
        <w:rPr>
          <w:rFonts w:ascii="Arial" w:eastAsia="Calibri" w:hAnsi="Arial" w:cs="Arial"/>
          <w:b/>
        </w:rPr>
      </w:pPr>
      <w:r w:rsidRPr="009D7080">
        <w:rPr>
          <w:rFonts w:ascii="Arial" w:eastAsia="Calibri" w:hAnsi="Arial" w:cs="Arial"/>
          <w:b/>
        </w:rPr>
        <w:t>2.1 Competencia consultiva de la Agencia Nacional de Contratación Pública – Colombia Compra Eficiente</w:t>
      </w:r>
    </w:p>
    <w:p w14:paraId="17806448" w14:textId="6071AC53" w:rsidR="00CA7AF8" w:rsidRPr="009D7080" w:rsidRDefault="00CA7AF8" w:rsidP="00CA7AF8">
      <w:pPr>
        <w:tabs>
          <w:tab w:val="left" w:pos="426"/>
        </w:tabs>
        <w:spacing w:before="120" w:line="276" w:lineRule="auto"/>
        <w:jc w:val="both"/>
        <w:rPr>
          <w:rFonts w:ascii="Arial" w:eastAsia="Times New Roman" w:hAnsi="Arial" w:cs="Arial"/>
          <w:color w:val="000000"/>
          <w:lang w:eastAsia="es-MX"/>
        </w:rPr>
      </w:pPr>
      <w:r w:rsidRPr="009D7080">
        <w:rPr>
          <w:rFonts w:ascii="Arial" w:eastAsia="Times New Roman" w:hAnsi="Arial" w:cs="Arial"/>
          <w:color w:val="000000"/>
          <w:lang w:eastAsia="es-MX"/>
        </w:rPr>
        <w:t xml:space="preserve">En ejercicio de las competencias consagradas en </w:t>
      </w:r>
      <w:r w:rsidR="00556EBD" w:rsidRPr="009D7080">
        <w:rPr>
          <w:rFonts w:ascii="Arial" w:eastAsia="Times New Roman" w:hAnsi="Arial" w:cs="Arial"/>
          <w:color w:val="000000"/>
          <w:lang w:eastAsia="es-MX"/>
        </w:rPr>
        <w:t>el</w:t>
      </w:r>
      <w:r w:rsidRPr="009D7080">
        <w:rPr>
          <w:rFonts w:ascii="Arial" w:eastAsia="Times New Roman" w:hAnsi="Arial" w:cs="Arial"/>
          <w:color w:val="000000"/>
          <w:lang w:eastAsia="es-MX"/>
        </w:rPr>
        <w:t xml:space="preserve"> numeral 5</w:t>
      </w:r>
      <w:r w:rsidR="00556EBD" w:rsidRPr="009D7080">
        <w:rPr>
          <w:rFonts w:ascii="Arial" w:eastAsia="Times New Roman" w:hAnsi="Arial" w:cs="Arial"/>
          <w:color w:val="000000"/>
          <w:lang w:eastAsia="es-MX"/>
        </w:rPr>
        <w:t xml:space="preserve"> del artículo 3 y</w:t>
      </w:r>
      <w:r w:rsidRPr="009D7080">
        <w:rPr>
          <w:rFonts w:ascii="Arial" w:eastAsia="Times New Roman" w:hAnsi="Arial" w:cs="Arial"/>
          <w:color w:val="000000"/>
          <w:lang w:eastAsia="es-MX"/>
        </w:rPr>
        <w:t xml:space="preserve"> numeral 8, 12, </w:t>
      </w:r>
      <w:r w:rsidR="005E0584" w:rsidRPr="009D7080">
        <w:rPr>
          <w:rFonts w:ascii="Arial" w:eastAsia="Times New Roman" w:hAnsi="Arial" w:cs="Arial"/>
          <w:color w:val="000000"/>
          <w:lang w:eastAsia="es-MX"/>
        </w:rPr>
        <w:t>del artículo 11</w:t>
      </w:r>
      <w:r w:rsidRPr="009D7080">
        <w:rPr>
          <w:rFonts w:ascii="Arial" w:eastAsia="Times New Roman" w:hAnsi="Arial" w:cs="Arial"/>
          <w:color w:val="000000"/>
          <w:lang w:eastAsia="es-MX"/>
        </w:rPr>
        <w:t xml:space="preserve"> del Decreto 4170 de 2011, la Agencia Nacional de Contratación Pública – Colombia Compra Eficiente resuelve las consultas sobre los asuntos de su competencia, esto es, sobre las temáticas de la contratación estatal y compras públicas relacionadas en los artículos citados. El alcance de la competencia consultiva encuentra fundamento normativo en el artículo 28 de la Ley 1437 de 2011, sustituido por el artículo 1 de la Ley 1755 de 2015, que dispone lo siguiente: </w:t>
      </w:r>
      <w:r w:rsidRPr="009D7080">
        <w:rPr>
          <w:rFonts w:ascii="Arial" w:eastAsia="Calibri" w:hAnsi="Arial" w:cs="Arial"/>
          <w:color w:val="000000"/>
          <w:lang w:eastAsia="es-MX"/>
        </w:rPr>
        <w:t> </w:t>
      </w:r>
    </w:p>
    <w:p w14:paraId="47A7937E" w14:textId="11D622D4" w:rsidR="00CA7AF8" w:rsidRPr="009D7080" w:rsidRDefault="00CA7AF8" w:rsidP="00734EA2">
      <w:pPr>
        <w:tabs>
          <w:tab w:val="left" w:pos="426"/>
        </w:tabs>
        <w:spacing w:line="240" w:lineRule="auto"/>
        <w:ind w:left="709" w:right="709"/>
        <w:jc w:val="both"/>
        <w:rPr>
          <w:rFonts w:ascii="Arial" w:eastAsia="Times New Roman" w:hAnsi="Arial" w:cs="Arial"/>
          <w:color w:val="000000"/>
          <w:sz w:val="21"/>
          <w:szCs w:val="21"/>
          <w:lang w:eastAsia="es-MX"/>
        </w:rPr>
      </w:pPr>
      <w:r w:rsidRPr="009D7080">
        <w:rPr>
          <w:rFonts w:ascii="Arial" w:eastAsia="Calibri" w:hAnsi="Arial" w:cs="Arial"/>
          <w:color w:val="000000"/>
          <w:sz w:val="21"/>
          <w:szCs w:val="21"/>
          <w:lang w:eastAsia="es-MX"/>
        </w:rPr>
        <w:t> </w:t>
      </w:r>
      <w:r w:rsidRPr="009D7080">
        <w:rPr>
          <w:rFonts w:ascii="Arial" w:eastAsia="Times New Roman" w:hAnsi="Arial" w:cs="Arial"/>
          <w:color w:val="000000"/>
          <w:sz w:val="21"/>
          <w:szCs w:val="21"/>
          <w:lang w:eastAsia="es-MX"/>
        </w:rPr>
        <w:t>«Artículo 28. Alcance de los conceptos. Salvo disposición legal en contrario, los conceptos emitidos por las autoridades como respuestas a peticiones realizadas en ejercicio del derecho a formular consultas no serán de obligatorio cumplimiento o ejecución</w:t>
      </w:r>
      <w:r w:rsidRPr="009D7080">
        <w:rPr>
          <w:rFonts w:ascii="Arial" w:eastAsia="Calibri" w:hAnsi="Arial" w:cs="Arial"/>
          <w:color w:val="000000"/>
          <w:sz w:val="21"/>
          <w:szCs w:val="21"/>
          <w:lang w:eastAsia="es-MX"/>
        </w:rPr>
        <w:t>». </w:t>
      </w:r>
    </w:p>
    <w:p w14:paraId="02D212E2" w14:textId="3E3D56B5" w:rsidR="00CA7AF8" w:rsidRPr="009D7080" w:rsidRDefault="00CA7AF8" w:rsidP="00CA7AF8">
      <w:pPr>
        <w:tabs>
          <w:tab w:val="left" w:pos="426"/>
        </w:tabs>
        <w:spacing w:before="120" w:after="120" w:line="276" w:lineRule="auto"/>
        <w:jc w:val="both"/>
        <w:rPr>
          <w:rFonts w:ascii="Arial" w:eastAsia="Times New Roman" w:hAnsi="Arial" w:cs="Arial"/>
          <w:color w:val="000000"/>
          <w:lang w:eastAsia="es-MX"/>
        </w:rPr>
      </w:pPr>
      <w:r w:rsidRPr="009D7080">
        <w:rPr>
          <w:rFonts w:ascii="Arial" w:eastAsia="Calibri" w:hAnsi="Arial" w:cs="Arial"/>
          <w:color w:val="000000"/>
          <w:lang w:eastAsia="es-MX"/>
        </w:rPr>
        <w:t> </w:t>
      </w:r>
      <w:r w:rsidR="009D7080" w:rsidRPr="009D7080">
        <w:rPr>
          <w:rFonts w:ascii="Arial" w:eastAsia="Calibri" w:hAnsi="Arial" w:cs="Arial"/>
          <w:bCs/>
          <w:color w:val="000000"/>
          <w:lang w:eastAsia="es-MX"/>
        </w:rPr>
        <w:tab/>
      </w:r>
      <w:r w:rsidRPr="009D7080">
        <w:rPr>
          <w:rFonts w:ascii="Arial" w:eastAsia="Calibri" w:hAnsi="Arial" w:cs="Arial"/>
          <w:color w:val="000000"/>
          <w:lang w:eastAsia="es-MX"/>
        </w:rPr>
        <w:tab/>
      </w:r>
      <w:r w:rsidRPr="009D7080">
        <w:rPr>
          <w:rFonts w:ascii="Arial" w:eastAsia="Times New Roman" w:hAnsi="Arial" w:cs="Arial"/>
          <w:color w:val="000000"/>
          <w:lang w:eastAsia="es-MX"/>
        </w:rPr>
        <w:t>La norma citada prescribe que los conceptos emitidos por las autoridades, como respuestas a peticiones realizadas en ejercicio del derecho a formular consultas, no son de obligatorio cumplimiento o de imperativa ejecución, es decir, no tienen efectos vinculantes. En particular, es preciso advertir que los conceptos contienen la posición hermenéutica de la Subdirección de Gestión Contractual en relación con determinado aspecto del ordenamiento jurídico. Esta competencia de interpretación de normas generales, por definición, no puede extenderse a la resolución de controversias, ni a brindar asesorías sobre casos puntuales.</w:t>
      </w:r>
      <w:r w:rsidRPr="009D7080">
        <w:rPr>
          <w:rFonts w:ascii="Arial" w:eastAsia="Calibri" w:hAnsi="Arial" w:cs="Arial"/>
          <w:color w:val="000000"/>
          <w:lang w:eastAsia="es-MX"/>
        </w:rPr>
        <w:t> </w:t>
      </w:r>
    </w:p>
    <w:p w14:paraId="502B0DDD" w14:textId="77777777" w:rsidR="00CA7AF8" w:rsidRPr="009D7080" w:rsidRDefault="00CA7AF8" w:rsidP="00CA7AF8">
      <w:pPr>
        <w:spacing w:before="120" w:line="276" w:lineRule="auto"/>
        <w:ind w:firstLine="708"/>
        <w:jc w:val="both"/>
        <w:rPr>
          <w:rFonts w:ascii="Arial" w:eastAsia="Times New Roman" w:hAnsi="Arial" w:cs="Arial"/>
          <w:color w:val="000000"/>
          <w:lang w:eastAsia="es-MX"/>
        </w:rPr>
      </w:pPr>
      <w:r w:rsidRPr="009D7080">
        <w:rPr>
          <w:rFonts w:ascii="Arial" w:eastAsia="Times New Roman" w:hAnsi="Arial" w:cs="Arial"/>
          <w:color w:val="000000"/>
          <w:lang w:eastAsia="es-MX"/>
        </w:rPr>
        <w:t xml:space="preserve">En otras palabras, los conceptos de esta Agencia tienen como objeto la interpretación de normas de carácter general, esto es, del ordenamiento jurídico en abstracto, no la resolución de controversias o la asesoría para casos concretos; además, no son vinculantes o de obligatorio cumplimiento para el destinatario, sino que expresan la posición interpretativa del organismo que elabora el concepto. </w:t>
      </w:r>
      <w:r w:rsidRPr="009D7080">
        <w:rPr>
          <w:rFonts w:ascii="Arial" w:eastAsia="Calibri" w:hAnsi="Arial" w:cs="Arial"/>
          <w:color w:val="000000"/>
          <w:lang w:eastAsia="es-MX"/>
        </w:rPr>
        <w:t> </w:t>
      </w:r>
    </w:p>
    <w:p w14:paraId="1EBFC61C" w14:textId="77777777" w:rsidR="00CA7AF8" w:rsidRPr="002D612E" w:rsidRDefault="00CA7AF8" w:rsidP="00CA7AF8">
      <w:pPr>
        <w:tabs>
          <w:tab w:val="left" w:pos="709"/>
        </w:tabs>
        <w:spacing w:before="120" w:line="276" w:lineRule="auto"/>
        <w:jc w:val="both"/>
        <w:rPr>
          <w:rFonts w:ascii="Arial" w:eastAsia="Times New Roman" w:hAnsi="Arial" w:cs="Arial"/>
          <w:color w:val="000000"/>
          <w:lang w:eastAsia="es-MX"/>
        </w:rPr>
      </w:pPr>
      <w:r w:rsidRPr="002D612E">
        <w:rPr>
          <w:rFonts w:ascii="Arial" w:eastAsia="Times New Roman" w:hAnsi="Arial" w:cs="Arial"/>
          <w:color w:val="000000"/>
          <w:shd w:val="clear" w:color="auto" w:fill="FFFFFF"/>
          <w:lang w:eastAsia="es-MX"/>
        </w:rPr>
        <w:tab/>
        <w:t>En concordancia con ello, es importante resaltar que e</w:t>
      </w:r>
      <w:r w:rsidRPr="002D612E">
        <w:rPr>
          <w:rFonts w:ascii="Arial" w:eastAsia="Times New Roman" w:hAnsi="Arial" w:cs="Arial"/>
          <w:color w:val="000000"/>
          <w:lang w:eastAsia="es-MX"/>
        </w:rPr>
        <w:t>sta posición es compartida por varias entidades públicas que ejercen similar función. Por ejemplo, la Procuraduría General de la Nación</w:t>
      </w:r>
      <w:r w:rsidRPr="002D612E">
        <w:rPr>
          <w:rFonts w:ascii="Arial" w:eastAsia="Times New Roman" w:hAnsi="Arial" w:cs="Arial"/>
          <w:color w:val="000000"/>
          <w:vertAlign w:val="superscript"/>
          <w:lang w:eastAsia="es-MX"/>
        </w:rPr>
        <w:footnoteReference w:id="2"/>
      </w:r>
      <w:r w:rsidRPr="002D612E">
        <w:rPr>
          <w:rFonts w:ascii="Arial" w:eastAsia="Times New Roman" w:hAnsi="Arial" w:cs="Arial"/>
          <w:color w:val="000000"/>
          <w:lang w:eastAsia="es-MX"/>
        </w:rPr>
        <w:t xml:space="preserve"> aclaró que el concepto «sólo constituye un criterio auxiliar de interpretación y que no tiene carácter vinculante de acuerdo con lo dispuesto en los artículos 230 de la Constitución Política, 5° de la Ley 153 de 1887 y 28 de la ley 1437 de 2011». Igualmente, en concepto del año 2017, la Contraloría General</w:t>
      </w:r>
      <w:r w:rsidRPr="002D612E">
        <w:rPr>
          <w:rFonts w:ascii="Arial" w:eastAsia="Times New Roman" w:hAnsi="Arial" w:cs="Arial"/>
          <w:color w:val="000000"/>
          <w:vertAlign w:val="superscript"/>
          <w:lang w:eastAsia="es-MX"/>
        </w:rPr>
        <w:footnoteReference w:id="3"/>
      </w:r>
      <w:r w:rsidRPr="002D612E">
        <w:rPr>
          <w:rFonts w:ascii="Arial" w:eastAsia="Times New Roman" w:hAnsi="Arial" w:cs="Arial"/>
          <w:color w:val="000000"/>
          <w:lang w:eastAsia="es-MX"/>
        </w:rPr>
        <w:t xml:space="preserve"> de la República precisó que los «[…] conceptos emitidos por la Oficina Jurídica de la Contraloría General de la República, son orientaciones de carácter general que […] no son de obligatorio cumplimiento o ejecución, ni tienen el carácter de fuente normativa y sólo pueden ser utilizados para facilitar la interpretación y aplicación de las normas jurídicas vigentes […]».</w:t>
      </w:r>
      <w:r w:rsidRPr="002D612E">
        <w:rPr>
          <w:rFonts w:ascii="Arial" w:eastAsia="Calibri" w:hAnsi="Arial" w:cs="Arial"/>
          <w:color w:val="000000"/>
          <w:lang w:eastAsia="es-MX"/>
        </w:rPr>
        <w:t> </w:t>
      </w:r>
    </w:p>
    <w:p w14:paraId="3E1FDD17" w14:textId="77777777" w:rsidR="00CA7AF8" w:rsidRPr="007E58B8" w:rsidRDefault="00CA7AF8" w:rsidP="00CA7AF8">
      <w:pPr>
        <w:tabs>
          <w:tab w:val="left" w:pos="709"/>
        </w:tabs>
        <w:spacing w:before="120" w:line="276" w:lineRule="auto"/>
        <w:jc w:val="both"/>
        <w:rPr>
          <w:rFonts w:ascii="Arial" w:eastAsia="Times New Roman" w:hAnsi="Arial" w:cs="Arial"/>
          <w:color w:val="000000"/>
          <w:lang w:eastAsia="es-MX"/>
        </w:rPr>
      </w:pPr>
      <w:r w:rsidRPr="007E58B8">
        <w:rPr>
          <w:rFonts w:ascii="Arial" w:eastAsia="Calibri" w:hAnsi="Arial" w:cs="Arial"/>
          <w:color w:val="000000"/>
          <w:lang w:eastAsia="es-MX"/>
        </w:rPr>
        <w:tab/>
      </w:r>
      <w:r w:rsidRPr="007E58B8">
        <w:rPr>
          <w:rFonts w:ascii="Arial" w:eastAsia="Times New Roman" w:hAnsi="Arial" w:cs="Arial"/>
          <w:color w:val="000000"/>
          <w:lang w:eastAsia="es-MX"/>
        </w:rPr>
        <w:t>En términos generales, lo que se busca con el ejercicio de la función consultiva es que la opinión jurídica de esta Agencia sea un criterio de orientación para los operadores jurídicos, sin que ello suponga resolver un problema entre partes o asumir la única posible interpretación de una disposición normativa. Esto no descarta que, en la práctica, al emitirse la opinión sobre la interpretación del ordenamiento jurídico, exista coincidencia con el criterio que expone alguna de las partes o la persona que solicita la consulta, circunstancia que no descarta interpretaciones diferentes</w:t>
      </w:r>
      <w:r w:rsidRPr="007E58B8">
        <w:rPr>
          <w:rFonts w:ascii="Arial" w:eastAsia="Times New Roman" w:hAnsi="Arial" w:cs="Arial"/>
          <w:color w:val="000000"/>
          <w:vertAlign w:val="superscript"/>
          <w:lang w:eastAsia="es-MX"/>
        </w:rPr>
        <w:footnoteReference w:id="4"/>
      </w:r>
      <w:r w:rsidRPr="007E58B8">
        <w:rPr>
          <w:rFonts w:ascii="Arial" w:eastAsia="Times New Roman" w:hAnsi="Arial" w:cs="Arial"/>
          <w:color w:val="000000"/>
          <w:lang w:eastAsia="es-MX"/>
        </w:rPr>
        <w:t xml:space="preserve">. </w:t>
      </w:r>
    </w:p>
    <w:p w14:paraId="677188AE" w14:textId="77777777" w:rsidR="00CA7AF8" w:rsidRPr="00193825" w:rsidRDefault="00CA7AF8" w:rsidP="00CA7AF8">
      <w:pPr>
        <w:spacing w:before="120" w:after="120" w:line="276" w:lineRule="auto"/>
        <w:ind w:firstLine="709"/>
        <w:jc w:val="both"/>
        <w:rPr>
          <w:rFonts w:ascii="Arial" w:eastAsia="Times New Roman" w:hAnsi="Arial" w:cs="Arial"/>
          <w:color w:val="000000"/>
          <w:lang w:eastAsia="es-MX"/>
        </w:rPr>
      </w:pPr>
      <w:r w:rsidRPr="00193825">
        <w:rPr>
          <w:rFonts w:ascii="Arial" w:eastAsia="Times New Roman" w:hAnsi="Arial" w:cs="Arial"/>
          <w:color w:val="000000"/>
          <w:lang w:eastAsia="es-MX"/>
        </w:rPr>
        <w:t xml:space="preserve">De este modo, las autoridades que ejercen funciones consultivas pueden expresar su interpretación de un precepto normativo que no excluye otras interpretaciones posibles, pues el derecho, como sistema normativo, es un lenguaje que, en ocasiones, se tiñe de vaguedad, en virtud de la utilización de conceptos jurídicos indeterminados. Así, puede pasar, por ejemplo, que un ministerio considere que una norma debe entenderse en un sentido, pero que otra entidad, vinculada o adscrita a ese ministerio, entienda que la misma norma debe interpretarse de otra manera. Eso hace parte de la lógica deliberativa y dialéctica del funcionamiento del Estado y refleja el principio democrático. </w:t>
      </w:r>
    </w:p>
    <w:p w14:paraId="09956670" w14:textId="77777777" w:rsidR="00CA7AF8" w:rsidRPr="000A62D7" w:rsidRDefault="00CA7AF8" w:rsidP="00CA7AF8">
      <w:pPr>
        <w:spacing w:line="276" w:lineRule="auto"/>
        <w:ind w:firstLine="708"/>
        <w:jc w:val="both"/>
        <w:rPr>
          <w:rFonts w:ascii="Arial" w:eastAsia="Times New Roman" w:hAnsi="Arial" w:cs="Arial"/>
          <w:color w:val="000000"/>
          <w:szCs w:val="24"/>
          <w:lang w:eastAsia="es-MX"/>
        </w:rPr>
      </w:pPr>
      <w:r w:rsidRPr="00193825">
        <w:rPr>
          <w:rFonts w:ascii="Arial" w:eastAsia="Times New Roman" w:hAnsi="Arial" w:cs="Arial"/>
          <w:color w:val="000000"/>
          <w:lang w:eastAsia="es-MX"/>
        </w:rPr>
        <w:t>De todos modos, esto no significa que el criterio de una u otra tenga validez o prevalencia sobre la otra, ya que se trata de opiniones emitidas a título de concepto, pese a que entre las entidades exista una jerarquía o de la naturaleza y competencias que se prediquen de una y otra. Incluso, aun cuando los jueces interpreten con autoridad el sentido de la disposición normativa, el concepto emitido por la entidad no deja de ser un concepto y no adquiere efectos vinculantes, por más que coincida con el de la autoridad judicial, pues, en esa hipótesis, lo que vincula es la decisión del juez, no el de la entidad que ejerció la función consultiva, pues, como se viene diciendo, dicha competencia se enmarca en el artículo 28 de la Ley 1437 de 2011. En otras palabras, los conceptos «no serán de obligatorio cumplimiento o ejecución».</w:t>
      </w:r>
    </w:p>
    <w:p w14:paraId="5A373A1E" w14:textId="77777777" w:rsidR="00535540" w:rsidRPr="000F4A3A" w:rsidRDefault="00535540" w:rsidP="00565A2E">
      <w:pPr>
        <w:tabs>
          <w:tab w:val="left" w:pos="0"/>
        </w:tabs>
        <w:spacing w:line="276" w:lineRule="auto"/>
        <w:jc w:val="both"/>
        <w:rPr>
          <w:rFonts w:ascii="Arial" w:hAnsi="Arial" w:cs="Arial"/>
          <w:b/>
          <w:bCs/>
          <w:color w:val="000000"/>
          <w:lang w:eastAsia="en-GB"/>
        </w:rPr>
      </w:pPr>
      <w:r w:rsidRPr="000F4A3A">
        <w:rPr>
          <w:rFonts w:ascii="Arial" w:hAnsi="Arial" w:cs="Arial"/>
          <w:b/>
          <w:color w:val="000000"/>
          <w:lang w:eastAsia="en-GB"/>
        </w:rPr>
        <w:t xml:space="preserve">2.1. </w:t>
      </w:r>
      <w:r w:rsidRPr="000F4A3A">
        <w:rPr>
          <w:rFonts w:ascii="Arial" w:hAnsi="Arial" w:cs="Arial"/>
          <w:b/>
          <w:color w:val="000000" w:themeColor="text1"/>
        </w:rPr>
        <w:t>Naturaleza jurídica del anticipo</w:t>
      </w:r>
    </w:p>
    <w:p w14:paraId="13BD75E8" w14:textId="2B7A378A" w:rsidR="00535540" w:rsidRPr="000F4A3A" w:rsidRDefault="00535540" w:rsidP="00565A2E">
      <w:pPr>
        <w:tabs>
          <w:tab w:val="left" w:pos="0"/>
        </w:tabs>
        <w:spacing w:line="276" w:lineRule="auto"/>
        <w:jc w:val="both"/>
        <w:rPr>
          <w:rFonts w:ascii="Arial" w:hAnsi="Arial" w:cs="Arial"/>
          <w:color w:val="000000" w:themeColor="text1"/>
        </w:rPr>
      </w:pPr>
      <w:r w:rsidRPr="000F4A3A">
        <w:rPr>
          <w:rFonts w:ascii="Arial" w:hAnsi="Arial" w:cs="Arial"/>
          <w:color w:val="000000"/>
          <w:lang w:eastAsia="en-GB"/>
        </w:rPr>
        <w:t>En materia de contratación pública, la figura del anticipo está prevista en dos (2) normas: el</w:t>
      </w:r>
      <w:r w:rsidRPr="000F4A3A">
        <w:rPr>
          <w:rFonts w:ascii="Arial" w:hAnsi="Arial" w:cs="Arial"/>
          <w:color w:val="000000" w:themeColor="text1"/>
        </w:rPr>
        <w:t xml:space="preserve"> inciso primero del parágrafo del artículo 40 de la Ley 80 de 1993 y en el artículo 91 de la Ley 1474 de 2011. En cuanto al Estatuto General de Contratación de la Administración Pública, se dispone la posibilidad de pactar anticipos en los contratos, pero sujeto a determinadas limitaciones. En efecto, la norma prescribe que «En los contratos que celebren las entidades estatales se podrá pactar el pago anticipado y la entrega de anticipos, pero su monto no podrá exceder del cincuenta por ciento (50%) del valor del respectivo contrato». </w:t>
      </w:r>
    </w:p>
    <w:p w14:paraId="6660F30F" w14:textId="28F47320" w:rsidR="00535540" w:rsidRPr="000F4A3A" w:rsidRDefault="00535540" w:rsidP="00565A2E">
      <w:pPr>
        <w:tabs>
          <w:tab w:val="left" w:pos="0"/>
        </w:tabs>
        <w:spacing w:before="120" w:line="276" w:lineRule="auto"/>
        <w:ind w:firstLine="709"/>
        <w:jc w:val="both"/>
        <w:rPr>
          <w:rFonts w:ascii="Arial" w:hAnsi="Arial" w:cs="Arial"/>
          <w:color w:val="000000" w:themeColor="text1"/>
        </w:rPr>
      </w:pPr>
      <w:r w:rsidRPr="000F4A3A">
        <w:rPr>
          <w:rFonts w:ascii="Arial" w:hAnsi="Arial" w:cs="Arial"/>
          <w:color w:val="000000" w:themeColor="text1"/>
        </w:rPr>
        <w:t>Por su parte, el artículo 91 de la Ley 1474 de 2011 consagra una regla especial para el manejo del anticipo. Según esta disposición, el contratista tiene la obligación de constituir una fiducia o un patrimonio autónomo irrevocable</w:t>
      </w:r>
      <w:r w:rsidR="001E2A72">
        <w:rPr>
          <w:rFonts w:ascii="Arial" w:hAnsi="Arial" w:cs="Arial"/>
          <w:color w:val="000000" w:themeColor="text1"/>
        </w:rPr>
        <w:t xml:space="preserve"> para el manejo de los recur</w:t>
      </w:r>
      <w:r w:rsidR="008B18D5">
        <w:rPr>
          <w:rFonts w:ascii="Arial" w:hAnsi="Arial" w:cs="Arial"/>
          <w:color w:val="000000" w:themeColor="text1"/>
        </w:rPr>
        <w:t xml:space="preserve">sos que reciba a título de anticipo, </w:t>
      </w:r>
      <w:r w:rsidR="00F47EBC">
        <w:rPr>
          <w:rFonts w:ascii="Arial" w:hAnsi="Arial" w:cs="Arial"/>
          <w:color w:val="000000" w:themeColor="text1"/>
        </w:rPr>
        <w:t xml:space="preserve">cuando se pacte </w:t>
      </w:r>
      <w:r w:rsidR="008B18D5" w:rsidRPr="000F4A3A">
        <w:rPr>
          <w:rFonts w:ascii="Arial" w:hAnsi="Arial" w:cs="Arial"/>
          <w:color w:val="000000" w:themeColor="text1"/>
        </w:rPr>
        <w:t>en contratos de obra, concesión</w:t>
      </w:r>
      <w:r w:rsidR="005E0765">
        <w:rPr>
          <w:rFonts w:ascii="Arial" w:hAnsi="Arial" w:cs="Arial"/>
          <w:color w:val="000000" w:themeColor="text1"/>
        </w:rPr>
        <w:t>,</w:t>
      </w:r>
      <w:r w:rsidR="008B18D5" w:rsidRPr="000F4A3A">
        <w:rPr>
          <w:rFonts w:ascii="Arial" w:hAnsi="Arial" w:cs="Arial"/>
          <w:color w:val="000000" w:themeColor="text1"/>
        </w:rPr>
        <w:t xml:space="preserve"> salud, o en todos aquellos que se realicen por licitación pública,</w:t>
      </w:r>
      <w:r w:rsidR="00F47EBC">
        <w:rPr>
          <w:rFonts w:ascii="Arial" w:hAnsi="Arial" w:cs="Arial"/>
          <w:color w:val="000000" w:themeColor="text1"/>
        </w:rPr>
        <w:t xml:space="preserve"> </w:t>
      </w:r>
      <w:r w:rsidR="00F47EBC" w:rsidRPr="000F4A3A">
        <w:rPr>
          <w:rFonts w:ascii="Arial" w:hAnsi="Arial" w:cs="Arial"/>
          <w:color w:val="000000" w:themeColor="text1"/>
        </w:rPr>
        <w:t>«</w:t>
      </w:r>
      <w:r w:rsidR="00F47EBC">
        <w:rPr>
          <w:rFonts w:ascii="Arial" w:hAnsi="Arial" w:cs="Arial"/>
          <w:color w:val="000000" w:themeColor="text1"/>
        </w:rPr>
        <w:t xml:space="preserve">salvo que el contrato sea de </w:t>
      </w:r>
      <w:r w:rsidR="00F47EBC" w:rsidRPr="00FE6475">
        <w:rPr>
          <w:rFonts w:ascii="Arial" w:hAnsi="Arial" w:cs="Arial"/>
          <w:color w:val="000000" w:themeColor="text1"/>
        </w:rPr>
        <w:t>menor o mínima cuantía</w:t>
      </w:r>
      <w:r w:rsidR="00F47EBC" w:rsidRPr="000F4A3A">
        <w:rPr>
          <w:rFonts w:ascii="Arial" w:hAnsi="Arial" w:cs="Arial"/>
          <w:color w:val="000000" w:themeColor="text1"/>
        </w:rPr>
        <w:t>»</w:t>
      </w:r>
      <w:r w:rsidRPr="000F4A3A">
        <w:rPr>
          <w:rFonts w:ascii="Arial" w:hAnsi="Arial" w:cs="Arial"/>
          <w:color w:val="000000" w:themeColor="text1"/>
        </w:rPr>
        <w:t>. Lo anterior, con el fin de garantizar que se destinen exclusivamente a la ejecución del contrato.</w:t>
      </w:r>
    </w:p>
    <w:p w14:paraId="305985FA" w14:textId="77777777" w:rsidR="00535540" w:rsidRPr="000F4A3A" w:rsidRDefault="00535540" w:rsidP="00565A2E">
      <w:pPr>
        <w:tabs>
          <w:tab w:val="left" w:pos="0"/>
        </w:tabs>
        <w:spacing w:before="120" w:line="276" w:lineRule="auto"/>
        <w:ind w:firstLine="709"/>
        <w:jc w:val="both"/>
        <w:rPr>
          <w:rFonts w:ascii="Arial" w:hAnsi="Arial" w:cs="Arial"/>
          <w:vertAlign w:val="superscript"/>
        </w:rPr>
      </w:pPr>
      <w:r w:rsidRPr="000F4A3A">
        <w:rPr>
          <w:rFonts w:ascii="Arial" w:hAnsi="Arial" w:cs="Arial"/>
        </w:rPr>
        <w:t>Aunque las normas citadas no definen el anticipo, el Consejo de Estado ha precisado su naturaleza jurídica fijando parámetros para su aplicación</w:t>
      </w:r>
      <w:r w:rsidRPr="000F4A3A">
        <w:rPr>
          <w:rFonts w:ascii="Arial" w:hAnsi="Arial" w:cs="Arial"/>
          <w:vertAlign w:val="superscript"/>
        </w:rPr>
        <w:footnoteReference w:id="5"/>
      </w:r>
      <w:r w:rsidRPr="000F4A3A">
        <w:rPr>
          <w:rFonts w:ascii="Arial" w:hAnsi="Arial" w:cs="Arial"/>
        </w:rPr>
        <w:t xml:space="preserve">. En uno de sus pronunciamientos más recientes, el Consejo de Estado se refirió al anticipo como </w:t>
      </w:r>
      <w:r w:rsidRPr="000F4A3A">
        <w:rPr>
          <w:rFonts w:ascii="Arial" w:hAnsi="Arial" w:cs="Arial"/>
          <w:color w:val="000000" w:themeColor="text1"/>
        </w:rPr>
        <w:t>«</w:t>
      </w:r>
      <w:r w:rsidRPr="000F4A3A">
        <w:rPr>
          <w:rFonts w:ascii="Arial" w:hAnsi="Arial" w:cs="Arial"/>
        </w:rPr>
        <w:t>un recurso o suma correspondiente a un porcentaje del valor total del contrato, pactado como contraprestación, que la entidad pública le entrega al contratista para que sea invertida específicamente en la ejecución del contrato y sea manejada generalmente en cuenta separada, con imposición de obligaciones relacionadas con legalización y amortización de la inversión, de suerte que el monto entregado como anticipo no ingresa al patrimonio del contratista sino cuando ha sido debidamente amortizado</w:t>
      </w:r>
      <w:r w:rsidRPr="000F4A3A">
        <w:rPr>
          <w:rFonts w:ascii="Arial" w:hAnsi="Arial" w:cs="Arial"/>
          <w:color w:val="000000" w:themeColor="text1"/>
        </w:rPr>
        <w:t>»</w:t>
      </w:r>
      <w:r w:rsidRPr="000F4A3A">
        <w:rPr>
          <w:rFonts w:ascii="Arial" w:hAnsi="Arial" w:cs="Arial"/>
          <w:vertAlign w:val="superscript"/>
        </w:rPr>
        <w:footnoteReference w:id="6"/>
      </w:r>
      <w:r w:rsidRPr="000F4A3A">
        <w:rPr>
          <w:rFonts w:ascii="Arial" w:hAnsi="Arial" w:cs="Arial"/>
          <w:color w:val="000000" w:themeColor="text1"/>
        </w:rPr>
        <w:t>.</w:t>
      </w:r>
    </w:p>
    <w:p w14:paraId="7575A780" w14:textId="77777777" w:rsidR="00535540" w:rsidRPr="000F4A3A" w:rsidRDefault="00535540" w:rsidP="00565A2E">
      <w:pPr>
        <w:spacing w:before="120" w:line="276" w:lineRule="auto"/>
        <w:ind w:firstLine="708"/>
        <w:jc w:val="both"/>
        <w:rPr>
          <w:rFonts w:ascii="Arial" w:hAnsi="Arial" w:cs="Arial"/>
        </w:rPr>
      </w:pPr>
      <w:r w:rsidRPr="000F4A3A">
        <w:rPr>
          <w:rFonts w:ascii="Arial" w:hAnsi="Arial" w:cs="Arial"/>
        </w:rPr>
        <w:t xml:space="preserve">Sobre la calidad de recurso público del anticipo, la jurisprudencia ha reiterado que </w:t>
      </w:r>
      <w:r w:rsidRPr="000F4A3A">
        <w:rPr>
          <w:rFonts w:ascii="Arial" w:hAnsi="Arial" w:cs="Arial"/>
          <w:color w:val="000000" w:themeColor="text1"/>
        </w:rPr>
        <w:t>«</w:t>
      </w:r>
      <w:r w:rsidRPr="000F4A3A">
        <w:rPr>
          <w:rFonts w:ascii="Arial" w:hAnsi="Arial" w:cs="Arial"/>
        </w:rPr>
        <w:t>dicho dinero no hace parte del patrimonio del contratista y le pertenece a la entidad contratante hasta tanto se amortice. De allí se deduce que la función del anticipo en el contrato es, de entrada, financiar las prestaciones del contratista, y hace razonable el amparo del buen manejo y correcta inversión de estos recursos dentro de la garantía única de cumplimiento</w:t>
      </w:r>
      <w:r w:rsidRPr="000F4A3A">
        <w:rPr>
          <w:rFonts w:ascii="Arial" w:hAnsi="Arial" w:cs="Arial"/>
          <w:color w:val="000000" w:themeColor="text1"/>
        </w:rPr>
        <w:t>»</w:t>
      </w:r>
      <w:r w:rsidRPr="000F4A3A">
        <w:rPr>
          <w:rFonts w:ascii="Arial" w:hAnsi="Arial" w:cs="Arial"/>
          <w:vertAlign w:val="superscript"/>
        </w:rPr>
        <w:footnoteReference w:id="7"/>
      </w:r>
      <w:r w:rsidRPr="000F4A3A">
        <w:rPr>
          <w:rFonts w:ascii="Arial" w:hAnsi="Arial" w:cs="Arial"/>
        </w:rPr>
        <w:t>. Igualmente, explica que el anticipo, al facilitar al contratista la financiación de los bienes y servicios que se le han encargado, es un factor determinante para impulsar la ejecución del contrato</w:t>
      </w:r>
      <w:r w:rsidRPr="000F4A3A">
        <w:rPr>
          <w:rFonts w:ascii="Arial" w:hAnsi="Arial" w:cs="Arial"/>
          <w:vertAlign w:val="superscript"/>
        </w:rPr>
        <w:footnoteReference w:id="8"/>
      </w:r>
      <w:r w:rsidRPr="000F4A3A">
        <w:rPr>
          <w:rFonts w:ascii="Arial" w:hAnsi="Arial" w:cs="Arial"/>
        </w:rPr>
        <w:t>. Este también es el entendimiento de la doctrina</w:t>
      </w:r>
      <w:r w:rsidRPr="000F4A3A">
        <w:rPr>
          <w:rFonts w:ascii="Arial" w:hAnsi="Arial" w:cs="Arial"/>
          <w:color w:val="000000" w:themeColor="text1"/>
        </w:rPr>
        <w:t>,</w:t>
      </w:r>
      <w:r w:rsidRPr="000F4A3A">
        <w:rPr>
          <w:rFonts w:ascii="Arial" w:hAnsi="Arial" w:cs="Arial"/>
        </w:rPr>
        <w:t xml:space="preserve"> que ha considerado el anticipo como un dinero entregado al contratista que debe cancelarse mediante descuentos parciales, siendo una práctica común que permite impulsar la ejecución del contrato</w:t>
      </w:r>
      <w:r w:rsidRPr="000F4A3A">
        <w:rPr>
          <w:rFonts w:ascii="Arial" w:hAnsi="Arial" w:cs="Arial"/>
          <w:vertAlign w:val="superscript"/>
        </w:rPr>
        <w:footnoteReference w:id="9"/>
      </w:r>
      <w:r w:rsidRPr="000F4A3A">
        <w:rPr>
          <w:rFonts w:ascii="Arial" w:hAnsi="Arial" w:cs="Arial"/>
        </w:rPr>
        <w:t xml:space="preserve">. </w:t>
      </w:r>
    </w:p>
    <w:p w14:paraId="3DA7D7FB" w14:textId="77777777" w:rsidR="00535540" w:rsidRPr="000F4A3A" w:rsidRDefault="00535540" w:rsidP="00565A2E">
      <w:pPr>
        <w:spacing w:before="120" w:line="276" w:lineRule="auto"/>
        <w:ind w:firstLine="708"/>
        <w:jc w:val="both"/>
        <w:rPr>
          <w:rFonts w:ascii="Arial" w:hAnsi="Arial" w:cs="Arial"/>
          <w:color w:val="000000" w:themeColor="text1"/>
        </w:rPr>
      </w:pPr>
      <w:r w:rsidRPr="000F4A3A">
        <w:rPr>
          <w:rFonts w:ascii="Arial" w:hAnsi="Arial" w:cs="Arial"/>
          <w:color w:val="000000" w:themeColor="text1"/>
        </w:rPr>
        <w:t xml:space="preserve">Así, de acuerdo con las consideraciones de la jurisprudencia y la doctrina, el anticipo es </w:t>
      </w:r>
      <w:r w:rsidRPr="000F4A3A">
        <w:rPr>
          <w:rFonts w:ascii="Arial" w:hAnsi="Arial" w:cs="Arial"/>
        </w:rPr>
        <w:t>aquella suma de dinero entregada al contratista con la finalidad de apalancarlo financieramente para solventar los costos de la ejecución del contrato. Este dinero debe amortizarse de acuerdo con el avance en la ejecución. De esta forma, los recursos entregados a título de anticipo son del erario, razón por la que debe garantizarse su buen manejo y correcta inversión.</w:t>
      </w:r>
    </w:p>
    <w:p w14:paraId="6B158309" w14:textId="77777777" w:rsidR="00535540" w:rsidRPr="000F4A3A" w:rsidRDefault="00535540" w:rsidP="00565A2E">
      <w:pPr>
        <w:spacing w:before="120" w:line="276" w:lineRule="auto"/>
        <w:ind w:firstLine="709"/>
        <w:jc w:val="both"/>
        <w:rPr>
          <w:rFonts w:ascii="Arial" w:hAnsi="Arial" w:cs="Arial"/>
        </w:rPr>
      </w:pPr>
      <w:r w:rsidRPr="000F4A3A">
        <w:rPr>
          <w:rFonts w:ascii="Arial" w:hAnsi="Arial" w:cs="Arial"/>
          <w:color w:val="000000" w:themeColor="text1"/>
        </w:rPr>
        <w:t xml:space="preserve">Como característica esencial del anticipo, derivada del artículo 40 de la Ley 80 de 1993, el pacto proviene de la autonomía de la voluntad de las partes. De allí que se generen una serie de derechos y obligaciones recíprocos entre ellas. Por un lado, el contratante tiene la obligación de entregar el valor pactado como anticipo y el derecho a que los recursos sean empleados en la forma estipulada. Por otro lado, el contratista tiene derecho a recibir dicho anticipo y la obligación de destinarlo a la ejecución del contrato. De esta manera, el Consejo de Estado explica lo siguiente: </w:t>
      </w:r>
    </w:p>
    <w:p w14:paraId="3350DBB8" w14:textId="7493542F" w:rsidR="00535540" w:rsidRPr="00477961" w:rsidRDefault="00556F3D" w:rsidP="005E0765">
      <w:pPr>
        <w:spacing w:line="240" w:lineRule="auto"/>
        <w:ind w:left="709" w:right="709"/>
        <w:jc w:val="both"/>
        <w:rPr>
          <w:rFonts w:ascii="Arial" w:hAnsi="Arial" w:cs="Arial"/>
          <w:sz w:val="21"/>
          <w:szCs w:val="21"/>
        </w:rPr>
      </w:pPr>
      <w:r w:rsidRPr="000F4A3A">
        <w:rPr>
          <w:rFonts w:ascii="Arial" w:hAnsi="Arial" w:cs="Arial"/>
          <w:color w:val="000000" w:themeColor="text1"/>
        </w:rPr>
        <w:t>«</w:t>
      </w:r>
      <w:r w:rsidR="00535540" w:rsidRPr="00477961">
        <w:rPr>
          <w:rFonts w:ascii="Arial" w:hAnsi="Arial" w:cs="Arial"/>
          <w:sz w:val="21"/>
          <w:szCs w:val="21"/>
        </w:rPr>
        <w:t xml:space="preserve">[…] En una primera instancia es obligación del contratante y derecho del contratista, de entregar y recibir - previa constitución de la garantía -, respectivamente, una suma determinada de dinero, con cargo a los recursos del contrato, con el objeto financiar al contratista en las prestaciones a su cargo (adquisición de bienes, servicios, obras </w:t>
      </w:r>
      <w:proofErr w:type="spellStart"/>
      <w:r w:rsidR="00535540" w:rsidRPr="00477961">
        <w:rPr>
          <w:rFonts w:ascii="Arial" w:hAnsi="Arial" w:cs="Arial"/>
          <w:sz w:val="21"/>
          <w:szCs w:val="21"/>
        </w:rPr>
        <w:t>etc</w:t>
      </w:r>
      <w:proofErr w:type="spellEnd"/>
      <w:r w:rsidR="00535540" w:rsidRPr="00477961">
        <w:rPr>
          <w:rFonts w:ascii="Arial" w:hAnsi="Arial" w:cs="Arial"/>
          <w:sz w:val="21"/>
          <w:szCs w:val="21"/>
        </w:rPr>
        <w:t>). En segunda instancia el anticipo, en su resultado, constituye una obligación del contratista y un derecho del contratante, en los siguientes aspectos: -De inversión en los objetos determinados en el contrato y de pago por amortización, por parte del contratista. -De recibir, por amortización, y/o hacer efectiva la garantía de anticipo, o de cumplimiento, según el Estatuto de Contratación vigente, por parte del contratante</w:t>
      </w:r>
      <w:r w:rsidR="00535540" w:rsidRPr="00477961">
        <w:rPr>
          <w:rFonts w:ascii="Arial" w:hAnsi="Arial" w:cs="Arial"/>
          <w:b/>
          <w:bCs/>
          <w:sz w:val="21"/>
          <w:szCs w:val="21"/>
        </w:rPr>
        <w:t xml:space="preserve">, </w:t>
      </w:r>
      <w:r w:rsidR="00535540" w:rsidRPr="00477961">
        <w:rPr>
          <w:rFonts w:ascii="Arial" w:hAnsi="Arial" w:cs="Arial"/>
          <w:sz w:val="21"/>
          <w:szCs w:val="21"/>
        </w:rPr>
        <w:t>por hechos del contratista que impliquen mal manejo o incorrecta inversión de los dineros de propiedad pública. Las partes contratantes, acuerdan además en el contrato, las condiciones de efectividad, la proporción con el valor del contrato, la oportunidad en que debe entregarse, la vigilancia Estatal sobre las sumas y las amortizaciones</w:t>
      </w:r>
      <w:r w:rsidR="00412D4F">
        <w:rPr>
          <w:rFonts w:ascii="Arial" w:hAnsi="Arial" w:cs="Arial"/>
          <w:sz w:val="21"/>
          <w:szCs w:val="21"/>
        </w:rPr>
        <w:t>.</w:t>
      </w:r>
      <w:r w:rsidRPr="000F4A3A">
        <w:rPr>
          <w:rFonts w:ascii="Arial" w:hAnsi="Arial" w:cs="Arial"/>
          <w:color w:val="000000" w:themeColor="text1"/>
        </w:rPr>
        <w:t>»</w:t>
      </w:r>
      <w:r w:rsidR="00535540" w:rsidRPr="00477961">
        <w:rPr>
          <w:rFonts w:ascii="Arial" w:hAnsi="Arial" w:cs="Arial"/>
          <w:sz w:val="21"/>
          <w:szCs w:val="21"/>
          <w:vertAlign w:val="superscript"/>
        </w:rPr>
        <w:footnoteReference w:id="10"/>
      </w:r>
    </w:p>
    <w:p w14:paraId="4009E79A" w14:textId="61D4A726" w:rsidR="00535540" w:rsidRPr="000F4A3A" w:rsidRDefault="00535540" w:rsidP="00565A2E">
      <w:pPr>
        <w:tabs>
          <w:tab w:val="left" w:pos="0"/>
        </w:tabs>
        <w:spacing w:line="276" w:lineRule="auto"/>
        <w:ind w:firstLine="709"/>
        <w:jc w:val="both"/>
        <w:rPr>
          <w:rFonts w:ascii="Arial" w:hAnsi="Arial" w:cs="Arial"/>
        </w:rPr>
      </w:pPr>
      <w:r w:rsidRPr="000F4A3A">
        <w:rPr>
          <w:rFonts w:ascii="Arial" w:hAnsi="Arial" w:cs="Arial"/>
        </w:rPr>
        <w:t xml:space="preserve">Las entidades estatales tienen la facultad de pactar la entrega de anticipos en los contratos que celebren. Para ello, deberán realizar el estudio correspondiente con el fin de determinar la conveniencia de otorgar recursos al contratista bajo esa denominación. De este modo, las entidades podrán determinar las condiciones de entrega, el monto –que no podrá ser superior al </w:t>
      </w:r>
      <w:r w:rsidR="00100997">
        <w:rPr>
          <w:rFonts w:ascii="Arial" w:hAnsi="Arial" w:cs="Arial"/>
        </w:rPr>
        <w:t>cincuenta por ciento (</w:t>
      </w:r>
      <w:r w:rsidRPr="000F4A3A">
        <w:rPr>
          <w:rFonts w:ascii="Arial" w:hAnsi="Arial" w:cs="Arial"/>
        </w:rPr>
        <w:t>50%</w:t>
      </w:r>
      <w:r w:rsidR="00100997">
        <w:rPr>
          <w:rFonts w:ascii="Arial" w:hAnsi="Arial" w:cs="Arial"/>
        </w:rPr>
        <w:t>)</w:t>
      </w:r>
      <w:r w:rsidRPr="000F4A3A">
        <w:rPr>
          <w:rFonts w:ascii="Arial" w:hAnsi="Arial" w:cs="Arial"/>
        </w:rPr>
        <w:t xml:space="preserve"> del valor del contrato–, el plazo de amortización, las condiciones necesarias para su exigibilidad, así como todas las obligaciones para su correcta inversión.</w:t>
      </w:r>
    </w:p>
    <w:p w14:paraId="5706DCE8" w14:textId="77777777" w:rsidR="00535540" w:rsidRPr="000F4A3A" w:rsidRDefault="00535540" w:rsidP="00565A2E">
      <w:pPr>
        <w:tabs>
          <w:tab w:val="left" w:pos="0"/>
        </w:tabs>
        <w:spacing w:before="120" w:line="276" w:lineRule="auto"/>
        <w:ind w:firstLine="709"/>
        <w:jc w:val="both"/>
        <w:rPr>
          <w:rFonts w:ascii="Arial" w:hAnsi="Arial" w:cs="Arial"/>
          <w:color w:val="000000" w:themeColor="text1"/>
        </w:rPr>
      </w:pPr>
      <w:r w:rsidRPr="000F4A3A">
        <w:rPr>
          <w:rFonts w:ascii="Arial" w:hAnsi="Arial" w:cs="Arial"/>
        </w:rPr>
        <w:t xml:space="preserve">Adicionalmente, el parágrafo del artículo 40 de la Ley 80 de 1993 no restringe el tipo de contratos estatales en los cuales es posible el ejercicio de esta facultad. Es decir, no limita la posibilidad de pactar anticipo dependiendo de la tipología contractual o la modalidad de selección del contratista. </w:t>
      </w:r>
      <w:r w:rsidRPr="000F4A3A">
        <w:rPr>
          <w:rFonts w:ascii="Arial" w:hAnsi="Arial" w:cs="Arial"/>
          <w:color w:val="000000" w:themeColor="text1"/>
        </w:rPr>
        <w:t xml:space="preserve">De hecho, el Estatuto General de Contratación de la Administración Pública dispone como única limitación el valor máximo que puede desembolsar la entidad para pactar el anticipo. </w:t>
      </w:r>
    </w:p>
    <w:p w14:paraId="3D558194" w14:textId="77777777" w:rsidR="00535540" w:rsidRPr="00DB237C" w:rsidRDefault="00535540" w:rsidP="00565A2E">
      <w:pPr>
        <w:spacing w:before="120" w:after="120" w:line="276" w:lineRule="auto"/>
        <w:ind w:firstLine="709"/>
        <w:jc w:val="both"/>
        <w:rPr>
          <w:rFonts w:ascii="Arial" w:hAnsi="Arial" w:cs="Arial"/>
        </w:rPr>
      </w:pPr>
      <w:r w:rsidRPr="00DB237C">
        <w:rPr>
          <w:rFonts w:ascii="Arial" w:hAnsi="Arial" w:cs="Arial"/>
          <w:color w:val="000000" w:themeColor="text1"/>
        </w:rPr>
        <w:t xml:space="preserve">Del análisis realizado se desprende que los recursos entregados al contratista en calidad de anticipo son recursos públicos. Por tanto, corresponde a la entidad </w:t>
      </w:r>
      <w:r w:rsidRPr="00DB237C">
        <w:rPr>
          <w:rFonts w:ascii="Arial" w:hAnsi="Arial" w:cs="Arial"/>
        </w:rPr>
        <w:t>adoptar las medidas necesarias y razonables para asegurar la correcta inversión de los dineros entregados, las cuales deberán reflejarse en el contrato celebrado. En consecuencia, deberán constituir la garantía única de cumplimiento e incluir el amparo previsto en el artículo 2.2.1.2.3.1.7 del Decreto 1082 de 2015. Este amparo establece tres circunstancias que deben ser objeto de cobertura: i) la no inversión del anticipo; ii) el uso indebido del anticipo; y iii) la apropiación indebida de los recursos recibidos en calidad de anticipo</w:t>
      </w:r>
      <w:r w:rsidRPr="00DB237C">
        <w:rPr>
          <w:rFonts w:ascii="Arial" w:hAnsi="Arial" w:cs="Arial"/>
          <w:vertAlign w:val="superscript"/>
        </w:rPr>
        <w:footnoteReference w:id="11"/>
      </w:r>
      <w:r w:rsidRPr="00DB237C">
        <w:rPr>
          <w:rFonts w:ascii="Arial" w:hAnsi="Arial" w:cs="Arial"/>
        </w:rPr>
        <w:t xml:space="preserve">. </w:t>
      </w:r>
    </w:p>
    <w:p w14:paraId="15294FF7" w14:textId="77777777" w:rsidR="00535540" w:rsidRPr="000F4A3A" w:rsidRDefault="00535540" w:rsidP="00565A2E">
      <w:pPr>
        <w:spacing w:line="276" w:lineRule="auto"/>
        <w:jc w:val="both"/>
        <w:rPr>
          <w:rFonts w:ascii="Arial" w:hAnsi="Arial" w:cs="Arial"/>
          <w:b/>
          <w:bCs/>
          <w:color w:val="000000" w:themeColor="text1"/>
          <w:u w:val="single"/>
        </w:rPr>
      </w:pPr>
      <w:r w:rsidRPr="000F4A3A">
        <w:rPr>
          <w:rFonts w:ascii="Arial" w:eastAsia="Times New Roman" w:hAnsi="Arial" w:cs="Arial"/>
          <w:b/>
          <w:bCs/>
          <w:color w:val="000000" w:themeColor="text1"/>
        </w:rPr>
        <w:t xml:space="preserve">2.2. </w:t>
      </w:r>
      <w:r w:rsidRPr="000F4A3A">
        <w:rPr>
          <w:rFonts w:ascii="Arial" w:hAnsi="Arial" w:cs="Arial"/>
          <w:b/>
          <w:bCs/>
          <w:color w:val="000000" w:themeColor="text1"/>
        </w:rPr>
        <w:t>Ámbito de aplicación del artículo 91 de la Ley 1474 de 2011</w:t>
      </w:r>
    </w:p>
    <w:p w14:paraId="6CED6555" w14:textId="77777777" w:rsidR="00535540" w:rsidRPr="000F4A3A" w:rsidRDefault="00535540" w:rsidP="00565A2E">
      <w:pPr>
        <w:spacing w:line="276" w:lineRule="auto"/>
        <w:jc w:val="both"/>
        <w:rPr>
          <w:rFonts w:ascii="Arial" w:hAnsi="Arial" w:cs="Arial"/>
          <w:bCs/>
          <w:color w:val="000000" w:themeColor="text1"/>
          <w:lang w:val="es-ES_tradnl"/>
        </w:rPr>
      </w:pPr>
      <w:r w:rsidRPr="000F4A3A">
        <w:rPr>
          <w:rFonts w:ascii="Arial" w:hAnsi="Arial" w:cs="Arial"/>
          <w:bCs/>
          <w:color w:val="000000" w:themeColor="text1"/>
          <w:lang w:val="es-ES_tradnl"/>
        </w:rPr>
        <w:t xml:space="preserve">Como se expuso en el acápite anterior, una de las normas que regula el anticipo en materia de contratación estatal es el artículo 91 de la Ley 1474 de 2011. Esta norma dispone lo siguiente: </w:t>
      </w:r>
    </w:p>
    <w:p w14:paraId="6A556D54" w14:textId="77777777" w:rsidR="00535540" w:rsidRPr="00477961" w:rsidRDefault="00535540" w:rsidP="00B90503">
      <w:pPr>
        <w:spacing w:after="120" w:line="240" w:lineRule="auto"/>
        <w:ind w:left="709" w:right="709"/>
        <w:jc w:val="both"/>
        <w:rPr>
          <w:rFonts w:ascii="Arial" w:hAnsi="Arial" w:cs="Arial"/>
          <w:sz w:val="21"/>
          <w:szCs w:val="21"/>
        </w:rPr>
      </w:pPr>
      <w:r w:rsidRPr="001C231C">
        <w:rPr>
          <w:rFonts w:ascii="Arial" w:hAnsi="Arial" w:cs="Arial"/>
          <w:sz w:val="21"/>
          <w:szCs w:val="21"/>
        </w:rPr>
        <w:t>«</w:t>
      </w:r>
      <w:r w:rsidRPr="00477961">
        <w:rPr>
          <w:rFonts w:ascii="Arial" w:hAnsi="Arial" w:cs="Arial"/>
          <w:sz w:val="21"/>
          <w:szCs w:val="21"/>
        </w:rPr>
        <w:t xml:space="preserve">En los contratos de obra, concesión, salud, o los que se realicen por licitación pública, el contratista deberá constituir una fiducia o un patrimonio autónomo irrevocable para el manejo de los recursos que reciba a título de anticipo, con el fin de garantizar que dichos recursos se apliquen exclusivamente a la ejecución del contrato correspondiente, </w:t>
      </w:r>
      <w:r w:rsidRPr="006336C3">
        <w:rPr>
          <w:rFonts w:ascii="Arial" w:hAnsi="Arial" w:cs="Arial"/>
          <w:i/>
          <w:sz w:val="21"/>
          <w:szCs w:val="21"/>
        </w:rPr>
        <w:t>salvo que el contrato sea de menor o mínima cuantía.</w:t>
      </w:r>
    </w:p>
    <w:p w14:paraId="6A502EAB" w14:textId="14CDA2C6" w:rsidR="00535540" w:rsidRPr="00477961" w:rsidRDefault="00535540" w:rsidP="00B90503">
      <w:pPr>
        <w:spacing w:line="240" w:lineRule="auto"/>
        <w:ind w:left="709" w:right="709"/>
        <w:jc w:val="both"/>
        <w:rPr>
          <w:rFonts w:ascii="Arial" w:hAnsi="Arial" w:cs="Arial"/>
          <w:sz w:val="21"/>
          <w:szCs w:val="21"/>
        </w:rPr>
      </w:pPr>
      <w:r w:rsidRPr="00477961">
        <w:rPr>
          <w:rFonts w:ascii="Arial" w:hAnsi="Arial" w:cs="Arial"/>
          <w:sz w:val="21"/>
          <w:szCs w:val="21"/>
        </w:rPr>
        <w:t>El costo de la comisión fiduciaria será cubierto directamente por el contratista.»</w:t>
      </w:r>
      <w:r w:rsidR="00D15C69" w:rsidRPr="006336C3">
        <w:rPr>
          <w:rFonts w:ascii="Arial" w:hAnsi="Arial" w:cs="Arial"/>
          <w:sz w:val="20"/>
          <w:szCs w:val="20"/>
          <w:lang w:val="es-ES_tradnl"/>
        </w:rPr>
        <w:t xml:space="preserve"> [Énfasis fuera de texto]</w:t>
      </w:r>
    </w:p>
    <w:p w14:paraId="211B3954" w14:textId="77777777" w:rsidR="00535540" w:rsidRPr="000F4A3A" w:rsidRDefault="00535540" w:rsidP="00565A2E">
      <w:pPr>
        <w:spacing w:line="276" w:lineRule="auto"/>
        <w:ind w:firstLine="709"/>
        <w:jc w:val="both"/>
        <w:rPr>
          <w:rFonts w:ascii="Arial" w:hAnsi="Arial" w:cs="Arial"/>
          <w:bCs/>
          <w:color w:val="000000" w:themeColor="text1"/>
          <w:lang w:val="es-ES_tradnl"/>
        </w:rPr>
      </w:pPr>
      <w:r w:rsidRPr="000F4A3A">
        <w:rPr>
          <w:rFonts w:ascii="Arial" w:hAnsi="Arial" w:cs="Arial"/>
          <w:bCs/>
          <w:color w:val="000000" w:themeColor="text1"/>
          <w:lang w:val="es-ES_tradnl"/>
        </w:rPr>
        <w:t>En concordancia, el artículo 2.2.1.1.2.4.1 del Decreto 1082 de 2015 prescribe que, en los casos previstos en la ley, el contratista debe suscribir un contrato de fiducia mercantil para crear un patrimonio autónomo, con una sociedad fiduciaria autorizada para ese fin por la Superintendencia Financiera de Colombia, a la cual la Entidad Estatal debe entregar el valor del anticipo. Los recursos del patrimonio y sus rendimientos son autónomos, además de que se manejan de acuerdo con el contrato de fiducia mercantil</w:t>
      </w:r>
      <w:r w:rsidRPr="000F4A3A">
        <w:rPr>
          <w:rFonts w:ascii="Arial" w:hAnsi="Arial" w:cs="Arial"/>
          <w:bCs/>
          <w:color w:val="000000" w:themeColor="text1"/>
          <w:vertAlign w:val="superscript"/>
          <w:lang w:val="es-ES_tradnl"/>
        </w:rPr>
        <w:footnoteReference w:id="12"/>
      </w:r>
      <w:r w:rsidRPr="000F4A3A">
        <w:rPr>
          <w:rFonts w:ascii="Arial" w:hAnsi="Arial" w:cs="Arial"/>
          <w:bCs/>
          <w:color w:val="000000" w:themeColor="text1"/>
          <w:lang w:val="es-ES_tradnl"/>
        </w:rPr>
        <w:t xml:space="preserve">. </w:t>
      </w:r>
    </w:p>
    <w:p w14:paraId="2C7311E0" w14:textId="429D6DF3" w:rsidR="00535540" w:rsidRPr="000F4A3A" w:rsidRDefault="00535540" w:rsidP="00565A2E">
      <w:pPr>
        <w:spacing w:before="120" w:line="276" w:lineRule="auto"/>
        <w:ind w:firstLine="709"/>
        <w:jc w:val="both"/>
        <w:rPr>
          <w:rFonts w:ascii="Arial" w:hAnsi="Arial" w:cs="Arial"/>
          <w:bCs/>
          <w:color w:val="000000" w:themeColor="text1"/>
          <w:lang w:val="es-ES_tradnl"/>
        </w:rPr>
      </w:pPr>
      <w:r w:rsidRPr="000F4A3A">
        <w:rPr>
          <w:rFonts w:ascii="Arial" w:hAnsi="Arial" w:cs="Arial"/>
          <w:bCs/>
          <w:color w:val="000000" w:themeColor="text1"/>
          <w:lang w:val="es-ES_tradnl"/>
        </w:rPr>
        <w:t>Lo anterior surge como una medida para fortalecer los mecanismos de prevención, investigación y sanción de actos de corrupción y la efectividad del control de la gestión pública, en atención a la problemática identificada sobre el incumplimiento de los contratistas de destinar los anticipos en la ejecución del contrato</w:t>
      </w:r>
      <w:r w:rsidRPr="000F4A3A">
        <w:rPr>
          <w:rFonts w:ascii="Arial" w:hAnsi="Arial" w:cs="Arial"/>
          <w:bCs/>
          <w:color w:val="000000" w:themeColor="text1"/>
          <w:vertAlign w:val="superscript"/>
          <w:lang w:val="es-ES_tradnl"/>
        </w:rPr>
        <w:footnoteReference w:id="13"/>
      </w:r>
      <w:r w:rsidRPr="000F4A3A">
        <w:rPr>
          <w:rFonts w:ascii="Arial" w:hAnsi="Arial" w:cs="Arial"/>
          <w:bCs/>
          <w:color w:val="000000" w:themeColor="text1"/>
          <w:lang w:val="es-ES_tradnl"/>
        </w:rPr>
        <w:t>. De esta manera, mediante estas disposiciones se busca realizar un seguimiento a la entrega de recursos que se otorgan en calidad de anticipo, a través de la constitución de una fiducia irrevocable. Esto con la finalidad de garantizar la adecuada inversión y administración de los recursos, así como su reintegro a la</w:t>
      </w:r>
      <w:r>
        <w:rPr>
          <w:rFonts w:ascii="Arial" w:hAnsi="Arial" w:cs="Arial"/>
          <w:bCs/>
          <w:color w:val="000000" w:themeColor="text1"/>
          <w:lang w:val="es-ES_tradnl"/>
        </w:rPr>
        <w:t xml:space="preserve"> Entidad Estatal</w:t>
      </w:r>
      <w:r w:rsidRPr="000F4A3A">
        <w:rPr>
          <w:rFonts w:ascii="Arial" w:hAnsi="Arial" w:cs="Arial"/>
          <w:bCs/>
          <w:color w:val="000000" w:themeColor="text1"/>
          <w:lang w:val="es-ES_tradnl"/>
        </w:rPr>
        <w:t xml:space="preserve">. </w:t>
      </w:r>
    </w:p>
    <w:p w14:paraId="5581875B" w14:textId="3738807E" w:rsidR="00535540" w:rsidRPr="000F4A3A" w:rsidRDefault="00535540" w:rsidP="007276C8">
      <w:pPr>
        <w:spacing w:line="240" w:lineRule="auto"/>
        <w:ind w:firstLine="708"/>
        <w:jc w:val="both"/>
        <w:rPr>
          <w:rFonts w:ascii="Arial" w:hAnsi="Arial" w:cs="Arial"/>
          <w:color w:val="000000" w:themeColor="text1"/>
        </w:rPr>
      </w:pPr>
      <w:r w:rsidRPr="000F4A3A">
        <w:rPr>
          <w:rFonts w:ascii="Arial" w:hAnsi="Arial" w:cs="Arial"/>
          <w:bCs/>
          <w:color w:val="000000" w:themeColor="text1"/>
          <w:lang w:val="es-ES_tradnl"/>
        </w:rPr>
        <w:t xml:space="preserve">Por su parte, Colombia Compra Eficiente </w:t>
      </w:r>
      <w:r w:rsidRPr="006336C3">
        <w:rPr>
          <w:rFonts w:ascii="Arial" w:hAnsi="Arial" w:cs="Arial"/>
          <w:bCs/>
          <w:color w:val="000000" w:themeColor="text1"/>
          <w:lang w:val="es-ES_tradnl"/>
        </w:rPr>
        <w:t>expid</w:t>
      </w:r>
      <w:r w:rsidR="007276C8" w:rsidRPr="006336C3">
        <w:rPr>
          <w:rFonts w:ascii="Arial" w:hAnsi="Arial" w:cs="Arial"/>
          <w:bCs/>
          <w:color w:val="000000" w:themeColor="text1"/>
          <w:lang w:val="es-ES_tradnl"/>
        </w:rPr>
        <w:t>ió</w:t>
      </w:r>
      <w:r w:rsidRPr="000F4A3A">
        <w:rPr>
          <w:rFonts w:ascii="Arial" w:hAnsi="Arial" w:cs="Arial"/>
          <w:bCs/>
          <w:color w:val="000000" w:themeColor="text1"/>
          <w:lang w:val="es-ES_tradnl"/>
        </w:rPr>
        <w:t xml:space="preserve"> la </w:t>
      </w:r>
      <w:r w:rsidRPr="000F4A3A">
        <w:rPr>
          <w:rFonts w:ascii="Arial" w:hAnsi="Arial" w:cs="Arial"/>
          <w:color w:val="000000" w:themeColor="text1"/>
        </w:rPr>
        <w:t>«</w:t>
      </w:r>
      <w:r w:rsidRPr="00477961">
        <w:rPr>
          <w:rFonts w:ascii="Arial" w:hAnsi="Arial" w:cs="Arial"/>
          <w:bCs/>
          <w:i/>
          <w:iCs/>
          <w:color w:val="000000" w:themeColor="text1"/>
          <w:lang w:val="es-ES_tradnl"/>
        </w:rPr>
        <w:t>Guía para el manejo de anticipos mediante contrato de fiducia irrevocable</w:t>
      </w:r>
      <w:bookmarkStart w:id="1" w:name="_Hlk69032549"/>
      <w:r w:rsidRPr="00477961">
        <w:rPr>
          <w:rFonts w:ascii="Arial" w:hAnsi="Arial" w:cs="Arial"/>
          <w:i/>
          <w:iCs/>
          <w:color w:val="000000" w:themeColor="text1"/>
        </w:rPr>
        <w:t>»</w:t>
      </w:r>
      <w:bookmarkEnd w:id="1"/>
      <w:r w:rsidRPr="00477961">
        <w:rPr>
          <w:rFonts w:ascii="Arial" w:hAnsi="Arial" w:cs="Arial"/>
          <w:i/>
          <w:iCs/>
          <w:color w:val="000000" w:themeColor="text1"/>
          <w:vertAlign w:val="superscript"/>
        </w:rPr>
        <w:footnoteReference w:id="14"/>
      </w:r>
      <w:r w:rsidRPr="00477961">
        <w:rPr>
          <w:rFonts w:ascii="Arial" w:hAnsi="Arial" w:cs="Arial"/>
          <w:i/>
          <w:iCs/>
          <w:color w:val="000000" w:themeColor="text1"/>
        </w:rPr>
        <w:t>,</w:t>
      </w:r>
      <w:r w:rsidRPr="000F4A3A">
        <w:rPr>
          <w:rFonts w:ascii="Arial" w:hAnsi="Arial" w:cs="Arial"/>
          <w:color w:val="000000" w:themeColor="text1"/>
        </w:rPr>
        <w:t xml:space="preserve"> que </w:t>
      </w:r>
      <w:r w:rsidRPr="000F4A3A">
        <w:rPr>
          <w:rFonts w:ascii="Arial" w:hAnsi="Arial" w:cs="Arial"/>
          <w:bCs/>
          <w:color w:val="000000" w:themeColor="text1"/>
          <w:lang w:val="es-ES_tradnl"/>
        </w:rPr>
        <w:t xml:space="preserve">tiene como objetivo establecer lineamientos sobre el contrato de fiducia para el manejo de anticipos. En esta se explica que </w:t>
      </w:r>
      <w:r w:rsidRPr="000F4A3A">
        <w:rPr>
          <w:rFonts w:ascii="Arial" w:hAnsi="Arial" w:cs="Arial"/>
          <w:color w:val="000000" w:themeColor="text1"/>
        </w:rPr>
        <w:t>«</w:t>
      </w:r>
      <w:r w:rsidRPr="000F4A3A">
        <w:rPr>
          <w:rFonts w:ascii="Arial" w:hAnsi="Arial" w:cs="Arial"/>
          <w:bCs/>
          <w:color w:val="000000" w:themeColor="text1"/>
        </w:rPr>
        <w:t>el patrimonio autónomo para manejo de anticipos tiene como finalidad: (i) la correcta y adecuada inversión y administración del anticipo y, (ii) el reintegro de los recursos del anticipo a la Entidad Estatal cuando declara la caducidad, incumplimiento o terminación del contrato estatal o cuando se presenta la nulidad del contrato estatal</w:t>
      </w:r>
      <w:r w:rsidRPr="000F4A3A">
        <w:rPr>
          <w:rFonts w:ascii="Arial" w:hAnsi="Arial" w:cs="Arial"/>
          <w:color w:val="000000" w:themeColor="text1"/>
        </w:rPr>
        <w:t xml:space="preserve">». </w:t>
      </w:r>
      <w:r w:rsidRPr="006336C3">
        <w:rPr>
          <w:rFonts w:ascii="Arial" w:hAnsi="Arial" w:cs="Arial"/>
          <w:color w:val="000000" w:themeColor="text1"/>
        </w:rPr>
        <w:t>Además, indica que</w:t>
      </w:r>
      <w:r w:rsidRPr="000F4A3A">
        <w:rPr>
          <w:rFonts w:ascii="Arial" w:hAnsi="Arial" w:cs="Arial"/>
          <w:color w:val="000000" w:themeColor="text1"/>
        </w:rPr>
        <w:t>, el contratista debe constituir un contrato de fiducia mercantil irrevocable para el manejo de los recursos que recibe a título de anticipo</w:t>
      </w:r>
      <w:r w:rsidR="009B6CEC" w:rsidRPr="006336C3">
        <w:rPr>
          <w:rFonts w:ascii="Arial" w:hAnsi="Arial" w:cs="Arial"/>
          <w:color w:val="000000" w:themeColor="text1"/>
        </w:rPr>
        <w:t xml:space="preserve"> </w:t>
      </w:r>
      <w:r w:rsidRPr="006336C3">
        <w:rPr>
          <w:rFonts w:ascii="Arial" w:hAnsi="Arial" w:cs="Arial"/>
          <w:color w:val="000000" w:themeColor="text1"/>
        </w:rPr>
        <w:t xml:space="preserve">en </w:t>
      </w:r>
      <w:r w:rsidR="009B6CEC" w:rsidRPr="006336C3">
        <w:rPr>
          <w:rFonts w:ascii="Arial" w:hAnsi="Arial" w:cs="Arial"/>
          <w:color w:val="000000" w:themeColor="text1"/>
        </w:rPr>
        <w:t>«</w:t>
      </w:r>
      <w:r w:rsidRPr="006336C3">
        <w:rPr>
          <w:rFonts w:ascii="Arial" w:hAnsi="Arial" w:cs="Arial"/>
          <w:color w:val="000000" w:themeColor="text1"/>
        </w:rPr>
        <w:t xml:space="preserve">los contratos de obra, concesión, salud y los que se realicen por licitación pública </w:t>
      </w:r>
      <w:r w:rsidR="009B6CEC" w:rsidRPr="006336C3">
        <w:rPr>
          <w:rFonts w:ascii="Arial" w:hAnsi="Arial" w:cs="Arial"/>
          <w:color w:val="000000" w:themeColor="text1"/>
        </w:rPr>
        <w:t xml:space="preserve">y </w:t>
      </w:r>
      <w:r w:rsidRPr="006336C3">
        <w:rPr>
          <w:rFonts w:ascii="Arial" w:hAnsi="Arial" w:cs="Arial"/>
          <w:i/>
          <w:iCs/>
          <w:color w:val="000000" w:themeColor="text1"/>
        </w:rPr>
        <w:t xml:space="preserve">siempre que </w:t>
      </w:r>
      <w:r w:rsidRPr="006336C3">
        <w:rPr>
          <w:rFonts w:ascii="Arial" w:hAnsi="Arial" w:cs="Arial"/>
          <w:color w:val="000000" w:themeColor="text1"/>
        </w:rPr>
        <w:t>no sean de menor o mínima cuantía</w:t>
      </w:r>
      <w:r w:rsidR="009B6CEC" w:rsidRPr="006336C3">
        <w:rPr>
          <w:rFonts w:ascii="Arial" w:hAnsi="Arial" w:cs="Arial"/>
          <w:i/>
          <w:iCs/>
          <w:color w:val="000000" w:themeColor="text1"/>
        </w:rPr>
        <w:t xml:space="preserve">» </w:t>
      </w:r>
      <w:r w:rsidR="009B6CEC" w:rsidRPr="006336C3">
        <w:rPr>
          <w:rFonts w:ascii="Arial" w:hAnsi="Arial" w:cs="Arial"/>
          <w:sz w:val="20"/>
          <w:szCs w:val="20"/>
          <w:lang w:val="es-ES_tradnl"/>
        </w:rPr>
        <w:t>[</w:t>
      </w:r>
      <w:r w:rsidR="009B6CEC" w:rsidRPr="006336C3">
        <w:rPr>
          <w:rFonts w:ascii="Arial" w:hAnsi="Arial" w:cs="Arial"/>
          <w:lang w:val="es-ES_tradnl"/>
        </w:rPr>
        <w:t>Énfasis fuera de texto</w:t>
      </w:r>
      <w:r w:rsidR="009B6CEC" w:rsidRPr="006336C3">
        <w:rPr>
          <w:rFonts w:ascii="Arial" w:hAnsi="Arial" w:cs="Arial"/>
          <w:sz w:val="20"/>
          <w:szCs w:val="20"/>
          <w:lang w:val="es-ES_tradnl"/>
        </w:rPr>
        <w:t>]</w:t>
      </w:r>
      <w:r w:rsidRPr="006336C3">
        <w:rPr>
          <w:rFonts w:ascii="Arial" w:hAnsi="Arial" w:cs="Arial"/>
          <w:color w:val="000000" w:themeColor="text1"/>
        </w:rPr>
        <w:t>.</w:t>
      </w:r>
      <w:r w:rsidRPr="000F4A3A">
        <w:rPr>
          <w:rFonts w:ascii="Arial" w:hAnsi="Arial" w:cs="Arial"/>
          <w:color w:val="000000" w:themeColor="text1"/>
        </w:rPr>
        <w:t xml:space="preserve"> Igualmente, expone las condiciones para administrar los recursos del patrimonio autónomo, las obligaciones principales de la fiduciaria, el manejo de los excedentes, entre otros. </w:t>
      </w:r>
    </w:p>
    <w:p w14:paraId="653284C0" w14:textId="77777777" w:rsidR="00535540" w:rsidRPr="000F4A3A" w:rsidRDefault="00535540" w:rsidP="00565A2E">
      <w:pPr>
        <w:spacing w:before="120" w:line="276" w:lineRule="auto"/>
        <w:ind w:firstLine="709"/>
        <w:jc w:val="both"/>
        <w:rPr>
          <w:rFonts w:ascii="Arial" w:hAnsi="Arial" w:cs="Arial"/>
        </w:rPr>
      </w:pPr>
      <w:r w:rsidRPr="000F4A3A">
        <w:rPr>
          <w:rFonts w:ascii="Arial" w:hAnsi="Arial" w:cs="Arial"/>
          <w:bCs/>
          <w:color w:val="000000" w:themeColor="text1"/>
          <w:lang w:val="es-ES_tradnl"/>
        </w:rPr>
        <w:t xml:space="preserve">Es evidente entonces que para ciertos tipos de contratos la Ley ha impuesto la obligación al contratista de constituir una fiducia o patrimonio autónomo irrevocable. Esta obligación tiene el propósito de asegurar el buen manejo de los recursos que se entreguen a título de anticipo, así como garantizar que estos sean destinados única y exclusivamente para </w:t>
      </w:r>
      <w:r w:rsidRPr="000F4A3A">
        <w:rPr>
          <w:rFonts w:ascii="Arial" w:hAnsi="Arial" w:cs="Arial"/>
        </w:rPr>
        <w:t xml:space="preserve">solventar los costos iniciales de la ejecución, de acuerdo con las condiciones pactadas. </w:t>
      </w:r>
    </w:p>
    <w:p w14:paraId="11586807" w14:textId="3DCAE610" w:rsidR="00580DE0" w:rsidRPr="006336C3" w:rsidRDefault="004E6E95" w:rsidP="00580DE0">
      <w:pPr>
        <w:spacing w:before="120" w:line="276" w:lineRule="auto"/>
        <w:ind w:firstLine="709"/>
        <w:jc w:val="both"/>
        <w:rPr>
          <w:rFonts w:ascii="Arial" w:hAnsi="Arial" w:cs="Arial"/>
        </w:rPr>
      </w:pPr>
      <w:r w:rsidRPr="006336C3">
        <w:rPr>
          <w:rFonts w:ascii="Arial" w:hAnsi="Arial" w:cs="Arial"/>
        </w:rPr>
        <w:t>En ese sentido, es claro que e</w:t>
      </w:r>
      <w:r w:rsidR="00535540" w:rsidRPr="006336C3">
        <w:rPr>
          <w:rFonts w:ascii="Arial" w:hAnsi="Arial" w:cs="Arial"/>
        </w:rPr>
        <w:t xml:space="preserve">l artículo 91 de la Ley 1474 de 2011 determina el ámbito de aplicación, al enumerar los casos en los cuales es deber del contratista constituir un patrimonio autónomo o una fiducia para administrar los recursos del anticipo. Para tales efectos, se establecen los siguientes contratos: i) obra, ii) concesión, iii) salud y </w:t>
      </w:r>
      <w:proofErr w:type="spellStart"/>
      <w:r w:rsidR="00535540" w:rsidRPr="006336C3">
        <w:rPr>
          <w:rFonts w:ascii="Arial" w:hAnsi="Arial" w:cs="Arial"/>
        </w:rPr>
        <w:t>iv</w:t>
      </w:r>
      <w:proofErr w:type="spellEnd"/>
      <w:r w:rsidR="00535540" w:rsidRPr="006336C3">
        <w:rPr>
          <w:rFonts w:ascii="Arial" w:hAnsi="Arial" w:cs="Arial"/>
        </w:rPr>
        <w:t xml:space="preserve">) los contratos derivados de un proceso de licitación pública. </w:t>
      </w:r>
    </w:p>
    <w:p w14:paraId="63E2AF0D" w14:textId="707524AC" w:rsidR="00535540" w:rsidRPr="000F4A3A" w:rsidRDefault="00535540" w:rsidP="00565A2E">
      <w:pPr>
        <w:spacing w:before="120" w:line="276" w:lineRule="auto"/>
        <w:ind w:firstLine="709"/>
        <w:jc w:val="both"/>
        <w:rPr>
          <w:rFonts w:ascii="Arial" w:hAnsi="Arial" w:cs="Arial"/>
        </w:rPr>
      </w:pPr>
      <w:r w:rsidRPr="000F4A3A">
        <w:rPr>
          <w:rFonts w:ascii="Arial" w:hAnsi="Arial" w:cs="Arial"/>
        </w:rPr>
        <w:t xml:space="preserve">Aunque la norma menciona la modalidad de selección de licitación pública, también determina </w:t>
      </w:r>
      <w:r w:rsidR="00F45134" w:rsidRPr="4DB45523">
        <w:rPr>
          <w:rFonts w:ascii="Arial" w:hAnsi="Arial" w:cs="Arial"/>
        </w:rPr>
        <w:t xml:space="preserve">una excepción general </w:t>
      </w:r>
      <w:r w:rsidR="003B5772" w:rsidRPr="4DB45523">
        <w:rPr>
          <w:rFonts w:ascii="Arial" w:hAnsi="Arial" w:cs="Arial"/>
        </w:rPr>
        <w:t xml:space="preserve">de su aplicación </w:t>
      </w:r>
      <w:r w:rsidR="00F45134" w:rsidRPr="4DB45523">
        <w:rPr>
          <w:rFonts w:ascii="Arial" w:hAnsi="Arial" w:cs="Arial"/>
        </w:rPr>
        <w:t xml:space="preserve">para </w:t>
      </w:r>
      <w:r w:rsidRPr="000F4A3A">
        <w:rPr>
          <w:rFonts w:ascii="Arial" w:hAnsi="Arial" w:cs="Arial"/>
        </w:rPr>
        <w:t xml:space="preserve">los </w:t>
      </w:r>
      <w:r w:rsidR="6D822F6B" w:rsidRPr="4DB45523">
        <w:rPr>
          <w:rFonts w:ascii="Arial" w:hAnsi="Arial" w:cs="Arial"/>
        </w:rPr>
        <w:t>tipos</w:t>
      </w:r>
      <w:r w:rsidR="009E77E6" w:rsidRPr="4DB45523">
        <w:rPr>
          <w:rFonts w:ascii="Arial" w:hAnsi="Arial" w:cs="Arial"/>
        </w:rPr>
        <w:t xml:space="preserve"> de</w:t>
      </w:r>
      <w:r w:rsidR="003B5772" w:rsidRPr="4DB45523">
        <w:rPr>
          <w:rFonts w:ascii="Arial" w:hAnsi="Arial" w:cs="Arial"/>
        </w:rPr>
        <w:t xml:space="preserve"> </w:t>
      </w:r>
      <w:r w:rsidRPr="000F4A3A">
        <w:rPr>
          <w:rFonts w:ascii="Arial" w:hAnsi="Arial" w:cs="Arial"/>
        </w:rPr>
        <w:t xml:space="preserve">contratos </w:t>
      </w:r>
      <w:r w:rsidR="009E77E6" w:rsidRPr="4DB45523">
        <w:rPr>
          <w:rFonts w:ascii="Arial" w:hAnsi="Arial" w:cs="Arial"/>
        </w:rPr>
        <w:t>cuya</w:t>
      </w:r>
      <w:r w:rsidRPr="000F4A3A">
        <w:rPr>
          <w:rFonts w:ascii="Arial" w:hAnsi="Arial" w:cs="Arial"/>
        </w:rPr>
        <w:t xml:space="preserve"> disposición </w:t>
      </w:r>
      <w:r w:rsidR="009E77E6" w:rsidRPr="4DB45523">
        <w:rPr>
          <w:rFonts w:ascii="Arial" w:hAnsi="Arial" w:cs="Arial"/>
        </w:rPr>
        <w:t>resulta obligatoria</w:t>
      </w:r>
      <w:r w:rsidRPr="4DB45523">
        <w:rPr>
          <w:rFonts w:ascii="Arial" w:hAnsi="Arial" w:cs="Arial"/>
        </w:rPr>
        <w:t>.</w:t>
      </w:r>
      <w:r w:rsidRPr="000F4A3A">
        <w:rPr>
          <w:rFonts w:ascii="Arial" w:hAnsi="Arial" w:cs="Arial"/>
        </w:rPr>
        <w:t xml:space="preserve"> Ello es así, por cuanto la expresión </w:t>
      </w:r>
      <w:r w:rsidRPr="000F4A3A">
        <w:rPr>
          <w:rFonts w:ascii="Arial" w:hAnsi="Arial" w:cs="Arial"/>
          <w:color w:val="000000" w:themeColor="text1"/>
        </w:rPr>
        <w:t>«</w:t>
      </w:r>
      <w:r w:rsidR="00F45134" w:rsidRPr="4DB45523">
        <w:rPr>
          <w:rFonts w:ascii="Arial" w:hAnsi="Arial" w:cs="Arial"/>
          <w:i/>
          <w:iCs/>
          <w:sz w:val="21"/>
          <w:szCs w:val="21"/>
        </w:rPr>
        <w:t>salvo que el contrato sea de menor o mínima cuantía</w:t>
      </w:r>
      <w:r w:rsidRPr="4DB45523">
        <w:rPr>
          <w:rFonts w:ascii="Arial" w:hAnsi="Arial" w:cs="Arial"/>
          <w:color w:val="000000" w:themeColor="text1"/>
        </w:rPr>
        <w:t xml:space="preserve">», describe que, </w:t>
      </w:r>
      <w:r w:rsidR="00F45134" w:rsidRPr="4DB45523">
        <w:rPr>
          <w:rFonts w:ascii="Arial" w:hAnsi="Arial" w:cs="Arial"/>
          <w:color w:val="000000" w:themeColor="text1"/>
        </w:rPr>
        <w:t>a pesar de las enunciaciones anteriores</w:t>
      </w:r>
      <w:r w:rsidRPr="4DB45523">
        <w:rPr>
          <w:rFonts w:ascii="Arial" w:hAnsi="Arial" w:cs="Arial"/>
          <w:color w:val="000000" w:themeColor="text1"/>
        </w:rPr>
        <w:t xml:space="preserve">, </w:t>
      </w:r>
      <w:r w:rsidR="00F45134" w:rsidRPr="4DB45523">
        <w:rPr>
          <w:rFonts w:ascii="Arial" w:hAnsi="Arial" w:cs="Arial"/>
          <w:color w:val="000000" w:themeColor="text1"/>
        </w:rPr>
        <w:t>dicha disposición imperativa no</w:t>
      </w:r>
      <w:r w:rsidRPr="4DB45523">
        <w:rPr>
          <w:rFonts w:ascii="Arial" w:hAnsi="Arial" w:cs="Arial"/>
          <w:color w:val="000000" w:themeColor="text1"/>
        </w:rPr>
        <w:t xml:space="preserve"> aplica </w:t>
      </w:r>
      <w:r w:rsidR="00A04E4D" w:rsidRPr="4DB45523">
        <w:rPr>
          <w:rFonts w:ascii="Arial" w:hAnsi="Arial" w:cs="Arial"/>
          <w:color w:val="000000" w:themeColor="text1"/>
        </w:rPr>
        <w:t xml:space="preserve">en </w:t>
      </w:r>
      <w:r w:rsidRPr="4DB45523">
        <w:rPr>
          <w:rFonts w:ascii="Arial" w:hAnsi="Arial" w:cs="Arial"/>
          <w:color w:val="000000" w:themeColor="text1"/>
        </w:rPr>
        <w:t>el supuesto de hecho</w:t>
      </w:r>
      <w:r w:rsidR="00A04E4D" w:rsidRPr="4DB45523">
        <w:rPr>
          <w:rFonts w:ascii="Arial" w:hAnsi="Arial" w:cs="Arial"/>
          <w:color w:val="000000" w:themeColor="text1"/>
        </w:rPr>
        <w:t xml:space="preserve"> de que la cuantía del contrato </w:t>
      </w:r>
      <w:r w:rsidR="00431899" w:rsidRPr="4DB45523">
        <w:rPr>
          <w:rFonts w:ascii="Arial" w:hAnsi="Arial" w:cs="Arial"/>
          <w:color w:val="000000" w:themeColor="text1"/>
        </w:rPr>
        <w:t>no resulte ser de mayor cuantía</w:t>
      </w:r>
      <w:r w:rsidRPr="4DB45523">
        <w:rPr>
          <w:rFonts w:ascii="Arial" w:hAnsi="Arial" w:cs="Arial"/>
          <w:color w:val="000000" w:themeColor="text1"/>
        </w:rPr>
        <w:t xml:space="preserve">. </w:t>
      </w:r>
    </w:p>
    <w:p w14:paraId="1CD3F6CB" w14:textId="414DE6E7" w:rsidR="00580DE0" w:rsidRPr="006336C3" w:rsidRDefault="00580DE0" w:rsidP="00580DE0">
      <w:pPr>
        <w:spacing w:line="276" w:lineRule="auto"/>
        <w:ind w:firstLine="709"/>
        <w:jc w:val="both"/>
        <w:rPr>
          <w:rFonts w:ascii="Arial" w:hAnsi="Arial" w:cs="Arial"/>
        </w:rPr>
      </w:pPr>
      <w:r w:rsidRPr="006336C3">
        <w:rPr>
          <w:rFonts w:ascii="Arial" w:hAnsi="Arial" w:cs="Arial"/>
        </w:rPr>
        <w:t xml:space="preserve">Teniendo en cuenta las consideraciones desarrolladas en relación con </w:t>
      </w:r>
      <w:r w:rsidR="008C7CAB" w:rsidRPr="006336C3">
        <w:rPr>
          <w:rFonts w:ascii="Arial" w:hAnsi="Arial" w:cs="Arial"/>
        </w:rPr>
        <w:t>la obligación de constituir una fiducia o un patrimonio autónomo irrevocable para el manejo de los recursos que reciba a título de anticipo</w:t>
      </w:r>
      <w:r w:rsidRPr="006336C3">
        <w:rPr>
          <w:rFonts w:ascii="Arial" w:hAnsi="Arial" w:cs="Arial"/>
        </w:rPr>
        <w:t xml:space="preserve">, en relación la pregunta planteada en </w:t>
      </w:r>
      <w:r w:rsidR="008C7CAB" w:rsidRPr="006336C3">
        <w:rPr>
          <w:rFonts w:ascii="Arial" w:hAnsi="Arial" w:cs="Arial"/>
        </w:rPr>
        <w:t>su</w:t>
      </w:r>
      <w:r w:rsidRPr="006336C3">
        <w:rPr>
          <w:rFonts w:ascii="Arial" w:hAnsi="Arial" w:cs="Arial"/>
        </w:rPr>
        <w:t xml:space="preserve"> solicitud es pertinente mencionar que la Agencia Nacional de Contratación Pública – Colombia Compra Eficiente en</w:t>
      </w:r>
      <w:r w:rsidR="00BC044D" w:rsidRPr="006336C3">
        <w:rPr>
          <w:rFonts w:ascii="Arial" w:hAnsi="Arial" w:cs="Arial"/>
        </w:rPr>
        <w:t xml:space="preserve"> los conceptos </w:t>
      </w:r>
      <w:r w:rsidRPr="006336C3">
        <w:rPr>
          <w:rFonts w:ascii="Arial" w:hAnsi="Arial" w:cs="Arial"/>
        </w:rPr>
        <w:t>C-049 del 21 de febrero de 2020, C-209 del 16 de marzo de 2020, C-693 del 25 de noviembre de 2020, C-154 del 18 de mayo de 2021</w:t>
      </w:r>
      <w:r w:rsidR="00BC044D" w:rsidRPr="006336C3">
        <w:rPr>
          <w:rFonts w:ascii="Arial" w:hAnsi="Arial" w:cs="Arial"/>
        </w:rPr>
        <w:t xml:space="preserve"> y</w:t>
      </w:r>
      <w:r w:rsidRPr="006336C3">
        <w:rPr>
          <w:rFonts w:ascii="Arial" w:hAnsi="Arial" w:cs="Arial"/>
        </w:rPr>
        <w:t xml:space="preserve"> C-825 del 28 de diciembre de 2022, sobre la</w:t>
      </w:r>
      <w:r w:rsidR="00BC044D" w:rsidRPr="006336C3">
        <w:rPr>
          <w:rFonts w:ascii="Arial" w:hAnsi="Arial" w:cs="Arial"/>
        </w:rPr>
        <w:t xml:space="preserve"> expresión  </w:t>
      </w:r>
      <w:r w:rsidR="00BC044D" w:rsidRPr="006336C3">
        <w:rPr>
          <w:rFonts w:ascii="Arial" w:hAnsi="Arial" w:cs="Arial"/>
          <w:color w:val="000000" w:themeColor="text1"/>
        </w:rPr>
        <w:t>«</w:t>
      </w:r>
      <w:r w:rsidR="00BC044D" w:rsidRPr="006336C3">
        <w:rPr>
          <w:rFonts w:ascii="Arial" w:hAnsi="Arial" w:cs="Arial"/>
          <w:i/>
          <w:iCs/>
          <w:sz w:val="21"/>
          <w:szCs w:val="21"/>
        </w:rPr>
        <w:t>salvo que el contrato sea de menor o mínima cuantía</w:t>
      </w:r>
      <w:r w:rsidR="00BC044D" w:rsidRPr="006336C3">
        <w:rPr>
          <w:rFonts w:ascii="Arial" w:hAnsi="Arial" w:cs="Arial"/>
          <w:color w:val="000000" w:themeColor="text1"/>
        </w:rPr>
        <w:t xml:space="preserve">» contenida en la parte final del artículo </w:t>
      </w:r>
      <w:r w:rsidR="00BC044D" w:rsidRPr="006336C3">
        <w:rPr>
          <w:rFonts w:ascii="Arial" w:hAnsi="Arial" w:cs="Arial"/>
        </w:rPr>
        <w:t>91 de la Ley 1474 de 2011</w:t>
      </w:r>
      <w:r w:rsidR="00BC044D" w:rsidRPr="006336C3">
        <w:rPr>
          <w:rFonts w:ascii="Arial" w:hAnsi="Arial" w:cs="Arial"/>
          <w:color w:val="000000" w:themeColor="text1"/>
        </w:rPr>
        <w:t xml:space="preserve">, </w:t>
      </w:r>
      <w:r w:rsidRPr="006336C3">
        <w:rPr>
          <w:rFonts w:ascii="Arial" w:hAnsi="Arial" w:cs="Arial"/>
        </w:rPr>
        <w:t xml:space="preserve">se </w:t>
      </w:r>
      <w:r w:rsidR="00C107F8" w:rsidRPr="006336C3">
        <w:rPr>
          <w:rFonts w:ascii="Arial" w:hAnsi="Arial" w:cs="Arial"/>
        </w:rPr>
        <w:t xml:space="preserve">ha </w:t>
      </w:r>
      <w:r w:rsidRPr="006336C3">
        <w:rPr>
          <w:rFonts w:ascii="Arial" w:hAnsi="Arial" w:cs="Arial"/>
        </w:rPr>
        <w:t>pronunci</w:t>
      </w:r>
      <w:r w:rsidR="00C107F8" w:rsidRPr="006336C3">
        <w:rPr>
          <w:rFonts w:ascii="Arial" w:hAnsi="Arial" w:cs="Arial"/>
        </w:rPr>
        <w:t>ado</w:t>
      </w:r>
      <w:r w:rsidRPr="006336C3">
        <w:rPr>
          <w:rFonts w:ascii="Arial" w:hAnsi="Arial" w:cs="Arial"/>
        </w:rPr>
        <w:t xml:space="preserve"> en los siguientes términos:</w:t>
      </w:r>
    </w:p>
    <w:p w14:paraId="08A60DEB" w14:textId="1854ED3E" w:rsidR="00580DE0" w:rsidRPr="006336C3" w:rsidRDefault="00580DE0" w:rsidP="00E1090A">
      <w:pPr>
        <w:spacing w:after="120" w:line="240" w:lineRule="auto"/>
        <w:ind w:left="709" w:right="709"/>
        <w:jc w:val="both"/>
        <w:rPr>
          <w:rFonts w:ascii="Arial" w:hAnsi="Arial" w:cs="Arial"/>
          <w:sz w:val="21"/>
          <w:szCs w:val="21"/>
        </w:rPr>
      </w:pPr>
      <w:r w:rsidRPr="006336C3">
        <w:rPr>
          <w:rFonts w:ascii="Arial" w:hAnsi="Arial" w:cs="Arial"/>
          <w:sz w:val="21"/>
          <w:szCs w:val="21"/>
        </w:rPr>
        <w:t>«</w:t>
      </w:r>
      <w:r w:rsidR="00E1090A" w:rsidRPr="006336C3">
        <w:rPr>
          <w:rStyle w:val="normaltextrun"/>
          <w:rFonts w:ascii="Arial" w:hAnsi="Arial" w:cs="Arial"/>
          <w:sz w:val="21"/>
          <w:szCs w:val="21"/>
          <w:lang w:val="es-MX"/>
        </w:rPr>
        <w:t xml:space="preserve">La mencionada obligación se aplica a los contratos de obra, concesión, salud, o los que se realicen por licitación pública, </w:t>
      </w:r>
      <w:r w:rsidR="00E1090A" w:rsidRPr="006336C3">
        <w:rPr>
          <w:rStyle w:val="normaltextrun"/>
          <w:rFonts w:ascii="Arial" w:hAnsi="Arial" w:cs="Arial"/>
          <w:i/>
          <w:iCs/>
          <w:sz w:val="21"/>
          <w:szCs w:val="21"/>
          <w:lang w:val="es-MX"/>
        </w:rPr>
        <w:t>salvo que los mismos</w:t>
      </w:r>
      <w:r w:rsidR="00E1090A" w:rsidRPr="006336C3">
        <w:rPr>
          <w:rStyle w:val="normaltextrun"/>
          <w:rFonts w:ascii="Arial" w:hAnsi="Arial" w:cs="Arial"/>
          <w:sz w:val="21"/>
          <w:szCs w:val="21"/>
          <w:lang w:val="es-MX"/>
        </w:rPr>
        <w:t xml:space="preserve"> sean de menor o mínima cuantía.</w:t>
      </w:r>
      <w:r w:rsidRPr="006336C3">
        <w:rPr>
          <w:rFonts w:ascii="Arial" w:hAnsi="Arial" w:cs="Arial"/>
          <w:sz w:val="21"/>
          <w:szCs w:val="21"/>
        </w:rPr>
        <w:t>»</w:t>
      </w:r>
      <w:r w:rsidR="00E1090A" w:rsidRPr="006336C3">
        <w:rPr>
          <w:rFonts w:ascii="Arial" w:hAnsi="Arial" w:cs="Arial"/>
          <w:sz w:val="21"/>
          <w:szCs w:val="21"/>
        </w:rPr>
        <w:t xml:space="preserve"> </w:t>
      </w:r>
      <w:r w:rsidR="00E1090A" w:rsidRPr="006336C3">
        <w:rPr>
          <w:rFonts w:ascii="Arial" w:hAnsi="Arial" w:cs="Arial"/>
          <w:sz w:val="21"/>
          <w:szCs w:val="21"/>
          <w:lang w:val="es-ES_tradnl"/>
        </w:rPr>
        <w:t>[Énfasis fuera de texto]</w:t>
      </w:r>
      <w:r w:rsidRPr="006336C3">
        <w:rPr>
          <w:rFonts w:ascii="Arial" w:hAnsi="Arial" w:cs="Arial"/>
          <w:sz w:val="21"/>
          <w:szCs w:val="21"/>
        </w:rPr>
        <w:t>.</w:t>
      </w:r>
    </w:p>
    <w:p w14:paraId="6570A6D8" w14:textId="367E6E0C" w:rsidR="00580DE0" w:rsidRPr="006336C3" w:rsidRDefault="00580DE0" w:rsidP="00592710">
      <w:pPr>
        <w:spacing w:line="276" w:lineRule="auto"/>
        <w:ind w:firstLine="708"/>
        <w:jc w:val="both"/>
        <w:rPr>
          <w:rFonts w:ascii="Arial" w:hAnsi="Arial" w:cs="Arial"/>
          <w:color w:val="000000" w:themeColor="text1"/>
        </w:rPr>
      </w:pPr>
      <w:r w:rsidRPr="006336C3">
        <w:rPr>
          <w:rFonts w:ascii="Arial" w:hAnsi="Arial" w:cs="Arial"/>
        </w:rPr>
        <w:t xml:space="preserve">De </w:t>
      </w:r>
      <w:r w:rsidR="00592710" w:rsidRPr="006336C3">
        <w:rPr>
          <w:rFonts w:ascii="Arial" w:hAnsi="Arial" w:cs="Arial"/>
        </w:rPr>
        <w:t xml:space="preserve">igual forma, </w:t>
      </w:r>
      <w:r w:rsidRPr="006336C3">
        <w:rPr>
          <w:rFonts w:ascii="Arial" w:hAnsi="Arial" w:cs="Arial"/>
        </w:rPr>
        <w:t xml:space="preserve">la postura adoptada </w:t>
      </w:r>
      <w:r w:rsidR="001878BB" w:rsidRPr="006336C3">
        <w:rPr>
          <w:rFonts w:ascii="Arial" w:hAnsi="Arial" w:cs="Arial"/>
        </w:rPr>
        <w:t xml:space="preserve">en los conceptos emitidos </w:t>
      </w:r>
      <w:r w:rsidRPr="006336C3">
        <w:rPr>
          <w:rFonts w:ascii="Arial" w:hAnsi="Arial" w:cs="Arial"/>
        </w:rPr>
        <w:t xml:space="preserve">por esta Agencia en relación con la </w:t>
      </w:r>
      <w:r w:rsidR="001F7ECB" w:rsidRPr="006336C3">
        <w:rPr>
          <w:rFonts w:ascii="Arial" w:hAnsi="Arial" w:cs="Arial"/>
        </w:rPr>
        <w:t>pregunta</w:t>
      </w:r>
      <w:r w:rsidR="00592710" w:rsidRPr="006336C3">
        <w:rPr>
          <w:rFonts w:ascii="Arial" w:hAnsi="Arial" w:cs="Arial"/>
        </w:rPr>
        <w:t xml:space="preserve"> </w:t>
      </w:r>
      <w:r w:rsidR="00764003" w:rsidRPr="006336C3">
        <w:rPr>
          <w:rFonts w:ascii="Arial" w:hAnsi="Arial" w:cs="Arial"/>
        </w:rPr>
        <w:t>es la misma que contiene</w:t>
      </w:r>
      <w:r w:rsidR="00592710" w:rsidRPr="006336C3">
        <w:rPr>
          <w:rFonts w:ascii="Arial" w:hAnsi="Arial" w:cs="Arial"/>
        </w:rPr>
        <w:t xml:space="preserve"> la </w:t>
      </w:r>
      <w:r w:rsidR="00592710" w:rsidRPr="006336C3">
        <w:rPr>
          <w:rFonts w:ascii="Arial" w:hAnsi="Arial" w:cs="Arial"/>
          <w:sz w:val="21"/>
          <w:szCs w:val="21"/>
        </w:rPr>
        <w:t>«</w:t>
      </w:r>
      <w:r w:rsidR="00592710" w:rsidRPr="006336C3">
        <w:rPr>
          <w:rFonts w:ascii="Arial" w:hAnsi="Arial" w:cs="Arial"/>
          <w:bCs/>
          <w:i/>
          <w:iCs/>
          <w:color w:val="000000" w:themeColor="text1"/>
          <w:lang w:val="es-ES_tradnl"/>
        </w:rPr>
        <w:t>Guía para el manejo de anticipos mediante contrato de fiducia irrevocable</w:t>
      </w:r>
      <w:r w:rsidR="00592710" w:rsidRPr="006336C3">
        <w:rPr>
          <w:rFonts w:ascii="Arial" w:hAnsi="Arial" w:cs="Arial"/>
          <w:i/>
          <w:iCs/>
          <w:color w:val="000000" w:themeColor="text1"/>
        </w:rPr>
        <w:t>»</w:t>
      </w:r>
      <w:r w:rsidR="006733D5" w:rsidRPr="006336C3">
        <w:rPr>
          <w:rFonts w:ascii="Arial" w:hAnsi="Arial" w:cs="Arial"/>
          <w:i/>
          <w:iCs/>
          <w:color w:val="000000" w:themeColor="text1"/>
        </w:rPr>
        <w:t xml:space="preserve">, </w:t>
      </w:r>
      <w:r w:rsidR="001F7ECB" w:rsidRPr="006336C3">
        <w:rPr>
          <w:rFonts w:ascii="Arial" w:hAnsi="Arial" w:cs="Arial"/>
          <w:color w:val="000000" w:themeColor="text1"/>
        </w:rPr>
        <w:t xml:space="preserve">al </w:t>
      </w:r>
      <w:r w:rsidR="00592710" w:rsidRPr="006336C3">
        <w:rPr>
          <w:rFonts w:ascii="Arial" w:hAnsi="Arial" w:cs="Arial"/>
          <w:color w:val="000000" w:themeColor="text1"/>
        </w:rPr>
        <w:t>indica</w:t>
      </w:r>
      <w:r w:rsidR="001F7ECB" w:rsidRPr="006336C3">
        <w:rPr>
          <w:rFonts w:ascii="Arial" w:hAnsi="Arial" w:cs="Arial"/>
          <w:color w:val="000000" w:themeColor="text1"/>
        </w:rPr>
        <w:t>r</w:t>
      </w:r>
      <w:r w:rsidR="00592710" w:rsidRPr="006336C3">
        <w:rPr>
          <w:rFonts w:ascii="Arial" w:hAnsi="Arial" w:cs="Arial"/>
          <w:color w:val="000000" w:themeColor="text1"/>
        </w:rPr>
        <w:t xml:space="preserve"> que, el contratista debe constituir un contrato de fiducia mercantil irrevocable para el manejo de los recursos que recibe a título de anticipo en «los contratos de obra, concesión, salud y los que se realicen por licitación pública y </w:t>
      </w:r>
      <w:r w:rsidR="00592710" w:rsidRPr="006336C3">
        <w:rPr>
          <w:rFonts w:ascii="Arial" w:hAnsi="Arial" w:cs="Arial"/>
          <w:i/>
          <w:iCs/>
          <w:color w:val="000000" w:themeColor="text1"/>
        </w:rPr>
        <w:t xml:space="preserve">siempre que </w:t>
      </w:r>
      <w:r w:rsidR="00592710" w:rsidRPr="006336C3">
        <w:rPr>
          <w:rFonts w:ascii="Arial" w:hAnsi="Arial" w:cs="Arial"/>
          <w:color w:val="000000" w:themeColor="text1"/>
        </w:rPr>
        <w:t>no sean de menor o mínima cuantía</w:t>
      </w:r>
      <w:r w:rsidR="00592710" w:rsidRPr="006336C3">
        <w:rPr>
          <w:rFonts w:ascii="Arial" w:hAnsi="Arial" w:cs="Arial"/>
          <w:i/>
          <w:iCs/>
          <w:color w:val="000000" w:themeColor="text1"/>
        </w:rPr>
        <w:t xml:space="preserve">» </w:t>
      </w:r>
      <w:r w:rsidR="00592710" w:rsidRPr="006336C3">
        <w:rPr>
          <w:rFonts w:ascii="Arial" w:hAnsi="Arial" w:cs="Arial"/>
          <w:lang w:val="es-ES_tradnl"/>
        </w:rPr>
        <w:t>[Énfasis fuera de texto]</w:t>
      </w:r>
      <w:r w:rsidR="00592710" w:rsidRPr="006336C3">
        <w:rPr>
          <w:rFonts w:ascii="Arial" w:hAnsi="Arial" w:cs="Arial"/>
          <w:color w:val="000000" w:themeColor="text1"/>
        </w:rPr>
        <w:t>.</w:t>
      </w:r>
    </w:p>
    <w:p w14:paraId="7C9EBEAE" w14:textId="0BA30A84" w:rsidR="001F7ECB" w:rsidRPr="006336C3" w:rsidRDefault="00186BB9" w:rsidP="001F7ECB">
      <w:pPr>
        <w:spacing w:before="120" w:line="276" w:lineRule="auto"/>
        <w:ind w:firstLine="709"/>
        <w:jc w:val="both"/>
        <w:rPr>
          <w:rFonts w:ascii="Arial" w:hAnsi="Arial" w:cs="Arial"/>
          <w:color w:val="000000" w:themeColor="text1"/>
        </w:rPr>
      </w:pPr>
      <w:r w:rsidRPr="006336C3">
        <w:rPr>
          <w:rFonts w:ascii="Arial" w:hAnsi="Arial" w:cs="Arial"/>
        </w:rPr>
        <w:t xml:space="preserve">Ahora bien, el artículo 26 </w:t>
      </w:r>
      <w:r w:rsidR="00951233" w:rsidRPr="006336C3">
        <w:rPr>
          <w:rFonts w:ascii="Arial" w:hAnsi="Arial" w:cs="Arial"/>
        </w:rPr>
        <w:t xml:space="preserve">y siguientes </w:t>
      </w:r>
      <w:r w:rsidRPr="006336C3">
        <w:rPr>
          <w:rFonts w:ascii="Arial" w:hAnsi="Arial" w:cs="Arial"/>
        </w:rPr>
        <w:t xml:space="preserve">del Código Civil contiene </w:t>
      </w:r>
      <w:r w:rsidR="00951233" w:rsidRPr="006336C3">
        <w:rPr>
          <w:rFonts w:ascii="Arial" w:hAnsi="Arial" w:cs="Arial"/>
        </w:rPr>
        <w:t xml:space="preserve">las reglas de interpretación que deben observar los jueces y los funcionarios </w:t>
      </w:r>
      <w:r w:rsidR="001F7ECB" w:rsidRPr="006336C3">
        <w:rPr>
          <w:rFonts w:ascii="Arial" w:hAnsi="Arial" w:cs="Arial"/>
        </w:rPr>
        <w:t xml:space="preserve">públicos, en la aplicación de las leyes </w:t>
      </w:r>
      <w:r w:rsidR="00A07581" w:rsidRPr="006336C3">
        <w:rPr>
          <w:rFonts w:ascii="Arial" w:hAnsi="Arial" w:cs="Arial"/>
        </w:rPr>
        <w:t xml:space="preserve">con el fin de aplicar </w:t>
      </w:r>
      <w:r w:rsidR="001F7ECB" w:rsidRPr="006336C3">
        <w:rPr>
          <w:rFonts w:ascii="Arial" w:hAnsi="Arial" w:cs="Arial"/>
        </w:rPr>
        <w:t xml:space="preserve">su verdadero sentido, </w:t>
      </w:r>
      <w:r w:rsidR="00A07581" w:rsidRPr="006336C3">
        <w:rPr>
          <w:rFonts w:ascii="Arial" w:hAnsi="Arial" w:cs="Arial"/>
        </w:rPr>
        <w:t>denomi</w:t>
      </w:r>
      <w:r w:rsidR="00563F50" w:rsidRPr="006336C3">
        <w:rPr>
          <w:rFonts w:ascii="Arial" w:hAnsi="Arial" w:cs="Arial"/>
        </w:rPr>
        <w:t xml:space="preserve">nada </w:t>
      </w:r>
      <w:r w:rsidR="00563F50" w:rsidRPr="006336C3">
        <w:rPr>
          <w:rFonts w:ascii="Arial" w:hAnsi="Arial" w:cs="Arial"/>
          <w:sz w:val="21"/>
          <w:szCs w:val="21"/>
        </w:rPr>
        <w:t>«</w:t>
      </w:r>
      <w:r w:rsidR="001F7ECB" w:rsidRPr="006336C3">
        <w:rPr>
          <w:rFonts w:ascii="Arial" w:hAnsi="Arial" w:cs="Arial"/>
        </w:rPr>
        <w:t>interpretación por vía de doctrina</w:t>
      </w:r>
      <w:r w:rsidR="00563F50" w:rsidRPr="006336C3">
        <w:rPr>
          <w:rFonts w:ascii="Arial" w:hAnsi="Arial" w:cs="Arial"/>
          <w:color w:val="000000" w:themeColor="text1"/>
        </w:rPr>
        <w:t>»</w:t>
      </w:r>
      <w:r w:rsidR="00D83255" w:rsidRPr="006336C3">
        <w:rPr>
          <w:rStyle w:val="Refdenotaalpie"/>
          <w:rFonts w:ascii="Arial" w:hAnsi="Arial" w:cs="Arial"/>
          <w:color w:val="000000" w:themeColor="text1"/>
        </w:rPr>
        <w:footnoteReference w:id="15"/>
      </w:r>
      <w:r w:rsidR="00D83255" w:rsidRPr="006336C3">
        <w:rPr>
          <w:rFonts w:ascii="Arial" w:hAnsi="Arial" w:cs="Arial"/>
          <w:color w:val="000000" w:themeColor="text1"/>
        </w:rPr>
        <w:t>. La</w:t>
      </w:r>
      <w:r w:rsidR="006A1B75" w:rsidRPr="006336C3">
        <w:rPr>
          <w:rFonts w:ascii="Arial" w:hAnsi="Arial" w:cs="Arial"/>
          <w:color w:val="000000" w:themeColor="text1"/>
        </w:rPr>
        <w:t>s</w:t>
      </w:r>
      <w:r w:rsidR="00D83255" w:rsidRPr="006336C3">
        <w:rPr>
          <w:rFonts w:ascii="Arial" w:hAnsi="Arial" w:cs="Arial"/>
          <w:color w:val="000000" w:themeColor="text1"/>
        </w:rPr>
        <w:t xml:space="preserve"> primera</w:t>
      </w:r>
      <w:r w:rsidR="006A1B75" w:rsidRPr="006336C3">
        <w:rPr>
          <w:rFonts w:ascii="Arial" w:hAnsi="Arial" w:cs="Arial"/>
          <w:color w:val="000000" w:themeColor="text1"/>
        </w:rPr>
        <w:t>s dos</w:t>
      </w:r>
      <w:r w:rsidR="00D83255" w:rsidRPr="006336C3">
        <w:rPr>
          <w:rFonts w:ascii="Arial" w:hAnsi="Arial" w:cs="Arial"/>
          <w:color w:val="000000" w:themeColor="text1"/>
        </w:rPr>
        <w:t xml:space="preserve"> regla</w:t>
      </w:r>
      <w:r w:rsidR="006A1B75" w:rsidRPr="006336C3">
        <w:rPr>
          <w:rFonts w:ascii="Arial" w:hAnsi="Arial" w:cs="Arial"/>
          <w:color w:val="000000" w:themeColor="text1"/>
        </w:rPr>
        <w:t xml:space="preserve">s de interpretación </w:t>
      </w:r>
      <w:r w:rsidR="00033897" w:rsidRPr="006336C3">
        <w:rPr>
          <w:rFonts w:ascii="Arial" w:hAnsi="Arial" w:cs="Arial"/>
          <w:color w:val="000000" w:themeColor="text1"/>
        </w:rPr>
        <w:t>incorporadas</w:t>
      </w:r>
      <w:r w:rsidR="006A1B75" w:rsidRPr="006336C3">
        <w:rPr>
          <w:rFonts w:ascii="Arial" w:hAnsi="Arial" w:cs="Arial"/>
          <w:color w:val="000000" w:themeColor="text1"/>
        </w:rPr>
        <w:t xml:space="preserve"> son las siguientes</w:t>
      </w:r>
      <w:r w:rsidR="00F74A1C" w:rsidRPr="006336C3">
        <w:rPr>
          <w:rFonts w:ascii="Arial" w:hAnsi="Arial" w:cs="Arial"/>
          <w:color w:val="000000" w:themeColor="text1"/>
        </w:rPr>
        <w:t>:</w:t>
      </w:r>
    </w:p>
    <w:p w14:paraId="7314906B" w14:textId="37915C12" w:rsidR="001F7ECB" w:rsidRPr="006336C3" w:rsidRDefault="006A1B75" w:rsidP="006A1B75">
      <w:pPr>
        <w:spacing w:before="120" w:line="240" w:lineRule="auto"/>
        <w:ind w:left="709" w:right="709"/>
        <w:jc w:val="both"/>
        <w:rPr>
          <w:rFonts w:ascii="Arial" w:hAnsi="Arial" w:cs="Arial"/>
          <w:sz w:val="21"/>
          <w:szCs w:val="21"/>
        </w:rPr>
      </w:pPr>
      <w:r w:rsidRPr="006336C3">
        <w:rPr>
          <w:rFonts w:ascii="Arial" w:hAnsi="Arial" w:cs="Arial"/>
          <w:sz w:val="21"/>
          <w:szCs w:val="21"/>
        </w:rPr>
        <w:t>«</w:t>
      </w:r>
      <w:r w:rsidR="001F7ECB" w:rsidRPr="006336C3">
        <w:rPr>
          <w:rFonts w:ascii="Arial" w:hAnsi="Arial" w:cs="Arial"/>
          <w:sz w:val="21"/>
          <w:szCs w:val="21"/>
        </w:rPr>
        <w:t>ARTICULO 27. &lt;INTERPRETACION GRAMATICAL&gt;. Cuando el sentido de la ley sea claro, no se desatenderá su tenor literal a pretexto de consultar su espíritu.</w:t>
      </w:r>
    </w:p>
    <w:p w14:paraId="7E408147" w14:textId="77777777" w:rsidR="001F7ECB" w:rsidRPr="006336C3" w:rsidRDefault="001F7ECB" w:rsidP="006A1B75">
      <w:pPr>
        <w:spacing w:before="120" w:line="240" w:lineRule="auto"/>
        <w:ind w:left="709" w:right="709"/>
        <w:jc w:val="both"/>
        <w:rPr>
          <w:rFonts w:ascii="Arial" w:hAnsi="Arial" w:cs="Arial"/>
          <w:sz w:val="21"/>
          <w:szCs w:val="21"/>
        </w:rPr>
      </w:pPr>
      <w:r w:rsidRPr="006336C3">
        <w:rPr>
          <w:rFonts w:ascii="Arial" w:hAnsi="Arial" w:cs="Arial"/>
          <w:sz w:val="21"/>
          <w:szCs w:val="21"/>
        </w:rPr>
        <w:t>Pero bien se puede, para interpretar una expresión oscura de la ley, recurrir a su intención o espíritu, claramente manifestados en ella misma o en la historia fidedigna de su establecimiento.</w:t>
      </w:r>
    </w:p>
    <w:p w14:paraId="7399E6FE" w14:textId="398136D3" w:rsidR="001F7ECB" w:rsidRPr="006336C3" w:rsidRDefault="001F7ECB" w:rsidP="006A1B75">
      <w:pPr>
        <w:spacing w:before="120" w:line="240" w:lineRule="auto"/>
        <w:ind w:left="709" w:right="709"/>
        <w:jc w:val="both"/>
        <w:rPr>
          <w:rFonts w:ascii="Arial" w:hAnsi="Arial" w:cs="Arial"/>
          <w:sz w:val="21"/>
          <w:szCs w:val="21"/>
        </w:rPr>
      </w:pPr>
      <w:r w:rsidRPr="006336C3">
        <w:rPr>
          <w:rFonts w:ascii="Arial" w:hAnsi="Arial" w:cs="Arial"/>
          <w:sz w:val="21"/>
          <w:szCs w:val="21"/>
        </w:rPr>
        <w:t>ARTICULO 28. &lt;SIGNIFICADO DE LAS PALABRAS&gt;. Las palabras de la ley se entenderán en su sentido natural y obvio, según el uso general de las mismas palabras; pero</w:t>
      </w:r>
      <w:r w:rsidR="00535540" w:rsidRPr="006336C3">
        <w:rPr>
          <w:rFonts w:ascii="Arial" w:hAnsi="Arial" w:cs="Arial"/>
          <w:sz w:val="21"/>
          <w:szCs w:val="21"/>
        </w:rPr>
        <w:t xml:space="preserve"> cuando </w:t>
      </w:r>
      <w:r w:rsidRPr="006336C3">
        <w:rPr>
          <w:rFonts w:ascii="Arial" w:hAnsi="Arial" w:cs="Arial"/>
          <w:sz w:val="21"/>
          <w:szCs w:val="21"/>
        </w:rPr>
        <w:t xml:space="preserve">el legislador las haya </w:t>
      </w:r>
      <w:r w:rsidR="006A1B75" w:rsidRPr="006336C3">
        <w:rPr>
          <w:rFonts w:ascii="Arial" w:hAnsi="Arial" w:cs="Arial"/>
          <w:sz w:val="21"/>
          <w:szCs w:val="21"/>
        </w:rPr>
        <w:t>definido expresamente</w:t>
      </w:r>
      <w:r w:rsidRPr="006336C3">
        <w:rPr>
          <w:rFonts w:ascii="Arial" w:hAnsi="Arial" w:cs="Arial"/>
          <w:sz w:val="21"/>
          <w:szCs w:val="21"/>
        </w:rPr>
        <w:t xml:space="preserve"> para ciertas materias, se les dará en éstas su significado legal</w:t>
      </w:r>
      <w:r w:rsidR="006A1B75" w:rsidRPr="006336C3">
        <w:rPr>
          <w:rFonts w:ascii="Arial" w:hAnsi="Arial" w:cs="Arial"/>
          <w:sz w:val="21"/>
          <w:szCs w:val="21"/>
        </w:rPr>
        <w:t>.</w:t>
      </w:r>
      <w:r w:rsidR="006A1B75" w:rsidRPr="006336C3">
        <w:rPr>
          <w:rFonts w:ascii="Arial" w:hAnsi="Arial" w:cs="Arial"/>
          <w:color w:val="000000" w:themeColor="text1"/>
        </w:rPr>
        <w:t>»</w:t>
      </w:r>
      <w:r w:rsidR="006A1B75" w:rsidRPr="006336C3">
        <w:rPr>
          <w:rStyle w:val="Refdenotaalpie"/>
          <w:rFonts w:ascii="Arial" w:hAnsi="Arial" w:cs="Arial"/>
          <w:color w:val="000000" w:themeColor="text1"/>
        </w:rPr>
        <w:footnoteReference w:id="16"/>
      </w:r>
    </w:p>
    <w:p w14:paraId="0BF8089F" w14:textId="6659D6CB" w:rsidR="00580DE0" w:rsidRPr="006336C3" w:rsidRDefault="00580DE0" w:rsidP="001F7ECB">
      <w:pPr>
        <w:spacing w:after="120" w:line="276" w:lineRule="auto"/>
        <w:ind w:firstLine="708"/>
        <w:jc w:val="both"/>
        <w:rPr>
          <w:rFonts w:ascii="Arial" w:hAnsi="Arial" w:cs="Arial"/>
          <w:i/>
          <w:iCs/>
        </w:rPr>
      </w:pPr>
      <w:r w:rsidRPr="006336C3">
        <w:rPr>
          <w:rFonts w:ascii="Arial" w:hAnsi="Arial" w:cs="Arial"/>
        </w:rPr>
        <w:t>Teniendo en cuenta l</w:t>
      </w:r>
      <w:r w:rsidR="00CD00E8" w:rsidRPr="006336C3">
        <w:rPr>
          <w:rFonts w:ascii="Arial" w:hAnsi="Arial" w:cs="Arial"/>
        </w:rPr>
        <w:t xml:space="preserve">as reglas interpretativas </w:t>
      </w:r>
      <w:r w:rsidRPr="006336C3">
        <w:rPr>
          <w:rFonts w:ascii="Arial" w:hAnsi="Arial" w:cs="Arial"/>
        </w:rPr>
        <w:t>mencionad</w:t>
      </w:r>
      <w:r w:rsidR="00CD00E8" w:rsidRPr="006336C3">
        <w:rPr>
          <w:rFonts w:ascii="Arial" w:hAnsi="Arial" w:cs="Arial"/>
        </w:rPr>
        <w:t>a</w:t>
      </w:r>
      <w:r w:rsidRPr="006336C3">
        <w:rPr>
          <w:rFonts w:ascii="Arial" w:hAnsi="Arial" w:cs="Arial"/>
        </w:rPr>
        <w:t>s con anterioridad, y en orden a responder la pregunta</w:t>
      </w:r>
      <w:r w:rsidR="0071554F" w:rsidRPr="006336C3">
        <w:rPr>
          <w:rFonts w:ascii="Arial" w:hAnsi="Arial" w:cs="Arial"/>
        </w:rPr>
        <w:t>,</w:t>
      </w:r>
      <w:r w:rsidR="00245AB3" w:rsidRPr="006336C3">
        <w:rPr>
          <w:rFonts w:ascii="Arial" w:hAnsi="Arial" w:cs="Arial"/>
        </w:rPr>
        <w:t xml:space="preserve"> resulta necesario aplicar </w:t>
      </w:r>
      <w:r w:rsidR="00DF69AF" w:rsidRPr="006336C3">
        <w:rPr>
          <w:rFonts w:ascii="Arial" w:hAnsi="Arial" w:cs="Arial"/>
        </w:rPr>
        <w:t>el aforismo</w:t>
      </w:r>
      <w:r w:rsidR="0071554F" w:rsidRPr="006336C3">
        <w:rPr>
          <w:rFonts w:ascii="Arial" w:hAnsi="Arial" w:cs="Arial"/>
        </w:rPr>
        <w:t xml:space="preserve"> </w:t>
      </w:r>
      <w:r w:rsidR="00DF69AF" w:rsidRPr="006336C3">
        <w:rPr>
          <w:rFonts w:ascii="Arial" w:hAnsi="Arial" w:cs="Arial"/>
          <w:i/>
          <w:iCs/>
        </w:rPr>
        <w:t>i</w:t>
      </w:r>
      <w:r w:rsidR="00245AB3" w:rsidRPr="006336C3">
        <w:rPr>
          <w:rFonts w:ascii="Arial" w:hAnsi="Arial" w:cs="Arial"/>
          <w:i/>
          <w:iCs/>
        </w:rPr>
        <w:t xml:space="preserve">n </w:t>
      </w:r>
      <w:proofErr w:type="spellStart"/>
      <w:r w:rsidR="00245AB3" w:rsidRPr="006336C3">
        <w:rPr>
          <w:rFonts w:ascii="Arial" w:hAnsi="Arial" w:cs="Arial"/>
          <w:i/>
          <w:iCs/>
        </w:rPr>
        <w:t>claris</w:t>
      </w:r>
      <w:proofErr w:type="spellEnd"/>
      <w:r w:rsidR="00245AB3" w:rsidRPr="006336C3">
        <w:rPr>
          <w:rFonts w:ascii="Arial" w:hAnsi="Arial" w:cs="Arial"/>
          <w:i/>
          <w:iCs/>
        </w:rPr>
        <w:t xml:space="preserve"> non </w:t>
      </w:r>
      <w:proofErr w:type="spellStart"/>
      <w:r w:rsidR="00245AB3" w:rsidRPr="006336C3">
        <w:rPr>
          <w:rFonts w:ascii="Arial" w:hAnsi="Arial" w:cs="Arial"/>
          <w:i/>
          <w:iCs/>
        </w:rPr>
        <w:t>fit</w:t>
      </w:r>
      <w:proofErr w:type="spellEnd"/>
      <w:r w:rsidR="00245AB3" w:rsidRPr="006336C3">
        <w:rPr>
          <w:rFonts w:ascii="Arial" w:hAnsi="Arial" w:cs="Arial"/>
          <w:i/>
          <w:iCs/>
        </w:rPr>
        <w:t xml:space="preserve"> </w:t>
      </w:r>
      <w:proofErr w:type="spellStart"/>
      <w:r w:rsidR="00245AB3" w:rsidRPr="006336C3">
        <w:rPr>
          <w:rFonts w:ascii="Arial" w:hAnsi="Arial" w:cs="Arial"/>
          <w:i/>
          <w:iCs/>
        </w:rPr>
        <w:t>interpretatio</w:t>
      </w:r>
      <w:proofErr w:type="spellEnd"/>
      <w:r w:rsidR="00DF69AF" w:rsidRPr="006336C3">
        <w:rPr>
          <w:rFonts w:ascii="Arial" w:hAnsi="Arial" w:cs="Arial"/>
        </w:rPr>
        <w:t>, que es el reflejo de lo enunciado en el artículo 27</w:t>
      </w:r>
      <w:r w:rsidR="005808B0">
        <w:rPr>
          <w:rFonts w:ascii="Arial" w:hAnsi="Arial" w:cs="Arial"/>
        </w:rPr>
        <w:t xml:space="preserve"> y 28</w:t>
      </w:r>
      <w:r w:rsidR="00DF69AF" w:rsidRPr="006336C3">
        <w:rPr>
          <w:rFonts w:ascii="Arial" w:hAnsi="Arial" w:cs="Arial"/>
        </w:rPr>
        <w:t xml:space="preserve"> </w:t>
      </w:r>
      <w:r w:rsidR="002055CB" w:rsidRPr="006336C3">
        <w:rPr>
          <w:rFonts w:ascii="Arial" w:hAnsi="Arial" w:cs="Arial"/>
        </w:rPr>
        <w:t>anteriormente citado</w:t>
      </w:r>
      <w:r w:rsidR="005808B0">
        <w:rPr>
          <w:rFonts w:ascii="Arial" w:hAnsi="Arial" w:cs="Arial"/>
        </w:rPr>
        <w:t>s</w:t>
      </w:r>
      <w:r w:rsidR="002055CB" w:rsidRPr="006336C3">
        <w:rPr>
          <w:rFonts w:ascii="Arial" w:hAnsi="Arial" w:cs="Arial"/>
        </w:rPr>
        <w:t xml:space="preserve">, pues desde un criterio interpretativo de esta Agencia el </w:t>
      </w:r>
      <w:r w:rsidR="002055CB" w:rsidRPr="006336C3">
        <w:rPr>
          <w:rFonts w:ascii="Arial" w:hAnsi="Arial" w:cs="Arial"/>
          <w:color w:val="000000" w:themeColor="text1"/>
        </w:rPr>
        <w:t xml:space="preserve">artículo </w:t>
      </w:r>
      <w:r w:rsidR="002055CB" w:rsidRPr="006336C3">
        <w:rPr>
          <w:rFonts w:ascii="Arial" w:hAnsi="Arial" w:cs="Arial"/>
        </w:rPr>
        <w:t xml:space="preserve">91 de la Ley 1474 de 2011 no contiene </w:t>
      </w:r>
      <w:r w:rsidR="00375948" w:rsidRPr="006336C3">
        <w:rPr>
          <w:rFonts w:ascii="Arial" w:hAnsi="Arial" w:cs="Arial"/>
        </w:rPr>
        <w:t xml:space="preserve">una expresión oscura, si no por lo contrario, es clara en señalar que en los contratos cuya cuantía resulte ser de mínima o menor cuantía no será obligatoria la constitución de un patrimonio autónomo o una fiducia para administrar los recursos del </w:t>
      </w:r>
      <w:r w:rsidR="00535540" w:rsidRPr="000F4A3A">
        <w:rPr>
          <w:rFonts w:ascii="Arial" w:hAnsi="Arial" w:cs="Arial"/>
        </w:rPr>
        <w:t>anticipo</w:t>
      </w:r>
      <w:r w:rsidR="00375948" w:rsidRPr="006336C3">
        <w:rPr>
          <w:rFonts w:ascii="Arial" w:hAnsi="Arial" w:cs="Arial"/>
        </w:rPr>
        <w:t xml:space="preserve">, así </w:t>
      </w:r>
      <w:r w:rsidR="00A43FCB" w:rsidRPr="006336C3">
        <w:rPr>
          <w:rFonts w:ascii="Arial" w:hAnsi="Arial" w:cs="Arial"/>
        </w:rPr>
        <w:t>haya surgido a través de un proceso de selección por licitación pública.</w:t>
      </w:r>
    </w:p>
    <w:p w14:paraId="7C9F75F8" w14:textId="185C81BB" w:rsidR="00535540" w:rsidRDefault="00580DE0" w:rsidP="00BC767F">
      <w:pPr>
        <w:tabs>
          <w:tab w:val="left" w:pos="0"/>
        </w:tabs>
        <w:spacing w:before="120" w:after="120" w:line="276" w:lineRule="auto"/>
        <w:ind w:firstLine="709"/>
        <w:jc w:val="both"/>
        <w:rPr>
          <w:rFonts w:ascii="Arial" w:hAnsi="Arial" w:cs="Arial"/>
        </w:rPr>
      </w:pPr>
      <w:r w:rsidRPr="006336C3">
        <w:rPr>
          <w:rFonts w:ascii="Arial" w:hAnsi="Arial" w:cs="Arial"/>
        </w:rPr>
        <w:t xml:space="preserve"> En todo caso</w:t>
      </w:r>
      <w:r w:rsidR="00535540" w:rsidRPr="000F4A3A">
        <w:rPr>
          <w:rFonts w:ascii="Arial" w:hAnsi="Arial" w:cs="Arial"/>
        </w:rPr>
        <w:t xml:space="preserve">, </w:t>
      </w:r>
      <w:r w:rsidR="00535540" w:rsidRPr="006336C3">
        <w:rPr>
          <w:rFonts w:ascii="Arial" w:hAnsi="Arial" w:cs="Arial"/>
          <w:color w:val="000000" w:themeColor="text1"/>
        </w:rPr>
        <w:t xml:space="preserve">la Entidad Estatal </w:t>
      </w:r>
      <w:r w:rsidRPr="006336C3">
        <w:rPr>
          <w:rFonts w:ascii="Arial" w:hAnsi="Arial" w:cs="Arial"/>
          <w:color w:val="000000" w:themeColor="text1"/>
        </w:rPr>
        <w:t>y el contratista podrán disponer</w:t>
      </w:r>
      <w:r w:rsidR="00BC767F" w:rsidRPr="006336C3">
        <w:rPr>
          <w:rFonts w:ascii="Arial" w:hAnsi="Arial" w:cs="Arial"/>
          <w:color w:val="000000" w:themeColor="text1"/>
        </w:rPr>
        <w:t xml:space="preserve"> en dichos contratos de menor y mínima cuantía</w:t>
      </w:r>
      <w:r w:rsidRPr="006336C3">
        <w:rPr>
          <w:rFonts w:ascii="Arial" w:hAnsi="Arial" w:cs="Arial"/>
          <w:color w:val="000000" w:themeColor="text1"/>
        </w:rPr>
        <w:t xml:space="preserve">, en ejercicio de la autonomía de la voluntad, las condiciones que consideren convenientes para otorgar el anticipo de acuerdo con las normas civiles, siempre que no contraríen los parámetros normativos y los principios de la actividad contractual. No obstante, se reitera la importancia de analizar y justificar en cada caso la pertinencia y conveniencia de entregar al contratista recursos en calidad de anticipo. De esta forma, </w:t>
      </w:r>
      <w:r w:rsidRPr="006336C3">
        <w:rPr>
          <w:rFonts w:ascii="Arial" w:hAnsi="Arial" w:cs="Arial"/>
        </w:rPr>
        <w:t>debe ser la administración quien determine la viabilidad o no, de la entrega de un anticipó</w:t>
      </w:r>
      <w:r w:rsidR="00BC767F" w:rsidRPr="006336C3">
        <w:rPr>
          <w:rFonts w:ascii="Arial" w:hAnsi="Arial" w:cs="Arial"/>
        </w:rPr>
        <w:t xml:space="preserve"> y de</w:t>
      </w:r>
      <w:r w:rsidR="00535540" w:rsidRPr="000F4A3A">
        <w:rPr>
          <w:rFonts w:ascii="Arial" w:hAnsi="Arial" w:cs="Arial"/>
        </w:rPr>
        <w:t xml:space="preserve"> la obligación de adoptar las medidas necesarias y razonables para asegurar el buen manejo y la correcta inversión del anticipo, entre las que se encuentra la constitución </w:t>
      </w:r>
      <w:r w:rsidR="0056399A" w:rsidRPr="006336C3">
        <w:rPr>
          <w:rFonts w:ascii="Arial" w:hAnsi="Arial" w:cs="Arial"/>
        </w:rPr>
        <w:t xml:space="preserve">obligatoria de </w:t>
      </w:r>
      <w:r w:rsidR="00535540">
        <w:rPr>
          <w:rFonts w:ascii="Arial" w:hAnsi="Arial" w:cs="Arial"/>
        </w:rPr>
        <w:t>l</w:t>
      </w:r>
      <w:r w:rsidR="00535540" w:rsidRPr="000F4A3A">
        <w:rPr>
          <w:rFonts w:ascii="Arial" w:hAnsi="Arial" w:cs="Arial"/>
        </w:rPr>
        <w:t>a garantía</w:t>
      </w:r>
      <w:r w:rsidR="00535540">
        <w:rPr>
          <w:rFonts w:ascii="Arial" w:hAnsi="Arial" w:cs="Arial"/>
        </w:rPr>
        <w:t xml:space="preserve"> respectiva</w:t>
      </w:r>
      <w:r w:rsidR="00535540" w:rsidRPr="000F4A3A">
        <w:rPr>
          <w:rFonts w:ascii="Arial" w:hAnsi="Arial" w:cs="Arial"/>
        </w:rPr>
        <w:t xml:space="preserve">.  </w:t>
      </w:r>
    </w:p>
    <w:p w14:paraId="0C7DB2DE" w14:textId="77777777" w:rsidR="00535540" w:rsidRPr="000F4A3A" w:rsidRDefault="00535540" w:rsidP="00565A2E">
      <w:pPr>
        <w:spacing w:line="276" w:lineRule="auto"/>
        <w:jc w:val="both"/>
        <w:rPr>
          <w:rFonts w:ascii="Arial" w:hAnsi="Arial" w:cs="Arial"/>
          <w:b/>
          <w:bCs/>
          <w:color w:val="000000" w:themeColor="text1"/>
        </w:rPr>
      </w:pPr>
      <w:r w:rsidRPr="000F4A3A">
        <w:rPr>
          <w:rFonts w:ascii="Arial" w:hAnsi="Arial" w:cs="Arial"/>
          <w:b/>
          <w:bCs/>
          <w:color w:val="000000" w:themeColor="text1"/>
        </w:rPr>
        <w:t>3. Respuesta</w:t>
      </w:r>
    </w:p>
    <w:p w14:paraId="479463E5" w14:textId="77777777" w:rsidR="007D4D9B" w:rsidRPr="00565A2E" w:rsidRDefault="007D4D9B" w:rsidP="007D4D9B">
      <w:pPr>
        <w:adjustRightInd w:val="0"/>
        <w:spacing w:line="240" w:lineRule="auto"/>
        <w:ind w:left="709" w:right="709"/>
        <w:jc w:val="both"/>
        <w:rPr>
          <w:rFonts w:ascii="Arial" w:hAnsi="Arial" w:cs="Arial"/>
          <w:sz w:val="21"/>
          <w:szCs w:val="21"/>
        </w:rPr>
      </w:pPr>
      <w:r w:rsidRPr="00565A2E">
        <w:rPr>
          <w:rFonts w:ascii="Arial" w:hAnsi="Arial" w:cs="Arial"/>
          <w:sz w:val="21"/>
          <w:szCs w:val="21"/>
        </w:rPr>
        <w:t>«</w:t>
      </w:r>
      <w:r w:rsidRPr="00565A2E">
        <w:rPr>
          <w:rFonts w:ascii="Arial" w:hAnsi="Arial" w:cs="Arial"/>
          <w:bCs/>
          <w:sz w:val="21"/>
          <w:szCs w:val="21"/>
        </w:rPr>
        <w:t>Si producto de una Licitación de Obra Pública se suscriben varios contratos de obra,</w:t>
      </w:r>
      <w:r>
        <w:rPr>
          <w:rFonts w:ascii="Arial" w:hAnsi="Arial" w:cs="Arial"/>
          <w:bCs/>
          <w:sz w:val="21"/>
          <w:szCs w:val="21"/>
        </w:rPr>
        <w:t xml:space="preserve"> </w:t>
      </w:r>
      <w:r w:rsidRPr="00565A2E">
        <w:rPr>
          <w:rFonts w:ascii="Arial" w:hAnsi="Arial" w:cs="Arial"/>
          <w:bCs/>
          <w:sz w:val="21"/>
          <w:szCs w:val="21"/>
        </w:rPr>
        <w:t>cuyos valores individualmente considerados corresponden a la menor cuantía de la</w:t>
      </w:r>
      <w:r>
        <w:rPr>
          <w:rFonts w:ascii="Arial" w:hAnsi="Arial" w:cs="Arial"/>
          <w:bCs/>
          <w:sz w:val="21"/>
          <w:szCs w:val="21"/>
        </w:rPr>
        <w:t xml:space="preserve"> </w:t>
      </w:r>
      <w:r w:rsidRPr="00565A2E">
        <w:rPr>
          <w:rFonts w:ascii="Arial" w:hAnsi="Arial" w:cs="Arial"/>
          <w:bCs/>
          <w:sz w:val="21"/>
          <w:szCs w:val="21"/>
        </w:rPr>
        <w:t>respectiva entidad (se trató de una licitación por lotes), ¿aplica la regla general del art.91 de la ley 1474/2011 según la cual "el contratista deberá constituir una fiducia o un</w:t>
      </w:r>
      <w:r>
        <w:rPr>
          <w:rFonts w:ascii="Arial" w:hAnsi="Arial" w:cs="Arial"/>
          <w:bCs/>
          <w:sz w:val="21"/>
          <w:szCs w:val="21"/>
        </w:rPr>
        <w:t xml:space="preserve"> </w:t>
      </w:r>
      <w:r w:rsidRPr="00565A2E">
        <w:rPr>
          <w:rFonts w:ascii="Arial" w:hAnsi="Arial" w:cs="Arial"/>
          <w:bCs/>
          <w:sz w:val="21"/>
          <w:szCs w:val="21"/>
        </w:rPr>
        <w:t>patrimonio autónomo irrevocable para el manejo de los recursos que reciba a título de</w:t>
      </w:r>
      <w:r>
        <w:rPr>
          <w:rFonts w:ascii="Arial" w:hAnsi="Arial" w:cs="Arial"/>
          <w:bCs/>
          <w:sz w:val="21"/>
          <w:szCs w:val="21"/>
        </w:rPr>
        <w:t xml:space="preserve"> </w:t>
      </w:r>
      <w:r w:rsidRPr="00565A2E">
        <w:rPr>
          <w:rFonts w:ascii="Arial" w:hAnsi="Arial" w:cs="Arial"/>
          <w:bCs/>
          <w:sz w:val="21"/>
          <w:szCs w:val="21"/>
        </w:rPr>
        <w:t>anticipo"?, o ¿aplica la excepción "salvo que el contrato sea de menor o mínima</w:t>
      </w:r>
      <w:r>
        <w:rPr>
          <w:rFonts w:ascii="Arial" w:hAnsi="Arial" w:cs="Arial"/>
          <w:bCs/>
          <w:sz w:val="21"/>
          <w:szCs w:val="21"/>
        </w:rPr>
        <w:t xml:space="preserve"> </w:t>
      </w:r>
      <w:r w:rsidRPr="00565A2E">
        <w:rPr>
          <w:rFonts w:ascii="Arial" w:hAnsi="Arial" w:cs="Arial"/>
          <w:bCs/>
          <w:sz w:val="21"/>
          <w:szCs w:val="21"/>
        </w:rPr>
        <w:t>cuantía</w:t>
      </w:r>
      <w:r w:rsidRPr="00565A2E">
        <w:rPr>
          <w:rFonts w:ascii="Arial" w:hAnsi="Arial" w:cs="Arial"/>
          <w:sz w:val="21"/>
          <w:szCs w:val="21"/>
        </w:rPr>
        <w:t>?»</w:t>
      </w:r>
      <w:r>
        <w:rPr>
          <w:rFonts w:ascii="Arial" w:hAnsi="Arial" w:cs="Arial"/>
          <w:sz w:val="21"/>
          <w:szCs w:val="21"/>
        </w:rPr>
        <w:t xml:space="preserve"> (Sic)</w:t>
      </w:r>
      <w:r w:rsidRPr="00565A2E">
        <w:rPr>
          <w:rFonts w:ascii="Arial" w:hAnsi="Arial" w:cs="Arial"/>
          <w:sz w:val="21"/>
          <w:szCs w:val="21"/>
        </w:rPr>
        <w:t xml:space="preserve">. </w:t>
      </w:r>
    </w:p>
    <w:p w14:paraId="2115CC4F" w14:textId="24C02198" w:rsidR="00F24CE3" w:rsidRDefault="00F24CE3" w:rsidP="00F24CE3">
      <w:pPr>
        <w:spacing w:after="120" w:line="276" w:lineRule="auto"/>
        <w:jc w:val="both"/>
        <w:rPr>
          <w:rFonts w:ascii="Arial" w:hAnsi="Arial" w:cs="Arial"/>
        </w:rPr>
      </w:pPr>
      <w:r w:rsidRPr="0244FC6E">
        <w:rPr>
          <w:rFonts w:ascii="Arial" w:hAnsi="Arial" w:cs="Arial"/>
        </w:rPr>
        <w:t>En consideración a lo en</w:t>
      </w:r>
      <w:r w:rsidR="0D768DA1" w:rsidRPr="0244FC6E">
        <w:rPr>
          <w:rFonts w:ascii="Arial" w:hAnsi="Arial" w:cs="Arial"/>
        </w:rPr>
        <w:t xml:space="preserve">unciado previamente, el ejercicio interpretativo </w:t>
      </w:r>
      <w:r w:rsidR="685EB80F" w:rsidRPr="0244FC6E">
        <w:rPr>
          <w:rFonts w:ascii="Arial" w:hAnsi="Arial" w:cs="Arial"/>
        </w:rPr>
        <w:t xml:space="preserve">que esta </w:t>
      </w:r>
      <w:r w:rsidR="0D768DA1" w:rsidRPr="0244FC6E">
        <w:rPr>
          <w:rFonts w:ascii="Arial" w:hAnsi="Arial" w:cs="Arial"/>
        </w:rPr>
        <w:t xml:space="preserve">Agencia </w:t>
      </w:r>
      <w:r w:rsidR="685EB80F" w:rsidRPr="0244FC6E">
        <w:rPr>
          <w:rFonts w:ascii="Arial" w:hAnsi="Arial" w:cs="Arial"/>
        </w:rPr>
        <w:t xml:space="preserve">ha mantenido </w:t>
      </w:r>
      <w:r w:rsidR="0D768DA1" w:rsidRPr="0244FC6E">
        <w:rPr>
          <w:rFonts w:ascii="Arial" w:hAnsi="Arial" w:cs="Arial"/>
        </w:rPr>
        <w:t xml:space="preserve">sobre la sobre la expresión </w:t>
      </w:r>
      <w:r w:rsidR="0D768DA1" w:rsidRPr="0244FC6E">
        <w:rPr>
          <w:rFonts w:ascii="Arial" w:hAnsi="Arial" w:cs="Arial"/>
          <w:color w:val="000000" w:themeColor="text1"/>
        </w:rPr>
        <w:t>«</w:t>
      </w:r>
      <w:r w:rsidR="0D768DA1" w:rsidRPr="0244FC6E">
        <w:rPr>
          <w:rFonts w:ascii="Arial" w:hAnsi="Arial" w:cs="Arial"/>
          <w:i/>
          <w:iCs/>
          <w:sz w:val="21"/>
          <w:szCs w:val="21"/>
        </w:rPr>
        <w:t>salvo que el contrato sea de menor o mínima cuantía</w:t>
      </w:r>
      <w:r w:rsidR="0D768DA1" w:rsidRPr="0244FC6E">
        <w:rPr>
          <w:rFonts w:ascii="Arial" w:hAnsi="Arial" w:cs="Arial"/>
          <w:color w:val="000000" w:themeColor="text1"/>
        </w:rPr>
        <w:t xml:space="preserve">» contenida en la parte final del artículo </w:t>
      </w:r>
      <w:r w:rsidR="0D768DA1" w:rsidRPr="0244FC6E">
        <w:rPr>
          <w:rFonts w:ascii="Arial" w:hAnsi="Arial" w:cs="Arial"/>
        </w:rPr>
        <w:t>91 de la Ley 1474 de 2011</w:t>
      </w:r>
      <w:r w:rsidR="0D768DA1" w:rsidRPr="0244FC6E">
        <w:rPr>
          <w:rFonts w:ascii="Arial" w:hAnsi="Arial" w:cs="Arial"/>
          <w:color w:val="000000" w:themeColor="text1"/>
        </w:rPr>
        <w:t xml:space="preserve">, </w:t>
      </w:r>
      <w:r w:rsidR="7ECB84A3" w:rsidRPr="0244FC6E">
        <w:rPr>
          <w:rFonts w:ascii="Arial" w:hAnsi="Arial" w:cs="Arial"/>
          <w:color w:val="000000" w:themeColor="text1"/>
        </w:rPr>
        <w:t xml:space="preserve">ha sido la de entender que </w:t>
      </w:r>
      <w:r w:rsidRPr="0244FC6E">
        <w:rPr>
          <w:rFonts w:ascii="Arial" w:hAnsi="Arial" w:cs="Arial"/>
        </w:rPr>
        <w:t>en los contratos cuya cuantía resulte ser de mínima o menor cuantía no será obligatoria la constitución de un patrimonio autónomo o una fiducia para administrar los recursos del anticipo, así haya surgido a través de un proceso de selección por licitación pública.</w:t>
      </w:r>
    </w:p>
    <w:p w14:paraId="1672FC9F" w14:textId="7BDA27BE" w:rsidR="00776E72" w:rsidRPr="006336C3" w:rsidRDefault="00A53E80" w:rsidP="009C1F1A">
      <w:pPr>
        <w:tabs>
          <w:tab w:val="left" w:pos="0"/>
        </w:tabs>
        <w:spacing w:before="120" w:after="0" w:line="276" w:lineRule="auto"/>
        <w:ind w:firstLine="709"/>
        <w:jc w:val="both"/>
        <w:rPr>
          <w:rFonts w:ascii="Arial" w:hAnsi="Arial" w:cs="Arial"/>
          <w:i/>
          <w:iCs/>
        </w:rPr>
      </w:pPr>
      <w:r>
        <w:rPr>
          <w:rFonts w:ascii="Arial" w:hAnsi="Arial" w:cs="Arial"/>
          <w:color w:val="000000" w:themeColor="text1"/>
        </w:rPr>
        <w:t>A su vez, resulta pertinente reiterar que l</w:t>
      </w:r>
      <w:r w:rsidR="00776E72" w:rsidRPr="006336C3">
        <w:rPr>
          <w:rFonts w:ascii="Arial" w:hAnsi="Arial" w:cs="Arial"/>
          <w:color w:val="000000" w:themeColor="text1"/>
        </w:rPr>
        <w:t>a Entidad Estatal</w:t>
      </w:r>
      <w:r w:rsidR="003663C5">
        <w:rPr>
          <w:rFonts w:ascii="Arial" w:hAnsi="Arial" w:cs="Arial"/>
          <w:color w:val="000000" w:themeColor="text1"/>
        </w:rPr>
        <w:t xml:space="preserve"> </w:t>
      </w:r>
      <w:r w:rsidR="00814F21">
        <w:rPr>
          <w:rFonts w:ascii="Arial" w:hAnsi="Arial" w:cs="Arial"/>
          <w:color w:val="000000" w:themeColor="text1"/>
        </w:rPr>
        <w:t xml:space="preserve">debe </w:t>
      </w:r>
      <w:r w:rsidR="003663C5" w:rsidRPr="006336C3">
        <w:rPr>
          <w:rFonts w:ascii="Arial" w:hAnsi="Arial" w:cs="Arial"/>
          <w:color w:val="000000" w:themeColor="text1"/>
        </w:rPr>
        <w:t>analizar y justificar en cada caso la pertinencia y conveniencia de entregar al contratista recursos en calidad de anticipo</w:t>
      </w:r>
      <w:r w:rsidR="00814F21">
        <w:rPr>
          <w:rFonts w:ascii="Arial" w:hAnsi="Arial" w:cs="Arial"/>
          <w:color w:val="000000" w:themeColor="text1"/>
        </w:rPr>
        <w:t xml:space="preserve"> y </w:t>
      </w:r>
      <w:r w:rsidR="003663C5" w:rsidRPr="006336C3">
        <w:rPr>
          <w:rFonts w:ascii="Arial" w:hAnsi="Arial" w:cs="Arial"/>
        </w:rPr>
        <w:t>la obligación de adoptar las medidas necesarias y razonables para asegurar el buen manejo y la correcta inversión del anticipo, entre las que se encuentra la constitución obligatoria de la garantía respectiva</w:t>
      </w:r>
      <w:r w:rsidR="008F254D">
        <w:rPr>
          <w:rFonts w:ascii="Arial" w:hAnsi="Arial" w:cs="Arial"/>
          <w:color w:val="000000" w:themeColor="text1"/>
        </w:rPr>
        <w:t xml:space="preserve">. </w:t>
      </w:r>
      <w:r w:rsidR="00776E72" w:rsidRPr="000F4A3A">
        <w:rPr>
          <w:rFonts w:ascii="Arial" w:hAnsi="Arial" w:cs="Arial"/>
        </w:rPr>
        <w:t xml:space="preserve">En todo caso, </w:t>
      </w:r>
      <w:r w:rsidR="00776E72" w:rsidRPr="000F4A3A">
        <w:rPr>
          <w:rFonts w:ascii="Arial" w:hAnsi="Arial" w:cs="Arial"/>
          <w:color w:val="000000" w:themeColor="text1"/>
        </w:rPr>
        <w:t xml:space="preserve">la entidad y el contratista podrán disponer, en ejercicio de la autonomía de la voluntad, las condiciones que consideren convenientes para otorgar el anticipo de acuerdo con las normas civiles, siempre que no contraríen los parámetros normativos y los principios de la actividad contractual. </w:t>
      </w:r>
    </w:p>
    <w:p w14:paraId="282E374B" w14:textId="77777777" w:rsidR="003F5F71" w:rsidRDefault="003F5F71" w:rsidP="009C1F1A">
      <w:pPr>
        <w:spacing w:after="0" w:line="276" w:lineRule="auto"/>
        <w:jc w:val="both"/>
        <w:rPr>
          <w:rFonts w:ascii="Arial" w:hAnsi="Arial" w:cs="Arial"/>
        </w:rPr>
      </w:pPr>
    </w:p>
    <w:p w14:paraId="520E0972" w14:textId="2AEB3633" w:rsidR="003F5F71" w:rsidRPr="00781AC2" w:rsidRDefault="003F5F71" w:rsidP="003F5F71">
      <w:pPr>
        <w:spacing w:line="276" w:lineRule="auto"/>
        <w:jc w:val="both"/>
        <w:rPr>
          <w:rFonts w:ascii="Arial" w:hAnsi="Arial" w:cs="Arial"/>
          <w:lang w:val="es-ES_tradnl"/>
        </w:rPr>
      </w:pPr>
      <w:r w:rsidRPr="00781AC2">
        <w:rPr>
          <w:rFonts w:ascii="Arial" w:hAnsi="Arial" w:cs="Arial"/>
          <w:lang w:val="es-ES_tradnl"/>
        </w:rPr>
        <w:t>Este</w:t>
      </w:r>
      <w:r w:rsidR="00535540" w:rsidRPr="00781AC2">
        <w:rPr>
          <w:rFonts w:ascii="Arial" w:hAnsi="Arial" w:cs="Arial"/>
          <w:lang w:val="es-ES_tradnl"/>
        </w:rPr>
        <w:t xml:space="preserve"> concepto tiene el alcance previsto en el artículo 28 del Código de Procedimiento Administrativo y de lo Contencioso Administrativo y las expresiones aquí utilizadas con mayúscula inicial deben ser entendidas con el significado que les otorga el artículo 2.2.1.1.1.3.1. </w:t>
      </w:r>
      <w:r w:rsidRPr="00781AC2">
        <w:rPr>
          <w:rFonts w:ascii="Arial" w:hAnsi="Arial" w:cs="Arial"/>
          <w:lang w:val="es-ES_tradnl"/>
        </w:rPr>
        <w:t>del Decreto 1082 de 2015.</w:t>
      </w:r>
    </w:p>
    <w:p w14:paraId="017FBFEB" w14:textId="46F2E33E" w:rsidR="00535540" w:rsidRPr="000F4A3A" w:rsidRDefault="00535540" w:rsidP="00586244">
      <w:pPr>
        <w:tabs>
          <w:tab w:val="left" w:pos="426"/>
        </w:tabs>
        <w:spacing w:before="120" w:after="120" w:line="276" w:lineRule="auto"/>
        <w:jc w:val="both"/>
        <w:rPr>
          <w:rFonts w:ascii="Arial" w:eastAsia="Times New Roman" w:hAnsi="Arial" w:cs="Arial"/>
          <w:color w:val="000000" w:themeColor="text1"/>
        </w:rPr>
      </w:pPr>
    </w:p>
    <w:p w14:paraId="1CF25245" w14:textId="77777777" w:rsidR="00535540" w:rsidRPr="000F4A3A" w:rsidRDefault="00535540" w:rsidP="00565A2E">
      <w:pPr>
        <w:tabs>
          <w:tab w:val="left" w:pos="426"/>
        </w:tabs>
        <w:spacing w:before="120" w:line="276" w:lineRule="auto"/>
        <w:jc w:val="both"/>
        <w:rPr>
          <w:rFonts w:ascii="Arial" w:eastAsia="Times New Roman" w:hAnsi="Arial" w:cs="Arial"/>
          <w:color w:val="000000" w:themeColor="text1"/>
        </w:rPr>
      </w:pPr>
      <w:r w:rsidRPr="000F4A3A">
        <w:rPr>
          <w:rFonts w:ascii="Arial" w:eastAsia="Times New Roman" w:hAnsi="Arial" w:cs="Arial"/>
          <w:color w:val="000000" w:themeColor="text1"/>
        </w:rPr>
        <w:t>Atentamente,</w:t>
      </w:r>
    </w:p>
    <w:p w14:paraId="35A382C6" w14:textId="10DAE38D" w:rsidR="00147A8C" w:rsidRPr="00CB70D9" w:rsidRDefault="003F3F92" w:rsidP="00147A8C">
      <w:pPr>
        <w:jc w:val="center"/>
        <w:rPr>
          <w:rFonts w:ascii="Arial" w:eastAsia="Times New Roman" w:hAnsi="Arial" w:cs="Arial"/>
          <w:lang w:eastAsia="es-CO"/>
        </w:rPr>
      </w:pPr>
      <w:r>
        <w:rPr>
          <w:noProof/>
        </w:rPr>
        <w:drawing>
          <wp:inline distT="0" distB="0" distL="0" distR="0" wp14:anchorId="38585FDB" wp14:editId="316220E9">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3"/>
                    <a:stretch>
                      <a:fillRect/>
                    </a:stretch>
                  </pic:blipFill>
                  <pic:spPr>
                    <a:xfrm>
                      <a:off x="0" y="0"/>
                      <a:ext cx="2785707" cy="1068836"/>
                    </a:xfrm>
                    <a:prstGeom prst="rect">
                      <a:avLst/>
                    </a:prstGeom>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147A8C" w:rsidRPr="003F5F71" w14:paraId="4110C940" w14:textId="77777777" w:rsidTr="005165E2">
        <w:trPr>
          <w:trHeight w:val="409"/>
        </w:trPr>
        <w:tc>
          <w:tcPr>
            <w:tcW w:w="817" w:type="dxa"/>
            <w:tcBorders>
              <w:top w:val="nil"/>
              <w:left w:val="nil"/>
              <w:bottom w:val="nil"/>
              <w:right w:val="nil"/>
            </w:tcBorders>
            <w:vAlign w:val="center"/>
            <w:hideMark/>
          </w:tcPr>
          <w:p w14:paraId="5CDCA4B8" w14:textId="77777777" w:rsidR="00147A8C" w:rsidRPr="009C1F1A" w:rsidRDefault="00147A8C" w:rsidP="005165E2">
            <w:pPr>
              <w:spacing w:after="0" w:line="240" w:lineRule="auto"/>
              <w:jc w:val="both"/>
              <w:rPr>
                <w:rFonts w:ascii="Arial" w:hAnsi="Arial" w:cs="Arial"/>
                <w:sz w:val="16"/>
                <w:szCs w:val="16"/>
              </w:rPr>
            </w:pPr>
            <w:r w:rsidRPr="009C1F1A">
              <w:rPr>
                <w:rFonts w:ascii="Arial" w:hAnsi="Arial" w:cs="Arial"/>
                <w:sz w:val="16"/>
                <w:szCs w:val="16"/>
              </w:rPr>
              <w:t>Elaboró: </w:t>
            </w:r>
          </w:p>
        </w:tc>
        <w:tc>
          <w:tcPr>
            <w:tcW w:w="4937" w:type="dxa"/>
            <w:tcBorders>
              <w:top w:val="nil"/>
              <w:left w:val="nil"/>
              <w:bottom w:val="dotted" w:sz="6" w:space="0" w:color="7F7F7F"/>
              <w:right w:val="nil"/>
            </w:tcBorders>
            <w:vAlign w:val="center"/>
            <w:hideMark/>
          </w:tcPr>
          <w:p w14:paraId="17A808ED" w14:textId="77777777" w:rsidR="00147A8C" w:rsidRPr="009C1F1A" w:rsidRDefault="00147A8C" w:rsidP="005165E2">
            <w:pPr>
              <w:spacing w:after="0" w:line="240" w:lineRule="auto"/>
              <w:jc w:val="both"/>
              <w:rPr>
                <w:rFonts w:ascii="Arial" w:hAnsi="Arial" w:cs="Arial"/>
                <w:sz w:val="16"/>
                <w:szCs w:val="16"/>
              </w:rPr>
            </w:pPr>
            <w:r w:rsidRPr="009C1F1A">
              <w:rPr>
                <w:rFonts w:ascii="Arial" w:hAnsi="Arial" w:cs="Arial"/>
                <w:sz w:val="16"/>
                <w:szCs w:val="16"/>
              </w:rPr>
              <w:t>Any Alejandra Tovar Castillo</w:t>
            </w:r>
          </w:p>
          <w:p w14:paraId="246B3D06" w14:textId="77777777" w:rsidR="00147A8C" w:rsidRPr="009C1F1A" w:rsidRDefault="00147A8C" w:rsidP="005165E2">
            <w:pPr>
              <w:spacing w:after="0" w:line="240" w:lineRule="auto"/>
              <w:jc w:val="both"/>
              <w:rPr>
                <w:rFonts w:ascii="Arial" w:hAnsi="Arial" w:cs="Arial"/>
                <w:sz w:val="16"/>
                <w:szCs w:val="16"/>
              </w:rPr>
            </w:pPr>
            <w:r w:rsidRPr="009C1F1A">
              <w:rPr>
                <w:rFonts w:ascii="Arial" w:hAnsi="Arial" w:cs="Arial"/>
                <w:sz w:val="16"/>
                <w:szCs w:val="16"/>
              </w:rPr>
              <w:t>Contratista de la Subdirección de Gestión Contractual</w:t>
            </w:r>
          </w:p>
        </w:tc>
      </w:tr>
      <w:tr w:rsidR="00147A8C" w:rsidRPr="003F5F71" w14:paraId="2D9EDA54" w14:textId="77777777" w:rsidTr="005165E2">
        <w:trPr>
          <w:trHeight w:val="409"/>
        </w:trPr>
        <w:tc>
          <w:tcPr>
            <w:tcW w:w="817" w:type="dxa"/>
            <w:tcBorders>
              <w:top w:val="nil"/>
              <w:left w:val="nil"/>
              <w:bottom w:val="nil"/>
              <w:right w:val="nil"/>
            </w:tcBorders>
            <w:vAlign w:val="center"/>
            <w:hideMark/>
          </w:tcPr>
          <w:p w14:paraId="3C056D53" w14:textId="77777777" w:rsidR="00147A8C" w:rsidRPr="009C1F1A" w:rsidRDefault="00147A8C" w:rsidP="005165E2">
            <w:pPr>
              <w:spacing w:after="0" w:line="240" w:lineRule="auto"/>
              <w:jc w:val="both"/>
              <w:rPr>
                <w:rFonts w:ascii="Arial" w:hAnsi="Arial" w:cs="Arial"/>
                <w:sz w:val="16"/>
                <w:szCs w:val="16"/>
              </w:rPr>
            </w:pPr>
            <w:r w:rsidRPr="009C1F1A">
              <w:rPr>
                <w:rFonts w:ascii="Arial" w:hAnsi="Arial" w:cs="Arial"/>
                <w:sz w:val="16"/>
                <w:szCs w:val="16"/>
              </w:rPr>
              <w:t>Revisó: </w:t>
            </w:r>
          </w:p>
        </w:tc>
        <w:tc>
          <w:tcPr>
            <w:tcW w:w="4937" w:type="dxa"/>
            <w:tcBorders>
              <w:top w:val="dotted" w:sz="6" w:space="0" w:color="7F7F7F"/>
              <w:left w:val="nil"/>
              <w:bottom w:val="dotted" w:sz="6" w:space="0" w:color="7F7F7F"/>
              <w:right w:val="nil"/>
            </w:tcBorders>
            <w:vAlign w:val="center"/>
            <w:hideMark/>
          </w:tcPr>
          <w:p w14:paraId="373FD129" w14:textId="77777777" w:rsidR="00147A8C" w:rsidRPr="009C1F1A" w:rsidRDefault="00147A8C" w:rsidP="005165E2">
            <w:pPr>
              <w:spacing w:after="0" w:line="240" w:lineRule="auto"/>
              <w:jc w:val="both"/>
              <w:rPr>
                <w:rFonts w:ascii="Arial" w:hAnsi="Arial" w:cs="Arial"/>
                <w:sz w:val="16"/>
                <w:szCs w:val="16"/>
              </w:rPr>
            </w:pPr>
            <w:r w:rsidRPr="009C1F1A">
              <w:rPr>
                <w:rFonts w:ascii="Arial" w:hAnsi="Arial" w:cs="Arial"/>
                <w:sz w:val="16"/>
                <w:szCs w:val="16"/>
              </w:rPr>
              <w:t>Alejandro Sarmiento Cantillo</w:t>
            </w:r>
          </w:p>
          <w:p w14:paraId="2647DABA" w14:textId="77777777" w:rsidR="00147A8C" w:rsidRPr="009C1F1A" w:rsidRDefault="00147A8C" w:rsidP="005165E2">
            <w:pPr>
              <w:spacing w:after="0" w:line="240" w:lineRule="auto"/>
              <w:jc w:val="both"/>
              <w:rPr>
                <w:rFonts w:ascii="Arial" w:hAnsi="Arial" w:cs="Arial"/>
                <w:sz w:val="16"/>
                <w:szCs w:val="16"/>
              </w:rPr>
            </w:pPr>
            <w:r w:rsidRPr="009C1F1A">
              <w:rPr>
                <w:rFonts w:ascii="Arial" w:hAnsi="Arial" w:cs="Arial"/>
                <w:sz w:val="16"/>
                <w:szCs w:val="16"/>
              </w:rPr>
              <w:t>Gestor T1 ‒ 15 de la Subdirección de Gestión Contractual</w:t>
            </w:r>
          </w:p>
        </w:tc>
      </w:tr>
      <w:tr w:rsidR="00147A8C" w:rsidRPr="003F5F71" w14:paraId="6229EE4A" w14:textId="77777777" w:rsidTr="005165E2">
        <w:trPr>
          <w:trHeight w:val="389"/>
        </w:trPr>
        <w:tc>
          <w:tcPr>
            <w:tcW w:w="817" w:type="dxa"/>
            <w:tcBorders>
              <w:top w:val="nil"/>
              <w:left w:val="nil"/>
              <w:bottom w:val="nil"/>
              <w:right w:val="nil"/>
            </w:tcBorders>
            <w:vAlign w:val="center"/>
            <w:hideMark/>
          </w:tcPr>
          <w:p w14:paraId="422A8A4E" w14:textId="77777777" w:rsidR="00147A8C" w:rsidRPr="009C1F1A" w:rsidRDefault="00147A8C" w:rsidP="005165E2">
            <w:pPr>
              <w:spacing w:after="0" w:line="240" w:lineRule="auto"/>
              <w:jc w:val="both"/>
              <w:rPr>
                <w:rFonts w:ascii="Arial" w:hAnsi="Arial" w:cs="Arial"/>
                <w:sz w:val="16"/>
                <w:szCs w:val="16"/>
              </w:rPr>
            </w:pPr>
            <w:r w:rsidRPr="009C1F1A">
              <w:rPr>
                <w:rFonts w:ascii="Arial" w:hAnsi="Arial" w:cs="Arial"/>
                <w:sz w:val="16"/>
                <w:szCs w:val="16"/>
              </w:rPr>
              <w:t>Aprobó: </w:t>
            </w:r>
          </w:p>
        </w:tc>
        <w:tc>
          <w:tcPr>
            <w:tcW w:w="4937" w:type="dxa"/>
            <w:tcBorders>
              <w:top w:val="dotted" w:sz="6" w:space="0" w:color="7F7F7F"/>
              <w:left w:val="nil"/>
              <w:bottom w:val="dotted" w:sz="6" w:space="0" w:color="7F7F7F"/>
              <w:right w:val="nil"/>
            </w:tcBorders>
            <w:vAlign w:val="center"/>
            <w:hideMark/>
          </w:tcPr>
          <w:p w14:paraId="7508983E" w14:textId="77777777" w:rsidR="00147A8C" w:rsidRPr="009C1F1A" w:rsidRDefault="00147A8C" w:rsidP="005165E2">
            <w:pPr>
              <w:spacing w:after="0" w:line="240" w:lineRule="auto"/>
              <w:jc w:val="both"/>
              <w:rPr>
                <w:rFonts w:ascii="Arial" w:hAnsi="Arial" w:cs="Arial"/>
                <w:sz w:val="16"/>
                <w:szCs w:val="16"/>
              </w:rPr>
            </w:pPr>
            <w:r w:rsidRPr="009C1F1A">
              <w:rPr>
                <w:rFonts w:ascii="Arial" w:hAnsi="Arial" w:cs="Arial"/>
                <w:sz w:val="16"/>
                <w:szCs w:val="16"/>
              </w:rPr>
              <w:t>Nohelia del Carmen Zawady Palacio</w:t>
            </w:r>
          </w:p>
          <w:p w14:paraId="65C56E6B" w14:textId="77777777" w:rsidR="00147A8C" w:rsidRPr="009C1F1A" w:rsidRDefault="00147A8C" w:rsidP="005165E2">
            <w:pPr>
              <w:spacing w:after="0" w:line="240" w:lineRule="auto"/>
              <w:jc w:val="both"/>
              <w:rPr>
                <w:rFonts w:ascii="Arial" w:hAnsi="Arial" w:cs="Arial"/>
                <w:sz w:val="16"/>
                <w:szCs w:val="16"/>
              </w:rPr>
            </w:pPr>
            <w:r w:rsidRPr="009C1F1A">
              <w:rPr>
                <w:rFonts w:ascii="Arial" w:hAnsi="Arial" w:cs="Arial"/>
                <w:sz w:val="16"/>
                <w:szCs w:val="16"/>
              </w:rPr>
              <w:t>Subdirectora de Gestión Contractual ANCP - CCE</w:t>
            </w:r>
          </w:p>
        </w:tc>
      </w:tr>
    </w:tbl>
    <w:p w14:paraId="7DA76A8A" w14:textId="77777777" w:rsidR="00147A8C" w:rsidRPr="00547D0C" w:rsidRDefault="00147A8C" w:rsidP="00147A8C">
      <w:pPr>
        <w:tabs>
          <w:tab w:val="left" w:pos="4922"/>
        </w:tabs>
        <w:spacing w:line="276" w:lineRule="auto"/>
        <w:jc w:val="both"/>
        <w:rPr>
          <w:rFonts w:ascii="Arial" w:eastAsia="Calibri" w:hAnsi="Arial" w:cs="Arial"/>
          <w:color w:val="000000" w:themeColor="text1"/>
          <w:lang w:val="es-ES_tradnl"/>
        </w:rPr>
      </w:pPr>
      <w:r w:rsidRPr="00547D0C">
        <w:rPr>
          <w:rFonts w:ascii="Arial" w:eastAsia="Calibri" w:hAnsi="Arial" w:cs="Arial"/>
          <w:color w:val="000000" w:themeColor="text1"/>
          <w:lang w:val="es-ES_tradnl"/>
        </w:rPr>
        <w:tab/>
      </w:r>
    </w:p>
    <w:p w14:paraId="31D419DD" w14:textId="30F0F96B" w:rsidR="001A1011" w:rsidRPr="00147A8C" w:rsidRDefault="001A1011" w:rsidP="00565A2E">
      <w:pPr>
        <w:spacing w:after="0" w:line="276" w:lineRule="auto"/>
        <w:jc w:val="both"/>
        <w:rPr>
          <w:rFonts w:ascii="Geomanist Light" w:hAnsi="Geomanist Light"/>
          <w:b/>
          <w:color w:val="404040" w:themeColor="text1" w:themeTint="BF"/>
          <w:lang w:val="es-ES_tradnl"/>
        </w:rPr>
      </w:pPr>
    </w:p>
    <w:p w14:paraId="279D5850" w14:textId="5A51B1C1" w:rsidR="001A1011" w:rsidRDefault="001A1011" w:rsidP="00565A2E">
      <w:pPr>
        <w:spacing w:after="0" w:line="276" w:lineRule="auto"/>
        <w:jc w:val="both"/>
        <w:rPr>
          <w:rFonts w:ascii="Geomanist Light" w:hAnsi="Geomanist Light"/>
          <w:b/>
          <w:color w:val="404040" w:themeColor="text1" w:themeTint="BF"/>
          <w:lang w:val="es-ES"/>
        </w:rPr>
      </w:pPr>
    </w:p>
    <w:p w14:paraId="0B1D17E7" w14:textId="762AA3C6" w:rsidR="001A1011" w:rsidRDefault="001A1011" w:rsidP="00565A2E">
      <w:pPr>
        <w:spacing w:after="0" w:line="276" w:lineRule="auto"/>
        <w:jc w:val="both"/>
        <w:rPr>
          <w:rFonts w:ascii="Geomanist Light" w:hAnsi="Geomanist Light"/>
          <w:b/>
          <w:color w:val="404040" w:themeColor="text1" w:themeTint="BF"/>
          <w:lang w:val="es-ES"/>
        </w:rPr>
      </w:pPr>
    </w:p>
    <w:p w14:paraId="5CD9DF3C" w14:textId="2D55E7D3" w:rsidR="001A1011" w:rsidRDefault="001A1011" w:rsidP="00565A2E">
      <w:pPr>
        <w:spacing w:after="0" w:line="276" w:lineRule="auto"/>
        <w:jc w:val="both"/>
        <w:rPr>
          <w:rFonts w:ascii="Geomanist Light" w:hAnsi="Geomanist Light"/>
          <w:b/>
          <w:color w:val="404040" w:themeColor="text1" w:themeTint="BF"/>
          <w:lang w:val="es-ES"/>
        </w:rPr>
      </w:pPr>
    </w:p>
    <w:p w14:paraId="53AB5A20" w14:textId="6FAD5A9C" w:rsidR="001A1011" w:rsidRDefault="001A1011" w:rsidP="00565A2E">
      <w:pPr>
        <w:spacing w:after="0" w:line="276" w:lineRule="auto"/>
        <w:jc w:val="both"/>
        <w:rPr>
          <w:rFonts w:ascii="Geomanist Light" w:hAnsi="Geomanist Light"/>
          <w:b/>
          <w:color w:val="404040" w:themeColor="text1" w:themeTint="BF"/>
          <w:lang w:val="es-ES"/>
        </w:rPr>
      </w:pPr>
    </w:p>
    <w:p w14:paraId="6879FC78" w14:textId="2AD773B8" w:rsidR="001A1011" w:rsidRDefault="001A1011" w:rsidP="00565A2E">
      <w:pPr>
        <w:spacing w:after="0" w:line="276" w:lineRule="auto"/>
        <w:jc w:val="both"/>
        <w:rPr>
          <w:rFonts w:ascii="Geomanist Light" w:hAnsi="Geomanist Light"/>
          <w:b/>
          <w:color w:val="404040" w:themeColor="text1" w:themeTint="BF"/>
          <w:lang w:val="es-ES"/>
        </w:rPr>
      </w:pPr>
    </w:p>
    <w:p w14:paraId="267F1171" w14:textId="73CCED58" w:rsidR="001A1011" w:rsidRDefault="001A1011" w:rsidP="00565A2E">
      <w:pPr>
        <w:spacing w:after="0" w:line="276" w:lineRule="auto"/>
        <w:jc w:val="both"/>
        <w:rPr>
          <w:rFonts w:ascii="Geomanist Light" w:hAnsi="Geomanist Light"/>
          <w:b/>
          <w:color w:val="404040" w:themeColor="text1" w:themeTint="BF"/>
          <w:lang w:val="es-ES"/>
        </w:rPr>
      </w:pPr>
    </w:p>
    <w:p w14:paraId="17BA4C3F" w14:textId="610BC95A" w:rsidR="001A1011" w:rsidRDefault="001A1011" w:rsidP="00565A2E">
      <w:pPr>
        <w:spacing w:after="0" w:line="276" w:lineRule="auto"/>
        <w:jc w:val="both"/>
        <w:rPr>
          <w:rFonts w:ascii="Geomanist Light" w:hAnsi="Geomanist Light"/>
          <w:b/>
          <w:color w:val="404040" w:themeColor="text1" w:themeTint="BF"/>
          <w:lang w:val="es-ES"/>
        </w:rPr>
      </w:pPr>
    </w:p>
    <w:p w14:paraId="1C3871F1" w14:textId="3C77E1C6" w:rsidR="001A1011" w:rsidRDefault="001A1011" w:rsidP="00565A2E">
      <w:pPr>
        <w:spacing w:after="0" w:line="276" w:lineRule="auto"/>
        <w:jc w:val="both"/>
        <w:rPr>
          <w:rFonts w:ascii="Geomanist Light" w:hAnsi="Geomanist Light"/>
          <w:b/>
          <w:color w:val="404040" w:themeColor="text1" w:themeTint="BF"/>
          <w:lang w:val="es-ES"/>
        </w:rPr>
      </w:pPr>
    </w:p>
    <w:p w14:paraId="5E1D3DBF" w14:textId="22D6B9E8" w:rsidR="001A1011" w:rsidRDefault="001A1011" w:rsidP="00565A2E">
      <w:pPr>
        <w:spacing w:after="0" w:line="276" w:lineRule="auto"/>
        <w:jc w:val="both"/>
        <w:rPr>
          <w:rFonts w:ascii="Geomanist Light" w:hAnsi="Geomanist Light"/>
          <w:b/>
          <w:color w:val="404040" w:themeColor="text1" w:themeTint="BF"/>
          <w:lang w:val="es-ES"/>
        </w:rPr>
      </w:pPr>
    </w:p>
    <w:p w14:paraId="22A6B3E1" w14:textId="704F73DC" w:rsidR="001A1011" w:rsidRDefault="001A1011" w:rsidP="00565A2E">
      <w:pPr>
        <w:spacing w:after="0" w:line="276" w:lineRule="auto"/>
        <w:jc w:val="both"/>
        <w:rPr>
          <w:rFonts w:ascii="Geomanist Light" w:hAnsi="Geomanist Light"/>
          <w:b/>
          <w:color w:val="404040" w:themeColor="text1" w:themeTint="BF"/>
          <w:lang w:val="es-ES"/>
        </w:rPr>
      </w:pPr>
    </w:p>
    <w:p w14:paraId="331CB6CF" w14:textId="6F9DEEA6" w:rsidR="001A1011" w:rsidRDefault="001A1011" w:rsidP="00565A2E">
      <w:pPr>
        <w:spacing w:after="0" w:line="276" w:lineRule="auto"/>
        <w:jc w:val="both"/>
        <w:rPr>
          <w:rFonts w:ascii="Geomanist Light" w:hAnsi="Geomanist Light"/>
          <w:b/>
          <w:color w:val="404040" w:themeColor="text1" w:themeTint="BF"/>
          <w:lang w:val="es-ES"/>
        </w:rPr>
      </w:pPr>
    </w:p>
    <w:p w14:paraId="18D95323" w14:textId="645730DE" w:rsidR="001A1011" w:rsidRDefault="001A1011" w:rsidP="00565A2E">
      <w:pPr>
        <w:spacing w:after="0" w:line="276" w:lineRule="auto"/>
        <w:jc w:val="both"/>
        <w:rPr>
          <w:rFonts w:ascii="Geomanist Light" w:hAnsi="Geomanist Light"/>
          <w:b/>
          <w:color w:val="404040" w:themeColor="text1" w:themeTint="BF"/>
          <w:lang w:val="es-ES"/>
        </w:rPr>
      </w:pPr>
    </w:p>
    <w:p w14:paraId="154D43B2" w14:textId="13A83168" w:rsidR="001A1011" w:rsidRDefault="001A1011" w:rsidP="00565A2E">
      <w:pPr>
        <w:spacing w:after="0" w:line="276" w:lineRule="auto"/>
        <w:jc w:val="both"/>
        <w:rPr>
          <w:rFonts w:ascii="Geomanist Light" w:hAnsi="Geomanist Light"/>
          <w:b/>
          <w:color w:val="404040" w:themeColor="text1" w:themeTint="BF"/>
          <w:lang w:val="es-ES"/>
        </w:rPr>
      </w:pPr>
    </w:p>
    <w:p w14:paraId="7B23AD64" w14:textId="22BFE0EC" w:rsidR="00C9405D" w:rsidRDefault="00C9405D" w:rsidP="00565A2E">
      <w:pPr>
        <w:spacing w:after="0" w:line="276" w:lineRule="auto"/>
        <w:jc w:val="both"/>
        <w:rPr>
          <w:rFonts w:ascii="Geomanist Light" w:hAnsi="Geomanist Light"/>
          <w:b/>
          <w:color w:val="002060"/>
          <w:lang w:val="es-ES"/>
        </w:rPr>
      </w:pPr>
    </w:p>
    <w:p w14:paraId="3624807F" w14:textId="31625BE8" w:rsidR="00C9405D" w:rsidRDefault="00C9405D" w:rsidP="00565A2E">
      <w:pPr>
        <w:spacing w:after="0" w:line="276" w:lineRule="auto"/>
        <w:jc w:val="both"/>
        <w:rPr>
          <w:rFonts w:ascii="Geomanist Light" w:hAnsi="Geomanist Light"/>
          <w:b/>
          <w:color w:val="002060"/>
          <w:lang w:val="es-ES"/>
        </w:rPr>
      </w:pPr>
    </w:p>
    <w:bookmarkEnd w:id="0"/>
    <w:p w14:paraId="0F293BF4" w14:textId="0F6FB6C1" w:rsidR="00127233" w:rsidRPr="006219F8" w:rsidRDefault="00127233" w:rsidP="00565A2E">
      <w:pPr>
        <w:spacing w:line="276" w:lineRule="auto"/>
        <w:jc w:val="both"/>
        <w:rPr>
          <w:lang w:val="es-MX"/>
        </w:rPr>
      </w:pPr>
    </w:p>
    <w:sectPr w:rsidR="00127233" w:rsidRPr="006219F8" w:rsidSect="0039439C">
      <w:headerReference w:type="default" r:id="rId14"/>
      <w:footerReference w:type="default" r:id="rId15"/>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FDF71" w14:textId="77777777" w:rsidR="008E10B7" w:rsidRDefault="008E10B7" w:rsidP="004A1847">
      <w:pPr>
        <w:spacing w:after="0" w:line="240" w:lineRule="auto"/>
      </w:pPr>
      <w:r>
        <w:separator/>
      </w:r>
    </w:p>
  </w:endnote>
  <w:endnote w:type="continuationSeparator" w:id="0">
    <w:p w14:paraId="07B1E924" w14:textId="77777777" w:rsidR="008E10B7" w:rsidRDefault="008E10B7" w:rsidP="004A1847">
      <w:pPr>
        <w:spacing w:after="0" w:line="240" w:lineRule="auto"/>
      </w:pPr>
      <w:r>
        <w:continuationSeparator/>
      </w:r>
    </w:p>
  </w:endnote>
  <w:endnote w:type="continuationNotice" w:id="1">
    <w:p w14:paraId="5972D3D8" w14:textId="77777777" w:rsidR="008E10B7" w:rsidRDefault="008E10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FE0D4" w14:textId="77777777" w:rsidR="008E10B7" w:rsidRDefault="008E10B7" w:rsidP="004A1847">
      <w:pPr>
        <w:spacing w:after="0" w:line="240" w:lineRule="auto"/>
      </w:pPr>
      <w:r>
        <w:separator/>
      </w:r>
    </w:p>
  </w:footnote>
  <w:footnote w:type="continuationSeparator" w:id="0">
    <w:p w14:paraId="7137FE20" w14:textId="77777777" w:rsidR="008E10B7" w:rsidRDefault="008E10B7" w:rsidP="004A1847">
      <w:pPr>
        <w:spacing w:after="0" w:line="240" w:lineRule="auto"/>
      </w:pPr>
      <w:r>
        <w:continuationSeparator/>
      </w:r>
    </w:p>
  </w:footnote>
  <w:footnote w:type="continuationNotice" w:id="1">
    <w:p w14:paraId="524D433F" w14:textId="77777777" w:rsidR="008E10B7" w:rsidRDefault="008E10B7">
      <w:pPr>
        <w:spacing w:after="0" w:line="240" w:lineRule="auto"/>
      </w:pPr>
    </w:p>
  </w:footnote>
  <w:footnote w:id="2">
    <w:p w14:paraId="4161E3B7" w14:textId="77777777" w:rsidR="00CA7AF8" w:rsidRPr="00B126F6" w:rsidRDefault="00CA7AF8" w:rsidP="00CA7AF8">
      <w:pPr>
        <w:pStyle w:val="Textonotapie"/>
        <w:ind w:firstLine="708"/>
        <w:jc w:val="both"/>
        <w:rPr>
          <w:rFonts w:ascii="Arial" w:hAnsi="Arial" w:cs="Arial"/>
          <w:color w:val="000000"/>
          <w:sz w:val="18"/>
          <w:szCs w:val="18"/>
        </w:rPr>
      </w:pPr>
      <w:r w:rsidRPr="00B126F6">
        <w:rPr>
          <w:rStyle w:val="Refdenotaalpie"/>
          <w:rFonts w:ascii="Arial" w:hAnsi="Arial" w:cs="Arial"/>
          <w:sz w:val="18"/>
          <w:szCs w:val="18"/>
        </w:rPr>
        <w:footnoteRef/>
      </w:r>
      <w:r w:rsidRPr="00B126F6">
        <w:rPr>
          <w:rFonts w:ascii="Arial" w:hAnsi="Arial" w:cs="Arial"/>
          <w:sz w:val="18"/>
          <w:szCs w:val="18"/>
        </w:rPr>
        <w:t xml:space="preserve"> </w:t>
      </w:r>
      <w:r w:rsidRPr="00B126F6">
        <w:rPr>
          <w:rFonts w:ascii="Arial" w:hAnsi="Arial" w:cs="Arial"/>
          <w:color w:val="000000"/>
          <w:sz w:val="18"/>
          <w:szCs w:val="18"/>
        </w:rPr>
        <w:t>Procuraduría General de la Nación. Concepto del 15 de octubre de 2014. Procuraduría Delegada para Asuntos Disciplinarios. Radicado PAD C-114-2014.</w:t>
      </w:r>
    </w:p>
    <w:p w14:paraId="6369BBE5" w14:textId="77777777" w:rsidR="00CA7AF8" w:rsidRPr="00B126F6" w:rsidRDefault="00CA7AF8" w:rsidP="00CA7AF8">
      <w:pPr>
        <w:pStyle w:val="Textonotapie"/>
        <w:ind w:firstLine="708"/>
        <w:jc w:val="both"/>
        <w:rPr>
          <w:rFonts w:ascii="Arial" w:hAnsi="Arial" w:cs="Arial"/>
          <w:sz w:val="18"/>
          <w:szCs w:val="18"/>
          <w:lang w:val="es-ES"/>
        </w:rPr>
      </w:pPr>
    </w:p>
  </w:footnote>
  <w:footnote w:id="3">
    <w:p w14:paraId="6A5A26EA" w14:textId="77777777" w:rsidR="00CA7AF8" w:rsidRPr="00B126F6" w:rsidRDefault="00CA7AF8" w:rsidP="00CA7AF8">
      <w:pPr>
        <w:pStyle w:val="Textonotapie"/>
        <w:ind w:firstLine="708"/>
        <w:jc w:val="both"/>
        <w:rPr>
          <w:rFonts w:ascii="Arial" w:hAnsi="Arial" w:cs="Arial"/>
          <w:color w:val="000000"/>
          <w:sz w:val="18"/>
          <w:szCs w:val="18"/>
        </w:rPr>
      </w:pPr>
      <w:r w:rsidRPr="00B126F6">
        <w:rPr>
          <w:rStyle w:val="Refdenotaalpie"/>
          <w:rFonts w:ascii="Arial" w:hAnsi="Arial" w:cs="Arial"/>
          <w:sz w:val="18"/>
          <w:szCs w:val="18"/>
        </w:rPr>
        <w:footnoteRef/>
      </w:r>
      <w:r w:rsidRPr="00B126F6">
        <w:rPr>
          <w:rFonts w:ascii="Arial" w:hAnsi="Arial" w:cs="Arial"/>
          <w:sz w:val="18"/>
          <w:szCs w:val="18"/>
        </w:rPr>
        <w:t xml:space="preserve"> </w:t>
      </w:r>
      <w:r w:rsidRPr="00B126F6">
        <w:rPr>
          <w:rFonts w:ascii="Arial" w:hAnsi="Arial" w:cs="Arial"/>
          <w:color w:val="000000"/>
          <w:sz w:val="18"/>
          <w:szCs w:val="18"/>
        </w:rPr>
        <w:t>Contraloría General de la República. Oficina Jurídica. Concepto 80112-OJ-008 2017.</w:t>
      </w:r>
    </w:p>
    <w:p w14:paraId="1F93E056" w14:textId="77777777" w:rsidR="00CA7AF8" w:rsidRPr="00B126F6" w:rsidRDefault="00CA7AF8" w:rsidP="00CA7AF8">
      <w:pPr>
        <w:pStyle w:val="Textonotapie"/>
        <w:ind w:firstLine="708"/>
        <w:jc w:val="both"/>
        <w:rPr>
          <w:rFonts w:ascii="Arial" w:hAnsi="Arial" w:cs="Arial"/>
          <w:sz w:val="18"/>
          <w:szCs w:val="18"/>
          <w:lang w:val="es-ES"/>
        </w:rPr>
      </w:pPr>
    </w:p>
  </w:footnote>
  <w:footnote w:id="4">
    <w:p w14:paraId="07120A5A" w14:textId="77777777" w:rsidR="00CA7AF8" w:rsidRPr="00B126F6" w:rsidRDefault="00CA7AF8" w:rsidP="00CA7AF8">
      <w:pPr>
        <w:pStyle w:val="Textonotapie"/>
        <w:ind w:firstLine="708"/>
        <w:jc w:val="both"/>
        <w:rPr>
          <w:rFonts w:ascii="Arial" w:hAnsi="Arial" w:cs="Arial"/>
          <w:sz w:val="18"/>
          <w:szCs w:val="18"/>
          <w:lang w:val="es-ES"/>
        </w:rPr>
      </w:pPr>
      <w:r w:rsidRPr="00B126F6">
        <w:rPr>
          <w:rStyle w:val="Refdenotaalpie"/>
          <w:rFonts w:ascii="Arial" w:hAnsi="Arial" w:cs="Arial"/>
          <w:sz w:val="18"/>
          <w:szCs w:val="18"/>
        </w:rPr>
        <w:footnoteRef/>
      </w:r>
      <w:r w:rsidRPr="00B126F6">
        <w:rPr>
          <w:rFonts w:ascii="Arial" w:hAnsi="Arial" w:cs="Arial"/>
          <w:sz w:val="18"/>
          <w:szCs w:val="18"/>
        </w:rPr>
        <w:t xml:space="preserve"> </w:t>
      </w:r>
      <w:r w:rsidRPr="00B126F6">
        <w:rPr>
          <w:rFonts w:ascii="Arial" w:hAnsi="Arial" w:cs="Arial"/>
          <w:color w:val="000000"/>
          <w:sz w:val="18"/>
          <w:szCs w:val="18"/>
        </w:rPr>
        <w:t>ARBOLEDA PERDOMO, Enrique José. Comentarios al Nuevo Código de Procedimiento Administrativo y de lo Contencioso Administrativo (2ª ed.). Editorial Legis. Bogotá. 2012. p. 59</w:t>
      </w:r>
    </w:p>
  </w:footnote>
  <w:footnote w:id="5">
    <w:p w14:paraId="5606597D" w14:textId="4AB74E30" w:rsidR="00535540" w:rsidRPr="00FF6687" w:rsidRDefault="00535540" w:rsidP="00C13AA4">
      <w:pPr>
        <w:pStyle w:val="Textonotapie"/>
        <w:ind w:firstLine="709"/>
        <w:jc w:val="both"/>
        <w:rPr>
          <w:rFonts w:ascii="Arial" w:hAnsi="Arial" w:cs="Arial"/>
          <w:sz w:val="18"/>
          <w:szCs w:val="18"/>
        </w:rPr>
      </w:pPr>
      <w:r w:rsidRPr="00FF6687">
        <w:rPr>
          <w:rStyle w:val="Refdenotaalpie"/>
          <w:rFonts w:ascii="Arial" w:hAnsi="Arial" w:cs="Arial"/>
          <w:sz w:val="18"/>
          <w:szCs w:val="18"/>
        </w:rPr>
        <w:footnoteRef/>
      </w:r>
      <w:r w:rsidRPr="00FF6687">
        <w:rPr>
          <w:rFonts w:ascii="Arial" w:hAnsi="Arial" w:cs="Arial"/>
          <w:color w:val="000000" w:themeColor="text1"/>
          <w:sz w:val="18"/>
          <w:szCs w:val="18"/>
        </w:rPr>
        <w:t>«</w:t>
      </w:r>
      <w:r w:rsidRPr="00FF6687">
        <w:rPr>
          <w:rFonts w:ascii="Arial" w:hAnsi="Arial" w:cs="Arial"/>
          <w:sz w:val="18"/>
          <w:szCs w:val="18"/>
        </w:rPr>
        <w:t xml:space="preserve">Ver, entre otros: </w:t>
      </w:r>
      <w:r w:rsidR="004D45A1" w:rsidRPr="00FF6687">
        <w:rPr>
          <w:rFonts w:ascii="Arial" w:hAnsi="Arial" w:cs="Arial"/>
          <w:sz w:val="18"/>
          <w:szCs w:val="18"/>
        </w:rPr>
        <w:t>CONSEJO DE ESTADO</w:t>
      </w:r>
      <w:r w:rsidRPr="00FF6687">
        <w:rPr>
          <w:rFonts w:ascii="Arial" w:hAnsi="Arial" w:cs="Arial"/>
          <w:sz w:val="18"/>
          <w:szCs w:val="18"/>
        </w:rPr>
        <w:t>. Sala Plena de lo Contencioso Administrativo. Sentencia del 8 de agosto de 2001. Rad. AC-10966 - AC-11274; y Sala de lo Contencioso Administrativo - Sección Tercera. Providencias del 13 de septiembre de 1999. Rad. 10607; del 13 de julio de 2000. Rad. 12513; del 10 de noviembre de 2000. Rad. 18709; del 22 de junio de 2001. Rad. 12136; del 11 de diciembre de 2003. Rad. 25000-23-26-000-1993-08696-01(13348); del 19 de agosto de 2004. Rad. 25000-23-26-000-1994-00114-01(14111)</w:t>
      </w:r>
      <w:r w:rsidRPr="00FF6687">
        <w:rPr>
          <w:rFonts w:ascii="Arial" w:hAnsi="Arial" w:cs="Arial"/>
          <w:color w:val="000000" w:themeColor="text1"/>
          <w:sz w:val="18"/>
          <w:szCs w:val="18"/>
        </w:rPr>
        <w:t>».</w:t>
      </w:r>
      <w:r w:rsidRPr="00FF6687">
        <w:rPr>
          <w:rFonts w:ascii="Arial" w:hAnsi="Arial" w:cs="Arial"/>
          <w:sz w:val="18"/>
          <w:szCs w:val="18"/>
        </w:rPr>
        <w:t xml:space="preserve"> Citado en CONSEJO DE ESTADO. Sala de lo Contencioso Administrativo. Sección Tercera – Subsección A. Sentencia del 16 de mayo de 2019. Rad. (40102). C.P: María Adriana Marín [cita No. 35]. </w:t>
      </w:r>
    </w:p>
  </w:footnote>
  <w:footnote w:id="6">
    <w:p w14:paraId="4CA3FFFA" w14:textId="77777777" w:rsidR="00535540" w:rsidRPr="00FF6687" w:rsidRDefault="00535540" w:rsidP="00C13AA4">
      <w:pPr>
        <w:pStyle w:val="Textonotapie"/>
        <w:ind w:firstLine="709"/>
        <w:jc w:val="both"/>
        <w:rPr>
          <w:rFonts w:ascii="Arial" w:hAnsi="Arial" w:cs="Arial"/>
          <w:sz w:val="18"/>
          <w:szCs w:val="18"/>
        </w:rPr>
      </w:pPr>
      <w:r w:rsidRPr="00FF6687">
        <w:rPr>
          <w:rStyle w:val="Refdenotaalpie"/>
          <w:rFonts w:ascii="Arial" w:hAnsi="Arial" w:cs="Arial"/>
          <w:sz w:val="18"/>
          <w:szCs w:val="18"/>
        </w:rPr>
        <w:footnoteRef/>
      </w:r>
      <w:r w:rsidRPr="00FF6687">
        <w:rPr>
          <w:rFonts w:ascii="Arial" w:hAnsi="Arial" w:cs="Arial"/>
          <w:sz w:val="18"/>
          <w:szCs w:val="18"/>
        </w:rPr>
        <w:t xml:space="preserve"> CONSEJO DE ESTADO. Sala de lo Contencioso Administrativo. Sección Tercera – Subsección A. Sentencia del 16 de mayo de 2019. Rad. (40102). C.P: María Adriana Marín</w:t>
      </w:r>
    </w:p>
  </w:footnote>
  <w:footnote w:id="7">
    <w:p w14:paraId="4AA0056B" w14:textId="77777777" w:rsidR="00535540" w:rsidRPr="00FF6687" w:rsidRDefault="00535540" w:rsidP="00C13AA4">
      <w:pPr>
        <w:pStyle w:val="Textonotapie"/>
        <w:ind w:firstLine="709"/>
        <w:jc w:val="both"/>
        <w:rPr>
          <w:rFonts w:ascii="Arial" w:hAnsi="Arial" w:cs="Arial"/>
          <w:sz w:val="18"/>
          <w:szCs w:val="18"/>
          <w:lang w:val="es-CO"/>
        </w:rPr>
      </w:pPr>
      <w:r w:rsidRPr="00FF6687">
        <w:rPr>
          <w:rStyle w:val="Refdenotaalpie"/>
          <w:rFonts w:ascii="Arial" w:hAnsi="Arial" w:cs="Arial"/>
          <w:sz w:val="18"/>
          <w:szCs w:val="18"/>
        </w:rPr>
        <w:footnoteRef/>
      </w:r>
      <w:r w:rsidRPr="00FF6687">
        <w:rPr>
          <w:rFonts w:ascii="Arial" w:hAnsi="Arial" w:cs="Arial"/>
          <w:sz w:val="18"/>
          <w:szCs w:val="18"/>
        </w:rPr>
        <w:t xml:space="preserve"> CONSEJO DE ESTADO. Sala de lo Contencioso Administrativo. Sección Tercera – Subsección C. Sentencia del 2 de octubre del 2020. Rad. 63644. CP. Jaime Enrique Rodríguez Nava. </w:t>
      </w:r>
    </w:p>
  </w:footnote>
  <w:footnote w:id="8">
    <w:p w14:paraId="77FCAD6A" w14:textId="77777777" w:rsidR="00535540" w:rsidRPr="00FF6687" w:rsidRDefault="00535540" w:rsidP="00C13AA4">
      <w:pPr>
        <w:pStyle w:val="Textonotapie"/>
        <w:ind w:firstLine="709"/>
        <w:jc w:val="both"/>
        <w:rPr>
          <w:rFonts w:ascii="Arial" w:hAnsi="Arial" w:cs="Arial"/>
          <w:sz w:val="18"/>
          <w:szCs w:val="18"/>
        </w:rPr>
      </w:pPr>
      <w:r w:rsidRPr="00FF6687">
        <w:rPr>
          <w:rStyle w:val="Refdenotaalpie"/>
          <w:rFonts w:ascii="Arial" w:hAnsi="Arial" w:cs="Arial"/>
          <w:sz w:val="18"/>
          <w:szCs w:val="18"/>
        </w:rPr>
        <w:footnoteRef/>
      </w:r>
      <w:r w:rsidRPr="00FF6687">
        <w:rPr>
          <w:rFonts w:ascii="Arial" w:hAnsi="Arial" w:cs="Arial"/>
          <w:sz w:val="18"/>
          <w:szCs w:val="18"/>
        </w:rPr>
        <w:t xml:space="preserve"> </w:t>
      </w:r>
      <w:r w:rsidRPr="00FF6687">
        <w:rPr>
          <w:rFonts w:ascii="Arial" w:hAnsi="Arial" w:cs="Arial"/>
          <w:color w:val="000000" w:themeColor="text1"/>
          <w:sz w:val="18"/>
          <w:szCs w:val="18"/>
        </w:rPr>
        <w:t>CONSEJO DE ESTADO. Sección Tercera. Sentencia de 22 de junio de 2001. Exp. 13436, C.P. Ricardo Hoyos Duque</w:t>
      </w:r>
    </w:p>
  </w:footnote>
  <w:footnote w:id="9">
    <w:p w14:paraId="3395A9A7" w14:textId="77777777" w:rsidR="00535540" w:rsidRPr="00FF6687" w:rsidRDefault="00535540" w:rsidP="00C13AA4">
      <w:pPr>
        <w:pStyle w:val="Textonotapie"/>
        <w:ind w:firstLine="709"/>
        <w:jc w:val="both"/>
        <w:rPr>
          <w:rFonts w:ascii="Arial" w:hAnsi="Arial" w:cs="Arial"/>
          <w:sz w:val="18"/>
          <w:szCs w:val="18"/>
        </w:rPr>
      </w:pPr>
      <w:r w:rsidRPr="00FF6687">
        <w:rPr>
          <w:rStyle w:val="Refdenotaalpie"/>
          <w:rFonts w:ascii="Arial" w:hAnsi="Arial" w:cs="Arial"/>
          <w:sz w:val="18"/>
          <w:szCs w:val="18"/>
        </w:rPr>
        <w:footnoteRef/>
      </w:r>
      <w:r w:rsidRPr="00FF6687">
        <w:rPr>
          <w:rFonts w:ascii="Arial" w:hAnsi="Arial" w:cs="Arial"/>
          <w:sz w:val="18"/>
          <w:szCs w:val="18"/>
        </w:rPr>
        <w:t>«Se trata de un dinero entregado a título de crédito a favor de la entidad contratante, el cual debe ser debidamente cancelado a través de los descuentos hechos a los valores cobrados por el contratista, de modo que por medio de dicho mecanismos el dinero entregado como anticipo se convierta en parte del pago como contraprestación a la ejecución de las actividades propias del objeto pactado en virtud del contrato, siendo una práctica usual que permite impulsar la ejecución del contrato con la agilidad que requiere la administración para concluir la ejecución del objeto contratado, en aras de dar cumplimiento al mandato de una continua y eficiente prestación del servicio público a su cargo</w:t>
      </w:r>
      <w:r w:rsidRPr="00FF6687">
        <w:rPr>
          <w:rFonts w:ascii="Arial" w:eastAsia="Calibri" w:hAnsi="Arial" w:cs="Arial"/>
          <w:color w:val="000000" w:themeColor="text1"/>
          <w:sz w:val="18"/>
          <w:szCs w:val="18"/>
        </w:rPr>
        <w:t>» (</w:t>
      </w:r>
      <w:r w:rsidRPr="00FF6687">
        <w:rPr>
          <w:rFonts w:ascii="Arial" w:hAnsi="Arial" w:cs="Arial"/>
          <w:sz w:val="18"/>
          <w:szCs w:val="18"/>
        </w:rPr>
        <w:t>EXPÓSITO VÉLEZ, Juan Carlos. Forma y contenido del contrato estatal. Bogotá: Universidad Externado de Colombia, 2013, p. 165-166). De igual manera, se ha expuesto que «Son recursos que deberán amortizarse en proporción a la ejecución del contrato pues se trata de una especie muy particular de préstamo. Lo anterior tiene consecuencias muy importantes, porque se trata de recursos públicos administrados por un particular (contratista), y en esa medida cualquier desviación de estos recursos a fines distintos a los contemplados dentro del contrato podrá propiciar las correspondientes acciones de carácter penal</w:t>
      </w:r>
      <w:r w:rsidRPr="00FF6687">
        <w:rPr>
          <w:rFonts w:ascii="Arial" w:eastAsia="Calibri" w:hAnsi="Arial" w:cs="Arial"/>
          <w:color w:val="000000" w:themeColor="text1"/>
          <w:sz w:val="18"/>
          <w:szCs w:val="18"/>
        </w:rPr>
        <w:t>»</w:t>
      </w:r>
      <w:r w:rsidRPr="00FF6687">
        <w:rPr>
          <w:rFonts w:ascii="Arial" w:hAnsi="Arial" w:cs="Arial"/>
          <w:sz w:val="18"/>
          <w:szCs w:val="18"/>
        </w:rPr>
        <w:t xml:space="preserve"> (MATALLANA CAMACHO, Ernesto. Manual de Contratación de la Administración Pública. Reforma de la Ley 80 de 1993. Bogotá: Universidad Externado de Colombia, 4 ed., 2015, p. 921 y ss).</w:t>
      </w:r>
    </w:p>
  </w:footnote>
  <w:footnote w:id="10">
    <w:p w14:paraId="2C805CDE" w14:textId="2A8B673F" w:rsidR="00535540" w:rsidRPr="00FF6687" w:rsidRDefault="00535540" w:rsidP="00C13AA4">
      <w:pPr>
        <w:spacing w:after="0" w:line="240" w:lineRule="auto"/>
        <w:ind w:firstLine="709"/>
        <w:jc w:val="both"/>
        <w:rPr>
          <w:rFonts w:ascii="Arial" w:hAnsi="Arial" w:cs="Arial"/>
          <w:sz w:val="18"/>
          <w:szCs w:val="18"/>
        </w:rPr>
      </w:pPr>
      <w:r w:rsidRPr="00FF6687">
        <w:rPr>
          <w:rStyle w:val="Refdenotaalpie"/>
          <w:rFonts w:ascii="Arial" w:hAnsi="Arial" w:cs="Arial"/>
          <w:sz w:val="18"/>
          <w:szCs w:val="18"/>
        </w:rPr>
        <w:footnoteRef/>
      </w:r>
      <w:r w:rsidRPr="00FF6687">
        <w:rPr>
          <w:rFonts w:ascii="Arial" w:hAnsi="Arial" w:cs="Arial"/>
          <w:sz w:val="18"/>
          <w:szCs w:val="18"/>
        </w:rPr>
        <w:t xml:space="preserve"> </w:t>
      </w:r>
      <w:r w:rsidR="00C13AA4" w:rsidRPr="00FF6687">
        <w:rPr>
          <w:rFonts w:ascii="Arial" w:hAnsi="Arial" w:cs="Arial"/>
          <w:sz w:val="18"/>
          <w:szCs w:val="18"/>
        </w:rPr>
        <w:t>CONSEJO DE ESTADO</w:t>
      </w:r>
      <w:r w:rsidRPr="00FF6687">
        <w:rPr>
          <w:rFonts w:ascii="Arial" w:hAnsi="Arial" w:cs="Arial"/>
          <w:sz w:val="18"/>
          <w:szCs w:val="18"/>
        </w:rPr>
        <w:t>. Sala Plena de lo Contencioso Administrativo. Sentencia del 8 de agosto de 2001. Exp. AC-10966 - AC-11274. Consejero Ponente: Reinaldo Chavarro Buriticá.</w:t>
      </w:r>
    </w:p>
  </w:footnote>
  <w:footnote w:id="11">
    <w:p w14:paraId="53776912" w14:textId="77777777" w:rsidR="00535540" w:rsidRPr="00FF6687" w:rsidRDefault="00535540" w:rsidP="00C13AA4">
      <w:pPr>
        <w:pStyle w:val="Sinespaciado"/>
        <w:ind w:firstLine="708"/>
        <w:jc w:val="both"/>
        <w:rPr>
          <w:rFonts w:ascii="Arial" w:hAnsi="Arial" w:cs="Arial"/>
          <w:sz w:val="18"/>
          <w:szCs w:val="18"/>
        </w:rPr>
      </w:pPr>
      <w:r w:rsidRPr="00FF6687">
        <w:rPr>
          <w:rStyle w:val="Refdenotaalpie"/>
          <w:rFonts w:ascii="Arial" w:hAnsi="Arial" w:cs="Arial"/>
          <w:sz w:val="18"/>
          <w:szCs w:val="18"/>
        </w:rPr>
        <w:footnoteRef/>
      </w:r>
      <w:r w:rsidRPr="00FF6687">
        <w:rPr>
          <w:rFonts w:ascii="Arial" w:hAnsi="Arial" w:cs="Arial"/>
          <w:sz w:val="18"/>
          <w:szCs w:val="18"/>
        </w:rPr>
        <w:t xml:space="preserve"> ARTÍCULO 2.2.1.2.3.1.7. Garantía de cumplimiento. La garantía de cumplimiento del contrato debe cubrir:</w:t>
      </w:r>
    </w:p>
    <w:p w14:paraId="2706A8C3" w14:textId="77777777" w:rsidR="00535540" w:rsidRPr="00FF6687" w:rsidRDefault="00535540" w:rsidP="00C13AA4">
      <w:pPr>
        <w:pStyle w:val="Sinespaciado"/>
        <w:ind w:firstLine="708"/>
        <w:jc w:val="both"/>
        <w:rPr>
          <w:rFonts w:ascii="Arial" w:hAnsi="Arial" w:cs="Arial"/>
          <w:sz w:val="18"/>
          <w:szCs w:val="18"/>
        </w:rPr>
      </w:pPr>
      <w:r w:rsidRPr="00FF6687">
        <w:rPr>
          <w:rFonts w:ascii="Arial" w:eastAsia="Calibri" w:hAnsi="Arial" w:cs="Arial"/>
          <w:sz w:val="18"/>
          <w:szCs w:val="18"/>
          <w:lang w:val="es-ES"/>
        </w:rPr>
        <w:t>«</w:t>
      </w:r>
      <w:r w:rsidRPr="00FF6687">
        <w:rPr>
          <w:rFonts w:ascii="Arial" w:hAnsi="Arial" w:cs="Arial"/>
          <w:sz w:val="18"/>
          <w:szCs w:val="18"/>
        </w:rPr>
        <w:t>1. Buen manejo y correcta inversión del anticipo. Este amparo cubre los perjuicios sufridos por la Entidad Estatal con ocasión de: (i) la no inversión del anticipo; (ii) el uso indebido del anticipo; y (iii) la apropiación indebida de los recursos recibidos en calidad de anticipo.</w:t>
      </w:r>
    </w:p>
    <w:p w14:paraId="458516C8" w14:textId="77777777" w:rsidR="00535540" w:rsidRPr="00FF6687" w:rsidRDefault="00535540" w:rsidP="00C13AA4">
      <w:pPr>
        <w:pStyle w:val="Sinespaciado"/>
        <w:ind w:firstLine="708"/>
        <w:jc w:val="both"/>
        <w:rPr>
          <w:rFonts w:ascii="Arial" w:hAnsi="Arial" w:cs="Arial"/>
          <w:sz w:val="18"/>
          <w:szCs w:val="18"/>
        </w:rPr>
      </w:pPr>
      <w:r w:rsidRPr="00FF6687">
        <w:rPr>
          <w:rFonts w:ascii="Arial" w:eastAsia="Calibri" w:hAnsi="Arial" w:cs="Arial"/>
          <w:sz w:val="18"/>
          <w:szCs w:val="18"/>
          <w:lang w:val="es-ES"/>
        </w:rPr>
        <w:t>«</w:t>
      </w:r>
      <w:r w:rsidRPr="00FF6687">
        <w:rPr>
          <w:rFonts w:ascii="Arial" w:hAnsi="Arial" w:cs="Arial"/>
          <w:sz w:val="18"/>
          <w:szCs w:val="18"/>
        </w:rPr>
        <w:t>2. Devolución del pago anticipado. Este amparo cubre los perjuicios sufridos por la Entidad Estatal por la no devolución total o parcial del dinero entregado al contratista a título de pago anticipado, cuando a ello hubiere lugar.</w:t>
      </w:r>
    </w:p>
    <w:p w14:paraId="1DC7DD9C" w14:textId="77777777" w:rsidR="00535540" w:rsidRPr="00FF6687" w:rsidRDefault="00535540" w:rsidP="00C13AA4">
      <w:pPr>
        <w:pStyle w:val="Sinespaciado"/>
        <w:ind w:firstLine="708"/>
        <w:jc w:val="both"/>
        <w:rPr>
          <w:rFonts w:ascii="Arial" w:hAnsi="Arial" w:cs="Arial"/>
          <w:sz w:val="18"/>
          <w:szCs w:val="18"/>
        </w:rPr>
      </w:pPr>
      <w:r w:rsidRPr="00FF6687">
        <w:rPr>
          <w:rFonts w:ascii="Arial" w:eastAsia="Calibri" w:hAnsi="Arial" w:cs="Arial"/>
          <w:sz w:val="18"/>
          <w:szCs w:val="18"/>
          <w:lang w:val="es-ES"/>
        </w:rPr>
        <w:t>«</w:t>
      </w:r>
      <w:r w:rsidRPr="00FF6687">
        <w:rPr>
          <w:rFonts w:ascii="Arial" w:hAnsi="Arial" w:cs="Arial"/>
          <w:sz w:val="18"/>
          <w:szCs w:val="18"/>
        </w:rPr>
        <w:t>3. Cumplimiento del contrato. Este amparo cubre a la Entidad Estatal de los perjuicios derivados de:</w:t>
      </w:r>
    </w:p>
    <w:p w14:paraId="178D732E" w14:textId="77777777" w:rsidR="00535540" w:rsidRPr="00FF6687" w:rsidRDefault="00535540" w:rsidP="00C13AA4">
      <w:pPr>
        <w:pStyle w:val="Sinespaciado"/>
        <w:ind w:firstLine="708"/>
        <w:jc w:val="both"/>
        <w:rPr>
          <w:rFonts w:ascii="Arial" w:hAnsi="Arial" w:cs="Arial"/>
          <w:sz w:val="18"/>
          <w:szCs w:val="18"/>
        </w:rPr>
      </w:pPr>
      <w:r w:rsidRPr="00FF6687">
        <w:rPr>
          <w:rFonts w:ascii="Arial" w:eastAsia="Calibri" w:hAnsi="Arial" w:cs="Arial"/>
          <w:sz w:val="18"/>
          <w:szCs w:val="18"/>
          <w:lang w:val="es-ES"/>
        </w:rPr>
        <w:t>«</w:t>
      </w:r>
      <w:r w:rsidRPr="00FF6687">
        <w:rPr>
          <w:rFonts w:ascii="Arial" w:hAnsi="Arial" w:cs="Arial"/>
          <w:sz w:val="18"/>
          <w:szCs w:val="18"/>
        </w:rPr>
        <w:t>3.1. El incumplimiento total o parcial del contrato, cuando el incumplimiento es imputable al contratista;</w:t>
      </w:r>
    </w:p>
    <w:p w14:paraId="28886675" w14:textId="77777777" w:rsidR="00535540" w:rsidRPr="00FF6687" w:rsidRDefault="00535540" w:rsidP="00C13AA4">
      <w:pPr>
        <w:pStyle w:val="Sinespaciado"/>
        <w:ind w:firstLine="708"/>
        <w:jc w:val="both"/>
        <w:rPr>
          <w:rFonts w:ascii="Arial" w:hAnsi="Arial" w:cs="Arial"/>
          <w:sz w:val="18"/>
          <w:szCs w:val="18"/>
        </w:rPr>
      </w:pPr>
      <w:r w:rsidRPr="00FF6687">
        <w:rPr>
          <w:rFonts w:ascii="Arial" w:eastAsia="Calibri" w:hAnsi="Arial" w:cs="Arial"/>
          <w:sz w:val="18"/>
          <w:szCs w:val="18"/>
          <w:lang w:val="es-ES"/>
        </w:rPr>
        <w:t>«</w:t>
      </w:r>
      <w:r w:rsidRPr="00FF6687">
        <w:rPr>
          <w:rFonts w:ascii="Arial" w:hAnsi="Arial" w:cs="Arial"/>
          <w:sz w:val="18"/>
          <w:szCs w:val="18"/>
        </w:rPr>
        <w:t>3.2. El cumplimiento tardío o defectuoso del contrato, cuando el incumplimiento es imputable al contratista;</w:t>
      </w:r>
    </w:p>
    <w:p w14:paraId="13CF5991" w14:textId="77777777" w:rsidR="00535540" w:rsidRPr="00FF6687" w:rsidRDefault="00535540" w:rsidP="00C13AA4">
      <w:pPr>
        <w:pStyle w:val="Sinespaciado"/>
        <w:ind w:firstLine="708"/>
        <w:jc w:val="both"/>
        <w:rPr>
          <w:rFonts w:ascii="Arial" w:hAnsi="Arial" w:cs="Arial"/>
          <w:sz w:val="18"/>
          <w:szCs w:val="18"/>
        </w:rPr>
      </w:pPr>
      <w:r w:rsidRPr="00FF6687">
        <w:rPr>
          <w:rFonts w:ascii="Arial" w:eastAsia="Calibri" w:hAnsi="Arial" w:cs="Arial"/>
          <w:sz w:val="18"/>
          <w:szCs w:val="18"/>
          <w:lang w:val="es-ES"/>
        </w:rPr>
        <w:t>«</w:t>
      </w:r>
      <w:r w:rsidRPr="00FF6687">
        <w:rPr>
          <w:rFonts w:ascii="Arial" w:hAnsi="Arial" w:cs="Arial"/>
          <w:sz w:val="18"/>
          <w:szCs w:val="18"/>
        </w:rPr>
        <w:t>3.3. Los daños imputables al contratista por entregas parciales de la obra, cuando el contrato no prevé entregas parciales; y</w:t>
      </w:r>
    </w:p>
    <w:p w14:paraId="14ABD8F5" w14:textId="77777777" w:rsidR="00535540" w:rsidRPr="00FF6687" w:rsidRDefault="00535540" w:rsidP="00C13AA4">
      <w:pPr>
        <w:pStyle w:val="Sinespaciado"/>
        <w:ind w:firstLine="708"/>
        <w:jc w:val="both"/>
        <w:rPr>
          <w:rFonts w:ascii="Arial" w:hAnsi="Arial" w:cs="Arial"/>
          <w:sz w:val="18"/>
          <w:szCs w:val="18"/>
        </w:rPr>
      </w:pPr>
      <w:r w:rsidRPr="00FF6687">
        <w:rPr>
          <w:rFonts w:ascii="Arial" w:eastAsia="Calibri" w:hAnsi="Arial" w:cs="Arial"/>
          <w:sz w:val="18"/>
          <w:szCs w:val="18"/>
          <w:lang w:val="es-ES"/>
        </w:rPr>
        <w:t>«</w:t>
      </w:r>
      <w:r w:rsidRPr="00FF6687">
        <w:rPr>
          <w:rFonts w:ascii="Arial" w:hAnsi="Arial" w:cs="Arial"/>
          <w:sz w:val="18"/>
          <w:szCs w:val="18"/>
        </w:rPr>
        <w:t>3.4. El pago del valor de las multas y de la cláusula penal pecuniaria.</w:t>
      </w:r>
    </w:p>
    <w:p w14:paraId="1FAEFB35" w14:textId="77777777" w:rsidR="00535540" w:rsidRPr="00FF6687" w:rsidRDefault="00535540" w:rsidP="00C13AA4">
      <w:pPr>
        <w:pStyle w:val="Sinespaciado"/>
        <w:ind w:firstLine="708"/>
        <w:jc w:val="both"/>
        <w:rPr>
          <w:rFonts w:ascii="Arial" w:hAnsi="Arial" w:cs="Arial"/>
          <w:sz w:val="18"/>
          <w:szCs w:val="18"/>
        </w:rPr>
      </w:pPr>
      <w:r w:rsidRPr="00FF6687">
        <w:rPr>
          <w:rFonts w:ascii="Arial" w:eastAsia="Calibri" w:hAnsi="Arial" w:cs="Arial"/>
          <w:sz w:val="18"/>
          <w:szCs w:val="18"/>
          <w:lang w:val="es-ES"/>
        </w:rPr>
        <w:t>«</w:t>
      </w:r>
      <w:r w:rsidRPr="00FF6687">
        <w:rPr>
          <w:rFonts w:ascii="Arial" w:hAnsi="Arial" w:cs="Arial"/>
          <w:sz w:val="18"/>
          <w:szCs w:val="18"/>
        </w:rPr>
        <w:t>4. Pago de salarios, prestaciones sociales legales e indemnizaciones laborales. Este amparo debe cubrir a la Entidad Estatal de los perjuicios ocasionados por el incumplimiento de las obligaciones laborales del contratista derivadas de la contratación del personal utilizado en el territorio nacional para la ejecución del contrato amparado.</w:t>
      </w:r>
    </w:p>
    <w:p w14:paraId="16E7EFAE" w14:textId="77777777" w:rsidR="00535540" w:rsidRPr="00FF6687" w:rsidRDefault="00535540" w:rsidP="00C13AA4">
      <w:pPr>
        <w:pStyle w:val="Sinespaciado"/>
        <w:ind w:firstLine="708"/>
        <w:jc w:val="both"/>
        <w:rPr>
          <w:rFonts w:ascii="Arial" w:hAnsi="Arial" w:cs="Arial"/>
          <w:sz w:val="18"/>
          <w:szCs w:val="18"/>
        </w:rPr>
      </w:pPr>
      <w:r w:rsidRPr="00FF6687">
        <w:rPr>
          <w:rFonts w:ascii="Arial" w:eastAsia="Calibri" w:hAnsi="Arial" w:cs="Arial"/>
          <w:sz w:val="18"/>
          <w:szCs w:val="18"/>
          <w:lang w:val="es-ES"/>
        </w:rPr>
        <w:t>«</w:t>
      </w:r>
      <w:r w:rsidRPr="00FF6687">
        <w:rPr>
          <w:rFonts w:ascii="Arial" w:hAnsi="Arial" w:cs="Arial"/>
          <w:sz w:val="18"/>
          <w:szCs w:val="18"/>
        </w:rPr>
        <w:t>La Entidad Estatal no debe exigir una garantía para cubrir este Riesgo en los contratos que se ejecuten fuera del territorio nacional con personal contratado bajo un régimen jurídico distinto al colombiano.</w:t>
      </w:r>
    </w:p>
    <w:p w14:paraId="5AE2AE5E" w14:textId="77777777" w:rsidR="00535540" w:rsidRPr="00FF6687" w:rsidRDefault="00535540" w:rsidP="00C13AA4">
      <w:pPr>
        <w:pStyle w:val="Sinespaciado"/>
        <w:ind w:firstLine="708"/>
        <w:jc w:val="both"/>
        <w:rPr>
          <w:rFonts w:ascii="Arial" w:hAnsi="Arial" w:cs="Arial"/>
          <w:sz w:val="18"/>
          <w:szCs w:val="18"/>
        </w:rPr>
      </w:pPr>
      <w:r w:rsidRPr="00FF6687">
        <w:rPr>
          <w:rFonts w:ascii="Arial" w:eastAsia="Calibri" w:hAnsi="Arial" w:cs="Arial"/>
          <w:sz w:val="18"/>
          <w:szCs w:val="18"/>
          <w:lang w:val="es-ES"/>
        </w:rPr>
        <w:t>«</w:t>
      </w:r>
      <w:r w:rsidRPr="00FF6687">
        <w:rPr>
          <w:rFonts w:ascii="Arial" w:hAnsi="Arial" w:cs="Arial"/>
          <w:sz w:val="18"/>
          <w:szCs w:val="18"/>
        </w:rPr>
        <w:t>5. Estabilidad y calidad de la obra. Este amparo cubre a la Entidad Estatal de los perjuicios ocasionados por cualquier tipo de daño o deterioro, imputable al contratista, sufrido por la obra entregada a satisfacción.</w:t>
      </w:r>
    </w:p>
    <w:p w14:paraId="454822EA" w14:textId="77777777" w:rsidR="00535540" w:rsidRPr="00FF6687" w:rsidRDefault="00535540" w:rsidP="00C13AA4">
      <w:pPr>
        <w:pStyle w:val="Sinespaciado"/>
        <w:ind w:firstLine="708"/>
        <w:jc w:val="both"/>
        <w:rPr>
          <w:rFonts w:ascii="Arial" w:hAnsi="Arial" w:cs="Arial"/>
          <w:sz w:val="18"/>
          <w:szCs w:val="18"/>
        </w:rPr>
      </w:pPr>
      <w:r w:rsidRPr="00FF6687">
        <w:rPr>
          <w:rFonts w:ascii="Arial" w:eastAsia="Calibri" w:hAnsi="Arial" w:cs="Arial"/>
          <w:sz w:val="18"/>
          <w:szCs w:val="18"/>
          <w:lang w:val="es-ES"/>
        </w:rPr>
        <w:t>«</w:t>
      </w:r>
      <w:r w:rsidRPr="00FF6687">
        <w:rPr>
          <w:rFonts w:ascii="Arial" w:hAnsi="Arial" w:cs="Arial"/>
          <w:sz w:val="18"/>
          <w:szCs w:val="18"/>
        </w:rPr>
        <w:t>6. Calidad del servicio. Este amparo cubre a la Entidad Estatal por los perjuicios derivados de la deficiente calidad del servicio prestado.</w:t>
      </w:r>
    </w:p>
    <w:p w14:paraId="7B7051E2" w14:textId="77777777" w:rsidR="00535540" w:rsidRPr="00FF6687" w:rsidRDefault="00535540" w:rsidP="00C13AA4">
      <w:pPr>
        <w:pStyle w:val="Sinespaciado"/>
        <w:ind w:firstLine="708"/>
        <w:jc w:val="both"/>
        <w:rPr>
          <w:rFonts w:ascii="Arial" w:hAnsi="Arial" w:cs="Arial"/>
          <w:sz w:val="18"/>
          <w:szCs w:val="18"/>
        </w:rPr>
      </w:pPr>
      <w:r w:rsidRPr="00FF6687">
        <w:rPr>
          <w:rFonts w:ascii="Arial" w:eastAsia="Calibri" w:hAnsi="Arial" w:cs="Arial"/>
          <w:sz w:val="18"/>
          <w:szCs w:val="18"/>
          <w:lang w:val="es-ES"/>
        </w:rPr>
        <w:t>«</w:t>
      </w:r>
      <w:r w:rsidRPr="00FF6687">
        <w:rPr>
          <w:rFonts w:ascii="Arial" w:hAnsi="Arial" w:cs="Arial"/>
          <w:sz w:val="18"/>
          <w:szCs w:val="18"/>
        </w:rPr>
        <w:t>7. Calidad y correcto funcionamiento de los bienes. Este amparo debe cubrir la calidad y el correcto funcionamiento de los bienes que recibe la Entidad Estatal en cumplimiento de un contrato.</w:t>
      </w:r>
    </w:p>
    <w:p w14:paraId="1F023401" w14:textId="77777777" w:rsidR="00535540" w:rsidRPr="00FF6687" w:rsidRDefault="00535540" w:rsidP="00C13AA4">
      <w:pPr>
        <w:pStyle w:val="Sinespaciado"/>
        <w:ind w:firstLine="708"/>
        <w:jc w:val="both"/>
        <w:rPr>
          <w:rFonts w:ascii="Arial" w:hAnsi="Arial" w:cs="Arial"/>
          <w:sz w:val="18"/>
          <w:szCs w:val="18"/>
          <w:lang w:val="es-CO"/>
        </w:rPr>
      </w:pPr>
      <w:r w:rsidRPr="00FF6687">
        <w:rPr>
          <w:rFonts w:ascii="Arial" w:eastAsia="Calibri" w:hAnsi="Arial" w:cs="Arial"/>
          <w:sz w:val="18"/>
          <w:szCs w:val="18"/>
          <w:lang w:val="es-ES"/>
        </w:rPr>
        <w:t>«</w:t>
      </w:r>
      <w:r w:rsidRPr="00FF6687">
        <w:rPr>
          <w:rFonts w:ascii="Arial" w:hAnsi="Arial" w:cs="Arial"/>
          <w:sz w:val="18"/>
          <w:szCs w:val="18"/>
        </w:rPr>
        <w:t>8. Los demás incumplimientos de obligaciones que la Entidad Estatal considere deben ser amparados de manera proporcional y acorde a la naturaleza del contrato.</w:t>
      </w:r>
    </w:p>
  </w:footnote>
  <w:footnote w:id="12">
    <w:p w14:paraId="3291C93B" w14:textId="77777777" w:rsidR="00535540" w:rsidRPr="00FF6687" w:rsidRDefault="00535540" w:rsidP="00C13AA4">
      <w:pPr>
        <w:pStyle w:val="NormalWeb"/>
        <w:shd w:val="clear" w:color="auto" w:fill="FFFFFF"/>
        <w:spacing w:before="0" w:beforeAutospacing="0" w:after="0" w:afterAutospacing="0"/>
        <w:ind w:firstLine="709"/>
        <w:jc w:val="both"/>
        <w:rPr>
          <w:rFonts w:ascii="Arial" w:hAnsi="Arial" w:cs="Arial"/>
          <w:sz w:val="18"/>
          <w:szCs w:val="18"/>
        </w:rPr>
      </w:pPr>
      <w:r w:rsidRPr="00FF6687">
        <w:rPr>
          <w:rStyle w:val="Refdenotaalpie"/>
          <w:rFonts w:ascii="Arial" w:hAnsi="Arial" w:cs="Arial"/>
          <w:sz w:val="18"/>
          <w:szCs w:val="18"/>
        </w:rPr>
        <w:footnoteRef/>
      </w:r>
      <w:r w:rsidRPr="00FF6687">
        <w:rPr>
          <w:rFonts w:ascii="Arial" w:eastAsia="Calibri" w:hAnsi="Arial" w:cs="Arial"/>
          <w:sz w:val="18"/>
          <w:szCs w:val="18"/>
        </w:rPr>
        <w:t>«</w:t>
      </w:r>
      <w:r w:rsidRPr="00FF6687">
        <w:rPr>
          <w:rFonts w:ascii="Arial" w:hAnsi="Arial" w:cs="Arial"/>
          <w:sz w:val="18"/>
          <w:szCs w:val="18"/>
        </w:rPr>
        <w:t>Artículo 2.2.1.1.2.4.1.</w:t>
      </w:r>
      <w:r w:rsidRPr="00FF6687">
        <w:rPr>
          <w:rFonts w:ascii="Arial" w:hAnsi="Arial" w:cs="Arial"/>
          <w:i/>
          <w:iCs/>
          <w:sz w:val="18"/>
          <w:szCs w:val="18"/>
        </w:rPr>
        <w:t> </w:t>
      </w:r>
      <w:r w:rsidRPr="00FF6687">
        <w:rPr>
          <w:rFonts w:ascii="Arial" w:hAnsi="Arial" w:cs="Arial"/>
          <w:sz w:val="18"/>
          <w:szCs w:val="18"/>
        </w:rPr>
        <w:t>Patrimonio autónomo para el manejo de anticipos.</w:t>
      </w:r>
      <w:r w:rsidRPr="00FF6687">
        <w:rPr>
          <w:rFonts w:ascii="Arial" w:hAnsi="Arial" w:cs="Arial"/>
          <w:i/>
          <w:iCs/>
          <w:sz w:val="18"/>
          <w:szCs w:val="18"/>
        </w:rPr>
        <w:t> </w:t>
      </w:r>
      <w:r w:rsidRPr="00FF6687">
        <w:rPr>
          <w:rFonts w:ascii="Arial" w:hAnsi="Arial" w:cs="Arial"/>
          <w:sz w:val="18"/>
          <w:szCs w:val="18"/>
        </w:rPr>
        <w:t>En los casos previstos en la ley, el contratista debe suscribir un contrato de fiducia mercantil para crear un patrimonio autónomo, con una sociedad fiduciaria autorizada para ese fin por la Superintendencia Financiera de Colombia, a la cual la Entidad Estatal debe entregar el valor del anticipo.</w:t>
      </w:r>
    </w:p>
    <w:p w14:paraId="1DE19F1F" w14:textId="77777777" w:rsidR="00535540" w:rsidRPr="00FF6687" w:rsidRDefault="00535540" w:rsidP="00C13AA4">
      <w:pPr>
        <w:pStyle w:val="NormalWeb"/>
        <w:shd w:val="clear" w:color="auto" w:fill="FFFFFF"/>
        <w:spacing w:before="0" w:beforeAutospacing="0" w:after="0" w:afterAutospacing="0"/>
        <w:ind w:firstLine="709"/>
        <w:jc w:val="both"/>
        <w:rPr>
          <w:rFonts w:ascii="Arial" w:hAnsi="Arial" w:cs="Arial"/>
          <w:sz w:val="18"/>
          <w:szCs w:val="18"/>
        </w:rPr>
      </w:pPr>
      <w:r w:rsidRPr="00FF6687">
        <w:rPr>
          <w:rFonts w:ascii="Arial" w:eastAsia="Calibri" w:hAnsi="Arial" w:cs="Arial"/>
          <w:sz w:val="18"/>
          <w:szCs w:val="18"/>
        </w:rPr>
        <w:t>«</w:t>
      </w:r>
      <w:r w:rsidRPr="00FF6687">
        <w:rPr>
          <w:rFonts w:ascii="Arial" w:hAnsi="Arial" w:cs="Arial"/>
          <w:sz w:val="18"/>
          <w:szCs w:val="18"/>
        </w:rPr>
        <w:t>Los recursos entregados por la Entidad Estatal a título de anticipo dejan de ser parte del patrimonio de esta para conformar el patrimonio autónomo. En consecuencia, los recursos del patrimonio autónomo y sus rendimientos son autónomos y son manejados de acuerdo con el contrato de fiducia mercantil.</w:t>
      </w:r>
    </w:p>
    <w:p w14:paraId="73A2350F" w14:textId="77777777" w:rsidR="00535540" w:rsidRPr="00FF6687" w:rsidRDefault="00535540" w:rsidP="00C13AA4">
      <w:pPr>
        <w:pStyle w:val="NormalWeb"/>
        <w:shd w:val="clear" w:color="auto" w:fill="FFFFFF"/>
        <w:spacing w:before="0" w:beforeAutospacing="0" w:after="0" w:afterAutospacing="0"/>
        <w:ind w:firstLine="709"/>
        <w:jc w:val="both"/>
        <w:rPr>
          <w:rFonts w:ascii="Arial" w:hAnsi="Arial" w:cs="Arial"/>
          <w:sz w:val="18"/>
          <w:szCs w:val="18"/>
        </w:rPr>
      </w:pPr>
      <w:r w:rsidRPr="00FF6687">
        <w:rPr>
          <w:rFonts w:ascii="Arial" w:eastAsia="Calibri" w:hAnsi="Arial" w:cs="Arial"/>
          <w:sz w:val="18"/>
          <w:szCs w:val="18"/>
        </w:rPr>
        <w:t>«</w:t>
      </w:r>
      <w:r w:rsidRPr="00FF6687">
        <w:rPr>
          <w:rFonts w:ascii="Arial" w:hAnsi="Arial" w:cs="Arial"/>
          <w:sz w:val="18"/>
          <w:szCs w:val="18"/>
        </w:rPr>
        <w:t>En los pliegos de condiciones, la Entidad Estatal debe establecer los términos y condiciones de la administración del anticipo a través del patrimonio autónomo.</w:t>
      </w:r>
    </w:p>
    <w:p w14:paraId="30DA879F" w14:textId="77777777" w:rsidR="00535540" w:rsidRPr="00FF6687" w:rsidRDefault="00535540" w:rsidP="00C13AA4">
      <w:pPr>
        <w:pStyle w:val="NormalWeb"/>
        <w:shd w:val="clear" w:color="auto" w:fill="FFFFFF"/>
        <w:spacing w:before="0" w:beforeAutospacing="0" w:after="0" w:afterAutospacing="0"/>
        <w:ind w:firstLine="709"/>
        <w:jc w:val="both"/>
        <w:rPr>
          <w:rFonts w:ascii="Arial" w:eastAsia="Calibri" w:hAnsi="Arial" w:cs="Arial"/>
          <w:sz w:val="18"/>
          <w:szCs w:val="18"/>
        </w:rPr>
      </w:pPr>
      <w:r w:rsidRPr="00FF6687">
        <w:rPr>
          <w:rFonts w:ascii="Arial" w:eastAsia="Calibri" w:hAnsi="Arial" w:cs="Arial"/>
          <w:sz w:val="18"/>
          <w:szCs w:val="18"/>
        </w:rPr>
        <w:t>«</w:t>
      </w:r>
      <w:r w:rsidRPr="00FF6687">
        <w:rPr>
          <w:rFonts w:ascii="Arial" w:hAnsi="Arial" w:cs="Arial"/>
          <w:sz w:val="18"/>
          <w:szCs w:val="18"/>
        </w:rPr>
        <w:t>En este caso, la sociedad fiduciaria debe pagar a los proveedores, con base en las instrucciones que reciba del contratista, las cuales deben haber sido autorizadas por el Supervisor o el Interventor, siempre y cuando tales pagos correspondan a los rubros previstos en el plan de utilización o de inversión del anticipo</w:t>
      </w:r>
      <w:r w:rsidRPr="00FF6687">
        <w:rPr>
          <w:rFonts w:ascii="Arial" w:eastAsia="Calibri" w:hAnsi="Arial" w:cs="Arial"/>
          <w:sz w:val="18"/>
          <w:szCs w:val="18"/>
        </w:rPr>
        <w:t>».</w:t>
      </w:r>
    </w:p>
    <w:p w14:paraId="4A91AC50" w14:textId="77777777" w:rsidR="00535540" w:rsidRPr="00FF6687" w:rsidRDefault="00535540" w:rsidP="00C13AA4">
      <w:pPr>
        <w:pStyle w:val="NormalWeb"/>
        <w:shd w:val="clear" w:color="auto" w:fill="FFFFFF"/>
        <w:spacing w:before="0" w:beforeAutospacing="0" w:after="0" w:afterAutospacing="0"/>
        <w:ind w:firstLine="709"/>
        <w:jc w:val="both"/>
        <w:rPr>
          <w:rFonts w:ascii="Arial" w:hAnsi="Arial" w:cs="Arial"/>
          <w:sz w:val="18"/>
          <w:szCs w:val="18"/>
        </w:rPr>
      </w:pPr>
    </w:p>
  </w:footnote>
  <w:footnote w:id="13">
    <w:p w14:paraId="518C52D3" w14:textId="1298B89A" w:rsidR="00535540" w:rsidRPr="00FF6687" w:rsidRDefault="00535540" w:rsidP="00C13AA4">
      <w:pPr>
        <w:pStyle w:val="Textonotapie"/>
        <w:ind w:firstLine="709"/>
        <w:jc w:val="both"/>
        <w:rPr>
          <w:rFonts w:ascii="Arial" w:hAnsi="Arial" w:cs="Arial"/>
          <w:sz w:val="18"/>
          <w:szCs w:val="18"/>
        </w:rPr>
      </w:pPr>
      <w:r w:rsidRPr="00FF6687">
        <w:rPr>
          <w:rStyle w:val="Refdenotaalpie"/>
          <w:rFonts w:ascii="Arial" w:hAnsi="Arial" w:cs="Arial"/>
          <w:sz w:val="18"/>
          <w:szCs w:val="18"/>
        </w:rPr>
        <w:footnoteRef/>
      </w:r>
      <w:r w:rsidRPr="00FF6687">
        <w:rPr>
          <w:rFonts w:ascii="Arial" w:hAnsi="Arial" w:cs="Arial"/>
          <w:sz w:val="18"/>
          <w:szCs w:val="18"/>
        </w:rPr>
        <w:t xml:space="preserve"> Sobre el particular, se puede consultar la exposición de motivos de la Ley 1474 de 2011, Gaceta 607 del 2010, disponible en:  </w:t>
      </w:r>
      <w:hyperlink r:id="rId1" w:history="1">
        <w:r w:rsidRPr="00FF6687">
          <w:rPr>
            <w:rStyle w:val="Hipervnculo"/>
            <w:rFonts w:ascii="Arial" w:hAnsi="Arial" w:cs="Arial"/>
            <w:sz w:val="18"/>
            <w:szCs w:val="18"/>
          </w:rPr>
          <w:t>http://svrpubindc.imprenta.gov.co/senado/index.xhtml;jsessionid=b3ba7213a248bacd37376ffcedca</w:t>
        </w:r>
      </w:hyperlink>
      <w:r w:rsidR="00C07D9F">
        <w:rPr>
          <w:rStyle w:val="Hipervnculo"/>
          <w:rFonts w:ascii="Arial" w:hAnsi="Arial" w:cs="Arial"/>
          <w:sz w:val="18"/>
          <w:szCs w:val="18"/>
        </w:rPr>
        <w:t xml:space="preserve"> </w:t>
      </w:r>
      <w:r w:rsidRPr="00FF6687">
        <w:rPr>
          <w:rFonts w:ascii="Arial" w:hAnsi="Arial" w:cs="Arial"/>
          <w:sz w:val="18"/>
          <w:szCs w:val="18"/>
        </w:rPr>
        <w:t xml:space="preserve"> </w:t>
      </w:r>
    </w:p>
  </w:footnote>
  <w:footnote w:id="14">
    <w:p w14:paraId="0F5259B9" w14:textId="1D9B2B2A" w:rsidR="00535540" w:rsidRPr="00FF6687" w:rsidRDefault="00535540" w:rsidP="00C13AA4">
      <w:pPr>
        <w:pStyle w:val="Sinespaciado"/>
        <w:ind w:firstLine="708"/>
        <w:jc w:val="both"/>
        <w:rPr>
          <w:rFonts w:ascii="Arial" w:hAnsi="Arial" w:cs="Arial"/>
          <w:sz w:val="18"/>
          <w:szCs w:val="18"/>
          <w:lang w:val="es-ES"/>
        </w:rPr>
      </w:pPr>
      <w:r w:rsidRPr="00FF6687">
        <w:rPr>
          <w:rStyle w:val="Refdenotaalpie"/>
          <w:rFonts w:ascii="Arial" w:hAnsi="Arial" w:cs="Arial"/>
          <w:sz w:val="18"/>
          <w:szCs w:val="18"/>
        </w:rPr>
        <w:footnoteRef/>
      </w:r>
      <w:r w:rsidRPr="00FF6687">
        <w:rPr>
          <w:rFonts w:ascii="Arial" w:hAnsi="Arial" w:cs="Arial"/>
          <w:sz w:val="18"/>
          <w:szCs w:val="18"/>
        </w:rPr>
        <w:t xml:space="preserve"> </w:t>
      </w:r>
      <w:r w:rsidRPr="00FF6687">
        <w:rPr>
          <w:rFonts w:ascii="Arial" w:hAnsi="Arial" w:cs="Arial"/>
          <w:sz w:val="18"/>
          <w:szCs w:val="18"/>
          <w:lang w:val="es-ES"/>
        </w:rPr>
        <w:t xml:space="preserve">La Guía para el manejo de anticipos mediante contrato de fiducia irrevocable puede ser consultada en: </w:t>
      </w:r>
      <w:hyperlink r:id="rId2" w:history="1">
        <w:r w:rsidR="00AD3E20" w:rsidRPr="00767B4E">
          <w:rPr>
            <w:rStyle w:val="Hipervnculo"/>
            <w:rFonts w:ascii="Arial" w:hAnsi="Arial" w:cs="Arial"/>
            <w:sz w:val="18"/>
            <w:szCs w:val="18"/>
            <w:lang w:val="es-ES"/>
          </w:rPr>
          <w:t>https://www.colombiacompra.gov.co/sites/cce_public/files/cce_documents/cce_guia_manejo_anticipos.pdf</w:t>
        </w:r>
      </w:hyperlink>
      <w:r w:rsidR="00AD3E20">
        <w:rPr>
          <w:rFonts w:ascii="Arial" w:hAnsi="Arial" w:cs="Arial"/>
          <w:sz w:val="18"/>
          <w:szCs w:val="18"/>
          <w:lang w:val="es-ES"/>
        </w:rPr>
        <w:t xml:space="preserve"> </w:t>
      </w:r>
    </w:p>
  </w:footnote>
  <w:footnote w:id="15">
    <w:p w14:paraId="0053F759" w14:textId="7A0F167E" w:rsidR="00D83255" w:rsidRPr="00B126F6" w:rsidRDefault="00D83255" w:rsidP="00757EEE">
      <w:pPr>
        <w:pStyle w:val="Textonotapie"/>
        <w:ind w:firstLine="708"/>
        <w:jc w:val="both"/>
        <w:rPr>
          <w:rFonts w:ascii="Arial" w:hAnsi="Arial" w:cs="Arial"/>
          <w:sz w:val="18"/>
          <w:szCs w:val="18"/>
          <w:lang w:val="es-ES_tradnl"/>
        </w:rPr>
      </w:pPr>
      <w:r w:rsidRPr="00B126F6">
        <w:rPr>
          <w:rStyle w:val="Refdenotaalpie"/>
          <w:rFonts w:ascii="Arial" w:hAnsi="Arial" w:cs="Arial"/>
          <w:sz w:val="18"/>
          <w:szCs w:val="18"/>
        </w:rPr>
        <w:footnoteRef/>
      </w:r>
      <w:r w:rsidRPr="00B126F6">
        <w:rPr>
          <w:rFonts w:ascii="Arial" w:hAnsi="Arial" w:cs="Arial"/>
          <w:sz w:val="18"/>
          <w:szCs w:val="18"/>
        </w:rPr>
        <w:t xml:space="preserve"> Ver también</w:t>
      </w:r>
      <w:r w:rsidR="005C0F31" w:rsidRPr="00B126F6">
        <w:rPr>
          <w:rFonts w:ascii="Arial" w:hAnsi="Arial" w:cs="Arial"/>
          <w:sz w:val="18"/>
          <w:szCs w:val="18"/>
        </w:rPr>
        <w:t xml:space="preserve">, </w:t>
      </w:r>
      <w:r w:rsidR="00FE5425" w:rsidRPr="00B126F6">
        <w:rPr>
          <w:rFonts w:ascii="Arial" w:hAnsi="Arial" w:cs="Arial"/>
          <w:sz w:val="18"/>
          <w:szCs w:val="18"/>
        </w:rPr>
        <w:t xml:space="preserve">F. </w:t>
      </w:r>
      <w:r w:rsidR="005C0F31" w:rsidRPr="00B126F6">
        <w:rPr>
          <w:rFonts w:ascii="Arial" w:hAnsi="Arial" w:cs="Arial"/>
          <w:sz w:val="18"/>
          <w:szCs w:val="18"/>
        </w:rPr>
        <w:t xml:space="preserve">SAVIGNY, </w:t>
      </w:r>
      <w:r w:rsidR="005C0F31" w:rsidRPr="00B126F6">
        <w:rPr>
          <w:rFonts w:ascii="Arial" w:hAnsi="Arial" w:cs="Arial"/>
          <w:i/>
          <w:iCs/>
          <w:sz w:val="18"/>
          <w:szCs w:val="18"/>
        </w:rPr>
        <w:t>«</w:t>
      </w:r>
      <w:r w:rsidR="00652C67" w:rsidRPr="00B126F6">
        <w:rPr>
          <w:rFonts w:ascii="Arial" w:hAnsi="Arial" w:cs="Arial"/>
          <w:i/>
          <w:iCs/>
          <w:sz w:val="18"/>
          <w:szCs w:val="18"/>
        </w:rPr>
        <w:t>Sistema del derecho romano actual»</w:t>
      </w:r>
      <w:r w:rsidR="00FE5425" w:rsidRPr="00B126F6">
        <w:rPr>
          <w:rFonts w:ascii="Arial" w:hAnsi="Arial" w:cs="Arial"/>
          <w:i/>
          <w:iCs/>
          <w:sz w:val="18"/>
          <w:szCs w:val="18"/>
        </w:rPr>
        <w:t>,</w:t>
      </w:r>
      <w:r w:rsidR="00FE5425" w:rsidRPr="00B126F6">
        <w:rPr>
          <w:rFonts w:ascii="Arial" w:hAnsi="Arial" w:cs="Arial"/>
          <w:sz w:val="18"/>
          <w:szCs w:val="18"/>
        </w:rPr>
        <w:t xml:space="preserve"> referente en torno a la </w:t>
      </w:r>
      <w:r w:rsidR="00114592" w:rsidRPr="00B126F6">
        <w:rPr>
          <w:rFonts w:ascii="Arial" w:hAnsi="Arial" w:cs="Arial"/>
          <w:sz w:val="18"/>
          <w:szCs w:val="18"/>
        </w:rPr>
        <w:t>interpretación de la Ley</w:t>
      </w:r>
      <w:r w:rsidR="004B69F7" w:rsidRPr="00B126F6">
        <w:rPr>
          <w:rFonts w:ascii="Arial" w:hAnsi="Arial" w:cs="Arial"/>
          <w:sz w:val="18"/>
          <w:szCs w:val="18"/>
        </w:rPr>
        <w:t>, específicamente cuando señala: «</w:t>
      </w:r>
      <w:r w:rsidR="006F4B25" w:rsidRPr="00B126F6">
        <w:rPr>
          <w:rFonts w:ascii="Arial" w:hAnsi="Arial" w:cs="Arial"/>
          <w:sz w:val="18"/>
          <w:szCs w:val="18"/>
        </w:rPr>
        <w:t>Se notará, por lo dicho hasta ahora, la interpretación de la Ley en dada difiere de la interpretación de cualquier otro pensamiento expresado por el lenguaje</w:t>
      </w:r>
      <w:r w:rsidR="00DC3AF4" w:rsidRPr="00B126F6">
        <w:rPr>
          <w:rFonts w:ascii="Arial" w:hAnsi="Arial" w:cs="Arial"/>
          <w:sz w:val="18"/>
          <w:szCs w:val="18"/>
        </w:rPr>
        <w:t xml:space="preserve"> </w:t>
      </w:r>
      <w:r w:rsidR="00DC3AF4" w:rsidRPr="00B126F6">
        <w:rPr>
          <w:rFonts w:ascii="Arial" w:hAnsi="Arial" w:cs="Arial"/>
          <w:sz w:val="18"/>
          <w:szCs w:val="18"/>
          <w:lang w:val="es-ES_tradnl"/>
        </w:rPr>
        <w:t>[…]</w:t>
      </w:r>
      <w:r w:rsidR="00DC3AF4" w:rsidRPr="00B126F6">
        <w:rPr>
          <w:rFonts w:ascii="Arial" w:hAnsi="Arial" w:cs="Arial"/>
          <w:color w:val="000000" w:themeColor="text1"/>
          <w:sz w:val="18"/>
          <w:szCs w:val="18"/>
          <w:lang w:val="es-ES_tradnl"/>
        </w:rPr>
        <w:t xml:space="preserve"> Cuatro elementos se distinguen en ella, a saber: el </w:t>
      </w:r>
      <w:r w:rsidR="00757EEE" w:rsidRPr="00B126F6">
        <w:rPr>
          <w:rFonts w:ascii="Arial" w:hAnsi="Arial" w:cs="Arial"/>
          <w:color w:val="000000" w:themeColor="text1"/>
          <w:sz w:val="18"/>
          <w:szCs w:val="18"/>
          <w:lang w:val="es-ES_tradnl"/>
        </w:rPr>
        <w:t>gramatical</w:t>
      </w:r>
      <w:r w:rsidR="00DC3AF4" w:rsidRPr="00B126F6">
        <w:rPr>
          <w:rFonts w:ascii="Arial" w:hAnsi="Arial" w:cs="Arial"/>
          <w:color w:val="000000" w:themeColor="text1"/>
          <w:sz w:val="18"/>
          <w:szCs w:val="18"/>
          <w:lang w:val="es-ES_tradnl"/>
        </w:rPr>
        <w:t xml:space="preserve">, el lógico, el histórico y el </w:t>
      </w:r>
      <w:r w:rsidR="00757EEE" w:rsidRPr="00B126F6">
        <w:rPr>
          <w:rFonts w:ascii="Arial" w:hAnsi="Arial" w:cs="Arial"/>
          <w:color w:val="000000" w:themeColor="text1"/>
          <w:sz w:val="18"/>
          <w:szCs w:val="18"/>
          <w:lang w:val="es-ES_tradnl"/>
        </w:rPr>
        <w:t>sistemático.</w:t>
      </w:r>
      <w:r w:rsidR="00757EEE" w:rsidRPr="00B126F6">
        <w:rPr>
          <w:rFonts w:ascii="Arial" w:hAnsi="Arial" w:cs="Arial"/>
          <w:sz w:val="18"/>
          <w:szCs w:val="18"/>
          <w:lang w:val="es-ES_tradnl"/>
        </w:rPr>
        <w:t xml:space="preserve"> […] El estudio de estos cuatro elementos agota el contenido de la Ley.</w:t>
      </w:r>
    </w:p>
  </w:footnote>
  <w:footnote w:id="16">
    <w:p w14:paraId="2D211A17" w14:textId="4CE9C284" w:rsidR="006A1B75" w:rsidRPr="00B126F6" w:rsidRDefault="006A1B75" w:rsidP="00B126F6">
      <w:pPr>
        <w:pStyle w:val="Textonotapie"/>
        <w:ind w:firstLine="708"/>
        <w:rPr>
          <w:rFonts w:ascii="Arial" w:hAnsi="Arial" w:cs="Arial"/>
          <w:sz w:val="18"/>
          <w:szCs w:val="18"/>
          <w:lang w:val="es-CO"/>
        </w:rPr>
      </w:pPr>
      <w:r w:rsidRPr="00B126F6">
        <w:rPr>
          <w:rStyle w:val="Refdenotaalpie"/>
          <w:rFonts w:ascii="Arial" w:hAnsi="Arial" w:cs="Arial"/>
          <w:sz w:val="18"/>
          <w:szCs w:val="18"/>
        </w:rPr>
        <w:footnoteRef/>
      </w:r>
      <w:r w:rsidRPr="00B126F6">
        <w:rPr>
          <w:rFonts w:ascii="Arial" w:hAnsi="Arial" w:cs="Arial"/>
          <w:sz w:val="18"/>
          <w:szCs w:val="18"/>
        </w:rPr>
        <w:t xml:space="preserve"> </w:t>
      </w:r>
      <w:r w:rsidR="00B126F6" w:rsidRPr="00B126F6">
        <w:rPr>
          <w:rStyle w:val="baj"/>
          <w:rFonts w:ascii="Arial" w:hAnsi="Arial" w:cs="Arial"/>
          <w:sz w:val="18"/>
          <w:szCs w:val="18"/>
        </w:rPr>
        <w:t>Ley 84 de 1873, artículo 27 y 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n 25"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n 2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2AE016A"/>
    <w:multiLevelType w:val="multilevel"/>
    <w:tmpl w:val="96C69084"/>
    <w:lvl w:ilvl="0">
      <w:start w:val="1"/>
      <w:numFmt w:val="decimal"/>
      <w:lvlText w:val="%1."/>
      <w:lvlJc w:val="left"/>
      <w:pPr>
        <w:ind w:left="585" w:hanging="285"/>
      </w:pPr>
      <w:rPr>
        <w:rFonts w:ascii="Arial" w:eastAsia="Arial" w:hAnsi="Arial" w:cs="Arial" w:hint="default"/>
        <w:b/>
        <w:bCs/>
        <w:color w:val="auto"/>
        <w:spacing w:val="-21"/>
        <w:w w:val="100"/>
        <w:sz w:val="22"/>
        <w:szCs w:val="22"/>
        <w:lang w:val="es-ES" w:eastAsia="en-US" w:bidi="ar-SA"/>
      </w:rPr>
    </w:lvl>
    <w:lvl w:ilvl="1">
      <w:start w:val="1"/>
      <w:numFmt w:val="decimal"/>
      <w:lvlText w:val="%1.%2."/>
      <w:lvlJc w:val="left"/>
      <w:pPr>
        <w:ind w:left="725" w:hanging="425"/>
      </w:pPr>
      <w:rPr>
        <w:rFonts w:ascii="Arial" w:eastAsia="Arial" w:hAnsi="Arial" w:cs="Arial" w:hint="default"/>
        <w:b/>
        <w:bCs/>
        <w:color w:val="auto"/>
        <w:spacing w:val="-1"/>
        <w:w w:val="100"/>
        <w:sz w:val="22"/>
        <w:szCs w:val="22"/>
        <w:lang w:val="es-ES" w:eastAsia="en-US" w:bidi="ar-SA"/>
      </w:rPr>
    </w:lvl>
    <w:lvl w:ilvl="2">
      <w:numFmt w:val="bullet"/>
      <w:lvlText w:val="•"/>
      <w:lvlJc w:val="left"/>
      <w:pPr>
        <w:ind w:left="1700" w:hanging="425"/>
      </w:pPr>
      <w:rPr>
        <w:rFonts w:hint="default"/>
        <w:lang w:val="es-ES" w:eastAsia="en-US" w:bidi="ar-SA"/>
      </w:rPr>
    </w:lvl>
    <w:lvl w:ilvl="3">
      <w:numFmt w:val="bullet"/>
      <w:lvlText w:val="•"/>
      <w:lvlJc w:val="left"/>
      <w:pPr>
        <w:ind w:left="2680" w:hanging="425"/>
      </w:pPr>
      <w:rPr>
        <w:rFonts w:hint="default"/>
        <w:lang w:val="es-ES" w:eastAsia="en-US" w:bidi="ar-SA"/>
      </w:rPr>
    </w:lvl>
    <w:lvl w:ilvl="4">
      <w:numFmt w:val="bullet"/>
      <w:lvlText w:val="•"/>
      <w:lvlJc w:val="left"/>
      <w:pPr>
        <w:ind w:left="3660" w:hanging="425"/>
      </w:pPr>
      <w:rPr>
        <w:rFonts w:hint="default"/>
        <w:lang w:val="es-ES" w:eastAsia="en-US" w:bidi="ar-SA"/>
      </w:rPr>
    </w:lvl>
    <w:lvl w:ilvl="5">
      <w:numFmt w:val="bullet"/>
      <w:lvlText w:val="•"/>
      <w:lvlJc w:val="left"/>
      <w:pPr>
        <w:ind w:left="4640" w:hanging="425"/>
      </w:pPr>
      <w:rPr>
        <w:rFonts w:hint="default"/>
        <w:lang w:val="es-ES" w:eastAsia="en-US" w:bidi="ar-SA"/>
      </w:rPr>
    </w:lvl>
    <w:lvl w:ilvl="6">
      <w:numFmt w:val="bullet"/>
      <w:lvlText w:val="•"/>
      <w:lvlJc w:val="left"/>
      <w:pPr>
        <w:ind w:left="5620" w:hanging="425"/>
      </w:pPr>
      <w:rPr>
        <w:rFonts w:hint="default"/>
        <w:lang w:val="es-ES" w:eastAsia="en-US" w:bidi="ar-SA"/>
      </w:rPr>
    </w:lvl>
    <w:lvl w:ilvl="7">
      <w:numFmt w:val="bullet"/>
      <w:lvlText w:val="•"/>
      <w:lvlJc w:val="left"/>
      <w:pPr>
        <w:ind w:left="6600" w:hanging="425"/>
      </w:pPr>
      <w:rPr>
        <w:rFonts w:hint="default"/>
        <w:lang w:val="es-ES" w:eastAsia="en-US" w:bidi="ar-SA"/>
      </w:rPr>
    </w:lvl>
    <w:lvl w:ilvl="8">
      <w:numFmt w:val="bullet"/>
      <w:lvlText w:val="•"/>
      <w:lvlJc w:val="left"/>
      <w:pPr>
        <w:ind w:left="7580" w:hanging="425"/>
      </w:pPr>
      <w:rPr>
        <w:rFonts w:hint="default"/>
        <w:lang w:val="es-ES" w:eastAsia="en-US" w:bidi="ar-SA"/>
      </w:rPr>
    </w:lvl>
  </w:abstractNum>
  <w:num w:numId="1" w16cid:durableId="500395951">
    <w:abstractNumId w:val="2"/>
  </w:num>
  <w:num w:numId="2" w16cid:durableId="1408454564">
    <w:abstractNumId w:val="0"/>
  </w:num>
  <w:num w:numId="3" w16cid:durableId="1897622572">
    <w:abstractNumId w:val="1"/>
  </w:num>
  <w:num w:numId="4" w16cid:durableId="14084537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71DC"/>
    <w:rsid w:val="00033897"/>
    <w:rsid w:val="00083334"/>
    <w:rsid w:val="00087093"/>
    <w:rsid w:val="000956CF"/>
    <w:rsid w:val="000A683E"/>
    <w:rsid w:val="000D4199"/>
    <w:rsid w:val="000F00F5"/>
    <w:rsid w:val="00100997"/>
    <w:rsid w:val="00114592"/>
    <w:rsid w:val="0011595A"/>
    <w:rsid w:val="001220C5"/>
    <w:rsid w:val="001267F7"/>
    <w:rsid w:val="00127233"/>
    <w:rsid w:val="00130999"/>
    <w:rsid w:val="00147A8C"/>
    <w:rsid w:val="00163FC4"/>
    <w:rsid w:val="00164D81"/>
    <w:rsid w:val="00185E6C"/>
    <w:rsid w:val="00186BB9"/>
    <w:rsid w:val="001878BB"/>
    <w:rsid w:val="00193825"/>
    <w:rsid w:val="001A1011"/>
    <w:rsid w:val="001A48D0"/>
    <w:rsid w:val="001B6B29"/>
    <w:rsid w:val="001E2A72"/>
    <w:rsid w:val="001F7ECB"/>
    <w:rsid w:val="00204F88"/>
    <w:rsid w:val="002055CB"/>
    <w:rsid w:val="002127B8"/>
    <w:rsid w:val="00244281"/>
    <w:rsid w:val="00245AB3"/>
    <w:rsid w:val="00257611"/>
    <w:rsid w:val="002653C1"/>
    <w:rsid w:val="0026611D"/>
    <w:rsid w:val="002951A0"/>
    <w:rsid w:val="002A64FD"/>
    <w:rsid w:val="002D612E"/>
    <w:rsid w:val="002F0839"/>
    <w:rsid w:val="00301469"/>
    <w:rsid w:val="00306EE1"/>
    <w:rsid w:val="00310B9B"/>
    <w:rsid w:val="003572D5"/>
    <w:rsid w:val="0036461C"/>
    <w:rsid w:val="003663C5"/>
    <w:rsid w:val="00367884"/>
    <w:rsid w:val="00375948"/>
    <w:rsid w:val="0039439C"/>
    <w:rsid w:val="003B3AF5"/>
    <w:rsid w:val="003B5772"/>
    <w:rsid w:val="003B69E7"/>
    <w:rsid w:val="003B7D16"/>
    <w:rsid w:val="003C013B"/>
    <w:rsid w:val="003D0F4D"/>
    <w:rsid w:val="003F2432"/>
    <w:rsid w:val="003F3F92"/>
    <w:rsid w:val="003F58A1"/>
    <w:rsid w:val="003F5F71"/>
    <w:rsid w:val="00410DD6"/>
    <w:rsid w:val="00412D4F"/>
    <w:rsid w:val="004134C9"/>
    <w:rsid w:val="0043138C"/>
    <w:rsid w:val="00431899"/>
    <w:rsid w:val="00462A59"/>
    <w:rsid w:val="004A1847"/>
    <w:rsid w:val="004A6524"/>
    <w:rsid w:val="004B69F7"/>
    <w:rsid w:val="004B6B0E"/>
    <w:rsid w:val="004C2F0C"/>
    <w:rsid w:val="004D25B3"/>
    <w:rsid w:val="004D3907"/>
    <w:rsid w:val="004D45A1"/>
    <w:rsid w:val="004E6E95"/>
    <w:rsid w:val="005029F9"/>
    <w:rsid w:val="00511405"/>
    <w:rsid w:val="00526E9D"/>
    <w:rsid w:val="00535540"/>
    <w:rsid w:val="00547856"/>
    <w:rsid w:val="00547A74"/>
    <w:rsid w:val="005566E8"/>
    <w:rsid w:val="00556EBD"/>
    <w:rsid w:val="00556F3D"/>
    <w:rsid w:val="0056399A"/>
    <w:rsid w:val="00563DED"/>
    <w:rsid w:val="00563F50"/>
    <w:rsid w:val="00565A2E"/>
    <w:rsid w:val="005746AB"/>
    <w:rsid w:val="005778E3"/>
    <w:rsid w:val="005808B0"/>
    <w:rsid w:val="00580DE0"/>
    <w:rsid w:val="00582D43"/>
    <w:rsid w:val="00586244"/>
    <w:rsid w:val="00592710"/>
    <w:rsid w:val="0059357F"/>
    <w:rsid w:val="00597A13"/>
    <w:rsid w:val="005A1130"/>
    <w:rsid w:val="005C0F31"/>
    <w:rsid w:val="005D65C8"/>
    <w:rsid w:val="005E0584"/>
    <w:rsid w:val="005E0765"/>
    <w:rsid w:val="005E6DBC"/>
    <w:rsid w:val="006141FB"/>
    <w:rsid w:val="006219F8"/>
    <w:rsid w:val="006336C3"/>
    <w:rsid w:val="00652C67"/>
    <w:rsid w:val="006733D5"/>
    <w:rsid w:val="00681362"/>
    <w:rsid w:val="00681FDB"/>
    <w:rsid w:val="00686626"/>
    <w:rsid w:val="006A1B75"/>
    <w:rsid w:val="006A7DAD"/>
    <w:rsid w:val="006D70BA"/>
    <w:rsid w:val="006F4B25"/>
    <w:rsid w:val="006F79B6"/>
    <w:rsid w:val="00707104"/>
    <w:rsid w:val="0071554F"/>
    <w:rsid w:val="007276C8"/>
    <w:rsid w:val="00734EA2"/>
    <w:rsid w:val="007566FE"/>
    <w:rsid w:val="00757EEE"/>
    <w:rsid w:val="00764003"/>
    <w:rsid w:val="0076726F"/>
    <w:rsid w:val="0077144B"/>
    <w:rsid w:val="00776E72"/>
    <w:rsid w:val="00793403"/>
    <w:rsid w:val="00793742"/>
    <w:rsid w:val="007A644F"/>
    <w:rsid w:val="007C0CDF"/>
    <w:rsid w:val="007D4D9B"/>
    <w:rsid w:val="007E2A2F"/>
    <w:rsid w:val="007E2CD1"/>
    <w:rsid w:val="007E58B8"/>
    <w:rsid w:val="007E7C01"/>
    <w:rsid w:val="007F2B7C"/>
    <w:rsid w:val="00811651"/>
    <w:rsid w:val="00814F21"/>
    <w:rsid w:val="00820F5B"/>
    <w:rsid w:val="00833452"/>
    <w:rsid w:val="00840F76"/>
    <w:rsid w:val="00847D5A"/>
    <w:rsid w:val="008559F4"/>
    <w:rsid w:val="008614E5"/>
    <w:rsid w:val="008622CC"/>
    <w:rsid w:val="00862F7A"/>
    <w:rsid w:val="008678EB"/>
    <w:rsid w:val="00875894"/>
    <w:rsid w:val="008777D0"/>
    <w:rsid w:val="00881C10"/>
    <w:rsid w:val="00890411"/>
    <w:rsid w:val="008A5559"/>
    <w:rsid w:val="008B18D5"/>
    <w:rsid w:val="008C7CAB"/>
    <w:rsid w:val="008D5C70"/>
    <w:rsid w:val="008E10B7"/>
    <w:rsid w:val="008F254D"/>
    <w:rsid w:val="009025AF"/>
    <w:rsid w:val="00904F23"/>
    <w:rsid w:val="00906B3C"/>
    <w:rsid w:val="00920744"/>
    <w:rsid w:val="00951233"/>
    <w:rsid w:val="0095342C"/>
    <w:rsid w:val="0096426C"/>
    <w:rsid w:val="00994070"/>
    <w:rsid w:val="009B6CEC"/>
    <w:rsid w:val="009C1F1A"/>
    <w:rsid w:val="009C4AF7"/>
    <w:rsid w:val="009C6E26"/>
    <w:rsid w:val="009D7080"/>
    <w:rsid w:val="009E77E6"/>
    <w:rsid w:val="009F33F2"/>
    <w:rsid w:val="009F6C77"/>
    <w:rsid w:val="00A04E4D"/>
    <w:rsid w:val="00A07532"/>
    <w:rsid w:val="00A07581"/>
    <w:rsid w:val="00A1085C"/>
    <w:rsid w:val="00A309E2"/>
    <w:rsid w:val="00A43FCB"/>
    <w:rsid w:val="00A53E80"/>
    <w:rsid w:val="00A8066E"/>
    <w:rsid w:val="00A86EC4"/>
    <w:rsid w:val="00AA4B8A"/>
    <w:rsid w:val="00AA6BF7"/>
    <w:rsid w:val="00AD3E20"/>
    <w:rsid w:val="00B01ED6"/>
    <w:rsid w:val="00B05742"/>
    <w:rsid w:val="00B06D09"/>
    <w:rsid w:val="00B126F6"/>
    <w:rsid w:val="00B771A9"/>
    <w:rsid w:val="00B809BB"/>
    <w:rsid w:val="00B8248A"/>
    <w:rsid w:val="00B90503"/>
    <w:rsid w:val="00BB1271"/>
    <w:rsid w:val="00BB7726"/>
    <w:rsid w:val="00BC044D"/>
    <w:rsid w:val="00BC767F"/>
    <w:rsid w:val="00C07D9F"/>
    <w:rsid w:val="00C107F8"/>
    <w:rsid w:val="00C13AA4"/>
    <w:rsid w:val="00C2329E"/>
    <w:rsid w:val="00C30461"/>
    <w:rsid w:val="00C33398"/>
    <w:rsid w:val="00C74071"/>
    <w:rsid w:val="00C754BE"/>
    <w:rsid w:val="00C87572"/>
    <w:rsid w:val="00C9405D"/>
    <w:rsid w:val="00C94634"/>
    <w:rsid w:val="00C948E9"/>
    <w:rsid w:val="00CA7AF8"/>
    <w:rsid w:val="00CC00F2"/>
    <w:rsid w:val="00CC1B26"/>
    <w:rsid w:val="00CD00E8"/>
    <w:rsid w:val="00CD284F"/>
    <w:rsid w:val="00CE0C0C"/>
    <w:rsid w:val="00CF23AA"/>
    <w:rsid w:val="00D01921"/>
    <w:rsid w:val="00D15C69"/>
    <w:rsid w:val="00D17750"/>
    <w:rsid w:val="00D752B7"/>
    <w:rsid w:val="00D75AA8"/>
    <w:rsid w:val="00D83255"/>
    <w:rsid w:val="00D85848"/>
    <w:rsid w:val="00D911E0"/>
    <w:rsid w:val="00DA1854"/>
    <w:rsid w:val="00DB0887"/>
    <w:rsid w:val="00DB237C"/>
    <w:rsid w:val="00DC3AF4"/>
    <w:rsid w:val="00DF1E43"/>
    <w:rsid w:val="00DF69AF"/>
    <w:rsid w:val="00E0671B"/>
    <w:rsid w:val="00E1090A"/>
    <w:rsid w:val="00E20894"/>
    <w:rsid w:val="00E26B7C"/>
    <w:rsid w:val="00E31054"/>
    <w:rsid w:val="00E43021"/>
    <w:rsid w:val="00E76E67"/>
    <w:rsid w:val="00E86D78"/>
    <w:rsid w:val="00E968F2"/>
    <w:rsid w:val="00EA3003"/>
    <w:rsid w:val="00EB3C91"/>
    <w:rsid w:val="00EB66DA"/>
    <w:rsid w:val="00EB697E"/>
    <w:rsid w:val="00F24CE3"/>
    <w:rsid w:val="00F45134"/>
    <w:rsid w:val="00F47EBC"/>
    <w:rsid w:val="00F603DA"/>
    <w:rsid w:val="00F605F2"/>
    <w:rsid w:val="00F74A1C"/>
    <w:rsid w:val="00F76AFC"/>
    <w:rsid w:val="00F8319B"/>
    <w:rsid w:val="00FA5516"/>
    <w:rsid w:val="00FD6F73"/>
    <w:rsid w:val="00FE5425"/>
    <w:rsid w:val="00FE6475"/>
    <w:rsid w:val="00FF62BB"/>
    <w:rsid w:val="00FF6687"/>
    <w:rsid w:val="0244FC6E"/>
    <w:rsid w:val="0D768DA1"/>
    <w:rsid w:val="1CC63BF5"/>
    <w:rsid w:val="2F9951DC"/>
    <w:rsid w:val="3EA2D60F"/>
    <w:rsid w:val="4DB45523"/>
    <w:rsid w:val="4EC85427"/>
    <w:rsid w:val="53421789"/>
    <w:rsid w:val="685EB80F"/>
    <w:rsid w:val="6B8BD3AC"/>
    <w:rsid w:val="6D822F6B"/>
    <w:rsid w:val="777950C3"/>
    <w:rsid w:val="7C03503F"/>
    <w:rsid w:val="7ECB84A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paragraph" w:styleId="Ttulo2">
    <w:name w:val="heading 2"/>
    <w:basedOn w:val="Normal"/>
    <w:next w:val="Normal"/>
    <w:link w:val="Ttulo2Car"/>
    <w:uiPriority w:val="9"/>
    <w:semiHidden/>
    <w:unhideWhenUsed/>
    <w:qFormat/>
    <w:rsid w:val="009C4A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table" w:customStyle="1" w:styleId="Tablaconcuadrcula1">
    <w:name w:val="Tabla con cuadrícula1"/>
    <w:basedOn w:val="Tablanormal"/>
    <w:next w:val="Tablaconcuadrcula"/>
    <w:uiPriority w:val="59"/>
    <w:qFormat/>
    <w:rsid w:val="00535540"/>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535540"/>
    <w:pPr>
      <w:spacing w:line="240" w:lineRule="exact"/>
      <w:jc w:val="both"/>
    </w:pPr>
    <w:rPr>
      <w:vertAlign w:val="superscript"/>
    </w:rPr>
  </w:style>
  <w:style w:type="character" w:styleId="Hipervnculo">
    <w:name w:val="Hyperlink"/>
    <w:basedOn w:val="Fuentedeprrafopredeter"/>
    <w:uiPriority w:val="99"/>
    <w:unhideWhenUsed/>
    <w:rsid w:val="00535540"/>
    <w:rPr>
      <w:color w:val="0563C1" w:themeColor="hyperlink"/>
      <w:u w:val="single"/>
    </w:rPr>
  </w:style>
  <w:style w:type="paragraph" w:styleId="Textoindependiente">
    <w:name w:val="Body Text"/>
    <w:basedOn w:val="Normal"/>
    <w:link w:val="TextoindependienteCar"/>
    <w:uiPriority w:val="99"/>
    <w:semiHidden/>
    <w:unhideWhenUsed/>
    <w:rsid w:val="0053554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independienteCar">
    <w:name w:val="Texto independiente Car"/>
    <w:basedOn w:val="Fuentedeprrafopredeter"/>
    <w:link w:val="Textoindependiente"/>
    <w:uiPriority w:val="99"/>
    <w:semiHidden/>
    <w:rsid w:val="00535540"/>
    <w:rPr>
      <w:rFonts w:ascii="Times New Roman" w:eastAsia="Times New Roman" w:hAnsi="Times New Roman" w:cs="Times New Roman"/>
      <w:sz w:val="24"/>
      <w:szCs w:val="24"/>
      <w:lang w:eastAsia="es-CO"/>
    </w:rPr>
  </w:style>
  <w:style w:type="paragraph" w:styleId="NormalWeb">
    <w:name w:val="Normal (Web)"/>
    <w:basedOn w:val="Normal"/>
    <w:link w:val="NormalWebCar"/>
    <w:uiPriority w:val="99"/>
    <w:unhideWhenUsed/>
    <w:rsid w:val="0053554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WebCar">
    <w:name w:val="Normal (Web) Car"/>
    <w:link w:val="NormalWeb"/>
    <w:uiPriority w:val="99"/>
    <w:rsid w:val="00535540"/>
    <w:rPr>
      <w:rFonts w:ascii="Times New Roman" w:eastAsia="Times New Roman" w:hAnsi="Times New Roman" w:cs="Times New Roman"/>
      <w:sz w:val="24"/>
      <w:szCs w:val="24"/>
      <w:lang w:eastAsia="es-CO"/>
    </w:rPr>
  </w:style>
  <w:style w:type="paragraph" w:styleId="Sinespaciado">
    <w:name w:val="No Spacing"/>
    <w:aliases w:val="No Indent"/>
    <w:link w:val="SinespaciadoCar"/>
    <w:uiPriority w:val="1"/>
    <w:qFormat/>
    <w:rsid w:val="00535540"/>
    <w:pPr>
      <w:spacing w:after="0" w:line="240" w:lineRule="auto"/>
    </w:pPr>
    <w:rPr>
      <w:sz w:val="24"/>
      <w:lang w:val="es-MX"/>
    </w:rPr>
  </w:style>
  <w:style w:type="character" w:customStyle="1" w:styleId="SinespaciadoCar">
    <w:name w:val="Sin espaciado Car"/>
    <w:aliases w:val="No Indent Car"/>
    <w:link w:val="Sinespaciado"/>
    <w:uiPriority w:val="1"/>
    <w:rsid w:val="00535540"/>
    <w:rPr>
      <w:sz w:val="24"/>
      <w:lang w:val="es-MX"/>
    </w:rPr>
  </w:style>
  <w:style w:type="character" w:styleId="Mencinsinresolver">
    <w:name w:val="Unresolved Mention"/>
    <w:basedOn w:val="Fuentedeprrafopredeter"/>
    <w:uiPriority w:val="99"/>
    <w:semiHidden/>
    <w:unhideWhenUsed/>
    <w:rsid w:val="00563DED"/>
    <w:rPr>
      <w:color w:val="605E5C"/>
      <w:shd w:val="clear" w:color="auto" w:fill="E1DFDD"/>
    </w:rPr>
  </w:style>
  <w:style w:type="character" w:styleId="Hipervnculovisitado">
    <w:name w:val="FollowedHyperlink"/>
    <w:basedOn w:val="Fuentedeprrafopredeter"/>
    <w:uiPriority w:val="99"/>
    <w:semiHidden/>
    <w:unhideWhenUsed/>
    <w:rsid w:val="00C74071"/>
    <w:rPr>
      <w:color w:val="954F72" w:themeColor="followedHyperlink"/>
      <w:u w:val="single"/>
    </w:rPr>
  </w:style>
  <w:style w:type="character" w:customStyle="1" w:styleId="Ttulo2Car">
    <w:name w:val="Título 2 Car"/>
    <w:basedOn w:val="Fuentedeprrafopredeter"/>
    <w:link w:val="Ttulo2"/>
    <w:uiPriority w:val="9"/>
    <w:semiHidden/>
    <w:rsid w:val="009C4AF7"/>
    <w:rPr>
      <w:rFonts w:asciiTheme="majorHAnsi" w:eastAsiaTheme="majorEastAsia" w:hAnsiTheme="majorHAnsi" w:cstheme="majorBidi"/>
      <w:color w:val="2F5496" w:themeColor="accent1" w:themeShade="BF"/>
      <w:sz w:val="26"/>
      <w:szCs w:val="26"/>
    </w:rPr>
  </w:style>
  <w:style w:type="character" w:customStyle="1" w:styleId="baj">
    <w:name w:val="b_aj"/>
    <w:basedOn w:val="Fuentedeprrafopredeter"/>
    <w:rsid w:val="009C4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749586">
      <w:bodyDiv w:val="1"/>
      <w:marLeft w:val="0"/>
      <w:marRight w:val="0"/>
      <w:marTop w:val="0"/>
      <w:marBottom w:val="0"/>
      <w:divBdr>
        <w:top w:val="none" w:sz="0" w:space="0" w:color="auto"/>
        <w:left w:val="none" w:sz="0" w:space="0" w:color="auto"/>
        <w:bottom w:val="none" w:sz="0" w:space="0" w:color="auto"/>
        <w:right w:val="none" w:sz="0" w:space="0" w:color="auto"/>
      </w:divBdr>
    </w:div>
    <w:div w:id="1350185204">
      <w:bodyDiv w:val="1"/>
      <w:marLeft w:val="0"/>
      <w:marRight w:val="0"/>
      <w:marTop w:val="0"/>
      <w:marBottom w:val="0"/>
      <w:divBdr>
        <w:top w:val="none" w:sz="0" w:space="0" w:color="auto"/>
        <w:left w:val="none" w:sz="0" w:space="0" w:color="auto"/>
        <w:bottom w:val="none" w:sz="0" w:space="0" w:color="auto"/>
        <w:right w:val="none" w:sz="0" w:space="0" w:color="auto"/>
      </w:divBdr>
    </w:div>
    <w:div w:id="196111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ersonvega@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sites/cce_public/files/cce_documents/cce_guia_manejo_anticipos.pdf" TargetMode="External"/><Relationship Id="rId1" Type="http://schemas.openxmlformats.org/officeDocument/2006/relationships/hyperlink" Target="http://svrpubindc.imprenta.gov.co/senado/index.xhtml;jsessionid=b3ba7213a248bacd37376ffcedc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_Flow_SignoffStatus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9" ma:contentTypeDescription="Crear nuevo documento." ma:contentTypeScope="" ma:versionID="d5ae9f8d474a6ffa893796061015c19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b1a281eef382c5c83056bb39ef08c8e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2.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64710C40-D7C2-483C-A1AF-87C61F59F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4370</Words>
  <Characters>24036</Characters>
  <Application>Microsoft Office Word</Application>
  <DocSecurity>0</DocSecurity>
  <Lines>200</Lines>
  <Paragraphs>56</Paragraphs>
  <ScaleCrop>false</ScaleCrop>
  <Company/>
  <LinksUpToDate>false</LinksUpToDate>
  <CharactersWithSpaces>28350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Kelmis Yimara Bruges Alvarado</cp:lastModifiedBy>
  <cp:revision>2</cp:revision>
  <cp:lastPrinted>2023-07-17T21:02:00Z</cp:lastPrinted>
  <dcterms:created xsi:type="dcterms:W3CDTF">2023-11-20T16:26:00Z</dcterms:created>
  <dcterms:modified xsi:type="dcterms:W3CDTF">2023-11-20T16:26:00Z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