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513A" w14:textId="31DB6D83" w:rsidR="009157E3" w:rsidRPr="00CA71FB" w:rsidRDefault="0000490F" w:rsidP="009157E3">
      <w:pPr>
        <w:spacing w:after="0" w:line="240" w:lineRule="auto"/>
        <w:rPr>
          <w:rFonts w:ascii="Arial" w:eastAsia="Calibri" w:hAnsi="Arial" w:cs="Arial"/>
          <w:b/>
          <w:bCs/>
          <w:lang w:val="es-ES_tradnl"/>
        </w:rPr>
      </w:pPr>
      <w:r>
        <w:rPr>
          <w:rFonts w:ascii="Arial" w:eastAsia="Calibri" w:hAnsi="Arial" w:cs="Arial"/>
          <w:b/>
          <w:bCs/>
          <w:lang w:val="es-ES_tradnl"/>
        </w:rPr>
        <w:t xml:space="preserve"> </w:t>
      </w:r>
      <w:r w:rsidR="009157E3" w:rsidRPr="00CA71FB">
        <w:rPr>
          <w:rFonts w:ascii="Arial" w:eastAsia="Calibri" w:hAnsi="Arial" w:cs="Arial"/>
          <w:b/>
          <w:bCs/>
          <w:lang w:val="es-ES_tradnl"/>
        </w:rPr>
        <w:t>CAJAS DE COMPENSACIÓN FAMILIAR – Naturaleza jurídica – Función social</w:t>
      </w:r>
    </w:p>
    <w:p w14:paraId="7B45F582" w14:textId="77777777" w:rsidR="009157E3" w:rsidRPr="00CA71FB" w:rsidRDefault="009157E3" w:rsidP="009157E3">
      <w:pPr>
        <w:spacing w:after="0" w:line="240" w:lineRule="auto"/>
        <w:rPr>
          <w:rFonts w:ascii="Arial" w:eastAsia="Calibri" w:hAnsi="Arial" w:cs="Arial"/>
          <w:b/>
          <w:bCs/>
          <w:lang w:val="es-ES_tradnl"/>
        </w:rPr>
      </w:pPr>
    </w:p>
    <w:p w14:paraId="45E87B74" w14:textId="77777777" w:rsidR="009157E3" w:rsidRPr="00CA71FB" w:rsidRDefault="009157E3" w:rsidP="009157E3">
      <w:pPr>
        <w:spacing w:after="0" w:line="240" w:lineRule="auto"/>
        <w:jc w:val="both"/>
        <w:rPr>
          <w:rFonts w:ascii="Arial" w:eastAsia="Calibri" w:hAnsi="Arial" w:cs="Arial"/>
          <w:color w:val="000000"/>
          <w:kern w:val="2"/>
          <w:sz w:val="20"/>
          <w:szCs w:val="20"/>
          <w14:ligatures w14:val="standardContextual"/>
        </w:rPr>
      </w:pPr>
      <w:r w:rsidRPr="00CA71FB">
        <w:rPr>
          <w:rFonts w:ascii="Arial" w:eastAsia="Calibri" w:hAnsi="Arial" w:cs="Arial"/>
          <w:color w:val="000000"/>
          <w:kern w:val="2"/>
          <w:sz w:val="20"/>
          <w:szCs w:val="20"/>
          <w14:ligatures w14:val="standardContextual"/>
        </w:rPr>
        <w:t xml:space="preserve">[…] dentro del grupo de asociaciones que conforman las ESAL están incluidas las Cajas de Compensación Familiar, esto en razón a que, el artículo 39 de la Ley 21 de 1982 las define como “personas jurídicas de derecho privado sin ánimo de lucro, organizadas como corporaciones en la forma prevista en el Código Civil, cumplen funciones de seguridad social y se hallan sometidas al control y vigilancia del Estado en la forma establecida por la ley”. </w:t>
      </w:r>
    </w:p>
    <w:p w14:paraId="02D4FB78" w14:textId="77777777" w:rsidR="009157E3" w:rsidRPr="00CA71FB" w:rsidRDefault="009157E3" w:rsidP="009157E3">
      <w:pPr>
        <w:spacing w:after="0" w:line="240" w:lineRule="auto"/>
        <w:jc w:val="both"/>
        <w:rPr>
          <w:rFonts w:ascii="Arial" w:eastAsia="Calibri" w:hAnsi="Arial" w:cs="Arial"/>
          <w:sz w:val="20"/>
          <w:szCs w:val="20"/>
          <w:lang w:val="es-ES_tradnl"/>
        </w:rPr>
      </w:pPr>
    </w:p>
    <w:p w14:paraId="3FBFD467" w14:textId="77777777" w:rsidR="009157E3" w:rsidRPr="00CA71FB" w:rsidRDefault="009157E3" w:rsidP="009157E3">
      <w:pPr>
        <w:spacing w:after="0" w:line="240" w:lineRule="auto"/>
        <w:jc w:val="both"/>
        <w:rPr>
          <w:rFonts w:ascii="Arial" w:eastAsia="Calibri" w:hAnsi="Arial" w:cs="Arial"/>
          <w:sz w:val="20"/>
          <w:szCs w:val="20"/>
          <w:lang w:val="es-ES_tradnl"/>
        </w:rPr>
      </w:pPr>
      <w:r w:rsidRPr="00CA71FB">
        <w:rPr>
          <w:rFonts w:ascii="Arial" w:eastAsia="Calibri" w:hAnsi="Arial" w:cs="Arial"/>
          <w:sz w:val="20"/>
          <w:szCs w:val="20"/>
          <w:lang w:val="es-ES_tradnl"/>
        </w:rPr>
        <w:t>La Corte Constitucional en Sentencia C-429 de 2019, señaló que “las Cajas de Compensación Familiar son entes jurídicos de naturaleza especialísima que no ejercen funciones públicas, sino que desarrollan una función social, pues se trata de actores privados que participan en la economía e intervienen en el servicio público de seguridad social e incluso, en algunos casos, pueden participar en su prestación, como ocurre con la participación que tienen en el sector salud”.</w:t>
      </w:r>
    </w:p>
    <w:p w14:paraId="3D445AE6" w14:textId="77777777" w:rsidR="009157E3" w:rsidRPr="00CA71FB" w:rsidRDefault="009157E3" w:rsidP="009157E3">
      <w:pPr>
        <w:spacing w:after="0" w:line="240" w:lineRule="auto"/>
        <w:rPr>
          <w:rFonts w:ascii="Arial" w:eastAsia="Calibri" w:hAnsi="Arial" w:cs="Arial"/>
          <w:lang w:val="es-ES_tradnl"/>
        </w:rPr>
      </w:pPr>
    </w:p>
    <w:p w14:paraId="025FEE1E" w14:textId="77777777" w:rsidR="009157E3" w:rsidRPr="00516B3E" w:rsidRDefault="009157E3" w:rsidP="009157E3">
      <w:pPr>
        <w:spacing w:after="0" w:line="240" w:lineRule="auto"/>
        <w:rPr>
          <w:rFonts w:ascii="Arial" w:eastAsia="Calibri" w:hAnsi="Arial" w:cs="Arial"/>
          <w:b/>
          <w:bCs/>
          <w:lang w:val="es-ES_tradnl"/>
        </w:rPr>
      </w:pPr>
      <w:r w:rsidRPr="00516B3E">
        <w:rPr>
          <w:rFonts w:ascii="Arial" w:eastAsia="Calibri" w:hAnsi="Arial" w:cs="Arial"/>
          <w:b/>
          <w:bCs/>
          <w:lang w:val="es-ES_tradnl"/>
        </w:rPr>
        <w:t>PLAN ANUAL DE ADQUISICIONES – Noción – Obligatoriedad de elaboración – Sujetos obligados</w:t>
      </w:r>
    </w:p>
    <w:p w14:paraId="353EB018" w14:textId="77777777" w:rsidR="009157E3" w:rsidRPr="00CA71FB" w:rsidRDefault="009157E3" w:rsidP="009157E3">
      <w:pPr>
        <w:spacing w:after="0" w:line="240" w:lineRule="auto"/>
        <w:rPr>
          <w:rFonts w:ascii="Arial" w:eastAsia="Calibri" w:hAnsi="Arial" w:cs="Arial"/>
          <w:lang w:val="es-ES_tradnl"/>
        </w:rPr>
      </w:pPr>
    </w:p>
    <w:p w14:paraId="40F64F3B" w14:textId="77777777" w:rsidR="009157E3" w:rsidRPr="00CA71FB" w:rsidRDefault="009157E3" w:rsidP="009157E3">
      <w:pPr>
        <w:spacing w:after="0" w:line="240" w:lineRule="auto"/>
        <w:jc w:val="both"/>
        <w:rPr>
          <w:rFonts w:ascii="Arial" w:eastAsia="Calibri" w:hAnsi="Arial" w:cs="Arial"/>
          <w:sz w:val="20"/>
          <w:szCs w:val="20"/>
          <w:lang w:val="es-ES_tradnl"/>
        </w:rPr>
      </w:pPr>
      <w:r w:rsidRPr="00CA71FB">
        <w:rPr>
          <w:rFonts w:ascii="Arial" w:eastAsia="Calibri" w:hAnsi="Arial" w:cs="Arial"/>
          <w:sz w:val="20"/>
          <w:szCs w:val="20"/>
          <w:lang w:val="es-ES_tradnl"/>
        </w:rPr>
        <w:t>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w:t>
      </w:r>
    </w:p>
    <w:p w14:paraId="444A51FD" w14:textId="77777777" w:rsidR="009157E3" w:rsidRPr="00CA71FB" w:rsidRDefault="009157E3" w:rsidP="009157E3">
      <w:pPr>
        <w:spacing w:after="0" w:line="240" w:lineRule="auto"/>
        <w:rPr>
          <w:rFonts w:ascii="Arial" w:eastAsia="Calibri" w:hAnsi="Arial" w:cs="Arial"/>
          <w:lang w:val="es-ES_tradnl"/>
        </w:rPr>
      </w:pPr>
    </w:p>
    <w:p w14:paraId="723842A8" w14:textId="77777777" w:rsidR="009157E3" w:rsidRPr="00CA71FB" w:rsidRDefault="009157E3" w:rsidP="009157E3">
      <w:pPr>
        <w:spacing w:after="0" w:line="240" w:lineRule="auto"/>
        <w:jc w:val="both"/>
        <w:rPr>
          <w:rFonts w:ascii="Arial" w:eastAsia="Calibri" w:hAnsi="Arial" w:cs="Arial"/>
          <w:lang w:val="es-ES_tradnl"/>
        </w:rPr>
      </w:pPr>
      <w:r w:rsidRPr="00CA71FB">
        <w:rPr>
          <w:rFonts w:ascii="Arial" w:eastAsia="Calibri" w:hAnsi="Arial" w:cs="Arial"/>
          <w:sz w:val="20"/>
          <w:szCs w:val="20"/>
          <w:lang w:val="es-ES_tradnl"/>
        </w:rPr>
        <w:t>Ahora bien, respecto del deber de elaboración del Plan Anual de Adquisiciones, el artículo2.2.1.1.1.4.1 del Decreto 1082 de 2015 dispone: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como mínimo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w:t>
      </w:r>
    </w:p>
    <w:p w14:paraId="73620883" w14:textId="77777777" w:rsidR="009157E3" w:rsidRPr="00CA71FB" w:rsidRDefault="009157E3" w:rsidP="009157E3">
      <w:pPr>
        <w:spacing w:after="0" w:line="240" w:lineRule="auto"/>
        <w:rPr>
          <w:rFonts w:ascii="Arial" w:eastAsia="Calibri" w:hAnsi="Arial" w:cs="Arial"/>
          <w:lang w:val="es-ES_tradnl"/>
        </w:rPr>
      </w:pPr>
    </w:p>
    <w:p w14:paraId="12ED6F92" w14:textId="77777777" w:rsidR="009157E3" w:rsidRPr="00CA71FB" w:rsidRDefault="009157E3" w:rsidP="009157E3">
      <w:pPr>
        <w:spacing w:after="0" w:line="240" w:lineRule="auto"/>
        <w:rPr>
          <w:rFonts w:ascii="Arial" w:eastAsia="Calibri" w:hAnsi="Arial" w:cs="Arial"/>
          <w:b/>
          <w:bCs/>
          <w:lang w:val="es-ES_tradnl"/>
        </w:rPr>
      </w:pPr>
      <w:r w:rsidRPr="00CA71FB">
        <w:rPr>
          <w:rFonts w:ascii="Arial" w:eastAsia="Calibri" w:hAnsi="Arial" w:cs="Arial"/>
          <w:b/>
          <w:bCs/>
          <w:lang w:val="es-ES_tradnl"/>
        </w:rPr>
        <w:t>PUBLICACIÓN EN SECOP – Principio de publicidad – Principio de transparencia –</w:t>
      </w:r>
    </w:p>
    <w:p w14:paraId="39DDEFC2" w14:textId="77777777" w:rsidR="009157E3" w:rsidRPr="00CA71FB" w:rsidRDefault="009157E3" w:rsidP="009157E3">
      <w:pPr>
        <w:spacing w:after="0" w:line="240" w:lineRule="auto"/>
        <w:jc w:val="both"/>
        <w:rPr>
          <w:rFonts w:ascii="Arial" w:eastAsia="Calibri" w:hAnsi="Arial" w:cs="Arial"/>
          <w:sz w:val="20"/>
          <w:szCs w:val="20"/>
          <w:lang w:val="es-ES_tradnl"/>
        </w:rPr>
      </w:pPr>
    </w:p>
    <w:p w14:paraId="1243B667" w14:textId="77777777" w:rsidR="009157E3" w:rsidRPr="00CA71FB" w:rsidRDefault="009157E3" w:rsidP="009157E3">
      <w:pPr>
        <w:spacing w:after="0" w:line="240" w:lineRule="auto"/>
        <w:jc w:val="both"/>
        <w:rPr>
          <w:rFonts w:ascii="Arial" w:eastAsia="Calibri" w:hAnsi="Arial" w:cs="Arial"/>
          <w:sz w:val="20"/>
          <w:szCs w:val="20"/>
          <w:lang w:val="es-ES_tradnl"/>
        </w:rPr>
      </w:pPr>
      <w:r w:rsidRPr="00CA71FB">
        <w:rPr>
          <w:rFonts w:ascii="Arial" w:eastAsia="Calibri" w:hAnsi="Arial" w:cs="Arial"/>
          <w:sz w:val="20"/>
          <w:szCs w:val="20"/>
          <w:lang w:val="es-ES_tradnl"/>
        </w:rPr>
        <w:t xml:space="preserve">El principio de publicidad impone a las autoridades el deber de dar a conocer sus actos, contratos y decisiones, para que se divulguen y eventualmente se controlen dichas actuaciones. Es por eso </w:t>
      </w:r>
      <w:proofErr w:type="gramStart"/>
      <w:r w:rsidRPr="00CA71FB">
        <w:rPr>
          <w:rFonts w:ascii="Arial" w:eastAsia="Calibri" w:hAnsi="Arial" w:cs="Arial"/>
          <w:sz w:val="20"/>
          <w:szCs w:val="20"/>
          <w:lang w:val="es-ES_tradnl"/>
        </w:rPr>
        <w:t>que</w:t>
      </w:r>
      <w:proofErr w:type="gramEnd"/>
      <w:r w:rsidRPr="00CA71FB">
        <w:rPr>
          <w:rFonts w:ascii="Arial" w:eastAsia="Calibri" w:hAnsi="Arial" w:cs="Arial"/>
          <w:sz w:val="20"/>
          <w:szCs w:val="20"/>
          <w:lang w:val="es-ES_tradnl"/>
        </w:rPr>
        <w:t>,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p>
    <w:p w14:paraId="4AB9477D" w14:textId="77777777" w:rsidR="009157E3" w:rsidRPr="00CA71FB" w:rsidRDefault="009157E3" w:rsidP="009157E3">
      <w:pPr>
        <w:spacing w:after="0" w:line="240" w:lineRule="auto"/>
        <w:rPr>
          <w:rFonts w:ascii="Arial" w:eastAsia="Calibri" w:hAnsi="Arial" w:cs="Arial"/>
          <w:lang w:val="es-ES_tradnl"/>
        </w:rPr>
      </w:pPr>
      <w:r w:rsidRPr="00CA71FB">
        <w:rPr>
          <w:rFonts w:ascii="Arial" w:eastAsia="Calibri" w:hAnsi="Arial" w:cs="Arial"/>
          <w:lang w:val="es-ES_tradnl"/>
        </w:rPr>
        <w:t>[…]</w:t>
      </w:r>
    </w:p>
    <w:p w14:paraId="40F8577C" w14:textId="77777777" w:rsidR="009157E3" w:rsidRPr="00CA71FB" w:rsidRDefault="009157E3" w:rsidP="009157E3">
      <w:pPr>
        <w:spacing w:after="0" w:line="240" w:lineRule="auto"/>
        <w:jc w:val="both"/>
        <w:rPr>
          <w:rFonts w:ascii="Arial" w:eastAsia="Calibri" w:hAnsi="Arial" w:cs="Arial"/>
          <w:sz w:val="20"/>
          <w:szCs w:val="20"/>
          <w:lang w:val="es-ES_tradnl"/>
        </w:rPr>
      </w:pPr>
      <w:r w:rsidRPr="00CA71FB">
        <w:rPr>
          <w:rFonts w:ascii="Arial" w:eastAsia="Calibri" w:hAnsi="Arial" w:cs="Arial"/>
          <w:sz w:val="20"/>
          <w:szCs w:val="20"/>
          <w:lang w:val="es-ES_tradnl"/>
        </w:rPr>
        <w:t>[…]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legales.</w:t>
      </w:r>
    </w:p>
    <w:p w14:paraId="1240F80E" w14:textId="77777777" w:rsidR="009157E3" w:rsidRPr="00CA71FB" w:rsidRDefault="009157E3" w:rsidP="009157E3">
      <w:pPr>
        <w:spacing w:after="0" w:line="240" w:lineRule="auto"/>
        <w:jc w:val="both"/>
        <w:rPr>
          <w:rFonts w:ascii="Arial" w:eastAsia="Calibri" w:hAnsi="Arial" w:cs="Arial"/>
          <w:sz w:val="20"/>
          <w:szCs w:val="20"/>
          <w:lang w:val="es-ES_tradnl"/>
        </w:rPr>
      </w:pPr>
    </w:p>
    <w:p w14:paraId="6178F9EA" w14:textId="77777777" w:rsidR="009157E3" w:rsidRPr="006677CD" w:rsidRDefault="009157E3" w:rsidP="009157E3">
      <w:pPr>
        <w:spacing w:after="0" w:line="240" w:lineRule="auto"/>
        <w:rPr>
          <w:rFonts w:ascii="Arial" w:eastAsia="Calibri" w:hAnsi="Arial" w:cs="Arial"/>
          <w:b/>
          <w:bCs/>
          <w:lang w:val="es-ES_tradnl"/>
        </w:rPr>
      </w:pPr>
      <w:r w:rsidRPr="006677CD">
        <w:rPr>
          <w:rFonts w:ascii="Arial" w:eastAsia="Calibri" w:hAnsi="Arial" w:cs="Arial"/>
          <w:b/>
          <w:bCs/>
          <w:lang w:val="es-ES_tradnl"/>
        </w:rPr>
        <w:t xml:space="preserve">PUBLICACIÓN EN SECOP – Sujetos obligados </w:t>
      </w:r>
    </w:p>
    <w:p w14:paraId="79187520" w14:textId="77777777" w:rsidR="009157E3" w:rsidRPr="006677CD" w:rsidRDefault="009157E3" w:rsidP="009157E3">
      <w:pPr>
        <w:spacing w:after="0" w:line="240" w:lineRule="auto"/>
        <w:rPr>
          <w:rFonts w:ascii="Arial" w:eastAsia="Calibri" w:hAnsi="Arial" w:cs="Arial"/>
          <w:lang w:val="es-ES_tradnl"/>
        </w:rPr>
      </w:pPr>
    </w:p>
    <w:p w14:paraId="3A5234C7" w14:textId="77777777" w:rsidR="009157E3" w:rsidRPr="006677CD" w:rsidRDefault="009157E3" w:rsidP="009157E3">
      <w:pPr>
        <w:spacing w:after="0" w:line="240" w:lineRule="auto"/>
        <w:jc w:val="both"/>
        <w:rPr>
          <w:rFonts w:ascii="Arial" w:eastAsia="Calibri" w:hAnsi="Arial" w:cs="Arial"/>
          <w:sz w:val="20"/>
          <w:szCs w:val="20"/>
          <w:lang w:val="es-ES_tradnl"/>
        </w:rPr>
      </w:pPr>
      <w:r w:rsidRPr="006677CD">
        <w:rPr>
          <w:rFonts w:ascii="Arial" w:eastAsia="Calibri" w:hAnsi="Arial" w:cs="Arial"/>
          <w:sz w:val="20"/>
          <w:szCs w:val="20"/>
          <w:lang w:val="es-ES_tradnl"/>
        </w:rPr>
        <w:t>Uno de los deberes definidos en la Ley 1712 de 2014, que deben acatar los sujetos obligados, es publicar la información contractual en el SECOP. En efecto, el literal e) del artículo 9 señala que los sujetos obligados deben publicar la información relativo a su contratación. Así 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información esta, que también debe estar en el SECOP.</w:t>
      </w:r>
    </w:p>
    <w:p w14:paraId="7EBF7C59" w14:textId="77777777" w:rsidR="009157E3" w:rsidRPr="006677CD" w:rsidRDefault="009157E3" w:rsidP="009157E3">
      <w:pPr>
        <w:spacing w:after="0" w:line="240" w:lineRule="auto"/>
        <w:rPr>
          <w:rFonts w:ascii="Arial" w:eastAsia="Calibri" w:hAnsi="Arial" w:cs="Arial"/>
          <w:lang w:val="es-ES_tradnl"/>
        </w:rPr>
      </w:pPr>
    </w:p>
    <w:p w14:paraId="13125C2B" w14:textId="77777777" w:rsidR="009157E3" w:rsidRPr="00CA71FB" w:rsidRDefault="009157E3" w:rsidP="009157E3">
      <w:pPr>
        <w:spacing w:after="0" w:line="240" w:lineRule="auto"/>
        <w:jc w:val="both"/>
        <w:rPr>
          <w:rFonts w:ascii="Arial" w:eastAsia="Calibri" w:hAnsi="Arial" w:cs="Arial"/>
          <w:sz w:val="20"/>
          <w:szCs w:val="20"/>
          <w:lang w:val="es-ES_tradnl"/>
        </w:rPr>
      </w:pPr>
      <w:r w:rsidRPr="006677CD">
        <w:rPr>
          <w:rFonts w:ascii="Arial" w:eastAsia="Calibri" w:hAnsi="Arial" w:cs="Arial"/>
          <w:sz w:val="20"/>
          <w:szCs w:val="20"/>
          <w:lang w:val="es-ES_tradnl"/>
        </w:rPr>
        <w:t>Sin embargo, el Decreto 1081 de 2015 reglamentó la materia estableciendo que la información contractual de los sujetos obligados que “contratan con cargo a recursos públicos”, debe hacerse en el Sistema Electrónico para la Contratación Pública – SECOP</w:t>
      </w:r>
    </w:p>
    <w:p w14:paraId="42669E96" w14:textId="77777777" w:rsidR="009157E3" w:rsidRDefault="009157E3" w:rsidP="009157E3">
      <w:pPr>
        <w:spacing w:after="0" w:line="240" w:lineRule="auto"/>
        <w:rPr>
          <w:rFonts w:ascii="Arial" w:eastAsia="Calibri" w:hAnsi="Arial" w:cs="Arial"/>
          <w:lang w:val="es-ES_tradnl"/>
        </w:rPr>
      </w:pPr>
    </w:p>
    <w:p w14:paraId="5AFABB4C" w14:textId="77777777" w:rsidR="0022007F" w:rsidRPr="00746D15" w:rsidRDefault="0022007F" w:rsidP="0022007F">
      <w:pPr>
        <w:spacing w:after="0" w:line="240" w:lineRule="auto"/>
        <w:contextualSpacing/>
        <w:jc w:val="both"/>
        <w:rPr>
          <w:rFonts w:ascii="Arial" w:hAnsi="Arial" w:cs="Arial"/>
          <w:b/>
          <w:bCs/>
          <w:iCs/>
          <w:lang w:val="es-ES_tradnl"/>
        </w:rPr>
      </w:pPr>
      <w:r w:rsidRPr="00746D15">
        <w:rPr>
          <w:rFonts w:ascii="Arial" w:hAnsi="Arial" w:cs="Arial"/>
          <w:b/>
          <w:bCs/>
          <w:iCs/>
          <w:lang w:val="es-ES_tradnl"/>
        </w:rPr>
        <w:t xml:space="preserve">DEBER DE PUBLICIDAD </w:t>
      </w:r>
      <w:r w:rsidRPr="00746D15">
        <w:rPr>
          <w:rFonts w:ascii="Arial" w:eastAsia="Calibri" w:hAnsi="Arial" w:cs="Arial"/>
          <w:b/>
          <w:lang w:val="es-ES_tradnl"/>
        </w:rPr>
        <w:t>–</w:t>
      </w:r>
      <w:r w:rsidRPr="00746D15">
        <w:rPr>
          <w:rFonts w:ascii="Arial" w:hAnsi="Arial" w:cs="Arial"/>
          <w:b/>
          <w:bCs/>
          <w:iCs/>
          <w:lang w:val="es-ES_tradnl"/>
        </w:rPr>
        <w:t xml:space="preserve"> SECOP II </w:t>
      </w:r>
      <w:r w:rsidRPr="00746D15">
        <w:rPr>
          <w:rFonts w:ascii="Arial" w:eastAsia="Calibri" w:hAnsi="Arial" w:cs="Arial"/>
          <w:b/>
          <w:lang w:val="es-ES_tradnl"/>
        </w:rPr>
        <w:t>–</w:t>
      </w:r>
      <w:r w:rsidRPr="00746D15">
        <w:rPr>
          <w:rFonts w:ascii="Arial" w:hAnsi="Arial" w:cs="Arial"/>
          <w:b/>
          <w:bCs/>
          <w:iCs/>
          <w:lang w:val="es-ES_tradnl"/>
        </w:rPr>
        <w:t xml:space="preserve"> Entidades estatales exceptuadas del estatuto general de contratación de la administración pública – Modificación artículo 53 de la Ley 2195 de 2022</w:t>
      </w:r>
    </w:p>
    <w:p w14:paraId="5FF04925" w14:textId="77777777" w:rsidR="0022007F" w:rsidRPr="00746D15" w:rsidRDefault="0022007F" w:rsidP="0022007F">
      <w:pPr>
        <w:spacing w:after="0" w:line="240" w:lineRule="auto"/>
        <w:contextualSpacing/>
        <w:jc w:val="both"/>
        <w:rPr>
          <w:rFonts w:ascii="Arial" w:hAnsi="Arial" w:cs="Arial"/>
          <w:b/>
          <w:bCs/>
          <w:iCs/>
          <w:sz w:val="20"/>
          <w:szCs w:val="20"/>
          <w:lang w:val="es-ES_tradnl"/>
        </w:rPr>
      </w:pPr>
    </w:p>
    <w:p w14:paraId="2032F7EB" w14:textId="77777777" w:rsidR="0022007F" w:rsidRPr="00746D15" w:rsidRDefault="0022007F" w:rsidP="0022007F">
      <w:pPr>
        <w:spacing w:after="0" w:line="240" w:lineRule="auto"/>
        <w:contextualSpacing/>
        <w:jc w:val="both"/>
        <w:rPr>
          <w:rFonts w:ascii="Arial" w:hAnsi="Arial" w:cs="Arial"/>
          <w:sz w:val="20"/>
          <w:szCs w:val="20"/>
        </w:rPr>
      </w:pPr>
      <w:r w:rsidRPr="00746D15">
        <w:rPr>
          <w:rFonts w:ascii="Arial" w:hAnsi="Arial" w:cs="Arial"/>
          <w:sz w:val="20"/>
          <w:szCs w:val="20"/>
        </w:rPr>
        <w:t xml:space="preserve">Las disposiciones normativas antes señaladas referentes a la obligación de las entidades con regímenes especiales de publicar en el SECOP lo relativo a su actividad contractual, fueron complementadas con la expedición de la Ley 2195 de 2022, </w:t>
      </w:r>
      <w:r>
        <w:rPr>
          <w:rFonts w:ascii="Arial" w:eastAsia="Calibri" w:hAnsi="Arial" w:cs="Arial"/>
          <w:sz w:val="20"/>
          <w:szCs w:val="20"/>
        </w:rPr>
        <w:t>“</w:t>
      </w:r>
      <w:r w:rsidRPr="00746D15">
        <w:rPr>
          <w:rFonts w:ascii="Arial" w:eastAsia="Calibri" w:hAnsi="Arial" w:cs="Arial"/>
          <w:sz w:val="20"/>
          <w:szCs w:val="20"/>
        </w:rPr>
        <w:t>P</w:t>
      </w:r>
      <w:r w:rsidRPr="00746D15">
        <w:rPr>
          <w:rFonts w:ascii="Arial" w:hAnsi="Arial" w:cs="Arial"/>
          <w:sz w:val="20"/>
          <w:szCs w:val="20"/>
        </w:rPr>
        <w:t>or medio de la cual se adoptan medidas en materia de transparencia, prevención y lucha contra la corrupción y se dictan otras disposiciones</w:t>
      </w:r>
      <w:r>
        <w:rPr>
          <w:rFonts w:ascii="Arial" w:eastAsia="Calibri" w:hAnsi="Arial" w:cs="Arial"/>
          <w:sz w:val="20"/>
          <w:szCs w:val="20"/>
        </w:rPr>
        <w:t>”</w:t>
      </w:r>
      <w:r w:rsidRPr="00746D15">
        <w:rPr>
          <w:rFonts w:ascii="Arial" w:hAnsi="Arial" w:cs="Arial"/>
          <w:sz w:val="20"/>
          <w:szCs w:val="20"/>
        </w:rPr>
        <w:t xml:space="preserve">. </w:t>
      </w:r>
      <w:r w:rsidRPr="00746D15">
        <w:rPr>
          <w:rFonts w:ascii="Arial" w:eastAsia="Calibri" w:hAnsi="Arial" w:cs="Arial"/>
          <w:sz w:val="20"/>
          <w:szCs w:val="20"/>
          <w:lang w:val="es-ES_tradnl" w:eastAsia="es-ES_tradnl"/>
        </w:rPr>
        <w:t xml:space="preserve">Según el artículo 1, esta Ley </w:t>
      </w:r>
      <w:r>
        <w:rPr>
          <w:rFonts w:ascii="Arial" w:eastAsia="Calibri" w:hAnsi="Arial" w:cs="Arial"/>
          <w:sz w:val="20"/>
          <w:szCs w:val="20"/>
          <w:lang w:val="es-ES_tradnl" w:eastAsia="es-ES_tradnl"/>
        </w:rPr>
        <w:t>“</w:t>
      </w:r>
      <w:r w:rsidRPr="00746D15">
        <w:rPr>
          <w:rFonts w:ascii="Arial" w:eastAsia="Times New Roman" w:hAnsi="Arial" w:cs="Arial"/>
          <w:sz w:val="20"/>
          <w:szCs w:val="20"/>
          <w:lang w:val="es-ES_tradnl" w:eastAsia="es-ES_tradnl"/>
        </w:rPr>
        <w:t xml:space="preserve">[…] </w:t>
      </w:r>
      <w:r w:rsidRPr="00746D15">
        <w:rPr>
          <w:rFonts w:ascii="Arial" w:eastAsia="Calibri" w:hAnsi="Arial" w:cs="Arial"/>
          <w:sz w:val="20"/>
          <w:szCs w:val="20"/>
          <w:lang w:val="es-ES_tradnl" w:eastAsia="es-ES_tradnl"/>
        </w:rPr>
        <w:t>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Pr>
          <w:rFonts w:ascii="Arial" w:eastAsia="Calibri" w:hAnsi="Arial" w:cs="Arial"/>
          <w:sz w:val="20"/>
          <w:szCs w:val="20"/>
          <w:lang w:val="es-ES_tradnl" w:eastAsia="es-ES_tradnl"/>
        </w:rPr>
        <w:t>”</w:t>
      </w:r>
      <w:r w:rsidRPr="00746D15">
        <w:rPr>
          <w:rFonts w:ascii="Arial" w:eastAsia="Calibri" w:hAnsi="Arial" w:cs="Arial"/>
          <w:sz w:val="20"/>
          <w:szCs w:val="20"/>
          <w:lang w:val="es-ES_tradnl" w:eastAsia="es-ES_tradnl"/>
        </w:rPr>
        <w:t xml:space="preserve">. Dentro del capítulo VIII de la mencionada Ley, que lleva por título </w:t>
      </w:r>
      <w:r>
        <w:rPr>
          <w:rFonts w:ascii="Arial" w:eastAsia="Calibri" w:hAnsi="Arial" w:cs="Arial"/>
          <w:sz w:val="20"/>
          <w:szCs w:val="20"/>
          <w:lang w:val="es-ES_tradnl" w:eastAsia="es-ES_tradnl"/>
        </w:rPr>
        <w:t>“</w:t>
      </w:r>
      <w:r w:rsidRPr="00746D15">
        <w:rPr>
          <w:rFonts w:ascii="Arial" w:eastAsia="Calibri" w:hAnsi="Arial" w:cs="Arial"/>
          <w:sz w:val="20"/>
          <w:szCs w:val="20"/>
          <w:lang w:val="es-ES_tradnl" w:eastAsia="es-ES_tradnl"/>
        </w:rPr>
        <w:t>Disposiciones en materia contractual para la moralización y la transparencia</w:t>
      </w:r>
      <w:r>
        <w:rPr>
          <w:rFonts w:ascii="Arial" w:eastAsia="Calibri" w:hAnsi="Arial" w:cs="Arial"/>
          <w:sz w:val="20"/>
          <w:szCs w:val="20"/>
          <w:lang w:val="es-ES_tradnl" w:eastAsia="es-ES_tradnl"/>
        </w:rPr>
        <w:t>”</w:t>
      </w:r>
      <w:r w:rsidRPr="00746D15">
        <w:rPr>
          <w:rFonts w:ascii="Arial" w:eastAsia="Calibri" w:hAnsi="Arial" w:cs="Arial"/>
          <w:sz w:val="20"/>
          <w:szCs w:val="20"/>
          <w:lang w:val="es-ES_tradnl" w:eastAsia="es-ES_tradnl"/>
        </w:rPr>
        <w:t xml:space="preserve">, se ubica </w:t>
      </w:r>
      <w:r w:rsidRPr="00746D15">
        <w:rPr>
          <w:rFonts w:ascii="Arial" w:hAnsi="Arial" w:cs="Arial"/>
          <w:sz w:val="20"/>
          <w:szCs w:val="20"/>
        </w:rPr>
        <w:t>el artículo 53, mediante el cual se adiciona el artículo 13 de la Ley 1150 de 2007. La referida disposición les asigna a las entidades estatales que por disposición legal cuenten con un régimen contractual excepcional al del Estatuto General de Contratación de la Administración Pública, la obligación de publicar los documentos relacionados con su actividad contractual en el Sistema Electrónico para la Contratación Pública –SECOP II– o la plataforma transaccional que haga sus veces.</w:t>
      </w:r>
    </w:p>
    <w:p w14:paraId="35BAD143" w14:textId="77777777" w:rsidR="0022007F" w:rsidRPr="00CA71FB" w:rsidRDefault="0022007F" w:rsidP="009157E3">
      <w:pPr>
        <w:spacing w:after="0" w:line="240" w:lineRule="auto"/>
        <w:rPr>
          <w:rFonts w:ascii="Arial" w:eastAsia="Calibri" w:hAnsi="Arial" w:cs="Arial"/>
          <w:lang w:val="es-ES_tradnl"/>
        </w:rPr>
      </w:pPr>
    </w:p>
    <w:p w14:paraId="75DEA679" w14:textId="77777777" w:rsidR="009157E3" w:rsidRPr="00CA71FB" w:rsidRDefault="009157E3" w:rsidP="009157E3">
      <w:pPr>
        <w:spacing w:after="0" w:line="240" w:lineRule="auto"/>
        <w:rPr>
          <w:rFonts w:ascii="Arial" w:eastAsia="Calibri" w:hAnsi="Arial" w:cs="Arial"/>
          <w:lang w:val="es-ES_tradnl"/>
        </w:rPr>
      </w:pPr>
    </w:p>
    <w:p w14:paraId="79A562D2" w14:textId="77777777" w:rsidR="009157E3" w:rsidRPr="00CA71FB" w:rsidRDefault="009157E3" w:rsidP="009157E3">
      <w:pPr>
        <w:spacing w:after="0" w:line="240" w:lineRule="auto"/>
        <w:rPr>
          <w:rFonts w:ascii="Arial" w:eastAsia="Calibri" w:hAnsi="Arial" w:cs="Arial"/>
          <w:lang w:val="es-ES_tradnl"/>
        </w:rPr>
      </w:pPr>
    </w:p>
    <w:p w14:paraId="58CCFDA9" w14:textId="77777777" w:rsidR="009157E3" w:rsidRPr="00CA71FB" w:rsidRDefault="009157E3" w:rsidP="009157E3">
      <w:pPr>
        <w:spacing w:after="0" w:line="240" w:lineRule="auto"/>
        <w:rPr>
          <w:rFonts w:ascii="Arial" w:eastAsia="Calibri" w:hAnsi="Arial" w:cs="Arial"/>
          <w:lang w:val="es-ES_tradnl"/>
        </w:rPr>
      </w:pPr>
    </w:p>
    <w:p w14:paraId="4B2C2179" w14:textId="77777777" w:rsidR="009157E3" w:rsidRPr="00CA71FB" w:rsidRDefault="009157E3" w:rsidP="009157E3">
      <w:pPr>
        <w:spacing w:after="0" w:line="240" w:lineRule="auto"/>
        <w:rPr>
          <w:rFonts w:ascii="Arial" w:eastAsia="Calibri" w:hAnsi="Arial" w:cs="Arial"/>
          <w:lang w:val="es-ES_tradnl"/>
        </w:rPr>
      </w:pPr>
    </w:p>
    <w:p w14:paraId="770CFA11" w14:textId="77777777" w:rsidR="009157E3" w:rsidRPr="00CA71FB" w:rsidRDefault="009157E3" w:rsidP="009157E3">
      <w:pPr>
        <w:spacing w:after="0" w:line="240" w:lineRule="auto"/>
        <w:rPr>
          <w:rFonts w:ascii="Arial" w:eastAsia="Calibri" w:hAnsi="Arial" w:cs="Arial"/>
          <w:lang w:val="es-ES_tradnl"/>
        </w:rPr>
      </w:pPr>
    </w:p>
    <w:p w14:paraId="47E25995" w14:textId="77777777" w:rsidR="009157E3" w:rsidRPr="00CA71FB" w:rsidRDefault="009157E3" w:rsidP="009157E3">
      <w:pPr>
        <w:spacing w:after="0" w:line="240" w:lineRule="auto"/>
        <w:rPr>
          <w:rFonts w:ascii="Arial" w:eastAsia="Calibri" w:hAnsi="Arial" w:cs="Arial"/>
          <w:lang w:val="es-ES_tradnl"/>
        </w:rPr>
      </w:pPr>
    </w:p>
    <w:p w14:paraId="51938943" w14:textId="77777777" w:rsidR="009157E3" w:rsidRPr="00CA71FB" w:rsidRDefault="009157E3" w:rsidP="009157E3">
      <w:pPr>
        <w:spacing w:after="0" w:line="240" w:lineRule="auto"/>
        <w:rPr>
          <w:rFonts w:ascii="Arial" w:eastAsia="Calibri" w:hAnsi="Arial" w:cs="Arial"/>
          <w:lang w:val="es-ES_tradnl"/>
        </w:rPr>
      </w:pPr>
    </w:p>
    <w:p w14:paraId="2405AAE7" w14:textId="77777777" w:rsidR="009157E3" w:rsidRPr="00CA71FB" w:rsidRDefault="009157E3" w:rsidP="009157E3">
      <w:pPr>
        <w:spacing w:after="0" w:line="240" w:lineRule="auto"/>
        <w:rPr>
          <w:rFonts w:ascii="Arial" w:eastAsia="Calibri" w:hAnsi="Arial" w:cs="Arial"/>
          <w:lang w:val="es-ES_tradnl"/>
        </w:rPr>
      </w:pPr>
    </w:p>
    <w:p w14:paraId="087A3869" w14:textId="77777777" w:rsidR="009157E3" w:rsidRPr="00CA71FB" w:rsidRDefault="009157E3" w:rsidP="009157E3">
      <w:pPr>
        <w:spacing w:after="0" w:line="240" w:lineRule="auto"/>
        <w:rPr>
          <w:rFonts w:ascii="Arial" w:eastAsia="Calibri" w:hAnsi="Arial" w:cs="Arial"/>
          <w:lang w:val="es-ES_tradnl"/>
        </w:rPr>
      </w:pPr>
    </w:p>
    <w:p w14:paraId="53D2DB7A" w14:textId="77777777" w:rsidR="009157E3" w:rsidRPr="00CA71FB" w:rsidRDefault="009157E3" w:rsidP="009157E3">
      <w:pPr>
        <w:spacing w:after="0" w:line="240" w:lineRule="auto"/>
        <w:rPr>
          <w:rFonts w:ascii="Arial" w:eastAsia="Calibri" w:hAnsi="Arial" w:cs="Arial"/>
          <w:lang w:val="es-ES_tradnl"/>
        </w:rPr>
      </w:pPr>
    </w:p>
    <w:p w14:paraId="5B3AAE29" w14:textId="77777777" w:rsidR="009157E3" w:rsidRPr="00CA71FB" w:rsidRDefault="009157E3" w:rsidP="009157E3">
      <w:pPr>
        <w:spacing w:after="0" w:line="240" w:lineRule="auto"/>
        <w:rPr>
          <w:rFonts w:ascii="Arial" w:eastAsia="Calibri" w:hAnsi="Arial" w:cs="Arial"/>
          <w:lang w:val="es-ES_tradnl"/>
        </w:rPr>
      </w:pPr>
    </w:p>
    <w:p w14:paraId="753848BD" w14:textId="77777777" w:rsidR="009157E3" w:rsidRPr="00CA71FB" w:rsidRDefault="009157E3" w:rsidP="009157E3">
      <w:pPr>
        <w:spacing w:after="0" w:line="240" w:lineRule="auto"/>
        <w:rPr>
          <w:rFonts w:ascii="Arial" w:eastAsia="Calibri" w:hAnsi="Arial" w:cs="Arial"/>
          <w:lang w:val="es-ES_tradnl"/>
        </w:rPr>
      </w:pPr>
    </w:p>
    <w:p w14:paraId="0B4B5F71" w14:textId="77777777" w:rsidR="009157E3" w:rsidRPr="00CA71FB" w:rsidRDefault="009157E3" w:rsidP="009157E3">
      <w:pPr>
        <w:spacing w:after="0" w:line="240" w:lineRule="auto"/>
        <w:rPr>
          <w:rFonts w:ascii="Arial" w:eastAsia="Calibri" w:hAnsi="Arial" w:cs="Arial"/>
          <w:lang w:val="es-ES_tradnl"/>
        </w:rPr>
      </w:pPr>
    </w:p>
    <w:p w14:paraId="4D31D1B0" w14:textId="77777777" w:rsidR="0000490F" w:rsidRDefault="0000490F" w:rsidP="009157E3">
      <w:pPr>
        <w:spacing w:after="0" w:line="240" w:lineRule="auto"/>
        <w:rPr>
          <w:rFonts w:ascii="Arial" w:eastAsia="Calibri" w:hAnsi="Arial" w:cs="Arial"/>
          <w:lang w:val="es-ES_tradnl"/>
        </w:rPr>
      </w:pPr>
    </w:p>
    <w:p w14:paraId="1679BEC8" w14:textId="77777777" w:rsidR="0022007F" w:rsidRPr="00CA71FB" w:rsidRDefault="0022007F" w:rsidP="009157E3">
      <w:pPr>
        <w:spacing w:after="0" w:line="240" w:lineRule="auto"/>
        <w:rPr>
          <w:rFonts w:ascii="Arial" w:eastAsia="Calibri" w:hAnsi="Arial" w:cs="Arial"/>
          <w:lang w:val="es-ES_tradnl"/>
        </w:rPr>
      </w:pPr>
    </w:p>
    <w:p w14:paraId="0621ACF8" w14:textId="5BD52852" w:rsidR="009157E3" w:rsidRPr="00CA71FB" w:rsidRDefault="009157E3" w:rsidP="00F50D3F">
      <w:pPr>
        <w:spacing w:after="0" w:line="240" w:lineRule="auto"/>
        <w:jc w:val="right"/>
        <w:rPr>
          <w:rFonts w:ascii="Arial" w:eastAsia="Calibri" w:hAnsi="Arial" w:cs="Arial"/>
          <w:lang w:val="es-ES_tradnl"/>
        </w:rPr>
      </w:pPr>
    </w:p>
    <w:p w14:paraId="54E05DA7" w14:textId="612302A4" w:rsidR="001C7283" w:rsidRDefault="001C7283" w:rsidP="001C7283">
      <w:pPr>
        <w:spacing w:after="0" w:line="240" w:lineRule="auto"/>
        <w:jc w:val="right"/>
        <w:rPr>
          <w:rFonts w:ascii="Arial" w:eastAsia="Calibri" w:hAnsi="Arial" w:cs="Arial"/>
          <w:lang w:val="es-ES_tradnl"/>
        </w:rPr>
      </w:pPr>
      <w:r w:rsidRPr="001C7283">
        <w:rPr>
          <w:rFonts w:ascii="Arial" w:eastAsia="Calibri" w:hAnsi="Arial" w:cs="Arial"/>
          <w:noProof/>
          <w:lang w:val="es-ES_tradnl"/>
        </w:rPr>
        <w:drawing>
          <wp:inline distT="0" distB="0" distL="0" distR="0" wp14:anchorId="6A1054D5" wp14:editId="08926502">
            <wp:extent cx="3516923" cy="937260"/>
            <wp:effectExtent l="0" t="0" r="7620" b="0"/>
            <wp:docPr id="8247548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10" cy="941734"/>
                    </a:xfrm>
                    <a:prstGeom prst="rect">
                      <a:avLst/>
                    </a:prstGeom>
                    <a:noFill/>
                    <a:ln>
                      <a:noFill/>
                    </a:ln>
                  </pic:spPr>
                </pic:pic>
              </a:graphicData>
            </a:graphic>
          </wp:inline>
        </w:drawing>
      </w:r>
    </w:p>
    <w:p w14:paraId="42033CC3" w14:textId="77777777" w:rsidR="001C7283" w:rsidRDefault="001C7283" w:rsidP="009157E3">
      <w:pPr>
        <w:spacing w:after="0" w:line="240" w:lineRule="auto"/>
        <w:rPr>
          <w:rFonts w:ascii="Arial" w:eastAsia="Calibri" w:hAnsi="Arial" w:cs="Arial"/>
          <w:lang w:val="es-ES_tradnl"/>
        </w:rPr>
      </w:pPr>
    </w:p>
    <w:p w14:paraId="54F568C7" w14:textId="3E75A337" w:rsidR="009157E3" w:rsidRPr="00CA71FB" w:rsidRDefault="009157E3" w:rsidP="009157E3">
      <w:pPr>
        <w:spacing w:after="0" w:line="240" w:lineRule="auto"/>
        <w:rPr>
          <w:rFonts w:ascii="Arial" w:eastAsia="Calibri" w:hAnsi="Arial" w:cs="Arial"/>
          <w:lang w:val="es-ES_tradnl"/>
        </w:rPr>
      </w:pPr>
      <w:r w:rsidRPr="00CA71FB">
        <w:rPr>
          <w:rFonts w:ascii="Arial" w:eastAsia="Calibri" w:hAnsi="Arial" w:cs="Arial"/>
          <w:lang w:val="es-ES_tradnl"/>
        </w:rPr>
        <w:t>Señor</w:t>
      </w:r>
    </w:p>
    <w:p w14:paraId="65C18D75" w14:textId="02F07415" w:rsidR="009157E3" w:rsidRPr="00CA71FB" w:rsidRDefault="00106DE8" w:rsidP="009157E3">
      <w:pPr>
        <w:spacing w:after="0" w:line="240" w:lineRule="auto"/>
        <w:rPr>
          <w:rFonts w:ascii="Arial" w:eastAsia="Calibri" w:hAnsi="Arial" w:cs="Arial"/>
          <w:b/>
          <w:lang w:val="es-ES_tradnl"/>
        </w:rPr>
      </w:pPr>
      <w:r>
        <w:rPr>
          <w:rFonts w:ascii="Arial" w:eastAsia="Calibri" w:hAnsi="Arial" w:cs="Arial"/>
          <w:b/>
          <w:lang w:val="es-ES_tradnl"/>
        </w:rPr>
        <w:t xml:space="preserve">Javier Parra </w:t>
      </w:r>
    </w:p>
    <w:p w14:paraId="4D5CA250" w14:textId="29E16C5A" w:rsidR="009157E3" w:rsidRPr="00CA71FB" w:rsidRDefault="00000000" w:rsidP="009157E3">
      <w:pPr>
        <w:spacing w:after="0" w:line="240" w:lineRule="auto"/>
        <w:rPr>
          <w:rFonts w:ascii="Arial" w:eastAsia="Calibri" w:hAnsi="Arial" w:cs="Arial"/>
          <w:noProof/>
          <w:color w:val="0070C0"/>
          <w:lang w:val="es-ES_tradnl"/>
        </w:rPr>
      </w:pPr>
      <w:hyperlink r:id="rId11" w:history="1">
        <w:r w:rsidR="00106DE8" w:rsidRPr="002E644B">
          <w:rPr>
            <w:rStyle w:val="Hipervnculo"/>
            <w:rFonts w:ascii="Arial" w:eastAsia="Calibri" w:hAnsi="Arial" w:cs="Arial"/>
            <w:noProof/>
            <w:lang w:val="es-ES_tradnl"/>
          </w:rPr>
          <w:t>javier.parra@contraloria.gov.co</w:t>
        </w:r>
      </w:hyperlink>
      <w:r w:rsidR="00106DE8">
        <w:rPr>
          <w:rFonts w:ascii="Arial" w:eastAsia="Calibri" w:hAnsi="Arial" w:cs="Arial"/>
          <w:noProof/>
          <w:color w:val="0070C0"/>
          <w:lang w:val="es-ES_tradnl"/>
        </w:rPr>
        <w:t xml:space="preserve"> </w:t>
      </w:r>
    </w:p>
    <w:p w14:paraId="75CBA49C" w14:textId="45793508" w:rsidR="009157E3" w:rsidRPr="00CA71FB" w:rsidRDefault="00106DE8" w:rsidP="009157E3">
      <w:pPr>
        <w:spacing w:after="0" w:line="240" w:lineRule="auto"/>
        <w:rPr>
          <w:rFonts w:ascii="Arial" w:eastAsia="Calibri" w:hAnsi="Arial" w:cs="Arial"/>
          <w:lang w:val="es-ES_tradnl"/>
        </w:rPr>
      </w:pPr>
      <w:r>
        <w:rPr>
          <w:rFonts w:ascii="Arial" w:eastAsia="Calibri" w:hAnsi="Arial" w:cs="Arial"/>
          <w:noProof/>
          <w:color w:val="000000"/>
          <w:lang w:val="es-ES_tradnl"/>
        </w:rPr>
        <w:t xml:space="preserve">Cali, Valle del Cauca </w:t>
      </w:r>
    </w:p>
    <w:p w14:paraId="2076F4CD" w14:textId="77777777" w:rsidR="009157E3" w:rsidRPr="00CA71FB" w:rsidRDefault="009157E3" w:rsidP="009157E3">
      <w:pPr>
        <w:spacing w:after="0" w:line="240" w:lineRule="auto"/>
        <w:rPr>
          <w:rFonts w:ascii="Arial" w:eastAsia="Calibri" w:hAnsi="Arial" w:cs="Arial"/>
          <w:lang w:val="es-ES_tradnl"/>
        </w:rPr>
      </w:pPr>
    </w:p>
    <w:p w14:paraId="0E9A2754" w14:textId="77777777" w:rsidR="009157E3" w:rsidRPr="00CA71FB" w:rsidRDefault="009157E3" w:rsidP="009157E3">
      <w:pPr>
        <w:spacing w:after="0" w:line="240" w:lineRule="auto"/>
        <w:rPr>
          <w:rFonts w:ascii="Arial" w:eastAsia="Calibri" w:hAnsi="Arial" w:cs="Arial"/>
          <w:lang w:val="es-ES_tradnl"/>
        </w:rPr>
      </w:pPr>
    </w:p>
    <w:p w14:paraId="4AE38699" w14:textId="4ADC22C5" w:rsidR="009157E3" w:rsidRPr="00CA71FB" w:rsidRDefault="009157E3" w:rsidP="009157E3">
      <w:pPr>
        <w:spacing w:after="0" w:line="240" w:lineRule="auto"/>
        <w:rPr>
          <w:rFonts w:ascii="Arial" w:eastAsia="Calibri" w:hAnsi="Arial" w:cs="Arial"/>
          <w:b/>
          <w:lang w:val="es-ES_tradnl"/>
        </w:rPr>
      </w:pPr>
      <w:r w:rsidRPr="00CA71FB">
        <w:rPr>
          <w:rFonts w:ascii="Arial" w:eastAsia="Calibri" w:hAnsi="Arial" w:cs="Arial"/>
          <w:b/>
          <w:lang w:val="es-ES_tradnl"/>
        </w:rPr>
        <w:t xml:space="preserve">                                            </w:t>
      </w:r>
      <w:r w:rsidRPr="00CA71FB">
        <w:rPr>
          <w:rFonts w:ascii="Arial" w:eastAsia="Calibri" w:hAnsi="Arial" w:cs="Arial"/>
          <w:b/>
          <w:lang w:val="es-ES_tradnl"/>
        </w:rPr>
        <w:tab/>
        <w:t>Concepto C-</w:t>
      </w:r>
      <w:r w:rsidR="00106DE8">
        <w:rPr>
          <w:rFonts w:ascii="Arial" w:eastAsia="Calibri" w:hAnsi="Arial" w:cs="Arial"/>
          <w:b/>
          <w:lang w:val="es-ES_tradnl"/>
        </w:rPr>
        <w:t>438</w:t>
      </w:r>
      <w:r w:rsidRPr="00CA71FB">
        <w:rPr>
          <w:rFonts w:ascii="Arial" w:eastAsia="Calibri" w:hAnsi="Arial" w:cs="Arial"/>
          <w:b/>
          <w:lang w:val="es-ES_tradnl"/>
        </w:rPr>
        <w:t xml:space="preserve"> de 2023</w:t>
      </w:r>
    </w:p>
    <w:p w14:paraId="15AF878E" w14:textId="77777777" w:rsidR="009157E3" w:rsidRPr="00CA71FB" w:rsidRDefault="009157E3" w:rsidP="009157E3">
      <w:pPr>
        <w:spacing w:after="0" w:line="240" w:lineRule="auto"/>
        <w:rPr>
          <w:rFonts w:ascii="Arial" w:eastAsia="Calibri" w:hAnsi="Arial" w:cs="Arial"/>
          <w:b/>
          <w:lang w:val="es-ES_tradnl"/>
        </w:rPr>
      </w:pPr>
    </w:p>
    <w:p w14:paraId="09F0229D" w14:textId="77777777" w:rsidR="009157E3" w:rsidRPr="00CA71FB" w:rsidRDefault="009157E3" w:rsidP="009157E3">
      <w:pPr>
        <w:spacing w:after="0" w:line="240" w:lineRule="auto"/>
        <w:rPr>
          <w:rFonts w:ascii="Arial" w:eastAsia="Calibri" w:hAnsi="Arial" w:cs="Arial"/>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157E3" w:rsidRPr="00CA71FB" w14:paraId="0AD6D84C" w14:textId="77777777" w:rsidTr="0062443E">
        <w:tc>
          <w:tcPr>
            <w:tcW w:w="2689" w:type="dxa"/>
            <w:hideMark/>
          </w:tcPr>
          <w:p w14:paraId="5C6C9436" w14:textId="77777777" w:rsidR="009157E3" w:rsidRPr="00CA71FB" w:rsidRDefault="009157E3" w:rsidP="0062443E">
            <w:pPr>
              <w:rPr>
                <w:rFonts w:ascii="Arial" w:eastAsia="Calibri" w:hAnsi="Arial" w:cs="Arial"/>
                <w:lang w:val="es-ES_tradnl"/>
              </w:rPr>
            </w:pPr>
            <w:r w:rsidRPr="00CA71FB">
              <w:rPr>
                <w:rFonts w:ascii="Arial" w:eastAsia="Calibri" w:hAnsi="Arial" w:cs="Arial"/>
                <w:b/>
                <w:lang w:val="es-ES_tradnl"/>
              </w:rPr>
              <w:t>Temas:</w:t>
            </w:r>
            <w:r w:rsidRPr="00CA71FB">
              <w:rPr>
                <w:rFonts w:ascii="Arial" w:eastAsia="Calibri" w:hAnsi="Arial" w:cs="Arial"/>
                <w:lang w:val="es-ES_tradnl"/>
              </w:rPr>
              <w:t xml:space="preserve">           </w:t>
            </w:r>
          </w:p>
          <w:p w14:paraId="4C7EB7C7" w14:textId="77777777" w:rsidR="009157E3" w:rsidRPr="00CA71FB" w:rsidRDefault="009157E3" w:rsidP="0062443E">
            <w:pPr>
              <w:rPr>
                <w:rFonts w:ascii="Arial" w:eastAsia="Calibri" w:hAnsi="Arial" w:cs="Arial"/>
                <w:lang w:val="es-ES_tradnl"/>
              </w:rPr>
            </w:pPr>
            <w:r w:rsidRPr="00CA71FB">
              <w:rPr>
                <w:rFonts w:ascii="Arial" w:eastAsia="Calibri" w:hAnsi="Arial" w:cs="Arial"/>
                <w:lang w:val="es-ES_tradnl"/>
              </w:rPr>
              <w:t xml:space="preserve">                           </w:t>
            </w:r>
          </w:p>
        </w:tc>
        <w:tc>
          <w:tcPr>
            <w:tcW w:w="6237" w:type="dxa"/>
            <w:hideMark/>
          </w:tcPr>
          <w:p w14:paraId="345D372B" w14:textId="6628F056" w:rsidR="009157E3" w:rsidRPr="00CA71FB" w:rsidRDefault="009157E3" w:rsidP="0062443E">
            <w:pPr>
              <w:jc w:val="both"/>
              <w:rPr>
                <w:rFonts w:ascii="Arial" w:eastAsia="Calibri" w:hAnsi="Arial" w:cs="Arial"/>
                <w:bCs/>
                <w:color w:val="000000"/>
                <w:lang w:val="es-ES_tradnl"/>
              </w:rPr>
            </w:pPr>
            <w:r w:rsidRPr="00CA71FB">
              <w:rPr>
                <w:rFonts w:ascii="Arial" w:eastAsia="Calibri" w:hAnsi="Arial" w:cs="Arial"/>
                <w:bCs/>
                <w:color w:val="000000"/>
                <w:lang w:val="es-ES_tradnl"/>
              </w:rPr>
              <w:t xml:space="preserve">CAJAS DE COMPENSACIÓN FAMILIAR – Naturaleza jurídica – Función social / </w:t>
            </w:r>
            <w:r w:rsidRPr="0022007F">
              <w:rPr>
                <w:rFonts w:ascii="Arial" w:eastAsia="Calibri" w:hAnsi="Arial" w:cs="Arial"/>
                <w:bCs/>
                <w:lang w:val="es-ES_tradnl"/>
              </w:rPr>
              <w:t xml:space="preserve">PLAN ANUAL DE ADQUISICIONES – Noción – Obligatoriedad de elaboración – Sujetos obligados </w:t>
            </w:r>
            <w:r w:rsidRPr="00CA71FB">
              <w:rPr>
                <w:rFonts w:ascii="Arial" w:eastAsia="Calibri" w:hAnsi="Arial" w:cs="Arial"/>
                <w:bCs/>
                <w:color w:val="000000"/>
                <w:lang w:val="es-ES_tradnl"/>
              </w:rPr>
              <w:t xml:space="preserve">/ PUBLICACIÓN EN SECOP – Principio de publicidad – Principio de transparencia / PUBLICACIÓN EN SECOP – Sujetos obligados </w:t>
            </w:r>
            <w:r w:rsidR="0022007F">
              <w:rPr>
                <w:rFonts w:ascii="Arial" w:eastAsia="Calibri" w:hAnsi="Arial" w:cs="Arial"/>
                <w:bCs/>
                <w:color w:val="000000"/>
                <w:lang w:val="es-ES_tradnl"/>
              </w:rPr>
              <w:t xml:space="preserve">/ </w:t>
            </w:r>
            <w:r w:rsidR="0022007F" w:rsidRPr="0022007F">
              <w:rPr>
                <w:rFonts w:ascii="Arial" w:eastAsia="Calibri" w:hAnsi="Arial" w:cs="Arial"/>
                <w:bCs/>
                <w:color w:val="000000"/>
                <w:lang w:val="es-ES_tradnl"/>
              </w:rPr>
              <w:t>DEBER DE PUBLICIDAD – SECOP II – Entidades estatales exceptuadas del estatuto general de contratación de la administración pública – Modificación artículo 53 de la Ley 2195 de 2022</w:t>
            </w:r>
          </w:p>
          <w:p w14:paraId="771A3958" w14:textId="77777777" w:rsidR="009157E3" w:rsidRPr="00CA71FB" w:rsidRDefault="009157E3" w:rsidP="0062443E">
            <w:pPr>
              <w:jc w:val="both"/>
              <w:rPr>
                <w:rFonts w:ascii="Arial" w:eastAsia="Calibri" w:hAnsi="Arial" w:cs="Arial"/>
                <w:bCs/>
                <w:color w:val="000000"/>
                <w:lang w:val="es-ES_tradnl"/>
              </w:rPr>
            </w:pPr>
          </w:p>
          <w:p w14:paraId="4416E52C" w14:textId="77777777" w:rsidR="009157E3" w:rsidRPr="00CA71FB" w:rsidRDefault="009157E3" w:rsidP="0062443E">
            <w:pPr>
              <w:jc w:val="both"/>
              <w:rPr>
                <w:rFonts w:ascii="Arial" w:eastAsia="Calibri" w:hAnsi="Arial" w:cs="Arial"/>
                <w:bCs/>
                <w:color w:val="000000"/>
                <w:lang w:val="es-ES_tradnl"/>
              </w:rPr>
            </w:pPr>
          </w:p>
          <w:p w14:paraId="3D629ABB" w14:textId="77777777" w:rsidR="009157E3" w:rsidRPr="00CA71FB" w:rsidRDefault="009157E3" w:rsidP="0062443E">
            <w:pPr>
              <w:jc w:val="both"/>
              <w:rPr>
                <w:rFonts w:ascii="Arial" w:eastAsia="Calibri" w:hAnsi="Arial" w:cs="Arial"/>
              </w:rPr>
            </w:pPr>
          </w:p>
        </w:tc>
      </w:tr>
      <w:tr w:rsidR="009157E3" w:rsidRPr="00CA71FB" w14:paraId="2D63461C" w14:textId="77777777" w:rsidTr="0062443E">
        <w:trPr>
          <w:trHeight w:val="239"/>
        </w:trPr>
        <w:tc>
          <w:tcPr>
            <w:tcW w:w="2689" w:type="dxa"/>
          </w:tcPr>
          <w:p w14:paraId="6F347F59" w14:textId="77777777" w:rsidR="009157E3" w:rsidRPr="00CA71FB" w:rsidRDefault="009157E3" w:rsidP="0062443E">
            <w:pPr>
              <w:rPr>
                <w:rFonts w:ascii="Arial" w:eastAsia="Calibri" w:hAnsi="Arial" w:cs="Arial"/>
                <w:b/>
                <w:lang w:val="es-ES_tradnl"/>
              </w:rPr>
            </w:pPr>
            <w:r w:rsidRPr="00CA71FB">
              <w:rPr>
                <w:rFonts w:ascii="Arial" w:eastAsia="Calibri" w:hAnsi="Arial" w:cs="Arial"/>
                <w:b/>
                <w:lang w:val="es-ES_tradnl"/>
              </w:rPr>
              <w:t>Radicación:</w:t>
            </w:r>
            <w:r w:rsidRPr="00CA71FB">
              <w:rPr>
                <w:rFonts w:ascii="Arial" w:eastAsia="Calibri" w:hAnsi="Arial" w:cs="Arial"/>
                <w:lang w:val="es-ES_tradnl"/>
              </w:rPr>
              <w:t xml:space="preserve">                              </w:t>
            </w:r>
          </w:p>
        </w:tc>
        <w:tc>
          <w:tcPr>
            <w:tcW w:w="6237" w:type="dxa"/>
          </w:tcPr>
          <w:p w14:paraId="4C066BD2" w14:textId="2DEED2F6" w:rsidR="009157E3" w:rsidRPr="00CA71FB" w:rsidRDefault="009157E3" w:rsidP="0062443E">
            <w:pPr>
              <w:jc w:val="both"/>
              <w:rPr>
                <w:rFonts w:ascii="Arial" w:eastAsia="Calibri" w:hAnsi="Arial" w:cs="Arial"/>
                <w:lang w:val="es-ES"/>
              </w:rPr>
            </w:pPr>
            <w:r w:rsidRPr="00CA71FB">
              <w:rPr>
                <w:rFonts w:ascii="Arial" w:eastAsia="Calibri" w:hAnsi="Arial" w:cs="Arial"/>
                <w:lang w:val="es-ES"/>
              </w:rPr>
              <w:t xml:space="preserve">Respuesta a consulta No. </w:t>
            </w:r>
            <w:r w:rsidR="00106DE8">
              <w:rPr>
                <w:rFonts w:ascii="Arial" w:eastAsia="Calibri" w:hAnsi="Arial" w:cs="Arial"/>
                <w:lang w:val="es-ES"/>
              </w:rPr>
              <w:t>P20230913015069</w:t>
            </w:r>
            <w:r w:rsidRPr="00CA71FB">
              <w:rPr>
                <w:rFonts w:ascii="Arial" w:eastAsia="Calibri" w:hAnsi="Arial" w:cs="Arial"/>
              </w:rPr>
              <w:tab/>
            </w:r>
          </w:p>
        </w:tc>
      </w:tr>
    </w:tbl>
    <w:p w14:paraId="54856C73" w14:textId="77777777" w:rsidR="009157E3" w:rsidRPr="00CA71FB" w:rsidRDefault="009157E3" w:rsidP="009157E3">
      <w:pPr>
        <w:spacing w:after="0" w:line="240" w:lineRule="auto"/>
        <w:contextualSpacing/>
        <w:jc w:val="both"/>
        <w:rPr>
          <w:rFonts w:ascii="Arial" w:eastAsia="Calibri" w:hAnsi="Arial" w:cs="Arial"/>
          <w:lang w:val="es-ES_tradnl"/>
        </w:rPr>
      </w:pPr>
    </w:p>
    <w:p w14:paraId="1D9E4E2C" w14:textId="77777777" w:rsidR="009157E3" w:rsidRPr="00CA71FB" w:rsidRDefault="009157E3" w:rsidP="009157E3">
      <w:pPr>
        <w:spacing w:after="0" w:line="240" w:lineRule="auto"/>
        <w:contextualSpacing/>
        <w:rPr>
          <w:rFonts w:ascii="Arial" w:eastAsia="Calibri" w:hAnsi="Arial" w:cs="Arial"/>
          <w:lang w:val="es-ES_tradnl"/>
        </w:rPr>
      </w:pPr>
    </w:p>
    <w:p w14:paraId="5D29B205" w14:textId="6CEDC32E" w:rsidR="009157E3" w:rsidRPr="00CA71FB" w:rsidRDefault="009157E3" w:rsidP="009157E3">
      <w:pPr>
        <w:spacing w:after="0" w:line="276" w:lineRule="auto"/>
        <w:contextualSpacing/>
        <w:rPr>
          <w:rFonts w:ascii="Arial" w:eastAsia="Calibri" w:hAnsi="Arial" w:cs="Arial"/>
          <w:lang w:val="es-ES_tradnl"/>
        </w:rPr>
      </w:pPr>
      <w:r w:rsidRPr="00CA71FB">
        <w:rPr>
          <w:rFonts w:ascii="Arial" w:eastAsia="Calibri" w:hAnsi="Arial" w:cs="Arial"/>
          <w:lang w:val="es-ES_tradnl"/>
        </w:rPr>
        <w:t>Estimad</w:t>
      </w:r>
      <w:r w:rsidR="00106DE8">
        <w:rPr>
          <w:rFonts w:ascii="Arial" w:eastAsia="Calibri" w:hAnsi="Arial" w:cs="Arial"/>
          <w:lang w:val="es-ES_tradnl"/>
        </w:rPr>
        <w:t>o</w:t>
      </w:r>
      <w:r w:rsidRPr="00CA71FB">
        <w:rPr>
          <w:rFonts w:ascii="Arial" w:eastAsia="Calibri" w:hAnsi="Arial" w:cs="Arial"/>
          <w:lang w:val="es-ES_tradnl"/>
        </w:rPr>
        <w:t xml:space="preserve"> señor </w:t>
      </w:r>
      <w:r w:rsidR="00106DE8">
        <w:rPr>
          <w:rFonts w:ascii="Arial" w:eastAsia="Calibri" w:hAnsi="Arial" w:cs="Arial"/>
          <w:lang w:val="es-ES_tradnl"/>
        </w:rPr>
        <w:t>Parra</w:t>
      </w:r>
      <w:r w:rsidRPr="00CA71FB">
        <w:rPr>
          <w:rFonts w:ascii="Arial" w:eastAsia="Calibri" w:hAnsi="Arial" w:cs="Arial"/>
          <w:lang w:val="es-ES_tradnl"/>
        </w:rPr>
        <w:t>:</w:t>
      </w:r>
    </w:p>
    <w:p w14:paraId="239F40F6" w14:textId="77777777" w:rsidR="009157E3" w:rsidRPr="00CA71FB" w:rsidRDefault="009157E3" w:rsidP="009157E3">
      <w:pPr>
        <w:spacing w:after="0" w:line="240" w:lineRule="auto"/>
        <w:jc w:val="both"/>
        <w:rPr>
          <w:rFonts w:ascii="Arial" w:eastAsia="Calibri" w:hAnsi="Arial" w:cs="Arial"/>
          <w:lang w:val="es-ES_tradnl"/>
        </w:rPr>
      </w:pPr>
    </w:p>
    <w:p w14:paraId="10BF4E81" w14:textId="24CE96FE" w:rsidR="001435AD" w:rsidRPr="00746D15" w:rsidRDefault="001435AD" w:rsidP="001435AD">
      <w:pPr>
        <w:spacing w:after="0" w:line="276" w:lineRule="auto"/>
        <w:jc w:val="both"/>
        <w:rPr>
          <w:rFonts w:ascii="Arial" w:eastAsia="Calibri" w:hAnsi="Arial" w:cs="Arial"/>
          <w:lang w:val="es-ES"/>
        </w:rPr>
      </w:pPr>
      <w:r w:rsidRPr="00746D15">
        <w:rPr>
          <w:rFonts w:ascii="Arial" w:eastAsia="Calibri" w:hAnsi="Arial" w:cs="Arial"/>
          <w:lang w:val="es-ES"/>
        </w:rPr>
        <w:t>En ejercicio de la competencia otorgada por el numeral 8 del artículo 11 y el numeral 5 del artículo 3 del Decreto Ley 4170 de 2011, la Agencia Nacional de Contratación Pública ― Colombia Compra Eficiente responde su consulta del 1</w:t>
      </w:r>
      <w:r>
        <w:rPr>
          <w:rFonts w:ascii="Arial" w:eastAsia="Calibri" w:hAnsi="Arial" w:cs="Arial"/>
          <w:lang w:val="es-ES"/>
        </w:rPr>
        <w:t>3</w:t>
      </w:r>
      <w:r w:rsidRPr="00746D15">
        <w:rPr>
          <w:rFonts w:ascii="Arial" w:eastAsia="Calibri" w:hAnsi="Arial" w:cs="Arial"/>
          <w:lang w:val="es-ES"/>
        </w:rPr>
        <w:t xml:space="preserve"> de </w:t>
      </w:r>
      <w:r>
        <w:rPr>
          <w:rFonts w:ascii="Arial" w:eastAsia="Calibri" w:hAnsi="Arial" w:cs="Arial"/>
          <w:lang w:val="es-ES"/>
        </w:rPr>
        <w:t>septiembre</w:t>
      </w:r>
      <w:r w:rsidRPr="00746D15">
        <w:rPr>
          <w:rFonts w:ascii="Arial" w:eastAsia="Calibri" w:hAnsi="Arial" w:cs="Arial"/>
          <w:lang w:val="es-ES"/>
        </w:rPr>
        <w:t xml:space="preserve"> del 2023, la cual fue trasladad</w:t>
      </w:r>
      <w:r>
        <w:rPr>
          <w:rFonts w:ascii="Arial" w:eastAsia="Calibri" w:hAnsi="Arial" w:cs="Arial"/>
          <w:lang w:val="es-ES"/>
        </w:rPr>
        <w:t>a</w:t>
      </w:r>
      <w:r w:rsidRPr="00746D15">
        <w:rPr>
          <w:rFonts w:ascii="Arial" w:eastAsia="Calibri" w:hAnsi="Arial" w:cs="Arial"/>
          <w:lang w:val="es-ES"/>
        </w:rPr>
        <w:t xml:space="preserve"> por el Departamento Administrativo de la Función Pública, mediante Radicado Nro. </w:t>
      </w:r>
      <w:r w:rsidRPr="001435AD">
        <w:rPr>
          <w:rFonts w:ascii="Arial" w:eastAsia="Calibri" w:hAnsi="Arial" w:cs="Arial"/>
          <w:lang w:val="es-ES"/>
        </w:rPr>
        <w:t>20239000843532 del 04 de septiembre de 2023</w:t>
      </w:r>
      <w:r>
        <w:rPr>
          <w:rFonts w:ascii="Arial" w:eastAsia="Calibri" w:hAnsi="Arial" w:cs="Arial"/>
          <w:lang w:val="es-ES"/>
        </w:rPr>
        <w:t xml:space="preserve">.  </w:t>
      </w:r>
    </w:p>
    <w:p w14:paraId="2344CFB8" w14:textId="77777777" w:rsidR="009157E3" w:rsidRPr="00CA71FB" w:rsidRDefault="009157E3" w:rsidP="009157E3">
      <w:pPr>
        <w:tabs>
          <w:tab w:val="left" w:pos="284"/>
        </w:tabs>
        <w:spacing w:after="0" w:line="276" w:lineRule="auto"/>
        <w:contextualSpacing/>
        <w:jc w:val="both"/>
        <w:rPr>
          <w:rFonts w:ascii="Arial" w:eastAsia="Calibri" w:hAnsi="Arial" w:cs="Arial"/>
          <w:lang w:val="es-ES_tradnl"/>
        </w:rPr>
      </w:pPr>
    </w:p>
    <w:p w14:paraId="21E18695" w14:textId="77777777" w:rsidR="009157E3" w:rsidRPr="00CA71FB" w:rsidRDefault="009157E3" w:rsidP="009157E3">
      <w:pPr>
        <w:tabs>
          <w:tab w:val="left" w:pos="284"/>
        </w:tabs>
        <w:spacing w:after="0" w:line="276" w:lineRule="auto"/>
        <w:contextualSpacing/>
        <w:jc w:val="both"/>
        <w:rPr>
          <w:rFonts w:ascii="Arial" w:eastAsia="Calibri" w:hAnsi="Arial" w:cs="Arial"/>
          <w:b/>
          <w:lang w:val="es-ES_tradnl"/>
        </w:rPr>
      </w:pPr>
      <w:r w:rsidRPr="00CA71FB">
        <w:rPr>
          <w:rFonts w:ascii="Arial" w:eastAsia="Calibri" w:hAnsi="Arial" w:cs="Arial"/>
          <w:b/>
          <w:lang w:val="es-ES_tradnl"/>
        </w:rPr>
        <w:t>1.</w:t>
      </w:r>
      <w:r w:rsidRPr="00CA71FB">
        <w:rPr>
          <w:rFonts w:ascii="Arial" w:eastAsia="Calibri" w:hAnsi="Arial" w:cs="Arial"/>
          <w:lang w:val="es-ES_tradnl"/>
        </w:rPr>
        <w:t xml:space="preserve"> </w:t>
      </w:r>
      <w:r w:rsidRPr="00CA71FB">
        <w:rPr>
          <w:rFonts w:ascii="Arial" w:eastAsia="Calibri" w:hAnsi="Arial" w:cs="Arial"/>
          <w:b/>
          <w:lang w:val="es-ES_tradnl"/>
        </w:rPr>
        <w:t xml:space="preserve">Problema planteado </w:t>
      </w:r>
    </w:p>
    <w:p w14:paraId="63F4D991" w14:textId="77777777" w:rsidR="009157E3" w:rsidRPr="00CA71FB" w:rsidRDefault="009157E3" w:rsidP="009157E3">
      <w:pPr>
        <w:tabs>
          <w:tab w:val="left" w:pos="284"/>
        </w:tabs>
        <w:spacing w:after="0" w:line="276" w:lineRule="auto"/>
        <w:contextualSpacing/>
        <w:jc w:val="both"/>
        <w:rPr>
          <w:rFonts w:ascii="Arial" w:eastAsia="Calibri" w:hAnsi="Arial" w:cs="Arial"/>
          <w:b/>
          <w:lang w:val="es-ES_tradnl"/>
        </w:rPr>
      </w:pPr>
    </w:p>
    <w:p w14:paraId="434B8EE7" w14:textId="4A916245" w:rsidR="009157E3" w:rsidRPr="00CA71FB" w:rsidRDefault="009157E3" w:rsidP="001435AD">
      <w:pPr>
        <w:tabs>
          <w:tab w:val="left" w:pos="284"/>
        </w:tabs>
        <w:spacing w:after="0" w:line="276" w:lineRule="auto"/>
        <w:contextualSpacing/>
        <w:jc w:val="both"/>
        <w:rPr>
          <w:rFonts w:ascii="Arial" w:eastAsia="Calibri" w:hAnsi="Arial" w:cs="Arial"/>
          <w:bCs/>
          <w:lang w:val="es-ES_tradnl"/>
        </w:rPr>
      </w:pPr>
      <w:r w:rsidRPr="00CA71FB">
        <w:rPr>
          <w:rFonts w:ascii="Arial" w:eastAsia="Calibri" w:hAnsi="Arial" w:cs="Arial"/>
          <w:bCs/>
          <w:lang w:val="es-ES_tradnl"/>
        </w:rPr>
        <w:t>Usted realiza la siguiente</w:t>
      </w:r>
      <w:r w:rsidR="001435AD">
        <w:rPr>
          <w:rFonts w:ascii="Arial" w:eastAsia="Calibri" w:hAnsi="Arial" w:cs="Arial"/>
          <w:bCs/>
          <w:lang w:val="es-ES_tradnl"/>
        </w:rPr>
        <w:t xml:space="preserve"> pregunta, sobre el régimen de contratación de las ESAL y el deber de publicidad en SECOP, al respecto consulta</w:t>
      </w:r>
      <w:r w:rsidRPr="00CA71FB">
        <w:rPr>
          <w:rFonts w:ascii="Arial" w:eastAsia="Calibri" w:hAnsi="Arial" w:cs="Arial"/>
          <w:bCs/>
          <w:lang w:val="es-ES_tradnl"/>
        </w:rPr>
        <w:t xml:space="preserve">: </w:t>
      </w:r>
      <w:r w:rsidR="001435AD">
        <w:rPr>
          <w:rFonts w:ascii="Arial" w:eastAsia="Calibri" w:hAnsi="Arial" w:cs="Arial"/>
          <w:bCs/>
          <w:lang w:val="es-ES_tradnl"/>
        </w:rPr>
        <w:t xml:space="preserve">“[…] </w:t>
      </w:r>
      <w:r w:rsidR="001435AD" w:rsidRPr="001435AD">
        <w:rPr>
          <w:rFonts w:ascii="Arial" w:eastAsia="Calibri" w:hAnsi="Arial" w:cs="Arial"/>
          <w:bCs/>
          <w:lang w:val="es-ES_tradnl"/>
        </w:rPr>
        <w:t xml:space="preserve">solicito su colaboración para saber si, las Cajas </w:t>
      </w:r>
      <w:r w:rsidR="001435AD" w:rsidRPr="001435AD">
        <w:rPr>
          <w:rFonts w:ascii="Arial" w:eastAsia="Calibri" w:hAnsi="Arial" w:cs="Arial"/>
          <w:bCs/>
          <w:lang w:val="es-ES_tradnl"/>
        </w:rPr>
        <w:lastRenderedPageBreak/>
        <w:t>de Compensación Familiar están</w:t>
      </w:r>
      <w:r w:rsidR="001435AD">
        <w:rPr>
          <w:rFonts w:ascii="Arial" w:eastAsia="Calibri" w:hAnsi="Arial" w:cs="Arial"/>
          <w:bCs/>
          <w:lang w:val="es-ES_tradnl"/>
        </w:rPr>
        <w:t xml:space="preserve"> </w:t>
      </w:r>
      <w:r w:rsidR="001435AD" w:rsidRPr="001435AD">
        <w:rPr>
          <w:rFonts w:ascii="Arial" w:eastAsia="Calibri" w:hAnsi="Arial" w:cs="Arial"/>
          <w:bCs/>
          <w:lang w:val="es-ES_tradnl"/>
        </w:rPr>
        <w:t>obligadas a publicar en el SECOP la información contractual, cuando esta se realiza con los recursos de</w:t>
      </w:r>
      <w:r w:rsidR="001435AD">
        <w:rPr>
          <w:rFonts w:ascii="Arial" w:eastAsia="Calibri" w:hAnsi="Arial" w:cs="Arial"/>
          <w:bCs/>
          <w:lang w:val="es-ES_tradnl"/>
        </w:rPr>
        <w:t xml:space="preserve"> </w:t>
      </w:r>
      <w:r w:rsidR="001435AD" w:rsidRPr="001435AD">
        <w:rPr>
          <w:rFonts w:ascii="Arial" w:eastAsia="Calibri" w:hAnsi="Arial" w:cs="Arial"/>
          <w:bCs/>
          <w:lang w:val="es-ES_tradnl"/>
        </w:rPr>
        <w:t>los aportes parafiscales del 4%. Dicha consulta la elevo, teniendo en cuenta que estas entidades se rigen</w:t>
      </w:r>
      <w:r w:rsidR="001435AD">
        <w:rPr>
          <w:rFonts w:ascii="Arial" w:eastAsia="Calibri" w:hAnsi="Arial" w:cs="Arial"/>
          <w:bCs/>
          <w:lang w:val="es-ES_tradnl"/>
        </w:rPr>
        <w:t xml:space="preserve"> </w:t>
      </w:r>
      <w:r w:rsidR="001435AD" w:rsidRPr="001435AD">
        <w:rPr>
          <w:rFonts w:ascii="Arial" w:eastAsia="Calibri" w:hAnsi="Arial" w:cs="Arial"/>
          <w:bCs/>
          <w:lang w:val="es-ES_tradnl"/>
        </w:rPr>
        <w:t>por el Régimen Privado de Contratación, aunado a que la Ley 1712 en su artículo 10, hace referencia</w:t>
      </w:r>
      <w:r w:rsidR="001435AD">
        <w:rPr>
          <w:rFonts w:ascii="Arial" w:eastAsia="Calibri" w:hAnsi="Arial" w:cs="Arial"/>
          <w:bCs/>
          <w:lang w:val="es-ES_tradnl"/>
        </w:rPr>
        <w:t xml:space="preserve"> </w:t>
      </w:r>
      <w:r w:rsidR="001435AD" w:rsidRPr="001435AD">
        <w:rPr>
          <w:rFonts w:ascii="Arial" w:eastAsia="Calibri" w:hAnsi="Arial" w:cs="Arial"/>
          <w:bCs/>
          <w:lang w:val="es-ES_tradnl"/>
        </w:rPr>
        <w:t xml:space="preserve">solamente a </w:t>
      </w:r>
      <w:proofErr w:type="gramStart"/>
      <w:r w:rsidR="001435AD" w:rsidRPr="001435AD">
        <w:rPr>
          <w:rFonts w:ascii="Arial" w:eastAsia="Calibri" w:hAnsi="Arial" w:cs="Arial"/>
          <w:bCs/>
          <w:lang w:val="es-ES_tradnl"/>
        </w:rPr>
        <w:t>la entidades</w:t>
      </w:r>
      <w:proofErr w:type="gramEnd"/>
      <w:r w:rsidR="001435AD" w:rsidRPr="001435AD">
        <w:rPr>
          <w:rFonts w:ascii="Arial" w:eastAsia="Calibri" w:hAnsi="Arial" w:cs="Arial"/>
          <w:bCs/>
          <w:lang w:val="es-ES_tradnl"/>
        </w:rPr>
        <w:t xml:space="preserve"> que aplican el Régimen de Contratación Estatal.</w:t>
      </w:r>
      <w:r w:rsidRPr="00CA71FB">
        <w:rPr>
          <w:rFonts w:ascii="Arial" w:eastAsia="Calibri" w:hAnsi="Arial" w:cs="Arial"/>
          <w:bCs/>
          <w:lang w:val="es-ES_tradnl"/>
        </w:rPr>
        <w:t>”</w:t>
      </w:r>
      <w:r w:rsidR="001435AD">
        <w:rPr>
          <w:rFonts w:ascii="Arial" w:eastAsia="Calibri" w:hAnsi="Arial" w:cs="Arial"/>
          <w:bCs/>
          <w:lang w:val="es-ES_tradnl"/>
        </w:rPr>
        <w:t xml:space="preserve"> (sic) </w:t>
      </w:r>
    </w:p>
    <w:p w14:paraId="44B61E17" w14:textId="77777777" w:rsidR="009157E3" w:rsidRPr="00CA71FB" w:rsidRDefault="009157E3" w:rsidP="009157E3">
      <w:pPr>
        <w:spacing w:after="0" w:line="276" w:lineRule="auto"/>
        <w:jc w:val="both"/>
        <w:rPr>
          <w:rFonts w:ascii="Arial" w:eastAsia="Calibri" w:hAnsi="Arial" w:cs="Arial"/>
          <w:lang w:val="es-ES_tradnl"/>
        </w:rPr>
      </w:pPr>
    </w:p>
    <w:p w14:paraId="19AD40F5" w14:textId="77777777" w:rsidR="009157E3" w:rsidRPr="00CA71FB" w:rsidRDefault="009157E3" w:rsidP="009157E3">
      <w:pPr>
        <w:tabs>
          <w:tab w:val="left" w:pos="426"/>
        </w:tabs>
        <w:spacing w:after="0" w:line="276" w:lineRule="auto"/>
        <w:jc w:val="both"/>
        <w:rPr>
          <w:rFonts w:ascii="Arial" w:eastAsia="Calibri" w:hAnsi="Arial" w:cs="Arial"/>
          <w:b/>
          <w:lang w:val="es-ES_tradnl"/>
        </w:rPr>
      </w:pPr>
      <w:r w:rsidRPr="00CA71FB">
        <w:rPr>
          <w:rFonts w:ascii="Arial" w:eastAsia="Calibri" w:hAnsi="Arial" w:cs="Arial"/>
          <w:b/>
          <w:lang w:val="es-ES_tradnl"/>
        </w:rPr>
        <w:t>2.</w:t>
      </w:r>
      <w:r w:rsidRPr="00CA71FB">
        <w:rPr>
          <w:rFonts w:ascii="Arial" w:eastAsia="Calibri" w:hAnsi="Arial" w:cs="Arial"/>
          <w:lang w:val="es-ES_tradnl"/>
        </w:rPr>
        <w:t xml:space="preserve"> </w:t>
      </w:r>
      <w:r w:rsidRPr="00CA71FB">
        <w:rPr>
          <w:rFonts w:ascii="Arial" w:eastAsia="Calibri" w:hAnsi="Arial" w:cs="Arial"/>
          <w:b/>
          <w:lang w:val="es-ES_tradnl"/>
        </w:rPr>
        <w:t>Consideraciones</w:t>
      </w:r>
    </w:p>
    <w:p w14:paraId="26A1C05C" w14:textId="77777777" w:rsidR="009157E3" w:rsidRPr="00CA71FB" w:rsidRDefault="009157E3" w:rsidP="009157E3">
      <w:pPr>
        <w:spacing w:after="0" w:line="276" w:lineRule="auto"/>
        <w:jc w:val="both"/>
        <w:rPr>
          <w:rFonts w:ascii="Arial" w:eastAsia="Calibri" w:hAnsi="Arial" w:cs="Arial"/>
          <w:color w:val="000000"/>
          <w:lang w:val="es-ES_tradnl"/>
        </w:rPr>
      </w:pPr>
    </w:p>
    <w:p w14:paraId="265D5C98" w14:textId="77777777" w:rsidR="009157E3" w:rsidRPr="00CA71FB" w:rsidRDefault="009157E3" w:rsidP="009157E3">
      <w:pPr>
        <w:spacing w:after="120" w:line="276" w:lineRule="auto"/>
        <w:jc w:val="both"/>
        <w:rPr>
          <w:rFonts w:ascii="Arial" w:eastAsia="Calibri" w:hAnsi="Arial" w:cs="Arial"/>
          <w:lang w:val="es-ES"/>
        </w:rPr>
      </w:pPr>
      <w:r w:rsidRPr="00CA71FB">
        <w:rPr>
          <w:rFonts w:ascii="Arial" w:eastAsia="Calibri" w:hAnsi="Arial" w:cs="Arial"/>
          <w:bCs/>
          <w:lang w:val="es-MX"/>
        </w:rPr>
        <w:t>En ejercicio de las competencias establecidas en los artículos 3.5 y 11.8 del Decreto 4170 de 2011, la Agencia Nacional de Contratación Pública – Colombia Compra Eficiente resuelve la consulta sobre los asuntos de su competencia, esto es, sobre las temáticas de la contratación estatal relacionados en los artículos citados.</w:t>
      </w:r>
      <w:r w:rsidRPr="00CA71FB">
        <w:rPr>
          <w:rFonts w:ascii="Arial" w:eastAsia="Calibri" w:hAnsi="Arial" w:cs="Arial"/>
          <w:lang w:val="es-ES"/>
        </w:rPr>
        <w:t xml:space="preserve"> </w:t>
      </w:r>
      <w:bookmarkStart w:id="0" w:name="_Hlk61701014"/>
      <w:bookmarkStart w:id="1" w:name="_Hlk62136649"/>
      <w:r w:rsidRPr="00CA71FB">
        <w:rPr>
          <w:rFonts w:ascii="Arial" w:eastAsia="Calibri" w:hAnsi="Arial" w:cs="Arial"/>
          <w:lang w:val="es-ES"/>
        </w:rPr>
        <w:t xml:space="preserve">Es necesario tener en cuenta que </w:t>
      </w:r>
      <w:bookmarkStart w:id="2" w:name="_Hlk61026958"/>
      <w:r w:rsidRPr="00CA71FB">
        <w:rPr>
          <w:rFonts w:ascii="Arial" w:eastAsia="Calibri"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CA71FB">
        <w:rPr>
          <w:rFonts w:ascii="Arial" w:eastAsia="Calibri" w:hAnsi="Arial" w:cs="Arial"/>
          <w:bCs/>
          <w:lang w:val="es-MX"/>
        </w:rPr>
        <w:t xml:space="preserve"> de todos los partícipes de la contratación estatal.</w:t>
      </w:r>
    </w:p>
    <w:p w14:paraId="66B5FE85" w14:textId="77777777" w:rsidR="009157E3" w:rsidRPr="00CA71FB" w:rsidRDefault="009157E3" w:rsidP="009157E3">
      <w:pPr>
        <w:spacing w:before="120" w:after="120" w:line="276" w:lineRule="auto"/>
        <w:ind w:firstLine="708"/>
        <w:jc w:val="both"/>
        <w:rPr>
          <w:rFonts w:ascii="Arial" w:eastAsia="Calibri" w:hAnsi="Arial" w:cs="Arial"/>
          <w:lang w:val="es-ES"/>
        </w:rPr>
      </w:pPr>
      <w:r w:rsidRPr="00CA71FB">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CA71FB">
        <w:rPr>
          <w:rFonts w:ascii="Arial" w:eastAsia="Calibri" w:hAnsi="Arial" w:cs="Arial"/>
          <w:vertAlign w:val="superscript"/>
          <w:lang w:val="es-ES"/>
        </w:rPr>
        <w:footnoteReference w:id="1"/>
      </w:r>
      <w:r w:rsidRPr="00CA71FB">
        <w:rPr>
          <w:rFonts w:ascii="Arial" w:eastAsia="Calibri" w:hAnsi="Arial" w:cs="Arial"/>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w:t>
      </w:r>
      <w:bookmarkEnd w:id="2"/>
      <w:r w:rsidRPr="00CA71FB">
        <w:rPr>
          <w:rFonts w:ascii="Arial" w:eastAsia="Calibri" w:hAnsi="Arial" w:cs="Arial"/>
          <w:lang w:val="es-ES"/>
        </w:rPr>
        <w:t>. Por lo anterior, previo concepto de sus órganos asesores, la solución de estos temas corresponde a la entidad que suscribió el contrato y, en caso de conflicto, a las autoridades judiciales, fiscales y disciplinarias.</w:t>
      </w:r>
      <w:bookmarkEnd w:id="0"/>
    </w:p>
    <w:bookmarkEnd w:id="1"/>
    <w:p w14:paraId="6EF22335" w14:textId="7D028731" w:rsidR="009157E3" w:rsidRPr="00CA71FB" w:rsidRDefault="009157E3" w:rsidP="009157E3">
      <w:pPr>
        <w:spacing w:before="120" w:after="120" w:line="276" w:lineRule="auto"/>
        <w:ind w:firstLine="709"/>
        <w:jc w:val="both"/>
        <w:rPr>
          <w:rFonts w:ascii="Arial" w:eastAsia="Calibri" w:hAnsi="Arial" w:cs="Arial"/>
          <w:lang w:val="es-ES_tradnl" w:eastAsia="es-MX"/>
        </w:rPr>
      </w:pPr>
      <w:r w:rsidRPr="00CA71FB">
        <w:rPr>
          <w:rFonts w:ascii="Arial" w:eastAsia="Calibri" w:hAnsi="Arial" w:cs="Arial"/>
          <w:color w:val="000000"/>
          <w:lang w:val="es-MX"/>
        </w:rPr>
        <w:t xml:space="preserve">Sin perjuicio de lo anterior, </w:t>
      </w:r>
      <w:r w:rsidRPr="00CA71FB">
        <w:rPr>
          <w:rFonts w:ascii="Arial" w:eastAsia="Calibri" w:hAnsi="Arial" w:cs="Arial"/>
          <w:color w:val="000000"/>
          <w:lang w:val="es-ES"/>
        </w:rPr>
        <w:t>la Subdirección de Gestión Contractual –dentro de los límites de sus atribuciones</w:t>
      </w:r>
      <w:r w:rsidR="008C694A">
        <w:rPr>
          <w:rFonts w:ascii="Arial" w:eastAsia="Calibri" w:hAnsi="Arial" w:cs="Arial"/>
          <w:color w:val="000000"/>
          <w:lang w:val="es-ES"/>
        </w:rPr>
        <w:t xml:space="preserve"> </w:t>
      </w:r>
      <w:r w:rsidRPr="00CA71FB">
        <w:rPr>
          <w:rFonts w:ascii="Arial" w:eastAsia="Calibri" w:hAnsi="Arial" w:cs="Arial"/>
          <w:lang w:val="es-ES"/>
        </w:rPr>
        <w:t>resolverá la consulta conforme a las normas generales en materia de contratación estatal</w:t>
      </w:r>
      <w:r w:rsidRPr="00CA71FB">
        <w:rPr>
          <w:rFonts w:ascii="Arial" w:eastAsia="Calibri" w:hAnsi="Arial" w:cs="Arial"/>
          <w:lang w:val="es-ES_tradnl" w:eastAsia="es-MX"/>
        </w:rPr>
        <w:t>. Con este objetivo se analizarán los siguientes temas: i) naturaleza jurídica de las Cajas de Compensación Familiar. Entidades sin ánimo de lucro – ESAL,</w:t>
      </w:r>
      <w:r w:rsidR="00145185" w:rsidRPr="00145185">
        <w:t xml:space="preserve"> </w:t>
      </w:r>
      <w:r w:rsidR="00145185" w:rsidRPr="00145185">
        <w:rPr>
          <w:rFonts w:ascii="Arial" w:eastAsia="Calibri" w:hAnsi="Arial" w:cs="Arial"/>
          <w:lang w:val="es-ES_tradnl" w:eastAsia="es-MX"/>
        </w:rPr>
        <w:t xml:space="preserve">ii) generalidades </w:t>
      </w:r>
      <w:r w:rsidR="00145185" w:rsidRPr="00145185">
        <w:rPr>
          <w:rFonts w:ascii="Arial" w:eastAsia="Calibri" w:hAnsi="Arial" w:cs="Arial"/>
          <w:lang w:val="es-ES_tradnl" w:eastAsia="es-MX"/>
        </w:rPr>
        <w:lastRenderedPageBreak/>
        <w:t>del Plan Anual de Adquisiciones</w:t>
      </w:r>
      <w:r w:rsidRPr="00CA71FB">
        <w:rPr>
          <w:rFonts w:ascii="Arial" w:eastAsia="Calibri" w:hAnsi="Arial" w:cs="Arial"/>
          <w:lang w:val="es-ES_tradnl" w:eastAsia="es-MX"/>
        </w:rPr>
        <w:t xml:space="preserve"> y </w:t>
      </w:r>
      <w:proofErr w:type="spellStart"/>
      <w:r w:rsidRPr="00CA71FB">
        <w:rPr>
          <w:rFonts w:ascii="Arial" w:eastAsia="Calibri" w:hAnsi="Arial" w:cs="Arial"/>
          <w:lang w:val="es-ES_tradnl" w:eastAsia="es-MX"/>
        </w:rPr>
        <w:t>ii</w:t>
      </w:r>
      <w:r w:rsidR="000B00B0">
        <w:rPr>
          <w:rFonts w:ascii="Arial" w:eastAsia="Calibri" w:hAnsi="Arial" w:cs="Arial"/>
          <w:lang w:val="es-ES_tradnl" w:eastAsia="es-MX"/>
        </w:rPr>
        <w:t>i</w:t>
      </w:r>
      <w:proofErr w:type="spellEnd"/>
      <w:r w:rsidRPr="00CA71FB">
        <w:rPr>
          <w:rFonts w:ascii="Arial" w:eastAsia="Calibri" w:hAnsi="Arial" w:cs="Arial"/>
          <w:lang w:val="es-ES_tradnl" w:eastAsia="es-MX"/>
        </w:rPr>
        <w:t xml:space="preserve">) </w:t>
      </w:r>
      <w:bookmarkStart w:id="3" w:name="_Hlk132274642"/>
      <w:r w:rsidRPr="00CA71FB">
        <w:rPr>
          <w:rFonts w:ascii="Arial" w:eastAsia="Calibri" w:hAnsi="Arial" w:cs="Arial"/>
          <w:lang w:val="es-ES_tradnl" w:eastAsia="es-MX"/>
        </w:rPr>
        <w:t>sujetos obligados a publicar sus actuaciones contractuales en el Sistema Electrónico de la Contratación Pública – SECOP.</w:t>
      </w:r>
      <w:bookmarkEnd w:id="3"/>
    </w:p>
    <w:p w14:paraId="5A3DA1DC" w14:textId="494449EF" w:rsidR="009157E3" w:rsidRPr="00CA71FB" w:rsidRDefault="009157E3" w:rsidP="009157E3">
      <w:pPr>
        <w:spacing w:before="120" w:after="120" w:line="276" w:lineRule="auto"/>
        <w:ind w:firstLine="709"/>
        <w:jc w:val="both"/>
        <w:rPr>
          <w:rFonts w:ascii="Arial" w:eastAsia="Calibri" w:hAnsi="Arial" w:cs="Arial"/>
          <w:bCs/>
          <w:lang w:val="es-MX"/>
        </w:rPr>
      </w:pPr>
      <w:r w:rsidRPr="00CA71FB">
        <w:rPr>
          <w:rFonts w:ascii="Arial" w:eastAsia="Calibri" w:hAnsi="Arial" w:cs="Arial"/>
          <w:bCs/>
          <w:lang w:val="es-MX"/>
        </w:rPr>
        <w:t>La Agencia Nacional de Contratación Pública – Colombia Compra Eficiente se ha pronunciado sobre la naturaleza jurídica de las entidades sin ánimo de lucro – ESAL</w:t>
      </w:r>
      <w:r w:rsidRPr="00CA71FB">
        <w:rPr>
          <w:rFonts w:ascii="Arial" w:eastAsia="Calibri" w:hAnsi="Arial" w:cs="Arial"/>
          <w:bCs/>
          <w:lang w:val="es-ES_tradnl"/>
        </w:rPr>
        <w:t xml:space="preserve"> </w:t>
      </w:r>
      <w:r w:rsidRPr="00CA71FB">
        <w:rPr>
          <w:rFonts w:ascii="Arial" w:eastAsia="Calibri" w:hAnsi="Arial" w:cs="Arial"/>
          <w:bCs/>
          <w:color w:val="000000"/>
          <w:lang w:val="es-ES_tradnl"/>
        </w:rPr>
        <w:t xml:space="preserve">en los Conceptos </w:t>
      </w:r>
      <w:r w:rsidRPr="00CA71FB">
        <w:rPr>
          <w:rFonts w:ascii="Arial" w:eastAsia="Calibri" w:hAnsi="Arial" w:cs="Arial"/>
          <w:shd w:val="clear" w:color="auto" w:fill="FFFFFF"/>
          <w:lang w:val="es-MX" w:eastAsia="es-MX"/>
        </w:rPr>
        <w:t xml:space="preserve">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C-478 de 8 de septiembre de 2021 y C-562 del 7 de septiembre de 2022. </w:t>
      </w:r>
      <w:r w:rsidRPr="00CA71FB">
        <w:rPr>
          <w:rFonts w:ascii="Arial" w:eastAsia="Calibri" w:hAnsi="Arial" w:cs="Arial"/>
          <w:noProof/>
          <w:lang w:val="es-ES_tradnl" w:eastAsia="es-MX"/>
        </w:rPr>
        <w:t xml:space="preserve">En los conceptos </w:t>
      </w:r>
      <w:r w:rsidRPr="00CA71FB">
        <w:rPr>
          <w:rFonts w:ascii="Arial" w:eastAsia="Calibri" w:hAnsi="Arial" w:cs="Arial"/>
          <w:noProof/>
          <w:color w:val="000000"/>
          <w:lang w:val="es-ES" w:eastAsia="es-MX"/>
        </w:rPr>
        <w:t xml:space="preserve">con radicado No. C-070 </w:t>
      </w:r>
      <w:r w:rsidRPr="00CA71FB">
        <w:rPr>
          <w:rFonts w:ascii="Arial" w:eastAsia="Calibri" w:hAnsi="Arial" w:cs="Arial"/>
          <w:color w:val="000000"/>
          <w:lang w:val="es-MX" w:eastAsia="es-MX"/>
        </w:rPr>
        <w:t>del 4 de marzo de 2020</w:t>
      </w:r>
      <w:r w:rsidRPr="00CA71FB">
        <w:rPr>
          <w:rFonts w:ascii="Arial" w:eastAsia="Calibri" w:hAnsi="Arial" w:cs="Arial"/>
          <w:noProof/>
          <w:color w:val="000000"/>
          <w:lang w:val="es-ES" w:eastAsia="es-MX"/>
        </w:rPr>
        <w:t xml:space="preserve">, reiterado y desarrollado en los conceptos identificados con radicado No. </w:t>
      </w:r>
      <w:r w:rsidRPr="00CA71FB">
        <w:rPr>
          <w:rFonts w:ascii="Arial" w:eastAsia="Calibri" w:hAnsi="Arial" w:cs="Arial"/>
          <w:color w:val="000000"/>
          <w:lang w:val="es-MX" w:eastAsia="es-MX"/>
        </w:rPr>
        <w:t>C-081 del 3 de marzo de 2020</w:t>
      </w:r>
      <w:r w:rsidRPr="00CA71FB">
        <w:rPr>
          <w:rFonts w:ascii="Arial" w:eastAsia="Calibri" w:hAnsi="Arial" w:cs="Arial"/>
          <w:noProof/>
          <w:color w:val="000000"/>
          <w:lang w:val="es-ES" w:eastAsia="es-MX"/>
        </w:rPr>
        <w:t xml:space="preserve"> C-094 </w:t>
      </w:r>
      <w:r w:rsidRPr="00CA71FB">
        <w:rPr>
          <w:rFonts w:ascii="Arial" w:eastAsia="Calibri" w:hAnsi="Arial" w:cs="Arial"/>
          <w:color w:val="000000"/>
          <w:lang w:val="es-MX" w:eastAsia="es-MX"/>
        </w:rPr>
        <w:t>del 4 de marzo de 2020, C-057 de 10 de marzo de 2021 y C-379 de 26 de julio de 2021</w:t>
      </w:r>
      <w:r w:rsidRPr="00CA71FB">
        <w:rPr>
          <w:rFonts w:ascii="Arial" w:eastAsia="Calibri" w:hAnsi="Arial" w:cs="Arial"/>
          <w:lang w:val="es-ES_tradnl" w:eastAsia="es-MX"/>
        </w:rPr>
        <w:t>, C-021 del 22 de febrero de 2022, C-075 del 10 de marzo de 2022, C-477 del 26 de julio de 2022, C-273 del 6 de mayo de 2022</w:t>
      </w:r>
      <w:r w:rsidR="0000490F">
        <w:rPr>
          <w:rFonts w:ascii="Arial" w:eastAsia="Calibri" w:hAnsi="Arial" w:cs="Arial"/>
          <w:lang w:val="es-ES_tradnl" w:eastAsia="es-MX"/>
        </w:rPr>
        <w:t xml:space="preserve"> y C-062 del 18 de abril de 2023,</w:t>
      </w:r>
      <w:r w:rsidRPr="00CA71FB">
        <w:rPr>
          <w:rFonts w:ascii="Arial" w:eastAsia="Calibri" w:hAnsi="Arial" w:cs="Arial"/>
          <w:lang w:val="es-ES_tradnl" w:eastAsia="es-MX"/>
        </w:rPr>
        <w:t xml:space="preserve"> </w:t>
      </w:r>
      <w:r w:rsidRPr="00CA71FB">
        <w:rPr>
          <w:rFonts w:ascii="Arial" w:eastAsia="Calibri" w:hAnsi="Arial" w:cs="Arial"/>
          <w:color w:val="000000"/>
          <w:lang w:val="es-MX" w:eastAsia="es-MX"/>
        </w:rPr>
        <w:t xml:space="preserve">entre otros. </w:t>
      </w:r>
    </w:p>
    <w:p w14:paraId="09776DA3" w14:textId="37692BB5" w:rsidR="009157E3" w:rsidRPr="00CA71FB" w:rsidRDefault="009157E3" w:rsidP="009157E3">
      <w:pPr>
        <w:spacing w:before="120" w:after="0" w:line="276" w:lineRule="auto"/>
        <w:ind w:firstLine="709"/>
        <w:jc w:val="both"/>
        <w:rPr>
          <w:rFonts w:ascii="Arial" w:eastAsia="Calibri" w:hAnsi="Arial" w:cs="Arial"/>
          <w:b/>
          <w:bCs/>
          <w:lang w:val="es-MX"/>
        </w:rPr>
      </w:pPr>
      <w:r w:rsidRPr="00CA71FB">
        <w:rPr>
          <w:rFonts w:ascii="Arial" w:eastAsia="Calibri" w:hAnsi="Arial" w:cs="Arial"/>
          <w:color w:val="000000"/>
          <w:lang w:val="es-MX" w:eastAsia="es-MX"/>
        </w:rPr>
        <w:t xml:space="preserve">Por otro lado, esta </w:t>
      </w:r>
      <w:r w:rsidR="0000490F">
        <w:rPr>
          <w:rFonts w:ascii="Arial" w:eastAsia="Calibri" w:hAnsi="Arial" w:cs="Arial"/>
          <w:color w:val="000000"/>
          <w:lang w:val="es-MX" w:eastAsia="es-MX"/>
        </w:rPr>
        <w:t xml:space="preserve">Agencia </w:t>
      </w:r>
      <w:r w:rsidR="0000490F" w:rsidRPr="0000490F">
        <w:rPr>
          <w:rFonts w:ascii="Arial" w:eastAsia="Calibri" w:hAnsi="Arial" w:cs="Arial"/>
          <w:color w:val="000000"/>
          <w:lang w:val="es-MX" w:eastAsia="es-MX"/>
        </w:rPr>
        <w:t>se ha pronunciado en múltiples ocasiones sobre los principios de publicidad y de acceso a la información pública en la contratación estatal, y sobre los fundamentos normativos del deber de publicar la documentación contractual en las plataformas SECOP I y SECOP II, en conceptos como el CU-367 del 23 de julio de 2020, reiterado en los conceptos: C−433 de 24 de julio de 2020, C−468 del 24 de julio de 2020, C−474 de 24 de julio de 2020, C−488 del 28 de julio de 2020, C−544 del 21 de agosto de 2020, C−575 del 27 de agosto de 2020, C−643 del 26 de octubre de 2020, C−661 del 17 de noviembre de 2020, C-094 del 13 de abril de 2021, C−068 del 22 de abril de 2021, C-185 del 29 de abril de 2021, C-472 del 6 de septiembre de 2021, C-135 del 28 de marzo de 2022 y C-332 del 24 de mayo de 2022. De igual manera, recientemente se pronunció sobre la interpretación del artículo 53 de la Ley 2195 de 2022, en los conceptos C-049 del 7 de marzo de 2022, C-120 del 22 de marzo de 2022, C-124 del 22 de marzo de 2022, C-132 del 28 de marzo de 2022, C-348 del 13 de junio de 2022, C-357 del 13 de junio de 2022, C-480 del 18 de julio de 2022, C-508 del 30 de agosto del 2022, C-510 del 08 de agosto del 2022 y C-552 del 01 de agosto del 2022. Las ideas expuestas en dichas oportunidades se reiteran a continuación y se complementan en lo pertinente.</w:t>
      </w:r>
      <w:r w:rsidR="0000490F">
        <w:rPr>
          <w:rFonts w:ascii="Arial" w:eastAsia="Calibri" w:hAnsi="Arial" w:cs="Arial"/>
          <w:color w:val="000000"/>
          <w:lang w:val="es-MX" w:eastAsia="es-MX"/>
        </w:rPr>
        <w:t xml:space="preserve"> </w:t>
      </w:r>
    </w:p>
    <w:p w14:paraId="45B5AB3B" w14:textId="77777777" w:rsidR="009157E3" w:rsidRPr="00CA71FB" w:rsidRDefault="009157E3" w:rsidP="009157E3">
      <w:pPr>
        <w:spacing w:after="0" w:line="276" w:lineRule="auto"/>
        <w:ind w:firstLine="709"/>
        <w:jc w:val="both"/>
        <w:rPr>
          <w:rFonts w:ascii="Arial" w:eastAsia="Calibri" w:hAnsi="Arial" w:cs="Arial"/>
          <w:bCs/>
          <w:lang w:val="es-MX"/>
        </w:rPr>
      </w:pPr>
    </w:p>
    <w:p w14:paraId="6576C5EE" w14:textId="77777777" w:rsidR="009157E3" w:rsidRPr="00CA71FB" w:rsidRDefault="009157E3" w:rsidP="009157E3">
      <w:pPr>
        <w:spacing w:after="0" w:line="276" w:lineRule="auto"/>
        <w:contextualSpacing/>
        <w:jc w:val="both"/>
        <w:rPr>
          <w:rFonts w:ascii="Arial" w:eastAsia="Calibri" w:hAnsi="Arial" w:cs="Arial"/>
          <w:b/>
          <w:lang w:val="es-MX"/>
        </w:rPr>
      </w:pPr>
      <w:r w:rsidRPr="00CA71FB">
        <w:rPr>
          <w:rFonts w:ascii="Arial" w:eastAsia="Calibri" w:hAnsi="Arial" w:cs="Arial"/>
          <w:b/>
          <w:lang w:val="es-MX"/>
        </w:rPr>
        <w:t>2.1. Naturaleza jurídica de las Cajas de Compensación Familiar. Entidades sin ánimo de lucro – ESAL</w:t>
      </w:r>
    </w:p>
    <w:p w14:paraId="189430F4" w14:textId="77777777" w:rsidR="009157E3" w:rsidRPr="00CA71FB" w:rsidRDefault="009157E3" w:rsidP="009157E3">
      <w:pPr>
        <w:spacing w:after="0" w:line="276" w:lineRule="auto"/>
        <w:contextualSpacing/>
        <w:jc w:val="both"/>
        <w:rPr>
          <w:rFonts w:ascii="Arial" w:eastAsia="Calibri" w:hAnsi="Arial" w:cs="Arial"/>
          <w:bCs/>
          <w:lang w:val="es-MX"/>
        </w:rPr>
      </w:pPr>
    </w:p>
    <w:p w14:paraId="0826ACED"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r w:rsidRPr="00CA71FB">
        <w:rPr>
          <w:rFonts w:ascii="Arial" w:eastAsia="Calibri" w:hAnsi="Arial" w:cs="Arial"/>
          <w:kern w:val="2"/>
          <w14:ligatures w14:val="standardContextual"/>
        </w:rPr>
        <w:t xml:space="preserve">Para los efectos, es pertinente mencionar que el Libro Segundo del Código de Comercio no incluyó a las corporaciones o asociaciones ni a las fundaciones, esto es, a las entidades sin ánimo </w:t>
      </w:r>
      <w:r w:rsidRPr="00CA71FB">
        <w:rPr>
          <w:rFonts w:ascii="Arial" w:eastAsia="Calibri" w:hAnsi="Arial" w:cs="Arial"/>
          <w:kern w:val="2"/>
          <w14:ligatures w14:val="standardContextual"/>
        </w:rPr>
        <w:lastRenderedPageBreak/>
        <w:t>de lucro, en adelante ESAL, en la enumeración de las sociedades comerciales. La razón de la exclusión, a criterio de esta Agencia, es obvia: estas organizaciones no tienen fines comerciales, es decir, carecen de ánimo de lucro, por eso no forman un tipo o clase de sociedad comercial</w:t>
      </w:r>
      <w:r w:rsidRPr="00CA71FB">
        <w:rPr>
          <w:rFonts w:ascii="Arial" w:eastAsia="Calibri" w:hAnsi="Arial" w:cs="Arial"/>
          <w:color w:val="000000"/>
          <w:kern w:val="2"/>
          <w:vertAlign w:val="superscript"/>
          <w14:ligatures w14:val="standardContextual"/>
        </w:rPr>
        <w:footnoteReference w:id="2"/>
      </w:r>
      <w:r w:rsidRPr="00CA71FB">
        <w:rPr>
          <w:rFonts w:ascii="Arial" w:eastAsia="Calibri" w:hAnsi="Arial" w:cs="Arial"/>
          <w:color w:val="000000"/>
          <w:kern w:val="2"/>
          <w14:ligatures w14:val="standardContextual"/>
        </w:rPr>
        <w:t xml:space="preserve">. La norma que regula este tipo de corporaciones o asociaciones es el Código Civil –entre otras normas que se armonizan con este–, de lo que se sigue que no constituyen formas de sociedad comercial, sino formas de organización civil </w:t>
      </w:r>
      <w:r w:rsidRPr="00AA1E3F">
        <w:rPr>
          <w:rFonts w:ascii="Arial" w:eastAsia="Calibri" w:hAnsi="Arial" w:cs="Arial"/>
          <w:color w:val="000000"/>
          <w:kern w:val="2"/>
          <w:u w:val="single"/>
          <w14:ligatures w14:val="standardContextual"/>
        </w:rPr>
        <w:t>con fines esencialmente altruistas o de interés general</w:t>
      </w:r>
      <w:r w:rsidRPr="00CA71FB">
        <w:rPr>
          <w:rFonts w:ascii="Arial" w:eastAsia="Calibri" w:hAnsi="Arial" w:cs="Arial"/>
          <w:color w:val="000000"/>
          <w:kern w:val="2"/>
          <w14:ligatures w14:val="standardContextual"/>
        </w:rPr>
        <w:t>, que se conforman entre personas que tienen como finalidad contribuir con su esfuerzo y hasta con sus bienes, a ayudar a la comunidad</w:t>
      </w:r>
      <w:r w:rsidRPr="00CA71FB">
        <w:rPr>
          <w:rFonts w:ascii="Arial" w:eastAsia="Calibri" w:hAnsi="Arial" w:cs="Arial"/>
          <w:color w:val="000000"/>
          <w:kern w:val="2"/>
          <w:vertAlign w:val="superscript"/>
          <w14:ligatures w14:val="standardContextual"/>
        </w:rPr>
        <w:footnoteReference w:id="3"/>
      </w:r>
      <w:r w:rsidRPr="00CA71FB">
        <w:rPr>
          <w:rFonts w:ascii="Arial" w:eastAsia="Calibri" w:hAnsi="Arial" w:cs="Arial"/>
          <w:color w:val="000000"/>
          <w:kern w:val="2"/>
          <w14:ligatures w14:val="standardContextual"/>
        </w:rPr>
        <w:t>. La ausencia de ánimo de lucro es, entonces, la característica determinante de estas corporaciones u organizaciones, lo que explica su nombre y la diferencia fundamental con las sociedades comerciales.</w:t>
      </w:r>
    </w:p>
    <w:p w14:paraId="4EC4C0FC"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 xml:space="preserve">El inciso primero del artículo 98 del Código de Comercio señala que mediante el contrato de sociedad “dos o más personas se obligan a hacer un aporte en dinero, en trabajo o en otros bienes apreciables en dinero, </w:t>
      </w:r>
      <w:r w:rsidRPr="00CA71FB">
        <w:rPr>
          <w:rFonts w:ascii="Arial" w:eastAsia="Calibri" w:hAnsi="Arial" w:cs="Arial"/>
          <w:i/>
          <w:iCs/>
          <w:color w:val="000000"/>
          <w:kern w:val="2"/>
          <w14:ligatures w14:val="standardContextual"/>
        </w:rPr>
        <w:t>con el fin de repartirse entre sí las utilidades obtenidas en la empresa o actividad social”</w:t>
      </w:r>
      <w:r w:rsidRPr="00CA71FB">
        <w:rPr>
          <w:rFonts w:ascii="Arial" w:eastAsia="Calibri" w:hAnsi="Arial" w:cs="Arial"/>
          <w:color w:val="000000"/>
          <w:kern w:val="2"/>
          <w14:ligatures w14:val="standardContextual"/>
        </w:rPr>
        <w:t xml:space="preserve"> [Énfasis fuera de texto]. Así pues, para el caso de las ESAL no se admite el reparto de utilidades, ni durante la existencia de la organización ni cuando se extinga, aspecto en el que, radica la diferencia más apreciable entre unas y otras organizaciones, pese a que ambas se crean con libertad y al amparo del derecho fundamental de asociación, previsto en el artículo 38 de la Constitución Política y otras normas contenidas en tratados internacionales suscritos por Colombia.</w:t>
      </w:r>
    </w:p>
    <w:p w14:paraId="6D2C68EC" w14:textId="0D9EE39C"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 xml:space="preserve">De conformidad con lo anterior, se </w:t>
      </w:r>
      <w:r w:rsidR="002C0A0C">
        <w:rPr>
          <w:rFonts w:ascii="Arial" w:eastAsia="Calibri" w:hAnsi="Arial" w:cs="Arial"/>
          <w:color w:val="000000"/>
          <w:kern w:val="2"/>
          <w14:ligatures w14:val="standardContextual"/>
        </w:rPr>
        <w:t>desprende</w:t>
      </w:r>
      <w:r w:rsidRPr="00CA71FB">
        <w:rPr>
          <w:rFonts w:ascii="Arial" w:eastAsia="Calibri" w:hAnsi="Arial" w:cs="Arial"/>
          <w:color w:val="000000"/>
          <w:kern w:val="2"/>
          <w14:ligatures w14:val="standardContextual"/>
        </w:rPr>
        <w:t xml:space="preserve"> que </w:t>
      </w:r>
      <w:r w:rsidRPr="00A62A63">
        <w:rPr>
          <w:rFonts w:ascii="Arial" w:eastAsia="Calibri" w:hAnsi="Arial" w:cs="Arial"/>
          <w:color w:val="000000"/>
          <w:kern w:val="2"/>
          <w:u w:val="single"/>
          <w14:ligatures w14:val="standardContextual"/>
        </w:rPr>
        <w:t>dentro del grupo de asociaciones que conforman las ESAL están incluidas las Cajas de Compensación Familiar</w:t>
      </w:r>
      <w:r w:rsidRPr="00CA71FB">
        <w:rPr>
          <w:rFonts w:ascii="Arial" w:eastAsia="Calibri" w:hAnsi="Arial" w:cs="Arial"/>
          <w:color w:val="000000"/>
          <w:kern w:val="2"/>
          <w14:ligatures w14:val="standardContextual"/>
        </w:rPr>
        <w:t>, esto en razón a que, el artículo 39 de la Ley 21 de 1982 las define como “</w:t>
      </w:r>
      <w:r w:rsidRPr="00CA71FB">
        <w:rPr>
          <w:rFonts w:ascii="Arial" w:eastAsia="Calibri" w:hAnsi="Arial" w:cs="Arial"/>
          <w:i/>
          <w:iCs/>
          <w:color w:val="000000"/>
          <w:kern w:val="2"/>
          <w14:ligatures w14:val="standardContextual"/>
        </w:rPr>
        <w:t>personas jurídicas de derecho privado sin ánimo de lucro, organizadas como corporaciones en la forma prevista en el Código Civil,</w:t>
      </w:r>
      <w:r w:rsidRPr="00CA71FB">
        <w:rPr>
          <w:rFonts w:ascii="Arial" w:eastAsia="Calibri" w:hAnsi="Arial" w:cs="Arial"/>
          <w:color w:val="000000"/>
          <w:kern w:val="2"/>
          <w14:ligatures w14:val="standardContextual"/>
        </w:rPr>
        <w:t xml:space="preserve"> cumplen </w:t>
      </w:r>
      <w:r w:rsidRPr="00CA71FB">
        <w:rPr>
          <w:rFonts w:ascii="Arial" w:eastAsia="Calibri" w:hAnsi="Arial" w:cs="Arial"/>
          <w:color w:val="000000"/>
          <w:kern w:val="2"/>
          <w14:ligatures w14:val="standardContextual"/>
        </w:rPr>
        <w:lastRenderedPageBreak/>
        <w:t>funciones de seguridad social y se hallan sometidas al control y vigilancia del Estado en la forma establecida por la ley”. [Énfasis fuera de texto]</w:t>
      </w:r>
    </w:p>
    <w:p w14:paraId="5BC21CB8"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 xml:space="preserve">La Corte Constitucional en Sentencia C-429 de 2019, señaló que “las Cajas de Compensación Familiar son entes jurídicos de naturaleza especialísima que </w:t>
      </w:r>
      <w:r w:rsidRPr="00CA71FB">
        <w:rPr>
          <w:rFonts w:ascii="Arial" w:eastAsia="Calibri" w:hAnsi="Arial" w:cs="Arial"/>
          <w:i/>
          <w:iCs/>
          <w:kern w:val="2"/>
          <w:u w:val="single"/>
          <w14:ligatures w14:val="standardContextual"/>
        </w:rPr>
        <w:t>no ejercen funciones públicas</w:t>
      </w:r>
      <w:r w:rsidRPr="00CA71FB">
        <w:rPr>
          <w:rFonts w:ascii="Arial" w:eastAsia="Calibri" w:hAnsi="Arial" w:cs="Arial"/>
          <w:color w:val="000000"/>
          <w:kern w:val="2"/>
          <w14:ligatures w14:val="standardContextual"/>
        </w:rPr>
        <w:t xml:space="preserve">, sino que </w:t>
      </w:r>
      <w:r w:rsidRPr="00CA71FB">
        <w:rPr>
          <w:rFonts w:ascii="Arial" w:eastAsia="Calibri" w:hAnsi="Arial" w:cs="Arial"/>
          <w:i/>
          <w:iCs/>
          <w:kern w:val="2"/>
          <w:u w:val="single"/>
          <w14:ligatures w14:val="standardContextual"/>
        </w:rPr>
        <w:t>desarrollan una función social</w:t>
      </w:r>
      <w:r w:rsidRPr="00CA71FB">
        <w:rPr>
          <w:rFonts w:ascii="Arial" w:eastAsia="Calibri" w:hAnsi="Arial" w:cs="Arial"/>
          <w:color w:val="000000"/>
          <w:kern w:val="2"/>
          <w14:ligatures w14:val="standardContextual"/>
        </w:rPr>
        <w:t>, pues se trata de actores privados que participan en la economía e intervienen en el servicio público de seguridad social e incluso, en algunos casos, pueden participar en su prestación, como ocurre con la participación que tienen en el sector salud”. [Énfasis fuera de texto]</w:t>
      </w:r>
    </w:p>
    <w:p w14:paraId="40D4A9C4"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 xml:space="preserve">En consecuencia, según lo dispuesto en el artículo 15 de la Ley 21 de 1982, el objeto principal de las Cajas de Compensación Familiar es el de recaudar y gestionar la aplicación de los aportes al </w:t>
      </w:r>
      <w:r w:rsidRPr="00CA71FB">
        <w:rPr>
          <w:rFonts w:ascii="Arial" w:eastAsia="Calibri" w:hAnsi="Arial" w:cs="Arial"/>
          <w:i/>
          <w:iCs/>
          <w:color w:val="000000"/>
          <w:kern w:val="2"/>
          <w14:ligatures w14:val="standardContextual"/>
        </w:rPr>
        <w:t>subsidio familiar</w:t>
      </w:r>
      <w:r w:rsidRPr="00CA71FB">
        <w:rPr>
          <w:rFonts w:ascii="Arial" w:eastAsia="Calibri" w:hAnsi="Arial" w:cs="Arial"/>
          <w:color w:val="000000"/>
          <w:kern w:val="2"/>
          <w14:ligatures w14:val="standardContextual"/>
        </w:rPr>
        <w:t xml:space="preserve"> que debe pagar todo empleador. La Sala de Consulta y Servicio Civil del Consejo de Estado, mediante Concepto 1763 del 15 de agosto de 2006 realizó las siguientes precisiones sobre las Cajas de Compensación Familiar: </w:t>
      </w:r>
    </w:p>
    <w:p w14:paraId="3981A5C3"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p>
    <w:p w14:paraId="3DC0F059" w14:textId="77777777" w:rsidR="009157E3" w:rsidRPr="00CA71FB" w:rsidRDefault="009157E3" w:rsidP="009157E3">
      <w:pPr>
        <w:spacing w:after="0" w:line="240" w:lineRule="auto"/>
        <w:ind w:left="709" w:right="709"/>
        <w:jc w:val="both"/>
        <w:rPr>
          <w:rFonts w:ascii="Arial" w:eastAsia="Calibri" w:hAnsi="Arial" w:cs="Arial"/>
          <w:color w:val="000000"/>
          <w:kern w:val="2"/>
          <w:sz w:val="21"/>
          <w:szCs w:val="21"/>
          <w14:ligatures w14:val="standardContextual"/>
        </w:rPr>
      </w:pPr>
      <w:r w:rsidRPr="00CA71FB">
        <w:rPr>
          <w:rFonts w:ascii="Arial" w:eastAsia="Calibri" w:hAnsi="Arial" w:cs="Arial"/>
          <w:color w:val="000000"/>
          <w:kern w:val="2"/>
          <w:sz w:val="21"/>
          <w:szCs w:val="21"/>
          <w14:ligatures w14:val="standardContextual"/>
        </w:rPr>
        <w:t>“Las Cajas de Compensación Familiar nacen paralelamente con el sistema de subsidio familiar, que en un principio se concibió como fruto de la libertad de los patronos o del acuerdo entre éstos y sus trabajadores.</w:t>
      </w:r>
    </w:p>
    <w:p w14:paraId="2DD15D40" w14:textId="77777777" w:rsidR="009157E3" w:rsidRPr="00CA71FB" w:rsidRDefault="009157E3" w:rsidP="009157E3">
      <w:pPr>
        <w:spacing w:before="120" w:after="0" w:line="240" w:lineRule="auto"/>
        <w:ind w:left="709" w:right="709"/>
        <w:jc w:val="both"/>
        <w:rPr>
          <w:rFonts w:ascii="Arial" w:eastAsia="Calibri" w:hAnsi="Arial" w:cs="Arial"/>
          <w:color w:val="000000"/>
          <w:kern w:val="2"/>
          <w:sz w:val="21"/>
          <w:szCs w:val="21"/>
          <w14:ligatures w14:val="standardContextual"/>
        </w:rPr>
      </w:pPr>
      <w:r w:rsidRPr="00CA71FB">
        <w:rPr>
          <w:rFonts w:ascii="Arial" w:eastAsia="Calibri" w:hAnsi="Arial" w:cs="Arial"/>
          <w:color w:val="000000"/>
          <w:kern w:val="2"/>
          <w:sz w:val="21"/>
          <w:szCs w:val="21"/>
          <w14:ligatures w14:val="standardContextual"/>
        </w:rPr>
        <w:t>[…]</w:t>
      </w:r>
    </w:p>
    <w:p w14:paraId="53F32EB3" w14:textId="77777777" w:rsidR="009157E3" w:rsidRPr="00CA71FB" w:rsidRDefault="009157E3" w:rsidP="009157E3">
      <w:pPr>
        <w:spacing w:before="120" w:after="0" w:line="240" w:lineRule="auto"/>
        <w:ind w:left="709" w:right="709"/>
        <w:jc w:val="both"/>
        <w:rPr>
          <w:rFonts w:ascii="Arial" w:eastAsia="Calibri" w:hAnsi="Arial" w:cs="Arial"/>
          <w:color w:val="000000"/>
          <w:kern w:val="2"/>
          <w:sz w:val="21"/>
          <w:szCs w:val="21"/>
          <w14:ligatures w14:val="standardContextual"/>
        </w:rPr>
      </w:pPr>
      <w:r w:rsidRPr="00CA71FB">
        <w:rPr>
          <w:rFonts w:ascii="Arial" w:eastAsia="Calibri" w:hAnsi="Arial" w:cs="Arial"/>
          <w:color w:val="000000"/>
          <w:kern w:val="2"/>
          <w:sz w:val="21"/>
          <w:szCs w:val="21"/>
          <w14:ligatures w14:val="standardContextual"/>
        </w:rPr>
        <w:t>[…] a partir del decreto 118 de 1957, las Cajas de Compensación Familiar se conformaron como corporaciones de acuerdo con lo dispuesto en el Código Civil, con personería jurídica, cuya creación dependía de la voluntad de asociación de los empleadores.</w:t>
      </w:r>
    </w:p>
    <w:p w14:paraId="335369B0" w14:textId="77777777" w:rsidR="009157E3" w:rsidRPr="00CA71FB" w:rsidRDefault="009157E3" w:rsidP="009157E3">
      <w:pPr>
        <w:spacing w:before="120" w:after="0" w:line="240" w:lineRule="auto"/>
        <w:ind w:left="709" w:right="709"/>
        <w:jc w:val="both"/>
        <w:rPr>
          <w:rFonts w:ascii="Arial" w:eastAsia="Calibri" w:hAnsi="Arial" w:cs="Arial"/>
          <w:color w:val="000000"/>
          <w:kern w:val="2"/>
          <w:sz w:val="21"/>
          <w:szCs w:val="21"/>
          <w14:ligatures w14:val="standardContextual"/>
        </w:rPr>
      </w:pPr>
      <w:r w:rsidRPr="00CA71FB">
        <w:rPr>
          <w:rFonts w:ascii="Arial" w:eastAsia="Calibri" w:hAnsi="Arial" w:cs="Arial"/>
          <w:color w:val="000000"/>
          <w:kern w:val="2"/>
          <w:sz w:val="21"/>
          <w:szCs w:val="21"/>
          <w14:ligatures w14:val="standardContextual"/>
        </w:rPr>
        <w:t>Sin embargo, fue mediante la ley 21 de 1982, por la cual se modificó el régimen del subsidio familiar, que el legislador definió el subsidio familiar como una prestación social de obligatorio pago a través de las Cajas de Compensación Familiar, por parte de todos los empleadores del sector público o privado que tuvieran uno o más trabajadores de carácter permanente […].</w:t>
      </w:r>
    </w:p>
    <w:p w14:paraId="220A448E" w14:textId="77777777" w:rsidR="009157E3" w:rsidRPr="00CA71FB" w:rsidRDefault="009157E3" w:rsidP="009157E3">
      <w:pPr>
        <w:spacing w:before="120" w:after="0" w:line="240" w:lineRule="auto"/>
        <w:ind w:left="709" w:right="709"/>
        <w:jc w:val="both"/>
        <w:rPr>
          <w:rFonts w:ascii="Arial" w:eastAsia="Calibri" w:hAnsi="Arial" w:cs="Arial"/>
          <w:color w:val="000000"/>
          <w:kern w:val="2"/>
          <w:sz w:val="21"/>
          <w:szCs w:val="21"/>
          <w14:ligatures w14:val="standardContextual"/>
        </w:rPr>
      </w:pPr>
      <w:r w:rsidRPr="00CA71FB">
        <w:rPr>
          <w:rFonts w:ascii="Arial" w:eastAsia="Calibri" w:hAnsi="Arial" w:cs="Arial"/>
          <w:color w:val="000000"/>
          <w:kern w:val="2"/>
          <w:sz w:val="21"/>
          <w:szCs w:val="21"/>
          <w14:ligatures w14:val="standardContextual"/>
        </w:rPr>
        <w:t>[…]</w:t>
      </w:r>
    </w:p>
    <w:p w14:paraId="7EF4B73A" w14:textId="77777777" w:rsidR="009157E3" w:rsidRPr="00CA71FB" w:rsidRDefault="009157E3" w:rsidP="009157E3">
      <w:pPr>
        <w:spacing w:before="120" w:after="0" w:line="240" w:lineRule="auto"/>
        <w:ind w:left="709" w:right="709"/>
        <w:jc w:val="both"/>
        <w:rPr>
          <w:rFonts w:ascii="Arial" w:eastAsia="Calibri" w:hAnsi="Arial" w:cs="Arial"/>
          <w:b/>
          <w:bCs/>
          <w:kern w:val="2"/>
          <w:sz w:val="21"/>
          <w:szCs w:val="21"/>
          <w14:ligatures w14:val="standardContextual"/>
        </w:rPr>
      </w:pPr>
      <w:r w:rsidRPr="00CA71FB">
        <w:rPr>
          <w:rFonts w:ascii="Arial" w:eastAsia="Calibri" w:hAnsi="Arial" w:cs="Arial"/>
          <w:kern w:val="2"/>
          <w:sz w:val="21"/>
          <w:szCs w:val="21"/>
          <w14:ligatures w14:val="standardContextual"/>
        </w:rPr>
        <w:t xml:space="preserve">En cuanto al ámbito funcional de las Cajas, es importante señalar que el artículo 41 de la ley 21, les asignó atribuciones relativas al </w:t>
      </w:r>
      <w:r w:rsidRPr="00CA71FB">
        <w:rPr>
          <w:rFonts w:ascii="Arial" w:eastAsia="Calibri" w:hAnsi="Arial" w:cs="Arial"/>
          <w:b/>
          <w:bCs/>
          <w:kern w:val="2"/>
          <w:sz w:val="21"/>
          <w:szCs w:val="21"/>
          <w14:ligatures w14:val="standardContextual"/>
        </w:rPr>
        <w:t xml:space="preserve">recaudo, distribución y pago </w:t>
      </w:r>
      <w:r w:rsidRPr="00CA71FB">
        <w:rPr>
          <w:rFonts w:ascii="Arial" w:eastAsia="Calibri" w:hAnsi="Arial" w:cs="Arial"/>
          <w:kern w:val="2"/>
          <w:sz w:val="21"/>
          <w:szCs w:val="21"/>
          <w14:ligatures w14:val="standardContextual"/>
        </w:rPr>
        <w:t xml:space="preserve">de los aportes destinados al </w:t>
      </w:r>
      <w:r w:rsidRPr="00CA71FB">
        <w:rPr>
          <w:rFonts w:ascii="Arial" w:eastAsia="Calibri" w:hAnsi="Arial" w:cs="Arial"/>
          <w:b/>
          <w:bCs/>
          <w:kern w:val="2"/>
          <w:sz w:val="21"/>
          <w:szCs w:val="21"/>
          <w14:ligatures w14:val="standardContextual"/>
        </w:rPr>
        <w:t xml:space="preserve">subsidio familiar, </w:t>
      </w:r>
      <w:r w:rsidRPr="00CA71FB">
        <w:rPr>
          <w:rFonts w:ascii="Arial" w:eastAsia="Calibri" w:hAnsi="Arial" w:cs="Arial"/>
          <w:kern w:val="2"/>
          <w:sz w:val="21"/>
          <w:szCs w:val="21"/>
          <w14:ligatures w14:val="standardContextual"/>
        </w:rPr>
        <w:t xml:space="preserve">Servicio Nacional de Aprendizaje (SENA), Escuela Superior de Administración Pública (ESAP), escuelas industriales </w:t>
      </w:r>
      <w:proofErr w:type="spellStart"/>
      <w:r w:rsidRPr="00CA71FB">
        <w:rPr>
          <w:rFonts w:ascii="Arial" w:eastAsia="Calibri" w:hAnsi="Arial" w:cs="Arial"/>
          <w:kern w:val="2"/>
          <w:sz w:val="21"/>
          <w:szCs w:val="21"/>
          <w14:ligatures w14:val="standardContextual"/>
        </w:rPr>
        <w:t>etc</w:t>
      </w:r>
      <w:proofErr w:type="spellEnd"/>
      <w:r w:rsidRPr="00CA71FB">
        <w:rPr>
          <w:rFonts w:ascii="Arial" w:eastAsia="Calibri" w:hAnsi="Arial" w:cs="Arial"/>
          <w:kern w:val="2"/>
          <w:sz w:val="21"/>
          <w:szCs w:val="21"/>
          <w14:ligatures w14:val="standardContextual"/>
        </w:rPr>
        <w:t xml:space="preserve">, lo que significa que desde aquel entonces y actualmente en los términos del artículo 3° de la ley 610 de 2000, estos entes realizan </w:t>
      </w:r>
      <w:r w:rsidRPr="00CA71FB">
        <w:rPr>
          <w:rFonts w:ascii="Arial" w:eastAsia="Calibri" w:hAnsi="Arial" w:cs="Arial"/>
          <w:b/>
          <w:bCs/>
          <w:i/>
          <w:iCs/>
          <w:kern w:val="2"/>
          <w:sz w:val="21"/>
          <w:szCs w:val="21"/>
          <w:u w:val="single"/>
          <w14:ligatures w14:val="standardContextual"/>
        </w:rPr>
        <w:t>gestión fiscal</w:t>
      </w:r>
      <w:r w:rsidRPr="00CA71FB">
        <w:rPr>
          <w:rFonts w:ascii="Arial" w:eastAsia="Calibri" w:hAnsi="Arial" w:cs="Arial"/>
          <w:i/>
          <w:iCs/>
          <w:kern w:val="2"/>
          <w:sz w:val="21"/>
          <w:szCs w:val="21"/>
          <w14:ligatures w14:val="standardContextual"/>
        </w:rPr>
        <w:t xml:space="preserve"> </w:t>
      </w:r>
      <w:r w:rsidRPr="00CA71FB">
        <w:rPr>
          <w:rFonts w:ascii="Arial" w:eastAsia="Calibri" w:hAnsi="Arial" w:cs="Arial"/>
          <w:kern w:val="2"/>
          <w:sz w:val="21"/>
          <w:szCs w:val="21"/>
          <w14:ligatures w14:val="standardContextual"/>
        </w:rPr>
        <w:t xml:space="preserve">sobre los recursos del </w:t>
      </w:r>
      <w:r w:rsidRPr="00CA71FB">
        <w:rPr>
          <w:rFonts w:ascii="Arial" w:eastAsia="Calibri" w:hAnsi="Arial" w:cs="Arial"/>
          <w:b/>
          <w:bCs/>
          <w:kern w:val="2"/>
          <w:sz w:val="21"/>
          <w:szCs w:val="21"/>
          <w14:ligatures w14:val="standardContextual"/>
        </w:rPr>
        <w:t>subsidio familiar</w:t>
      </w:r>
      <w:r w:rsidRPr="00CA71FB">
        <w:rPr>
          <w:rFonts w:ascii="Arial" w:eastAsia="Calibri" w:hAnsi="Arial" w:cs="Arial"/>
          <w:kern w:val="2"/>
          <w:sz w:val="21"/>
          <w:szCs w:val="21"/>
          <w14:ligatures w14:val="standardContextual"/>
        </w:rPr>
        <w:t>.” [Negrillas propias, cursiva y subraya fuera de texto]</w:t>
      </w:r>
    </w:p>
    <w:p w14:paraId="0D261C64"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p>
    <w:p w14:paraId="0A1BE699" w14:textId="77777777" w:rsidR="009157E3" w:rsidRPr="00CA71FB" w:rsidRDefault="009157E3" w:rsidP="009157E3">
      <w:pPr>
        <w:spacing w:after="0" w:line="276" w:lineRule="auto"/>
        <w:ind w:firstLine="708"/>
        <w:jc w:val="both"/>
        <w:rPr>
          <w:rFonts w:ascii="Arial" w:eastAsia="Calibri" w:hAnsi="Arial" w:cs="Arial"/>
          <w:kern w:val="2"/>
          <w14:ligatures w14:val="standardContextual"/>
        </w:rPr>
      </w:pPr>
      <w:r w:rsidRPr="00CA71FB">
        <w:rPr>
          <w:rFonts w:ascii="Arial" w:eastAsia="Calibri" w:hAnsi="Arial" w:cs="Arial"/>
          <w:color w:val="000000"/>
          <w:kern w:val="2"/>
          <w14:ligatures w14:val="standardContextual"/>
        </w:rPr>
        <w:t xml:space="preserve">Ahora bien, el Consejo de Estado sobre la naturaleza de los aportes que reciben dichas Cajas en su calidad de administradoras del subsidio familiar, enfatizó que la legislación y la </w:t>
      </w:r>
      <w:r w:rsidRPr="00CA71FB">
        <w:rPr>
          <w:rFonts w:ascii="Arial" w:eastAsia="Calibri" w:hAnsi="Arial" w:cs="Arial"/>
          <w:color w:val="000000"/>
          <w:kern w:val="2"/>
          <w14:ligatures w14:val="standardContextual"/>
        </w:rPr>
        <w:lastRenderedPageBreak/>
        <w:t xml:space="preserve">jurisprudencia le han otorgado la </w:t>
      </w:r>
      <w:r w:rsidRPr="00CA71FB">
        <w:rPr>
          <w:rFonts w:ascii="Arial" w:eastAsia="Calibri" w:hAnsi="Arial" w:cs="Arial"/>
          <w:kern w:val="2"/>
          <w14:ligatures w14:val="standardContextual"/>
        </w:rPr>
        <w:t>calidad de recursos parafiscales</w:t>
      </w:r>
      <w:r w:rsidRPr="00CA71FB">
        <w:rPr>
          <w:rFonts w:ascii="Arial" w:eastAsia="Calibri" w:hAnsi="Arial" w:cs="Arial"/>
          <w:kern w:val="2"/>
          <w:vertAlign w:val="superscript"/>
          <w14:ligatures w14:val="standardContextual"/>
        </w:rPr>
        <w:footnoteReference w:id="4"/>
      </w:r>
      <w:r w:rsidRPr="00CA71FB">
        <w:rPr>
          <w:rFonts w:ascii="Arial" w:eastAsia="Calibri" w:hAnsi="Arial" w:cs="Arial"/>
          <w:kern w:val="2"/>
          <w14:ligatures w14:val="standardContextual"/>
        </w:rPr>
        <w:t>. Apreciación, que se confirma con lo dispuesto en el artículo 2.2.7.5.3.2 del Decreto 1072 de 2015 –Decreto Único Reglamentario del Sector Trabajo– que señaló:</w:t>
      </w:r>
    </w:p>
    <w:p w14:paraId="6B6A2CE2" w14:textId="77777777" w:rsidR="009157E3" w:rsidRPr="00CA71FB" w:rsidRDefault="009157E3" w:rsidP="009157E3">
      <w:pPr>
        <w:spacing w:after="0" w:line="276" w:lineRule="auto"/>
        <w:jc w:val="both"/>
        <w:rPr>
          <w:rFonts w:ascii="Arial" w:eastAsia="Calibri" w:hAnsi="Arial" w:cs="Arial"/>
          <w:kern w:val="2"/>
          <w14:ligatures w14:val="standardContextual"/>
        </w:rPr>
      </w:pPr>
    </w:p>
    <w:p w14:paraId="6348C7DF" w14:textId="77777777" w:rsidR="009157E3" w:rsidRPr="00CA71FB" w:rsidRDefault="009157E3" w:rsidP="009157E3">
      <w:pPr>
        <w:spacing w:after="0" w:line="240" w:lineRule="auto"/>
        <w:ind w:left="709" w:right="709"/>
        <w:jc w:val="both"/>
        <w:rPr>
          <w:rFonts w:ascii="Arial" w:eastAsia="Calibri" w:hAnsi="Arial" w:cs="Arial"/>
          <w:kern w:val="2"/>
          <w:sz w:val="21"/>
          <w:szCs w:val="21"/>
          <w14:ligatures w14:val="standardContextual"/>
        </w:rPr>
      </w:pPr>
      <w:r w:rsidRPr="00CA71FB">
        <w:rPr>
          <w:rFonts w:ascii="Arial" w:eastAsia="Calibri" w:hAnsi="Arial" w:cs="Arial"/>
          <w:kern w:val="2"/>
          <w:sz w:val="21"/>
          <w:szCs w:val="21"/>
          <w14:ligatures w14:val="standardContextual"/>
        </w:rPr>
        <w:t>“Artículo 2.2.7.5.3.2. Afectación de los recursos administrados por las cajas de compensación familiar. Los recursos que administran las Cajas de Compensación Familiar están destinados a la atención de las prestaciones y servicios de la seguridad social y demás finalidades que prevea la ley y no podrán comprometerse para fines diferentes.</w:t>
      </w:r>
    </w:p>
    <w:p w14:paraId="7A2893E5" w14:textId="77777777" w:rsidR="009157E3" w:rsidRPr="00CA71FB" w:rsidRDefault="009157E3" w:rsidP="009157E3">
      <w:pPr>
        <w:spacing w:before="120" w:after="0" w:line="240" w:lineRule="auto"/>
        <w:ind w:left="709" w:right="709"/>
        <w:jc w:val="both"/>
        <w:rPr>
          <w:rFonts w:ascii="Arial" w:eastAsia="Calibri" w:hAnsi="Arial" w:cs="Arial"/>
          <w:kern w:val="2"/>
          <w:sz w:val="21"/>
          <w:szCs w:val="21"/>
          <w14:ligatures w14:val="standardContextual"/>
        </w:rPr>
      </w:pPr>
      <w:r w:rsidRPr="00CA71FB">
        <w:rPr>
          <w:rFonts w:ascii="Arial" w:eastAsia="Calibri" w:hAnsi="Arial" w:cs="Arial"/>
          <w:i/>
          <w:iCs/>
          <w:kern w:val="2"/>
          <w:sz w:val="21"/>
          <w:szCs w:val="21"/>
          <w14:ligatures w14:val="standardContextual"/>
        </w:rPr>
        <w:t xml:space="preserve">Los que provengan de los aportes obligatorios pagados por los empleadores y por las cooperativas de trabajo asociado tienen la condición de </w:t>
      </w:r>
      <w:r w:rsidRPr="00CA71FB">
        <w:rPr>
          <w:rFonts w:ascii="Arial" w:eastAsia="Calibri" w:hAnsi="Arial" w:cs="Arial"/>
          <w:i/>
          <w:iCs/>
          <w:kern w:val="2"/>
          <w:sz w:val="21"/>
          <w:szCs w:val="21"/>
          <w:u w:val="single"/>
          <w14:ligatures w14:val="standardContextual"/>
        </w:rPr>
        <w:t>recursos parafiscales</w:t>
      </w:r>
      <w:r w:rsidRPr="00CA71FB">
        <w:rPr>
          <w:rFonts w:ascii="Arial" w:eastAsia="Calibri" w:hAnsi="Arial" w:cs="Arial"/>
          <w:i/>
          <w:iCs/>
          <w:kern w:val="2"/>
          <w:sz w:val="21"/>
          <w:szCs w:val="21"/>
          <w14:ligatures w14:val="standardContextual"/>
        </w:rPr>
        <w:t xml:space="preserve"> y como tales, su administración se rige por las disposiciones legales correspondientes.</w:t>
      </w:r>
      <w:r w:rsidRPr="00CA71FB">
        <w:rPr>
          <w:rFonts w:ascii="Arial" w:eastAsia="Calibri" w:hAnsi="Arial" w:cs="Arial"/>
          <w:b/>
          <w:bCs/>
          <w:i/>
          <w:iCs/>
          <w:kern w:val="2"/>
          <w:sz w:val="21"/>
          <w:szCs w:val="21"/>
          <w14:ligatures w14:val="standardContextual"/>
        </w:rPr>
        <w:t xml:space="preserve"> </w:t>
      </w:r>
      <w:r w:rsidRPr="00CA71FB">
        <w:rPr>
          <w:rFonts w:ascii="Arial" w:eastAsia="Calibri" w:hAnsi="Arial" w:cs="Arial"/>
          <w:kern w:val="2"/>
          <w:sz w:val="21"/>
          <w:szCs w:val="21"/>
          <w14:ligatures w14:val="standardContextual"/>
        </w:rPr>
        <w:t>[…]” [Énfasis fuera de texto]</w:t>
      </w:r>
    </w:p>
    <w:p w14:paraId="01BEA8E3" w14:textId="77777777" w:rsidR="009157E3" w:rsidRPr="00CA71FB" w:rsidRDefault="009157E3" w:rsidP="009157E3">
      <w:pPr>
        <w:spacing w:after="0" w:line="276" w:lineRule="auto"/>
        <w:jc w:val="both"/>
        <w:rPr>
          <w:rFonts w:ascii="Arial" w:eastAsia="Calibri" w:hAnsi="Arial" w:cs="Arial"/>
          <w:kern w:val="2"/>
          <w14:ligatures w14:val="standardContextual"/>
        </w:rPr>
      </w:pPr>
    </w:p>
    <w:p w14:paraId="0A61C723" w14:textId="77777777" w:rsidR="009157E3" w:rsidRPr="00CA71FB" w:rsidRDefault="009157E3" w:rsidP="009157E3">
      <w:pPr>
        <w:spacing w:after="0" w:line="276" w:lineRule="auto"/>
        <w:jc w:val="both"/>
        <w:rPr>
          <w:rFonts w:ascii="Arial" w:eastAsia="Calibri" w:hAnsi="Arial" w:cs="Arial"/>
          <w:kern w:val="2"/>
          <w14:ligatures w14:val="standardContextual"/>
        </w:rPr>
      </w:pPr>
      <w:r w:rsidRPr="00CA71FB">
        <w:rPr>
          <w:rFonts w:ascii="Arial" w:eastAsia="Calibri" w:hAnsi="Arial" w:cs="Arial"/>
          <w:kern w:val="2"/>
          <w14:ligatures w14:val="standardContextual"/>
        </w:rPr>
        <w:tab/>
        <w:t xml:space="preserve">En ese orden, para el Consejo de Estado, </w:t>
      </w:r>
      <w:r w:rsidRPr="00F8055E">
        <w:rPr>
          <w:rFonts w:ascii="Arial" w:eastAsia="Calibri" w:hAnsi="Arial" w:cs="Arial"/>
          <w:kern w:val="2"/>
          <w:u w:val="single"/>
          <w14:ligatures w14:val="standardContextual"/>
        </w:rPr>
        <w:t>los recursos de carácter parafiscal que administran las Cajas de Compensación Familiar son de naturaleza pública</w:t>
      </w:r>
      <w:r w:rsidRPr="00CA71FB">
        <w:rPr>
          <w:rFonts w:ascii="Arial" w:eastAsia="Calibri" w:hAnsi="Arial" w:cs="Arial"/>
          <w:kern w:val="2"/>
          <w14:ligatures w14:val="standardContextual"/>
        </w:rPr>
        <w:t>, en tanto constituyen una fuente de financiación que el Estado consagra en beneficio de un sector, aunque desde la perspectiva presupuestal no integran el Presupuesto General de la Nación</w:t>
      </w:r>
      <w:r w:rsidRPr="00CA71FB">
        <w:rPr>
          <w:rFonts w:ascii="Arial" w:eastAsia="Times New Roman" w:hAnsi="Arial" w:cs="Arial"/>
          <w:i/>
          <w:vertAlign w:val="superscript"/>
          <w:lang w:val="es-ES" w:eastAsia="es-ES"/>
        </w:rPr>
        <w:footnoteReference w:id="5"/>
      </w:r>
      <w:r w:rsidRPr="00CA71FB">
        <w:rPr>
          <w:rFonts w:ascii="Arial" w:eastAsia="Times New Roman" w:hAnsi="Arial" w:cs="Arial"/>
          <w:i/>
          <w:lang w:val="es-ES" w:eastAsia="es-ES"/>
        </w:rPr>
        <w:t>.</w:t>
      </w:r>
    </w:p>
    <w:p w14:paraId="642145CF" w14:textId="775F5D37" w:rsidR="009157E3" w:rsidRPr="00CA71FB" w:rsidRDefault="009157E3" w:rsidP="009157E3">
      <w:pPr>
        <w:spacing w:before="120" w:after="0" w:line="276" w:lineRule="auto"/>
        <w:jc w:val="both"/>
        <w:rPr>
          <w:rFonts w:ascii="Arial" w:eastAsia="Calibri" w:hAnsi="Arial" w:cs="Arial"/>
          <w:kern w:val="2"/>
          <w14:ligatures w14:val="standardContextual"/>
        </w:rPr>
      </w:pPr>
      <w:r w:rsidRPr="00CA71FB">
        <w:rPr>
          <w:rFonts w:ascii="Arial" w:eastAsia="Calibri" w:hAnsi="Arial" w:cs="Arial"/>
          <w:kern w:val="2"/>
          <w14:ligatures w14:val="standardContextual"/>
        </w:rPr>
        <w:tab/>
        <w:t xml:space="preserve">Teniendo en cuenta la función principal que desempeñan las Cajas de Compensación Familiar y la naturaleza de los recursos que administran, a </w:t>
      </w:r>
      <w:r w:rsidR="000B299B" w:rsidRPr="00CA71FB">
        <w:rPr>
          <w:rFonts w:ascii="Arial" w:eastAsia="Calibri" w:hAnsi="Arial" w:cs="Arial"/>
          <w:kern w:val="2"/>
          <w14:ligatures w14:val="standardContextual"/>
        </w:rPr>
        <w:t>continuación,</w:t>
      </w:r>
      <w:r w:rsidRPr="00CA71FB">
        <w:rPr>
          <w:rFonts w:ascii="Arial" w:eastAsia="Calibri" w:hAnsi="Arial" w:cs="Arial"/>
          <w:kern w:val="2"/>
          <w14:ligatures w14:val="standardContextual"/>
        </w:rPr>
        <w:t xml:space="preserve"> se analizará </w:t>
      </w:r>
      <w:r w:rsidR="005677BB">
        <w:rPr>
          <w:rFonts w:ascii="Arial" w:eastAsia="Calibri" w:hAnsi="Arial" w:cs="Arial"/>
          <w:kern w:val="2"/>
          <w14:ligatures w14:val="standardContextual"/>
        </w:rPr>
        <w:t xml:space="preserve">el deber de </w:t>
      </w:r>
      <w:r w:rsidR="000D4F5C">
        <w:rPr>
          <w:rFonts w:ascii="Arial" w:eastAsia="Calibri" w:hAnsi="Arial" w:cs="Arial"/>
          <w:kern w:val="2"/>
          <w14:ligatures w14:val="standardContextual"/>
        </w:rPr>
        <w:t>publicar su actividad contractual en SECOP</w:t>
      </w:r>
      <w:r w:rsidR="005E265B">
        <w:rPr>
          <w:rFonts w:ascii="Arial" w:eastAsia="Calibri" w:hAnsi="Arial" w:cs="Arial"/>
          <w:kern w:val="2"/>
          <w14:ligatures w14:val="standardContextual"/>
        </w:rPr>
        <w:t xml:space="preserve"> de estas entidades</w:t>
      </w:r>
      <w:r w:rsidRPr="00CA71FB">
        <w:rPr>
          <w:rFonts w:ascii="Arial" w:eastAsia="Calibri" w:hAnsi="Arial" w:cs="Arial"/>
          <w:kern w:val="2"/>
          <w14:ligatures w14:val="standardContextual"/>
        </w:rPr>
        <w:t>.</w:t>
      </w:r>
    </w:p>
    <w:p w14:paraId="6B7FFA97" w14:textId="77777777" w:rsidR="009157E3" w:rsidRDefault="009157E3" w:rsidP="009157E3">
      <w:pPr>
        <w:spacing w:after="0" w:line="276" w:lineRule="auto"/>
        <w:jc w:val="both"/>
        <w:rPr>
          <w:rFonts w:ascii="Arial" w:eastAsia="Calibri" w:hAnsi="Arial" w:cs="Arial"/>
          <w:bCs/>
          <w:lang w:val="es-MX"/>
        </w:rPr>
      </w:pPr>
    </w:p>
    <w:p w14:paraId="1CF14838" w14:textId="77777777" w:rsidR="00871BAA" w:rsidRPr="00CA71FB" w:rsidRDefault="00871BAA" w:rsidP="00871BAA">
      <w:pPr>
        <w:spacing w:after="0" w:line="276" w:lineRule="auto"/>
        <w:jc w:val="both"/>
        <w:rPr>
          <w:rFonts w:ascii="Arial" w:eastAsia="Calibri" w:hAnsi="Arial" w:cs="Arial"/>
          <w:b/>
          <w:lang w:val="es-MX"/>
        </w:rPr>
      </w:pPr>
      <w:r w:rsidRPr="00CA71FB">
        <w:rPr>
          <w:rFonts w:ascii="Arial" w:eastAsia="Calibri" w:hAnsi="Arial" w:cs="Arial"/>
          <w:b/>
          <w:lang w:val="es-MX"/>
        </w:rPr>
        <w:t>2.2. Sujetos obligados a elaborar el Plan Anual de Adquisiciones. Cajas de Compensación Familiar</w:t>
      </w:r>
    </w:p>
    <w:p w14:paraId="6F6C473C" w14:textId="77777777" w:rsidR="00871BAA" w:rsidRPr="00CA71FB" w:rsidRDefault="00871BAA" w:rsidP="00871BAA">
      <w:pPr>
        <w:spacing w:after="0" w:line="276" w:lineRule="auto"/>
        <w:jc w:val="both"/>
        <w:rPr>
          <w:rFonts w:ascii="Arial" w:eastAsia="Calibri" w:hAnsi="Arial" w:cs="Arial"/>
          <w:b/>
          <w:lang w:val="es-MX"/>
        </w:rPr>
      </w:pPr>
    </w:p>
    <w:p w14:paraId="27F5C029" w14:textId="77777777" w:rsidR="00871BAA" w:rsidRPr="00CA71FB" w:rsidRDefault="00871BAA" w:rsidP="00871BAA">
      <w:pPr>
        <w:tabs>
          <w:tab w:val="left" w:pos="0"/>
        </w:tabs>
        <w:spacing w:after="0" w:line="276" w:lineRule="auto"/>
        <w:jc w:val="both"/>
        <w:rPr>
          <w:rFonts w:ascii="Arial" w:eastAsia="Calibri" w:hAnsi="Arial" w:cs="Arial"/>
          <w:color w:val="000000"/>
          <w:lang w:val="es-ES"/>
        </w:rPr>
      </w:pPr>
      <w:bookmarkStart w:id="4" w:name="_Hlk118972301"/>
      <w:r w:rsidRPr="00CA71FB">
        <w:rPr>
          <w:rFonts w:ascii="Arial" w:eastAsia="Times New Roman" w:hAnsi="Arial" w:cs="Arial"/>
        </w:rPr>
        <w:t>El</w:t>
      </w:r>
      <w:r w:rsidRPr="00CA71FB">
        <w:rPr>
          <w:rFonts w:ascii="Arial" w:eastAsia="Times New Roman" w:hAnsi="Arial" w:cs="Arial"/>
          <w:lang w:val="es-ES"/>
        </w:rPr>
        <w:t xml:space="preserve"> Plan Anual de Adquisiciones es un</w:t>
      </w:r>
      <w:r w:rsidRPr="00CA71FB">
        <w:rPr>
          <w:rFonts w:ascii="Arial" w:eastAsia="Calibri" w:hAnsi="Arial" w:cs="Arial"/>
          <w:color w:val="000000"/>
          <w:lang w:val="es-ES"/>
        </w:rPr>
        <w:t xml:space="preserve">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De este modo, e</w:t>
      </w:r>
      <w:r w:rsidRPr="00CA71FB">
        <w:rPr>
          <w:rFonts w:ascii="Arial" w:eastAsia="Times New Roman" w:hAnsi="Arial" w:cs="Arial"/>
        </w:rPr>
        <w:t xml:space="preserve">l Plan Anual de Adquisiciones se considera </w:t>
      </w:r>
      <w:r w:rsidRPr="00CA71FB">
        <w:rPr>
          <w:rFonts w:ascii="Arial" w:eastAsia="Times New Roman" w:hAnsi="Arial" w:cs="Arial"/>
          <w:lang w:val="es-ES"/>
        </w:rPr>
        <w:t>un documento de carácter estimativo que tiene entre otras finalidades, la</w:t>
      </w:r>
      <w:r w:rsidRPr="00CA71FB">
        <w:rPr>
          <w:rFonts w:ascii="Arial" w:eastAsia="Calibri" w:hAnsi="Arial" w:cs="Arial"/>
          <w:color w:val="000000"/>
          <w:lang w:val="es-ES"/>
        </w:rPr>
        <w:t xml:space="preserve"> de “servir como referente inicial para evaluar la ejecución de presupuesto y pronosticar la demanda de bienes y servicios de la entidad durante el año referido del plan”</w:t>
      </w:r>
      <w:r w:rsidRPr="00CA71FB">
        <w:rPr>
          <w:rFonts w:ascii="Arial" w:eastAsia="Calibri" w:hAnsi="Arial" w:cs="Arial"/>
          <w:color w:val="000000"/>
          <w:vertAlign w:val="superscript"/>
        </w:rPr>
        <w:footnoteReference w:id="6"/>
      </w:r>
      <w:r w:rsidRPr="00CA71FB">
        <w:rPr>
          <w:rFonts w:ascii="Arial" w:eastAsia="Calibri" w:hAnsi="Arial" w:cs="Arial"/>
          <w:color w:val="000000"/>
          <w:lang w:val="es-ES"/>
        </w:rPr>
        <w:t xml:space="preserve">. </w:t>
      </w:r>
    </w:p>
    <w:bookmarkEnd w:id="4"/>
    <w:p w14:paraId="19D9A603" w14:textId="77777777" w:rsidR="00871BAA" w:rsidRPr="00CA71FB" w:rsidRDefault="00871BAA" w:rsidP="00871BAA">
      <w:pPr>
        <w:spacing w:before="120" w:after="0" w:line="276" w:lineRule="auto"/>
        <w:jc w:val="both"/>
        <w:rPr>
          <w:rFonts w:ascii="Arial" w:eastAsia="Calibri" w:hAnsi="Arial" w:cs="Arial"/>
          <w:kern w:val="2"/>
          <w14:ligatures w14:val="standardContextual"/>
        </w:rPr>
      </w:pPr>
      <w:r w:rsidRPr="00CA71FB">
        <w:rPr>
          <w:rFonts w:ascii="Arial" w:eastAsia="Calibri" w:hAnsi="Arial" w:cs="Arial"/>
          <w:kern w:val="2"/>
          <w14:ligatures w14:val="standardContextual"/>
        </w:rPr>
        <w:lastRenderedPageBreak/>
        <w:tab/>
        <w:t>De acuerdo con el artículo 2.2.1.1.1.3.1. del Decreto 1082 de 2015, el Plan Anual de Adquisiciones es el plan general de compras al que se refiere el artículo 74 de la Ley 1474 de 2011 y el plan de compras al que se refiere la Ley Anual de Presupuesto. Asimismo, este artículo lo define como un instrumento de planeación contractual que las Entidades Estatales deben diligenciar, publicar y actualizar.</w:t>
      </w:r>
      <w:r w:rsidRPr="00CA71FB">
        <w:rPr>
          <w:rFonts w:ascii="Arial" w:eastAsia="Calibri" w:hAnsi="Arial" w:cs="Arial"/>
          <w:kern w:val="2"/>
          <w14:ligatures w14:val="standardContextual"/>
        </w:rPr>
        <w:tab/>
      </w:r>
    </w:p>
    <w:p w14:paraId="4DC26EA5" w14:textId="77777777" w:rsidR="00871BAA" w:rsidRPr="00CA71FB" w:rsidRDefault="00871BAA" w:rsidP="00871BAA">
      <w:pPr>
        <w:spacing w:before="120" w:line="276" w:lineRule="auto"/>
        <w:ind w:firstLine="709"/>
        <w:jc w:val="both"/>
        <w:rPr>
          <w:rFonts w:ascii="Arial" w:eastAsia="Calibri" w:hAnsi="Arial" w:cs="Arial"/>
          <w:lang w:val="es-ES"/>
        </w:rPr>
      </w:pPr>
      <w:r w:rsidRPr="00CA71FB">
        <w:rPr>
          <w:rFonts w:ascii="Arial" w:eastAsia="Calibri" w:hAnsi="Arial" w:cs="Arial"/>
          <w:noProof/>
          <w:lang w:val="es-ES_tradnl"/>
        </w:rPr>
        <w:t>En particular, el artículo 74 de la Ley 1474 de 2011 dispone que “todas las entidades del Estado” deben publicar, a más tardar el 31 de enero de cada año, en su respectiva página web, el plan de acción, en el cual se incluye el plan general de compras</w:t>
      </w:r>
      <w:r w:rsidRPr="00CA71FB">
        <w:rPr>
          <w:rFonts w:ascii="Arial" w:eastAsia="Calibri" w:hAnsi="Arial" w:cs="Arial"/>
          <w:noProof/>
          <w:vertAlign w:val="superscript"/>
          <w:lang w:val="es-ES_tradnl"/>
        </w:rPr>
        <w:footnoteReference w:id="7"/>
      </w:r>
      <w:r w:rsidRPr="00CA71FB">
        <w:rPr>
          <w:rFonts w:ascii="Arial" w:eastAsia="Calibri" w:hAnsi="Arial" w:cs="Arial"/>
          <w:noProof/>
          <w:lang w:val="es-ES_tradnl"/>
        </w:rPr>
        <w:t>. Como ya se indicó, el plan general de compras para el ordenamiento vigente corresponde con el concepto de Plan Anual de Adquisiciones como lo establece el artículo 2.2.1.1.1.3.1. del Decreto 1082 de 2015</w:t>
      </w:r>
      <w:r w:rsidRPr="00CA71FB">
        <w:rPr>
          <w:rFonts w:ascii="Arial" w:eastAsia="Calibri" w:hAnsi="Arial" w:cs="Arial"/>
          <w:noProof/>
          <w:vertAlign w:val="superscript"/>
          <w:lang w:val="es-ES_tradnl"/>
        </w:rPr>
        <w:footnoteReference w:id="8"/>
      </w:r>
      <w:r w:rsidRPr="00CA71FB">
        <w:rPr>
          <w:rFonts w:ascii="Arial" w:eastAsia="Calibri" w:hAnsi="Arial" w:cs="Arial"/>
          <w:noProof/>
          <w:lang w:val="es-ES_tradnl"/>
        </w:rPr>
        <w:t xml:space="preserve">.  Además, de acuerdo con el artículo 2.2.1.1.1.4.3, </w:t>
      </w:r>
      <w:r w:rsidRPr="00CA71FB">
        <w:rPr>
          <w:rFonts w:ascii="Arial" w:eastAsia="Calibri" w:hAnsi="Arial" w:cs="Arial"/>
          <w:i/>
          <w:noProof/>
          <w:lang w:val="es-ES_tradnl"/>
        </w:rPr>
        <w:t>Ibídem</w:t>
      </w:r>
      <w:r w:rsidRPr="00CA71FB">
        <w:rPr>
          <w:rFonts w:ascii="Arial" w:eastAsia="Calibri" w:hAnsi="Arial" w:cs="Arial"/>
          <w:noProof/>
          <w:lang w:val="es-ES_tradnl"/>
        </w:rPr>
        <w:t>,</w:t>
      </w:r>
      <w:r w:rsidRPr="00CA71FB">
        <w:rPr>
          <w:rFonts w:ascii="Arial" w:eastAsia="Calibri" w:hAnsi="Arial" w:cs="Arial"/>
          <w:lang w:val="es-ES"/>
        </w:rPr>
        <w:t xml:space="preserve"> el Plan Anual de Adquisiciones también debe publicarse en el SECOP</w:t>
      </w:r>
      <w:r w:rsidRPr="00CA71FB">
        <w:rPr>
          <w:rFonts w:ascii="Arial" w:eastAsia="Calibri" w:hAnsi="Arial" w:cs="Arial"/>
          <w:vertAlign w:val="superscript"/>
        </w:rPr>
        <w:footnoteReference w:id="9"/>
      </w:r>
      <w:r w:rsidRPr="00CA71FB">
        <w:rPr>
          <w:rFonts w:ascii="Arial" w:eastAsia="Calibri" w:hAnsi="Arial" w:cs="Arial"/>
          <w:lang w:val="es-ES"/>
        </w:rPr>
        <w:t xml:space="preserve">. Se trata de una obligación que involucra a todas las entidades del Estado sin importar la rama a la cual pertenecen, o si se trata de entidades descentralizadas territorialmente o por servicios; los órganos con competencia para contratar, como los concejos municipales; las empresas del Estado y las sociedades en las que el Estado tenga participación, sin que importe su monto. </w:t>
      </w:r>
    </w:p>
    <w:p w14:paraId="371B9A91" w14:textId="77777777" w:rsidR="00871BAA" w:rsidRPr="00CA71FB" w:rsidRDefault="00871BAA" w:rsidP="00871BAA">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 xml:space="preserve">Ahora bien, respecto del deber de elaboración del Plan Anual de Adquisiciones, el artículo2.2.1.1.1.4.1 del Decreto 1082 de 2015 dispone: </w:t>
      </w:r>
    </w:p>
    <w:p w14:paraId="3905725C" w14:textId="77777777" w:rsidR="00871BAA" w:rsidRPr="00CA71FB" w:rsidRDefault="00871BAA" w:rsidP="00871BAA">
      <w:pPr>
        <w:spacing w:after="0" w:line="276" w:lineRule="auto"/>
        <w:jc w:val="both"/>
        <w:rPr>
          <w:rFonts w:ascii="Arial" w:eastAsia="Calibri" w:hAnsi="Arial" w:cs="Arial"/>
          <w:color w:val="000000"/>
          <w:kern w:val="2"/>
          <w14:ligatures w14:val="standardContextual"/>
        </w:rPr>
      </w:pPr>
    </w:p>
    <w:p w14:paraId="21010A6A" w14:textId="77777777" w:rsidR="00871BAA" w:rsidRPr="00CA71FB" w:rsidRDefault="00871BAA" w:rsidP="00871BAA">
      <w:pPr>
        <w:spacing w:after="0" w:line="240" w:lineRule="auto"/>
        <w:ind w:left="709" w:right="709"/>
        <w:jc w:val="both"/>
        <w:rPr>
          <w:rFonts w:ascii="Arial" w:eastAsia="Calibri" w:hAnsi="Arial" w:cs="Arial"/>
          <w:kern w:val="2"/>
          <w:sz w:val="21"/>
          <w:szCs w:val="21"/>
          <w14:ligatures w14:val="standardContextual"/>
        </w:rPr>
      </w:pPr>
      <w:r w:rsidRPr="00CA71FB">
        <w:rPr>
          <w:rFonts w:ascii="Arial" w:eastAsia="Calibri" w:hAnsi="Arial" w:cs="Arial"/>
          <w:kern w:val="2"/>
          <w:sz w:val="21"/>
          <w:szCs w:val="21"/>
          <w14:ligatures w14:val="standardContextual"/>
        </w:rPr>
        <w:t xml:space="preserve">“Artículo 2.2.1.1.1.4.1. Plan Anual de Adquisiciones. </w:t>
      </w:r>
      <w:r w:rsidRPr="00CA71FB">
        <w:rPr>
          <w:rFonts w:ascii="Arial" w:eastAsia="Calibri" w:hAnsi="Arial" w:cs="Arial"/>
          <w:i/>
          <w:iCs/>
          <w:kern w:val="2"/>
          <w:sz w:val="21"/>
          <w:szCs w:val="21"/>
          <w:u w:val="single"/>
          <w14:ligatures w14:val="standardContextual"/>
        </w:rPr>
        <w:t xml:space="preserve">Las entidades estatales </w:t>
      </w:r>
      <w:r w:rsidRPr="00CA71FB">
        <w:rPr>
          <w:rFonts w:ascii="Arial" w:eastAsia="Calibri" w:hAnsi="Arial" w:cs="Arial"/>
          <w:kern w:val="2"/>
          <w:sz w:val="21"/>
          <w:szCs w:val="21"/>
          <w14:ligatures w14:val="standardContextual"/>
        </w:rPr>
        <w:t>deben elaborar un Plan Anual de Adquisiciones, el cual debe contener la lista de bienes, obras y servicios que pretenden adquirir durante el año. En el Plan Anual de Adquisiciones, la Entidad Estatal debe señalar como mínimo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 [Énfasis fuera de texto]</w:t>
      </w:r>
    </w:p>
    <w:p w14:paraId="3FF959ED" w14:textId="77777777" w:rsidR="00871BAA" w:rsidRPr="00CA71FB" w:rsidRDefault="00871BAA" w:rsidP="00871BAA">
      <w:pPr>
        <w:spacing w:after="0" w:line="276" w:lineRule="auto"/>
        <w:jc w:val="both"/>
        <w:rPr>
          <w:rFonts w:ascii="Arial" w:eastAsia="Calibri" w:hAnsi="Arial" w:cs="Arial"/>
          <w:color w:val="000000"/>
          <w:kern w:val="2"/>
          <w14:ligatures w14:val="standardContextual"/>
        </w:rPr>
      </w:pPr>
    </w:p>
    <w:p w14:paraId="5BFBB5A2" w14:textId="77777777" w:rsidR="00871BAA" w:rsidRPr="00CA71FB" w:rsidRDefault="00871BAA" w:rsidP="00871BAA">
      <w:pPr>
        <w:spacing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 xml:space="preserve">Si bien la norma en cita es clara al establecer que son las Entidades Estatales los sujetos que deberán elaborar el Plan Anual de Adquisiciones, para el caso bajo estudio resulta preponderante analizar desde lo dispuesto en el ordenamiento jurídico, los sujetos que integran tal denominación. Sobre el particular, el Estatuto General de Contratación de la Administración Pública, señala en su artículo 2, numeral 1, lo siguiente: </w:t>
      </w:r>
    </w:p>
    <w:p w14:paraId="6273EE34" w14:textId="77777777" w:rsidR="00871BAA" w:rsidRPr="00CA71FB" w:rsidRDefault="00871BAA" w:rsidP="00871BAA">
      <w:pPr>
        <w:spacing w:after="0" w:line="240" w:lineRule="auto"/>
        <w:jc w:val="both"/>
        <w:rPr>
          <w:rFonts w:ascii="Arial" w:eastAsia="Calibri" w:hAnsi="Arial" w:cs="Arial"/>
          <w:color w:val="000000"/>
          <w:kern w:val="2"/>
          <w14:ligatures w14:val="standardContextual"/>
        </w:rPr>
      </w:pPr>
    </w:p>
    <w:p w14:paraId="14861F61" w14:textId="77777777" w:rsidR="00871BAA" w:rsidRPr="00CA71FB" w:rsidRDefault="00871BAA" w:rsidP="00871BAA">
      <w:pPr>
        <w:spacing w:after="0" w:line="240" w:lineRule="auto"/>
        <w:ind w:left="709" w:right="709"/>
        <w:jc w:val="both"/>
        <w:rPr>
          <w:rFonts w:ascii="Arial" w:eastAsia="Calibri" w:hAnsi="Arial" w:cs="Arial"/>
          <w:kern w:val="2"/>
          <w:sz w:val="21"/>
          <w:szCs w:val="21"/>
          <w14:ligatures w14:val="standardContextual"/>
        </w:rPr>
      </w:pPr>
      <w:r w:rsidRPr="00CA71FB">
        <w:rPr>
          <w:rFonts w:ascii="Arial" w:eastAsia="Calibri" w:hAnsi="Arial" w:cs="Arial"/>
          <w:kern w:val="2"/>
          <w:sz w:val="21"/>
          <w:szCs w:val="21"/>
          <w14:ligatures w14:val="standardContextual"/>
        </w:rPr>
        <w:t>“1o. Se denominan entidades estatales:</w:t>
      </w:r>
    </w:p>
    <w:p w14:paraId="786E8196" w14:textId="77777777" w:rsidR="00871BAA" w:rsidRPr="00CA71FB" w:rsidRDefault="00871BAA" w:rsidP="00871BAA">
      <w:pPr>
        <w:spacing w:before="120" w:after="0" w:line="240" w:lineRule="auto"/>
        <w:ind w:left="709" w:right="709"/>
        <w:jc w:val="both"/>
        <w:rPr>
          <w:rFonts w:ascii="Arial" w:eastAsia="Calibri" w:hAnsi="Arial" w:cs="Arial"/>
          <w:kern w:val="2"/>
          <w:sz w:val="21"/>
          <w:szCs w:val="21"/>
          <w14:ligatures w14:val="standardContextual"/>
        </w:rPr>
      </w:pPr>
      <w:r w:rsidRPr="00CA71FB">
        <w:rPr>
          <w:rFonts w:ascii="Arial" w:eastAsia="Calibri" w:hAnsi="Arial" w:cs="Arial"/>
          <w:kern w:val="2"/>
          <w:sz w:val="21"/>
          <w:szCs w:val="21"/>
          <w14:ligatures w14:val="standardContextual"/>
        </w:rPr>
        <w:t>a) La Nación, las regiones, los departamentos, las provincias, el distrito capital y los distritos especiales, las áreas metropolitanas, las asociaciones de municipios, los territorios indígenas y los municipios; los establecimientos públicos, las empresa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426E3DEB" w14:textId="77777777" w:rsidR="00871BAA" w:rsidRPr="00CA71FB" w:rsidRDefault="00871BAA" w:rsidP="00871BAA">
      <w:pPr>
        <w:spacing w:after="0" w:line="240" w:lineRule="auto"/>
        <w:jc w:val="both"/>
        <w:rPr>
          <w:rFonts w:ascii="Arial" w:eastAsia="Calibri" w:hAnsi="Arial" w:cs="Arial"/>
          <w:kern w:val="2"/>
          <w:sz w:val="21"/>
          <w:szCs w:val="21"/>
          <w14:ligatures w14:val="standardContextual"/>
        </w:rPr>
      </w:pPr>
    </w:p>
    <w:p w14:paraId="1A4A45E7" w14:textId="77777777" w:rsidR="00871BAA" w:rsidRPr="00CA71FB" w:rsidRDefault="00871BAA" w:rsidP="00871BAA">
      <w:pPr>
        <w:spacing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Conforme se aprecia, esta disposición legal hace alusión a una serie de personas jurídicas públicas ubicadas en distintos órdenes y niveles de la Administración Pública, a efectos de predicar respecto a estas la calidad de Entidades Estatales. Dicha calidad, de conformidad con lo establecido en el artículo 1 de la Ley 80 de 1993, en principio, implica que el régimen contractual aplicable a los sujetos referidos en la norma sea el Estatuto General de Contratación de la Administración Pública.</w:t>
      </w:r>
    </w:p>
    <w:p w14:paraId="375A440C" w14:textId="7713AD44" w:rsidR="00871BAA" w:rsidRPr="00874A69" w:rsidRDefault="00871BAA" w:rsidP="009157E3">
      <w:pPr>
        <w:spacing w:after="0" w:line="276" w:lineRule="auto"/>
        <w:jc w:val="both"/>
        <w:rPr>
          <w:rFonts w:ascii="Arial" w:eastAsia="Calibri" w:hAnsi="Arial" w:cs="Arial"/>
          <w:kern w:val="2"/>
          <w14:ligatures w14:val="standardContextual"/>
        </w:rPr>
      </w:pPr>
      <w:r w:rsidRPr="00CA71FB">
        <w:rPr>
          <w:rFonts w:ascii="Arial" w:eastAsia="Calibri" w:hAnsi="Arial" w:cs="Arial"/>
          <w:kern w:val="2"/>
          <w14:ligatures w14:val="standardContextual"/>
        </w:rPr>
        <w:tab/>
        <w:t xml:space="preserve">En conclusión, resulta claro que entidades como la Nación, los departamentos, municipios, establecimientos públicos y asociaciones de municipios, obedecen a la noción de Entidades Estatales establecida por el literal a), del numeral 1, del artículo 2, de la Ley 80 de 1993, de lo que se colige, que se encuentran obligadas a elaborar el Plan Anual de Adquisiciones según lo dispuesto en el artículo 2.2.1.1.1.4.1 del Decreto 1082 de 2015. Ahora bien, teniendo en cuenta las atribuciones designadas por el ordenamiento jurídico, en particular las establecidas en la Ley 21 de 1982 y demás normas aplicables, las Cajas de Compensación Familiar en virtud del principio de la autonomía de la voluntad, podrán elaborar como buena práctica contractual, un </w:t>
      </w:r>
      <w:r w:rsidRPr="00CA71FB">
        <w:rPr>
          <w:rFonts w:ascii="Arial" w:eastAsia="Calibri" w:hAnsi="Arial" w:cs="Arial"/>
          <w:kern w:val="2"/>
          <w14:ligatures w14:val="standardContextual"/>
        </w:rPr>
        <w:lastRenderedPageBreak/>
        <w:t>plan de compras o el documento que haga sus veces, en el que establezcan los bienes y servicios que pretendan adquirir.</w:t>
      </w:r>
    </w:p>
    <w:p w14:paraId="678D7963" w14:textId="77777777" w:rsidR="009157E3" w:rsidRPr="00CA71FB" w:rsidRDefault="009157E3" w:rsidP="009157E3">
      <w:pPr>
        <w:spacing w:after="0" w:line="276" w:lineRule="auto"/>
        <w:jc w:val="both"/>
        <w:rPr>
          <w:rFonts w:ascii="Arial" w:eastAsia="Calibri" w:hAnsi="Arial" w:cs="Arial"/>
          <w:bCs/>
          <w:lang w:val="es-MX"/>
        </w:rPr>
      </w:pPr>
      <w:r w:rsidRPr="00CA71FB">
        <w:rPr>
          <w:rFonts w:ascii="Arial" w:eastAsia="Calibri" w:hAnsi="Arial" w:cs="Arial"/>
          <w:color w:val="000000"/>
          <w:kern w:val="2"/>
          <w14:ligatures w14:val="standardContextual"/>
        </w:rPr>
        <w:tab/>
      </w:r>
    </w:p>
    <w:p w14:paraId="3976B0B8" w14:textId="35177293" w:rsidR="009157E3" w:rsidRPr="00CA71FB" w:rsidRDefault="009157E3" w:rsidP="009157E3">
      <w:pPr>
        <w:tabs>
          <w:tab w:val="left" w:pos="426"/>
        </w:tabs>
        <w:spacing w:after="0" w:line="276" w:lineRule="auto"/>
        <w:jc w:val="both"/>
        <w:rPr>
          <w:rFonts w:ascii="Arial" w:eastAsia="Calibri" w:hAnsi="Arial" w:cs="Arial"/>
          <w:b/>
          <w:color w:val="000000"/>
          <w:sz w:val="24"/>
          <w:lang w:val="es-ES_tradnl"/>
        </w:rPr>
      </w:pPr>
      <w:r w:rsidRPr="00CA71FB">
        <w:rPr>
          <w:rFonts w:ascii="Arial" w:eastAsia="Calibri" w:hAnsi="Arial" w:cs="Arial"/>
          <w:b/>
          <w:lang w:val="es-MX"/>
        </w:rPr>
        <w:t>2.</w:t>
      </w:r>
      <w:r w:rsidR="001E3143">
        <w:rPr>
          <w:rFonts w:ascii="Arial" w:eastAsia="Calibri" w:hAnsi="Arial" w:cs="Arial"/>
          <w:b/>
          <w:lang w:val="es-MX"/>
        </w:rPr>
        <w:t>3</w:t>
      </w:r>
      <w:r w:rsidRPr="00CA71FB">
        <w:rPr>
          <w:rFonts w:ascii="Arial" w:eastAsia="Calibri" w:hAnsi="Arial" w:cs="Arial"/>
          <w:b/>
          <w:lang w:val="es-MX"/>
        </w:rPr>
        <w:t xml:space="preserve">. </w:t>
      </w:r>
      <w:r w:rsidRPr="00CA71FB">
        <w:rPr>
          <w:rFonts w:ascii="Arial" w:eastAsia="Calibri" w:hAnsi="Arial" w:cs="Arial"/>
          <w:b/>
          <w:color w:val="000000"/>
          <w:sz w:val="24"/>
          <w:lang w:val="es-ES_tradnl"/>
        </w:rPr>
        <w:t>Sujetos obligados a publicar sus actuaciones contractuales en el Sistema Electrónico de la Contratación Pública – SECOP. Reiteración de línea</w:t>
      </w:r>
    </w:p>
    <w:p w14:paraId="19664FF3" w14:textId="77777777" w:rsidR="009157E3" w:rsidRPr="00CA71FB" w:rsidRDefault="009157E3" w:rsidP="009157E3">
      <w:pPr>
        <w:spacing w:after="0" w:line="276" w:lineRule="auto"/>
        <w:jc w:val="both"/>
        <w:rPr>
          <w:rFonts w:ascii="Arial" w:eastAsia="Calibri" w:hAnsi="Arial" w:cs="Arial"/>
          <w:b/>
          <w:lang w:val="es-MX"/>
        </w:rPr>
      </w:pPr>
    </w:p>
    <w:p w14:paraId="0515CD3C" w14:textId="77777777" w:rsidR="009157E3" w:rsidRPr="00CA71FB" w:rsidRDefault="009157E3" w:rsidP="009157E3">
      <w:pPr>
        <w:spacing w:after="0" w:line="276" w:lineRule="auto"/>
        <w:jc w:val="both"/>
        <w:rPr>
          <w:rFonts w:ascii="Arial" w:eastAsia="Calibri" w:hAnsi="Arial" w:cs="Arial"/>
          <w:color w:val="000000"/>
          <w:kern w:val="2"/>
          <w:lang w:val="es-ES_tradnl"/>
          <w14:ligatures w14:val="standardContextual"/>
        </w:rPr>
      </w:pPr>
      <w:r w:rsidRPr="00CA71FB">
        <w:rPr>
          <w:rFonts w:ascii="Arial" w:eastAsia="Calibri" w:hAnsi="Arial" w:cs="Arial"/>
          <w:color w:val="000000"/>
          <w:kern w:val="2"/>
          <w14:ligatures w14:val="standardContextual"/>
        </w:rPr>
        <w:t xml:space="preserve">Uno de los postulados más importantes del Estado Social y Democrático de Derecho es el principio de </w:t>
      </w:r>
      <w:r w:rsidRPr="00CA71FB">
        <w:rPr>
          <w:rFonts w:ascii="Arial" w:eastAsia="Calibri" w:hAnsi="Arial" w:cs="Arial"/>
          <w:i/>
          <w:iCs/>
          <w:color w:val="000000"/>
          <w:kern w:val="2"/>
          <w14:ligatures w14:val="standardContextual"/>
        </w:rPr>
        <w:t xml:space="preserve">publicidad, </w:t>
      </w:r>
      <w:r w:rsidRPr="00CA71FB">
        <w:rPr>
          <w:rFonts w:ascii="Arial" w:eastAsia="Calibri" w:hAnsi="Arial" w:cs="Arial"/>
          <w:color w:val="000000"/>
          <w:kern w:val="2"/>
          <w14:ligatures w14:val="standardContextual"/>
        </w:rPr>
        <w:t>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CA71FB">
        <w:rPr>
          <w:rFonts w:ascii="Arial" w:eastAsia="Calibri" w:hAnsi="Arial" w:cs="Arial"/>
          <w:color w:val="000000"/>
          <w:kern w:val="2"/>
          <w:vertAlign w:val="superscript"/>
          <w:lang w:val="es-ES_tradnl"/>
          <w14:ligatures w14:val="standardContextual"/>
        </w:rPr>
        <w:footnoteReference w:id="10"/>
      </w:r>
      <w:r w:rsidRPr="00CA71FB">
        <w:rPr>
          <w:rFonts w:ascii="Arial" w:eastAsia="Calibri" w:hAnsi="Arial" w:cs="Arial"/>
          <w:color w:val="000000"/>
          <w:kern w:val="2"/>
          <w14:ligatures w14:val="standardContextual"/>
        </w:rPr>
        <w:t>”</w:t>
      </w:r>
      <w:r w:rsidRPr="00CA71FB">
        <w:rPr>
          <w:rFonts w:ascii="Arial" w:eastAsia="Calibri" w:hAnsi="Arial" w:cs="Arial"/>
          <w:color w:val="000000"/>
          <w:kern w:val="2"/>
          <w:lang w:val="es-ES_tradnl"/>
          <w14:ligatures w14:val="standardContextual"/>
        </w:rPr>
        <w:t>. El secreto generalizado en el ejercicio del poder político constituye, por el contrario, una negación de la democracia, porque dificulta la supervisión de las autoridades por parte de la sociedad civil y establece una barrera para la participación ciudadana.</w:t>
      </w:r>
    </w:p>
    <w:p w14:paraId="306F33DD"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 xml:space="preserve">Inspirada en esta concepción axiológica, la Constitución Política de 1991 consagra en varios artículos la publicidad como un principio rector del Estado Colombiano. Entre los más destacados, puede mencionarse el artículo 209, que afirma que la publicidad es uno de los principios que fundamentan el ejercicio de la función administrativa y el artículo 74, que consagra la garantía de acceso a los documentos públicos que no gocen de reserva –y esta, además, es excepcional, pues solo procede si existe causal constitucional o legal expresa–. En tal perspectiva, la Corte Constitucional ha señalado que </w:t>
      </w:r>
      <w:r w:rsidRPr="00DD15BD">
        <w:rPr>
          <w:rFonts w:ascii="Arial" w:eastAsia="Calibri" w:hAnsi="Arial" w:cs="Arial"/>
          <w:color w:val="000000"/>
          <w:kern w:val="2"/>
          <w:u w:val="single"/>
          <w14:ligatures w14:val="standardContextual"/>
        </w:rPr>
        <w:t>el principio de publicidad es la garantía que tienen las personas de conocer las actuaciones judiciales y administrativas</w:t>
      </w:r>
      <w:r w:rsidRPr="00CA71FB">
        <w:rPr>
          <w:rFonts w:ascii="Arial" w:eastAsia="Calibri" w:hAnsi="Arial" w:cs="Arial"/>
          <w:color w:val="000000"/>
          <w:kern w:val="2"/>
          <w14:ligatures w14:val="standardContextual"/>
        </w:rPr>
        <w:t>. De este modo, explica:</w:t>
      </w:r>
    </w:p>
    <w:p w14:paraId="3525808C"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p>
    <w:p w14:paraId="7AC15DD6" w14:textId="77777777" w:rsidR="009157E3" w:rsidRPr="00CA71FB" w:rsidRDefault="009157E3" w:rsidP="009157E3">
      <w:pPr>
        <w:spacing w:after="0" w:line="240" w:lineRule="auto"/>
        <w:ind w:left="709" w:right="709"/>
        <w:jc w:val="both"/>
        <w:rPr>
          <w:rFonts w:ascii="Arial" w:eastAsia="Calibri" w:hAnsi="Arial" w:cs="Arial"/>
          <w:color w:val="000000"/>
          <w:kern w:val="2"/>
          <w:sz w:val="21"/>
          <w:szCs w:val="21"/>
          <w14:ligatures w14:val="standardContextual"/>
        </w:rPr>
      </w:pPr>
      <w:r w:rsidRPr="00CA71FB">
        <w:rPr>
          <w:rFonts w:ascii="Arial" w:eastAsia="Calibri" w:hAnsi="Arial" w:cs="Arial"/>
          <w:color w:val="000000"/>
          <w:kern w:val="2"/>
          <w:sz w:val="21"/>
          <w:szCs w:val="21"/>
          <w14:ligatures w14:val="standardContextua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6739D8EB" w14:textId="77777777" w:rsidR="009157E3" w:rsidRPr="00CA71FB" w:rsidRDefault="009157E3" w:rsidP="009157E3">
      <w:pPr>
        <w:spacing w:before="120" w:after="0" w:line="240" w:lineRule="auto"/>
        <w:ind w:left="709" w:right="709"/>
        <w:jc w:val="both"/>
        <w:rPr>
          <w:rFonts w:ascii="Arial" w:eastAsia="Calibri" w:hAnsi="Arial" w:cs="Arial"/>
          <w:color w:val="000000"/>
          <w:kern w:val="2"/>
          <w:sz w:val="21"/>
          <w:szCs w:val="21"/>
          <w14:ligatures w14:val="standardContextual"/>
        </w:rPr>
      </w:pPr>
      <w:r w:rsidRPr="00CA71FB">
        <w:rPr>
          <w:rFonts w:ascii="Arial" w:eastAsia="Calibri" w:hAnsi="Arial" w:cs="Arial"/>
          <w:color w:val="000000"/>
          <w:kern w:val="2"/>
          <w:sz w:val="21"/>
          <w:szCs w:val="21"/>
          <w14:ligatures w14:val="standardContextual"/>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CA71FB">
        <w:rPr>
          <w:rFonts w:ascii="Arial" w:eastAsia="Calibri" w:hAnsi="Arial" w:cs="Arial"/>
          <w:color w:val="000000"/>
          <w:kern w:val="2"/>
          <w:sz w:val="21"/>
          <w:szCs w:val="21"/>
          <w14:ligatures w14:val="standardContextual"/>
        </w:rPr>
        <w:t>autoridades públicas</w:t>
      </w:r>
      <w:proofErr w:type="gramEnd"/>
      <w:r w:rsidRPr="00CA71FB">
        <w:rPr>
          <w:rFonts w:ascii="Arial" w:eastAsia="Calibri" w:hAnsi="Arial" w:cs="Arial"/>
          <w:color w:val="000000"/>
          <w:kern w:val="2"/>
          <w:sz w:val="21"/>
          <w:szCs w:val="21"/>
          <w14:ligatures w14:val="standardContextual"/>
        </w:rPr>
        <w:t xml:space="preserve"> y, a través de ese conocimiento, a exigir que ellas se surtan conforme a la ley</w:t>
      </w:r>
      <w:r w:rsidRPr="00CA71FB">
        <w:rPr>
          <w:rFonts w:ascii="Arial" w:eastAsia="Calibri" w:hAnsi="Arial" w:cs="Arial"/>
          <w:color w:val="000000"/>
          <w:kern w:val="2"/>
          <w:sz w:val="21"/>
          <w:szCs w:val="21"/>
          <w:vertAlign w:val="superscript"/>
          <w:lang w:val="es-ES_tradnl"/>
          <w14:ligatures w14:val="standardContextual"/>
        </w:rPr>
        <w:footnoteReference w:id="11"/>
      </w:r>
      <w:r w:rsidRPr="00CA71FB">
        <w:rPr>
          <w:rFonts w:ascii="Arial" w:eastAsia="Calibri" w:hAnsi="Arial" w:cs="Arial"/>
          <w:color w:val="000000"/>
          <w:kern w:val="2"/>
          <w:sz w:val="21"/>
          <w:szCs w:val="21"/>
          <w14:ligatures w14:val="standardContextual"/>
        </w:rPr>
        <w:t>”</w:t>
      </w:r>
      <w:r w:rsidRPr="00CA71FB">
        <w:rPr>
          <w:rFonts w:ascii="Arial" w:eastAsia="Calibri" w:hAnsi="Arial" w:cs="Arial"/>
          <w:color w:val="000000"/>
          <w:kern w:val="2"/>
          <w:sz w:val="21"/>
          <w:szCs w:val="21"/>
          <w:lang w:val="es-ES_tradnl"/>
          <w14:ligatures w14:val="standardContextual"/>
        </w:rPr>
        <w:t>.</w:t>
      </w:r>
    </w:p>
    <w:p w14:paraId="3143AB14"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p>
    <w:p w14:paraId="0C06F3D6"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 xml:space="preserve">El principio de publicidad impone a las autoridades el deber de dar a conocer sus actos, contratos y decisiones, para que se divulguen y eventualmente se controlen dichas actuaciones. </w:t>
      </w:r>
      <w:r w:rsidRPr="00CA71FB">
        <w:rPr>
          <w:rFonts w:ascii="Arial" w:eastAsia="Calibri" w:hAnsi="Arial" w:cs="Arial"/>
          <w:color w:val="000000"/>
          <w:kern w:val="2"/>
          <w14:ligatures w14:val="standardContextual"/>
        </w:rPr>
        <w:lastRenderedPageBreak/>
        <w:t xml:space="preserve">Es por eso </w:t>
      </w:r>
      <w:proofErr w:type="gramStart"/>
      <w:r w:rsidRPr="00CA71FB">
        <w:rPr>
          <w:rFonts w:ascii="Arial" w:eastAsia="Calibri" w:hAnsi="Arial" w:cs="Arial"/>
          <w:color w:val="000000"/>
          <w:kern w:val="2"/>
          <w14:ligatures w14:val="standardContextual"/>
        </w:rPr>
        <w:t>que</w:t>
      </w:r>
      <w:proofErr w:type="gramEnd"/>
      <w:r w:rsidRPr="00CA71FB">
        <w:rPr>
          <w:rFonts w:ascii="Arial" w:eastAsia="Calibri" w:hAnsi="Arial" w:cs="Arial"/>
          <w:color w:val="000000"/>
          <w:kern w:val="2"/>
          <w14:ligatures w14:val="standardContextual"/>
        </w:rPr>
        <w:t xml:space="preserve">, en la contratación estatal, el literal c), del artículo 3, de la Ley 1150 de 2007 establece el Sistema Electrónico para la Contratación Pública –SECOP– como un mecanismo que “contará con la información oficial de la contratación </w:t>
      </w:r>
      <w:r w:rsidRPr="00213C2C">
        <w:rPr>
          <w:rFonts w:ascii="Arial" w:eastAsia="Calibri" w:hAnsi="Arial" w:cs="Arial"/>
          <w:color w:val="000000"/>
          <w:kern w:val="2"/>
          <w:u w:val="single"/>
          <w14:ligatures w14:val="standardContextual"/>
        </w:rPr>
        <w:t>realizada con dineros públicos</w:t>
      </w:r>
      <w:r w:rsidRPr="00CA71FB">
        <w:rPr>
          <w:rFonts w:ascii="Arial" w:eastAsia="Calibri" w:hAnsi="Arial" w:cs="Arial"/>
          <w:color w:val="000000"/>
          <w:kern w:val="2"/>
          <w14:ligatures w14:val="standardContextual"/>
        </w:rPr>
        <w:t>, para lo cual establecerá los patrones a que haya lugar y se encargará de su difusión a través de canales electrónicos</w:t>
      </w:r>
      <w:r w:rsidRPr="00CA71FB">
        <w:rPr>
          <w:rFonts w:ascii="Arial" w:eastAsia="Calibri" w:hAnsi="Arial" w:cs="Arial"/>
          <w:color w:val="000000"/>
          <w:lang w:val="es-ES_tradnl"/>
        </w:rPr>
        <w:t>”</w:t>
      </w:r>
      <w:r w:rsidRPr="00CA71FB">
        <w:rPr>
          <w:rFonts w:ascii="Arial" w:eastAsia="Calibri" w:hAnsi="Arial" w:cs="Arial"/>
          <w:color w:val="000000"/>
          <w:vertAlign w:val="superscript"/>
          <w:lang w:val="es-ES_tradnl"/>
        </w:rPr>
        <w:footnoteReference w:id="12"/>
      </w:r>
      <w:r w:rsidRPr="00CA71FB">
        <w:rPr>
          <w:rFonts w:ascii="Arial" w:eastAsia="Calibri" w:hAnsi="Arial" w:cs="Arial"/>
          <w:color w:val="000000"/>
          <w:lang w:val="es-ES_tradnl"/>
        </w:rPr>
        <w:t>.</w:t>
      </w:r>
    </w:p>
    <w:p w14:paraId="01C51CDB"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ab/>
        <w:t xml:space="preserve">De otra parte, la </w:t>
      </w:r>
      <w:r w:rsidRPr="0032279B">
        <w:rPr>
          <w:rFonts w:ascii="Arial" w:eastAsia="Calibri" w:hAnsi="Arial" w:cs="Arial"/>
          <w:color w:val="000000"/>
          <w:kern w:val="2"/>
          <w:u w:val="single"/>
          <w14:ligatures w14:val="standardContextual"/>
        </w:rPr>
        <w:t>Ley 1712 de 2014</w:t>
      </w:r>
      <w:r w:rsidRPr="00CA71FB">
        <w:rPr>
          <w:rFonts w:ascii="Arial" w:eastAsia="Calibri" w:hAnsi="Arial" w:cs="Arial"/>
          <w:color w:val="000000"/>
          <w:kern w:val="2"/>
          <w14:ligatures w14:val="standardContextual"/>
        </w:rPr>
        <w:t xml:space="preserve"> –Ley estatutaria que regula la transparencia y el derecho de acceso a la información y a los documentos públicos–, identifica como principios que orientan el derecho de acceso a la información pública, el de máxima publicidad, transparencia en la información y buena fe. El </w:t>
      </w:r>
      <w:r w:rsidRPr="0032279B">
        <w:rPr>
          <w:rFonts w:ascii="Arial" w:eastAsia="Calibri" w:hAnsi="Arial" w:cs="Arial"/>
          <w:color w:val="000000"/>
          <w:kern w:val="2"/>
          <w:u w:val="single"/>
          <w14:ligatures w14:val="standardContextual"/>
        </w:rPr>
        <w:t>principio de máxima publicidad</w:t>
      </w:r>
      <w:r w:rsidRPr="00CA71FB">
        <w:rPr>
          <w:rFonts w:ascii="Arial" w:eastAsia="Calibri" w:hAnsi="Arial" w:cs="Arial"/>
          <w:color w:val="000000"/>
          <w:kern w:val="2"/>
          <w14:ligatures w14:val="standardContextual"/>
        </w:rPr>
        <w:t xml:space="preserve"> establece que “toda información en posesión, bajo control o custodia de un sujeto obligado es pública y no podrá ser reservada o limitada sino por disposición constitucional o legal”</w:t>
      </w:r>
      <w:r w:rsidRPr="00CA71FB">
        <w:rPr>
          <w:rFonts w:ascii="Arial" w:eastAsia="Calibri" w:hAnsi="Arial" w:cs="Arial"/>
          <w:color w:val="000000"/>
          <w:vertAlign w:val="superscript"/>
          <w:lang w:val="es-ES_tradnl"/>
        </w:rPr>
        <w:footnoteReference w:id="13"/>
      </w:r>
      <w:r w:rsidRPr="00CA71FB">
        <w:rPr>
          <w:rFonts w:ascii="Arial" w:eastAsia="Calibri" w:hAnsi="Arial" w:cs="Arial"/>
          <w:color w:val="000000"/>
          <w:lang w:val="es-ES_tradnl"/>
        </w:rPr>
        <w:t xml:space="preserve">. El </w:t>
      </w:r>
      <w:r w:rsidRPr="0032279B">
        <w:rPr>
          <w:rFonts w:ascii="Arial" w:eastAsia="Calibri" w:hAnsi="Arial" w:cs="Arial"/>
          <w:color w:val="000000"/>
          <w:u w:val="single"/>
          <w:lang w:val="es-ES_tradnl"/>
        </w:rPr>
        <w:t>principio de transparencia</w:t>
      </w:r>
      <w:r w:rsidRPr="00CA71FB">
        <w:rPr>
          <w:rFonts w:ascii="Arial" w:eastAsia="Calibri" w:hAnsi="Arial" w:cs="Arial"/>
          <w:color w:val="000000"/>
          <w:lang w:val="es-ES_tradnl"/>
        </w:rPr>
        <w:t xml:space="preserve"> en la información alude al deber de los sujetos de proporcionar y facilitar el acceso a la misma en los términos más amplios posibles, y a través de los medios y procedimientos legales. En el artículo 5 de dicha ley, se incluye como se mencionó en el considerando 2.1 de este concepto, dentro de la lista de sujetos obligados a todas las entidades públicas y, además, en el literal c) a las personas naturales y jurídicas, públicas o privadas, que presten </w:t>
      </w:r>
      <w:r w:rsidRPr="00CA71FB">
        <w:rPr>
          <w:rFonts w:ascii="Arial" w:eastAsia="Calibri" w:hAnsi="Arial" w:cs="Arial"/>
          <w:i/>
          <w:iCs/>
          <w:lang w:val="es-ES_tradnl"/>
        </w:rPr>
        <w:t>función pública y servicios públicos</w:t>
      </w:r>
      <w:r w:rsidRPr="00CA71FB">
        <w:rPr>
          <w:rFonts w:ascii="Arial" w:eastAsia="Calibri" w:hAnsi="Arial" w:cs="Arial"/>
          <w:lang w:val="es-ES_tradnl"/>
        </w:rPr>
        <w:t xml:space="preserve"> </w:t>
      </w:r>
      <w:r w:rsidRPr="00CA71FB">
        <w:rPr>
          <w:rFonts w:ascii="Arial" w:eastAsia="Calibri" w:hAnsi="Arial" w:cs="Arial"/>
          <w:color w:val="000000"/>
          <w:lang w:val="es-ES_tradnl"/>
        </w:rPr>
        <w:t>respecto de la información directamente relacionada con la prestación del servicio público, adicionalmente, en el literal g) incluyó a las entidades que administren recursos de naturaleza u origen público</w:t>
      </w:r>
      <w:r w:rsidRPr="00CA71FB">
        <w:rPr>
          <w:rFonts w:ascii="Arial" w:eastAsia="Calibri" w:hAnsi="Arial" w:cs="Arial"/>
          <w:color w:val="000000"/>
          <w:kern w:val="2"/>
          <w:vertAlign w:val="superscript"/>
          <w:lang w:val="es-ES_tradnl"/>
          <w14:ligatures w14:val="standardContextual"/>
        </w:rPr>
        <w:footnoteReference w:id="14"/>
      </w:r>
      <w:r w:rsidRPr="00CA71FB">
        <w:rPr>
          <w:rFonts w:ascii="Arial" w:eastAsia="Calibri" w:hAnsi="Arial" w:cs="Arial"/>
          <w:color w:val="000000"/>
          <w:kern w:val="2"/>
          <w14:ligatures w14:val="standardContextual"/>
        </w:rPr>
        <w:t>.</w:t>
      </w:r>
    </w:p>
    <w:p w14:paraId="01F0B54F" w14:textId="77777777" w:rsidR="009157E3"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lastRenderedPageBreak/>
        <w:tab/>
        <w:t>Uno de los deberes definidos en la Ley 1712 de 2014, que deben acatar los sujetos obligados, es publicar la información contractual en el SECOP. En efecto, el literal e) del artículo 9 señala que los sujetos obligados deben publicar la información relativo a su contratación. Así 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información esta, que también debe estar en el SECOP</w:t>
      </w:r>
      <w:r>
        <w:rPr>
          <w:rFonts w:ascii="Arial" w:eastAsia="Calibri" w:hAnsi="Arial" w:cs="Arial"/>
          <w:color w:val="000000"/>
          <w:kern w:val="2"/>
          <w14:ligatures w14:val="standardContextual"/>
        </w:rPr>
        <w:t xml:space="preserve">, adicionalmente el </w:t>
      </w:r>
      <w:r w:rsidRPr="00CA71FB">
        <w:rPr>
          <w:rFonts w:ascii="Arial" w:eastAsia="Calibri" w:hAnsi="Arial" w:cs="Arial"/>
          <w:color w:val="000000"/>
          <w:kern w:val="2"/>
          <w14:ligatures w14:val="standardContextual"/>
        </w:rPr>
        <w:t xml:space="preserve"> Decreto 1081 de 2015</w:t>
      </w:r>
      <w:r w:rsidRPr="00CA71FB">
        <w:rPr>
          <w:rFonts w:ascii="Arial" w:eastAsia="Calibri" w:hAnsi="Arial" w:cs="Arial"/>
          <w:color w:val="000000"/>
          <w:kern w:val="2"/>
          <w:vertAlign w:val="superscript"/>
          <w:lang w:val="es-ES_tradnl"/>
          <w14:ligatures w14:val="standardContextual"/>
        </w:rPr>
        <w:footnoteReference w:id="15"/>
      </w:r>
      <w:r w:rsidRPr="00CA71FB">
        <w:rPr>
          <w:rFonts w:ascii="Arial" w:eastAsia="Calibri" w:hAnsi="Arial" w:cs="Arial"/>
          <w:color w:val="000000"/>
          <w:kern w:val="2"/>
          <w14:ligatures w14:val="standardContextual"/>
        </w:rPr>
        <w:t xml:space="preserve"> reglamentó la materia estableciendo que la información contractual de los sujetos obligados que </w:t>
      </w:r>
      <w:r w:rsidRPr="00CA71FB">
        <w:rPr>
          <w:rFonts w:ascii="Arial" w:eastAsia="Calibri" w:hAnsi="Arial" w:cs="Arial"/>
          <w:i/>
          <w:iCs/>
          <w:color w:val="000000"/>
          <w:kern w:val="2"/>
          <w14:ligatures w14:val="standardContextual"/>
        </w:rPr>
        <w:t xml:space="preserve">“contratan con cargo a recursos públicos”, </w:t>
      </w:r>
      <w:r w:rsidRPr="00CA71FB">
        <w:rPr>
          <w:rFonts w:ascii="Arial" w:eastAsia="Calibri" w:hAnsi="Arial" w:cs="Arial"/>
          <w:color w:val="000000"/>
          <w:kern w:val="2"/>
          <w14:ligatures w14:val="standardContextual"/>
        </w:rPr>
        <w:t xml:space="preserve">debe hacerse en el Sistema Electrónico para la Contratación Pública – SECOP–. </w:t>
      </w:r>
    </w:p>
    <w:p w14:paraId="4E18FAA0" w14:textId="77777777" w:rsidR="003A178D" w:rsidRDefault="003A178D" w:rsidP="009157E3">
      <w:pPr>
        <w:spacing w:before="120" w:after="0" w:line="276" w:lineRule="auto"/>
        <w:jc w:val="both"/>
        <w:rPr>
          <w:rFonts w:ascii="Arial" w:eastAsia="Calibri" w:hAnsi="Arial" w:cs="Arial"/>
          <w:color w:val="000000"/>
          <w:kern w:val="2"/>
          <w14:ligatures w14:val="standardContextual"/>
        </w:rPr>
      </w:pPr>
    </w:p>
    <w:p w14:paraId="0F4F57ED" w14:textId="57EAD5B5" w:rsidR="00F4478E" w:rsidRPr="00F4478E" w:rsidRDefault="003A178D" w:rsidP="00F4478E">
      <w:pPr>
        <w:spacing w:after="0" w:line="276" w:lineRule="auto"/>
        <w:ind w:firstLine="709"/>
        <w:contextualSpacing/>
        <w:jc w:val="both"/>
        <w:rPr>
          <w:rFonts w:ascii="Arial" w:hAnsi="Arial" w:cs="Arial"/>
        </w:rPr>
      </w:pPr>
      <w:r w:rsidRPr="001C7283">
        <w:rPr>
          <w:rFonts w:ascii="Arial" w:eastAsia="Calibri" w:hAnsi="Arial" w:cs="Arial"/>
          <w:color w:val="000000"/>
          <w:kern w:val="2"/>
          <w14:ligatures w14:val="standardContextual"/>
        </w:rPr>
        <w:t xml:space="preserve">Ahora </w:t>
      </w:r>
      <w:bookmarkStart w:id="5" w:name="_Hlk109111930"/>
      <w:r w:rsidR="00F4478E" w:rsidRPr="001C7283">
        <w:rPr>
          <w:rFonts w:ascii="Arial" w:eastAsia="Calibri" w:hAnsi="Arial" w:cs="Arial"/>
          <w:color w:val="000000"/>
          <w:kern w:val="2"/>
          <w14:ligatures w14:val="standardContextual"/>
        </w:rPr>
        <w:t>bien, las</w:t>
      </w:r>
      <w:r w:rsidR="00F4478E" w:rsidRPr="001C7283">
        <w:rPr>
          <w:rFonts w:ascii="Arial" w:hAnsi="Arial" w:cs="Arial"/>
        </w:rPr>
        <w:t xml:space="preserve"> disposiciones</w:t>
      </w:r>
      <w:r w:rsidR="00F4478E" w:rsidRPr="00F4478E">
        <w:rPr>
          <w:rFonts w:ascii="Arial" w:hAnsi="Arial" w:cs="Arial"/>
        </w:rPr>
        <w:t xml:space="preserve"> normativas anteriormente mencionadas  fueron complementadas con la expedición de la Ley 2195 de 2022, </w:t>
      </w:r>
      <w:r w:rsidR="00F4478E" w:rsidRPr="00F4478E">
        <w:rPr>
          <w:rFonts w:ascii="Arial" w:eastAsia="Calibri" w:hAnsi="Arial" w:cs="Arial"/>
        </w:rPr>
        <w:t>“P</w:t>
      </w:r>
      <w:r w:rsidR="00F4478E" w:rsidRPr="00F4478E">
        <w:rPr>
          <w:rFonts w:ascii="Arial" w:hAnsi="Arial" w:cs="Arial"/>
        </w:rPr>
        <w:t>or medio de la cual se adoptan medidas en materia de transparencia, prevención y lucha contra la corrupción y se dictan otras disposiciones</w:t>
      </w:r>
      <w:r w:rsidR="00F4478E" w:rsidRPr="00F4478E">
        <w:rPr>
          <w:rFonts w:ascii="Arial" w:eastAsia="Calibri" w:hAnsi="Arial" w:cs="Arial"/>
        </w:rPr>
        <w:t>”</w:t>
      </w:r>
      <w:r w:rsidR="00F4478E" w:rsidRPr="00F4478E">
        <w:rPr>
          <w:rFonts w:ascii="Arial" w:hAnsi="Arial" w:cs="Arial"/>
        </w:rPr>
        <w:t xml:space="preserve">. </w:t>
      </w:r>
      <w:r w:rsidR="00F4478E" w:rsidRPr="00F4478E">
        <w:rPr>
          <w:rFonts w:ascii="Arial" w:eastAsia="Calibri" w:hAnsi="Arial" w:cs="Arial"/>
          <w:lang w:val="es-ES_tradnl" w:eastAsia="es-ES_tradnl"/>
        </w:rPr>
        <w:t>Según el artículo 1, esta Ley “</w:t>
      </w:r>
      <w:r w:rsidR="00F4478E" w:rsidRPr="00F4478E">
        <w:rPr>
          <w:rFonts w:ascii="Arial" w:eastAsia="Times New Roman" w:hAnsi="Arial" w:cs="Arial"/>
          <w:lang w:val="es-ES_tradnl" w:eastAsia="es-ES_tradnl"/>
        </w:rPr>
        <w:t xml:space="preserve">[…] </w:t>
      </w:r>
      <w:r w:rsidR="00F4478E" w:rsidRPr="00F4478E">
        <w:rPr>
          <w:rFonts w:ascii="Arial" w:eastAsia="Calibri" w:hAnsi="Arial" w:cs="Arial"/>
          <w:lang w:val="es-ES_tradnl" w:eastAsia="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w:t>
      </w:r>
      <w:r w:rsidR="00F4478E" w:rsidRPr="00F4478E">
        <w:rPr>
          <w:rFonts w:ascii="Arial" w:eastAsia="Calibri" w:hAnsi="Arial" w:cs="Arial"/>
          <w:lang w:val="es-ES_tradnl" w:eastAsia="es-ES_tradnl"/>
        </w:rPr>
        <w:lastRenderedPageBreak/>
        <w:t xml:space="preserve">por lo público”. Dentro del capítulo VIII de la mencionada Ley, que lleva por título “Disposiciones en materia contractual para la moralización y la transparencia”, se ubica </w:t>
      </w:r>
      <w:r w:rsidR="00F4478E" w:rsidRPr="00F4478E">
        <w:rPr>
          <w:rFonts w:ascii="Arial" w:hAnsi="Arial" w:cs="Arial"/>
        </w:rPr>
        <w:t xml:space="preserve">el artículo 53, mediante el cual se adiciona el artículo 13 de la Ley 1150 de 2007. La referida disposición les asigna a las entidades estatales que por disposición legal cuenten con un régimen contractual excepcional al del Estatuto General de Contratación de la Administración Pública – en adelante EGCAP, </w:t>
      </w:r>
      <w:r w:rsidR="00F4478E" w:rsidRPr="00726933">
        <w:rPr>
          <w:rFonts w:ascii="Arial" w:hAnsi="Arial" w:cs="Arial"/>
          <w:u w:val="single"/>
        </w:rPr>
        <w:t>la obligación de publicar los documentos relacionados con su actividad contractual en el Sistema Electrónico para la Contratación Pública –SECOP II– o la plataforma transaccional que haga sus veces</w:t>
      </w:r>
      <w:r w:rsidR="00F4478E" w:rsidRPr="00F4478E">
        <w:rPr>
          <w:rFonts w:ascii="Arial" w:hAnsi="Arial" w:cs="Arial"/>
        </w:rPr>
        <w:t xml:space="preserve">. </w:t>
      </w:r>
      <w:bookmarkEnd w:id="5"/>
      <w:r w:rsidR="00F4478E" w:rsidRPr="00F4478E">
        <w:rPr>
          <w:rFonts w:ascii="Arial" w:hAnsi="Arial" w:cs="Arial"/>
        </w:rPr>
        <w:t>Al respecto, la norma citada, de manera expresa, señala:</w:t>
      </w:r>
    </w:p>
    <w:p w14:paraId="71ECD4AB" w14:textId="77777777" w:rsidR="00F4478E" w:rsidRPr="00F4478E" w:rsidRDefault="00F4478E" w:rsidP="00F4478E">
      <w:pPr>
        <w:spacing w:after="0" w:line="276" w:lineRule="auto"/>
        <w:ind w:firstLine="301"/>
        <w:contextualSpacing/>
        <w:rPr>
          <w:rFonts w:ascii="Arial" w:hAnsi="Arial" w:cs="Arial"/>
        </w:rPr>
      </w:pPr>
    </w:p>
    <w:p w14:paraId="25A79F74" w14:textId="77777777" w:rsidR="00F4478E" w:rsidRPr="00F4478E" w:rsidRDefault="00F4478E" w:rsidP="00F4478E">
      <w:pPr>
        <w:spacing w:after="0" w:line="240" w:lineRule="auto"/>
        <w:ind w:left="709" w:right="709"/>
        <w:contextualSpacing/>
        <w:jc w:val="both"/>
        <w:rPr>
          <w:rFonts w:ascii="Arial" w:eastAsia="Calibri" w:hAnsi="Arial" w:cs="Arial"/>
          <w:sz w:val="21"/>
          <w:szCs w:val="21"/>
        </w:rPr>
      </w:pPr>
      <w:r w:rsidRPr="00F4478E">
        <w:rPr>
          <w:rFonts w:ascii="Arial" w:eastAsia="Calibri" w:hAnsi="Arial" w:cs="Arial"/>
          <w:sz w:val="21"/>
          <w:szCs w:val="21"/>
          <w:lang w:val="es-ES_tradnl" w:eastAsia="es-ES_tradnl"/>
        </w:rPr>
        <w:t>“</w:t>
      </w:r>
      <w:r w:rsidRPr="00F4478E">
        <w:rPr>
          <w:rFonts w:ascii="Arial" w:eastAsia="Calibri" w:hAnsi="Arial" w:cs="Arial"/>
          <w:sz w:val="21"/>
          <w:szCs w:val="21"/>
        </w:rPr>
        <w:t>Adiciónese los siguientes incisos al artículo 13 de la Ley 1150 de 2007, el cual quedará así:</w:t>
      </w:r>
    </w:p>
    <w:p w14:paraId="2A9CFE62" w14:textId="77777777" w:rsidR="00F4478E" w:rsidRPr="00F4478E" w:rsidRDefault="00F4478E" w:rsidP="00F4478E">
      <w:pPr>
        <w:spacing w:after="0" w:line="240" w:lineRule="auto"/>
        <w:ind w:left="709" w:right="709"/>
        <w:contextualSpacing/>
        <w:jc w:val="both"/>
        <w:rPr>
          <w:rFonts w:ascii="Arial" w:eastAsia="Calibri" w:hAnsi="Arial" w:cs="Arial"/>
          <w:sz w:val="21"/>
          <w:szCs w:val="21"/>
        </w:rPr>
      </w:pPr>
    </w:p>
    <w:p w14:paraId="63D7B5E3" w14:textId="77777777" w:rsidR="00F4478E" w:rsidRPr="00F4478E" w:rsidRDefault="00F4478E" w:rsidP="00F4478E">
      <w:pPr>
        <w:spacing w:after="0" w:line="240" w:lineRule="auto"/>
        <w:ind w:left="709" w:right="709"/>
        <w:contextualSpacing/>
        <w:jc w:val="both"/>
        <w:rPr>
          <w:rFonts w:ascii="Arial" w:eastAsia="Calibri" w:hAnsi="Arial" w:cs="Arial"/>
          <w:sz w:val="21"/>
          <w:szCs w:val="21"/>
        </w:rPr>
      </w:pPr>
      <w:r w:rsidRPr="00F4478E">
        <w:rPr>
          <w:rFonts w:ascii="Arial" w:eastAsia="Calibri" w:hAnsi="Arial" w:cs="Arial"/>
          <w:sz w:val="21"/>
          <w:szCs w:val="21"/>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6569BFD2" w14:textId="77777777" w:rsidR="00F4478E" w:rsidRPr="00F4478E" w:rsidRDefault="00F4478E" w:rsidP="00F4478E">
      <w:pPr>
        <w:spacing w:after="0" w:line="240" w:lineRule="auto"/>
        <w:ind w:left="709" w:right="709"/>
        <w:contextualSpacing/>
        <w:jc w:val="both"/>
        <w:rPr>
          <w:rFonts w:ascii="Arial" w:eastAsia="Calibri" w:hAnsi="Arial" w:cs="Arial"/>
          <w:sz w:val="21"/>
          <w:szCs w:val="21"/>
        </w:rPr>
      </w:pPr>
    </w:p>
    <w:p w14:paraId="24F0CCE2" w14:textId="77777777" w:rsidR="00F4478E" w:rsidRPr="00F4478E" w:rsidRDefault="00F4478E" w:rsidP="00F4478E">
      <w:pPr>
        <w:spacing w:after="0" w:line="240" w:lineRule="auto"/>
        <w:ind w:left="709" w:right="709"/>
        <w:contextualSpacing/>
        <w:jc w:val="both"/>
        <w:rPr>
          <w:rFonts w:ascii="Arial" w:eastAsia="Calibri" w:hAnsi="Arial" w:cs="Arial"/>
          <w:i/>
          <w:iCs/>
          <w:sz w:val="21"/>
          <w:szCs w:val="21"/>
        </w:rPr>
      </w:pPr>
      <w:r w:rsidRPr="00F4478E">
        <w:rPr>
          <w:rFonts w:ascii="Arial" w:eastAsia="Calibri" w:hAnsi="Arial" w:cs="Arial"/>
          <w:i/>
          <w:iCs/>
          <w:sz w:val="21"/>
          <w:szCs w:val="21"/>
        </w:rPr>
        <w:t xml:space="preserve">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w:t>
      </w:r>
      <w:proofErr w:type="spellStart"/>
      <w:r w:rsidRPr="00F4478E">
        <w:rPr>
          <w:rFonts w:ascii="Arial" w:eastAsia="Calibri" w:hAnsi="Arial" w:cs="Arial"/>
          <w:i/>
          <w:iCs/>
          <w:sz w:val="21"/>
          <w:szCs w:val="21"/>
        </w:rPr>
        <w:t>postcontractual</w:t>
      </w:r>
      <w:proofErr w:type="spellEnd"/>
      <w:r w:rsidRPr="00F4478E">
        <w:rPr>
          <w:rFonts w:ascii="Arial" w:eastAsia="Calibri" w:hAnsi="Arial" w:cs="Arial"/>
          <w:i/>
          <w:iCs/>
          <w:sz w:val="21"/>
          <w:szCs w:val="21"/>
        </w:rPr>
        <w:t>.</w:t>
      </w:r>
    </w:p>
    <w:p w14:paraId="44F0BBAA" w14:textId="77777777" w:rsidR="00F4478E" w:rsidRPr="00F4478E" w:rsidRDefault="00F4478E" w:rsidP="00F4478E">
      <w:pPr>
        <w:spacing w:after="0" w:line="240" w:lineRule="auto"/>
        <w:ind w:left="709" w:right="709"/>
        <w:contextualSpacing/>
        <w:jc w:val="both"/>
        <w:rPr>
          <w:rFonts w:ascii="Arial" w:eastAsia="Calibri" w:hAnsi="Arial" w:cs="Arial"/>
          <w:sz w:val="21"/>
          <w:szCs w:val="21"/>
        </w:rPr>
      </w:pPr>
    </w:p>
    <w:p w14:paraId="625C401F" w14:textId="77777777" w:rsidR="00F4478E" w:rsidRPr="00F4478E" w:rsidRDefault="00F4478E" w:rsidP="00F4478E">
      <w:pPr>
        <w:spacing w:after="0" w:line="240" w:lineRule="auto"/>
        <w:ind w:left="709" w:right="709"/>
        <w:contextualSpacing/>
        <w:jc w:val="both"/>
        <w:rPr>
          <w:rFonts w:ascii="Arial" w:eastAsia="Calibri" w:hAnsi="Arial" w:cs="Arial"/>
          <w:sz w:val="21"/>
          <w:szCs w:val="21"/>
        </w:rPr>
      </w:pPr>
      <w:r w:rsidRPr="00F4478E">
        <w:rPr>
          <w:rFonts w:ascii="Arial" w:eastAsia="Calibri" w:hAnsi="Arial" w:cs="Arial"/>
          <w:sz w:val="21"/>
          <w:szCs w:val="21"/>
        </w:rPr>
        <w:t xml:space="preserve">A partir de la </w:t>
      </w:r>
      <w:proofErr w:type="gramStart"/>
      <w:r w:rsidRPr="00F4478E">
        <w:rPr>
          <w:rFonts w:ascii="Arial" w:eastAsia="Calibri" w:hAnsi="Arial" w:cs="Arial"/>
          <w:sz w:val="21"/>
          <w:szCs w:val="21"/>
        </w:rPr>
        <w:t>entrada en vigencia</w:t>
      </w:r>
      <w:proofErr w:type="gramEnd"/>
      <w:r w:rsidRPr="00F4478E">
        <w:rPr>
          <w:rFonts w:ascii="Arial" w:eastAsia="Calibri" w:hAnsi="Arial" w:cs="Arial"/>
          <w:sz w:val="21"/>
          <w:szCs w:val="21"/>
        </w:rPr>
        <w:t xml:space="preserve"> de la presente Ley, se establecerá un periodo de transición de seis (6) meses, para que las entidades den cumplimiento efectivo a lo aquí establecido. (Cursiva fuera del original).</w:t>
      </w:r>
      <w:r w:rsidRPr="00F4478E">
        <w:rPr>
          <w:rFonts w:ascii="Arial" w:eastAsia="Calibri" w:hAnsi="Arial" w:cs="Arial"/>
          <w:sz w:val="21"/>
          <w:szCs w:val="21"/>
          <w:lang w:val="es-ES_tradnl" w:eastAsia="es-ES_tradnl"/>
        </w:rPr>
        <w:t>”</w:t>
      </w:r>
    </w:p>
    <w:p w14:paraId="0814DD86" w14:textId="77777777" w:rsidR="00F4478E" w:rsidRPr="00F4478E" w:rsidRDefault="00F4478E" w:rsidP="00F4478E">
      <w:pPr>
        <w:spacing w:after="0" w:line="240" w:lineRule="auto"/>
        <w:ind w:firstLine="709"/>
        <w:contextualSpacing/>
        <w:jc w:val="both"/>
        <w:rPr>
          <w:rFonts w:ascii="Arial" w:eastAsia="Calibri" w:hAnsi="Arial" w:cs="Arial"/>
          <w:lang w:val="es-ES_tradnl"/>
        </w:rPr>
      </w:pPr>
    </w:p>
    <w:p w14:paraId="2383259D" w14:textId="77777777" w:rsidR="00F4478E" w:rsidRPr="00F4478E" w:rsidRDefault="00F4478E" w:rsidP="00F4478E">
      <w:pPr>
        <w:spacing w:after="120" w:line="276" w:lineRule="auto"/>
        <w:ind w:firstLine="709"/>
        <w:jc w:val="both"/>
        <w:rPr>
          <w:rFonts w:ascii="Arial" w:eastAsia="Calibri" w:hAnsi="Arial" w:cs="Arial"/>
          <w:lang w:val="es-ES_tradnl"/>
        </w:rPr>
      </w:pPr>
      <w:r w:rsidRPr="00F4478E">
        <w:rPr>
          <w:rFonts w:ascii="Arial" w:eastAsia="Calibri" w:hAnsi="Arial" w:cs="Arial"/>
          <w:lang w:val="es-ES_tradnl"/>
        </w:rPr>
        <w:t xml:space="preserve">Como puede observarse, aunque la publicación en el SECOP de los documentos relacionados con la actividad contractual ya era obligatoria para las entidades que cuentan con un régimen especial, el artículo 53 de la Ley 2195 de 2022 –que modifica el artículo 13 de la Ley 1150 de 2007– establece con mayor precisión esta obligación y la complementa con la exigencia de emplear el SECOP II. En otras palabras, a través del artículo 53 de la Ley 2195 de 2022 el Congreso de la República dispone que las entidades estatales exceptuadas del EGCAP deben publicar en el SECOP II –es decir en la plataforma transaccional vigente– su actividad contractual. </w:t>
      </w:r>
    </w:p>
    <w:p w14:paraId="7946B9E5" w14:textId="77777777" w:rsidR="00F4478E" w:rsidRPr="00F4478E" w:rsidRDefault="00F4478E" w:rsidP="00F4478E">
      <w:pPr>
        <w:spacing w:after="120" w:line="276" w:lineRule="auto"/>
        <w:ind w:firstLine="709"/>
        <w:jc w:val="both"/>
        <w:rPr>
          <w:rFonts w:ascii="Arial" w:eastAsia="Calibri" w:hAnsi="Arial" w:cs="Arial"/>
          <w:lang w:val="es-ES_tradnl" w:eastAsia="es-ES_tradnl"/>
        </w:rPr>
      </w:pPr>
      <w:r w:rsidRPr="00F4478E">
        <w:rPr>
          <w:rFonts w:ascii="Arial" w:eastAsia="Calibri" w:hAnsi="Arial" w:cs="Arial"/>
          <w:lang w:val="es-ES_tradnl"/>
        </w:rPr>
        <w:t xml:space="preserve">Ahora bien, cabe destacar que, cuando la norma trascrita hace referencia a que el mencionado deber de publicidad debe cumplirse en el SECOP II o </w:t>
      </w:r>
      <w:r w:rsidRPr="00F4478E">
        <w:rPr>
          <w:rFonts w:ascii="Arial" w:hAnsi="Arial" w:cs="Arial"/>
        </w:rPr>
        <w:t>“</w:t>
      </w:r>
      <w:r w:rsidRPr="00F4478E">
        <w:rPr>
          <w:rFonts w:ascii="Arial" w:eastAsia="Calibri" w:hAnsi="Arial" w:cs="Arial"/>
          <w:lang w:val="es-ES_tradnl"/>
        </w:rPr>
        <w:t xml:space="preserve">la plataforma transaccional </w:t>
      </w:r>
      <w:r w:rsidRPr="00F4478E">
        <w:rPr>
          <w:rFonts w:ascii="Arial" w:eastAsia="Calibri" w:hAnsi="Arial" w:cs="Arial"/>
          <w:lang w:val="es-ES_tradnl"/>
        </w:rPr>
        <w:lastRenderedPageBreak/>
        <w:t>que haga sus veces</w:t>
      </w:r>
      <w:r w:rsidRPr="00F4478E">
        <w:rPr>
          <w:rFonts w:ascii="Arial" w:hAnsi="Arial" w:cs="Arial"/>
        </w:rPr>
        <w:t>”</w:t>
      </w:r>
      <w:r w:rsidRPr="00F4478E">
        <w:rPr>
          <w:rFonts w:ascii="Arial" w:eastAsia="Calibri" w:hAnsi="Arial" w:cs="Arial"/>
          <w:lang w:val="es-ES_tradnl"/>
        </w:rPr>
        <w:t xml:space="preserve">, esta expresión debe interpretarse en el sentido de que si bien el SECOP II es la plataforma oficial que actualmente se utiliza como mecanismo transaccional, en caso de que en el futuro dicha plataforma sea remplazada por otra que tenga una denominación distinta, las entidades que tienen un régimen exceptuado deberán continuar publicando la documentación de su actividad contractual en la nueva plataforma transaccional que para efecto se cree. En ese sentido, la expresión </w:t>
      </w:r>
      <w:r w:rsidRPr="00F4478E">
        <w:rPr>
          <w:rFonts w:ascii="Arial" w:hAnsi="Arial" w:cs="Arial"/>
        </w:rPr>
        <w:t>“</w:t>
      </w:r>
      <w:r w:rsidRPr="00F4478E">
        <w:rPr>
          <w:rFonts w:ascii="Arial" w:eastAsia="Calibri" w:hAnsi="Arial" w:cs="Arial"/>
          <w:lang w:val="es-ES_tradnl"/>
        </w:rPr>
        <w:t>la plataforma que haga sus veces</w:t>
      </w:r>
      <w:r w:rsidRPr="00F4478E">
        <w:rPr>
          <w:rFonts w:ascii="Arial" w:hAnsi="Arial" w:cs="Arial"/>
        </w:rPr>
        <w:t>”</w:t>
      </w:r>
      <w:r w:rsidRPr="00F4478E">
        <w:rPr>
          <w:rFonts w:ascii="Arial" w:eastAsia="Calibri" w:hAnsi="Arial" w:cs="Arial"/>
          <w:lang w:val="es-ES_tradnl"/>
        </w:rPr>
        <w:t xml:space="preserve"> no puede interpretarse como una autorización para que las entidades obligadas en virtud del artículo 53 de la Ley 2195 de 2022 empleen sus páginas web o sus propios portales electrónicos para cumplir con el deber de publicidad que les asiste. </w:t>
      </w:r>
      <w:r w:rsidRPr="00F4478E">
        <w:rPr>
          <w:rFonts w:ascii="Arial" w:eastAsia="Calibri" w:hAnsi="Arial" w:cs="Arial"/>
          <w:lang w:val="es-ES_tradnl" w:eastAsia="es-ES_tradnl"/>
        </w:rPr>
        <w:t>Con esto se logra que la ciudadanía pueda encontrar en un mismo sistema la gestión de la actividad contractual del Estado, garantizándose en mayor grado la transparencia y el acceso a la documentación pública.</w:t>
      </w:r>
    </w:p>
    <w:p w14:paraId="2956796F" w14:textId="77777777" w:rsidR="00F4478E" w:rsidRPr="00F4478E" w:rsidRDefault="00F4478E" w:rsidP="00F4478E">
      <w:pPr>
        <w:spacing w:before="120" w:after="120" w:line="276" w:lineRule="auto"/>
        <w:ind w:firstLine="709"/>
        <w:jc w:val="both"/>
        <w:rPr>
          <w:rFonts w:ascii="Arial" w:eastAsia="Calibri" w:hAnsi="Arial" w:cs="Arial"/>
          <w:lang w:val="es-ES_tradnl"/>
        </w:rPr>
      </w:pPr>
      <w:bookmarkStart w:id="6" w:name="_Hlk109111956"/>
      <w:r w:rsidRPr="00F4478E">
        <w:rPr>
          <w:rFonts w:ascii="Arial" w:eastAsia="Calibri" w:hAnsi="Arial" w:cs="Arial"/>
          <w:lang w:val="es-ES_tradnl"/>
        </w:rPr>
        <w:t xml:space="preserve">En cuanto a los documentos que deben ser publicados en el SECOP II a efectos de dar cumplimiento al mandato consagrado en el artículo 53 de la Ley 2195 de 2022, es preciso advertir que la disposición hace referencia a los documentos relacionados con su </w:t>
      </w:r>
      <w:r w:rsidRPr="00F4478E">
        <w:rPr>
          <w:rFonts w:ascii="Arial" w:eastAsia="Calibri" w:hAnsi="Arial" w:cs="Arial"/>
          <w:i/>
          <w:iCs/>
          <w:lang w:val="es-ES_tradnl"/>
        </w:rPr>
        <w:t>actividad contractual,</w:t>
      </w:r>
      <w:r w:rsidRPr="00F4478E">
        <w:rPr>
          <w:rFonts w:ascii="Arial" w:eastAsia="Calibri" w:hAnsi="Arial" w:cs="Arial"/>
          <w:lang w:val="es-ES_tradnl"/>
        </w:rPr>
        <w:t xml:space="preserve"> la cual define como “[…] los documentos, contratos, actos e información generada por oferentes, contratista, contratante, supervisor o interventor, tanto en la etapa precontractual, como en la contractual y la </w:t>
      </w:r>
      <w:proofErr w:type="spellStart"/>
      <w:r w:rsidRPr="00F4478E">
        <w:rPr>
          <w:rFonts w:ascii="Arial" w:eastAsia="Calibri" w:hAnsi="Arial" w:cs="Arial"/>
          <w:lang w:val="es-ES_tradnl"/>
        </w:rPr>
        <w:t>postcontractual</w:t>
      </w:r>
      <w:proofErr w:type="spellEnd"/>
      <w:r w:rsidRPr="00F4478E">
        <w:rPr>
          <w:rFonts w:ascii="Arial" w:eastAsia="Calibri" w:hAnsi="Arial" w:cs="Arial"/>
          <w:lang w:val="es-ES_tradnl"/>
        </w:rPr>
        <w:t xml:space="preserve">”. En ese sentido, el artículo 53 de la Ley 2195 de 2022 establece el deber de publicar toda aquella información relacionada con el respectivo contrato, </w:t>
      </w:r>
      <w:r w:rsidRPr="00F4478E">
        <w:rPr>
          <w:rFonts w:ascii="Arial" w:eastAsia="Calibri" w:hAnsi="Arial" w:cs="Arial"/>
          <w:u w:val="single"/>
          <w:lang w:val="es-ES_tradnl"/>
        </w:rPr>
        <w:t>sin incluir ninguna excepción relacionada con la naturaleza u objeto contractual</w:t>
      </w:r>
      <w:r w:rsidRPr="00F4478E">
        <w:rPr>
          <w:rFonts w:ascii="Arial" w:eastAsia="Calibri" w:hAnsi="Arial" w:cs="Arial"/>
          <w:lang w:val="es-ES_tradnl"/>
        </w:rPr>
        <w:t>.</w:t>
      </w:r>
      <w:bookmarkEnd w:id="6"/>
      <w:r w:rsidRPr="00F4478E">
        <w:rPr>
          <w:rFonts w:ascii="Arial" w:eastAsia="Calibri" w:hAnsi="Arial" w:cs="Arial"/>
          <w:lang w:val="es-ES_tradnl"/>
        </w:rPr>
        <w:t xml:space="preserve"> Por lo tanto, para que las entidades exceptuadas cumplan con el deber de publicidad consagrado en el artículo 53 de la Ley 2195 de 2022, se requiere que publiquen en el SECOP II todo documento expedido durante las diferentes etapas del proceso contractual, lo que abarca tanto la fase previa a su celebración, como la ejecución y la fase posterior a su ejecución. </w:t>
      </w:r>
    </w:p>
    <w:p w14:paraId="757D58E2" w14:textId="77777777" w:rsidR="00F4478E" w:rsidRPr="00F4478E" w:rsidRDefault="00F4478E" w:rsidP="00F4478E">
      <w:pPr>
        <w:spacing w:before="120" w:after="120" w:line="276" w:lineRule="auto"/>
        <w:ind w:firstLine="709"/>
        <w:jc w:val="both"/>
        <w:rPr>
          <w:rFonts w:ascii="Arial" w:eastAsia="Calibri" w:hAnsi="Arial" w:cs="Arial"/>
          <w:lang w:val="es-ES"/>
        </w:rPr>
      </w:pPr>
      <w:r w:rsidRPr="00F4478E">
        <w:rPr>
          <w:rFonts w:ascii="Arial" w:eastAsia="Calibri" w:hAnsi="Arial" w:cs="Arial"/>
          <w:lang w:val="es-ES"/>
        </w:rPr>
        <w:t>Sin perjuicio de lo anterior, vale la pena aclarar que el cumplimiento del deber de publicar la documentación contractual debe armonizarse con las normas aplicables al tipo de información que estas contienen, para garantizar la reserva de algunos documentos o de una parte de estos</w:t>
      </w:r>
      <w:r w:rsidRPr="00F4478E">
        <w:rPr>
          <w:rFonts w:ascii="Arial" w:eastAsia="Calibri" w:hAnsi="Arial" w:cs="Arial"/>
          <w:vertAlign w:val="superscript"/>
          <w:lang w:val="es-ES"/>
        </w:rPr>
        <w:footnoteReference w:id="16"/>
      </w:r>
      <w:r w:rsidRPr="00F4478E">
        <w:rPr>
          <w:rFonts w:ascii="Arial" w:eastAsia="Calibri" w:hAnsi="Arial" w:cs="Arial"/>
          <w:lang w:val="es-ES"/>
        </w:rPr>
        <w:t xml:space="preserve">. </w:t>
      </w:r>
      <w:r w:rsidRPr="00F4478E">
        <w:rPr>
          <w:rFonts w:ascii="Arial" w:eastAsia="Calibri" w:hAnsi="Arial" w:cs="Arial"/>
          <w:lang w:val="es-ES"/>
        </w:rPr>
        <w:lastRenderedPageBreak/>
        <w:t xml:space="preserve">Lo anterior significa que, respecto de datos sensibles, información sometida a reserva o de la cual proceda un tratamiento especial que impida su publicidad, las entidades deberán proceder de conformidad con el tratamiento que impongan tales normas. </w:t>
      </w:r>
    </w:p>
    <w:p w14:paraId="3854B7EB" w14:textId="5D0E73CB" w:rsidR="003A178D" w:rsidRDefault="003B245D" w:rsidP="00F4478E">
      <w:pPr>
        <w:spacing w:before="120" w:after="0" w:line="276" w:lineRule="auto"/>
        <w:ind w:firstLine="708"/>
        <w:jc w:val="both"/>
        <w:rPr>
          <w:rFonts w:ascii="Arial" w:eastAsia="Calibri" w:hAnsi="Arial" w:cs="Arial"/>
          <w:lang w:val="es-ES_tradnl"/>
        </w:rPr>
      </w:pPr>
      <w:bookmarkStart w:id="7" w:name="_Hlk109111976"/>
      <w:r>
        <w:rPr>
          <w:rFonts w:ascii="Arial" w:eastAsia="Calibri" w:hAnsi="Arial" w:cs="Arial"/>
          <w:lang w:val="es-ES_tradnl"/>
        </w:rPr>
        <w:t>Por otro lado</w:t>
      </w:r>
      <w:r w:rsidR="00F4478E" w:rsidRPr="00F4478E">
        <w:rPr>
          <w:rFonts w:ascii="Arial" w:eastAsia="Calibri" w:hAnsi="Arial" w:cs="Arial"/>
          <w:lang w:val="es-ES_tradnl"/>
        </w:rPr>
        <w:t xml:space="preserve">, el inciso final del artículo 53 dispone que “A partir de la </w:t>
      </w:r>
      <w:proofErr w:type="gramStart"/>
      <w:r w:rsidR="00F4478E" w:rsidRPr="00F4478E">
        <w:rPr>
          <w:rFonts w:ascii="Arial" w:eastAsia="Calibri" w:hAnsi="Arial" w:cs="Arial"/>
          <w:lang w:val="es-ES_tradnl"/>
        </w:rPr>
        <w:t>entrada en vigencia</w:t>
      </w:r>
      <w:proofErr w:type="gramEnd"/>
      <w:r w:rsidR="00F4478E" w:rsidRPr="00F4478E">
        <w:rPr>
          <w:rFonts w:ascii="Arial" w:eastAsia="Calibri" w:hAnsi="Arial" w:cs="Arial"/>
          <w:lang w:val="es-ES_tradnl"/>
        </w:rPr>
        <w:t xml:space="preserve"> de la presente Ley, se establecerá un periodo de transición de seis (6) meses, para que las entidades den cumplimiento efectivo a lo aquí establecido”. Es decir que se trata un período concedido por el Legislador a las entidades que tienen un régimen especial de contratación para adelantar las gestiones administrativas, técnicas y jurídicas pertinentes, a fin de cumplir lo establecido en el artículo citado. Este período de transición transcurrió del 18 de enero al 18 de julio de 2022.</w:t>
      </w:r>
      <w:bookmarkEnd w:id="7"/>
      <w:r w:rsidR="00F4478E" w:rsidRPr="00F4478E">
        <w:rPr>
          <w:rFonts w:ascii="Arial" w:eastAsia="Calibri" w:hAnsi="Arial" w:cs="Arial"/>
          <w:lang w:val="es-ES_tradnl"/>
        </w:rPr>
        <w:t xml:space="preserve"> Si bien la norma materia de estudio no hace referencia a los contratos suscritos con anterioridad a su entrada en vigencia, de acuerdo con el artículo 38 de la Ley 153 de 1887, el cual dispone que en todo contrato se entenderán incorporadas las leyes vigentes al tiempo de su celebración, la obligación para las entidades estatales exceptuadas de publicar los documentos relacionados con su actividad contractual en el SECOP II aplica para los contratos suscritos con posterioridad al término dispuesto en el artículo 53 de la Ley 2195 de 2022, esto es, a partir del 18 de julio de 2022</w:t>
      </w:r>
      <w:r w:rsidR="00F4478E" w:rsidRPr="00F4478E">
        <w:rPr>
          <w:rFonts w:ascii="Arial" w:eastAsia="Calibri" w:hAnsi="Arial" w:cs="Arial"/>
          <w:vertAlign w:val="superscript"/>
          <w:lang w:val="es-ES_tradnl"/>
        </w:rPr>
        <w:footnoteReference w:id="17"/>
      </w:r>
      <w:r w:rsidR="00F4478E" w:rsidRPr="00F4478E">
        <w:rPr>
          <w:rFonts w:ascii="Arial" w:eastAsia="Calibri" w:hAnsi="Arial" w:cs="Arial"/>
          <w:lang w:val="es-ES_tradnl"/>
        </w:rPr>
        <w:t>.</w:t>
      </w:r>
      <w:r w:rsidR="00F4478E">
        <w:rPr>
          <w:rFonts w:ascii="Arial" w:eastAsia="Calibri" w:hAnsi="Arial" w:cs="Arial"/>
          <w:lang w:val="es-ES_tradnl"/>
        </w:rPr>
        <w:t xml:space="preserve"> </w:t>
      </w:r>
    </w:p>
    <w:p w14:paraId="217203AD" w14:textId="77777777" w:rsidR="00F4478E" w:rsidRDefault="00F4478E" w:rsidP="00F4478E">
      <w:pPr>
        <w:spacing w:before="120" w:after="0" w:line="276" w:lineRule="auto"/>
        <w:ind w:firstLine="708"/>
        <w:jc w:val="both"/>
        <w:rPr>
          <w:rFonts w:ascii="Arial" w:eastAsia="Calibri" w:hAnsi="Arial" w:cs="Arial"/>
          <w:lang w:val="es-ES_tradnl"/>
        </w:rPr>
      </w:pPr>
    </w:p>
    <w:p w14:paraId="2B79965A" w14:textId="0543B798" w:rsidR="00877687" w:rsidRPr="00877687" w:rsidRDefault="00877687" w:rsidP="00F20024">
      <w:pPr>
        <w:spacing w:after="120" w:line="276" w:lineRule="auto"/>
        <w:ind w:firstLine="708"/>
        <w:jc w:val="both"/>
        <w:rPr>
          <w:rFonts w:ascii="Arial" w:eastAsia="Calibri" w:hAnsi="Arial" w:cs="Arial"/>
          <w:lang w:val="es-ES_tradnl" w:eastAsia="es-ES_tradnl"/>
        </w:rPr>
      </w:pPr>
      <w:r w:rsidRPr="00877687">
        <w:rPr>
          <w:rFonts w:ascii="Arial" w:eastAsia="Calibri" w:hAnsi="Arial" w:cs="Arial"/>
          <w:lang w:val="es-ES_tradnl" w:eastAsia="es-ES_tradnl"/>
        </w:rPr>
        <w:t xml:space="preserve">Una vez determinada la obligación que les asiste a las entidades con regímenes exceptuados de publicar en el SECOP II lo concerniente a su actividad contractual y teniendo en cuenta la consulta planteada, debe analizarse el alcance de esta obligación para determinar si esta aplica a toda la actividad contractual de este tipo de entidades. </w:t>
      </w:r>
      <w:r w:rsidR="00F20024">
        <w:rPr>
          <w:rFonts w:ascii="Arial" w:eastAsia="Calibri" w:hAnsi="Arial" w:cs="Arial"/>
          <w:lang w:val="es-ES_tradnl" w:eastAsia="es-ES_tradnl"/>
        </w:rPr>
        <w:t xml:space="preserve"> </w:t>
      </w:r>
    </w:p>
    <w:p w14:paraId="7289B955" w14:textId="77777777" w:rsidR="00877687" w:rsidRPr="00877687" w:rsidRDefault="00877687" w:rsidP="00877687">
      <w:pPr>
        <w:spacing w:after="120" w:line="276" w:lineRule="auto"/>
        <w:ind w:firstLine="708"/>
        <w:jc w:val="both"/>
        <w:rPr>
          <w:rFonts w:ascii="Arial" w:eastAsia="Calibri" w:hAnsi="Arial" w:cs="Arial"/>
          <w:lang w:val="es-ES_tradnl" w:eastAsia="es-ES_tradnl"/>
        </w:rPr>
      </w:pPr>
      <w:r w:rsidRPr="00877687">
        <w:rPr>
          <w:rFonts w:ascii="Arial" w:eastAsia="Calibri" w:hAnsi="Arial" w:cs="Arial"/>
          <w:lang w:val="es-ES_tradnl" w:eastAsia="es-ES_tradnl"/>
        </w:rPr>
        <w:t xml:space="preserve">El artículo 53 de la Ley 2195 de 2022 dispone que las entidades con regímenes especiales </w:t>
      </w:r>
      <w:r w:rsidRPr="00877687">
        <w:rPr>
          <w:rFonts w:ascii="Arial" w:eastAsia="Calibri" w:hAnsi="Arial" w:cs="Arial"/>
          <w:lang w:val="es-ES_tradnl"/>
        </w:rPr>
        <w:t>“</w:t>
      </w:r>
      <w:r w:rsidRPr="00877687">
        <w:rPr>
          <w:rFonts w:ascii="Arial" w:hAnsi="Arial" w:cs="Arial"/>
          <w:shd w:val="clear" w:color="auto" w:fill="FFFFFF"/>
        </w:rPr>
        <w:t>deberán publicar los documentos relacionados con su actividad contractual en el Sistema Electrónico para la Contratación Pública –SECOP II– o la plataforma transaccional que haga sus veces</w:t>
      </w:r>
      <w:r w:rsidRPr="00877687">
        <w:rPr>
          <w:rFonts w:ascii="Arial" w:eastAsia="Calibri" w:hAnsi="Arial" w:cs="Arial"/>
          <w:lang w:val="es-ES_tradnl"/>
        </w:rPr>
        <w:t>”. Como</w:t>
      </w:r>
      <w:r w:rsidRPr="00877687">
        <w:rPr>
          <w:rFonts w:ascii="Arial" w:hAnsi="Arial" w:cs="Arial"/>
          <w:shd w:val="clear" w:color="auto" w:fill="FFFFFF"/>
        </w:rPr>
        <w:t xml:space="preserve"> puede observarse, la disposición objeto de estudio </w:t>
      </w:r>
      <w:r w:rsidRPr="00877687">
        <w:rPr>
          <w:rFonts w:ascii="Arial" w:eastAsia="Calibri" w:hAnsi="Arial" w:cs="Arial"/>
          <w:lang w:val="es-ES_tradnl" w:eastAsia="es-ES_tradnl"/>
        </w:rPr>
        <w:t xml:space="preserve">no señala de forma expresa si el deber de las entidades exceptuadas de publicar todos los documentos relacionados con su actividad contractual aplica para todos los contratos que celebren o si, por el contrario, esta obligación solo se impone respecto de aquellos contratos cuya fuente de financiación proviene de </w:t>
      </w:r>
      <w:r w:rsidRPr="00877687">
        <w:rPr>
          <w:rFonts w:ascii="Arial" w:eastAsia="Calibri" w:hAnsi="Arial" w:cs="Arial"/>
          <w:i/>
          <w:iCs/>
          <w:lang w:val="es-ES_tradnl" w:eastAsia="es-ES_tradnl"/>
        </w:rPr>
        <w:t>recursos públicos</w:t>
      </w:r>
      <w:r w:rsidRPr="00877687">
        <w:rPr>
          <w:rFonts w:ascii="Arial" w:eastAsia="Calibri" w:hAnsi="Arial" w:cs="Arial"/>
          <w:lang w:val="es-ES_tradnl" w:eastAsia="es-ES_tradnl"/>
        </w:rPr>
        <w:t xml:space="preserve">.  </w:t>
      </w:r>
    </w:p>
    <w:p w14:paraId="2897EC63" w14:textId="77777777" w:rsidR="00877687" w:rsidRPr="00877687" w:rsidRDefault="00877687" w:rsidP="00877687">
      <w:pPr>
        <w:spacing w:after="120" w:line="276" w:lineRule="auto"/>
        <w:ind w:firstLine="708"/>
        <w:jc w:val="both"/>
        <w:rPr>
          <w:rFonts w:ascii="Arial" w:eastAsia="Calibri" w:hAnsi="Arial" w:cs="Arial"/>
          <w:lang w:val="es-ES_tradnl" w:eastAsia="es-ES_tradnl"/>
        </w:rPr>
      </w:pPr>
      <w:r w:rsidRPr="00877687">
        <w:rPr>
          <w:rFonts w:ascii="Arial" w:eastAsia="Calibri" w:hAnsi="Arial" w:cs="Arial"/>
          <w:lang w:val="es-ES_tradnl" w:eastAsia="es-ES_tradnl"/>
        </w:rPr>
        <w:t>D</w:t>
      </w:r>
      <w:proofErr w:type="spellStart"/>
      <w:r w:rsidRPr="00877687">
        <w:rPr>
          <w:rFonts w:ascii="Arial" w:hAnsi="Arial" w:cs="Arial"/>
          <w:shd w:val="clear" w:color="auto" w:fill="FFFFFF"/>
        </w:rPr>
        <w:t>e</w:t>
      </w:r>
      <w:proofErr w:type="spellEnd"/>
      <w:r w:rsidRPr="00877687">
        <w:rPr>
          <w:rFonts w:ascii="Arial" w:hAnsi="Arial" w:cs="Arial"/>
          <w:shd w:val="clear" w:color="auto" w:fill="FFFFFF"/>
        </w:rPr>
        <w:t xml:space="preserve"> la lectura del artículo antes citado se pueden extraer al menos dos (2) posturas contrapuestas relacionadas con la interpretación que se realice de la norma. </w:t>
      </w:r>
      <w:r w:rsidRPr="00877687">
        <w:rPr>
          <w:rFonts w:ascii="Arial" w:eastAsia="Calibri" w:hAnsi="Arial" w:cs="Arial"/>
          <w:lang w:val="es-ES_tradnl" w:eastAsia="es-ES_tradnl"/>
        </w:rPr>
        <w:t xml:space="preserve">En primer lugar, una interpretación exegética de la disposición plantearía que, dado que el artículo 53 no señala que </w:t>
      </w:r>
      <w:r w:rsidRPr="00877687">
        <w:rPr>
          <w:rFonts w:ascii="Arial" w:eastAsia="Calibri" w:hAnsi="Arial" w:cs="Arial"/>
          <w:lang w:val="es-ES_tradnl" w:eastAsia="es-ES_tradnl"/>
        </w:rPr>
        <w:lastRenderedPageBreak/>
        <w:t xml:space="preserve">la obligación de publicar en el SECOP II recae solamente sobre la contratación que se realice con dineros públicos, por tanto, esta aplica para toda la actividad contractual que ejecute la entidad, indistintamente del origen de los recursos. En segundo lugar, una interpretación </w:t>
      </w:r>
      <w:r w:rsidRPr="00877687">
        <w:rPr>
          <w:rFonts w:ascii="Arial" w:eastAsia="Calibri" w:hAnsi="Arial" w:cs="Arial"/>
          <w:i/>
          <w:iCs/>
          <w:lang w:val="es-ES_tradnl" w:eastAsia="es-ES_tradnl"/>
        </w:rPr>
        <w:t>sistemática</w:t>
      </w:r>
      <w:r w:rsidRPr="00877687">
        <w:rPr>
          <w:rFonts w:ascii="Arial" w:eastAsia="Calibri" w:hAnsi="Arial" w:cs="Arial"/>
          <w:lang w:val="es-ES_tradnl" w:eastAsia="es-ES_tradnl"/>
        </w:rPr>
        <w:t xml:space="preserve"> de la norma concluiría que el artículo 53, al modificar una disposición de la Ley 1150 de 2007, debe armonizarse con todo el cuerpo normativo consagrado en dicha Ley y, dado que este se refiere a la contratación que se realiza </w:t>
      </w:r>
      <w:r w:rsidRPr="00877687">
        <w:rPr>
          <w:rFonts w:ascii="Arial" w:eastAsia="Calibri" w:hAnsi="Arial" w:cs="Arial"/>
          <w:i/>
          <w:iCs/>
          <w:lang w:val="es-ES_tradnl" w:eastAsia="es-ES_tradnl"/>
        </w:rPr>
        <w:t>con dineros públicos</w:t>
      </w:r>
      <w:r w:rsidRPr="00877687">
        <w:rPr>
          <w:rFonts w:ascii="Arial" w:eastAsia="Calibri" w:hAnsi="Arial" w:cs="Arial"/>
          <w:lang w:val="es-ES_tradnl" w:eastAsia="es-ES_tradnl"/>
        </w:rPr>
        <w:t>, esto también debe extenderse a la obligación de publicar los documentos en el SECOP II en cabeza de las entidades con regímenes exceptuados. En otras palabras, el deber consagrado en el artículo 53 de la Ley 2195 de 2022 debe armonizarse con el conjunto de normas que delimitan el deber de publicar en el SECOP solo la información relacionada con la actividad contractual efectuada con recursos públicos.</w:t>
      </w:r>
    </w:p>
    <w:p w14:paraId="67546B34" w14:textId="77777777" w:rsidR="00877687" w:rsidRPr="00877687" w:rsidRDefault="00877687" w:rsidP="00877687">
      <w:pPr>
        <w:spacing w:after="120" w:line="276" w:lineRule="auto"/>
        <w:ind w:firstLine="709"/>
        <w:jc w:val="both"/>
        <w:rPr>
          <w:rFonts w:ascii="Arial" w:hAnsi="Arial" w:cs="Arial"/>
          <w:u w:val="single"/>
          <w:shd w:val="clear" w:color="auto" w:fill="FFFFFF"/>
        </w:rPr>
      </w:pPr>
      <w:bookmarkStart w:id="8" w:name="_Hlk110869120"/>
      <w:r w:rsidRPr="00877687">
        <w:rPr>
          <w:rFonts w:ascii="Arial" w:eastAsia="Calibri" w:hAnsi="Arial" w:cs="Arial"/>
          <w:u w:val="single"/>
          <w:lang w:val="es-ES_tradnl" w:eastAsia="es-ES_tradnl"/>
        </w:rPr>
        <w:t xml:space="preserve">Esta Agencia considera que, la obligación de publicar en el SECOP II todos los documentos relacionados con la actividad contractual de las entidades con regímenes especiales contenida en el artículo 53 de la </w:t>
      </w:r>
      <w:r w:rsidRPr="00877687">
        <w:rPr>
          <w:rFonts w:ascii="Arial" w:hAnsi="Arial" w:cs="Arial"/>
          <w:u w:val="single"/>
          <w:shd w:val="clear" w:color="auto" w:fill="FFFFFF"/>
          <w:lang w:val="es-ES"/>
        </w:rPr>
        <w:t xml:space="preserve">Ley 2195 de 2022 debe interpretarse de forma sistemática con </w:t>
      </w:r>
      <w:r w:rsidRPr="00877687">
        <w:rPr>
          <w:rFonts w:ascii="Arial" w:hAnsi="Arial" w:cs="Arial"/>
          <w:u w:val="single"/>
          <w:shd w:val="clear" w:color="auto" w:fill="FFFFFF"/>
        </w:rPr>
        <w:t xml:space="preserve">los preceptos que existen sobre la materia, entre otros, los siguientes enunciados normativos: i) los artículos 74 y 209 de la Constitución, ii) el artículo 3, literal c) de la Ley 1150 de 2007, </w:t>
      </w:r>
      <w:proofErr w:type="spellStart"/>
      <w:r w:rsidRPr="00877687">
        <w:rPr>
          <w:rFonts w:ascii="Arial" w:hAnsi="Arial" w:cs="Arial"/>
          <w:u w:val="single"/>
          <w:shd w:val="clear" w:color="auto" w:fill="FFFFFF"/>
        </w:rPr>
        <w:t>iii</w:t>
      </w:r>
      <w:proofErr w:type="spellEnd"/>
      <w:r w:rsidRPr="00877687">
        <w:rPr>
          <w:rFonts w:ascii="Arial" w:hAnsi="Arial" w:cs="Arial"/>
          <w:u w:val="single"/>
          <w:shd w:val="clear" w:color="auto" w:fill="FFFFFF"/>
        </w:rPr>
        <w:t xml:space="preserve">) los artículos 3, 9, literal e) y 11, literal g), de la Ley 1712 de 2014, y iv) los artículos 7 al 10 del Decreto 103 de 2015 –compilado en los artículos 2.1.1.1.1. al 2.1.1.6.1. del Decreto 1081 de 2015–. </w:t>
      </w:r>
    </w:p>
    <w:p w14:paraId="2CA1908B" w14:textId="2148E9F2" w:rsidR="00877687" w:rsidRPr="00877687" w:rsidRDefault="00877687" w:rsidP="00877687">
      <w:pPr>
        <w:spacing w:after="120" w:line="276" w:lineRule="auto"/>
        <w:ind w:firstLine="709"/>
        <w:jc w:val="both"/>
        <w:rPr>
          <w:rFonts w:ascii="Arial" w:hAnsi="Arial" w:cs="Arial"/>
          <w:shd w:val="clear" w:color="auto" w:fill="FFFFFF"/>
          <w:lang w:val="es-ES"/>
        </w:rPr>
      </w:pPr>
      <w:r w:rsidRPr="00877687">
        <w:rPr>
          <w:rFonts w:ascii="Arial" w:hAnsi="Arial" w:cs="Arial"/>
          <w:shd w:val="clear" w:color="auto" w:fill="FFFFFF"/>
          <w:lang w:val="es-ES"/>
        </w:rPr>
        <w:t xml:space="preserve">Así las cosas, dado que el artículo 53 de la Ley 2195 de 2022 complementó las disposiciones ya establecidas en la Ley 1150 de 2007, la lectura que se haga de dicho artículo debe efectuarse de forma sistemática. </w:t>
      </w:r>
      <w:r w:rsidRPr="00877687">
        <w:rPr>
          <w:rFonts w:ascii="Arial" w:hAnsi="Arial" w:cs="Arial"/>
          <w:shd w:val="clear" w:color="auto" w:fill="FFFFFF"/>
        </w:rPr>
        <w:t xml:space="preserve"> En este sentido, debe </w:t>
      </w:r>
      <w:r w:rsidRPr="00877687">
        <w:rPr>
          <w:rFonts w:ascii="Arial" w:eastAsia="Calibri" w:hAnsi="Arial" w:cs="Arial"/>
          <w:lang w:val="es-ES_tradnl" w:eastAsia="es-ES_tradnl"/>
        </w:rPr>
        <w:t xml:space="preserve">señalarse que </w:t>
      </w:r>
      <w:r w:rsidRPr="00877687">
        <w:rPr>
          <w:rFonts w:ascii="Arial" w:hAnsi="Arial" w:cs="Arial"/>
          <w:i/>
          <w:iCs/>
          <w:lang w:val="es-ES_tradnl" w:eastAsia="es-CO"/>
        </w:rPr>
        <w:t>contratación con cargo a recursos públicos</w:t>
      </w:r>
      <w:r w:rsidRPr="00877687">
        <w:rPr>
          <w:rFonts w:ascii="Arial" w:hAnsi="Arial" w:cs="Arial"/>
          <w:lang w:val="es-ES_tradnl" w:eastAsia="es-CO"/>
        </w:rPr>
        <w:t xml:space="preserve"> es un concepto al que alude expresamente la Ley 1150 de 2007, incluso desde el mismo título, pues este indica que dicha Ley es </w:t>
      </w:r>
      <w:r w:rsidRPr="00877687">
        <w:rPr>
          <w:rFonts w:ascii="Arial" w:eastAsia="Calibri" w:hAnsi="Arial" w:cs="Arial"/>
          <w:lang w:val="es-ES_tradnl"/>
        </w:rPr>
        <w:t>“</w:t>
      </w:r>
      <w:r w:rsidRPr="00877687">
        <w:rPr>
          <w:rFonts w:ascii="Arial" w:hAnsi="Arial" w:cs="Arial"/>
        </w:rPr>
        <w:t>Por medio de la cual se introducen medidas para la eficiencia y la transparencia en la Ley</w:t>
      </w:r>
      <w:r w:rsidR="00F20024">
        <w:rPr>
          <w:rFonts w:ascii="Arial" w:hAnsi="Arial" w:cs="Arial"/>
        </w:rPr>
        <w:t xml:space="preserve"> 80</w:t>
      </w:r>
      <w:r w:rsidRPr="00877687">
        <w:rPr>
          <w:rFonts w:ascii="Arial" w:hAnsi="Arial" w:cs="Arial"/>
        </w:rPr>
        <w:t xml:space="preserve"> de 1993 y se dictan otras disposiciones generales sobre la contratación con </w:t>
      </w:r>
      <w:r w:rsidRPr="00877687">
        <w:rPr>
          <w:rFonts w:ascii="Arial" w:hAnsi="Arial" w:cs="Arial"/>
          <w:i/>
          <w:iCs/>
        </w:rPr>
        <w:t>Recursos Públicos</w:t>
      </w:r>
      <w:r w:rsidRPr="00877687">
        <w:rPr>
          <w:rFonts w:ascii="Arial" w:eastAsia="Calibri" w:hAnsi="Arial" w:cs="Arial"/>
          <w:lang w:val="es-ES_tradnl"/>
        </w:rPr>
        <w:t>”</w:t>
      </w:r>
      <w:r w:rsidRPr="00877687">
        <w:rPr>
          <w:rFonts w:ascii="Arial" w:hAnsi="Arial" w:cs="Arial"/>
        </w:rPr>
        <w:t>.</w:t>
      </w:r>
      <w:r w:rsidRPr="00877687">
        <w:rPr>
          <w:rFonts w:ascii="Arial" w:hAnsi="Arial" w:cs="Arial"/>
          <w:lang w:val="es-ES_tradnl" w:eastAsia="es-CO"/>
        </w:rPr>
        <w:t xml:space="preserve"> Asimismo, la terminología </w:t>
      </w:r>
      <w:r w:rsidRPr="00877687">
        <w:rPr>
          <w:rFonts w:ascii="Arial" w:hAnsi="Arial" w:cs="Arial"/>
          <w:i/>
          <w:iCs/>
          <w:lang w:val="es-ES_tradnl" w:eastAsia="es-CO"/>
        </w:rPr>
        <w:t xml:space="preserve">contratación con cargo recursos públicos </w:t>
      </w:r>
      <w:r w:rsidRPr="00877687">
        <w:rPr>
          <w:rFonts w:ascii="Arial" w:hAnsi="Arial" w:cs="Arial"/>
          <w:lang w:val="es-ES_tradnl" w:eastAsia="es-CO"/>
        </w:rPr>
        <w:t>se encuentra en el artículo primero, al definir el ámbito de aplicación de sus disposiciones</w:t>
      </w:r>
      <w:r w:rsidRPr="00877687">
        <w:rPr>
          <w:rFonts w:ascii="Arial" w:hAnsi="Arial" w:cs="Arial"/>
          <w:vertAlign w:val="superscript"/>
          <w:lang w:val="es-ES_tradnl" w:eastAsia="es-CO"/>
        </w:rPr>
        <w:footnoteReference w:id="18"/>
      </w:r>
      <w:r w:rsidRPr="00877687">
        <w:rPr>
          <w:rFonts w:ascii="Arial" w:hAnsi="Arial" w:cs="Arial"/>
          <w:lang w:val="es-ES_tradnl" w:eastAsia="es-CO"/>
        </w:rPr>
        <w:t xml:space="preserve"> y en el literal c) del artículo 3 –del que surge el deber de publicar en el SECOP–, que expresamente </w:t>
      </w:r>
      <w:r w:rsidRPr="00877687">
        <w:rPr>
          <w:rFonts w:ascii="Arial" w:hAnsi="Arial" w:cs="Arial"/>
          <w:shd w:val="clear" w:color="auto" w:fill="FFFFFF"/>
          <w:lang w:val="es-ES"/>
        </w:rPr>
        <w:t>establece que ese aparte del artículo se aplica a la “</w:t>
      </w:r>
      <w:r w:rsidRPr="00877687">
        <w:rPr>
          <w:rFonts w:ascii="Arial" w:hAnsi="Arial" w:cs="Arial"/>
          <w:i/>
          <w:iCs/>
          <w:shd w:val="clear" w:color="auto" w:fill="FFFFFF"/>
          <w:lang w:val="es-ES"/>
        </w:rPr>
        <w:t>contratación realizada con dineros públicos</w:t>
      </w:r>
      <w:r w:rsidRPr="00877687">
        <w:rPr>
          <w:rFonts w:ascii="Arial" w:hAnsi="Arial" w:cs="Arial"/>
          <w:shd w:val="clear" w:color="auto" w:fill="FFFFFF"/>
          <w:lang w:val="es-ES"/>
        </w:rPr>
        <w:t xml:space="preserve">”. </w:t>
      </w:r>
      <w:r w:rsidRPr="00877687">
        <w:rPr>
          <w:rFonts w:ascii="Arial" w:hAnsi="Arial" w:cs="Arial"/>
          <w:shd w:val="clear" w:color="auto" w:fill="FFFFFF"/>
        </w:rPr>
        <w:t>Esta interpretación concuerda con el ámbito al que se encuentran destinadas las disposiciones del Título II de dicha norma, titulado “DISPOSICIONES GENERALES PARA LA CONTRATACION CON RECURSOS PUBLICOS”, en el cual se ubica el artículo 13 que fue modificado por el artículo 53 de la Ley 2195 de 2022.</w:t>
      </w:r>
    </w:p>
    <w:bookmarkEnd w:id="8"/>
    <w:p w14:paraId="4D32F87D" w14:textId="77777777" w:rsidR="00877687" w:rsidRPr="00877687" w:rsidRDefault="00877687" w:rsidP="00877687">
      <w:pPr>
        <w:spacing w:after="0" w:line="276" w:lineRule="auto"/>
        <w:ind w:firstLine="709"/>
        <w:jc w:val="both"/>
        <w:rPr>
          <w:rFonts w:ascii="Arial" w:hAnsi="Arial" w:cs="Arial"/>
        </w:rPr>
      </w:pPr>
      <w:r w:rsidRPr="00877687">
        <w:rPr>
          <w:rFonts w:ascii="Arial" w:hAnsi="Arial" w:cs="Arial"/>
          <w:lang w:val="es-ES_tradnl" w:eastAsia="es-CO"/>
        </w:rPr>
        <w:t xml:space="preserve">Por otro lado, </w:t>
      </w:r>
      <w:r w:rsidRPr="00877687">
        <w:rPr>
          <w:rFonts w:ascii="Arial" w:hAnsi="Arial" w:cs="Arial"/>
        </w:rPr>
        <w:t xml:space="preserve">el Decreto 103, mediante el cual se reglamentó la Ley 1712 de 2014, y que fue compilado </w:t>
      </w:r>
      <w:r w:rsidRPr="00877687">
        <w:rPr>
          <w:rFonts w:ascii="Arial" w:hAnsi="Arial" w:cs="Arial"/>
          <w:shd w:val="clear" w:color="auto" w:fill="FFFFFF"/>
        </w:rPr>
        <w:t xml:space="preserve">en los artículos 2.1.1.1.1. al 2.1.1.6.1. del Decreto 1081 de 2015–.  </w:t>
      </w:r>
      <w:r w:rsidRPr="00877687">
        <w:rPr>
          <w:rFonts w:ascii="Arial" w:hAnsi="Arial" w:cs="Arial"/>
        </w:rPr>
        <w:t>señala:</w:t>
      </w:r>
    </w:p>
    <w:p w14:paraId="3773C501" w14:textId="77777777" w:rsidR="00877687" w:rsidRPr="00877687" w:rsidRDefault="00877687" w:rsidP="00877687">
      <w:pPr>
        <w:spacing w:after="0" w:line="276" w:lineRule="auto"/>
        <w:ind w:firstLine="709"/>
        <w:contextualSpacing/>
        <w:jc w:val="both"/>
        <w:rPr>
          <w:rFonts w:ascii="Arial" w:hAnsi="Arial" w:cs="Arial"/>
        </w:rPr>
      </w:pPr>
      <w:r w:rsidRPr="00877687">
        <w:rPr>
          <w:rFonts w:ascii="Arial" w:hAnsi="Arial" w:cs="Arial"/>
        </w:rPr>
        <w:t xml:space="preserve"> </w:t>
      </w:r>
    </w:p>
    <w:p w14:paraId="6F5978EC" w14:textId="77777777" w:rsidR="00877687" w:rsidRPr="00877687" w:rsidRDefault="00877687" w:rsidP="00877687">
      <w:pPr>
        <w:spacing w:after="0" w:line="240" w:lineRule="auto"/>
        <w:ind w:left="709" w:right="709"/>
        <w:contextualSpacing/>
        <w:jc w:val="both"/>
        <w:rPr>
          <w:rFonts w:ascii="Arial" w:eastAsia="Times New Roman" w:hAnsi="Arial" w:cs="Arial"/>
          <w:sz w:val="21"/>
          <w:szCs w:val="21"/>
          <w:lang w:eastAsia="es-CO"/>
        </w:rPr>
      </w:pPr>
      <w:r w:rsidRPr="00877687">
        <w:rPr>
          <w:rFonts w:ascii="Arial" w:hAnsi="Arial" w:cs="Arial"/>
          <w:sz w:val="21"/>
          <w:szCs w:val="21"/>
          <w:shd w:val="clear" w:color="auto" w:fill="FFFFFF"/>
          <w:lang w:val="es-ES"/>
        </w:rPr>
        <w:lastRenderedPageBreak/>
        <w:t>“</w:t>
      </w:r>
      <w:r w:rsidRPr="00877687">
        <w:rPr>
          <w:rFonts w:ascii="Arial" w:eastAsia="Times New Roman" w:hAnsi="Arial" w:cs="Arial"/>
          <w:sz w:val="21"/>
          <w:szCs w:val="21"/>
          <w:lang w:eastAsia="es-CO"/>
        </w:rPr>
        <w:t>Artículo 7°.</w:t>
      </w:r>
      <w:r w:rsidRPr="00877687">
        <w:rPr>
          <w:rFonts w:ascii="Arial" w:eastAsia="Times New Roman" w:hAnsi="Arial" w:cs="Arial"/>
          <w:i/>
          <w:iCs/>
          <w:sz w:val="21"/>
          <w:szCs w:val="21"/>
          <w:lang w:eastAsia="es-CO"/>
        </w:rPr>
        <w:t xml:space="preserve"> Publicación de la información contractual. </w:t>
      </w:r>
      <w:r w:rsidRPr="00877687">
        <w:rPr>
          <w:rFonts w:ascii="Arial" w:eastAsia="Times New Roman" w:hAnsi="Arial" w:cs="Arial"/>
          <w:sz w:val="21"/>
          <w:szCs w:val="21"/>
          <w:lang w:eastAsia="es-CO"/>
        </w:rPr>
        <w:t xml:space="preserve">De conformidad con el literal (c) del artículo 3° de la Ley 1150 de 2007, el sistema de información del Estado en el cual los sujetos obligados que contratan </w:t>
      </w:r>
      <w:r w:rsidRPr="00877687">
        <w:rPr>
          <w:rFonts w:ascii="Arial" w:eastAsia="Times New Roman" w:hAnsi="Arial" w:cs="Arial"/>
          <w:i/>
          <w:iCs/>
          <w:sz w:val="21"/>
          <w:szCs w:val="21"/>
          <w:lang w:eastAsia="es-CO"/>
        </w:rPr>
        <w:t>con cargo a recursos públicos</w:t>
      </w:r>
      <w:r w:rsidRPr="00877687">
        <w:rPr>
          <w:rFonts w:ascii="Arial" w:eastAsia="Times New Roman" w:hAnsi="Arial" w:cs="Arial"/>
          <w:sz w:val="21"/>
          <w:szCs w:val="21"/>
          <w:lang w:eastAsia="es-CO"/>
        </w:rPr>
        <w:t xml:space="preserve"> deben cumplir la obligación de publicar la información de su gestión contractual es el Sistema Electrónico para la Contratación Pública (</w:t>
      </w:r>
      <w:proofErr w:type="spellStart"/>
      <w:r w:rsidRPr="00877687">
        <w:rPr>
          <w:rFonts w:ascii="Arial" w:eastAsia="Times New Roman" w:hAnsi="Arial" w:cs="Arial"/>
          <w:sz w:val="21"/>
          <w:szCs w:val="21"/>
          <w:lang w:eastAsia="es-CO"/>
        </w:rPr>
        <w:t>Secop</w:t>
      </w:r>
      <w:proofErr w:type="spellEnd"/>
      <w:r w:rsidRPr="00877687">
        <w:rPr>
          <w:rFonts w:ascii="Arial" w:eastAsia="Times New Roman" w:hAnsi="Arial" w:cs="Arial"/>
          <w:sz w:val="21"/>
          <w:szCs w:val="21"/>
          <w:lang w:eastAsia="es-CO"/>
        </w:rPr>
        <w:t>). </w:t>
      </w:r>
    </w:p>
    <w:p w14:paraId="5680F377" w14:textId="77777777" w:rsidR="00877687" w:rsidRPr="00877687" w:rsidRDefault="00877687" w:rsidP="00877687">
      <w:pPr>
        <w:spacing w:after="0" w:line="240" w:lineRule="auto"/>
        <w:ind w:left="709" w:right="709"/>
        <w:contextualSpacing/>
        <w:jc w:val="both"/>
        <w:rPr>
          <w:rFonts w:ascii="Arial" w:eastAsia="Times New Roman" w:hAnsi="Arial" w:cs="Arial"/>
          <w:sz w:val="21"/>
          <w:szCs w:val="21"/>
          <w:lang w:eastAsia="es-CO"/>
        </w:rPr>
      </w:pPr>
      <w:r w:rsidRPr="00877687">
        <w:rPr>
          <w:rFonts w:ascii="Arial" w:eastAsia="Times New Roman" w:hAnsi="Arial" w:cs="Arial"/>
          <w:sz w:val="21"/>
          <w:szCs w:val="21"/>
          <w:lang w:eastAsia="es-CO"/>
        </w:rPr>
        <w:t>  </w:t>
      </w:r>
    </w:p>
    <w:p w14:paraId="2C08EE47" w14:textId="77777777" w:rsidR="00877687" w:rsidRPr="00877687" w:rsidRDefault="00877687" w:rsidP="00877687">
      <w:pPr>
        <w:spacing w:after="0" w:line="240" w:lineRule="auto"/>
        <w:ind w:left="709" w:right="709"/>
        <w:contextualSpacing/>
        <w:jc w:val="both"/>
        <w:rPr>
          <w:rFonts w:ascii="Arial" w:eastAsia="Times New Roman" w:hAnsi="Arial" w:cs="Arial"/>
          <w:sz w:val="21"/>
          <w:szCs w:val="21"/>
          <w:lang w:eastAsia="es-CO"/>
        </w:rPr>
      </w:pPr>
      <w:r w:rsidRPr="00877687">
        <w:rPr>
          <w:rFonts w:ascii="Arial" w:eastAsia="Times New Roman" w:hAnsi="Arial" w:cs="Arial"/>
          <w:sz w:val="21"/>
          <w:szCs w:val="21"/>
          <w:lang w:eastAsia="es-CO"/>
        </w:rPr>
        <w:t xml:space="preserve">Los sujetos obligados que contratan </w:t>
      </w:r>
      <w:r w:rsidRPr="00877687">
        <w:rPr>
          <w:rFonts w:ascii="Arial" w:eastAsia="Times New Roman" w:hAnsi="Arial" w:cs="Arial"/>
          <w:i/>
          <w:iCs/>
          <w:sz w:val="21"/>
          <w:szCs w:val="21"/>
          <w:lang w:eastAsia="es-CO"/>
        </w:rPr>
        <w:t>con cargo a recursos públicos</w:t>
      </w:r>
      <w:r w:rsidRPr="00877687">
        <w:rPr>
          <w:rFonts w:ascii="Arial" w:eastAsia="Times New Roman" w:hAnsi="Arial" w:cs="Arial"/>
          <w:sz w:val="21"/>
          <w:szCs w:val="21"/>
          <w:lang w:eastAsia="es-CO"/>
        </w:rPr>
        <w:t xml:space="preserve"> deben publicar la información de su gestión contractual en el plazo previsto en el artículo 19 del Decreto 1510 de 2013, o el que lo modifique, sustituya o adicione. </w:t>
      </w:r>
    </w:p>
    <w:p w14:paraId="6DA9EFA9" w14:textId="77777777" w:rsidR="00877687" w:rsidRPr="00877687" w:rsidRDefault="00877687" w:rsidP="00877687">
      <w:pPr>
        <w:spacing w:after="0" w:line="240" w:lineRule="auto"/>
        <w:ind w:left="709" w:right="709"/>
        <w:contextualSpacing/>
        <w:jc w:val="both"/>
        <w:rPr>
          <w:rFonts w:ascii="Arial" w:eastAsia="Times New Roman" w:hAnsi="Arial" w:cs="Arial"/>
          <w:sz w:val="21"/>
          <w:szCs w:val="21"/>
          <w:lang w:eastAsia="es-CO"/>
        </w:rPr>
      </w:pPr>
      <w:r w:rsidRPr="00877687">
        <w:rPr>
          <w:rFonts w:ascii="Arial" w:eastAsia="Times New Roman" w:hAnsi="Arial" w:cs="Arial"/>
          <w:sz w:val="21"/>
          <w:szCs w:val="21"/>
          <w:lang w:eastAsia="es-CO"/>
        </w:rPr>
        <w:t>  </w:t>
      </w:r>
    </w:p>
    <w:p w14:paraId="2B5C0661" w14:textId="77777777" w:rsidR="00877687" w:rsidRPr="00877687" w:rsidRDefault="00877687" w:rsidP="00877687">
      <w:pPr>
        <w:spacing w:after="0" w:line="240" w:lineRule="auto"/>
        <w:ind w:left="709" w:right="709"/>
        <w:contextualSpacing/>
        <w:jc w:val="both"/>
        <w:rPr>
          <w:rFonts w:ascii="Arial" w:eastAsia="Times New Roman" w:hAnsi="Arial" w:cs="Arial"/>
          <w:sz w:val="21"/>
          <w:szCs w:val="21"/>
          <w:lang w:eastAsia="es-CO"/>
        </w:rPr>
      </w:pPr>
      <w:r w:rsidRPr="00877687">
        <w:rPr>
          <w:rFonts w:ascii="Arial" w:eastAsia="Times New Roman" w:hAnsi="Arial" w:cs="Arial"/>
          <w:sz w:val="21"/>
          <w:szCs w:val="21"/>
          <w:lang w:eastAsia="es-CO"/>
        </w:rPr>
        <w:t xml:space="preserve">Los sujetos obligados que contratan con recursos públicos y recursos </w:t>
      </w:r>
      <w:proofErr w:type="gramStart"/>
      <w:r w:rsidRPr="00877687">
        <w:rPr>
          <w:rFonts w:ascii="Arial" w:eastAsia="Times New Roman" w:hAnsi="Arial" w:cs="Arial"/>
          <w:sz w:val="21"/>
          <w:szCs w:val="21"/>
          <w:lang w:eastAsia="es-CO"/>
        </w:rPr>
        <w:t>privados,</w:t>
      </w:r>
      <w:proofErr w:type="gramEnd"/>
      <w:r w:rsidRPr="00877687">
        <w:rPr>
          <w:rFonts w:ascii="Arial" w:eastAsia="Times New Roman" w:hAnsi="Arial" w:cs="Arial"/>
          <w:sz w:val="21"/>
          <w:szCs w:val="21"/>
          <w:lang w:eastAsia="es-CO"/>
        </w:rPr>
        <w:t xml:space="preserve"> deben publicar la información de su gestión contractual con cargo a recursos públicos en el Sistema Electrónico para la Contratación Pública (</w:t>
      </w:r>
      <w:proofErr w:type="spellStart"/>
      <w:r w:rsidRPr="00877687">
        <w:rPr>
          <w:rFonts w:ascii="Arial" w:eastAsia="Times New Roman" w:hAnsi="Arial" w:cs="Arial"/>
          <w:sz w:val="21"/>
          <w:szCs w:val="21"/>
          <w:lang w:eastAsia="es-CO"/>
        </w:rPr>
        <w:t>Secop</w:t>
      </w:r>
      <w:proofErr w:type="spellEnd"/>
      <w:r w:rsidRPr="00877687">
        <w:rPr>
          <w:rFonts w:ascii="Arial" w:eastAsia="Times New Roman" w:hAnsi="Arial" w:cs="Arial"/>
          <w:sz w:val="21"/>
          <w:szCs w:val="21"/>
          <w:lang w:eastAsia="es-CO"/>
        </w:rPr>
        <w:t>). (Cursivas fuera del texto original).</w:t>
      </w:r>
      <w:r w:rsidRPr="00877687">
        <w:rPr>
          <w:rFonts w:ascii="Arial" w:hAnsi="Arial" w:cs="Arial"/>
          <w:sz w:val="21"/>
          <w:szCs w:val="21"/>
          <w:shd w:val="clear" w:color="auto" w:fill="FFFFFF"/>
          <w:lang w:val="es-ES"/>
        </w:rPr>
        <w:t>”</w:t>
      </w:r>
    </w:p>
    <w:p w14:paraId="046D84F1" w14:textId="77777777" w:rsidR="00877687" w:rsidRPr="00877687" w:rsidRDefault="00877687" w:rsidP="00877687">
      <w:pPr>
        <w:spacing w:after="0" w:line="276" w:lineRule="auto"/>
        <w:ind w:left="709" w:right="709"/>
        <w:contextualSpacing/>
        <w:jc w:val="both"/>
        <w:rPr>
          <w:rFonts w:ascii="Arial" w:eastAsia="Times New Roman" w:hAnsi="Arial" w:cs="Arial"/>
          <w:lang w:eastAsia="es-CO"/>
        </w:rPr>
      </w:pPr>
      <w:r w:rsidRPr="00877687">
        <w:rPr>
          <w:rFonts w:ascii="Arial" w:eastAsia="Times New Roman" w:hAnsi="Arial" w:cs="Arial"/>
          <w:lang w:eastAsia="es-CO"/>
        </w:rPr>
        <w:t>  </w:t>
      </w:r>
    </w:p>
    <w:p w14:paraId="7891D2E3" w14:textId="77777777" w:rsidR="00877687" w:rsidRPr="00877687" w:rsidRDefault="00877687" w:rsidP="00877687">
      <w:pPr>
        <w:spacing w:after="120" w:line="276" w:lineRule="auto"/>
        <w:ind w:firstLine="709"/>
        <w:jc w:val="both"/>
        <w:rPr>
          <w:rFonts w:ascii="Arial" w:eastAsia="Calibri" w:hAnsi="Arial" w:cs="Arial"/>
          <w:lang w:val="es-ES_tradnl" w:eastAsia="es-ES_tradnl"/>
        </w:rPr>
      </w:pPr>
      <w:bookmarkStart w:id="9" w:name="_Hlk110869205"/>
      <w:r w:rsidRPr="00877687">
        <w:rPr>
          <w:rFonts w:ascii="Arial" w:eastAsia="Calibri" w:hAnsi="Arial" w:cs="Arial"/>
          <w:lang w:val="es-ES_tradnl" w:eastAsia="es-ES_tradnl"/>
        </w:rPr>
        <w:t xml:space="preserve">De las normas antes citadas es posible establecer que la obligación de publicar la actividad contractual siempre ha estado encaminada a que se publique aquella información relacionada con la ejecución de dineros públicos. Por tal razón, puede concluirse, a la luz de las disposiciones que regulan la materia, que el artículo 53 –al ampliar la obligación de las entidades con regímenes especiales de publicar su actividad contractual en el SECOP II– se refiere a aquella actividad contractual cuya fuente de financiación provenga de recursos públicos. </w:t>
      </w:r>
    </w:p>
    <w:bookmarkEnd w:id="9"/>
    <w:p w14:paraId="0D54374B" w14:textId="77777777" w:rsidR="00877687" w:rsidRPr="00877687" w:rsidRDefault="00877687" w:rsidP="00877687">
      <w:pPr>
        <w:spacing w:after="0" w:line="276" w:lineRule="auto"/>
        <w:ind w:firstLine="709"/>
        <w:jc w:val="both"/>
        <w:rPr>
          <w:rFonts w:ascii="Arial" w:hAnsi="Arial" w:cs="Arial"/>
          <w:lang w:val="es-ES"/>
        </w:rPr>
      </w:pPr>
      <w:r w:rsidRPr="00877687">
        <w:rPr>
          <w:rFonts w:ascii="Arial" w:hAnsi="Arial" w:cs="Arial"/>
          <w:shd w:val="clear" w:color="auto" w:fill="FFFFFF"/>
          <w:lang w:val="es-ES"/>
        </w:rPr>
        <w:t xml:space="preserve">En consonancia con la interpretación antes expuesta, </w:t>
      </w:r>
      <w:r w:rsidRPr="00877687">
        <w:rPr>
          <w:rFonts w:ascii="Arial" w:hAnsi="Arial" w:cs="Arial"/>
          <w:lang w:val="es-ES"/>
        </w:rPr>
        <w:t xml:space="preserve">la </w:t>
      </w:r>
      <w:r w:rsidRPr="00877687">
        <w:rPr>
          <w:rFonts w:ascii="Arial" w:eastAsia="Calibri" w:hAnsi="Arial" w:cs="Arial"/>
          <w:lang w:val="es-ES"/>
        </w:rPr>
        <w:t>Circular 002 del 1 de junio de 2022</w:t>
      </w:r>
      <w:r w:rsidRPr="00877687">
        <w:rPr>
          <w:rFonts w:ascii="Arial" w:eastAsia="Calibri" w:hAnsi="Arial" w:cs="Arial"/>
          <w:vertAlign w:val="superscript"/>
          <w:lang w:val="es-ES"/>
        </w:rPr>
        <w:footnoteReference w:id="19"/>
      </w:r>
      <w:r w:rsidRPr="00877687">
        <w:rPr>
          <w:rFonts w:ascii="Arial" w:eastAsia="Calibri" w:hAnsi="Arial" w:cs="Arial"/>
          <w:lang w:val="es-ES"/>
        </w:rPr>
        <w:t>, dictada por el Departamento Administrativo de la Presidencia de la República</w:t>
      </w:r>
      <w:r w:rsidRPr="00877687">
        <w:rPr>
          <w:rFonts w:ascii="Arial" w:hAnsi="Arial" w:cs="Arial"/>
          <w:lang w:val="es-ES"/>
        </w:rPr>
        <w:t xml:space="preserve">, a través de la cual fueron impartidas instrucciones relacionadas con la aplicación del artículo 53 de la Ley 2195 de 2022, en el numeral I –denominado “Publicación de los documentos contractuales en el SECOP II”–, señala: </w:t>
      </w:r>
    </w:p>
    <w:p w14:paraId="72D9F037" w14:textId="77777777" w:rsidR="00877687" w:rsidRPr="00877687" w:rsidRDefault="00877687" w:rsidP="00877687">
      <w:pPr>
        <w:spacing w:after="0" w:line="276" w:lineRule="auto"/>
        <w:contextualSpacing/>
        <w:jc w:val="both"/>
        <w:rPr>
          <w:rFonts w:ascii="Arial" w:eastAsia="Calibri" w:hAnsi="Arial" w:cs="Arial"/>
          <w:lang w:val="es-ES_tradnl" w:eastAsia="es-ES_tradnl"/>
        </w:rPr>
      </w:pPr>
    </w:p>
    <w:p w14:paraId="2DE1621F" w14:textId="77777777" w:rsidR="00877687" w:rsidRPr="00877687" w:rsidRDefault="00877687" w:rsidP="00877687">
      <w:pPr>
        <w:spacing w:after="0" w:line="240" w:lineRule="auto"/>
        <w:ind w:left="709" w:right="709"/>
        <w:contextualSpacing/>
        <w:jc w:val="both"/>
        <w:rPr>
          <w:rFonts w:ascii="Arial" w:eastAsia="Calibri" w:hAnsi="Arial" w:cs="Arial"/>
          <w:sz w:val="21"/>
          <w:szCs w:val="21"/>
          <w:lang w:val="es-ES_tradnl" w:eastAsia="es-ES_tradnl"/>
        </w:rPr>
      </w:pPr>
      <w:r w:rsidRPr="00877687">
        <w:rPr>
          <w:rFonts w:ascii="Arial" w:hAnsi="Arial" w:cs="Arial"/>
          <w:sz w:val="21"/>
          <w:szCs w:val="21"/>
          <w:shd w:val="clear" w:color="auto" w:fill="FFFFFF"/>
          <w:lang w:val="es-ES"/>
        </w:rPr>
        <w:t>“</w:t>
      </w:r>
      <w:r w:rsidRPr="00877687">
        <w:rPr>
          <w:rFonts w:ascii="Arial" w:eastAsia="Calibri" w:hAnsi="Arial" w:cs="Arial"/>
          <w:sz w:val="21"/>
          <w:szCs w:val="21"/>
          <w:lang w:val="es-ES_tradnl" w:eastAsia="es-ES_tradnl"/>
        </w:rPr>
        <w:t xml:space="preserve">El Sistema Electrónico de Contratación Pública – SECOP – es una herramienta tecnológica de apoyo a la contratación pública, en la cual se encuentra la información oficial de la contratación realizada </w:t>
      </w:r>
      <w:r w:rsidRPr="00877687">
        <w:rPr>
          <w:rFonts w:ascii="Arial" w:eastAsia="Calibri" w:hAnsi="Arial" w:cs="Arial"/>
          <w:i/>
          <w:iCs/>
          <w:sz w:val="21"/>
          <w:szCs w:val="21"/>
          <w:lang w:val="es-ES_tradnl" w:eastAsia="es-ES_tradnl"/>
        </w:rPr>
        <w:t>con dineros públicos</w:t>
      </w:r>
      <w:r w:rsidRPr="00877687">
        <w:rPr>
          <w:rFonts w:ascii="Arial" w:eastAsia="Calibri" w:hAnsi="Arial" w:cs="Arial"/>
          <w:sz w:val="21"/>
          <w:szCs w:val="21"/>
          <w:lang w:val="es-ES_tradnl" w:eastAsia="es-ES_tradnl"/>
        </w:rPr>
        <w:t xml:space="preserve">. Lo anterior, de conformidad con lo establecido en el literal c) del artículo 3 de la Ley 1150 de 2007. </w:t>
      </w:r>
    </w:p>
    <w:p w14:paraId="3A7E07B8" w14:textId="77777777" w:rsidR="00877687" w:rsidRPr="00877687" w:rsidRDefault="00877687" w:rsidP="00877687">
      <w:pPr>
        <w:spacing w:after="0" w:line="240" w:lineRule="auto"/>
        <w:ind w:left="709" w:right="709"/>
        <w:contextualSpacing/>
        <w:jc w:val="both"/>
        <w:rPr>
          <w:rFonts w:ascii="Arial" w:eastAsia="Calibri" w:hAnsi="Arial" w:cs="Arial"/>
          <w:sz w:val="21"/>
          <w:szCs w:val="21"/>
          <w:lang w:val="es-ES_tradnl" w:eastAsia="es-ES_tradnl"/>
        </w:rPr>
      </w:pPr>
    </w:p>
    <w:p w14:paraId="0FFAEA20" w14:textId="77777777" w:rsidR="00877687" w:rsidRPr="00877687" w:rsidRDefault="00877687" w:rsidP="00877687">
      <w:pPr>
        <w:spacing w:after="0" w:line="240" w:lineRule="auto"/>
        <w:ind w:left="709" w:right="709"/>
        <w:contextualSpacing/>
        <w:jc w:val="both"/>
        <w:rPr>
          <w:rFonts w:ascii="Arial" w:eastAsia="Calibri" w:hAnsi="Arial" w:cs="Arial"/>
          <w:sz w:val="21"/>
          <w:szCs w:val="21"/>
          <w:lang w:val="es-ES_tradnl" w:eastAsia="es-ES_tradnl"/>
        </w:rPr>
      </w:pPr>
      <w:r w:rsidRPr="00877687">
        <w:rPr>
          <w:rFonts w:ascii="Arial" w:eastAsia="Calibri" w:hAnsi="Arial" w:cs="Arial"/>
          <w:sz w:val="21"/>
          <w:szCs w:val="21"/>
          <w:lang w:val="es-ES_tradnl" w:eastAsia="es-ES_tradnl"/>
        </w:rPr>
        <w:t xml:space="preserve">En ese sentido, las entidades obligadas en virtud del artículo 53 de la Ley 2195 de 2022, deberán realizar la publicación en el SECOP II </w:t>
      </w:r>
      <w:r w:rsidRPr="00877687">
        <w:rPr>
          <w:rFonts w:ascii="Arial" w:eastAsia="Calibri" w:hAnsi="Arial" w:cs="Arial"/>
          <w:i/>
          <w:iCs/>
          <w:sz w:val="21"/>
          <w:szCs w:val="21"/>
          <w:lang w:val="es-ES_tradnl" w:eastAsia="es-ES_tradnl"/>
        </w:rPr>
        <w:t>de aquellos documentos relacionados con la actividad contractual que se realice con dineros públicos</w:t>
      </w:r>
      <w:r w:rsidRPr="00877687">
        <w:rPr>
          <w:rFonts w:ascii="Arial" w:eastAsia="Calibri" w:hAnsi="Arial" w:cs="Arial"/>
          <w:sz w:val="21"/>
          <w:szCs w:val="21"/>
          <w:lang w:val="es-ES_tradnl" w:eastAsia="es-ES_tradnl"/>
        </w:rPr>
        <w:t xml:space="preserve"> […] </w:t>
      </w:r>
      <w:r w:rsidRPr="00877687">
        <w:rPr>
          <w:rFonts w:ascii="Arial" w:hAnsi="Arial" w:cs="Arial"/>
          <w:sz w:val="21"/>
          <w:szCs w:val="21"/>
          <w:lang w:val="es-ES"/>
        </w:rPr>
        <w:t>(Cursivas fuera del texto original)</w:t>
      </w:r>
      <w:r w:rsidRPr="00877687">
        <w:rPr>
          <w:rFonts w:ascii="Arial" w:hAnsi="Arial" w:cs="Arial"/>
          <w:sz w:val="21"/>
          <w:szCs w:val="21"/>
          <w:shd w:val="clear" w:color="auto" w:fill="FFFFFF"/>
          <w:lang w:val="es-ES"/>
        </w:rPr>
        <w:t>”</w:t>
      </w:r>
    </w:p>
    <w:p w14:paraId="27F47DA8" w14:textId="77777777" w:rsidR="00877687" w:rsidRPr="00877687" w:rsidRDefault="00877687" w:rsidP="00877687">
      <w:pPr>
        <w:spacing w:after="0" w:line="276" w:lineRule="auto"/>
        <w:contextualSpacing/>
        <w:jc w:val="both"/>
        <w:rPr>
          <w:rFonts w:ascii="Arial" w:eastAsia="Calibri" w:hAnsi="Arial" w:cs="Arial"/>
          <w:lang w:val="es-ES" w:eastAsia="es-ES_tradnl"/>
        </w:rPr>
      </w:pPr>
    </w:p>
    <w:p w14:paraId="69855A10" w14:textId="47C1056C" w:rsidR="00877687" w:rsidRPr="00877687" w:rsidRDefault="00877687" w:rsidP="00877687">
      <w:pPr>
        <w:spacing w:after="0" w:line="276" w:lineRule="auto"/>
        <w:ind w:firstLine="709"/>
        <w:contextualSpacing/>
        <w:jc w:val="both"/>
        <w:rPr>
          <w:rFonts w:ascii="Arial" w:hAnsi="Arial" w:cs="Arial"/>
          <w:shd w:val="clear" w:color="auto" w:fill="FFFFFF"/>
          <w:lang w:val="es-ES"/>
        </w:rPr>
      </w:pPr>
      <w:r w:rsidRPr="00877687">
        <w:rPr>
          <w:rFonts w:ascii="Arial" w:hAnsi="Arial" w:cs="Arial"/>
          <w:lang w:val="es-ES"/>
        </w:rPr>
        <w:t xml:space="preserve">De conformidad con lo expuesto, teniendo en cuenta que el artículo 53 complementa la disposición contenida en el artículo 3 de la Ley 1150 de 2007, debe entenderse que la contratación a la que se refiere es aquella realizada con </w:t>
      </w:r>
      <w:r w:rsidRPr="00877687">
        <w:rPr>
          <w:rFonts w:ascii="Arial" w:hAnsi="Arial" w:cs="Arial"/>
          <w:u w:val="single"/>
          <w:lang w:val="es-ES"/>
        </w:rPr>
        <w:t>recursos públicos</w:t>
      </w:r>
      <w:r w:rsidRPr="00877687">
        <w:rPr>
          <w:rFonts w:ascii="Arial" w:hAnsi="Arial" w:cs="Arial"/>
          <w:lang w:val="es-ES"/>
        </w:rPr>
        <w:t xml:space="preserve">, cuya información es la que debe publicarse en el SECOP II, acorde con la interpretación sistemática que permite armonizar el referido artículo 53 de la Ley 2195 de 2022 con todo el contexto normativo que establece que en dicha plataforma se debe publicar solo la información relativa a la actividad contractual con dineros públicos. </w:t>
      </w:r>
    </w:p>
    <w:p w14:paraId="0A685093" w14:textId="40FE2D24" w:rsidR="009157E3" w:rsidRDefault="009157E3" w:rsidP="009157E3">
      <w:pPr>
        <w:spacing w:before="120" w:after="0" w:line="276" w:lineRule="auto"/>
        <w:jc w:val="both"/>
        <w:rPr>
          <w:rFonts w:ascii="Arial" w:eastAsia="Calibri" w:hAnsi="Arial" w:cs="Arial"/>
          <w:color w:val="000000"/>
          <w:kern w:val="2"/>
          <w14:ligatures w14:val="standardContextual"/>
        </w:rPr>
      </w:pPr>
    </w:p>
    <w:p w14:paraId="24001007" w14:textId="77777777" w:rsidR="001A00D3" w:rsidRDefault="001A00D3" w:rsidP="009157E3">
      <w:pPr>
        <w:spacing w:before="120" w:after="0" w:line="276" w:lineRule="auto"/>
        <w:jc w:val="both"/>
        <w:rPr>
          <w:rFonts w:ascii="Arial" w:eastAsia="Calibri" w:hAnsi="Arial" w:cs="Arial"/>
          <w:color w:val="000000"/>
          <w:kern w:val="2"/>
          <w14:ligatures w14:val="standardContextual"/>
        </w:rPr>
      </w:pPr>
    </w:p>
    <w:p w14:paraId="3ECCA36A" w14:textId="77777777" w:rsidR="001A00D3" w:rsidRPr="00CA71FB" w:rsidRDefault="001A00D3" w:rsidP="009157E3">
      <w:pPr>
        <w:spacing w:before="120" w:after="0" w:line="276" w:lineRule="auto"/>
        <w:jc w:val="both"/>
        <w:rPr>
          <w:rFonts w:ascii="Arial" w:eastAsia="Calibri" w:hAnsi="Arial" w:cs="Arial"/>
          <w:bCs/>
          <w:lang w:val="es-MX"/>
        </w:rPr>
      </w:pPr>
    </w:p>
    <w:p w14:paraId="5EE7DCB4" w14:textId="77777777" w:rsidR="009157E3" w:rsidRPr="00CA71FB" w:rsidRDefault="009157E3" w:rsidP="009157E3">
      <w:pPr>
        <w:tabs>
          <w:tab w:val="left" w:pos="284"/>
        </w:tabs>
        <w:spacing w:after="0" w:line="276" w:lineRule="auto"/>
        <w:contextualSpacing/>
        <w:jc w:val="both"/>
        <w:rPr>
          <w:rFonts w:ascii="Arial" w:eastAsia="Calibri" w:hAnsi="Arial" w:cs="Arial"/>
          <w:b/>
          <w:lang w:val="es-MX"/>
        </w:rPr>
      </w:pPr>
      <w:r w:rsidRPr="00CA71FB">
        <w:rPr>
          <w:rFonts w:ascii="Arial" w:eastAsia="Calibri" w:hAnsi="Arial" w:cs="Arial"/>
          <w:b/>
          <w:lang w:val="es-MX"/>
        </w:rPr>
        <w:t>3. Respuesta</w:t>
      </w:r>
    </w:p>
    <w:p w14:paraId="000ADEA6" w14:textId="77777777" w:rsidR="009157E3" w:rsidRPr="00CA71FB" w:rsidRDefault="009157E3" w:rsidP="009157E3">
      <w:pPr>
        <w:spacing w:after="0" w:line="276" w:lineRule="auto"/>
        <w:jc w:val="both"/>
        <w:rPr>
          <w:rFonts w:ascii="Arial" w:eastAsia="Calibri" w:hAnsi="Arial" w:cs="Arial"/>
          <w:bCs/>
          <w:lang w:val="es-MX"/>
        </w:rPr>
      </w:pPr>
    </w:p>
    <w:p w14:paraId="3C0C2DDE" w14:textId="686AAA67" w:rsidR="009157E3" w:rsidRPr="00CA71FB" w:rsidRDefault="001666D7" w:rsidP="009157E3">
      <w:pPr>
        <w:spacing w:after="0" w:line="276" w:lineRule="auto"/>
        <w:ind w:left="709" w:right="709"/>
        <w:jc w:val="both"/>
        <w:rPr>
          <w:rFonts w:ascii="Arial" w:eastAsia="Calibri" w:hAnsi="Arial" w:cs="Arial"/>
          <w:bCs/>
          <w:sz w:val="21"/>
          <w:szCs w:val="21"/>
          <w:lang w:val="es-MX"/>
        </w:rPr>
      </w:pPr>
      <w:r>
        <w:rPr>
          <w:rFonts w:ascii="Arial" w:eastAsia="Calibri" w:hAnsi="Arial" w:cs="Arial"/>
          <w:bCs/>
          <w:sz w:val="21"/>
          <w:szCs w:val="21"/>
          <w:lang w:val="es-MX"/>
        </w:rPr>
        <w:t xml:space="preserve"> </w:t>
      </w:r>
      <w:r w:rsidRPr="001666D7">
        <w:rPr>
          <w:rFonts w:ascii="Arial" w:eastAsia="Calibri" w:hAnsi="Arial" w:cs="Arial"/>
          <w:bCs/>
          <w:sz w:val="21"/>
          <w:szCs w:val="21"/>
          <w:lang w:val="es-MX"/>
        </w:rPr>
        <w:t xml:space="preserve">“[…] solicito su colaboración para saber si, las Cajas de Compensación Familiar están obligadas a publicar en el SECOP la información contractual, cuando esta se realiza con los recursos de los aportes parafiscales del 4%. Dicha consulta la elevo, teniendo en cuenta que estas entidades se rigen por el Régimen Privado de Contratación, aunado a que la Ley 1712 en su artículo 10, hace referencia solamente a </w:t>
      </w:r>
      <w:proofErr w:type="gramStart"/>
      <w:r w:rsidRPr="001666D7">
        <w:rPr>
          <w:rFonts w:ascii="Arial" w:eastAsia="Calibri" w:hAnsi="Arial" w:cs="Arial"/>
          <w:bCs/>
          <w:sz w:val="21"/>
          <w:szCs w:val="21"/>
          <w:lang w:val="es-MX"/>
        </w:rPr>
        <w:t>la entidades</w:t>
      </w:r>
      <w:proofErr w:type="gramEnd"/>
      <w:r w:rsidRPr="001666D7">
        <w:rPr>
          <w:rFonts w:ascii="Arial" w:eastAsia="Calibri" w:hAnsi="Arial" w:cs="Arial"/>
          <w:bCs/>
          <w:sz w:val="21"/>
          <w:szCs w:val="21"/>
          <w:lang w:val="es-MX"/>
        </w:rPr>
        <w:t xml:space="preserve"> que aplican el Régimen de Contratación Estatal.” (sic)</w:t>
      </w:r>
    </w:p>
    <w:p w14:paraId="3A4873E5" w14:textId="77777777" w:rsidR="009157E3" w:rsidRPr="00CA71FB" w:rsidRDefault="009157E3" w:rsidP="009157E3">
      <w:pPr>
        <w:spacing w:after="0" w:line="276" w:lineRule="auto"/>
        <w:jc w:val="both"/>
        <w:rPr>
          <w:rFonts w:ascii="Arial" w:eastAsia="Calibri" w:hAnsi="Arial" w:cs="Arial"/>
          <w:bCs/>
          <w:lang w:val="es-MX"/>
        </w:rPr>
      </w:pPr>
    </w:p>
    <w:p w14:paraId="0892DBEE" w14:textId="77777777" w:rsidR="009157E3" w:rsidRPr="00CA71FB" w:rsidRDefault="009157E3" w:rsidP="009157E3">
      <w:pPr>
        <w:spacing w:after="0" w:line="276" w:lineRule="auto"/>
        <w:jc w:val="both"/>
        <w:rPr>
          <w:rFonts w:ascii="Arial" w:eastAsia="Calibri" w:hAnsi="Arial" w:cs="Arial"/>
          <w:bCs/>
          <w:lang w:val="es-MX"/>
        </w:rPr>
      </w:pPr>
      <w:r w:rsidRPr="00CA71FB">
        <w:rPr>
          <w:rFonts w:ascii="Arial" w:eastAsia="Calibri" w:hAnsi="Arial" w:cs="Arial"/>
          <w:bCs/>
          <w:lang w:val="es-MX"/>
        </w:rPr>
        <w:t xml:space="preserve">De conformidad con lo expuesto en este concepto, </w:t>
      </w:r>
      <w:r w:rsidRPr="00045620">
        <w:rPr>
          <w:rFonts w:ascii="Arial" w:eastAsia="Calibri" w:hAnsi="Arial" w:cs="Arial"/>
          <w:bCs/>
          <w:u w:val="single"/>
          <w:lang w:val="es-MX"/>
        </w:rPr>
        <w:t>dentro del grupo de asociaciones que conforman las ESAL están incluidas las Cajas de Compensación Familiar</w:t>
      </w:r>
      <w:r w:rsidRPr="00CA71FB">
        <w:rPr>
          <w:rFonts w:ascii="Arial" w:eastAsia="Calibri" w:hAnsi="Arial" w:cs="Arial"/>
          <w:bCs/>
          <w:lang w:val="es-MX"/>
        </w:rPr>
        <w:t>, esto en razón a que, el artículo 39 de la Ley 21 de 1982 las define como “personas jurídicas de derecho privado sin ánimo de lucro, organizadas como corporaciones en la forma prevista en el Código Civil, cumplen funciones de seguridad social y se hallan sometidas al control y vigilancia del Estado en la forma establecida por la ley”. [Énfasis fuera de texto]</w:t>
      </w:r>
    </w:p>
    <w:p w14:paraId="050BF4BC" w14:textId="77777777" w:rsidR="009157E3" w:rsidRPr="00CA71FB" w:rsidRDefault="009157E3" w:rsidP="009157E3">
      <w:pPr>
        <w:spacing w:before="120" w:after="0" w:line="276" w:lineRule="auto"/>
        <w:jc w:val="both"/>
        <w:rPr>
          <w:rFonts w:ascii="Arial" w:eastAsia="Calibri" w:hAnsi="Arial" w:cs="Arial"/>
          <w:iCs/>
          <w:kern w:val="2"/>
          <w14:ligatures w14:val="standardContextual"/>
        </w:rPr>
      </w:pPr>
      <w:r w:rsidRPr="00CA71FB">
        <w:rPr>
          <w:rFonts w:ascii="Arial" w:eastAsia="Calibri" w:hAnsi="Arial" w:cs="Arial"/>
          <w:bCs/>
          <w:lang w:val="es-MX"/>
        </w:rPr>
        <w:tab/>
        <w:t>Según la Sentencia C-429 de 2019 de la Corte Constitucional, “las Cajas de Compensación Familiar son entes jurídicos de naturaleza especialísima que no ejercen funciones públicas, sino que desarrollan una función social, pues se trata de actores privados que participan en la economía e intervienen en el servicio público de seguridad social</w:t>
      </w:r>
      <w:r w:rsidRPr="00CA71FB">
        <w:rPr>
          <w:rFonts w:ascii="Calibri" w:eastAsia="Calibri" w:hAnsi="Calibri" w:cs="Times New Roman"/>
          <w:sz w:val="24"/>
          <w:lang w:val="es-MX"/>
        </w:rPr>
        <w:t xml:space="preserve"> </w:t>
      </w:r>
      <w:r w:rsidRPr="00CA71FB">
        <w:rPr>
          <w:rFonts w:ascii="Arial" w:eastAsia="Calibri" w:hAnsi="Arial" w:cs="Arial"/>
          <w:bCs/>
          <w:lang w:val="es-MX"/>
        </w:rPr>
        <w:t xml:space="preserve">e incluso, en algunos casos, pueden participar en su prestación, como ocurre con la participación que tienen en el sector salud”. Sin embargo, para el Consejo de Estado </w:t>
      </w:r>
      <w:r w:rsidRPr="00B41830">
        <w:rPr>
          <w:rFonts w:ascii="Arial" w:eastAsia="Calibri" w:hAnsi="Arial" w:cs="Arial"/>
          <w:bCs/>
          <w:u w:val="single"/>
          <w:lang w:val="es-MX"/>
        </w:rPr>
        <w:t xml:space="preserve">los recursos que administran las Cajas de Compensación </w:t>
      </w:r>
      <w:proofErr w:type="gramStart"/>
      <w:r w:rsidRPr="00B41830">
        <w:rPr>
          <w:rFonts w:ascii="Arial" w:eastAsia="Calibri" w:hAnsi="Arial" w:cs="Arial"/>
          <w:bCs/>
          <w:u w:val="single"/>
          <w:lang w:val="es-MX"/>
        </w:rPr>
        <w:t>Familiar,</w:t>
      </w:r>
      <w:proofErr w:type="gramEnd"/>
      <w:r w:rsidRPr="00B41830">
        <w:rPr>
          <w:rFonts w:ascii="Arial" w:eastAsia="Calibri" w:hAnsi="Arial" w:cs="Arial"/>
          <w:bCs/>
          <w:u w:val="single"/>
          <w:lang w:val="es-MX"/>
        </w:rPr>
        <w:t xml:space="preserve"> son de naturaleza pública pues tienen el carácter de parafiscal, </w:t>
      </w:r>
      <w:r w:rsidRPr="00B41830">
        <w:rPr>
          <w:rFonts w:ascii="Arial" w:eastAsia="Calibri" w:hAnsi="Arial" w:cs="Arial"/>
          <w:kern w:val="2"/>
          <w:u w:val="single"/>
          <w14:ligatures w14:val="standardContextual"/>
        </w:rPr>
        <w:t>en tanto constituyen una fuente de financiación que el Estado consagra en beneficio de un sector, aunque desde la perspectiva presupuestal no integran el Presupuesto General de la Nación</w:t>
      </w:r>
      <w:r w:rsidRPr="00CA71FB">
        <w:rPr>
          <w:rFonts w:ascii="Arial" w:eastAsia="Times New Roman" w:hAnsi="Arial" w:cs="Arial"/>
          <w:i/>
          <w:vertAlign w:val="superscript"/>
          <w:lang w:val="es-ES" w:eastAsia="es-ES"/>
        </w:rPr>
        <w:footnoteReference w:id="20"/>
      </w:r>
      <w:r w:rsidRPr="00CA71FB">
        <w:rPr>
          <w:rFonts w:ascii="Arial" w:eastAsia="Times New Roman" w:hAnsi="Arial" w:cs="Arial"/>
          <w:i/>
          <w:vertAlign w:val="superscript"/>
          <w:lang w:val="es-ES" w:eastAsia="es-ES"/>
        </w:rPr>
        <w:t>.</w:t>
      </w:r>
    </w:p>
    <w:p w14:paraId="36B87769" w14:textId="6B78FFBE" w:rsidR="009157E3" w:rsidRPr="00CA71FB" w:rsidRDefault="009157E3" w:rsidP="009157E3">
      <w:pPr>
        <w:spacing w:before="120" w:after="0" w:line="276" w:lineRule="auto"/>
        <w:jc w:val="both"/>
        <w:rPr>
          <w:rFonts w:ascii="Arial" w:eastAsia="Calibri" w:hAnsi="Arial" w:cs="Arial"/>
          <w:bCs/>
          <w:lang w:val="es-MX"/>
        </w:rPr>
      </w:pPr>
      <w:r w:rsidRPr="00CA71FB">
        <w:rPr>
          <w:rFonts w:ascii="Arial" w:eastAsia="Calibri" w:hAnsi="Arial" w:cs="Arial"/>
          <w:bCs/>
          <w:lang w:val="es-MX"/>
        </w:rPr>
        <w:lastRenderedPageBreak/>
        <w:tab/>
      </w:r>
    </w:p>
    <w:p w14:paraId="5DC9C9F0" w14:textId="110807BE" w:rsidR="009157E3" w:rsidRDefault="009157E3" w:rsidP="009157E3">
      <w:pPr>
        <w:spacing w:before="120" w:after="0" w:line="276" w:lineRule="auto"/>
        <w:jc w:val="both"/>
        <w:rPr>
          <w:rFonts w:ascii="Arial" w:eastAsia="Calibri" w:hAnsi="Arial" w:cs="Arial"/>
          <w:color w:val="000000"/>
          <w:kern w:val="2"/>
          <w14:ligatures w14:val="standardContextual"/>
        </w:rPr>
      </w:pPr>
      <w:r w:rsidRPr="00CA71FB">
        <w:rPr>
          <w:rFonts w:ascii="Arial" w:eastAsia="Calibri" w:hAnsi="Arial" w:cs="Arial"/>
          <w:bCs/>
          <w:lang w:val="es-MX"/>
        </w:rPr>
        <w:tab/>
      </w:r>
      <w:r w:rsidR="00C5562B">
        <w:rPr>
          <w:rFonts w:ascii="Arial" w:eastAsia="Calibri" w:hAnsi="Arial" w:cs="Arial"/>
          <w:bCs/>
          <w:lang w:val="es-MX"/>
        </w:rPr>
        <w:t>Ahora bien</w:t>
      </w:r>
      <w:r w:rsidRPr="00CA71FB">
        <w:rPr>
          <w:rFonts w:ascii="Arial" w:eastAsia="Calibri" w:hAnsi="Arial" w:cs="Arial"/>
          <w:bCs/>
          <w:lang w:val="es-MX"/>
        </w:rPr>
        <w:t>, como se señaló en el considerando 2.3, uno de los deberes definidos en la Ley 1712 de 2014, que deben acatar los sujetos obligados, es publicar la información contractual en el SECOP.</w:t>
      </w:r>
      <w:r w:rsidRPr="00CA71FB">
        <w:rPr>
          <w:rFonts w:ascii="Calibri" w:eastAsia="Calibri" w:hAnsi="Calibri" w:cs="Times New Roman"/>
          <w:sz w:val="24"/>
          <w:lang w:val="es-MX"/>
        </w:rPr>
        <w:t xml:space="preserve"> </w:t>
      </w:r>
      <w:r w:rsidRPr="00CA71FB">
        <w:rPr>
          <w:rFonts w:ascii="Arial" w:eastAsia="Calibri" w:hAnsi="Arial" w:cs="Arial"/>
          <w:bCs/>
          <w:lang w:val="es-MX"/>
        </w:rPr>
        <w:t xml:space="preserve">El Decreto 1081 de 2015 reglamentó la materia estableciendo que la información contractual de los sujetos obligados que </w:t>
      </w:r>
      <w:r w:rsidRPr="00CA71FB">
        <w:rPr>
          <w:rFonts w:ascii="Arial" w:eastAsia="Calibri" w:hAnsi="Arial" w:cs="Arial"/>
          <w:bCs/>
          <w:i/>
          <w:iCs/>
          <w:lang w:val="es-MX"/>
        </w:rPr>
        <w:t>“contratan con cargo a recursos públicos”,</w:t>
      </w:r>
      <w:r w:rsidRPr="00CA71FB">
        <w:rPr>
          <w:rFonts w:ascii="Arial" w:eastAsia="Calibri" w:hAnsi="Arial" w:cs="Arial"/>
          <w:bCs/>
          <w:lang w:val="es-MX"/>
        </w:rPr>
        <w:t xml:space="preserve"> debe hacerse en el Sistema Electrónico para la Contratación Pública – SECOP–. </w:t>
      </w:r>
      <w:r w:rsidR="009D237D">
        <w:rPr>
          <w:rFonts w:ascii="Arial" w:eastAsia="Calibri" w:hAnsi="Arial" w:cs="Arial"/>
          <w:bCs/>
          <w:lang w:val="es-MX"/>
        </w:rPr>
        <w:t xml:space="preserve">Debe tenerse en cuenta que </w:t>
      </w:r>
      <w:r w:rsidRPr="00CA71FB">
        <w:rPr>
          <w:rFonts w:ascii="Arial" w:eastAsia="Calibri" w:hAnsi="Arial" w:cs="Arial"/>
          <w:bCs/>
          <w:lang w:val="es-MX"/>
        </w:rPr>
        <w:t xml:space="preserve"> </w:t>
      </w:r>
      <w:r w:rsidRPr="00CA71FB">
        <w:rPr>
          <w:rFonts w:ascii="Arial" w:eastAsia="Calibri" w:hAnsi="Arial" w:cs="Arial"/>
          <w:color w:val="000000"/>
          <w:kern w:val="2"/>
          <w14:ligatures w14:val="standardContextual"/>
        </w:rPr>
        <w:t xml:space="preserve">las Cajas de Compensación Familiar </w:t>
      </w:r>
      <w:r w:rsidR="004063DB">
        <w:rPr>
          <w:rFonts w:ascii="Arial" w:eastAsia="Calibri" w:hAnsi="Arial" w:cs="Arial"/>
          <w:color w:val="000000"/>
          <w:kern w:val="2"/>
          <w14:ligatures w14:val="standardContextual"/>
        </w:rPr>
        <w:t>son</w:t>
      </w:r>
      <w:r w:rsidRPr="00CA71FB">
        <w:rPr>
          <w:rFonts w:ascii="Arial" w:eastAsia="Calibri" w:hAnsi="Arial" w:cs="Arial"/>
          <w:color w:val="000000"/>
          <w:kern w:val="2"/>
          <w14:ligatures w14:val="standardContextual"/>
        </w:rPr>
        <w:t xml:space="preserve"> Entidades Sin Ánimo de Lucro que cumplen una función social mediante la administración del subsidio familiar, </w:t>
      </w:r>
      <w:r w:rsidR="009616D8">
        <w:rPr>
          <w:rFonts w:ascii="Arial" w:eastAsia="Calibri" w:hAnsi="Arial" w:cs="Arial"/>
          <w:color w:val="000000"/>
          <w:kern w:val="2"/>
          <w14:ligatures w14:val="standardContextual"/>
        </w:rPr>
        <w:t xml:space="preserve">dicho lo anterior corresponde a cada entidad </w:t>
      </w:r>
      <w:r w:rsidR="00383E35">
        <w:rPr>
          <w:rFonts w:ascii="Arial" w:eastAsia="Calibri" w:hAnsi="Arial" w:cs="Arial"/>
          <w:color w:val="000000"/>
          <w:kern w:val="2"/>
          <w14:ligatures w14:val="standardContextual"/>
        </w:rPr>
        <w:t>estatal</w:t>
      </w:r>
      <w:r w:rsidR="009616D8">
        <w:rPr>
          <w:rFonts w:ascii="Arial" w:eastAsia="Calibri" w:hAnsi="Arial" w:cs="Arial"/>
          <w:color w:val="000000"/>
          <w:kern w:val="2"/>
          <w14:ligatures w14:val="standardContextual"/>
        </w:rPr>
        <w:t xml:space="preserve">, como estructuradora </w:t>
      </w:r>
      <w:r w:rsidR="00383E35">
        <w:rPr>
          <w:rFonts w:ascii="Arial" w:eastAsia="Calibri" w:hAnsi="Arial" w:cs="Arial"/>
          <w:color w:val="000000"/>
          <w:kern w:val="2"/>
          <w14:ligatures w14:val="standardContextual"/>
        </w:rPr>
        <w:t xml:space="preserve">del proceso de </w:t>
      </w:r>
      <w:r w:rsidR="00881944">
        <w:rPr>
          <w:rFonts w:ascii="Arial" w:eastAsia="Calibri" w:hAnsi="Arial" w:cs="Arial"/>
          <w:color w:val="000000"/>
          <w:kern w:val="2"/>
          <w14:ligatures w14:val="standardContextual"/>
        </w:rPr>
        <w:t>contratación</w:t>
      </w:r>
      <w:r w:rsidR="00BB7D27">
        <w:rPr>
          <w:rFonts w:ascii="Arial" w:eastAsia="Calibri" w:hAnsi="Arial" w:cs="Arial"/>
          <w:color w:val="000000"/>
          <w:kern w:val="2"/>
          <w14:ligatures w14:val="standardContextual"/>
        </w:rPr>
        <w:t>, verificar si la</w:t>
      </w:r>
      <w:r w:rsidRPr="00CA71FB">
        <w:rPr>
          <w:rFonts w:ascii="Arial" w:eastAsia="Calibri" w:hAnsi="Arial" w:cs="Arial"/>
          <w:color w:val="000000"/>
          <w:kern w:val="2"/>
          <w14:ligatures w14:val="standardContextual"/>
        </w:rPr>
        <w:t xml:space="preserve"> información contractual </w:t>
      </w:r>
      <w:r w:rsidR="00BB7D27">
        <w:rPr>
          <w:rFonts w:ascii="Arial" w:eastAsia="Calibri" w:hAnsi="Arial" w:cs="Arial"/>
          <w:color w:val="000000"/>
          <w:kern w:val="2"/>
          <w14:ligatures w14:val="standardContextual"/>
        </w:rPr>
        <w:t xml:space="preserve">debe ser publicada </w:t>
      </w:r>
      <w:r w:rsidRPr="00CA71FB">
        <w:rPr>
          <w:rFonts w:ascii="Arial" w:eastAsia="Calibri" w:hAnsi="Arial" w:cs="Arial"/>
          <w:color w:val="000000"/>
          <w:kern w:val="2"/>
          <w14:ligatures w14:val="standardContextual"/>
        </w:rPr>
        <w:t>en el SECOP</w:t>
      </w:r>
      <w:r w:rsidR="00BB7D27">
        <w:rPr>
          <w:rFonts w:ascii="Arial" w:eastAsia="Calibri" w:hAnsi="Arial" w:cs="Arial"/>
          <w:color w:val="000000"/>
          <w:kern w:val="2"/>
          <w14:ligatures w14:val="standardContextual"/>
        </w:rPr>
        <w:t xml:space="preserve"> o no</w:t>
      </w:r>
      <w:r w:rsidRPr="00CA71FB">
        <w:rPr>
          <w:rFonts w:ascii="Arial" w:eastAsia="Calibri" w:hAnsi="Arial" w:cs="Arial"/>
          <w:color w:val="000000"/>
          <w:kern w:val="2"/>
          <w14:ligatures w14:val="standardContextual"/>
        </w:rPr>
        <w:t xml:space="preserve">, </w:t>
      </w:r>
      <w:r w:rsidR="00BB7D27">
        <w:rPr>
          <w:rFonts w:ascii="Arial" w:eastAsia="Calibri" w:hAnsi="Arial" w:cs="Arial"/>
          <w:color w:val="000000"/>
          <w:kern w:val="2"/>
          <w14:ligatures w14:val="standardContextual"/>
        </w:rPr>
        <w:t>partiendo de la verificación del hecho  de si se</w:t>
      </w:r>
      <w:r w:rsidRPr="00CA71FB">
        <w:rPr>
          <w:rFonts w:ascii="Arial" w:eastAsia="Calibri" w:hAnsi="Arial" w:cs="Arial"/>
          <w:color w:val="000000"/>
          <w:kern w:val="2"/>
          <w14:ligatures w14:val="standardContextual"/>
        </w:rPr>
        <w:t xml:space="preserve"> contrata</w:t>
      </w:r>
      <w:r w:rsidR="00147A93">
        <w:rPr>
          <w:rFonts w:ascii="Arial" w:eastAsia="Calibri" w:hAnsi="Arial" w:cs="Arial"/>
          <w:color w:val="000000"/>
          <w:kern w:val="2"/>
          <w14:ligatures w14:val="standardContextual"/>
        </w:rPr>
        <w:t xml:space="preserve"> </w:t>
      </w:r>
      <w:r w:rsidRPr="00CA71FB">
        <w:rPr>
          <w:rFonts w:ascii="Arial" w:eastAsia="Calibri" w:hAnsi="Arial" w:cs="Arial"/>
          <w:color w:val="000000"/>
          <w:kern w:val="2"/>
          <w14:ligatures w14:val="standardContextual"/>
        </w:rPr>
        <w:t xml:space="preserve">con cargo a recursos públicos </w:t>
      </w:r>
      <w:r w:rsidR="00E70E6D">
        <w:rPr>
          <w:rFonts w:ascii="Arial" w:eastAsia="Calibri" w:hAnsi="Arial" w:cs="Arial"/>
          <w:color w:val="000000"/>
          <w:kern w:val="2"/>
          <w14:ligatures w14:val="standardContextual"/>
        </w:rPr>
        <w:t>o no.</w:t>
      </w:r>
    </w:p>
    <w:p w14:paraId="6FF9C7A7" w14:textId="008F7CBB" w:rsidR="00356564" w:rsidRDefault="00356564" w:rsidP="00356564">
      <w:pPr>
        <w:spacing w:before="120" w:after="0" w:line="276" w:lineRule="auto"/>
        <w:ind w:firstLine="708"/>
        <w:jc w:val="both"/>
        <w:rPr>
          <w:rFonts w:ascii="Arial" w:eastAsia="Calibri" w:hAnsi="Arial" w:cs="Arial"/>
          <w:color w:val="000000"/>
          <w:kern w:val="2"/>
          <w14:ligatures w14:val="standardContextual"/>
        </w:rPr>
      </w:pPr>
      <w:r>
        <w:rPr>
          <w:rFonts w:ascii="Arial" w:eastAsia="Calibri" w:hAnsi="Arial" w:cs="Arial"/>
          <w:color w:val="000000"/>
          <w:kern w:val="2"/>
          <w14:ligatures w14:val="standardContextual"/>
        </w:rPr>
        <w:t xml:space="preserve">Por </w:t>
      </w:r>
      <w:proofErr w:type="spellStart"/>
      <w:r>
        <w:rPr>
          <w:rFonts w:ascii="Arial" w:eastAsia="Calibri" w:hAnsi="Arial" w:cs="Arial"/>
          <w:color w:val="000000"/>
          <w:kern w:val="2"/>
          <w14:ligatures w14:val="standardContextual"/>
        </w:rPr>
        <w:t>ultimo</w:t>
      </w:r>
      <w:proofErr w:type="spellEnd"/>
      <w:r>
        <w:rPr>
          <w:rFonts w:ascii="Arial" w:eastAsia="Calibri" w:hAnsi="Arial" w:cs="Arial"/>
          <w:color w:val="000000"/>
          <w:kern w:val="2"/>
          <w14:ligatures w14:val="standardContextual"/>
        </w:rPr>
        <w:t>, e</w:t>
      </w:r>
      <w:r w:rsidRPr="00356564">
        <w:rPr>
          <w:rFonts w:ascii="Arial" w:eastAsia="Calibri" w:hAnsi="Arial" w:cs="Arial"/>
          <w:color w:val="000000"/>
          <w:kern w:val="2"/>
          <w14:ligatures w14:val="standardContextual"/>
        </w:rPr>
        <w:t xml:space="preserve">sta Agencia considera que, la obligación de publicar en el SECOP II todos los documentos relacionados con la actividad contractual de las entidades con regímenes especiales contenida en el artículo 53 de la Ley 2195 de 2022 debe interpretarse de forma sistemática con los preceptos que existen sobre la materia, entre otros, los siguientes enunciados normativos: i) los artículos 74 y 209 de la Constitución, ii) el artículo 3, literal c) de la Ley 1150 de 2007, </w:t>
      </w:r>
      <w:proofErr w:type="spellStart"/>
      <w:r w:rsidRPr="00CF7662">
        <w:rPr>
          <w:rFonts w:ascii="Arial" w:eastAsia="Calibri" w:hAnsi="Arial" w:cs="Arial"/>
          <w:color w:val="000000"/>
          <w:kern w:val="2"/>
          <w:u w:val="single"/>
          <w14:ligatures w14:val="standardContextual"/>
        </w:rPr>
        <w:t>iii</w:t>
      </w:r>
      <w:proofErr w:type="spellEnd"/>
      <w:r w:rsidRPr="00CF7662">
        <w:rPr>
          <w:rFonts w:ascii="Arial" w:eastAsia="Calibri" w:hAnsi="Arial" w:cs="Arial"/>
          <w:color w:val="000000"/>
          <w:kern w:val="2"/>
          <w:u w:val="single"/>
          <w14:ligatures w14:val="standardContextual"/>
        </w:rPr>
        <w:t>) los artículos 3, 9, literal e) y 11, literal g), de la Ley 1712 de 2014</w:t>
      </w:r>
      <w:r w:rsidRPr="00356564">
        <w:rPr>
          <w:rFonts w:ascii="Arial" w:eastAsia="Calibri" w:hAnsi="Arial" w:cs="Arial"/>
          <w:color w:val="000000"/>
          <w:kern w:val="2"/>
          <w14:ligatures w14:val="standardContextual"/>
        </w:rPr>
        <w:t>, y iv) los artículos 7 al 10 del Decreto 103 de 2015 –compilado en los artículos 2.1.1.1.1. al 2.1.1.6.1. del Decreto 1081 de 2015–.</w:t>
      </w:r>
    </w:p>
    <w:p w14:paraId="1F32632D" w14:textId="3A1B57BB" w:rsidR="007868C2" w:rsidRPr="00CA71FB" w:rsidRDefault="007868C2" w:rsidP="009157E3">
      <w:pPr>
        <w:spacing w:before="120" w:after="0" w:line="276" w:lineRule="auto"/>
        <w:jc w:val="both"/>
        <w:rPr>
          <w:rFonts w:ascii="Arial" w:eastAsia="Calibri" w:hAnsi="Arial" w:cs="Arial"/>
          <w:bCs/>
          <w:lang w:val="es-MX"/>
        </w:rPr>
      </w:pPr>
      <w:r>
        <w:rPr>
          <w:rFonts w:ascii="Arial" w:eastAsia="Calibri" w:hAnsi="Arial" w:cs="Arial"/>
          <w:color w:val="000000"/>
          <w:kern w:val="2"/>
          <w14:ligatures w14:val="standardContextual"/>
        </w:rPr>
        <w:t>Se reitera que, e</w:t>
      </w:r>
      <w:r w:rsidRPr="007868C2">
        <w:rPr>
          <w:rFonts w:ascii="Arial" w:eastAsia="Calibri" w:hAnsi="Arial" w:cs="Arial"/>
          <w:color w:val="000000"/>
          <w:kern w:val="2"/>
          <w14:ligatures w14:val="standardContextual"/>
        </w:rPr>
        <w:t xml:space="preserve">n todo caso, corresponde a cada entidad estatal realizar el correspondiente análisis para determinar si procede o no la </w:t>
      </w:r>
      <w:r w:rsidR="00A878E5">
        <w:rPr>
          <w:rFonts w:ascii="Arial" w:eastAsia="Calibri" w:hAnsi="Arial" w:cs="Arial"/>
          <w:color w:val="000000"/>
          <w:kern w:val="2"/>
          <w14:ligatures w14:val="standardContextual"/>
        </w:rPr>
        <w:t>publicación en SECOP de un determinado proceso</w:t>
      </w:r>
      <w:r w:rsidR="008C65D1">
        <w:rPr>
          <w:rFonts w:ascii="Arial" w:eastAsia="Calibri" w:hAnsi="Arial" w:cs="Arial"/>
          <w:color w:val="000000"/>
          <w:kern w:val="2"/>
          <w14:ligatures w14:val="standardContextual"/>
        </w:rPr>
        <w:t xml:space="preserve">, </w:t>
      </w:r>
      <w:r w:rsidRPr="007868C2">
        <w:rPr>
          <w:rFonts w:ascii="Arial" w:eastAsia="Calibri" w:hAnsi="Arial" w:cs="Arial"/>
          <w:color w:val="000000"/>
          <w:kern w:val="2"/>
          <w14:ligatures w14:val="standardContextual"/>
        </w:rPr>
        <w:t xml:space="preserve">de acuerdo con la situación fáctica y jurídica particular del caso concreto, para lo cual las consideraciones expuestas en el presente concepto </w:t>
      </w:r>
      <w:r w:rsidRPr="008C65D1">
        <w:rPr>
          <w:rFonts w:ascii="Arial" w:eastAsia="Calibri" w:hAnsi="Arial" w:cs="Arial"/>
          <w:color w:val="000000"/>
          <w:kern w:val="2"/>
          <w:u w:val="single"/>
          <w14:ligatures w14:val="standardContextual"/>
        </w:rPr>
        <w:t>constituyen un instrumento orientador</w:t>
      </w:r>
      <w:r w:rsidRPr="007868C2">
        <w:rPr>
          <w:rFonts w:ascii="Arial" w:eastAsia="Calibri" w:hAnsi="Arial" w:cs="Arial"/>
          <w:color w:val="000000"/>
          <w:kern w:val="2"/>
          <w14:ligatures w14:val="standardContextual"/>
        </w:rPr>
        <w:t>. Lo anterior en razón a que,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w:t>
      </w:r>
    </w:p>
    <w:p w14:paraId="2154F161" w14:textId="77777777" w:rsidR="009157E3" w:rsidRPr="00CA71FB" w:rsidRDefault="009157E3" w:rsidP="009157E3">
      <w:pPr>
        <w:spacing w:before="120" w:after="0" w:line="276" w:lineRule="auto"/>
        <w:jc w:val="both"/>
        <w:rPr>
          <w:rFonts w:ascii="Arial" w:eastAsia="Calibri" w:hAnsi="Arial" w:cs="Arial"/>
          <w:color w:val="000000"/>
          <w:kern w:val="2"/>
          <w14:ligatures w14:val="standardContextual"/>
        </w:rPr>
      </w:pPr>
    </w:p>
    <w:p w14:paraId="52BCCD03"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r w:rsidRPr="00CA71FB">
        <w:rPr>
          <w:rFonts w:ascii="Arial" w:eastAsia="Calibri" w:hAnsi="Arial" w:cs="Arial"/>
          <w:color w:val="000000"/>
          <w:kern w:val="2"/>
          <w14:ligatures w14:val="standardContextua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3011BD77" w14:textId="77777777" w:rsidR="009157E3" w:rsidRPr="00CA71FB" w:rsidRDefault="009157E3" w:rsidP="009157E3">
      <w:pPr>
        <w:spacing w:after="0" w:line="276" w:lineRule="auto"/>
        <w:jc w:val="both"/>
        <w:rPr>
          <w:rFonts w:ascii="Arial" w:eastAsia="Calibri" w:hAnsi="Arial" w:cs="Arial"/>
          <w:color w:val="000000"/>
          <w:kern w:val="2"/>
          <w14:ligatures w14:val="standardContextual"/>
        </w:rPr>
      </w:pPr>
    </w:p>
    <w:p w14:paraId="339E3BBF" w14:textId="77777777" w:rsidR="009157E3" w:rsidRPr="00CA71FB" w:rsidRDefault="009157E3" w:rsidP="009157E3">
      <w:pPr>
        <w:spacing w:after="0" w:line="240" w:lineRule="auto"/>
        <w:rPr>
          <w:rFonts w:ascii="Arial" w:eastAsia="Calibri" w:hAnsi="Arial" w:cs="Arial"/>
          <w:bCs/>
          <w:lang w:val="es-MX"/>
        </w:rPr>
      </w:pPr>
      <w:r w:rsidRPr="00CA71FB">
        <w:rPr>
          <w:rFonts w:ascii="Arial" w:eastAsia="Calibri" w:hAnsi="Arial" w:cs="Arial"/>
          <w:bCs/>
          <w:lang w:val="es-MX"/>
        </w:rPr>
        <w:t>Atentamente,</w:t>
      </w:r>
    </w:p>
    <w:p w14:paraId="5866ED18" w14:textId="77777777" w:rsidR="009157E3" w:rsidRPr="00CA71FB" w:rsidRDefault="009157E3" w:rsidP="009157E3">
      <w:pPr>
        <w:spacing w:after="0" w:line="240" w:lineRule="auto"/>
        <w:rPr>
          <w:rFonts w:ascii="Arial" w:eastAsia="Calibri" w:hAnsi="Arial" w:cs="Arial"/>
          <w:bCs/>
          <w:lang w:val="es-MX"/>
        </w:rPr>
      </w:pPr>
    </w:p>
    <w:p w14:paraId="7FA2A255" w14:textId="33988BBD" w:rsidR="009157E3" w:rsidRPr="00CA71FB" w:rsidRDefault="00F15E82" w:rsidP="009157E3">
      <w:pPr>
        <w:spacing w:after="0" w:line="240" w:lineRule="auto"/>
        <w:jc w:val="center"/>
        <w:rPr>
          <w:rFonts w:ascii="Arial" w:eastAsia="Times New Roman" w:hAnsi="Arial" w:cs="Arial"/>
          <w:lang w:val="es-MX" w:eastAsia="es-CO"/>
        </w:rPr>
      </w:pPr>
      <w:r>
        <w:rPr>
          <w:rFonts w:ascii="Calibri" w:hAnsi="Calibri" w:cs="Calibri"/>
          <w:color w:val="000000"/>
          <w:shd w:val="clear" w:color="auto" w:fill="FFFFFF"/>
        </w:rPr>
        <w:lastRenderedPageBreak/>
        <w:br/>
      </w:r>
      <w:r w:rsidR="0024658F" w:rsidRPr="0024658F">
        <w:rPr>
          <w:rFonts w:ascii="Calibri" w:eastAsia="Calibri" w:hAnsi="Calibri" w:cs="Times New Roman"/>
          <w:noProof/>
          <w:lang w:val="es-ES"/>
        </w:rPr>
        <w:drawing>
          <wp:inline distT="0" distB="0" distL="0" distR="0" wp14:anchorId="7E359DB5" wp14:editId="69F036F7">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r w:rsidR="009157E3" w:rsidRPr="00CA71FB">
        <w:rPr>
          <w:rFonts w:ascii="Arial" w:eastAsia="Calibri" w:hAnsi="Arial" w:cs="Arial"/>
          <w:color w:val="3B3838"/>
          <w:shd w:val="clear" w:color="auto" w:fill="FFFFFF"/>
          <w:lang w:val="es-ES"/>
        </w:rPr>
        <w:br/>
      </w:r>
      <w:r w:rsidR="009157E3" w:rsidRPr="00CA71FB">
        <w:rPr>
          <w:rFonts w:ascii="Arial" w:eastAsia="Calibri" w:hAnsi="Arial" w:cs="Arial"/>
          <w:color w:val="000000"/>
          <w:shd w:val="clear" w:color="auto" w:fill="FFFFFF"/>
          <w:lang w:val="es-MX"/>
        </w:rPr>
        <w:br/>
      </w: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06"/>
      </w:tblGrid>
      <w:tr w:rsidR="009157E3" w:rsidRPr="00CA71FB" w14:paraId="0F94002D" w14:textId="77777777" w:rsidTr="0062443E">
        <w:trPr>
          <w:trHeight w:val="287"/>
        </w:trPr>
        <w:tc>
          <w:tcPr>
            <w:tcW w:w="1221" w:type="dxa"/>
            <w:vAlign w:val="center"/>
            <w:hideMark/>
          </w:tcPr>
          <w:p w14:paraId="1D3A974F" w14:textId="77777777" w:rsidR="009157E3" w:rsidRPr="00CA71FB" w:rsidRDefault="009157E3" w:rsidP="0062443E">
            <w:pPr>
              <w:rPr>
                <w:rFonts w:ascii="Arial" w:eastAsia="Calibri" w:hAnsi="Arial" w:cs="Arial"/>
                <w:sz w:val="18"/>
                <w:szCs w:val="18"/>
                <w:lang w:val="es-MX" w:eastAsia="es-ES"/>
              </w:rPr>
            </w:pPr>
            <w:r w:rsidRPr="00CA71FB">
              <w:rPr>
                <w:rFonts w:ascii="Arial" w:eastAsia="Calibri" w:hAnsi="Arial" w:cs="Arial"/>
                <w:sz w:val="18"/>
                <w:szCs w:val="18"/>
                <w:lang w:val="es-MX" w:eastAsia="es-ES"/>
              </w:rPr>
              <w:t>Elaboró:</w:t>
            </w:r>
          </w:p>
        </w:tc>
        <w:tc>
          <w:tcPr>
            <w:tcW w:w="5206" w:type="dxa"/>
            <w:tcBorders>
              <w:top w:val="nil"/>
              <w:left w:val="nil"/>
              <w:bottom w:val="dotted" w:sz="4" w:space="0" w:color="7F7F7F"/>
              <w:right w:val="nil"/>
            </w:tcBorders>
            <w:vAlign w:val="center"/>
            <w:hideMark/>
          </w:tcPr>
          <w:p w14:paraId="6BCB720F" w14:textId="77777777" w:rsidR="009157E3" w:rsidRPr="00CA71FB" w:rsidRDefault="009157E3" w:rsidP="0062443E">
            <w:pPr>
              <w:rPr>
                <w:rFonts w:ascii="Arial" w:eastAsia="Calibri" w:hAnsi="Arial" w:cs="Arial"/>
                <w:sz w:val="18"/>
                <w:szCs w:val="18"/>
                <w:lang w:val="es-MX" w:eastAsia="es-ES"/>
              </w:rPr>
            </w:pPr>
          </w:p>
          <w:p w14:paraId="66790FE5" w14:textId="77777777" w:rsidR="008C694A" w:rsidRPr="008C694A" w:rsidRDefault="008C694A" w:rsidP="008C694A">
            <w:pPr>
              <w:rPr>
                <w:rFonts w:ascii="Arial" w:eastAsia="Calibri" w:hAnsi="Arial" w:cs="Arial"/>
                <w:sz w:val="18"/>
                <w:szCs w:val="18"/>
                <w:lang w:val="es-MX" w:eastAsia="es-ES"/>
              </w:rPr>
            </w:pPr>
            <w:r w:rsidRPr="008C694A">
              <w:rPr>
                <w:rFonts w:ascii="Arial" w:eastAsia="Calibri" w:hAnsi="Arial" w:cs="Arial"/>
                <w:sz w:val="18"/>
                <w:szCs w:val="18"/>
                <w:lang w:val="es-MX" w:eastAsia="es-ES"/>
              </w:rPr>
              <w:t>Gabriel Alejandro Murcia Taboada</w:t>
            </w:r>
          </w:p>
          <w:p w14:paraId="171B5B8D" w14:textId="4D63A4A0" w:rsidR="009157E3" w:rsidRPr="00CA71FB" w:rsidRDefault="008C694A" w:rsidP="008C694A">
            <w:pPr>
              <w:rPr>
                <w:rFonts w:ascii="Arial" w:eastAsia="Calibri" w:hAnsi="Arial" w:cs="Arial"/>
                <w:sz w:val="18"/>
                <w:szCs w:val="18"/>
                <w:lang w:val="es-MX" w:eastAsia="es-ES"/>
              </w:rPr>
            </w:pPr>
            <w:r w:rsidRPr="008C694A">
              <w:rPr>
                <w:rFonts w:ascii="Arial" w:eastAsia="Calibri" w:hAnsi="Arial" w:cs="Arial"/>
                <w:sz w:val="18"/>
                <w:szCs w:val="18"/>
                <w:lang w:val="es-MX" w:eastAsia="es-ES"/>
              </w:rPr>
              <w:t>Contratista de la Subdirección de Gestión Contractual</w:t>
            </w:r>
          </w:p>
        </w:tc>
      </w:tr>
      <w:tr w:rsidR="009157E3" w:rsidRPr="00CA71FB" w14:paraId="474DE90E" w14:textId="77777777" w:rsidTr="0062443E">
        <w:trPr>
          <w:trHeight w:val="300"/>
        </w:trPr>
        <w:tc>
          <w:tcPr>
            <w:tcW w:w="1221" w:type="dxa"/>
            <w:vAlign w:val="center"/>
            <w:hideMark/>
          </w:tcPr>
          <w:p w14:paraId="3BD76A8E" w14:textId="77777777" w:rsidR="009157E3" w:rsidRPr="00CA71FB" w:rsidRDefault="009157E3" w:rsidP="0062443E">
            <w:pPr>
              <w:rPr>
                <w:rFonts w:ascii="Arial" w:eastAsia="Calibri" w:hAnsi="Arial" w:cs="Arial"/>
                <w:sz w:val="18"/>
                <w:szCs w:val="18"/>
                <w:lang w:val="es-MX" w:eastAsia="es-ES"/>
              </w:rPr>
            </w:pPr>
            <w:r w:rsidRPr="00CA71FB">
              <w:rPr>
                <w:rFonts w:ascii="Arial" w:eastAsia="Calibri" w:hAnsi="Arial" w:cs="Arial"/>
                <w:sz w:val="18"/>
                <w:szCs w:val="18"/>
                <w:lang w:val="es-MX" w:eastAsia="es-ES"/>
              </w:rPr>
              <w:t>Revisó:</w:t>
            </w:r>
          </w:p>
        </w:tc>
        <w:tc>
          <w:tcPr>
            <w:tcW w:w="5206" w:type="dxa"/>
            <w:tcBorders>
              <w:top w:val="dotted" w:sz="4" w:space="0" w:color="7F7F7F"/>
              <w:left w:val="nil"/>
              <w:bottom w:val="dotted" w:sz="4" w:space="0" w:color="7F7F7F"/>
              <w:right w:val="nil"/>
            </w:tcBorders>
            <w:vAlign w:val="center"/>
            <w:hideMark/>
          </w:tcPr>
          <w:p w14:paraId="1FFCA01D" w14:textId="77777777" w:rsidR="008C694A" w:rsidRPr="008C694A" w:rsidRDefault="008C694A" w:rsidP="008C694A">
            <w:pPr>
              <w:rPr>
                <w:rFonts w:ascii="Arial" w:eastAsia="Calibri" w:hAnsi="Arial" w:cs="Arial"/>
                <w:sz w:val="18"/>
                <w:szCs w:val="18"/>
                <w:lang w:val="es-MX" w:eastAsia="es-ES"/>
              </w:rPr>
            </w:pPr>
            <w:r w:rsidRPr="008C694A">
              <w:rPr>
                <w:rFonts w:ascii="Arial" w:eastAsia="Calibri" w:hAnsi="Arial" w:cs="Arial"/>
                <w:sz w:val="18"/>
                <w:szCs w:val="18"/>
                <w:lang w:val="es-MX" w:eastAsia="es-ES"/>
              </w:rPr>
              <w:t>Juan David Cárdenas Cabeza</w:t>
            </w:r>
          </w:p>
          <w:p w14:paraId="23C49326" w14:textId="78EA7077" w:rsidR="009157E3" w:rsidRPr="00CA71FB" w:rsidRDefault="008C694A" w:rsidP="008C694A">
            <w:pPr>
              <w:rPr>
                <w:rFonts w:ascii="Arial" w:eastAsia="Calibri" w:hAnsi="Arial" w:cs="Arial"/>
                <w:sz w:val="18"/>
                <w:szCs w:val="18"/>
                <w:lang w:val="es-MX" w:eastAsia="es-ES"/>
              </w:rPr>
            </w:pPr>
            <w:r w:rsidRPr="008C694A">
              <w:rPr>
                <w:rFonts w:ascii="Arial" w:eastAsia="Calibri" w:hAnsi="Arial" w:cs="Arial"/>
                <w:sz w:val="18"/>
                <w:szCs w:val="18"/>
                <w:lang w:val="es-MX" w:eastAsia="es-ES"/>
              </w:rPr>
              <w:t xml:space="preserve">Contratista de la Subdirección de Gestión Contractual  </w:t>
            </w:r>
            <w:r>
              <w:rPr>
                <w:rFonts w:ascii="Arial" w:eastAsia="Calibri" w:hAnsi="Arial" w:cs="Arial"/>
                <w:sz w:val="18"/>
                <w:szCs w:val="18"/>
                <w:lang w:val="es-MX" w:eastAsia="es-ES"/>
              </w:rPr>
              <w:t xml:space="preserve"> </w:t>
            </w:r>
          </w:p>
        </w:tc>
      </w:tr>
      <w:tr w:rsidR="009157E3" w:rsidRPr="00CA71FB" w14:paraId="024C1B2D" w14:textId="77777777" w:rsidTr="0062443E">
        <w:trPr>
          <w:trHeight w:val="273"/>
        </w:trPr>
        <w:tc>
          <w:tcPr>
            <w:tcW w:w="1221" w:type="dxa"/>
            <w:vAlign w:val="center"/>
            <w:hideMark/>
          </w:tcPr>
          <w:p w14:paraId="12F2862C" w14:textId="77777777" w:rsidR="009157E3" w:rsidRPr="00CA71FB" w:rsidRDefault="009157E3" w:rsidP="0062443E">
            <w:pPr>
              <w:rPr>
                <w:rFonts w:ascii="Arial" w:eastAsia="Calibri" w:hAnsi="Arial" w:cs="Arial"/>
                <w:sz w:val="18"/>
                <w:szCs w:val="18"/>
                <w:lang w:val="es-MX" w:eastAsia="es-ES"/>
              </w:rPr>
            </w:pPr>
            <w:r w:rsidRPr="00CA71FB">
              <w:rPr>
                <w:rFonts w:ascii="Arial" w:eastAsia="Calibri" w:hAnsi="Arial" w:cs="Arial"/>
                <w:sz w:val="18"/>
                <w:szCs w:val="18"/>
                <w:lang w:val="es-MX" w:eastAsia="es-ES"/>
              </w:rPr>
              <w:t>Aprobó:</w:t>
            </w:r>
          </w:p>
        </w:tc>
        <w:tc>
          <w:tcPr>
            <w:tcW w:w="5206" w:type="dxa"/>
            <w:tcBorders>
              <w:top w:val="dotted" w:sz="4" w:space="0" w:color="7F7F7F"/>
              <w:left w:val="nil"/>
              <w:bottom w:val="dotted" w:sz="4" w:space="0" w:color="7F7F7F"/>
              <w:right w:val="nil"/>
            </w:tcBorders>
            <w:vAlign w:val="center"/>
            <w:hideMark/>
          </w:tcPr>
          <w:p w14:paraId="7D11EF6B" w14:textId="77777777" w:rsidR="009157E3" w:rsidRPr="00CA71FB" w:rsidRDefault="009157E3" w:rsidP="0062443E">
            <w:pPr>
              <w:rPr>
                <w:rFonts w:ascii="Arial" w:eastAsia="Calibri" w:hAnsi="Arial" w:cs="Arial"/>
                <w:sz w:val="18"/>
                <w:szCs w:val="18"/>
                <w:lang w:val="es-MX" w:eastAsia="es-ES"/>
              </w:rPr>
            </w:pPr>
            <w:r w:rsidRPr="00CA71FB">
              <w:rPr>
                <w:rFonts w:ascii="Arial" w:eastAsia="Calibri" w:hAnsi="Arial" w:cs="Arial"/>
                <w:sz w:val="18"/>
                <w:szCs w:val="18"/>
                <w:lang w:val="es-MX" w:eastAsia="es-ES"/>
              </w:rPr>
              <w:t>Nohelia del Carmen Zawady Palacio</w:t>
            </w:r>
          </w:p>
          <w:p w14:paraId="341AC6DF" w14:textId="77777777" w:rsidR="009157E3" w:rsidRPr="00CA71FB" w:rsidRDefault="009157E3" w:rsidP="0062443E">
            <w:pPr>
              <w:rPr>
                <w:rFonts w:ascii="Arial" w:eastAsia="Calibri" w:hAnsi="Arial" w:cs="Arial"/>
                <w:sz w:val="18"/>
                <w:szCs w:val="18"/>
                <w:lang w:val="es-MX" w:eastAsia="es-ES"/>
              </w:rPr>
            </w:pPr>
            <w:r w:rsidRPr="00CA71FB">
              <w:rPr>
                <w:rFonts w:ascii="Arial" w:eastAsia="Calibri" w:hAnsi="Arial" w:cs="Arial"/>
                <w:sz w:val="18"/>
                <w:szCs w:val="18"/>
                <w:lang w:val="es-MX" w:eastAsia="es-ES"/>
              </w:rPr>
              <w:t>Subdirectora de Gestión Contractual ANCP – CCE</w:t>
            </w:r>
          </w:p>
        </w:tc>
      </w:tr>
    </w:tbl>
    <w:p w14:paraId="3CBB4FBC" w14:textId="77777777" w:rsidR="009157E3" w:rsidRPr="00CA71FB" w:rsidRDefault="009157E3" w:rsidP="009157E3">
      <w:pPr>
        <w:spacing w:after="0" w:line="240" w:lineRule="auto"/>
        <w:jc w:val="center"/>
        <w:rPr>
          <w:rFonts w:ascii="Arial" w:eastAsia="Calibri" w:hAnsi="Arial" w:cs="Arial"/>
          <w:sz w:val="18"/>
          <w:szCs w:val="18"/>
          <w:lang w:val="es-MX" w:eastAsia="es-CO"/>
        </w:rPr>
      </w:pPr>
    </w:p>
    <w:p w14:paraId="78EEB696" w14:textId="77777777" w:rsidR="009157E3" w:rsidRPr="00CA71FB" w:rsidRDefault="009157E3" w:rsidP="009157E3">
      <w:pPr>
        <w:spacing w:after="0" w:line="240" w:lineRule="auto"/>
        <w:jc w:val="center"/>
        <w:rPr>
          <w:rFonts w:ascii="Arial" w:eastAsia="Calibri" w:hAnsi="Arial" w:cs="Arial"/>
          <w:lang w:val="es-ES_tradnl" w:eastAsia="es-CO"/>
        </w:rPr>
      </w:pPr>
    </w:p>
    <w:p w14:paraId="78DFA0C9" w14:textId="77777777" w:rsidR="009157E3" w:rsidRDefault="009157E3" w:rsidP="009157E3">
      <w:pPr>
        <w:spacing w:after="0"/>
        <w:rPr>
          <w:rFonts w:ascii="Arial Nova" w:hAnsi="Arial Nova"/>
          <w:color w:val="000000" w:themeColor="text1"/>
        </w:rPr>
      </w:pPr>
    </w:p>
    <w:p w14:paraId="36282872" w14:textId="77777777" w:rsidR="009157E3" w:rsidRPr="007566FE" w:rsidRDefault="009157E3" w:rsidP="009157E3">
      <w:pPr>
        <w:spacing w:after="0"/>
        <w:rPr>
          <w:rFonts w:ascii="Arial Nova" w:hAnsi="Arial Nova"/>
          <w:color w:val="000000" w:themeColor="text1"/>
        </w:rPr>
      </w:pPr>
    </w:p>
    <w:p w14:paraId="1F206453" w14:textId="77777777" w:rsidR="008E5C2E" w:rsidRDefault="008E5C2E"/>
    <w:sectPr w:rsidR="008E5C2E"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47C0" w14:textId="77777777" w:rsidR="00EB08B3" w:rsidRDefault="00EB08B3" w:rsidP="009157E3">
      <w:pPr>
        <w:spacing w:after="0" w:line="240" w:lineRule="auto"/>
      </w:pPr>
      <w:r>
        <w:separator/>
      </w:r>
    </w:p>
  </w:endnote>
  <w:endnote w:type="continuationSeparator" w:id="0">
    <w:p w14:paraId="61D24557" w14:textId="77777777" w:rsidR="00EB08B3" w:rsidRDefault="00EB08B3" w:rsidP="0091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8649" w14:textId="77777777" w:rsidR="00503BE0" w:rsidRDefault="009157E3" w:rsidP="008614E5">
    <w:pPr>
      <w:pStyle w:val="Piedepgina"/>
    </w:pPr>
    <w:r>
      <w:rPr>
        <w:noProof/>
      </w:rPr>
      <w:drawing>
        <wp:inline distT="0" distB="0" distL="0" distR="0" wp14:anchorId="765EDAE5" wp14:editId="30007070">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292D7B55"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0BC079A3" w14:textId="77777777" w:rsidR="00503BE0" w:rsidRPr="00080DA3" w:rsidRDefault="009157E3"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20710E4" w14:textId="77777777" w:rsidR="00503BE0" w:rsidRPr="00080DA3" w:rsidRDefault="009157E3"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4200141" w14:textId="77777777" w:rsidR="00503BE0" w:rsidRPr="00080DA3" w:rsidRDefault="009157E3"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ADCC8FF" w14:textId="77777777" w:rsidR="00503BE0" w:rsidRPr="004B6B0E" w:rsidRDefault="009157E3"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317A2D2" w14:textId="77777777" w:rsidR="00503BE0" w:rsidRPr="00080DA3" w:rsidRDefault="009157E3"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CE375D" w14:textId="77777777" w:rsidR="00503BE0" w:rsidRPr="00080DA3" w:rsidRDefault="009157E3" w:rsidP="00A07532">
          <w:pPr>
            <w:pStyle w:val="Piedepgina"/>
            <w:jc w:val="center"/>
            <w:rPr>
              <w:rFonts w:ascii="Geomanist Light" w:hAnsi="Geomanist Light"/>
              <w:sz w:val="18"/>
              <w:szCs w:val="18"/>
            </w:rPr>
          </w:pPr>
          <w:r>
            <w:rPr>
              <w:rFonts w:ascii="Geomanist Light" w:hAnsi="Geomanist Light"/>
              <w:sz w:val="18"/>
              <w:szCs w:val="18"/>
            </w:rPr>
            <w:t>28</w:t>
          </w:r>
          <w:r w:rsidRPr="00080DA3">
            <w:rPr>
              <w:rFonts w:ascii="Geomanist Light" w:hAnsi="Geomanist Light"/>
              <w:sz w:val="18"/>
              <w:szCs w:val="18"/>
            </w:rPr>
            <w:t xml:space="preserve"> de </w:t>
          </w:r>
          <w:r>
            <w:rPr>
              <w:rFonts w:ascii="Geomanist Light" w:hAnsi="Geomanist Light"/>
              <w:sz w:val="18"/>
              <w:szCs w:val="18"/>
            </w:rPr>
            <w:t>septiembre</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E2EEC56" w14:textId="77777777" w:rsidR="00503BE0" w:rsidRPr="00080DA3" w:rsidRDefault="009157E3"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50E1286C" w14:textId="77777777" w:rsidR="00503BE0" w:rsidRDefault="00503BE0"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3461" w14:textId="77777777" w:rsidR="00EB08B3" w:rsidRDefault="00EB08B3" w:rsidP="009157E3">
      <w:pPr>
        <w:spacing w:after="0" w:line="240" w:lineRule="auto"/>
      </w:pPr>
      <w:r>
        <w:separator/>
      </w:r>
    </w:p>
  </w:footnote>
  <w:footnote w:type="continuationSeparator" w:id="0">
    <w:p w14:paraId="28E3A46C" w14:textId="77777777" w:rsidR="00EB08B3" w:rsidRDefault="00EB08B3" w:rsidP="009157E3">
      <w:pPr>
        <w:spacing w:after="0" w:line="240" w:lineRule="auto"/>
      </w:pPr>
      <w:r>
        <w:continuationSeparator/>
      </w:r>
    </w:p>
  </w:footnote>
  <w:footnote w:id="1">
    <w:p w14:paraId="21FD2BF7" w14:textId="77777777" w:rsidR="009157E3" w:rsidRPr="007C7528" w:rsidRDefault="009157E3" w:rsidP="009157E3">
      <w:pPr>
        <w:pStyle w:val="Textonotapie"/>
        <w:ind w:firstLine="708"/>
        <w:jc w:val="both"/>
        <w:rPr>
          <w:rFonts w:ascii="Arial" w:hAnsi="Arial" w:cs="Arial"/>
          <w:sz w:val="18"/>
          <w:szCs w:val="18"/>
          <w:lang w:val="es-ES"/>
        </w:rPr>
      </w:pPr>
      <w:r w:rsidRPr="007C7528">
        <w:rPr>
          <w:rStyle w:val="Refdenotaalpie"/>
          <w:rFonts w:ascii="Arial" w:hAnsi="Arial" w:cs="Arial"/>
          <w:sz w:val="18"/>
          <w:szCs w:val="18"/>
        </w:rPr>
        <w:footnoteRef/>
      </w:r>
      <w:r w:rsidRPr="007C7528">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7C7528">
        <w:rPr>
          <w:rFonts w:ascii="Arial" w:hAnsi="Arial" w:cs="Arial"/>
          <w:i/>
          <w:iCs/>
          <w:sz w:val="18"/>
          <w:szCs w:val="18"/>
        </w:rPr>
        <w:t xml:space="preserve">ibidem </w:t>
      </w:r>
      <w:r w:rsidRPr="007C7528">
        <w:rPr>
          <w:rFonts w:ascii="Arial" w:hAnsi="Arial" w:cs="Arial"/>
          <w:sz w:val="18"/>
          <w:szCs w:val="18"/>
        </w:rPr>
        <w:t xml:space="preserve">señala, de manera precisa, las funciones de Colombia Compra Eficiente. Concretamente, el numeral 5º de este artículo establece que le corresponde a esta entidad: </w:t>
      </w:r>
      <w:r>
        <w:rPr>
          <w:rFonts w:ascii="Arial" w:hAnsi="Arial" w:cs="Arial"/>
          <w:sz w:val="18"/>
          <w:szCs w:val="18"/>
        </w:rPr>
        <w:t>“</w:t>
      </w:r>
      <w:r w:rsidRPr="007C7528">
        <w:rPr>
          <w:rFonts w:ascii="Arial" w:hAnsi="Arial" w:cs="Arial"/>
          <w:sz w:val="18"/>
          <w:szCs w:val="18"/>
        </w:rPr>
        <w:t>[a]</w:t>
      </w:r>
      <w:proofErr w:type="spellStart"/>
      <w:r w:rsidRPr="007C7528">
        <w:rPr>
          <w:rFonts w:ascii="Arial" w:hAnsi="Arial" w:cs="Arial"/>
          <w:sz w:val="18"/>
          <w:szCs w:val="18"/>
        </w:rPr>
        <w:t>bsolver</w:t>
      </w:r>
      <w:proofErr w:type="spellEnd"/>
      <w:r w:rsidRPr="007C7528">
        <w:rPr>
          <w:rFonts w:ascii="Arial" w:hAnsi="Arial" w:cs="Arial"/>
          <w:sz w:val="18"/>
          <w:szCs w:val="18"/>
        </w:rPr>
        <w:t xml:space="preserve"> consultas sobre la aplicación de normas de carácter general y expedir circulares externas en materia de compras y contratación pública</w:t>
      </w:r>
      <w:r>
        <w:rPr>
          <w:rFonts w:ascii="Arial" w:hAnsi="Arial" w:cs="Arial"/>
          <w:sz w:val="18"/>
          <w:szCs w:val="18"/>
        </w:rPr>
        <w:t>”</w:t>
      </w:r>
      <w:r w:rsidRPr="007C7528">
        <w:rPr>
          <w:rFonts w:ascii="Arial" w:hAnsi="Arial" w:cs="Arial"/>
          <w:sz w:val="18"/>
          <w:szCs w:val="18"/>
        </w:rPr>
        <w:t xml:space="preserve">. Seguidamente, el numeral 8º del artículo 11 ibidem señala que es función de la Subdirección de Gestión Contractual: </w:t>
      </w:r>
      <w:r>
        <w:rPr>
          <w:rFonts w:ascii="Arial" w:hAnsi="Arial" w:cs="Arial"/>
          <w:sz w:val="18"/>
          <w:szCs w:val="18"/>
        </w:rPr>
        <w:t>“</w:t>
      </w:r>
      <w:r w:rsidRPr="007C7528">
        <w:rPr>
          <w:rFonts w:ascii="Arial" w:hAnsi="Arial" w:cs="Arial"/>
          <w:sz w:val="18"/>
          <w:szCs w:val="18"/>
        </w:rPr>
        <w:t>[a]</w:t>
      </w:r>
      <w:proofErr w:type="spellStart"/>
      <w:r w:rsidRPr="007C7528">
        <w:rPr>
          <w:rFonts w:ascii="Arial" w:hAnsi="Arial" w:cs="Arial"/>
          <w:sz w:val="18"/>
          <w:szCs w:val="18"/>
        </w:rPr>
        <w:t>bsolver</w:t>
      </w:r>
      <w:proofErr w:type="spellEnd"/>
      <w:r w:rsidRPr="007C7528">
        <w:rPr>
          <w:rFonts w:ascii="Arial" w:hAnsi="Arial" w:cs="Arial"/>
          <w:sz w:val="18"/>
          <w:szCs w:val="18"/>
        </w:rPr>
        <w:t xml:space="preserve"> consultas sobre la aplicación de normas de carácter general</w:t>
      </w:r>
      <w:r>
        <w:rPr>
          <w:rFonts w:ascii="Arial" w:hAnsi="Arial" w:cs="Arial"/>
          <w:sz w:val="18"/>
          <w:szCs w:val="18"/>
        </w:rPr>
        <w:t>”</w:t>
      </w:r>
      <w:r w:rsidRPr="007C7528">
        <w:rPr>
          <w:rFonts w:ascii="Arial" w:hAnsi="Arial" w:cs="Arial"/>
          <w:sz w:val="18"/>
          <w:szCs w:val="18"/>
        </w:rPr>
        <w:t>.</w:t>
      </w:r>
    </w:p>
  </w:footnote>
  <w:footnote w:id="2">
    <w:p w14:paraId="088C6B44" w14:textId="77777777" w:rsidR="009157E3" w:rsidRPr="007C7528" w:rsidRDefault="009157E3" w:rsidP="009157E3">
      <w:pPr>
        <w:pStyle w:val="Textonotapie"/>
        <w:ind w:firstLine="708"/>
        <w:jc w:val="both"/>
        <w:rPr>
          <w:rFonts w:ascii="Arial" w:hAnsi="Arial" w:cs="Arial"/>
          <w:color w:val="000000"/>
          <w:sz w:val="18"/>
          <w:szCs w:val="18"/>
        </w:rPr>
      </w:pPr>
      <w:r w:rsidRPr="007C7528">
        <w:rPr>
          <w:rStyle w:val="Refdenotaalpie"/>
          <w:rFonts w:ascii="Arial" w:hAnsi="Arial" w:cs="Arial"/>
          <w:color w:val="000000"/>
          <w:sz w:val="18"/>
          <w:szCs w:val="18"/>
        </w:rPr>
        <w:footnoteRef/>
      </w:r>
      <w:r w:rsidRPr="007C7528">
        <w:rPr>
          <w:rFonts w:ascii="Arial" w:hAnsi="Arial" w:cs="Arial"/>
          <w:color w:val="000000"/>
          <w:sz w:val="18"/>
          <w:szCs w:val="18"/>
        </w:rPr>
        <w:t xml:space="preserve"> BARRERO BUITRAGO, Álvaro. Manual para el establecimiento de sociedades (4ta. ed.). Editorial Librería del Profesional. Bogotá. 2006. p. 21. Allí se lee, en relación con el requisito que deben cumplir las sociedades comerciales sobre el ánimo de lucro, lo siguiente: </w:t>
      </w:r>
      <w:r>
        <w:rPr>
          <w:rFonts w:ascii="Arial" w:hAnsi="Arial" w:cs="Arial"/>
          <w:color w:val="000000"/>
          <w:sz w:val="18"/>
          <w:szCs w:val="18"/>
        </w:rPr>
        <w:t>“</w:t>
      </w:r>
      <w:r w:rsidRPr="007C7528">
        <w:rPr>
          <w:rFonts w:ascii="Arial" w:hAnsi="Arial" w:cs="Arial"/>
          <w:color w:val="000000"/>
          <w:sz w:val="18"/>
          <w:szCs w:val="18"/>
        </w:rPr>
        <w:t>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w:t>
      </w:r>
      <w:r>
        <w:rPr>
          <w:rFonts w:ascii="Arial" w:hAnsi="Arial" w:cs="Arial"/>
          <w:color w:val="000000"/>
          <w:sz w:val="18"/>
          <w:szCs w:val="18"/>
        </w:rPr>
        <w:t>”</w:t>
      </w:r>
      <w:r w:rsidRPr="007C7528">
        <w:rPr>
          <w:rFonts w:ascii="Arial" w:hAnsi="Arial" w:cs="Arial"/>
          <w:color w:val="000000"/>
          <w:sz w:val="18"/>
          <w:szCs w:val="18"/>
        </w:rPr>
        <w:t>.</w:t>
      </w:r>
    </w:p>
    <w:p w14:paraId="0DFBBC97" w14:textId="77777777" w:rsidR="009157E3" w:rsidRPr="007C7528" w:rsidRDefault="009157E3" w:rsidP="009157E3">
      <w:pPr>
        <w:pStyle w:val="Textonotapie"/>
        <w:ind w:firstLine="708"/>
        <w:jc w:val="both"/>
        <w:rPr>
          <w:rFonts w:ascii="Arial" w:hAnsi="Arial" w:cs="Arial"/>
          <w:color w:val="000000"/>
          <w:sz w:val="18"/>
          <w:szCs w:val="18"/>
        </w:rPr>
      </w:pPr>
    </w:p>
  </w:footnote>
  <w:footnote w:id="3">
    <w:p w14:paraId="0D7E98C4" w14:textId="77777777" w:rsidR="009157E3" w:rsidRPr="007C7528" w:rsidRDefault="009157E3" w:rsidP="009157E3">
      <w:pPr>
        <w:pStyle w:val="Textonotapie"/>
        <w:ind w:firstLine="708"/>
        <w:jc w:val="both"/>
        <w:rPr>
          <w:rFonts w:ascii="Arial" w:hAnsi="Arial" w:cs="Arial"/>
          <w:color w:val="000000"/>
          <w:sz w:val="18"/>
          <w:szCs w:val="18"/>
        </w:rPr>
      </w:pPr>
      <w:r w:rsidRPr="007C7528">
        <w:rPr>
          <w:rStyle w:val="Refdenotaalpie"/>
          <w:rFonts w:ascii="Arial" w:hAnsi="Arial" w:cs="Arial"/>
          <w:color w:val="000000"/>
          <w:sz w:val="18"/>
          <w:szCs w:val="18"/>
        </w:rPr>
        <w:footnoteRef/>
      </w:r>
      <w:r w:rsidRPr="007C7528">
        <w:rPr>
          <w:rFonts w:ascii="Arial" w:hAnsi="Arial" w:cs="Arial"/>
          <w:color w:val="000000"/>
          <w:sz w:val="18"/>
          <w:szCs w:val="18"/>
        </w:rPr>
        <w:t xml:space="preserve"> TORRENTE BAYONA, César y BUSTAMANTE, Luis Eduardo. Las entidades sin ánimo de lucro (3ª Ed.). Editado por la Cámara de Comercio de Bogotá.  Bogotá. 2000, p. 33. Allí se lee: </w:t>
      </w:r>
      <w:r>
        <w:rPr>
          <w:rFonts w:ascii="Arial" w:hAnsi="Arial" w:cs="Arial"/>
          <w:color w:val="000000"/>
          <w:sz w:val="18"/>
          <w:szCs w:val="18"/>
        </w:rPr>
        <w:t>“</w:t>
      </w:r>
      <w:r w:rsidRPr="007C7528">
        <w:rPr>
          <w:rFonts w:ascii="Arial" w:hAnsi="Arial" w:cs="Arial"/>
          <w:color w:val="000000"/>
          <w:sz w:val="18"/>
          <w:szCs w:val="18"/>
        </w:rPr>
        <w:t>Las entidades sin ánimo de lucro son personas jurídicas, capaces de ejercer derechos y contraer obligaciones y de ser representadas judicial y extrajudicialmente, con sujeción a las disposiciones legales y a sus propios estatutos. Nacen por voluntad de los asociados en virtud del derecho constitucional de asociación, o por la libertad de disposición de los bienes de los particulares, para la realización de fines altruistas o de beneficio comunitario; de lo que se infiere que no contemplan dentro de su objeto principal el desarrollo de actividades mercantiles.</w:t>
      </w:r>
    </w:p>
    <w:p w14:paraId="4CB75B9D" w14:textId="77777777" w:rsidR="009157E3" w:rsidRPr="007C7528" w:rsidRDefault="009157E3" w:rsidP="009157E3">
      <w:pPr>
        <w:pStyle w:val="Textonotapie"/>
        <w:spacing w:before="120"/>
        <w:ind w:firstLine="709"/>
        <w:jc w:val="both"/>
        <w:rPr>
          <w:rFonts w:ascii="Arial" w:hAnsi="Arial" w:cs="Arial"/>
          <w:color w:val="000000"/>
          <w:sz w:val="18"/>
          <w:szCs w:val="18"/>
        </w:rPr>
      </w:pPr>
      <w:r w:rsidRPr="007C7528">
        <w:rPr>
          <w:rFonts w:ascii="Arial" w:hAnsi="Arial" w:cs="Arial"/>
          <w:color w:val="000000"/>
          <w:sz w:val="18"/>
          <w:szCs w:val="18"/>
        </w:rPr>
        <w:t>La ausencia de lucro es una de sus características fundamentales, lo cual significa que no existe el reparto de utilidades o remanentes generados en el desarrollo de sus objetivos, ni es viable el reembolso de los bienes o dineros aportados a la entidad […]</w:t>
      </w:r>
      <w:r>
        <w:rPr>
          <w:rFonts w:ascii="Arial" w:hAnsi="Arial" w:cs="Arial"/>
          <w:color w:val="000000"/>
          <w:sz w:val="18"/>
          <w:szCs w:val="18"/>
        </w:rPr>
        <w:t>”</w:t>
      </w:r>
      <w:r w:rsidRPr="007C7528">
        <w:rPr>
          <w:rFonts w:ascii="Arial" w:hAnsi="Arial" w:cs="Arial"/>
          <w:color w:val="000000"/>
          <w:sz w:val="18"/>
          <w:szCs w:val="18"/>
        </w:rPr>
        <w:t>.</w:t>
      </w:r>
    </w:p>
    <w:p w14:paraId="314269A8" w14:textId="77777777" w:rsidR="009157E3" w:rsidRPr="007C7528" w:rsidRDefault="009157E3" w:rsidP="009157E3">
      <w:pPr>
        <w:pStyle w:val="Textonotapie"/>
        <w:ind w:firstLine="708"/>
        <w:jc w:val="both"/>
        <w:rPr>
          <w:rFonts w:ascii="Arial" w:hAnsi="Arial" w:cs="Arial"/>
          <w:color w:val="000000"/>
          <w:sz w:val="18"/>
          <w:szCs w:val="18"/>
        </w:rPr>
      </w:pPr>
    </w:p>
  </w:footnote>
  <w:footnote w:id="4">
    <w:p w14:paraId="5BDC20C8" w14:textId="77777777" w:rsidR="009157E3" w:rsidRPr="007C7528" w:rsidRDefault="009157E3" w:rsidP="009157E3">
      <w:pPr>
        <w:pStyle w:val="Textonotapie"/>
        <w:ind w:firstLine="708"/>
        <w:jc w:val="both"/>
        <w:rPr>
          <w:rFonts w:ascii="Arial" w:hAnsi="Arial" w:cs="Arial"/>
          <w:sz w:val="18"/>
          <w:szCs w:val="18"/>
          <w:lang w:val="es-CO"/>
        </w:rPr>
      </w:pPr>
      <w:r w:rsidRPr="007C7528">
        <w:rPr>
          <w:rStyle w:val="Refdenotaalpie"/>
          <w:rFonts w:ascii="Arial" w:hAnsi="Arial" w:cs="Arial"/>
          <w:sz w:val="18"/>
          <w:szCs w:val="18"/>
        </w:rPr>
        <w:footnoteRef/>
      </w:r>
      <w:r w:rsidRPr="007C7528">
        <w:rPr>
          <w:rFonts w:ascii="Arial" w:hAnsi="Arial" w:cs="Arial"/>
          <w:sz w:val="18"/>
          <w:szCs w:val="18"/>
        </w:rPr>
        <w:t xml:space="preserve"> CONSEJO DE ESTADO. Sentencia del 02 de diciembre de 2015. Radicado No. 11001-03-06-000-2015-00144-00(2267). M.P. William Zambrano </w:t>
      </w:r>
      <w:proofErr w:type="spellStart"/>
      <w:r w:rsidRPr="007C7528">
        <w:rPr>
          <w:rFonts w:ascii="Arial" w:hAnsi="Arial" w:cs="Arial"/>
          <w:sz w:val="18"/>
          <w:szCs w:val="18"/>
        </w:rPr>
        <w:t>Centina</w:t>
      </w:r>
      <w:proofErr w:type="spellEnd"/>
    </w:p>
  </w:footnote>
  <w:footnote w:id="5">
    <w:p w14:paraId="26E26ED3" w14:textId="77777777" w:rsidR="009157E3" w:rsidRDefault="009157E3" w:rsidP="009157E3">
      <w:pPr>
        <w:pStyle w:val="Textonotapie"/>
        <w:jc w:val="both"/>
        <w:rPr>
          <w:rFonts w:ascii="Arial" w:hAnsi="Arial" w:cs="Arial"/>
          <w:sz w:val="18"/>
          <w:szCs w:val="18"/>
        </w:rPr>
      </w:pPr>
    </w:p>
    <w:p w14:paraId="57C26A25" w14:textId="77777777" w:rsidR="009157E3" w:rsidRPr="007C7528" w:rsidRDefault="009157E3" w:rsidP="009157E3">
      <w:pPr>
        <w:pStyle w:val="Textonotapie"/>
        <w:jc w:val="both"/>
        <w:rPr>
          <w:rFonts w:ascii="Arial" w:hAnsi="Arial" w:cs="Arial"/>
          <w:sz w:val="18"/>
          <w:szCs w:val="18"/>
        </w:rPr>
      </w:pPr>
      <w:r w:rsidRPr="007C7528">
        <w:rPr>
          <w:rStyle w:val="Refdenotaalpie"/>
          <w:rFonts w:ascii="Arial" w:hAnsi="Arial" w:cs="Arial"/>
          <w:sz w:val="18"/>
          <w:szCs w:val="18"/>
        </w:rPr>
        <w:footnoteRef/>
      </w:r>
      <w:r w:rsidRPr="007C7528">
        <w:rPr>
          <w:rFonts w:ascii="Arial" w:hAnsi="Arial" w:cs="Arial"/>
          <w:sz w:val="18"/>
          <w:szCs w:val="18"/>
        </w:rPr>
        <w:t xml:space="preserve"> Consejo de Estado, Sala de Consulta y Servicio Civil. Concepto del 15 de agosto de 2006, </w:t>
      </w:r>
      <w:r w:rsidRPr="007C7528">
        <w:rPr>
          <w:rFonts w:ascii="Arial" w:hAnsi="Arial" w:cs="Arial"/>
          <w:bCs/>
          <w:sz w:val="18"/>
          <w:szCs w:val="18"/>
        </w:rPr>
        <w:t xml:space="preserve">Radicación número: </w:t>
      </w:r>
      <w:r w:rsidRPr="007C7528">
        <w:rPr>
          <w:rFonts w:ascii="Arial" w:hAnsi="Arial" w:cs="Arial"/>
          <w:sz w:val="18"/>
          <w:szCs w:val="18"/>
        </w:rPr>
        <w:t>11001-03-06-000-2006-00073-00(1763).</w:t>
      </w:r>
    </w:p>
  </w:footnote>
  <w:footnote w:id="6">
    <w:p w14:paraId="7648A636" w14:textId="77777777" w:rsidR="00871BAA" w:rsidRPr="007C7528" w:rsidRDefault="00871BAA" w:rsidP="00871BAA">
      <w:pPr>
        <w:pStyle w:val="Textonotapie"/>
        <w:ind w:firstLine="708"/>
        <w:jc w:val="both"/>
        <w:rPr>
          <w:rFonts w:ascii="Arial" w:hAnsi="Arial" w:cs="Arial"/>
          <w:sz w:val="18"/>
          <w:szCs w:val="18"/>
          <w:lang w:val="es-CO"/>
        </w:rPr>
      </w:pPr>
      <w:r w:rsidRPr="007C7528">
        <w:rPr>
          <w:rStyle w:val="Refdenotaalpie"/>
          <w:rFonts w:ascii="Arial" w:hAnsi="Arial" w:cs="Arial"/>
          <w:sz w:val="18"/>
          <w:szCs w:val="18"/>
        </w:rPr>
        <w:footnoteRef/>
      </w:r>
      <w:r w:rsidRPr="007C7528">
        <w:rPr>
          <w:rFonts w:ascii="Arial" w:eastAsia="Calibri" w:hAnsi="Arial" w:cs="Arial"/>
          <w:sz w:val="18"/>
          <w:szCs w:val="18"/>
        </w:rPr>
        <w:t xml:space="preserve"> Agencia Nacional de Contratación Pública </w:t>
      </w:r>
      <w:r w:rsidRPr="007C7528">
        <w:rPr>
          <w:rFonts w:ascii="Arial" w:eastAsia="Calibri" w:hAnsi="Arial" w:cs="Arial"/>
          <w:bCs/>
          <w:sz w:val="18"/>
          <w:szCs w:val="18"/>
        </w:rPr>
        <w:t xml:space="preserve">– </w:t>
      </w:r>
      <w:r w:rsidRPr="007C7528">
        <w:rPr>
          <w:rFonts w:ascii="Arial" w:eastAsia="Calibri" w:hAnsi="Arial" w:cs="Arial"/>
          <w:sz w:val="18"/>
          <w:szCs w:val="18"/>
        </w:rPr>
        <w:t>Colombia Compra Eficiente</w:t>
      </w:r>
      <w:r w:rsidRPr="007C7528">
        <w:rPr>
          <w:rFonts w:ascii="Arial" w:hAnsi="Arial" w:cs="Arial"/>
          <w:sz w:val="18"/>
          <w:szCs w:val="18"/>
          <w:lang w:val="es-CO"/>
        </w:rPr>
        <w:t xml:space="preserve"> Guía para elaborar el Plan Anual de Adquisiciones. Página 3. </w:t>
      </w:r>
    </w:p>
  </w:footnote>
  <w:footnote w:id="7">
    <w:p w14:paraId="5C1D6E49" w14:textId="77777777" w:rsidR="00871BAA" w:rsidRDefault="00871BAA" w:rsidP="00871BAA">
      <w:pPr>
        <w:pStyle w:val="Textonotapie"/>
        <w:ind w:firstLine="708"/>
        <w:jc w:val="both"/>
        <w:rPr>
          <w:rFonts w:ascii="Arial" w:hAnsi="Arial" w:cs="Arial"/>
          <w:sz w:val="18"/>
          <w:szCs w:val="18"/>
        </w:rPr>
      </w:pPr>
    </w:p>
    <w:p w14:paraId="701CCC58" w14:textId="77777777" w:rsidR="00871BAA" w:rsidRPr="007C7528" w:rsidRDefault="00871BAA" w:rsidP="00871BAA">
      <w:pPr>
        <w:pStyle w:val="Textonotapie"/>
        <w:ind w:firstLine="708"/>
        <w:jc w:val="both"/>
        <w:rPr>
          <w:rFonts w:ascii="Arial" w:hAnsi="Arial" w:cs="Arial"/>
          <w:sz w:val="18"/>
          <w:szCs w:val="18"/>
          <w:lang w:val="es-ES"/>
        </w:rPr>
      </w:pPr>
      <w:r w:rsidRPr="007C7528">
        <w:rPr>
          <w:rStyle w:val="Refdenotaalpie"/>
          <w:rFonts w:ascii="Arial" w:hAnsi="Arial" w:cs="Arial"/>
          <w:sz w:val="18"/>
          <w:szCs w:val="18"/>
        </w:rPr>
        <w:footnoteRef/>
      </w:r>
      <w:r w:rsidRPr="007C7528">
        <w:rPr>
          <w:rFonts w:ascii="Arial" w:hAnsi="Arial" w:cs="Arial"/>
          <w:sz w:val="18"/>
          <w:szCs w:val="18"/>
        </w:rPr>
        <w:t xml:space="preserve"> El artículo 74 de la Ley 1474 prescribe: </w:t>
      </w:r>
      <w:r>
        <w:rPr>
          <w:rFonts w:ascii="Arial" w:hAnsi="Arial" w:cs="Arial"/>
          <w:sz w:val="18"/>
          <w:szCs w:val="18"/>
        </w:rPr>
        <w:t>“</w:t>
      </w:r>
      <w:r w:rsidRPr="007C7528">
        <w:rPr>
          <w:rFonts w:ascii="Arial" w:hAnsi="Arial" w:cs="Arial"/>
          <w:sz w:val="18"/>
          <w:szCs w:val="18"/>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1BD84667" w14:textId="77777777" w:rsidR="00871BAA" w:rsidRPr="007C7528" w:rsidRDefault="00871BAA" w:rsidP="00871BAA">
      <w:pPr>
        <w:pStyle w:val="Textonotapie"/>
        <w:ind w:firstLine="708"/>
        <w:jc w:val="both"/>
        <w:rPr>
          <w:rFonts w:ascii="Arial" w:hAnsi="Arial" w:cs="Arial"/>
          <w:sz w:val="18"/>
          <w:szCs w:val="18"/>
          <w:lang w:val="es-ES"/>
        </w:rPr>
      </w:pPr>
      <w:r w:rsidRPr="007C7528">
        <w:rPr>
          <w:rFonts w:ascii="Arial" w:hAnsi="Arial" w:cs="Arial"/>
          <w:sz w:val="18"/>
          <w:szCs w:val="18"/>
          <w:lang w:val="es-ES"/>
        </w:rPr>
        <w:t>A partir del año siguiente, el Plan de Acción deberá estar acompañado del informe de gestión del año inmediatamente anterior.</w:t>
      </w:r>
    </w:p>
    <w:p w14:paraId="5311AFC3" w14:textId="77777777" w:rsidR="00871BAA" w:rsidRPr="007C7528" w:rsidRDefault="00871BAA" w:rsidP="00871BAA">
      <w:pPr>
        <w:pStyle w:val="Textonotapie"/>
        <w:ind w:firstLine="708"/>
        <w:jc w:val="both"/>
        <w:rPr>
          <w:rFonts w:ascii="Arial" w:hAnsi="Arial" w:cs="Arial"/>
          <w:sz w:val="18"/>
          <w:szCs w:val="18"/>
          <w:lang w:val="es-ES"/>
        </w:rPr>
      </w:pPr>
      <w:r w:rsidRPr="007C7528">
        <w:rPr>
          <w:rFonts w:ascii="Arial" w:hAnsi="Arial" w:cs="Arial"/>
          <w:sz w:val="18"/>
          <w:szCs w:val="18"/>
          <w:lang w:val="es-ES"/>
        </w:rPr>
        <w:t>Igualmente publicarán por dicho medio su presupuesto debidamente desagregado, así como las modificaciones a este o a su desagregación.</w:t>
      </w:r>
      <w:r w:rsidRPr="007C7528">
        <w:rPr>
          <w:rFonts w:ascii="Arial" w:hAnsi="Arial" w:cs="Arial"/>
          <w:sz w:val="18"/>
          <w:szCs w:val="18"/>
          <w:lang w:val="es-ES"/>
        </w:rPr>
        <w:tab/>
      </w:r>
    </w:p>
    <w:p w14:paraId="6890BD94" w14:textId="77777777" w:rsidR="00871BAA" w:rsidRPr="007C7528" w:rsidRDefault="00871BAA" w:rsidP="00871BAA">
      <w:pPr>
        <w:pStyle w:val="Textonotapie"/>
        <w:ind w:firstLine="708"/>
        <w:jc w:val="both"/>
        <w:rPr>
          <w:rFonts w:ascii="Arial" w:hAnsi="Arial" w:cs="Arial"/>
          <w:sz w:val="18"/>
          <w:szCs w:val="18"/>
          <w:lang w:val="es-ES"/>
        </w:rPr>
      </w:pPr>
      <w:r w:rsidRPr="007C7528">
        <w:rPr>
          <w:rFonts w:ascii="Arial" w:hAnsi="Arial" w:cs="Arial"/>
          <w:sz w:val="18"/>
          <w:szCs w:val="18"/>
          <w:lang w:val="es-ES"/>
        </w:rPr>
        <w:t>Parágrafo. Las empresas industriales y comerciales del Estado y las Sociedades de Economía Mixta estarán exentas de publicar la información relacionada con sus proyectos de inversión</w:t>
      </w:r>
      <w:r>
        <w:rPr>
          <w:rFonts w:ascii="Arial" w:hAnsi="Arial" w:cs="Arial"/>
          <w:sz w:val="18"/>
          <w:szCs w:val="18"/>
          <w:lang w:val="es-ES"/>
        </w:rPr>
        <w:t>”</w:t>
      </w:r>
      <w:r w:rsidRPr="007C7528">
        <w:rPr>
          <w:rFonts w:ascii="Arial" w:hAnsi="Arial" w:cs="Arial"/>
          <w:sz w:val="18"/>
          <w:szCs w:val="18"/>
          <w:lang w:val="es-ES"/>
        </w:rPr>
        <w:t>.</w:t>
      </w:r>
    </w:p>
    <w:p w14:paraId="13C5CCA1" w14:textId="77777777" w:rsidR="00871BAA" w:rsidRPr="007C7528" w:rsidRDefault="00871BAA" w:rsidP="00871BAA">
      <w:pPr>
        <w:pStyle w:val="Textonotapie"/>
        <w:ind w:firstLine="708"/>
        <w:jc w:val="both"/>
        <w:rPr>
          <w:rFonts w:ascii="Arial" w:hAnsi="Arial" w:cs="Arial"/>
          <w:sz w:val="18"/>
          <w:szCs w:val="18"/>
          <w:lang w:val="es-ES"/>
        </w:rPr>
      </w:pPr>
      <w:r w:rsidRPr="007C7528">
        <w:rPr>
          <w:rFonts w:ascii="Arial" w:hAnsi="Arial" w:cs="Arial"/>
          <w:sz w:val="18"/>
          <w:szCs w:val="18"/>
          <w:lang w:val="es-ES"/>
        </w:rPr>
        <w:t xml:space="preserve"> </w:t>
      </w:r>
    </w:p>
  </w:footnote>
  <w:footnote w:id="8">
    <w:p w14:paraId="26480B9D" w14:textId="77777777" w:rsidR="00871BAA" w:rsidRPr="007C7528" w:rsidRDefault="00871BAA" w:rsidP="00871BAA">
      <w:pPr>
        <w:pStyle w:val="Textonotapie"/>
        <w:ind w:firstLine="709"/>
        <w:jc w:val="both"/>
        <w:rPr>
          <w:rFonts w:ascii="Arial" w:hAnsi="Arial" w:cs="Arial"/>
          <w:color w:val="000000"/>
          <w:sz w:val="18"/>
          <w:szCs w:val="18"/>
          <w:shd w:val="clear" w:color="auto" w:fill="FFFFFF"/>
        </w:rPr>
      </w:pPr>
      <w:r w:rsidRPr="007C7528">
        <w:rPr>
          <w:rStyle w:val="Refdenotaalpie"/>
          <w:rFonts w:ascii="Arial" w:hAnsi="Arial" w:cs="Arial"/>
          <w:color w:val="000000"/>
          <w:sz w:val="18"/>
          <w:szCs w:val="18"/>
        </w:rPr>
        <w:footnoteRef/>
      </w:r>
      <w:r w:rsidRPr="007C7528">
        <w:rPr>
          <w:rFonts w:ascii="Arial" w:hAnsi="Arial" w:cs="Arial"/>
          <w:color w:val="000000"/>
          <w:sz w:val="18"/>
          <w:szCs w:val="18"/>
        </w:rPr>
        <w:t xml:space="preserve"> </w:t>
      </w:r>
      <w:r>
        <w:rPr>
          <w:rFonts w:ascii="Arial" w:hAnsi="Arial" w:cs="Arial"/>
          <w:color w:val="000000"/>
          <w:sz w:val="18"/>
          <w:szCs w:val="18"/>
        </w:rPr>
        <w:t>“</w:t>
      </w:r>
      <w:r w:rsidRPr="007C7528">
        <w:rPr>
          <w:rStyle w:val="Textoennegrita"/>
          <w:rFonts w:ascii="Arial" w:hAnsi="Arial" w:cs="Arial"/>
          <w:color w:val="000000"/>
          <w:sz w:val="18"/>
          <w:szCs w:val="18"/>
          <w:shd w:val="clear" w:color="auto" w:fill="FFFFFF"/>
        </w:rPr>
        <w:t>Artículo 2.2.1.1.1.3.1. </w:t>
      </w:r>
      <w:r w:rsidRPr="007C7528">
        <w:rPr>
          <w:rStyle w:val="nfasis"/>
          <w:rFonts w:ascii="Arial" w:hAnsi="Arial" w:cs="Arial"/>
          <w:color w:val="000000"/>
          <w:sz w:val="18"/>
          <w:szCs w:val="18"/>
          <w:shd w:val="clear" w:color="auto" w:fill="FFFFFF"/>
        </w:rPr>
        <w:t>Definiciones. </w:t>
      </w:r>
      <w:r w:rsidRPr="007C7528">
        <w:rPr>
          <w:rFonts w:ascii="Arial" w:hAnsi="Arial" w:cs="Arial"/>
          <w:color w:val="000000"/>
          <w:sz w:val="18"/>
          <w:szCs w:val="18"/>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34F258AF" w14:textId="77777777" w:rsidR="00871BAA" w:rsidRPr="007C7528" w:rsidRDefault="00871BAA" w:rsidP="00871BAA">
      <w:pPr>
        <w:pStyle w:val="Textonotapie"/>
        <w:ind w:firstLine="709"/>
        <w:jc w:val="both"/>
        <w:rPr>
          <w:rFonts w:ascii="Arial" w:hAnsi="Arial" w:cs="Arial"/>
          <w:color w:val="000000"/>
          <w:sz w:val="18"/>
          <w:szCs w:val="18"/>
          <w:shd w:val="clear" w:color="auto" w:fill="FFFFFF"/>
        </w:rPr>
      </w:pPr>
      <w:r w:rsidRPr="007C7528">
        <w:rPr>
          <w:rFonts w:ascii="Arial" w:hAnsi="Arial" w:cs="Arial"/>
          <w:color w:val="000000"/>
          <w:sz w:val="18"/>
          <w:szCs w:val="18"/>
          <w:shd w:val="clear" w:color="auto" w:fill="FFFFFF"/>
        </w:rPr>
        <w:t>[…]</w:t>
      </w:r>
    </w:p>
    <w:p w14:paraId="5040F276" w14:textId="77777777" w:rsidR="00871BAA" w:rsidRPr="007C7528" w:rsidRDefault="00871BAA" w:rsidP="00871BAA">
      <w:pPr>
        <w:pStyle w:val="NormalWeb"/>
        <w:shd w:val="clear" w:color="auto" w:fill="FFFFFF"/>
        <w:spacing w:after="0"/>
        <w:ind w:firstLine="709"/>
        <w:jc w:val="both"/>
        <w:rPr>
          <w:rFonts w:ascii="Arial" w:hAnsi="Arial" w:cs="Arial"/>
          <w:color w:val="000000"/>
          <w:sz w:val="18"/>
          <w:szCs w:val="18"/>
        </w:rPr>
      </w:pPr>
      <w:r w:rsidRPr="007C7528">
        <w:rPr>
          <w:rStyle w:val="nfasis"/>
          <w:rFonts w:ascii="Arial" w:hAnsi="Arial" w:cs="Arial"/>
          <w:color w:val="000000"/>
          <w:sz w:val="18"/>
          <w:szCs w:val="18"/>
        </w:rPr>
        <w:t>Plan Anual de Adquisiciones: </w:t>
      </w:r>
      <w:r w:rsidRPr="007C7528">
        <w:rPr>
          <w:rFonts w:ascii="Arial" w:hAnsi="Arial" w:cs="Arial"/>
          <w:color w:val="000000"/>
          <w:sz w:val="18"/>
          <w:szCs w:val="18"/>
        </w:rPr>
        <w:t>Plan general de compras al que se refiere el </w:t>
      </w:r>
      <w:hyperlink r:id="rId1" w:history="1">
        <w:r w:rsidRPr="007C7528">
          <w:rPr>
            <w:rStyle w:val="Hipervnculo1"/>
            <w:rFonts w:ascii="Arial" w:hAnsi="Arial" w:cs="Arial"/>
            <w:color w:val="000000"/>
            <w:sz w:val="18"/>
            <w:szCs w:val="18"/>
          </w:rPr>
          <w:t>artículo 74 de la Ley 1474 de 2011</w:t>
        </w:r>
      </w:hyperlink>
      <w:r w:rsidRPr="007C7528">
        <w:rPr>
          <w:rFonts w:ascii="Arial" w:hAnsi="Arial" w:cs="Arial"/>
          <w:color w:val="000000"/>
          <w:sz w:val="18"/>
          <w:szCs w:val="18"/>
        </w:rPr>
        <w:t> y el plan de compras al que se refiere la Ley Anual de Presupuesto. Es un instrumento de planeación contractual que las Entidades Estatales deben diligenciar, publicar y actualizar en los términos del presente título</w:t>
      </w:r>
      <w:r>
        <w:rPr>
          <w:rFonts w:ascii="Arial" w:hAnsi="Arial" w:cs="Arial"/>
          <w:color w:val="000000"/>
          <w:sz w:val="18"/>
          <w:szCs w:val="18"/>
        </w:rPr>
        <w:t>”</w:t>
      </w:r>
      <w:r w:rsidRPr="007C7528">
        <w:rPr>
          <w:rFonts w:ascii="Arial" w:hAnsi="Arial" w:cs="Arial"/>
          <w:color w:val="000000"/>
          <w:sz w:val="18"/>
          <w:szCs w:val="18"/>
        </w:rPr>
        <w:t>.</w:t>
      </w:r>
    </w:p>
    <w:p w14:paraId="66A27E3E" w14:textId="77777777" w:rsidR="00871BAA" w:rsidRPr="007C7528" w:rsidRDefault="00871BAA" w:rsidP="00871BAA">
      <w:pPr>
        <w:pStyle w:val="NormalWeb"/>
        <w:shd w:val="clear" w:color="auto" w:fill="FFFFFF"/>
        <w:spacing w:after="0"/>
        <w:ind w:firstLine="709"/>
        <w:jc w:val="both"/>
        <w:rPr>
          <w:rFonts w:ascii="Arial" w:hAnsi="Arial" w:cs="Arial"/>
          <w:color w:val="000000"/>
          <w:sz w:val="18"/>
          <w:szCs w:val="18"/>
        </w:rPr>
      </w:pPr>
    </w:p>
  </w:footnote>
  <w:footnote w:id="9">
    <w:p w14:paraId="02D20783" w14:textId="77777777" w:rsidR="00871BAA" w:rsidRPr="007C7528" w:rsidRDefault="00871BAA" w:rsidP="00871BAA">
      <w:pPr>
        <w:pStyle w:val="Textonotapie"/>
        <w:ind w:firstLine="708"/>
        <w:jc w:val="both"/>
        <w:rPr>
          <w:rFonts w:ascii="Arial" w:hAnsi="Arial" w:cs="Arial"/>
          <w:sz w:val="18"/>
          <w:szCs w:val="18"/>
        </w:rPr>
      </w:pPr>
      <w:r w:rsidRPr="007C7528">
        <w:rPr>
          <w:rStyle w:val="Refdenotaalpie"/>
          <w:rFonts w:ascii="Arial" w:hAnsi="Arial" w:cs="Arial"/>
          <w:sz w:val="18"/>
          <w:szCs w:val="18"/>
        </w:rPr>
        <w:footnoteRef/>
      </w:r>
      <w:r w:rsidRPr="007C7528">
        <w:rPr>
          <w:rFonts w:ascii="Arial" w:hAnsi="Arial" w:cs="Arial"/>
          <w:sz w:val="18"/>
          <w:szCs w:val="18"/>
        </w:rPr>
        <w:t xml:space="preserve"> Decreto 1082 de 2015: </w:t>
      </w:r>
      <w:r>
        <w:rPr>
          <w:rFonts w:ascii="Arial" w:hAnsi="Arial" w:cs="Arial"/>
          <w:sz w:val="18"/>
          <w:szCs w:val="18"/>
        </w:rPr>
        <w:t>“</w:t>
      </w:r>
      <w:r w:rsidRPr="007C7528">
        <w:rPr>
          <w:rFonts w:ascii="Arial" w:hAnsi="Arial" w:cs="Arial"/>
          <w:sz w:val="18"/>
          <w:szCs w:val="18"/>
        </w:rPr>
        <w:t>Artículo 2.2.1.1.1.4.3. Publicación del Plan Anual de Adquisiciones.</w:t>
      </w:r>
      <w:r w:rsidRPr="007C7528">
        <w:rPr>
          <w:rFonts w:ascii="Arial" w:hAnsi="Arial" w:cs="Arial"/>
          <w:i/>
          <w:iCs/>
          <w:sz w:val="18"/>
          <w:szCs w:val="18"/>
        </w:rPr>
        <w:t> </w:t>
      </w:r>
      <w:r w:rsidRPr="007C7528">
        <w:rPr>
          <w:rFonts w:ascii="Arial" w:hAnsi="Arial" w:cs="Arial"/>
          <w:sz w:val="18"/>
          <w:szCs w:val="18"/>
        </w:rPr>
        <w:t xml:space="preserve">La Entidad Estatal debe publicar su Plan Anual de Adquisiciones y las actualizaciones </w:t>
      </w:r>
      <w:proofErr w:type="gramStart"/>
      <w:r w:rsidRPr="007C7528">
        <w:rPr>
          <w:rFonts w:ascii="Arial" w:hAnsi="Arial" w:cs="Arial"/>
          <w:sz w:val="18"/>
          <w:szCs w:val="18"/>
        </w:rPr>
        <w:t>del mismo</w:t>
      </w:r>
      <w:proofErr w:type="gramEnd"/>
      <w:r w:rsidRPr="007C7528">
        <w:rPr>
          <w:rFonts w:ascii="Arial" w:hAnsi="Arial" w:cs="Arial"/>
          <w:sz w:val="18"/>
          <w:szCs w:val="18"/>
        </w:rPr>
        <w:t xml:space="preserve"> en su página web y en el SECOP, en la forma que para el efecto disponga Colombia Compra Eficiente</w:t>
      </w:r>
      <w:r>
        <w:rPr>
          <w:rFonts w:ascii="Arial" w:hAnsi="Arial" w:cs="Arial"/>
          <w:sz w:val="18"/>
          <w:szCs w:val="18"/>
        </w:rPr>
        <w:t>”</w:t>
      </w:r>
      <w:r w:rsidRPr="007C7528">
        <w:rPr>
          <w:rFonts w:ascii="Arial" w:hAnsi="Arial" w:cs="Arial"/>
          <w:sz w:val="18"/>
          <w:szCs w:val="18"/>
        </w:rPr>
        <w:t>.</w:t>
      </w:r>
    </w:p>
    <w:p w14:paraId="4E76F126" w14:textId="77777777" w:rsidR="00871BAA" w:rsidRPr="007C7528" w:rsidRDefault="00871BAA" w:rsidP="00871BAA">
      <w:pPr>
        <w:pStyle w:val="Textonotapie"/>
        <w:ind w:firstLine="708"/>
        <w:jc w:val="both"/>
        <w:rPr>
          <w:rFonts w:ascii="Arial" w:hAnsi="Arial" w:cs="Arial"/>
          <w:sz w:val="18"/>
          <w:szCs w:val="18"/>
        </w:rPr>
      </w:pPr>
    </w:p>
  </w:footnote>
  <w:footnote w:id="10">
    <w:p w14:paraId="01968FED" w14:textId="77777777" w:rsidR="009157E3" w:rsidRPr="007C7528" w:rsidRDefault="009157E3" w:rsidP="009157E3">
      <w:pPr>
        <w:pStyle w:val="Textonotapie"/>
        <w:ind w:firstLine="709"/>
        <w:jc w:val="both"/>
        <w:rPr>
          <w:rFonts w:ascii="Arial" w:hAnsi="Arial" w:cs="Arial"/>
          <w:sz w:val="18"/>
          <w:szCs w:val="18"/>
        </w:rPr>
      </w:pPr>
    </w:p>
    <w:p w14:paraId="081C1B97" w14:textId="77777777" w:rsidR="009157E3" w:rsidRPr="007C7528" w:rsidRDefault="009157E3" w:rsidP="009157E3">
      <w:pPr>
        <w:pStyle w:val="Textonotapie"/>
        <w:ind w:firstLine="709"/>
        <w:jc w:val="both"/>
        <w:rPr>
          <w:rFonts w:ascii="Arial" w:hAnsi="Arial" w:cs="Arial"/>
          <w:sz w:val="18"/>
          <w:szCs w:val="18"/>
          <w:lang w:val="es-ES"/>
        </w:rPr>
      </w:pPr>
      <w:r w:rsidRPr="007C7528">
        <w:rPr>
          <w:rStyle w:val="Refdenotaalpie"/>
          <w:rFonts w:ascii="Arial" w:hAnsi="Arial" w:cs="Arial"/>
          <w:sz w:val="18"/>
          <w:szCs w:val="18"/>
        </w:rPr>
        <w:footnoteRef/>
      </w:r>
      <w:r w:rsidRPr="007C7528">
        <w:rPr>
          <w:rFonts w:ascii="Arial" w:hAnsi="Arial" w:cs="Arial"/>
          <w:sz w:val="18"/>
          <w:szCs w:val="18"/>
        </w:rPr>
        <w:t xml:space="preserve"> </w:t>
      </w:r>
      <w:r w:rsidRPr="007C7528">
        <w:rPr>
          <w:rFonts w:ascii="Arial" w:hAnsi="Arial" w:cs="Arial"/>
          <w:sz w:val="18"/>
          <w:szCs w:val="18"/>
          <w:lang w:val="es-ES"/>
        </w:rPr>
        <w:t>BOBBIO, Norberto. Democracia y secreto. México: Fondo de Cultura Económica, 2013. p. 27.</w:t>
      </w:r>
    </w:p>
  </w:footnote>
  <w:footnote w:id="11">
    <w:p w14:paraId="395B34F1" w14:textId="77777777" w:rsidR="009157E3" w:rsidRPr="007C7528" w:rsidRDefault="009157E3" w:rsidP="009157E3">
      <w:pPr>
        <w:pStyle w:val="Textonotapie"/>
        <w:ind w:firstLine="709"/>
        <w:jc w:val="both"/>
        <w:rPr>
          <w:rFonts w:ascii="Arial" w:hAnsi="Arial" w:cs="Arial"/>
          <w:color w:val="000000"/>
          <w:sz w:val="18"/>
          <w:szCs w:val="18"/>
        </w:rPr>
      </w:pPr>
    </w:p>
    <w:p w14:paraId="7B0AD2A8" w14:textId="77777777" w:rsidR="009157E3" w:rsidRPr="007C7528" w:rsidRDefault="009157E3" w:rsidP="009157E3">
      <w:pPr>
        <w:pStyle w:val="Textonotapie"/>
        <w:ind w:firstLine="709"/>
        <w:jc w:val="both"/>
        <w:rPr>
          <w:rFonts w:ascii="Arial" w:hAnsi="Arial" w:cs="Arial"/>
          <w:color w:val="000000"/>
          <w:sz w:val="18"/>
          <w:szCs w:val="18"/>
        </w:rPr>
      </w:pPr>
      <w:r w:rsidRPr="007C7528">
        <w:rPr>
          <w:rStyle w:val="Refdenotaalpie"/>
          <w:rFonts w:ascii="Arial" w:hAnsi="Arial" w:cs="Arial"/>
          <w:color w:val="000000"/>
          <w:sz w:val="18"/>
          <w:szCs w:val="18"/>
        </w:rPr>
        <w:footnoteRef/>
      </w:r>
      <w:r w:rsidRPr="007C7528">
        <w:rPr>
          <w:rFonts w:ascii="Arial" w:hAnsi="Arial" w:cs="Arial"/>
          <w:color w:val="000000"/>
          <w:sz w:val="18"/>
          <w:szCs w:val="18"/>
        </w:rPr>
        <w:t xml:space="preserve"> Corte Constitucional. Sentencia C- 341 del 4 de junio de 2014. M. P. Mauricio González Cuervo.</w:t>
      </w:r>
    </w:p>
    <w:p w14:paraId="69407C1A" w14:textId="77777777" w:rsidR="009157E3" w:rsidRPr="007C7528" w:rsidRDefault="009157E3" w:rsidP="009157E3">
      <w:pPr>
        <w:pStyle w:val="Textonotapie"/>
        <w:ind w:firstLine="709"/>
        <w:jc w:val="both"/>
        <w:rPr>
          <w:rFonts w:ascii="Arial" w:hAnsi="Arial" w:cs="Arial"/>
          <w:color w:val="000000"/>
          <w:sz w:val="18"/>
          <w:szCs w:val="18"/>
        </w:rPr>
      </w:pPr>
    </w:p>
  </w:footnote>
  <w:footnote w:id="12">
    <w:p w14:paraId="69E5E20F" w14:textId="77777777" w:rsidR="009157E3" w:rsidRPr="007C7528" w:rsidRDefault="009157E3" w:rsidP="009157E3">
      <w:pPr>
        <w:pStyle w:val="Textonotapie"/>
        <w:ind w:firstLine="709"/>
        <w:jc w:val="both"/>
        <w:rPr>
          <w:rFonts w:ascii="Arial" w:hAnsi="Arial" w:cs="Arial"/>
          <w:color w:val="000000"/>
          <w:sz w:val="18"/>
          <w:szCs w:val="18"/>
        </w:rPr>
      </w:pPr>
      <w:r w:rsidRPr="007C7528">
        <w:rPr>
          <w:rStyle w:val="Refdenotaalpie"/>
          <w:rFonts w:ascii="Arial" w:hAnsi="Arial" w:cs="Arial"/>
          <w:color w:val="000000"/>
          <w:sz w:val="18"/>
          <w:szCs w:val="18"/>
        </w:rPr>
        <w:footnoteRef/>
      </w:r>
      <w:r w:rsidRPr="007C7528">
        <w:rPr>
          <w:rFonts w:ascii="Arial" w:hAnsi="Arial" w:cs="Arial"/>
          <w:color w:val="000000"/>
          <w:sz w:val="18"/>
          <w:szCs w:val="18"/>
        </w:rPr>
        <w:t xml:space="preserve"> Ley 1150 de 2007: </w:t>
      </w:r>
      <w:r>
        <w:rPr>
          <w:rFonts w:ascii="Arial" w:hAnsi="Arial" w:cs="Arial"/>
          <w:color w:val="000000"/>
          <w:sz w:val="18"/>
          <w:szCs w:val="18"/>
        </w:rPr>
        <w:t>“</w:t>
      </w:r>
      <w:r w:rsidRPr="007C7528">
        <w:rPr>
          <w:rFonts w:ascii="Arial" w:hAnsi="Arial" w:cs="Arial"/>
          <w:color w:val="000000"/>
          <w:sz w:val="18"/>
          <w:szCs w:val="18"/>
        </w:rPr>
        <w:t>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31E59E1" w14:textId="77777777" w:rsidR="009157E3" w:rsidRPr="007C7528" w:rsidRDefault="009157E3" w:rsidP="009157E3">
      <w:pPr>
        <w:pStyle w:val="Textonotapie"/>
        <w:ind w:firstLine="709"/>
        <w:jc w:val="both"/>
        <w:rPr>
          <w:rFonts w:ascii="Arial" w:hAnsi="Arial" w:cs="Arial"/>
          <w:color w:val="000000"/>
          <w:sz w:val="18"/>
          <w:szCs w:val="18"/>
        </w:rPr>
      </w:pPr>
    </w:p>
    <w:p w14:paraId="2E6ACCF4"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Lo anterior, sin perjuicio de las publicaciones previstas en el numeral 3 del artículo 30 de la Ley 80 de 1993.</w:t>
      </w:r>
    </w:p>
    <w:p w14:paraId="524579AB"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 xml:space="preserve">Con el fin de materializar los objetivos a que se refiere el inciso anterior, el Gobierno Nacional desarrollará el Sistema Electrónico para la Contratación Pública, </w:t>
      </w:r>
      <w:proofErr w:type="spellStart"/>
      <w:r w:rsidRPr="007C7528">
        <w:rPr>
          <w:rFonts w:ascii="Arial" w:hAnsi="Arial" w:cs="Arial"/>
          <w:color w:val="000000"/>
          <w:sz w:val="18"/>
          <w:szCs w:val="18"/>
        </w:rPr>
        <w:t>Secop</w:t>
      </w:r>
      <w:proofErr w:type="spellEnd"/>
      <w:r w:rsidRPr="007C7528">
        <w:rPr>
          <w:rFonts w:ascii="Arial" w:hAnsi="Arial" w:cs="Arial"/>
          <w:color w:val="000000"/>
          <w:sz w:val="18"/>
          <w:szCs w:val="18"/>
        </w:rPr>
        <w:t xml:space="preserve">, el cual: </w:t>
      </w:r>
    </w:p>
    <w:p w14:paraId="4E596478"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w:t>
      </w:r>
    </w:p>
    <w:p w14:paraId="56703725"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c) Contará con la información oficial de la contratación realizada con dineros públicos, para lo cual establecerá los patrones a que haya lugar y se encargará de su difusión a través de canales electrónico</w:t>
      </w:r>
      <w:r>
        <w:rPr>
          <w:rFonts w:ascii="Arial" w:hAnsi="Arial" w:cs="Arial"/>
          <w:color w:val="000000"/>
          <w:sz w:val="18"/>
          <w:szCs w:val="18"/>
        </w:rPr>
        <w:t>”</w:t>
      </w:r>
      <w:r w:rsidRPr="007C7528">
        <w:rPr>
          <w:rFonts w:ascii="Arial" w:hAnsi="Arial" w:cs="Arial"/>
          <w:color w:val="000000"/>
          <w:sz w:val="18"/>
          <w:szCs w:val="18"/>
        </w:rPr>
        <w:t xml:space="preserve">. </w:t>
      </w:r>
    </w:p>
    <w:p w14:paraId="2A006155" w14:textId="77777777" w:rsidR="009157E3" w:rsidRPr="007C7528" w:rsidRDefault="009157E3" w:rsidP="009157E3">
      <w:pPr>
        <w:pStyle w:val="Textonotapie"/>
        <w:ind w:firstLine="709"/>
        <w:jc w:val="both"/>
        <w:rPr>
          <w:rFonts w:ascii="Arial" w:hAnsi="Arial" w:cs="Arial"/>
          <w:color w:val="000000"/>
          <w:sz w:val="18"/>
          <w:szCs w:val="18"/>
          <w:lang w:val="es-CO"/>
        </w:rPr>
      </w:pPr>
    </w:p>
  </w:footnote>
  <w:footnote w:id="13">
    <w:p w14:paraId="6BA2BA04" w14:textId="77777777" w:rsidR="009157E3" w:rsidRPr="007C7528" w:rsidRDefault="009157E3" w:rsidP="009157E3">
      <w:pPr>
        <w:pStyle w:val="Textonotapie"/>
        <w:ind w:firstLine="709"/>
        <w:jc w:val="both"/>
        <w:rPr>
          <w:rFonts w:ascii="Arial" w:hAnsi="Arial" w:cs="Arial"/>
          <w:color w:val="000000"/>
          <w:sz w:val="18"/>
          <w:szCs w:val="18"/>
        </w:rPr>
      </w:pPr>
      <w:r w:rsidRPr="007C7528">
        <w:rPr>
          <w:rStyle w:val="Refdenotaalpie"/>
          <w:rFonts w:ascii="Arial" w:hAnsi="Arial" w:cs="Arial"/>
          <w:color w:val="000000"/>
          <w:sz w:val="18"/>
          <w:szCs w:val="18"/>
        </w:rPr>
        <w:footnoteRef/>
      </w:r>
      <w:r w:rsidRPr="007C7528">
        <w:rPr>
          <w:rFonts w:ascii="Arial" w:hAnsi="Arial" w:cs="Arial"/>
          <w:color w:val="000000"/>
          <w:sz w:val="18"/>
          <w:szCs w:val="18"/>
        </w:rPr>
        <w:t xml:space="preserve"> Ley 1712 de 2014: </w:t>
      </w:r>
      <w:r>
        <w:rPr>
          <w:rFonts w:ascii="Arial" w:hAnsi="Arial" w:cs="Arial"/>
          <w:color w:val="000000"/>
          <w:sz w:val="18"/>
          <w:szCs w:val="18"/>
        </w:rPr>
        <w:t>“</w:t>
      </w:r>
      <w:r w:rsidRPr="007C7528">
        <w:rPr>
          <w:rFonts w:ascii="Arial" w:hAnsi="Arial" w:cs="Arial"/>
          <w:color w:val="000000"/>
          <w:sz w:val="18"/>
          <w:szCs w:val="18"/>
        </w:rPr>
        <w:t>Artículo 2. Toda información en posesión, bajo control o custodia de un sujeto obligado es pública y no podrá ser reservada o limitada sino por disposición constitucional o legal, de conformidad con la presente ley</w:t>
      </w:r>
      <w:r>
        <w:rPr>
          <w:rFonts w:ascii="Arial" w:hAnsi="Arial" w:cs="Arial"/>
          <w:color w:val="000000"/>
          <w:sz w:val="18"/>
          <w:szCs w:val="18"/>
        </w:rPr>
        <w:t>”</w:t>
      </w:r>
      <w:r w:rsidRPr="007C7528">
        <w:rPr>
          <w:rFonts w:ascii="Arial" w:hAnsi="Arial" w:cs="Arial"/>
          <w:color w:val="000000"/>
          <w:sz w:val="18"/>
          <w:szCs w:val="18"/>
        </w:rPr>
        <w:t>.</w:t>
      </w:r>
    </w:p>
    <w:p w14:paraId="5CC717DF" w14:textId="77777777" w:rsidR="009157E3" w:rsidRPr="007C7528" w:rsidRDefault="009157E3" w:rsidP="009157E3">
      <w:pPr>
        <w:pStyle w:val="Textonotapie"/>
        <w:ind w:firstLine="709"/>
        <w:jc w:val="both"/>
        <w:rPr>
          <w:rFonts w:ascii="Arial" w:hAnsi="Arial" w:cs="Arial"/>
          <w:color w:val="000000"/>
          <w:sz w:val="18"/>
          <w:szCs w:val="18"/>
          <w:lang w:val="es-CO"/>
        </w:rPr>
      </w:pPr>
    </w:p>
  </w:footnote>
  <w:footnote w:id="14">
    <w:p w14:paraId="5CEBBFEB" w14:textId="77777777" w:rsidR="009157E3" w:rsidRPr="007C7528" w:rsidRDefault="009157E3" w:rsidP="009157E3">
      <w:pPr>
        <w:pStyle w:val="Textonotapie"/>
        <w:ind w:firstLine="709"/>
        <w:jc w:val="both"/>
        <w:rPr>
          <w:rFonts w:ascii="Arial" w:hAnsi="Arial" w:cs="Arial"/>
          <w:color w:val="000000"/>
          <w:sz w:val="18"/>
          <w:szCs w:val="18"/>
        </w:rPr>
      </w:pPr>
      <w:r w:rsidRPr="007C7528">
        <w:rPr>
          <w:rStyle w:val="Refdenotaalpie"/>
          <w:rFonts w:ascii="Arial" w:hAnsi="Arial" w:cs="Arial"/>
          <w:color w:val="000000"/>
          <w:sz w:val="18"/>
          <w:szCs w:val="18"/>
        </w:rPr>
        <w:footnoteRef/>
      </w:r>
      <w:r w:rsidRPr="007C7528">
        <w:rPr>
          <w:rFonts w:ascii="Arial" w:hAnsi="Arial" w:cs="Arial"/>
          <w:color w:val="000000"/>
          <w:sz w:val="18"/>
          <w:szCs w:val="18"/>
        </w:rPr>
        <w:t xml:space="preserve"> Ley 1712 de 2014: </w:t>
      </w:r>
      <w:r>
        <w:rPr>
          <w:rFonts w:ascii="Arial" w:hAnsi="Arial" w:cs="Arial"/>
          <w:color w:val="000000"/>
          <w:sz w:val="18"/>
          <w:szCs w:val="18"/>
        </w:rPr>
        <w:t>“</w:t>
      </w:r>
      <w:r w:rsidRPr="007C7528">
        <w:rPr>
          <w:rFonts w:ascii="Arial" w:hAnsi="Arial" w:cs="Arial"/>
          <w:color w:val="000000"/>
          <w:sz w:val="18"/>
          <w:szCs w:val="18"/>
        </w:rPr>
        <w:t xml:space="preserve">Artículo 5. Ámbito de aplicación. Las disposiciones de esta ley serán aplicables a las siguientes personas en calidad de sujetos obligados: </w:t>
      </w:r>
    </w:p>
    <w:p w14:paraId="5B2E8884"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23380A3E" w14:textId="77777777" w:rsidR="009157E3" w:rsidRPr="007C7528" w:rsidRDefault="009157E3" w:rsidP="009157E3">
      <w:pPr>
        <w:pStyle w:val="Textonotapie"/>
        <w:ind w:firstLine="709"/>
        <w:jc w:val="both"/>
        <w:rPr>
          <w:rFonts w:ascii="Arial" w:hAnsi="Arial" w:cs="Arial"/>
          <w:color w:val="000000"/>
          <w:sz w:val="18"/>
          <w:szCs w:val="18"/>
        </w:rPr>
      </w:pPr>
    </w:p>
    <w:p w14:paraId="37EDC1A5"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b) Los órganos, organismos y entidades estatales independientes o autónomos y de control.</w:t>
      </w:r>
    </w:p>
    <w:p w14:paraId="372A979B" w14:textId="77777777" w:rsidR="009157E3" w:rsidRPr="007C7528" w:rsidRDefault="009157E3" w:rsidP="009157E3">
      <w:pPr>
        <w:pStyle w:val="Textonotapie"/>
        <w:ind w:firstLine="709"/>
        <w:jc w:val="both"/>
        <w:rPr>
          <w:rFonts w:ascii="Arial" w:hAnsi="Arial" w:cs="Arial"/>
          <w:color w:val="000000"/>
          <w:sz w:val="18"/>
          <w:szCs w:val="18"/>
        </w:rPr>
      </w:pPr>
    </w:p>
    <w:p w14:paraId="7806E5C7"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c) Las personas naturales y jurídicas, públicas o privadas, que presten función pública, que presten servicios públicos respecto de la información directamente relacionada con la prestación del servicio público.</w:t>
      </w:r>
    </w:p>
    <w:p w14:paraId="3BAA06A5" w14:textId="77777777" w:rsidR="009157E3" w:rsidRPr="007C7528" w:rsidRDefault="009157E3" w:rsidP="009157E3">
      <w:pPr>
        <w:pStyle w:val="Textonotapie"/>
        <w:ind w:firstLine="709"/>
        <w:jc w:val="both"/>
        <w:rPr>
          <w:rFonts w:ascii="Arial" w:hAnsi="Arial" w:cs="Arial"/>
          <w:color w:val="000000"/>
          <w:sz w:val="18"/>
          <w:szCs w:val="18"/>
        </w:rPr>
      </w:pPr>
    </w:p>
    <w:p w14:paraId="04CDAB75"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 xml:space="preserve">d) Cualquier persona natural, jurídica o dependencia de persona jurídica que desempeñe función pública o de </w:t>
      </w:r>
      <w:proofErr w:type="gramStart"/>
      <w:r w:rsidRPr="007C7528">
        <w:rPr>
          <w:rFonts w:ascii="Arial" w:hAnsi="Arial" w:cs="Arial"/>
          <w:color w:val="000000"/>
          <w:sz w:val="18"/>
          <w:szCs w:val="18"/>
        </w:rPr>
        <w:t>autoridad pública</w:t>
      </w:r>
      <w:proofErr w:type="gramEnd"/>
      <w:r w:rsidRPr="007C7528">
        <w:rPr>
          <w:rFonts w:ascii="Arial" w:hAnsi="Arial" w:cs="Arial"/>
          <w:color w:val="000000"/>
          <w:sz w:val="18"/>
          <w:szCs w:val="18"/>
        </w:rPr>
        <w:t>, respecto de la información directamente relacionada con el desempeño de su función.</w:t>
      </w:r>
    </w:p>
    <w:p w14:paraId="61374DDE" w14:textId="77777777" w:rsidR="009157E3" w:rsidRPr="007C7528" w:rsidRDefault="009157E3" w:rsidP="009157E3">
      <w:pPr>
        <w:pStyle w:val="Textonotapie"/>
        <w:ind w:firstLine="709"/>
        <w:jc w:val="both"/>
        <w:rPr>
          <w:rFonts w:ascii="Arial" w:hAnsi="Arial" w:cs="Arial"/>
          <w:color w:val="000000"/>
          <w:sz w:val="18"/>
          <w:szCs w:val="18"/>
        </w:rPr>
      </w:pPr>
    </w:p>
    <w:p w14:paraId="21B3177D"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e) &lt;Literal CONDICIONALMENTE exequible&gt; Las empresas públicas creadas por ley, las empresas del Estado y sociedades en que este tenga participación.</w:t>
      </w:r>
    </w:p>
    <w:p w14:paraId="6E98E814" w14:textId="77777777" w:rsidR="009157E3" w:rsidRPr="007C7528" w:rsidRDefault="009157E3" w:rsidP="009157E3">
      <w:pPr>
        <w:pStyle w:val="Textonotapie"/>
        <w:ind w:firstLine="709"/>
        <w:jc w:val="both"/>
        <w:rPr>
          <w:rFonts w:ascii="Arial" w:hAnsi="Arial" w:cs="Arial"/>
          <w:color w:val="000000"/>
          <w:sz w:val="18"/>
          <w:szCs w:val="18"/>
        </w:rPr>
      </w:pPr>
    </w:p>
    <w:p w14:paraId="7B0C4704"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f) Los partidos o movimientos políticos y los grupos significativos de ciudadanos.</w:t>
      </w:r>
    </w:p>
    <w:p w14:paraId="210D591E" w14:textId="77777777" w:rsidR="009157E3" w:rsidRPr="007C7528" w:rsidRDefault="009157E3" w:rsidP="009157E3">
      <w:pPr>
        <w:pStyle w:val="Textonotapie"/>
        <w:ind w:firstLine="709"/>
        <w:jc w:val="both"/>
        <w:rPr>
          <w:rFonts w:ascii="Arial" w:hAnsi="Arial" w:cs="Arial"/>
          <w:color w:val="000000"/>
          <w:sz w:val="18"/>
          <w:szCs w:val="18"/>
        </w:rPr>
      </w:pPr>
    </w:p>
    <w:p w14:paraId="1820A6B2"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g) Las entidades que administren instituciones parafiscales, fondos o recursos de naturaleza u origen público.</w:t>
      </w:r>
    </w:p>
    <w:p w14:paraId="37A7C97D" w14:textId="77777777" w:rsidR="009157E3" w:rsidRPr="007C7528" w:rsidRDefault="009157E3" w:rsidP="009157E3">
      <w:pPr>
        <w:pStyle w:val="Textonotapie"/>
        <w:ind w:firstLine="709"/>
        <w:jc w:val="both"/>
        <w:rPr>
          <w:rFonts w:ascii="Arial" w:hAnsi="Arial" w:cs="Arial"/>
          <w:color w:val="000000"/>
          <w:sz w:val="18"/>
          <w:szCs w:val="18"/>
        </w:rPr>
      </w:pPr>
    </w:p>
    <w:p w14:paraId="3AE99D8C"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2F4DD53C" w14:textId="77777777" w:rsidR="009157E3" w:rsidRPr="007C7528" w:rsidRDefault="009157E3" w:rsidP="009157E3">
      <w:pPr>
        <w:pStyle w:val="Textonotapie"/>
        <w:ind w:firstLine="709"/>
        <w:jc w:val="both"/>
        <w:rPr>
          <w:rFonts w:ascii="Arial" w:hAnsi="Arial" w:cs="Arial"/>
          <w:color w:val="000000"/>
          <w:sz w:val="18"/>
          <w:szCs w:val="18"/>
        </w:rPr>
      </w:pPr>
    </w:p>
    <w:p w14:paraId="57FA1C50"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hAnsi="Arial" w:cs="Arial"/>
          <w:color w:val="000000"/>
          <w:sz w:val="18"/>
          <w:szCs w:val="18"/>
        </w:rPr>
        <w:t>PARÁGRAFO 1o. No serán sujetos obligados aquellas personas naturales o jurídicas de carácter privado que sean usuarios de información pública</w:t>
      </w:r>
      <w:r>
        <w:rPr>
          <w:rFonts w:ascii="Arial" w:hAnsi="Arial" w:cs="Arial"/>
          <w:color w:val="000000"/>
          <w:sz w:val="18"/>
          <w:szCs w:val="18"/>
        </w:rPr>
        <w:t>”.</w:t>
      </w:r>
    </w:p>
    <w:p w14:paraId="311D07C6" w14:textId="77777777" w:rsidR="009157E3" w:rsidRPr="007C7528" w:rsidRDefault="009157E3" w:rsidP="009157E3">
      <w:pPr>
        <w:pStyle w:val="Textonotapie"/>
        <w:ind w:firstLine="709"/>
        <w:jc w:val="both"/>
        <w:rPr>
          <w:rFonts w:ascii="Arial" w:hAnsi="Arial" w:cs="Arial"/>
          <w:color w:val="000000"/>
          <w:sz w:val="18"/>
          <w:szCs w:val="18"/>
          <w:lang w:val="es-CO"/>
        </w:rPr>
      </w:pPr>
    </w:p>
  </w:footnote>
  <w:footnote w:id="15">
    <w:p w14:paraId="41C0012F" w14:textId="77777777" w:rsidR="009157E3" w:rsidRPr="007C7528" w:rsidRDefault="009157E3" w:rsidP="009157E3">
      <w:pPr>
        <w:pStyle w:val="Textonotapie"/>
        <w:ind w:firstLine="709"/>
        <w:jc w:val="both"/>
        <w:rPr>
          <w:rFonts w:ascii="Arial" w:hAnsi="Arial" w:cs="Arial"/>
          <w:color w:val="000000"/>
          <w:sz w:val="18"/>
          <w:szCs w:val="18"/>
        </w:rPr>
      </w:pPr>
      <w:r w:rsidRPr="007C7528">
        <w:rPr>
          <w:rFonts w:ascii="Arial" w:eastAsia="Times New Roman" w:hAnsi="Arial" w:cs="Arial"/>
          <w:color w:val="000000"/>
          <w:sz w:val="18"/>
          <w:szCs w:val="18"/>
          <w:vertAlign w:val="superscript"/>
          <w:lang w:val="es-ES" w:eastAsia="es-ES"/>
        </w:rPr>
        <w:footnoteRef/>
      </w:r>
      <w:r w:rsidRPr="007C7528">
        <w:rPr>
          <w:rFonts w:ascii="Arial" w:eastAsia="Times New Roman" w:hAnsi="Arial" w:cs="Arial"/>
          <w:color w:val="000000"/>
          <w:sz w:val="18"/>
          <w:szCs w:val="18"/>
          <w:vertAlign w:val="superscript"/>
          <w:lang w:val="es-ES" w:eastAsia="es-ES"/>
        </w:rPr>
        <w:t xml:space="preserve"> </w:t>
      </w:r>
      <w:r>
        <w:rPr>
          <w:rFonts w:ascii="Arial" w:eastAsia="Times New Roman" w:hAnsi="Arial" w:cs="Arial"/>
          <w:color w:val="000000"/>
          <w:sz w:val="18"/>
          <w:szCs w:val="18"/>
          <w:lang w:val="es-ES" w:eastAsia="es-ES"/>
        </w:rPr>
        <w:t>“</w:t>
      </w:r>
      <w:r w:rsidRPr="007C7528">
        <w:rPr>
          <w:rFonts w:ascii="Arial" w:hAnsi="Arial" w:cs="Arial"/>
          <w:color w:val="000000"/>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DFA4222" w14:textId="77777777" w:rsidR="009157E3" w:rsidRPr="007C7528" w:rsidRDefault="009157E3" w:rsidP="009157E3">
      <w:pPr>
        <w:pStyle w:val="Textonotapie"/>
        <w:ind w:firstLine="709"/>
        <w:jc w:val="both"/>
        <w:rPr>
          <w:rFonts w:ascii="Arial" w:eastAsia="Times New Roman" w:hAnsi="Arial" w:cs="Arial"/>
          <w:color w:val="000000"/>
          <w:sz w:val="18"/>
          <w:szCs w:val="18"/>
          <w:lang w:val="es-ES" w:eastAsia="es-ES"/>
        </w:rPr>
      </w:pPr>
      <w:r w:rsidRPr="007C7528">
        <w:rPr>
          <w:rFonts w:ascii="Arial" w:hAnsi="Arial" w:cs="Arial"/>
          <w:color w:val="000000"/>
          <w:sz w:val="18"/>
          <w:szCs w:val="18"/>
        </w:rPr>
        <w:t>[…]</w:t>
      </w:r>
      <w:r>
        <w:rPr>
          <w:rFonts w:ascii="Arial" w:eastAsia="Times New Roman" w:hAnsi="Arial" w:cs="Arial"/>
          <w:color w:val="000000"/>
          <w:sz w:val="18"/>
          <w:szCs w:val="18"/>
          <w:lang w:val="es-ES" w:eastAsia="es-ES"/>
        </w:rPr>
        <w:t>”</w:t>
      </w:r>
      <w:r w:rsidRPr="007C7528">
        <w:rPr>
          <w:rFonts w:ascii="Arial" w:eastAsia="Times New Roman" w:hAnsi="Arial" w:cs="Arial"/>
          <w:color w:val="000000"/>
          <w:sz w:val="18"/>
          <w:szCs w:val="18"/>
          <w:lang w:val="es-ES" w:eastAsia="es-ES"/>
        </w:rPr>
        <w:t>.</w:t>
      </w:r>
    </w:p>
    <w:p w14:paraId="04C81F4C" w14:textId="77777777" w:rsidR="009157E3" w:rsidRPr="007C7528" w:rsidRDefault="009157E3" w:rsidP="009157E3">
      <w:pPr>
        <w:pStyle w:val="Textonotapie"/>
        <w:ind w:firstLine="709"/>
        <w:jc w:val="both"/>
        <w:rPr>
          <w:rFonts w:ascii="Arial" w:eastAsia="Times New Roman" w:hAnsi="Arial" w:cs="Arial"/>
          <w:color w:val="000000"/>
          <w:sz w:val="18"/>
          <w:szCs w:val="18"/>
          <w:lang w:val="es-ES" w:eastAsia="es-ES"/>
        </w:rPr>
      </w:pPr>
    </w:p>
  </w:footnote>
  <w:footnote w:id="16">
    <w:p w14:paraId="6116646C" w14:textId="77777777" w:rsidR="00F4478E" w:rsidRPr="00606229" w:rsidRDefault="00F4478E" w:rsidP="00F4478E">
      <w:pPr>
        <w:pStyle w:val="Textonotapie"/>
        <w:ind w:firstLine="708"/>
        <w:contextualSpacing/>
        <w:jc w:val="both"/>
        <w:rPr>
          <w:rFonts w:ascii="Arial" w:hAnsi="Arial" w:cs="Arial"/>
          <w:sz w:val="18"/>
          <w:szCs w:val="18"/>
        </w:rPr>
      </w:pPr>
      <w:r w:rsidRPr="00606229">
        <w:rPr>
          <w:rStyle w:val="Refdenotaalpie"/>
          <w:rFonts w:ascii="Arial" w:hAnsi="Arial" w:cs="Arial"/>
          <w:sz w:val="18"/>
          <w:szCs w:val="18"/>
        </w:rPr>
        <w:footnoteRef/>
      </w:r>
      <w:r w:rsidRPr="00606229">
        <w:rPr>
          <w:rFonts w:ascii="Arial" w:hAnsi="Arial" w:cs="Arial"/>
          <w:sz w:val="18"/>
          <w:szCs w:val="18"/>
        </w:rPr>
        <w:t xml:space="preserve"> Ley 1437 de 2011: </w:t>
      </w:r>
      <w:r>
        <w:rPr>
          <w:rFonts w:ascii="Arial" w:hAnsi="Arial" w:cs="Arial"/>
          <w:sz w:val="18"/>
          <w:szCs w:val="18"/>
        </w:rPr>
        <w:t>“</w:t>
      </w:r>
      <w:r w:rsidRPr="00606229">
        <w:rPr>
          <w:rFonts w:ascii="Arial" w:hAnsi="Arial" w:cs="Arial"/>
          <w:sz w:val="18"/>
          <w:szCs w:val="18"/>
        </w:rPr>
        <w:t xml:space="preserve">Artículo 24. Informaciones y documentos reservados. Solo tendrán carácter reservado las informaciones y documentos expresamente sometidos a reserva por la Constitución Política o la ley, y en especial:  </w:t>
      </w:r>
    </w:p>
    <w:p w14:paraId="33177F77" w14:textId="77777777" w:rsidR="00F4478E" w:rsidRPr="00606229" w:rsidRDefault="00F4478E" w:rsidP="00F4478E">
      <w:pPr>
        <w:pStyle w:val="Textonotapie"/>
        <w:ind w:firstLine="708"/>
        <w:contextualSpacing/>
        <w:jc w:val="both"/>
        <w:rPr>
          <w:rFonts w:ascii="Arial" w:hAnsi="Arial" w:cs="Arial"/>
          <w:sz w:val="18"/>
          <w:szCs w:val="18"/>
        </w:rPr>
      </w:pPr>
      <w:r>
        <w:rPr>
          <w:rFonts w:ascii="Arial" w:hAnsi="Arial" w:cs="Arial"/>
          <w:sz w:val="18"/>
          <w:szCs w:val="18"/>
        </w:rPr>
        <w:t>“</w:t>
      </w:r>
      <w:r w:rsidRPr="00606229">
        <w:rPr>
          <w:rFonts w:ascii="Arial" w:hAnsi="Arial" w:cs="Arial"/>
          <w:sz w:val="18"/>
          <w:szCs w:val="18"/>
        </w:rPr>
        <w:t xml:space="preserve">1. Los relacionados con la defensa o seguridad nacionales.  </w:t>
      </w:r>
    </w:p>
    <w:p w14:paraId="2781D837" w14:textId="77777777" w:rsidR="00F4478E" w:rsidRPr="00606229" w:rsidRDefault="00F4478E" w:rsidP="00F4478E">
      <w:pPr>
        <w:pStyle w:val="Textonotapie"/>
        <w:ind w:firstLine="708"/>
        <w:contextualSpacing/>
        <w:jc w:val="both"/>
        <w:rPr>
          <w:rFonts w:ascii="Arial" w:hAnsi="Arial" w:cs="Arial"/>
          <w:sz w:val="18"/>
          <w:szCs w:val="18"/>
        </w:rPr>
      </w:pPr>
      <w:r>
        <w:rPr>
          <w:rFonts w:ascii="Arial" w:hAnsi="Arial" w:cs="Arial"/>
          <w:sz w:val="18"/>
          <w:szCs w:val="18"/>
        </w:rPr>
        <w:t>“</w:t>
      </w:r>
      <w:r w:rsidRPr="00606229">
        <w:rPr>
          <w:rFonts w:ascii="Arial" w:hAnsi="Arial" w:cs="Arial"/>
          <w:sz w:val="18"/>
          <w:szCs w:val="18"/>
        </w:rPr>
        <w:t xml:space="preserve">2. Las instrucciones en materia diplomática o sobre negociaciones reservadas.  </w:t>
      </w:r>
    </w:p>
    <w:p w14:paraId="3B50839B" w14:textId="77777777" w:rsidR="00F4478E" w:rsidRPr="00606229" w:rsidRDefault="00F4478E" w:rsidP="00F4478E">
      <w:pPr>
        <w:pStyle w:val="Textonotapie"/>
        <w:ind w:firstLine="708"/>
        <w:contextualSpacing/>
        <w:jc w:val="both"/>
        <w:rPr>
          <w:rFonts w:ascii="Arial" w:hAnsi="Arial" w:cs="Arial"/>
          <w:sz w:val="18"/>
          <w:szCs w:val="18"/>
        </w:rPr>
      </w:pPr>
      <w:r>
        <w:rPr>
          <w:rFonts w:ascii="Arial" w:hAnsi="Arial" w:cs="Arial"/>
          <w:sz w:val="18"/>
          <w:szCs w:val="18"/>
        </w:rPr>
        <w:t>“</w:t>
      </w:r>
      <w:r w:rsidRPr="00606229">
        <w:rPr>
          <w:rFonts w:ascii="Arial" w:hAnsi="Arial"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AD5B20B" w14:textId="77777777" w:rsidR="00F4478E" w:rsidRPr="00606229" w:rsidRDefault="00F4478E" w:rsidP="00F4478E">
      <w:pPr>
        <w:pStyle w:val="Textonotapie"/>
        <w:ind w:firstLine="708"/>
        <w:contextualSpacing/>
        <w:jc w:val="both"/>
        <w:rPr>
          <w:rFonts w:ascii="Arial" w:hAnsi="Arial" w:cs="Arial"/>
          <w:sz w:val="18"/>
          <w:szCs w:val="18"/>
        </w:rPr>
      </w:pPr>
      <w:r>
        <w:rPr>
          <w:rFonts w:ascii="Arial" w:hAnsi="Arial" w:cs="Arial"/>
          <w:sz w:val="18"/>
          <w:szCs w:val="18"/>
        </w:rPr>
        <w:t>“</w:t>
      </w:r>
      <w:r w:rsidRPr="00606229">
        <w:rPr>
          <w:rFonts w:ascii="Arial" w:hAnsi="Arial" w:cs="Arial"/>
          <w:sz w:val="18"/>
          <w:szCs w:val="18"/>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131C1695" w14:textId="77777777" w:rsidR="00F4478E" w:rsidRPr="00606229" w:rsidRDefault="00F4478E" w:rsidP="00F4478E">
      <w:pPr>
        <w:pStyle w:val="Textonotapie"/>
        <w:ind w:firstLine="708"/>
        <w:contextualSpacing/>
        <w:jc w:val="both"/>
        <w:rPr>
          <w:rFonts w:ascii="Arial" w:hAnsi="Arial" w:cs="Arial"/>
          <w:sz w:val="18"/>
          <w:szCs w:val="18"/>
        </w:rPr>
      </w:pPr>
      <w:r>
        <w:rPr>
          <w:rFonts w:ascii="Arial" w:hAnsi="Arial" w:cs="Arial"/>
          <w:sz w:val="18"/>
          <w:szCs w:val="18"/>
        </w:rPr>
        <w:t>“</w:t>
      </w:r>
      <w:r w:rsidRPr="00606229">
        <w:rPr>
          <w:rFonts w:ascii="Arial" w:hAnsi="Arial" w:cs="Arial"/>
          <w:sz w:val="18"/>
          <w:szCs w:val="18"/>
        </w:rPr>
        <w:t xml:space="preserve">5. Los datos referentes a la información financiera y comercial, en los términos de la Ley Estatutaria 1266 de 2008.  </w:t>
      </w:r>
    </w:p>
    <w:p w14:paraId="379B09A7" w14:textId="77777777" w:rsidR="00F4478E" w:rsidRPr="00606229" w:rsidRDefault="00F4478E" w:rsidP="00F4478E">
      <w:pPr>
        <w:pStyle w:val="Textonotapie"/>
        <w:ind w:firstLine="708"/>
        <w:contextualSpacing/>
        <w:jc w:val="both"/>
        <w:rPr>
          <w:rFonts w:ascii="Arial" w:hAnsi="Arial" w:cs="Arial"/>
          <w:sz w:val="18"/>
          <w:szCs w:val="18"/>
        </w:rPr>
      </w:pPr>
      <w:r>
        <w:rPr>
          <w:rFonts w:ascii="Arial" w:hAnsi="Arial" w:cs="Arial"/>
          <w:sz w:val="18"/>
          <w:szCs w:val="18"/>
        </w:rPr>
        <w:t>“</w:t>
      </w:r>
      <w:r w:rsidRPr="00606229">
        <w:rPr>
          <w:rFonts w:ascii="Arial" w:hAnsi="Arial" w:cs="Arial"/>
          <w:sz w:val="18"/>
          <w:szCs w:val="18"/>
        </w:rPr>
        <w:t xml:space="preserve">6. Los protegidos por el secreto comercial o industrial, así como los planes estratégicos de las empresas públicas de servicios públicos.  </w:t>
      </w:r>
    </w:p>
    <w:p w14:paraId="51CE15FF" w14:textId="77777777" w:rsidR="00F4478E" w:rsidRPr="00606229" w:rsidRDefault="00F4478E" w:rsidP="00F4478E">
      <w:pPr>
        <w:pStyle w:val="Textonotapie"/>
        <w:ind w:firstLine="708"/>
        <w:contextualSpacing/>
        <w:jc w:val="both"/>
        <w:rPr>
          <w:rFonts w:ascii="Arial" w:hAnsi="Arial" w:cs="Arial"/>
          <w:sz w:val="18"/>
          <w:szCs w:val="18"/>
        </w:rPr>
      </w:pPr>
      <w:r>
        <w:rPr>
          <w:rFonts w:ascii="Arial" w:hAnsi="Arial" w:cs="Arial"/>
          <w:sz w:val="18"/>
          <w:szCs w:val="18"/>
        </w:rPr>
        <w:t>“</w:t>
      </w:r>
      <w:r w:rsidRPr="00606229">
        <w:rPr>
          <w:rFonts w:ascii="Arial" w:hAnsi="Arial" w:cs="Arial"/>
          <w:sz w:val="18"/>
          <w:szCs w:val="18"/>
        </w:rPr>
        <w:t xml:space="preserve">7. Los amparados por el secreto profesional.  </w:t>
      </w:r>
    </w:p>
    <w:p w14:paraId="6A2EB8AB" w14:textId="77777777" w:rsidR="00F4478E" w:rsidRPr="00606229" w:rsidRDefault="00F4478E" w:rsidP="00F4478E">
      <w:pPr>
        <w:pStyle w:val="Textonotapie"/>
        <w:ind w:firstLine="708"/>
        <w:contextualSpacing/>
        <w:jc w:val="both"/>
        <w:rPr>
          <w:rFonts w:ascii="Arial" w:hAnsi="Arial" w:cs="Arial"/>
          <w:sz w:val="18"/>
          <w:szCs w:val="18"/>
        </w:rPr>
      </w:pPr>
      <w:r>
        <w:rPr>
          <w:rFonts w:ascii="Arial" w:hAnsi="Arial" w:cs="Arial"/>
          <w:sz w:val="18"/>
          <w:szCs w:val="18"/>
        </w:rPr>
        <w:t>“</w:t>
      </w:r>
      <w:r w:rsidRPr="00606229">
        <w:rPr>
          <w:rFonts w:ascii="Arial" w:hAnsi="Arial" w:cs="Arial"/>
          <w:sz w:val="18"/>
          <w:szCs w:val="18"/>
        </w:rPr>
        <w:t xml:space="preserve">8. Los datos genéticos humanos.  </w:t>
      </w:r>
    </w:p>
    <w:p w14:paraId="1D6F5A94" w14:textId="77777777" w:rsidR="00F4478E" w:rsidRPr="00606229" w:rsidRDefault="00F4478E" w:rsidP="00F4478E">
      <w:pPr>
        <w:pStyle w:val="Textonotapie"/>
        <w:ind w:firstLine="708"/>
        <w:contextualSpacing/>
        <w:jc w:val="both"/>
        <w:rPr>
          <w:rFonts w:ascii="Arial" w:hAnsi="Arial" w:cs="Arial"/>
          <w:sz w:val="18"/>
          <w:szCs w:val="18"/>
        </w:rPr>
      </w:pPr>
      <w:r>
        <w:rPr>
          <w:rFonts w:ascii="Arial" w:hAnsi="Arial" w:cs="Arial"/>
          <w:sz w:val="18"/>
          <w:szCs w:val="18"/>
        </w:rPr>
        <w:t>“</w:t>
      </w:r>
      <w:r w:rsidRPr="00606229">
        <w:rPr>
          <w:rFonts w:ascii="Arial" w:hAnsi="Arial" w:cs="Arial"/>
          <w:sz w:val="18"/>
          <w:szCs w:val="18"/>
        </w:rPr>
        <w:t>Parágrafo. Para efecto de la solicitud de información de carácter reservado, enunciada en los numerales 3, 5, 6 y 7 solo podrá ser solicitada por el titular de la información, por sus apoderados o por personas autorizadas con facultad expresa para acceder a esa información</w:t>
      </w:r>
      <w:r>
        <w:rPr>
          <w:rFonts w:ascii="Arial" w:hAnsi="Arial" w:cs="Arial"/>
          <w:sz w:val="18"/>
          <w:szCs w:val="18"/>
        </w:rPr>
        <w:t>”</w:t>
      </w:r>
      <w:r w:rsidRPr="00606229">
        <w:rPr>
          <w:rFonts w:ascii="Arial" w:hAnsi="Arial" w:cs="Arial"/>
          <w:sz w:val="18"/>
          <w:szCs w:val="18"/>
        </w:rPr>
        <w:t xml:space="preserve">.  </w:t>
      </w:r>
    </w:p>
    <w:p w14:paraId="53F2AD2A" w14:textId="77777777" w:rsidR="00F4478E" w:rsidRPr="00606229" w:rsidRDefault="00F4478E" w:rsidP="00F4478E">
      <w:pPr>
        <w:pStyle w:val="Textonotapie"/>
        <w:ind w:firstLine="708"/>
        <w:contextualSpacing/>
        <w:jc w:val="both"/>
        <w:rPr>
          <w:rFonts w:ascii="Arial" w:hAnsi="Arial" w:cs="Arial"/>
          <w:sz w:val="18"/>
          <w:szCs w:val="18"/>
        </w:rPr>
      </w:pPr>
    </w:p>
  </w:footnote>
  <w:footnote w:id="17">
    <w:p w14:paraId="1FEA1673" w14:textId="77777777" w:rsidR="00F4478E" w:rsidRPr="00606229" w:rsidRDefault="00F4478E" w:rsidP="00F4478E">
      <w:pPr>
        <w:pStyle w:val="Textonotapie"/>
        <w:ind w:firstLine="708"/>
        <w:contextualSpacing/>
        <w:jc w:val="both"/>
        <w:rPr>
          <w:rFonts w:ascii="Arial" w:hAnsi="Arial" w:cs="Arial"/>
          <w:sz w:val="18"/>
          <w:szCs w:val="18"/>
        </w:rPr>
      </w:pPr>
      <w:r w:rsidRPr="00606229">
        <w:rPr>
          <w:rStyle w:val="Refdenotaalpie"/>
          <w:rFonts w:ascii="Arial" w:hAnsi="Arial" w:cs="Arial"/>
          <w:sz w:val="18"/>
          <w:szCs w:val="18"/>
        </w:rPr>
        <w:footnoteRef/>
      </w:r>
      <w:r w:rsidRPr="00606229">
        <w:rPr>
          <w:rFonts w:ascii="Arial" w:hAnsi="Arial" w:cs="Arial"/>
          <w:sz w:val="18"/>
          <w:szCs w:val="18"/>
        </w:rPr>
        <w:t xml:space="preserve"> </w:t>
      </w:r>
      <w:r w:rsidRPr="00606229">
        <w:rPr>
          <w:rFonts w:ascii="Arial" w:eastAsia="Calibri" w:hAnsi="Arial" w:cs="Arial"/>
          <w:sz w:val="18"/>
          <w:szCs w:val="18"/>
          <w:lang w:val="es-ES_tradnl"/>
        </w:rPr>
        <w:t xml:space="preserve">En armonía con lo anterior, en la Circular Externa 002 de esta Agencia se establece, que: </w:t>
      </w:r>
      <w:r>
        <w:rPr>
          <w:rFonts w:ascii="Arial" w:eastAsia="Calibri" w:hAnsi="Arial" w:cs="Arial"/>
          <w:sz w:val="18"/>
          <w:szCs w:val="18"/>
          <w:lang w:val="es-ES_tradnl"/>
        </w:rPr>
        <w:t>“</w:t>
      </w:r>
      <w:r w:rsidRPr="00606229">
        <w:rPr>
          <w:rFonts w:ascii="Arial" w:eastAsia="Calibri" w:hAnsi="Arial" w:cs="Arial"/>
          <w:sz w:val="18"/>
          <w:szCs w:val="18"/>
          <w:lang w:val="es-ES_tradnl"/>
        </w:rPr>
        <w:t>Todos los procesos de contratación creados en el SECOP I antes del 18 de julio de 2022, 23:59 horas, por parte de estas entidades estatales, podrán continuar siendo gestionados en esta plataforma</w:t>
      </w:r>
      <w:r>
        <w:rPr>
          <w:rFonts w:ascii="Arial" w:eastAsia="Calibri" w:hAnsi="Arial" w:cs="Arial"/>
          <w:sz w:val="18"/>
          <w:szCs w:val="18"/>
          <w:lang w:val="es-ES_tradnl"/>
        </w:rPr>
        <w:t>”</w:t>
      </w:r>
      <w:r w:rsidRPr="00606229">
        <w:rPr>
          <w:rFonts w:ascii="Arial" w:eastAsia="Calibri" w:hAnsi="Arial" w:cs="Arial"/>
          <w:sz w:val="18"/>
          <w:szCs w:val="18"/>
          <w:lang w:val="es-ES_tradnl"/>
        </w:rPr>
        <w:t>.</w:t>
      </w:r>
    </w:p>
  </w:footnote>
  <w:footnote w:id="18">
    <w:p w14:paraId="3BDD1551" w14:textId="77777777" w:rsidR="00877687" w:rsidRPr="00606229" w:rsidRDefault="00877687" w:rsidP="00877687">
      <w:pPr>
        <w:pStyle w:val="Textonotapie"/>
        <w:ind w:firstLine="708"/>
        <w:contextualSpacing/>
        <w:rPr>
          <w:rFonts w:ascii="Arial" w:hAnsi="Arial" w:cs="Arial"/>
          <w:sz w:val="18"/>
          <w:szCs w:val="18"/>
        </w:rPr>
      </w:pPr>
    </w:p>
    <w:p w14:paraId="2B87A7C8" w14:textId="77777777" w:rsidR="00877687" w:rsidRPr="00606229" w:rsidRDefault="00877687" w:rsidP="00877687">
      <w:pPr>
        <w:pStyle w:val="Textonotapie"/>
        <w:ind w:firstLine="708"/>
        <w:contextualSpacing/>
        <w:jc w:val="both"/>
        <w:rPr>
          <w:rFonts w:ascii="Arial" w:hAnsi="Arial" w:cs="Arial"/>
          <w:sz w:val="18"/>
          <w:szCs w:val="18"/>
          <w:lang w:val="es-CO"/>
        </w:rPr>
      </w:pPr>
      <w:r w:rsidRPr="00606229">
        <w:rPr>
          <w:rStyle w:val="Refdenotaalpie"/>
          <w:rFonts w:ascii="Arial" w:hAnsi="Arial" w:cs="Arial"/>
          <w:sz w:val="18"/>
          <w:szCs w:val="18"/>
        </w:rPr>
        <w:footnoteRef/>
      </w:r>
      <w:r w:rsidRPr="00606229">
        <w:rPr>
          <w:rFonts w:ascii="Arial" w:hAnsi="Arial" w:cs="Arial"/>
          <w:sz w:val="18"/>
          <w:szCs w:val="18"/>
        </w:rPr>
        <w:t xml:space="preserve"> Ley 1150 de 2007. </w:t>
      </w:r>
      <w:r>
        <w:rPr>
          <w:rFonts w:ascii="Arial" w:hAnsi="Arial" w:cs="Arial"/>
          <w:sz w:val="18"/>
          <w:szCs w:val="18"/>
        </w:rPr>
        <w:t>“</w:t>
      </w:r>
      <w:r w:rsidRPr="00606229">
        <w:rPr>
          <w:rFonts w:ascii="Arial" w:hAnsi="Arial" w:cs="Arial"/>
          <w:sz w:val="18"/>
          <w:szCs w:val="18"/>
        </w:rPr>
        <w:t>Artículo 1. Objeto. La presente ley tiene por objeto introducir modificaciones en la Ley 80 de 1993, así como dictar otras disposiciones generales aplicables a toda contratación con recursos públicos</w:t>
      </w:r>
      <w:r>
        <w:rPr>
          <w:rFonts w:ascii="Arial" w:hAnsi="Arial" w:cs="Arial"/>
          <w:sz w:val="18"/>
          <w:szCs w:val="18"/>
        </w:rPr>
        <w:t>”</w:t>
      </w:r>
      <w:r w:rsidRPr="00606229">
        <w:rPr>
          <w:rFonts w:ascii="Arial" w:hAnsi="Arial" w:cs="Arial"/>
          <w:sz w:val="18"/>
          <w:szCs w:val="18"/>
        </w:rPr>
        <w:t>.</w:t>
      </w:r>
    </w:p>
  </w:footnote>
  <w:footnote w:id="19">
    <w:p w14:paraId="0E3C77F4" w14:textId="77777777" w:rsidR="00877687" w:rsidRPr="00606229" w:rsidRDefault="00877687" w:rsidP="00877687">
      <w:pPr>
        <w:autoSpaceDE w:val="0"/>
        <w:autoSpaceDN w:val="0"/>
        <w:adjustRightInd w:val="0"/>
        <w:spacing w:after="0" w:line="240" w:lineRule="auto"/>
        <w:ind w:firstLine="708"/>
        <w:contextualSpacing/>
        <w:jc w:val="both"/>
        <w:rPr>
          <w:rFonts w:ascii="Arial" w:eastAsia="Calibri" w:hAnsi="Arial" w:cs="Arial"/>
          <w:sz w:val="18"/>
          <w:szCs w:val="18"/>
          <w:lang w:val="es-ES" w:eastAsia="es-ES_tradnl"/>
        </w:rPr>
      </w:pPr>
      <w:r w:rsidRPr="00606229">
        <w:rPr>
          <w:rStyle w:val="Refdenotaalpie"/>
          <w:rFonts w:ascii="Arial" w:hAnsi="Arial" w:cs="Arial"/>
          <w:sz w:val="18"/>
          <w:szCs w:val="18"/>
        </w:rPr>
        <w:footnoteRef/>
      </w:r>
      <w:r w:rsidRPr="00606229">
        <w:rPr>
          <w:rFonts w:ascii="Arial" w:hAnsi="Arial" w:cs="Arial"/>
          <w:sz w:val="18"/>
          <w:szCs w:val="18"/>
        </w:rPr>
        <w:t xml:space="preserve"> E</w:t>
      </w:r>
      <w:r w:rsidRPr="00606229">
        <w:rPr>
          <w:rFonts w:ascii="Arial" w:eastAsia="Calibri" w:hAnsi="Arial" w:cs="Arial"/>
          <w:sz w:val="18"/>
          <w:szCs w:val="18"/>
          <w:lang w:val="es-ES_tradnl" w:eastAsia="es-ES_tradnl"/>
        </w:rPr>
        <w:t xml:space="preserve">l pasado </w:t>
      </w:r>
      <w:r w:rsidRPr="00606229">
        <w:rPr>
          <w:rFonts w:ascii="Arial" w:eastAsia="Calibri" w:hAnsi="Arial" w:cs="Arial"/>
          <w:sz w:val="18"/>
          <w:szCs w:val="18"/>
          <w:lang w:val="es-ES" w:eastAsia="es-ES_tradnl"/>
        </w:rPr>
        <w:t xml:space="preserve">1 de junio, el Departamento Administrativo de la Presidencia de la Republica profirió la Circular 02 del 2022, mediante la cual se imparten instrucciones sobre la aplicación del artículo 53 de la Ley 2195 de 2022, en los siguientes aspectos: i) publicación de los documentos contractuales en el SECOP II; ii) reserva de los documentos relacionados con la actividad contractual y; </w:t>
      </w:r>
      <w:proofErr w:type="spellStart"/>
      <w:r w:rsidRPr="00606229">
        <w:rPr>
          <w:rFonts w:ascii="Arial" w:eastAsia="Calibri" w:hAnsi="Arial" w:cs="Arial"/>
          <w:sz w:val="18"/>
          <w:szCs w:val="18"/>
          <w:lang w:val="es-ES" w:eastAsia="es-ES_tradnl"/>
        </w:rPr>
        <w:t>iii</w:t>
      </w:r>
      <w:proofErr w:type="spellEnd"/>
      <w:r w:rsidRPr="00606229">
        <w:rPr>
          <w:rFonts w:ascii="Arial" w:eastAsia="Calibri" w:hAnsi="Arial" w:cs="Arial"/>
          <w:sz w:val="18"/>
          <w:szCs w:val="18"/>
          <w:lang w:val="es-ES" w:eastAsia="es-ES_tradnl"/>
        </w:rPr>
        <w:t xml:space="preserve">) régimen de transición de los contratos celebrados con anterioridad a la entrada en vigencia de la obligación consagrada en el artículo 53 de la Ley 2195 de 2022. La mencionada Circular contiene una serie de instrucciones con miras a garantizar el cumplimiento del deber legal por parte de las entidades estatales exceptuadas del Estatuto General de Contratación Pública. </w:t>
      </w:r>
    </w:p>
    <w:p w14:paraId="40D28C61" w14:textId="77777777" w:rsidR="00877687" w:rsidRPr="00606229" w:rsidRDefault="00877687" w:rsidP="00877687">
      <w:pPr>
        <w:autoSpaceDE w:val="0"/>
        <w:autoSpaceDN w:val="0"/>
        <w:adjustRightInd w:val="0"/>
        <w:spacing w:after="0" w:line="240" w:lineRule="auto"/>
        <w:ind w:firstLine="708"/>
        <w:contextualSpacing/>
        <w:jc w:val="both"/>
        <w:rPr>
          <w:rFonts w:ascii="Arial" w:eastAsia="Times New Roman" w:hAnsi="Arial" w:cs="Arial"/>
          <w:sz w:val="18"/>
          <w:szCs w:val="18"/>
          <w:lang w:eastAsia="es-ES_tradnl"/>
        </w:rPr>
      </w:pPr>
    </w:p>
  </w:footnote>
  <w:footnote w:id="20">
    <w:p w14:paraId="0C654D5A" w14:textId="77777777" w:rsidR="009157E3" w:rsidRPr="005D576E" w:rsidRDefault="009157E3" w:rsidP="009157E3">
      <w:pPr>
        <w:pStyle w:val="Textonotapie"/>
        <w:ind w:firstLine="708"/>
        <w:jc w:val="both"/>
        <w:rPr>
          <w:rFonts w:ascii="Arial" w:hAnsi="Arial" w:cs="Arial"/>
        </w:rPr>
      </w:pPr>
      <w:r w:rsidRPr="007C7528">
        <w:rPr>
          <w:rStyle w:val="Refdenotaalpie"/>
          <w:rFonts w:ascii="Arial" w:hAnsi="Arial" w:cs="Arial"/>
          <w:sz w:val="18"/>
          <w:szCs w:val="18"/>
        </w:rPr>
        <w:footnoteRef/>
      </w:r>
      <w:r w:rsidRPr="007C7528">
        <w:rPr>
          <w:rFonts w:ascii="Arial" w:hAnsi="Arial" w:cs="Arial"/>
          <w:sz w:val="18"/>
          <w:szCs w:val="18"/>
        </w:rPr>
        <w:t xml:space="preserve"> Consejo de Estado, Sala de Consulta y Servicio Civil. Concepto del 15 de agosto de 2006, </w:t>
      </w:r>
      <w:r w:rsidRPr="007C7528">
        <w:rPr>
          <w:rFonts w:ascii="Arial" w:hAnsi="Arial" w:cs="Arial"/>
          <w:bCs/>
          <w:sz w:val="18"/>
          <w:szCs w:val="18"/>
        </w:rPr>
        <w:t xml:space="preserve">Radicación número: </w:t>
      </w:r>
      <w:r w:rsidRPr="007C7528">
        <w:rPr>
          <w:rFonts w:ascii="Arial" w:hAnsi="Arial" w:cs="Arial"/>
          <w:sz w:val="18"/>
          <w:szCs w:val="18"/>
        </w:rPr>
        <w:t>11001-03-06-000-2006-00073-00(1763).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25A7" w14:textId="77777777" w:rsidR="00503BE0" w:rsidRPr="007566FE" w:rsidRDefault="009157E3"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9264" behindDoc="1" locked="0" layoutInCell="1" hidden="0" allowOverlap="1" wp14:anchorId="55E96718" wp14:editId="7624D8E9">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hAnsi="Geomanist Light"/>
        <w:color w:val="002060"/>
        <w:sz w:val="16"/>
        <w:szCs w:val="16"/>
      </w:rPr>
      <w:t>FORMATO PQRSD</w:t>
    </w:r>
  </w:p>
  <w:p w14:paraId="4E9234BC" w14:textId="77777777" w:rsidR="00503BE0" w:rsidRPr="007566FE" w:rsidRDefault="009157E3"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59FDEB8F" w14:textId="77777777" w:rsidR="00503BE0" w:rsidRDefault="009157E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0288" behindDoc="1" locked="0" layoutInCell="1" allowOverlap="1" wp14:anchorId="7EA250A3" wp14:editId="33FC6FEE">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Pr="007566FE">
      <w:rPr>
        <w:rFonts w:ascii="Geomanist Light" w:eastAsia="Geo" w:hAnsi="Geomanist Light" w:cs="Geo"/>
        <w:b/>
        <w:color w:val="000000"/>
        <w:sz w:val="16"/>
        <w:szCs w:val="16"/>
        <w:lang w:eastAsia="es-CO"/>
      </w:rPr>
      <w:t>Versión</w:t>
    </w:r>
    <w:r w:rsidRPr="007566FE">
      <w:rPr>
        <w:rFonts w:ascii="Geomanist Light" w:eastAsia="Arial Nova" w:hAnsi="Geomanist Light" w:cs="Arial Nova"/>
        <w:b/>
        <w:color w:val="000000"/>
        <w:sz w:val="16"/>
        <w:szCs w:val="16"/>
        <w:lang w:eastAsia="es-CO"/>
      </w:rPr>
      <w:t xml:space="preserve">: </w:t>
    </w:r>
    <w:r w:rsidRPr="007566FE">
      <w:rPr>
        <w:rFonts w:ascii="Geomanist Light" w:eastAsia="Geo" w:hAnsi="Geomanist Light" w:cs="Geo"/>
        <w:sz w:val="16"/>
        <w:szCs w:val="16"/>
        <w:lang w:eastAsia="es-CO"/>
      </w:rPr>
      <w:t>0</w:t>
    </w:r>
    <w:r>
      <w:rPr>
        <w:rFonts w:ascii="Geomanist Light" w:eastAsia="Geo" w:hAnsi="Geomanist Light" w:cs="Geo"/>
        <w:sz w:val="16"/>
        <w:szCs w:val="16"/>
        <w:lang w:eastAsia="es-CO"/>
      </w:rPr>
      <w:t>2</w:t>
    </w:r>
    <w:r w:rsidRPr="007566FE">
      <w:rPr>
        <w:rFonts w:ascii="Geomanist Light" w:eastAsia="Geo" w:hAnsi="Geomanist Light" w:cs="Geo"/>
        <w:sz w:val="16"/>
        <w:szCs w:val="16"/>
        <w:lang w:eastAsia="es-CO"/>
      </w:rPr>
      <w:t xml:space="preserve"> DEL </w:t>
    </w:r>
    <w:r>
      <w:rPr>
        <w:rFonts w:ascii="Geomanist Light" w:eastAsia="Geo" w:hAnsi="Geomanist Light" w:cs="Geo"/>
        <w:sz w:val="16"/>
        <w:szCs w:val="16"/>
        <w:lang w:eastAsia="es-CO"/>
      </w:rPr>
      <w:t>28</w:t>
    </w:r>
    <w:r w:rsidRPr="007566FE">
      <w:rPr>
        <w:rFonts w:ascii="Geomanist Light" w:eastAsia="Geo" w:hAnsi="Geomanist Light" w:cs="Geo"/>
        <w:sz w:val="16"/>
        <w:szCs w:val="16"/>
        <w:lang w:eastAsia="es-CO"/>
      </w:rPr>
      <w:t xml:space="preserve"> DE </w:t>
    </w:r>
    <w:r>
      <w:rPr>
        <w:rFonts w:ascii="Geomanist Light" w:eastAsia="Geo" w:hAnsi="Geomanist Light" w:cs="Geo"/>
        <w:sz w:val="16"/>
        <w:szCs w:val="16"/>
        <w:lang w:eastAsia="es-CO"/>
      </w:rPr>
      <w:t>SEPTIEMBRE</w:t>
    </w:r>
    <w:r w:rsidRPr="007566FE">
      <w:rPr>
        <w:rFonts w:ascii="Geomanist Light" w:eastAsia="Geo" w:hAnsi="Geomanist Light" w:cs="Geo"/>
        <w:sz w:val="16"/>
        <w:szCs w:val="16"/>
        <w:lang w:eastAsia="es-CO"/>
      </w:rPr>
      <w:t xml:space="preserve"> DE 2022</w:t>
    </w:r>
  </w:p>
  <w:p w14:paraId="7D42AFED" w14:textId="77777777" w:rsidR="00503BE0" w:rsidRPr="007566FE" w:rsidRDefault="00503BE0" w:rsidP="008614E5">
    <w:pPr>
      <w:spacing w:after="0"/>
      <w:rPr>
        <w:rFonts w:ascii="Geomanist Light" w:hAnsi="Geomanist Light"/>
        <w:color w:val="002060"/>
        <w:sz w:val="16"/>
        <w:szCs w:val="16"/>
      </w:rPr>
    </w:pPr>
  </w:p>
  <w:p w14:paraId="02641548" w14:textId="77777777" w:rsidR="00503BE0" w:rsidRPr="00906B3C" w:rsidRDefault="00503BE0" w:rsidP="00906B3C">
    <w:pPr>
      <w:pStyle w:val="Encabezado"/>
      <w:tabs>
        <w:tab w:val="clear" w:pos="4419"/>
        <w:tab w:val="clear" w:pos="8838"/>
      </w:tabs>
      <w:ind w:left="3545" w:firstLine="709"/>
      <w:rPr>
        <w:b/>
        <w:bCs/>
        <w:color w:val="A5A5A5" w:themeColor="accent3"/>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E3"/>
    <w:rsid w:val="0000490F"/>
    <w:rsid w:val="00045620"/>
    <w:rsid w:val="00050815"/>
    <w:rsid w:val="0008392B"/>
    <w:rsid w:val="000B00B0"/>
    <w:rsid w:val="000B299B"/>
    <w:rsid w:val="000D4F5C"/>
    <w:rsid w:val="00106DE8"/>
    <w:rsid w:val="001435AD"/>
    <w:rsid w:val="00145185"/>
    <w:rsid w:val="00147A93"/>
    <w:rsid w:val="001666D7"/>
    <w:rsid w:val="001A00D3"/>
    <w:rsid w:val="001C7283"/>
    <w:rsid w:val="001E3143"/>
    <w:rsid w:val="00213C2C"/>
    <w:rsid w:val="0022007F"/>
    <w:rsid w:val="0024658F"/>
    <w:rsid w:val="002C0A0C"/>
    <w:rsid w:val="0032279B"/>
    <w:rsid w:val="00356564"/>
    <w:rsid w:val="00383E35"/>
    <w:rsid w:val="003A178D"/>
    <w:rsid w:val="003B245D"/>
    <w:rsid w:val="004063DB"/>
    <w:rsid w:val="004225B5"/>
    <w:rsid w:val="00502FFE"/>
    <w:rsid w:val="00503BE0"/>
    <w:rsid w:val="00516B3E"/>
    <w:rsid w:val="005677BB"/>
    <w:rsid w:val="005818E2"/>
    <w:rsid w:val="00586A78"/>
    <w:rsid w:val="005E265B"/>
    <w:rsid w:val="00726933"/>
    <w:rsid w:val="007868C2"/>
    <w:rsid w:val="007C393D"/>
    <w:rsid w:val="00871BAA"/>
    <w:rsid w:val="00874A69"/>
    <w:rsid w:val="00877687"/>
    <w:rsid w:val="00881944"/>
    <w:rsid w:val="008C65D1"/>
    <w:rsid w:val="008C694A"/>
    <w:rsid w:val="008E5C2E"/>
    <w:rsid w:val="009157E3"/>
    <w:rsid w:val="0092755B"/>
    <w:rsid w:val="009616D8"/>
    <w:rsid w:val="009D237D"/>
    <w:rsid w:val="00A62A63"/>
    <w:rsid w:val="00A878E5"/>
    <w:rsid w:val="00AA1E3F"/>
    <w:rsid w:val="00AB383A"/>
    <w:rsid w:val="00B41830"/>
    <w:rsid w:val="00BB7D27"/>
    <w:rsid w:val="00C5562B"/>
    <w:rsid w:val="00C62AB5"/>
    <w:rsid w:val="00CF7662"/>
    <w:rsid w:val="00D648CC"/>
    <w:rsid w:val="00D956F0"/>
    <w:rsid w:val="00DD15BD"/>
    <w:rsid w:val="00E64CEE"/>
    <w:rsid w:val="00E70E6D"/>
    <w:rsid w:val="00EA111B"/>
    <w:rsid w:val="00EB08B3"/>
    <w:rsid w:val="00EC1CD4"/>
    <w:rsid w:val="00F15E82"/>
    <w:rsid w:val="00F20024"/>
    <w:rsid w:val="00F4478E"/>
    <w:rsid w:val="00F50D3F"/>
    <w:rsid w:val="00F8055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BC47"/>
  <w15:chartTrackingRefBased/>
  <w15:docId w15:val="{989998BB-75FD-403C-AC7C-1734CB11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E3"/>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7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7E3"/>
    <w:rPr>
      <w:kern w:val="0"/>
      <w14:ligatures w14:val="none"/>
    </w:rPr>
  </w:style>
  <w:style w:type="paragraph" w:styleId="Piedepgina">
    <w:name w:val="footer"/>
    <w:basedOn w:val="Normal"/>
    <w:link w:val="PiedepginaCar"/>
    <w:uiPriority w:val="99"/>
    <w:unhideWhenUsed/>
    <w:rsid w:val="009157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7E3"/>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157E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9157E3"/>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9157E3"/>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9157E3"/>
    <w:rPr>
      <w:vertAlign w:val="superscript"/>
    </w:rPr>
  </w:style>
  <w:style w:type="table" w:styleId="Tablaconcuadrcula">
    <w:name w:val="Table Grid"/>
    <w:basedOn w:val="Tablanormal"/>
    <w:uiPriority w:val="59"/>
    <w:rsid w:val="009157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57E3"/>
    <w:rPr>
      <w:rFonts w:ascii="Times New Roman" w:hAnsi="Times New Roman" w:cs="Times New Roman"/>
      <w:sz w:val="24"/>
      <w:szCs w:val="24"/>
    </w:rPr>
  </w:style>
  <w:style w:type="character" w:customStyle="1" w:styleId="Hipervnculo1">
    <w:name w:val="Hipervínculo1"/>
    <w:basedOn w:val="Fuentedeprrafopredeter"/>
    <w:uiPriority w:val="99"/>
    <w:unhideWhenUsed/>
    <w:rsid w:val="009157E3"/>
    <w:rPr>
      <w:color w:val="F2F2F2"/>
      <w:u w:val="single"/>
    </w:rPr>
  </w:style>
  <w:style w:type="character" w:styleId="Textoennegrita">
    <w:name w:val="Strong"/>
    <w:basedOn w:val="Fuentedeprrafopredeter"/>
    <w:uiPriority w:val="22"/>
    <w:qFormat/>
    <w:rsid w:val="009157E3"/>
    <w:rPr>
      <w:b/>
      <w:bCs/>
    </w:rPr>
  </w:style>
  <w:style w:type="character" w:styleId="nfasis">
    <w:name w:val="Emphasis"/>
    <w:basedOn w:val="Fuentedeprrafopredeter"/>
    <w:uiPriority w:val="20"/>
    <w:qFormat/>
    <w:rsid w:val="009157E3"/>
    <w:rPr>
      <w:i/>
      <w:iCs/>
    </w:rPr>
  </w:style>
  <w:style w:type="paragraph" w:customStyle="1" w:styleId="Appelnotedebasde">
    <w:name w:val="Appel note de bas de..."/>
    <w:basedOn w:val="Normal"/>
    <w:link w:val="Refdenotaalpie"/>
    <w:uiPriority w:val="99"/>
    <w:rsid w:val="009157E3"/>
    <w:pPr>
      <w:spacing w:line="240" w:lineRule="exact"/>
    </w:pPr>
    <w:rPr>
      <w:kern w:val="2"/>
      <w:vertAlign w:val="superscript"/>
      <w14:ligatures w14:val="standardContextual"/>
    </w:rPr>
  </w:style>
  <w:style w:type="table" w:customStyle="1" w:styleId="Tablaconcuadrcula21">
    <w:name w:val="Tabla con cuadrícula21"/>
    <w:basedOn w:val="Tablanormal"/>
    <w:next w:val="Tablaconcuadrcula"/>
    <w:uiPriority w:val="59"/>
    <w:rsid w:val="009157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06DE8"/>
    <w:rPr>
      <w:color w:val="0563C1" w:themeColor="hyperlink"/>
      <w:u w:val="single"/>
    </w:rPr>
  </w:style>
  <w:style w:type="character" w:styleId="Mencinsinresolver">
    <w:name w:val="Unresolved Mention"/>
    <w:basedOn w:val="Fuentedeprrafopredeter"/>
    <w:uiPriority w:val="99"/>
    <w:semiHidden/>
    <w:unhideWhenUsed/>
    <w:rsid w:val="00106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vier.parra@contraloria.gov.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8" ma:contentTypeDescription="Crear nuevo documento." ma:contentTypeScope="" ma:versionID="4f954c4b2d3ebe2c209a18a5ec488f7b">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1e1c95cf024982f2370a944107abc8a6"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2C663-D947-4B2C-9D89-92288F869CB8}">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46792BB-B736-413D-8880-61A8E7446476}"/>
</file>

<file path=customXml/itemProps3.xml><?xml version="1.0" encoding="utf-8"?>
<ds:datastoreItem xmlns:ds="http://schemas.openxmlformats.org/officeDocument/2006/customXml" ds:itemID="{F985CD62-8C06-4F82-B33B-2A21F377B162}">
  <ds:schemaRefs>
    <ds:schemaRef ds:uri="http://schemas.microsoft.com/sharepoint/v3/contenttype/forms"/>
  </ds:schemaRefs>
</ds:datastoreItem>
</file>

<file path=customXml/itemProps4.xml><?xml version="1.0" encoding="utf-8"?>
<ds:datastoreItem xmlns:ds="http://schemas.openxmlformats.org/officeDocument/2006/customXml" ds:itemID="{BB8AB3A0-2B73-438C-99F7-4C7FAC17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7723</Words>
  <Characters>42480</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Alejandro Murcia Taboada</dc:creator>
  <cp:keywords/>
  <dc:description/>
  <cp:lastModifiedBy>Gabriel Alejandro Murcia Taboada</cp:lastModifiedBy>
  <cp:revision>2</cp:revision>
  <dcterms:created xsi:type="dcterms:W3CDTF">2023-10-31T16:04:00Z</dcterms:created>
  <dcterms:modified xsi:type="dcterms:W3CDTF">2023-10-31T16:04:00Z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