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5641" w14:textId="77777777" w:rsidR="000278D0" w:rsidRPr="007D5D17" w:rsidRDefault="000278D0" w:rsidP="000278D0">
      <w:pPr>
        <w:tabs>
          <w:tab w:val="left" w:pos="2436"/>
        </w:tabs>
        <w:jc w:val="both"/>
        <w:rPr>
          <w:rFonts w:ascii="Century Gothic" w:eastAsia="Calibri" w:hAnsi="Century Gothic" w:cs="Arial"/>
          <w:b/>
          <w:bCs/>
        </w:rPr>
      </w:pPr>
      <w:bookmarkStart w:id="0" w:name="_Hlk143780582"/>
      <w:r w:rsidRPr="007D5D17">
        <w:rPr>
          <w:rFonts w:ascii="Century Gothic" w:eastAsia="Calibri" w:hAnsi="Century Gothic" w:cs="Arial"/>
          <w:b/>
          <w:bCs/>
          <w:lang w:eastAsia="es-ES_tradnl"/>
        </w:rPr>
        <w:t xml:space="preserve">COLOMBIA COMPRA EFICIENTE </w:t>
      </w:r>
      <w:bookmarkStart w:id="1" w:name="_Hlk140044303"/>
      <w:r w:rsidRPr="007D5D17">
        <w:rPr>
          <w:rFonts w:ascii="Century Gothic" w:eastAsia="Calibri" w:hAnsi="Century Gothic" w:cs="Arial"/>
          <w:b/>
          <w:lang w:eastAsia="es-ES_tradnl"/>
        </w:rPr>
        <w:t>–</w:t>
      </w:r>
      <w:bookmarkEnd w:id="1"/>
      <w:r w:rsidRPr="007D5D17">
        <w:rPr>
          <w:rFonts w:ascii="Century Gothic" w:eastAsia="Calibri" w:hAnsi="Century Gothic" w:cs="Arial"/>
          <w:b/>
          <w:bCs/>
          <w:lang w:eastAsia="es-ES_tradnl"/>
        </w:rPr>
        <w:t xml:space="preserve"> Competencia Consultiva </w:t>
      </w:r>
      <w:bookmarkStart w:id="2" w:name="_Hlk140036003"/>
      <w:r w:rsidRPr="007D5D17">
        <w:rPr>
          <w:rFonts w:ascii="Century Gothic" w:eastAsia="Calibri" w:hAnsi="Century Gothic" w:cs="Arial"/>
          <w:b/>
          <w:bCs/>
          <w:lang w:eastAsia="es-ES_tradnl"/>
        </w:rPr>
        <w:t>–</w:t>
      </w:r>
      <w:bookmarkEnd w:id="2"/>
      <w:r w:rsidRPr="007D5D17">
        <w:rPr>
          <w:rFonts w:ascii="Century Gothic" w:eastAsia="Calibri" w:hAnsi="Century Gothic" w:cs="Arial"/>
          <w:b/>
          <w:bCs/>
          <w:lang w:eastAsia="es-ES_tradnl"/>
        </w:rPr>
        <w:t xml:space="preserve"> Contratación Estatal – Normas Generales</w:t>
      </w:r>
    </w:p>
    <w:p w14:paraId="34AEFD9D" w14:textId="77777777" w:rsidR="000278D0" w:rsidRPr="007D5D17" w:rsidRDefault="000278D0" w:rsidP="000278D0">
      <w:pPr>
        <w:tabs>
          <w:tab w:val="left" w:pos="2436"/>
        </w:tabs>
        <w:spacing w:after="120"/>
        <w:jc w:val="both"/>
        <w:rPr>
          <w:rFonts w:ascii="Century Gothic" w:hAnsi="Century Gothic" w:cs="Arial"/>
          <w:bCs/>
          <w:sz w:val="20"/>
          <w:szCs w:val="20"/>
          <w:lang w:eastAsia="es-ES_tradnl"/>
        </w:rPr>
      </w:pPr>
      <w:r w:rsidRPr="007D5D17">
        <w:rPr>
          <w:rFonts w:ascii="Century Gothic" w:hAnsi="Century Gothic" w:cs="Arial"/>
          <w:bCs/>
          <w:sz w:val="20"/>
          <w:szCs w:val="20"/>
          <w:lang w:eastAsia="es-ES_tradnl"/>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8444F7F" w14:textId="77777777" w:rsidR="000278D0" w:rsidRPr="007D5D17" w:rsidRDefault="000278D0" w:rsidP="000278D0">
      <w:pPr>
        <w:tabs>
          <w:tab w:val="left" w:pos="2436"/>
        </w:tabs>
        <w:jc w:val="both"/>
        <w:rPr>
          <w:rFonts w:ascii="Century Gothic" w:hAnsi="Century Gothic" w:cs="Arial"/>
          <w:bCs/>
          <w:sz w:val="20"/>
          <w:szCs w:val="20"/>
          <w:lang w:eastAsia="es-ES_tradnl"/>
        </w:rPr>
      </w:pPr>
      <w:bookmarkStart w:id="3" w:name="_Hlk141736742"/>
      <w:r w:rsidRPr="007D5D17">
        <w:rPr>
          <w:rFonts w:ascii="Century Gothic" w:hAnsi="Century Gothic"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bookmarkEnd w:id="3"/>
    <w:p w14:paraId="2FAA7E59" w14:textId="77777777" w:rsidR="000278D0" w:rsidRPr="0040278B" w:rsidRDefault="000278D0" w:rsidP="000278D0">
      <w:pPr>
        <w:jc w:val="both"/>
        <w:rPr>
          <w:rFonts w:ascii="Century Gothic" w:eastAsia="Calibri" w:hAnsi="Century Gothic" w:cs="Arial"/>
          <w:b/>
          <w:bCs/>
        </w:rPr>
      </w:pPr>
      <w:r w:rsidRPr="0040278B">
        <w:rPr>
          <w:rFonts w:ascii="Century Gothic" w:eastAsia="Calibri" w:hAnsi="Century Gothic" w:cs="Arial"/>
          <w:b/>
          <w:bCs/>
        </w:rPr>
        <w:t xml:space="preserve">DOCUMENTOS TIPO – Inalterabilidad </w:t>
      </w:r>
    </w:p>
    <w:p w14:paraId="3ABDF38D" w14:textId="77777777" w:rsidR="000278D0" w:rsidRPr="0040278B" w:rsidRDefault="000278D0" w:rsidP="000278D0">
      <w:pPr>
        <w:jc w:val="both"/>
        <w:rPr>
          <w:rFonts w:ascii="Century Gothic" w:eastAsia="Calibri" w:hAnsi="Century Gothic" w:cs="Arial"/>
          <w:bCs/>
          <w:sz w:val="20"/>
          <w:szCs w:val="20"/>
        </w:rPr>
      </w:pPr>
      <w:r w:rsidRPr="0040278B">
        <w:rPr>
          <w:rFonts w:ascii="Century Gothic" w:eastAsia="Calibri" w:hAnsi="Century Gothic" w:cs="Arial"/>
          <w:bCs/>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24352C2F" w14:textId="77777777" w:rsidR="000278D0" w:rsidRPr="0040278B" w:rsidRDefault="000278D0" w:rsidP="000278D0">
      <w:pPr>
        <w:jc w:val="both"/>
        <w:rPr>
          <w:rFonts w:ascii="Century Gothic" w:eastAsia="Calibri" w:hAnsi="Century Gothic" w:cs="Arial"/>
          <w:b/>
          <w:bCs/>
        </w:rPr>
      </w:pPr>
      <w:r w:rsidRPr="0040278B">
        <w:rPr>
          <w:rFonts w:ascii="Century Gothic" w:eastAsia="Calibri" w:hAnsi="Century Gothic" w:cs="Arial"/>
          <w:b/>
          <w:bCs/>
        </w:rPr>
        <w:t>DOCUMENTOS TIPO – Matriz 1 – Bienes y servicios – Adicionales – Obra pública – Infraestructura de transporte – Experiencia</w:t>
      </w:r>
    </w:p>
    <w:p w14:paraId="26ECD740" w14:textId="77777777" w:rsidR="000278D0" w:rsidRPr="0040278B" w:rsidRDefault="000278D0" w:rsidP="000278D0">
      <w:pPr>
        <w:jc w:val="both"/>
        <w:rPr>
          <w:rFonts w:ascii="Century Gothic" w:eastAsia="Calibri" w:hAnsi="Century Gothic" w:cs="Arial"/>
          <w:sz w:val="20"/>
          <w:szCs w:val="20"/>
        </w:rPr>
      </w:pPr>
      <w:r w:rsidRPr="0040278B">
        <w:rPr>
          <w:rFonts w:ascii="Century Gothic" w:eastAsia="Calibri" w:hAnsi="Century Gothic" w:cs="Arial"/>
          <w:sz w:val="20"/>
          <w:szCs w:val="20"/>
        </w:rPr>
        <w:t xml:space="preserve">[…] según el artículo 2.2.1.2.6.1.5 del Decreto 1082 de 2015, referente a procesos de licitación pública –también aplicable a la selección abreviada de menor cuantía por remisión del 2.2.1.2.6.2.3– prevé la posibilidad de exigir requisitos de experiencia adicionales a los establecidos en la Matriz 1, cuando el objeto a desarrollar exige la contratación de bienes, obras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40278B">
        <w:rPr>
          <w:rFonts w:ascii="Century Gothic" w:eastAsia="Calibri" w:hAnsi="Century Gothic" w:cs="Arial"/>
          <w:sz w:val="20"/>
          <w:szCs w:val="20"/>
        </w:rPr>
        <w:t>ii</w:t>
      </w:r>
      <w:proofErr w:type="spellEnd"/>
      <w:r w:rsidRPr="0040278B">
        <w:rPr>
          <w:rFonts w:ascii="Century Gothic" w:eastAsia="Calibri" w:hAnsi="Century Gothic" w:cs="Arial"/>
          <w:sz w:val="20"/>
          <w:szCs w:val="20"/>
        </w:rPr>
        <w:t xml:space="preserve">) conservar los requisitos exigidos en los documentos tipo, </w:t>
      </w:r>
      <w:proofErr w:type="spellStart"/>
      <w:r w:rsidRPr="0040278B">
        <w:rPr>
          <w:rFonts w:ascii="Century Gothic" w:eastAsia="Calibri" w:hAnsi="Century Gothic" w:cs="Arial"/>
          <w:sz w:val="20"/>
          <w:szCs w:val="20"/>
        </w:rPr>
        <w:t>iii</w:t>
      </w:r>
      <w:proofErr w:type="spellEnd"/>
      <w:r w:rsidRPr="0040278B">
        <w:rPr>
          <w:rFonts w:ascii="Century Gothic" w:eastAsia="Calibri" w:hAnsi="Century Gothic" w:cs="Arial"/>
          <w:sz w:val="20"/>
          <w:szCs w:val="20"/>
        </w:rPr>
        <w:t xml:space="preserve">) abstenerse de pedir experiencia exclusiva con entidades estatales, experiencia </w:t>
      </w:r>
      <w:r w:rsidRPr="0040278B">
        <w:rPr>
          <w:rFonts w:ascii="Century Gothic" w:eastAsia="Calibri" w:hAnsi="Century Gothic" w:cs="Arial"/>
          <w:sz w:val="20"/>
          <w:szCs w:val="20"/>
        </w:rPr>
        <w:lastRenderedPageBreak/>
        <w:t xml:space="preserve">previa en un territorio específico, limitada en el tiempo o que incluya volúmenes o cantidades de obra específica, </w:t>
      </w:r>
      <w:proofErr w:type="spellStart"/>
      <w:r w:rsidRPr="0040278B">
        <w:rPr>
          <w:rFonts w:ascii="Century Gothic" w:eastAsia="Calibri" w:hAnsi="Century Gothic" w:cs="Arial"/>
          <w:sz w:val="20"/>
          <w:szCs w:val="20"/>
        </w:rPr>
        <w:t>iv</w:t>
      </w:r>
      <w:proofErr w:type="spellEnd"/>
      <w:r w:rsidRPr="0040278B">
        <w:rPr>
          <w:rFonts w:ascii="Century Gothic" w:eastAsia="Calibri" w:hAnsi="Century Gothic" w:cs="Arial"/>
          <w:sz w:val="20"/>
          <w:szCs w:val="20"/>
        </w:rPr>
        <w:t>) clasificar la experiencia requerida solo hasta el tercer nivel del Clasificador de Bienes y Servicios e incluir exclusivamente los códigos que estén relacionados directamente con el objeto a contratar.</w:t>
      </w:r>
    </w:p>
    <w:p w14:paraId="7E87A357" w14:textId="77777777" w:rsidR="000278D0" w:rsidRDefault="000278D0" w:rsidP="00E245AB">
      <w:pPr>
        <w:spacing w:after="0"/>
        <w:rPr>
          <w:rFonts w:ascii="Century Gothic" w:hAnsi="Century Gothic"/>
        </w:rPr>
      </w:pPr>
    </w:p>
    <w:p w14:paraId="6A5430F1" w14:textId="77777777" w:rsidR="000278D0" w:rsidRDefault="000278D0" w:rsidP="00E245AB">
      <w:pPr>
        <w:spacing w:after="0"/>
        <w:rPr>
          <w:rFonts w:ascii="Century Gothic" w:hAnsi="Century Gothic"/>
        </w:rPr>
      </w:pPr>
    </w:p>
    <w:p w14:paraId="35D6C4F5" w14:textId="77777777" w:rsidR="000278D0" w:rsidRDefault="000278D0" w:rsidP="00E245AB">
      <w:pPr>
        <w:spacing w:after="0"/>
        <w:rPr>
          <w:rFonts w:ascii="Century Gothic" w:hAnsi="Century Gothic"/>
        </w:rPr>
      </w:pPr>
    </w:p>
    <w:p w14:paraId="6413EFFB" w14:textId="77777777" w:rsidR="000278D0" w:rsidRDefault="000278D0" w:rsidP="00E245AB">
      <w:pPr>
        <w:spacing w:after="0"/>
        <w:rPr>
          <w:rFonts w:ascii="Century Gothic" w:hAnsi="Century Gothic"/>
        </w:rPr>
      </w:pPr>
    </w:p>
    <w:p w14:paraId="18799F15" w14:textId="77777777" w:rsidR="000278D0" w:rsidRDefault="000278D0" w:rsidP="00E245AB">
      <w:pPr>
        <w:spacing w:after="0"/>
        <w:rPr>
          <w:rFonts w:ascii="Century Gothic" w:hAnsi="Century Gothic"/>
        </w:rPr>
      </w:pPr>
    </w:p>
    <w:p w14:paraId="713F178F" w14:textId="77777777" w:rsidR="000278D0" w:rsidRDefault="000278D0" w:rsidP="00E245AB">
      <w:pPr>
        <w:spacing w:after="0"/>
        <w:rPr>
          <w:rFonts w:ascii="Century Gothic" w:hAnsi="Century Gothic"/>
        </w:rPr>
      </w:pPr>
    </w:p>
    <w:p w14:paraId="37AF4E79" w14:textId="77777777" w:rsidR="000278D0" w:rsidRDefault="000278D0" w:rsidP="00E245AB">
      <w:pPr>
        <w:spacing w:after="0"/>
        <w:rPr>
          <w:rFonts w:ascii="Century Gothic" w:hAnsi="Century Gothic"/>
        </w:rPr>
      </w:pPr>
    </w:p>
    <w:p w14:paraId="625999C7" w14:textId="77777777" w:rsidR="000278D0" w:rsidRDefault="000278D0" w:rsidP="00E245AB">
      <w:pPr>
        <w:spacing w:after="0"/>
        <w:rPr>
          <w:rFonts w:ascii="Century Gothic" w:hAnsi="Century Gothic"/>
        </w:rPr>
      </w:pPr>
    </w:p>
    <w:p w14:paraId="54A4E44E" w14:textId="77777777" w:rsidR="000278D0" w:rsidRDefault="000278D0" w:rsidP="00E245AB">
      <w:pPr>
        <w:spacing w:after="0"/>
        <w:rPr>
          <w:rFonts w:ascii="Century Gothic" w:hAnsi="Century Gothic"/>
        </w:rPr>
      </w:pPr>
    </w:p>
    <w:p w14:paraId="697AA585" w14:textId="77777777" w:rsidR="000278D0" w:rsidRDefault="000278D0" w:rsidP="00E245AB">
      <w:pPr>
        <w:spacing w:after="0"/>
        <w:rPr>
          <w:rFonts w:ascii="Century Gothic" w:hAnsi="Century Gothic"/>
        </w:rPr>
      </w:pPr>
    </w:p>
    <w:p w14:paraId="4FD5B684" w14:textId="77777777" w:rsidR="000278D0" w:rsidRDefault="000278D0" w:rsidP="00E245AB">
      <w:pPr>
        <w:spacing w:after="0"/>
        <w:rPr>
          <w:rFonts w:ascii="Century Gothic" w:hAnsi="Century Gothic"/>
        </w:rPr>
      </w:pPr>
    </w:p>
    <w:p w14:paraId="0F493295" w14:textId="77777777" w:rsidR="000278D0" w:rsidRDefault="000278D0" w:rsidP="00E245AB">
      <w:pPr>
        <w:spacing w:after="0"/>
        <w:rPr>
          <w:rFonts w:ascii="Century Gothic" w:hAnsi="Century Gothic"/>
        </w:rPr>
      </w:pPr>
    </w:p>
    <w:p w14:paraId="05211844" w14:textId="77777777" w:rsidR="000278D0" w:rsidRDefault="000278D0" w:rsidP="00E245AB">
      <w:pPr>
        <w:spacing w:after="0"/>
        <w:rPr>
          <w:rFonts w:ascii="Century Gothic" w:hAnsi="Century Gothic"/>
        </w:rPr>
      </w:pPr>
    </w:p>
    <w:p w14:paraId="34D98EEE" w14:textId="77777777" w:rsidR="000278D0" w:rsidRDefault="000278D0" w:rsidP="00E245AB">
      <w:pPr>
        <w:spacing w:after="0"/>
        <w:rPr>
          <w:rFonts w:ascii="Century Gothic" w:hAnsi="Century Gothic"/>
        </w:rPr>
      </w:pPr>
    </w:p>
    <w:p w14:paraId="3A8FD4D5" w14:textId="77777777" w:rsidR="000278D0" w:rsidRDefault="000278D0" w:rsidP="00E245AB">
      <w:pPr>
        <w:spacing w:after="0"/>
        <w:rPr>
          <w:rFonts w:ascii="Century Gothic" w:hAnsi="Century Gothic"/>
        </w:rPr>
      </w:pPr>
    </w:p>
    <w:p w14:paraId="735EF9AA" w14:textId="77777777" w:rsidR="000278D0" w:rsidRDefault="000278D0" w:rsidP="00E245AB">
      <w:pPr>
        <w:spacing w:after="0"/>
        <w:rPr>
          <w:rFonts w:ascii="Century Gothic" w:hAnsi="Century Gothic"/>
        </w:rPr>
      </w:pPr>
    </w:p>
    <w:p w14:paraId="255AA9A4" w14:textId="77777777" w:rsidR="000278D0" w:rsidRDefault="000278D0" w:rsidP="00E245AB">
      <w:pPr>
        <w:spacing w:after="0"/>
        <w:rPr>
          <w:rFonts w:ascii="Century Gothic" w:hAnsi="Century Gothic"/>
        </w:rPr>
      </w:pPr>
    </w:p>
    <w:p w14:paraId="5C536D05" w14:textId="77777777" w:rsidR="000278D0" w:rsidRDefault="000278D0" w:rsidP="00E245AB">
      <w:pPr>
        <w:spacing w:after="0"/>
        <w:rPr>
          <w:rFonts w:ascii="Century Gothic" w:hAnsi="Century Gothic"/>
        </w:rPr>
      </w:pPr>
    </w:p>
    <w:p w14:paraId="5F49E039" w14:textId="77777777" w:rsidR="000278D0" w:rsidRDefault="000278D0" w:rsidP="00E245AB">
      <w:pPr>
        <w:spacing w:after="0"/>
        <w:rPr>
          <w:rFonts w:ascii="Century Gothic" w:hAnsi="Century Gothic"/>
        </w:rPr>
      </w:pPr>
    </w:p>
    <w:p w14:paraId="1C39885A" w14:textId="77777777" w:rsidR="000278D0" w:rsidRDefault="000278D0" w:rsidP="00E245AB">
      <w:pPr>
        <w:spacing w:after="0"/>
        <w:rPr>
          <w:rFonts w:ascii="Century Gothic" w:hAnsi="Century Gothic"/>
        </w:rPr>
      </w:pPr>
    </w:p>
    <w:p w14:paraId="70B80840" w14:textId="77777777" w:rsidR="000278D0" w:rsidRDefault="000278D0" w:rsidP="00E245AB">
      <w:pPr>
        <w:spacing w:after="0"/>
        <w:rPr>
          <w:rFonts w:ascii="Century Gothic" w:hAnsi="Century Gothic"/>
        </w:rPr>
      </w:pPr>
    </w:p>
    <w:p w14:paraId="20129A45" w14:textId="77777777" w:rsidR="000278D0" w:rsidRDefault="000278D0" w:rsidP="00E245AB">
      <w:pPr>
        <w:spacing w:after="0"/>
        <w:rPr>
          <w:rFonts w:ascii="Century Gothic" w:hAnsi="Century Gothic"/>
        </w:rPr>
      </w:pPr>
    </w:p>
    <w:p w14:paraId="322EA54B" w14:textId="77777777" w:rsidR="000278D0" w:rsidRDefault="000278D0" w:rsidP="00E245AB">
      <w:pPr>
        <w:spacing w:after="0"/>
        <w:rPr>
          <w:rFonts w:ascii="Century Gothic" w:hAnsi="Century Gothic"/>
        </w:rPr>
      </w:pPr>
    </w:p>
    <w:p w14:paraId="760478AC" w14:textId="77777777" w:rsidR="000278D0" w:rsidRDefault="000278D0" w:rsidP="00E245AB">
      <w:pPr>
        <w:spacing w:after="0"/>
        <w:rPr>
          <w:rFonts w:ascii="Century Gothic" w:hAnsi="Century Gothic"/>
        </w:rPr>
      </w:pPr>
    </w:p>
    <w:p w14:paraId="36768660" w14:textId="77777777" w:rsidR="000278D0" w:rsidRDefault="000278D0" w:rsidP="00E245AB">
      <w:pPr>
        <w:spacing w:after="0"/>
        <w:rPr>
          <w:rFonts w:ascii="Century Gothic" w:hAnsi="Century Gothic"/>
        </w:rPr>
      </w:pPr>
    </w:p>
    <w:p w14:paraId="3A0401E8" w14:textId="77777777" w:rsidR="000278D0" w:rsidRDefault="000278D0" w:rsidP="00E245AB">
      <w:pPr>
        <w:spacing w:after="0"/>
        <w:rPr>
          <w:rFonts w:ascii="Century Gothic" w:hAnsi="Century Gothic"/>
        </w:rPr>
      </w:pPr>
    </w:p>
    <w:p w14:paraId="4DDBE41F" w14:textId="77777777" w:rsidR="000278D0" w:rsidRDefault="000278D0" w:rsidP="00E245AB">
      <w:pPr>
        <w:spacing w:after="0"/>
        <w:rPr>
          <w:rFonts w:ascii="Century Gothic" w:hAnsi="Century Gothic"/>
        </w:rPr>
      </w:pPr>
    </w:p>
    <w:p w14:paraId="2108BE0C" w14:textId="77777777" w:rsidR="000278D0" w:rsidRDefault="000278D0" w:rsidP="00E245AB">
      <w:pPr>
        <w:spacing w:after="0"/>
        <w:rPr>
          <w:rFonts w:ascii="Century Gothic" w:hAnsi="Century Gothic"/>
        </w:rPr>
      </w:pPr>
    </w:p>
    <w:p w14:paraId="3E6DDD65" w14:textId="77777777" w:rsidR="000278D0" w:rsidRDefault="000278D0" w:rsidP="00E245AB">
      <w:pPr>
        <w:spacing w:after="0"/>
        <w:rPr>
          <w:rFonts w:ascii="Century Gothic" w:hAnsi="Century Gothic"/>
        </w:rPr>
      </w:pPr>
    </w:p>
    <w:p w14:paraId="1E5BCCE0" w14:textId="77777777" w:rsidR="000278D0" w:rsidRDefault="000278D0" w:rsidP="00E245AB">
      <w:pPr>
        <w:spacing w:after="0"/>
        <w:rPr>
          <w:rFonts w:ascii="Century Gothic" w:hAnsi="Century Gothic"/>
        </w:rPr>
      </w:pPr>
    </w:p>
    <w:p w14:paraId="2A728978" w14:textId="77777777" w:rsidR="000278D0" w:rsidRDefault="000278D0" w:rsidP="00E245AB">
      <w:pPr>
        <w:spacing w:after="0"/>
        <w:rPr>
          <w:rFonts w:ascii="Century Gothic" w:hAnsi="Century Gothic"/>
        </w:rPr>
      </w:pPr>
    </w:p>
    <w:p w14:paraId="22496E46" w14:textId="77777777" w:rsidR="000278D0" w:rsidRDefault="000278D0" w:rsidP="00E245AB">
      <w:pPr>
        <w:spacing w:after="0"/>
        <w:rPr>
          <w:rFonts w:ascii="Century Gothic" w:hAnsi="Century Gothic"/>
        </w:rPr>
      </w:pPr>
    </w:p>
    <w:p w14:paraId="1C8FEACB" w14:textId="77777777" w:rsidR="000278D0" w:rsidRDefault="000278D0" w:rsidP="00E245AB">
      <w:pPr>
        <w:spacing w:after="0"/>
        <w:rPr>
          <w:rFonts w:ascii="Century Gothic" w:hAnsi="Century Gothic"/>
        </w:rPr>
      </w:pPr>
    </w:p>
    <w:p w14:paraId="2605B7C2" w14:textId="77777777" w:rsidR="000278D0" w:rsidRDefault="000278D0" w:rsidP="00E245AB">
      <w:pPr>
        <w:spacing w:after="0"/>
        <w:rPr>
          <w:rFonts w:ascii="Century Gothic" w:hAnsi="Century Gothic"/>
        </w:rPr>
      </w:pPr>
    </w:p>
    <w:p w14:paraId="4889DE6F" w14:textId="77777777" w:rsidR="000278D0" w:rsidRDefault="000278D0" w:rsidP="00E245AB">
      <w:pPr>
        <w:spacing w:after="0"/>
        <w:rPr>
          <w:rFonts w:ascii="Century Gothic" w:hAnsi="Century Gothic"/>
        </w:rPr>
      </w:pPr>
    </w:p>
    <w:p w14:paraId="32FD8673" w14:textId="77777777" w:rsidR="000278D0" w:rsidRDefault="000278D0" w:rsidP="00E245AB">
      <w:pPr>
        <w:spacing w:after="0"/>
        <w:rPr>
          <w:rFonts w:ascii="Century Gothic" w:hAnsi="Century Gothic"/>
        </w:rPr>
      </w:pPr>
    </w:p>
    <w:p w14:paraId="3FE2184B" w14:textId="6C27192B" w:rsidR="00E245AB" w:rsidRPr="00322A85" w:rsidRDefault="00E245AB" w:rsidP="00E245AB">
      <w:pPr>
        <w:spacing w:after="0"/>
        <w:rPr>
          <w:rFonts w:ascii="Century Gothic" w:hAnsi="Century Gothic"/>
        </w:rPr>
      </w:pPr>
      <w:r w:rsidRPr="00322A85">
        <w:rPr>
          <w:rFonts w:ascii="Century Gothic" w:hAnsi="Century Gothic"/>
        </w:rPr>
        <w:lastRenderedPageBreak/>
        <w:t xml:space="preserve">Bogotá D.C., </w:t>
      </w:r>
      <w:r w:rsidR="00891928" w:rsidRPr="00322A85">
        <w:rPr>
          <w:rFonts w:ascii="Century Gothic" w:hAnsi="Century Gothic"/>
        </w:rPr>
        <w:t>[Día]</w:t>
      </w:r>
      <w:r w:rsidR="005A2340">
        <w:rPr>
          <w:rFonts w:ascii="Century Gothic" w:hAnsi="Century Gothic"/>
        </w:rPr>
        <w:t xml:space="preserve"> </w:t>
      </w:r>
      <w:r w:rsidR="00891928" w:rsidRPr="00322A85">
        <w:rPr>
          <w:rFonts w:ascii="Century Gothic" w:hAnsi="Century Gothic"/>
        </w:rPr>
        <w:t>[</w:t>
      </w:r>
      <w:proofErr w:type="spellStart"/>
      <w:r w:rsidR="00891928" w:rsidRPr="00322A85">
        <w:rPr>
          <w:rFonts w:ascii="Century Gothic" w:hAnsi="Century Gothic"/>
        </w:rPr>
        <w:t>Mes</w:t>
      </w:r>
      <w:r w:rsidR="005A2340">
        <w:rPr>
          <w:rFonts w:ascii="Century Gothic" w:hAnsi="Century Gothic"/>
        </w:rPr>
        <w:t>.</w:t>
      </w:r>
      <w:r w:rsidR="00891928" w:rsidRPr="00322A85">
        <w:rPr>
          <w:rFonts w:ascii="Century Gothic" w:hAnsi="Century Gothic"/>
        </w:rPr>
        <w:t>NombreCapitalizado</w:t>
      </w:r>
      <w:proofErr w:type="spellEnd"/>
      <w:r w:rsidR="00891928" w:rsidRPr="00322A85">
        <w:rPr>
          <w:rFonts w:ascii="Century Gothic" w:hAnsi="Century Gothic"/>
        </w:rPr>
        <w:t>]</w:t>
      </w:r>
      <w:r w:rsidR="005A2340">
        <w:rPr>
          <w:rFonts w:ascii="Century Gothic" w:hAnsi="Century Gothic"/>
        </w:rPr>
        <w:t xml:space="preserve"> </w:t>
      </w:r>
      <w:r w:rsidR="00891928" w:rsidRPr="00322A85">
        <w:rPr>
          <w:rFonts w:ascii="Century Gothic" w:hAnsi="Century Gothic"/>
        </w:rPr>
        <w:t>[Año]</w:t>
      </w:r>
      <w:r w:rsidR="00891928" w:rsidRPr="00322A85">
        <w:rPr>
          <w:rFonts w:ascii="Century Gothic" w:hAnsi="Century Gothic"/>
        </w:rPr>
        <w:tab/>
      </w:r>
    </w:p>
    <w:p w14:paraId="5FCADBF9" w14:textId="7B5EE5EC" w:rsidR="00E245AB" w:rsidRPr="00322A85" w:rsidRDefault="000278D0" w:rsidP="00E245AB">
      <w:pPr>
        <w:spacing w:after="0"/>
        <w:rPr>
          <w:rFonts w:ascii="Century Gothic" w:hAnsi="Century Gothic"/>
        </w:rPr>
      </w:pPr>
      <w:r w:rsidRPr="000278D0">
        <w:rPr>
          <w:rFonts w:ascii="Century Gothic" w:eastAsia="Calibri" w:hAnsi="Century Gothic" w:cs="Arial"/>
          <w:color w:val="000000"/>
        </w:rPr>
        <w:drawing>
          <wp:anchor distT="0" distB="0" distL="114300" distR="114300" simplePos="0" relativeHeight="251658240" behindDoc="1" locked="0" layoutInCell="1" allowOverlap="1" wp14:anchorId="11584D6D" wp14:editId="6900C76A">
            <wp:simplePos x="0" y="0"/>
            <wp:positionH relativeFrom="column">
              <wp:posOffset>2729865</wp:posOffset>
            </wp:positionH>
            <wp:positionV relativeFrom="paragraph">
              <wp:posOffset>9525</wp:posOffset>
            </wp:positionV>
            <wp:extent cx="3479800" cy="1231900"/>
            <wp:effectExtent l="0" t="0" r="6350" b="6350"/>
            <wp:wrapNone/>
            <wp:docPr id="81497285"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7285" name="Picture 1" descr="A close-up of a labe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479800" cy="1231900"/>
                    </a:xfrm>
                    <a:prstGeom prst="rect">
                      <a:avLst/>
                    </a:prstGeom>
                  </pic:spPr>
                </pic:pic>
              </a:graphicData>
            </a:graphic>
          </wp:anchor>
        </w:drawing>
      </w:r>
    </w:p>
    <w:p w14:paraId="0465BA6D" w14:textId="42A29106" w:rsidR="00E245AB" w:rsidRPr="00322A85" w:rsidRDefault="00E245AB" w:rsidP="00E245AB">
      <w:pPr>
        <w:spacing w:after="0"/>
        <w:rPr>
          <w:rFonts w:ascii="Century Gothic" w:hAnsi="Century Gothic"/>
        </w:rPr>
      </w:pPr>
    </w:p>
    <w:p w14:paraId="6C9094B4" w14:textId="224CE7A2" w:rsidR="0006500B" w:rsidRPr="004715CB" w:rsidRDefault="0006500B" w:rsidP="0006500B">
      <w:pPr>
        <w:spacing w:after="0" w:line="276" w:lineRule="auto"/>
        <w:jc w:val="both"/>
        <w:rPr>
          <w:rFonts w:ascii="Century Gothic" w:eastAsia="Calibri" w:hAnsi="Century Gothic" w:cs="Arial"/>
          <w:color w:val="000000"/>
        </w:rPr>
      </w:pPr>
      <w:bookmarkStart w:id="4" w:name="_Hlk34951122"/>
      <w:bookmarkEnd w:id="0"/>
      <w:r w:rsidRPr="004715CB">
        <w:rPr>
          <w:rFonts w:ascii="Century Gothic" w:eastAsia="Calibri" w:hAnsi="Century Gothic" w:cs="Arial"/>
          <w:color w:val="000000"/>
        </w:rPr>
        <w:t>Señor</w:t>
      </w:r>
      <w:r>
        <w:rPr>
          <w:rFonts w:ascii="Century Gothic" w:eastAsia="Calibri" w:hAnsi="Century Gothic" w:cs="Arial"/>
          <w:color w:val="000000"/>
        </w:rPr>
        <w:t>a</w:t>
      </w:r>
    </w:p>
    <w:p w14:paraId="01A5BECC" w14:textId="77777777" w:rsidR="0006500B" w:rsidRDefault="0006500B" w:rsidP="0006500B">
      <w:pPr>
        <w:spacing w:after="0" w:line="276" w:lineRule="auto"/>
        <w:jc w:val="both"/>
        <w:rPr>
          <w:rFonts w:ascii="Century Gothic" w:eastAsia="Calibri" w:hAnsi="Century Gothic" w:cs="Arial"/>
          <w:b/>
          <w:bCs/>
          <w:color w:val="000000"/>
        </w:rPr>
      </w:pPr>
      <w:r w:rsidRPr="00F54C29">
        <w:rPr>
          <w:rFonts w:ascii="Century Gothic" w:eastAsia="Calibri" w:hAnsi="Century Gothic" w:cs="Arial"/>
          <w:b/>
          <w:bCs/>
          <w:color w:val="000000"/>
        </w:rPr>
        <w:t>María Angelica Araque Neira</w:t>
      </w:r>
    </w:p>
    <w:p w14:paraId="4E953FE5" w14:textId="77777777" w:rsidR="0006500B" w:rsidRPr="004715CB" w:rsidRDefault="0006500B" w:rsidP="0006500B">
      <w:pPr>
        <w:spacing w:after="0" w:line="276" w:lineRule="auto"/>
        <w:jc w:val="both"/>
        <w:rPr>
          <w:rFonts w:ascii="Century Gothic" w:eastAsia="Calibri" w:hAnsi="Century Gothic" w:cs="Arial"/>
          <w:color w:val="000000"/>
        </w:rPr>
      </w:pPr>
      <w:r w:rsidRPr="004715CB">
        <w:rPr>
          <w:rFonts w:ascii="Century Gothic" w:eastAsia="Calibri" w:hAnsi="Century Gothic" w:cs="Arial"/>
          <w:color w:val="000000"/>
        </w:rPr>
        <w:t>Ciudad</w:t>
      </w:r>
    </w:p>
    <w:p w14:paraId="4EC11F57" w14:textId="77777777" w:rsidR="0006500B" w:rsidRPr="004715CB" w:rsidRDefault="0006500B" w:rsidP="0006500B">
      <w:pPr>
        <w:tabs>
          <w:tab w:val="center" w:pos="4394"/>
        </w:tabs>
        <w:spacing w:after="0" w:line="276" w:lineRule="auto"/>
        <w:jc w:val="both"/>
        <w:rPr>
          <w:rFonts w:ascii="Century Gothic" w:eastAsia="Calibri" w:hAnsi="Century Gothic" w:cs="Arial"/>
          <w:b/>
          <w:bCs/>
          <w:color w:val="000000"/>
        </w:rPr>
      </w:pPr>
      <w:r w:rsidRPr="004715CB">
        <w:rPr>
          <w:rFonts w:ascii="Century Gothic" w:eastAsia="Calibri" w:hAnsi="Century Gothic" w:cs="Arial"/>
          <w:b/>
          <w:color w:val="000000"/>
        </w:rPr>
        <w:t xml:space="preserve"> </w:t>
      </w:r>
    </w:p>
    <w:p w14:paraId="61DC282B" w14:textId="77777777" w:rsidR="0006500B" w:rsidRPr="004715CB" w:rsidRDefault="0006500B" w:rsidP="0006500B">
      <w:pPr>
        <w:spacing w:after="0" w:line="276" w:lineRule="auto"/>
        <w:rPr>
          <w:rFonts w:ascii="Century Gothic" w:eastAsia="Calibri" w:hAnsi="Century Gothic" w:cs="Arial"/>
          <w:b/>
          <w:bCs/>
          <w:color w:val="000000"/>
        </w:rPr>
      </w:pPr>
    </w:p>
    <w:p w14:paraId="55FDD21C" w14:textId="77777777" w:rsidR="0006500B" w:rsidRPr="004715CB" w:rsidRDefault="0006500B" w:rsidP="0006500B">
      <w:pPr>
        <w:spacing w:after="0" w:line="276" w:lineRule="auto"/>
        <w:rPr>
          <w:rFonts w:ascii="Century Gothic" w:eastAsia="Calibri" w:hAnsi="Century Gothic" w:cs="Arial"/>
          <w:b/>
          <w:bCs/>
          <w:color w:val="000000"/>
          <w:lang w:val="pt-BR"/>
        </w:rPr>
      </w:pPr>
      <w:r w:rsidRPr="004715CB">
        <w:rPr>
          <w:rFonts w:ascii="Century Gothic" w:eastAsia="Calibri" w:hAnsi="Century Gothic" w:cs="Arial"/>
          <w:b/>
          <w:bCs/>
          <w:color w:val="000000"/>
        </w:rPr>
        <w:t xml:space="preserve">                                            </w:t>
      </w:r>
      <w:r w:rsidRPr="004715CB">
        <w:rPr>
          <w:rFonts w:ascii="Century Gothic" w:eastAsia="Calibri" w:hAnsi="Century Gothic" w:cs="Arial"/>
          <w:b/>
          <w:bCs/>
          <w:color w:val="000000"/>
          <w:lang w:val="pt-BR"/>
        </w:rPr>
        <w:t xml:space="preserve">Concepto C </w:t>
      </w:r>
      <w:r w:rsidRPr="004715CB">
        <w:rPr>
          <w:rFonts w:ascii="Arial" w:eastAsia="Calibri" w:hAnsi="Arial" w:cs="Arial"/>
          <w:b/>
          <w:bCs/>
          <w:color w:val="000000"/>
          <w:lang w:val="pt-BR"/>
        </w:rPr>
        <w:t>‒</w:t>
      </w:r>
      <w:r>
        <w:rPr>
          <w:rFonts w:ascii="Century Gothic" w:eastAsia="Calibri" w:hAnsi="Century Gothic" w:cs="Arial"/>
          <w:b/>
          <w:bCs/>
          <w:color w:val="000000"/>
          <w:lang w:val="pt-BR"/>
        </w:rPr>
        <w:t>375</w:t>
      </w:r>
      <w:r w:rsidRPr="004715CB">
        <w:rPr>
          <w:rFonts w:ascii="Century Gothic" w:eastAsia="Calibri" w:hAnsi="Century Gothic" w:cs="Arial"/>
          <w:b/>
          <w:bCs/>
          <w:color w:val="000000"/>
          <w:lang w:val="pt-BR"/>
        </w:rPr>
        <w:t xml:space="preserve"> de 2023</w:t>
      </w:r>
    </w:p>
    <w:p w14:paraId="057269DF" w14:textId="77777777" w:rsidR="0006500B" w:rsidRPr="004715CB" w:rsidRDefault="0006500B" w:rsidP="0006500B">
      <w:pPr>
        <w:spacing w:after="0" w:line="240" w:lineRule="auto"/>
        <w:rPr>
          <w:rFonts w:ascii="Century Gothic" w:eastAsia="Calibri" w:hAnsi="Century Gothic" w:cs="Arial"/>
          <w:b/>
          <w:bCs/>
          <w:color w:val="000000"/>
          <w:lang w:val="pt-BR"/>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6500B" w:rsidRPr="004715CB" w14:paraId="79A6ACED" w14:textId="77777777" w:rsidTr="00FB5ABE">
        <w:trPr>
          <w:trHeight w:val="884"/>
        </w:trPr>
        <w:tc>
          <w:tcPr>
            <w:tcW w:w="2689" w:type="dxa"/>
          </w:tcPr>
          <w:p w14:paraId="1154407E" w14:textId="77777777" w:rsidR="0006500B" w:rsidRPr="0040278B" w:rsidRDefault="0006500B" w:rsidP="00FB5ABE">
            <w:pPr>
              <w:rPr>
                <w:rFonts w:ascii="Century Gothic" w:eastAsia="Calibri" w:hAnsi="Century Gothic" w:cs="Arial"/>
              </w:rPr>
            </w:pPr>
            <w:r w:rsidRPr="0040278B">
              <w:rPr>
                <w:rFonts w:ascii="Century Gothic" w:eastAsia="Calibri" w:hAnsi="Century Gothic" w:cs="Arial"/>
                <w:b/>
              </w:rPr>
              <w:t>Temas:</w:t>
            </w:r>
            <w:r w:rsidRPr="0040278B">
              <w:rPr>
                <w:rFonts w:ascii="Century Gothic" w:eastAsia="Calibri" w:hAnsi="Century Gothic" w:cs="Arial"/>
              </w:rPr>
              <w:t xml:space="preserve">           </w:t>
            </w:r>
          </w:p>
          <w:p w14:paraId="683AE941" w14:textId="77777777" w:rsidR="0006500B" w:rsidRPr="0040278B" w:rsidRDefault="0006500B" w:rsidP="00FB5ABE">
            <w:pPr>
              <w:jc w:val="both"/>
              <w:rPr>
                <w:rFonts w:ascii="Century Gothic" w:eastAsia="Calibri" w:hAnsi="Century Gothic" w:cs="Arial"/>
                <w:b/>
                <w:color w:val="000000"/>
                <w:szCs w:val="24"/>
                <w:lang w:val="es-ES_tradnl" w:eastAsia="es-ES_tradnl"/>
              </w:rPr>
            </w:pPr>
            <w:r w:rsidRPr="0040278B">
              <w:rPr>
                <w:rFonts w:ascii="Century Gothic" w:eastAsia="Calibri" w:hAnsi="Century Gothic" w:cs="Arial"/>
              </w:rPr>
              <w:t xml:space="preserve">                           </w:t>
            </w:r>
          </w:p>
        </w:tc>
        <w:tc>
          <w:tcPr>
            <w:tcW w:w="6237" w:type="dxa"/>
          </w:tcPr>
          <w:p w14:paraId="37134765" w14:textId="2590D49E" w:rsidR="0006500B" w:rsidRPr="0040278B" w:rsidRDefault="0006500B" w:rsidP="00FB5ABE">
            <w:pPr>
              <w:jc w:val="both"/>
              <w:rPr>
                <w:rFonts w:ascii="Century Gothic" w:eastAsia="Calibri" w:hAnsi="Century Gothic" w:cs="Arial"/>
                <w:color w:val="000000"/>
                <w:lang w:val="es-ES_tradnl"/>
              </w:rPr>
            </w:pPr>
            <w:r w:rsidRPr="0040278B">
              <w:rPr>
                <w:rFonts w:ascii="Century Gothic" w:eastAsia="Calibri" w:hAnsi="Century Gothic" w:cs="Arial"/>
              </w:rPr>
              <w:t xml:space="preserve">DOCUMENTOS TIPO – Inalterabilidad / DOCUMENTOS TIPO – Matriz 1 – Experiencia general y específica / </w:t>
            </w:r>
            <w:r w:rsidRPr="0040278B">
              <w:rPr>
                <w:rFonts w:ascii="Century Gothic" w:eastAsia="Calibri" w:hAnsi="Century Gothic" w:cs="Arial"/>
                <w:bCs/>
              </w:rPr>
              <w:t>DOCUMENTOS TIPO – Matriz 1 – Bienes y servicios</w:t>
            </w:r>
            <w:r w:rsidR="001F6896">
              <w:rPr>
                <w:rFonts w:ascii="Century Gothic" w:eastAsia="Calibri" w:hAnsi="Century Gothic" w:cs="Arial"/>
                <w:bCs/>
              </w:rPr>
              <w:t xml:space="preserve"> a</w:t>
            </w:r>
            <w:r w:rsidRPr="0040278B">
              <w:rPr>
                <w:rFonts w:ascii="Century Gothic" w:eastAsia="Calibri" w:hAnsi="Century Gothic" w:cs="Arial"/>
                <w:bCs/>
              </w:rPr>
              <w:t xml:space="preserve">dicionales – Obra pública – Infraestructura de transporte – Experiencia </w:t>
            </w:r>
          </w:p>
        </w:tc>
      </w:tr>
      <w:tr w:rsidR="0006500B" w:rsidRPr="004715CB" w14:paraId="3B381654" w14:textId="77777777" w:rsidTr="00FB5ABE">
        <w:tc>
          <w:tcPr>
            <w:tcW w:w="2689" w:type="dxa"/>
          </w:tcPr>
          <w:p w14:paraId="0A450BFE" w14:textId="77777777" w:rsidR="0006500B" w:rsidRDefault="0006500B" w:rsidP="00FB5ABE">
            <w:pPr>
              <w:jc w:val="both"/>
              <w:rPr>
                <w:rFonts w:ascii="Century Gothic" w:eastAsia="Calibri" w:hAnsi="Century Gothic" w:cs="Arial"/>
                <w:b/>
                <w:color w:val="000000"/>
                <w:szCs w:val="24"/>
                <w:lang w:val="es-ES_tradnl" w:eastAsia="es-ES_tradnl"/>
              </w:rPr>
            </w:pPr>
          </w:p>
          <w:p w14:paraId="15E9C78C" w14:textId="77777777" w:rsidR="0006500B" w:rsidRPr="004715CB" w:rsidRDefault="0006500B" w:rsidP="00FB5ABE">
            <w:pPr>
              <w:jc w:val="both"/>
              <w:rPr>
                <w:rFonts w:ascii="Century Gothic" w:eastAsia="Calibri" w:hAnsi="Century Gothic" w:cs="Arial"/>
                <w:b/>
                <w:color w:val="000000"/>
                <w:szCs w:val="24"/>
                <w:lang w:val="es-ES_tradnl" w:eastAsia="es-ES_tradnl"/>
              </w:rPr>
            </w:pPr>
            <w:r w:rsidRPr="004715CB">
              <w:rPr>
                <w:rFonts w:ascii="Century Gothic" w:eastAsia="Calibri" w:hAnsi="Century Gothic" w:cs="Arial"/>
                <w:b/>
                <w:color w:val="000000"/>
                <w:szCs w:val="24"/>
                <w:lang w:val="es-ES_tradnl" w:eastAsia="es-ES_tradnl"/>
              </w:rPr>
              <w:t xml:space="preserve">Radicación:               </w:t>
            </w:r>
          </w:p>
        </w:tc>
        <w:tc>
          <w:tcPr>
            <w:tcW w:w="6237" w:type="dxa"/>
          </w:tcPr>
          <w:p w14:paraId="44990925" w14:textId="77777777" w:rsidR="0006500B" w:rsidRDefault="0006500B" w:rsidP="00FB5ABE">
            <w:pPr>
              <w:jc w:val="both"/>
              <w:rPr>
                <w:rFonts w:ascii="Century Gothic" w:eastAsia="Calibri" w:hAnsi="Century Gothic" w:cs="Arial"/>
                <w:bCs/>
                <w:color w:val="000000"/>
                <w:szCs w:val="24"/>
                <w:lang w:val="es-ES_tradnl" w:eastAsia="es-ES_tradnl"/>
              </w:rPr>
            </w:pPr>
          </w:p>
          <w:p w14:paraId="3E00AEA0" w14:textId="77777777" w:rsidR="0006500B" w:rsidRPr="004715CB" w:rsidRDefault="0006500B" w:rsidP="00FB5ABE">
            <w:pPr>
              <w:jc w:val="both"/>
              <w:rPr>
                <w:rFonts w:ascii="Century Gothic" w:eastAsia="Calibri" w:hAnsi="Century Gothic" w:cs="Arial"/>
                <w:bCs/>
                <w:color w:val="000000"/>
                <w:szCs w:val="24"/>
                <w:lang w:val="es-ES_tradnl" w:eastAsia="es-ES_tradnl"/>
              </w:rPr>
            </w:pPr>
            <w:r w:rsidRPr="004715CB">
              <w:rPr>
                <w:rFonts w:ascii="Century Gothic" w:eastAsia="Calibri" w:hAnsi="Century Gothic" w:cs="Arial"/>
                <w:bCs/>
                <w:color w:val="000000"/>
                <w:szCs w:val="24"/>
                <w:lang w:val="es-ES_tradnl" w:eastAsia="es-ES_tradnl"/>
              </w:rPr>
              <w:t xml:space="preserve">Respuesta a consulta </w:t>
            </w:r>
            <w:r w:rsidRPr="00F54C29">
              <w:rPr>
                <w:rFonts w:ascii="Century Gothic" w:eastAsia="Calibri" w:hAnsi="Century Gothic" w:cs="Arial"/>
                <w:bCs/>
                <w:color w:val="000000"/>
                <w:szCs w:val="24"/>
                <w:lang w:val="es-ES_tradnl" w:eastAsia="es-ES_tradnl"/>
              </w:rPr>
              <w:t>P20230921015332</w:t>
            </w:r>
          </w:p>
        </w:tc>
      </w:tr>
    </w:tbl>
    <w:p w14:paraId="71BD6510" w14:textId="77777777" w:rsidR="0006500B" w:rsidRPr="004715CB" w:rsidRDefault="0006500B" w:rsidP="0006500B">
      <w:pPr>
        <w:spacing w:after="0" w:line="274" w:lineRule="auto"/>
        <w:jc w:val="both"/>
        <w:rPr>
          <w:rFonts w:ascii="Century Gothic" w:eastAsia="Calibri" w:hAnsi="Century Gothic" w:cs="Arial"/>
          <w:color w:val="000000"/>
          <w:lang w:val="es-ES_tradnl"/>
        </w:rPr>
      </w:pPr>
    </w:p>
    <w:p w14:paraId="09DAFAC5" w14:textId="77777777" w:rsidR="0006500B" w:rsidRDefault="0006500B" w:rsidP="0006500B">
      <w:pPr>
        <w:spacing w:after="0" w:line="274" w:lineRule="auto"/>
        <w:jc w:val="both"/>
        <w:rPr>
          <w:lang w:val="es-MX"/>
        </w:rPr>
      </w:pPr>
    </w:p>
    <w:p w14:paraId="30D31708" w14:textId="77777777" w:rsidR="0006500B" w:rsidRPr="004715CB" w:rsidRDefault="0006500B" w:rsidP="0006500B">
      <w:pPr>
        <w:spacing w:after="0" w:line="274" w:lineRule="auto"/>
        <w:jc w:val="both"/>
        <w:rPr>
          <w:rFonts w:ascii="Century Gothic" w:eastAsia="Calibri" w:hAnsi="Century Gothic" w:cs="Arial"/>
          <w:color w:val="000000"/>
          <w:lang w:val="es-ES_tradnl"/>
        </w:rPr>
      </w:pPr>
      <w:r w:rsidRPr="004715CB">
        <w:rPr>
          <w:rFonts w:ascii="Century Gothic" w:eastAsia="Calibri" w:hAnsi="Century Gothic" w:cs="Arial"/>
          <w:color w:val="000000"/>
          <w:lang w:val="es-ES_tradnl"/>
        </w:rPr>
        <w:t>Estimad</w:t>
      </w:r>
      <w:r>
        <w:rPr>
          <w:rFonts w:ascii="Century Gothic" w:eastAsia="Calibri" w:hAnsi="Century Gothic" w:cs="Arial"/>
          <w:color w:val="000000"/>
          <w:lang w:val="es-ES_tradnl"/>
        </w:rPr>
        <w:t>a</w:t>
      </w:r>
      <w:r w:rsidRPr="004715CB">
        <w:rPr>
          <w:rFonts w:ascii="Century Gothic" w:eastAsia="Calibri" w:hAnsi="Century Gothic" w:cs="Arial"/>
          <w:color w:val="000000"/>
          <w:lang w:val="es-ES_tradnl"/>
        </w:rPr>
        <w:t xml:space="preserve"> señor</w:t>
      </w:r>
      <w:r>
        <w:rPr>
          <w:rFonts w:ascii="Century Gothic" w:eastAsia="Calibri" w:hAnsi="Century Gothic" w:cs="Arial"/>
          <w:color w:val="000000"/>
          <w:lang w:val="es-ES_tradnl"/>
        </w:rPr>
        <w:t>a</w:t>
      </w:r>
      <w:r w:rsidRPr="004715CB">
        <w:rPr>
          <w:rFonts w:ascii="Century Gothic" w:eastAsia="Calibri" w:hAnsi="Century Gothic" w:cs="Arial"/>
          <w:color w:val="000000"/>
          <w:lang w:val="es-ES_tradnl"/>
        </w:rPr>
        <w:t xml:space="preserve"> </w:t>
      </w:r>
      <w:r w:rsidRPr="00F54C29">
        <w:rPr>
          <w:rFonts w:ascii="Century Gothic" w:eastAsia="Calibri" w:hAnsi="Century Gothic" w:cs="Arial"/>
          <w:color w:val="000000"/>
          <w:lang w:val="es-ES_tradnl"/>
        </w:rPr>
        <w:t>María Angelica</w:t>
      </w:r>
      <w:r w:rsidRPr="004715CB">
        <w:rPr>
          <w:rFonts w:ascii="Century Gothic" w:eastAsia="Calibri" w:hAnsi="Century Gothic" w:cs="Arial"/>
          <w:color w:val="000000"/>
          <w:lang w:val="es-ES_tradnl"/>
        </w:rPr>
        <w:t xml:space="preserve">: </w:t>
      </w:r>
    </w:p>
    <w:p w14:paraId="2D2761FA" w14:textId="77777777" w:rsidR="0006500B" w:rsidRPr="004715CB" w:rsidRDefault="0006500B" w:rsidP="0006500B">
      <w:pPr>
        <w:spacing w:after="0" w:line="274" w:lineRule="auto"/>
        <w:jc w:val="both"/>
        <w:rPr>
          <w:rFonts w:ascii="Century Gothic" w:eastAsia="Calibri" w:hAnsi="Century Gothic" w:cs="Arial"/>
          <w:color w:val="000000"/>
          <w:lang w:val="es-ES_tradnl"/>
        </w:rPr>
      </w:pPr>
    </w:p>
    <w:p w14:paraId="5AE68604" w14:textId="77777777" w:rsidR="0006500B" w:rsidRPr="004715CB" w:rsidRDefault="0006500B" w:rsidP="0006500B">
      <w:pPr>
        <w:spacing w:after="0" w:line="274" w:lineRule="auto"/>
        <w:jc w:val="both"/>
        <w:rPr>
          <w:rFonts w:ascii="Century Gothic" w:eastAsia="Calibri" w:hAnsi="Century Gothic" w:cs="Arial"/>
          <w:color w:val="000000"/>
          <w:lang w:val="es-ES_tradnl"/>
        </w:rPr>
      </w:pPr>
      <w:r w:rsidRPr="004715CB">
        <w:rPr>
          <w:rFonts w:ascii="Century Gothic" w:eastAsia="Calibri" w:hAnsi="Century Gothic" w:cs="Arial"/>
          <w:color w:val="000000"/>
          <w:lang w:val="es-ES_tradnl"/>
        </w:rPr>
        <w:t>En ejercicio de la competencia otorgada por el numeral 8 del artículo 11 y el numeral 5 del artículo 3 del Decreto Ley 4170 de 2011,</w:t>
      </w:r>
      <w:r w:rsidRPr="004715CB">
        <w:rPr>
          <w:rFonts w:ascii="Century Gothic" w:eastAsia="Arial MT" w:hAnsi="Century Gothic" w:cs="Arial"/>
          <w:lang w:val="es-ES"/>
        </w:rPr>
        <w:t xml:space="preserve"> </w:t>
      </w:r>
      <w:r w:rsidRPr="004715CB">
        <w:rPr>
          <w:rFonts w:ascii="Century Gothic" w:eastAsia="Calibri" w:hAnsi="Century Gothic" w:cs="Arial"/>
          <w:color w:val="000000"/>
          <w:lang w:val="es-ES_tradnl"/>
        </w:rPr>
        <w:t xml:space="preserve">la Agencia Nacional de Contratación Pública – Colombia Compra Eficiente, responde su consulta del </w:t>
      </w:r>
      <w:r>
        <w:rPr>
          <w:rFonts w:ascii="Century Gothic" w:eastAsia="Calibri" w:hAnsi="Century Gothic" w:cs="Arial"/>
          <w:color w:val="000000"/>
          <w:lang w:val="es-ES_tradnl"/>
        </w:rPr>
        <w:t>21</w:t>
      </w:r>
      <w:r w:rsidRPr="004715CB">
        <w:rPr>
          <w:rFonts w:ascii="Century Gothic" w:eastAsia="Calibri" w:hAnsi="Century Gothic" w:cs="Arial"/>
          <w:color w:val="000000"/>
          <w:lang w:val="es-ES_tradnl"/>
        </w:rPr>
        <w:t xml:space="preserve"> de </w:t>
      </w:r>
      <w:r>
        <w:rPr>
          <w:rFonts w:ascii="Century Gothic" w:eastAsia="Calibri" w:hAnsi="Century Gothic" w:cs="Arial"/>
          <w:color w:val="000000"/>
          <w:lang w:val="es-ES_tradnl"/>
        </w:rPr>
        <w:t>septiembre</w:t>
      </w:r>
      <w:r w:rsidRPr="004715CB">
        <w:rPr>
          <w:rFonts w:ascii="Century Gothic" w:eastAsia="Calibri" w:hAnsi="Century Gothic" w:cs="Arial"/>
          <w:color w:val="000000"/>
          <w:lang w:val="es-ES_tradnl"/>
        </w:rPr>
        <w:t xml:space="preserve"> </w:t>
      </w:r>
      <w:r>
        <w:rPr>
          <w:rFonts w:ascii="Century Gothic" w:eastAsia="Calibri" w:hAnsi="Century Gothic" w:cs="Arial"/>
          <w:color w:val="000000"/>
          <w:lang w:val="es-ES_tradnl"/>
        </w:rPr>
        <w:t xml:space="preserve">de </w:t>
      </w:r>
      <w:r w:rsidRPr="004715CB">
        <w:rPr>
          <w:rFonts w:ascii="Century Gothic" w:eastAsia="Calibri" w:hAnsi="Century Gothic" w:cs="Arial"/>
          <w:color w:val="000000"/>
          <w:lang w:val="es-ES_tradnl"/>
        </w:rPr>
        <w:t>2023.</w:t>
      </w:r>
    </w:p>
    <w:p w14:paraId="58B02B42" w14:textId="77777777" w:rsidR="0006500B" w:rsidRPr="004715CB" w:rsidRDefault="0006500B" w:rsidP="0006500B">
      <w:pPr>
        <w:spacing w:after="0" w:line="276" w:lineRule="auto"/>
        <w:jc w:val="both"/>
        <w:rPr>
          <w:rFonts w:ascii="Century Gothic" w:eastAsia="Calibri" w:hAnsi="Century Gothic" w:cs="Arial"/>
          <w:b/>
          <w:color w:val="000000"/>
          <w:lang w:val="es-ES_tradnl"/>
        </w:rPr>
      </w:pPr>
    </w:p>
    <w:p w14:paraId="79785AB7" w14:textId="77777777" w:rsidR="0006500B" w:rsidRPr="004715CB" w:rsidRDefault="0006500B" w:rsidP="0006500B">
      <w:pPr>
        <w:numPr>
          <w:ilvl w:val="0"/>
          <w:numId w:val="17"/>
        </w:numPr>
        <w:tabs>
          <w:tab w:val="left" w:pos="0"/>
          <w:tab w:val="left" w:pos="142"/>
          <w:tab w:val="left" w:pos="284"/>
        </w:tabs>
        <w:spacing w:after="0" w:line="276" w:lineRule="auto"/>
        <w:ind w:hanging="6601"/>
        <w:contextualSpacing/>
        <w:jc w:val="both"/>
        <w:rPr>
          <w:rFonts w:ascii="Century Gothic" w:eastAsia="Calibri" w:hAnsi="Century Gothic" w:cs="Arial"/>
          <w:b/>
          <w:color w:val="000000"/>
          <w:lang w:val="es-ES_tradnl"/>
        </w:rPr>
      </w:pPr>
      <w:r w:rsidRPr="004715CB">
        <w:rPr>
          <w:rFonts w:ascii="Century Gothic" w:eastAsia="Calibri" w:hAnsi="Century Gothic" w:cs="Arial"/>
          <w:b/>
          <w:color w:val="000000"/>
          <w:lang w:val="es-ES_tradnl"/>
        </w:rPr>
        <w:t xml:space="preserve">Problema planteado </w:t>
      </w:r>
    </w:p>
    <w:p w14:paraId="193D1339" w14:textId="77777777" w:rsidR="0006500B" w:rsidRPr="004715CB" w:rsidRDefault="0006500B" w:rsidP="0006500B">
      <w:pPr>
        <w:tabs>
          <w:tab w:val="left" w:pos="0"/>
          <w:tab w:val="left" w:pos="142"/>
          <w:tab w:val="left" w:pos="284"/>
        </w:tabs>
        <w:spacing w:after="0" w:line="276" w:lineRule="auto"/>
        <w:contextualSpacing/>
        <w:jc w:val="both"/>
        <w:rPr>
          <w:rFonts w:ascii="Century Gothic" w:eastAsia="Calibri" w:hAnsi="Century Gothic" w:cs="Arial"/>
          <w:b/>
          <w:color w:val="000000"/>
          <w:lang w:val="es-ES_tradnl"/>
        </w:rPr>
      </w:pPr>
    </w:p>
    <w:p w14:paraId="5717252F" w14:textId="77777777" w:rsidR="0006500B" w:rsidRPr="004715CB" w:rsidRDefault="0006500B" w:rsidP="0006500B">
      <w:pPr>
        <w:tabs>
          <w:tab w:val="left" w:pos="0"/>
          <w:tab w:val="left" w:pos="142"/>
          <w:tab w:val="left" w:pos="284"/>
        </w:tabs>
        <w:spacing w:after="0" w:line="276" w:lineRule="auto"/>
        <w:contextualSpacing/>
        <w:jc w:val="both"/>
        <w:rPr>
          <w:rFonts w:ascii="Century Gothic" w:eastAsia="Calibri" w:hAnsi="Century Gothic" w:cs="Arial"/>
          <w:bCs/>
          <w:color w:val="000000"/>
          <w:lang w:val="es-ES_tradnl"/>
        </w:rPr>
      </w:pPr>
      <w:r w:rsidRPr="004715CB">
        <w:rPr>
          <w:rFonts w:ascii="Century Gothic" w:eastAsia="Calibri" w:hAnsi="Century Gothic" w:cs="Arial"/>
          <w:bCs/>
          <w:color w:val="000000"/>
          <w:lang w:val="es-ES_tradnl"/>
        </w:rPr>
        <w:t>Usted formula la siguiente consulta:</w:t>
      </w:r>
    </w:p>
    <w:p w14:paraId="2DFA4DBF" w14:textId="77777777" w:rsidR="0006500B" w:rsidRPr="004715CB" w:rsidRDefault="0006500B" w:rsidP="0006500B">
      <w:pPr>
        <w:tabs>
          <w:tab w:val="left" w:pos="426"/>
        </w:tabs>
        <w:spacing w:after="0" w:line="276" w:lineRule="auto"/>
        <w:jc w:val="both"/>
        <w:rPr>
          <w:rFonts w:ascii="Century Gothic" w:eastAsia="Calibri" w:hAnsi="Century Gothic" w:cs="Arial"/>
          <w:b/>
          <w:color w:val="000000"/>
          <w:lang w:val="es-ES_tradnl"/>
        </w:rPr>
      </w:pPr>
    </w:p>
    <w:p w14:paraId="768571C6" w14:textId="17477D75" w:rsidR="0006500B" w:rsidRPr="00F54C29" w:rsidRDefault="004E7A09" w:rsidP="00F5129B">
      <w:pPr>
        <w:jc w:val="both"/>
        <w:rPr>
          <w:rFonts w:ascii="Century Gothic" w:eastAsia="Calibri" w:hAnsi="Century Gothic" w:cs="Arial"/>
          <w:bCs/>
          <w:color w:val="000000"/>
          <w:lang w:val="es-ES_tradnl"/>
        </w:rPr>
      </w:pPr>
      <w:r>
        <w:rPr>
          <w:rFonts w:ascii="Century Gothic" w:eastAsia="Calibri" w:hAnsi="Century Gothic" w:cs="Arial"/>
          <w:bCs/>
          <w:color w:val="000000"/>
          <w:lang w:val="es-ES_tradnl"/>
        </w:rPr>
        <w:t>“</w:t>
      </w:r>
      <w:r w:rsidR="0006500B" w:rsidRPr="00F54C29">
        <w:rPr>
          <w:rFonts w:ascii="Century Gothic" w:eastAsia="Calibri" w:hAnsi="Century Gothic" w:cs="Arial"/>
          <w:bCs/>
          <w:color w:val="000000"/>
          <w:lang w:val="es-ES_tradnl"/>
        </w:rPr>
        <w:t>En un proceso tipo del sector INFRAESTRUCTURA DE TRANSPORTE, cuyo objeto corresponde al MEJORAMIENTO EN PAVIMENTO FLEXIBLE, puede una entidad haciendo uso de los contemplado en el artículo 2.2.1.2.6.1.5 del Decreto 1082 de 2015 referido a Bienes o servicios adicionales a la obra pública, solicitar experiencia adicional en que por lo menos (1) de los contratos aportados como experiencia debe acreditar haber ejecutado la actividad de CARACTERIZACION VIAL?</w:t>
      </w:r>
      <w:r>
        <w:rPr>
          <w:rFonts w:ascii="Century Gothic" w:eastAsia="Calibri" w:hAnsi="Century Gothic" w:cs="Arial"/>
          <w:bCs/>
          <w:color w:val="000000"/>
          <w:lang w:val="es-ES_tradnl"/>
        </w:rPr>
        <w:t>” (SIC)</w:t>
      </w:r>
    </w:p>
    <w:p w14:paraId="786AAD84" w14:textId="77777777" w:rsidR="0006500B" w:rsidRPr="004715CB" w:rsidRDefault="0006500B" w:rsidP="0006500B">
      <w:pPr>
        <w:numPr>
          <w:ilvl w:val="0"/>
          <w:numId w:val="17"/>
        </w:numPr>
        <w:tabs>
          <w:tab w:val="left" w:pos="0"/>
          <w:tab w:val="left" w:pos="284"/>
        </w:tabs>
        <w:spacing w:after="0" w:line="240" w:lineRule="auto"/>
        <w:ind w:hanging="6601"/>
        <w:contextualSpacing/>
        <w:jc w:val="both"/>
        <w:rPr>
          <w:rFonts w:ascii="Century Gothic" w:eastAsia="Calibri" w:hAnsi="Century Gothic" w:cs="Arial"/>
          <w:b/>
          <w:color w:val="000000"/>
          <w:lang w:val="es-ES_tradnl"/>
        </w:rPr>
      </w:pPr>
      <w:r w:rsidRPr="004715CB">
        <w:rPr>
          <w:rFonts w:ascii="Century Gothic" w:eastAsia="Calibri" w:hAnsi="Century Gothic" w:cs="Arial"/>
          <w:b/>
          <w:color w:val="000000"/>
          <w:lang w:val="es-ES_tradnl"/>
        </w:rPr>
        <w:t>Consideraciones</w:t>
      </w:r>
    </w:p>
    <w:p w14:paraId="2F8F9312" w14:textId="77777777" w:rsidR="0006500B" w:rsidRPr="004715CB" w:rsidRDefault="0006500B" w:rsidP="0006500B">
      <w:pPr>
        <w:spacing w:after="0" w:line="276" w:lineRule="auto"/>
        <w:jc w:val="both"/>
        <w:rPr>
          <w:rFonts w:ascii="Century Gothic" w:eastAsia="Calibri" w:hAnsi="Century Gothic" w:cs="Arial"/>
          <w:color w:val="000000"/>
        </w:rPr>
      </w:pPr>
    </w:p>
    <w:p w14:paraId="3209E598" w14:textId="77777777" w:rsidR="0006500B" w:rsidRPr="000310BD" w:rsidRDefault="0006500B" w:rsidP="0006500B">
      <w:pPr>
        <w:spacing w:after="120" w:line="276" w:lineRule="auto"/>
        <w:jc w:val="both"/>
        <w:rPr>
          <w:rFonts w:ascii="Century Gothic" w:hAnsi="Century Gothic" w:cs="Arial"/>
          <w:lang w:val="es-ES" w:eastAsia="es-ES_tradnl"/>
        </w:rPr>
      </w:pPr>
      <w:bookmarkStart w:id="5" w:name="_Hlk136161866"/>
      <w:bookmarkStart w:id="6" w:name="_Hlk131417155"/>
      <w:r w:rsidRPr="000310BD">
        <w:rPr>
          <w:rFonts w:ascii="Century Gothic" w:hAnsi="Century Gothic" w:cs="Arial"/>
          <w:lang w:eastAsia="es-ES_tradnl"/>
        </w:rPr>
        <w:lastRenderedPageBreak/>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w:t>
      </w:r>
      <w:bookmarkStart w:id="7" w:name="_Hlk61701014"/>
      <w:bookmarkStart w:id="8" w:name="_Hlk62136649"/>
      <w:r w:rsidRPr="000310BD">
        <w:rPr>
          <w:rFonts w:ascii="Century Gothic" w:hAnsi="Century Gothic" w:cs="Arial"/>
          <w:lang w:eastAsia="es-ES_tradnl"/>
        </w:rPr>
        <w:t xml:space="preserve">. </w:t>
      </w:r>
      <w:r w:rsidRPr="000310BD">
        <w:rPr>
          <w:rFonts w:ascii="Century Gothic" w:hAnsi="Century Gothic" w:cs="Arial"/>
          <w:lang w:val="es-ES" w:eastAsia="es-ES_tradnl"/>
        </w:rPr>
        <w:t xml:space="preserve">Es necesario tener en cuenta que </w:t>
      </w:r>
      <w:bookmarkStart w:id="9" w:name="_Hlk61026958"/>
      <w:r w:rsidRPr="000310BD">
        <w:rPr>
          <w:rFonts w:ascii="Century Gothic" w:hAnsi="Century Gothic" w:cs="Arial"/>
          <w:lang w:val="es-ES" w:eastAsia="es-ES_tradnl"/>
        </w:rPr>
        <w:t>esta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w:t>
      </w:r>
      <w:r w:rsidRPr="000310BD">
        <w:rPr>
          <w:rFonts w:ascii="Century Gothic" w:hAnsi="Century Gothic" w:cs="Arial"/>
          <w:lang w:eastAsia="es-ES_tradnl"/>
        </w:rPr>
        <w:t xml:space="preserve"> de los partícipes de la contratación estatal.</w:t>
      </w:r>
      <w:bookmarkStart w:id="10" w:name="_Hlk133416774"/>
    </w:p>
    <w:p w14:paraId="40B9B9B5" w14:textId="77777777" w:rsidR="0006500B" w:rsidRPr="000310BD" w:rsidRDefault="0006500B" w:rsidP="0006500B">
      <w:pPr>
        <w:spacing w:after="120" w:line="276" w:lineRule="auto"/>
        <w:ind w:firstLine="708"/>
        <w:jc w:val="both"/>
        <w:rPr>
          <w:rFonts w:ascii="Century Gothic" w:hAnsi="Century Gothic" w:cs="Arial"/>
          <w:lang w:val="es-ES" w:eastAsia="es-ES_tradnl"/>
        </w:rPr>
      </w:pPr>
      <w:r w:rsidRPr="000310BD">
        <w:rPr>
          <w:rFonts w:ascii="Century Gothic" w:hAnsi="Century Gothic" w:cs="Arial"/>
          <w:lang w:val="es-ES" w:eastAsia="es-ES_tradnl"/>
        </w:rP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sidRPr="000310BD">
        <w:rPr>
          <w:rFonts w:ascii="Century Gothic" w:hAnsi="Century Gothic" w:cs="Arial"/>
          <w:vertAlign w:val="superscript"/>
          <w:lang w:val="es-ES" w:eastAsia="es-ES_tradnl"/>
        </w:rPr>
        <w:footnoteReference w:id="1"/>
      </w:r>
      <w:r w:rsidRPr="000310BD">
        <w:rPr>
          <w:rFonts w:ascii="Century Gothic" w:hAnsi="Century Gothic" w:cs="Arial"/>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resulta indispensable acceder al expediente y a los documentos del procedimiento contractual donde surge la inquietud</w:t>
      </w:r>
      <w:bookmarkEnd w:id="9"/>
      <w:r w:rsidRPr="000310BD">
        <w:rPr>
          <w:rFonts w:ascii="Century Gothic" w:hAnsi="Century Gothic" w:cs="Arial"/>
          <w:lang w:val="es-ES" w:eastAsia="es-ES_tradnl"/>
        </w:rPr>
        <w:t>. Por lo anterior, previo concepto de sus órganos asesores, la solución de estos temas corresponde a la entidad que adelanta el procedimiento de selección y, en caso de conflicto, a las autoridades judiciales, fiscales y/o disciplinarias</w:t>
      </w:r>
      <w:bookmarkEnd w:id="7"/>
      <w:r w:rsidRPr="000310BD">
        <w:rPr>
          <w:rFonts w:ascii="Century Gothic" w:hAnsi="Century Gothic" w:cs="Arial"/>
          <w:lang w:val="es-ES" w:eastAsia="es-ES_tradnl"/>
        </w:rPr>
        <w:t>, según corresponda.</w:t>
      </w:r>
      <w:bookmarkEnd w:id="5"/>
    </w:p>
    <w:p w14:paraId="30162527" w14:textId="1E3504A6" w:rsidR="0006500B" w:rsidRPr="00A06924" w:rsidRDefault="0006500B" w:rsidP="0006500B">
      <w:pPr>
        <w:spacing w:after="120" w:line="276" w:lineRule="auto"/>
        <w:ind w:firstLine="708"/>
        <w:jc w:val="both"/>
        <w:rPr>
          <w:rFonts w:ascii="Century Gothic" w:hAnsi="Century Gothic" w:cs="Arial"/>
          <w:lang w:eastAsia="es-ES_tradnl"/>
        </w:rPr>
      </w:pPr>
      <w:r w:rsidRPr="000310BD">
        <w:rPr>
          <w:rFonts w:ascii="Century Gothic" w:hAnsi="Century Gothic" w:cs="Arial"/>
          <w:lang w:val="es-ES" w:eastAsia="es-ES_tradnl"/>
        </w:rPr>
        <w:t>Bajo este entendido</w:t>
      </w:r>
      <w:bookmarkEnd w:id="8"/>
      <w:r w:rsidRPr="000310BD">
        <w:rPr>
          <w:rFonts w:ascii="Century Gothic" w:hAnsi="Century Gothic" w:cs="Arial"/>
          <w:lang w:val="es-ES" w:eastAsia="es-ES_tradnl"/>
        </w:rPr>
        <w:t xml:space="preserve">, </w:t>
      </w:r>
      <w:r w:rsidRPr="000310BD">
        <w:rPr>
          <w:rFonts w:ascii="Century Gothic" w:hAnsi="Century Gothic" w:cs="Arial"/>
          <w:lang w:eastAsia="es-ES_tradnl"/>
        </w:rPr>
        <w:t xml:space="preserve">la Subdirección -dentro del límite de sus atribuciones, esto es, haciendo abstracción de cualquier caso particular que pueda llegar a proponer el peticionario- resolverá la presente consulta de acuerdo con el alcance general de las normas en materia de contratación estatal. Con tal propósito, analizará los siguientes temas: </w:t>
      </w:r>
      <w:r w:rsidRPr="000310BD">
        <w:rPr>
          <w:rFonts w:ascii="Century Gothic" w:hAnsi="Century Gothic" w:cs="Arial"/>
          <w:i/>
          <w:iCs/>
          <w:lang w:eastAsia="es-ES_tradnl"/>
        </w:rPr>
        <w:t>(i)</w:t>
      </w:r>
      <w:r w:rsidRPr="000310BD">
        <w:rPr>
          <w:rFonts w:ascii="Century Gothic" w:hAnsi="Century Gothic" w:cs="Arial"/>
          <w:lang w:eastAsia="es-ES_tradnl"/>
        </w:rPr>
        <w:t xml:space="preserve"> </w:t>
      </w:r>
      <w:bookmarkStart w:id="11" w:name="_Hlk141723585"/>
      <w:r w:rsidRPr="000310BD">
        <w:rPr>
          <w:rFonts w:ascii="Century Gothic" w:hAnsi="Century Gothic" w:cs="Arial"/>
          <w:lang w:eastAsia="es-ES_tradnl"/>
        </w:rPr>
        <w:t xml:space="preserve">fundamento normativo de los documentos tipo y </w:t>
      </w:r>
      <w:r w:rsidRPr="000310BD">
        <w:rPr>
          <w:rFonts w:ascii="Century Gothic" w:hAnsi="Century Gothic" w:cs="Arial"/>
          <w:lang w:eastAsia="es-ES_tradnl"/>
        </w:rPr>
        <w:lastRenderedPageBreak/>
        <w:t xml:space="preserve">concepto de experiencia adicional para bienes o servicios adicionales </w:t>
      </w:r>
      <w:bookmarkEnd w:id="11"/>
      <w:r w:rsidRPr="000310BD">
        <w:rPr>
          <w:rFonts w:ascii="Century Gothic" w:hAnsi="Century Gothic" w:cs="Arial"/>
          <w:lang w:eastAsia="es-ES_tradnl"/>
        </w:rPr>
        <w:t xml:space="preserve">y </w:t>
      </w:r>
      <w:r w:rsidRPr="00A06924">
        <w:rPr>
          <w:rFonts w:ascii="Century Gothic" w:hAnsi="Century Gothic" w:cs="Arial"/>
          <w:i/>
          <w:iCs/>
          <w:lang w:eastAsia="es-ES_tradnl"/>
        </w:rPr>
        <w:t>(</w:t>
      </w:r>
      <w:proofErr w:type="spellStart"/>
      <w:r w:rsidRPr="00A06924">
        <w:rPr>
          <w:rFonts w:ascii="Century Gothic" w:hAnsi="Century Gothic" w:cs="Arial"/>
          <w:i/>
          <w:iCs/>
          <w:lang w:eastAsia="es-ES_tradnl"/>
        </w:rPr>
        <w:t>ii</w:t>
      </w:r>
      <w:proofErr w:type="spellEnd"/>
      <w:r w:rsidRPr="00A06924">
        <w:rPr>
          <w:rFonts w:ascii="Century Gothic" w:hAnsi="Century Gothic" w:cs="Arial"/>
          <w:i/>
          <w:iCs/>
          <w:lang w:eastAsia="es-ES_tradnl"/>
        </w:rPr>
        <w:t>)</w:t>
      </w:r>
      <w:r w:rsidRPr="000310BD">
        <w:rPr>
          <w:rFonts w:ascii="Century Gothic" w:hAnsi="Century Gothic" w:cs="Arial"/>
          <w:lang w:eastAsia="es-ES_tradnl"/>
        </w:rPr>
        <w:t xml:space="preserve"> </w:t>
      </w:r>
      <w:r w:rsidR="00A06924" w:rsidRPr="00A06924">
        <w:rPr>
          <w:rFonts w:ascii="Century Gothic" w:hAnsi="Century Gothic" w:cs="Arial"/>
          <w:lang w:eastAsia="es-ES_tradnl"/>
        </w:rPr>
        <w:t xml:space="preserve">Pavimentos Asfálticos y/o Pavimentos de Concreto Hidráulico Reforzado- Experiencia - Documento tipo de licitación de obra pública de infraestructura de transporte - versión 3 </w:t>
      </w:r>
    </w:p>
    <w:p w14:paraId="5C9C1F2F" w14:textId="77777777" w:rsidR="0006500B" w:rsidRPr="000310BD" w:rsidRDefault="0006500B" w:rsidP="0006500B">
      <w:pPr>
        <w:spacing w:after="120" w:line="276" w:lineRule="auto"/>
        <w:ind w:firstLine="708"/>
        <w:jc w:val="both"/>
        <w:rPr>
          <w:rFonts w:ascii="Century Gothic" w:hAnsi="Century Gothic" w:cs="Arial"/>
          <w:bCs/>
          <w:color w:val="1A1A1A" w:themeColor="background1" w:themeShade="1A"/>
        </w:rPr>
      </w:pPr>
      <w:r w:rsidRPr="000310BD">
        <w:rPr>
          <w:rFonts w:ascii="Century Gothic" w:hAnsi="Century Gothic" w:cs="Arial"/>
          <w:lang w:eastAsia="es-ES_tradnl"/>
        </w:rPr>
        <w:t xml:space="preserve">La Agencia Nacional de Contratación Pública -Colombia Compra Eficiente- se ha referido previamente </w:t>
      </w:r>
      <w:r w:rsidRPr="000310BD">
        <w:rPr>
          <w:rFonts w:ascii="Century Gothic" w:hAnsi="Century Gothic" w:cs="Arial"/>
          <w:color w:val="000000" w:themeColor="text1"/>
          <w:lang w:val="es-ES_tradnl" w:eastAsia="es-ES_tradnl"/>
        </w:rPr>
        <w:t xml:space="preserve">sobre el primero de los referidos temas en los conceptos </w:t>
      </w:r>
      <w:r w:rsidRPr="000310BD">
        <w:rPr>
          <w:rFonts w:ascii="Century Gothic" w:hAnsi="Century Gothic" w:cs="Arial"/>
          <w:lang w:val="es-ES_tradnl" w:eastAsia="es-ES_tradnl"/>
        </w:rPr>
        <w:t>C-716 del 30 de noviembre de 2020, C-775 de 2020 del 11 de diciembre de 2020, C-798 del 25 de enero de 2021, C-027 del 1 de marzo de 2021, C-204 del 6 de mayo de 2021</w:t>
      </w:r>
      <w:r w:rsidRPr="000310BD">
        <w:rPr>
          <w:rFonts w:ascii="Century Gothic" w:eastAsia="Calibri" w:hAnsi="Century Gothic" w:cs="Arial"/>
          <w:lang w:val="es-ES_tradnl" w:eastAsia="es-ES_tradnl"/>
        </w:rPr>
        <w:t xml:space="preserve">, C-215 del 12 de mayo de 2021, C-225 del 1 de junio de 2021, C-264 del 2 de junio del 2021, C-268 del 3 de junio de 2021, C-287 del 18 de junio de 2021, C-312 del 29 de junio de 2021, C-344 del 13 de julio de 2021, C-399 del 28 de septiembre de 2021, C-471 del 30 de agosto de 2021, C-493 del 13 de septiembre de 2021, C-569 del 12 de octubre de 2021, C-599 del 26 de octubre de 2021, C-643 del 17 de noviembre de 2021, C-706 del 17 de enero de 2022, C-753 del 6 de febrero de 2022, C-011 del 18 de febrero de 2022, C-033 del 4 de marzo de 2022, C-060 del 10 de marzo de 2022, C-086 del 15 de marzo de 2022, C-130 del 22 de marzo de 2022, C-110 del 23 de marzo de 2022, C-137 del 29 de marzo de 2022, C-247 del 2 de mayo de 2022, C-311 del 16 de mayo de 2022, C-371 del 8 de junio de 2022, C-053 del 28 de marzo de 2023 y C-252 del 7 de julio de 2023. De igual forma, </w:t>
      </w:r>
      <w:r w:rsidRPr="000310BD">
        <w:rPr>
          <w:rFonts w:ascii="Century Gothic" w:hAnsi="Century Gothic" w:cs="Arial"/>
          <w:lang w:eastAsia="es-ES_tradnl"/>
        </w:rPr>
        <w:t>se ha pronunciado sobre el segundo de los temas planteados</w:t>
      </w:r>
      <w:r w:rsidRPr="000310BD">
        <w:rPr>
          <w:rFonts w:ascii="Century Gothic" w:hAnsi="Century Gothic" w:cs="Arial"/>
          <w:color w:val="000000" w:themeColor="text1"/>
          <w:lang w:val="es-ES_tradnl" w:eastAsia="es-ES_tradnl"/>
        </w:rPr>
        <w:t xml:space="preserve">, entre otros, en los conceptos C-025 del 16 de marzo de 2020, C-710 del 9 de diciembre de 2020, C-474 del 6 de septiembre de 2021, </w:t>
      </w:r>
      <w:r w:rsidRPr="000310BD">
        <w:rPr>
          <w:rFonts w:ascii="Century Gothic" w:eastAsia="Arial" w:hAnsi="Century Gothic" w:cs="Arial"/>
          <w:lang w:val="es-MX" w:eastAsia="es-ES_tradnl"/>
        </w:rPr>
        <w:t xml:space="preserve">C-121 del 30 de marzo de 2022, C-142 del 28 de marzo de 2022, C-193 del 18 de abril de 2022, C-200 del 21 de abril de 2022, C-226 del 26 de abril de 2022, C-234 del 26 de abril de 2022, C-235 del 26 de abril de 2022, C-239, C-242 del 2 de mayo de 2022, C-287 del 11 de mayo de 2022, C-319 del 19 de mayo de 2022, C-569 del 13 de septiembre de 2022, C-574 del 14 de septiembre de 2022, </w:t>
      </w:r>
      <w:r w:rsidRPr="000310BD">
        <w:rPr>
          <w:rFonts w:ascii="Century Gothic" w:hAnsi="Century Gothic" w:cs="Arial"/>
          <w:bCs/>
          <w:color w:val="1A1A1A" w:themeColor="background1" w:themeShade="1A"/>
        </w:rPr>
        <w:t>C-124 del 12 de mayo de 2023, C-141 de 30 de mayo de 2023</w:t>
      </w:r>
      <w:r>
        <w:rPr>
          <w:rFonts w:ascii="Century Gothic" w:hAnsi="Century Gothic" w:cs="Arial"/>
          <w:bCs/>
          <w:color w:val="1A1A1A" w:themeColor="background1" w:themeShade="1A"/>
        </w:rPr>
        <w:t>,</w:t>
      </w:r>
      <w:r w:rsidRPr="000310BD">
        <w:rPr>
          <w:rFonts w:ascii="Century Gothic" w:hAnsi="Century Gothic" w:cs="Arial"/>
          <w:bCs/>
          <w:color w:val="1A1A1A" w:themeColor="background1" w:themeShade="1A"/>
        </w:rPr>
        <w:t xml:space="preserve"> C-167 del 5 de junio de 2023</w:t>
      </w:r>
      <w:r>
        <w:rPr>
          <w:rFonts w:ascii="Century Gothic" w:hAnsi="Century Gothic" w:cs="Arial"/>
          <w:bCs/>
          <w:color w:val="1A1A1A" w:themeColor="background1" w:themeShade="1A"/>
        </w:rPr>
        <w:t xml:space="preserve"> y </w:t>
      </w:r>
      <w:r w:rsidRPr="00CD53D7">
        <w:rPr>
          <w:rFonts w:ascii="Century Gothic" w:hAnsi="Century Gothic" w:cs="Arial"/>
          <w:bCs/>
          <w:color w:val="1A1A1A" w:themeColor="background1" w:themeShade="1A"/>
        </w:rPr>
        <w:t xml:space="preserve">Concepto C-316 </w:t>
      </w:r>
      <w:r>
        <w:rPr>
          <w:rFonts w:ascii="Century Gothic" w:hAnsi="Century Gothic" w:cs="Arial"/>
          <w:bCs/>
          <w:color w:val="1A1A1A" w:themeColor="background1" w:themeShade="1A"/>
        </w:rPr>
        <w:t xml:space="preserve">del 01 de agosto </w:t>
      </w:r>
      <w:r w:rsidRPr="00CD53D7">
        <w:rPr>
          <w:rFonts w:ascii="Century Gothic" w:hAnsi="Century Gothic" w:cs="Arial"/>
          <w:bCs/>
          <w:color w:val="1A1A1A" w:themeColor="background1" w:themeShade="1A"/>
        </w:rPr>
        <w:t>de 2023</w:t>
      </w:r>
      <w:r w:rsidRPr="000310BD">
        <w:rPr>
          <w:rFonts w:ascii="Century Gothic" w:eastAsia="Calibri" w:hAnsi="Century Gothic" w:cs="Arial"/>
          <w:color w:val="000000" w:themeColor="text1"/>
        </w:rPr>
        <w:t xml:space="preserve">. </w:t>
      </w:r>
      <w:r w:rsidRPr="000310BD">
        <w:rPr>
          <w:rFonts w:ascii="Century Gothic" w:eastAsia="Calibri" w:hAnsi="Century Gothic" w:cs="Arial"/>
          <w:bCs/>
          <w:color w:val="000000"/>
          <w:lang w:eastAsia="es-ES_tradnl"/>
        </w:rPr>
        <w:t>Las tesis y argumentos en ellos expuestos se reiteran, precisan y complementan a continuación</w:t>
      </w:r>
      <w:bookmarkStart w:id="12" w:name="_Hlk133491084"/>
      <w:bookmarkEnd w:id="10"/>
      <w:r w:rsidRPr="000310BD">
        <w:rPr>
          <w:rFonts w:ascii="Century Gothic" w:eastAsia="Calibri" w:hAnsi="Century Gothic" w:cs="Arial"/>
          <w:bCs/>
          <w:color w:val="000000"/>
          <w:lang w:eastAsia="es-ES_tradnl"/>
        </w:rPr>
        <w:t>.</w:t>
      </w:r>
    </w:p>
    <w:p w14:paraId="6C653BFE" w14:textId="77777777" w:rsidR="0006500B" w:rsidRPr="000310BD" w:rsidRDefault="0006500B" w:rsidP="0006500B">
      <w:pPr>
        <w:spacing w:after="120" w:line="276" w:lineRule="auto"/>
        <w:ind w:left="705" w:hanging="705"/>
        <w:jc w:val="both"/>
        <w:rPr>
          <w:rFonts w:ascii="Century Gothic" w:eastAsia="Calibri" w:hAnsi="Century Gothic" w:cs="Arial"/>
          <w:b/>
          <w:color w:val="000000" w:themeColor="text1"/>
          <w:lang w:val="es-ES_tradnl"/>
        </w:rPr>
      </w:pPr>
      <w:r w:rsidRPr="000310BD">
        <w:rPr>
          <w:rFonts w:ascii="Century Gothic" w:eastAsia="Calibri" w:hAnsi="Century Gothic" w:cs="Arial"/>
          <w:b/>
          <w:lang w:val="es-ES_tradnl"/>
        </w:rPr>
        <w:t>2.1.</w:t>
      </w:r>
      <w:bookmarkStart w:id="13" w:name="_Hlk133499202"/>
      <w:r w:rsidRPr="000310BD">
        <w:rPr>
          <w:rFonts w:ascii="Century Gothic" w:eastAsia="Calibri" w:hAnsi="Century Gothic" w:cs="Arial"/>
          <w:b/>
          <w:lang w:val="es-ES_tradnl"/>
        </w:rPr>
        <w:tab/>
      </w:r>
      <w:bookmarkStart w:id="14" w:name="_Hlk140035885"/>
      <w:bookmarkStart w:id="15" w:name="_Hlk141736481"/>
      <w:bookmarkEnd w:id="6"/>
      <w:bookmarkEnd w:id="12"/>
      <w:bookmarkEnd w:id="13"/>
      <w:r w:rsidRPr="000310BD">
        <w:rPr>
          <w:rFonts w:ascii="Century Gothic" w:eastAsia="Calibri" w:hAnsi="Century Gothic" w:cs="Arial"/>
          <w:b/>
          <w:lang w:val="es-ES_tradnl"/>
        </w:rPr>
        <w:t>Fundamento normativo de los documentos tipo y concepto de experiencia adicional para bienes o servicios adicionales</w:t>
      </w:r>
      <w:bookmarkStart w:id="16" w:name="_Hlk136184980"/>
      <w:bookmarkEnd w:id="14"/>
    </w:p>
    <w:p w14:paraId="02BB6B06" w14:textId="77777777" w:rsidR="0006500B" w:rsidRPr="000310BD" w:rsidRDefault="0006500B" w:rsidP="0006500B">
      <w:pPr>
        <w:spacing w:after="120" w:line="276" w:lineRule="auto"/>
        <w:jc w:val="both"/>
        <w:rPr>
          <w:rFonts w:ascii="Century Gothic" w:eastAsia="Calibri" w:hAnsi="Century Gothic" w:cs="Arial"/>
          <w:b/>
          <w:color w:val="000000" w:themeColor="text1"/>
          <w:lang w:val="es-ES_tradnl"/>
        </w:rPr>
      </w:pPr>
      <w:r w:rsidRPr="000310BD">
        <w:rPr>
          <w:rFonts w:ascii="Century Gothic" w:hAnsi="Century Gothic" w:cs="Arial"/>
          <w:lang w:val="es-MX"/>
        </w:rPr>
        <w:t xml:space="preserve">Tal y como lo ha reconocido esta entidad a través de múltiples conceptos, los </w:t>
      </w:r>
      <w:r w:rsidRPr="000310BD">
        <w:rPr>
          <w:rFonts w:ascii="Century Gothic" w:hAnsi="Century Gothic" w:cs="Arial"/>
          <w:i/>
          <w:iCs/>
          <w:lang w:val="es-MX"/>
        </w:rPr>
        <w:t>documentos tipo obligatorios</w:t>
      </w:r>
      <w:r w:rsidRPr="000310BD">
        <w:rPr>
          <w:rFonts w:ascii="Century Gothic" w:hAnsi="Century Gothic" w:cs="Arial"/>
          <w:lang w:val="es-MX"/>
        </w:rPr>
        <w:t xml:space="preserve"> fueron adoptados en el ordenamiento jurídico colombiano por vía del parágrafo 3º del artículo 2 de la Ley 1150 de 2007</w:t>
      </w:r>
      <w:r w:rsidRPr="000310BD">
        <w:rPr>
          <w:rFonts w:ascii="Century Gothic" w:eastAsia="Calibri" w:hAnsi="Century Gothic" w:cs="Arial"/>
          <w:color w:val="000000"/>
          <w:vertAlign w:val="superscript"/>
          <w:lang w:val="es-ES_tradnl"/>
        </w:rPr>
        <w:footnoteReference w:id="2"/>
      </w:r>
      <w:r w:rsidRPr="000310BD">
        <w:rPr>
          <w:rFonts w:ascii="Century Gothic" w:eastAsia="Calibri" w:hAnsi="Century Gothic" w:cs="Arial"/>
          <w:color w:val="000000"/>
          <w:lang w:val="es-ES_tradnl"/>
        </w:rPr>
        <w:t xml:space="preserve">. En esta </w:t>
      </w:r>
      <w:r w:rsidRPr="000310BD">
        <w:rPr>
          <w:rFonts w:ascii="Century Gothic" w:eastAsia="Calibri" w:hAnsi="Century Gothic" w:cs="Arial"/>
          <w:color w:val="000000"/>
          <w:lang w:val="es-ES_tradnl"/>
        </w:rPr>
        <w:lastRenderedPageBreak/>
        <w:t>preceptiva, básicamente, se facultó al Gobierno Nacional para su expedición tratándose de la adquisición o suministro de bienes y servicios de características técnicas uniformes y de común utilización por parte de las entidades.</w:t>
      </w:r>
    </w:p>
    <w:p w14:paraId="6B058072" w14:textId="77777777" w:rsidR="0006500B" w:rsidRPr="000310BD" w:rsidRDefault="0006500B" w:rsidP="0006500B">
      <w:pPr>
        <w:spacing w:line="276" w:lineRule="auto"/>
        <w:ind w:firstLine="708"/>
        <w:jc w:val="both"/>
        <w:rPr>
          <w:rFonts w:ascii="Century Gothic" w:eastAsia="Calibri" w:hAnsi="Century Gothic" w:cs="Arial"/>
          <w:color w:val="000000" w:themeColor="text1"/>
          <w:lang w:val="es-MX"/>
        </w:rPr>
      </w:pPr>
      <w:r w:rsidRPr="000310BD">
        <w:rPr>
          <w:rFonts w:ascii="Century Gothic" w:eastAsia="Calibri" w:hAnsi="Century Gothic" w:cs="Arial"/>
          <w:color w:val="000000"/>
          <w:lang w:val="es-ES_tradnl"/>
        </w:rPr>
        <w:t xml:space="preserve">Así mismo, a través del artículo 4º de la Ley 1882 de 2018 </w:t>
      </w:r>
      <w:r w:rsidRPr="000310BD">
        <w:rPr>
          <w:rFonts w:ascii="Century Gothic" w:eastAsia="Calibri" w:hAnsi="Century Gothic" w:cs="Arial"/>
          <w:lang w:val="es-ES_tradnl"/>
        </w:rPr>
        <w:t>se adicionó el parágrafo 7º del artículo 2 de la Ley 1150 de 2007</w:t>
      </w:r>
      <w:r w:rsidRPr="000310BD">
        <w:rPr>
          <w:rFonts w:ascii="Century Gothic" w:eastAsia="Calibri" w:hAnsi="Century Gothic" w:cs="Arial"/>
          <w:color w:val="000000"/>
          <w:lang w:val="es-ES_tradnl"/>
        </w:rPr>
        <w:t xml:space="preserve">. Con la </w:t>
      </w:r>
      <w:proofErr w:type="gramStart"/>
      <w:r w:rsidRPr="000310BD">
        <w:rPr>
          <w:rFonts w:ascii="Century Gothic" w:eastAsia="Calibri" w:hAnsi="Century Gothic" w:cs="Arial"/>
          <w:color w:val="000000"/>
          <w:lang w:val="es-ES_tradnl"/>
        </w:rPr>
        <w:t>entrada en vigencia</w:t>
      </w:r>
      <w:proofErr w:type="gramEnd"/>
      <w:r w:rsidRPr="000310BD">
        <w:rPr>
          <w:rFonts w:ascii="Century Gothic" w:eastAsia="Calibri" w:hAnsi="Century Gothic" w:cs="Arial"/>
          <w:color w:val="000000"/>
          <w:lang w:val="es-ES_tradnl"/>
        </w:rPr>
        <w:t xml:space="preserve"> de esta disposición legal, se determinó la obligatoriedad por parte de todas las entidades sometidas al Estatuto General de Contratación de la Administración Pública -EGCAP- de aplicar los documentos tipo adoptados por el Gobierno Nacional, razón por la cual se convierte en el antecedente normativo más relevante en la materia</w:t>
      </w:r>
      <w:r w:rsidRPr="000310BD">
        <w:rPr>
          <w:rFonts w:ascii="Century Gothic" w:eastAsia="Calibri" w:hAnsi="Century Gothic" w:cs="Arial"/>
          <w:color w:val="000000"/>
          <w:vertAlign w:val="superscript"/>
          <w:lang w:val="es-ES_tradnl"/>
        </w:rPr>
        <w:footnoteReference w:id="3"/>
      </w:r>
      <w:r w:rsidRPr="000310BD">
        <w:rPr>
          <w:rFonts w:ascii="Century Gothic" w:hAnsi="Century Gothic" w:cs="Arial"/>
          <w:lang w:val="es-MX"/>
        </w:rPr>
        <w:t>.</w:t>
      </w:r>
      <w:bookmarkEnd w:id="15"/>
    </w:p>
    <w:p w14:paraId="4D1D8941" w14:textId="77777777" w:rsidR="0006500B" w:rsidRPr="000310BD" w:rsidRDefault="0006500B" w:rsidP="0006500B">
      <w:pPr>
        <w:spacing w:line="276" w:lineRule="auto"/>
        <w:ind w:firstLine="708"/>
        <w:jc w:val="both"/>
        <w:rPr>
          <w:rFonts w:ascii="Century Gothic" w:eastAsia="Calibri" w:hAnsi="Century Gothic" w:cs="Arial"/>
          <w:color w:val="000000" w:themeColor="text1"/>
          <w:lang w:val="es-ES_tradnl"/>
        </w:rPr>
      </w:pPr>
      <w:r w:rsidRPr="000310BD">
        <w:rPr>
          <w:rFonts w:ascii="Century Gothic" w:eastAsia="Calibri" w:hAnsi="Century Gothic" w:cs="Arial"/>
          <w:color w:val="000000"/>
          <w:lang w:val="es-ES_tradnl"/>
        </w:rPr>
        <w:t>Precisamente, sobre su conformidad con la Carta Política, la Corte Constitucional, mediante la Sentencia C-119 de 2020</w:t>
      </w:r>
      <w:r w:rsidRPr="000310BD">
        <w:rPr>
          <w:rFonts w:ascii="Century Gothic" w:eastAsia="Calibri" w:hAnsi="Century Gothic" w:cs="Arial"/>
          <w:color w:val="000000"/>
          <w:vertAlign w:val="superscript"/>
          <w:lang w:val="es-ES_tradnl"/>
        </w:rPr>
        <w:footnoteReference w:id="4"/>
      </w:r>
      <w:r w:rsidRPr="000310BD">
        <w:rPr>
          <w:rFonts w:ascii="Century Gothic" w:eastAsia="Calibri" w:hAnsi="Century Gothic" w:cs="Arial"/>
          <w:color w:val="000000"/>
          <w:lang w:val="es-ES_tradnl"/>
        </w:rPr>
        <w:t>, declaró su exequibilidad al indicar que la adopción de los documentos tipo no afectaba la autonomía de las entidades territoriales, en tanto la estandarización se predica de los requisitos habilitantes y los criterios de escogencia como elementos propios del procedimiento de selección de contratistas, materia respecto de la cual existe reserva de ley y en donde el legislador goza de amplio margen de configuración normativa, sin que ello interfiera en la facultad de tales entes para gestionar sus propios intereses.</w:t>
      </w:r>
    </w:p>
    <w:p w14:paraId="01276C7E" w14:textId="77777777" w:rsidR="0006500B" w:rsidRPr="000310BD" w:rsidRDefault="0006500B" w:rsidP="0006500B">
      <w:pPr>
        <w:spacing w:line="276" w:lineRule="auto"/>
        <w:ind w:firstLine="708"/>
        <w:jc w:val="both"/>
        <w:rPr>
          <w:rFonts w:ascii="Century Gothic" w:eastAsia="Calibri" w:hAnsi="Century Gothic" w:cs="Arial"/>
          <w:color w:val="000000"/>
          <w:lang w:val="es-ES_tradnl"/>
        </w:rPr>
      </w:pPr>
      <w:r w:rsidRPr="000310BD">
        <w:rPr>
          <w:rFonts w:ascii="Century Gothic" w:eastAsia="Calibri" w:hAnsi="Century Gothic" w:cs="Arial"/>
          <w:color w:val="000000"/>
          <w:lang w:val="es-ES_tradnl"/>
        </w:rPr>
        <w:t xml:space="preserve">Dada </w:t>
      </w:r>
      <w:r w:rsidRPr="000310BD">
        <w:rPr>
          <w:rFonts w:ascii="Century Gothic" w:eastAsia="Calibri" w:hAnsi="Century Gothic" w:cs="Arial"/>
          <w:lang w:val="es-ES_tradnl"/>
        </w:rPr>
        <w:t xml:space="preserve">la relevancia económica y el impacto que a nivel territorial tienen los proyectos de obra en el sector transporte, el Gobierno Nacional, en vigencia del artículo 4º de la Ley 1882 de 2018, inició la implementación gradual de los documentos tipo en el Decreto 342 de 2019, vinculado con los procesos de selección de licitación de obra pública de infraestructura de transporte. </w:t>
      </w:r>
      <w:r w:rsidRPr="000310BD">
        <w:rPr>
          <w:rFonts w:ascii="Century Gothic" w:eastAsia="Calibri" w:hAnsi="Century Gothic" w:cs="Arial"/>
          <w:lang w:val="es-ES_tradnl"/>
        </w:rPr>
        <w:lastRenderedPageBreak/>
        <w:t>Posteriormente, en el Decreto 2096 de 2019 permitió el desarrollo de los documentos tipo para los pliegos de condiciones de los procesos de obras públicas de infraestructura de transporte que se adelantaran por la modalidad de selección abreviada de menor cuantía. Finalmente, en el Decreto 594 de 2020, se regularon los documentos tipo para los contratos de obra pública</w:t>
      </w:r>
      <w:r w:rsidRPr="000310BD" w:rsidDel="00A434AB">
        <w:rPr>
          <w:rFonts w:ascii="Century Gothic" w:eastAsia="Calibri" w:hAnsi="Century Gothic" w:cs="Arial"/>
          <w:lang w:val="es-ES_tradnl"/>
        </w:rPr>
        <w:t xml:space="preserve"> </w:t>
      </w:r>
      <w:r w:rsidRPr="000310BD">
        <w:rPr>
          <w:rFonts w:ascii="Century Gothic" w:eastAsia="Calibri" w:hAnsi="Century Gothic" w:cs="Arial"/>
          <w:lang w:val="es-ES_tradnl"/>
        </w:rPr>
        <w:t>de infraestructura de transporte que se surtieran bajo la modalidad de mínima cuantía. Todos estos documentos fueron implementados y desarrollados por la Agencia Nacional de Contratación Pública -Colombia Compra Eficiente- mediante las Resoluciones Nos. 1798 de 2019 -derogada por la Resolución 045 del 14 de febrero de 2020-, 044 de 2020 y 094 de 2020.</w:t>
      </w:r>
    </w:p>
    <w:p w14:paraId="6079C423" w14:textId="77777777" w:rsidR="0006500B" w:rsidRPr="000310BD" w:rsidRDefault="0006500B" w:rsidP="0006500B">
      <w:pPr>
        <w:spacing w:line="276" w:lineRule="auto"/>
        <w:ind w:firstLine="709"/>
        <w:jc w:val="both"/>
        <w:rPr>
          <w:rFonts w:ascii="Century Gothic" w:eastAsia="Calibri" w:hAnsi="Century Gothic" w:cs="Arial"/>
          <w:color w:val="000000" w:themeColor="text1"/>
          <w:bdr w:val="none" w:sz="0" w:space="0" w:color="auto" w:frame="1"/>
          <w:lang w:val="es-MX"/>
        </w:rPr>
      </w:pPr>
      <w:r w:rsidRPr="000310BD">
        <w:rPr>
          <w:rFonts w:ascii="Century Gothic" w:hAnsi="Century Gothic" w:cs="Arial"/>
          <w:color w:val="000000"/>
          <w:lang w:val="es-ES_tradnl" w:eastAsia="es-ES"/>
        </w:rPr>
        <w:t xml:space="preserve">Con posterioridad, interesa resaltar la expedición de la Ley 2022 de 2020 </w:t>
      </w:r>
      <w:r w:rsidRPr="000310BD">
        <w:rPr>
          <w:rFonts w:ascii="Century Gothic" w:hAnsi="Century Gothic" w:cs="Arial"/>
          <w:i/>
          <w:iCs/>
          <w:color w:val="000000"/>
          <w:lang w:val="es-ES_tradnl" w:eastAsia="es-ES"/>
        </w:rPr>
        <w:t>“Por la cual se modifica el artículo 4 de la ley 1882 de 2018 y se dictan otras disposiciones”</w:t>
      </w:r>
      <w:r w:rsidRPr="000310BD">
        <w:rPr>
          <w:rFonts w:ascii="Century Gothic" w:hAnsi="Century Gothic" w:cs="Arial"/>
          <w:color w:val="000000"/>
          <w:lang w:val="es-ES_tradnl" w:eastAsia="es-ES"/>
        </w:rPr>
        <w:t xml:space="preserve">. Lo anterior, porque en el artículo 1º de dicha norma, modificatoria del artículo 4º de la Ley 1882 de 2018, se estableció a cargo de </w:t>
      </w:r>
      <w:r w:rsidRPr="000310BD">
        <w:rPr>
          <w:rFonts w:ascii="Century Gothic" w:hAnsi="Century Gothic" w:cs="Arial"/>
          <w:color w:val="000000" w:themeColor="text1"/>
          <w:lang w:val="es-ES_tradnl" w:eastAsia="es-ES"/>
        </w:rPr>
        <w:t>esta Agencia la adopción de los documentos tipo obligatorios en la actividad contractual de todas las entidades sometidas al Estatuto General de Contratación de la Administración Pública -EGCAP-</w:t>
      </w:r>
      <w:r w:rsidRPr="000310BD">
        <w:rPr>
          <w:rFonts w:ascii="Century Gothic" w:hAnsi="Century Gothic" w:cs="Arial"/>
          <w:color w:val="000000" w:themeColor="text1"/>
          <w:vertAlign w:val="superscript"/>
          <w:lang w:val="es-ES_tradnl" w:eastAsia="es-ES"/>
        </w:rPr>
        <w:footnoteReference w:id="5"/>
      </w:r>
      <w:r w:rsidRPr="000310BD">
        <w:rPr>
          <w:rFonts w:ascii="Century Gothic" w:hAnsi="Century Gothic" w:cs="Arial"/>
          <w:color w:val="000000" w:themeColor="text1"/>
          <w:lang w:val="es-ES_tradnl" w:eastAsia="es-ES"/>
        </w:rPr>
        <w:t xml:space="preserve">. Finalmente, mediante la Resolución </w:t>
      </w:r>
      <w:r w:rsidRPr="000310BD">
        <w:rPr>
          <w:rFonts w:ascii="Century Gothic" w:eastAsia="Calibri" w:hAnsi="Century Gothic" w:cs="Arial"/>
          <w:color w:val="000000" w:themeColor="text1"/>
          <w:bdr w:val="none" w:sz="0" w:space="0" w:color="auto" w:frame="1"/>
          <w:lang w:val="es-MX"/>
        </w:rPr>
        <w:t xml:space="preserve">161 de 2021 </w:t>
      </w:r>
      <w:r w:rsidRPr="000310BD">
        <w:rPr>
          <w:rFonts w:ascii="Century Gothic" w:eastAsia="Calibri" w:hAnsi="Century Gothic" w:cs="Arial"/>
          <w:i/>
          <w:iCs/>
          <w:color w:val="000000" w:themeColor="text1"/>
          <w:bdr w:val="none" w:sz="0" w:space="0" w:color="auto" w:frame="1"/>
          <w:lang w:val="es-MX"/>
        </w:rPr>
        <w:t xml:space="preserve">“por la cual se </w:t>
      </w:r>
      <w:r w:rsidRPr="000310BD">
        <w:rPr>
          <w:rFonts w:ascii="Century Gothic" w:eastAsia="Calibri" w:hAnsi="Century Gothic" w:cs="Arial"/>
          <w:i/>
          <w:iCs/>
          <w:color w:val="000000" w:themeColor="text1"/>
          <w:bdr w:val="none" w:sz="0" w:space="0" w:color="auto" w:frame="1"/>
          <w:lang w:val="es-MX"/>
        </w:rPr>
        <w:lastRenderedPageBreak/>
        <w:t>modifican los documentos tipo adoptados por la Agencia Nacional de Contratación Pública -Colombia Compra Eficiente-”</w:t>
      </w:r>
      <w:r w:rsidRPr="000310BD">
        <w:rPr>
          <w:rFonts w:ascii="Century Gothic" w:eastAsia="Calibri" w:hAnsi="Century Gothic" w:cs="Arial"/>
          <w:color w:val="000000" w:themeColor="text1"/>
          <w:bdr w:val="none" w:sz="0" w:space="0" w:color="auto" w:frame="1"/>
          <w:lang w:val="es-MX"/>
        </w:rPr>
        <w:t>, se introdujeron modificaciones a los documentos tipo en general para los procedimientos de selección cuya invitación o aviso de convocatoria fuese publicada a partir del 28 de junio de 2021.</w:t>
      </w:r>
    </w:p>
    <w:p w14:paraId="3A664C8E" w14:textId="77777777" w:rsidR="0006500B" w:rsidRPr="000310BD" w:rsidRDefault="0006500B" w:rsidP="0006500B">
      <w:pPr>
        <w:spacing w:line="276" w:lineRule="auto"/>
        <w:ind w:firstLine="709"/>
        <w:jc w:val="both"/>
        <w:rPr>
          <w:rFonts w:ascii="Century Gothic" w:eastAsia="Calibri" w:hAnsi="Century Gothic" w:cs="Arial"/>
          <w:color w:val="000000" w:themeColor="text1"/>
          <w:bdr w:val="none" w:sz="0" w:space="0" w:color="auto" w:frame="1"/>
          <w:lang w:val="es-MX"/>
        </w:rPr>
      </w:pPr>
      <w:r w:rsidRPr="000310BD">
        <w:rPr>
          <w:rFonts w:ascii="Century Gothic" w:eastAsia="Calibri" w:hAnsi="Century Gothic" w:cs="Arial"/>
          <w:color w:val="000000" w:themeColor="text1"/>
          <w:bdr w:val="none" w:sz="0" w:space="0" w:color="auto" w:frame="1"/>
          <w:lang w:val="es-MX"/>
        </w:rPr>
        <w:t xml:space="preserve">Adicionalmente, </w:t>
      </w:r>
      <w:r>
        <w:rPr>
          <w:rFonts w:ascii="Century Gothic" w:eastAsia="Calibri" w:hAnsi="Century Gothic" w:cs="Arial"/>
          <w:color w:val="000000" w:themeColor="text1"/>
          <w:bdr w:val="none" w:sz="0" w:space="0" w:color="auto" w:frame="1"/>
          <w:lang w:val="es-MX"/>
        </w:rPr>
        <w:t>con</w:t>
      </w:r>
      <w:r w:rsidRPr="000310BD">
        <w:rPr>
          <w:rFonts w:ascii="Century Gothic" w:eastAsia="Calibri" w:hAnsi="Century Gothic" w:cs="Arial"/>
          <w:lang w:val="es-ES" w:eastAsia="es-ES"/>
        </w:rPr>
        <w:t xml:space="preserve"> fundamento en la anotada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Por último, conviene mencionar que entró en vigor la Resolución 256 de 2020, “Por la cual se adoptan los documentos tipo para los procesos de selección de concursos de méritos, para contratar la interventoría de obras públicas de infraestructura de transporte”.</w:t>
      </w:r>
    </w:p>
    <w:p w14:paraId="0193C0BA" w14:textId="77777777" w:rsidR="0006500B" w:rsidRPr="000310BD" w:rsidRDefault="0006500B" w:rsidP="0006500B">
      <w:pPr>
        <w:spacing w:before="120" w:after="120" w:line="276" w:lineRule="auto"/>
        <w:ind w:firstLine="709"/>
        <w:jc w:val="both"/>
        <w:rPr>
          <w:rFonts w:ascii="Century Gothic" w:eastAsia="Calibri" w:hAnsi="Century Gothic" w:cs="Arial"/>
          <w:lang w:val="es-ES" w:eastAsia="es-ES"/>
        </w:rPr>
      </w:pPr>
      <w:r w:rsidRPr="000310BD">
        <w:rPr>
          <w:rFonts w:ascii="Century Gothic" w:eastAsia="Calibri" w:hAnsi="Century Gothic" w:cs="Arial"/>
          <w:lang w:val="es-ES" w:eastAsia="es-ES"/>
        </w:rPr>
        <w:t>Del mismo modo,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w:t>
      </w:r>
    </w:p>
    <w:p w14:paraId="1C554A95" w14:textId="77777777" w:rsidR="0006500B" w:rsidRPr="000310BD" w:rsidRDefault="0006500B" w:rsidP="0006500B">
      <w:pPr>
        <w:spacing w:before="120" w:after="120" w:line="276" w:lineRule="auto"/>
        <w:ind w:firstLine="709"/>
        <w:jc w:val="both"/>
        <w:rPr>
          <w:rFonts w:ascii="Century Gothic" w:hAnsi="Century Gothic" w:cs="Arial"/>
        </w:rPr>
      </w:pPr>
      <w:r w:rsidRPr="000310BD">
        <w:rPr>
          <w:rFonts w:ascii="Century Gothic" w:eastAsia="Calibri" w:hAnsi="Century Gothic" w:cs="Arial"/>
          <w:color w:val="000000"/>
          <w:lang w:val="es-ES" w:eastAsia="es-ES"/>
        </w:rPr>
        <w:t xml:space="preserve">Asimismo, en el transcurso del año 2021, esta Agencia expidió la Resolución 193 del 14 de julio de 2021 “Por la cual se adoptan los documentos tipo para los procesos de </w:t>
      </w:r>
      <w:r w:rsidRPr="000310BD">
        <w:rPr>
          <w:rFonts w:ascii="Century Gothic" w:eastAsia="Calibri" w:hAnsi="Century Gothic" w:cs="Arial"/>
          <w:lang w:val="es-ES" w:eastAsia="es-ES"/>
        </w:rPr>
        <w:t xml:space="preserve">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w:t>
      </w:r>
      <w:r w:rsidRPr="000310BD">
        <w:rPr>
          <w:rFonts w:ascii="Century Gothic" w:eastAsia="Calibri" w:hAnsi="Century Gothic" w:cs="Arial"/>
          <w:lang w:val="es-ES" w:eastAsia="es-ES"/>
        </w:rPr>
        <w:lastRenderedPageBreak/>
        <w:t>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0310BD">
        <w:rPr>
          <w:rFonts w:ascii="Century Gothic" w:hAnsi="Century Gothic" w:cs="Arial"/>
          <w:bCs/>
          <w:iCs/>
          <w:shd w:val="clear" w:color="auto" w:fill="FFFFFF"/>
        </w:rPr>
        <w:t>Por la cual se adoptan los documentos tipo complementarios para los procesos de licitación de obra pública de infraestructura social relacionados con el sector salud</w:t>
      </w:r>
      <w:r w:rsidRPr="000310BD">
        <w:rPr>
          <w:rFonts w:ascii="Century Gothic" w:eastAsia="Calibri" w:hAnsi="Century Gothic" w:cs="Arial"/>
          <w:lang w:val="es-ES" w:eastAsia="es-ES"/>
        </w:rPr>
        <w:t>”. Luego, se expidió la Resolución 454 del 16 de diciembre de 2021 “</w:t>
      </w:r>
      <w:r w:rsidRPr="000310BD">
        <w:rPr>
          <w:rFonts w:ascii="Century Gothic" w:hAnsi="Century Gothic" w:cs="Arial"/>
        </w:rPr>
        <w:t>Por la cual se adoptan los documentos tipo complementarios para los procesos de licitación de obra pública de infraestructura social relacionados con el sector cultura, recreación y deporte</w:t>
      </w:r>
      <w:r w:rsidRPr="000310BD">
        <w:rPr>
          <w:rFonts w:ascii="Century Gothic" w:eastAsia="Calibri" w:hAnsi="Century Gothic" w:cs="Arial"/>
          <w:lang w:val="es-ES" w:eastAsia="es-ES"/>
        </w:rPr>
        <w:t>”</w:t>
      </w:r>
      <w:r w:rsidRPr="000310BD">
        <w:rPr>
          <w:rFonts w:ascii="Century Gothic" w:hAnsi="Century Gothic" w:cs="Arial"/>
        </w:rPr>
        <w:t>.</w:t>
      </w:r>
    </w:p>
    <w:p w14:paraId="0F1AF3A6" w14:textId="77777777" w:rsidR="0006500B" w:rsidRPr="000310BD" w:rsidRDefault="0006500B" w:rsidP="0006500B">
      <w:pPr>
        <w:spacing w:before="120" w:after="120" w:line="276" w:lineRule="auto"/>
        <w:ind w:firstLine="709"/>
        <w:jc w:val="both"/>
        <w:rPr>
          <w:rFonts w:ascii="Century Gothic" w:hAnsi="Century Gothic" w:cs="Arial"/>
          <w:bdr w:val="none" w:sz="0" w:space="0" w:color="auto" w:frame="1"/>
          <w:lang w:val="es-ES_tradnl"/>
        </w:rPr>
      </w:pPr>
      <w:r w:rsidRPr="000310BD">
        <w:rPr>
          <w:rFonts w:ascii="Century Gothic" w:hAnsi="Century Gothic" w:cs="Arial"/>
          <w:bdr w:val="none" w:sz="0" w:space="0" w:color="auto" w:frame="1"/>
          <w:lang w:val="es-ES_tradnl"/>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1801EB28" w14:textId="77777777" w:rsidR="0006500B" w:rsidRPr="000310BD" w:rsidRDefault="0006500B" w:rsidP="0006500B">
      <w:pPr>
        <w:spacing w:before="120" w:after="120" w:line="276" w:lineRule="auto"/>
        <w:ind w:firstLine="709"/>
        <w:jc w:val="both"/>
        <w:rPr>
          <w:rFonts w:ascii="Century Gothic" w:eastAsia="Calibri" w:hAnsi="Century Gothic" w:cs="Arial"/>
          <w:lang w:val="es-ES_tradnl" w:eastAsia="es-ES"/>
        </w:rPr>
      </w:pPr>
      <w:r w:rsidRPr="000310BD">
        <w:rPr>
          <w:rFonts w:ascii="Century Gothic" w:eastAsia="Calibri" w:hAnsi="Century Gothic" w:cs="Arial"/>
          <w:lang w:val="es-ES_tradnl" w:eastAsia="es-ES"/>
        </w:rPr>
        <w:t>Es importante resaltar que la Agencia Nacional de Contratación Pública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1CA71013" w14:textId="77777777" w:rsidR="0006500B" w:rsidRPr="000310BD" w:rsidRDefault="0006500B" w:rsidP="0006500B">
      <w:pPr>
        <w:spacing w:line="276" w:lineRule="auto"/>
        <w:ind w:firstLine="709"/>
        <w:jc w:val="both"/>
        <w:rPr>
          <w:rFonts w:ascii="Century Gothic" w:hAnsi="Century Gothic" w:cs="Arial"/>
          <w:spacing w:val="2"/>
        </w:rPr>
      </w:pPr>
      <w:r w:rsidRPr="000310BD">
        <w:rPr>
          <w:rFonts w:ascii="Century Gothic" w:hAnsi="Century Gothic" w:cs="Arial"/>
          <w:spacing w:val="2"/>
        </w:rPr>
        <w:t xml:space="preserve">Con posterioridad, el Decreto 1860 de 2021 modificó </w:t>
      </w:r>
      <w:r w:rsidRPr="000310BD">
        <w:rPr>
          <w:rFonts w:ascii="Century Gothic" w:eastAsia="Arial" w:hAnsi="Century Gothic" w:cs="Arial"/>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0310BD">
        <w:rPr>
          <w:rFonts w:ascii="Century Gothic" w:hAnsi="Century Gothic" w:cs="Arial"/>
          <w:lang w:eastAsia="es-MX"/>
        </w:rPr>
        <w:t>además de incluir algunas disposiciones adicionales para la reglamentación efectiva de la citada Ley.</w:t>
      </w:r>
      <w:r w:rsidRPr="000310BD">
        <w:rPr>
          <w:rFonts w:ascii="Century Gothic" w:eastAsia="Arial" w:hAnsi="Century Gothic" w:cs="Arial"/>
        </w:rPr>
        <w:t xml:space="preserve"> </w:t>
      </w:r>
      <w:r w:rsidRPr="000310BD">
        <w:rPr>
          <w:rFonts w:ascii="Century Gothic" w:hAnsi="Century Gothic" w:cs="Arial"/>
          <w:spacing w:val="2"/>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w:t>
      </w:r>
      <w:r w:rsidRPr="000310BD">
        <w:rPr>
          <w:rFonts w:ascii="Century Gothic" w:hAnsi="Century Gothic" w:cs="Arial"/>
          <w:spacing w:val="2"/>
        </w:rPr>
        <w:lastRenderedPageBreak/>
        <w:t>publique a partir del 29 de agosto de 2022, como se establece en el artículo 179 de dicha resolución.</w:t>
      </w:r>
    </w:p>
    <w:p w14:paraId="50205D04" w14:textId="2B10A8BE" w:rsidR="0006500B" w:rsidRPr="000310BD" w:rsidRDefault="00E07C7E" w:rsidP="002D3652">
      <w:pPr>
        <w:spacing w:line="276" w:lineRule="auto"/>
        <w:ind w:firstLine="709"/>
        <w:jc w:val="both"/>
        <w:rPr>
          <w:rFonts w:ascii="Century Gothic" w:eastAsia="Calibri" w:hAnsi="Century Gothic" w:cs="Arial"/>
          <w:color w:val="000000" w:themeColor="text1"/>
          <w:bdr w:val="none" w:sz="0" w:space="0" w:color="auto" w:frame="1"/>
          <w:lang w:val="es-MX"/>
        </w:rPr>
      </w:pPr>
      <w:r>
        <w:rPr>
          <w:rFonts w:ascii="Century Gothic" w:hAnsi="Century Gothic" w:cs="Arial"/>
          <w:spacing w:val="2"/>
        </w:rPr>
        <w:t>Adicionalmente</w:t>
      </w:r>
      <w:r w:rsidR="0006500B" w:rsidRPr="000310BD">
        <w:rPr>
          <w:rFonts w:ascii="Century Gothic" w:hAnsi="Century Gothic" w:cs="Arial"/>
          <w:spacing w:val="2"/>
        </w:rPr>
        <w:t xml:space="preserve">,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w:t>
      </w:r>
      <w:r w:rsidR="0006500B" w:rsidRPr="00311258">
        <w:rPr>
          <w:rFonts w:ascii="Century Gothic" w:hAnsi="Century Gothic" w:cs="Arial"/>
          <w:spacing w:val="2"/>
        </w:rPr>
        <w:t>interventoría de obras públicas de infraestructura de agua potable y saneamiento básico”.</w:t>
      </w:r>
      <w:r w:rsidR="00082A25">
        <w:rPr>
          <w:rFonts w:ascii="Century Gothic" w:hAnsi="Century Gothic" w:cs="Arial"/>
          <w:spacing w:val="2"/>
        </w:rPr>
        <w:t xml:space="preserve"> Finalmente</w:t>
      </w:r>
      <w:r w:rsidR="002D3652">
        <w:rPr>
          <w:rFonts w:ascii="Century Gothic" w:hAnsi="Century Gothic" w:cs="Arial"/>
          <w:spacing w:val="2"/>
        </w:rPr>
        <w:t>,</w:t>
      </w:r>
      <w:r w:rsidR="00082A25">
        <w:rPr>
          <w:rFonts w:ascii="Century Gothic" w:hAnsi="Century Gothic" w:cs="Arial"/>
          <w:spacing w:val="2"/>
        </w:rPr>
        <w:t xml:space="preserve"> </w:t>
      </w:r>
      <w:r w:rsidR="00082A25" w:rsidRPr="000310BD">
        <w:rPr>
          <w:rFonts w:ascii="Century Gothic" w:hAnsi="Century Gothic" w:cs="Arial"/>
          <w:spacing w:val="2"/>
        </w:rPr>
        <w:t>se expidió la Resolución No.</w:t>
      </w:r>
      <w:r w:rsidR="00082A25">
        <w:rPr>
          <w:rFonts w:ascii="Century Gothic" w:hAnsi="Century Gothic" w:cs="Arial"/>
          <w:spacing w:val="2"/>
        </w:rPr>
        <w:t xml:space="preserve"> 358 del </w:t>
      </w:r>
      <w:r w:rsidR="002D3652">
        <w:rPr>
          <w:rFonts w:ascii="Century Gothic" w:hAnsi="Century Gothic" w:cs="Arial"/>
          <w:spacing w:val="2"/>
        </w:rPr>
        <w:t>30 de junio de 2023 “</w:t>
      </w:r>
      <w:r w:rsidR="002D3652" w:rsidRPr="002D3652">
        <w:rPr>
          <w:rFonts w:ascii="Century Gothic" w:hAnsi="Century Gothic" w:cs="Arial"/>
          <w:spacing w:val="2"/>
        </w:rPr>
        <w:t>Por la cual se adopta el documento tipo para la contratación directa de convenios solidarios para la ejecución de obras hasta la menor cuantía con organismos de acción comunal</w:t>
      </w:r>
      <w:r w:rsidR="002D3652">
        <w:rPr>
          <w:rFonts w:ascii="Century Gothic" w:hAnsi="Century Gothic" w:cs="Arial"/>
          <w:spacing w:val="2"/>
        </w:rPr>
        <w:t>”.</w:t>
      </w:r>
    </w:p>
    <w:p w14:paraId="049D35D1" w14:textId="77777777" w:rsidR="0006500B" w:rsidRPr="000310BD" w:rsidRDefault="0006500B" w:rsidP="0006500B">
      <w:pPr>
        <w:spacing w:line="276" w:lineRule="auto"/>
        <w:ind w:firstLine="709"/>
        <w:jc w:val="both"/>
        <w:rPr>
          <w:rFonts w:ascii="Century Gothic" w:hAnsi="Century Gothic" w:cs="Arial"/>
          <w:shd w:val="clear" w:color="auto" w:fill="FFFFFF"/>
          <w:lang w:val="es-ES_tradnl" w:eastAsia="es-ES_tradnl"/>
        </w:rPr>
      </w:pPr>
      <w:r w:rsidRPr="000310BD">
        <w:rPr>
          <w:rFonts w:ascii="Century Gothic" w:eastAsia="Calibri" w:hAnsi="Century Gothic" w:cs="Arial"/>
          <w:color w:val="000000" w:themeColor="text1"/>
          <w:bdr w:val="none" w:sz="0" w:space="0" w:color="auto" w:frame="1"/>
          <w:lang w:val="es-MX"/>
        </w:rPr>
        <w:t xml:space="preserve">No debe olvidarse </w:t>
      </w:r>
      <w:r w:rsidRPr="000310BD">
        <w:rPr>
          <w:rFonts w:ascii="Century Gothic" w:eastAsia="Calibri" w:hAnsi="Century Gothic" w:cs="Arial"/>
          <w:color w:val="0D0D0D"/>
          <w:bdr w:val="none" w:sz="0" w:space="0" w:color="auto" w:frame="1"/>
          <w:lang w:val="es-MX"/>
        </w:rPr>
        <w:t xml:space="preserve">que, respecto de todas las resoluciones expedidas por la Agencia Nacional de Contratación Pública -Colombia Compra Eficiente-, en las que se han adoptado documentos tipo, se consagra la </w:t>
      </w:r>
      <w:r w:rsidRPr="000310BD">
        <w:rPr>
          <w:rFonts w:ascii="Century Gothic" w:eastAsia="Calibri" w:hAnsi="Century Gothic" w:cs="Arial"/>
          <w:i/>
          <w:iCs/>
          <w:color w:val="0D0D0D"/>
          <w:bdr w:val="none" w:sz="0" w:space="0" w:color="auto" w:frame="1"/>
          <w:lang w:val="es-MX"/>
        </w:rPr>
        <w:t>regla de inalterabilidad</w:t>
      </w:r>
      <w:r w:rsidRPr="000310BD">
        <w:rPr>
          <w:rFonts w:ascii="Century Gothic" w:eastAsia="Calibri" w:hAnsi="Century Gothic" w:cs="Arial"/>
          <w:color w:val="0D0D0D"/>
          <w:bdr w:val="none" w:sz="0" w:space="0" w:color="auto" w:frame="1"/>
          <w:lang w:val="es-MX"/>
        </w:rPr>
        <w:t xml:space="preserve">. Este mandato de prohibición consiste en que las entidades estatales no pueden incluir o modificar en los </w:t>
      </w:r>
      <w:r w:rsidRPr="000310BD">
        <w:rPr>
          <w:rFonts w:ascii="Century Gothic" w:eastAsia="Calibri" w:hAnsi="Century Gothic" w:cs="Arial"/>
          <w:i/>
          <w:iCs/>
          <w:color w:val="0D0D0D"/>
          <w:bdr w:val="none" w:sz="0" w:space="0" w:color="auto" w:frame="1"/>
          <w:lang w:val="es-MX"/>
        </w:rPr>
        <w:t>Documentos del Proceso</w:t>
      </w:r>
      <w:r w:rsidRPr="000310BD">
        <w:rPr>
          <w:rFonts w:ascii="Century Gothic" w:eastAsia="Calibri" w:hAnsi="Century Gothic" w:cs="Arial"/>
          <w:color w:val="0D0D0D"/>
          <w:bdr w:val="none" w:sz="0" w:space="0" w:color="auto" w:frame="1"/>
          <w:lang w:val="es-MX"/>
        </w:rPr>
        <w:t xml:space="preserve"> las condiciones habilitantes, </w:t>
      </w:r>
      <w:r w:rsidRPr="000310BD">
        <w:rPr>
          <w:rFonts w:ascii="Century Gothic" w:hAnsi="Century Gothic" w:cs="Arial"/>
          <w:shd w:val="clear" w:color="auto" w:fill="FFFFFF"/>
          <w:lang w:val="es-ES_tradnl" w:eastAsia="es-ES_tradnl"/>
        </w:rPr>
        <w:t>los factores técnicos y económicos de escogencia y los sistemas de ponderación distintos a los señalados en los Documentos Tipo. Esto quiere decir que las condiciones establecidas en dichos documentos son de obligatorio cumplimiento para las entidades sometidas al Estatuto General de Contratación de la Administración Pública -EGCAP- que adelanten procesos que deban regirse por su contenido, por lo que no pueden variarse los requisitos fijados en ellos. En consecuencia, las entidades estatales, al realizar sus procedimientos de selección, solo podrán modificarlos en los aspectos en que los documentos tipo lo permitan</w:t>
      </w:r>
      <w:r w:rsidRPr="000310BD">
        <w:rPr>
          <w:rFonts w:ascii="Century Gothic" w:hAnsi="Century Gothic" w:cs="Arial"/>
          <w:shd w:val="clear" w:color="auto" w:fill="FFFFFF"/>
          <w:vertAlign w:val="superscript"/>
          <w:lang w:val="es-ES_tradnl" w:eastAsia="es-ES_tradnl"/>
        </w:rPr>
        <w:footnoteReference w:id="6"/>
      </w:r>
      <w:r w:rsidRPr="000310BD">
        <w:rPr>
          <w:rFonts w:ascii="Century Gothic" w:hAnsi="Century Gothic" w:cs="Arial"/>
          <w:shd w:val="clear" w:color="auto" w:fill="FFFFFF"/>
          <w:lang w:val="es-ES_tradnl" w:eastAsia="es-ES_tradnl"/>
        </w:rPr>
        <w:t>.</w:t>
      </w:r>
    </w:p>
    <w:p w14:paraId="1E263625" w14:textId="77777777" w:rsidR="0006500B" w:rsidRPr="000310BD" w:rsidRDefault="0006500B" w:rsidP="0006500B">
      <w:pPr>
        <w:spacing w:line="276" w:lineRule="auto"/>
        <w:ind w:firstLine="709"/>
        <w:jc w:val="both"/>
        <w:rPr>
          <w:rFonts w:ascii="Century Gothic" w:hAnsi="Century Gothic" w:cs="Arial"/>
          <w:shd w:val="clear" w:color="auto" w:fill="FFFFFF"/>
          <w:lang w:val="es-ES_tradnl" w:eastAsia="es-ES_tradnl"/>
        </w:rPr>
      </w:pPr>
      <w:bookmarkStart w:id="17" w:name="_Hlk141736622"/>
      <w:r w:rsidRPr="000310BD">
        <w:rPr>
          <w:rFonts w:ascii="Century Gothic" w:hAnsi="Century Gothic" w:cs="Arial"/>
          <w:shd w:val="clear" w:color="auto" w:fill="FFFFFF"/>
          <w:lang w:val="es-ES_tradnl" w:eastAsia="es-ES_tradnl"/>
        </w:rPr>
        <w:t xml:space="preserve">Ahora bien, en este punto interesa destacar que los documentos tipo establecen las condiciones habilitantes, los factores técnicos y económicos de </w:t>
      </w:r>
      <w:r w:rsidRPr="000310BD">
        <w:rPr>
          <w:rFonts w:ascii="Century Gothic" w:hAnsi="Century Gothic" w:cs="Arial"/>
          <w:shd w:val="clear" w:color="auto" w:fill="FFFFFF"/>
          <w:lang w:val="es-ES_tradnl" w:eastAsia="es-ES_tradnl"/>
        </w:rPr>
        <w:lastRenderedPageBreak/>
        <w:t xml:space="preserve">escogencia y los sistemas de ponderación </w:t>
      </w:r>
      <w:r w:rsidRPr="000310BD">
        <w:rPr>
          <w:rFonts w:ascii="Century Gothic" w:eastAsia="Calibri" w:hAnsi="Century Gothic" w:cs="Arial"/>
          <w:color w:val="0D0D0D"/>
          <w:lang w:val="es-MX"/>
        </w:rPr>
        <w:t>de carácter obligatorio para las entidades estatales sometidas al Estatuto General de la Contratación Pública que</w:t>
      </w:r>
      <w:r w:rsidRPr="000310BD">
        <w:rPr>
          <w:rFonts w:ascii="Century Gothic" w:eastAsia="Calibri" w:hAnsi="Century Gothic" w:cs="Arial"/>
          <w:color w:val="000000"/>
          <w:bdr w:val="none" w:sz="0" w:space="0" w:color="auto" w:frame="1"/>
        </w:rPr>
        <w:t xml:space="preserve"> adelanten procesos de contratación mediante la modalidad que establecen los documentos tipo para cada sector</w:t>
      </w:r>
      <w:r w:rsidRPr="000310BD">
        <w:rPr>
          <w:rFonts w:ascii="Century Gothic" w:eastAsia="Calibri" w:hAnsi="Century Gothic" w:cs="Arial"/>
          <w:color w:val="0D0D0D"/>
        </w:rPr>
        <w:t xml:space="preserve">. </w:t>
      </w:r>
      <w:r w:rsidRPr="000310BD">
        <w:rPr>
          <w:rFonts w:ascii="Century Gothic" w:eastAsia="Calibri" w:hAnsi="Century Gothic" w:cs="Arial"/>
          <w:color w:val="0D0D0D"/>
          <w:lang w:val="es-MX"/>
        </w:rPr>
        <w:t>Estos consisten en un grupo de documentos, conformados por un documento base, anexos, matrices, formatos y formularios, que sirven tanto a las entidades para elaborar los documentos del proceso, como a los proponentes para conformar y presentar sus ofertas.</w:t>
      </w:r>
    </w:p>
    <w:p w14:paraId="3AF7EB27" w14:textId="77777777" w:rsidR="0006500B" w:rsidRPr="000310BD" w:rsidRDefault="0006500B" w:rsidP="0006500B">
      <w:pPr>
        <w:spacing w:line="276" w:lineRule="auto"/>
        <w:ind w:firstLine="709"/>
        <w:jc w:val="both"/>
        <w:rPr>
          <w:rFonts w:ascii="Century Gothic" w:hAnsi="Century Gothic" w:cs="Arial"/>
          <w:shd w:val="clear" w:color="auto" w:fill="FFFFFF"/>
          <w:lang w:val="es-ES_tradnl" w:eastAsia="es-ES_tradnl"/>
        </w:rPr>
      </w:pPr>
      <w:r w:rsidRPr="000310BD">
        <w:rPr>
          <w:rFonts w:ascii="Century Gothic" w:hAnsi="Century Gothic" w:cs="Arial"/>
          <w:shd w:val="clear" w:color="auto" w:fill="FFFFFF"/>
          <w:lang w:val="es-ES_tradnl" w:eastAsia="es-ES_tradnl"/>
        </w:rPr>
        <w:t xml:space="preserve">Precisamente, uno </w:t>
      </w:r>
      <w:r w:rsidRPr="000310BD">
        <w:rPr>
          <w:rFonts w:ascii="Century Gothic" w:eastAsia="Calibri" w:hAnsi="Century Gothic" w:cs="Arial"/>
          <w:color w:val="0D0D0D"/>
          <w:lang w:val="es-MX"/>
        </w:rPr>
        <w:t>de los elementos comunes a los diferentes documentos tipo es la “Matriz 1 – Experiencia”. Esta consta de unas celdas en las que se describe la experiencia requerida en relación con el objeto por contratar, definiendo además qué tipo de actividades relacionadas con cada sector deben acogerse a los pliegos tipo. De otra parte, se encuentra el “Anexo 3 – Glosario”, el cual contiene las definiciones de los términos usados en los documentos del proceso. A partir de la utilización de estos documentos, la entidad estatal puede definir si el objeto a contratarse debe emplear los documentos tipo adoptados por esta Agencia.</w:t>
      </w:r>
    </w:p>
    <w:p w14:paraId="54051C78" w14:textId="604C40FC" w:rsidR="0006500B" w:rsidRPr="000310BD" w:rsidRDefault="0006500B" w:rsidP="0006500B">
      <w:pPr>
        <w:spacing w:before="120" w:after="120" w:line="276" w:lineRule="auto"/>
        <w:ind w:firstLine="709"/>
        <w:jc w:val="both"/>
        <w:rPr>
          <w:rFonts w:ascii="Century Gothic" w:eastAsia="Calibri" w:hAnsi="Century Gothic" w:cs="Arial"/>
          <w:color w:val="0D0D0D"/>
          <w:lang w:val="es-MX"/>
        </w:rPr>
      </w:pPr>
      <w:r w:rsidRPr="000310BD">
        <w:rPr>
          <w:rFonts w:ascii="Century Gothic" w:eastAsia="Calibri" w:hAnsi="Century Gothic" w:cs="Arial"/>
          <w:color w:val="0D0D0D"/>
          <w:lang w:val="es-MX"/>
        </w:rPr>
        <w:t xml:space="preserve">Por tal motivo, la referida Matriz 1 cumple una doble función. Por un lado, sirve para estandarizar las condiciones de experiencia, conforme al parágrafo 7 del artículo 2 de la Ley 1150 de 2007. Por otro, dicha matriz permite determinar el ámbito de aplicación de los documentos tipo respecto de objetos contractuales asociados, ya que son las actividades descritas en aquella las que, obligatoriamente, deben contratarse aplicando documentos tipo. De esta suerte, para saber a qué actividades se deben aplicar los documentos tipo expedidos por esta Agencia, la entidad debe verificar los que se hayan expedido para la modalidad de selección en la que debe celebrarse el proceso, subsumiendo el objeto a contratar en los tipos de proyectos de infraestructura a contratarse. Esto significa </w:t>
      </w:r>
      <w:r w:rsidR="009956E0" w:rsidRPr="000310BD">
        <w:rPr>
          <w:rFonts w:ascii="Century Gothic" w:eastAsia="Calibri" w:hAnsi="Century Gothic" w:cs="Arial"/>
          <w:color w:val="0D0D0D"/>
          <w:lang w:val="es-MX"/>
        </w:rPr>
        <w:t>que,</w:t>
      </w:r>
      <w:r w:rsidRPr="000310BD">
        <w:rPr>
          <w:rFonts w:ascii="Century Gothic" w:eastAsia="Calibri" w:hAnsi="Century Gothic" w:cs="Arial"/>
          <w:color w:val="0D0D0D"/>
          <w:lang w:val="es-MX"/>
        </w:rPr>
        <w:t xml:space="preserve"> si el objeto contractual por ejecutar se encuadra materialmente dentro de alguno de los tipos de actividades concretas señaladas en cada una de las matrices de experiencia, se tendrán que aplicar los documentos tipo, mientras que en el caso contrario no será forzosa su aplicación.</w:t>
      </w:r>
    </w:p>
    <w:p w14:paraId="6322179C" w14:textId="77777777" w:rsidR="0006500B" w:rsidRPr="000310BD" w:rsidRDefault="0006500B" w:rsidP="0006500B">
      <w:pPr>
        <w:spacing w:line="276" w:lineRule="auto"/>
        <w:ind w:firstLine="708"/>
        <w:jc w:val="both"/>
        <w:rPr>
          <w:rFonts w:ascii="Century Gothic" w:hAnsi="Century Gothic" w:cs="Arial"/>
          <w:color w:val="000000"/>
          <w:bdr w:val="none" w:sz="0" w:space="0" w:color="auto" w:frame="1"/>
          <w:lang w:val="es-ES_tradnl" w:eastAsia="es-MX"/>
        </w:rPr>
      </w:pPr>
      <w:r w:rsidRPr="000310BD">
        <w:rPr>
          <w:rFonts w:ascii="Century Gothic" w:eastAsia="Calibri" w:hAnsi="Century Gothic" w:cs="Arial"/>
          <w:color w:val="0D0D0D"/>
          <w:lang w:val="es-MX"/>
        </w:rPr>
        <w:t>En este sentido, l</w:t>
      </w:r>
      <w:r w:rsidRPr="000310BD">
        <w:rPr>
          <w:rFonts w:ascii="Century Gothic" w:hAnsi="Century Gothic" w:cs="Arial"/>
          <w:color w:val="000000"/>
          <w:bdr w:val="none" w:sz="0" w:space="0" w:color="auto" w:frame="1"/>
          <w:lang w:val="es-ES_tradnl" w:eastAsia="es-MX"/>
        </w:rPr>
        <w:t xml:space="preserve">a experiencia general y específica que puede exigir la entidad estatal y que deben acreditar los proponentes están detalladas de manera expresa en la Matriz 1 </w:t>
      </w:r>
      <w:r w:rsidRPr="000310BD">
        <w:rPr>
          <w:rFonts w:ascii="Century Gothic" w:eastAsia="Calibri" w:hAnsi="Century Gothic" w:cs="Arial"/>
          <w:lang w:val="es-MX"/>
        </w:rPr>
        <w:t>adoptada para cada documento tipo</w:t>
      </w:r>
      <w:r w:rsidRPr="000310BD">
        <w:rPr>
          <w:rFonts w:ascii="Century Gothic" w:hAnsi="Century Gothic" w:cs="Arial"/>
          <w:color w:val="000000"/>
          <w:bdr w:val="none" w:sz="0" w:space="0" w:color="auto" w:frame="1"/>
          <w:lang w:val="es-ES_tradnl" w:eastAsia="es-MX"/>
        </w:rPr>
        <w:t xml:space="preserve">. De este modo, por ejemplo, para el caso de los documentos tipo de licitación de obra pública de infraestructura de transporte, el numeral 3.5.1. del documento base establece que “La entidad debe indicar en esta sección las condiciones de </w:t>
      </w:r>
      <w:r w:rsidRPr="000310BD">
        <w:rPr>
          <w:rFonts w:ascii="Century Gothic" w:hAnsi="Century Gothic" w:cs="Arial"/>
          <w:color w:val="000000"/>
          <w:bdr w:val="none" w:sz="0" w:space="0" w:color="auto" w:frame="1"/>
          <w:lang w:val="es-ES_tradnl" w:eastAsia="es-MX"/>
        </w:rPr>
        <w:lastRenderedPageBreak/>
        <w:t>experiencia que serán requeridas en el proceso de selección de acuerdo con las condiciones establecidas en la Matriz 1 – Experiencia (…)” y el numeral 3.5.2. regula las características de los contratos que se deben presentar para acreditar la experiencia</w:t>
      </w:r>
      <w:r w:rsidRPr="000310BD">
        <w:rPr>
          <w:rFonts w:ascii="Century Gothic" w:hAnsi="Century Gothic" w:cs="Arial"/>
          <w:color w:val="000000"/>
          <w:bdr w:val="none" w:sz="0" w:space="0" w:color="auto" w:frame="1"/>
          <w:vertAlign w:val="superscript"/>
          <w:lang w:val="es-ES_tradnl" w:eastAsia="es-MX"/>
        </w:rPr>
        <w:footnoteReference w:id="7"/>
      </w:r>
      <w:r w:rsidRPr="000310BD">
        <w:rPr>
          <w:rFonts w:ascii="Century Gothic" w:hAnsi="Century Gothic" w:cs="Arial"/>
          <w:color w:val="000000"/>
          <w:bdr w:val="none" w:sz="0" w:space="0" w:color="auto" w:frame="1"/>
          <w:lang w:val="es-ES_tradnl" w:eastAsia="es-MX"/>
        </w:rPr>
        <w:t>.</w:t>
      </w:r>
    </w:p>
    <w:p w14:paraId="2DF0AAB8" w14:textId="77777777" w:rsidR="0006500B" w:rsidRPr="000310BD" w:rsidRDefault="0006500B" w:rsidP="0006500B">
      <w:pPr>
        <w:spacing w:line="276" w:lineRule="auto"/>
        <w:ind w:firstLine="708"/>
        <w:jc w:val="both"/>
        <w:rPr>
          <w:rFonts w:ascii="Century Gothic" w:hAnsi="Century Gothic" w:cs="Arial"/>
          <w:color w:val="000000"/>
          <w:bdr w:val="none" w:sz="0" w:space="0" w:color="auto" w:frame="1"/>
          <w:lang w:val="es-ES_tradnl" w:eastAsia="es-MX"/>
        </w:rPr>
      </w:pPr>
      <w:r w:rsidRPr="000310BD">
        <w:rPr>
          <w:rFonts w:ascii="Century Gothic" w:hAnsi="Century Gothic" w:cs="Arial"/>
          <w:color w:val="000000"/>
          <w:bdr w:val="none" w:sz="0" w:space="0" w:color="auto" w:frame="1"/>
          <w:lang w:val="es-ES_tradnl" w:eastAsia="es-MX"/>
        </w:rPr>
        <w:t>Siguiendo el procedimiento referido, cada entidad estatal deberá determinar la experiencia general y específica que debe acreditarse en cada procedimiento de selección, en función del objeto contractual. En desarrollo de este análisis, tomando en consideración las definiciones del Glosario, la entidad estatal deberá determinar si el objeto contractual se enmarca en alguno de los tipos de actividades, identificadas con un número y su descripción en la Matriz 1. De esta manera, deberá aplicar estrictamente lo contenido en dicha matriz y, por tanto, no podrá incluir, modificar, suprimir o alterar las condiciones de experiencia allí establecidas, salvo cuando de forma expresa esta lo determine.</w:t>
      </w:r>
    </w:p>
    <w:p w14:paraId="04D20FAB" w14:textId="77777777" w:rsidR="0006500B" w:rsidRPr="000310BD" w:rsidRDefault="0006500B" w:rsidP="0006500B">
      <w:pPr>
        <w:spacing w:line="276" w:lineRule="auto"/>
        <w:ind w:firstLine="708"/>
        <w:jc w:val="both"/>
        <w:rPr>
          <w:rFonts w:ascii="Century Gothic" w:eastAsia="Calibri" w:hAnsi="Century Gothic" w:cs="Arial"/>
          <w:color w:val="000000"/>
          <w:lang w:val="es-ES_tradnl" w:eastAsia="es-ES"/>
        </w:rPr>
      </w:pPr>
      <w:r w:rsidRPr="000310BD">
        <w:rPr>
          <w:rFonts w:ascii="Century Gothic" w:hAnsi="Century Gothic" w:cs="Arial"/>
          <w:color w:val="000000"/>
          <w:lang w:val="es-ES_tradnl" w:eastAsia="es-ES"/>
        </w:rPr>
        <w:t xml:space="preserve">De </w:t>
      </w:r>
      <w:bookmarkStart w:id="20" w:name="_Hlk101876973"/>
      <w:r w:rsidRPr="000310BD">
        <w:rPr>
          <w:rFonts w:ascii="Century Gothic" w:hAnsi="Century Gothic" w:cs="Arial"/>
          <w:color w:val="000000"/>
          <w:lang w:val="es-ES_tradnl" w:eastAsia="es-ES"/>
        </w:rPr>
        <w:t xml:space="preserve">otro lado, en la aplicación de los documentos tipo, la posibilidad de exigir experiencia adicional a la estandarizada en la Matriz 1 se refiere a bienes y servicios adicionales a la obra pública, la interventoría o a la consultoría de estudios de ingeniería de infraestructura de transporte. Esta posibilidad surge cuando en el marco de la contratación de una de las actividades enlistadas en la Matriz 1, también se requieren contratar bienes y servicios adicionales cuya contratación, en principio, se encuentra excluida de la aplicación de los documentos tipo de infraestructura de transporte y respecto a los cuales la entidad requiere que los proponentes acrediten cierta idoneidad. Frente a estos supuestos, debe aplicarse </w:t>
      </w:r>
      <w:r w:rsidRPr="000310BD">
        <w:rPr>
          <w:rFonts w:ascii="Century Gothic" w:eastAsia="Calibri" w:hAnsi="Century Gothic" w:cs="Arial"/>
          <w:color w:val="000000"/>
          <w:lang w:val="es-ES_tradnl" w:eastAsia="es-ES"/>
        </w:rPr>
        <w:t>lo establecido en el artículo 4 de las Resoluciones 240, 256 de 2020 y 193 de 2021. Esta norma prevé que en estos eventos la entidad puede incluir experiencia adicional para evaluar la idoneidad respecto de los bienes o servicios adicionales a la obra pública,</w:t>
      </w:r>
      <w:r w:rsidRPr="000310BD">
        <w:rPr>
          <w:rFonts w:ascii="Century Gothic" w:hAnsi="Century Gothic" w:cs="Arial"/>
          <w:color w:val="000000"/>
          <w:lang w:val="es-ES_tradnl" w:eastAsia="es-ES"/>
        </w:rPr>
        <w:t xml:space="preserve"> la interventoría o a la consultoría de estudios de ingeniería de infraestructura de transporte</w:t>
      </w:r>
      <w:r w:rsidRPr="000310BD">
        <w:rPr>
          <w:rFonts w:ascii="Century Gothic" w:eastAsia="Calibri" w:hAnsi="Century Gothic" w:cs="Arial"/>
          <w:color w:val="000000"/>
          <w:lang w:val="es-ES_tradnl" w:eastAsia="es-ES"/>
        </w:rPr>
        <w:t>, según corresponda.</w:t>
      </w:r>
    </w:p>
    <w:bookmarkEnd w:id="17"/>
    <w:p w14:paraId="09AFB6CA" w14:textId="77777777" w:rsidR="0006500B" w:rsidRPr="000310BD" w:rsidRDefault="0006500B" w:rsidP="0006500B">
      <w:pPr>
        <w:spacing w:line="276" w:lineRule="auto"/>
        <w:ind w:firstLine="708"/>
        <w:jc w:val="both"/>
        <w:rPr>
          <w:rFonts w:ascii="Century Gothic" w:eastAsia="Calibri" w:hAnsi="Century Gothic" w:cs="Arial"/>
          <w:lang w:eastAsia="es-MX"/>
        </w:rPr>
      </w:pPr>
      <w:r w:rsidRPr="000310BD">
        <w:rPr>
          <w:rFonts w:ascii="Century Gothic" w:eastAsia="Calibri" w:hAnsi="Century Gothic" w:cs="Arial"/>
          <w:color w:val="000000"/>
          <w:lang w:val="es-ES_tradnl" w:eastAsia="es-ES"/>
        </w:rPr>
        <w:t>Lo anterior se traduce en que para la aplicación de los documentos tipo de licitación pública, por ejemplo</w:t>
      </w:r>
      <w:r w:rsidRPr="000310BD">
        <w:rPr>
          <w:rFonts w:ascii="Century Gothic" w:eastAsia="Calibri" w:hAnsi="Century Gothic" w:cs="Arial"/>
          <w:lang w:eastAsia="es-MX"/>
        </w:rPr>
        <w:t xml:space="preserve">, deben seguirse los siguientes parámetros: </w:t>
      </w:r>
      <w:r w:rsidRPr="000310BD">
        <w:rPr>
          <w:rFonts w:ascii="Century Gothic" w:eastAsia="Calibri" w:hAnsi="Century Gothic" w:cs="Arial"/>
          <w:i/>
          <w:iCs/>
          <w:lang w:eastAsia="es-MX"/>
        </w:rPr>
        <w:t>(i)</w:t>
      </w:r>
      <w:r w:rsidRPr="000310BD">
        <w:rPr>
          <w:rFonts w:ascii="Century Gothic" w:eastAsia="Calibri" w:hAnsi="Century Gothic" w:cs="Arial"/>
          <w:lang w:eastAsia="es-MX"/>
        </w:rPr>
        <w:t xml:space="preserve"> demostrar en los estudios previos que ha verificado las condiciones de mercado para la adquisición de las obras, bienes o servicios adicionales al componente de </w:t>
      </w:r>
      <w:r w:rsidRPr="000310BD">
        <w:rPr>
          <w:rFonts w:ascii="Century Gothic" w:eastAsia="Calibri" w:hAnsi="Century Gothic" w:cs="Arial"/>
          <w:lang w:eastAsia="es-MX"/>
        </w:rPr>
        <w:lastRenderedPageBreak/>
        <w:t>obra pública</w:t>
      </w:r>
      <w:r w:rsidRPr="000310BD">
        <w:rPr>
          <w:rFonts w:ascii="Century Gothic" w:eastAsia="Calibri" w:hAnsi="Century Gothic" w:cs="Arial"/>
          <w:color w:val="000000"/>
          <w:lang w:val="es-ES_tradnl" w:eastAsia="es-ES"/>
        </w:rPr>
        <w:t xml:space="preserve">, </w:t>
      </w:r>
      <w:r w:rsidRPr="000310BD">
        <w:rPr>
          <w:rFonts w:ascii="Century Gothic" w:eastAsia="Calibri" w:hAnsi="Century Gothic" w:cs="Arial"/>
          <w:lang w:eastAsia="es-MX"/>
        </w:rPr>
        <w:t xml:space="preserve">de tal forma que la experiencia adicional garantiza la pluralidad de oferentes; </w:t>
      </w:r>
      <w:r w:rsidRPr="000310BD">
        <w:rPr>
          <w:rFonts w:ascii="Century Gothic" w:eastAsia="Calibri" w:hAnsi="Century Gothic" w:cs="Arial"/>
          <w:i/>
          <w:iCs/>
          <w:lang w:eastAsia="es-MX"/>
        </w:rPr>
        <w:t>(</w:t>
      </w:r>
      <w:proofErr w:type="spellStart"/>
      <w:r w:rsidRPr="000310BD">
        <w:rPr>
          <w:rFonts w:ascii="Century Gothic" w:eastAsia="Calibri" w:hAnsi="Century Gothic" w:cs="Arial"/>
          <w:i/>
          <w:iCs/>
          <w:lang w:eastAsia="es-MX"/>
        </w:rPr>
        <w:t>ii</w:t>
      </w:r>
      <w:proofErr w:type="spellEnd"/>
      <w:r w:rsidRPr="000310BD">
        <w:rPr>
          <w:rFonts w:ascii="Century Gothic" w:eastAsia="Calibri" w:hAnsi="Century Gothic" w:cs="Arial"/>
          <w:i/>
          <w:iCs/>
          <w:lang w:eastAsia="es-MX"/>
        </w:rPr>
        <w:t>)</w:t>
      </w:r>
      <w:r w:rsidRPr="000310BD">
        <w:rPr>
          <w:rFonts w:ascii="Century Gothic" w:eastAsia="Calibri" w:hAnsi="Century Gothic" w:cs="Arial"/>
          <w:lang w:eastAsia="es-MX"/>
        </w:rPr>
        <w:t xml:space="preserve"> conservar los requisitos exigidos en los documentos tipo; </w:t>
      </w:r>
      <w:r w:rsidRPr="000310BD">
        <w:rPr>
          <w:rFonts w:ascii="Century Gothic" w:eastAsia="Calibri" w:hAnsi="Century Gothic" w:cs="Arial"/>
          <w:i/>
          <w:iCs/>
          <w:lang w:eastAsia="es-MX"/>
        </w:rPr>
        <w:t>(</w:t>
      </w:r>
      <w:proofErr w:type="spellStart"/>
      <w:r w:rsidRPr="000310BD">
        <w:rPr>
          <w:rFonts w:ascii="Century Gothic" w:eastAsia="Calibri" w:hAnsi="Century Gothic" w:cs="Arial"/>
          <w:i/>
          <w:iCs/>
          <w:lang w:eastAsia="es-MX"/>
        </w:rPr>
        <w:t>iii</w:t>
      </w:r>
      <w:proofErr w:type="spellEnd"/>
      <w:r w:rsidRPr="000310BD">
        <w:rPr>
          <w:rFonts w:ascii="Century Gothic" w:eastAsia="Calibri" w:hAnsi="Century Gothic" w:cs="Arial"/>
          <w:i/>
          <w:iCs/>
          <w:lang w:eastAsia="es-MX"/>
        </w:rPr>
        <w:t>)</w:t>
      </w:r>
      <w:r w:rsidRPr="000310BD">
        <w:rPr>
          <w:rFonts w:ascii="Century Gothic" w:eastAsia="Calibri" w:hAnsi="Century Gothic" w:cs="Arial"/>
          <w:lang w:eastAsia="es-MX"/>
        </w:rPr>
        <w:t xml:space="preserve"> abstenerse de pedir experiencia exclusiva con entidades estatales, experiencia previa en un territorio específico, limitada en el tiempo o que incluya volúmenes o cantidades de obra específica; </w:t>
      </w:r>
      <w:r w:rsidRPr="000310BD">
        <w:rPr>
          <w:rFonts w:ascii="Century Gothic" w:eastAsia="Calibri" w:hAnsi="Century Gothic" w:cs="Arial"/>
          <w:i/>
          <w:iCs/>
          <w:lang w:eastAsia="es-MX"/>
        </w:rPr>
        <w:t>(</w:t>
      </w:r>
      <w:proofErr w:type="spellStart"/>
      <w:r w:rsidRPr="000310BD">
        <w:rPr>
          <w:rFonts w:ascii="Century Gothic" w:eastAsia="Calibri" w:hAnsi="Century Gothic" w:cs="Arial"/>
          <w:i/>
          <w:iCs/>
          <w:lang w:eastAsia="es-MX"/>
        </w:rPr>
        <w:t>iv</w:t>
      </w:r>
      <w:proofErr w:type="spellEnd"/>
      <w:r w:rsidRPr="000310BD">
        <w:rPr>
          <w:rFonts w:ascii="Century Gothic" w:eastAsia="Calibri" w:hAnsi="Century Gothic" w:cs="Arial"/>
          <w:i/>
          <w:iCs/>
          <w:lang w:eastAsia="es-MX"/>
        </w:rPr>
        <w:t>)</w:t>
      </w:r>
      <w:r w:rsidRPr="000310BD">
        <w:rPr>
          <w:rFonts w:ascii="Century Gothic" w:eastAsia="Calibri" w:hAnsi="Century Gothic" w:cs="Arial"/>
          <w:lang w:eastAsia="es-MX"/>
        </w:rPr>
        <w:t xml:space="preserve"> clasificar la experiencia requerida solo hasta el tercer nivel del Clasificador de Bienes y Servicios e incluir exclusivamente los códigos que estén relacionados directamente con el objeto a contratar</w:t>
      </w:r>
      <w:r w:rsidRPr="000310BD">
        <w:rPr>
          <w:rFonts w:ascii="Century Gothic" w:eastAsia="Calibri" w:hAnsi="Century Gothic" w:cs="Arial"/>
          <w:color w:val="000000"/>
          <w:vertAlign w:val="superscript"/>
          <w:lang w:val="es-ES_tradnl" w:eastAsia="es-ES"/>
        </w:rPr>
        <w:footnoteReference w:id="8"/>
      </w:r>
      <w:r w:rsidRPr="000310BD">
        <w:rPr>
          <w:rFonts w:ascii="Century Gothic" w:eastAsia="Calibri" w:hAnsi="Century Gothic" w:cs="Arial"/>
          <w:lang w:eastAsia="es-MX"/>
        </w:rPr>
        <w:t>.</w:t>
      </w:r>
    </w:p>
    <w:p w14:paraId="3504288B" w14:textId="77777777" w:rsidR="0006500B" w:rsidRPr="000310BD" w:rsidRDefault="0006500B" w:rsidP="0006500B">
      <w:pPr>
        <w:spacing w:line="276" w:lineRule="auto"/>
        <w:ind w:firstLine="708"/>
        <w:jc w:val="both"/>
        <w:rPr>
          <w:rFonts w:ascii="Century Gothic" w:eastAsia="Arial" w:hAnsi="Century Gothic" w:cs="Arial"/>
          <w:lang w:val="es-ES"/>
        </w:rPr>
      </w:pPr>
      <w:r w:rsidRPr="000310BD">
        <w:rPr>
          <w:rFonts w:ascii="Century Gothic" w:eastAsia="Calibri" w:hAnsi="Century Gothic" w:cs="Arial"/>
          <w:lang w:eastAsia="es-MX"/>
        </w:rPr>
        <w:t>En otras palabras, l</w:t>
      </w:r>
      <w:r w:rsidRPr="000310BD">
        <w:rPr>
          <w:rFonts w:ascii="Century Gothic" w:hAnsi="Century Gothic" w:cs="Arial"/>
          <w:color w:val="000000"/>
          <w:shd w:val="clear" w:color="auto" w:fill="FFFFFF"/>
          <w:lang w:val="es-ES"/>
        </w:rPr>
        <w:t>a entidad que opte por solicitar experiencia adicional en desarrollo de esta norma debe evidenciar en los documentos del proceso que agotó estos parámetros. Para ello, debe justificar en los estudios y documentos previos, como parte del deber de análisis y planeación,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 condiciones</w:t>
      </w:r>
      <w:r w:rsidRPr="000310BD">
        <w:rPr>
          <w:rFonts w:ascii="Century Gothic" w:eastAsia="Calibri" w:hAnsi="Century Gothic" w:cs="Arial"/>
          <w:lang w:eastAsia="es-MX"/>
        </w:rPr>
        <w:t xml:space="preserve">. </w:t>
      </w:r>
      <w:r w:rsidRPr="000310BD">
        <w:rPr>
          <w:rFonts w:ascii="Century Gothic" w:eastAsia="Arial" w:hAnsi="Century Gothic" w:cs="Arial"/>
          <w:lang w:val="es-ES"/>
        </w:rPr>
        <w:t>En segundo lugar, la solicitud de esta experiencia no permite que la entidad modifique los requisitos habilitantes y de ponderación de la propuesta, razón por la cual se deben mantener los establecidos en los documentos tipo.</w:t>
      </w:r>
    </w:p>
    <w:p w14:paraId="7B942912" w14:textId="77777777" w:rsidR="0006500B" w:rsidRPr="000310BD" w:rsidRDefault="0006500B" w:rsidP="0006500B">
      <w:pPr>
        <w:spacing w:line="276" w:lineRule="auto"/>
        <w:ind w:firstLine="708"/>
        <w:jc w:val="both"/>
        <w:rPr>
          <w:rFonts w:ascii="Century Gothic" w:eastAsia="Arial" w:hAnsi="Century Gothic" w:cs="Arial"/>
          <w:lang w:val="es-ES"/>
        </w:rPr>
      </w:pPr>
      <w:r w:rsidRPr="000310BD">
        <w:rPr>
          <w:rFonts w:ascii="Century Gothic" w:eastAsia="Arial" w:hAnsi="Century Gothic" w:cs="Arial"/>
          <w:lang w:val="es-ES"/>
        </w:rPr>
        <w:t>En tercer lugar, la experiencia adicional solicitada debe relacionarse con los bienes y servicios sobre los cuales la entidad requiere que se demuestre idoneidad por parte de los proponentes. Esta experiencia no puede estar limitada o referida a que se haya</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adquirido</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en</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un</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territorio</w:t>
      </w:r>
      <w:r w:rsidRPr="000310BD">
        <w:rPr>
          <w:rFonts w:ascii="Century Gothic" w:eastAsia="Arial" w:hAnsi="Century Gothic" w:cs="Arial"/>
          <w:spacing w:val="-17"/>
          <w:lang w:val="es-ES"/>
        </w:rPr>
        <w:t xml:space="preserve"> </w:t>
      </w:r>
      <w:r w:rsidRPr="000310BD">
        <w:rPr>
          <w:rFonts w:ascii="Century Gothic" w:eastAsia="Arial" w:hAnsi="Century Gothic" w:cs="Arial"/>
          <w:lang w:val="es-ES"/>
        </w:rPr>
        <w:t>o</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con</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alguna</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entidad</w:t>
      </w:r>
      <w:r w:rsidRPr="000310BD">
        <w:rPr>
          <w:rFonts w:ascii="Century Gothic" w:eastAsia="Arial" w:hAnsi="Century Gothic" w:cs="Arial"/>
          <w:spacing w:val="-18"/>
          <w:lang w:val="es-ES"/>
        </w:rPr>
        <w:t xml:space="preserve"> </w:t>
      </w:r>
      <w:r w:rsidRPr="000310BD">
        <w:rPr>
          <w:rFonts w:ascii="Century Gothic" w:eastAsia="Arial" w:hAnsi="Century Gothic" w:cs="Arial"/>
          <w:lang w:val="es-ES"/>
        </w:rPr>
        <w:t>determinada,</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ni</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establecer</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limitantes temporales</w:t>
      </w:r>
      <w:r w:rsidRPr="000310BD">
        <w:rPr>
          <w:rFonts w:ascii="Century Gothic" w:eastAsia="Arial" w:hAnsi="Century Gothic" w:cs="Arial"/>
          <w:spacing w:val="-18"/>
          <w:lang w:val="es-ES"/>
        </w:rPr>
        <w:t xml:space="preserve"> </w:t>
      </w:r>
      <w:r w:rsidRPr="000310BD">
        <w:rPr>
          <w:rFonts w:ascii="Century Gothic" w:eastAsia="Arial" w:hAnsi="Century Gothic" w:cs="Arial"/>
          <w:lang w:val="es-ES"/>
        </w:rPr>
        <w:t>o</w:t>
      </w:r>
      <w:r w:rsidRPr="000310BD">
        <w:rPr>
          <w:rFonts w:ascii="Century Gothic" w:eastAsia="Arial" w:hAnsi="Century Gothic" w:cs="Arial"/>
          <w:spacing w:val="-20"/>
          <w:lang w:val="es-ES"/>
        </w:rPr>
        <w:t xml:space="preserve"> </w:t>
      </w:r>
      <w:r w:rsidRPr="000310BD">
        <w:rPr>
          <w:rFonts w:ascii="Century Gothic" w:eastAsia="Arial" w:hAnsi="Century Gothic" w:cs="Arial"/>
          <w:lang w:val="es-ES"/>
        </w:rPr>
        <w:t>la</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acreditación</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de</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volúmenes</w:t>
      </w:r>
      <w:r w:rsidRPr="000310BD">
        <w:rPr>
          <w:rFonts w:ascii="Century Gothic" w:eastAsia="Arial" w:hAnsi="Century Gothic" w:cs="Arial"/>
          <w:spacing w:val="-20"/>
          <w:lang w:val="es-ES"/>
        </w:rPr>
        <w:t xml:space="preserve"> </w:t>
      </w:r>
      <w:r w:rsidRPr="000310BD">
        <w:rPr>
          <w:rFonts w:ascii="Century Gothic" w:eastAsia="Arial" w:hAnsi="Century Gothic" w:cs="Arial"/>
          <w:lang w:val="es-ES"/>
        </w:rPr>
        <w:t>o</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cantidades.</w:t>
      </w:r>
      <w:r w:rsidRPr="000310BD">
        <w:rPr>
          <w:rFonts w:ascii="Century Gothic" w:eastAsia="Arial" w:hAnsi="Century Gothic" w:cs="Arial"/>
          <w:spacing w:val="-20"/>
          <w:lang w:val="es-ES"/>
        </w:rPr>
        <w:t xml:space="preserve"> </w:t>
      </w:r>
      <w:r w:rsidRPr="000310BD">
        <w:rPr>
          <w:rFonts w:ascii="Century Gothic" w:eastAsia="Arial" w:hAnsi="Century Gothic" w:cs="Arial"/>
          <w:lang w:val="es-ES"/>
        </w:rPr>
        <w:t>Este</w:t>
      </w:r>
      <w:r w:rsidRPr="000310BD">
        <w:rPr>
          <w:rFonts w:ascii="Century Gothic" w:eastAsia="Arial" w:hAnsi="Century Gothic" w:cs="Arial"/>
          <w:spacing w:val="-18"/>
          <w:lang w:val="es-ES"/>
        </w:rPr>
        <w:t xml:space="preserve"> </w:t>
      </w:r>
      <w:r w:rsidRPr="000310BD">
        <w:rPr>
          <w:rFonts w:ascii="Century Gothic" w:eastAsia="Arial" w:hAnsi="Century Gothic" w:cs="Arial"/>
          <w:lang w:val="es-ES"/>
        </w:rPr>
        <w:lastRenderedPageBreak/>
        <w:t>parámetro</w:t>
      </w:r>
      <w:r w:rsidRPr="000310BD">
        <w:rPr>
          <w:rFonts w:ascii="Century Gothic" w:eastAsia="Arial" w:hAnsi="Century Gothic" w:cs="Arial"/>
          <w:spacing w:val="-19"/>
          <w:lang w:val="es-ES"/>
        </w:rPr>
        <w:t xml:space="preserve"> </w:t>
      </w:r>
      <w:r w:rsidRPr="000310BD">
        <w:rPr>
          <w:rFonts w:ascii="Century Gothic" w:eastAsia="Arial" w:hAnsi="Century Gothic" w:cs="Arial"/>
          <w:lang w:val="es-ES"/>
        </w:rPr>
        <w:t>va</w:t>
      </w:r>
      <w:r w:rsidRPr="000310BD">
        <w:rPr>
          <w:rFonts w:ascii="Century Gothic" w:eastAsia="Arial" w:hAnsi="Century Gothic" w:cs="Arial"/>
          <w:spacing w:val="-20"/>
          <w:lang w:val="es-ES"/>
        </w:rPr>
        <w:t xml:space="preserve"> </w:t>
      </w:r>
      <w:r w:rsidRPr="000310BD">
        <w:rPr>
          <w:rFonts w:ascii="Century Gothic" w:eastAsia="Arial" w:hAnsi="Century Gothic" w:cs="Arial"/>
          <w:lang w:val="es-ES"/>
        </w:rPr>
        <w:t>encaminado a determinar si la experiencia solicitada es acorde, adecuada y proporcional a la necesidad identificada por la entidad, por lo cual no puede desbordar los límites racionales ni solicitar experiencias de imposible</w:t>
      </w:r>
      <w:r w:rsidRPr="000310BD">
        <w:rPr>
          <w:rFonts w:ascii="Century Gothic" w:eastAsia="Arial" w:hAnsi="Century Gothic" w:cs="Arial"/>
          <w:spacing w:val="-8"/>
          <w:lang w:val="es-ES"/>
        </w:rPr>
        <w:t xml:space="preserve"> </w:t>
      </w:r>
      <w:r w:rsidRPr="000310BD">
        <w:rPr>
          <w:rFonts w:ascii="Century Gothic" w:eastAsia="Arial" w:hAnsi="Century Gothic" w:cs="Arial"/>
          <w:lang w:val="es-ES"/>
        </w:rPr>
        <w:t>cumplimiento. Por último, la experiencia requerida debe clasificarse hasta el tercer nivel del clasificador de bienes y servicios. Por lo tanto, la entidad no puede requerir que se acredite el “producto” de este clasificador.</w:t>
      </w:r>
    </w:p>
    <w:p w14:paraId="7DF889CD" w14:textId="77777777" w:rsidR="0006500B" w:rsidRPr="000310BD" w:rsidRDefault="0006500B" w:rsidP="0006500B">
      <w:pPr>
        <w:spacing w:line="276" w:lineRule="auto"/>
        <w:ind w:firstLine="708"/>
        <w:jc w:val="both"/>
        <w:rPr>
          <w:rFonts w:ascii="Century Gothic" w:eastAsia="Calibri" w:hAnsi="Century Gothic" w:cs="Arial"/>
          <w:lang w:eastAsia="es-MX"/>
        </w:rPr>
      </w:pPr>
      <w:r w:rsidRPr="000310BD">
        <w:rPr>
          <w:rFonts w:ascii="Century Gothic" w:hAnsi="Century Gothic" w:cs="Arial"/>
          <w:color w:val="000000"/>
          <w:shd w:val="clear" w:color="auto" w:fill="FFFFFF"/>
          <w:lang w:val="es-ES"/>
        </w:rPr>
        <w:t xml:space="preserve">Tratándose de los documentos tipo de licitación, la posibilidad de solicitar experiencia adicional ocurre cuando el objeto contractual incluye bienes o servicios adicionales a la obra pública de infraestructura de transporte. Esto implica que: </w:t>
      </w:r>
      <w:r w:rsidRPr="000310BD">
        <w:rPr>
          <w:rFonts w:ascii="Century Gothic" w:hAnsi="Century Gothic" w:cs="Arial"/>
          <w:i/>
          <w:iCs/>
          <w:color w:val="000000"/>
          <w:shd w:val="clear" w:color="auto" w:fill="FFFFFF"/>
          <w:lang w:val="es-ES"/>
        </w:rPr>
        <w:t>(i)</w:t>
      </w:r>
      <w:r w:rsidRPr="000310BD">
        <w:rPr>
          <w:rFonts w:ascii="Century Gothic" w:hAnsi="Century Gothic" w:cs="Arial"/>
          <w:color w:val="000000"/>
          <w:shd w:val="clear" w:color="auto" w:fill="FFFFFF"/>
          <w:lang w:val="es-ES"/>
        </w:rPr>
        <w:t xml:space="preserve"> la actividad que se requiere, si bien es una labor de obra, no está relacionada con la infraestructura de transporte, por ejemplo, la construcción de un parque cerca de la vía; y </w:t>
      </w:r>
      <w:r w:rsidRPr="000310BD">
        <w:rPr>
          <w:rFonts w:ascii="Century Gothic" w:hAnsi="Century Gothic" w:cs="Arial"/>
          <w:i/>
          <w:iCs/>
          <w:color w:val="000000"/>
          <w:shd w:val="clear" w:color="auto" w:fill="FFFFFF"/>
          <w:lang w:val="es-ES"/>
        </w:rPr>
        <w:t>(</w:t>
      </w:r>
      <w:proofErr w:type="spellStart"/>
      <w:r w:rsidRPr="000310BD">
        <w:rPr>
          <w:rFonts w:ascii="Century Gothic" w:hAnsi="Century Gothic" w:cs="Arial"/>
          <w:i/>
          <w:iCs/>
          <w:color w:val="000000"/>
          <w:shd w:val="clear" w:color="auto" w:fill="FFFFFF"/>
          <w:lang w:val="es-ES"/>
        </w:rPr>
        <w:t>ii</w:t>
      </w:r>
      <w:proofErr w:type="spellEnd"/>
      <w:r w:rsidRPr="000310BD">
        <w:rPr>
          <w:rFonts w:ascii="Century Gothic" w:hAnsi="Century Gothic" w:cs="Arial"/>
          <w:i/>
          <w:iCs/>
          <w:color w:val="000000"/>
          <w:shd w:val="clear" w:color="auto" w:fill="FFFFFF"/>
          <w:lang w:val="es-ES"/>
        </w:rPr>
        <w:t>)</w:t>
      </w:r>
      <w:r w:rsidRPr="000310BD">
        <w:rPr>
          <w:rFonts w:ascii="Century Gothic" w:hAnsi="Century Gothic" w:cs="Arial"/>
          <w:color w:val="000000"/>
          <w:shd w:val="clear" w:color="auto" w:fill="FFFFFF"/>
          <w:lang w:val="es-ES"/>
        </w:rPr>
        <w:t xml:space="preserve"> el bien o servicio adicional es distinto a la actividad principal, aun cuando se relaciona con la infraestructura de transporte, </w:t>
      </w:r>
      <w:r w:rsidRPr="000310BD">
        <w:rPr>
          <w:rFonts w:ascii="Century Gothic" w:hAnsi="Century Gothic" w:cs="Arial"/>
          <w:i/>
          <w:iCs/>
          <w:color w:val="000000"/>
          <w:shd w:val="clear" w:color="auto" w:fill="FFFFFF"/>
          <w:lang w:val="es-ES"/>
        </w:rPr>
        <w:t>v. gr</w:t>
      </w:r>
      <w:r w:rsidRPr="000310BD">
        <w:rPr>
          <w:rFonts w:ascii="Century Gothic" w:hAnsi="Century Gothic" w:cs="Arial"/>
          <w:color w:val="000000"/>
          <w:shd w:val="clear" w:color="auto" w:fill="FFFFFF"/>
          <w:lang w:val="es-ES"/>
        </w:rPr>
        <w:t>., cuando se requiere que el contratista ejecute actividades de consultoría como la realización, revisión o actualización de los estudios y diseños de la obra. En supuestos como los indicados es posible que la entidad exija experiencia adicional para acreditar la idoneidad del contratista en la ejecución de estos bienes o servicios adicionales a la obra de infraestructura de transporte</w:t>
      </w:r>
      <w:r w:rsidRPr="000310BD">
        <w:rPr>
          <w:rFonts w:ascii="Century Gothic" w:eastAsia="Calibri" w:hAnsi="Century Gothic" w:cs="Arial"/>
          <w:lang w:eastAsia="es-MX"/>
        </w:rPr>
        <w:t>.</w:t>
      </w:r>
    </w:p>
    <w:p w14:paraId="42CB7DD3" w14:textId="77777777" w:rsidR="0006500B" w:rsidRPr="000310BD" w:rsidRDefault="0006500B" w:rsidP="0006500B">
      <w:pPr>
        <w:spacing w:line="276" w:lineRule="auto"/>
        <w:ind w:firstLine="708"/>
        <w:jc w:val="both"/>
        <w:rPr>
          <w:rFonts w:ascii="Century Gothic" w:eastAsia="Calibri" w:hAnsi="Century Gothic" w:cs="Arial"/>
          <w:lang w:val="es-MX"/>
        </w:rPr>
      </w:pPr>
      <w:r w:rsidRPr="000310BD">
        <w:rPr>
          <w:rFonts w:ascii="Century Gothic" w:eastAsia="Calibri" w:hAnsi="Century Gothic" w:cs="Arial"/>
          <w:lang w:val="es-MX"/>
        </w:rPr>
        <w:t xml:space="preserve">Además de lo anterior, </w:t>
      </w:r>
      <w:bookmarkEnd w:id="20"/>
      <w:r w:rsidRPr="000310BD">
        <w:rPr>
          <w:rFonts w:ascii="Century Gothic" w:eastAsia="Calibri" w:hAnsi="Century Gothic" w:cs="Arial"/>
          <w:lang w:val="es-MX"/>
        </w:rPr>
        <w:t xml:space="preserve">interesa resaltar que la parte introductoria de los documentos tipo señala que los aspectos incluidos en corchetes y resaltado gris deben ser diligenciados por la entidad. Es así como en cada acápite que esté resaltado en gris la entidad tendrá la libertad de determinar la información que se diligenciará en los documentos tipo. Esto último, de acuerdo con su necesidad y las instrucciones que precise el pliego. </w:t>
      </w:r>
      <w:r w:rsidRPr="000310BD">
        <w:rPr>
          <w:rFonts w:ascii="Century Gothic" w:eastAsia="Arial" w:hAnsi="Century Gothic" w:cs="Arial"/>
          <w:lang w:val="es-ES"/>
        </w:rPr>
        <w:t>Por tanto, para solicitar experiencia</w:t>
      </w:r>
      <w:r w:rsidRPr="000310BD">
        <w:rPr>
          <w:rFonts w:ascii="Century Gothic" w:eastAsia="Arial" w:hAnsi="Century Gothic" w:cs="Arial"/>
          <w:spacing w:val="-6"/>
          <w:lang w:val="es-ES"/>
        </w:rPr>
        <w:t xml:space="preserve"> </w:t>
      </w:r>
      <w:r w:rsidRPr="000310BD">
        <w:rPr>
          <w:rFonts w:ascii="Century Gothic" w:eastAsia="Arial" w:hAnsi="Century Gothic" w:cs="Arial"/>
          <w:lang w:val="es-ES"/>
        </w:rPr>
        <w:t>frente</w:t>
      </w:r>
      <w:r w:rsidRPr="000310BD">
        <w:rPr>
          <w:rFonts w:ascii="Century Gothic" w:eastAsia="Arial" w:hAnsi="Century Gothic" w:cs="Arial"/>
          <w:spacing w:val="-5"/>
          <w:lang w:val="es-ES"/>
        </w:rPr>
        <w:t xml:space="preserve"> </w:t>
      </w:r>
      <w:r w:rsidRPr="000310BD">
        <w:rPr>
          <w:rFonts w:ascii="Century Gothic" w:eastAsia="Arial" w:hAnsi="Century Gothic" w:cs="Arial"/>
          <w:lang w:val="es-ES"/>
        </w:rPr>
        <w:t>a</w:t>
      </w:r>
      <w:r w:rsidRPr="000310BD">
        <w:rPr>
          <w:rFonts w:ascii="Century Gothic" w:eastAsia="Arial" w:hAnsi="Century Gothic" w:cs="Arial"/>
          <w:spacing w:val="-5"/>
          <w:lang w:val="es-ES"/>
        </w:rPr>
        <w:t xml:space="preserve"> </w:t>
      </w:r>
      <w:r w:rsidRPr="000310BD">
        <w:rPr>
          <w:rFonts w:ascii="Century Gothic" w:eastAsia="Arial" w:hAnsi="Century Gothic" w:cs="Arial"/>
          <w:lang w:val="es-ES"/>
        </w:rPr>
        <w:t>bienes</w:t>
      </w:r>
      <w:r w:rsidRPr="000310BD">
        <w:rPr>
          <w:rFonts w:ascii="Century Gothic" w:eastAsia="Arial" w:hAnsi="Century Gothic" w:cs="Arial"/>
          <w:spacing w:val="-6"/>
          <w:lang w:val="es-ES"/>
        </w:rPr>
        <w:t xml:space="preserve"> </w:t>
      </w:r>
      <w:r w:rsidRPr="000310BD">
        <w:rPr>
          <w:rFonts w:ascii="Century Gothic" w:eastAsia="Arial" w:hAnsi="Century Gothic" w:cs="Arial"/>
          <w:lang w:val="es-ES"/>
        </w:rPr>
        <w:t>o</w:t>
      </w:r>
      <w:r w:rsidRPr="000310BD">
        <w:rPr>
          <w:rFonts w:ascii="Century Gothic" w:eastAsia="Arial" w:hAnsi="Century Gothic" w:cs="Arial"/>
          <w:spacing w:val="-5"/>
          <w:lang w:val="es-ES"/>
        </w:rPr>
        <w:t xml:space="preserve"> </w:t>
      </w:r>
      <w:r w:rsidRPr="000310BD">
        <w:rPr>
          <w:rFonts w:ascii="Century Gothic" w:eastAsia="Arial" w:hAnsi="Century Gothic" w:cs="Arial"/>
          <w:lang w:val="es-ES"/>
        </w:rPr>
        <w:t>servicios</w:t>
      </w:r>
      <w:r w:rsidRPr="000310BD">
        <w:rPr>
          <w:rFonts w:ascii="Century Gothic" w:eastAsia="Arial" w:hAnsi="Century Gothic" w:cs="Arial"/>
          <w:spacing w:val="-6"/>
          <w:lang w:val="es-ES"/>
        </w:rPr>
        <w:t xml:space="preserve"> </w:t>
      </w:r>
      <w:r w:rsidRPr="000310BD">
        <w:rPr>
          <w:rFonts w:ascii="Century Gothic" w:eastAsia="Arial" w:hAnsi="Century Gothic" w:cs="Arial"/>
          <w:lang w:val="es-ES"/>
        </w:rPr>
        <w:t>adicionales</w:t>
      </w:r>
      <w:r w:rsidRPr="000310BD">
        <w:rPr>
          <w:rFonts w:ascii="Century Gothic" w:eastAsia="Arial" w:hAnsi="Century Gothic" w:cs="Arial"/>
          <w:spacing w:val="-6"/>
          <w:lang w:val="es-ES"/>
        </w:rPr>
        <w:t xml:space="preserve"> </w:t>
      </w:r>
      <w:r w:rsidRPr="000310BD">
        <w:rPr>
          <w:rFonts w:ascii="Century Gothic" w:eastAsia="Arial" w:hAnsi="Century Gothic" w:cs="Arial"/>
          <w:lang w:val="es-ES"/>
        </w:rPr>
        <w:t>que</w:t>
      </w:r>
      <w:r w:rsidRPr="000310BD">
        <w:rPr>
          <w:rFonts w:ascii="Century Gothic" w:eastAsia="Arial" w:hAnsi="Century Gothic" w:cs="Arial"/>
          <w:spacing w:val="-5"/>
          <w:lang w:val="es-ES"/>
        </w:rPr>
        <w:t xml:space="preserve"> </w:t>
      </w:r>
      <w:r w:rsidRPr="000310BD">
        <w:rPr>
          <w:rFonts w:ascii="Century Gothic" w:eastAsia="Arial" w:hAnsi="Century Gothic" w:cs="Arial"/>
          <w:lang w:val="es-ES"/>
        </w:rPr>
        <w:t>no</w:t>
      </w:r>
      <w:r w:rsidRPr="000310BD">
        <w:rPr>
          <w:rFonts w:ascii="Century Gothic" w:eastAsia="Arial" w:hAnsi="Century Gothic" w:cs="Arial"/>
          <w:spacing w:val="-6"/>
          <w:lang w:val="es-ES"/>
        </w:rPr>
        <w:t xml:space="preserve"> </w:t>
      </w:r>
      <w:r w:rsidRPr="000310BD">
        <w:rPr>
          <w:rFonts w:ascii="Century Gothic" w:eastAsia="Arial" w:hAnsi="Century Gothic" w:cs="Arial"/>
          <w:lang w:val="es-ES"/>
        </w:rPr>
        <w:t>se</w:t>
      </w:r>
      <w:r w:rsidRPr="000310BD">
        <w:rPr>
          <w:rFonts w:ascii="Century Gothic" w:eastAsia="Arial" w:hAnsi="Century Gothic" w:cs="Arial"/>
          <w:spacing w:val="-5"/>
          <w:lang w:val="es-ES"/>
        </w:rPr>
        <w:t xml:space="preserve"> </w:t>
      </w:r>
      <w:r w:rsidRPr="000310BD">
        <w:rPr>
          <w:rFonts w:ascii="Century Gothic" w:eastAsia="Arial" w:hAnsi="Century Gothic" w:cs="Arial"/>
          <w:lang w:val="es-ES"/>
        </w:rPr>
        <w:t>encuentren</w:t>
      </w:r>
      <w:r w:rsidRPr="000310BD">
        <w:rPr>
          <w:rFonts w:ascii="Century Gothic" w:eastAsia="Arial" w:hAnsi="Century Gothic" w:cs="Arial"/>
          <w:spacing w:val="-6"/>
          <w:lang w:val="es-ES"/>
        </w:rPr>
        <w:t xml:space="preserve"> </w:t>
      </w:r>
      <w:r w:rsidRPr="000310BD">
        <w:rPr>
          <w:rFonts w:ascii="Century Gothic" w:eastAsia="Arial" w:hAnsi="Century Gothic" w:cs="Arial"/>
          <w:lang w:val="es-ES"/>
        </w:rPr>
        <w:t>contemplados en</w:t>
      </w:r>
      <w:r w:rsidRPr="000310BD">
        <w:rPr>
          <w:rFonts w:ascii="Century Gothic" w:eastAsia="Arial" w:hAnsi="Century Gothic" w:cs="Arial"/>
          <w:spacing w:val="-17"/>
          <w:lang w:val="es-ES"/>
        </w:rPr>
        <w:t xml:space="preserve"> </w:t>
      </w:r>
      <w:r w:rsidRPr="000310BD">
        <w:rPr>
          <w:rFonts w:ascii="Century Gothic" w:eastAsia="Arial" w:hAnsi="Century Gothic" w:cs="Arial"/>
          <w:lang w:val="es-ES"/>
        </w:rPr>
        <w:t>la</w:t>
      </w:r>
      <w:r w:rsidRPr="000310BD">
        <w:rPr>
          <w:rFonts w:ascii="Century Gothic" w:eastAsia="Arial" w:hAnsi="Century Gothic" w:cs="Arial"/>
          <w:spacing w:val="-17"/>
          <w:lang w:val="es-ES"/>
        </w:rPr>
        <w:t xml:space="preserve"> </w:t>
      </w:r>
      <w:r w:rsidRPr="000310BD">
        <w:rPr>
          <w:rFonts w:ascii="Century Gothic" w:eastAsia="Arial" w:hAnsi="Century Gothic" w:cs="Arial"/>
          <w:lang w:val="es-ES"/>
        </w:rPr>
        <w:t>“Matriz</w:t>
      </w:r>
      <w:r w:rsidRPr="000310BD">
        <w:rPr>
          <w:rFonts w:ascii="Century Gothic" w:eastAsia="Arial" w:hAnsi="Century Gothic" w:cs="Arial"/>
          <w:spacing w:val="-16"/>
          <w:lang w:val="es-ES"/>
        </w:rPr>
        <w:t xml:space="preserve"> </w:t>
      </w:r>
      <w:r w:rsidRPr="000310BD">
        <w:rPr>
          <w:rFonts w:ascii="Century Gothic" w:eastAsia="Arial" w:hAnsi="Century Gothic" w:cs="Arial"/>
          <w:lang w:val="es-ES"/>
        </w:rPr>
        <w:t>1</w:t>
      </w:r>
      <w:r w:rsidRPr="000310BD">
        <w:rPr>
          <w:rFonts w:ascii="Century Gothic" w:eastAsia="Arial" w:hAnsi="Century Gothic" w:cs="Arial"/>
          <w:spacing w:val="-17"/>
          <w:lang w:val="es-ES"/>
        </w:rPr>
        <w:t xml:space="preserve"> </w:t>
      </w:r>
      <w:r w:rsidRPr="000310BD">
        <w:rPr>
          <w:rFonts w:ascii="Century Gothic" w:eastAsia="Arial" w:hAnsi="Century Gothic" w:cs="Arial"/>
          <w:lang w:val="es-ES"/>
        </w:rPr>
        <w:t>–</w:t>
      </w:r>
      <w:r w:rsidRPr="000310BD">
        <w:rPr>
          <w:rFonts w:ascii="Century Gothic" w:eastAsia="Arial" w:hAnsi="Century Gothic" w:cs="Arial"/>
          <w:spacing w:val="-17"/>
          <w:lang w:val="es-ES"/>
        </w:rPr>
        <w:t xml:space="preserve"> </w:t>
      </w:r>
      <w:r w:rsidRPr="000310BD">
        <w:rPr>
          <w:rFonts w:ascii="Century Gothic" w:eastAsia="Arial" w:hAnsi="Century Gothic" w:cs="Arial"/>
          <w:lang w:val="es-ES"/>
        </w:rPr>
        <w:t>Experiencia”,</w:t>
      </w:r>
      <w:r w:rsidRPr="000310BD">
        <w:rPr>
          <w:rFonts w:ascii="Century Gothic" w:eastAsia="Arial" w:hAnsi="Century Gothic" w:cs="Arial"/>
          <w:spacing w:val="-14"/>
          <w:lang w:val="es-ES"/>
        </w:rPr>
        <w:t xml:space="preserve"> </w:t>
      </w:r>
      <w:r w:rsidRPr="000310BD">
        <w:rPr>
          <w:rFonts w:ascii="Century Gothic" w:eastAsia="Calibri" w:hAnsi="Century Gothic" w:cs="Arial"/>
          <w:lang w:eastAsia="es-MX"/>
        </w:rPr>
        <w:t xml:space="preserve">el </w:t>
      </w:r>
      <w:r w:rsidRPr="000310BD">
        <w:rPr>
          <w:rFonts w:ascii="Century Gothic" w:eastAsia="Calibri" w:hAnsi="Century Gothic" w:cs="Arial"/>
          <w:i/>
          <w:iCs/>
          <w:lang w:eastAsia="es-MX"/>
        </w:rPr>
        <w:t>documento base</w:t>
      </w:r>
      <w:r w:rsidRPr="000310BD">
        <w:rPr>
          <w:rFonts w:ascii="Century Gothic" w:eastAsia="Calibri" w:hAnsi="Century Gothic" w:cs="Arial"/>
          <w:lang w:eastAsia="es-MX"/>
        </w:rPr>
        <w:t xml:space="preserve"> de los documentos tipo de licitación de obra pública de infraestructura de transporte – versión 3, se establece en el literal h), del numeral 3.5.2.</w:t>
      </w:r>
      <w:r w:rsidRPr="000310BD">
        <w:rPr>
          <w:rFonts w:ascii="Century Gothic" w:eastAsia="Calibri" w:hAnsi="Century Gothic" w:cs="Arial"/>
          <w:vertAlign w:val="superscript"/>
          <w:lang w:eastAsia="es-MX"/>
        </w:rPr>
        <w:footnoteReference w:id="9"/>
      </w:r>
      <w:r w:rsidRPr="000310BD">
        <w:rPr>
          <w:rFonts w:ascii="Century Gothic" w:eastAsia="Calibri" w:hAnsi="Century Gothic" w:cs="Arial"/>
          <w:lang w:eastAsia="es-MX"/>
        </w:rPr>
        <w:t xml:space="preserve"> lo siguiente:</w:t>
      </w:r>
    </w:p>
    <w:p w14:paraId="13A6E757" w14:textId="77777777" w:rsidR="0006500B" w:rsidRPr="000310BD" w:rsidRDefault="0006500B" w:rsidP="0006500B">
      <w:pPr>
        <w:spacing w:line="276" w:lineRule="auto"/>
        <w:ind w:firstLine="708"/>
        <w:jc w:val="both"/>
        <w:rPr>
          <w:rFonts w:ascii="Century Gothic" w:eastAsia="Calibri" w:hAnsi="Century Gothic" w:cs="Arial"/>
          <w:lang w:eastAsia="es-MX"/>
        </w:rPr>
      </w:pPr>
    </w:p>
    <w:p w14:paraId="0505A65D" w14:textId="77777777" w:rsidR="0006500B" w:rsidRPr="000310BD" w:rsidRDefault="0006500B" w:rsidP="0006500B">
      <w:pPr>
        <w:spacing w:after="120"/>
        <w:ind w:left="709" w:right="709"/>
        <w:jc w:val="both"/>
        <w:rPr>
          <w:rFonts w:ascii="Century Gothic" w:hAnsi="Century Gothic" w:cs="Arial"/>
          <w:sz w:val="21"/>
          <w:szCs w:val="21"/>
          <w:highlight w:val="lightGray"/>
          <w:lang w:val="es-MX" w:eastAsia="es-MX"/>
        </w:rPr>
      </w:pPr>
      <w:r w:rsidRPr="000310BD">
        <w:rPr>
          <w:rFonts w:ascii="Century Gothic" w:hAnsi="Century Gothic" w:cs="Arial"/>
          <w:sz w:val="21"/>
          <w:szCs w:val="21"/>
          <w:lang w:val="es-MX"/>
        </w:rPr>
        <w:lastRenderedPageBreak/>
        <w:t>“H. [</w:t>
      </w:r>
      <w:r w:rsidRPr="000310BD">
        <w:rPr>
          <w:rFonts w:ascii="Century Gothic" w:hAnsi="Century Gothic" w:cs="Arial"/>
          <w:sz w:val="21"/>
          <w:szCs w:val="21"/>
          <w:highlight w:val="lightGray"/>
          <w:lang w:val="es-MX"/>
        </w:rPr>
        <w:t>Cuando el objeto contractual incluya bienes o servicios ajenos a la obra pública de infraestructura de transporte y de manera excepcional requiere incluir experiencia adicional para evaluar la idoneidad respecto de los bienes o servicios ajenos a la obra pública, la entidad estatal deberá seguir los parámetros establecidos en el artículo 2.2.1.2</w:t>
      </w:r>
      <w:r w:rsidRPr="000310BD">
        <w:rPr>
          <w:rFonts w:ascii="Century Gothic" w:hAnsi="Century Gothic" w:cs="Arial"/>
          <w:sz w:val="21"/>
          <w:szCs w:val="21"/>
          <w:highlight w:val="lightGray"/>
          <w:lang w:val="es-MX" w:eastAsia="es-MX"/>
        </w:rPr>
        <w:t>.6.1.5 del Decreto 1082 de 2015.</w:t>
      </w:r>
    </w:p>
    <w:p w14:paraId="44CBE246" w14:textId="77777777" w:rsidR="0006500B" w:rsidRPr="000310BD" w:rsidRDefault="0006500B" w:rsidP="0006500B">
      <w:pPr>
        <w:spacing w:after="120"/>
        <w:ind w:left="709" w:right="709"/>
        <w:jc w:val="both"/>
        <w:rPr>
          <w:rFonts w:ascii="Century Gothic" w:hAnsi="Century Gothic" w:cs="Arial"/>
          <w:sz w:val="21"/>
          <w:szCs w:val="21"/>
          <w:highlight w:val="lightGray"/>
          <w:lang w:val="es-MX" w:eastAsia="es-MX"/>
        </w:rPr>
      </w:pPr>
      <w:r w:rsidRPr="000310BD">
        <w:rPr>
          <w:rFonts w:ascii="Century Gothic" w:hAnsi="Century Gothic" w:cs="Arial"/>
          <w:sz w:val="21"/>
          <w:szCs w:val="21"/>
          <w:highlight w:val="lightGray"/>
          <w:lang w:val="es-MX" w:eastAsia="es-MX"/>
        </w:rPr>
        <w:t>Conforme a esta disposición, la entidad no puede requerir experiencia adicional que incluya volúmenes o cantidades de obra específica expresadas en SMMLV]</w:t>
      </w:r>
    </w:p>
    <w:p w14:paraId="5CB482E0" w14:textId="77777777" w:rsidR="0006500B" w:rsidRPr="000310BD" w:rsidRDefault="0006500B" w:rsidP="0006500B">
      <w:pPr>
        <w:spacing w:line="276" w:lineRule="auto"/>
        <w:ind w:left="709" w:right="709"/>
        <w:jc w:val="both"/>
        <w:rPr>
          <w:rFonts w:ascii="Century Gothic" w:hAnsi="Century Gothic" w:cs="Arial"/>
          <w:sz w:val="21"/>
          <w:szCs w:val="21"/>
          <w:lang w:val="es-MX" w:eastAsia="es-MX"/>
        </w:rPr>
      </w:pPr>
      <w:r w:rsidRPr="000310BD">
        <w:rPr>
          <w:rFonts w:ascii="Century Gothic" w:hAnsi="Century Gothic" w:cs="Arial"/>
          <w:sz w:val="21"/>
          <w:szCs w:val="21"/>
          <w:highlight w:val="lightGray"/>
          <w:lang w:val="es-MX" w:eastAsia="es-MX"/>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r w:rsidRPr="000310BD">
        <w:rPr>
          <w:rFonts w:ascii="Century Gothic" w:hAnsi="Century Gothic" w:cs="Arial"/>
          <w:sz w:val="21"/>
          <w:szCs w:val="21"/>
          <w:lang w:val="es-MX" w:eastAsia="es-MX"/>
        </w:rPr>
        <w:t>”.</w:t>
      </w:r>
    </w:p>
    <w:p w14:paraId="140DB75A" w14:textId="77777777" w:rsidR="0006500B" w:rsidRPr="000310BD" w:rsidRDefault="0006500B" w:rsidP="0006500B">
      <w:pPr>
        <w:widowControl w:val="0"/>
        <w:autoSpaceDE w:val="0"/>
        <w:autoSpaceDN w:val="0"/>
        <w:spacing w:line="276" w:lineRule="auto"/>
        <w:ind w:firstLine="709"/>
        <w:jc w:val="both"/>
        <w:rPr>
          <w:rFonts w:ascii="Century Gothic" w:eastAsia="Arial" w:hAnsi="Century Gothic" w:cs="Arial"/>
          <w:lang w:val="es-ES"/>
        </w:rPr>
      </w:pPr>
      <w:r w:rsidRPr="000310BD">
        <w:rPr>
          <w:rFonts w:ascii="Century Gothic" w:eastAsia="Arial" w:hAnsi="Century Gothic" w:cs="Arial"/>
          <w:lang w:val="es-ES"/>
        </w:rPr>
        <w:t>De</w:t>
      </w:r>
      <w:r w:rsidRPr="000310BD">
        <w:rPr>
          <w:rFonts w:ascii="Century Gothic" w:eastAsia="Arial" w:hAnsi="Century Gothic" w:cs="Arial"/>
          <w:spacing w:val="-12"/>
          <w:lang w:val="es-ES"/>
        </w:rPr>
        <w:t xml:space="preserve"> </w:t>
      </w:r>
      <w:r w:rsidRPr="000310BD">
        <w:rPr>
          <w:rFonts w:ascii="Century Gothic" w:eastAsia="Arial" w:hAnsi="Century Gothic" w:cs="Arial"/>
          <w:lang w:val="es-ES"/>
        </w:rPr>
        <w:t>esta</w:t>
      </w:r>
      <w:r w:rsidRPr="000310BD">
        <w:rPr>
          <w:rFonts w:ascii="Century Gothic" w:eastAsia="Arial" w:hAnsi="Century Gothic" w:cs="Arial"/>
          <w:spacing w:val="-12"/>
          <w:lang w:val="es-ES"/>
        </w:rPr>
        <w:t xml:space="preserve"> </w:t>
      </w:r>
      <w:r w:rsidRPr="000310BD">
        <w:rPr>
          <w:rFonts w:ascii="Century Gothic" w:eastAsia="Arial" w:hAnsi="Century Gothic" w:cs="Arial"/>
          <w:lang w:val="es-ES"/>
        </w:rPr>
        <w:t>manera,</w:t>
      </w:r>
      <w:r w:rsidRPr="000310BD">
        <w:rPr>
          <w:rFonts w:ascii="Century Gothic" w:eastAsia="Arial" w:hAnsi="Century Gothic" w:cs="Arial"/>
          <w:spacing w:val="-11"/>
          <w:lang w:val="es-ES"/>
        </w:rPr>
        <w:t xml:space="preserve"> </w:t>
      </w:r>
      <w:r w:rsidRPr="000310BD">
        <w:rPr>
          <w:rFonts w:ascii="Century Gothic" w:eastAsia="Arial" w:hAnsi="Century Gothic" w:cs="Arial"/>
          <w:lang w:val="es-ES"/>
        </w:rPr>
        <w:t>la</w:t>
      </w:r>
      <w:r w:rsidRPr="000310BD">
        <w:rPr>
          <w:rFonts w:ascii="Century Gothic" w:eastAsia="Arial" w:hAnsi="Century Gothic" w:cs="Arial"/>
          <w:spacing w:val="-12"/>
          <w:lang w:val="es-ES"/>
        </w:rPr>
        <w:t xml:space="preserve"> </w:t>
      </w:r>
      <w:r w:rsidRPr="000310BD">
        <w:rPr>
          <w:rFonts w:ascii="Century Gothic" w:eastAsia="Arial" w:hAnsi="Century Gothic" w:cs="Arial"/>
          <w:lang w:val="es-ES"/>
        </w:rPr>
        <w:t>regla</w:t>
      </w:r>
      <w:r w:rsidRPr="000310BD">
        <w:rPr>
          <w:rFonts w:ascii="Century Gothic" w:eastAsia="Arial" w:hAnsi="Century Gothic" w:cs="Arial"/>
          <w:spacing w:val="-12"/>
          <w:lang w:val="es-ES"/>
        </w:rPr>
        <w:t xml:space="preserve"> </w:t>
      </w:r>
      <w:r w:rsidRPr="000310BD">
        <w:rPr>
          <w:rFonts w:ascii="Century Gothic" w:eastAsia="Arial" w:hAnsi="Century Gothic" w:cs="Arial"/>
          <w:lang w:val="es-ES"/>
        </w:rPr>
        <w:t>general</w:t>
      </w:r>
      <w:r w:rsidRPr="000310BD">
        <w:rPr>
          <w:rFonts w:ascii="Century Gothic" w:eastAsia="Arial" w:hAnsi="Century Gothic" w:cs="Arial"/>
          <w:spacing w:val="-11"/>
          <w:lang w:val="es-ES"/>
        </w:rPr>
        <w:t xml:space="preserve"> </w:t>
      </w:r>
      <w:r w:rsidRPr="000310BD">
        <w:rPr>
          <w:rFonts w:ascii="Century Gothic" w:eastAsia="Arial" w:hAnsi="Century Gothic" w:cs="Arial"/>
          <w:lang w:val="es-ES"/>
        </w:rPr>
        <w:t>frente</w:t>
      </w:r>
      <w:r w:rsidRPr="000310BD">
        <w:rPr>
          <w:rFonts w:ascii="Century Gothic" w:eastAsia="Arial" w:hAnsi="Century Gothic" w:cs="Arial"/>
          <w:spacing w:val="-11"/>
          <w:lang w:val="es-ES"/>
        </w:rPr>
        <w:t xml:space="preserve"> </w:t>
      </w:r>
      <w:r w:rsidRPr="000310BD">
        <w:rPr>
          <w:rFonts w:ascii="Century Gothic" w:eastAsia="Arial" w:hAnsi="Century Gothic" w:cs="Arial"/>
          <w:lang w:val="es-ES"/>
        </w:rPr>
        <w:t>a</w:t>
      </w:r>
      <w:r w:rsidRPr="000310BD">
        <w:rPr>
          <w:rFonts w:ascii="Century Gothic" w:eastAsia="Arial" w:hAnsi="Century Gothic" w:cs="Arial"/>
          <w:spacing w:val="-12"/>
          <w:lang w:val="es-ES"/>
        </w:rPr>
        <w:t xml:space="preserve"> </w:t>
      </w:r>
      <w:r w:rsidRPr="000310BD">
        <w:rPr>
          <w:rFonts w:ascii="Century Gothic" w:eastAsia="Arial" w:hAnsi="Century Gothic" w:cs="Arial"/>
          <w:lang w:val="es-ES"/>
        </w:rPr>
        <w:t>la</w:t>
      </w:r>
      <w:r w:rsidRPr="000310BD">
        <w:rPr>
          <w:rFonts w:ascii="Century Gothic" w:eastAsia="Arial" w:hAnsi="Century Gothic" w:cs="Arial"/>
          <w:spacing w:val="-12"/>
          <w:lang w:val="es-ES"/>
        </w:rPr>
        <w:t xml:space="preserve"> </w:t>
      </w:r>
      <w:r w:rsidRPr="000310BD">
        <w:rPr>
          <w:rFonts w:ascii="Century Gothic" w:eastAsia="Arial" w:hAnsi="Century Gothic" w:cs="Arial"/>
          <w:lang w:val="es-ES"/>
        </w:rPr>
        <w:t>aplicación</w:t>
      </w:r>
      <w:r w:rsidRPr="000310BD">
        <w:rPr>
          <w:rFonts w:ascii="Century Gothic" w:eastAsia="Arial" w:hAnsi="Century Gothic" w:cs="Arial"/>
          <w:spacing w:val="-11"/>
          <w:lang w:val="es-ES"/>
        </w:rPr>
        <w:t xml:space="preserve"> </w:t>
      </w:r>
      <w:r w:rsidRPr="000310BD">
        <w:rPr>
          <w:rFonts w:ascii="Century Gothic" w:eastAsia="Arial" w:hAnsi="Century Gothic" w:cs="Arial"/>
          <w:lang w:val="es-ES"/>
        </w:rPr>
        <w:t>del</w:t>
      </w:r>
      <w:r w:rsidRPr="000310BD">
        <w:rPr>
          <w:rFonts w:ascii="Century Gothic" w:eastAsia="Arial" w:hAnsi="Century Gothic" w:cs="Arial"/>
          <w:spacing w:val="-12"/>
          <w:lang w:val="es-ES"/>
        </w:rPr>
        <w:t xml:space="preserve"> </w:t>
      </w:r>
      <w:r w:rsidRPr="000310BD">
        <w:rPr>
          <w:rFonts w:ascii="Century Gothic" w:eastAsia="Arial" w:hAnsi="Century Gothic" w:cs="Arial"/>
          <w:lang w:val="es-ES"/>
        </w:rPr>
        <w:t>documento</w:t>
      </w:r>
      <w:r w:rsidRPr="000310BD">
        <w:rPr>
          <w:rFonts w:ascii="Century Gothic" w:eastAsia="Arial" w:hAnsi="Century Gothic" w:cs="Arial"/>
          <w:spacing w:val="-12"/>
          <w:lang w:val="es-ES"/>
        </w:rPr>
        <w:t xml:space="preserve"> </w:t>
      </w:r>
      <w:r w:rsidRPr="000310BD">
        <w:rPr>
          <w:rFonts w:ascii="Century Gothic" w:eastAsia="Arial" w:hAnsi="Century Gothic" w:cs="Arial"/>
          <w:lang w:val="es-ES"/>
        </w:rPr>
        <w:t>base</w:t>
      </w:r>
      <w:r w:rsidRPr="000310BD">
        <w:rPr>
          <w:rFonts w:ascii="Century Gothic" w:eastAsia="Arial" w:hAnsi="Century Gothic" w:cs="Arial"/>
          <w:spacing w:val="-11"/>
          <w:lang w:val="es-ES"/>
        </w:rPr>
        <w:t xml:space="preserve"> </w:t>
      </w:r>
      <w:r w:rsidRPr="000310BD">
        <w:rPr>
          <w:rFonts w:ascii="Century Gothic" w:eastAsia="Arial" w:hAnsi="Century Gothic" w:cs="Arial"/>
          <w:lang w:val="es-ES"/>
        </w:rPr>
        <w:t>es</w:t>
      </w:r>
      <w:r w:rsidRPr="000310BD">
        <w:rPr>
          <w:rFonts w:ascii="Century Gothic" w:eastAsia="Arial" w:hAnsi="Century Gothic" w:cs="Arial"/>
          <w:spacing w:val="-12"/>
          <w:lang w:val="es-ES"/>
        </w:rPr>
        <w:t xml:space="preserve"> </w:t>
      </w:r>
      <w:r w:rsidRPr="000310BD">
        <w:rPr>
          <w:rFonts w:ascii="Century Gothic" w:eastAsia="Arial" w:hAnsi="Century Gothic" w:cs="Arial"/>
          <w:lang w:val="es-ES"/>
        </w:rPr>
        <w:t xml:space="preserve">su </w:t>
      </w:r>
      <w:r w:rsidRPr="000310BD">
        <w:rPr>
          <w:rFonts w:ascii="Century Gothic" w:eastAsia="Arial" w:hAnsi="Century Gothic" w:cs="Arial"/>
          <w:i/>
          <w:iCs/>
          <w:lang w:val="es-ES"/>
        </w:rPr>
        <w:t>inalterabilidad</w:t>
      </w:r>
      <w:r w:rsidRPr="000310BD">
        <w:rPr>
          <w:rFonts w:ascii="Century Gothic" w:eastAsia="Arial" w:hAnsi="Century Gothic" w:cs="Arial"/>
          <w:lang w:val="es-ES"/>
        </w:rPr>
        <w:t xml:space="preserve">. Por lo tanto, no se podrán incluir o modificar dentro de los documentos del proceso las condiciones habilitantes, los factores técnicos y económicos de escogencia y los sistemas </w:t>
      </w:r>
      <w:r w:rsidRPr="000310BD">
        <w:rPr>
          <w:rFonts w:ascii="Century Gothic" w:eastAsia="Calibri" w:hAnsi="Century Gothic" w:cs="Arial"/>
          <w:color w:val="000000"/>
          <w:lang w:val="es-ES_tradnl" w:eastAsia="es-ES"/>
        </w:rPr>
        <w:t>de ponderación señalados en los documentos tipo, salvo lo previsto en el artículo 4 de las Resoluciones 240, 256 de 2020 y 193 de 2021. Por tanto, si el objeto contractual incluye bienes o servicios ajenos a la obra pública, a la interventoría de la obra pública o a la consultoría de estudios de ingeniería de infraestructura de transporte, de allí solo se deriva que podrá incluirse la experiencia adicional que se considere conveniente, atendiendo a las reglas cada uno de los actos administrativos citados.</w:t>
      </w:r>
    </w:p>
    <w:p w14:paraId="6D3FA15A" w14:textId="77777777" w:rsidR="0006500B" w:rsidRDefault="0006500B" w:rsidP="00F5129B">
      <w:pPr>
        <w:spacing w:before="120" w:after="120" w:line="276" w:lineRule="auto"/>
        <w:jc w:val="both"/>
        <w:rPr>
          <w:rFonts w:ascii="Century Gothic" w:eastAsia="Calibri" w:hAnsi="Century Gothic" w:cs="Arial"/>
          <w:b/>
          <w:color w:val="000000"/>
          <w:lang w:val="es-ES_tradnl"/>
        </w:rPr>
      </w:pPr>
      <w:r w:rsidRPr="00CD53D7">
        <w:rPr>
          <w:rFonts w:ascii="Century Gothic" w:eastAsia="Calibri" w:hAnsi="Century Gothic" w:cs="Arial"/>
          <w:b/>
          <w:color w:val="000000"/>
          <w:lang w:val="es-ES_tradnl"/>
        </w:rPr>
        <w:t>2.2 Pavimentos Asfálticos y/o Pavimentos de Concreto Hidráulico Reforzado</w:t>
      </w:r>
      <w:r>
        <w:rPr>
          <w:rFonts w:ascii="Century Gothic" w:eastAsia="Calibri" w:hAnsi="Century Gothic" w:cs="Arial"/>
          <w:b/>
          <w:color w:val="000000"/>
          <w:lang w:val="es-ES_tradnl"/>
        </w:rPr>
        <w:t xml:space="preserve">- </w:t>
      </w:r>
      <w:r w:rsidRPr="00C950DE">
        <w:rPr>
          <w:rFonts w:ascii="Century Gothic" w:eastAsia="Calibri" w:hAnsi="Century Gothic" w:cs="Arial"/>
          <w:b/>
          <w:color w:val="000000"/>
          <w:lang w:val="es-ES_tradnl"/>
        </w:rPr>
        <w:t>Experiencia - Documento tipo de licitación de obra pública de infraestructura de transporte - versión 3</w:t>
      </w:r>
      <w:r>
        <w:rPr>
          <w:rFonts w:ascii="Century Gothic" w:eastAsia="Calibri" w:hAnsi="Century Gothic" w:cs="Arial"/>
          <w:b/>
          <w:color w:val="000000"/>
          <w:lang w:val="es-ES_tradnl"/>
        </w:rPr>
        <w:t xml:space="preserve"> </w:t>
      </w:r>
    </w:p>
    <w:p w14:paraId="3D1DF999" w14:textId="77777777" w:rsidR="0006500B" w:rsidRDefault="0006500B" w:rsidP="0006500B">
      <w:pPr>
        <w:shd w:val="clear" w:color="auto" w:fill="FFFFFF"/>
        <w:jc w:val="both"/>
        <w:rPr>
          <w:rFonts w:ascii="Arial" w:hAnsi="Arial" w:cs="Arial"/>
          <w:bCs/>
          <w:lang w:val="es-ES"/>
        </w:rPr>
      </w:pPr>
    </w:p>
    <w:p w14:paraId="41FD3ED2" w14:textId="56A50977" w:rsidR="0006500B" w:rsidRPr="00024DA6" w:rsidRDefault="0006500B" w:rsidP="0006500B">
      <w:pPr>
        <w:shd w:val="clear" w:color="auto" w:fill="FFFFFF"/>
        <w:jc w:val="both"/>
        <w:rPr>
          <w:rFonts w:ascii="Century Gothic" w:hAnsi="Century Gothic" w:cs="Arial"/>
          <w:bCs/>
          <w:lang w:val="es-ES"/>
        </w:rPr>
      </w:pPr>
      <w:r w:rsidRPr="00024DA6">
        <w:rPr>
          <w:rFonts w:ascii="Century Gothic" w:hAnsi="Century Gothic" w:cs="Arial"/>
          <w:bCs/>
          <w:lang w:val="es-ES"/>
        </w:rPr>
        <w:t xml:space="preserve">La Matriz </w:t>
      </w:r>
      <w:r w:rsidRPr="00024DA6">
        <w:rPr>
          <w:rFonts w:ascii="Century Gothic" w:hAnsi="Century Gothic" w:cs="Arial"/>
          <w:bCs/>
          <w:i/>
          <w:iCs/>
          <w:lang w:val="es-ES"/>
        </w:rPr>
        <w:t xml:space="preserve">1 - “Experiencia - Documento tipo de licitación de obra pública de infraestructura de transporte - versión 3”, </w:t>
      </w:r>
      <w:r w:rsidRPr="00024DA6">
        <w:rPr>
          <w:rFonts w:ascii="Century Gothic" w:hAnsi="Century Gothic" w:cs="Arial"/>
          <w:bCs/>
          <w:lang w:val="es-ES"/>
        </w:rPr>
        <w:t xml:space="preserve">establece en el capítulo </w:t>
      </w:r>
      <w:r w:rsidRPr="00024DA6">
        <w:rPr>
          <w:rFonts w:ascii="Century Gothic" w:hAnsi="Century Gothic" w:cs="Arial"/>
          <w:bCs/>
          <w:i/>
          <w:iCs/>
          <w:lang w:val="es-ES"/>
        </w:rPr>
        <w:t>“1. OBRAS EN VÍAS PRIMARIAS O SECUNDARIAS”</w:t>
      </w:r>
      <w:r w:rsidRPr="00024DA6">
        <w:rPr>
          <w:rFonts w:ascii="Century Gothic" w:hAnsi="Century Gothic" w:cs="Arial"/>
          <w:bCs/>
          <w:lang w:val="es-ES"/>
        </w:rPr>
        <w:t>, la actividad de “</w:t>
      </w:r>
      <w:r w:rsidRPr="00024DA6">
        <w:rPr>
          <w:rFonts w:ascii="Century Gothic" w:hAnsi="Century Gothic" w:cs="Arial"/>
          <w:bCs/>
          <w:i/>
          <w:lang w:val="es-ES"/>
        </w:rPr>
        <w:t>1.2 PROYECTOS DE MEJORAMIENTO DE VÍAS</w:t>
      </w:r>
      <w:r w:rsidRPr="00024DA6">
        <w:rPr>
          <w:rFonts w:ascii="Century Gothic" w:hAnsi="Century Gothic" w:cs="Arial"/>
          <w:bCs/>
          <w:lang w:val="es-ES"/>
        </w:rPr>
        <w:t>” y allí se determinan los requisitos relacionados con las obras para el mejoramiento de vías tanto en pavimento</w:t>
      </w:r>
      <w:r w:rsidR="00605405">
        <w:rPr>
          <w:rFonts w:ascii="Century Gothic" w:hAnsi="Century Gothic" w:cs="Arial"/>
          <w:bCs/>
          <w:lang w:val="es-ES"/>
        </w:rPr>
        <w:t xml:space="preserve"> </w:t>
      </w:r>
      <w:r w:rsidRPr="00024DA6">
        <w:rPr>
          <w:rFonts w:ascii="Century Gothic" w:hAnsi="Century Gothic" w:cs="Arial"/>
          <w:bCs/>
          <w:lang w:val="es-ES"/>
        </w:rPr>
        <w:t xml:space="preserve">hidráulico como </w:t>
      </w:r>
      <w:r w:rsidR="00605405">
        <w:rPr>
          <w:rFonts w:ascii="Century Gothic" w:hAnsi="Century Gothic" w:cs="Arial"/>
          <w:bCs/>
          <w:lang w:val="es-ES"/>
        </w:rPr>
        <w:t>asfáltico</w:t>
      </w:r>
      <w:r w:rsidRPr="00024DA6">
        <w:rPr>
          <w:rFonts w:ascii="Century Gothic" w:hAnsi="Century Gothic" w:cs="Arial"/>
          <w:bCs/>
          <w:lang w:val="es-ES"/>
        </w:rPr>
        <w:t xml:space="preserve"> y para tal efecto establece la siguiente experiencia:</w:t>
      </w:r>
    </w:p>
    <w:p w14:paraId="2B5FC8C5" w14:textId="77777777" w:rsidR="0006500B" w:rsidRPr="00024DA6" w:rsidRDefault="0006500B" w:rsidP="0006500B">
      <w:pPr>
        <w:shd w:val="clear" w:color="auto" w:fill="FFFFFF"/>
        <w:jc w:val="both"/>
        <w:rPr>
          <w:rFonts w:ascii="Century Gothic" w:hAnsi="Century Gothic" w:cs="Arial"/>
          <w:bCs/>
          <w:u w:val="single"/>
          <w:lang w:val="es-ES"/>
        </w:rPr>
      </w:pPr>
      <w:r w:rsidRPr="00024DA6">
        <w:rPr>
          <w:rFonts w:ascii="Century Gothic" w:hAnsi="Century Gothic" w:cs="Arial"/>
          <w:bCs/>
          <w:u w:val="single"/>
          <w:lang w:val="es-ES"/>
        </w:rPr>
        <w:t>Experiencia General:</w:t>
      </w:r>
    </w:p>
    <w:p w14:paraId="14A5F62D" w14:textId="77777777" w:rsidR="0006500B" w:rsidRPr="00CF77D4" w:rsidRDefault="0006500B" w:rsidP="0006500B">
      <w:pPr>
        <w:pStyle w:val="ListParagraph"/>
        <w:shd w:val="clear" w:color="auto" w:fill="FFFFFF"/>
        <w:jc w:val="both"/>
        <w:rPr>
          <w:rFonts w:ascii="Century Gothic" w:hAnsi="Century Gothic" w:cs="Arial"/>
          <w:bCs/>
          <w:i/>
          <w:sz w:val="20"/>
          <w:szCs w:val="20"/>
        </w:rPr>
      </w:pPr>
      <w:r w:rsidRPr="00CF77D4">
        <w:rPr>
          <w:rFonts w:ascii="Century Gothic" w:hAnsi="Century Gothic" w:cs="Arial"/>
          <w:bCs/>
          <w:i/>
          <w:sz w:val="20"/>
          <w:szCs w:val="20"/>
        </w:rPr>
        <w:lastRenderedPageBreak/>
        <w:t>“CONSTRUCCIÓN O RECONSTRUCCIÓN O MEJORAMIENTO EN PAVIMENTO ASFALTICO O CONCRETO HIDRÁULICO DE VÍAS PRIMARIAS O SECUNDARIAS O VIAS URBANAS O PISTAS DE AEROPUERTOS”</w:t>
      </w:r>
    </w:p>
    <w:p w14:paraId="3DE1D033" w14:textId="77777777" w:rsidR="0006500B" w:rsidRPr="00024DA6" w:rsidRDefault="0006500B" w:rsidP="0006500B">
      <w:pPr>
        <w:shd w:val="clear" w:color="auto" w:fill="FFFFFF"/>
        <w:jc w:val="both"/>
        <w:rPr>
          <w:rFonts w:ascii="Century Gothic" w:hAnsi="Century Gothic" w:cs="Arial"/>
          <w:bCs/>
          <w:u w:val="single"/>
          <w:lang w:val="es-ES"/>
        </w:rPr>
      </w:pPr>
      <w:r w:rsidRPr="00024DA6">
        <w:rPr>
          <w:rFonts w:ascii="Century Gothic" w:hAnsi="Century Gothic" w:cs="Arial"/>
          <w:bCs/>
          <w:u w:val="single"/>
          <w:lang w:val="es-ES"/>
        </w:rPr>
        <w:t xml:space="preserve">Experiencia Específica: </w:t>
      </w:r>
    </w:p>
    <w:p w14:paraId="1AFD02AE" w14:textId="77777777" w:rsidR="0006500B" w:rsidRPr="00024DA6" w:rsidRDefault="0006500B" w:rsidP="0006500B">
      <w:pPr>
        <w:shd w:val="clear" w:color="auto" w:fill="FFFFFF"/>
        <w:jc w:val="both"/>
        <w:rPr>
          <w:rFonts w:ascii="Century Gothic" w:hAnsi="Century Gothic" w:cs="Arial"/>
          <w:bCs/>
          <w:lang w:val="es-ES"/>
        </w:rPr>
      </w:pPr>
      <w:r w:rsidRPr="00024DA6">
        <w:rPr>
          <w:rFonts w:ascii="Century Gothic" w:hAnsi="Century Gothic" w:cs="Arial"/>
          <w:bCs/>
          <w:lang w:val="es-ES"/>
        </w:rPr>
        <w:t>Para un rango de Entre 1.001 y 13.000 SMMLV:</w:t>
      </w:r>
    </w:p>
    <w:p w14:paraId="775C91FE" w14:textId="77777777" w:rsidR="0006500B" w:rsidRPr="00CF77D4" w:rsidRDefault="0006500B" w:rsidP="0006500B">
      <w:pPr>
        <w:shd w:val="clear" w:color="auto" w:fill="FFFFFF"/>
        <w:ind w:left="708"/>
        <w:jc w:val="both"/>
        <w:rPr>
          <w:rFonts w:ascii="Century Gothic" w:hAnsi="Century Gothic" w:cs="Arial"/>
          <w:bCs/>
          <w:i/>
          <w:sz w:val="20"/>
          <w:szCs w:val="20"/>
          <w:lang w:val="es-ES"/>
        </w:rPr>
      </w:pPr>
      <w:r w:rsidRPr="00CF77D4">
        <w:rPr>
          <w:rFonts w:ascii="Century Gothic" w:hAnsi="Century Gothic" w:cs="Arial"/>
          <w:bCs/>
          <w:i/>
          <w:sz w:val="20"/>
          <w:szCs w:val="20"/>
          <w:lang w:val="es-ES"/>
        </w:rPr>
        <w:t>“Por lo menos uno (1) de los contratos válidos aportados como experiencia general sea de un valor correspondiente a por lo menos el 70% del valor de PRESUPUESTO OFICIAL (PO) del presente proceso de contratación.”</w:t>
      </w:r>
    </w:p>
    <w:p w14:paraId="3559B3BC" w14:textId="77777777" w:rsidR="0006500B" w:rsidRPr="00024DA6" w:rsidRDefault="0006500B" w:rsidP="0006500B">
      <w:pPr>
        <w:shd w:val="clear" w:color="auto" w:fill="FFFFFF"/>
        <w:jc w:val="both"/>
        <w:rPr>
          <w:rFonts w:ascii="Century Gothic" w:hAnsi="Century Gothic" w:cs="Arial"/>
          <w:bCs/>
          <w:i/>
          <w:lang w:val="es-ES"/>
        </w:rPr>
      </w:pPr>
      <w:r w:rsidRPr="00024DA6">
        <w:rPr>
          <w:rFonts w:ascii="Century Gothic" w:hAnsi="Century Gothic" w:cs="Arial"/>
          <w:bCs/>
          <w:lang w:val="es-ES"/>
        </w:rPr>
        <w:t xml:space="preserve">Para un rango de </w:t>
      </w:r>
      <w:r w:rsidRPr="00024DA6">
        <w:rPr>
          <w:rFonts w:ascii="Century Gothic" w:hAnsi="Century Gothic" w:cs="Arial"/>
          <w:bCs/>
          <w:i/>
          <w:lang w:val="es-ES"/>
        </w:rPr>
        <w:t>Entre 13.001 y 27.000 SMMLV:</w:t>
      </w:r>
    </w:p>
    <w:p w14:paraId="4D5113E1" w14:textId="77777777" w:rsidR="0006500B" w:rsidRPr="00CF77D4" w:rsidRDefault="0006500B" w:rsidP="0006500B">
      <w:pPr>
        <w:shd w:val="clear" w:color="auto" w:fill="FFFFFF"/>
        <w:ind w:left="708"/>
        <w:jc w:val="both"/>
        <w:rPr>
          <w:rFonts w:ascii="Century Gothic" w:hAnsi="Century Gothic" w:cs="Arial"/>
          <w:bCs/>
          <w:i/>
          <w:sz w:val="20"/>
          <w:szCs w:val="20"/>
          <w:lang w:val="es-ES"/>
        </w:rPr>
      </w:pPr>
      <w:r w:rsidRPr="00CF77D4">
        <w:rPr>
          <w:rFonts w:ascii="Century Gothic" w:hAnsi="Century Gothic" w:cs="Arial"/>
          <w:bCs/>
          <w:i/>
          <w:sz w:val="20"/>
          <w:szCs w:val="20"/>
          <w:lang w:val="es-ES"/>
        </w:rPr>
        <w:t>“Por lo menos uno (1) de los contratos válidos aportados como experiencia general sea de un valor correspondiente a por lo menos el 60% del valor de PRESUPUESTO OFICIAL (PO) del presente proceso de contratación.</w:t>
      </w:r>
      <w:r w:rsidRPr="00CF77D4">
        <w:rPr>
          <w:rFonts w:ascii="Century Gothic" w:hAnsi="Century Gothic"/>
          <w:sz w:val="20"/>
          <w:szCs w:val="20"/>
        </w:rPr>
        <w:t xml:space="preserve"> </w:t>
      </w:r>
      <w:r w:rsidRPr="00CF77D4">
        <w:rPr>
          <w:rFonts w:ascii="Century Gothic" w:hAnsi="Century Gothic" w:cs="Arial"/>
          <w:bCs/>
          <w:i/>
          <w:sz w:val="20"/>
          <w:szCs w:val="20"/>
          <w:lang w:val="es-ES"/>
        </w:rPr>
        <w:t>Por lo menos uno (1) de los contratos válidos aportados como experiencia general sea de un valor correspondiente a por lo menos el 60% del valor de PRESUPUESTO OFICIAL (PO) del presente proceso de contratación.”</w:t>
      </w:r>
    </w:p>
    <w:p w14:paraId="3A747DBF" w14:textId="77777777" w:rsidR="0006500B" w:rsidRPr="00024DA6" w:rsidRDefault="0006500B" w:rsidP="0006500B">
      <w:pPr>
        <w:shd w:val="clear" w:color="auto" w:fill="FFFFFF"/>
        <w:jc w:val="both"/>
        <w:rPr>
          <w:rFonts w:ascii="Century Gothic" w:hAnsi="Century Gothic" w:cs="Arial"/>
          <w:bCs/>
          <w:i/>
          <w:lang w:val="es-ES"/>
        </w:rPr>
      </w:pPr>
      <w:r w:rsidRPr="00024DA6">
        <w:rPr>
          <w:rFonts w:ascii="Century Gothic" w:hAnsi="Century Gothic" w:cs="Arial"/>
          <w:bCs/>
          <w:i/>
          <w:lang w:val="es-ES"/>
        </w:rPr>
        <w:t>Para un rango Mayor o igual a 27.001 SMMLV:</w:t>
      </w:r>
    </w:p>
    <w:p w14:paraId="2208EE84" w14:textId="77777777" w:rsidR="0006500B" w:rsidRPr="00CF77D4" w:rsidRDefault="0006500B" w:rsidP="0006500B">
      <w:pPr>
        <w:shd w:val="clear" w:color="auto" w:fill="FFFFFF"/>
        <w:ind w:left="708"/>
        <w:jc w:val="both"/>
        <w:rPr>
          <w:rFonts w:ascii="Century Gothic" w:hAnsi="Century Gothic" w:cs="Arial"/>
          <w:bCs/>
          <w:i/>
          <w:sz w:val="20"/>
          <w:szCs w:val="20"/>
          <w:lang w:val="es-ES"/>
        </w:rPr>
      </w:pPr>
      <w:r w:rsidRPr="00CF77D4">
        <w:rPr>
          <w:rFonts w:ascii="Century Gothic" w:hAnsi="Century Gothic" w:cs="Arial"/>
          <w:bCs/>
          <w:i/>
          <w:sz w:val="20"/>
          <w:szCs w:val="20"/>
          <w:lang w:val="es-ES"/>
        </w:rPr>
        <w:t>“Por lo menos uno (1) de los contratos válidos aportados como experiencia general sea de un valor correspondiente a por lo menos el 50% del valor de PRESUPUESTO OFICIAL (PO) del presente proceso de contratación”</w:t>
      </w:r>
    </w:p>
    <w:p w14:paraId="4BB30788" w14:textId="77777777" w:rsidR="0006500B" w:rsidRPr="00024DA6" w:rsidRDefault="0006500B" w:rsidP="00F5129B">
      <w:pPr>
        <w:shd w:val="clear" w:color="auto" w:fill="FFFFFF"/>
        <w:ind w:firstLine="708"/>
        <w:jc w:val="both"/>
        <w:rPr>
          <w:rFonts w:ascii="Century Gothic" w:hAnsi="Century Gothic" w:cs="Arial"/>
          <w:bCs/>
          <w:lang w:val="es-ES"/>
        </w:rPr>
      </w:pPr>
      <w:r w:rsidRPr="00024DA6">
        <w:rPr>
          <w:rFonts w:ascii="Century Gothic" w:hAnsi="Century Gothic" w:cs="Arial"/>
          <w:bCs/>
          <w:lang w:val="es-ES"/>
        </w:rPr>
        <w:t>Y adicionalmente para los tres rangos se establece:</w:t>
      </w:r>
    </w:p>
    <w:p w14:paraId="2E34D47C" w14:textId="77777777" w:rsidR="0006500B" w:rsidRPr="00CF77D4" w:rsidRDefault="0006500B" w:rsidP="0006500B">
      <w:pPr>
        <w:shd w:val="clear" w:color="auto" w:fill="FFFFFF"/>
        <w:ind w:left="708"/>
        <w:jc w:val="both"/>
        <w:rPr>
          <w:rFonts w:ascii="Century Gothic" w:hAnsi="Century Gothic" w:cs="Arial"/>
          <w:bCs/>
          <w:i/>
          <w:sz w:val="20"/>
          <w:szCs w:val="20"/>
          <w:lang w:val="es-ES"/>
        </w:rPr>
      </w:pPr>
      <w:r w:rsidRPr="00CF77D4">
        <w:rPr>
          <w:rFonts w:ascii="Century Gothic" w:hAnsi="Century Gothic" w:cs="Arial"/>
          <w:bCs/>
          <w:i/>
          <w:sz w:val="20"/>
          <w:szCs w:val="20"/>
          <w:lang w:val="es-ES"/>
        </w:rPr>
        <w:t>“Por lo menos uno (1) de los contratos válidos aportados como experiencia general debe contar con una longitud Intervenida correspondiente a por lo menos el 70% de la longitud de carretera a intervenir mediante el presente proceso de contratación.”</w:t>
      </w:r>
    </w:p>
    <w:p w14:paraId="3BC857FD" w14:textId="1468F772" w:rsidR="0006500B" w:rsidRPr="00024DA6" w:rsidRDefault="0006500B" w:rsidP="00F5129B">
      <w:pPr>
        <w:ind w:firstLine="426"/>
        <w:jc w:val="both"/>
        <w:rPr>
          <w:rFonts w:ascii="Century Gothic" w:hAnsi="Century Gothic"/>
        </w:rPr>
      </w:pPr>
      <w:r w:rsidRPr="00024DA6">
        <w:rPr>
          <w:rFonts w:ascii="Century Gothic" w:hAnsi="Century Gothic" w:cs="Arial"/>
          <w:bCs/>
          <w:iCs/>
          <w:lang w:val="es-ES_tradnl"/>
        </w:rPr>
        <w:t xml:space="preserve">En igual sentido, conviene aclarar que </w:t>
      </w:r>
      <w:r w:rsidR="00373EB3">
        <w:rPr>
          <w:rFonts w:ascii="Century Gothic" w:hAnsi="Century Gothic" w:cs="Arial"/>
          <w:bCs/>
          <w:iCs/>
          <w:lang w:val="es-ES_tradnl"/>
        </w:rPr>
        <w:t>los</w:t>
      </w:r>
      <w:r w:rsidRPr="00024DA6">
        <w:rPr>
          <w:rFonts w:ascii="Century Gothic" w:hAnsi="Century Gothic" w:cs="Arial"/>
          <w:bCs/>
          <w:iCs/>
          <w:lang w:val="es-ES_tradnl"/>
        </w:rPr>
        <w:t xml:space="preserve"> “</w:t>
      </w:r>
      <w:r w:rsidRPr="00024DA6">
        <w:rPr>
          <w:rFonts w:ascii="Century Gothic" w:hAnsi="Century Gothic" w:cs="Arial"/>
          <w:bCs/>
          <w:i/>
          <w:iCs/>
          <w:lang w:val="es-ES_tradnl"/>
        </w:rPr>
        <w:t>pavimentos flexibles”</w:t>
      </w:r>
      <w:r w:rsidRPr="00024DA6">
        <w:rPr>
          <w:rFonts w:ascii="Century Gothic" w:hAnsi="Century Gothic" w:cs="Arial"/>
          <w:bCs/>
          <w:iCs/>
          <w:lang w:val="es-ES_tradnl"/>
        </w:rPr>
        <w:t xml:space="preserve"> corresponde</w:t>
      </w:r>
      <w:r w:rsidR="00373EB3">
        <w:rPr>
          <w:rFonts w:ascii="Century Gothic" w:hAnsi="Century Gothic" w:cs="Arial"/>
          <w:bCs/>
          <w:iCs/>
          <w:lang w:val="es-ES_tradnl"/>
        </w:rPr>
        <w:t>n</w:t>
      </w:r>
      <w:r w:rsidRPr="00024DA6">
        <w:rPr>
          <w:rFonts w:ascii="Century Gothic" w:hAnsi="Century Gothic" w:cs="Arial"/>
          <w:bCs/>
          <w:iCs/>
          <w:lang w:val="es-ES_tradnl"/>
        </w:rPr>
        <w:t xml:space="preserve"> a un tipo de revestimiento que se caracteriza por su capacidad para soportar cargas y deformaciones sin sufrir daños significativos.</w:t>
      </w:r>
      <w:r w:rsidRPr="00024DA6">
        <w:rPr>
          <w:rFonts w:ascii="Century Gothic" w:hAnsi="Century Gothic"/>
          <w:lang w:val="es-ES_tradnl"/>
        </w:rPr>
        <w:t xml:space="preserve"> </w:t>
      </w:r>
      <w:r w:rsidRPr="00024DA6">
        <w:rPr>
          <w:rFonts w:ascii="Century Gothic" w:hAnsi="Century Gothic" w:cs="Arial"/>
          <w:bCs/>
          <w:iCs/>
        </w:rPr>
        <w:t xml:space="preserve">El “Anexo 3 – Glosario Técnico” del documento </w:t>
      </w:r>
      <w:r>
        <w:rPr>
          <w:rFonts w:ascii="Century Gothic" w:hAnsi="Century Gothic" w:cs="Arial"/>
          <w:bCs/>
          <w:iCs/>
        </w:rPr>
        <w:t>base</w:t>
      </w:r>
      <w:r w:rsidRPr="00024DA6">
        <w:rPr>
          <w:rFonts w:ascii="Century Gothic" w:hAnsi="Century Gothic" w:cs="Arial"/>
          <w:bCs/>
          <w:iCs/>
        </w:rPr>
        <w:t xml:space="preserve">, </w:t>
      </w:r>
      <w:r>
        <w:rPr>
          <w:rFonts w:ascii="Century Gothic" w:hAnsi="Century Gothic" w:cs="Arial"/>
          <w:bCs/>
          <w:iCs/>
        </w:rPr>
        <w:t xml:space="preserve">describe </w:t>
      </w:r>
      <w:r w:rsidRPr="00024DA6">
        <w:rPr>
          <w:rFonts w:ascii="Century Gothic" w:hAnsi="Century Gothic" w:cs="Arial"/>
          <w:bCs/>
          <w:iCs/>
        </w:rPr>
        <w:t>estos pavimentos como:</w:t>
      </w:r>
    </w:p>
    <w:p w14:paraId="0FE44E91" w14:textId="77777777" w:rsidR="0006500B" w:rsidRPr="00B3270E" w:rsidRDefault="0006500B" w:rsidP="0006500B">
      <w:pPr>
        <w:pStyle w:val="ListParagraph"/>
        <w:numPr>
          <w:ilvl w:val="1"/>
          <w:numId w:val="18"/>
        </w:numPr>
        <w:shd w:val="clear" w:color="auto" w:fill="FFFFFF"/>
        <w:spacing w:after="0" w:line="240" w:lineRule="auto"/>
        <w:jc w:val="both"/>
        <w:rPr>
          <w:rFonts w:ascii="Century Gothic" w:hAnsi="Century Gothic" w:cs="Arial"/>
          <w:bCs/>
          <w:iCs/>
          <w:sz w:val="20"/>
          <w:szCs w:val="20"/>
        </w:rPr>
      </w:pPr>
      <w:r w:rsidRPr="00B3270E">
        <w:rPr>
          <w:rFonts w:ascii="Century Gothic" w:hAnsi="Century Gothic" w:cs="Arial"/>
          <w:b/>
          <w:bCs/>
          <w:i/>
          <w:iCs/>
          <w:sz w:val="20"/>
          <w:szCs w:val="20"/>
        </w:rPr>
        <w:t xml:space="preserve"> Pavimentos Asfálticos y/o Pavimentos de Concreto Hidráulico Reforzado: </w:t>
      </w:r>
      <w:r w:rsidRPr="00B3270E">
        <w:rPr>
          <w:rFonts w:ascii="Century Gothic" w:hAnsi="Century Gothic" w:cs="Arial"/>
          <w:bCs/>
          <w:i/>
          <w:iCs/>
          <w:sz w:val="20"/>
          <w:szCs w:val="20"/>
        </w:rPr>
        <w:t>Estructura constituida por un conjunto de capas superpuestas, adecuadamente compactados, que se construyen sobre la subrasante con el objeto de soportar las cargas del tránsito durante un período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p>
    <w:p w14:paraId="44A6D95B" w14:textId="77777777" w:rsidR="0006500B" w:rsidRPr="00024DA6" w:rsidRDefault="0006500B" w:rsidP="0006500B">
      <w:pPr>
        <w:pStyle w:val="ListParagraph"/>
        <w:shd w:val="clear" w:color="auto" w:fill="FFFFFF"/>
        <w:spacing w:after="0" w:line="240" w:lineRule="auto"/>
        <w:ind w:left="866"/>
        <w:jc w:val="both"/>
        <w:rPr>
          <w:rFonts w:ascii="Century Gothic" w:hAnsi="Century Gothic" w:cs="Arial"/>
          <w:bCs/>
          <w:iCs/>
        </w:rPr>
      </w:pPr>
    </w:p>
    <w:p w14:paraId="4FED593D" w14:textId="35CD1577" w:rsidR="0006500B" w:rsidRPr="00024DA6" w:rsidRDefault="0006500B" w:rsidP="00F5129B">
      <w:pPr>
        <w:shd w:val="clear" w:color="auto" w:fill="FFFFFF"/>
        <w:ind w:firstLine="426"/>
        <w:jc w:val="both"/>
        <w:rPr>
          <w:rFonts w:ascii="Century Gothic" w:hAnsi="Century Gothic" w:cs="Arial"/>
          <w:bCs/>
          <w:iCs/>
          <w:lang w:val="es-ES"/>
        </w:rPr>
      </w:pPr>
      <w:r w:rsidRPr="00024DA6">
        <w:rPr>
          <w:rFonts w:ascii="Century Gothic" w:hAnsi="Century Gothic" w:cs="Arial"/>
          <w:bCs/>
          <w:iCs/>
          <w:lang w:val="es-ES"/>
        </w:rPr>
        <w:lastRenderedPageBreak/>
        <w:t>Adicionalmente la “</w:t>
      </w:r>
      <w:r w:rsidRPr="00024DA6">
        <w:rPr>
          <w:rFonts w:ascii="Century Gothic" w:hAnsi="Century Gothic" w:cs="Arial"/>
          <w:bCs/>
          <w:i/>
          <w:iCs/>
          <w:lang w:val="es-ES"/>
        </w:rPr>
        <w:t xml:space="preserve">GUÍA DISEÑO DE PAVIMENTOS PARA BAJOS VOLÚMENES DE TRÁNSITO Y VÍAS LOCALES PARA BOGOTÁ D.C” </w:t>
      </w:r>
      <w:r w:rsidRPr="00024DA6">
        <w:rPr>
          <w:rFonts w:ascii="Century Gothic" w:hAnsi="Century Gothic" w:cs="Arial"/>
          <w:bCs/>
          <w:iCs/>
          <w:lang w:val="es-ES"/>
        </w:rPr>
        <w:t xml:space="preserve">del Instituto de Desarrollo Urbano – IDU presenta la </w:t>
      </w:r>
      <w:r>
        <w:rPr>
          <w:rFonts w:ascii="Century Gothic" w:hAnsi="Century Gothic" w:cs="Arial"/>
          <w:bCs/>
          <w:iCs/>
          <w:lang w:val="es-ES"/>
        </w:rPr>
        <w:t xml:space="preserve">siguiente </w:t>
      </w:r>
      <w:r w:rsidRPr="00024DA6">
        <w:rPr>
          <w:rFonts w:ascii="Century Gothic" w:hAnsi="Century Gothic" w:cs="Arial"/>
          <w:bCs/>
          <w:iCs/>
          <w:lang w:val="es-ES"/>
        </w:rPr>
        <w:t>definición:</w:t>
      </w:r>
    </w:p>
    <w:p w14:paraId="5F85698D" w14:textId="77777777" w:rsidR="0006500B" w:rsidRPr="00B3270E" w:rsidRDefault="0006500B" w:rsidP="0006500B">
      <w:pPr>
        <w:shd w:val="clear" w:color="auto" w:fill="FFFFFF"/>
        <w:ind w:left="708"/>
        <w:jc w:val="both"/>
        <w:rPr>
          <w:rFonts w:ascii="Century Gothic" w:hAnsi="Century Gothic" w:cs="Arial"/>
          <w:sz w:val="20"/>
          <w:szCs w:val="20"/>
          <w:lang w:val="es-ES"/>
        </w:rPr>
      </w:pPr>
      <w:r w:rsidRPr="00B3270E">
        <w:rPr>
          <w:rFonts w:ascii="Century Gothic" w:hAnsi="Century Gothic" w:cs="Arial"/>
          <w:b/>
          <w:bCs/>
          <w:i/>
          <w:iCs/>
          <w:sz w:val="20"/>
          <w:szCs w:val="20"/>
          <w:lang w:val="es-ES"/>
        </w:rPr>
        <w:t xml:space="preserve">2.4.1Estructuras flexibles: </w:t>
      </w:r>
      <w:r w:rsidRPr="00B3270E">
        <w:rPr>
          <w:rFonts w:ascii="Century Gothic" w:hAnsi="Century Gothic" w:cs="Arial"/>
          <w:sz w:val="20"/>
          <w:szCs w:val="20"/>
          <w:lang w:val="es-ES"/>
        </w:rPr>
        <w:t>El pavimento flexible tiene como principal característica la mayor tolerancia a la deformación. Está compuesto por capas de cuerpo (base y subbase, estabilizadas o no) dispuestas sobre la subrasante. La capa superficial está constituida por materiales visco- elásticos (concretos asfálticos) cuyo objetivo es evitar la filtración de agua en la estructura. Las ventajas son su facilidad de adaptación a los cambios climáticos y su capacidad de deformabilidad asociada.</w:t>
      </w:r>
    </w:p>
    <w:p w14:paraId="1C2F31BF" w14:textId="36234AFD" w:rsidR="0006500B" w:rsidRDefault="0006500B" w:rsidP="00F5129B">
      <w:pPr>
        <w:shd w:val="clear" w:color="auto" w:fill="FFFFFF"/>
        <w:ind w:firstLine="708"/>
        <w:jc w:val="both"/>
        <w:rPr>
          <w:rFonts w:ascii="Century Gothic" w:hAnsi="Century Gothic" w:cs="Arial"/>
          <w:bCs/>
          <w:i/>
          <w:iCs/>
          <w:lang w:val="es-ES"/>
        </w:rPr>
      </w:pPr>
      <w:r>
        <w:rPr>
          <w:rFonts w:ascii="Century Gothic" w:hAnsi="Century Gothic" w:cs="Arial"/>
          <w:bCs/>
          <w:iCs/>
          <w:lang w:val="es-ES"/>
        </w:rPr>
        <w:t>De acuerdo con lo establecido en</w:t>
      </w:r>
      <w:r w:rsidRPr="00B3270E">
        <w:rPr>
          <w:rFonts w:ascii="Century Gothic" w:hAnsi="Century Gothic" w:cs="Arial"/>
          <w:bCs/>
          <w:iCs/>
          <w:lang w:val="es-ES"/>
        </w:rPr>
        <w:t xml:space="preserve"> la guía </w:t>
      </w:r>
      <w:r>
        <w:rPr>
          <w:rFonts w:ascii="Century Gothic" w:hAnsi="Century Gothic" w:cs="Arial"/>
          <w:bCs/>
          <w:iCs/>
          <w:lang w:val="es-ES"/>
        </w:rPr>
        <w:t>como estructura flexible,</w:t>
      </w:r>
      <w:r w:rsidRPr="00B3270E">
        <w:rPr>
          <w:rFonts w:ascii="Century Gothic" w:hAnsi="Century Gothic" w:cs="Arial"/>
          <w:bCs/>
          <w:iCs/>
          <w:lang w:val="es-ES"/>
        </w:rPr>
        <w:t xml:space="preserve"> la capa superficial de estas estructuras se compone de “concretos asfálticos” y la Matriz 1 - “Experiencia - Documento tipo de licitación de obra pública de infraestructura de transporte - versión 3</w:t>
      </w:r>
      <w:r>
        <w:rPr>
          <w:rFonts w:ascii="Century Gothic" w:hAnsi="Century Gothic" w:cs="Arial"/>
          <w:bCs/>
          <w:iCs/>
          <w:lang w:val="es-ES"/>
        </w:rPr>
        <w:t xml:space="preserve"> </w:t>
      </w:r>
      <w:r w:rsidRPr="00B3270E">
        <w:rPr>
          <w:rFonts w:ascii="Century Gothic" w:hAnsi="Century Gothic" w:cs="Arial"/>
          <w:bCs/>
          <w:iCs/>
          <w:lang w:val="es-ES"/>
        </w:rPr>
        <w:t>incluye la actividad para “</w:t>
      </w:r>
      <w:r w:rsidRPr="00B3270E">
        <w:rPr>
          <w:rFonts w:ascii="Century Gothic" w:hAnsi="Century Gothic" w:cs="Arial"/>
          <w:bCs/>
          <w:i/>
          <w:iCs/>
          <w:lang w:val="es-ES"/>
        </w:rPr>
        <w:t>CONSTRUCCIÓN O RECONSTRUCCIÓN O MEJORAMIENTO EN PAVIMENTO ASFALTICO</w:t>
      </w:r>
      <w:r w:rsidR="00F42650">
        <w:rPr>
          <w:rFonts w:ascii="Century Gothic" w:hAnsi="Century Gothic" w:cs="Arial"/>
          <w:bCs/>
          <w:i/>
          <w:iCs/>
          <w:lang w:val="es-ES"/>
        </w:rPr>
        <w:t>”</w:t>
      </w:r>
      <w:r>
        <w:rPr>
          <w:rFonts w:ascii="Century Gothic" w:hAnsi="Century Gothic" w:cs="Arial"/>
          <w:bCs/>
          <w:i/>
          <w:iCs/>
          <w:lang w:val="es-ES"/>
        </w:rPr>
        <w:t>.</w:t>
      </w:r>
    </w:p>
    <w:p w14:paraId="599438F6" w14:textId="77777777" w:rsidR="0006500B" w:rsidRDefault="0006500B" w:rsidP="0006500B">
      <w:pPr>
        <w:spacing w:before="120" w:after="120" w:line="276" w:lineRule="auto"/>
        <w:ind w:firstLine="708"/>
        <w:jc w:val="both"/>
        <w:rPr>
          <w:rFonts w:ascii="Century Gothic" w:hAnsi="Century Gothic" w:cs="Arial"/>
          <w:lang w:eastAsia="es-ES_tradnl"/>
        </w:rPr>
      </w:pPr>
      <w:r w:rsidRPr="000310BD">
        <w:rPr>
          <w:rFonts w:ascii="Century Gothic" w:eastAsia="Calibri" w:hAnsi="Century Gothic" w:cs="Arial"/>
          <w:color w:val="000000"/>
          <w:lang w:eastAsia="es-ES_tradnl"/>
        </w:rPr>
        <w:t>Sin perjuicio de las consideraciones anteriores</w:t>
      </w:r>
      <w:r w:rsidRPr="000310BD">
        <w:rPr>
          <w:rFonts w:ascii="Century Gothic" w:hAnsi="Century Gothic" w:cs="Arial"/>
          <w:lang w:eastAsia="es-ES_tradnl"/>
        </w:rPr>
        <w:t>, debe advertirse que es la entidad contratante, al momento de adelantar sus actividades de planeación de cada proceso contractual,</w:t>
      </w:r>
      <w:r>
        <w:rPr>
          <w:rFonts w:ascii="Century Gothic" w:hAnsi="Century Gothic" w:cs="Arial"/>
          <w:lang w:eastAsia="es-ES_tradnl"/>
        </w:rPr>
        <w:t xml:space="preserve"> es</w:t>
      </w:r>
      <w:r w:rsidRPr="000310BD">
        <w:rPr>
          <w:rFonts w:ascii="Century Gothic" w:hAnsi="Century Gothic" w:cs="Arial"/>
          <w:lang w:eastAsia="es-ES_tradnl"/>
        </w:rPr>
        <w:t xml:space="preserve"> la que debe determinar si, de acuerdo con las particularidades del contrato a ejecutar, este encaja o no dentro de alguna de las actividades de la matriz 1 de cada documento tipo y, si, en consecuencia, deben aplicarse o no determinados documentos tipo, conforme a los parámetros indicados en este concepto. Lo anterior, sin perjuicio de que pueda apartarse de su aplicación cuando materialmente el objeto a contratar corresponde con alguna actividad que </w:t>
      </w:r>
      <w:r>
        <w:rPr>
          <w:rFonts w:ascii="Century Gothic" w:hAnsi="Century Gothic" w:cs="Arial"/>
          <w:lang w:eastAsia="es-ES_tradnl"/>
        </w:rPr>
        <w:t>no esté c</w:t>
      </w:r>
      <w:r w:rsidRPr="000310BD">
        <w:rPr>
          <w:rFonts w:ascii="Century Gothic" w:hAnsi="Century Gothic" w:cs="Arial"/>
          <w:lang w:eastAsia="es-ES_tradnl"/>
        </w:rPr>
        <w:t xml:space="preserve">ontemplada en dicha matriz. </w:t>
      </w:r>
    </w:p>
    <w:p w14:paraId="6BAF4BC3" w14:textId="77777777" w:rsidR="0006500B" w:rsidRDefault="0006500B" w:rsidP="0006500B">
      <w:pPr>
        <w:shd w:val="clear" w:color="auto" w:fill="FFFFFF"/>
        <w:jc w:val="both"/>
        <w:rPr>
          <w:rFonts w:ascii="Century Gothic" w:hAnsi="Century Gothic" w:cs="Arial"/>
          <w:bCs/>
          <w:i/>
          <w:iCs/>
          <w:lang w:val="es-ES"/>
        </w:rPr>
      </w:pPr>
    </w:p>
    <w:bookmarkEnd w:id="16"/>
    <w:p w14:paraId="3EFA76D8" w14:textId="77777777" w:rsidR="0006500B" w:rsidRPr="004715CB" w:rsidRDefault="0006500B" w:rsidP="0006500B">
      <w:pPr>
        <w:tabs>
          <w:tab w:val="left" w:pos="0"/>
        </w:tabs>
        <w:spacing w:after="0" w:line="276" w:lineRule="auto"/>
        <w:jc w:val="both"/>
        <w:rPr>
          <w:rFonts w:ascii="Century Gothic" w:eastAsia="Calibri" w:hAnsi="Century Gothic" w:cs="Arial"/>
          <w:b/>
          <w:color w:val="000000"/>
          <w:lang w:val="es-ES_tradnl"/>
        </w:rPr>
      </w:pPr>
      <w:r w:rsidRPr="004715CB">
        <w:rPr>
          <w:rFonts w:ascii="Century Gothic" w:eastAsia="Calibri" w:hAnsi="Century Gothic" w:cs="Arial"/>
          <w:b/>
          <w:color w:val="000000"/>
          <w:lang w:val="es-ES_tradnl"/>
        </w:rPr>
        <w:t>3. Respuesta</w:t>
      </w:r>
    </w:p>
    <w:p w14:paraId="29AE11D0" w14:textId="77777777" w:rsidR="0006500B" w:rsidRDefault="0006500B" w:rsidP="0006500B">
      <w:pPr>
        <w:spacing w:after="0" w:line="276" w:lineRule="auto"/>
        <w:jc w:val="both"/>
        <w:rPr>
          <w:rFonts w:ascii="Century Gothic" w:eastAsia="Calibri" w:hAnsi="Century Gothic" w:cs="Arial"/>
          <w:lang w:val="es-MX"/>
        </w:rPr>
      </w:pPr>
    </w:p>
    <w:p w14:paraId="15EE2E22" w14:textId="77777777" w:rsidR="0006500B" w:rsidRPr="0040278B" w:rsidRDefault="0006500B" w:rsidP="0006500B">
      <w:pPr>
        <w:spacing w:after="0" w:line="276" w:lineRule="auto"/>
        <w:ind w:left="708"/>
        <w:jc w:val="both"/>
        <w:rPr>
          <w:rFonts w:ascii="Century Gothic" w:eastAsia="Calibri" w:hAnsi="Century Gothic" w:cs="Arial"/>
          <w:sz w:val="20"/>
          <w:szCs w:val="20"/>
          <w:lang w:val="es-MX"/>
        </w:rPr>
      </w:pPr>
      <w:r w:rsidRPr="0040278B">
        <w:rPr>
          <w:rFonts w:ascii="Century Gothic" w:eastAsia="Calibri" w:hAnsi="Century Gothic" w:cs="Arial"/>
          <w:sz w:val="20"/>
          <w:szCs w:val="20"/>
          <w:lang w:val="es-MX"/>
        </w:rPr>
        <w:t>En un proceso tipo del sector INFRAESTRUCTURA DE TRANSPORTE, cuyo objeto corresponde al MEJORAMIENTO EN PAVIMENTO FLEXIBLE, puede una entidad haciendo uso de los contemplado en el artículo 2.2.1.2.6.1.5 del Decreto 1082 de 2015 referido a Bienes o servicios adicionales a la obra pública, solicitar experiencia adicional en que por lo menos (1) de los contratos aportados como experiencia debe acreditar haber ejecutado la actividad de CARACTERIZACION VIAL?</w:t>
      </w:r>
    </w:p>
    <w:p w14:paraId="6D6C9275" w14:textId="77777777" w:rsidR="0006500B" w:rsidRDefault="0006500B" w:rsidP="0006500B">
      <w:pPr>
        <w:spacing w:after="0" w:line="276" w:lineRule="auto"/>
        <w:jc w:val="both"/>
        <w:rPr>
          <w:rFonts w:ascii="Century Gothic" w:eastAsia="Calibri" w:hAnsi="Century Gothic" w:cs="Arial"/>
          <w:sz w:val="20"/>
          <w:szCs w:val="20"/>
          <w:lang w:val="es-MX"/>
        </w:rPr>
      </w:pPr>
    </w:p>
    <w:p w14:paraId="793B96F9" w14:textId="63D0FB59" w:rsidR="0006500B" w:rsidRPr="00B655DA" w:rsidRDefault="0006500B" w:rsidP="0006500B">
      <w:pPr>
        <w:jc w:val="both"/>
        <w:rPr>
          <w:rFonts w:ascii="Century Gothic" w:hAnsi="Century Gothic" w:cs="Arial"/>
          <w:bCs/>
          <w:iCs/>
          <w:lang w:val="es-ES_tradnl"/>
        </w:rPr>
      </w:pPr>
      <w:bookmarkStart w:id="21" w:name="_Hlk149559601"/>
      <w:r w:rsidRPr="00B655DA">
        <w:rPr>
          <w:rFonts w:ascii="Century Gothic" w:hAnsi="Century Gothic" w:cs="Arial"/>
          <w:lang w:val="es-ES"/>
        </w:rPr>
        <w:t>Como se estableció en las consideraciones</w:t>
      </w:r>
      <w:bookmarkEnd w:id="21"/>
      <w:r w:rsidRPr="00B655DA">
        <w:rPr>
          <w:rFonts w:ascii="Century Gothic" w:hAnsi="Century Gothic" w:cs="Arial"/>
          <w:bCs/>
          <w:iCs/>
          <w:lang w:val="es-ES_tradnl"/>
        </w:rPr>
        <w:t xml:space="preserve">, </w:t>
      </w:r>
      <w:r>
        <w:rPr>
          <w:rFonts w:ascii="Century Gothic" w:hAnsi="Century Gothic" w:cs="Arial"/>
          <w:bCs/>
          <w:iCs/>
          <w:lang w:val="es-ES_tradnl"/>
        </w:rPr>
        <w:t xml:space="preserve">los </w:t>
      </w:r>
      <w:r w:rsidRPr="00B655DA">
        <w:rPr>
          <w:rFonts w:ascii="Century Gothic" w:hAnsi="Century Gothic" w:cs="Arial"/>
          <w:bCs/>
          <w:iCs/>
          <w:lang w:val="es-ES_tradnl"/>
        </w:rPr>
        <w:t>“</w:t>
      </w:r>
      <w:r w:rsidRPr="00B655DA">
        <w:rPr>
          <w:rFonts w:ascii="Century Gothic" w:hAnsi="Century Gothic" w:cs="Arial"/>
          <w:bCs/>
          <w:i/>
          <w:iCs/>
          <w:lang w:val="es-ES_tradnl"/>
        </w:rPr>
        <w:t>pavimentos flexibles”</w:t>
      </w:r>
      <w:r w:rsidRPr="00B655DA">
        <w:rPr>
          <w:rFonts w:ascii="Century Gothic" w:hAnsi="Century Gothic" w:cs="Arial"/>
          <w:bCs/>
          <w:iCs/>
          <w:lang w:val="es-ES_tradnl"/>
        </w:rPr>
        <w:t xml:space="preserve"> corresponde</w:t>
      </w:r>
      <w:r>
        <w:rPr>
          <w:rFonts w:ascii="Century Gothic" w:hAnsi="Century Gothic" w:cs="Arial"/>
          <w:bCs/>
          <w:iCs/>
          <w:lang w:val="es-ES_tradnl"/>
        </w:rPr>
        <w:t>n</w:t>
      </w:r>
      <w:r w:rsidRPr="00B655DA">
        <w:rPr>
          <w:rFonts w:ascii="Century Gothic" w:hAnsi="Century Gothic" w:cs="Arial"/>
          <w:bCs/>
          <w:iCs/>
          <w:lang w:val="es-ES_tradnl"/>
        </w:rPr>
        <w:t xml:space="preserve"> a un tipo de revestimiento que se caracteriza por su capacidad para soportar cargas y deformaciones sin sufrir daños significativos</w:t>
      </w:r>
      <w:r>
        <w:rPr>
          <w:rFonts w:ascii="Century Gothic" w:hAnsi="Century Gothic" w:cs="Arial"/>
          <w:bCs/>
          <w:iCs/>
          <w:lang w:val="es-ES_tradnl"/>
        </w:rPr>
        <w:t xml:space="preserve">, </w:t>
      </w:r>
      <w:r w:rsidR="00963F4D">
        <w:rPr>
          <w:rFonts w:ascii="Century Gothic" w:hAnsi="Century Gothic" w:cs="Arial"/>
          <w:bCs/>
          <w:iCs/>
          <w:lang w:val="es-ES_tradnl"/>
        </w:rPr>
        <w:t xml:space="preserve">y </w:t>
      </w:r>
      <w:r>
        <w:rPr>
          <w:rFonts w:ascii="Century Gothic" w:hAnsi="Century Gothic" w:cs="Arial"/>
          <w:bCs/>
          <w:iCs/>
          <w:lang w:val="es-ES_tradnl"/>
        </w:rPr>
        <w:t>se encuentran relacionados en el</w:t>
      </w:r>
      <w:r w:rsidRPr="00B655DA">
        <w:rPr>
          <w:rFonts w:ascii="Century Gothic" w:hAnsi="Century Gothic"/>
          <w:lang w:val="es-ES_tradnl"/>
        </w:rPr>
        <w:t xml:space="preserve"> </w:t>
      </w:r>
      <w:r w:rsidRPr="00B655DA">
        <w:rPr>
          <w:rFonts w:ascii="Century Gothic" w:hAnsi="Century Gothic" w:cs="Arial"/>
          <w:bCs/>
          <w:iCs/>
        </w:rPr>
        <w:t xml:space="preserve">“Anexo 3 – Glosario Técnico” </w:t>
      </w:r>
      <w:r>
        <w:rPr>
          <w:rFonts w:ascii="Century Gothic" w:hAnsi="Century Gothic" w:cs="Arial"/>
          <w:bCs/>
          <w:iCs/>
        </w:rPr>
        <w:t xml:space="preserve">como </w:t>
      </w:r>
      <w:bookmarkStart w:id="22" w:name="_Hlk149573835"/>
      <w:r w:rsidRPr="007D5D17">
        <w:rPr>
          <w:rFonts w:ascii="Century Gothic" w:hAnsi="Century Gothic" w:cs="Arial"/>
          <w:lang w:val="es-ES"/>
        </w:rPr>
        <w:t xml:space="preserve">Pavimentos Asfálticos y/o </w:t>
      </w:r>
      <w:r w:rsidRPr="007D5D17">
        <w:rPr>
          <w:rFonts w:ascii="Century Gothic" w:hAnsi="Century Gothic" w:cs="Arial"/>
          <w:lang w:val="es-ES"/>
        </w:rPr>
        <w:lastRenderedPageBreak/>
        <w:t>Pavimentos de Concreto Hidráulico Reforzado</w:t>
      </w:r>
      <w:bookmarkEnd w:id="22"/>
      <w:r w:rsidR="00963F4D">
        <w:rPr>
          <w:rFonts w:ascii="Century Gothic" w:hAnsi="Century Gothic" w:cs="Arial"/>
          <w:bCs/>
          <w:iCs/>
          <w:lang w:val="es-ES"/>
        </w:rPr>
        <w:t>, así como en</w:t>
      </w:r>
      <w:r w:rsidRPr="00B655DA">
        <w:rPr>
          <w:rFonts w:ascii="Century Gothic" w:hAnsi="Century Gothic" w:cs="Arial"/>
          <w:bCs/>
          <w:iCs/>
          <w:lang w:val="es-ES"/>
        </w:rPr>
        <w:t xml:space="preserve"> la matriz de experiencia </w:t>
      </w:r>
      <w:r w:rsidR="00963F4D">
        <w:rPr>
          <w:rFonts w:ascii="Century Gothic" w:hAnsi="Century Gothic" w:cs="Arial"/>
          <w:bCs/>
          <w:iCs/>
          <w:lang w:val="es-ES"/>
        </w:rPr>
        <w:t xml:space="preserve">cuando </w:t>
      </w:r>
      <w:r>
        <w:rPr>
          <w:rFonts w:ascii="Century Gothic" w:hAnsi="Century Gothic" w:cs="Arial"/>
          <w:bCs/>
          <w:iCs/>
          <w:lang w:val="es-ES"/>
        </w:rPr>
        <w:t>establece</w:t>
      </w:r>
      <w:r w:rsidRPr="00B655DA">
        <w:rPr>
          <w:rFonts w:ascii="Century Gothic" w:hAnsi="Century Gothic" w:cs="Arial"/>
          <w:bCs/>
          <w:iCs/>
          <w:lang w:val="es-ES"/>
        </w:rPr>
        <w:t xml:space="preserve"> la actividad para “</w:t>
      </w:r>
      <w:r w:rsidRPr="00B655DA">
        <w:rPr>
          <w:rFonts w:ascii="Century Gothic" w:hAnsi="Century Gothic" w:cs="Arial"/>
          <w:bCs/>
          <w:i/>
          <w:iCs/>
          <w:lang w:val="es-ES"/>
        </w:rPr>
        <w:t>CONSTRUCCIÓN O RECONSTRUCCIÓN O MEJORAMIENTO EN PAVIMENTO ASFALTICO”</w:t>
      </w:r>
      <w:r>
        <w:rPr>
          <w:rFonts w:ascii="Century Gothic" w:hAnsi="Century Gothic" w:cs="Arial"/>
          <w:bCs/>
          <w:i/>
          <w:iCs/>
          <w:lang w:val="es-ES"/>
        </w:rPr>
        <w:t xml:space="preserve">; </w:t>
      </w:r>
      <w:r w:rsidRPr="007D5D17">
        <w:rPr>
          <w:rFonts w:ascii="Century Gothic" w:hAnsi="Century Gothic" w:cs="Arial"/>
          <w:bCs/>
          <w:lang w:val="es-ES"/>
        </w:rPr>
        <w:t>por lo cual para el caso que nos ocupa,</w:t>
      </w:r>
      <w:r w:rsidR="00DA3DF9">
        <w:rPr>
          <w:rFonts w:ascii="Century Gothic" w:hAnsi="Century Gothic" w:cs="Arial"/>
          <w:bCs/>
          <w:lang w:val="es-ES"/>
        </w:rPr>
        <w:t xml:space="preserve"> en principio,</w:t>
      </w:r>
      <w:r w:rsidRPr="007D5D17">
        <w:rPr>
          <w:rFonts w:ascii="Century Gothic" w:hAnsi="Century Gothic" w:cs="Arial"/>
          <w:bCs/>
          <w:lang w:val="es-ES"/>
        </w:rPr>
        <w:t xml:space="preserve"> la entidad estatal debe</w:t>
      </w:r>
      <w:r w:rsidRPr="007D5D17">
        <w:rPr>
          <w:rFonts w:ascii="Century Gothic" w:hAnsi="Century Gothic" w:cs="Arial"/>
          <w:bCs/>
          <w:lang w:val="es-ES_tradnl"/>
        </w:rPr>
        <w:t xml:space="preserve"> adoptar los documentos tipo para el proceso de selección que este adelantando.</w:t>
      </w:r>
    </w:p>
    <w:p w14:paraId="7E1BD40D" w14:textId="63476AC8" w:rsidR="0006500B" w:rsidRPr="00B655DA" w:rsidRDefault="0006500B" w:rsidP="00F5129B">
      <w:pPr>
        <w:shd w:val="clear" w:color="auto" w:fill="FFFFFF"/>
        <w:ind w:firstLine="708"/>
        <w:jc w:val="both"/>
        <w:rPr>
          <w:rFonts w:ascii="Century Gothic" w:hAnsi="Century Gothic" w:cs="Arial"/>
          <w:bCs/>
          <w:lang w:val="es-ES"/>
        </w:rPr>
      </w:pPr>
      <w:r>
        <w:rPr>
          <w:rFonts w:ascii="Century Gothic" w:hAnsi="Century Gothic" w:cs="Arial"/>
          <w:bCs/>
          <w:lang w:val="es-ES"/>
        </w:rPr>
        <w:t xml:space="preserve">Es </w:t>
      </w:r>
      <w:r w:rsidRPr="00B655DA">
        <w:rPr>
          <w:rFonts w:ascii="Century Gothic" w:hAnsi="Century Gothic" w:cs="Arial"/>
          <w:bCs/>
          <w:lang w:val="es-ES"/>
        </w:rPr>
        <w:t xml:space="preserve">importante resaltar que la Matriz </w:t>
      </w:r>
      <w:r w:rsidRPr="00B655DA">
        <w:rPr>
          <w:rFonts w:ascii="Century Gothic" w:hAnsi="Century Gothic" w:cs="Arial"/>
          <w:bCs/>
          <w:i/>
          <w:iCs/>
          <w:lang w:val="es-ES"/>
        </w:rPr>
        <w:t xml:space="preserve">1 - “Experiencia - Documento tipo de licitación de obra pública de infraestructura de transporte - versión 3”, </w:t>
      </w:r>
      <w:r w:rsidRPr="00B655DA">
        <w:rPr>
          <w:rFonts w:ascii="Century Gothic" w:hAnsi="Century Gothic" w:cs="Arial"/>
          <w:bCs/>
          <w:lang w:val="es-ES"/>
        </w:rPr>
        <w:t xml:space="preserve">establece en el capítulo </w:t>
      </w:r>
      <w:r w:rsidRPr="00B655DA">
        <w:rPr>
          <w:rFonts w:ascii="Century Gothic" w:hAnsi="Century Gothic" w:cs="Arial"/>
          <w:bCs/>
          <w:i/>
          <w:iCs/>
          <w:lang w:val="es-ES"/>
        </w:rPr>
        <w:t>“1. OBRAS EN VÍAS PRIMARIAS O SECUNDARIAS”</w:t>
      </w:r>
      <w:r w:rsidRPr="00B655DA">
        <w:rPr>
          <w:rFonts w:ascii="Century Gothic" w:hAnsi="Century Gothic" w:cs="Arial"/>
          <w:bCs/>
          <w:lang w:val="es-ES"/>
        </w:rPr>
        <w:t>, la actividad “</w:t>
      </w:r>
      <w:r w:rsidRPr="00B655DA">
        <w:rPr>
          <w:rFonts w:ascii="Century Gothic" w:hAnsi="Century Gothic" w:cs="Arial"/>
          <w:bCs/>
          <w:i/>
          <w:lang w:val="es-ES"/>
        </w:rPr>
        <w:t>1.2 PROYECTOS DE MEJORAMIENTO DE VÍAS</w:t>
      </w:r>
      <w:r w:rsidRPr="00B655DA">
        <w:rPr>
          <w:rFonts w:ascii="Century Gothic" w:hAnsi="Century Gothic" w:cs="Arial"/>
          <w:bCs/>
          <w:lang w:val="es-ES"/>
        </w:rPr>
        <w:t>” y allí determina los requisitos relacionados con las obras para el mejoramiento de vías tanto en pavimento hidráulico como flexible (asf</w:t>
      </w:r>
      <w:r w:rsidR="004D4359">
        <w:rPr>
          <w:rFonts w:ascii="Century Gothic" w:hAnsi="Century Gothic" w:cs="Arial"/>
          <w:bCs/>
          <w:lang w:val="es-ES"/>
        </w:rPr>
        <w:t>á</w:t>
      </w:r>
      <w:r w:rsidRPr="00B655DA">
        <w:rPr>
          <w:rFonts w:ascii="Century Gothic" w:hAnsi="Century Gothic" w:cs="Arial"/>
          <w:bCs/>
          <w:lang w:val="es-ES"/>
        </w:rPr>
        <w:t>ltico) y para tal efecto establece la siguiente experiencia:</w:t>
      </w:r>
    </w:p>
    <w:p w14:paraId="0CA2F1D5" w14:textId="77777777" w:rsidR="0006500B" w:rsidRPr="00B655DA" w:rsidRDefault="0006500B" w:rsidP="0006500B">
      <w:pPr>
        <w:shd w:val="clear" w:color="auto" w:fill="FFFFFF"/>
        <w:jc w:val="both"/>
        <w:rPr>
          <w:rFonts w:ascii="Century Gothic" w:hAnsi="Century Gothic" w:cs="Arial"/>
          <w:bCs/>
          <w:u w:val="single"/>
          <w:lang w:val="es-ES"/>
        </w:rPr>
      </w:pPr>
      <w:r w:rsidRPr="00B655DA">
        <w:rPr>
          <w:rFonts w:ascii="Century Gothic" w:hAnsi="Century Gothic" w:cs="Arial"/>
          <w:bCs/>
          <w:u w:val="single"/>
          <w:lang w:val="es-ES"/>
        </w:rPr>
        <w:t>Experiencia General:</w:t>
      </w:r>
    </w:p>
    <w:p w14:paraId="62243CA3" w14:textId="77777777" w:rsidR="0006500B" w:rsidRPr="00B655DA" w:rsidRDefault="0006500B" w:rsidP="0006500B">
      <w:pPr>
        <w:pStyle w:val="ListParagraph"/>
        <w:shd w:val="clear" w:color="auto" w:fill="FFFFFF"/>
        <w:jc w:val="both"/>
        <w:rPr>
          <w:rFonts w:ascii="Century Gothic" w:hAnsi="Century Gothic" w:cs="Arial"/>
          <w:bCs/>
          <w:i/>
        </w:rPr>
      </w:pPr>
      <w:r w:rsidRPr="00B655DA">
        <w:rPr>
          <w:rFonts w:ascii="Century Gothic" w:hAnsi="Century Gothic" w:cs="Arial"/>
          <w:bCs/>
          <w:i/>
        </w:rPr>
        <w:t>“CONSTRUCCIÓN O RECONSTRUCCIÓN O MEJORAMIENTO EN PAVIMENTO ASFALTICO O CONCRETO HIDRÁULICO DE VÍAS PRIMARIAS O SECUNDARIAS O VIAS URBANAS O PISTAS DE AEROPUERTOS”</w:t>
      </w:r>
    </w:p>
    <w:p w14:paraId="23372543" w14:textId="77777777" w:rsidR="0006500B" w:rsidRPr="00B655DA" w:rsidRDefault="0006500B" w:rsidP="0006500B">
      <w:pPr>
        <w:shd w:val="clear" w:color="auto" w:fill="FFFFFF"/>
        <w:jc w:val="both"/>
        <w:rPr>
          <w:rFonts w:ascii="Century Gothic" w:hAnsi="Century Gothic" w:cs="Arial"/>
          <w:bCs/>
          <w:u w:val="single"/>
          <w:lang w:val="es-ES"/>
        </w:rPr>
      </w:pPr>
      <w:r w:rsidRPr="00B655DA">
        <w:rPr>
          <w:rFonts w:ascii="Century Gothic" w:hAnsi="Century Gothic" w:cs="Arial"/>
          <w:bCs/>
          <w:u w:val="single"/>
          <w:lang w:val="es-ES"/>
        </w:rPr>
        <w:t xml:space="preserve">Experiencia Específica: </w:t>
      </w:r>
    </w:p>
    <w:p w14:paraId="159D5256" w14:textId="77777777" w:rsidR="0006500B" w:rsidRPr="00B655DA" w:rsidRDefault="0006500B" w:rsidP="0006500B">
      <w:pPr>
        <w:shd w:val="clear" w:color="auto" w:fill="FFFFFF"/>
        <w:jc w:val="both"/>
        <w:rPr>
          <w:rFonts w:ascii="Century Gothic" w:hAnsi="Century Gothic" w:cs="Arial"/>
          <w:bCs/>
          <w:lang w:val="es-ES"/>
        </w:rPr>
      </w:pPr>
      <w:r w:rsidRPr="00B655DA">
        <w:rPr>
          <w:rFonts w:ascii="Century Gothic" w:hAnsi="Century Gothic" w:cs="Arial"/>
          <w:bCs/>
          <w:lang w:val="es-ES"/>
        </w:rPr>
        <w:t>Para un rango de Entre 1.001 y 13.000 SMMLV:</w:t>
      </w:r>
    </w:p>
    <w:p w14:paraId="4F6C5C4C" w14:textId="77777777" w:rsidR="0006500B" w:rsidRPr="00B655DA" w:rsidRDefault="0006500B" w:rsidP="0006500B">
      <w:pPr>
        <w:shd w:val="clear" w:color="auto" w:fill="FFFFFF"/>
        <w:ind w:left="708"/>
        <w:jc w:val="both"/>
        <w:rPr>
          <w:rFonts w:ascii="Century Gothic" w:hAnsi="Century Gothic" w:cs="Arial"/>
          <w:bCs/>
          <w:i/>
          <w:lang w:val="es-ES"/>
        </w:rPr>
      </w:pPr>
      <w:r w:rsidRPr="00B655DA">
        <w:rPr>
          <w:rFonts w:ascii="Century Gothic" w:hAnsi="Century Gothic" w:cs="Arial"/>
          <w:bCs/>
          <w:i/>
          <w:lang w:val="es-ES"/>
        </w:rPr>
        <w:t>“Por lo menos uno (1) de los contratos válidos aportados como experiencia general sea de un valor correspondiente a por lo menos el 70% del valor de PRESUPUESTO OFICIAL (PO) del presente proceso de contratación.”</w:t>
      </w:r>
    </w:p>
    <w:p w14:paraId="0B1DAC26" w14:textId="77777777" w:rsidR="0006500B" w:rsidRPr="00B655DA" w:rsidRDefault="0006500B" w:rsidP="0006500B">
      <w:pPr>
        <w:shd w:val="clear" w:color="auto" w:fill="FFFFFF"/>
        <w:jc w:val="both"/>
        <w:rPr>
          <w:rFonts w:ascii="Century Gothic" w:hAnsi="Century Gothic" w:cs="Arial"/>
          <w:bCs/>
          <w:i/>
          <w:lang w:val="es-ES"/>
        </w:rPr>
      </w:pPr>
      <w:r w:rsidRPr="00B655DA">
        <w:rPr>
          <w:rFonts w:ascii="Century Gothic" w:hAnsi="Century Gothic" w:cs="Arial"/>
          <w:bCs/>
          <w:lang w:val="es-ES"/>
        </w:rPr>
        <w:t xml:space="preserve">Para un rango de </w:t>
      </w:r>
      <w:r w:rsidRPr="00B655DA">
        <w:rPr>
          <w:rFonts w:ascii="Century Gothic" w:hAnsi="Century Gothic" w:cs="Arial"/>
          <w:bCs/>
          <w:i/>
          <w:lang w:val="es-ES"/>
        </w:rPr>
        <w:t>Entre 13.001 y 27.000 SMMLV:</w:t>
      </w:r>
    </w:p>
    <w:p w14:paraId="0C61EDCC" w14:textId="77777777" w:rsidR="0006500B" w:rsidRPr="00B655DA" w:rsidRDefault="0006500B" w:rsidP="0006500B">
      <w:pPr>
        <w:shd w:val="clear" w:color="auto" w:fill="FFFFFF"/>
        <w:ind w:left="708"/>
        <w:jc w:val="both"/>
        <w:rPr>
          <w:rFonts w:ascii="Century Gothic" w:hAnsi="Century Gothic" w:cs="Arial"/>
          <w:bCs/>
          <w:i/>
          <w:lang w:val="es-ES"/>
        </w:rPr>
      </w:pPr>
      <w:r w:rsidRPr="00B655DA">
        <w:rPr>
          <w:rFonts w:ascii="Century Gothic" w:hAnsi="Century Gothic" w:cs="Arial"/>
          <w:bCs/>
          <w:i/>
          <w:lang w:val="es-ES"/>
        </w:rPr>
        <w:t>“Por lo menos uno (1) de los contratos válidos aportados como experiencia general sea de un valor correspondiente a por lo menos el 60% del valor de PRESUPUESTO OFICIAL (PO) del presente proceso de contratación.</w:t>
      </w:r>
      <w:r w:rsidRPr="00B655DA">
        <w:rPr>
          <w:rFonts w:ascii="Century Gothic" w:hAnsi="Century Gothic"/>
        </w:rPr>
        <w:t xml:space="preserve"> </w:t>
      </w:r>
      <w:r w:rsidRPr="00B655DA">
        <w:rPr>
          <w:rFonts w:ascii="Century Gothic" w:hAnsi="Century Gothic" w:cs="Arial"/>
          <w:bCs/>
          <w:i/>
          <w:lang w:val="es-ES"/>
        </w:rPr>
        <w:t>Por lo menos uno (1) de los contratos válidos aportados como experiencia general sea de un valor correspondiente a por lo menos el 60% del valor de PRESUPUESTO OFICIAL (PO) del presente proceso de contratación.”</w:t>
      </w:r>
    </w:p>
    <w:p w14:paraId="23EC633C" w14:textId="77777777" w:rsidR="0006500B" w:rsidRPr="00B655DA" w:rsidRDefault="0006500B" w:rsidP="0006500B">
      <w:pPr>
        <w:shd w:val="clear" w:color="auto" w:fill="FFFFFF"/>
        <w:jc w:val="both"/>
        <w:rPr>
          <w:rFonts w:ascii="Century Gothic" w:hAnsi="Century Gothic" w:cs="Arial"/>
          <w:bCs/>
          <w:i/>
          <w:lang w:val="es-ES"/>
        </w:rPr>
      </w:pPr>
      <w:r w:rsidRPr="00B655DA">
        <w:rPr>
          <w:rFonts w:ascii="Century Gothic" w:hAnsi="Century Gothic" w:cs="Arial"/>
          <w:bCs/>
          <w:i/>
          <w:lang w:val="es-ES"/>
        </w:rPr>
        <w:t>Para un rango Mayor o igual a 27.001 SMMLV:</w:t>
      </w:r>
    </w:p>
    <w:p w14:paraId="3EA7AA25" w14:textId="77777777" w:rsidR="0006500B" w:rsidRPr="00B655DA" w:rsidRDefault="0006500B" w:rsidP="0006500B">
      <w:pPr>
        <w:shd w:val="clear" w:color="auto" w:fill="FFFFFF"/>
        <w:ind w:left="708"/>
        <w:jc w:val="both"/>
        <w:rPr>
          <w:rFonts w:ascii="Century Gothic" w:hAnsi="Century Gothic" w:cs="Arial"/>
          <w:bCs/>
          <w:i/>
          <w:lang w:val="es-ES"/>
        </w:rPr>
      </w:pPr>
      <w:r w:rsidRPr="00B655DA">
        <w:rPr>
          <w:rFonts w:ascii="Century Gothic" w:hAnsi="Century Gothic" w:cs="Arial"/>
          <w:bCs/>
          <w:i/>
          <w:lang w:val="es-ES"/>
        </w:rPr>
        <w:t>“Por lo menos uno (1) de los contratos válidos aportados como experiencia general sea de un valor correspondiente a por lo menos el 50% del valor de PRESUPUESTO OFICIAL (PO) del presente proceso de contratación”</w:t>
      </w:r>
    </w:p>
    <w:p w14:paraId="413733DE" w14:textId="77777777" w:rsidR="0006500B" w:rsidRPr="00B655DA" w:rsidRDefault="0006500B" w:rsidP="0006500B">
      <w:pPr>
        <w:shd w:val="clear" w:color="auto" w:fill="FFFFFF"/>
        <w:jc w:val="both"/>
        <w:rPr>
          <w:rFonts w:ascii="Century Gothic" w:hAnsi="Century Gothic" w:cs="Arial"/>
          <w:bCs/>
          <w:lang w:val="es-ES"/>
        </w:rPr>
      </w:pPr>
      <w:r w:rsidRPr="00B655DA">
        <w:rPr>
          <w:rFonts w:ascii="Century Gothic" w:hAnsi="Century Gothic" w:cs="Arial"/>
          <w:bCs/>
          <w:lang w:val="es-ES"/>
        </w:rPr>
        <w:t>Y adicionalmente para los tres rangos se establece:</w:t>
      </w:r>
    </w:p>
    <w:p w14:paraId="7DCDB119" w14:textId="77777777" w:rsidR="0006500B" w:rsidRDefault="0006500B" w:rsidP="0006500B">
      <w:pPr>
        <w:shd w:val="clear" w:color="auto" w:fill="FFFFFF"/>
        <w:ind w:left="708"/>
        <w:jc w:val="both"/>
        <w:rPr>
          <w:rFonts w:ascii="Century Gothic" w:hAnsi="Century Gothic" w:cs="Arial"/>
          <w:bCs/>
          <w:i/>
          <w:lang w:val="es-ES"/>
        </w:rPr>
      </w:pPr>
      <w:r w:rsidRPr="00B655DA">
        <w:rPr>
          <w:rFonts w:ascii="Century Gothic" w:hAnsi="Century Gothic" w:cs="Arial"/>
          <w:bCs/>
          <w:i/>
          <w:lang w:val="es-ES"/>
        </w:rPr>
        <w:lastRenderedPageBreak/>
        <w:t>“Por lo menos uno (1) de los contratos válidos aportados como experiencia general debe contar con una longitud Intervenida correspondiente a por lo menos el 70% de la longitud de carretera a intervenir mediante el presente proceso de contratación. “</w:t>
      </w:r>
    </w:p>
    <w:p w14:paraId="57100A09" w14:textId="77777777" w:rsidR="0006500B" w:rsidRPr="00805A76" w:rsidRDefault="0006500B" w:rsidP="0006500B">
      <w:pPr>
        <w:spacing w:after="120" w:line="276" w:lineRule="auto"/>
        <w:ind w:firstLine="708"/>
        <w:jc w:val="both"/>
        <w:rPr>
          <w:rFonts w:ascii="Century Gothic" w:eastAsia="Calibri" w:hAnsi="Century Gothic" w:cs="Arial"/>
          <w:color w:val="000000"/>
          <w:lang w:val="es-ES_tradnl" w:eastAsia="es-ES"/>
        </w:rPr>
      </w:pPr>
      <w:r w:rsidRPr="00805A76">
        <w:rPr>
          <w:rFonts w:ascii="Century Gothic" w:hAnsi="Century Gothic" w:cs="Arial"/>
          <w:color w:val="000000"/>
          <w:lang w:val="es-ES_tradnl" w:eastAsia="es-ES"/>
        </w:rPr>
        <w:t xml:space="preserve">De otro lado, en la aplicación de los documentos tipo, la posibilidad de exigir </w:t>
      </w:r>
      <w:r w:rsidRPr="00805A76">
        <w:rPr>
          <w:rFonts w:ascii="Century Gothic" w:hAnsi="Century Gothic" w:cs="Arial"/>
          <w:i/>
          <w:iCs/>
          <w:color w:val="000000"/>
          <w:lang w:val="es-ES_tradnl" w:eastAsia="es-ES"/>
        </w:rPr>
        <w:t>experiencia adicional</w:t>
      </w:r>
      <w:r w:rsidRPr="00805A76">
        <w:rPr>
          <w:rFonts w:ascii="Century Gothic" w:hAnsi="Century Gothic" w:cs="Arial"/>
          <w:color w:val="000000"/>
          <w:lang w:val="es-ES_tradnl" w:eastAsia="es-ES"/>
        </w:rPr>
        <w:t xml:space="preserve"> a la estandarizada en la Matriz 1 se refiere a bienes y servicios adicionales a la obra pública, la interventoría o a la consultoría de estudios de ingeniería de infraestructura de transporte. Esta posibilidad surge cuando en el marco de la contratación de una de las actividades enlistadas en la Matriz 1, también se requieren contratar bienes y servicios adicionales cuya contratación, </w:t>
      </w:r>
      <w:r w:rsidRPr="00805A76">
        <w:rPr>
          <w:rFonts w:ascii="Century Gothic" w:hAnsi="Century Gothic" w:cs="Arial"/>
          <w:i/>
          <w:iCs/>
          <w:color w:val="000000"/>
          <w:lang w:val="es-ES_tradnl" w:eastAsia="es-ES"/>
        </w:rPr>
        <w:t>prima facie</w:t>
      </w:r>
      <w:r w:rsidRPr="00805A76">
        <w:rPr>
          <w:rFonts w:ascii="Century Gothic" w:hAnsi="Century Gothic" w:cs="Arial"/>
          <w:color w:val="000000"/>
          <w:lang w:val="es-ES_tradnl" w:eastAsia="es-ES"/>
        </w:rPr>
        <w:t xml:space="preserve">, se encuentra excluida de la aplicación de los documentos tipo de infraestructura de transporte y respecto a los cuales la entidad requiere que los proponentes acrediten cierta idoneidad. Ante estos supuestos, debe aplicarse </w:t>
      </w:r>
      <w:r w:rsidRPr="00805A76">
        <w:rPr>
          <w:rFonts w:ascii="Century Gothic" w:eastAsia="Calibri" w:hAnsi="Century Gothic" w:cs="Arial"/>
          <w:color w:val="000000"/>
          <w:lang w:val="es-ES_tradnl" w:eastAsia="es-ES"/>
        </w:rPr>
        <w:t>lo dispuesto en el artículo 4 de las Resoluciones 240, 256 de 2020 y 193 de 2021. Esta norma prevé que en estos eventos la entidad puede incluir experiencia adicional para evaluar la idoneidad respecto de los bienes o servicios adicionales a la obra pública,</w:t>
      </w:r>
      <w:r w:rsidRPr="00805A76">
        <w:rPr>
          <w:rFonts w:ascii="Century Gothic" w:hAnsi="Century Gothic" w:cs="Arial"/>
          <w:color w:val="000000"/>
          <w:lang w:val="es-ES_tradnl" w:eastAsia="es-ES"/>
        </w:rPr>
        <w:t xml:space="preserve"> la interventoría o a la consultoría de estudios de ingeniería de infraestructura de transporte</w:t>
      </w:r>
      <w:r w:rsidRPr="00805A76">
        <w:rPr>
          <w:rFonts w:ascii="Century Gothic" w:eastAsia="Calibri" w:hAnsi="Century Gothic" w:cs="Arial"/>
          <w:color w:val="000000"/>
          <w:lang w:val="es-ES_tradnl" w:eastAsia="es-ES"/>
        </w:rPr>
        <w:t>, según corresponda.</w:t>
      </w:r>
    </w:p>
    <w:p w14:paraId="1D5DE226" w14:textId="77777777" w:rsidR="0006500B" w:rsidRPr="00805A76" w:rsidRDefault="0006500B" w:rsidP="0006500B">
      <w:pPr>
        <w:widowControl w:val="0"/>
        <w:autoSpaceDE w:val="0"/>
        <w:autoSpaceDN w:val="0"/>
        <w:spacing w:after="120" w:line="276" w:lineRule="auto"/>
        <w:ind w:firstLine="709"/>
        <w:jc w:val="both"/>
        <w:rPr>
          <w:rFonts w:ascii="Century Gothic" w:eastAsia="Calibri" w:hAnsi="Century Gothic" w:cs="Arial"/>
          <w:color w:val="000000"/>
          <w:lang w:val="es-ES_tradnl" w:eastAsia="es-ES"/>
        </w:rPr>
      </w:pPr>
      <w:r w:rsidRPr="00805A76">
        <w:rPr>
          <w:rFonts w:ascii="Century Gothic" w:eastAsia="Arial" w:hAnsi="Century Gothic" w:cs="Arial"/>
          <w:lang w:val="es-ES"/>
        </w:rPr>
        <w:t>De</w:t>
      </w:r>
      <w:r w:rsidRPr="00805A76">
        <w:rPr>
          <w:rFonts w:ascii="Century Gothic" w:eastAsia="Arial" w:hAnsi="Century Gothic" w:cs="Arial"/>
          <w:spacing w:val="-12"/>
          <w:lang w:val="es-ES"/>
        </w:rPr>
        <w:t xml:space="preserve"> </w:t>
      </w:r>
      <w:r w:rsidRPr="00805A76">
        <w:rPr>
          <w:rFonts w:ascii="Century Gothic" w:eastAsia="Arial" w:hAnsi="Century Gothic" w:cs="Arial"/>
          <w:lang w:val="es-ES"/>
        </w:rPr>
        <w:t>esta</w:t>
      </w:r>
      <w:r w:rsidRPr="00805A76">
        <w:rPr>
          <w:rFonts w:ascii="Century Gothic" w:eastAsia="Arial" w:hAnsi="Century Gothic" w:cs="Arial"/>
          <w:spacing w:val="-12"/>
          <w:lang w:val="es-ES"/>
        </w:rPr>
        <w:t xml:space="preserve"> </w:t>
      </w:r>
      <w:r w:rsidRPr="00805A76">
        <w:rPr>
          <w:rFonts w:ascii="Century Gothic" w:eastAsia="Arial" w:hAnsi="Century Gothic" w:cs="Arial"/>
          <w:lang w:val="es-ES"/>
        </w:rPr>
        <w:t>manera,</w:t>
      </w:r>
      <w:r w:rsidRPr="00805A76">
        <w:rPr>
          <w:rFonts w:ascii="Century Gothic" w:eastAsia="Arial" w:hAnsi="Century Gothic" w:cs="Arial"/>
          <w:spacing w:val="-11"/>
          <w:lang w:val="es-ES"/>
        </w:rPr>
        <w:t xml:space="preserve"> </w:t>
      </w:r>
      <w:r w:rsidRPr="00805A76">
        <w:rPr>
          <w:rFonts w:ascii="Century Gothic" w:eastAsia="Arial" w:hAnsi="Century Gothic" w:cs="Arial"/>
          <w:lang w:val="es-ES"/>
        </w:rPr>
        <w:t>la</w:t>
      </w:r>
      <w:r w:rsidRPr="00805A76">
        <w:rPr>
          <w:rFonts w:ascii="Century Gothic" w:eastAsia="Arial" w:hAnsi="Century Gothic" w:cs="Arial"/>
          <w:spacing w:val="-12"/>
          <w:lang w:val="es-ES"/>
        </w:rPr>
        <w:t xml:space="preserve"> </w:t>
      </w:r>
      <w:r w:rsidRPr="00805A76">
        <w:rPr>
          <w:rFonts w:ascii="Century Gothic" w:eastAsia="Arial" w:hAnsi="Century Gothic" w:cs="Arial"/>
          <w:lang w:val="es-ES"/>
        </w:rPr>
        <w:t>regla</w:t>
      </w:r>
      <w:r w:rsidRPr="00805A76">
        <w:rPr>
          <w:rFonts w:ascii="Century Gothic" w:eastAsia="Arial" w:hAnsi="Century Gothic" w:cs="Arial"/>
          <w:spacing w:val="-12"/>
          <w:lang w:val="es-ES"/>
        </w:rPr>
        <w:t xml:space="preserve"> </w:t>
      </w:r>
      <w:r w:rsidRPr="00805A76">
        <w:rPr>
          <w:rFonts w:ascii="Century Gothic" w:eastAsia="Arial" w:hAnsi="Century Gothic" w:cs="Arial"/>
          <w:lang w:val="es-ES"/>
        </w:rPr>
        <w:t>general</w:t>
      </w:r>
      <w:r w:rsidRPr="00805A76">
        <w:rPr>
          <w:rFonts w:ascii="Century Gothic" w:eastAsia="Arial" w:hAnsi="Century Gothic" w:cs="Arial"/>
          <w:spacing w:val="-11"/>
          <w:lang w:val="es-ES"/>
        </w:rPr>
        <w:t xml:space="preserve"> </w:t>
      </w:r>
      <w:r w:rsidRPr="00805A76">
        <w:rPr>
          <w:rFonts w:ascii="Century Gothic" w:eastAsia="Arial" w:hAnsi="Century Gothic" w:cs="Arial"/>
          <w:lang w:val="es-ES"/>
        </w:rPr>
        <w:t>frente</w:t>
      </w:r>
      <w:r w:rsidRPr="00805A76">
        <w:rPr>
          <w:rFonts w:ascii="Century Gothic" w:eastAsia="Arial" w:hAnsi="Century Gothic" w:cs="Arial"/>
          <w:spacing w:val="-11"/>
          <w:lang w:val="es-ES"/>
        </w:rPr>
        <w:t xml:space="preserve"> </w:t>
      </w:r>
      <w:r w:rsidRPr="00805A76">
        <w:rPr>
          <w:rFonts w:ascii="Century Gothic" w:eastAsia="Arial" w:hAnsi="Century Gothic" w:cs="Arial"/>
          <w:lang w:val="es-ES"/>
        </w:rPr>
        <w:t>a</w:t>
      </w:r>
      <w:r w:rsidRPr="00805A76">
        <w:rPr>
          <w:rFonts w:ascii="Century Gothic" w:eastAsia="Arial" w:hAnsi="Century Gothic" w:cs="Arial"/>
          <w:spacing w:val="-12"/>
          <w:lang w:val="es-ES"/>
        </w:rPr>
        <w:t xml:space="preserve"> </w:t>
      </w:r>
      <w:r w:rsidRPr="00805A76">
        <w:rPr>
          <w:rFonts w:ascii="Century Gothic" w:eastAsia="Arial" w:hAnsi="Century Gothic" w:cs="Arial"/>
          <w:lang w:val="es-ES"/>
        </w:rPr>
        <w:t>la</w:t>
      </w:r>
      <w:r w:rsidRPr="00805A76">
        <w:rPr>
          <w:rFonts w:ascii="Century Gothic" w:eastAsia="Arial" w:hAnsi="Century Gothic" w:cs="Arial"/>
          <w:spacing w:val="-12"/>
          <w:lang w:val="es-ES"/>
        </w:rPr>
        <w:t xml:space="preserve"> </w:t>
      </w:r>
      <w:r w:rsidRPr="00805A76">
        <w:rPr>
          <w:rFonts w:ascii="Century Gothic" w:eastAsia="Arial" w:hAnsi="Century Gothic" w:cs="Arial"/>
          <w:lang w:val="es-ES"/>
        </w:rPr>
        <w:t>aplicación</w:t>
      </w:r>
      <w:r w:rsidRPr="00805A76">
        <w:rPr>
          <w:rFonts w:ascii="Century Gothic" w:eastAsia="Arial" w:hAnsi="Century Gothic" w:cs="Arial"/>
          <w:spacing w:val="-11"/>
          <w:lang w:val="es-ES"/>
        </w:rPr>
        <w:t xml:space="preserve"> </w:t>
      </w:r>
      <w:r w:rsidRPr="00805A76">
        <w:rPr>
          <w:rFonts w:ascii="Century Gothic" w:eastAsia="Arial" w:hAnsi="Century Gothic" w:cs="Arial"/>
          <w:lang w:val="es-ES"/>
        </w:rPr>
        <w:t>del</w:t>
      </w:r>
      <w:r w:rsidRPr="00805A76">
        <w:rPr>
          <w:rFonts w:ascii="Century Gothic" w:eastAsia="Arial" w:hAnsi="Century Gothic" w:cs="Arial"/>
          <w:spacing w:val="-12"/>
          <w:lang w:val="es-ES"/>
        </w:rPr>
        <w:t xml:space="preserve"> </w:t>
      </w:r>
      <w:r w:rsidRPr="00805A76">
        <w:rPr>
          <w:rFonts w:ascii="Century Gothic" w:eastAsia="Arial" w:hAnsi="Century Gothic" w:cs="Arial"/>
          <w:lang w:val="es-ES"/>
        </w:rPr>
        <w:t>documento</w:t>
      </w:r>
      <w:r w:rsidRPr="00805A76">
        <w:rPr>
          <w:rFonts w:ascii="Century Gothic" w:eastAsia="Arial" w:hAnsi="Century Gothic" w:cs="Arial"/>
          <w:spacing w:val="-12"/>
          <w:lang w:val="es-ES"/>
        </w:rPr>
        <w:t xml:space="preserve"> </w:t>
      </w:r>
      <w:r w:rsidRPr="00805A76">
        <w:rPr>
          <w:rFonts w:ascii="Century Gothic" w:eastAsia="Arial" w:hAnsi="Century Gothic" w:cs="Arial"/>
          <w:lang w:val="es-ES"/>
        </w:rPr>
        <w:t>base</w:t>
      </w:r>
      <w:r w:rsidRPr="00805A76">
        <w:rPr>
          <w:rFonts w:ascii="Century Gothic" w:eastAsia="Arial" w:hAnsi="Century Gothic" w:cs="Arial"/>
          <w:spacing w:val="-11"/>
          <w:lang w:val="es-ES"/>
        </w:rPr>
        <w:t xml:space="preserve"> </w:t>
      </w:r>
      <w:r w:rsidRPr="00805A76">
        <w:rPr>
          <w:rFonts w:ascii="Century Gothic" w:eastAsia="Arial" w:hAnsi="Century Gothic" w:cs="Arial"/>
          <w:lang w:val="es-ES"/>
        </w:rPr>
        <w:t>es</w:t>
      </w:r>
      <w:r w:rsidRPr="00805A76">
        <w:rPr>
          <w:rFonts w:ascii="Century Gothic" w:eastAsia="Arial" w:hAnsi="Century Gothic" w:cs="Arial"/>
          <w:spacing w:val="-12"/>
          <w:lang w:val="es-ES"/>
        </w:rPr>
        <w:t xml:space="preserve"> </w:t>
      </w:r>
      <w:r w:rsidRPr="00805A76">
        <w:rPr>
          <w:rFonts w:ascii="Century Gothic" w:eastAsia="Arial" w:hAnsi="Century Gothic" w:cs="Arial"/>
          <w:lang w:val="es-ES"/>
        </w:rPr>
        <w:t xml:space="preserve">su </w:t>
      </w:r>
      <w:r w:rsidRPr="00805A76">
        <w:rPr>
          <w:rFonts w:ascii="Century Gothic" w:eastAsia="Arial" w:hAnsi="Century Gothic" w:cs="Arial"/>
          <w:i/>
          <w:iCs/>
          <w:lang w:val="es-ES"/>
        </w:rPr>
        <w:t>inalterabilidad</w:t>
      </w:r>
      <w:r w:rsidRPr="00805A76">
        <w:rPr>
          <w:rFonts w:ascii="Century Gothic" w:eastAsia="Arial" w:hAnsi="Century Gothic" w:cs="Arial"/>
          <w:lang w:val="es-ES"/>
        </w:rPr>
        <w:t xml:space="preserve">. Por lo tanto, no se podrán incluir o modificar dentro de los documentos del proceso las condiciones habilitantes, los factores técnicos y económicos de escogencia y los sistemas </w:t>
      </w:r>
      <w:r w:rsidRPr="00805A76">
        <w:rPr>
          <w:rFonts w:ascii="Century Gothic" w:eastAsia="Calibri" w:hAnsi="Century Gothic" w:cs="Arial"/>
          <w:color w:val="000000"/>
          <w:lang w:val="es-ES_tradnl" w:eastAsia="es-ES"/>
        </w:rPr>
        <w:t>de ponderación señalados en los documentos tipo, salvo lo previsto en el artículo 4 de las Resoluciones 240, 256 de 2020 y 193 de 2021. Por tanto, si el objeto contractual incluye bienes o servicios ajenos a la obra pública, a la interventoría de la obra pública o a la consultoría de estudios de ingeniería de infraestructura de transporte, de allí solo se deriva que podrá incluirse la experiencia adicional que se considere conveniente, atendiendo a las reglas cada uno de los actos administrativos citados.</w:t>
      </w:r>
    </w:p>
    <w:p w14:paraId="35B98E58" w14:textId="77777777" w:rsidR="0006500B" w:rsidRPr="007D5D17" w:rsidRDefault="0006500B" w:rsidP="0006500B">
      <w:pPr>
        <w:widowControl w:val="0"/>
        <w:autoSpaceDE w:val="0"/>
        <w:autoSpaceDN w:val="0"/>
        <w:spacing w:after="120" w:line="276" w:lineRule="auto"/>
        <w:ind w:firstLine="709"/>
        <w:jc w:val="both"/>
        <w:rPr>
          <w:rFonts w:ascii="Century Gothic" w:eastAsia="Arial" w:hAnsi="Century Gothic" w:cs="Arial"/>
          <w:lang w:val="es-ES"/>
        </w:rPr>
      </w:pPr>
      <w:r w:rsidRPr="00805A76">
        <w:rPr>
          <w:rFonts w:ascii="Century Gothic" w:eastAsia="Calibri" w:hAnsi="Century Gothic" w:cs="Arial"/>
          <w:color w:val="000000"/>
          <w:lang w:eastAsia="es-ES_tradnl"/>
        </w:rPr>
        <w:t>Sin perjuicio de las consideraciones anteriores</w:t>
      </w:r>
      <w:r w:rsidRPr="00805A76">
        <w:rPr>
          <w:rFonts w:ascii="Century Gothic" w:hAnsi="Century Gothic" w:cs="Arial"/>
          <w:lang w:eastAsia="es-ES_tradnl"/>
        </w:rPr>
        <w:t xml:space="preserve">, debe advertirse que es la entidad contratante, al momento de adelantar sus actividades de planeación de cada proceso contractual, la que debe determinar si de acuerdo con las particularidades del contrato a ejecutar, este encaja o no dentro de alguna de las actividades de la matriz 1 de cada documento tipo, y si en consecuencia deben aplicarse o no determinados documentos tipo, conforme a los parámetros indicados en este concepto. Ello, sin perjuicio de que pueda apartarse de su aplicación cuando materialmente el objeto a contratar </w:t>
      </w:r>
      <w:r>
        <w:rPr>
          <w:rFonts w:ascii="Century Gothic" w:hAnsi="Century Gothic" w:cs="Arial"/>
          <w:lang w:eastAsia="es-ES_tradnl"/>
        </w:rPr>
        <w:t xml:space="preserve">no </w:t>
      </w:r>
      <w:r w:rsidRPr="00805A76">
        <w:rPr>
          <w:rFonts w:ascii="Century Gothic" w:hAnsi="Century Gothic" w:cs="Arial"/>
          <w:lang w:eastAsia="es-ES_tradnl"/>
        </w:rPr>
        <w:t xml:space="preserve">corresponde con </w:t>
      </w:r>
      <w:r w:rsidRPr="00805A76">
        <w:rPr>
          <w:rFonts w:ascii="Century Gothic" w:hAnsi="Century Gothic" w:cs="Arial"/>
          <w:lang w:eastAsia="es-ES_tradnl"/>
        </w:rPr>
        <w:lastRenderedPageBreak/>
        <w:t xml:space="preserve">alguna actividad que contemplada en dicha matriz. </w:t>
      </w:r>
      <w:r w:rsidRPr="00805A76">
        <w:rPr>
          <w:rFonts w:ascii="Century Gothic" w:eastAsia="Calibri" w:hAnsi="Century Gothic" w:cs="Arial"/>
        </w:rPr>
        <w:t xml:space="preserve">Asimismo, si el bien o servicio adicional está asociado a un proyecto del sector transporte, la entidad contratante aplicará los parámetros </w:t>
      </w:r>
      <w:r w:rsidRPr="00805A76">
        <w:rPr>
          <w:rFonts w:ascii="Century Gothic" w:hAnsi="Century Gothic" w:cs="Arial"/>
        </w:rPr>
        <w:t xml:space="preserve">y reglas estandarizadas en el documento tipo, teniendo en </w:t>
      </w:r>
      <w:r w:rsidRPr="007D5D17">
        <w:rPr>
          <w:rFonts w:ascii="Century Gothic" w:hAnsi="Century Gothic" w:cs="Arial"/>
        </w:rPr>
        <w:t>cuenta además las reglas de experiencia adicional previstas en el artículo 4 de las Resoluciones 240, 256 de 2020 y 193 de 2021.</w:t>
      </w:r>
    </w:p>
    <w:p w14:paraId="57F9F1E4" w14:textId="44E9B541" w:rsidR="003A0717" w:rsidRPr="007D5D17" w:rsidRDefault="0006500B" w:rsidP="0006500B">
      <w:pPr>
        <w:widowControl w:val="0"/>
        <w:autoSpaceDE w:val="0"/>
        <w:autoSpaceDN w:val="0"/>
        <w:spacing w:after="120" w:line="276" w:lineRule="auto"/>
        <w:ind w:firstLine="709"/>
        <w:jc w:val="both"/>
        <w:rPr>
          <w:rFonts w:ascii="Century Gothic" w:eastAsia="Calibri" w:hAnsi="Century Gothic" w:cs="Arial"/>
          <w:bCs/>
        </w:rPr>
      </w:pPr>
      <w:r w:rsidRPr="007D5D17">
        <w:rPr>
          <w:rFonts w:ascii="Century Gothic" w:eastAsia="Calibri" w:hAnsi="Century Gothic" w:cs="Arial"/>
          <w:bCs/>
        </w:rPr>
        <w:t>En este contexto,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2D7FF0C4" w14:textId="03C61BD1" w:rsidR="0006500B" w:rsidRPr="004715CB" w:rsidRDefault="00EA2996" w:rsidP="0006500B">
      <w:pPr>
        <w:spacing w:before="120" w:line="276" w:lineRule="auto"/>
        <w:jc w:val="both"/>
        <w:rPr>
          <w:rFonts w:ascii="Century Gothic" w:eastAsia="Calibri" w:hAnsi="Century Gothic" w:cs="Arial"/>
          <w:color w:val="000000"/>
          <w:lang w:val="es-ES_tradnl"/>
        </w:rPr>
      </w:pPr>
      <w:r w:rsidRPr="00EA2996">
        <w:rPr>
          <w:rFonts w:ascii="Century Gothic" w:eastAsia="Calibri" w:hAnsi="Century Gothic" w:cs="Arial"/>
          <w:color w:val="000000"/>
          <w:lang w:val="es-ES_tradnl"/>
        </w:rPr>
        <w:t>Esta respuesta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204449B9" w14:textId="77777777" w:rsidR="0006500B" w:rsidRPr="004715CB" w:rsidRDefault="0006500B" w:rsidP="0006500B">
      <w:pPr>
        <w:spacing w:after="0" w:line="276" w:lineRule="auto"/>
        <w:jc w:val="both"/>
        <w:rPr>
          <w:rFonts w:ascii="Century Gothic" w:eastAsia="Times New Roman" w:hAnsi="Century Gothic" w:cs="Arial"/>
          <w:color w:val="000000"/>
          <w:lang w:val="es-ES_tradnl" w:eastAsia="es-CO"/>
        </w:rPr>
      </w:pPr>
      <w:r w:rsidRPr="004715CB">
        <w:rPr>
          <w:rFonts w:ascii="Century Gothic" w:eastAsia="Times New Roman" w:hAnsi="Century Gothic" w:cs="Arial"/>
          <w:color w:val="000000"/>
          <w:lang w:val="es-ES_tradnl" w:eastAsia="es-CO"/>
        </w:rPr>
        <w:t>Atentamente,</w:t>
      </w:r>
    </w:p>
    <w:p w14:paraId="76CD12B9" w14:textId="77777777" w:rsidR="0006500B" w:rsidRPr="004715CB" w:rsidRDefault="0006500B" w:rsidP="0006500B">
      <w:pPr>
        <w:spacing w:after="0" w:line="276" w:lineRule="auto"/>
        <w:jc w:val="both"/>
        <w:rPr>
          <w:rFonts w:ascii="Century Gothic" w:eastAsia="Times New Roman" w:hAnsi="Century Gothic" w:cs="Arial"/>
          <w:color w:val="000000"/>
          <w:lang w:val="es-ES_tradnl" w:eastAsia="es-CO"/>
        </w:rPr>
      </w:pPr>
    </w:p>
    <w:p w14:paraId="34543F37" w14:textId="467940EE" w:rsidR="0006500B" w:rsidRDefault="000278D0" w:rsidP="0006500B">
      <w:pPr>
        <w:spacing w:after="0" w:line="276" w:lineRule="auto"/>
        <w:jc w:val="center"/>
        <w:rPr>
          <w:rFonts w:ascii="Century Gothic" w:eastAsia="Times New Roman" w:hAnsi="Century Gothic" w:cs="Arial"/>
          <w:color w:val="000000"/>
          <w:lang w:val="es-ES_tradnl" w:eastAsia="es-CO"/>
        </w:rPr>
      </w:pPr>
      <w:r>
        <w:rPr>
          <w:rFonts w:ascii="Century Gothic" w:eastAsia="Times New Roman" w:hAnsi="Century Gothic" w:cs="Arial"/>
          <w:noProof/>
          <w:color w:val="000000"/>
          <w:lang w:val="es-ES_tradnl" w:eastAsia="es-CO"/>
        </w:rPr>
        <w:drawing>
          <wp:inline distT="0" distB="0" distL="0" distR="0" wp14:anchorId="34BCCFC4" wp14:editId="07AA5DEC">
            <wp:extent cx="3152775" cy="1209675"/>
            <wp:effectExtent l="0" t="0" r="9525" b="9525"/>
            <wp:docPr id="143685243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52438" name="Picture 1" descr="A close-up of a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52775" cy="1209675"/>
                    </a:xfrm>
                    <a:prstGeom prst="rect">
                      <a:avLst/>
                    </a:prstGeom>
                  </pic:spPr>
                </pic:pic>
              </a:graphicData>
            </a:graphic>
          </wp:inline>
        </w:drawing>
      </w:r>
    </w:p>
    <w:p w14:paraId="01F008DA" w14:textId="77777777" w:rsidR="00FF6401" w:rsidRPr="004715CB" w:rsidRDefault="00FF6401" w:rsidP="0006500B">
      <w:pPr>
        <w:spacing w:after="0" w:line="276" w:lineRule="auto"/>
        <w:jc w:val="center"/>
        <w:rPr>
          <w:rFonts w:ascii="Century Gothic" w:eastAsia="Times New Roman" w:hAnsi="Century Gothic" w:cs="Arial"/>
          <w:color w:val="000000"/>
          <w:lang w:val="es-ES_tradnl" w:eastAsia="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815"/>
      </w:tblGrid>
      <w:tr w:rsidR="0006500B" w:rsidRPr="004541A8" w14:paraId="4C3C27C2" w14:textId="77777777" w:rsidTr="00FB5ABE">
        <w:trPr>
          <w:trHeight w:val="160"/>
        </w:trPr>
        <w:tc>
          <w:tcPr>
            <w:tcW w:w="855" w:type="dxa"/>
            <w:vAlign w:val="center"/>
            <w:hideMark/>
          </w:tcPr>
          <w:p w14:paraId="619C732F" w14:textId="77777777" w:rsidR="0006500B" w:rsidRPr="004541A8" w:rsidRDefault="0006500B" w:rsidP="00FB5AB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Elaboró:</w:t>
            </w:r>
          </w:p>
        </w:tc>
        <w:tc>
          <w:tcPr>
            <w:tcW w:w="4815" w:type="dxa"/>
            <w:tcBorders>
              <w:top w:val="nil"/>
              <w:left w:val="nil"/>
              <w:bottom w:val="dotted" w:sz="4" w:space="0" w:color="7F7F7F" w:themeColor="text1" w:themeTint="80"/>
              <w:right w:val="nil"/>
            </w:tcBorders>
            <w:vAlign w:val="center"/>
            <w:hideMark/>
          </w:tcPr>
          <w:p w14:paraId="49FBC9F6" w14:textId="77777777" w:rsidR="0006500B" w:rsidRPr="004541A8" w:rsidRDefault="0006500B" w:rsidP="00FB5AB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Mariana Triana Ortiz</w:t>
            </w:r>
          </w:p>
          <w:p w14:paraId="5B7FADD2" w14:textId="77777777" w:rsidR="0006500B" w:rsidRPr="004541A8" w:rsidRDefault="0006500B" w:rsidP="00FB5AB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Contratista de la Subdirección de Gestión Contractual</w:t>
            </w:r>
          </w:p>
        </w:tc>
      </w:tr>
      <w:tr w:rsidR="0006500B" w:rsidRPr="004541A8" w14:paraId="7527F008" w14:textId="77777777" w:rsidTr="00FB5ABE">
        <w:trPr>
          <w:trHeight w:val="70"/>
        </w:trPr>
        <w:tc>
          <w:tcPr>
            <w:tcW w:w="855" w:type="dxa"/>
            <w:vAlign w:val="center"/>
            <w:hideMark/>
          </w:tcPr>
          <w:p w14:paraId="3ACE087B" w14:textId="77777777" w:rsidR="0006500B" w:rsidRPr="004541A8" w:rsidRDefault="0006500B" w:rsidP="00FB5AB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Revisó:</w:t>
            </w:r>
          </w:p>
        </w:tc>
        <w:tc>
          <w:tcPr>
            <w:tcW w:w="4815" w:type="dxa"/>
            <w:tcBorders>
              <w:top w:val="dotted" w:sz="4" w:space="0" w:color="7F7F7F" w:themeColor="text1" w:themeTint="80"/>
              <w:left w:val="nil"/>
              <w:bottom w:val="dotted" w:sz="4" w:space="0" w:color="7F7F7F" w:themeColor="text1" w:themeTint="80"/>
              <w:right w:val="nil"/>
            </w:tcBorders>
            <w:vAlign w:val="center"/>
            <w:hideMark/>
          </w:tcPr>
          <w:p w14:paraId="0D2829B5" w14:textId="77777777" w:rsidR="0006500B" w:rsidRDefault="0006500B" w:rsidP="00FB5ABE">
            <w:pPr>
              <w:rPr>
                <w:rFonts w:ascii="Century Gothic" w:hAnsi="Century Gothic" w:cs="Arial"/>
                <w:sz w:val="16"/>
                <w:szCs w:val="16"/>
                <w:lang w:val="es-ES" w:eastAsia="es-ES"/>
              </w:rPr>
            </w:pPr>
            <w:r w:rsidRPr="00CD53D7">
              <w:rPr>
                <w:rFonts w:ascii="Century Gothic" w:hAnsi="Century Gothic" w:cs="Arial"/>
                <w:sz w:val="16"/>
                <w:szCs w:val="16"/>
                <w:lang w:val="es-ES" w:eastAsia="es-ES"/>
              </w:rPr>
              <w:t xml:space="preserve">Ximena Ríos López </w:t>
            </w:r>
          </w:p>
          <w:p w14:paraId="58D4C21E" w14:textId="77777777" w:rsidR="0006500B" w:rsidRPr="004541A8" w:rsidRDefault="0006500B" w:rsidP="00FB5ABE">
            <w:pPr>
              <w:rPr>
                <w:rFonts w:ascii="Century Gothic" w:hAnsi="Century Gothic" w:cs="Arial"/>
                <w:color w:val="000000"/>
                <w:sz w:val="16"/>
                <w:szCs w:val="16"/>
                <w:lang w:val="es-ES" w:eastAsia="es-ES"/>
              </w:rPr>
            </w:pPr>
            <w:r>
              <w:rPr>
                <w:rFonts w:ascii="Century Gothic" w:hAnsi="Century Gothic" w:cs="Arial"/>
                <w:sz w:val="16"/>
                <w:szCs w:val="16"/>
                <w:lang w:val="es-ES_tradnl" w:eastAsia="es-ES"/>
              </w:rPr>
              <w:t>Gestora</w:t>
            </w:r>
            <w:r>
              <w:t xml:space="preserve"> </w:t>
            </w:r>
            <w:r w:rsidRPr="00CD53D7">
              <w:rPr>
                <w:rFonts w:ascii="Century Gothic" w:hAnsi="Century Gothic" w:cs="Arial"/>
                <w:sz w:val="16"/>
                <w:szCs w:val="16"/>
                <w:lang w:val="es-ES_tradnl" w:eastAsia="es-ES"/>
              </w:rPr>
              <w:t>código T1 grado 11</w:t>
            </w:r>
            <w:r>
              <w:rPr>
                <w:rFonts w:ascii="Century Gothic" w:hAnsi="Century Gothic" w:cs="Arial"/>
                <w:sz w:val="16"/>
                <w:szCs w:val="16"/>
                <w:lang w:val="es-ES_tradnl" w:eastAsia="es-ES"/>
              </w:rPr>
              <w:t xml:space="preserve"> </w:t>
            </w:r>
            <w:r w:rsidRPr="004541A8">
              <w:rPr>
                <w:rFonts w:ascii="Century Gothic" w:hAnsi="Century Gothic" w:cs="Arial"/>
                <w:sz w:val="16"/>
                <w:szCs w:val="16"/>
                <w:lang w:val="es-ES_tradnl" w:eastAsia="es-ES"/>
              </w:rPr>
              <w:t>de la Subdirección de Gestión Contractual</w:t>
            </w:r>
          </w:p>
        </w:tc>
      </w:tr>
      <w:tr w:rsidR="0006500B" w:rsidRPr="004541A8" w14:paraId="47B0C12B" w14:textId="77777777" w:rsidTr="00FB5ABE">
        <w:trPr>
          <w:trHeight w:val="300"/>
        </w:trPr>
        <w:tc>
          <w:tcPr>
            <w:tcW w:w="855" w:type="dxa"/>
            <w:vAlign w:val="center"/>
            <w:hideMark/>
          </w:tcPr>
          <w:p w14:paraId="18305BC5" w14:textId="77777777" w:rsidR="0006500B" w:rsidRPr="004541A8" w:rsidRDefault="0006500B" w:rsidP="00FB5AB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Aprobó:</w:t>
            </w:r>
          </w:p>
        </w:tc>
        <w:tc>
          <w:tcPr>
            <w:tcW w:w="4815" w:type="dxa"/>
            <w:tcBorders>
              <w:top w:val="dotted" w:sz="4" w:space="0" w:color="7F7F7F" w:themeColor="text1" w:themeTint="80"/>
              <w:left w:val="nil"/>
              <w:bottom w:val="dotted" w:sz="4" w:space="0" w:color="7F7F7F" w:themeColor="text1" w:themeTint="80"/>
              <w:right w:val="nil"/>
            </w:tcBorders>
            <w:vAlign w:val="center"/>
            <w:hideMark/>
          </w:tcPr>
          <w:p w14:paraId="123D4798" w14:textId="77777777" w:rsidR="0006500B" w:rsidRPr="004541A8" w:rsidRDefault="0006500B" w:rsidP="00FB5AB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 xml:space="preserve">Nohelia del Carmen </w:t>
            </w:r>
            <w:proofErr w:type="spellStart"/>
            <w:r w:rsidRPr="004541A8">
              <w:rPr>
                <w:rFonts w:ascii="Century Gothic" w:hAnsi="Century Gothic" w:cs="Arial"/>
                <w:sz w:val="16"/>
                <w:szCs w:val="16"/>
                <w:lang w:val="es-ES_tradnl" w:eastAsia="es-ES"/>
              </w:rPr>
              <w:t>Zawady</w:t>
            </w:r>
            <w:proofErr w:type="spellEnd"/>
            <w:r w:rsidRPr="004541A8">
              <w:rPr>
                <w:rFonts w:ascii="Century Gothic" w:hAnsi="Century Gothic" w:cs="Arial"/>
                <w:sz w:val="16"/>
                <w:szCs w:val="16"/>
                <w:lang w:val="es-ES_tradnl" w:eastAsia="es-ES"/>
              </w:rPr>
              <w:t xml:space="preserve"> Palacio</w:t>
            </w:r>
          </w:p>
          <w:p w14:paraId="53F06071" w14:textId="77777777" w:rsidR="0006500B" w:rsidRPr="004541A8" w:rsidRDefault="0006500B" w:rsidP="00FB5AB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 xml:space="preserve">Subdirectora de Gestión Contractual </w:t>
            </w:r>
            <w:r w:rsidRPr="004541A8">
              <w:rPr>
                <w:rFonts w:ascii="Century Gothic" w:hAnsi="Century Gothic" w:cs="Arial"/>
                <w:sz w:val="16"/>
                <w:szCs w:val="16"/>
                <w:lang w:eastAsia="es-ES"/>
              </w:rPr>
              <w:t>ANCP – CCE</w:t>
            </w:r>
          </w:p>
        </w:tc>
      </w:tr>
    </w:tbl>
    <w:p w14:paraId="62EF5A99" w14:textId="77777777" w:rsidR="0006500B" w:rsidRPr="00DC4A9B" w:rsidRDefault="0006500B" w:rsidP="0006500B">
      <w:pPr>
        <w:spacing w:after="0" w:line="240" w:lineRule="auto"/>
        <w:rPr>
          <w:rFonts w:ascii="Century Gothic" w:hAnsi="Century Gothic"/>
          <w:b/>
          <w:color w:val="404040" w:themeColor="text1" w:themeTint="BF"/>
        </w:rPr>
      </w:pPr>
    </w:p>
    <w:bookmarkEnd w:id="4"/>
    <w:p w14:paraId="0F293BF4" w14:textId="7BBFAB11" w:rsidR="00127233" w:rsidRPr="00322A85" w:rsidRDefault="00127233" w:rsidP="0006500B">
      <w:pPr>
        <w:spacing w:after="0"/>
        <w:rPr>
          <w:rFonts w:ascii="Century Gothic" w:hAnsi="Century Gothic"/>
        </w:rPr>
      </w:pPr>
    </w:p>
    <w:sectPr w:rsidR="00127233" w:rsidRPr="00322A85"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DF39" w14:textId="77777777" w:rsidR="007845D3" w:rsidRDefault="007845D3" w:rsidP="004A1847">
      <w:pPr>
        <w:spacing w:after="0" w:line="240" w:lineRule="auto"/>
      </w:pPr>
      <w:r>
        <w:separator/>
      </w:r>
    </w:p>
  </w:endnote>
  <w:endnote w:type="continuationSeparator" w:id="0">
    <w:p w14:paraId="0E244605" w14:textId="77777777" w:rsidR="007845D3" w:rsidRDefault="007845D3"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Footer"/>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Footer"/>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Footer"/>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Footer"/>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Footer"/>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E7C8" w14:textId="77777777" w:rsidR="007845D3" w:rsidRDefault="007845D3" w:rsidP="004A1847">
      <w:pPr>
        <w:spacing w:after="0" w:line="240" w:lineRule="auto"/>
      </w:pPr>
      <w:r>
        <w:separator/>
      </w:r>
    </w:p>
  </w:footnote>
  <w:footnote w:type="continuationSeparator" w:id="0">
    <w:p w14:paraId="73573C87" w14:textId="77777777" w:rsidR="007845D3" w:rsidRDefault="007845D3" w:rsidP="004A1847">
      <w:pPr>
        <w:spacing w:after="0" w:line="240" w:lineRule="auto"/>
      </w:pPr>
      <w:r>
        <w:continuationSeparator/>
      </w:r>
    </w:p>
  </w:footnote>
  <w:footnote w:id="1">
    <w:p w14:paraId="0D928065" w14:textId="77777777" w:rsidR="0006500B" w:rsidRPr="008C778B" w:rsidRDefault="0006500B" w:rsidP="0006500B">
      <w:pPr>
        <w:pStyle w:val="FootnoteText"/>
        <w:ind w:firstLine="708"/>
        <w:jc w:val="both"/>
        <w:rPr>
          <w:rFonts w:ascii="Arial" w:hAnsi="Arial" w:cs="Arial"/>
          <w:sz w:val="18"/>
          <w:szCs w:val="18"/>
          <w:lang w:val="es-ES"/>
        </w:rPr>
      </w:pPr>
      <w:r w:rsidRPr="008C778B">
        <w:rPr>
          <w:rStyle w:val="FootnoteReference"/>
          <w:rFonts w:ascii="Arial" w:eastAsiaTheme="majorEastAsia" w:hAnsi="Arial" w:cs="Arial"/>
          <w:sz w:val="18"/>
          <w:szCs w:val="18"/>
        </w:rPr>
        <w:footnoteRef/>
      </w:r>
      <w:r w:rsidRPr="008C778B">
        <w:rPr>
          <w:rFonts w:ascii="Arial" w:hAnsi="Arial" w:cs="Arial"/>
          <w:sz w:val="18"/>
          <w:szCs w:val="18"/>
        </w:rPr>
        <w:t xml:space="preserve"> </w:t>
      </w:r>
      <w:r w:rsidRPr="007D5D17">
        <w:rPr>
          <w:rFonts w:ascii="Century Gothic" w:hAnsi="Century Gothic" w:cs="Arial"/>
          <w:sz w:val="18"/>
          <w:szCs w:val="18"/>
        </w:rPr>
        <w:t xml:space="preserve">La Agencia Nacional de Contratación Pública -Colombia Compra Eficiente- fue creada por el Decreto-Ley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sidRPr="007D5D17">
        <w:rPr>
          <w:rFonts w:ascii="Century Gothic" w:hAnsi="Century Gothic" w:cs="Arial"/>
          <w:i/>
          <w:iCs/>
          <w:sz w:val="18"/>
          <w:szCs w:val="18"/>
        </w:rPr>
        <w:t xml:space="preserve">ibidem </w:t>
      </w:r>
      <w:r w:rsidRPr="007D5D17">
        <w:rPr>
          <w:rFonts w:ascii="Century Gothic" w:hAnsi="Century Gothic" w:cs="Arial"/>
          <w:sz w:val="18"/>
          <w:szCs w:val="18"/>
        </w:rPr>
        <w:t xml:space="preserve">señala, de manera precisa, las funciones de la entidad. Concretamente, el numeral 5º del citado artículo establece que le corresponde a esta entidad: </w:t>
      </w:r>
      <w:r w:rsidRPr="007D5D17">
        <w:rPr>
          <w:rFonts w:ascii="Century Gothic" w:hAnsi="Century Gothic" w:cs="Arial"/>
          <w:i/>
          <w:iCs/>
          <w:sz w:val="18"/>
          <w:szCs w:val="18"/>
        </w:rPr>
        <w:t>“[a]bsolver consultas sobre la aplicación de normas de carácter general y expedir circulares externas en materia de compras y contratación pública”</w:t>
      </w:r>
      <w:r w:rsidRPr="007D5D17">
        <w:rPr>
          <w:rFonts w:ascii="Century Gothic" w:hAnsi="Century Gothic" w:cs="Arial"/>
          <w:sz w:val="18"/>
          <w:szCs w:val="18"/>
        </w:rPr>
        <w:t xml:space="preserve">. A su turno, el numeral 8º del artículo 11 </w:t>
      </w:r>
      <w:r w:rsidRPr="007D5D17">
        <w:rPr>
          <w:rFonts w:ascii="Century Gothic" w:hAnsi="Century Gothic" w:cs="Arial"/>
          <w:i/>
          <w:iCs/>
          <w:sz w:val="18"/>
          <w:szCs w:val="18"/>
        </w:rPr>
        <w:t>ibidem</w:t>
      </w:r>
      <w:r w:rsidRPr="007D5D17">
        <w:rPr>
          <w:rFonts w:ascii="Century Gothic" w:hAnsi="Century Gothic" w:cs="Arial"/>
          <w:sz w:val="18"/>
          <w:szCs w:val="18"/>
        </w:rPr>
        <w:t xml:space="preserve"> indica que es función de la Subdirección de Gestión Contractual: </w:t>
      </w:r>
      <w:r w:rsidRPr="007D5D17">
        <w:rPr>
          <w:rFonts w:ascii="Century Gothic" w:hAnsi="Century Gothic" w:cs="Arial"/>
          <w:i/>
          <w:iCs/>
          <w:sz w:val="18"/>
          <w:szCs w:val="18"/>
        </w:rPr>
        <w:t>“[a]bsolver consultas sobre la aplicación de normas de carácter general”</w:t>
      </w:r>
      <w:r w:rsidRPr="007D5D17">
        <w:rPr>
          <w:rFonts w:ascii="Century Gothic" w:hAnsi="Century Gothic" w:cs="Arial"/>
          <w:sz w:val="18"/>
          <w:szCs w:val="18"/>
        </w:rPr>
        <w:t>.</w:t>
      </w:r>
    </w:p>
  </w:footnote>
  <w:footnote w:id="2">
    <w:p w14:paraId="48546DC5" w14:textId="77777777" w:rsidR="0006500B" w:rsidRPr="008C778B" w:rsidRDefault="0006500B" w:rsidP="0006500B">
      <w:pPr>
        <w:pStyle w:val="FootnoteText"/>
        <w:ind w:firstLine="708"/>
        <w:jc w:val="both"/>
        <w:rPr>
          <w:rFonts w:ascii="Arial" w:hAnsi="Arial" w:cs="Arial"/>
          <w:sz w:val="18"/>
          <w:szCs w:val="18"/>
        </w:rPr>
      </w:pPr>
      <w:r w:rsidRPr="008C778B">
        <w:rPr>
          <w:rStyle w:val="FootnoteReference"/>
          <w:rFonts w:ascii="Arial" w:hAnsi="Arial" w:cs="Arial"/>
          <w:sz w:val="18"/>
          <w:szCs w:val="18"/>
        </w:rPr>
        <w:footnoteRef/>
      </w:r>
      <w:r w:rsidRPr="008C778B">
        <w:rPr>
          <w:rFonts w:ascii="Arial" w:hAnsi="Arial" w:cs="Arial"/>
          <w:sz w:val="18"/>
          <w:szCs w:val="18"/>
        </w:rPr>
        <w:t xml:space="preserve"> </w:t>
      </w:r>
      <w:r w:rsidRPr="008C778B">
        <w:rPr>
          <w:rFonts w:ascii="Arial" w:hAnsi="Arial" w:cs="Arial"/>
          <w:i/>
          <w:iCs/>
          <w:sz w:val="18"/>
          <w:szCs w:val="18"/>
        </w:rPr>
        <w:t>“Parágrafo 3º.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sidRPr="008C778B">
        <w:rPr>
          <w:rFonts w:ascii="Arial" w:hAnsi="Arial" w:cs="Arial"/>
          <w:sz w:val="18"/>
          <w:szCs w:val="18"/>
        </w:rPr>
        <w:t>.</w:t>
      </w:r>
    </w:p>
  </w:footnote>
  <w:footnote w:id="3">
    <w:p w14:paraId="6A03F88E" w14:textId="77777777" w:rsidR="0006500B" w:rsidRDefault="0006500B" w:rsidP="0006500B">
      <w:pPr>
        <w:pStyle w:val="FootnoteText"/>
        <w:ind w:firstLine="708"/>
        <w:jc w:val="both"/>
        <w:rPr>
          <w:rFonts w:ascii="Century Gothic" w:hAnsi="Century Gothic" w:cs="Arial"/>
          <w:sz w:val="18"/>
          <w:szCs w:val="18"/>
        </w:rPr>
      </w:pPr>
      <w:r w:rsidRPr="00CD53D7">
        <w:rPr>
          <w:rStyle w:val="FootnoteReference"/>
          <w:rFonts w:ascii="Century Gothic" w:hAnsi="Century Gothic" w:cs="Arial"/>
          <w:sz w:val="18"/>
          <w:szCs w:val="18"/>
        </w:rPr>
        <w:footnoteRef/>
      </w:r>
      <w:r w:rsidRPr="00CD53D7">
        <w:rPr>
          <w:rFonts w:ascii="Century Gothic" w:hAnsi="Century Gothic" w:cs="Arial"/>
          <w:sz w:val="18"/>
          <w:szCs w:val="18"/>
        </w:rPr>
        <w:t xml:space="preserve"> El artículo 4º establece lo siguiente: </w:t>
      </w:r>
      <w:r w:rsidRPr="00CD53D7">
        <w:rPr>
          <w:rFonts w:ascii="Century Gothic" w:hAnsi="Century Gothic" w:cs="Arial"/>
          <w:i/>
          <w:iCs/>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w:t>
      </w:r>
      <w:r w:rsidRPr="00CD53D7">
        <w:rPr>
          <w:rFonts w:ascii="Century Gothic" w:hAnsi="Century Gothic" w:cs="Arial"/>
          <w:sz w:val="18"/>
          <w:szCs w:val="18"/>
        </w:rPr>
        <w:t>.</w:t>
      </w:r>
    </w:p>
    <w:p w14:paraId="39B8B36A" w14:textId="77777777" w:rsidR="001F534F" w:rsidRPr="00CD53D7" w:rsidRDefault="001F534F" w:rsidP="0006500B">
      <w:pPr>
        <w:pStyle w:val="FootnoteText"/>
        <w:ind w:firstLine="708"/>
        <w:jc w:val="both"/>
        <w:rPr>
          <w:rFonts w:ascii="Century Gothic" w:hAnsi="Century Gothic" w:cs="Arial"/>
          <w:sz w:val="18"/>
          <w:szCs w:val="18"/>
        </w:rPr>
      </w:pPr>
    </w:p>
  </w:footnote>
  <w:footnote w:id="4">
    <w:p w14:paraId="35633F32" w14:textId="77777777" w:rsidR="0006500B" w:rsidRPr="008C778B" w:rsidRDefault="0006500B" w:rsidP="0006500B">
      <w:pPr>
        <w:pStyle w:val="FootnoteText"/>
        <w:ind w:firstLine="708"/>
        <w:jc w:val="both"/>
        <w:rPr>
          <w:rFonts w:ascii="Arial" w:hAnsi="Arial" w:cs="Arial"/>
          <w:sz w:val="18"/>
          <w:szCs w:val="18"/>
        </w:rPr>
      </w:pPr>
      <w:r w:rsidRPr="00CD53D7">
        <w:rPr>
          <w:rStyle w:val="FootnoteReference"/>
          <w:rFonts w:ascii="Century Gothic" w:hAnsi="Century Gothic" w:cs="Arial"/>
          <w:sz w:val="18"/>
          <w:szCs w:val="18"/>
        </w:rPr>
        <w:footnoteRef/>
      </w:r>
      <w:r w:rsidRPr="00CD53D7">
        <w:rPr>
          <w:rFonts w:ascii="Century Gothic" w:hAnsi="Century Gothic" w:cs="Arial"/>
          <w:sz w:val="18"/>
          <w:szCs w:val="18"/>
        </w:rPr>
        <w:t xml:space="preserve"> M.P. Alejandro Linares Cantillo.</w:t>
      </w:r>
    </w:p>
  </w:footnote>
  <w:footnote w:id="5">
    <w:p w14:paraId="3B7C3250" w14:textId="77777777" w:rsidR="0006500B" w:rsidRPr="008C778B" w:rsidRDefault="0006500B" w:rsidP="0006500B">
      <w:pPr>
        <w:ind w:firstLine="708"/>
        <w:jc w:val="both"/>
        <w:rPr>
          <w:rFonts w:ascii="Arial" w:eastAsia="Calibri" w:hAnsi="Arial" w:cs="Arial"/>
          <w:sz w:val="18"/>
          <w:szCs w:val="18"/>
          <w:lang w:val="es-ES_tradnl" w:eastAsia="es-ES"/>
        </w:rPr>
      </w:pPr>
      <w:r w:rsidRPr="008C778B">
        <w:rPr>
          <w:rStyle w:val="FootnoteReference"/>
          <w:rFonts w:ascii="Arial" w:hAnsi="Arial" w:cs="Arial"/>
          <w:sz w:val="18"/>
          <w:szCs w:val="18"/>
        </w:rPr>
        <w:footnoteRef/>
      </w:r>
      <w:r w:rsidRPr="008C778B">
        <w:rPr>
          <w:rFonts w:ascii="Arial" w:hAnsi="Arial" w:cs="Arial"/>
          <w:sz w:val="18"/>
          <w:szCs w:val="18"/>
        </w:rPr>
        <w:t xml:space="preserve"> </w:t>
      </w:r>
      <w:r w:rsidRPr="00CD53D7">
        <w:rPr>
          <w:rFonts w:ascii="Century Gothic" w:hAnsi="Century Gothic" w:cs="Arial"/>
          <w:i/>
          <w:iCs/>
          <w:sz w:val="18"/>
          <w:szCs w:val="18"/>
        </w:rPr>
        <w:t>”ARTÍCULO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r w:rsidRPr="00CD53D7">
        <w:rPr>
          <w:rFonts w:ascii="Century Gothic" w:hAnsi="Century Gothic" w:cs="Arial"/>
          <w:sz w:val="18"/>
          <w:szCs w:val="18"/>
        </w:rPr>
        <w:t xml:space="preserve">. </w:t>
      </w:r>
      <w:r w:rsidRPr="00CD53D7">
        <w:rPr>
          <w:rFonts w:ascii="Century Gothic" w:eastAsia="Calibri" w:hAnsi="Century Gothic" w:cs="Arial"/>
          <w:sz w:val="18"/>
          <w:szCs w:val="18"/>
          <w:lang w:val="es-ES_tradnl" w:eastAsia="es-ES"/>
        </w:rPr>
        <w:t xml:space="preserve">Con fundamento en la norma en cita, se profirió la Resolución 240 de 2020 </w:t>
      </w:r>
      <w:r w:rsidRPr="00CD53D7">
        <w:rPr>
          <w:rFonts w:ascii="Century Gothic" w:eastAsia="Calibri" w:hAnsi="Century Gothic" w:cs="Arial"/>
          <w:i/>
          <w:iCs/>
          <w:sz w:val="18"/>
          <w:szCs w:val="18"/>
          <w:lang w:val="es-ES_tradnl" w:eastAsia="es-ES"/>
        </w:rPr>
        <w:t>“[p]or la cual se actualizan los Documentos Tipo para los procesos de selección de licitación de obra pública de infraestructura de transporte y se deroga la Resolución 0045 de 2020”</w:t>
      </w:r>
      <w:r w:rsidRPr="00CD53D7">
        <w:rPr>
          <w:rFonts w:ascii="Century Gothic" w:eastAsia="Calibri" w:hAnsi="Century Gothic" w:cs="Arial"/>
          <w:sz w:val="18"/>
          <w:szCs w:val="18"/>
          <w:lang w:val="es-ES_tradnl" w:eastAsia="es-ES"/>
        </w:rPr>
        <w:t xml:space="preserve">. De igual forma, se expidió la Resolución 241 de 2020 </w:t>
      </w:r>
      <w:r w:rsidRPr="00CD53D7">
        <w:rPr>
          <w:rFonts w:ascii="Century Gothic" w:eastAsia="Calibri" w:hAnsi="Century Gothic" w:cs="Arial"/>
          <w:i/>
          <w:iCs/>
          <w:sz w:val="18"/>
          <w:szCs w:val="18"/>
          <w:lang w:val="es-ES_tradnl" w:eastAsia="es-ES"/>
        </w:rPr>
        <w:t>“[p]or la cual se actualizan los Documentos Tipo para los procesos de selección abreviada de menor cuantía de obra pública de infraestructura de transporte y se deroga la Resolución 0044 de 2020</w:t>
      </w:r>
      <w:r w:rsidRPr="00CD53D7">
        <w:rPr>
          <w:rFonts w:ascii="Century Gothic" w:eastAsia="Calibri" w:hAnsi="Century Gothic" w:cs="Arial"/>
          <w:sz w:val="18"/>
          <w:szCs w:val="18"/>
          <w:lang w:val="es-ES_tradnl" w:eastAsia="es-ES"/>
        </w:rPr>
        <w:t xml:space="preserve">”. Adicionalmente, debe darse cuenta de la entrada en vigor de la Resolución 256 de 202 </w:t>
      </w:r>
      <w:r w:rsidRPr="00CD53D7">
        <w:rPr>
          <w:rFonts w:ascii="Century Gothic" w:eastAsia="Calibri" w:hAnsi="Century Gothic" w:cs="Arial"/>
          <w:i/>
          <w:iCs/>
          <w:sz w:val="18"/>
          <w:szCs w:val="18"/>
          <w:lang w:val="es-ES_tradnl" w:eastAsia="es-ES"/>
        </w:rPr>
        <w:t>“[p]or la cual se adoptan los documentos tipo para los procesos de selección de concursos de méritos, para contratar la interventoría de obras públicas de infraestructura de transporte”</w:t>
      </w:r>
      <w:r w:rsidRPr="00CD53D7">
        <w:rPr>
          <w:rFonts w:ascii="Century Gothic" w:eastAsia="Calibri" w:hAnsi="Century Gothic" w:cs="Arial"/>
          <w:sz w:val="18"/>
          <w:szCs w:val="18"/>
          <w:lang w:val="es-ES_tradnl" w:eastAsia="es-ES"/>
        </w:rPr>
        <w:t xml:space="preserve">. Por otra parte, se expidió la Resolución 248 de 2020 “[p]or la cual se adoptan los documentos tipo para los procesos de licitación pública para obras de infraestructura de agua potable y saneamiento básico”; la Resolución 249 de 2020, </w:t>
      </w:r>
      <w:r w:rsidRPr="00CD53D7">
        <w:rPr>
          <w:rFonts w:ascii="Century Gothic" w:eastAsia="Calibri" w:hAnsi="Century Gothic" w:cs="Arial"/>
          <w:i/>
          <w:iCs/>
          <w:sz w:val="18"/>
          <w:szCs w:val="18"/>
          <w:lang w:val="es-ES_tradnl" w:eastAsia="es-ES"/>
        </w:rPr>
        <w:t>“[p]or la cual se adoptan los documentos tipo para los procesos de licitación pública para obras de infraestructura de agua potable y saneamiento básico en la modalidad llave en mano</w:t>
      </w:r>
      <w:r w:rsidRPr="00CD53D7">
        <w:rPr>
          <w:rFonts w:ascii="Century Gothic" w:eastAsia="Calibri" w:hAnsi="Century Gothic" w:cs="Arial"/>
          <w:sz w:val="18"/>
          <w:szCs w:val="18"/>
          <w:lang w:val="es-ES_tradnl" w:eastAsia="es-ES"/>
        </w:rPr>
        <w:t xml:space="preserve">”; y la Resolución 269 se 2020, </w:t>
      </w:r>
      <w:r w:rsidRPr="00CD53D7">
        <w:rPr>
          <w:rFonts w:ascii="Century Gothic" w:eastAsia="Calibri" w:hAnsi="Century Gothic" w:cs="Arial"/>
          <w:i/>
          <w:iCs/>
          <w:sz w:val="18"/>
          <w:szCs w:val="18"/>
          <w:lang w:val="es-ES_tradnl" w:eastAsia="es-ES"/>
        </w:rPr>
        <w:t>“[p]or la cual se adopta el documento tipo para los procesos de gestión catastral con enfoque multipropósito que se celebren a través de contratos interadministrativos”</w:t>
      </w:r>
      <w:r w:rsidRPr="00CD53D7">
        <w:rPr>
          <w:rFonts w:ascii="Century Gothic" w:eastAsia="Calibri" w:hAnsi="Century Gothic" w:cs="Arial"/>
          <w:sz w:val="18"/>
          <w:szCs w:val="18"/>
          <w:lang w:val="es-ES_tradnl" w:eastAsia="es-ES"/>
        </w:rPr>
        <w:t>.</w:t>
      </w:r>
    </w:p>
  </w:footnote>
  <w:footnote w:id="6">
    <w:p w14:paraId="26A2F60A" w14:textId="77777777" w:rsidR="0006500B" w:rsidRPr="008C778B" w:rsidRDefault="0006500B" w:rsidP="0006500B">
      <w:pPr>
        <w:ind w:firstLine="708"/>
        <w:jc w:val="both"/>
        <w:rPr>
          <w:rFonts w:ascii="Arial" w:hAnsi="Arial" w:cs="Arial"/>
          <w:sz w:val="18"/>
          <w:szCs w:val="18"/>
          <w:shd w:val="clear" w:color="auto" w:fill="FFFFFF"/>
          <w:lang w:val="es-ES_tradnl" w:eastAsia="es-ES_tradnl"/>
        </w:rPr>
      </w:pPr>
      <w:r w:rsidRPr="008C778B">
        <w:rPr>
          <w:rStyle w:val="FootnoteReference"/>
          <w:rFonts w:ascii="Arial" w:hAnsi="Arial" w:cs="Arial"/>
          <w:sz w:val="18"/>
          <w:szCs w:val="18"/>
        </w:rPr>
        <w:footnoteRef/>
      </w:r>
      <w:r w:rsidRPr="008C778B">
        <w:rPr>
          <w:rFonts w:ascii="Arial" w:hAnsi="Arial" w:cs="Arial"/>
          <w:sz w:val="18"/>
          <w:szCs w:val="18"/>
        </w:rPr>
        <w:t xml:space="preserve"> </w:t>
      </w:r>
      <w:r w:rsidRPr="00CD53D7">
        <w:rPr>
          <w:rFonts w:ascii="Century Gothic" w:hAnsi="Century Gothic" w:cs="Arial"/>
          <w:sz w:val="18"/>
          <w:szCs w:val="18"/>
          <w:shd w:val="clear" w:color="auto" w:fill="FFFFFF"/>
          <w:lang w:val="es-ES_tradnl" w:eastAsia="es-ES_tradnl"/>
        </w:rPr>
        <w:t xml:space="preserve">El fundamento legal vigente de la regla de la inalterabilidad se encuentra contenido en el artículo 1º de la Ley 2022 de 2020, en virtud del cual </w:t>
      </w:r>
      <w:r w:rsidRPr="00CD53D7">
        <w:rPr>
          <w:rFonts w:ascii="Century Gothic" w:hAnsi="Century Gothic" w:cs="Arial"/>
          <w:i/>
          <w:iCs/>
          <w:sz w:val="18"/>
          <w:szCs w:val="18"/>
          <w:shd w:val="clear" w:color="auto" w:fill="FFFFFF"/>
          <w:lang w:val="es-ES_tradnl" w:eastAsia="es-ES_tradnl"/>
        </w:rPr>
        <w:t>“(…) serán de obligatorio cumplimiento en la actividad contractual de todas las entidades sometidas al Estatuto General de Contratación de la Administración Pública”</w:t>
      </w:r>
      <w:r w:rsidRPr="00CD53D7">
        <w:rPr>
          <w:rFonts w:ascii="Century Gothic" w:hAnsi="Century Gothic" w:cs="Arial"/>
          <w:sz w:val="18"/>
          <w:szCs w:val="18"/>
          <w:shd w:val="clear" w:color="auto" w:fill="FFFFFF"/>
          <w:lang w:val="es-ES_tradnl" w:eastAsia="es-ES_tradnl"/>
        </w:rPr>
        <w:t>, pero eso no significa que antes no rigiera, pues así también lo disponía el artículo 4 de la Ley 1882 de 2018. De hecho, por vía reglamentaria también quedó consignado en su momento el carácter inmodificable de los pliegos tipo en el artículo 1º de los Decretos 342 de 2019 y 594 de 2020 que adicionaron, respectivamente, los artículos 2.2.1.2.6.1.4. y 2.2.1.2.6.3.4 al Decreto 1082 de 2015.</w:t>
      </w:r>
    </w:p>
  </w:footnote>
  <w:footnote w:id="7">
    <w:p w14:paraId="54C5A257" w14:textId="77777777" w:rsidR="0006500B" w:rsidRPr="008C778B" w:rsidRDefault="0006500B" w:rsidP="0006500B">
      <w:pPr>
        <w:jc w:val="both"/>
        <w:rPr>
          <w:rFonts w:ascii="Arial" w:hAnsi="Arial" w:cs="Arial"/>
          <w:sz w:val="18"/>
          <w:szCs w:val="18"/>
        </w:rPr>
      </w:pPr>
      <w:r w:rsidRPr="008C778B">
        <w:rPr>
          <w:rFonts w:ascii="Arial" w:hAnsi="Arial" w:cs="Arial"/>
          <w:sz w:val="18"/>
          <w:szCs w:val="18"/>
        </w:rPr>
        <w:tab/>
      </w:r>
      <w:r w:rsidRPr="008C778B">
        <w:rPr>
          <w:rStyle w:val="FootnoteReference"/>
          <w:rFonts w:ascii="Arial" w:hAnsi="Arial" w:cs="Arial"/>
          <w:sz w:val="18"/>
          <w:szCs w:val="18"/>
          <w:lang w:val="es-MX"/>
        </w:rPr>
        <w:footnoteRef/>
      </w:r>
      <w:r w:rsidRPr="008C778B">
        <w:rPr>
          <w:rFonts w:ascii="Arial" w:hAnsi="Arial" w:cs="Arial"/>
          <w:sz w:val="18"/>
          <w:szCs w:val="18"/>
        </w:rPr>
        <w:t xml:space="preserve"> </w:t>
      </w:r>
      <w:r w:rsidRPr="00CD53D7">
        <w:rPr>
          <w:rFonts w:ascii="Century Gothic" w:hAnsi="Century Gothic" w:cs="Arial"/>
          <w:sz w:val="18"/>
          <w:szCs w:val="18"/>
          <w:lang w:val="es-MX"/>
        </w:rPr>
        <w:t xml:space="preserve">En relación con los documentos tipo de interventoría de obra pública de infraestructura de transporte y el de consultoría de estudios de ingeniería de infraestructura de transporte, estos numerales corresponden </w:t>
      </w:r>
      <w:bookmarkStart w:id="18" w:name="_Toc84415882"/>
      <w:r w:rsidRPr="00CD53D7">
        <w:rPr>
          <w:rFonts w:ascii="Century Gothic" w:hAnsi="Century Gothic" w:cs="Arial"/>
          <w:sz w:val="18"/>
          <w:szCs w:val="18"/>
          <w:lang w:val="es-MX"/>
        </w:rPr>
        <w:t>al 10.1 ACREDITACIÓN DE LA EXPERIENCIA DEL PROPONENTE</w:t>
      </w:r>
      <w:bookmarkEnd w:id="18"/>
      <w:r w:rsidRPr="00CD53D7">
        <w:rPr>
          <w:rFonts w:ascii="Century Gothic" w:hAnsi="Century Gothic" w:cs="Arial"/>
          <w:sz w:val="18"/>
          <w:szCs w:val="18"/>
          <w:lang w:val="es-MX"/>
        </w:rPr>
        <w:t xml:space="preserve"> y 10.1.1 </w:t>
      </w:r>
      <w:bookmarkStart w:id="19" w:name="_Toc84415883"/>
      <w:r w:rsidRPr="00CD53D7">
        <w:rPr>
          <w:rFonts w:ascii="Century Gothic" w:hAnsi="Century Gothic" w:cs="Arial"/>
          <w:sz w:val="18"/>
          <w:szCs w:val="18"/>
          <w:lang w:val="es-MX"/>
        </w:rPr>
        <w:t>CARACTERÍSTICAS DE LOS CONTRATOS PRESENTADOS PARA ACREDITAR LA EXPERIENCIA DEL PROPONENTE</w:t>
      </w:r>
      <w:bookmarkEnd w:id="19"/>
      <w:r w:rsidRPr="00CD53D7">
        <w:rPr>
          <w:rFonts w:ascii="Century Gothic" w:hAnsi="Century Gothic" w:cs="Arial"/>
          <w:sz w:val="18"/>
          <w:szCs w:val="18"/>
          <w:lang w:val="es-MX"/>
        </w:rPr>
        <w:t xml:space="preserve"> del Documento Base. </w:t>
      </w:r>
    </w:p>
  </w:footnote>
  <w:footnote w:id="8">
    <w:p w14:paraId="3CF1D319" w14:textId="77777777" w:rsidR="0006500B" w:rsidRPr="00CD53D7" w:rsidRDefault="0006500B" w:rsidP="0006500B">
      <w:pPr>
        <w:pStyle w:val="FootnoteText"/>
        <w:ind w:firstLine="708"/>
        <w:jc w:val="both"/>
        <w:rPr>
          <w:rFonts w:ascii="Century Gothic" w:hAnsi="Century Gothic" w:cs="Arial"/>
          <w:sz w:val="18"/>
          <w:szCs w:val="18"/>
        </w:rPr>
      </w:pPr>
      <w:r w:rsidRPr="008C778B">
        <w:rPr>
          <w:rStyle w:val="FootnoteReference"/>
          <w:rFonts w:ascii="Arial" w:hAnsi="Arial" w:cs="Arial"/>
          <w:sz w:val="18"/>
          <w:szCs w:val="18"/>
        </w:rPr>
        <w:footnoteRef/>
      </w:r>
      <w:r w:rsidRPr="008C778B">
        <w:rPr>
          <w:rFonts w:ascii="Arial" w:hAnsi="Arial" w:cs="Arial"/>
          <w:sz w:val="18"/>
          <w:szCs w:val="18"/>
        </w:rPr>
        <w:t xml:space="preserve"> </w:t>
      </w:r>
      <w:r w:rsidRPr="00CD53D7">
        <w:rPr>
          <w:rFonts w:ascii="Century Gothic" w:hAnsi="Century Gothic" w:cs="Arial"/>
          <w:sz w:val="18"/>
          <w:szCs w:val="18"/>
        </w:rPr>
        <w:t xml:space="preserve">Agencia Nacional de Contratación Pública – Colombia Compra Eficiente. Resolución No. 240 de 2020: “Articulo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243C4AB6" w14:textId="77777777" w:rsidR="0006500B" w:rsidRPr="00CD53D7" w:rsidRDefault="0006500B" w:rsidP="0006500B">
      <w:pPr>
        <w:pStyle w:val="FootnoteText"/>
        <w:ind w:firstLine="708"/>
        <w:jc w:val="both"/>
        <w:rPr>
          <w:rFonts w:ascii="Century Gothic" w:hAnsi="Century Gothic" w:cs="Arial"/>
          <w:sz w:val="18"/>
          <w:szCs w:val="18"/>
        </w:rPr>
      </w:pPr>
      <w:r w:rsidRPr="00CD53D7">
        <w:rPr>
          <w:rFonts w:ascii="Century Gothic" w:hAnsi="Century Gothic" w:cs="Arial"/>
          <w:sz w:val="18"/>
          <w:szCs w:val="18"/>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380AFFC9" w14:textId="77777777" w:rsidR="0006500B" w:rsidRPr="00CD53D7" w:rsidRDefault="0006500B" w:rsidP="0006500B">
      <w:pPr>
        <w:pStyle w:val="FootnoteText"/>
        <w:ind w:firstLine="708"/>
        <w:jc w:val="both"/>
        <w:rPr>
          <w:rFonts w:ascii="Century Gothic" w:hAnsi="Century Gothic" w:cs="Arial"/>
          <w:sz w:val="18"/>
          <w:szCs w:val="18"/>
        </w:rPr>
      </w:pPr>
      <w:r w:rsidRPr="00CD53D7">
        <w:rPr>
          <w:rFonts w:ascii="Century Gothic" w:hAnsi="Century Gothic" w:cs="Arial"/>
          <w:sz w:val="18"/>
          <w:szCs w:val="18"/>
        </w:rPr>
        <w:t xml:space="preserve">2. Conservar los requisitos exigidos en los Documentos Tipo. </w:t>
      </w:r>
    </w:p>
    <w:p w14:paraId="1903896E" w14:textId="77777777" w:rsidR="0006500B" w:rsidRPr="00CD53D7" w:rsidRDefault="0006500B" w:rsidP="0006500B">
      <w:pPr>
        <w:pStyle w:val="FootnoteText"/>
        <w:ind w:firstLine="708"/>
        <w:jc w:val="both"/>
        <w:rPr>
          <w:rFonts w:ascii="Century Gothic" w:hAnsi="Century Gothic" w:cs="Arial"/>
          <w:sz w:val="18"/>
          <w:szCs w:val="18"/>
        </w:rPr>
      </w:pPr>
      <w:r w:rsidRPr="00CD53D7">
        <w:rPr>
          <w:rFonts w:ascii="Century Gothic" w:hAnsi="Century Gothic" w:cs="Arial"/>
          <w:sz w:val="18"/>
          <w:szCs w:val="18"/>
        </w:rPr>
        <w:t xml:space="preserve">3. Abstenerse de pedir experiencia exclusiva con entidades estatales, experiencia previa en un territorio específico, limitada en el tiempo o que incluya volúmenes o cantidades de obra específica. </w:t>
      </w:r>
    </w:p>
    <w:p w14:paraId="37BBF869" w14:textId="77777777" w:rsidR="0006500B" w:rsidRPr="008C778B" w:rsidRDefault="0006500B" w:rsidP="0006500B">
      <w:pPr>
        <w:pStyle w:val="FootnoteText"/>
        <w:ind w:firstLine="708"/>
        <w:jc w:val="both"/>
        <w:rPr>
          <w:rFonts w:ascii="Arial" w:hAnsi="Arial" w:cs="Arial"/>
          <w:sz w:val="18"/>
          <w:szCs w:val="18"/>
        </w:rPr>
      </w:pPr>
      <w:r w:rsidRPr="00CD53D7">
        <w:rPr>
          <w:rFonts w:ascii="Century Gothic" w:hAnsi="Century Gothic" w:cs="Arial"/>
          <w:sz w:val="18"/>
          <w:szCs w:val="18"/>
        </w:rPr>
        <w:t>4. Clasificar la experiencia requerida solo hasta el tercer nivel del Clasificador de Bienes y Servicios e incluir exclusivamente los códigos que estén relacionados directamente con el objeto a contratar”.</w:t>
      </w:r>
    </w:p>
  </w:footnote>
  <w:footnote w:id="9">
    <w:p w14:paraId="41359781" w14:textId="77777777" w:rsidR="0006500B" w:rsidRPr="008C778B" w:rsidRDefault="0006500B" w:rsidP="0006500B">
      <w:pPr>
        <w:ind w:firstLine="708"/>
        <w:jc w:val="both"/>
        <w:rPr>
          <w:rFonts w:ascii="Arial" w:hAnsi="Arial" w:cs="Arial"/>
          <w:sz w:val="18"/>
          <w:szCs w:val="18"/>
        </w:rPr>
      </w:pPr>
      <w:r w:rsidRPr="008C778B">
        <w:rPr>
          <w:rStyle w:val="FootnoteReference"/>
          <w:rFonts w:ascii="Arial" w:hAnsi="Arial" w:cs="Arial"/>
          <w:sz w:val="18"/>
          <w:szCs w:val="18"/>
        </w:rPr>
        <w:footnoteRef/>
      </w:r>
      <w:r w:rsidRPr="008C778B">
        <w:rPr>
          <w:rFonts w:ascii="Arial" w:hAnsi="Arial" w:cs="Arial"/>
          <w:sz w:val="18"/>
          <w:szCs w:val="18"/>
        </w:rPr>
        <w:t xml:space="preserve"> </w:t>
      </w:r>
      <w:r w:rsidRPr="00CD53D7">
        <w:rPr>
          <w:rFonts w:ascii="Century Gothic" w:hAnsi="Century Gothic" w:cs="Arial"/>
          <w:sz w:val="18"/>
          <w:szCs w:val="18"/>
          <w:lang w:val="es-MX"/>
        </w:rPr>
        <w:t>En relación con los documentos tipo de interventoría de obra pública de infraestructura de transporte, estos numerales corresponde al literal H) del numeral 10.1 ACREDITACIÓN DE LA EXPERIENCIA DEL PROPONENTE del Documento Base. Respecto de los y documentos tipo de consultoría de estudios de ingeniería de infraestructura de transporte, corresponde al literal J) del numeral ACREDITACIÓN DE LA EXPERIENCIA DEL PROPONENTE del Documento Base</w:t>
      </w:r>
      <w:r w:rsidRPr="008C778B">
        <w:rPr>
          <w:rFonts w:ascii="Arial" w:hAnsi="Arial" w:cs="Arial"/>
          <w:sz w:val="18"/>
          <w:szCs w:val="18"/>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Header"/>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Header"/>
    </w:pPr>
  </w:p>
  <w:p w14:paraId="1BE2B9AE" w14:textId="4B94DB3B" w:rsidR="00756841" w:rsidRDefault="00756841">
    <w:pPr>
      <w:pStyle w:val="Header"/>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pt;height:14.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E52D61"/>
    <w:multiLevelType w:val="multilevel"/>
    <w:tmpl w:val="5FA0D622"/>
    <w:lvl w:ilvl="0">
      <w:start w:val="2"/>
      <w:numFmt w:val="decimal"/>
      <w:lvlText w:val="%1"/>
      <w:lvlJc w:val="left"/>
      <w:pPr>
        <w:ind w:left="440" w:hanging="440"/>
      </w:pPr>
      <w:rPr>
        <w:rFonts w:hint="default"/>
        <w:b/>
      </w:rPr>
    </w:lvl>
    <w:lvl w:ilvl="1">
      <w:start w:val="69"/>
      <w:numFmt w:val="decimal"/>
      <w:lvlText w:val="%1.%2"/>
      <w:lvlJc w:val="left"/>
      <w:pPr>
        <w:ind w:left="866" w:hanging="44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8628040">
    <w:abstractNumId w:val="7"/>
  </w:num>
  <w:num w:numId="2" w16cid:durableId="345787435">
    <w:abstractNumId w:val="3"/>
  </w:num>
  <w:num w:numId="3" w16cid:durableId="1795441078">
    <w:abstractNumId w:val="5"/>
  </w:num>
  <w:num w:numId="4" w16cid:durableId="1378430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2331225">
    <w:abstractNumId w:val="3"/>
  </w:num>
  <w:num w:numId="6" w16cid:durableId="204759359">
    <w:abstractNumId w:val="14"/>
  </w:num>
  <w:num w:numId="7" w16cid:durableId="2102220610">
    <w:abstractNumId w:val="6"/>
  </w:num>
  <w:num w:numId="8" w16cid:durableId="1153912891">
    <w:abstractNumId w:val="13"/>
  </w:num>
  <w:num w:numId="9" w16cid:durableId="1812819169">
    <w:abstractNumId w:val="8"/>
  </w:num>
  <w:num w:numId="10" w16cid:durableId="154876742">
    <w:abstractNumId w:val="12"/>
  </w:num>
  <w:num w:numId="11" w16cid:durableId="683367297">
    <w:abstractNumId w:val="9"/>
  </w:num>
  <w:num w:numId="12" w16cid:durableId="2096509589">
    <w:abstractNumId w:val="2"/>
  </w:num>
  <w:num w:numId="13" w16cid:durableId="1133212335">
    <w:abstractNumId w:val="4"/>
  </w:num>
  <w:num w:numId="14" w16cid:durableId="1782455266">
    <w:abstractNumId w:val="15"/>
  </w:num>
  <w:num w:numId="15" w16cid:durableId="1650206403">
    <w:abstractNumId w:val="11"/>
  </w:num>
  <w:num w:numId="16" w16cid:durableId="1596477491">
    <w:abstractNumId w:val="0"/>
  </w:num>
  <w:num w:numId="17" w16cid:durableId="1533690969">
    <w:abstractNumId w:val="1"/>
  </w:num>
  <w:num w:numId="18" w16cid:durableId="404953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612"/>
    <w:rsid w:val="00004E30"/>
    <w:rsid w:val="000278D0"/>
    <w:rsid w:val="00061B2A"/>
    <w:rsid w:val="0006500B"/>
    <w:rsid w:val="00082362"/>
    <w:rsid w:val="00082A25"/>
    <w:rsid w:val="000A683E"/>
    <w:rsid w:val="000B19B9"/>
    <w:rsid w:val="000D0334"/>
    <w:rsid w:val="000F6486"/>
    <w:rsid w:val="00125105"/>
    <w:rsid w:val="00127233"/>
    <w:rsid w:val="001D54B6"/>
    <w:rsid w:val="001E4177"/>
    <w:rsid w:val="001F534F"/>
    <w:rsid w:val="001F6896"/>
    <w:rsid w:val="001F7DC6"/>
    <w:rsid w:val="002421BB"/>
    <w:rsid w:val="002707A2"/>
    <w:rsid w:val="002951A0"/>
    <w:rsid w:val="002962BC"/>
    <w:rsid w:val="002A093D"/>
    <w:rsid w:val="002A0DD0"/>
    <w:rsid w:val="002A49AC"/>
    <w:rsid w:val="002A64FD"/>
    <w:rsid w:val="002C7A84"/>
    <w:rsid w:val="002D3652"/>
    <w:rsid w:val="002E4FD9"/>
    <w:rsid w:val="00311258"/>
    <w:rsid w:val="0031197B"/>
    <w:rsid w:val="00322A85"/>
    <w:rsid w:val="003448F4"/>
    <w:rsid w:val="00373EB3"/>
    <w:rsid w:val="00374F5E"/>
    <w:rsid w:val="00377E3E"/>
    <w:rsid w:val="003A0717"/>
    <w:rsid w:val="003A779E"/>
    <w:rsid w:val="003D0F4D"/>
    <w:rsid w:val="003D5B0D"/>
    <w:rsid w:val="003E0499"/>
    <w:rsid w:val="003E1F8D"/>
    <w:rsid w:val="003F3941"/>
    <w:rsid w:val="00406575"/>
    <w:rsid w:val="0042722E"/>
    <w:rsid w:val="004A1847"/>
    <w:rsid w:val="004A305D"/>
    <w:rsid w:val="004D4359"/>
    <w:rsid w:val="004E7A09"/>
    <w:rsid w:val="004F21C4"/>
    <w:rsid w:val="004F685F"/>
    <w:rsid w:val="005566E8"/>
    <w:rsid w:val="00574867"/>
    <w:rsid w:val="00591460"/>
    <w:rsid w:val="005A2340"/>
    <w:rsid w:val="005C3777"/>
    <w:rsid w:val="005C5CDC"/>
    <w:rsid w:val="005D476C"/>
    <w:rsid w:val="00605405"/>
    <w:rsid w:val="006219F8"/>
    <w:rsid w:val="00665D70"/>
    <w:rsid w:val="006900D9"/>
    <w:rsid w:val="006E492A"/>
    <w:rsid w:val="00706C16"/>
    <w:rsid w:val="00756841"/>
    <w:rsid w:val="007649AB"/>
    <w:rsid w:val="00771D0C"/>
    <w:rsid w:val="007833AC"/>
    <w:rsid w:val="007845D3"/>
    <w:rsid w:val="007B268C"/>
    <w:rsid w:val="007B7171"/>
    <w:rsid w:val="007C3DC2"/>
    <w:rsid w:val="007E5497"/>
    <w:rsid w:val="00806F5F"/>
    <w:rsid w:val="00820278"/>
    <w:rsid w:val="00844F5C"/>
    <w:rsid w:val="008843B6"/>
    <w:rsid w:val="00891928"/>
    <w:rsid w:val="008A446D"/>
    <w:rsid w:val="008D180B"/>
    <w:rsid w:val="008F0EA7"/>
    <w:rsid w:val="00923EEF"/>
    <w:rsid w:val="009419F9"/>
    <w:rsid w:val="00961B09"/>
    <w:rsid w:val="00963F4D"/>
    <w:rsid w:val="00965334"/>
    <w:rsid w:val="0097093E"/>
    <w:rsid w:val="009956E0"/>
    <w:rsid w:val="009A6976"/>
    <w:rsid w:val="009C71FA"/>
    <w:rsid w:val="009C72E7"/>
    <w:rsid w:val="009F3A13"/>
    <w:rsid w:val="00A06924"/>
    <w:rsid w:val="00A122D3"/>
    <w:rsid w:val="00A17F13"/>
    <w:rsid w:val="00A20739"/>
    <w:rsid w:val="00A33C78"/>
    <w:rsid w:val="00AB02C6"/>
    <w:rsid w:val="00AB0ADB"/>
    <w:rsid w:val="00B525D7"/>
    <w:rsid w:val="00B72CD3"/>
    <w:rsid w:val="00B72FFF"/>
    <w:rsid w:val="00B94397"/>
    <w:rsid w:val="00BC3D36"/>
    <w:rsid w:val="00BD7F72"/>
    <w:rsid w:val="00C04FB3"/>
    <w:rsid w:val="00C330EB"/>
    <w:rsid w:val="00C633A0"/>
    <w:rsid w:val="00C754BE"/>
    <w:rsid w:val="00C76B1C"/>
    <w:rsid w:val="00CB6357"/>
    <w:rsid w:val="00CC1B26"/>
    <w:rsid w:val="00D423A2"/>
    <w:rsid w:val="00D5158F"/>
    <w:rsid w:val="00D63AC2"/>
    <w:rsid w:val="00D7383B"/>
    <w:rsid w:val="00DA231B"/>
    <w:rsid w:val="00DA3DF9"/>
    <w:rsid w:val="00DF5254"/>
    <w:rsid w:val="00DF562A"/>
    <w:rsid w:val="00E02B0A"/>
    <w:rsid w:val="00E07C7E"/>
    <w:rsid w:val="00E16408"/>
    <w:rsid w:val="00E20894"/>
    <w:rsid w:val="00E245AB"/>
    <w:rsid w:val="00E2764C"/>
    <w:rsid w:val="00E27F2E"/>
    <w:rsid w:val="00E50AFE"/>
    <w:rsid w:val="00E71C51"/>
    <w:rsid w:val="00E771DC"/>
    <w:rsid w:val="00E8592F"/>
    <w:rsid w:val="00E8772A"/>
    <w:rsid w:val="00E90F6B"/>
    <w:rsid w:val="00E92C27"/>
    <w:rsid w:val="00E97D30"/>
    <w:rsid w:val="00EA0E3D"/>
    <w:rsid w:val="00EA2996"/>
    <w:rsid w:val="00EE1AA8"/>
    <w:rsid w:val="00EF33F1"/>
    <w:rsid w:val="00F31EDC"/>
    <w:rsid w:val="00F400E8"/>
    <w:rsid w:val="00F42650"/>
    <w:rsid w:val="00F462B3"/>
    <w:rsid w:val="00F5129B"/>
    <w:rsid w:val="00F5664F"/>
    <w:rsid w:val="00F666C4"/>
    <w:rsid w:val="00F76AFC"/>
    <w:rsid w:val="00FB5DD1"/>
    <w:rsid w:val="00FC2B5D"/>
    <w:rsid w:val="00FF1449"/>
    <w:rsid w:val="00FF64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paragraph" w:customStyle="1" w:styleId="Appelnotedebasde">
    <w:name w:val="Appel note de bas de..."/>
    <w:basedOn w:val="Normal"/>
    <w:link w:val="FootnoteReference"/>
    <w:uiPriority w:val="99"/>
    <w:rsid w:val="0006500B"/>
    <w:pPr>
      <w:spacing w:line="240" w:lineRule="exact"/>
    </w:pPr>
    <w:rPr>
      <w:vertAlign w:val="superscript"/>
    </w:rPr>
  </w:style>
  <w:style w:type="character" w:styleId="CommentReference">
    <w:name w:val="annotation reference"/>
    <w:basedOn w:val="DefaultParagraphFont"/>
    <w:uiPriority w:val="99"/>
    <w:semiHidden/>
    <w:unhideWhenUsed/>
    <w:rsid w:val="00E8592F"/>
    <w:rPr>
      <w:sz w:val="16"/>
      <w:szCs w:val="16"/>
    </w:rPr>
  </w:style>
  <w:style w:type="paragraph" w:styleId="CommentText">
    <w:name w:val="annotation text"/>
    <w:basedOn w:val="Normal"/>
    <w:link w:val="CommentTextChar"/>
    <w:uiPriority w:val="99"/>
    <w:unhideWhenUsed/>
    <w:rsid w:val="00E8592F"/>
    <w:pPr>
      <w:spacing w:line="240" w:lineRule="auto"/>
    </w:pPr>
    <w:rPr>
      <w:sz w:val="20"/>
      <w:szCs w:val="20"/>
    </w:rPr>
  </w:style>
  <w:style w:type="character" w:customStyle="1" w:styleId="CommentTextChar">
    <w:name w:val="Comment Text Char"/>
    <w:basedOn w:val="DefaultParagraphFont"/>
    <w:link w:val="CommentText"/>
    <w:uiPriority w:val="99"/>
    <w:rsid w:val="00E8592F"/>
    <w:rPr>
      <w:sz w:val="20"/>
      <w:szCs w:val="20"/>
    </w:rPr>
  </w:style>
  <w:style w:type="paragraph" w:styleId="CommentSubject">
    <w:name w:val="annotation subject"/>
    <w:basedOn w:val="CommentText"/>
    <w:next w:val="CommentText"/>
    <w:link w:val="CommentSubjectChar"/>
    <w:uiPriority w:val="99"/>
    <w:semiHidden/>
    <w:unhideWhenUsed/>
    <w:rsid w:val="00E8592F"/>
    <w:rPr>
      <w:b/>
      <w:bCs/>
    </w:rPr>
  </w:style>
  <w:style w:type="character" w:customStyle="1" w:styleId="CommentSubjectChar">
    <w:name w:val="Comment Subject Char"/>
    <w:basedOn w:val="CommentTextChar"/>
    <w:link w:val="CommentSubject"/>
    <w:uiPriority w:val="99"/>
    <w:semiHidden/>
    <w:rsid w:val="00E859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Nohelia Del Carmen Zawady Palacio</DisplayName>
        <AccountId>289</AccountId>
        <AccountType/>
      </UserInfo>
      <UserInfo>
        <DisplayName>Mariana Triana Ortiz</DisplayName>
        <AccountId>777</AccountId>
        <AccountType/>
      </UserInfo>
    </SharedWithUsers>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13CE7-E5B9-457E-B160-F6E4AB8B3C80}"/>
</file>

<file path=customXml/itemProps2.xml><?xml version="1.0" encoding="utf-8"?>
<ds:datastoreItem xmlns:ds="http://schemas.openxmlformats.org/officeDocument/2006/customXml" ds:itemID="{163618BE-28CB-4D69-955E-CDA788483BED}">
  <ds:schemaRefs>
    <ds:schemaRef ds:uri="http://purl.org/dc/terms/"/>
    <ds:schemaRef ds:uri="http://schemas.microsoft.com/office/2006/documentManagement/types"/>
    <ds:schemaRef ds:uri="http://schemas.microsoft.com/office/2006/metadata/properties"/>
    <ds:schemaRef ds:uri="cabc2350-70b2-4dba-bb42-96a3175f4d5a"/>
    <ds:schemaRef ds:uri="http://purl.org/dc/elements/1.1/"/>
    <ds:schemaRef ds:uri="http://schemas.openxmlformats.org/package/2006/metadata/core-properties"/>
    <ds:schemaRef ds:uri="http://schemas.microsoft.com/office/infopath/2007/PartnerControls"/>
    <ds:schemaRef ds:uri="8ae15d26-076e-464e-81a7-6f76a0fb3917"/>
    <ds:schemaRef ds:uri="http://www.w3.org/XML/1998/namespace"/>
    <ds:schemaRef ds:uri="http://purl.org/dc/dcmitype/"/>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6533</Words>
  <Characters>35936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Mariana Triana</cp:lastModifiedBy>
  <cp:revision>4</cp:revision>
  <cp:lastPrinted>2023-01-10T21:18:00Z</cp:lastPrinted>
  <dcterms:created xsi:type="dcterms:W3CDTF">2023-11-02T23:46:00Z</dcterms:created>
  <dcterms:modified xsi:type="dcterms:W3CDTF">2023-11-06T14:09:00Z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