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E45302" w:rsidR="00950DF7" w:rsidP="00F304EA" w:rsidRDefault="70551974" w14:paraId="2DA30DBE" w14:textId="6E5D2267">
      <w:pPr>
        <w:jc w:val="right"/>
        <w:rPr>
          <w:rFonts w:ascii="Century Gothic" w:hAnsi="Century Gothic" w:eastAsia="Calibri" w:cs="Arial"/>
          <w:b/>
          <w:bCs/>
          <w:sz w:val="20"/>
          <w:szCs w:val="20"/>
          <w:lang w:val="es-ES"/>
        </w:rPr>
      </w:pPr>
      <w:bookmarkStart w:name="_Hlk28946138" w:id="0"/>
      <w:bookmarkStart w:name="_Hlk29548183" w:id="1"/>
      <w:r w:rsidRPr="00E45302">
        <w:rPr>
          <w:rFonts w:ascii="Century Gothic" w:hAnsi="Century Gothic" w:cs="Arial"/>
          <w:sz w:val="16"/>
          <w:szCs w:val="16"/>
          <w:lang w:val="es-ES" w:eastAsia="es-ES"/>
        </w:rPr>
        <w:t>CCE-DES-FM-17</w:t>
      </w:r>
      <w:bookmarkEnd w:id="0"/>
      <w:bookmarkEnd w:id="1"/>
    </w:p>
    <w:p w:rsidRPr="00E45302" w:rsidR="00950DF7" w:rsidP="00F304EA" w:rsidRDefault="00950DF7" w14:paraId="6352F336" w14:textId="77777777">
      <w:pPr>
        <w:jc w:val="both"/>
        <w:rPr>
          <w:rFonts w:ascii="Century Gothic" w:hAnsi="Century Gothic" w:eastAsia="Calibri" w:cs="Arial"/>
          <w:b/>
          <w:bCs/>
          <w:sz w:val="22"/>
          <w:szCs w:val="22"/>
        </w:rPr>
      </w:pPr>
    </w:p>
    <w:p w:rsidRPr="00E45302" w:rsidR="00615DCC" w:rsidP="00615DCC" w:rsidRDefault="00615DCC" w14:paraId="071F2589" w14:textId="77777777">
      <w:pPr>
        <w:jc w:val="both"/>
        <w:rPr>
          <w:rFonts w:ascii="Century Gothic" w:hAnsi="Century Gothic" w:eastAsia="Calibri" w:cs="Arial"/>
          <w:b/>
          <w:bCs/>
          <w:color w:val="000000" w:themeColor="text1"/>
          <w:sz w:val="20"/>
          <w:szCs w:val="20"/>
          <w:lang w:val="es-ES_tradnl"/>
        </w:rPr>
      </w:pPr>
      <w:r w:rsidRPr="00890FCC">
        <w:rPr>
          <w:rFonts w:ascii="Century Gothic" w:hAnsi="Century Gothic" w:eastAsia="Calibri" w:cs="Arial"/>
          <w:b/>
          <w:bCs/>
          <w:color w:val="000000" w:themeColor="text1"/>
          <w:sz w:val="22"/>
          <w:szCs w:val="22"/>
          <w:lang w:val="es-ES_tradnl"/>
        </w:rPr>
        <w:t xml:space="preserve">POTESTADES EXCEPCIONALES DE LA ADMINISTRACIÓN PÚBLICA </w:t>
      </w:r>
    </w:p>
    <w:p w:rsidR="00615DCC" w:rsidP="00615DCC" w:rsidRDefault="00615DCC" w14:paraId="50EFA7D3" w14:textId="77777777">
      <w:pPr>
        <w:jc w:val="both"/>
        <w:rPr>
          <w:rFonts w:ascii="Century Gothic" w:hAnsi="Century Gothic" w:cs="Arial"/>
          <w:iCs/>
          <w:color w:val="000000" w:themeColor="text1"/>
          <w:sz w:val="20"/>
          <w:szCs w:val="20"/>
          <w:lang w:val="es-ES_tradnl"/>
        </w:rPr>
      </w:pPr>
      <w:r w:rsidRPr="00E45302">
        <w:rPr>
          <w:rFonts w:ascii="Century Gothic" w:hAnsi="Century Gothic" w:cs="Arial"/>
          <w:iCs/>
          <w:color w:val="000000" w:themeColor="text1"/>
          <w:sz w:val="20"/>
          <w:szCs w:val="20"/>
          <w:lang w:val="es-ES_tradnl"/>
        </w:rPr>
        <w:t xml:space="preserve">Durante la ejecución de los contratos, las entidades estatales sometidas al Estatuto General de Contratación de la Administración Pública usualmente cuentan con distintas potestades exorbitantes o excepcionales, con base en las cuales ejercen la dirección general del contrato y realizan las actividades propias de vigilancia y control. Entre dichas potestades 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w:t>
      </w:r>
      <w:r w:rsidRPr="00E45302">
        <w:rPr>
          <w:rFonts w:ascii="Century Gothic" w:hAnsi="Century Gothic" w:cs="Arial"/>
          <w:i/>
          <w:color w:val="000000" w:themeColor="text1"/>
          <w:sz w:val="20"/>
          <w:szCs w:val="20"/>
          <w:lang w:val="es-ES_tradnl"/>
        </w:rPr>
        <w:t>ibidem</w:t>
      </w:r>
      <w:r w:rsidRPr="00E45302">
        <w:rPr>
          <w:rFonts w:ascii="Century Gothic" w:hAnsi="Century Gothic" w:cs="Arial"/>
          <w:iCs/>
          <w:color w:val="000000" w:themeColor="text1"/>
          <w:sz w:val="20"/>
          <w:szCs w:val="20"/>
          <w:lang w:val="es-ES_tradnl"/>
        </w:rPr>
        <w:t xml:space="preserve">. ii) Algunas disposiciones también establecen otras potestades exorbitantes, como la liquidación unilateral y la declaratoria unilateral del siniestro –artículos 7 y 11 de la Ley 1150 de 2007–. Dentro de las potestades unilaterales también se encuentran iii) las cláusulas excepcionales de </w:t>
      </w:r>
      <w:r w:rsidRPr="00E45302">
        <w:rPr>
          <w:rFonts w:ascii="Century Gothic" w:hAnsi="Century Gothic" w:cs="Arial"/>
          <w:i/>
          <w:color w:val="000000" w:themeColor="text1"/>
          <w:sz w:val="20"/>
          <w:szCs w:val="20"/>
          <w:lang w:val="es-ES_tradnl"/>
        </w:rPr>
        <w:t>imposición unilateral</w:t>
      </w:r>
      <w:r w:rsidRPr="00E45302">
        <w:rPr>
          <w:rFonts w:ascii="Century Gothic" w:hAnsi="Century Gothic" w:cs="Arial"/>
          <w:iCs/>
          <w:color w:val="000000" w:themeColor="text1"/>
          <w:sz w:val="20"/>
          <w:szCs w:val="20"/>
          <w:lang w:val="es-ES_tradnl"/>
        </w:rPr>
        <w:t xml:space="preserve"> de las cláusulas penales y de multas –artículo 17 de la Ley 1150 de 2007–, aclarando que su exorbitancia se refiere a su imposición unilateral, no a su pacto, que es posible en virtud de las normas civiles y comerciales.</w:t>
      </w:r>
    </w:p>
    <w:p w:rsidRPr="00E45302" w:rsidR="00890FCC" w:rsidP="00615DCC" w:rsidRDefault="00890FCC" w14:paraId="4D2232E7" w14:textId="77777777">
      <w:pPr>
        <w:jc w:val="both"/>
        <w:rPr>
          <w:rFonts w:ascii="Century Gothic" w:hAnsi="Century Gothic" w:cs="Arial"/>
          <w:iCs/>
          <w:color w:val="000000" w:themeColor="text1"/>
          <w:sz w:val="20"/>
          <w:szCs w:val="20"/>
          <w:lang w:val="es-ES_tradnl"/>
        </w:rPr>
      </w:pPr>
    </w:p>
    <w:p w:rsidRPr="00890FCC" w:rsidR="00615DCC" w:rsidP="00615DCC" w:rsidRDefault="00615DCC" w14:paraId="150631B1" w14:textId="77777777">
      <w:pPr>
        <w:jc w:val="both"/>
        <w:rPr>
          <w:rFonts w:ascii="Century Gothic" w:hAnsi="Century Gothic" w:eastAsia="Calibri" w:cs="Arial"/>
          <w:b/>
          <w:bCs/>
          <w:color w:val="000000" w:themeColor="text1"/>
          <w:sz w:val="22"/>
          <w:szCs w:val="22"/>
        </w:rPr>
      </w:pPr>
      <w:r w:rsidRPr="00890FCC">
        <w:rPr>
          <w:rFonts w:ascii="Century Gothic" w:hAnsi="Century Gothic" w:eastAsia="Calibri" w:cs="Arial"/>
          <w:b/>
          <w:bCs/>
          <w:color w:val="000000" w:themeColor="text1"/>
          <w:sz w:val="22"/>
          <w:szCs w:val="22"/>
        </w:rPr>
        <w:t xml:space="preserve">CLÁUSULA PENAL- estimación anticipada de perjuicios / CLÁUSULA PENAL – Funciones </w:t>
      </w:r>
    </w:p>
    <w:p w:rsidR="00615DCC" w:rsidP="00615DCC" w:rsidRDefault="00615DCC" w14:paraId="29AD21FA" w14:textId="77A8342D">
      <w:pPr>
        <w:jc w:val="both"/>
        <w:rPr>
          <w:rFonts w:ascii="Century Gothic" w:hAnsi="Century Gothic" w:eastAsia="Calibri" w:cs="Arial"/>
          <w:color w:val="000000" w:themeColor="text1"/>
          <w:sz w:val="20"/>
          <w:szCs w:val="20"/>
        </w:rPr>
      </w:pPr>
      <w:r w:rsidRPr="00E45302">
        <w:rPr>
          <w:rFonts w:ascii="Century Gothic" w:hAnsi="Century Gothic" w:eastAsia="Calibri" w:cs="Arial"/>
          <w:color w:val="000000" w:themeColor="text1"/>
          <w:sz w:val="20"/>
          <w:szCs w:val="20"/>
        </w:rPr>
        <w:t xml:space="preserve">[…]  el artículo 1592 del Código Civil establece que </w:t>
      </w:r>
      <w:r w:rsidR="00BA6E7F">
        <w:rPr>
          <w:rFonts w:ascii="Century Gothic" w:hAnsi="Century Gothic" w:eastAsia="Calibri" w:cs="Arial"/>
          <w:color w:val="000000" w:themeColor="text1"/>
          <w:sz w:val="20"/>
          <w:szCs w:val="20"/>
        </w:rPr>
        <w:t>“</w:t>
      </w:r>
      <w:r w:rsidRPr="00E45302">
        <w:rPr>
          <w:rFonts w:ascii="Century Gothic" w:hAnsi="Century Gothic" w:eastAsia="Calibri" w:cs="Arial"/>
          <w:color w:val="000000" w:themeColor="text1"/>
          <w:sz w:val="20"/>
          <w:szCs w:val="20"/>
        </w:rPr>
        <w:t>La cláusula penal es aquella en que una persona, para asegurar el cumplimiento de una obligación, se sujeta a una pena que consiste en dar o hacer algo en caso de no ejecutar o retardar la obligación principal.</w:t>
      </w:r>
      <w:r w:rsidR="00BA6E7F">
        <w:rPr>
          <w:rFonts w:ascii="Century Gothic" w:hAnsi="Century Gothic" w:eastAsia="Calibri" w:cs="Arial"/>
          <w:color w:val="000000" w:themeColor="text1"/>
          <w:sz w:val="20"/>
          <w:szCs w:val="20"/>
        </w:rPr>
        <w:t>”</w:t>
      </w:r>
      <w:r w:rsidRPr="00E45302">
        <w:rPr>
          <w:rFonts w:ascii="Century Gothic" w:hAnsi="Century Gothic" w:eastAsia="Calibri" w:cs="Arial"/>
          <w:color w:val="000000" w:themeColor="text1"/>
          <w:sz w:val="20"/>
          <w:szCs w:val="20"/>
        </w:rPr>
        <w:t xml:space="preserve"> Por su parte, el artículo 867 del Código de Comercio, dispone: </w:t>
      </w:r>
      <w:r w:rsidR="00BA6E7F">
        <w:rPr>
          <w:rFonts w:ascii="Century Gothic" w:hAnsi="Century Gothic" w:eastAsia="Calibri" w:cs="Arial"/>
          <w:color w:val="000000" w:themeColor="text1"/>
          <w:sz w:val="20"/>
          <w:szCs w:val="20"/>
        </w:rPr>
        <w:t>“</w:t>
      </w:r>
      <w:r w:rsidRPr="00E45302">
        <w:rPr>
          <w:rFonts w:ascii="Century Gothic" w:hAnsi="Century Gothic" w:eastAsia="Calibri" w:cs="Arial"/>
          <w:color w:val="000000" w:themeColor="text1"/>
          <w:sz w:val="20"/>
          <w:szCs w:val="20"/>
        </w:rPr>
        <w:t>Cuando se estipule el pago de una prestación determinada para el caso de incumplimiento, o de mora, se entenderá que las partes no pueden retractarse (…)</w:t>
      </w:r>
      <w:r w:rsidR="00BA6E7F">
        <w:rPr>
          <w:rFonts w:ascii="Century Gothic" w:hAnsi="Century Gothic" w:eastAsia="Calibri" w:cs="Arial"/>
          <w:color w:val="000000" w:themeColor="text1"/>
          <w:sz w:val="20"/>
          <w:szCs w:val="20"/>
        </w:rPr>
        <w:t>”</w:t>
      </w:r>
      <w:r w:rsidRPr="00E45302">
        <w:rPr>
          <w:rFonts w:ascii="Century Gothic" w:hAnsi="Century Gothic" w:eastAsia="Calibri" w:cs="Arial"/>
          <w:color w:val="000000" w:themeColor="text1"/>
          <w:sz w:val="20"/>
          <w:szCs w:val="20"/>
        </w:rPr>
        <w:t xml:space="preserve">. […] la cláusula penal puede cumplir varias funciones, a saber: </w:t>
      </w:r>
      <w:r w:rsidRPr="00E45302">
        <w:rPr>
          <w:rFonts w:ascii="Century Gothic" w:hAnsi="Century Gothic" w:eastAsia="Calibri" w:cs="Arial"/>
          <w:i/>
          <w:iCs/>
          <w:color w:val="000000" w:themeColor="text1"/>
          <w:sz w:val="20"/>
          <w:szCs w:val="20"/>
        </w:rPr>
        <w:t>i)</w:t>
      </w:r>
      <w:r w:rsidRPr="00E45302">
        <w:rPr>
          <w:rFonts w:ascii="Century Gothic" w:hAnsi="Century Gothic" w:eastAsia="Calibri" w:cs="Arial"/>
          <w:color w:val="000000" w:themeColor="text1"/>
          <w:sz w:val="20"/>
          <w:szCs w:val="20"/>
        </w:rPr>
        <w:t xml:space="preserve"> estimación anticipada de perjuicios; </w:t>
      </w:r>
      <w:r w:rsidRPr="00E45302">
        <w:rPr>
          <w:rFonts w:ascii="Century Gothic" w:hAnsi="Century Gothic" w:eastAsia="Calibri" w:cs="Arial"/>
          <w:i/>
          <w:iCs/>
          <w:color w:val="000000" w:themeColor="text1"/>
          <w:sz w:val="20"/>
          <w:szCs w:val="20"/>
        </w:rPr>
        <w:t>ii)</w:t>
      </w:r>
      <w:r w:rsidRPr="00E45302">
        <w:rPr>
          <w:rFonts w:ascii="Century Gothic" w:hAnsi="Century Gothic" w:eastAsia="Calibri" w:cs="Arial"/>
          <w:color w:val="000000" w:themeColor="text1"/>
          <w:sz w:val="20"/>
          <w:szCs w:val="20"/>
        </w:rPr>
        <w:t xml:space="preserve"> medio de apremio al deudor, y </w:t>
      </w:r>
      <w:r w:rsidRPr="00E45302">
        <w:rPr>
          <w:rFonts w:ascii="Century Gothic" w:hAnsi="Century Gothic" w:eastAsia="Calibri" w:cs="Arial"/>
          <w:i/>
          <w:iCs/>
          <w:color w:val="000000" w:themeColor="text1"/>
          <w:sz w:val="20"/>
          <w:szCs w:val="20"/>
        </w:rPr>
        <w:t>iii)</w:t>
      </w:r>
      <w:r w:rsidRPr="00E45302">
        <w:rPr>
          <w:rFonts w:ascii="Century Gothic" w:hAnsi="Century Gothic" w:eastAsia="Calibri" w:cs="Arial"/>
          <w:color w:val="000000" w:themeColor="text1"/>
          <w:sz w:val="20"/>
          <w:szCs w:val="20"/>
        </w:rPr>
        <w:t xml:space="preserve"> caución o garantía del cumplimiento de la obligación principal.</w:t>
      </w:r>
    </w:p>
    <w:p w:rsidRPr="00E45302" w:rsidR="00890FCC" w:rsidP="00615DCC" w:rsidRDefault="00890FCC" w14:paraId="23E6A060" w14:textId="77777777">
      <w:pPr>
        <w:jc w:val="both"/>
        <w:rPr>
          <w:rFonts w:ascii="Century Gothic" w:hAnsi="Century Gothic" w:eastAsia="Calibri" w:cs="Arial"/>
          <w:color w:val="000000" w:themeColor="text1"/>
          <w:sz w:val="20"/>
          <w:szCs w:val="20"/>
        </w:rPr>
      </w:pPr>
    </w:p>
    <w:p w:rsidRPr="00890FCC" w:rsidR="00615DCC" w:rsidP="00615DCC" w:rsidRDefault="00615DCC" w14:paraId="71FD4304" w14:textId="77777777">
      <w:pPr>
        <w:rPr>
          <w:rFonts w:ascii="Century Gothic" w:hAnsi="Century Gothic" w:eastAsia="Calibri" w:cs="Arial"/>
          <w:b/>
          <w:color w:val="000000" w:themeColor="text1"/>
          <w:sz w:val="22"/>
          <w:szCs w:val="22"/>
        </w:rPr>
      </w:pPr>
      <w:r w:rsidRPr="00890FCC">
        <w:rPr>
          <w:rFonts w:ascii="Century Gothic" w:hAnsi="Century Gothic" w:eastAsia="Calibri" w:cs="Arial"/>
          <w:b/>
          <w:color w:val="000000" w:themeColor="text1"/>
          <w:sz w:val="22"/>
          <w:szCs w:val="22"/>
        </w:rPr>
        <w:t xml:space="preserve">PROCEDIMIENTO ADMINISTRATIVO SANCIONATORIO – Artículo 86 Ley 1474 de 2011 </w:t>
      </w:r>
    </w:p>
    <w:p w:rsidRPr="00E45302" w:rsidR="00615DCC" w:rsidP="00615DCC" w:rsidRDefault="00615DCC" w14:paraId="1C00F06F" w14:textId="5ADC71BD">
      <w:pPr>
        <w:spacing w:after="120"/>
        <w:jc w:val="both"/>
        <w:rPr>
          <w:rFonts w:ascii="Century Gothic" w:hAnsi="Century Gothic" w:cs="Arial"/>
          <w:iCs/>
          <w:color w:val="000000" w:themeColor="text1"/>
          <w:sz w:val="20"/>
          <w:szCs w:val="20"/>
          <w:lang w:val="es-ES_tradnl"/>
        </w:rPr>
      </w:pPr>
      <w:r w:rsidRPr="00E45302">
        <w:rPr>
          <w:rFonts w:ascii="Century Gothic" w:hAnsi="Century Gothic" w:cs="Arial"/>
          <w:iCs/>
          <w:color w:val="000000" w:themeColor="text1"/>
          <w:sz w:val="20"/>
          <w:szCs w:val="20"/>
          <w:lang w:val="es-ES_tradnl"/>
        </w:rPr>
        <w:t xml:space="preserve">El artículo 86 de la Ley 1474 de 2011 establece las reglas de procedimiento, mediante las cuales se materializan los derechos y garantías derivadas del debido proceso, para su aplicación concreta en materia sancionatoria contractual. De conformidad con esta disposición, las </w:t>
      </w:r>
      <w:r w:rsidR="00BA6E7F">
        <w:rPr>
          <w:rFonts w:ascii="Century Gothic" w:hAnsi="Century Gothic" w:cs="Arial"/>
          <w:iCs/>
          <w:color w:val="000000" w:themeColor="text1"/>
          <w:sz w:val="20"/>
          <w:szCs w:val="20"/>
          <w:lang w:val="es-ES_tradnl"/>
        </w:rPr>
        <w:t>“</w:t>
      </w:r>
      <w:r w:rsidRPr="00E45302">
        <w:rPr>
          <w:rFonts w:ascii="Century Gothic" w:hAnsi="Century Gothic" w:cs="Arial"/>
          <w:iCs/>
          <w:color w:val="000000" w:themeColor="text1"/>
          <w:sz w:val="20"/>
          <w:szCs w:val="20"/>
          <w:lang w:val="es-ES_tradnl"/>
        </w:rPr>
        <w:t>entidades sometidas al Estatuto General de Contratación de la Administración Pública podrán declarar el incumplimiento […]. Para tal efecto observarán el siguiente procedimiento</w:t>
      </w:r>
      <w:r w:rsidR="00BA6E7F">
        <w:rPr>
          <w:rFonts w:ascii="Century Gothic" w:hAnsi="Century Gothic" w:cs="Arial"/>
          <w:iCs/>
          <w:color w:val="000000" w:themeColor="text1"/>
          <w:sz w:val="20"/>
          <w:szCs w:val="20"/>
          <w:lang w:val="es-ES_tradnl"/>
        </w:rPr>
        <w:t>”</w:t>
      </w:r>
      <w:r w:rsidRPr="00E45302">
        <w:rPr>
          <w:rFonts w:ascii="Century Gothic" w:hAnsi="Century Gothic" w:cs="Arial"/>
          <w:iCs/>
          <w:color w:val="000000" w:themeColor="text1"/>
          <w:sz w:val="20"/>
          <w:szCs w:val="20"/>
          <w:lang w:val="es-ES_tradnl"/>
        </w:rPr>
        <w:t xml:space="preserve">. Cabe destacar que esta norma no cualifica o se circunscribe a ciertos tipos de incumplimiento. En consecuencia, la declaratoria de cualquier incumplimiento, sea total o parcial, o independiente de su gravedad, debe realizarse con plena observancia de las reglas procedimentales del artículo 86 de la Ley 1474 de 2011. Esto es así como consecuencia del </w:t>
      </w:r>
      <w:r w:rsidR="00BA6E7F">
        <w:rPr>
          <w:rFonts w:ascii="Century Gothic" w:hAnsi="Century Gothic" w:cs="Arial"/>
          <w:iCs/>
          <w:color w:val="000000" w:themeColor="text1"/>
          <w:sz w:val="20"/>
          <w:szCs w:val="20"/>
          <w:lang w:val="es-ES_tradnl"/>
        </w:rPr>
        <w:t>“</w:t>
      </w:r>
      <w:r w:rsidRPr="00E45302">
        <w:rPr>
          <w:rFonts w:ascii="Century Gothic" w:hAnsi="Century Gothic" w:cs="Arial"/>
          <w:iCs/>
          <w:color w:val="000000" w:themeColor="text1"/>
          <w:sz w:val="20"/>
          <w:szCs w:val="20"/>
          <w:lang w:val="es-ES_tradnl"/>
        </w:rPr>
        <w:t>principio general de interpretación jurídica según el cual donde la norma no distingue, no le corresponde distinguir al intérprete</w:t>
      </w:r>
      <w:r w:rsidR="00BA6E7F">
        <w:rPr>
          <w:rFonts w:ascii="Century Gothic" w:hAnsi="Century Gothic" w:cs="Arial"/>
          <w:iCs/>
          <w:color w:val="000000" w:themeColor="text1"/>
          <w:sz w:val="20"/>
          <w:szCs w:val="20"/>
          <w:lang w:val="es-ES_tradnl"/>
        </w:rPr>
        <w:t>”</w:t>
      </w:r>
      <w:r w:rsidRPr="00E45302">
        <w:rPr>
          <w:rFonts w:ascii="Century Gothic" w:hAnsi="Century Gothic" w:cs="Arial"/>
          <w:iCs/>
          <w:color w:val="000000" w:themeColor="text1"/>
          <w:sz w:val="20"/>
          <w:szCs w:val="20"/>
          <w:lang w:val="es-ES_tradnl"/>
        </w:rPr>
        <w:t xml:space="preserve">. A la misma conclusión se llega si se tiene en consideración la necesidad de respetar el debido proceso en </w:t>
      </w:r>
      <w:r w:rsidR="00BA6E7F">
        <w:rPr>
          <w:rFonts w:ascii="Century Gothic" w:hAnsi="Century Gothic" w:cs="Arial"/>
          <w:iCs/>
          <w:color w:val="000000" w:themeColor="text1"/>
          <w:sz w:val="20"/>
          <w:szCs w:val="20"/>
          <w:lang w:val="es-ES_tradnl"/>
        </w:rPr>
        <w:t>“</w:t>
      </w:r>
      <w:r w:rsidRPr="00E45302">
        <w:rPr>
          <w:rFonts w:ascii="Century Gothic" w:hAnsi="Century Gothic" w:cs="Arial"/>
          <w:iCs/>
          <w:color w:val="000000" w:themeColor="text1"/>
          <w:sz w:val="20"/>
          <w:szCs w:val="20"/>
          <w:lang w:val="es-ES_tradnl"/>
        </w:rPr>
        <w:t>todas las actuaciones administrativas</w:t>
      </w:r>
      <w:r w:rsidR="00BA6E7F">
        <w:rPr>
          <w:rFonts w:ascii="Century Gothic" w:hAnsi="Century Gothic" w:cs="Arial"/>
          <w:iCs/>
          <w:color w:val="000000" w:themeColor="text1"/>
          <w:sz w:val="20"/>
          <w:szCs w:val="20"/>
          <w:lang w:val="es-ES_tradnl"/>
        </w:rPr>
        <w:t>”</w:t>
      </w:r>
      <w:r w:rsidRPr="00E45302">
        <w:rPr>
          <w:rFonts w:ascii="Century Gothic" w:hAnsi="Century Gothic" w:cs="Arial"/>
          <w:iCs/>
          <w:color w:val="000000" w:themeColor="text1"/>
          <w:sz w:val="20"/>
          <w:szCs w:val="20"/>
          <w:lang w:val="es-ES_tradnl"/>
        </w:rPr>
        <w:t xml:space="preserve"> como lo ordena el artículo 29 superior. </w:t>
      </w:r>
    </w:p>
    <w:p w:rsidRPr="00890FCC" w:rsidR="00615DCC" w:rsidP="00615DCC" w:rsidRDefault="00615DCC" w14:paraId="6B148F17" w14:textId="77777777">
      <w:pPr>
        <w:jc w:val="both"/>
        <w:rPr>
          <w:rFonts w:ascii="Century Gothic" w:hAnsi="Century Gothic" w:eastAsia="Calibri" w:cs="Arial"/>
          <w:b/>
          <w:sz w:val="22"/>
          <w:szCs w:val="22"/>
          <w:lang w:val="es-ES_tradnl"/>
        </w:rPr>
      </w:pPr>
      <w:r w:rsidRPr="00890FCC">
        <w:rPr>
          <w:rFonts w:ascii="Century Gothic" w:hAnsi="Century Gothic" w:eastAsia="Calibri" w:cs="Arial"/>
          <w:b/>
          <w:sz w:val="22"/>
          <w:szCs w:val="22"/>
          <w:lang w:val="es-ES_tradnl"/>
        </w:rPr>
        <w:t>PROCEDIMIENTO SANCIONATORIO CONTRACTUAL – Citación a audiencia – Contenido – Ley 1474 de 2011 – Artículo 86</w:t>
      </w:r>
    </w:p>
    <w:p w:rsidR="00615DCC" w:rsidP="00615DCC" w:rsidRDefault="00615DCC" w14:paraId="0EC24B1D" w14:textId="77777777">
      <w:pPr>
        <w:jc w:val="both"/>
        <w:rPr>
          <w:rFonts w:ascii="Century Gothic" w:hAnsi="Century Gothic" w:eastAsia="Calibri" w:cs="Arial"/>
          <w:color w:val="000000" w:themeColor="text1"/>
          <w:sz w:val="20"/>
          <w:szCs w:val="20"/>
          <w:lang w:val="es-ES_tradnl"/>
        </w:rPr>
      </w:pPr>
      <w:r w:rsidRPr="00E45302">
        <w:rPr>
          <w:rFonts w:ascii="Century Gothic" w:hAnsi="Century Gothic" w:eastAsia="Calibri" w:cs="Arial"/>
          <w:color w:val="000000" w:themeColor="text1"/>
          <w:sz w:val="20"/>
          <w:szCs w:val="20"/>
          <w:lang w:val="es-ES_tradnl"/>
        </w:rPr>
        <w:t xml:space="preserve">Como se observa, la citación a la audiencia debe cumplir mínimamente los siguientes aspectos: i) señalar los </w:t>
      </w:r>
      <w:r w:rsidRPr="00E45302">
        <w:rPr>
          <w:rFonts w:ascii="Century Gothic" w:hAnsi="Century Gothic" w:eastAsia="Calibri" w:cs="Arial"/>
          <w:i/>
          <w:iCs/>
          <w:color w:val="000000" w:themeColor="text1"/>
          <w:sz w:val="20"/>
          <w:szCs w:val="20"/>
          <w:lang w:val="es-ES_tradnl"/>
        </w:rPr>
        <w:t>hechos</w:t>
      </w:r>
      <w:r w:rsidRPr="00E45302">
        <w:rPr>
          <w:rFonts w:ascii="Century Gothic" w:hAnsi="Century Gothic" w:eastAsia="Calibri" w:cs="Arial"/>
          <w:color w:val="000000" w:themeColor="text1"/>
          <w:sz w:val="20"/>
          <w:szCs w:val="20"/>
          <w:lang w:val="es-ES_tradnl"/>
        </w:rPr>
        <w:t xml:space="preserve"> que soportan la actuación, en particular la descripción detallada de cuáles son las actuaciones u omisiones del contratista que materializan el </w:t>
      </w:r>
      <w:r w:rsidRPr="00E45302">
        <w:rPr>
          <w:rFonts w:ascii="Century Gothic" w:hAnsi="Century Gothic" w:eastAsia="Calibri" w:cs="Arial"/>
          <w:color w:val="000000" w:themeColor="text1"/>
          <w:sz w:val="20"/>
          <w:szCs w:val="20"/>
          <w:lang w:val="es-ES_tradnl"/>
        </w:rPr>
        <w:t>incumplimiento de las obligaciones. Además, se deben ii) adjuntar los informes de supervisión o de interventoría que soportan la actuación, donde la entidad fundamenta su decisión de iniciar el procedimiento sancionatorio. Asimismo, iii) lo anterior debe acompañarse de las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vii) deben indicar el lugar, fecha y hora para la realización de la audiencia, sin perjuicio de que esta se pueda efectuar por medios electrónicos.</w:t>
      </w:r>
    </w:p>
    <w:p w:rsidRPr="00E45302" w:rsidR="00890FCC" w:rsidP="00615DCC" w:rsidRDefault="00890FCC" w14:paraId="4F62D59B" w14:textId="77777777">
      <w:pPr>
        <w:jc w:val="both"/>
        <w:rPr>
          <w:rFonts w:ascii="Century Gothic" w:hAnsi="Century Gothic" w:eastAsia="Calibri" w:cs="Arial"/>
          <w:color w:val="000000" w:themeColor="text1"/>
          <w:sz w:val="20"/>
          <w:szCs w:val="20"/>
          <w:lang w:val="es-ES_tradnl"/>
        </w:rPr>
      </w:pPr>
    </w:p>
    <w:p w:rsidRPr="00890FCC" w:rsidR="00615DCC" w:rsidP="00615DCC" w:rsidRDefault="00615DCC" w14:paraId="4EC83E6C" w14:textId="77777777">
      <w:pPr>
        <w:jc w:val="both"/>
        <w:rPr>
          <w:rFonts w:ascii="Century Gothic" w:hAnsi="Century Gothic" w:eastAsia="Calibri" w:cs="Arial"/>
          <w:b/>
          <w:bCs/>
          <w:color w:val="000000" w:themeColor="text1"/>
          <w:sz w:val="22"/>
          <w:szCs w:val="22"/>
          <w:lang w:val="es-ES_tradnl"/>
        </w:rPr>
      </w:pPr>
      <w:r w:rsidRPr="00890FCC">
        <w:rPr>
          <w:rFonts w:ascii="Century Gothic" w:hAnsi="Century Gothic" w:eastAsia="Calibri" w:cs="Arial"/>
          <w:b/>
          <w:bCs/>
          <w:color w:val="000000" w:themeColor="text1"/>
          <w:sz w:val="22"/>
          <w:szCs w:val="22"/>
          <w:lang w:val="es-ES_tradnl"/>
        </w:rPr>
        <w:t xml:space="preserve">PRINCIPIO DE PROPORCIONALIDAD – Funciones </w:t>
      </w:r>
    </w:p>
    <w:p w:rsidR="00615DCC" w:rsidP="00615DCC" w:rsidRDefault="00615DCC" w14:paraId="730F997C" w14:textId="7D99F896">
      <w:pPr>
        <w:jc w:val="both"/>
        <w:rPr>
          <w:rFonts w:ascii="Century Gothic" w:hAnsi="Century Gothic" w:cs="Arial"/>
          <w:sz w:val="20"/>
          <w:szCs w:val="20"/>
        </w:rPr>
      </w:pPr>
      <w:r w:rsidRPr="00E45302">
        <w:rPr>
          <w:rFonts w:ascii="Century Gothic" w:hAnsi="Century Gothic" w:cs="Arial"/>
          <w:iCs/>
          <w:sz w:val="20"/>
          <w:szCs w:val="20"/>
          <w:lang w:val="es-ES_tradnl"/>
        </w:rPr>
        <w:t xml:space="preserve">El principio de proporcionalidad es un principio general del derecho, y se ha resaltado su importancia en el ejercicio de cada una de las actuaciones administrativas, se ha dicho que este principio cumple dos funciones: </w:t>
      </w:r>
      <w:r w:rsidR="00BA6E7F">
        <w:rPr>
          <w:rFonts w:ascii="Century Gothic" w:hAnsi="Century Gothic" w:cs="Arial"/>
          <w:sz w:val="20"/>
          <w:szCs w:val="20"/>
        </w:rPr>
        <w:t>“</w:t>
      </w:r>
      <w:r w:rsidRPr="00E45302">
        <w:rPr>
          <w:rFonts w:ascii="Century Gothic" w:hAnsi="Century Gothic" w:cs="Arial"/>
          <w:iCs/>
          <w:sz w:val="20"/>
          <w:szCs w:val="20"/>
        </w:rPr>
        <w:t>i) en primer lugar, sirve de criterio de acción, esto es, como sustento de las actuaciones de los distintos órganos del Estado, el cual se realiza con su observancia y aplicación a cada caso concreto. ii) En segundo lugar, es un criterio de control, pues debe adoptarlo el juez para efectos de evaluar la proporcionalidad de la respectiva actuación administrativa.</w:t>
      </w:r>
      <w:r w:rsidR="00BA6E7F">
        <w:rPr>
          <w:rFonts w:ascii="Century Gothic" w:hAnsi="Century Gothic" w:cs="Arial"/>
          <w:sz w:val="20"/>
          <w:szCs w:val="20"/>
        </w:rPr>
        <w:t>”</w:t>
      </w:r>
    </w:p>
    <w:p w:rsidR="00890FCC" w:rsidP="00615DCC" w:rsidRDefault="00890FCC" w14:paraId="2ED95DDC" w14:textId="77777777">
      <w:pPr>
        <w:jc w:val="both"/>
        <w:rPr>
          <w:rFonts w:ascii="Century Gothic" w:hAnsi="Century Gothic" w:cs="Arial"/>
          <w:sz w:val="20"/>
          <w:szCs w:val="20"/>
        </w:rPr>
      </w:pPr>
    </w:p>
    <w:p w:rsidRPr="00890FCC" w:rsidR="00890FCC" w:rsidP="00615DCC" w:rsidRDefault="00890FCC" w14:paraId="6BE60AFE" w14:textId="052DF288">
      <w:pPr>
        <w:jc w:val="both"/>
        <w:rPr>
          <w:rFonts w:ascii="Century Gothic" w:hAnsi="Century Gothic" w:cs="Arial"/>
          <w:b/>
          <w:bCs/>
          <w:sz w:val="22"/>
          <w:szCs w:val="22"/>
        </w:rPr>
      </w:pPr>
      <w:r w:rsidRPr="00890FCC">
        <w:rPr>
          <w:rFonts w:ascii="Century Gothic" w:hAnsi="Century Gothic" w:cs="Arial"/>
          <w:b/>
          <w:bCs/>
          <w:sz w:val="22"/>
          <w:szCs w:val="22"/>
        </w:rPr>
        <w:t>CLÁUSULA PENAL Y TASACIÓN DE PERJUICIOS – Debido proceso</w:t>
      </w:r>
    </w:p>
    <w:p w:rsidR="00890FCC" w:rsidP="00615DCC" w:rsidRDefault="00890FCC" w14:paraId="6BED5E7E" w14:textId="24448C9A">
      <w:pPr>
        <w:jc w:val="both"/>
        <w:rPr>
          <w:rFonts w:ascii="Century Gothic" w:hAnsi="Century Gothic" w:cs="Arial"/>
          <w:sz w:val="20"/>
          <w:szCs w:val="20"/>
        </w:rPr>
      </w:pPr>
      <w:r w:rsidRPr="00890FCC">
        <w:rPr>
          <w:rFonts w:ascii="Century Gothic" w:hAnsi="Century Gothic" w:cs="Arial"/>
          <w:sz w:val="20"/>
          <w:szCs w:val="20"/>
        </w:rPr>
        <w:t>se aclara que para efectos de imponer las multas y sanciones, es necesario dar a conocer dichas pruebas al contratista en garantía de su derecho de defensa, contradicción, y al debido proceso que consagra el artículo 29 de la Constitución Política de 1991. Al respecto, es importante indicar que el artículo 17 de la Ley 1150 de 2007 dispuso el debido proceso como principio rector de la potestad sancionatoria de la administración en contratación estatal, y el artículo 86 de la Ley 1474 de 2011, como ya lo vimos, reglamentó el procedimiento que deben cumplir las entidades estatales para imponer unilateralmente multas, sanciones, declaratorias de incumplimiento. De la lectura de dichos artículos se observa el querer, por parte del legislador, de que el contratista cuente con un procedimiento sancionatorio contractual que tenga plena garantía al debido proceso.</w:t>
      </w:r>
    </w:p>
    <w:p w:rsidRPr="00E45302" w:rsidR="00890FCC" w:rsidP="00615DCC" w:rsidRDefault="00890FCC" w14:paraId="0978BF0C" w14:textId="77777777">
      <w:pPr>
        <w:jc w:val="both"/>
        <w:rPr>
          <w:rFonts w:ascii="Century Gothic" w:hAnsi="Century Gothic" w:eastAsia="Calibri" w:cs="Arial"/>
          <w:color w:val="000000" w:themeColor="text1"/>
          <w:sz w:val="20"/>
          <w:szCs w:val="20"/>
          <w:lang w:val="es-ES_tradnl"/>
        </w:rPr>
      </w:pPr>
    </w:p>
    <w:p w:rsidRPr="00890FCC" w:rsidR="00615DCC" w:rsidP="00615DCC" w:rsidRDefault="00615DCC" w14:paraId="38802B99" w14:textId="77777777">
      <w:pPr>
        <w:jc w:val="both"/>
        <w:rPr>
          <w:rFonts w:ascii="Century Gothic" w:hAnsi="Century Gothic" w:eastAsia="Calibri" w:cs="Arial"/>
          <w:b/>
          <w:bCs/>
          <w:color w:val="000000" w:themeColor="text1"/>
          <w:sz w:val="22"/>
          <w:szCs w:val="22"/>
          <w:lang w:val="es-ES_tradnl"/>
        </w:rPr>
      </w:pPr>
      <w:r w:rsidRPr="00890FCC">
        <w:rPr>
          <w:rFonts w:ascii="Century Gothic" w:hAnsi="Century Gothic" w:eastAsia="Calibri" w:cs="Arial"/>
          <w:b/>
          <w:bCs/>
          <w:color w:val="000000" w:themeColor="text1"/>
          <w:sz w:val="22"/>
          <w:szCs w:val="22"/>
          <w:lang w:val="es-ES_tradnl"/>
        </w:rPr>
        <w:t xml:space="preserve">CLAUSULA PENAL Y TASACIÓN DE PERJUICIOS – Aplicación de criterios proporcionales y razonables </w:t>
      </w:r>
    </w:p>
    <w:p w:rsidRPr="00E45302" w:rsidR="00615DCC" w:rsidP="00615DCC" w:rsidRDefault="00615DCC" w14:paraId="281568AC" w14:textId="77777777">
      <w:pPr>
        <w:contextualSpacing/>
        <w:jc w:val="both"/>
        <w:rPr>
          <w:rFonts w:ascii="Century Gothic" w:hAnsi="Century Gothic" w:cs="Arial"/>
          <w:iCs/>
          <w:sz w:val="20"/>
          <w:szCs w:val="20"/>
          <w:lang w:val="es-ES_tradnl"/>
        </w:rPr>
      </w:pPr>
      <w:r w:rsidRPr="00E45302">
        <w:rPr>
          <w:rFonts w:ascii="Century Gothic" w:hAnsi="Century Gothic" w:cs="Arial"/>
          <w:iCs/>
          <w:sz w:val="20"/>
          <w:szCs w:val="20"/>
          <w:lang w:val="es-ES_tradnl"/>
        </w:rPr>
        <w:t xml:space="preserve">La contratación estatal, no se escapa a la aplicación del principio de proporcionalidad, durante las etapas de estructuración, planeación, y a lo largo de la ejecución del contrato, la administración debe hacer uso razonable y proporcional de todos los instrumentos jurídicos de los cuales puede disponer para el cumplimiento de los fines del estado, es por ello que se ha dicho que frente a la cláusula penal:  </w:t>
      </w:r>
      <w:r w:rsidRPr="00E45302">
        <w:rPr>
          <w:rFonts w:ascii="Century Gothic" w:hAnsi="Century Gothic" w:cs="Arial"/>
          <w:iCs/>
          <w:sz w:val="20"/>
          <w:szCs w:val="20"/>
        </w:rPr>
        <w:t xml:space="preserve">Es dentro de este marco jurídico de principios, valores y reglas constitucionales y legales que encuentra sentido afirmar que la facultad, en el ámbito de libertad negocial de las partes, que establece el legislador para pactar la cláusula penal o la tasación de perjuicios en aquellos casos de incumplimiento no puede ser comprendida como escenario habilitante de discrecionalidad cuando se trata de su aplicación en concreto. </w:t>
      </w:r>
    </w:p>
    <w:p w:rsidRPr="00E45302" w:rsidR="00615DCC" w:rsidP="00615DCC" w:rsidRDefault="00615DCC" w14:paraId="585D4B06" w14:textId="77777777">
      <w:pPr>
        <w:ind w:left="708"/>
        <w:contextualSpacing/>
        <w:jc w:val="both"/>
        <w:rPr>
          <w:rFonts w:ascii="Century Gothic" w:hAnsi="Century Gothic" w:cs="Arial"/>
          <w:iCs/>
          <w:sz w:val="20"/>
          <w:szCs w:val="20"/>
        </w:rPr>
      </w:pPr>
    </w:p>
    <w:p w:rsidRPr="00E45302" w:rsidR="00615DCC" w:rsidP="00615DCC" w:rsidRDefault="00615DCC" w14:paraId="0E141C65" w14:textId="361D5B2E">
      <w:pPr>
        <w:contextualSpacing/>
        <w:jc w:val="both"/>
        <w:rPr>
          <w:rFonts w:ascii="Century Gothic" w:hAnsi="Century Gothic" w:eastAsia="Calibri" w:cs="Arial"/>
          <w:b/>
          <w:bCs/>
          <w:color w:val="000000" w:themeColor="text1"/>
          <w:sz w:val="20"/>
          <w:szCs w:val="20"/>
          <w:lang w:val="es-ES_tradnl"/>
        </w:rPr>
      </w:pPr>
      <w:r w:rsidRPr="00E45302">
        <w:rPr>
          <w:rFonts w:ascii="Century Gothic" w:hAnsi="Century Gothic" w:eastAsia="Calibri" w:cs="Arial"/>
          <w:b/>
          <w:bCs/>
          <w:color w:val="000000" w:themeColor="text1"/>
          <w:sz w:val="20"/>
          <w:szCs w:val="20"/>
          <w:lang w:val="es-ES_tradnl"/>
        </w:rPr>
        <w:t>CLAUSULA PENAL Y TASACIÓN DE PERJUICIOS – Aplicación del principio de proporcionalidad</w:t>
      </w:r>
      <w:r w:rsidR="007955C0">
        <w:rPr>
          <w:rFonts w:ascii="Century Gothic" w:hAnsi="Century Gothic" w:eastAsia="Calibri" w:cs="Arial"/>
          <w:b/>
          <w:bCs/>
          <w:color w:val="000000" w:themeColor="text1"/>
          <w:sz w:val="20"/>
          <w:szCs w:val="20"/>
          <w:lang w:val="es-ES_tradnl"/>
        </w:rPr>
        <w:t xml:space="preserve"> -</w:t>
      </w:r>
      <w:r w:rsidRPr="00E45302">
        <w:rPr>
          <w:rFonts w:ascii="Century Gothic" w:hAnsi="Century Gothic" w:eastAsia="Calibri" w:cs="Arial"/>
          <w:b/>
          <w:bCs/>
          <w:color w:val="000000" w:themeColor="text1"/>
          <w:sz w:val="20"/>
          <w:szCs w:val="20"/>
          <w:lang w:val="es-ES_tradnl"/>
        </w:rPr>
        <w:t xml:space="preserve"> Graduación </w:t>
      </w:r>
    </w:p>
    <w:p w:rsidRPr="00E45302" w:rsidR="00615DCC" w:rsidP="00615DCC" w:rsidRDefault="00615DCC" w14:paraId="349201CB" w14:textId="77777777">
      <w:pPr>
        <w:contextualSpacing/>
        <w:jc w:val="both"/>
        <w:rPr>
          <w:rFonts w:ascii="Century Gothic" w:hAnsi="Century Gothic" w:cs="Arial"/>
          <w:iCs/>
          <w:sz w:val="20"/>
          <w:szCs w:val="20"/>
        </w:rPr>
      </w:pPr>
    </w:p>
    <w:p w:rsidRPr="00E45302" w:rsidR="00615DCC" w:rsidP="00615DCC" w:rsidRDefault="00615DCC" w14:paraId="605B9DF0" w14:textId="0B53C69D">
      <w:pPr>
        <w:contextualSpacing/>
        <w:jc w:val="both"/>
        <w:rPr>
          <w:rFonts w:ascii="Century Gothic" w:hAnsi="Century Gothic" w:cs="Arial"/>
          <w:sz w:val="20"/>
          <w:szCs w:val="20"/>
        </w:rPr>
      </w:pPr>
      <w:r w:rsidRPr="00E45302">
        <w:rPr>
          <w:rFonts w:ascii="Century Gothic" w:hAnsi="Century Gothic" w:cs="Arial"/>
          <w:bCs/>
          <w:color w:val="000000" w:themeColor="text1"/>
          <w:sz w:val="20"/>
          <w:szCs w:val="20"/>
          <w:lang w:val="es-ES_tradnl"/>
        </w:rPr>
        <w:t xml:space="preserve">La cláusula penal es una tasación anticipada de perjuicios, y se pueden presentar dos situaciones: i) el monto estipulado no cubre los perjuicios ocasionados por el incumplimiento, o ii) el monto estipulado puede resultar excesivo, considerando que puede presentarse una ejecución parcial del contrato, para el primer caso, se debe acudir al juez, demostrar el monto de los daños sufridos y solicitar una reparación plena, en el segundo caso, el artículo 1569 del Código Civil establece que: </w:t>
      </w:r>
      <w:r w:rsidR="00BA6E7F">
        <w:rPr>
          <w:rFonts w:ascii="Century Gothic" w:hAnsi="Century Gothic" w:cs="Arial"/>
          <w:sz w:val="20"/>
          <w:szCs w:val="20"/>
        </w:rPr>
        <w:t>“</w:t>
      </w:r>
      <w:r w:rsidRPr="00E45302">
        <w:rPr>
          <w:rFonts w:ascii="Century Gothic" w:hAnsi="Century Gothic" w:cs="Arial"/>
          <w:sz w:val="20"/>
          <w:szCs w:val="20"/>
        </w:rPr>
        <w:t>Si el deudor cumple solamente una parte de la obligación principal y el acreedor acepta esta parte, tendrá derecho para que se rebaje proporcionalmente la pena estipulada por falta de cumplimiento de la obligación principal.</w:t>
      </w:r>
      <w:r w:rsidR="00BA6E7F">
        <w:rPr>
          <w:rFonts w:ascii="Century Gothic" w:hAnsi="Century Gothic" w:cs="Arial"/>
          <w:sz w:val="20"/>
          <w:szCs w:val="20"/>
        </w:rPr>
        <w:t>”</w:t>
      </w:r>
      <w:r w:rsidRPr="00E45302">
        <w:rPr>
          <w:rFonts w:ascii="Century Gothic" w:hAnsi="Century Gothic" w:cs="Arial"/>
          <w:sz w:val="20"/>
          <w:szCs w:val="20"/>
        </w:rPr>
        <w:t xml:space="preserve">, en este caso, la entidad que pretende dar aplicación de la cláusula penal deberá determinar los perjuicios en atención a razones objetivas, razonables y proporcionales de acuerdo a los sucesos de los hechos. </w:t>
      </w:r>
      <w:r w:rsidRPr="00E45302">
        <w:rPr>
          <w:rFonts w:ascii="Century Gothic" w:hAnsi="Century Gothic" w:cs="Arial"/>
          <w:bCs/>
          <w:color w:val="000000" w:themeColor="text1"/>
          <w:sz w:val="20"/>
          <w:szCs w:val="20"/>
          <w:lang w:val="es-ES_tradnl"/>
        </w:rPr>
        <w:t xml:space="preserve">Finalmente, la Entidad Pública al momento iniciar el procedimiento administrativo sancionatorio contractual y tenga que cuantificar los perjuicios ocasionados por el incumplimiento, debe atender a los principios de proporcionalidad, y verificar: </w:t>
      </w:r>
      <w:r w:rsidR="00BA6E7F">
        <w:rPr>
          <w:rFonts w:ascii="Century Gothic" w:hAnsi="Century Gothic" w:cs="Arial"/>
          <w:sz w:val="20"/>
          <w:szCs w:val="20"/>
        </w:rPr>
        <w:t>“</w:t>
      </w:r>
      <w:r w:rsidRPr="00E45302">
        <w:rPr>
          <w:rFonts w:ascii="Century Gothic" w:hAnsi="Century Gothic" w:cs="Arial"/>
          <w:sz w:val="20"/>
          <w:szCs w:val="20"/>
        </w:rPr>
        <w:t>i) El porcentaje de obra efectivamente ejecutado por el contratista, y ii) si la entidad pública contratante recibió esta parte del objeto contractual</w:t>
      </w:r>
      <w:r w:rsidR="00BA6E7F">
        <w:rPr>
          <w:rFonts w:ascii="Century Gothic" w:hAnsi="Century Gothic" w:cs="Arial"/>
          <w:sz w:val="20"/>
          <w:szCs w:val="20"/>
        </w:rPr>
        <w:t>”</w:t>
      </w:r>
      <w:r w:rsidRPr="00E45302">
        <w:rPr>
          <w:rFonts w:ascii="Century Gothic" w:hAnsi="Century Gothic" w:cs="Arial"/>
          <w:sz w:val="20"/>
          <w:szCs w:val="20"/>
        </w:rPr>
        <w:t xml:space="preserve">, con la finalidad de aplicar de manera razonada la cláusula penal pecuniaria y no incurrir en excesos. </w:t>
      </w:r>
      <w:r w:rsidRPr="00E45302">
        <w:rPr>
          <w:rFonts w:ascii="Century Gothic" w:hAnsi="Century Gothic" w:cs="Arial"/>
          <w:bCs/>
          <w:color w:val="000000" w:themeColor="text1"/>
          <w:sz w:val="20"/>
          <w:szCs w:val="20"/>
          <w:lang w:val="es-ES_tradnl"/>
        </w:rPr>
        <w:t xml:space="preserve"> </w:t>
      </w:r>
    </w:p>
    <w:p w:rsidRPr="00E45302" w:rsidR="00950DF7" w:rsidP="00F304EA" w:rsidRDefault="00950DF7" w14:paraId="672FCDF0" w14:textId="77777777">
      <w:pPr>
        <w:jc w:val="both"/>
        <w:rPr>
          <w:rFonts w:ascii="Century Gothic" w:hAnsi="Century Gothic" w:eastAsia="Calibri" w:cs="Arial"/>
          <w:b/>
          <w:bCs/>
          <w:sz w:val="20"/>
          <w:szCs w:val="20"/>
          <w:lang w:val="es-ES_tradnl" w:eastAsia="en-US"/>
        </w:rPr>
      </w:pPr>
    </w:p>
    <w:p w:rsidRPr="00E45302" w:rsidR="00950DF7" w:rsidP="00F304EA" w:rsidRDefault="00950DF7" w14:paraId="59507FD2" w14:textId="77777777">
      <w:pPr>
        <w:jc w:val="both"/>
        <w:rPr>
          <w:rFonts w:ascii="Century Gothic" w:hAnsi="Century Gothic" w:eastAsia="Calibri" w:cs="Arial"/>
          <w:b/>
          <w:sz w:val="22"/>
          <w:lang w:val="es-ES_tradnl"/>
        </w:rPr>
      </w:pPr>
    </w:p>
    <w:p w:rsidRPr="00E45302" w:rsidR="00950DF7" w:rsidP="00F304EA" w:rsidRDefault="00950DF7" w14:paraId="0044883D" w14:textId="77777777">
      <w:pPr>
        <w:spacing w:line="276" w:lineRule="auto"/>
        <w:jc w:val="both"/>
        <w:rPr>
          <w:rFonts w:ascii="Century Gothic" w:hAnsi="Century Gothic" w:cs="Arial"/>
          <w:noProof/>
          <w:sz w:val="22"/>
          <w:lang w:val="es-ES_tradnl"/>
        </w:rPr>
      </w:pPr>
    </w:p>
    <w:p w:rsidRPr="00E45302" w:rsidR="00950DF7" w:rsidP="00F304EA" w:rsidRDefault="00950DF7" w14:paraId="602B43AE" w14:textId="77777777">
      <w:pPr>
        <w:spacing w:line="276" w:lineRule="auto"/>
        <w:jc w:val="both"/>
        <w:rPr>
          <w:rFonts w:ascii="Century Gothic" w:hAnsi="Century Gothic" w:cs="Arial"/>
          <w:noProof/>
          <w:sz w:val="22"/>
          <w:lang w:val="es-ES_tradnl"/>
        </w:rPr>
      </w:pPr>
    </w:p>
    <w:p w:rsidRPr="00E45302" w:rsidR="00950DF7" w:rsidP="00F304EA" w:rsidRDefault="00950DF7" w14:paraId="76D05AE7" w14:textId="77777777">
      <w:pPr>
        <w:spacing w:line="276" w:lineRule="auto"/>
        <w:jc w:val="both"/>
        <w:rPr>
          <w:rFonts w:ascii="Century Gothic" w:hAnsi="Century Gothic" w:cs="Arial"/>
          <w:noProof/>
          <w:sz w:val="22"/>
          <w:lang w:val="es-ES_tradnl"/>
        </w:rPr>
      </w:pPr>
    </w:p>
    <w:p w:rsidRPr="00E45302" w:rsidR="00950DF7" w:rsidP="00F304EA" w:rsidRDefault="00950DF7" w14:paraId="323C3F56" w14:textId="77777777">
      <w:pPr>
        <w:spacing w:line="276" w:lineRule="auto"/>
        <w:jc w:val="both"/>
        <w:rPr>
          <w:rFonts w:ascii="Century Gothic" w:hAnsi="Century Gothic" w:cs="Arial"/>
          <w:noProof/>
          <w:sz w:val="22"/>
          <w:lang w:val="es-ES_tradnl"/>
        </w:rPr>
      </w:pPr>
    </w:p>
    <w:p w:rsidRPr="00E45302" w:rsidR="00950DF7" w:rsidP="00F304EA" w:rsidRDefault="00950DF7" w14:paraId="4C56A3FA" w14:textId="77777777">
      <w:pPr>
        <w:spacing w:line="276" w:lineRule="auto"/>
        <w:jc w:val="both"/>
        <w:rPr>
          <w:rFonts w:ascii="Century Gothic" w:hAnsi="Century Gothic" w:cs="Arial"/>
          <w:noProof/>
          <w:sz w:val="22"/>
          <w:lang w:val="es-ES_tradnl"/>
        </w:rPr>
      </w:pPr>
    </w:p>
    <w:p w:rsidRPr="00E45302" w:rsidR="00950DF7" w:rsidP="00F304EA" w:rsidRDefault="00950DF7" w14:paraId="32DD9094" w14:textId="77777777">
      <w:pPr>
        <w:spacing w:line="276" w:lineRule="auto"/>
        <w:jc w:val="both"/>
        <w:rPr>
          <w:rFonts w:ascii="Century Gothic" w:hAnsi="Century Gothic" w:cs="Arial"/>
          <w:noProof/>
          <w:sz w:val="22"/>
          <w:lang w:val="es-ES_tradnl"/>
        </w:rPr>
      </w:pPr>
    </w:p>
    <w:p w:rsidRPr="00E45302" w:rsidR="00603258" w:rsidP="00F304EA" w:rsidRDefault="00603258" w14:paraId="5D92A4CD" w14:textId="77777777">
      <w:pPr>
        <w:spacing w:line="276" w:lineRule="auto"/>
        <w:jc w:val="both"/>
        <w:rPr>
          <w:rFonts w:ascii="Century Gothic" w:hAnsi="Century Gothic" w:cs="Arial"/>
          <w:noProof/>
          <w:sz w:val="22"/>
          <w:lang w:val="es-ES_tradnl"/>
        </w:rPr>
      </w:pPr>
    </w:p>
    <w:p w:rsidRPr="00E45302" w:rsidR="00941D0A" w:rsidP="00F304EA" w:rsidRDefault="00941D0A" w14:paraId="6439606E" w14:textId="77777777">
      <w:pPr>
        <w:spacing w:line="276" w:lineRule="auto"/>
        <w:jc w:val="both"/>
        <w:rPr>
          <w:rFonts w:ascii="Century Gothic" w:hAnsi="Century Gothic" w:cs="Arial"/>
          <w:noProof/>
          <w:sz w:val="22"/>
          <w:lang w:val="es-ES_tradnl"/>
        </w:rPr>
      </w:pPr>
    </w:p>
    <w:p w:rsidRPr="00E45302" w:rsidR="00941D0A" w:rsidP="00F304EA" w:rsidRDefault="00941D0A" w14:paraId="00575D5E" w14:textId="77777777">
      <w:pPr>
        <w:spacing w:line="276" w:lineRule="auto"/>
        <w:jc w:val="both"/>
        <w:rPr>
          <w:rFonts w:ascii="Century Gothic" w:hAnsi="Century Gothic" w:cs="Arial"/>
          <w:noProof/>
          <w:sz w:val="22"/>
          <w:lang w:val="es-ES_tradnl"/>
        </w:rPr>
      </w:pPr>
    </w:p>
    <w:p w:rsidRPr="00E45302" w:rsidR="00941D0A" w:rsidP="00F304EA" w:rsidRDefault="00941D0A" w14:paraId="14BD5863" w14:textId="77777777">
      <w:pPr>
        <w:spacing w:line="276" w:lineRule="auto"/>
        <w:jc w:val="both"/>
        <w:rPr>
          <w:rFonts w:ascii="Century Gothic" w:hAnsi="Century Gothic" w:cs="Arial"/>
          <w:noProof/>
          <w:sz w:val="22"/>
          <w:lang w:val="es-ES_tradnl"/>
        </w:rPr>
      </w:pPr>
    </w:p>
    <w:p w:rsidRPr="00E45302" w:rsidR="00941D0A" w:rsidP="00F304EA" w:rsidRDefault="00941D0A" w14:paraId="4807BBD7" w14:textId="77777777">
      <w:pPr>
        <w:spacing w:line="276" w:lineRule="auto"/>
        <w:jc w:val="both"/>
        <w:rPr>
          <w:rFonts w:ascii="Century Gothic" w:hAnsi="Century Gothic" w:cs="Arial"/>
          <w:noProof/>
          <w:sz w:val="22"/>
          <w:lang w:val="es-ES_tradnl"/>
        </w:rPr>
      </w:pPr>
    </w:p>
    <w:p w:rsidR="00941D0A" w:rsidP="00F304EA" w:rsidRDefault="00941D0A" w14:paraId="72511FEE" w14:textId="77777777">
      <w:pPr>
        <w:spacing w:line="276" w:lineRule="auto"/>
        <w:jc w:val="both"/>
        <w:rPr>
          <w:rFonts w:ascii="Century Gothic" w:hAnsi="Century Gothic" w:cs="Arial"/>
          <w:noProof/>
          <w:sz w:val="22"/>
          <w:lang w:val="es-ES_tradnl"/>
        </w:rPr>
      </w:pPr>
    </w:p>
    <w:p w:rsidR="00890FCC" w:rsidP="00F304EA" w:rsidRDefault="00890FCC" w14:paraId="53B3EB4A" w14:textId="77777777">
      <w:pPr>
        <w:spacing w:line="276" w:lineRule="auto"/>
        <w:jc w:val="both"/>
        <w:rPr>
          <w:rFonts w:ascii="Century Gothic" w:hAnsi="Century Gothic" w:cs="Arial"/>
          <w:noProof/>
          <w:sz w:val="22"/>
          <w:lang w:val="es-ES_tradnl"/>
        </w:rPr>
      </w:pPr>
    </w:p>
    <w:p w:rsidR="00890FCC" w:rsidP="00F304EA" w:rsidRDefault="00890FCC" w14:paraId="61D5C288" w14:textId="77777777">
      <w:pPr>
        <w:spacing w:line="276" w:lineRule="auto"/>
        <w:jc w:val="both"/>
        <w:rPr>
          <w:rFonts w:ascii="Century Gothic" w:hAnsi="Century Gothic" w:cs="Arial"/>
          <w:noProof/>
          <w:sz w:val="22"/>
          <w:lang w:val="es-ES_tradnl"/>
        </w:rPr>
      </w:pPr>
    </w:p>
    <w:p w:rsidR="00890FCC" w:rsidP="00F304EA" w:rsidRDefault="00890FCC" w14:paraId="48E50AEA" w14:textId="77777777">
      <w:pPr>
        <w:spacing w:line="276" w:lineRule="auto"/>
        <w:jc w:val="both"/>
        <w:rPr>
          <w:rFonts w:ascii="Century Gothic" w:hAnsi="Century Gothic" w:cs="Arial"/>
          <w:noProof/>
          <w:sz w:val="22"/>
          <w:lang w:val="es-ES_tradnl"/>
        </w:rPr>
      </w:pPr>
    </w:p>
    <w:p w:rsidR="00890FCC" w:rsidP="00F304EA" w:rsidRDefault="00890FCC" w14:paraId="622C36A4" w14:textId="77777777">
      <w:pPr>
        <w:spacing w:line="276" w:lineRule="auto"/>
        <w:jc w:val="both"/>
        <w:rPr>
          <w:rFonts w:ascii="Century Gothic" w:hAnsi="Century Gothic" w:cs="Arial"/>
          <w:noProof/>
          <w:sz w:val="22"/>
          <w:lang w:val="es-ES_tradnl"/>
        </w:rPr>
      </w:pPr>
    </w:p>
    <w:p w:rsidR="00890FCC" w:rsidP="00F304EA" w:rsidRDefault="00890FCC" w14:paraId="0AEA7D5A" w14:textId="77777777">
      <w:pPr>
        <w:spacing w:line="276" w:lineRule="auto"/>
        <w:jc w:val="both"/>
        <w:rPr>
          <w:rFonts w:ascii="Century Gothic" w:hAnsi="Century Gothic" w:cs="Arial"/>
          <w:noProof/>
          <w:sz w:val="22"/>
          <w:lang w:val="es-ES_tradnl"/>
        </w:rPr>
      </w:pPr>
    </w:p>
    <w:p w:rsidR="00890FCC" w:rsidP="00F304EA" w:rsidRDefault="00890FCC" w14:paraId="4D6358E4" w14:textId="77777777">
      <w:pPr>
        <w:spacing w:line="276" w:lineRule="auto"/>
        <w:jc w:val="both"/>
        <w:rPr>
          <w:rFonts w:ascii="Century Gothic" w:hAnsi="Century Gothic" w:cs="Arial"/>
          <w:noProof/>
          <w:sz w:val="22"/>
          <w:lang w:val="es-ES_tradnl"/>
        </w:rPr>
      </w:pPr>
    </w:p>
    <w:p w:rsidR="00890FCC" w:rsidP="00F304EA" w:rsidRDefault="00890FCC" w14:paraId="3C5D14AB" w14:textId="77777777">
      <w:pPr>
        <w:spacing w:line="276" w:lineRule="auto"/>
        <w:jc w:val="both"/>
        <w:rPr>
          <w:rFonts w:ascii="Century Gothic" w:hAnsi="Century Gothic" w:cs="Arial"/>
          <w:noProof/>
          <w:sz w:val="22"/>
          <w:lang w:val="es-ES_tradnl"/>
        </w:rPr>
      </w:pPr>
    </w:p>
    <w:p w:rsidR="00890FCC" w:rsidP="00F304EA" w:rsidRDefault="00890FCC" w14:paraId="35FD636C" w14:textId="77777777">
      <w:pPr>
        <w:spacing w:line="276" w:lineRule="auto"/>
        <w:jc w:val="both"/>
        <w:rPr>
          <w:rFonts w:ascii="Century Gothic" w:hAnsi="Century Gothic" w:cs="Arial"/>
          <w:noProof/>
          <w:sz w:val="22"/>
          <w:lang w:val="es-ES_tradnl"/>
        </w:rPr>
      </w:pPr>
    </w:p>
    <w:p w:rsidRPr="00E45302" w:rsidR="00890FCC" w:rsidP="00F304EA" w:rsidRDefault="00890FCC" w14:paraId="13C58F90" w14:textId="77777777">
      <w:pPr>
        <w:spacing w:line="276" w:lineRule="auto"/>
        <w:jc w:val="both"/>
        <w:rPr>
          <w:rFonts w:ascii="Century Gothic" w:hAnsi="Century Gothic" w:cs="Arial"/>
          <w:noProof/>
          <w:sz w:val="22"/>
          <w:lang w:val="es-ES_tradnl"/>
        </w:rPr>
      </w:pPr>
    </w:p>
    <w:p w:rsidRPr="00E45302" w:rsidR="00840E20" w:rsidP="00615DCC" w:rsidRDefault="71CF03C4" w14:paraId="2489E6A4" w14:textId="257A1E2F">
      <w:pPr>
        <w:spacing w:after="160" w:line="259" w:lineRule="auto"/>
        <w:rPr>
          <w:rFonts w:ascii="Century Gothic" w:hAnsi="Century Gothic" w:cs="Arial"/>
          <w:sz w:val="22"/>
          <w:szCs w:val="22"/>
          <w:shd w:val="clear" w:color="auto" w:fill="E6E6E6"/>
          <w:lang w:val="es-MX" w:eastAsia="es-CO"/>
        </w:rPr>
      </w:pPr>
      <w:r w:rsidRPr="00E45302">
        <w:rPr>
          <w:rFonts w:ascii="Century Gothic" w:hAnsi="Century Gothic" w:cs="Arial"/>
          <w:sz w:val="22"/>
          <w:szCs w:val="22"/>
          <w:shd w:val="clear" w:color="auto" w:fill="E6E6E6"/>
          <w:lang w:val="es-MX" w:eastAsia="es-CO"/>
        </w:rPr>
        <w:t>Bogotá D.C., [Día] [MesNombreCapitalizado] [Año]</w:t>
      </w:r>
      <w:r w:rsidRPr="00E45302" w:rsidR="00840E20">
        <w:rPr>
          <w:rFonts w:ascii="Century Gothic" w:hAnsi="Century Gothic" w:cs="Arial"/>
          <w:sz w:val="22"/>
          <w:szCs w:val="22"/>
          <w:shd w:val="clear" w:color="auto" w:fill="E6E6E6"/>
          <w:lang w:eastAsia="es-CO"/>
        </w:rPr>
        <w:tab/>
      </w:r>
    </w:p>
    <w:p w:rsidRPr="00E45302" w:rsidR="00950DF7" w:rsidP="003F57F6" w:rsidRDefault="003F57F6" w14:paraId="7F292B94" w14:textId="534C6335">
      <w:pPr>
        <w:jc w:val="right"/>
        <w:rPr>
          <w:rFonts w:ascii="Century Gothic" w:hAnsi="Century Gothic" w:cs="Arial"/>
          <w:noProof/>
          <w:sz w:val="22"/>
          <w:szCs w:val="22"/>
          <w:lang w:val="es-ES_tradnl"/>
        </w:rPr>
      </w:pPr>
      <w:r w:rsidRPr="003F57F6">
        <w:rPr>
          <w:rFonts w:ascii="Century Gothic" w:hAnsi="Century Gothic" w:eastAsia="Calibri" w:cs="Arial"/>
          <w:noProof/>
          <w:lang w:val="es-ES_tradnl"/>
        </w:rPr>
        <w:drawing>
          <wp:inline distT="0" distB="0" distL="0" distR="0" wp14:anchorId="3486C8B0" wp14:editId="28C2C77C">
            <wp:extent cx="2552700" cy="740229"/>
            <wp:effectExtent l="0" t="0" r="0" b="3175"/>
            <wp:docPr id="16953071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307105" name=""/>
                    <pic:cNvPicPr/>
                  </pic:nvPicPr>
                  <pic:blipFill>
                    <a:blip r:embed="rId11"/>
                    <a:stretch>
                      <a:fillRect/>
                    </a:stretch>
                  </pic:blipFill>
                  <pic:spPr>
                    <a:xfrm>
                      <a:off x="0" y="0"/>
                      <a:ext cx="2558973" cy="742048"/>
                    </a:xfrm>
                    <a:prstGeom prst="rect">
                      <a:avLst/>
                    </a:prstGeom>
                  </pic:spPr>
                </pic:pic>
              </a:graphicData>
            </a:graphic>
          </wp:inline>
        </w:drawing>
      </w:r>
    </w:p>
    <w:p w:rsidRPr="00E45302" w:rsidR="00CB1A55" w:rsidP="00CB1A55" w:rsidRDefault="00CB1A55" w14:paraId="4FFA8DE5" w14:textId="77777777">
      <w:pPr>
        <w:jc w:val="both"/>
        <w:rPr>
          <w:rFonts w:ascii="Century Gothic" w:hAnsi="Century Gothic" w:eastAsia="Calibri" w:cs="Arial"/>
          <w:lang w:val="es-ES"/>
        </w:rPr>
      </w:pPr>
      <w:r w:rsidRPr="00E45302">
        <w:rPr>
          <w:rFonts w:ascii="Century Gothic" w:hAnsi="Century Gothic" w:eastAsia="Calibri" w:cs="Arial"/>
          <w:lang w:val="es-ES"/>
        </w:rPr>
        <w:t>Señor</w:t>
      </w:r>
      <w:r>
        <w:rPr>
          <w:rFonts w:ascii="Century Gothic" w:hAnsi="Century Gothic" w:eastAsia="Calibri" w:cs="Arial"/>
          <w:lang w:val="es-ES"/>
        </w:rPr>
        <w:t>a</w:t>
      </w:r>
    </w:p>
    <w:p w:rsidRPr="00E45302" w:rsidR="00CB1A55" w:rsidP="00CB1A55" w:rsidRDefault="00CB1A55" w14:paraId="5A226A53" w14:textId="77777777">
      <w:pPr>
        <w:rPr>
          <w:rFonts w:ascii="Century Gothic" w:hAnsi="Century Gothic" w:eastAsia="Calibri" w:cs="Arial"/>
          <w:b/>
          <w:bCs/>
          <w:lang w:val="es-ES"/>
        </w:rPr>
      </w:pPr>
      <w:r w:rsidRPr="00E45302">
        <w:rPr>
          <w:rFonts w:ascii="Century Gothic" w:hAnsi="Century Gothic" w:eastAsia="Calibri" w:cs="Arial"/>
          <w:b/>
          <w:bCs/>
          <w:lang w:val="es-ES"/>
        </w:rPr>
        <w:t>Laura Johana Santos Vargas</w:t>
      </w:r>
    </w:p>
    <w:p w:rsidR="00CB1A55" w:rsidP="00CB1A55" w:rsidRDefault="00CB1A55" w14:paraId="7555CDB6" w14:textId="77777777">
      <w:pPr>
        <w:rPr>
          <w:rFonts w:ascii="Century Gothic" w:hAnsi="Century Gothic" w:eastAsia="Calibri" w:cs="Arial"/>
          <w:bCs/>
          <w:lang w:val="es-ES_tradnl"/>
        </w:rPr>
      </w:pPr>
      <w:r w:rsidRPr="00E45302">
        <w:rPr>
          <w:rFonts w:ascii="Century Gothic" w:hAnsi="Century Gothic" w:eastAsia="Calibri" w:cs="Arial"/>
          <w:bCs/>
          <w:lang w:val="es-ES_tradnl"/>
        </w:rPr>
        <w:t>Ciudad</w:t>
      </w:r>
    </w:p>
    <w:p w:rsidRPr="00E45302" w:rsidR="003F57F6" w:rsidP="003F57F6" w:rsidRDefault="003F57F6" w14:paraId="3F9A5B59" w14:textId="734904DC">
      <w:pPr>
        <w:jc w:val="right"/>
        <w:rPr>
          <w:rFonts w:ascii="Century Gothic" w:hAnsi="Century Gothic" w:eastAsia="Calibri" w:cs="Arial"/>
          <w:lang w:val="es-ES_tradnl"/>
        </w:rPr>
      </w:pPr>
    </w:p>
    <w:p w:rsidRPr="00E45302" w:rsidR="00CB1A55" w:rsidP="00CB1A55" w:rsidRDefault="00CB1A55" w14:paraId="77C1BDF8" w14:textId="77777777">
      <w:pPr>
        <w:rPr>
          <w:rFonts w:ascii="Century Gothic" w:hAnsi="Century Gothic" w:eastAsia="Calibri" w:cs="Arial"/>
          <w:lang w:val="es-ES_tradnl"/>
        </w:rPr>
      </w:pPr>
    </w:p>
    <w:p w:rsidRPr="00E45302" w:rsidR="00CB1A55" w:rsidP="00CB1A55" w:rsidRDefault="00CB1A55" w14:paraId="5EA1C0DD" w14:textId="77777777">
      <w:pPr>
        <w:ind w:left="2694"/>
        <w:rPr>
          <w:rFonts w:ascii="Century Gothic" w:hAnsi="Century Gothic" w:eastAsia="Calibri" w:cs="Arial"/>
          <w:b/>
          <w:bCs/>
          <w:lang w:val="es-ES"/>
        </w:rPr>
      </w:pPr>
      <w:r w:rsidRPr="00E45302">
        <w:rPr>
          <w:rFonts w:ascii="Century Gothic" w:hAnsi="Century Gothic" w:eastAsia="Calibri" w:cs="Arial"/>
          <w:b/>
          <w:bCs/>
          <w:lang w:val="es-ES"/>
        </w:rPr>
        <w:t xml:space="preserve">Concepto </w:t>
      </w:r>
      <w:r>
        <w:rPr>
          <w:rFonts w:ascii="Century Gothic" w:hAnsi="Century Gothic" w:eastAsia="Calibri" w:cs="Arial"/>
          <w:b/>
          <w:bCs/>
          <w:lang w:val="es-ES"/>
        </w:rPr>
        <w:t>C-</w:t>
      </w:r>
      <w:r w:rsidRPr="00E45302">
        <w:rPr>
          <w:rFonts w:ascii="Century Gothic" w:hAnsi="Century Gothic" w:eastAsia="Calibri" w:cs="Arial"/>
          <w:b/>
          <w:bCs/>
          <w:lang w:val="es-ES"/>
        </w:rPr>
        <w:t>454 de 2023</w:t>
      </w:r>
    </w:p>
    <w:tbl>
      <w:tblPr>
        <w:tblStyle w:val="Tablaconcuadrcula"/>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E45302" w:rsidR="00CB1A55" w:rsidTr="001F0E9A" w14:paraId="16FF1419" w14:textId="77777777">
        <w:trPr>
          <w:jc w:val="right"/>
        </w:trPr>
        <w:tc>
          <w:tcPr>
            <w:tcW w:w="1838" w:type="dxa"/>
          </w:tcPr>
          <w:p w:rsidRPr="00E45302" w:rsidR="00CB1A55" w:rsidP="001F0E9A" w:rsidRDefault="00CB1A55" w14:paraId="7E70BC2B" w14:textId="77777777">
            <w:pPr>
              <w:jc w:val="center"/>
              <w:rPr>
                <w:rFonts w:ascii="Century Gothic" w:hAnsi="Century Gothic" w:eastAsia="Calibri" w:cs="Arial"/>
                <w:lang w:val="es-ES_tradnl"/>
              </w:rPr>
            </w:pPr>
            <w:r w:rsidRPr="00E45302">
              <w:rPr>
                <w:rFonts w:ascii="Century Gothic" w:hAnsi="Century Gothic" w:eastAsia="Calibri" w:cs="Arial"/>
                <w:b/>
                <w:lang w:val="es-ES_tradnl"/>
              </w:rPr>
              <w:t>Temas:</w:t>
            </w:r>
          </w:p>
        </w:tc>
        <w:tc>
          <w:tcPr>
            <w:tcW w:w="6237" w:type="dxa"/>
          </w:tcPr>
          <w:p w:rsidRPr="00E45302" w:rsidR="00CB1A55" w:rsidP="001F0E9A" w:rsidRDefault="00CB1A55" w14:paraId="45EFAE50" w14:textId="77777777">
            <w:pPr>
              <w:contextualSpacing/>
              <w:jc w:val="both"/>
              <w:rPr>
                <w:rFonts w:ascii="Century Gothic" w:hAnsi="Century Gothic" w:cs="Arial"/>
                <w:lang w:val="es-ES_tradnl"/>
              </w:rPr>
            </w:pPr>
            <w:r w:rsidRPr="00E655F3">
              <w:rPr>
                <w:rFonts w:ascii="Century Gothic" w:hAnsi="Century Gothic" w:eastAsia="Calibri" w:cs="Arial"/>
                <w:color w:val="000000" w:themeColor="text1"/>
                <w:lang w:val="es-ES_tradnl"/>
              </w:rPr>
              <w:t xml:space="preserve">POTESTADES EXCEPCIONALES DE LA ADMINISTRACIÓN PÚBLICA /  </w:t>
            </w:r>
            <w:r w:rsidRPr="00E655F3">
              <w:rPr>
                <w:rFonts w:ascii="Century Gothic" w:hAnsi="Century Gothic" w:eastAsia="Calibri" w:cs="Arial"/>
                <w:color w:val="000000" w:themeColor="text1"/>
              </w:rPr>
              <w:t xml:space="preserve">CLÁUSULA PENAL- estimación anticipada de perjuicios / CLÁUSULA PENAL – Funciones / PROCEDIMIENTO ADMINISTRATIVO SANCIONATORIO – Artículo 86 – Ley 1474 de 2011 / </w:t>
            </w:r>
            <w:r w:rsidRPr="00E655F3">
              <w:rPr>
                <w:rFonts w:ascii="Century Gothic" w:hAnsi="Century Gothic" w:eastAsia="Calibri" w:cs="Arial"/>
                <w:lang w:val="es-ES_tradnl"/>
              </w:rPr>
              <w:t xml:space="preserve">PROCEDIMIENTO SANCIONATORIO CONTRACTUAL – Citación a audiencia – debido proceso – Contenido – Ley 1474 de 2011 – Artículo 86 / </w:t>
            </w:r>
            <w:r w:rsidRPr="00E655F3">
              <w:rPr>
                <w:rFonts w:ascii="Century Gothic" w:hAnsi="Century Gothic" w:eastAsia="Calibri" w:cs="Arial"/>
                <w:color w:val="000000" w:themeColor="text1"/>
                <w:lang w:val="es-ES_tradnl"/>
              </w:rPr>
              <w:t>PRINCIPIO DE PROPORCIONALIDAD – Funciones / CLAUSULA PENAL Y TASACIÓN DE PERJUICIOS – Aplicación de criterios proporcionales y razonables / CLAUSULA PENAL Y TASACIÓN DE PERJUICIOS – Aplicación del principio de proporcionalidad</w:t>
            </w:r>
            <w:r>
              <w:rPr>
                <w:rFonts w:ascii="Century Gothic" w:hAnsi="Century Gothic" w:eastAsia="Calibri" w:cs="Arial"/>
                <w:color w:val="000000" w:themeColor="text1"/>
                <w:lang w:val="es-ES_tradnl"/>
              </w:rPr>
              <w:t xml:space="preserve"> – </w:t>
            </w:r>
            <w:r w:rsidRPr="00E655F3">
              <w:rPr>
                <w:rFonts w:ascii="Century Gothic" w:hAnsi="Century Gothic" w:eastAsia="Calibri" w:cs="Arial"/>
                <w:color w:val="000000" w:themeColor="text1"/>
                <w:lang w:val="es-ES_tradnl"/>
              </w:rPr>
              <w:t>Graduación</w:t>
            </w:r>
            <w:r w:rsidRPr="00E655F3">
              <w:rPr>
                <w:rFonts w:ascii="Century Gothic" w:hAnsi="Century Gothic" w:eastAsia="Calibri" w:cs="Arial"/>
                <w:b/>
                <w:bCs/>
                <w:color w:val="000000" w:themeColor="text1"/>
                <w:lang w:val="es-ES_tradnl"/>
              </w:rPr>
              <w:t xml:space="preserve"> </w:t>
            </w:r>
          </w:p>
        </w:tc>
      </w:tr>
      <w:tr w:rsidRPr="00E45302" w:rsidR="00CB1A55" w:rsidTr="001F0E9A" w14:paraId="3E400794" w14:textId="77777777">
        <w:trPr>
          <w:jc w:val="right"/>
        </w:trPr>
        <w:tc>
          <w:tcPr>
            <w:tcW w:w="1838" w:type="dxa"/>
          </w:tcPr>
          <w:p w:rsidRPr="00E45302" w:rsidR="00CB1A55" w:rsidP="001F0E9A" w:rsidRDefault="00CB1A55" w14:paraId="52B2BF2C" w14:textId="77777777">
            <w:pPr>
              <w:spacing w:before="120"/>
              <w:jc w:val="center"/>
              <w:rPr>
                <w:rFonts w:ascii="Century Gothic" w:hAnsi="Century Gothic" w:eastAsia="Calibri" w:cs="Arial"/>
                <w:b/>
                <w:lang w:val="es-ES"/>
              </w:rPr>
            </w:pPr>
            <w:r w:rsidRPr="00E45302">
              <w:rPr>
                <w:rFonts w:ascii="Century Gothic" w:hAnsi="Century Gothic" w:eastAsia="Calibri" w:cs="Arial"/>
                <w:b/>
                <w:lang w:val="es-ES"/>
              </w:rPr>
              <w:t>Radicación:</w:t>
            </w:r>
          </w:p>
        </w:tc>
        <w:tc>
          <w:tcPr>
            <w:tcW w:w="6237" w:type="dxa"/>
          </w:tcPr>
          <w:p w:rsidRPr="00E45302" w:rsidR="00CB1A55" w:rsidP="001F0E9A" w:rsidRDefault="00CB1A55" w14:paraId="2E5CEEC0" w14:textId="77777777">
            <w:pPr>
              <w:spacing w:before="120"/>
              <w:jc w:val="both"/>
              <w:rPr>
                <w:rFonts w:ascii="Century Gothic" w:hAnsi="Century Gothic" w:eastAsia="Calibri" w:cs="Arial"/>
                <w:lang w:val="es-ES"/>
              </w:rPr>
            </w:pPr>
            <w:r w:rsidRPr="00E45302">
              <w:rPr>
                <w:rFonts w:ascii="Century Gothic" w:hAnsi="Century Gothic" w:eastAsia="Calibri" w:cs="Arial"/>
                <w:lang w:val="es-ES"/>
              </w:rPr>
              <w:t xml:space="preserve">Respuesta a consulta </w:t>
            </w:r>
            <w:r w:rsidRPr="004D497A">
              <w:rPr>
                <w:rFonts w:ascii="Century Gothic" w:hAnsi="Century Gothic" w:eastAsia="Calibri" w:cs="Arial"/>
                <w:lang w:val="es-ES"/>
              </w:rPr>
              <w:t>P20230926015459</w:t>
            </w:r>
          </w:p>
        </w:tc>
      </w:tr>
    </w:tbl>
    <w:p w:rsidRPr="00E45302" w:rsidR="00CB1A55" w:rsidDel="001B7E90" w:rsidP="00CB1A55" w:rsidRDefault="00CB1A55" w14:paraId="396F8BB6" w14:textId="77777777">
      <w:pPr>
        <w:jc w:val="both"/>
        <w:rPr>
          <w:rFonts w:ascii="Century Gothic" w:hAnsi="Century Gothic" w:eastAsia="Calibri" w:cs="Arial"/>
          <w:lang w:val="es-ES_tradnl"/>
        </w:rPr>
      </w:pPr>
    </w:p>
    <w:p w:rsidRPr="00E45302" w:rsidR="00CB1A55" w:rsidP="00CB1A55" w:rsidRDefault="00CB1A55" w14:paraId="074FA1E2" w14:textId="77777777">
      <w:pPr>
        <w:jc w:val="both"/>
        <w:rPr>
          <w:rFonts w:ascii="Century Gothic" w:hAnsi="Century Gothic" w:eastAsia="Calibri" w:cs="Arial"/>
          <w:bCs/>
          <w:lang w:val="es-ES_tradnl"/>
        </w:rPr>
      </w:pPr>
      <w:r w:rsidRPr="00E45302">
        <w:rPr>
          <w:rFonts w:ascii="Century Gothic" w:hAnsi="Century Gothic" w:eastAsia="Calibri" w:cs="Arial"/>
          <w:lang w:val="es-ES_tradnl"/>
        </w:rPr>
        <w:t>Estimad</w:t>
      </w:r>
      <w:r>
        <w:rPr>
          <w:rFonts w:ascii="Century Gothic" w:hAnsi="Century Gothic" w:eastAsia="Calibri" w:cs="Arial"/>
          <w:lang w:val="es-ES_tradnl"/>
        </w:rPr>
        <w:t>a</w:t>
      </w:r>
      <w:r w:rsidRPr="00E45302">
        <w:rPr>
          <w:rFonts w:ascii="Century Gothic" w:hAnsi="Century Gothic" w:eastAsia="Calibri" w:cs="Arial"/>
          <w:lang w:val="es-ES_tradnl"/>
        </w:rPr>
        <w:t xml:space="preserve"> señor</w:t>
      </w:r>
      <w:r>
        <w:rPr>
          <w:rFonts w:ascii="Century Gothic" w:hAnsi="Century Gothic" w:eastAsia="Calibri" w:cs="Arial"/>
          <w:lang w:val="es-ES_tradnl"/>
        </w:rPr>
        <w:t>a</w:t>
      </w:r>
      <w:r w:rsidRPr="00E45302">
        <w:rPr>
          <w:rFonts w:ascii="Century Gothic" w:hAnsi="Century Gothic" w:eastAsia="Calibri" w:cs="Arial"/>
          <w:lang w:val="es-ES_tradnl"/>
        </w:rPr>
        <w:t xml:space="preserve"> </w:t>
      </w:r>
      <w:r>
        <w:rPr>
          <w:rFonts w:ascii="Century Gothic" w:hAnsi="Century Gothic" w:eastAsia="Calibri" w:cs="Arial"/>
          <w:lang w:val="es-ES_tradnl"/>
        </w:rPr>
        <w:t>Santos Vargas</w:t>
      </w:r>
      <w:r w:rsidRPr="00E45302">
        <w:rPr>
          <w:rFonts w:ascii="Century Gothic" w:hAnsi="Century Gothic" w:eastAsia="Calibri" w:cs="Arial"/>
          <w:bCs/>
          <w:lang w:val="es-ES_tradnl"/>
        </w:rPr>
        <w:t>:</w:t>
      </w:r>
    </w:p>
    <w:p w:rsidRPr="00E45302" w:rsidR="00CB1A55" w:rsidP="00CB1A55" w:rsidRDefault="00CB1A55" w14:paraId="150209A3" w14:textId="77777777">
      <w:pPr>
        <w:jc w:val="both"/>
        <w:rPr>
          <w:rFonts w:ascii="Century Gothic" w:hAnsi="Century Gothic" w:eastAsia="Calibri" w:cs="Arial"/>
          <w:lang w:val="es-ES_tradnl"/>
        </w:rPr>
      </w:pPr>
    </w:p>
    <w:p w:rsidR="00CB1A55" w:rsidP="00CB1A55" w:rsidRDefault="00CB1A55" w14:paraId="0A385DFA" w14:textId="77777777">
      <w:pPr>
        <w:spacing w:line="276" w:lineRule="auto"/>
        <w:jc w:val="both"/>
        <w:rPr>
          <w:rFonts w:ascii="Century Gothic" w:hAnsi="Century Gothic" w:eastAsia="Calibri" w:cs="Arial"/>
          <w:lang w:val="es-ES"/>
        </w:rPr>
      </w:pPr>
      <w:r w:rsidRPr="00E45302">
        <w:rPr>
          <w:rFonts w:ascii="Century Gothic" w:hAnsi="Century Gothic" w:eastAsia="Calibri" w:cs="Arial"/>
          <w:lang w:val="es-ES"/>
        </w:rPr>
        <w:t>En ejercicio de la competencia otorgada por el numeral 8° del artículo 11 y el numeral 5° del artículo 3 del Decreto Ley 4170 de 2011</w:t>
      </w:r>
      <w:r w:rsidRPr="00E45302">
        <w:rPr>
          <w:rFonts w:ascii="Century Gothic" w:hAnsi="Century Gothic" w:eastAsia="Calibri" w:cs="Arial"/>
        </w:rPr>
        <w:t xml:space="preserve">, </w:t>
      </w:r>
      <w:r w:rsidRPr="00E45302">
        <w:rPr>
          <w:rFonts w:ascii="Century Gothic" w:hAnsi="Century Gothic" w:cs="Arial"/>
        </w:rPr>
        <w:t>así como lo establecido en la Resolución 1707 de 2018 expedida por esta Entidad</w:t>
      </w:r>
      <w:r w:rsidRPr="00E45302">
        <w:rPr>
          <w:rFonts w:ascii="Century Gothic" w:hAnsi="Century Gothic" w:eastAsia="Calibri" w:cs="Arial"/>
          <w:lang w:val="es-ES"/>
        </w:rPr>
        <w:t>, la Agencia Nacional de Contratación Pública ― Colombia Compra Eficiente responde su consulta del 26 de septiembre de 2023.</w:t>
      </w:r>
    </w:p>
    <w:p w:rsidRPr="00E45302" w:rsidR="00CB1A55" w:rsidP="00CB1A55" w:rsidRDefault="00CB1A55" w14:paraId="2F79F64B" w14:textId="77777777">
      <w:pPr>
        <w:spacing w:line="276" w:lineRule="auto"/>
        <w:jc w:val="both"/>
        <w:rPr>
          <w:rFonts w:ascii="Century Gothic" w:hAnsi="Century Gothic" w:eastAsia="Calibri" w:cs="Arial"/>
          <w:lang w:val="es-ES"/>
        </w:rPr>
      </w:pPr>
    </w:p>
    <w:p w:rsidRPr="00E45302" w:rsidR="00CB1A55" w:rsidP="00CB1A55" w:rsidRDefault="00CB1A55" w14:paraId="74EA771B" w14:textId="77777777">
      <w:pPr>
        <w:pStyle w:val="Prrafodelista"/>
        <w:numPr>
          <w:ilvl w:val="0"/>
          <w:numId w:val="1"/>
        </w:numPr>
        <w:tabs>
          <w:tab w:val="left" w:pos="0"/>
          <w:tab w:val="left" w:pos="142"/>
          <w:tab w:val="left" w:pos="284"/>
        </w:tabs>
        <w:spacing w:line="276" w:lineRule="auto"/>
        <w:ind w:left="0" w:firstLine="0"/>
        <w:jc w:val="both"/>
        <w:rPr>
          <w:rFonts w:ascii="Century Gothic" w:hAnsi="Century Gothic" w:eastAsia="Calibri" w:cs="Arial"/>
          <w:b/>
          <w:lang w:val="es-ES_tradnl"/>
        </w:rPr>
      </w:pPr>
      <w:r w:rsidRPr="00E45302">
        <w:rPr>
          <w:rFonts w:ascii="Century Gothic" w:hAnsi="Century Gothic" w:eastAsia="Calibri" w:cs="Arial"/>
          <w:b/>
          <w:lang w:val="es-ES_tradnl"/>
        </w:rPr>
        <w:t xml:space="preserve">Problema planteado </w:t>
      </w:r>
    </w:p>
    <w:p w:rsidR="00CB1A55" w:rsidP="00CB1A55" w:rsidRDefault="00CB1A55" w14:paraId="61E83B2C" w14:textId="77777777">
      <w:pPr>
        <w:jc w:val="both"/>
        <w:rPr>
          <w:rFonts w:ascii="Century Gothic" w:hAnsi="Century Gothic" w:cs="Arial"/>
        </w:rPr>
      </w:pPr>
    </w:p>
    <w:p w:rsidRPr="00E45302" w:rsidR="00CB1A55" w:rsidP="00CB1A55" w:rsidRDefault="00CB1A55" w14:paraId="2532E446" w14:textId="77777777">
      <w:pPr>
        <w:jc w:val="both"/>
        <w:rPr>
          <w:rFonts w:ascii="Century Gothic" w:hAnsi="Century Gothic" w:cs="Arial"/>
        </w:rPr>
      </w:pPr>
      <w:r w:rsidRPr="00E45302">
        <w:rPr>
          <w:rFonts w:ascii="Century Gothic" w:hAnsi="Century Gothic" w:cs="Arial"/>
        </w:rPr>
        <w:t xml:space="preserve">Usted formula la siguiente consulta: </w:t>
      </w:r>
    </w:p>
    <w:p w:rsidRPr="00E45302" w:rsidR="00CB1A55" w:rsidP="00CB1A55" w:rsidRDefault="00CB1A55" w14:paraId="2C6C0A60" w14:textId="77777777">
      <w:pPr>
        <w:jc w:val="both"/>
        <w:rPr>
          <w:rFonts w:ascii="Century Gothic" w:hAnsi="Century Gothic" w:cs="Arial"/>
          <w:sz w:val="21"/>
          <w:szCs w:val="21"/>
          <w:lang w:val="es-ES_tradnl"/>
        </w:rPr>
      </w:pPr>
    </w:p>
    <w:p w:rsidR="00CB1A55" w:rsidP="00CB1A55" w:rsidRDefault="00CB1A55" w14:paraId="47D6E083" w14:textId="77777777">
      <w:pPr>
        <w:ind w:left="709" w:right="709"/>
        <w:jc w:val="both"/>
        <w:rPr>
          <w:rFonts w:ascii="Century Gothic" w:hAnsi="Century Gothic" w:cs="Arial"/>
          <w:sz w:val="20"/>
          <w:szCs w:val="20"/>
        </w:rPr>
      </w:pPr>
      <w:r w:rsidRPr="00E45302">
        <w:rPr>
          <w:rFonts w:ascii="Century Gothic" w:hAnsi="Century Gothic" w:cs="Arial"/>
          <w:sz w:val="20"/>
          <w:szCs w:val="20"/>
        </w:rPr>
        <w:t>“</w:t>
      </w:r>
      <w:r>
        <w:rPr>
          <w:rFonts w:ascii="Century Gothic" w:hAnsi="Century Gothic" w:cs="Arial"/>
          <w:sz w:val="20"/>
          <w:szCs w:val="20"/>
        </w:rPr>
        <w:t xml:space="preserve">(…) </w:t>
      </w:r>
      <w:r w:rsidRPr="00E45302">
        <w:rPr>
          <w:rFonts w:ascii="Century Gothic" w:hAnsi="Century Gothic" w:cs="Arial"/>
          <w:sz w:val="20"/>
          <w:szCs w:val="20"/>
        </w:rPr>
        <w:t>La facultad establecida en el artículo 86 de la Ley 1474 de 2011 referente a la cuantificación de los perjuicios que se causen a la entidad como consecuencia del incumplimiento del contratista ¿implican la posibilidad de cobrar unilateralmente y por vía administrativa los perjuicios probados que excedan el monto establecido en la cláusula penal? O ¿es estrictamente necesario acudir a la jurisdicción para cobrar dichos perjuicios adicionales? ¿cuál es la postura actual de la jurisprudencia frente al cobro de los perjuicios probados que excedan el monto de la cláusula penal pecuniaria?</w:t>
      </w:r>
      <w:r>
        <w:rPr>
          <w:rFonts w:ascii="Century Gothic" w:hAnsi="Century Gothic" w:cs="Arial"/>
          <w:sz w:val="20"/>
          <w:szCs w:val="20"/>
        </w:rPr>
        <w:t xml:space="preserve"> (…)</w:t>
      </w:r>
      <w:r w:rsidRPr="00E45302">
        <w:rPr>
          <w:rFonts w:ascii="Century Gothic" w:hAnsi="Century Gothic" w:cs="Arial"/>
          <w:sz w:val="20"/>
          <w:szCs w:val="20"/>
        </w:rPr>
        <w:t>”</w:t>
      </w:r>
      <w:r w:rsidRPr="00E655F3">
        <w:rPr>
          <w:rFonts w:ascii="Century Gothic" w:hAnsi="Century Gothic" w:cs="Arial"/>
          <w:sz w:val="20"/>
          <w:szCs w:val="20"/>
        </w:rPr>
        <w:t>.</w:t>
      </w:r>
    </w:p>
    <w:p w:rsidRPr="00E45302" w:rsidR="00CB1A55" w:rsidP="00CB1A55" w:rsidRDefault="00CB1A55" w14:paraId="196FE10D" w14:textId="77777777">
      <w:pPr>
        <w:ind w:left="709" w:right="709"/>
        <w:jc w:val="both"/>
        <w:rPr>
          <w:rFonts w:ascii="Century Gothic" w:hAnsi="Century Gothic" w:cs="Arial"/>
          <w:sz w:val="20"/>
          <w:szCs w:val="20"/>
        </w:rPr>
      </w:pPr>
    </w:p>
    <w:p w:rsidRPr="00E45302" w:rsidR="00CB1A55" w:rsidP="00CB1A55" w:rsidRDefault="00CB1A55" w14:paraId="741972EE" w14:textId="77777777">
      <w:pPr>
        <w:pStyle w:val="Prrafodelista"/>
        <w:numPr>
          <w:ilvl w:val="0"/>
          <w:numId w:val="1"/>
        </w:numPr>
        <w:tabs>
          <w:tab w:val="left" w:pos="0"/>
          <w:tab w:val="left" w:pos="284"/>
        </w:tabs>
        <w:ind w:left="0" w:firstLine="0"/>
        <w:contextualSpacing w:val="0"/>
        <w:jc w:val="both"/>
        <w:rPr>
          <w:rFonts w:ascii="Century Gothic" w:hAnsi="Century Gothic" w:eastAsia="Calibri" w:cs="Arial"/>
          <w:b/>
          <w:lang w:val="es-ES_tradnl"/>
        </w:rPr>
      </w:pPr>
      <w:r w:rsidRPr="00E45302">
        <w:rPr>
          <w:rFonts w:ascii="Century Gothic" w:hAnsi="Century Gothic" w:eastAsia="Calibri" w:cs="Arial"/>
          <w:b/>
          <w:lang w:val="es-ES_tradnl"/>
        </w:rPr>
        <w:t>Consideraciones</w:t>
      </w:r>
    </w:p>
    <w:p w:rsidRPr="00E45302" w:rsidR="00CB1A55" w:rsidP="00CB1A55" w:rsidRDefault="00CB1A55" w14:paraId="0F5B120B" w14:textId="77777777">
      <w:pPr>
        <w:pStyle w:val="Prrafodelista"/>
        <w:tabs>
          <w:tab w:val="left" w:pos="0"/>
          <w:tab w:val="left" w:pos="284"/>
        </w:tabs>
        <w:ind w:left="0"/>
        <w:contextualSpacing w:val="0"/>
        <w:jc w:val="both"/>
        <w:rPr>
          <w:rFonts w:ascii="Century Gothic" w:hAnsi="Century Gothic" w:eastAsia="Calibri" w:cs="Arial"/>
          <w:b/>
          <w:lang w:val="es-ES_tradnl"/>
        </w:rPr>
      </w:pPr>
    </w:p>
    <w:p w:rsidRPr="00E45302" w:rsidR="00CB1A55" w:rsidP="00CB1A55" w:rsidRDefault="00CB1A55" w14:paraId="33CFF3F5" w14:textId="77777777">
      <w:pPr>
        <w:spacing w:after="120" w:line="276" w:lineRule="auto"/>
        <w:jc w:val="both"/>
        <w:rPr>
          <w:rFonts w:ascii="Century Gothic" w:hAnsi="Century Gothic" w:cs="Arial"/>
          <w:lang w:val="es-ES"/>
        </w:rPr>
      </w:pPr>
      <w:r w:rsidRPr="00E45302">
        <w:rPr>
          <w:rFonts w:ascii="Century Gothic" w:hAnsi="Century Gothic"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name="_Hlk61701014" w:id="2"/>
      <w:bookmarkStart w:name="_Hlk62136649" w:id="3"/>
      <w:r>
        <w:rPr>
          <w:rFonts w:ascii="Century Gothic" w:hAnsi="Century Gothic" w:cs="Arial"/>
        </w:rPr>
        <w:t xml:space="preserve">. </w:t>
      </w:r>
      <w:r w:rsidRPr="00E45302">
        <w:rPr>
          <w:rFonts w:ascii="Century Gothic" w:hAnsi="Century Gothic" w:cs="Arial"/>
          <w:lang w:val="es-ES"/>
        </w:rPr>
        <w:t xml:space="preserve">Es necesario tener en cuenta que </w:t>
      </w:r>
      <w:bookmarkStart w:name="_Hlk61026958" w:id="4"/>
      <w:r w:rsidRPr="00E45302">
        <w:rPr>
          <w:rFonts w:ascii="Century Gothic"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E45302">
        <w:rPr>
          <w:rFonts w:ascii="Century Gothic" w:hAnsi="Century Gothic" w:cs="Arial"/>
        </w:rPr>
        <w:t xml:space="preserve"> de todos los partícipes de la contratación estatal.</w:t>
      </w:r>
    </w:p>
    <w:p w:rsidRPr="00E45302" w:rsidR="00CB1A55" w:rsidP="00CB1A55" w:rsidRDefault="00CB1A55" w14:paraId="4BCECE2D" w14:textId="77777777">
      <w:pPr>
        <w:spacing w:after="120" w:line="276" w:lineRule="auto"/>
        <w:ind w:firstLine="708"/>
        <w:jc w:val="both"/>
        <w:rPr>
          <w:rFonts w:ascii="Century Gothic" w:hAnsi="Century Gothic" w:cs="Arial"/>
          <w:lang w:val="es-ES"/>
        </w:rPr>
      </w:pPr>
      <w:r w:rsidRPr="00E45302">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E45302">
        <w:rPr>
          <w:rFonts w:ascii="Century Gothic" w:hAnsi="Century Gothic" w:cs="Arial"/>
          <w:vertAlign w:val="superscript"/>
          <w:lang w:val="es-ES"/>
        </w:rPr>
        <w:footnoteReference w:id="2"/>
      </w:r>
      <w:r w:rsidRPr="00E45302">
        <w:rPr>
          <w:rFonts w:ascii="Century Gothic" w:hAnsi="Century Gothic" w:cs="Arial"/>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00E45302">
        <w:rPr>
          <w:rFonts w:ascii="Century Gothic" w:hAnsi="Century Gothic" w:cs="Arial"/>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2"/>
    </w:p>
    <w:bookmarkEnd w:id="3"/>
    <w:p w:rsidRPr="00E45302" w:rsidR="00CB1A55" w:rsidP="00CB1A55" w:rsidRDefault="00CB1A55" w14:paraId="57C87BD3" w14:textId="77777777">
      <w:pPr>
        <w:tabs>
          <w:tab w:val="left" w:pos="426"/>
        </w:tabs>
        <w:spacing w:before="120" w:after="120" w:line="276" w:lineRule="auto"/>
        <w:jc w:val="both"/>
        <w:rPr>
          <w:rFonts w:ascii="Century Gothic" w:hAnsi="Century Gothic" w:cs="Arial"/>
          <w:bCs/>
          <w:lang w:val="es-ES"/>
        </w:rPr>
      </w:pPr>
      <w:r w:rsidRPr="00E45302">
        <w:rPr>
          <w:rFonts w:ascii="Century Gothic" w:hAnsi="Century Gothic" w:cs="Arial"/>
        </w:rPr>
        <w:tab/>
      </w:r>
      <w:r w:rsidRPr="00E45302">
        <w:rPr>
          <w:rFonts w:ascii="Century Gothic" w:hAnsi="Century Gothic" w:cs="Arial"/>
        </w:rPr>
        <w:tab/>
      </w:r>
      <w:r w:rsidRPr="00E45302">
        <w:rPr>
          <w:rFonts w:ascii="Century Gothic" w:hAnsi="Century Gothic" w:cs="Arial"/>
        </w:rPr>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Pr="00E45302">
        <w:rPr>
          <w:rFonts w:ascii="Century Gothic" w:hAnsi="Century Gothic" w:eastAsia="Calibri" w:cs="Arial"/>
          <w:lang w:val="es-ES"/>
        </w:rPr>
        <w:t>los siguientes temas</w:t>
      </w:r>
      <w:r w:rsidRPr="00E45302">
        <w:rPr>
          <w:rFonts w:ascii="Century Gothic" w:hAnsi="Century Gothic" w:cs="Arial"/>
          <w:lang w:val="es-ES"/>
        </w:rPr>
        <w:t xml:space="preserve">: </w:t>
      </w:r>
      <w:r w:rsidRPr="00E45302">
        <w:rPr>
          <w:rFonts w:ascii="Century Gothic" w:hAnsi="Century Gothic" w:cs="Arial"/>
          <w:lang w:val="es-ES_tradnl"/>
        </w:rPr>
        <w:t>i) Régimen sancionatorio en el Estatuto General de Contratación de la Administración Pública, ii) Procedimiento administrativo sancionatorio contractual</w:t>
      </w:r>
      <w:r>
        <w:rPr>
          <w:rFonts w:ascii="Century Gothic" w:hAnsi="Century Gothic" w:cs="Arial"/>
          <w:lang w:val="es-ES_tradnl"/>
        </w:rPr>
        <w:t>,</w:t>
      </w:r>
      <w:r w:rsidRPr="00E45302">
        <w:rPr>
          <w:rFonts w:ascii="Century Gothic" w:hAnsi="Century Gothic" w:cs="Arial"/>
          <w:lang w:val="es-ES_tradnl"/>
        </w:rPr>
        <w:t xml:space="preserve"> </w:t>
      </w:r>
      <w:r>
        <w:rPr>
          <w:rFonts w:ascii="Century Gothic" w:hAnsi="Century Gothic" w:cs="Arial"/>
          <w:lang w:val="es-ES_tradnl"/>
        </w:rPr>
        <w:t>a</w:t>
      </w:r>
      <w:r w:rsidRPr="00E45302">
        <w:rPr>
          <w:rFonts w:ascii="Century Gothic" w:hAnsi="Century Gothic" w:cs="Arial"/>
          <w:lang w:val="es-ES_tradnl"/>
        </w:rPr>
        <w:t>rtículo 86 de la Ley 1474 de 2011</w:t>
      </w:r>
      <w:r>
        <w:rPr>
          <w:rFonts w:ascii="Century Gothic" w:hAnsi="Century Gothic" w:cs="Arial"/>
          <w:lang w:val="es-ES_tradnl"/>
        </w:rPr>
        <w:t>,</w:t>
      </w:r>
      <w:r w:rsidRPr="00E45302">
        <w:rPr>
          <w:rFonts w:ascii="Century Gothic" w:hAnsi="Century Gothic" w:cs="Arial"/>
          <w:lang w:val="es-ES_tradnl"/>
        </w:rPr>
        <w:t xml:space="preserve"> </w:t>
      </w:r>
      <w:r>
        <w:rPr>
          <w:rFonts w:ascii="Century Gothic" w:hAnsi="Century Gothic" w:cs="Arial"/>
          <w:lang w:val="es-ES_tradnl"/>
        </w:rPr>
        <w:t xml:space="preserve">ii) </w:t>
      </w:r>
      <w:r w:rsidRPr="00565CC5">
        <w:rPr>
          <w:rFonts w:ascii="Century Gothic" w:hAnsi="Century Gothic" w:cs="Arial"/>
          <w:lang w:val="es-ES_tradnl"/>
        </w:rPr>
        <w:t>La cláusula penal y el perjuicio susceptible de compensación, para la proporcionalidad y razonabilidad en la aplicación de la cláusula</w:t>
      </w:r>
      <w:r w:rsidRPr="00E45302">
        <w:rPr>
          <w:rFonts w:ascii="Century Gothic" w:hAnsi="Century Gothic" w:cs="Arial"/>
          <w:lang w:val="es-ES_tradnl"/>
        </w:rPr>
        <w:t xml:space="preserve"> y la tasación de perjuicios</w:t>
      </w:r>
      <w:r w:rsidRPr="00E45302">
        <w:rPr>
          <w:rFonts w:ascii="Century Gothic" w:hAnsi="Century Gothic" w:eastAsia="Calibri" w:cs="Arial"/>
          <w:bCs/>
        </w:rPr>
        <w:t>.</w:t>
      </w:r>
    </w:p>
    <w:p w:rsidRPr="00E45302" w:rsidR="00CB1A55" w:rsidP="00CB1A55" w:rsidRDefault="00CB1A55" w14:paraId="41432193" w14:textId="77777777">
      <w:pPr>
        <w:spacing w:line="276" w:lineRule="auto"/>
        <w:ind w:firstLine="709"/>
        <w:jc w:val="both"/>
        <w:rPr>
          <w:rFonts w:ascii="Century Gothic" w:hAnsi="Century Gothic" w:eastAsia="Calibri" w:cs="Arial"/>
          <w:lang w:val="es-ES"/>
        </w:rPr>
      </w:pPr>
      <w:r w:rsidRPr="00E45302">
        <w:rPr>
          <w:rFonts w:ascii="Century Gothic" w:hAnsi="Century Gothic" w:eastAsia="Calibri" w:cs="Arial"/>
          <w:lang w:val="es-ES"/>
        </w:rPr>
        <w:t>La Agencia Nacional de Contratación Pública – Colombia Compra Eficiente, en los conceptos C-147 del 17 de marzo de 2020, C-219 del 29 de abril de 2020, C-434 del 29 de julio de 2020, C-569 del 31 de agosto de 2020, C-641 del 4 de noviembre de 2020, C-060 del 8 de marzo de 2021, C-528 del 5 de abril de 2021, C-420 del 25 de agosto de 2022, C- 720 del 25 de enero de 2022, C-125 del 24 de marzo de 2022, C-193 del 12 de abril de 2022, C-085 del 29 de abril de 2022, C-807 del 25 de noviembre de 2022, C-864 del 14 de diciembre de 2022 y C-140 del 13 de junio de 2023 analizó los conceptos referentes a las cláusulas penales y su determinación en la proporción conforme al principio de proporcionalidad</w:t>
      </w:r>
      <w:r w:rsidRPr="00E45302">
        <w:rPr>
          <w:rStyle w:val="Refdenotaalpie"/>
          <w:rFonts w:ascii="Century Gothic" w:hAnsi="Century Gothic" w:eastAsia="Calibri" w:cs="Arial"/>
        </w:rPr>
        <w:footnoteReference w:id="3"/>
      </w:r>
      <w:r w:rsidRPr="00E45302">
        <w:rPr>
          <w:rFonts w:ascii="Century Gothic" w:hAnsi="Century Gothic" w:eastAsia="Calibri" w:cs="Arial"/>
          <w:lang w:val="es-ES"/>
        </w:rPr>
        <w:t xml:space="preserve">. Las tesis expuestas en estos conceptos se reiteran a continuación y se complementan en lo pertinente, teniendo en cuenta los interrogantes planteados. </w:t>
      </w:r>
    </w:p>
    <w:p w:rsidRPr="00E45302" w:rsidR="00CB1A55" w:rsidP="00CB1A55" w:rsidRDefault="00CB1A55" w14:paraId="476BC8A9" w14:textId="77777777">
      <w:pPr>
        <w:spacing w:after="240" w:line="276" w:lineRule="auto"/>
        <w:jc w:val="both"/>
        <w:rPr>
          <w:rFonts w:ascii="Century Gothic" w:hAnsi="Century Gothic" w:cs="Arial"/>
          <w:b/>
          <w:bCs/>
          <w:lang w:val="es-ES_tradnl"/>
        </w:rPr>
      </w:pPr>
      <w:bookmarkStart w:name="_Hlk120264806" w:id="5"/>
      <w:r w:rsidRPr="00E45302">
        <w:rPr>
          <w:rFonts w:ascii="Century Gothic" w:hAnsi="Century Gothic" w:cs="Arial"/>
          <w:b/>
          <w:color w:val="000000" w:themeColor="text1"/>
          <w:lang w:val="es-ES_tradnl"/>
        </w:rPr>
        <w:t xml:space="preserve">2.1. </w:t>
      </w:r>
      <w:r w:rsidRPr="00E45302">
        <w:rPr>
          <w:rFonts w:ascii="Century Gothic" w:hAnsi="Century Gothic" w:cs="Arial"/>
          <w:b/>
          <w:bCs/>
          <w:lang w:val="es-ES_tradnl"/>
        </w:rPr>
        <w:t>Régimen sancionatorio en el Estatuto General de Contratación de la Administración Pública</w:t>
      </w:r>
    </w:p>
    <w:bookmarkEnd w:id="5"/>
    <w:p w:rsidRPr="00E45302" w:rsidR="00CB1A55" w:rsidP="00CB1A55" w:rsidRDefault="00CB1A55" w14:paraId="0CFDE772" w14:textId="77777777">
      <w:pPr>
        <w:spacing w:after="120" w:line="276" w:lineRule="auto"/>
        <w:jc w:val="both"/>
        <w:rPr>
          <w:rFonts w:ascii="Century Gothic" w:hAnsi="Century Gothic" w:cs="Arial"/>
          <w:iCs/>
          <w:lang w:val="es-ES_tradnl"/>
        </w:rPr>
      </w:pPr>
      <w:r w:rsidRPr="00E45302">
        <w:rPr>
          <w:rFonts w:ascii="Century Gothic" w:hAnsi="Century Gothic" w:cs="Arial"/>
          <w:iCs/>
          <w:lang w:val="es-ES_tradnl"/>
        </w:rPr>
        <w:t xml:space="preserve">Durante la ejecución de los contratos, las entidades estatales sometidas al Estatuto General de Contratación de la Administración Pública usualmente cuentan con distintas potestades exorbitantes o excepcionales, con base en las cuales ejercen la dirección general del contrato y realizan las actividades propias de vigilancia y control. Entre dichas potestades 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w:t>
      </w:r>
      <w:r w:rsidRPr="00E45302">
        <w:rPr>
          <w:rFonts w:ascii="Century Gothic" w:hAnsi="Century Gothic" w:cs="Arial"/>
          <w:i/>
          <w:lang w:val="es-ES_tradnl"/>
        </w:rPr>
        <w:t>ibidem</w:t>
      </w:r>
      <w:r w:rsidRPr="00E45302">
        <w:rPr>
          <w:rFonts w:ascii="Century Gothic" w:hAnsi="Century Gothic" w:cs="Arial"/>
          <w:iCs/>
          <w:lang w:val="es-ES_tradnl"/>
        </w:rPr>
        <w:t xml:space="preserve">. ii) Algunas disposiciones establecen otras potestades, como la liquidación unilateral y la declaratoria unilateral del siniestro –artículos 7 y 11 de la Ley 1150 de 2007–. Dentro de las potestades unilaterales también se encuentran iii) las de </w:t>
      </w:r>
      <w:r w:rsidRPr="00E45302">
        <w:rPr>
          <w:rFonts w:ascii="Century Gothic" w:hAnsi="Century Gothic" w:cs="Arial"/>
          <w:i/>
          <w:lang w:val="es-ES_tradnl"/>
        </w:rPr>
        <w:t>imposición unilateral</w:t>
      </w:r>
      <w:r w:rsidRPr="00E45302">
        <w:rPr>
          <w:rFonts w:ascii="Century Gothic" w:hAnsi="Century Gothic" w:cs="Arial"/>
          <w:iCs/>
          <w:lang w:val="es-ES_tradnl"/>
        </w:rPr>
        <w:t xml:space="preserve"> de las cláusulas penales y de multas –artículo 17 de la Ley 1150 de 2007–, aclarando que su exorbitancia se refiere a su imposición unilateral, no a su pacto, que es fruto de la autonomía de la voluntad y posible en virtud de las normas civiles y comerciales.</w:t>
      </w:r>
    </w:p>
    <w:p w:rsidRPr="00E45302" w:rsidR="00CB1A55" w:rsidP="00CB1A55" w:rsidRDefault="00CB1A55" w14:paraId="03A4B10C" w14:textId="77777777">
      <w:pPr>
        <w:spacing w:after="120" w:line="276" w:lineRule="auto"/>
        <w:ind w:firstLine="709"/>
        <w:jc w:val="both"/>
        <w:rPr>
          <w:rFonts w:ascii="Century Gothic" w:hAnsi="Century Gothic" w:cs="Arial"/>
          <w:iCs/>
          <w:lang w:val="es-ES_tradnl"/>
        </w:rPr>
      </w:pPr>
      <w:r w:rsidRPr="00E45302">
        <w:rPr>
          <w:rFonts w:ascii="Century Gothic" w:hAnsi="Century Gothic" w:cs="Arial"/>
          <w:iCs/>
          <w:lang w:val="es-ES_tradnl"/>
        </w:rPr>
        <w:t xml:space="preserve">Las primeras, esto es, las cláusulas excepcionales del artículo 14 de la Ley 80 de 1993, son estipulaciones virtuales y obligatorias en los contratos de concesión, obra, prestación de servicios públicos, aquellos que tengan por objeto el ejercicio de una actividad que constituya monopolio estatal </w:t>
      </w:r>
      <w:r w:rsidRPr="00E45302">
        <w:rPr>
          <w:rFonts w:ascii="Century Gothic" w:hAnsi="Century Gothic" w:cs="Arial"/>
        </w:rPr>
        <w:t>y los relacionados con el programa de alimentación escolar –según lo dispuso la modificación realizada por el artículo 52 de la Ley 2195 de 2022–</w:t>
      </w:r>
      <w:r w:rsidRPr="00E45302">
        <w:rPr>
          <w:rFonts w:ascii="Century Gothic" w:hAnsi="Century Gothic" w:cs="Arial"/>
          <w:iCs/>
          <w:lang w:val="es-ES_tradnl"/>
        </w:rPr>
        <w:t>. En tales contratos, sin importar si se incorporaron o no dentro de estos, las cláusulas excepcionales se entienden incluidas por el ministerio de la ley, como lo dispone el artículo 14 de la Ley 80 de 1993.</w:t>
      </w:r>
    </w:p>
    <w:p w:rsidRPr="00E45302" w:rsidR="00CB1A55" w:rsidP="00CB1A55" w:rsidRDefault="00CB1A55" w14:paraId="6028C86A" w14:textId="77777777">
      <w:pPr>
        <w:spacing w:after="120" w:line="276" w:lineRule="auto"/>
        <w:ind w:firstLine="709"/>
        <w:jc w:val="both"/>
        <w:rPr>
          <w:rFonts w:ascii="Century Gothic" w:hAnsi="Century Gothic" w:cs="Arial"/>
          <w:iCs/>
          <w:lang w:val="es-ES_tradnl"/>
        </w:rPr>
      </w:pPr>
      <w:r w:rsidRPr="00E45302">
        <w:rPr>
          <w:rFonts w:ascii="Century Gothic" w:hAnsi="Century Gothic" w:cs="Arial"/>
          <w:iCs/>
          <w:lang w:val="es-ES_tradnl"/>
        </w:rPr>
        <w:t>Por su parte, las potestades exorbitantes del último grupo –imposición unilateral de la multa o la cláusula penal– son el resultado de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w:t>
      </w:r>
      <w:r w:rsidRPr="00E45302">
        <w:rPr>
          <w:rFonts w:ascii="Century Gothic" w:hAnsi="Century Gothic" w:cs="Arial"/>
          <w:vertAlign w:val="superscript"/>
        </w:rPr>
        <w:footnoteReference w:id="4"/>
      </w:r>
      <w:r w:rsidRPr="00E45302">
        <w:rPr>
          <w:rFonts w:ascii="Century Gothic" w:hAnsi="Century Gothic" w:cs="Arial"/>
          <w:iCs/>
          <w:lang w:val="es-ES_tradnl"/>
        </w:rPr>
        <w:t>. No obstante, cumplido el requisito del pacto en el contrato, las entidades estatales sometidas al Estatuto General de Contratación de la Administración Pública –Leyes 80 de 1993 y 1150 de 2007, y sus modificaciones–,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en que dichas cláusulas son posibles y pueden pactarse en virtud de las normas civiles y comerciales.</w:t>
      </w:r>
    </w:p>
    <w:p w:rsidRPr="00E45302" w:rsidR="00CB1A55" w:rsidP="00CB1A55" w:rsidRDefault="00CB1A55" w14:paraId="179D670C" w14:textId="77777777">
      <w:pPr>
        <w:spacing w:line="276" w:lineRule="auto"/>
        <w:ind w:firstLine="709"/>
        <w:jc w:val="both"/>
        <w:rPr>
          <w:rFonts w:ascii="Century Gothic" w:hAnsi="Century Gothic" w:cs="Arial"/>
          <w:iCs/>
          <w:lang w:val="es-ES_tradnl"/>
        </w:rPr>
      </w:pPr>
      <w:r w:rsidRPr="00E45302">
        <w:rPr>
          <w:rFonts w:ascii="Century Gothic" w:hAnsi="Century Gothic" w:cs="Arial"/>
          <w:iCs/>
          <w:lang w:val="es-ES_tradnl"/>
        </w:rPr>
        <w:t>En efecto, tratándose de las multas y la cláusula penal, en cumplimiento del principio de tipicidad, las partes deben determinar en forma pormenorizada las acciones u omisiones objeto de sanción y el monto de la sanción a imponer, el cual, en todo caso, debe atender los criterios de proporcionalidad y razonabilidad. En esa línea se pronunció la Sección Tercera del Consejo de Estado, indicando que:</w:t>
      </w:r>
    </w:p>
    <w:p w:rsidR="00CB1A55" w:rsidP="00CB1A55" w:rsidRDefault="00CB1A55" w14:paraId="0C86F75A" w14:textId="77777777">
      <w:pPr>
        <w:spacing w:after="240"/>
        <w:ind w:left="709" w:right="709"/>
        <w:contextualSpacing/>
        <w:jc w:val="both"/>
        <w:rPr>
          <w:rFonts w:ascii="Century Gothic" w:hAnsi="Century Gothic" w:cs="Arial"/>
          <w:i/>
          <w:iCs/>
          <w:sz w:val="21"/>
          <w:szCs w:val="21"/>
        </w:rPr>
      </w:pPr>
    </w:p>
    <w:p w:rsidRPr="00E655F3" w:rsidR="00CB1A55" w:rsidP="00CB1A55" w:rsidRDefault="00CB1A55" w14:paraId="30CBEFD1" w14:textId="77777777">
      <w:pPr>
        <w:spacing w:after="240"/>
        <w:ind w:left="709" w:right="709"/>
        <w:contextualSpacing/>
        <w:jc w:val="both"/>
        <w:rPr>
          <w:rFonts w:ascii="Century Gothic" w:hAnsi="Century Gothic" w:cs="Arial"/>
          <w:sz w:val="20"/>
          <w:szCs w:val="20"/>
          <w:lang w:val="es-ES_tradnl"/>
        </w:rPr>
      </w:pPr>
      <w:r w:rsidRPr="00E655F3">
        <w:rPr>
          <w:rFonts w:ascii="Century Gothic" w:hAnsi="Century Gothic" w:cs="Arial"/>
          <w:i/>
          <w:sz w:val="20"/>
          <w:szCs w:val="20"/>
        </w:rPr>
        <w:t>“</w:t>
      </w:r>
      <w:r w:rsidRPr="00E655F3">
        <w:rPr>
          <w:rFonts w:ascii="Century Gothic" w:hAnsi="Century Gothic" w:cs="Arial"/>
          <w:sz w:val="20"/>
          <w:szCs w:val="20"/>
        </w:rPr>
        <w:t>[L]</w:t>
      </w:r>
      <w:r w:rsidRPr="00E655F3">
        <w:rPr>
          <w:rFonts w:ascii="Century Gothic" w:hAnsi="Century Gothic" w:cs="Arial"/>
          <w:iCs/>
          <w:sz w:val="20"/>
          <w:szCs w:val="20"/>
          <w:lang w:val="es-ES_tradnl"/>
        </w:rPr>
        <w:t>a</w:t>
      </w:r>
      <w:r w:rsidRPr="00E655F3">
        <w:rPr>
          <w:rFonts w:ascii="Century Gothic" w:hAnsi="Century Gothic" w:cs="Arial"/>
          <w:sz w:val="20"/>
          <w:szCs w:val="20"/>
          <w:lang w:val="es-ES_tradnl"/>
        </w:rPr>
        <w:t xml:space="preserve"> multa y la cláusula penal mantienen la libertad de pacto, es decir, que la ley no determina las conductas que las originan, y las partes pueden hacerlo con gran libertad -pero tampoco arbitrariamente-. Pese a este relajamiento del principio de legalidad fuerte, en todo caso se conserva el principio de tipicidad, según el cual las partes del negocio deben describir la conducta prohibida en la cláusula contractual. Además, también se mantiene el principio que impone que la conducta reprochable se establezca de manera previa a su realización –lex previa–, para evitar la arbitrariedad y el abuso de poder</w:t>
      </w:r>
      <w:r>
        <w:rPr>
          <w:rFonts w:ascii="Century Gothic" w:hAnsi="Century Gothic" w:cs="Arial"/>
          <w:iCs/>
          <w:sz w:val="20"/>
          <w:szCs w:val="20"/>
          <w:lang w:val="es-ES_tradnl"/>
        </w:rPr>
        <w:t>”</w:t>
      </w:r>
      <w:r w:rsidRPr="00E655F3">
        <w:rPr>
          <w:rFonts w:ascii="Century Gothic" w:hAnsi="Century Gothic" w:cs="Arial"/>
          <w:sz w:val="20"/>
          <w:szCs w:val="20"/>
          <w:vertAlign w:val="superscript"/>
        </w:rPr>
        <w:footnoteReference w:id="5"/>
      </w:r>
      <w:r w:rsidRPr="00E655F3">
        <w:rPr>
          <w:rFonts w:ascii="Century Gothic" w:hAnsi="Century Gothic" w:cs="Arial"/>
          <w:iCs/>
          <w:sz w:val="20"/>
          <w:szCs w:val="20"/>
          <w:lang w:val="es-ES_tradnl"/>
        </w:rPr>
        <w:t>.</w:t>
      </w:r>
      <w:r w:rsidRPr="00E655F3">
        <w:rPr>
          <w:rFonts w:ascii="Century Gothic" w:hAnsi="Century Gothic" w:cs="Arial"/>
          <w:sz w:val="20"/>
          <w:szCs w:val="20"/>
          <w:lang w:val="es-ES_tradnl"/>
        </w:rPr>
        <w:t xml:space="preserve"> </w:t>
      </w:r>
    </w:p>
    <w:p w:rsidRPr="00E45302" w:rsidR="00CB1A55" w:rsidP="00CB1A55" w:rsidRDefault="00CB1A55" w14:paraId="1ABC00A4" w14:textId="77777777">
      <w:pPr>
        <w:spacing w:after="240"/>
        <w:ind w:left="709" w:right="709"/>
        <w:contextualSpacing/>
        <w:jc w:val="both"/>
        <w:rPr>
          <w:rFonts w:ascii="Century Gothic" w:hAnsi="Century Gothic" w:cs="Arial"/>
          <w:iCs/>
          <w:lang w:val="es-ES_tradnl"/>
        </w:rPr>
      </w:pPr>
    </w:p>
    <w:p w:rsidRPr="00E45302" w:rsidR="00CB1A55" w:rsidP="00CB1A55" w:rsidRDefault="00CB1A55" w14:paraId="397153A4" w14:textId="77777777">
      <w:pPr>
        <w:spacing w:after="120" w:line="276" w:lineRule="auto"/>
        <w:ind w:firstLine="709"/>
        <w:jc w:val="both"/>
        <w:rPr>
          <w:rFonts w:ascii="Century Gothic" w:hAnsi="Century Gothic" w:cs="Arial"/>
          <w:i/>
          <w:lang w:val="es-ES_tradnl"/>
        </w:rPr>
      </w:pPr>
      <w:r w:rsidRPr="00E45302">
        <w:rPr>
          <w:rFonts w:ascii="Century Gothic" w:hAnsi="Century Gothic" w:cs="Arial"/>
          <w:iCs/>
          <w:lang w:val="es-ES_tradnl"/>
        </w:rPr>
        <w:t xml:space="preserve">De igual forma, en otra oportunidad, el Consejo de Estado indicó que </w:t>
      </w:r>
      <w:r>
        <w:rPr>
          <w:rFonts w:ascii="Century Gothic" w:hAnsi="Century Gothic" w:cs="Arial"/>
          <w:i/>
          <w:lang w:val="es-ES_tradnl"/>
        </w:rPr>
        <w:t>“</w:t>
      </w:r>
      <w:r w:rsidRPr="00E45302">
        <w:rPr>
          <w:rFonts w:ascii="Century Gothic" w:hAnsi="Century Gothic" w:cs="Arial"/>
          <w:i/>
          <w:lang w:val="es-ES_tradnl"/>
        </w:rPr>
        <w:t>el núcleo mínimo de este derecho exige que una norma –legal o contractual– contemple la falta y la sanción. Si ni siquiera lo hace el contrato, la Administración no puede imponer sanciones, so pena de violar el debido proceso</w:t>
      </w:r>
      <w:r>
        <w:rPr>
          <w:rFonts w:ascii="Century Gothic" w:hAnsi="Century Gothic" w:cs="Arial"/>
          <w:i/>
          <w:lang w:val="es-ES_tradnl"/>
        </w:rPr>
        <w:t>”</w:t>
      </w:r>
      <w:r w:rsidRPr="00E45302">
        <w:rPr>
          <w:rFonts w:ascii="Century Gothic" w:hAnsi="Century Gothic" w:cs="Arial"/>
          <w:vertAlign w:val="superscript"/>
        </w:rPr>
        <w:footnoteReference w:id="6"/>
      </w:r>
      <w:r w:rsidRPr="00E45302">
        <w:rPr>
          <w:rFonts w:ascii="Century Gothic" w:hAnsi="Century Gothic" w:cs="Arial"/>
          <w:iCs/>
          <w:lang w:val="es-ES_tradnl"/>
        </w:rPr>
        <w:t>. De otro lado, la Corte Constitucional</w:t>
      </w:r>
      <w:r w:rsidRPr="00E45302">
        <w:rPr>
          <w:rFonts w:ascii="Century Gothic" w:hAnsi="Century Gothic" w:cs="Arial"/>
          <w:vertAlign w:val="superscript"/>
        </w:rPr>
        <w:footnoteReference w:id="7"/>
      </w:r>
      <w:r w:rsidRPr="00E45302">
        <w:rPr>
          <w:rFonts w:ascii="Century Gothic" w:hAnsi="Century Gothic" w:cs="Arial"/>
          <w:iCs/>
          <w:lang w:val="es-ES_tradnl"/>
        </w:rPr>
        <w:t xml:space="preserve"> precisó que la tipicidad hacía referencia a </w:t>
      </w:r>
      <w:r>
        <w:rPr>
          <w:rFonts w:ascii="Century Gothic" w:hAnsi="Century Gothic" w:cs="Arial"/>
          <w:i/>
          <w:lang w:val="es-ES_tradnl"/>
        </w:rPr>
        <w:t>“</w:t>
      </w:r>
      <w:r w:rsidRPr="00E45302">
        <w:rPr>
          <w:rFonts w:ascii="Century Gothic" w:hAnsi="Century Gothic" w:cs="Arial"/>
          <w:i/>
          <w:lang w:val="es-ES_tradnl"/>
        </w:rPr>
        <w:t>la exigencia de descripción específica y precisa por la norma creadora de las infracciones y de las sanciones, de las conductas que pueden ser sancionadas y del contenido material de las sanciones que puede imponerse por la comisión de cada conducta, así como la correlación entre unas y otras</w:t>
      </w:r>
      <w:r>
        <w:rPr>
          <w:rFonts w:ascii="Century Gothic" w:hAnsi="Century Gothic" w:cs="Arial"/>
          <w:i/>
          <w:lang w:val="es-ES_tradnl"/>
        </w:rPr>
        <w:t>”</w:t>
      </w:r>
      <w:r w:rsidRPr="00E45302">
        <w:rPr>
          <w:rFonts w:ascii="Century Gothic" w:hAnsi="Century Gothic" w:cs="Arial"/>
          <w:i/>
          <w:lang w:val="es-ES_tradnl"/>
        </w:rPr>
        <w:t xml:space="preserve">. </w:t>
      </w:r>
    </w:p>
    <w:p w:rsidRPr="00E45302" w:rsidR="00CB1A55" w:rsidP="00CB1A55" w:rsidRDefault="00CB1A55" w14:paraId="4BA2A008" w14:textId="77777777">
      <w:pPr>
        <w:spacing w:after="120" w:line="276" w:lineRule="auto"/>
        <w:ind w:firstLine="709"/>
        <w:jc w:val="both"/>
        <w:rPr>
          <w:rFonts w:ascii="Century Gothic" w:hAnsi="Century Gothic" w:cs="Arial"/>
          <w:iCs/>
          <w:lang w:val="es-ES_tradnl"/>
        </w:rPr>
      </w:pPr>
      <w:r w:rsidRPr="00E45302">
        <w:rPr>
          <w:rFonts w:ascii="Century Gothic" w:hAnsi="Century Gothic" w:cs="Arial"/>
          <w:iCs/>
          <w:lang w:val="es-ES_tradnl"/>
        </w:rPr>
        <w:t xml:space="preserve">Por su parte, el artículo 17 de la Ley 1150 de 2007, además de autorizar la imposición unilateral de multas, también precisa que la declaración de incumplimiento tiene como propósito </w:t>
      </w:r>
      <w:r>
        <w:rPr>
          <w:rFonts w:ascii="Century Gothic" w:hAnsi="Century Gothic" w:cs="Arial"/>
          <w:i/>
          <w:lang w:val="es-ES_tradnl"/>
        </w:rPr>
        <w:t>“</w:t>
      </w:r>
      <w:r w:rsidRPr="00E45302">
        <w:rPr>
          <w:rFonts w:ascii="Century Gothic" w:hAnsi="Century Gothic" w:cs="Arial"/>
          <w:i/>
          <w:lang w:val="es-ES_tradnl"/>
        </w:rPr>
        <w:t>hacer efectiva la cláusula penal pecuniaria incluida en el contrato</w:t>
      </w:r>
      <w:r>
        <w:rPr>
          <w:rFonts w:ascii="Century Gothic" w:hAnsi="Century Gothic" w:cs="Arial"/>
          <w:i/>
          <w:lang w:val="es-ES_tradnl"/>
        </w:rPr>
        <w:t>”</w:t>
      </w:r>
      <w:r w:rsidRPr="00E45302">
        <w:rPr>
          <w:rFonts w:ascii="Century Gothic" w:hAnsi="Century Gothic" w:cs="Arial"/>
          <w:i/>
          <w:lang w:val="es-ES_tradnl"/>
        </w:rPr>
        <w:t>.</w:t>
      </w:r>
      <w:r w:rsidRPr="00E45302">
        <w:rPr>
          <w:rFonts w:ascii="Century Gothic" w:hAnsi="Century Gothic" w:cs="Arial"/>
          <w:iCs/>
          <w:lang w:val="es-ES_tradnl"/>
        </w:rPr>
        <w:t xml:space="preserve"> </w:t>
      </w:r>
    </w:p>
    <w:p w:rsidRPr="00E45302" w:rsidR="00CB1A55" w:rsidP="00CB1A55" w:rsidRDefault="00CB1A55" w14:paraId="38E22A80" w14:textId="77777777">
      <w:pPr>
        <w:spacing w:after="240" w:line="276" w:lineRule="auto"/>
        <w:ind w:firstLine="709"/>
        <w:jc w:val="both"/>
        <w:rPr>
          <w:rFonts w:ascii="Century Gothic" w:hAnsi="Century Gothic" w:cs="Arial"/>
          <w:iCs/>
          <w:lang w:val="es-ES_tradnl"/>
        </w:rPr>
      </w:pPr>
      <w:r w:rsidRPr="00E45302">
        <w:rPr>
          <w:rFonts w:ascii="Century Gothic" w:hAnsi="Century Gothic" w:cs="Arial"/>
          <w:iCs/>
          <w:lang w:val="es-ES_tradnl"/>
        </w:rPr>
        <w:t>En este punto, conviene resaltar lo dicho por la Sección Tercera del Consejo de Estado</w:t>
      </w:r>
      <w:r w:rsidRPr="00E45302">
        <w:rPr>
          <w:rFonts w:ascii="Century Gothic" w:hAnsi="Century Gothic" w:cs="Arial"/>
          <w:vertAlign w:val="superscript"/>
        </w:rPr>
        <w:footnoteReference w:id="8"/>
      </w:r>
      <w:r w:rsidRPr="00E45302">
        <w:rPr>
          <w:rFonts w:ascii="Century Gothic" w:hAnsi="Century Gothic" w:cs="Arial"/>
          <w:iCs/>
          <w:lang w:val="es-ES_tradnl"/>
        </w:rPr>
        <w:t xml:space="preserve">, en relación con las diferencias entre las multas y la cláusula penal, en el sentido de que, </w:t>
      </w:r>
      <w:r>
        <w:rPr>
          <w:rFonts w:ascii="Century Gothic" w:hAnsi="Century Gothic" w:cs="Arial"/>
          <w:i/>
          <w:lang w:val="es-ES_tradnl"/>
        </w:rPr>
        <w:t>“</w:t>
      </w:r>
      <w:r w:rsidRPr="00E45302">
        <w:rPr>
          <w:rFonts w:ascii="Century Gothic" w:hAnsi="Century Gothic" w:cs="Arial"/>
          <w:i/>
          <w:lang w:val="es-ES_tradnl"/>
        </w:rPr>
        <w:t>[a]unque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r>
        <w:rPr>
          <w:rFonts w:ascii="Century Gothic" w:hAnsi="Century Gothic" w:cs="Arial"/>
          <w:i/>
          <w:lang w:val="es-ES_tradnl"/>
        </w:rPr>
        <w:t>”</w:t>
      </w:r>
      <w:r w:rsidRPr="00E45302">
        <w:rPr>
          <w:rFonts w:ascii="Century Gothic" w:hAnsi="Century Gothic" w:cs="Arial"/>
          <w:vertAlign w:val="superscript"/>
        </w:rPr>
        <w:footnoteReference w:id="9"/>
      </w:r>
      <w:r w:rsidRPr="00E45302">
        <w:rPr>
          <w:rFonts w:ascii="Century Gothic" w:hAnsi="Century Gothic" w:cs="Arial"/>
          <w:iCs/>
          <w:lang w:val="es-ES_tradnl"/>
        </w:rPr>
        <w:t xml:space="preserve">. </w:t>
      </w:r>
    </w:p>
    <w:p w:rsidRPr="00E45302" w:rsidR="00CB1A55" w:rsidP="00CB1A55" w:rsidRDefault="00CB1A55" w14:paraId="578530F0" w14:textId="77777777">
      <w:pPr>
        <w:spacing w:after="120" w:line="276" w:lineRule="auto"/>
        <w:ind w:firstLine="708"/>
        <w:jc w:val="both"/>
        <w:rPr>
          <w:rFonts w:ascii="Century Gothic" w:hAnsi="Century Gothic" w:eastAsia="Calibri" w:cs="Arial"/>
          <w:color w:val="000000" w:themeColor="text1"/>
        </w:rPr>
      </w:pPr>
      <w:r w:rsidRPr="00E45302">
        <w:rPr>
          <w:rFonts w:ascii="Century Gothic" w:hAnsi="Century Gothic" w:eastAsia="Calibri" w:cs="Arial"/>
          <w:color w:val="000000" w:themeColor="text1"/>
          <w:lang w:val="es-ES_tradnl"/>
        </w:rPr>
        <w:t xml:space="preserve">Por lo tanto, </w:t>
      </w:r>
      <w:r w:rsidRPr="00E45302">
        <w:rPr>
          <w:rFonts w:ascii="Century Gothic" w:hAnsi="Century Gothic" w:eastAsia="Calibri" w:cs="Arial"/>
          <w:color w:val="000000" w:themeColor="text1"/>
        </w:rPr>
        <w:t>en virtud de la autonomía de la voluntad –artículo 1602 Código Civil–, las partes de un contrato, para procurar el cumplimiento de las obligaciones a su favor, pueden pactar las cláusulas contractuales de apremio y la pena adjudicable a la parte incumplida. Su naturaleza es punitiva y se causan en los eventos en los que se configure un incumplimiento contractual del deudor.</w:t>
      </w:r>
    </w:p>
    <w:p w:rsidRPr="00E45302" w:rsidR="00CB1A55" w:rsidP="00CB1A55" w:rsidRDefault="00CB1A55" w14:paraId="2BB3491F" w14:textId="77777777">
      <w:pPr>
        <w:spacing w:after="120" w:line="276" w:lineRule="auto"/>
        <w:ind w:firstLine="709"/>
        <w:jc w:val="both"/>
        <w:rPr>
          <w:rFonts w:ascii="Century Gothic" w:hAnsi="Century Gothic" w:eastAsia="Calibri" w:cs="Arial"/>
          <w:color w:val="000000" w:themeColor="text1"/>
        </w:rPr>
      </w:pPr>
      <w:r w:rsidRPr="00E45302">
        <w:rPr>
          <w:rFonts w:ascii="Century Gothic" w:hAnsi="Century Gothic" w:eastAsia="Calibri" w:cs="Arial"/>
          <w:color w:val="000000" w:themeColor="text1"/>
        </w:rPr>
        <w:t xml:space="preserve">En efecto, el artículo 1592 del Código Civil establece que </w:t>
      </w:r>
      <w:r>
        <w:rPr>
          <w:rFonts w:ascii="Century Gothic" w:hAnsi="Century Gothic" w:eastAsia="Calibri" w:cs="Arial"/>
          <w:color w:val="000000" w:themeColor="text1"/>
        </w:rPr>
        <w:t>“</w:t>
      </w:r>
      <w:r w:rsidRPr="00E45302">
        <w:rPr>
          <w:rFonts w:ascii="Century Gothic" w:hAnsi="Century Gothic" w:eastAsia="Calibri" w:cs="Arial"/>
          <w:color w:val="000000" w:themeColor="text1"/>
        </w:rPr>
        <w:t>[l]a cláusula penal es aquella en que una persona, para asegurar el cumplimiento de una obligación, se sujeta a una pena que consiste en dar o hacer algo en caso de no ejecutar o retardar la obligación principal</w:t>
      </w:r>
      <w:r>
        <w:rPr>
          <w:rFonts w:ascii="Century Gothic" w:hAnsi="Century Gothic" w:eastAsia="Calibri" w:cs="Arial"/>
          <w:color w:val="000000" w:themeColor="text1"/>
        </w:rPr>
        <w:t>”</w:t>
      </w:r>
      <w:r w:rsidRPr="00E45302">
        <w:rPr>
          <w:rFonts w:ascii="Century Gothic" w:hAnsi="Century Gothic" w:eastAsia="Calibri" w:cs="Arial"/>
          <w:color w:val="000000" w:themeColor="text1"/>
        </w:rPr>
        <w:t xml:space="preserve">. Por su parte, el artículo 867 del Código de Comercio, dispone que </w:t>
      </w:r>
      <w:r>
        <w:rPr>
          <w:rFonts w:ascii="Century Gothic" w:hAnsi="Century Gothic" w:eastAsia="Calibri" w:cs="Arial"/>
          <w:color w:val="000000" w:themeColor="text1"/>
        </w:rPr>
        <w:t>“</w:t>
      </w:r>
      <w:r w:rsidRPr="00E45302">
        <w:rPr>
          <w:rFonts w:ascii="Century Gothic" w:hAnsi="Century Gothic" w:eastAsia="Calibri" w:cs="Arial"/>
          <w:color w:val="000000" w:themeColor="text1"/>
        </w:rPr>
        <w:t>[c]uando se estipule el pago de una prestación determinada para el caso de incumplimiento, o de mora, se entenderá que las partes no pueden retractarse […]</w:t>
      </w:r>
      <w:r>
        <w:rPr>
          <w:rFonts w:ascii="Century Gothic" w:hAnsi="Century Gothic" w:eastAsia="Calibri" w:cs="Arial"/>
          <w:color w:val="000000" w:themeColor="text1"/>
        </w:rPr>
        <w:t>”</w:t>
      </w:r>
      <w:r w:rsidRPr="00E45302">
        <w:rPr>
          <w:rFonts w:ascii="Century Gothic" w:hAnsi="Century Gothic" w:eastAsia="Calibri" w:cs="Arial"/>
          <w:color w:val="000000" w:themeColor="text1"/>
        </w:rPr>
        <w:t>.</w:t>
      </w:r>
    </w:p>
    <w:p w:rsidRPr="00E45302" w:rsidR="00CB1A55" w:rsidP="00CB1A55" w:rsidRDefault="00CB1A55" w14:paraId="1808ED40" w14:textId="77777777">
      <w:pPr>
        <w:spacing w:line="276" w:lineRule="auto"/>
        <w:ind w:firstLine="708"/>
        <w:jc w:val="both"/>
        <w:rPr>
          <w:rFonts w:ascii="Century Gothic" w:hAnsi="Century Gothic" w:eastAsia="Calibri" w:cs="Arial"/>
          <w:color w:val="000000" w:themeColor="text1"/>
        </w:rPr>
      </w:pPr>
      <w:r w:rsidRPr="00E45302">
        <w:rPr>
          <w:rFonts w:ascii="Century Gothic" w:hAnsi="Century Gothic" w:eastAsia="Calibri" w:cs="Arial"/>
          <w:color w:val="000000" w:themeColor="text1"/>
        </w:rPr>
        <w:t xml:space="preserve">Así, se ha entendido que la cláusula penal puede cumplir varias funciones, a saber: </w:t>
      </w:r>
      <w:r w:rsidRPr="00E45302">
        <w:rPr>
          <w:rFonts w:ascii="Century Gothic" w:hAnsi="Century Gothic" w:eastAsia="Calibri" w:cs="Arial"/>
          <w:i/>
          <w:iCs/>
          <w:color w:val="000000" w:themeColor="text1"/>
        </w:rPr>
        <w:t>i)</w:t>
      </w:r>
      <w:r w:rsidRPr="00E45302">
        <w:rPr>
          <w:rFonts w:ascii="Century Gothic" w:hAnsi="Century Gothic" w:eastAsia="Calibri" w:cs="Arial"/>
          <w:color w:val="000000" w:themeColor="text1"/>
        </w:rPr>
        <w:t xml:space="preserve"> estimación anticipada de perjuicios; </w:t>
      </w:r>
      <w:r w:rsidRPr="00E45302">
        <w:rPr>
          <w:rFonts w:ascii="Century Gothic" w:hAnsi="Century Gothic" w:eastAsia="Calibri" w:cs="Arial"/>
          <w:i/>
          <w:iCs/>
          <w:color w:val="000000" w:themeColor="text1"/>
        </w:rPr>
        <w:t>ii)</w:t>
      </w:r>
      <w:r w:rsidRPr="00E45302">
        <w:rPr>
          <w:rFonts w:ascii="Century Gothic" w:hAnsi="Century Gothic" w:eastAsia="Calibri" w:cs="Arial"/>
          <w:color w:val="000000" w:themeColor="text1"/>
        </w:rPr>
        <w:t xml:space="preserve"> medio de apremio al deudor, y </w:t>
      </w:r>
      <w:r w:rsidRPr="00E45302">
        <w:rPr>
          <w:rFonts w:ascii="Century Gothic" w:hAnsi="Century Gothic" w:eastAsia="Calibri" w:cs="Arial"/>
          <w:i/>
          <w:iCs/>
          <w:color w:val="000000" w:themeColor="text1"/>
        </w:rPr>
        <w:t>iii)</w:t>
      </w:r>
      <w:r w:rsidRPr="00E45302">
        <w:rPr>
          <w:rFonts w:ascii="Century Gothic" w:hAnsi="Century Gothic" w:eastAsia="Calibri" w:cs="Arial"/>
          <w:color w:val="000000" w:themeColor="text1"/>
        </w:rPr>
        <w:t xml:space="preserve"> caución o garantía del cumplimiento de la obligación principal. La Sala de Casación Civil de la Corte Suprema de Justicia ratificó esta naturaleza polifuncional de la cláusula penal, en los siguientes términos: </w:t>
      </w:r>
    </w:p>
    <w:p w:rsidR="00CB1A55" w:rsidP="00CB1A55" w:rsidRDefault="00CB1A55" w14:paraId="29827290" w14:textId="77777777">
      <w:pPr>
        <w:ind w:left="709" w:right="709" w:firstLine="709"/>
        <w:jc w:val="both"/>
        <w:rPr>
          <w:rFonts w:ascii="Century Gothic" w:hAnsi="Century Gothic" w:eastAsia="Calibri" w:cs="Arial"/>
          <w:color w:val="000000" w:themeColor="text1"/>
          <w:sz w:val="20"/>
          <w:szCs w:val="20"/>
        </w:rPr>
      </w:pPr>
      <w:r w:rsidRPr="00E45302">
        <w:rPr>
          <w:rFonts w:ascii="Century Gothic" w:hAnsi="Century Gothic" w:eastAsia="Calibri" w:cs="Arial"/>
          <w:color w:val="000000" w:themeColor="text1"/>
          <w:sz w:val="21"/>
          <w:szCs w:val="21"/>
        </w:rPr>
        <w:br/>
      </w:r>
      <w:r w:rsidRPr="00E655F3">
        <w:rPr>
          <w:rFonts w:ascii="Century Gothic" w:hAnsi="Century Gothic" w:eastAsia="Calibri" w:cs="Arial"/>
          <w:color w:val="000000" w:themeColor="text1"/>
          <w:sz w:val="20"/>
          <w:szCs w:val="20"/>
        </w:rPr>
        <w:t>“[E]n el ámbito de la dogmática jurídica civil, se denomina “cláusula penal” al acuerdo de las partes sobre la estimación de los perjuicios compensatorios o moratorios, para el evento del incumplimiento del convenio o la mora en la satisfacción de las obligaciones derivadas del mismo, recibiendo en el primer caso el nombre de “cláusula penal compensatoria” y en el segundo, “cláusula penal moratoria”; así mismo se reconoce, que cumple la función complementaria de apremiar al deudor para el adecuado cumplimiento de la prestación. En virtud de lo anterior, cabe señalar, que dicho pacto tiene el carácter de una “obligación accesoria”, en cuanto tiene por objeto asegurar el cumplimiento de otra obligación; igualmente, constituye una “obligación condicional”, porque la pena solo se debe ante el incumplimiento o retardo de la “obligación principal”; y también puede representar una liquidación convencional y anticipada de los perjuicios en caso de configurarse alguno de tales supuestos.”</w:t>
      </w:r>
      <w:r w:rsidRPr="00E655F3">
        <w:rPr>
          <w:rFonts w:ascii="Century Gothic" w:hAnsi="Century Gothic" w:eastAsia="Calibri" w:cs="Arial"/>
          <w:color w:val="000000" w:themeColor="text1"/>
          <w:sz w:val="20"/>
          <w:szCs w:val="20"/>
          <w:vertAlign w:val="superscript"/>
        </w:rPr>
        <w:footnoteReference w:id="10"/>
      </w:r>
    </w:p>
    <w:p w:rsidRPr="00E655F3" w:rsidR="00CB1A55" w:rsidP="00CB1A55" w:rsidRDefault="00CB1A55" w14:paraId="0C71CEA4" w14:textId="77777777">
      <w:pPr>
        <w:ind w:left="709" w:right="709" w:firstLine="709"/>
        <w:jc w:val="both"/>
        <w:rPr>
          <w:rFonts w:ascii="Century Gothic" w:hAnsi="Century Gothic" w:eastAsia="Calibri" w:cs="Arial"/>
          <w:color w:val="000000" w:themeColor="text1"/>
          <w:sz w:val="20"/>
          <w:szCs w:val="20"/>
        </w:rPr>
      </w:pPr>
    </w:p>
    <w:p w:rsidRPr="0069511D" w:rsidR="00CB1A55" w:rsidP="00CB1A55" w:rsidRDefault="00CB1A55" w14:paraId="05111245" w14:textId="77777777">
      <w:pPr>
        <w:spacing w:after="120" w:line="276" w:lineRule="auto"/>
        <w:ind w:firstLine="709"/>
        <w:jc w:val="both"/>
        <w:rPr>
          <w:rFonts w:ascii="Century Gothic" w:hAnsi="Century Gothic" w:eastAsia="Calibri" w:cs="Arial"/>
          <w:color w:val="000000" w:themeColor="text1"/>
        </w:rPr>
      </w:pPr>
      <w:r w:rsidRPr="0069511D">
        <w:rPr>
          <w:rFonts w:ascii="Century Gothic" w:hAnsi="Century Gothic" w:eastAsia="Calibri" w:cs="Arial"/>
          <w:color w:val="000000" w:themeColor="text1"/>
        </w:rPr>
        <w:t xml:space="preserve">Así pues, la cláusula penal en su modalidad de apremio tiene como propósito ejercer presión o amenaza sobre la voluntad del deudor, induciéndolo a cumplir la obligación principal por el temor de incurrir en aquella, es decir, se trata típicamente de la cláusula de multas en la que la pena no sustituye la obligación principal ni la indemnización compensatoria, sino que persigue compulsar al deudor al cumplimiento de la obligación en forma oportuna, efectiva e integra. </w:t>
      </w:r>
    </w:p>
    <w:p w:rsidR="00CB1A55" w:rsidP="00CB1A55" w:rsidRDefault="00CB1A55" w14:paraId="7AF68661" w14:textId="77777777">
      <w:pPr>
        <w:spacing w:line="276" w:lineRule="auto"/>
        <w:ind w:firstLine="709"/>
        <w:jc w:val="both"/>
        <w:rPr>
          <w:rFonts w:ascii="Century Gothic" w:hAnsi="Century Gothic" w:eastAsia="Batang" w:cs="Arial"/>
          <w:i/>
          <w:iCs/>
          <w:lang w:eastAsia="es-ES"/>
        </w:rPr>
      </w:pPr>
      <w:r w:rsidRPr="0069511D">
        <w:rPr>
          <w:rFonts w:ascii="Century Gothic" w:hAnsi="Century Gothic" w:cs="Arial"/>
          <w:iCs/>
          <w:lang w:val="es-ES_tradnl"/>
        </w:rPr>
        <w:t>En tal sentido, es importante destacar que la cláusula penal es un elemento accidental en los contratos estatales, porque se pacta de común acuerdo por las partes, de conformidad con el principio de la autonomía de la voluntad, al que remiten los artículos 13, 32 y 40 de la Ley 80 de 1993. Al respecto, la doctrina expresa: “</w:t>
      </w:r>
      <w:r w:rsidRPr="0069511D">
        <w:rPr>
          <w:rFonts w:ascii="Century Gothic" w:hAnsi="Century Gothic" w:cs="Arial"/>
          <w:i/>
          <w:lang w:val="es-ES_tradnl"/>
        </w:rPr>
        <w:t>La cláusula penal pecuniaria se constituye en una tasación anticipada de perjuicios ocasionados por el incumplimiento del deudor de la obligación principal del contrato […]”</w:t>
      </w:r>
      <w:r w:rsidRPr="0069511D">
        <w:rPr>
          <w:rStyle w:val="Refdenotaalpie"/>
          <w:rFonts w:ascii="Century Gothic" w:hAnsi="Century Gothic" w:cs="Arial"/>
          <w:i/>
          <w:lang w:val="es-ES_tradnl"/>
        </w:rPr>
        <w:footnoteReference w:id="11"/>
      </w:r>
      <w:r w:rsidRPr="0069511D">
        <w:rPr>
          <w:rFonts w:ascii="Century Gothic" w:hAnsi="Century Gothic" w:cs="Arial"/>
          <w:i/>
          <w:lang w:val="es-ES_tradnl"/>
        </w:rPr>
        <w:t>.</w:t>
      </w:r>
      <w:r w:rsidRPr="0069511D">
        <w:rPr>
          <w:rFonts w:ascii="Century Gothic" w:hAnsi="Century Gothic" w:cs="Arial"/>
          <w:iCs/>
          <w:lang w:val="es-ES_tradnl"/>
        </w:rPr>
        <w:t xml:space="preserve"> </w:t>
      </w:r>
      <w:r w:rsidRPr="0069511D">
        <w:rPr>
          <w:rFonts w:ascii="Century Gothic" w:hAnsi="Century Gothic" w:cs="Arial"/>
          <w:lang w:val="es-ES" w:eastAsia="x-none"/>
        </w:rPr>
        <w:t>Asimismo, El Consejo de Estado plantea que:</w:t>
      </w:r>
      <w:r w:rsidRPr="0069511D">
        <w:rPr>
          <w:rFonts w:ascii="Century Gothic" w:hAnsi="Century Gothic" w:cs="Arial"/>
          <w:iCs/>
          <w:lang w:val="es-ES_tradnl"/>
        </w:rPr>
        <w:t xml:space="preserve"> “</w:t>
      </w:r>
      <w:r w:rsidRPr="0069511D">
        <w:rPr>
          <w:rFonts w:ascii="Century Gothic" w:hAnsi="Century Gothic" w:eastAsia="Batang" w:cs="Arial"/>
          <w:i/>
          <w:iCs/>
          <w:lang w:eastAsia="es-ES"/>
        </w:rPr>
        <w:t>Con la imposición y ejecución de la cláusula penal se penaliza al contratista, por el incumplimiento grave del contrato, constituyendo una verdadera indemnización, que aunque parcial es definitiva, pues con ella se resarcen los perjuicios, o parte de ellos, a favor de la parte que ha cumplido el negocio</w:t>
      </w:r>
      <w:r w:rsidRPr="0069511D">
        <w:rPr>
          <w:rFonts w:ascii="Century Gothic" w:hAnsi="Century Gothic" w:cs="Arial"/>
          <w:i/>
          <w:iCs/>
          <w:lang w:val="es-ES_tradnl"/>
        </w:rPr>
        <w:t>”</w:t>
      </w:r>
      <w:r w:rsidRPr="0069511D">
        <w:rPr>
          <w:rFonts w:ascii="Century Gothic" w:hAnsi="Century Gothic" w:eastAsia="Batang" w:cs="Arial"/>
          <w:i/>
          <w:iCs/>
          <w:vertAlign w:val="superscript"/>
          <w:lang w:eastAsia="es-ES"/>
        </w:rPr>
        <w:footnoteReference w:id="12"/>
      </w:r>
      <w:r w:rsidRPr="0069511D">
        <w:rPr>
          <w:rFonts w:ascii="Century Gothic" w:hAnsi="Century Gothic" w:eastAsia="Batang" w:cs="Arial"/>
          <w:i/>
          <w:iCs/>
          <w:lang w:eastAsia="es-ES"/>
        </w:rPr>
        <w:t>.</w:t>
      </w:r>
    </w:p>
    <w:p w:rsidRPr="00E655F3" w:rsidR="00CB1A55" w:rsidP="00CB1A55" w:rsidRDefault="00CB1A55" w14:paraId="5E8E229C" w14:textId="77777777">
      <w:pPr>
        <w:spacing w:line="276" w:lineRule="auto"/>
        <w:ind w:firstLine="709"/>
        <w:jc w:val="both"/>
        <w:rPr>
          <w:rFonts w:ascii="Century Gothic" w:hAnsi="Century Gothic" w:eastAsia="Batang" w:cs="Arial"/>
          <w:lang w:eastAsia="es-ES"/>
        </w:rPr>
      </w:pPr>
    </w:p>
    <w:p w:rsidRPr="00C72DB0" w:rsidR="00CB1A55" w:rsidP="00CB1A55" w:rsidRDefault="00CB1A55" w14:paraId="0DD29FC1" w14:textId="77777777">
      <w:pPr>
        <w:spacing w:line="276" w:lineRule="auto"/>
        <w:jc w:val="both"/>
        <w:rPr>
          <w:rFonts w:ascii="Century Gothic" w:hAnsi="Century Gothic" w:cs="Arial"/>
        </w:rPr>
      </w:pPr>
      <w:r w:rsidRPr="0069511D">
        <w:rPr>
          <w:rFonts w:ascii="Century Gothic" w:hAnsi="Century Gothic" w:cs="Arial"/>
          <w:b/>
          <w:bCs/>
        </w:rPr>
        <w:t>2.2.</w:t>
      </w:r>
      <w:r w:rsidRPr="0069511D">
        <w:rPr>
          <w:rFonts w:ascii="Century Gothic" w:hAnsi="Century Gothic" w:cs="Arial"/>
        </w:rPr>
        <w:t xml:space="preserve"> </w:t>
      </w:r>
      <w:r w:rsidRPr="0069511D">
        <w:rPr>
          <w:rFonts w:ascii="Century Gothic" w:hAnsi="Century Gothic" w:cs="Arial"/>
          <w:b/>
          <w:bCs/>
          <w:iCs/>
          <w:color w:val="000000" w:themeColor="text1"/>
          <w:lang w:val="es-ES_tradnl"/>
        </w:rPr>
        <w:t>Procedimiento administrativo sancionatorio contractual</w:t>
      </w:r>
      <w:r>
        <w:rPr>
          <w:rFonts w:ascii="Century Gothic" w:hAnsi="Century Gothic" w:cs="Arial"/>
          <w:b/>
          <w:bCs/>
          <w:iCs/>
          <w:color w:val="000000" w:themeColor="text1"/>
          <w:lang w:val="es-ES_tradnl"/>
        </w:rPr>
        <w:t>,</w:t>
      </w:r>
      <w:r w:rsidRPr="0069511D">
        <w:rPr>
          <w:rFonts w:ascii="Century Gothic" w:hAnsi="Century Gothic" w:cs="Arial"/>
          <w:b/>
          <w:bCs/>
          <w:iCs/>
          <w:color w:val="000000" w:themeColor="text1"/>
          <w:lang w:val="es-ES_tradnl"/>
        </w:rPr>
        <w:t xml:space="preserve"> </w:t>
      </w:r>
      <w:r>
        <w:rPr>
          <w:rFonts w:ascii="Century Gothic" w:hAnsi="Century Gothic" w:cs="Arial"/>
          <w:b/>
          <w:bCs/>
          <w:iCs/>
          <w:color w:val="000000" w:themeColor="text1"/>
          <w:lang w:val="es-ES_tradnl"/>
        </w:rPr>
        <w:t>a</w:t>
      </w:r>
      <w:r w:rsidRPr="0069511D">
        <w:rPr>
          <w:rFonts w:ascii="Century Gothic" w:hAnsi="Century Gothic" w:cs="Arial"/>
          <w:b/>
          <w:bCs/>
          <w:iCs/>
          <w:color w:val="000000" w:themeColor="text1"/>
          <w:lang w:val="es-ES_tradnl"/>
        </w:rPr>
        <w:t>rtículo 86 de la Ley 1474 de 201</w:t>
      </w:r>
      <w:r>
        <w:rPr>
          <w:rFonts w:ascii="Century Gothic" w:hAnsi="Century Gothic" w:cs="Arial"/>
          <w:b/>
          <w:bCs/>
          <w:iCs/>
          <w:color w:val="000000" w:themeColor="text1"/>
          <w:lang w:val="es-ES_tradnl"/>
        </w:rPr>
        <w:t xml:space="preserve">1 </w:t>
      </w:r>
    </w:p>
    <w:p w:rsidRPr="0069511D" w:rsidR="00CB1A55" w:rsidP="00CB1A55" w:rsidRDefault="00CB1A55" w14:paraId="644763DC" w14:textId="77777777">
      <w:pPr>
        <w:spacing w:after="120" w:line="276" w:lineRule="auto"/>
        <w:jc w:val="both"/>
        <w:rPr>
          <w:rFonts w:ascii="Century Gothic" w:hAnsi="Century Gothic" w:cs="Arial"/>
          <w:iCs/>
          <w:color w:val="000000" w:themeColor="text1"/>
          <w:lang w:val="es-ES_tradnl"/>
        </w:rPr>
      </w:pPr>
      <w:r w:rsidRPr="0069511D">
        <w:rPr>
          <w:rFonts w:ascii="Century Gothic" w:hAnsi="Century Gothic" w:cs="Arial"/>
          <w:iCs/>
          <w:color w:val="000000" w:themeColor="text1"/>
          <w:lang w:val="es-ES_tradnl"/>
        </w:rPr>
        <w:t xml:space="preserve">El artículo 86 de la Ley 1474 de 2011 establece las reglas de procedimiento, mediante las cuales se materializan los derechos y garantías derivadas del debido proceso, para su aplicación concreta en materia sancionatoria contractual. De conformidad con esta disposición, las “entidades sometidas al Estatuto General de Contratación de la Administración Pública podrán declarar el incumplimiento […]. Para tal efecto observarán el siguiente procedimiento”. </w:t>
      </w:r>
    </w:p>
    <w:p w:rsidRPr="0069511D" w:rsidR="00CB1A55" w:rsidP="00CB1A55" w:rsidRDefault="00CB1A55" w14:paraId="21CEEA55" w14:textId="77777777">
      <w:pPr>
        <w:spacing w:after="120" w:line="276" w:lineRule="auto"/>
        <w:ind w:firstLine="709"/>
        <w:jc w:val="both"/>
        <w:rPr>
          <w:rFonts w:ascii="Century Gothic" w:hAnsi="Century Gothic" w:cs="Arial"/>
          <w:iCs/>
          <w:color w:val="000000" w:themeColor="text1"/>
          <w:lang w:val="es-ES_tradnl"/>
        </w:rPr>
      </w:pPr>
      <w:r w:rsidRPr="0069511D">
        <w:rPr>
          <w:rFonts w:ascii="Century Gothic" w:hAnsi="Century Gothic" w:cs="Arial"/>
          <w:iCs/>
          <w:color w:val="000000" w:themeColor="text1"/>
          <w:lang w:val="es-ES_tradnl"/>
        </w:rPr>
        <w:t>Cabe destacar que esta norma no cualifica o se circunscribe a ciertos tipos de incumplimiento. En consecuencia, la declaratoria de cualquier incumplimiento, sea total o parcial, o independiente de su gravedad, debe realizarse con plena observancia de las reglas procedimentales del artículo 86 de la Ley 1474 de 2011. Esto es así como consecuencia del “principio general de interpretación jurídica según el cual donde la norma no distingue, no le corresponde distinguir al intérprete”</w:t>
      </w:r>
      <w:r w:rsidRPr="0069511D">
        <w:rPr>
          <w:rFonts w:ascii="Century Gothic" w:hAnsi="Century Gothic" w:cs="Arial"/>
          <w:vertAlign w:val="superscript"/>
          <w:lang w:val="es-ES_tradnl"/>
        </w:rPr>
        <w:footnoteReference w:id="13"/>
      </w:r>
      <w:r w:rsidRPr="0069511D">
        <w:rPr>
          <w:rFonts w:ascii="Century Gothic" w:hAnsi="Century Gothic" w:cs="Arial"/>
          <w:iCs/>
          <w:color w:val="000000" w:themeColor="text1"/>
          <w:lang w:val="es-ES_tradnl"/>
        </w:rPr>
        <w:t xml:space="preserve">. A la misma conclusión se llega si se tiene en consideración la necesidad de respetar el debido proceso en “todas las actuaciones administrativas” como lo ordena el artículo 29 superior. </w:t>
      </w:r>
    </w:p>
    <w:p w:rsidRPr="0069511D" w:rsidR="00CB1A55" w:rsidP="00CB1A55" w:rsidRDefault="00CB1A55" w14:paraId="1A007894" w14:textId="77777777">
      <w:pPr>
        <w:spacing w:after="120" w:line="276" w:lineRule="auto"/>
        <w:ind w:firstLine="709"/>
        <w:jc w:val="both"/>
        <w:rPr>
          <w:rFonts w:ascii="Century Gothic" w:hAnsi="Century Gothic" w:cs="Arial"/>
          <w:iCs/>
          <w:color w:val="000000" w:themeColor="text1"/>
          <w:lang w:val="es-ES_tradnl"/>
        </w:rPr>
      </w:pPr>
      <w:r w:rsidRPr="0069511D">
        <w:rPr>
          <w:rFonts w:ascii="Century Gothic" w:hAnsi="Century Gothic" w:cs="Arial"/>
          <w:iCs/>
          <w:color w:val="000000" w:themeColor="text1"/>
          <w:lang w:val="es-ES_tradnl"/>
        </w:rPr>
        <w:t>De conformidad con lo anterior, el artículo 86 de la Ley 1474 de 2011 establece las etapas del procedimiento que se deben seguir, las cuales se sintetizan, de forma esquemática, así:  i) c</w:t>
      </w:r>
      <w:r w:rsidRPr="0069511D">
        <w:rPr>
          <w:rFonts w:ascii="Century Gothic" w:hAnsi="Century Gothic" w:cs="Arial"/>
          <w:i/>
          <w:iCs/>
          <w:color w:val="000000" w:themeColor="text1"/>
          <w:lang w:val="es-ES_tradnl"/>
        </w:rPr>
        <w:t>itación a audiencia</w:t>
      </w:r>
      <w:r w:rsidRPr="0069511D">
        <w:rPr>
          <w:rFonts w:ascii="Century Gothic" w:hAnsi="Century Gothic" w:cs="Arial"/>
          <w:iCs/>
          <w:color w:val="000000" w:themeColor="text1"/>
          <w:lang w:val="es-ES_tradnl"/>
        </w:rPr>
        <w:t xml:space="preserve">. Es necesario remitir una citación a audiencia al contratista y al garante –cuando proceda–, cuyo contenido de señalará más adelante. ii) </w:t>
      </w:r>
      <w:r w:rsidRPr="0069511D">
        <w:rPr>
          <w:rFonts w:ascii="Century Gothic" w:hAnsi="Century Gothic" w:cs="Arial"/>
          <w:i/>
          <w:iCs/>
          <w:color w:val="000000" w:themeColor="text1"/>
          <w:lang w:val="es-ES_tradnl"/>
        </w:rPr>
        <w:t>Audiencia</w:t>
      </w:r>
      <w:r w:rsidRPr="0069511D">
        <w:rPr>
          <w:rFonts w:ascii="Century Gothic" w:hAnsi="Century Gothic" w:cs="Arial"/>
          <w:iCs/>
          <w:color w:val="000000" w:themeColor="text1"/>
          <w:lang w:val="es-ES_tradnl"/>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iii) </w:t>
      </w:r>
      <w:r w:rsidRPr="0069511D">
        <w:rPr>
          <w:rFonts w:ascii="Century Gothic" w:hAnsi="Century Gothic" w:cs="Arial"/>
          <w:i/>
          <w:iCs/>
          <w:color w:val="000000" w:themeColor="text1"/>
          <w:lang w:val="es-ES_tradnl"/>
        </w:rPr>
        <w:t>Decisión</w:t>
      </w:r>
      <w:r w:rsidRPr="0069511D">
        <w:rPr>
          <w:rFonts w:ascii="Century Gothic" w:hAnsi="Century Gothic" w:cs="Arial"/>
          <w:iCs/>
          <w:color w:val="000000" w:themeColor="text1"/>
          <w:lang w:val="es-ES_tradnl"/>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llegue a efectuarse.</w:t>
      </w:r>
    </w:p>
    <w:p w:rsidRPr="0069511D" w:rsidR="00CB1A55" w:rsidP="00CB1A55" w:rsidRDefault="00CB1A55" w14:paraId="1F1E7400" w14:textId="77777777">
      <w:pPr>
        <w:spacing w:line="276" w:lineRule="auto"/>
        <w:ind w:firstLine="709"/>
        <w:jc w:val="both"/>
        <w:rPr>
          <w:rFonts w:ascii="Century Gothic" w:hAnsi="Century Gothic" w:eastAsia="Calibri" w:cs="Arial"/>
          <w:color w:val="000000" w:themeColor="text1"/>
          <w:lang w:val="es-ES_tradnl"/>
        </w:rPr>
      </w:pPr>
      <w:r w:rsidRPr="0069511D">
        <w:rPr>
          <w:rFonts w:ascii="Century Gothic" w:hAnsi="Century Gothic" w:cs="Arial"/>
          <w:iCs/>
          <w:color w:val="000000" w:themeColor="text1"/>
          <w:lang w:val="es-ES_tradnl"/>
        </w:rPr>
        <w:t>Como precisión previa, vale la pena aclarar que e</w:t>
      </w:r>
      <w:r w:rsidRPr="0069511D">
        <w:rPr>
          <w:rFonts w:ascii="Century Gothic" w:hAnsi="Century Gothic" w:eastAsia="Calibri" w:cs="Arial"/>
          <w:color w:val="000000" w:themeColor="text1"/>
          <w:lang w:val="es-ES_tradnl"/>
        </w:rPr>
        <w:t>l artículo 86 de la Ley 1474 de 2011 regula un procedimiento administrativo sancionatorio dirigido a sujetos específicos: las entidades sometidas al Estatuto General de Contratación de la Administración Pública</w:t>
      </w:r>
      <w:r w:rsidRPr="0069511D">
        <w:rPr>
          <w:rStyle w:val="Refdenotaalpie"/>
          <w:rFonts w:ascii="Century Gothic" w:hAnsi="Century Gothic" w:eastAsia="Calibri" w:cs="Arial"/>
          <w:color w:val="000000" w:themeColor="text1"/>
          <w:lang w:val="es-ES_tradnl"/>
        </w:rPr>
        <w:footnoteReference w:id="14"/>
      </w:r>
      <w:r w:rsidRPr="0069511D">
        <w:rPr>
          <w:rFonts w:ascii="Century Gothic" w:hAnsi="Century Gothic" w:eastAsia="Calibri" w:cs="Arial"/>
          <w:color w:val="000000" w:themeColor="text1"/>
          <w:lang w:val="es-ES_tradnl"/>
        </w:rPr>
        <w:t xml:space="preserve">. De ahí que las entidades de </w:t>
      </w:r>
      <w:r w:rsidRPr="0069511D">
        <w:rPr>
          <w:rFonts w:ascii="Century Gothic" w:hAnsi="Century Gothic" w:eastAsia="Calibri" w:cs="Arial"/>
          <w:i/>
          <w:iCs/>
          <w:color w:val="000000" w:themeColor="text1"/>
          <w:lang w:val="es-ES_tradnl"/>
        </w:rPr>
        <w:t>régimen especial</w:t>
      </w:r>
      <w:r w:rsidRPr="0069511D">
        <w:rPr>
          <w:rStyle w:val="Refdenotaalpie"/>
          <w:rFonts w:ascii="Century Gothic" w:hAnsi="Century Gothic" w:eastAsia="Calibri" w:cs="Arial"/>
          <w:i/>
          <w:iCs/>
          <w:color w:val="000000" w:themeColor="text1"/>
          <w:lang w:val="es-ES_tradnl"/>
        </w:rPr>
        <w:footnoteReference w:id="15"/>
      </w:r>
      <w:r w:rsidRPr="0069511D">
        <w:rPr>
          <w:rFonts w:ascii="Century Gothic" w:hAnsi="Century Gothic" w:eastAsia="Calibri" w:cs="Arial"/>
          <w:color w:val="000000" w:themeColor="text1"/>
          <w:lang w:val="es-ES_tradnl"/>
        </w:rPr>
        <w:t xml:space="preserve"> en materia contractual no pueden aplicar el procedimiento administrativo sancionatorio regulado en el artículo 86 de la Ley 1474 de 2011, al no ser entidades sometidas al Estatuto General de Contratación de la Administración Pública, sino, por el contrario, entidades exceptuadas de este</w:t>
      </w:r>
      <w:r w:rsidRPr="0069511D">
        <w:rPr>
          <w:rStyle w:val="Refdenotaalpie"/>
          <w:rFonts w:ascii="Century Gothic" w:hAnsi="Century Gothic" w:eastAsia="Calibri" w:cs="Arial"/>
          <w:color w:val="000000" w:themeColor="text1"/>
          <w:lang w:val="es-ES_tradnl"/>
        </w:rPr>
        <w:footnoteReference w:id="16"/>
      </w:r>
      <w:r w:rsidRPr="0069511D">
        <w:rPr>
          <w:rFonts w:ascii="Century Gothic" w:hAnsi="Century Gothic" w:eastAsia="Calibri" w:cs="Arial"/>
          <w:color w:val="000000" w:themeColor="text1"/>
          <w:lang w:val="es-ES_tradnl"/>
        </w:rPr>
        <w:t>. La norma indicada desarrolla el procedimiento de la siguiente manera:</w:t>
      </w:r>
    </w:p>
    <w:p w:rsidRPr="00E655F3" w:rsidR="00CB1A55" w:rsidP="00CB1A55" w:rsidRDefault="00CB1A55" w14:paraId="6E54DA3F" w14:textId="77777777">
      <w:pPr>
        <w:pStyle w:val="Prrafodelista"/>
        <w:ind w:left="709" w:right="709"/>
        <w:jc w:val="both"/>
        <w:rPr>
          <w:rFonts w:ascii="Century Gothic" w:hAnsi="Century Gothic" w:cs="Arial"/>
          <w:color w:val="000000" w:themeColor="text1"/>
          <w:sz w:val="20"/>
          <w:szCs w:val="20"/>
          <w:lang w:val="es-ES_tradnl"/>
        </w:rPr>
      </w:pPr>
      <w:bookmarkStart w:name="86" w:id="6"/>
      <w:r w:rsidRPr="00E655F3">
        <w:rPr>
          <w:rFonts w:ascii="Century Gothic" w:hAnsi="Century Gothic" w:cs="Arial"/>
          <w:color w:val="000000" w:themeColor="text1"/>
          <w:sz w:val="20"/>
          <w:szCs w:val="20"/>
          <w:lang w:val="es-ES_tradnl"/>
        </w:rPr>
        <w:t>“Artículo 86. Imposición de multas, sanciones y declaratorias de incumplimiento.</w:t>
      </w:r>
      <w:bookmarkEnd w:id="6"/>
      <w:r w:rsidRPr="00E655F3">
        <w:rPr>
          <w:rFonts w:ascii="Century Gothic" w:hAnsi="Century Gothic" w:cs="Arial"/>
          <w:color w:val="000000" w:themeColor="text1"/>
          <w:sz w:val="20"/>
          <w:szCs w:val="20"/>
          <w:lang w:val="es-ES_tradnl"/>
        </w:rPr>
        <w:t>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w:t>
      </w:r>
    </w:p>
    <w:p w:rsidRPr="00E655F3" w:rsidR="00CB1A55" w:rsidP="00CB1A55" w:rsidRDefault="00CB1A55" w14:paraId="48459035" w14:textId="77777777">
      <w:pPr>
        <w:pStyle w:val="Prrafodelista"/>
        <w:ind w:left="709" w:right="709"/>
        <w:jc w:val="both"/>
        <w:rPr>
          <w:rFonts w:ascii="Century Gothic" w:hAnsi="Century Gothic" w:cs="Arial"/>
          <w:color w:val="000000" w:themeColor="text1"/>
          <w:sz w:val="20"/>
          <w:szCs w:val="20"/>
          <w:lang w:val="es-ES_tradnl"/>
        </w:rPr>
      </w:pPr>
    </w:p>
    <w:p w:rsidRPr="00E655F3" w:rsidR="00CB1A55" w:rsidP="00CB1A55" w:rsidRDefault="00CB1A55" w14:paraId="2FBA1BB2" w14:textId="77777777">
      <w:pPr>
        <w:pStyle w:val="Prrafodelista"/>
        <w:ind w:left="709" w:right="709"/>
        <w:jc w:val="both"/>
        <w:rPr>
          <w:rFonts w:ascii="Century Gothic" w:hAnsi="Century Gothic" w:cs="Arial"/>
          <w:color w:val="000000" w:themeColor="text1"/>
          <w:sz w:val="20"/>
          <w:szCs w:val="20"/>
          <w:lang w:val="es-ES_tradnl"/>
        </w:rPr>
      </w:pPr>
      <w:r w:rsidRPr="00E655F3">
        <w:rPr>
          <w:rFonts w:ascii="Century Gothic" w:hAnsi="Century Gothic" w:cs="Arial"/>
          <w:color w:val="000000" w:themeColor="text1"/>
          <w:sz w:val="20"/>
          <w:szCs w:val="20"/>
          <w:lang w:val="es-ES_tradnl"/>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rsidRPr="00E655F3" w:rsidR="00CB1A55" w:rsidP="00CB1A55" w:rsidRDefault="00CB1A55" w14:paraId="11C5385C" w14:textId="77777777">
      <w:pPr>
        <w:pStyle w:val="Prrafodelista"/>
        <w:ind w:left="709" w:right="709"/>
        <w:jc w:val="both"/>
        <w:rPr>
          <w:rFonts w:ascii="Century Gothic" w:hAnsi="Century Gothic"/>
          <w:sz w:val="20"/>
          <w:szCs w:val="20"/>
          <w:lang w:val="es-ES_tradnl"/>
        </w:rPr>
      </w:pPr>
    </w:p>
    <w:p w:rsidRPr="00E655F3" w:rsidR="00CB1A55" w:rsidP="00CB1A55" w:rsidRDefault="00CB1A55" w14:paraId="560FD9D8" w14:textId="77777777">
      <w:pPr>
        <w:pStyle w:val="Prrafodelista"/>
        <w:ind w:left="709" w:right="709"/>
        <w:jc w:val="both"/>
        <w:rPr>
          <w:rFonts w:ascii="Century Gothic" w:hAnsi="Century Gothic" w:cs="Arial"/>
          <w:color w:val="000000" w:themeColor="text1"/>
          <w:sz w:val="20"/>
          <w:szCs w:val="20"/>
          <w:lang w:val="es-ES_tradnl"/>
        </w:rPr>
      </w:pPr>
      <w:r w:rsidRPr="00E655F3">
        <w:rPr>
          <w:rFonts w:ascii="Century Gothic" w:hAnsi="Century Gothic" w:cs="Arial"/>
          <w:color w:val="000000" w:themeColor="text1"/>
          <w:sz w:val="20"/>
          <w:szCs w:val="20"/>
          <w:lang w:val="es-ES_tradnl"/>
        </w:rPr>
        <w:t>b)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rsidRPr="00E655F3" w:rsidR="00CB1A55" w:rsidP="00CB1A55" w:rsidRDefault="00CB1A55" w14:paraId="392504B1" w14:textId="77777777">
      <w:pPr>
        <w:pStyle w:val="Prrafodelista"/>
        <w:ind w:left="709" w:right="709"/>
        <w:jc w:val="both"/>
        <w:rPr>
          <w:rFonts w:ascii="Century Gothic" w:hAnsi="Century Gothic" w:cs="Arial"/>
          <w:color w:val="000000" w:themeColor="text1"/>
          <w:sz w:val="20"/>
          <w:szCs w:val="20"/>
          <w:lang w:val="es-ES_tradnl"/>
        </w:rPr>
      </w:pPr>
    </w:p>
    <w:p w:rsidRPr="00E655F3" w:rsidR="00CB1A55" w:rsidP="00CB1A55" w:rsidRDefault="00CB1A55" w14:paraId="5C31D03E" w14:textId="77777777">
      <w:pPr>
        <w:pStyle w:val="Prrafodelista"/>
        <w:ind w:left="709" w:right="709"/>
        <w:jc w:val="both"/>
        <w:rPr>
          <w:rFonts w:ascii="Century Gothic" w:hAnsi="Century Gothic" w:cs="Arial"/>
          <w:color w:val="000000" w:themeColor="text1"/>
          <w:sz w:val="20"/>
          <w:szCs w:val="20"/>
          <w:lang w:val="es-ES_tradnl"/>
        </w:rPr>
      </w:pPr>
      <w:r w:rsidRPr="00E655F3">
        <w:rPr>
          <w:rFonts w:ascii="Century Gothic" w:hAnsi="Century Gothic" w:cs="Arial"/>
          <w:color w:val="000000" w:themeColor="text1"/>
          <w:sz w:val="20"/>
          <w:szCs w:val="20"/>
          <w:lang w:val="es-ES_tradnl"/>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rsidRPr="00E655F3" w:rsidR="00CB1A55" w:rsidP="00CB1A55" w:rsidRDefault="00CB1A55" w14:paraId="7E0EC179" w14:textId="77777777">
      <w:pPr>
        <w:pStyle w:val="Prrafodelista"/>
        <w:ind w:left="709" w:right="709"/>
        <w:jc w:val="both"/>
        <w:rPr>
          <w:rFonts w:ascii="Century Gothic" w:hAnsi="Century Gothic" w:cs="Arial"/>
          <w:color w:val="000000" w:themeColor="text1"/>
          <w:sz w:val="20"/>
          <w:szCs w:val="20"/>
          <w:lang w:val="es-ES_tradnl"/>
        </w:rPr>
      </w:pPr>
    </w:p>
    <w:p w:rsidRPr="00E655F3" w:rsidR="00CB1A55" w:rsidP="00CB1A55" w:rsidRDefault="00CB1A55" w14:paraId="17212ED4" w14:textId="77777777">
      <w:pPr>
        <w:pStyle w:val="Prrafodelista"/>
        <w:ind w:left="709" w:right="709"/>
        <w:jc w:val="both"/>
        <w:rPr>
          <w:rFonts w:ascii="Century Gothic" w:hAnsi="Century Gothic" w:cs="Arial"/>
          <w:color w:val="000000" w:themeColor="text1"/>
          <w:sz w:val="20"/>
          <w:szCs w:val="20"/>
          <w:lang w:val="es-ES_tradnl"/>
        </w:rPr>
      </w:pPr>
      <w:r w:rsidRPr="00E655F3">
        <w:rPr>
          <w:rFonts w:ascii="Century Gothic" w:hAnsi="Century Gothic" w:cs="Arial"/>
          <w:color w:val="000000" w:themeColor="text1"/>
          <w:sz w:val="20"/>
          <w:szCs w:val="20"/>
          <w:lang w:val="es-ES_tradnl"/>
        </w:rPr>
        <w:t>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rsidR="00CB1A55" w:rsidDel="00EA01D4" w:rsidP="00CB1A55" w:rsidRDefault="00CB1A55" w14:paraId="6F0E35D5" w14:textId="77777777">
      <w:pPr>
        <w:spacing w:line="276" w:lineRule="auto"/>
        <w:ind w:firstLine="709"/>
        <w:jc w:val="both"/>
        <w:rPr>
          <w:rFonts w:ascii="Century Gothic" w:hAnsi="Century Gothic" w:eastAsia="Calibri" w:cs="Arial"/>
          <w:color w:val="000000" w:themeColor="text1"/>
          <w:lang w:val="es-ES_tradnl"/>
        </w:rPr>
      </w:pPr>
    </w:p>
    <w:p w:rsidR="00CB1A55" w:rsidP="00CB1A55" w:rsidRDefault="00CB1A55" w14:paraId="0F341CC6" w14:textId="77777777">
      <w:pPr>
        <w:spacing w:after="120" w:line="276" w:lineRule="auto"/>
        <w:ind w:firstLine="709"/>
        <w:jc w:val="both"/>
        <w:rPr>
          <w:rFonts w:ascii="Century Gothic" w:hAnsi="Century Gothic" w:eastAsia="Calibri" w:cs="Arial"/>
          <w:color w:val="000000" w:themeColor="text1"/>
          <w:lang w:val="es-ES_tradnl"/>
        </w:rPr>
      </w:pPr>
      <w:r w:rsidRPr="00E45302">
        <w:rPr>
          <w:rFonts w:ascii="Century Gothic" w:hAnsi="Century Gothic" w:eastAsia="Calibri" w:cs="Arial"/>
          <w:color w:val="000000" w:themeColor="text1"/>
          <w:lang w:val="es-ES_tradnl"/>
        </w:rPr>
        <w:t xml:space="preserve">Como se observa, la citación a la audiencia debe cumplir mínimamente los siguientes aspectos: i) señalar los </w:t>
      </w:r>
      <w:r w:rsidRPr="00E45302">
        <w:rPr>
          <w:rFonts w:ascii="Century Gothic" w:hAnsi="Century Gothic" w:eastAsia="Calibri" w:cs="Arial"/>
          <w:i/>
          <w:iCs/>
          <w:color w:val="000000" w:themeColor="text1"/>
          <w:lang w:val="es-ES_tradnl"/>
        </w:rPr>
        <w:t>hechos</w:t>
      </w:r>
      <w:r w:rsidRPr="00E45302">
        <w:rPr>
          <w:rFonts w:ascii="Century Gothic" w:hAnsi="Century Gothic" w:eastAsia="Calibri" w:cs="Arial"/>
          <w:color w:val="000000" w:themeColor="text1"/>
          <w:lang w:val="es-ES_tradnl"/>
        </w:rPr>
        <w:t xml:space="preserve"> que soportan la actuación, en particular la descripción detallada de cuáles son las actuaciones u omisiones del contratista que materializan el incumplimiento de las obligaciones. Además, se deben ii) adjuntar los informes de supervisión o de interventoría que soportan la actuación, donde la entidad fundamenta su decisión de iniciar el procedimiento sancionatorio. Asimismo, iii) lo anterior debe acompañarse de las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vii) deben indicar el lugar, fecha y hora para la realización de la audiencia, sin perjuicio de que esta se pueda efectuar por medios electrónicos</w:t>
      </w:r>
      <w:r w:rsidRPr="00E45302">
        <w:rPr>
          <w:rStyle w:val="Refdenotaalpie"/>
          <w:rFonts w:ascii="Century Gothic" w:hAnsi="Century Gothic" w:eastAsia="Calibri" w:cs="Arial"/>
          <w:color w:val="000000" w:themeColor="text1"/>
          <w:lang w:val="es-ES_tradnl"/>
        </w:rPr>
        <w:footnoteReference w:id="17"/>
      </w:r>
      <w:r w:rsidRPr="00E45302">
        <w:rPr>
          <w:rFonts w:ascii="Century Gothic" w:hAnsi="Century Gothic" w:eastAsia="Calibri" w:cs="Arial"/>
          <w:color w:val="000000" w:themeColor="text1"/>
          <w:lang w:val="es-ES_tradnl"/>
        </w:rPr>
        <w:t>.</w:t>
      </w:r>
    </w:p>
    <w:p w:rsidRPr="00890FCC" w:rsidR="00CB1A55" w:rsidP="00CB1A55" w:rsidRDefault="00CB1A55" w14:paraId="5D409D16" w14:textId="77777777">
      <w:pPr>
        <w:spacing w:after="120" w:line="276" w:lineRule="auto"/>
        <w:ind w:firstLine="708"/>
        <w:jc w:val="both"/>
        <w:rPr>
          <w:rFonts w:ascii="Century Gothic" w:hAnsi="Century Gothic" w:cs="Arial"/>
          <w:iCs/>
          <w:lang w:val="es-ES_tradnl"/>
          <w14:ligatures w14:val="standardContextual"/>
        </w:rPr>
      </w:pPr>
      <w:r w:rsidRPr="00890FCC">
        <w:rPr>
          <w:rFonts w:ascii="Century Gothic" w:hAnsi="Century Gothic" w:eastAsia="Calibri" w:cs="Arial"/>
          <w:lang w:val="es-ES_tradnl"/>
          <w14:ligatures w14:val="standardContextual"/>
        </w:rPr>
        <w:t xml:space="preserve">Conforme lo expuesto, la entidad puede acompañar a la citación de la audiencia, las pruebas adicionales a los informes de supervisión o de interventoría que sirven para acreditar el incumplimiento. </w:t>
      </w:r>
      <w:r w:rsidRPr="00890FCC">
        <w:rPr>
          <w:rFonts w:ascii="Century Gothic" w:hAnsi="Century Gothic" w:eastAsia="Arial" w:cs="Arial"/>
          <w:color w:val="000000" w:themeColor="text1"/>
          <w14:ligatures w14:val="standardContextual"/>
        </w:rPr>
        <w:t xml:space="preserve">Por otro lado, </w:t>
      </w:r>
      <w:r w:rsidRPr="00890FCC">
        <w:rPr>
          <w:rFonts w:ascii="Century Gothic" w:hAnsi="Century Gothic" w:eastAsia="Calibri" w:cs="Arial"/>
          <w:lang w:val="es-ES_tradnl"/>
          <w14:ligatures w14:val="standardContextual"/>
        </w:rPr>
        <w:t xml:space="preserve">debe señalarse que el literal d) del artículo 86 dispone que, en </w:t>
      </w:r>
      <w:r w:rsidRPr="00890FCC">
        <w:rPr>
          <w:rFonts w:ascii="Century Gothic" w:hAnsi="Century Gothic" w:cs="Arial"/>
          <w:iCs/>
          <w:lang w:val="es-ES_tradnl"/>
          <w14:ligatures w14:val="standardContextual"/>
        </w:rPr>
        <w:t xml:space="preserve">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 </w:t>
      </w:r>
    </w:p>
    <w:p w:rsidRPr="00890FCC" w:rsidR="00CB1A55" w:rsidP="00CB1A55" w:rsidRDefault="00CB1A55" w14:paraId="12D747EF" w14:textId="77777777">
      <w:pPr>
        <w:spacing w:after="120" w:line="276" w:lineRule="auto"/>
        <w:ind w:firstLine="708"/>
        <w:jc w:val="both"/>
        <w:rPr>
          <w:rFonts w:ascii="Century Gothic" w:hAnsi="Century Gothic" w:cs="Arial"/>
          <w:color w:val="000000"/>
          <w14:ligatures w14:val="standardContextual"/>
        </w:rPr>
      </w:pPr>
      <w:r w:rsidRPr="00890FCC">
        <w:rPr>
          <w:rFonts w:ascii="Century Gothic" w:hAnsi="Century Gothic" w:eastAsia="Arial" w:cs="Arial"/>
          <w:color w:val="000000" w:themeColor="text1"/>
          <w14:ligatures w14:val="standardContextual"/>
        </w:rPr>
        <w:t xml:space="preserve">Sin embargo, se aclara que, para efectos de imponer las multas y sanciones, es necesario dar a conocer dichas pruebas al contratista en garantía de su derecho de defensa, contradicción, y al debido proceso que consagra el artículo 29 de la Constitución Política de 1991. </w:t>
      </w:r>
      <w:r w:rsidRPr="00890FCC">
        <w:rPr>
          <w:rFonts w:ascii="Century Gothic" w:hAnsi="Century Gothic" w:cs="Arial"/>
          <w:color w:val="000000"/>
          <w14:ligatures w14:val="standardContextual"/>
        </w:rPr>
        <w:t xml:space="preserve">Al respecto, es importante indicar que el artículo 17 de la Ley 1150 de 2007 dispuso el debido proceso como principio rector de la potestad sancionatoria de la administración en contratación estatal, y el artículo 86 de la Ley 1474 de 2011, como ya lo vimos, reglamentó el procedimiento que deben cumplir las entidades estatales para imponer unilateralmente multas, sanciones, declaratorias de incumplimiento. De la lectura de dichos artículos se observa el querer, por parte del legislador, de que el contratista cuente con un procedimiento sancionatorio contractual que tenga plena garantía al debido proceso. </w:t>
      </w:r>
    </w:p>
    <w:p w:rsidRPr="00890FCC" w:rsidR="00CB1A55" w:rsidP="00CB1A55" w:rsidRDefault="00CB1A55" w14:paraId="67EF67B9" w14:textId="77777777">
      <w:pPr>
        <w:spacing w:after="120" w:line="276" w:lineRule="auto"/>
        <w:ind w:firstLine="709"/>
        <w:jc w:val="both"/>
        <w:rPr>
          <w:rFonts w:ascii="Century Gothic" w:hAnsi="Century Gothic" w:cs="Arial"/>
          <w:color w:val="000000"/>
          <w14:ligatures w14:val="standardContextual"/>
        </w:rPr>
      </w:pPr>
      <w:r w:rsidRPr="00890FCC">
        <w:rPr>
          <w:rFonts w:ascii="Century Gothic" w:hAnsi="Century Gothic" w:cs="Arial"/>
          <w:color w:val="000000"/>
          <w14:ligatures w14:val="standardContextual"/>
        </w:rPr>
        <w:t>La Corte Constitucional en sentencia SU 339 del 4 de mayo de 2011</w:t>
      </w:r>
      <w:r w:rsidRPr="00890FCC">
        <w:rPr>
          <w:rFonts w:ascii="Century Gothic" w:hAnsi="Century Gothic" w:cs="Arial"/>
          <w:color w:val="000000"/>
          <w:vertAlign w:val="superscript"/>
          <w14:ligatures w14:val="standardContextual"/>
        </w:rPr>
        <w:footnoteReference w:id="18"/>
      </w:r>
      <w:r w:rsidRPr="00890FCC">
        <w:rPr>
          <w:rFonts w:ascii="Century Gothic" w:hAnsi="Century Gothic" w:cs="Arial"/>
          <w:color w:val="000000"/>
          <w14:ligatures w14:val="standardContextual"/>
        </w:rPr>
        <w:t xml:space="preserve">, indicó que el derecho al debido proceso, en ciertos casos tiene un </w:t>
      </w:r>
      <w:r w:rsidRPr="00890FCC">
        <w:rPr>
          <w:rFonts w:ascii="Century Gothic" w:hAnsi="Century Gothic" w:cs="Arial"/>
          <w:iCs/>
          <w:color w:val="000000"/>
          <w:lang w:val="es-ES_tradnl"/>
          <w14:ligatures w14:val="standardContextual"/>
        </w:rPr>
        <w:t xml:space="preserve">“carácter instrumental” pues el estricto cumplimiento de “las garantías constitutivas del debido proceso administrativo y de las regulaciones legales que determinan la actuación del poder público, </w:t>
      </w:r>
      <w:r w:rsidRPr="00890FCC">
        <w:rPr>
          <w:rFonts w:ascii="Century Gothic" w:hAnsi="Century Gothic" w:cs="Arial"/>
          <w:i/>
          <w:color w:val="000000"/>
          <w:lang w:val="es-ES_tradnl"/>
          <w14:ligatures w14:val="standardContextual"/>
        </w:rPr>
        <w:t>se deriva la salvaguarda de otros derechos fundamentales</w:t>
      </w:r>
      <w:r w:rsidRPr="00890FCC">
        <w:rPr>
          <w:rFonts w:ascii="Century Gothic" w:hAnsi="Century Gothic" w:cs="Arial"/>
          <w:iCs/>
          <w:color w:val="000000"/>
          <w:lang w:val="es-ES_tradnl"/>
          <w14:ligatures w14:val="standardContextual"/>
        </w:rPr>
        <w:t xml:space="preserve">”. </w:t>
      </w:r>
      <w:r w:rsidRPr="00890FCC">
        <w:rPr>
          <w:rFonts w:ascii="Century Gothic" w:hAnsi="Century Gothic" w:cs="Arial"/>
          <w:color w:val="000000"/>
          <w14:ligatures w14:val="standardContextual"/>
        </w:rPr>
        <w:t>En virtud a ello, el contratista contra quien se adelanta esta clase de procedimiento administrativo sancionatorio cuenta, entre otros, con los siguientes derechos: i) a un procedimiento público; ii) el ser oído antes de la decisión; iii) a la defensa y contradicción; iv) a aportar pruebas y a contradecir las que se alleguen en su contra; iv) que el procedimiento se adelante ante la autoridad competente para conocer del asunto; v) a que se le otorgue un tratamiento igual que el dado a otros particulares; vi)  a que el procedimiento se adelante en un término razonable; y, vii) a que las decisiones sean motivadas, debidamente notificadas y a impugnar las mismas.</w:t>
      </w:r>
    </w:p>
    <w:p w:rsidRPr="00890FCC" w:rsidR="00CB1A55" w:rsidP="00CB1A55" w:rsidRDefault="00CB1A55" w14:paraId="666B247B" w14:textId="77777777">
      <w:pPr>
        <w:spacing w:after="120" w:line="276" w:lineRule="auto"/>
        <w:ind w:firstLine="708"/>
        <w:jc w:val="both"/>
        <w:rPr>
          <w:rFonts w:ascii="Century Gothic" w:hAnsi="Century Gothic" w:cs="Arial"/>
          <w:iCs/>
          <w:color w:val="000000"/>
          <w:lang w:val="es-ES_tradnl"/>
          <w14:ligatures w14:val="standardContextual"/>
        </w:rPr>
      </w:pPr>
      <w:r w:rsidRPr="00890FCC">
        <w:rPr>
          <w:rFonts w:ascii="Century Gothic" w:hAnsi="Century Gothic" w:cs="Arial"/>
          <w:color w:val="000000"/>
          <w14:ligatures w14:val="standardContextual"/>
        </w:rPr>
        <w:t xml:space="preserve"> En fin, el principio al debido proceso busca en materia de contratación estatal </w:t>
      </w:r>
      <w:r w:rsidRPr="00890FCC">
        <w:rPr>
          <w:rFonts w:ascii="Century Gothic" w:hAnsi="Century Gothic" w:cs="Arial"/>
          <w:iCs/>
          <w:color w:val="000000"/>
          <w:lang w:val="es-ES_tradnl"/>
          <w14:ligatures w14:val="standardContextual"/>
        </w:rPr>
        <w:t>“</w:t>
      </w:r>
      <w:r w:rsidRPr="00890FCC">
        <w:rPr>
          <w:rFonts w:ascii="Century Gothic" w:hAnsi="Century Gothic" w:cs="Arial"/>
          <w:i/>
          <w:iCs/>
          <w:color w:val="000000"/>
          <w14:ligatures w14:val="standardContextual"/>
        </w:rPr>
        <w:t>en su interrelación obtener una actuación administrativa coherente a las necedades públicas sin lesionar los intereses individuales en juego</w:t>
      </w:r>
      <w:r w:rsidRPr="00890FCC">
        <w:rPr>
          <w:rFonts w:ascii="Century Gothic" w:hAnsi="Century Gothic" w:cs="Arial"/>
          <w:iCs/>
          <w:color w:val="000000"/>
          <w:lang w:val="es-ES_tradnl"/>
          <w14:ligatures w14:val="standardContextual"/>
        </w:rPr>
        <w:t>”</w:t>
      </w:r>
      <w:r w:rsidRPr="00890FCC">
        <w:rPr>
          <w:rFonts w:ascii="Century Gothic" w:hAnsi="Century Gothic" w:cs="Arial"/>
          <w:iCs/>
          <w:color w:val="000000"/>
          <w:vertAlign w:val="superscript"/>
          <w:lang w:val="es-ES_tradnl"/>
          <w14:ligatures w14:val="standardContextual"/>
        </w:rPr>
        <w:footnoteReference w:id="19"/>
      </w:r>
      <w:r w:rsidRPr="00890FCC">
        <w:rPr>
          <w:rFonts w:ascii="Century Gothic" w:hAnsi="Century Gothic" w:cs="Arial"/>
          <w:iCs/>
          <w:color w:val="000000"/>
          <w:lang w:val="es-ES_tradnl"/>
          <w14:ligatures w14:val="standardContextual"/>
        </w:rPr>
        <w:t>.</w:t>
      </w:r>
      <w:r w:rsidRPr="00890FCC">
        <w:rPr>
          <w:rFonts w:ascii="Century Gothic" w:hAnsi="Century Gothic" w:cs="Arial"/>
          <w:i/>
          <w:iCs/>
          <w:color w:val="000000"/>
          <w14:ligatures w14:val="standardContextual"/>
        </w:rPr>
        <w:t xml:space="preserve"> </w:t>
      </w:r>
      <w:r w:rsidRPr="00890FCC">
        <w:rPr>
          <w:rFonts w:ascii="Century Gothic" w:hAnsi="Century Gothic" w:cs="Arial"/>
          <w:color w:val="000000"/>
          <w14:ligatures w14:val="standardContextual"/>
        </w:rPr>
        <w:t>Al respecto la Corte Constitucional en sentencia T-722 de 2010</w:t>
      </w:r>
      <w:r w:rsidRPr="00890FCC">
        <w:rPr>
          <w:rFonts w:ascii="Century Gothic" w:hAnsi="Century Gothic" w:cs="Arial"/>
          <w:color w:val="000000"/>
          <w:vertAlign w:val="superscript"/>
          <w14:ligatures w14:val="standardContextual"/>
        </w:rPr>
        <w:footnoteReference w:id="20"/>
      </w:r>
      <w:r w:rsidRPr="00890FCC">
        <w:rPr>
          <w:rFonts w:ascii="Century Gothic" w:hAnsi="Century Gothic" w:cs="Arial"/>
          <w:color w:val="000000"/>
          <w14:ligatures w14:val="standardContextual"/>
        </w:rPr>
        <w:t xml:space="preserve"> recordó que el derecho al debido proceso administrativo como la garantía a todas las personas de acceder a un proceso justo y adecuado, permite que </w:t>
      </w:r>
      <w:r w:rsidRPr="00890FCC">
        <w:rPr>
          <w:rFonts w:ascii="Century Gothic" w:hAnsi="Century Gothic" w:cs="Arial"/>
          <w:iCs/>
          <w:color w:val="000000"/>
          <w:lang w:val="es-ES_tradnl"/>
          <w14:ligatures w14:val="standardContextual"/>
        </w:rPr>
        <w:t>“</w:t>
      </w:r>
      <w:r w:rsidRPr="00890FCC">
        <w:rPr>
          <w:rFonts w:ascii="Century Gothic" w:hAnsi="Century Gothic" w:cs="Arial"/>
          <w:i/>
          <w:iCs/>
          <w:color w:val="000000"/>
          <w14:ligatures w14:val="standardContextual"/>
        </w:rPr>
        <w:t>la afectación o la privación de ciertos bienes jurídicos por parte del Estado, no pueda hacerse con detrimento de sus derechos fundamentales</w:t>
      </w:r>
      <w:r w:rsidRPr="00890FCC">
        <w:rPr>
          <w:rFonts w:ascii="Century Gothic" w:hAnsi="Century Gothic" w:cs="Arial"/>
          <w:iCs/>
          <w:color w:val="000000"/>
          <w:lang w:val="es-ES_tradnl"/>
          <w14:ligatures w14:val="standardContextual"/>
        </w:rPr>
        <w:t>”.</w:t>
      </w:r>
    </w:p>
    <w:p w:rsidRPr="00890FCC" w:rsidR="00CB1A55" w:rsidP="00CB1A55" w:rsidRDefault="00CB1A55" w14:paraId="376381B0" w14:textId="77777777">
      <w:pPr>
        <w:spacing w:line="276" w:lineRule="auto"/>
        <w:ind w:firstLine="709"/>
        <w:jc w:val="both"/>
        <w:rPr>
          <w:rFonts w:ascii="Century Gothic" w:hAnsi="Century Gothic" w:eastAsia="Calibri" w:cs="Arial"/>
          <w:color w:val="000000" w:themeColor="text1"/>
          <w:lang w:val="es-ES_tradnl"/>
        </w:rPr>
      </w:pPr>
      <w:r w:rsidRPr="00890FCC">
        <w:rPr>
          <w:rFonts w:ascii="Century Gothic" w:hAnsi="Century Gothic" w:eastAsia="Calibri" w:cs="Arial"/>
          <w:color w:val="000000" w:themeColor="text1"/>
          <w:lang w:val="es-ES_tradnl"/>
        </w:rPr>
        <w:t>Además de lo anterior, pese a que la norma no establece un término mínimo previo entre el momento de la citación y la celebración de la audiencia, con la finalidad de respetar los principios de la función administrativa y el debido proceso, la citación debe otorgar un término razonable y suficiente para que el contratista y la aseguradora se preparen para ella y logren ejercer materialmente su derecho de defensa. En todo caso, la razonabilidad de dicho término dependerá de cada procedimiento y de la complejidad del material probatorio. Sin embargo, como lo expresa la doctrina, el término debe ser razonable y suficiente</w:t>
      </w:r>
      <w:r w:rsidRPr="00890FCC">
        <w:rPr>
          <w:rStyle w:val="Refdenotaalpie"/>
          <w:rFonts w:ascii="Century Gothic" w:hAnsi="Century Gothic" w:eastAsia="Calibri" w:cs="Arial"/>
          <w:color w:val="000000" w:themeColor="text1"/>
          <w:lang w:val="es-ES_tradnl"/>
        </w:rPr>
        <w:footnoteReference w:id="21"/>
      </w:r>
      <w:r w:rsidRPr="00890FCC">
        <w:rPr>
          <w:rFonts w:ascii="Century Gothic" w:hAnsi="Century Gothic" w:eastAsia="Calibri" w:cs="Arial"/>
          <w:color w:val="000000" w:themeColor="text1"/>
          <w:lang w:val="es-ES_tradnl"/>
        </w:rPr>
        <w:t>.</w:t>
      </w:r>
    </w:p>
    <w:p w:rsidR="00CB1A55" w:rsidP="00CB1A55" w:rsidRDefault="00CB1A55" w14:paraId="7F731234" w14:textId="77777777">
      <w:pPr>
        <w:spacing w:after="120" w:line="276" w:lineRule="auto"/>
        <w:jc w:val="both"/>
        <w:rPr>
          <w:rFonts w:ascii="Century Gothic" w:hAnsi="Century Gothic" w:cs="Arial"/>
          <w:b/>
          <w:bCs/>
          <w:iCs/>
          <w:color w:val="000000" w:themeColor="text1"/>
          <w:lang w:val="es-ES_tradnl"/>
        </w:rPr>
      </w:pPr>
      <w:r w:rsidRPr="0069511D">
        <w:rPr>
          <w:rFonts w:ascii="Century Gothic" w:hAnsi="Century Gothic" w:cs="Arial"/>
          <w:b/>
          <w:bCs/>
        </w:rPr>
        <w:t>2.</w:t>
      </w:r>
      <w:r>
        <w:rPr>
          <w:rFonts w:ascii="Century Gothic" w:hAnsi="Century Gothic" w:cs="Arial"/>
          <w:b/>
          <w:bCs/>
        </w:rPr>
        <w:t>3</w:t>
      </w:r>
      <w:r w:rsidRPr="0069511D">
        <w:rPr>
          <w:rFonts w:ascii="Century Gothic" w:hAnsi="Century Gothic" w:cs="Arial"/>
          <w:b/>
          <w:bCs/>
        </w:rPr>
        <w:t>.</w:t>
      </w:r>
      <w:r w:rsidRPr="0069511D">
        <w:rPr>
          <w:rFonts w:ascii="Century Gothic" w:hAnsi="Century Gothic" w:cs="Arial"/>
        </w:rPr>
        <w:t xml:space="preserve"> </w:t>
      </w:r>
      <w:r w:rsidRPr="001B742F">
        <w:rPr>
          <w:rFonts w:ascii="Century Gothic" w:hAnsi="Century Gothic" w:cs="Arial"/>
          <w:b/>
          <w:bCs/>
        </w:rPr>
        <w:t xml:space="preserve">La cláusula penal y el perjuicio </w:t>
      </w:r>
      <w:r>
        <w:rPr>
          <w:rFonts w:ascii="Century Gothic" w:hAnsi="Century Gothic" w:cs="Arial"/>
          <w:b/>
          <w:bCs/>
        </w:rPr>
        <w:t>susceptible de compensación</w:t>
      </w:r>
      <w:r>
        <w:rPr>
          <w:rFonts w:ascii="Century Gothic" w:hAnsi="Century Gothic" w:cs="Arial"/>
        </w:rPr>
        <w:t xml:space="preserve">, </w:t>
      </w:r>
      <w:r>
        <w:rPr>
          <w:rFonts w:ascii="Century Gothic" w:hAnsi="Century Gothic" w:cs="Arial"/>
          <w:b/>
          <w:bCs/>
        </w:rPr>
        <w:t>para la</w:t>
      </w:r>
      <w:r w:rsidRPr="0069511D">
        <w:rPr>
          <w:rFonts w:ascii="Century Gothic" w:hAnsi="Century Gothic" w:cs="Arial"/>
          <w:b/>
          <w:bCs/>
          <w:iCs/>
          <w:color w:val="000000" w:themeColor="text1"/>
          <w:lang w:val="es-ES_tradnl"/>
        </w:rPr>
        <w:t xml:space="preserve"> </w:t>
      </w:r>
      <w:r>
        <w:rPr>
          <w:rFonts w:ascii="Century Gothic" w:hAnsi="Century Gothic" w:cs="Arial"/>
          <w:b/>
          <w:bCs/>
          <w:iCs/>
          <w:color w:val="000000" w:themeColor="text1"/>
          <w:lang w:val="es-ES_tradnl"/>
        </w:rPr>
        <w:t>p</w:t>
      </w:r>
      <w:r w:rsidRPr="0069511D">
        <w:rPr>
          <w:rFonts w:ascii="Century Gothic" w:hAnsi="Century Gothic" w:cs="Arial"/>
          <w:b/>
          <w:bCs/>
          <w:iCs/>
          <w:color w:val="000000" w:themeColor="text1"/>
          <w:lang w:val="es-ES_tradnl"/>
        </w:rPr>
        <w:t xml:space="preserve">roporcionalidad y razonabilidad en la aplicación de la </w:t>
      </w:r>
      <w:r>
        <w:rPr>
          <w:rFonts w:ascii="Century Gothic" w:hAnsi="Century Gothic" w:cs="Arial"/>
          <w:b/>
          <w:bCs/>
          <w:iCs/>
          <w:color w:val="000000" w:themeColor="text1"/>
          <w:lang w:val="es-ES_tradnl"/>
        </w:rPr>
        <w:t>c</w:t>
      </w:r>
      <w:r w:rsidRPr="0069511D">
        <w:rPr>
          <w:rFonts w:ascii="Century Gothic" w:hAnsi="Century Gothic" w:cs="Arial"/>
          <w:b/>
          <w:bCs/>
          <w:iCs/>
          <w:color w:val="000000" w:themeColor="text1"/>
          <w:lang w:val="es-ES_tradnl"/>
        </w:rPr>
        <w:t>láusula y la tasación de perjuicios</w:t>
      </w:r>
    </w:p>
    <w:p w:rsidR="00CB1A55" w:rsidP="00CB1A55" w:rsidRDefault="00CB1A55" w14:paraId="7C8E49DA" w14:textId="77777777">
      <w:pPr>
        <w:spacing w:after="120" w:line="276" w:lineRule="auto"/>
        <w:jc w:val="both"/>
        <w:rPr>
          <w:rFonts w:ascii="Century Gothic" w:hAnsi="Century Gothic" w:cs="Arial"/>
          <w:iCs/>
          <w:lang w:val="es-ES_tradnl"/>
        </w:rPr>
      </w:pPr>
      <w:r>
        <w:rPr>
          <w:rFonts w:ascii="Century Gothic" w:hAnsi="Century Gothic" w:cs="Arial"/>
        </w:rPr>
        <w:t xml:space="preserve">Establecido como ya se dijo en precedencia, que la cláusula penal corresponde a una presunción del perjuicio, o en este contexto, la fijación de una indemnización anticipada de lo que ha de repararse, señalándose que el eventual incumplimiento que ha de declararse, dentro del contexto especial del procedimiento sobre el trámite sancionatorio contractual y la imposición de multas como prerrogativa de la potestad excepcional, conviene precisar, que dichos perjuicios corresponden a cuantías en un carácter compensatorio, como regla general, y no moratorio, pues de disponerse en ese sentido, solo sería con la intención especial de proteger una reparación de un tipo de contrato, cuya demora genere repercusiones en el tiempo. </w:t>
      </w:r>
    </w:p>
    <w:p w:rsidRPr="00890FCC" w:rsidR="00CB1A55" w:rsidP="00CB1A55" w:rsidRDefault="00CB1A55" w14:paraId="79B41EDC" w14:textId="77777777">
      <w:pPr>
        <w:spacing w:after="120" w:line="276" w:lineRule="auto"/>
        <w:ind w:firstLine="709"/>
        <w:jc w:val="both"/>
        <w:rPr>
          <w:rFonts w:ascii="Century Gothic" w:hAnsi="Century Gothic" w:cs="Arial"/>
          <w:iCs/>
          <w:lang w:val="es-ES_tradnl"/>
        </w:rPr>
      </w:pPr>
      <w:r w:rsidRPr="00890FCC">
        <w:rPr>
          <w:rFonts w:ascii="Century Gothic" w:hAnsi="Century Gothic" w:cs="Arial"/>
          <w:iCs/>
          <w:lang w:val="es-ES_tradnl"/>
        </w:rPr>
        <w:t xml:space="preserve">Ahora bien, </w:t>
      </w:r>
      <w:r w:rsidRPr="00E655F3">
        <w:rPr>
          <w:rFonts w:ascii="Century Gothic" w:hAnsi="Century Gothic" w:cs="Arial"/>
          <w:lang w:val="es-ES_tradnl"/>
        </w:rPr>
        <w:t>frente a la tasación de perjuicios</w:t>
      </w:r>
      <w:r w:rsidRPr="00890FCC">
        <w:rPr>
          <w:rFonts w:ascii="Century Gothic" w:hAnsi="Century Gothic" w:cs="Arial"/>
          <w:iCs/>
          <w:lang w:val="es-ES_tradnl"/>
        </w:rPr>
        <w:t xml:space="preserve"> la jurisprudencia del Consejo de Estado ha sostenido que esta es discrecional por parte de la administración, </w:t>
      </w:r>
      <w:r w:rsidRPr="00E655F3">
        <w:rPr>
          <w:rFonts w:ascii="Century Gothic" w:hAnsi="Century Gothic" w:cs="Arial"/>
          <w:lang w:val="es-ES_tradnl"/>
        </w:rPr>
        <w:t>sin embargo, debe ser abordada desde la perspectiva de la proporcionalidad</w:t>
      </w:r>
      <w:r w:rsidRPr="00EA01D4">
        <w:rPr>
          <w:rFonts w:ascii="Century Gothic" w:hAnsi="Century Gothic" w:cs="Arial"/>
          <w:bCs/>
          <w:iCs/>
          <w:lang w:val="es-ES_tradnl"/>
        </w:rPr>
        <w:t>. El</w:t>
      </w:r>
      <w:r w:rsidRPr="00890FCC">
        <w:rPr>
          <w:rFonts w:ascii="Century Gothic" w:hAnsi="Century Gothic" w:cs="Arial"/>
          <w:iCs/>
          <w:lang w:val="es-ES_tradnl"/>
        </w:rPr>
        <w:t xml:space="preserve"> principio de proporcionalidad es un principio general del derecho, y se ha resaltado su importancia en el ejercicio de cada una de las actuaciones administrativas, se ha dicho que este principio cumple dos funciones: </w:t>
      </w:r>
      <w:r w:rsidRPr="00890FCC">
        <w:rPr>
          <w:rFonts w:ascii="Century Gothic" w:hAnsi="Century Gothic" w:cs="Arial"/>
        </w:rPr>
        <w:t>“</w:t>
      </w:r>
      <w:r w:rsidRPr="00890FCC">
        <w:rPr>
          <w:rFonts w:ascii="Century Gothic" w:hAnsi="Century Gothic" w:cs="Arial"/>
          <w:iCs/>
        </w:rPr>
        <w:t>i) en primer lugar, sirve de criterio de acción, esto es, como sustento de las actuaciones de los distintos órganos del Estado, el cual se realiza con su observancia y aplicación a cada caso concreto. ii) En segundo lugar, es un criterio de control, pues debe adoptarlo el juez para efectos de evaluar la proporcionalidad de la respectiva actuación administrativa.</w:t>
      </w:r>
      <w:r w:rsidRPr="00890FCC">
        <w:rPr>
          <w:rFonts w:ascii="Century Gothic" w:hAnsi="Century Gothic" w:cs="Arial"/>
        </w:rPr>
        <w:t>”</w:t>
      </w:r>
      <w:r w:rsidRPr="00890FCC">
        <w:rPr>
          <w:rStyle w:val="Refdenotaalpie"/>
          <w:rFonts w:ascii="Century Gothic" w:hAnsi="Century Gothic" w:cs="Arial"/>
        </w:rPr>
        <w:footnoteReference w:id="22"/>
      </w:r>
    </w:p>
    <w:p w:rsidRPr="00890FCC" w:rsidR="00CB1A55" w:rsidP="00CB1A55" w:rsidRDefault="00CB1A55" w14:paraId="0E10E911" w14:textId="77777777">
      <w:pPr>
        <w:spacing w:line="276" w:lineRule="auto"/>
        <w:ind w:firstLine="708"/>
        <w:contextualSpacing/>
        <w:jc w:val="both"/>
        <w:rPr>
          <w:rFonts w:ascii="Century Gothic" w:hAnsi="Century Gothic" w:cs="Arial"/>
          <w:iCs/>
          <w:lang w:val="es-ES_tradnl"/>
        </w:rPr>
      </w:pPr>
      <w:r w:rsidRPr="00890FCC">
        <w:rPr>
          <w:rFonts w:ascii="Century Gothic" w:hAnsi="Century Gothic" w:cs="Arial"/>
          <w:iCs/>
          <w:lang w:val="es-ES_tradnl"/>
        </w:rPr>
        <w:t xml:space="preserve">La contratación estatal, no se escapa a la aplicación del principio de proporcionalidad, durante las etapas de estructuración, planeación, y a lo largo de la ejecución del contrato, la administración debe hacer uso razonable y proporcional de todos los instrumentos jurídicos de los cuales puede disponer para el cumplimiento de los fines del estado, es por ello que se ha dicho que frente a la cláusula penal:  </w:t>
      </w:r>
    </w:p>
    <w:p w:rsidRPr="00E45302" w:rsidR="00CB1A55" w:rsidP="00CB1A55" w:rsidRDefault="00CB1A55" w14:paraId="39C9F07E" w14:textId="77777777">
      <w:pPr>
        <w:spacing w:line="276" w:lineRule="auto"/>
        <w:contextualSpacing/>
        <w:jc w:val="both"/>
        <w:rPr>
          <w:rFonts w:ascii="Century Gothic" w:hAnsi="Century Gothic" w:cs="Arial"/>
          <w:iCs/>
          <w:sz w:val="21"/>
          <w:szCs w:val="21"/>
        </w:rPr>
      </w:pPr>
    </w:p>
    <w:p w:rsidRPr="00E45302" w:rsidR="00CB1A55" w:rsidP="00CB1A55" w:rsidRDefault="00CB1A55" w14:paraId="131BD7E9" w14:textId="77777777">
      <w:pPr>
        <w:ind w:left="709" w:right="709"/>
        <w:contextualSpacing/>
        <w:jc w:val="both"/>
        <w:rPr>
          <w:rFonts w:ascii="Century Gothic" w:hAnsi="Century Gothic" w:cs="Arial"/>
          <w:iCs/>
          <w:sz w:val="21"/>
          <w:szCs w:val="21"/>
          <w:u w:val="single"/>
        </w:rPr>
      </w:pPr>
      <w:r>
        <w:rPr>
          <w:rFonts w:ascii="Century Gothic" w:hAnsi="Century Gothic" w:cs="Arial"/>
          <w:iCs/>
          <w:sz w:val="21"/>
          <w:szCs w:val="21"/>
          <w:u w:val="single"/>
        </w:rPr>
        <w:t>“</w:t>
      </w:r>
      <w:r w:rsidRPr="00E45302">
        <w:rPr>
          <w:rFonts w:ascii="Century Gothic" w:hAnsi="Century Gothic" w:cs="Arial"/>
          <w:iCs/>
          <w:sz w:val="21"/>
          <w:szCs w:val="21"/>
          <w:u w:val="single"/>
        </w:rPr>
        <w:t xml:space="preserve">Es dentro de este marco jurídico de principios, valores y reglas constitucionales y legales que encuentra sentido afirmar que la facultad, en el ámbito de libertad negocial de las partes, que establece el legislador para pactar la cláusula penal o la tasación de perjuicios en aquellos casos de incumplimiento no puede ser comprendida como escenario habilitante de discrecionalidad cuando se trata de su aplicación en concreto. </w:t>
      </w:r>
    </w:p>
    <w:p w:rsidRPr="00E45302" w:rsidR="00CB1A55" w:rsidP="00CB1A55" w:rsidRDefault="00CB1A55" w14:paraId="2E36B9B9" w14:textId="77777777">
      <w:pPr>
        <w:ind w:left="709" w:right="709"/>
        <w:contextualSpacing/>
        <w:jc w:val="both"/>
        <w:rPr>
          <w:rFonts w:ascii="Century Gothic" w:hAnsi="Century Gothic" w:cs="Arial"/>
          <w:iCs/>
          <w:sz w:val="21"/>
          <w:szCs w:val="21"/>
        </w:rPr>
      </w:pPr>
    </w:p>
    <w:p w:rsidRPr="00E45302" w:rsidR="00CB1A55" w:rsidP="00CB1A55" w:rsidRDefault="00CB1A55" w14:paraId="047FAAE7" w14:textId="77777777">
      <w:pPr>
        <w:ind w:left="709" w:right="709"/>
        <w:contextualSpacing/>
        <w:jc w:val="both"/>
        <w:rPr>
          <w:rFonts w:ascii="Century Gothic" w:hAnsi="Century Gothic" w:cs="Arial"/>
          <w:iCs/>
          <w:sz w:val="21"/>
          <w:szCs w:val="21"/>
        </w:rPr>
      </w:pPr>
      <w:r w:rsidRPr="00E45302">
        <w:rPr>
          <w:rFonts w:ascii="Century Gothic" w:hAnsi="Century Gothic" w:cs="Arial"/>
          <w:iCs/>
          <w:sz w:val="21"/>
          <w:szCs w:val="21"/>
        </w:rPr>
        <w:t>Dicho con otras palabras, el principio de proporcionalidad compele a la Administración a justificar de manera razonada las decisiones que adopta, no solo desde una perspectiva lógico formal sino, también, considerando su razonabilidad en cada caso en concreto, lo que se traduce en la exposición de elementos de juicio objetivos y razonados (elementos probatorios, jurídicos, técnicos, etc), incluso en aquellos escenarios de discrecionalidad.</w:t>
      </w:r>
    </w:p>
    <w:p w:rsidRPr="00E45302" w:rsidR="00CB1A55" w:rsidP="00CB1A55" w:rsidRDefault="00CB1A55" w14:paraId="30CC1857" w14:textId="77777777">
      <w:pPr>
        <w:ind w:left="709" w:right="709"/>
        <w:contextualSpacing/>
        <w:jc w:val="both"/>
        <w:rPr>
          <w:rFonts w:ascii="Century Gothic" w:hAnsi="Century Gothic" w:cs="Arial"/>
          <w:iCs/>
          <w:sz w:val="21"/>
          <w:szCs w:val="21"/>
        </w:rPr>
      </w:pPr>
    </w:p>
    <w:p w:rsidRPr="00E45302" w:rsidR="00CB1A55" w:rsidP="00CB1A55" w:rsidRDefault="00CB1A55" w14:paraId="20CE92D4" w14:textId="77777777">
      <w:pPr>
        <w:ind w:left="709" w:right="709"/>
        <w:contextualSpacing/>
        <w:jc w:val="both"/>
        <w:rPr>
          <w:rFonts w:ascii="Century Gothic" w:hAnsi="Century Gothic" w:cs="Arial"/>
          <w:iCs/>
          <w:sz w:val="21"/>
          <w:szCs w:val="21"/>
        </w:rPr>
      </w:pPr>
      <w:r w:rsidRPr="00E45302">
        <w:rPr>
          <w:rFonts w:ascii="Century Gothic" w:hAnsi="Century Gothic" w:cs="Arial"/>
          <w:iCs/>
          <w:sz w:val="21"/>
          <w:szCs w:val="21"/>
          <w:u w:val="single"/>
        </w:rPr>
        <w:t>Todo lo anterior se traduce, entonces, en la razonable, proporcional y razonada aplicación de la cláusula penal y la tasación de perjuicios por parte de la entidad pública, que lleva a plantear, necesariamente, el deber jurídico de motivación de la Administración conforme al cual le corresponde justificar, a partir de referentes objetivos y claros los criterios que le sirven de apoyo para tasar la proporción de aplicación de la cláusula penal conforme a la intensidad y valoración del cumplimiento (o incumplimiento) por parte del contratista</w:t>
      </w:r>
      <w:r w:rsidRPr="00E45302">
        <w:rPr>
          <w:rFonts w:ascii="Century Gothic" w:hAnsi="Century Gothic" w:cs="Arial"/>
          <w:iCs/>
          <w:sz w:val="21"/>
          <w:szCs w:val="21"/>
        </w:rPr>
        <w:t>.</w:t>
      </w:r>
      <w:r>
        <w:rPr>
          <w:rFonts w:ascii="Century Gothic" w:hAnsi="Century Gothic" w:cs="Arial"/>
          <w:iCs/>
          <w:sz w:val="21"/>
          <w:szCs w:val="21"/>
        </w:rPr>
        <w:t>”</w:t>
      </w:r>
      <w:r w:rsidRPr="00E45302">
        <w:rPr>
          <w:rFonts w:ascii="Century Gothic" w:hAnsi="Century Gothic" w:cs="Arial"/>
          <w:iCs/>
          <w:sz w:val="21"/>
          <w:szCs w:val="21"/>
        </w:rPr>
        <w:t xml:space="preserve"> </w:t>
      </w:r>
      <w:r w:rsidRPr="00E45302">
        <w:rPr>
          <w:rStyle w:val="Refdenotaalpie"/>
          <w:rFonts w:ascii="Century Gothic" w:hAnsi="Century Gothic" w:cs="Arial"/>
          <w:iCs/>
          <w:sz w:val="21"/>
          <w:szCs w:val="21"/>
        </w:rPr>
        <w:footnoteReference w:id="23"/>
      </w:r>
      <w:r w:rsidRPr="00E45302">
        <w:rPr>
          <w:rFonts w:ascii="Century Gothic" w:hAnsi="Century Gothic" w:cs="Arial"/>
          <w:iCs/>
          <w:sz w:val="21"/>
          <w:szCs w:val="21"/>
        </w:rPr>
        <w:t xml:space="preserve">  (Subrayado fuera de texto) </w:t>
      </w:r>
    </w:p>
    <w:p w:rsidRPr="00E45302" w:rsidR="00CB1A55" w:rsidP="00CB1A55" w:rsidRDefault="00CB1A55" w14:paraId="2FE3A4F6" w14:textId="77777777">
      <w:pPr>
        <w:spacing w:line="276" w:lineRule="auto"/>
        <w:contextualSpacing/>
        <w:jc w:val="both"/>
        <w:rPr>
          <w:rFonts w:ascii="Century Gothic" w:hAnsi="Century Gothic" w:cs="Arial"/>
          <w:iCs/>
        </w:rPr>
      </w:pPr>
    </w:p>
    <w:p w:rsidRPr="00890FCC" w:rsidR="00CB1A55" w:rsidP="00CB1A55" w:rsidRDefault="00CB1A55" w14:paraId="4B3C31F4" w14:textId="77777777">
      <w:pPr>
        <w:spacing w:after="120" w:line="276" w:lineRule="auto"/>
        <w:jc w:val="both"/>
        <w:rPr>
          <w:rFonts w:ascii="Century Gothic" w:hAnsi="Century Gothic" w:cs="Arial"/>
        </w:rPr>
      </w:pPr>
      <w:r w:rsidRPr="00E45302">
        <w:rPr>
          <w:rFonts w:ascii="Century Gothic" w:hAnsi="Century Gothic" w:cs="Arial"/>
          <w:bCs/>
          <w:color w:val="000000" w:themeColor="text1"/>
          <w:lang w:val="es-ES_tradnl"/>
        </w:rPr>
        <w:tab/>
      </w:r>
      <w:r w:rsidRPr="00890FCC">
        <w:rPr>
          <w:rFonts w:ascii="Century Gothic" w:hAnsi="Century Gothic" w:cs="Arial"/>
          <w:bCs/>
          <w:color w:val="000000" w:themeColor="text1"/>
          <w:lang w:val="es-ES_tradnl"/>
        </w:rPr>
        <w:t xml:space="preserve">Como se mencionó anteriormente, la cláusula penal es una tasación anticipada de perjuicios, y se pueden presentar dos situaciones: i) el monto estipulado no cubre los perjuicios ocasionados por el incumplimiento, o ii) el monto estipulado puede resultar excesivo, considerando que puede presentarse una ejecución parcial del contrato, para el primer caso, se debe acudir al juez, demostrar el monto de los daños sufridos y solicitar una reparación plena, sin perjuicio de que se pueda declarar el siniestro y el cobro de la cláusula penal, en caso tal de que hayan pactado dicha posibilidad en el contrato, en el segundo caso, el artículo 1596 del Código Civil establece que: </w:t>
      </w:r>
      <w:r w:rsidRPr="00890FCC">
        <w:rPr>
          <w:rFonts w:ascii="Century Gothic" w:hAnsi="Century Gothic" w:cs="Arial"/>
        </w:rPr>
        <w:t>“Si el deudor cumple solamente una parte de la obligación principal y el acreedor acepta esta parte, tendrá derecho para que se rebaje proporcionalmente la pena estipulada por falta de cumplimiento de la obligación principal.”</w:t>
      </w:r>
      <w:r w:rsidRPr="00890FCC">
        <w:rPr>
          <w:rStyle w:val="Refdenotaalpie"/>
          <w:rFonts w:ascii="Century Gothic" w:hAnsi="Century Gothic" w:cs="Arial"/>
        </w:rPr>
        <w:footnoteReference w:id="24"/>
      </w:r>
      <w:r w:rsidRPr="00890FCC">
        <w:rPr>
          <w:rFonts w:ascii="Century Gothic" w:hAnsi="Century Gothic" w:cs="Arial"/>
        </w:rPr>
        <w:t xml:space="preserve">, en este caso, la entidad que pretende dar aplicación de la cláusula penal deberá determinar los perjuicios en atención a razones objetivas, razonables y proporcionales de acuerdo a los sucesos de los hechos. </w:t>
      </w:r>
    </w:p>
    <w:p w:rsidRPr="00890FCC" w:rsidR="00CB1A55" w:rsidP="00CB1A55" w:rsidRDefault="00CB1A55" w14:paraId="5F554D82" w14:textId="77777777">
      <w:pPr>
        <w:spacing w:after="120" w:line="276" w:lineRule="auto"/>
        <w:ind w:firstLine="709"/>
        <w:jc w:val="both"/>
        <w:rPr>
          <w:rFonts w:ascii="Century Gothic" w:hAnsi="Century Gothic" w:cs="Arial"/>
        </w:rPr>
      </w:pPr>
      <w:r w:rsidRPr="00890FCC">
        <w:rPr>
          <w:rFonts w:ascii="Century Gothic" w:hAnsi="Century Gothic" w:cs="Arial"/>
        </w:rPr>
        <w:t>La jurisprudencia de la sección tercera del Consejo de Estado, ha precisado que,  si bien la cláusula penal es un cálculo anticipado de perjuicios, si se incumple el contrato se debe pagar su valor, independiente del monto del perjuicio, sin embargo tiene dos excepciones: i) la establecida en el artículo 1600 del Código Civil, según la cual no se puede pedir, a la vez, la pena y la indemnización de perjuicios -de hecho, la cláusula penal es una cálculo anticipado de estos</w:t>
      </w:r>
      <w:r w:rsidRPr="00890FCC">
        <w:rPr>
          <w:rFonts w:ascii="Century Gothic" w:hAnsi="Century Gothic" w:cs="Arial"/>
          <w:b/>
        </w:rPr>
        <w:t xml:space="preserve">-, </w:t>
      </w:r>
      <w:r w:rsidRPr="00E655F3">
        <w:rPr>
          <w:rFonts w:ascii="Century Gothic" w:hAnsi="Century Gothic" w:cs="Arial"/>
        </w:rPr>
        <w:t>salvo que así se haya pactado expresamente</w:t>
      </w:r>
      <w:r w:rsidRPr="00890FCC">
        <w:rPr>
          <w:rFonts w:ascii="Century Gothic" w:hAnsi="Century Gothic" w:cs="Arial"/>
        </w:rPr>
        <w:t>, en cuyo caso se puede perseguir lo uno y lo otro, y ii) la establecida en el artículo 1569 del Código Civil, mencionada anteriormente.</w:t>
      </w:r>
      <w:r w:rsidRPr="00890FCC">
        <w:rPr>
          <w:rStyle w:val="Refdenotaalpie"/>
          <w:rFonts w:ascii="Century Gothic" w:hAnsi="Century Gothic" w:cs="Arial"/>
        </w:rPr>
        <w:footnoteReference w:id="25"/>
      </w:r>
      <w:r w:rsidRPr="00890FCC">
        <w:rPr>
          <w:rFonts w:ascii="Century Gothic" w:hAnsi="Century Gothic" w:cs="Arial"/>
        </w:rPr>
        <w:t xml:space="preserve"> </w:t>
      </w:r>
    </w:p>
    <w:p w:rsidR="00CB1A55" w:rsidP="00CB1A55" w:rsidRDefault="00CB1A55" w14:paraId="668B5555" w14:textId="77777777">
      <w:pPr>
        <w:spacing w:after="120" w:line="276" w:lineRule="auto"/>
        <w:ind w:firstLine="709"/>
        <w:jc w:val="both"/>
        <w:rPr>
          <w:rFonts w:ascii="Century Gothic" w:hAnsi="Century Gothic" w:cs="Arial"/>
        </w:rPr>
      </w:pPr>
      <w:r>
        <w:rPr>
          <w:rFonts w:ascii="Century Gothic" w:hAnsi="Century Gothic" w:cs="Arial"/>
        </w:rPr>
        <w:t>Hecha la determinación del perjuicio, en el primero de los escenarios, como ya se indicó, a las voces del artículo 1600 del Código Civil, referido a la indemnización compensatoria que no ha sido satisfecha por efecto de existir un perjuicio en mayor proporción al advertido, frente al cual la norma enseña que, dicha cuantía adicional en ese evento puede ser perseguida solo si ha existido un pacto expreso que lo autorice, caso en el cual sí podría pensarse en ese escenario en una indemnización plena, e incluso concomitante e integrada con una reparación por mora en el cumplimiento de la obligación y compensatoria de los perjuicios ocasionados. Tal es la aproximación que se ha ilustrado cuando el doctrinante Ospina Fernández expuso:</w:t>
      </w:r>
    </w:p>
    <w:p w:rsidRPr="00DD70AB" w:rsidR="00CB1A55" w:rsidP="00CB1A55" w:rsidRDefault="00CB1A55" w14:paraId="0A55874E" w14:textId="77777777">
      <w:pPr>
        <w:ind w:left="709" w:right="709"/>
        <w:contextualSpacing/>
        <w:jc w:val="both"/>
        <w:rPr>
          <w:rFonts w:ascii="Century Gothic" w:hAnsi="Century Gothic" w:cs="Arial"/>
          <w:iCs/>
          <w:sz w:val="21"/>
          <w:szCs w:val="21"/>
        </w:rPr>
      </w:pPr>
      <w:r>
        <w:rPr>
          <w:rFonts w:ascii="Century Gothic" w:hAnsi="Century Gothic" w:cs="Arial"/>
          <w:iCs/>
          <w:sz w:val="21"/>
          <w:szCs w:val="21"/>
        </w:rPr>
        <w:t xml:space="preserve">“Fundándose </w:t>
      </w:r>
      <w:r w:rsidRPr="00DD70AB">
        <w:rPr>
          <w:rFonts w:ascii="Century Gothic" w:hAnsi="Century Gothic" w:cs="Arial"/>
          <w:iCs/>
          <w:sz w:val="21"/>
          <w:szCs w:val="21"/>
        </w:rPr>
        <w:t>también en la presunción de que la cláusula penal implica la estimación anticipada de todos los perjuicios que habrán de seguirse del incumplimiento o el retardo de la obligación principal, el artículo 1600 del Código Civil declara: "No podrá pedirse a la vez la pena y la indemnización de perjuicios, a menos de haberse estipulado así expresamente: pero siempre estará al arbitrio del acreedor pedir la indemnización o la pena.</w:t>
      </w:r>
      <w:r>
        <w:rPr>
          <w:rFonts w:ascii="Century Gothic" w:hAnsi="Century Gothic" w:cs="Arial"/>
          <w:iCs/>
          <w:sz w:val="21"/>
          <w:szCs w:val="21"/>
        </w:rPr>
        <w:t>”</w:t>
      </w:r>
      <w:r w:rsidRPr="00DD70AB">
        <w:rPr>
          <w:rFonts w:ascii="Century Gothic" w:hAnsi="Century Gothic" w:cs="Arial"/>
          <w:iCs/>
          <w:sz w:val="21"/>
          <w:szCs w:val="21"/>
        </w:rPr>
        <w:t xml:space="preserve"> De no ser así, el acreedor también podría recibir una doble indemnización: la pre</w:t>
      </w:r>
      <w:r>
        <w:rPr>
          <w:rFonts w:ascii="Century Gothic" w:hAnsi="Century Gothic" w:cs="Arial"/>
          <w:iCs/>
          <w:sz w:val="21"/>
          <w:szCs w:val="21"/>
        </w:rPr>
        <w:t>-</w:t>
      </w:r>
      <w:r w:rsidRPr="00DD70AB">
        <w:rPr>
          <w:rFonts w:ascii="Century Gothic" w:hAnsi="Century Gothic" w:cs="Arial"/>
          <w:iCs/>
          <w:sz w:val="21"/>
          <w:szCs w:val="21"/>
        </w:rPr>
        <w:t xml:space="preserve">estipulada en la cláusula penal y la resultante de la estimación judicial de los perjuicios. De manera que si al pactar la cláusula penal, la intención real del acreedor es la de establecer un apremio para el deudor, independientemente del cumplimiento de la obligación principal y de la indemnización compensatoria de ella, </w:t>
      </w:r>
      <w:r w:rsidRPr="00DD70AB">
        <w:rPr>
          <w:rFonts w:ascii="Century Gothic" w:hAnsi="Century Gothic" w:cs="Arial"/>
          <w:iCs/>
          <w:sz w:val="21"/>
          <w:szCs w:val="21"/>
          <w:u w:val="single"/>
        </w:rPr>
        <w:t>así deberá dejarlo expresamente estipulado, pues, de no hacerlo, no habrá lugar al cúmulo de la pena y de la obligación principal, a menos de que aparezca que la pena solo se refiere a la indemnización moratoria, como tampoco al de aquella y la indemnización compensatoria</w:t>
      </w:r>
      <w:r w:rsidRPr="00DD70AB">
        <w:rPr>
          <w:rFonts w:ascii="Century Gothic" w:hAnsi="Century Gothic" w:cs="Arial"/>
          <w:iCs/>
          <w:sz w:val="21"/>
          <w:szCs w:val="21"/>
        </w:rPr>
        <w:t>.</w:t>
      </w:r>
    </w:p>
    <w:p w:rsidRPr="00DD70AB" w:rsidR="00CB1A55" w:rsidP="00CB1A55" w:rsidRDefault="00CB1A55" w14:paraId="0E34849F" w14:textId="77777777">
      <w:pPr>
        <w:ind w:left="709" w:right="709"/>
        <w:contextualSpacing/>
        <w:jc w:val="both"/>
        <w:rPr>
          <w:rFonts w:ascii="Century Gothic" w:hAnsi="Century Gothic" w:cs="Arial"/>
          <w:iCs/>
          <w:sz w:val="21"/>
          <w:szCs w:val="21"/>
        </w:rPr>
      </w:pPr>
    </w:p>
    <w:p w:rsidR="00CB1A55" w:rsidP="00CB1A55" w:rsidRDefault="00CB1A55" w14:paraId="0FD06D9B" w14:textId="77777777">
      <w:pPr>
        <w:ind w:left="709" w:right="709"/>
        <w:contextualSpacing/>
        <w:jc w:val="both"/>
        <w:rPr>
          <w:rFonts w:ascii="Century Gothic" w:hAnsi="Century Gothic" w:cs="Arial"/>
          <w:iCs/>
          <w:sz w:val="21"/>
          <w:szCs w:val="21"/>
        </w:rPr>
      </w:pPr>
      <w:r w:rsidRPr="00DD70AB">
        <w:rPr>
          <w:rFonts w:ascii="Century Gothic" w:hAnsi="Century Gothic" w:cs="Arial"/>
          <w:iCs/>
          <w:sz w:val="21"/>
          <w:szCs w:val="21"/>
        </w:rPr>
        <w:t>Parece que entre los artículos 1600 y 1594 no existiese armonía en lo tocante al cúmulo de la pena moratoria, por una parte, y de la indemnización compensatoria o de la obligación principal, por la otra, respectivamente, porque según el 1594, basta que "aparezca" que la pena se pactó por el simple retardo para que pueda ser cobrada conjuntamente con la principal, al paso que el 1600 exige la estipulación expresa que deje a salvo la indemnización compensatoria para que esta pueda ser cobrada junto con la moratoria, aunque sea indudable que la pena se refiera solo a esta como en el ya propuesto ejemplo de que el contrato se limite a decir que el deudor pagará $ 100 por cada día de demora en la ejecución de la prestación debida</w:t>
      </w:r>
      <w:r w:rsidRPr="00E45302">
        <w:rPr>
          <w:rFonts w:ascii="Century Gothic" w:hAnsi="Century Gothic" w:cs="Arial"/>
          <w:iCs/>
          <w:sz w:val="21"/>
          <w:szCs w:val="21"/>
        </w:rPr>
        <w:t>.</w:t>
      </w:r>
      <w:r>
        <w:rPr>
          <w:rFonts w:ascii="Century Gothic" w:hAnsi="Century Gothic" w:cs="Arial"/>
          <w:iCs/>
          <w:sz w:val="21"/>
          <w:szCs w:val="21"/>
        </w:rPr>
        <w:t>”</w:t>
      </w:r>
      <w:r w:rsidRPr="00DD70AB">
        <w:rPr>
          <w:rStyle w:val="EncabezadoCar"/>
          <w:rFonts w:ascii="Century Gothic" w:hAnsi="Century Gothic" w:cs="Arial"/>
        </w:rPr>
        <w:t xml:space="preserve"> </w:t>
      </w:r>
      <w:r>
        <w:rPr>
          <w:rStyle w:val="Refdenotaalpie"/>
          <w:rFonts w:ascii="Century Gothic" w:hAnsi="Century Gothic" w:cs="Arial"/>
        </w:rPr>
        <w:footnoteReference w:id="26"/>
      </w:r>
      <w:r w:rsidRPr="00E45302">
        <w:rPr>
          <w:rFonts w:ascii="Century Gothic" w:hAnsi="Century Gothic" w:cs="Arial"/>
          <w:iCs/>
          <w:sz w:val="21"/>
          <w:szCs w:val="21"/>
        </w:rPr>
        <w:t xml:space="preserve">  (Subrayado fuera de texto) </w:t>
      </w:r>
    </w:p>
    <w:p w:rsidRPr="00E45302" w:rsidR="00CB1A55" w:rsidP="00CB1A55" w:rsidRDefault="00CB1A55" w14:paraId="4A097C5E" w14:textId="77777777">
      <w:pPr>
        <w:ind w:left="709" w:right="709"/>
        <w:contextualSpacing/>
        <w:jc w:val="both"/>
        <w:rPr>
          <w:rFonts w:ascii="Century Gothic" w:hAnsi="Century Gothic" w:cs="Arial"/>
          <w:iCs/>
          <w:sz w:val="21"/>
          <w:szCs w:val="21"/>
        </w:rPr>
      </w:pPr>
    </w:p>
    <w:p w:rsidR="00CB1A55" w:rsidP="00CB1A55" w:rsidRDefault="00CB1A55" w14:paraId="68F510AA" w14:textId="77777777">
      <w:pPr>
        <w:spacing w:line="276" w:lineRule="auto"/>
        <w:ind w:firstLine="708"/>
        <w:contextualSpacing/>
        <w:jc w:val="both"/>
        <w:rPr>
          <w:rFonts w:ascii="Century Gothic" w:hAnsi="Century Gothic" w:cs="Arial"/>
        </w:rPr>
      </w:pPr>
      <w:r>
        <w:rPr>
          <w:rFonts w:ascii="Century Gothic" w:hAnsi="Century Gothic" w:cs="Arial"/>
        </w:rPr>
        <w:t>Conclusión que igualmente encuentra eco, con la diferente doctrina</w:t>
      </w:r>
      <w:r>
        <w:rPr>
          <w:rStyle w:val="Refdenotaalpie"/>
          <w:rFonts w:ascii="Century Gothic" w:hAnsi="Century Gothic" w:cs="Arial"/>
        </w:rPr>
        <w:footnoteReference w:id="27"/>
      </w:r>
      <w:r>
        <w:rPr>
          <w:rFonts w:ascii="Century Gothic" w:hAnsi="Century Gothic" w:cs="Arial"/>
        </w:rPr>
        <w:t xml:space="preserve"> autorizada sobre la materia de contratos, en la que en igual sentido exponen la necesaria estipulación en el instrumento de acuerdo de voluntades, para perseguir aquel perjuicio que supere lo acordado sobre la cláusula penal, en adición al valor previamente tasado. </w:t>
      </w:r>
    </w:p>
    <w:p w:rsidR="00CB1A55" w:rsidP="00CB1A55" w:rsidRDefault="00CB1A55" w14:paraId="1C8D46E4" w14:textId="77777777">
      <w:pPr>
        <w:spacing w:after="120" w:line="276" w:lineRule="auto"/>
        <w:ind w:firstLine="709"/>
        <w:jc w:val="both"/>
        <w:rPr>
          <w:rFonts w:ascii="Century Gothic" w:hAnsi="Century Gothic" w:cs="Arial"/>
        </w:rPr>
      </w:pPr>
      <w:r>
        <w:rPr>
          <w:rFonts w:ascii="Century Gothic" w:hAnsi="Century Gothic" w:cs="Arial"/>
        </w:rPr>
        <w:t>Por otra parte, frente a su incidencia en la interpretación sobre normas civiles, la Corte Suprema de Justicia, igualmente dejó enseñado que dado el carácter de preliquidación del valor de los perjuicios a indemnizar, sin tener que realizar un ejercicio de exhibición probatoria, al tenor del artículo 1600 ya citado, esa es la razón de que se tenga por regla general la incompatibilidad de reclamar perjuicio adicionales a los ya estipulados en la cláusula penal, y solo es por vía excepcional, al existir el pacto inequívoco sobre el particular, que permite la acumulación de ambos conceptos, dejando la cláusula penal en esa construcción como una especie de sanción convencional con características disuasivas.</w:t>
      </w:r>
      <w:r>
        <w:rPr>
          <w:rStyle w:val="Refdenotaalpie"/>
          <w:rFonts w:ascii="Century Gothic" w:hAnsi="Century Gothic" w:cs="Arial"/>
        </w:rPr>
        <w:footnoteReference w:id="28"/>
      </w:r>
    </w:p>
    <w:p w:rsidR="00CB1A55" w:rsidP="00CB1A55" w:rsidRDefault="00CB1A55" w14:paraId="72E55957" w14:textId="77777777">
      <w:pPr>
        <w:spacing w:after="120" w:line="276" w:lineRule="auto"/>
        <w:ind w:firstLine="709"/>
        <w:jc w:val="both"/>
        <w:rPr>
          <w:rFonts w:ascii="Century Gothic" w:hAnsi="Century Gothic" w:cs="Arial"/>
        </w:rPr>
      </w:pPr>
      <w:r w:rsidRPr="00890FCC">
        <w:rPr>
          <w:rFonts w:ascii="Century Gothic" w:hAnsi="Century Gothic" w:cs="Arial"/>
        </w:rPr>
        <w:t>Ahora bien, se encuentra la posibilidad de que la cláusula penal se vea reducida en proporción a la parte ejecutada del contrato, pero esto no significa que ese sea el parámetro del daño, porque “puede ocurrir que un contrato se haya cumplido en un 40%, de manera que podría reducirse la sanción en ese porcentaje, pero en tal supuesto bien podría ocurrir que no existan perjuicios, no obstante lo cual el deudor debe pagar la pena en la proporción indicada, como quiera que no es la magnitud del daño lo que define la reducción de la pena, sino la parte de la ejecución del contrato que haya realizado el deudor. Finalmente, cabe agregar que si el objeto del contrato es indivisible, de modo que sólo sirve al contratante su ejecución completa, el valor de la cláusula penal se debe pagar íntegramente; salvo que la administración acepte del contratista la parte ejecutada.”</w:t>
      </w:r>
      <w:r w:rsidRPr="00890FCC">
        <w:rPr>
          <w:rStyle w:val="Refdenotaalpie"/>
          <w:rFonts w:ascii="Century Gothic" w:hAnsi="Century Gothic" w:cs="Arial"/>
        </w:rPr>
        <w:footnoteReference w:id="29"/>
      </w:r>
    </w:p>
    <w:p w:rsidRPr="00890FCC" w:rsidR="00CB1A55" w:rsidP="00CB1A55" w:rsidRDefault="00CB1A55" w14:paraId="63A14781" w14:textId="77777777">
      <w:pPr>
        <w:spacing w:line="276" w:lineRule="auto"/>
        <w:ind w:firstLine="708"/>
        <w:contextualSpacing/>
        <w:jc w:val="both"/>
        <w:rPr>
          <w:rFonts w:ascii="Century Gothic" w:hAnsi="Century Gothic" w:cs="Arial"/>
        </w:rPr>
      </w:pPr>
      <w:r>
        <w:rPr>
          <w:rFonts w:ascii="Century Gothic" w:hAnsi="Century Gothic" w:cs="Arial"/>
        </w:rPr>
        <w:t>En consonancia con lo antes dicho, la Sección Tercera del Consejo de Estado</w:t>
      </w:r>
      <w:r>
        <w:rPr>
          <w:rStyle w:val="Refdenotaalpie"/>
          <w:rFonts w:ascii="Century Gothic" w:hAnsi="Century Gothic" w:cs="Arial"/>
        </w:rPr>
        <w:footnoteReference w:id="30"/>
      </w:r>
      <w:r>
        <w:rPr>
          <w:rFonts w:ascii="Century Gothic" w:hAnsi="Century Gothic" w:cs="Arial"/>
        </w:rPr>
        <w:t xml:space="preserve">, reitera lo que desde el proveído </w:t>
      </w:r>
      <w:r w:rsidRPr="004D497A">
        <w:rPr>
          <w:rFonts w:ascii="Century Gothic" w:hAnsi="Century Gothic" w:cs="Arial"/>
        </w:rPr>
        <w:t>del 13 septiembre de 1999,</w:t>
      </w:r>
      <w:r>
        <w:rPr>
          <w:rFonts w:ascii="Century Gothic" w:hAnsi="Century Gothic" w:cs="Arial"/>
        </w:rPr>
        <w:t xml:space="preserve"> dentro del </w:t>
      </w:r>
      <w:r w:rsidRPr="004D497A">
        <w:rPr>
          <w:rFonts w:ascii="Century Gothic" w:hAnsi="Century Gothic" w:cs="Arial"/>
        </w:rPr>
        <w:t>exp</w:t>
      </w:r>
      <w:r>
        <w:rPr>
          <w:rFonts w:ascii="Century Gothic" w:hAnsi="Century Gothic" w:cs="Arial"/>
        </w:rPr>
        <w:t>ediente Nro.</w:t>
      </w:r>
      <w:r w:rsidRPr="004D497A">
        <w:rPr>
          <w:rFonts w:ascii="Century Gothic" w:hAnsi="Century Gothic" w:cs="Arial"/>
        </w:rPr>
        <w:t xml:space="preserve"> 10264, C.P. Ricardo Hoyos Duque</w:t>
      </w:r>
      <w:r>
        <w:rPr>
          <w:rFonts w:ascii="Century Gothic" w:hAnsi="Century Gothic" w:cs="Arial"/>
        </w:rPr>
        <w:t xml:space="preserve"> y en sentencia del </w:t>
      </w:r>
      <w:r w:rsidRPr="004D497A">
        <w:rPr>
          <w:rFonts w:ascii="Century Gothic" w:hAnsi="Century Gothic" w:cs="Arial"/>
        </w:rPr>
        <w:t xml:space="preserve">29 de noviembre de 2017, expediente </w:t>
      </w:r>
      <w:r>
        <w:rPr>
          <w:rFonts w:ascii="Century Gothic" w:hAnsi="Century Gothic" w:cs="Arial"/>
        </w:rPr>
        <w:t xml:space="preserve">Nro. </w:t>
      </w:r>
      <w:r w:rsidRPr="004D497A">
        <w:rPr>
          <w:rFonts w:ascii="Century Gothic" w:hAnsi="Century Gothic" w:cs="Arial"/>
        </w:rPr>
        <w:t>34800, C.P. Danilo Rojas</w:t>
      </w:r>
      <w:r>
        <w:rPr>
          <w:rFonts w:ascii="Century Gothic" w:hAnsi="Century Gothic" w:cs="Arial"/>
        </w:rPr>
        <w:t xml:space="preserve"> </w:t>
      </w:r>
      <w:r w:rsidRPr="004D497A">
        <w:rPr>
          <w:rFonts w:ascii="Century Gothic" w:hAnsi="Century Gothic" w:cs="Arial"/>
        </w:rPr>
        <w:t>Betancourth</w:t>
      </w:r>
      <w:r>
        <w:rPr>
          <w:rFonts w:ascii="Century Gothic" w:hAnsi="Century Gothic" w:cs="Arial"/>
        </w:rPr>
        <w:t>, dispuso acerca de aquél evento en que se ha pactado la cláusula penal, la entidad no está obligada a acreditar el monto de los perjuicios sufridos y podrá cobrar el monto total de la cláusula penal, pero si considera que los perjuicios fueron superiores al mismo, deberá demandar ante el juez el contrato para que sea este último quien determine el mayor valor del perjuicio no contenido en la cláusula penal, indistintamente de la posibilidad de disponer el cobro parcial de dicha cláusula o lo ya indicado de reducirlo acorde al principio de proporcionalidad ya anunciado. Esto obedece al alcance la potestad sancionatoria que deriva del artículo 17 de la Ley 1150 de 2007, el cual si bien habilita para la declarar de manera unilateral el incumplimiento, lo limita al propósito de hacer efectiva la cláusula penal. Esto obedece al alcance de la competencia que dispone el artículo 17 de la Ley 1150 de 2007, pues hasta ese importe, el de la cláusula penal previa declaración de incumplimiento, fue que autorizó el legislador que podría la entidad hacer uso directamente del cobro, dejando lo que en exceso de ello pueda considerar, ser necesariamente puesto en consideración del juez natural del contrato.</w:t>
      </w:r>
    </w:p>
    <w:p w:rsidR="00CB1A55" w:rsidP="00CB1A55" w:rsidRDefault="00CB1A55" w14:paraId="3D410518" w14:textId="77777777">
      <w:pPr>
        <w:tabs>
          <w:tab w:val="left" w:pos="0"/>
        </w:tabs>
        <w:jc w:val="both"/>
        <w:rPr>
          <w:rFonts w:ascii="Century Gothic" w:hAnsi="Century Gothic" w:eastAsia="Calibri" w:cs="Arial"/>
          <w:b/>
          <w:lang w:val="es-ES_tradnl"/>
        </w:rPr>
      </w:pPr>
    </w:p>
    <w:p w:rsidRPr="00E45302" w:rsidR="00CB1A55" w:rsidP="00CB1A55" w:rsidRDefault="00CB1A55" w14:paraId="026D2C69" w14:textId="77777777">
      <w:pPr>
        <w:tabs>
          <w:tab w:val="left" w:pos="0"/>
        </w:tabs>
        <w:jc w:val="both"/>
        <w:rPr>
          <w:rFonts w:ascii="Century Gothic" w:hAnsi="Century Gothic" w:eastAsia="Calibri" w:cs="Arial"/>
          <w:b/>
          <w:lang w:val="es-ES_tradnl"/>
        </w:rPr>
      </w:pPr>
      <w:r w:rsidRPr="00E45302">
        <w:rPr>
          <w:rFonts w:ascii="Century Gothic" w:hAnsi="Century Gothic" w:eastAsia="Calibri" w:cs="Arial"/>
          <w:b/>
          <w:lang w:val="es-ES_tradnl"/>
        </w:rPr>
        <w:t>3. Respuesta</w:t>
      </w:r>
    </w:p>
    <w:p w:rsidRPr="00E45302" w:rsidR="00CB1A55" w:rsidP="00CB1A55" w:rsidRDefault="00CB1A55" w14:paraId="314D5E95" w14:textId="77777777">
      <w:pPr>
        <w:ind w:left="709" w:right="709"/>
        <w:jc w:val="both"/>
        <w:rPr>
          <w:rFonts w:ascii="Century Gothic" w:hAnsi="Century Gothic" w:cs="Arial"/>
          <w:sz w:val="20"/>
          <w:szCs w:val="20"/>
        </w:rPr>
      </w:pPr>
      <w:r w:rsidRPr="00E45302">
        <w:rPr>
          <w:rFonts w:ascii="Century Gothic" w:hAnsi="Century Gothic" w:cs="Arial"/>
          <w:sz w:val="20"/>
          <w:szCs w:val="20"/>
        </w:rPr>
        <w:t>“</w:t>
      </w:r>
      <w:r>
        <w:rPr>
          <w:rFonts w:ascii="Century Gothic" w:hAnsi="Century Gothic" w:cs="Arial"/>
          <w:sz w:val="20"/>
          <w:szCs w:val="20"/>
        </w:rPr>
        <w:t xml:space="preserve">(…) </w:t>
      </w:r>
      <w:r w:rsidRPr="00E45302">
        <w:rPr>
          <w:rFonts w:ascii="Century Gothic" w:hAnsi="Century Gothic" w:cs="Arial"/>
          <w:sz w:val="20"/>
          <w:szCs w:val="20"/>
        </w:rPr>
        <w:t>La facultad establecida en el artículo 86 de la Ley 1474 de 2011 referente a la cuantificación de los perjuicios que se causen a la entidad como consecuencia del incumplimiento del contratista ¿implican la posibilidad de cobrar unilateralmente y por vía administrativa los perjuicios probados que excedan el monto establecido en la cláusula penal? O ¿es estrictamente necesario acudir a la jurisdicción para cobrar dichos perjuicios adicionales? ¿cuál es la postura actual de la jurisprudencia frente al cobro de los perjuicios probados que excedan el monto de la cláusula penal pecuniaria?</w:t>
      </w:r>
      <w:r>
        <w:rPr>
          <w:rFonts w:ascii="Century Gothic" w:hAnsi="Century Gothic" w:cs="Arial"/>
          <w:sz w:val="20"/>
          <w:szCs w:val="20"/>
        </w:rPr>
        <w:t xml:space="preserve"> (…)</w:t>
      </w:r>
      <w:r w:rsidRPr="00E45302">
        <w:rPr>
          <w:rFonts w:ascii="Century Gothic" w:hAnsi="Century Gothic" w:cs="Arial"/>
          <w:sz w:val="20"/>
          <w:szCs w:val="20"/>
        </w:rPr>
        <w:t>”</w:t>
      </w:r>
      <w:r w:rsidRPr="00DD4C6C">
        <w:rPr>
          <w:rFonts w:ascii="Century Gothic" w:hAnsi="Century Gothic" w:cs="Arial"/>
          <w:sz w:val="20"/>
          <w:szCs w:val="20"/>
        </w:rPr>
        <w:t>.</w:t>
      </w:r>
    </w:p>
    <w:p w:rsidR="00CB1A55" w:rsidP="00CB1A55" w:rsidRDefault="00CB1A55" w14:paraId="00325AF1" w14:textId="77777777">
      <w:pPr>
        <w:spacing w:line="276" w:lineRule="auto"/>
        <w:jc w:val="both"/>
        <w:rPr>
          <w:rFonts w:ascii="Century Gothic" w:hAnsi="Century Gothic" w:cs="Arial"/>
          <w:lang w:val="es-ES"/>
        </w:rPr>
      </w:pPr>
    </w:p>
    <w:p w:rsidRPr="00E45302" w:rsidR="00CB1A55" w:rsidP="00CB1A55" w:rsidRDefault="00CB1A55" w14:paraId="26D78DBE" w14:textId="77777777">
      <w:pPr>
        <w:spacing w:after="120" w:line="276" w:lineRule="auto"/>
        <w:jc w:val="both"/>
        <w:rPr>
          <w:rFonts w:ascii="Century Gothic" w:hAnsi="Century Gothic" w:cs="Arial"/>
          <w:lang w:val="es-ES"/>
        </w:rPr>
      </w:pPr>
      <w:r w:rsidRPr="00E45302">
        <w:rPr>
          <w:rFonts w:ascii="Century Gothic" w:hAnsi="Century Gothic" w:cs="Arial"/>
          <w:lang w:val="es-ES"/>
        </w:rPr>
        <w:t xml:space="preserve">En ejercicio de las competencias establecidas en los artículos 3, numeral 5° y 11, numeral 8° del Decreto 4170 de 2011, la Agencia Nacional de Contratación Pública – Colombia Compra Eficiente solo tiene competencia para responder solicitudes sobre la aplicación de normas de carácter general en materia de compras y contratación pública. En ese sentido, esta Agencia </w:t>
      </w:r>
      <w:r>
        <w:rPr>
          <w:rFonts w:ascii="Century Gothic" w:hAnsi="Century Gothic" w:cs="Arial"/>
          <w:lang w:val="es-ES"/>
        </w:rPr>
        <w:t>solo tendrá</w:t>
      </w:r>
      <w:r w:rsidRPr="00E45302">
        <w:rPr>
          <w:rFonts w:ascii="Century Gothic" w:hAnsi="Century Gothic" w:cs="Arial"/>
          <w:lang w:val="es-ES"/>
        </w:rPr>
        <w:t xml:space="preserve"> competencia para </w:t>
      </w:r>
      <w:r>
        <w:rPr>
          <w:rFonts w:ascii="Century Gothic" w:hAnsi="Century Gothic" w:cs="Arial"/>
        </w:rPr>
        <w:t>definir el alcance interpretativo que se le pudiera otorgar al artículo 86 de la Ley 1474 de 2011</w:t>
      </w:r>
      <w:r w:rsidRPr="00E45302">
        <w:rPr>
          <w:rFonts w:ascii="Century Gothic" w:hAnsi="Century Gothic" w:cs="Arial"/>
        </w:rPr>
        <w:t xml:space="preserve">, </w:t>
      </w:r>
      <w:r>
        <w:rPr>
          <w:rFonts w:ascii="Century Gothic" w:hAnsi="Century Gothic" w:cs="Arial"/>
        </w:rPr>
        <w:t>sin que estos se dispongan como lineamientos obligatorios, en el efecto de disponer la cuantificación de los perjuicios</w:t>
      </w:r>
      <w:r w:rsidRPr="00E45302">
        <w:rPr>
          <w:rFonts w:ascii="Century Gothic" w:hAnsi="Century Gothic" w:cs="Arial"/>
        </w:rPr>
        <w:t>.</w:t>
      </w:r>
      <w:r w:rsidRPr="00E45302">
        <w:rPr>
          <w:rFonts w:ascii="Century Gothic" w:hAnsi="Century Gothic" w:cs="Arial"/>
          <w:lang w:val="es-ES"/>
        </w:rPr>
        <w:t xml:space="preserve"> </w:t>
      </w:r>
    </w:p>
    <w:p w:rsidR="00CB1A55" w:rsidP="00CB1A55" w:rsidRDefault="00CB1A55" w14:paraId="366582B9" w14:textId="033F1BF6">
      <w:pPr>
        <w:spacing w:after="120" w:line="276" w:lineRule="auto"/>
        <w:ind w:firstLine="708"/>
        <w:jc w:val="both"/>
        <w:rPr>
          <w:rFonts w:ascii="Century Gothic" w:hAnsi="Century Gothic" w:cs="Arial"/>
        </w:rPr>
      </w:pPr>
      <w:r w:rsidRPr="00E45302">
        <w:rPr>
          <w:rFonts w:ascii="Century Gothic" w:hAnsi="Century Gothic" w:cs="Arial"/>
          <w:lang w:val="es-ES_tradnl"/>
        </w:rPr>
        <w:t xml:space="preserve">Sin perjuicio de lo anterior, </w:t>
      </w:r>
      <w:r w:rsidRPr="00890FCC">
        <w:rPr>
          <w:rFonts w:ascii="Century Gothic" w:hAnsi="Century Gothic" w:cs="Arial"/>
          <w:bCs/>
          <w:color w:val="000000" w:themeColor="text1"/>
          <w:lang w:val="es-ES_tradnl"/>
        </w:rPr>
        <w:t xml:space="preserve">Como se mencionó anteriormente, la cláusula penal es una tasación anticipada de perjuicios, y se pueden presentar dos situaciones: i) el monto estipulado no cubre los perjuicios ocasionados por el incumplimiento, o ii) el monto estipulado puede resultar excesivo, considerando que puede presentarse una ejecución parcial del contrato, para el primer caso, se debe acudir al juez, demostrar el monto de los daños sufridos y solicitar una reparación plena, sin perjuicio de que se pueda declarar el siniestro y el cobro de la cláusula penal, en caso tal de que hayan pactado dicha posibilidad en el contrato, en el segundo caso, el artículo 1596 del Código Civil establece que: </w:t>
      </w:r>
      <w:r w:rsidRPr="00890FCC">
        <w:rPr>
          <w:rFonts w:ascii="Century Gothic" w:hAnsi="Century Gothic" w:cs="Arial"/>
        </w:rPr>
        <w:t>“Si el deudor cumple solamente una parte de la obligación principal y el acreedor acepta esta parte, tendrá derecho para que se rebaje proporcionalmente la pena estipulada por falta de cumplimiento de la obligación principal.”, en este caso, la entidad que pretende dar aplicación de la cláusula penal deberá determinar los perjuicios en atención a razones objetivas, razonables y proporcionales de acuerdo a los sucesos de los hechos.</w:t>
      </w:r>
    </w:p>
    <w:p w:rsidRPr="00890FCC" w:rsidR="00CB1A55" w:rsidP="00CB1A55" w:rsidRDefault="00CB1A55" w14:paraId="6F54CD1E" w14:textId="77777777">
      <w:pPr>
        <w:spacing w:line="276" w:lineRule="auto"/>
        <w:ind w:firstLine="708"/>
        <w:contextualSpacing/>
        <w:jc w:val="both"/>
        <w:rPr>
          <w:rFonts w:ascii="Century Gothic" w:hAnsi="Century Gothic" w:cs="Arial"/>
        </w:rPr>
      </w:pPr>
      <w:r>
        <w:rPr>
          <w:rFonts w:ascii="Century Gothic" w:hAnsi="Century Gothic" w:cs="Arial"/>
        </w:rPr>
        <w:t xml:space="preserve">Conclusión que se deriva del alcance de la competencia que dispone el artículo 17 de la Ley 1150 de 2007, la cual solo abarca imponer multas yla posibilidad de hacer efectiva la cláusula penal, previa declaración de incumplimiento. Tal limitación de la potestad sancionatoria de la entidad contratante supone que las reclamaciones referentes a perjuicios ocasionados en exceso del monto de la cláusula penal– en el marco de contratos en los que no aplique la regla supletiva del artículo 1600 del Código Civil–, son asuntos que deben ser dirimidos por el juez natural del contrato. </w:t>
      </w:r>
    </w:p>
    <w:p w:rsidRPr="00DD4C6C" w:rsidR="00CB1A55" w:rsidP="00CB1A55" w:rsidRDefault="00CB1A55" w14:paraId="234DF6E7" w14:textId="77777777">
      <w:pPr>
        <w:spacing w:after="120" w:line="276" w:lineRule="auto"/>
        <w:ind w:firstLine="708"/>
        <w:jc w:val="both"/>
        <w:rPr>
          <w:rFonts w:ascii="Century Gothic" w:hAnsi="Century Gothic" w:cs="Arial"/>
        </w:rPr>
      </w:pPr>
    </w:p>
    <w:p w:rsidRPr="00E45302" w:rsidR="00CB1A55" w:rsidP="00CB1A55" w:rsidRDefault="00CB1A55" w14:paraId="0105D144" w14:textId="77777777">
      <w:pPr>
        <w:spacing w:line="276" w:lineRule="auto"/>
        <w:jc w:val="both"/>
        <w:rPr>
          <w:rFonts w:ascii="Century Gothic" w:hAnsi="Century Gothic" w:cs="Arial"/>
          <w:sz w:val="22"/>
          <w:szCs w:val="22"/>
          <w:lang w:val="es-ES_tradnl"/>
        </w:rPr>
      </w:pPr>
      <w:r w:rsidRPr="00E45302">
        <w:rPr>
          <w:rFonts w:ascii="Century Gothic" w:hAnsi="Century Gothic" w:cs="Arial"/>
          <w:lang w:val="es-ES_tradnl"/>
        </w:rPr>
        <w:t>Este concepto tiene el alcance previsto en el artículo 28 del Código de Procedimiento Administrativo y de lo Contencioso Administrativo</w:t>
      </w:r>
      <w:r>
        <w:rPr>
          <w:rFonts w:ascii="Century Gothic" w:hAnsi="Century Gothic" w:cs="Arial"/>
          <w:lang w:val="es-ES_tradnl"/>
        </w:rPr>
        <w:t>.</w:t>
      </w:r>
    </w:p>
    <w:p w:rsidRPr="00472B95" w:rsidR="00CB1A55" w:rsidP="00CB1A55" w:rsidRDefault="00CB1A55" w14:paraId="5739CCE8" w14:textId="77777777">
      <w:pPr>
        <w:widowControl w:val="0"/>
        <w:autoSpaceDE w:val="0"/>
        <w:autoSpaceDN w:val="0"/>
        <w:spacing w:line="276" w:lineRule="auto"/>
        <w:jc w:val="both"/>
        <w:rPr>
          <w:rFonts w:ascii="Century Gothic" w:hAnsi="Century Gothic" w:cs="Arial"/>
          <w:color w:val="000000" w:themeColor="text1"/>
        </w:rPr>
      </w:pPr>
    </w:p>
    <w:p w:rsidRPr="00472B95" w:rsidR="00CB1A55" w:rsidP="00CB1A55" w:rsidRDefault="00CB1A55" w14:paraId="5F76CAC1" w14:textId="27799276">
      <w:pPr>
        <w:rPr>
          <w:rFonts w:ascii="Century Gothic" w:hAnsi="Century Gothic" w:cs="Arial"/>
          <w:color w:val="000000" w:themeColor="text1"/>
          <w:lang w:eastAsia="es-CO"/>
        </w:rPr>
      </w:pPr>
      <w:r w:rsidRPr="00472B95">
        <w:rPr>
          <w:rFonts w:ascii="Century Gothic" w:hAnsi="Century Gothic" w:cs="Arial"/>
          <w:color w:val="000000" w:themeColor="text1"/>
          <w:lang w:eastAsia="es-CO"/>
        </w:rPr>
        <w:t>Atentamente,</w:t>
      </w:r>
    </w:p>
    <w:p w:rsidRPr="00472B95" w:rsidR="00CB1A55" w:rsidP="00CB1A55" w:rsidRDefault="00B606C0" w14:paraId="6B4D37AF" w14:textId="7DF46E4A">
      <w:pPr>
        <w:spacing w:line="276" w:lineRule="auto"/>
        <w:jc w:val="center"/>
        <w:rPr>
          <w:rFonts w:ascii="Century Gothic" w:hAnsi="Century Gothic" w:cs="Arial"/>
          <w:color w:val="000000" w:themeColor="text1"/>
          <w:lang w:val="es-ES_tradnl" w:eastAsia="es-CO"/>
        </w:rPr>
      </w:pPr>
      <w:r>
        <w:rPr>
          <w:noProof/>
        </w:rPr>
        <w:drawing>
          <wp:inline distT="0" distB="0" distL="0" distR="0" wp14:anchorId="2537FA48" wp14:editId="6F89571F">
            <wp:extent cx="3152381" cy="1209524"/>
            <wp:effectExtent l="0" t="0" r="0" b="0"/>
            <wp:docPr id="4805421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42198" name=""/>
                    <pic:cNvPicPr/>
                  </pic:nvPicPr>
                  <pic:blipFill>
                    <a:blip r:embed="rId12"/>
                    <a:stretch>
                      <a:fillRect/>
                    </a:stretch>
                  </pic:blipFill>
                  <pic:spPr>
                    <a:xfrm>
                      <a:off x="0" y="0"/>
                      <a:ext cx="3152381" cy="1209524"/>
                    </a:xfrm>
                    <a:prstGeom prst="rect">
                      <a:avLst/>
                    </a:prstGeom>
                  </pic:spPr>
                </pic:pic>
              </a:graphicData>
            </a:graphic>
          </wp:inline>
        </w:drawing>
      </w:r>
    </w:p>
    <w:p w:rsidRPr="00472B95" w:rsidR="00CB1A55" w:rsidP="00CB1A55" w:rsidRDefault="00CB1A55" w14:paraId="0C5E3228" w14:textId="77777777">
      <w:pPr>
        <w:rPr>
          <w:rFonts w:ascii="Century Gothic" w:hAnsi="Century Gothic" w:cs="Arial"/>
          <w:color w:val="000000" w:themeColor="text1"/>
          <w:lang w:eastAsia="es-ES"/>
        </w:rPr>
      </w:pPr>
    </w:p>
    <w:tbl>
      <w:tblPr>
        <w:tblStyle w:val="Tablaconcuadrcula"/>
        <w:tblW w:w="0" w:type="auto"/>
        <w:tblLook w:val="04A0" w:firstRow="1" w:lastRow="0" w:firstColumn="1" w:lastColumn="0" w:noHBand="0" w:noVBand="1"/>
      </w:tblPr>
      <w:tblGrid>
        <w:gridCol w:w="855"/>
        <w:gridCol w:w="4957"/>
      </w:tblGrid>
      <w:tr w:rsidRPr="00472B95" w:rsidR="00CB1A55" w:rsidTr="001F0E9A" w14:paraId="5CDC043F" w14:textId="77777777">
        <w:trPr>
          <w:trHeight w:val="315"/>
        </w:trPr>
        <w:tc>
          <w:tcPr>
            <w:tcW w:w="855" w:type="dxa"/>
            <w:tcBorders>
              <w:top w:val="nil"/>
              <w:left w:val="nil"/>
              <w:bottom w:val="nil"/>
              <w:right w:val="nil"/>
            </w:tcBorders>
            <w:vAlign w:val="center"/>
            <w:hideMark/>
          </w:tcPr>
          <w:p w:rsidRPr="00472B95" w:rsidR="00CB1A55" w:rsidP="001F0E9A" w:rsidRDefault="00CB1A55" w14:paraId="14B6EC7F" w14:textId="77777777">
            <w:pPr>
              <w:rPr>
                <w:rFonts w:ascii="Century Gothic" w:hAnsi="Century Gothic" w:cs="Arial"/>
                <w:color w:val="000000" w:themeColor="text1"/>
                <w:sz w:val="16"/>
                <w:szCs w:val="16"/>
                <w:lang w:val="es-ES" w:eastAsia="es-ES"/>
              </w:rPr>
            </w:pPr>
            <w:r w:rsidRPr="00472B95">
              <w:rPr>
                <w:rFonts w:ascii="Century Gothic" w:hAnsi="Century Gothic" w:cs="Arial"/>
                <w:color w:val="000000" w:themeColor="text1"/>
                <w:sz w:val="16"/>
                <w:szCs w:val="16"/>
                <w:lang w:val="es-ES" w:eastAsia="es-ES"/>
              </w:rPr>
              <w:t>Elaboró:</w:t>
            </w:r>
          </w:p>
        </w:tc>
        <w:tc>
          <w:tcPr>
            <w:tcW w:w="4957" w:type="dxa"/>
            <w:tcBorders>
              <w:top w:val="nil"/>
              <w:left w:val="nil"/>
              <w:bottom w:val="dotted" w:color="7F7F7F" w:themeColor="text1" w:themeTint="80" w:sz="4" w:space="0"/>
              <w:right w:val="nil"/>
            </w:tcBorders>
            <w:vAlign w:val="center"/>
            <w:hideMark/>
          </w:tcPr>
          <w:p w:rsidRPr="00472B95" w:rsidR="00CB1A55" w:rsidP="001F0E9A" w:rsidRDefault="00CB1A55" w14:paraId="489B6DF2" w14:textId="77777777">
            <w:pPr>
              <w:rPr>
                <w:rFonts w:ascii="Century Gothic" w:hAnsi="Century Gothic" w:eastAsia="Calibri" w:cs="Arial"/>
                <w:color w:val="000000" w:themeColor="text1"/>
                <w:sz w:val="16"/>
                <w:szCs w:val="16"/>
                <w:lang w:val="es-ES_tradnl" w:eastAsia="es-ES"/>
              </w:rPr>
            </w:pPr>
            <w:r w:rsidRPr="00472B95">
              <w:rPr>
                <w:rFonts w:ascii="Century Gothic" w:hAnsi="Century Gothic" w:eastAsia="Calibri" w:cs="Arial"/>
                <w:color w:val="000000" w:themeColor="text1"/>
                <w:sz w:val="16"/>
                <w:szCs w:val="16"/>
                <w:lang w:val="es-ES_tradnl" w:eastAsia="es-ES"/>
              </w:rPr>
              <w:t>Jorge Mario Payares Villa</w:t>
            </w:r>
          </w:p>
          <w:p w:rsidRPr="00472B95" w:rsidR="00CB1A55" w:rsidP="001F0E9A" w:rsidRDefault="00CB1A55" w14:paraId="0DD5C465" w14:textId="77777777">
            <w:pPr>
              <w:rPr>
                <w:rFonts w:ascii="Century Gothic" w:hAnsi="Century Gothic" w:cs="Arial"/>
                <w:color w:val="000000" w:themeColor="text1"/>
                <w:sz w:val="16"/>
                <w:szCs w:val="16"/>
                <w:lang w:val="es-ES" w:eastAsia="es-ES"/>
              </w:rPr>
            </w:pPr>
            <w:r w:rsidRPr="00472B95">
              <w:rPr>
                <w:rFonts w:ascii="Century Gothic" w:hAnsi="Century Gothic" w:eastAsia="Calibri" w:cs="Arial"/>
                <w:color w:val="000000" w:themeColor="text1"/>
                <w:sz w:val="16"/>
                <w:szCs w:val="16"/>
                <w:lang w:val="es-ES_tradnl" w:eastAsia="es-ES"/>
              </w:rPr>
              <w:t xml:space="preserve">Contratista </w:t>
            </w:r>
            <w:r w:rsidRPr="00472B95">
              <w:rPr>
                <w:rFonts w:ascii="Century Gothic" w:hAnsi="Century Gothic" w:cs="Arial"/>
                <w:color w:val="000000" w:themeColor="text1"/>
                <w:sz w:val="16"/>
                <w:szCs w:val="16"/>
                <w:lang w:val="es-ES" w:eastAsia="es-ES"/>
              </w:rPr>
              <w:t>de la Subdirección de Gestión Contractual</w:t>
            </w:r>
          </w:p>
        </w:tc>
      </w:tr>
      <w:tr w:rsidRPr="00472B95" w:rsidR="00CB1A55" w:rsidTr="001F0E9A" w14:paraId="4F533265" w14:textId="77777777">
        <w:trPr>
          <w:trHeight w:val="330"/>
        </w:trPr>
        <w:tc>
          <w:tcPr>
            <w:tcW w:w="855" w:type="dxa"/>
            <w:tcBorders>
              <w:top w:val="nil"/>
              <w:left w:val="nil"/>
              <w:bottom w:val="nil"/>
              <w:right w:val="nil"/>
            </w:tcBorders>
            <w:vAlign w:val="center"/>
            <w:hideMark/>
          </w:tcPr>
          <w:p w:rsidRPr="00472B95" w:rsidR="00CB1A55" w:rsidP="001F0E9A" w:rsidRDefault="00CB1A55" w14:paraId="7F9BCF82" w14:textId="77777777">
            <w:pPr>
              <w:rPr>
                <w:rFonts w:ascii="Century Gothic" w:hAnsi="Century Gothic" w:cs="Arial"/>
                <w:color w:val="000000" w:themeColor="text1"/>
                <w:sz w:val="16"/>
                <w:szCs w:val="16"/>
                <w:lang w:val="es-ES" w:eastAsia="es-ES"/>
              </w:rPr>
            </w:pPr>
            <w:r w:rsidRPr="00472B95">
              <w:rPr>
                <w:rFonts w:ascii="Century Gothic" w:hAnsi="Century Gothic" w:cs="Arial"/>
                <w:color w:val="000000" w:themeColor="text1"/>
                <w:sz w:val="16"/>
                <w:szCs w:val="16"/>
                <w:lang w:val="es-ES" w:eastAsia="es-ES"/>
              </w:rPr>
              <w:t>Revisó:</w:t>
            </w:r>
          </w:p>
        </w:tc>
        <w:tc>
          <w:tcPr>
            <w:tcW w:w="4957" w:type="dxa"/>
            <w:tcBorders>
              <w:top w:val="dotted" w:color="7F7F7F" w:themeColor="text1" w:themeTint="80" w:sz="4" w:space="0"/>
              <w:left w:val="nil"/>
              <w:bottom w:val="dotted" w:color="7F7F7F" w:themeColor="text1" w:themeTint="80" w:sz="4" w:space="0"/>
              <w:right w:val="nil"/>
            </w:tcBorders>
            <w:vAlign w:val="center"/>
            <w:hideMark/>
          </w:tcPr>
          <w:p w:rsidRPr="00472B95" w:rsidR="00CB1A55" w:rsidP="001F0E9A" w:rsidRDefault="00CB1A55" w14:paraId="17749A47" w14:textId="77777777">
            <w:pPr>
              <w:rPr>
                <w:rFonts w:ascii="Century Gothic" w:hAnsi="Century Gothic" w:eastAsia="Calibri" w:cs="Arial"/>
                <w:color w:val="000000" w:themeColor="text1"/>
                <w:sz w:val="16"/>
                <w:szCs w:val="16"/>
                <w:lang w:val="es-ES_tradnl" w:eastAsia="es-ES"/>
              </w:rPr>
            </w:pPr>
            <w:r w:rsidRPr="00472B95">
              <w:rPr>
                <w:rFonts w:ascii="Century Gothic" w:hAnsi="Century Gothic" w:eastAsia="Calibri" w:cs="Arial"/>
                <w:color w:val="000000" w:themeColor="text1"/>
                <w:sz w:val="16"/>
                <w:szCs w:val="16"/>
                <w:lang w:val="es-ES_tradnl" w:eastAsia="es-ES"/>
              </w:rPr>
              <w:t>Alejandro Sarmiento Cantillo</w:t>
            </w:r>
          </w:p>
          <w:p w:rsidRPr="00472B95" w:rsidR="00CB1A55" w:rsidP="001F0E9A" w:rsidRDefault="00CB1A55" w14:paraId="6F4F4692" w14:textId="77777777">
            <w:pPr>
              <w:rPr>
                <w:rFonts w:ascii="Century Gothic" w:hAnsi="Century Gothic" w:cs="Arial"/>
                <w:color w:val="000000" w:themeColor="text1"/>
                <w:sz w:val="16"/>
                <w:szCs w:val="16"/>
                <w:lang w:val="es-ES" w:eastAsia="es-ES"/>
              </w:rPr>
            </w:pPr>
            <w:r w:rsidRPr="6566858C">
              <w:rPr>
                <w:rFonts w:ascii="Century Gothic" w:hAnsi="Century Gothic" w:eastAsia="Calibri" w:cs="Arial"/>
                <w:color w:val="000000" w:themeColor="text1"/>
                <w:sz w:val="16"/>
                <w:szCs w:val="16"/>
                <w:lang w:val="es-ES" w:eastAsia="es-ES"/>
              </w:rPr>
              <w:t xml:space="preserve">Gestor T1-15 </w:t>
            </w:r>
            <w:r w:rsidRPr="6566858C">
              <w:rPr>
                <w:rFonts w:ascii="Century Gothic" w:hAnsi="Century Gothic" w:cs="Arial"/>
                <w:color w:val="000000" w:themeColor="text1"/>
                <w:sz w:val="16"/>
                <w:szCs w:val="16"/>
                <w:lang w:val="es-ES" w:eastAsia="es-ES"/>
              </w:rPr>
              <w:t xml:space="preserve">de la Subdirección de Gestión Contractual </w:t>
            </w:r>
          </w:p>
        </w:tc>
      </w:tr>
      <w:tr w:rsidRPr="00472B95" w:rsidR="00CB1A55" w:rsidTr="001F0E9A" w14:paraId="4DAEADA8" w14:textId="77777777">
        <w:trPr>
          <w:trHeight w:val="300"/>
        </w:trPr>
        <w:tc>
          <w:tcPr>
            <w:tcW w:w="855" w:type="dxa"/>
            <w:tcBorders>
              <w:top w:val="nil"/>
              <w:left w:val="nil"/>
              <w:bottom w:val="nil"/>
              <w:right w:val="nil"/>
            </w:tcBorders>
            <w:vAlign w:val="center"/>
          </w:tcPr>
          <w:p w:rsidRPr="00472B95" w:rsidR="00CB1A55" w:rsidP="001F0E9A" w:rsidRDefault="00CB1A55" w14:paraId="45C12123" w14:textId="77777777">
            <w:pPr>
              <w:rPr>
                <w:rFonts w:ascii="Century Gothic" w:hAnsi="Century Gothic" w:cs="Arial"/>
                <w:color w:val="000000" w:themeColor="text1"/>
                <w:sz w:val="16"/>
                <w:szCs w:val="16"/>
                <w:lang w:val="es-ES" w:eastAsia="es-ES"/>
              </w:rPr>
            </w:pPr>
            <w:r w:rsidRPr="00472B95">
              <w:rPr>
                <w:rFonts w:ascii="Century Gothic" w:hAnsi="Century Gothic" w:cs="Arial"/>
                <w:color w:val="000000" w:themeColor="text1"/>
                <w:sz w:val="16"/>
                <w:szCs w:val="16"/>
                <w:lang w:val="es-ES" w:eastAsia="es-ES"/>
              </w:rPr>
              <w:t>Aprobó:</w:t>
            </w:r>
          </w:p>
        </w:tc>
        <w:tc>
          <w:tcPr>
            <w:tcW w:w="4957" w:type="dxa"/>
            <w:tcBorders>
              <w:top w:val="dotted" w:color="7F7F7F" w:themeColor="text1" w:themeTint="80" w:sz="4" w:space="0"/>
              <w:left w:val="nil"/>
              <w:bottom w:val="dotted" w:color="7F7F7F" w:themeColor="text1" w:themeTint="80" w:sz="4" w:space="0"/>
              <w:right w:val="nil"/>
            </w:tcBorders>
            <w:vAlign w:val="center"/>
          </w:tcPr>
          <w:p w:rsidRPr="00472B95" w:rsidR="00CB1A55" w:rsidP="001F0E9A" w:rsidRDefault="00CB1A55" w14:paraId="1D210A64" w14:textId="77777777">
            <w:pPr>
              <w:rPr>
                <w:rFonts w:ascii="Century Gothic" w:hAnsi="Century Gothic" w:eastAsia="Calibri" w:cs="Arial"/>
                <w:color w:val="000000" w:themeColor="text1"/>
                <w:sz w:val="16"/>
                <w:szCs w:val="16"/>
                <w:lang w:val="pt-BR" w:eastAsia="es-ES"/>
              </w:rPr>
            </w:pPr>
            <w:r w:rsidRPr="00472B95">
              <w:rPr>
                <w:rFonts w:ascii="Century Gothic" w:hAnsi="Century Gothic" w:eastAsia="Calibri" w:cs="Arial"/>
                <w:color w:val="000000" w:themeColor="text1"/>
                <w:sz w:val="16"/>
                <w:szCs w:val="16"/>
                <w:lang w:val="pt-BR" w:eastAsia="es-ES"/>
              </w:rPr>
              <w:t>Nohelia del Carmen Zawady Palacio</w:t>
            </w:r>
          </w:p>
          <w:p w:rsidRPr="00472B95" w:rsidR="00CB1A55" w:rsidP="001F0E9A" w:rsidRDefault="00CB1A55" w14:paraId="17986D88" w14:textId="77777777">
            <w:pPr>
              <w:rPr>
                <w:rFonts w:ascii="Century Gothic" w:hAnsi="Century Gothic" w:eastAsia="Calibri" w:cs="Arial"/>
                <w:color w:val="000000" w:themeColor="text1"/>
                <w:sz w:val="16"/>
                <w:szCs w:val="16"/>
                <w:lang w:val="pt-BR" w:eastAsia="es-ES"/>
              </w:rPr>
            </w:pPr>
            <w:r w:rsidRPr="00472B95">
              <w:rPr>
                <w:rFonts w:ascii="Century Gothic" w:hAnsi="Century Gothic" w:eastAsia="Calibri" w:cs="Arial"/>
                <w:color w:val="000000" w:themeColor="text1"/>
                <w:sz w:val="16"/>
                <w:szCs w:val="16"/>
                <w:lang w:eastAsia="es-ES"/>
              </w:rPr>
              <w:t>Subdirectora</w:t>
            </w:r>
            <w:r w:rsidRPr="00472B95">
              <w:rPr>
                <w:rFonts w:ascii="Century Gothic" w:hAnsi="Century Gothic" w:eastAsia="Calibri" w:cs="Arial"/>
                <w:color w:val="000000" w:themeColor="text1"/>
                <w:sz w:val="16"/>
                <w:szCs w:val="16"/>
                <w:lang w:val="pt-BR" w:eastAsia="es-ES"/>
              </w:rPr>
              <w:t xml:space="preserve"> de Gestión Contractual ANCP – CCE</w:t>
            </w:r>
          </w:p>
        </w:tc>
      </w:tr>
    </w:tbl>
    <w:p w:rsidRPr="00E45302" w:rsidR="00FB347B" w:rsidP="00282995" w:rsidRDefault="00FB347B" w14:paraId="605AEBAD" w14:textId="77777777">
      <w:pPr>
        <w:jc w:val="both"/>
        <w:rPr>
          <w:rFonts w:ascii="Century Gothic" w:hAnsi="Century Gothic" w:cs="Arial"/>
        </w:rPr>
      </w:pPr>
    </w:p>
    <w:sectPr w:rsidRPr="00E45302" w:rsidR="00FB347B" w:rsidSect="00FC0252">
      <w:headerReference w:type="default" r:id="rId13"/>
      <w:footerReference w:type="default" r:id="rId14"/>
      <w:pgSz w:w="12240" w:h="15840" w:code="1"/>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2D43" w:rsidP="00950DF7" w:rsidRDefault="000D2D43" w14:paraId="38539A3C" w14:textId="77777777">
      <w:r>
        <w:separator/>
      </w:r>
    </w:p>
  </w:endnote>
  <w:endnote w:type="continuationSeparator" w:id="0">
    <w:p w:rsidR="000D2D43" w:rsidP="00950DF7" w:rsidRDefault="000D2D43" w14:paraId="09039C00" w14:textId="77777777">
      <w:r>
        <w:continuationSeparator/>
      </w:r>
    </w:p>
  </w:endnote>
  <w:endnote w:type="continuationNotice" w:id="1">
    <w:p w:rsidR="000D2D43" w:rsidRDefault="000D2D43" w14:paraId="75D380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C0252" w:rsidP="00FC0252" w:rsidRDefault="00FC0252" w14:paraId="56E643FC" w14:textId="77777777">
    <w:pPr>
      <w:pStyle w:val="Piedepgina"/>
    </w:pPr>
    <w:r>
      <w:rPr>
        <w:noProof/>
      </w:rPr>
      <w:drawing>
        <wp:inline distT="0" distB="0" distL="0" distR="0" wp14:anchorId="62A5DDD2" wp14:editId="103BABFD">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rPr>
      <w:drawing>
        <wp:anchor distT="0" distB="0" distL="114300" distR="114300" simplePos="0" relativeHeight="251658240" behindDoc="0" locked="0" layoutInCell="1" allowOverlap="1" wp14:anchorId="5C41D58F" wp14:editId="64AAC82E">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0252" w14:paraId="6CBE64F4"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0252" w:rsidP="00FC0252" w:rsidRDefault="00FC0252" w14:paraId="5ACB114F" w14:textId="77777777">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0252" w:rsidP="00FC0252" w:rsidRDefault="00FC0252" w14:paraId="3B63D9B8" w14:textId="77777777">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0252" w:rsidP="00FC0252" w:rsidRDefault="00FC0252" w14:paraId="00A42F68" w14:textId="77777777">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0252" w:rsidP="00FC0252" w:rsidRDefault="00FC0252" w14:paraId="35BB47CD" w14:textId="77777777">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sz w:val="16"/>
              <w:szCs w:val="16"/>
            </w:rPr>
            <w:t>2</w:t>
          </w:r>
          <w:r w:rsidRPr="003F3941">
            <w:rPr>
              <w:rFonts w:ascii="Century Gothic" w:hAnsi="Century Gothic"/>
              <w:b/>
              <w:bCs/>
              <w:sz w:val="16"/>
              <w:szCs w:val="16"/>
            </w:rPr>
            <w:fldChar w:fldCharType="end"/>
          </w:r>
        </w:p>
      </w:tc>
    </w:tr>
  </w:tbl>
  <w:p w:rsidRPr="00FC0252" w:rsidR="00950DF7" w:rsidP="00FC0252" w:rsidRDefault="00950DF7" w14:paraId="4AD1B6F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2D43" w:rsidP="00950DF7" w:rsidRDefault="000D2D43" w14:paraId="3088643B" w14:textId="77777777">
      <w:r>
        <w:separator/>
      </w:r>
    </w:p>
  </w:footnote>
  <w:footnote w:type="continuationSeparator" w:id="0">
    <w:p w:rsidR="000D2D43" w:rsidP="00950DF7" w:rsidRDefault="000D2D43" w14:paraId="0FED455A" w14:textId="77777777">
      <w:r>
        <w:continuationSeparator/>
      </w:r>
    </w:p>
  </w:footnote>
  <w:footnote w:type="continuationNotice" w:id="1">
    <w:p w:rsidR="000D2D43" w:rsidRDefault="000D2D43" w14:paraId="7E8B8B4F" w14:textId="77777777"/>
  </w:footnote>
  <w:footnote w:id="2">
    <w:p w:rsidRPr="00DF27FF" w:rsidR="00CB1A55" w:rsidP="00CB1A55" w:rsidRDefault="00CB1A55" w14:paraId="31D04068" w14:textId="77777777">
      <w:pPr>
        <w:pStyle w:val="Textonotapie"/>
        <w:ind w:firstLine="708"/>
        <w:jc w:val="both"/>
        <w:rPr>
          <w:rFonts w:ascii="Century Gothic" w:hAnsi="Century Gothic" w:cs="Arial"/>
          <w:sz w:val="16"/>
          <w:szCs w:val="16"/>
          <w:lang w:val="es-ES"/>
        </w:rPr>
      </w:pPr>
      <w:r w:rsidRPr="00DF27FF">
        <w:rPr>
          <w:rFonts w:ascii="Century Gothic" w:hAnsi="Century Gothic" w:eastAsia="Calibri" w:cs="Arial"/>
          <w:sz w:val="16"/>
          <w:szCs w:val="16"/>
          <w:vertAlign w:val="superscript"/>
          <w:lang w:val="es-ES" w:eastAsia="es-ES_tradnl"/>
        </w:rPr>
        <w:footnoteRef/>
      </w:r>
      <w:r w:rsidRPr="00DF27FF">
        <w:rPr>
          <w:rFonts w:ascii="Century Gothic" w:hAnsi="Century Gothic" w:eastAsia="Calibri" w:cs="Arial"/>
          <w:sz w:val="16"/>
          <w:szCs w:val="16"/>
          <w:lang w:val="es-ES" w:eastAsia="es-ES_tradnl"/>
        </w:rPr>
        <w:t xml:space="preserve"> La Agencia Nacional de Contratación Pública </w:t>
      </w:r>
      <w:r w:rsidRPr="00DF27FF">
        <w:rPr>
          <w:rFonts w:ascii="Arial" w:hAnsi="Arial" w:eastAsia="Calibri" w:cs="Arial"/>
          <w:sz w:val="16"/>
          <w:szCs w:val="16"/>
          <w:lang w:val="es-ES" w:eastAsia="es-ES_tradnl"/>
        </w:rPr>
        <w:t>‒</w:t>
      </w:r>
      <w:r w:rsidRPr="00DF27FF">
        <w:rPr>
          <w:rFonts w:ascii="Century Gothic" w:hAnsi="Century Gothic" w:eastAsia="Calibri" w:cs="Arial"/>
          <w:sz w:val="16"/>
          <w:szCs w:val="16"/>
          <w:lang w:val="es-ES" w:eastAsia="es-ES_tradnl"/>
        </w:rPr>
        <w:t xml:space="preserve"> Colombia Compra Eficiente fue creada por el Decreto Ley 4170 de 2011. Su objetivo es servir como ente rector de la pol</w:t>
      </w:r>
      <w:r w:rsidRPr="00DF27FF">
        <w:rPr>
          <w:rFonts w:ascii="Century Gothic" w:hAnsi="Century Gothic" w:eastAsia="Calibri" w:cs="Century Gothic"/>
          <w:sz w:val="16"/>
          <w:szCs w:val="16"/>
          <w:lang w:val="es-ES" w:eastAsia="es-ES_tradnl"/>
        </w:rPr>
        <w:t>í</w:t>
      </w:r>
      <w:r w:rsidRPr="00DF27FF">
        <w:rPr>
          <w:rFonts w:ascii="Century Gothic" w:hAnsi="Century Gothic" w:eastAsia="Calibri" w:cs="Arial"/>
          <w:sz w:val="16"/>
          <w:szCs w:val="16"/>
          <w:lang w:val="es-ES" w:eastAsia="es-ES_tradnl"/>
        </w:rPr>
        <w:t>tica de compras y contrataci</w:t>
      </w:r>
      <w:r w:rsidRPr="00DF27FF">
        <w:rPr>
          <w:rFonts w:ascii="Century Gothic" w:hAnsi="Century Gothic" w:eastAsia="Calibri" w:cs="Century Gothic"/>
          <w:sz w:val="16"/>
          <w:szCs w:val="16"/>
          <w:lang w:val="es-ES" w:eastAsia="es-ES_tradnl"/>
        </w:rPr>
        <w:t>ó</w:t>
      </w:r>
      <w:r w:rsidRPr="00DF27FF">
        <w:rPr>
          <w:rFonts w:ascii="Century Gothic" w:hAnsi="Century Gothic" w:eastAsia="Calibri" w:cs="Arial"/>
          <w:sz w:val="16"/>
          <w:szCs w:val="16"/>
          <w:lang w:val="es-ES" w:eastAsia="es-ES_tradnl"/>
        </w:rPr>
        <w:t xml:space="preserve">n del Estado. Para tales fines, como </w:t>
      </w:r>
      <w:r w:rsidRPr="00DF27FF">
        <w:rPr>
          <w:rFonts w:ascii="Century Gothic" w:hAnsi="Century Gothic" w:eastAsia="Calibri" w:cs="Century Gothic"/>
          <w:sz w:val="16"/>
          <w:szCs w:val="16"/>
          <w:lang w:val="es-ES" w:eastAsia="es-ES_tradnl"/>
        </w:rPr>
        <w:t>ó</w:t>
      </w:r>
      <w:r w:rsidRPr="00DF27FF">
        <w:rPr>
          <w:rFonts w:ascii="Century Gothic" w:hAnsi="Century Gothic" w:eastAsia="Calibri" w:cs="Arial"/>
          <w:sz w:val="16"/>
          <w:szCs w:val="16"/>
          <w:lang w:val="es-ES" w:eastAsia="es-ES_tradnl"/>
        </w:rPr>
        <w:t>rgano t</w:t>
      </w:r>
      <w:r w:rsidRPr="00DF27FF">
        <w:rPr>
          <w:rFonts w:ascii="Century Gothic" w:hAnsi="Century Gothic" w:eastAsia="Calibri" w:cs="Century Gothic"/>
          <w:sz w:val="16"/>
          <w:szCs w:val="16"/>
          <w:lang w:val="es-ES" w:eastAsia="es-ES_tradnl"/>
        </w:rPr>
        <w:t>é</w:t>
      </w:r>
      <w:r w:rsidRPr="00DF27FF">
        <w:rPr>
          <w:rFonts w:ascii="Century Gothic" w:hAnsi="Century Gothic" w:eastAsia="Calibri" w:cs="Arial"/>
          <w:sz w:val="16"/>
          <w:szCs w:val="16"/>
          <w:lang w:val="es-ES" w:eastAsia="es-ES_tradnl"/>
        </w:rPr>
        <w:t>cnico especializado, le corresponde formular pol</w:t>
      </w:r>
      <w:r w:rsidRPr="00DF27FF">
        <w:rPr>
          <w:rFonts w:ascii="Century Gothic" w:hAnsi="Century Gothic" w:eastAsia="Calibri" w:cs="Century Gothic"/>
          <w:sz w:val="16"/>
          <w:szCs w:val="16"/>
          <w:lang w:val="es-ES" w:eastAsia="es-ES_tradnl"/>
        </w:rPr>
        <w:t>í</w:t>
      </w:r>
      <w:r w:rsidRPr="00DF27FF">
        <w:rPr>
          <w:rFonts w:ascii="Century Gothic" w:hAnsi="Century Gothic" w:eastAsia="Calibri" w:cs="Arial"/>
          <w:sz w:val="16"/>
          <w:szCs w:val="16"/>
          <w:lang w:val="es-ES" w:eastAsia="es-ES_tradnl"/>
        </w:rPr>
        <w:t>ticas p</w:t>
      </w:r>
      <w:r w:rsidRPr="00DF27FF">
        <w:rPr>
          <w:rFonts w:ascii="Century Gothic" w:hAnsi="Century Gothic" w:eastAsia="Calibri" w:cs="Century Gothic"/>
          <w:sz w:val="16"/>
          <w:szCs w:val="16"/>
          <w:lang w:val="es-ES" w:eastAsia="es-ES_tradnl"/>
        </w:rPr>
        <w:t>ú</w:t>
      </w:r>
      <w:r w:rsidRPr="00DF27FF">
        <w:rPr>
          <w:rFonts w:ascii="Century Gothic" w:hAnsi="Century Gothic" w:eastAsia="Calibri" w:cs="Arial"/>
          <w:sz w:val="16"/>
          <w:szCs w:val="16"/>
          <w:lang w:val="es-ES" w:eastAsia="es-ES_tradnl"/>
        </w:rPr>
        <w:t>blicas y normas y unificar los procesos de contrataci</w:t>
      </w:r>
      <w:r w:rsidRPr="00DF27FF">
        <w:rPr>
          <w:rFonts w:ascii="Century Gothic" w:hAnsi="Century Gothic" w:eastAsia="Calibri" w:cs="Century Gothic"/>
          <w:sz w:val="16"/>
          <w:szCs w:val="16"/>
          <w:lang w:val="es-ES" w:eastAsia="es-ES_tradnl"/>
        </w:rPr>
        <w:t>ó</w:t>
      </w:r>
      <w:r w:rsidRPr="00DF27FF">
        <w:rPr>
          <w:rFonts w:ascii="Century Gothic" w:hAnsi="Century Gothic" w:eastAsia="Calibri" w:cs="Arial"/>
          <w:sz w:val="16"/>
          <w:szCs w:val="16"/>
          <w:lang w:val="es-ES" w:eastAsia="es-ES_tradnl"/>
        </w:rPr>
        <w:t>n estatal, con el fin de lograr una mayor eficiencia, transparencia y optimizaci</w:t>
      </w:r>
      <w:r w:rsidRPr="00DF27FF">
        <w:rPr>
          <w:rFonts w:ascii="Century Gothic" w:hAnsi="Century Gothic" w:eastAsia="Calibri" w:cs="Century Gothic"/>
          <w:sz w:val="16"/>
          <w:szCs w:val="16"/>
          <w:lang w:val="es-ES" w:eastAsia="es-ES_tradnl"/>
        </w:rPr>
        <w:t>ó</w:t>
      </w:r>
      <w:r w:rsidRPr="00DF27FF">
        <w:rPr>
          <w:rFonts w:ascii="Century Gothic" w:hAnsi="Century Gothic" w:eastAsia="Calibri" w:cs="Arial"/>
          <w:sz w:val="16"/>
          <w:szCs w:val="16"/>
          <w:lang w:val="es-ES" w:eastAsia="es-ES_tradnl"/>
        </w:rPr>
        <w:t>n de los recursos del Estado. El art</w:t>
      </w:r>
      <w:r w:rsidRPr="00DF27FF">
        <w:rPr>
          <w:rFonts w:ascii="Century Gothic" w:hAnsi="Century Gothic" w:eastAsia="Calibri" w:cs="Century Gothic"/>
          <w:sz w:val="16"/>
          <w:szCs w:val="16"/>
          <w:lang w:val="es-ES" w:eastAsia="es-ES_tradnl"/>
        </w:rPr>
        <w:t>í</w:t>
      </w:r>
      <w:r w:rsidRPr="00DF27FF">
        <w:rPr>
          <w:rFonts w:ascii="Century Gothic" w:hAnsi="Century Gothic" w:eastAsia="Calibri" w:cs="Arial"/>
          <w:sz w:val="16"/>
          <w:szCs w:val="16"/>
          <w:lang w:val="es-ES" w:eastAsia="es-ES_tradnl"/>
        </w:rPr>
        <w:t>culo 3 ibidem se</w:t>
      </w:r>
      <w:r w:rsidRPr="00DF27FF">
        <w:rPr>
          <w:rFonts w:ascii="Century Gothic" w:hAnsi="Century Gothic" w:eastAsia="Calibri" w:cs="Century Gothic"/>
          <w:sz w:val="16"/>
          <w:szCs w:val="16"/>
          <w:lang w:val="es-ES" w:eastAsia="es-ES_tradnl"/>
        </w:rPr>
        <w:t>ñ</w:t>
      </w:r>
      <w:r w:rsidRPr="00DF27FF">
        <w:rPr>
          <w:rFonts w:ascii="Century Gothic" w:hAnsi="Century Gothic" w:eastAsia="Calibri" w:cs="Arial"/>
          <w:sz w:val="16"/>
          <w:szCs w:val="16"/>
          <w:lang w:val="es-ES" w:eastAsia="es-ES_tradnl"/>
        </w:rPr>
        <w:t>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rsidRPr="00DF27FF" w:rsidR="00CB1A55" w:rsidP="00CB1A55" w:rsidRDefault="00CB1A55" w14:paraId="1D43AC1A" w14:textId="77777777">
      <w:pPr>
        <w:pStyle w:val="Textonotapie"/>
        <w:ind w:firstLine="708"/>
        <w:jc w:val="both"/>
        <w:rPr>
          <w:rFonts w:ascii="Century Gothic" w:hAnsi="Century Gothic" w:cs="Arial"/>
          <w:sz w:val="16"/>
          <w:szCs w:val="16"/>
        </w:rPr>
      </w:pPr>
      <w:r w:rsidRPr="00DF27FF">
        <w:rPr>
          <w:rFonts w:ascii="Century Gothic" w:hAnsi="Century Gothic" w:cs="Arial"/>
          <w:sz w:val="16"/>
          <w:szCs w:val="16"/>
          <w:vertAlign w:val="superscript"/>
        </w:rPr>
        <w:footnoteRef/>
      </w:r>
      <w:r w:rsidRPr="00DF27FF">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DF27FF">
          <w:rPr>
            <w:rStyle w:val="Hipervnculo"/>
            <w:rFonts w:ascii="Century Gothic" w:hAnsi="Century Gothic" w:cs="Arial"/>
            <w:sz w:val="16"/>
            <w:szCs w:val="16"/>
          </w:rPr>
          <w:t>https://relatoria.colombiacompra.gov.co/busqueda/conceptos</w:t>
        </w:r>
      </w:hyperlink>
      <w:r w:rsidRPr="00DF27FF">
        <w:rPr>
          <w:rFonts w:ascii="Century Gothic" w:hAnsi="Century Gothic" w:cs="Arial"/>
          <w:sz w:val="16"/>
          <w:szCs w:val="16"/>
          <w:shd w:val="clear" w:color="auto" w:fill="E6E6E6"/>
        </w:rPr>
        <w:t xml:space="preserve"> </w:t>
      </w:r>
    </w:p>
  </w:footnote>
  <w:footnote w:id="4">
    <w:p w:rsidRPr="00DF27FF" w:rsidR="00CB1A55" w:rsidP="00CB1A55" w:rsidRDefault="00CB1A55" w14:paraId="482E1E83" w14:textId="77777777">
      <w:pPr>
        <w:pStyle w:val="Textonotapie"/>
        <w:ind w:firstLine="708"/>
        <w:jc w:val="both"/>
        <w:rPr>
          <w:rFonts w:ascii="Century Gothic" w:hAnsi="Century Gothic" w:cs="Arial"/>
          <w:sz w:val="16"/>
          <w:szCs w:val="16"/>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Motivo por el cual son típicas cláusulas accidentales dentro de los contratos estatales, en los términos del artículo 1501 del Código Civil.</w:t>
      </w:r>
    </w:p>
  </w:footnote>
  <w:footnote w:id="5">
    <w:p w:rsidRPr="00DF27FF" w:rsidR="00CB1A55" w:rsidP="00CB1A55" w:rsidRDefault="00CB1A55" w14:paraId="2C5562DB" w14:textId="77777777">
      <w:pPr>
        <w:pStyle w:val="Textonotapie"/>
        <w:ind w:firstLine="708"/>
        <w:jc w:val="both"/>
        <w:rPr>
          <w:rFonts w:ascii="Century Gothic" w:hAnsi="Century Gothic" w:cs="Arial"/>
          <w:sz w:val="16"/>
          <w:szCs w:val="16"/>
          <w:lang w:val="es-ES"/>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Consejo de Estado. Sección Tercera. Sentencia del 15 de noviembre de 2011. Rad. 20.916. Consejera Ponente: Olga Mélida Valle de la Hoz. </w:t>
      </w:r>
    </w:p>
  </w:footnote>
  <w:footnote w:id="6">
    <w:p w:rsidRPr="00DF27FF" w:rsidR="00CB1A55" w:rsidP="00CB1A55" w:rsidRDefault="00CB1A55" w14:paraId="62BE282C" w14:textId="77777777">
      <w:pPr>
        <w:pStyle w:val="Textonotapie"/>
        <w:ind w:firstLine="708"/>
        <w:jc w:val="both"/>
        <w:rPr>
          <w:rFonts w:ascii="Century Gothic" w:hAnsi="Century Gothic" w:cs="Arial"/>
          <w:sz w:val="16"/>
          <w:szCs w:val="16"/>
          <w:lang w:val="es-ES_tradnl"/>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Consejo de Estado</w:t>
      </w:r>
      <w:r w:rsidRPr="00DF27FF">
        <w:rPr>
          <w:rFonts w:ascii="Century Gothic" w:hAnsi="Century Gothic" w:cs="Arial"/>
          <w:sz w:val="16"/>
          <w:szCs w:val="16"/>
          <w:lang w:val="es-ES_tradnl"/>
        </w:rPr>
        <w:t xml:space="preserve">. Sección Tercera. Sentencia del 23 de junio de 2010. Rad. 16.367. Consejero Ponente: Enrique Gil Botero. Véase también: </w:t>
      </w:r>
      <w:r w:rsidRPr="00DF27FF">
        <w:rPr>
          <w:rFonts w:ascii="Century Gothic" w:hAnsi="Century Gothic" w:cs="Arial"/>
          <w:sz w:val="16"/>
          <w:szCs w:val="16"/>
        </w:rPr>
        <w:t>Consejo de Estado. Sección Tercera. Sentencia del 13 de noviembre de 2008. Rad. 17.009. Consejero Ponente: Enrique Gil Botero.</w:t>
      </w:r>
    </w:p>
  </w:footnote>
  <w:footnote w:id="7">
    <w:p w:rsidRPr="00DF27FF" w:rsidR="00CB1A55" w:rsidP="00CB1A55" w:rsidRDefault="00CB1A55" w14:paraId="34181E2A" w14:textId="77777777">
      <w:pPr>
        <w:pStyle w:val="Textonotapie"/>
        <w:ind w:firstLine="708"/>
        <w:jc w:val="both"/>
        <w:rPr>
          <w:rFonts w:ascii="Century Gothic" w:hAnsi="Century Gothic" w:cs="Arial"/>
          <w:sz w:val="16"/>
          <w:szCs w:val="16"/>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Corte Constitucional. Sentencia C-827 de 2001. Magistrado Ponente; Álvaro Tafur Galvis.</w:t>
      </w:r>
    </w:p>
  </w:footnote>
  <w:footnote w:id="8">
    <w:p w:rsidRPr="00DF27FF" w:rsidR="00CB1A55" w:rsidP="00CB1A55" w:rsidRDefault="00CB1A55" w14:paraId="1C4A069B" w14:textId="77777777">
      <w:pPr>
        <w:pStyle w:val="Textonotapie"/>
        <w:ind w:firstLine="708"/>
        <w:jc w:val="both"/>
        <w:rPr>
          <w:rFonts w:ascii="Century Gothic" w:hAnsi="Century Gothic" w:cs="Arial"/>
          <w:sz w:val="16"/>
          <w:szCs w:val="16"/>
        </w:rPr>
      </w:pPr>
      <w:r w:rsidRPr="00DF27FF">
        <w:rPr>
          <w:rStyle w:val="Refdenotaalpie"/>
          <w:rFonts w:ascii="Century Gothic" w:hAnsi="Century Gothic" w:cs="Arial"/>
          <w:sz w:val="16"/>
          <w:szCs w:val="16"/>
        </w:rPr>
        <w:footnoteRef/>
      </w:r>
      <w:r w:rsidRPr="00DF27FF">
        <w:rPr>
          <w:rFonts w:ascii="Century Gothic" w:hAnsi="Century Gothic" w:cs="Arial"/>
          <w:sz w:val="16"/>
          <w:szCs w:val="16"/>
          <w:vertAlign w:val="superscript"/>
        </w:rPr>
        <w:t xml:space="preserve"> </w:t>
      </w:r>
      <w:r w:rsidRPr="00DF27FF">
        <w:rPr>
          <w:rFonts w:ascii="Century Gothic" w:hAnsi="Century Gothic" w:cs="Arial"/>
          <w:sz w:val="16"/>
          <w:szCs w:val="16"/>
        </w:rPr>
        <w:t>Consejo de Estado. Sección Tercera. Sentencia del 13 de noviembre de 2008. Rad. 17.009. C.P. Enrique Gil Botero.</w:t>
      </w:r>
    </w:p>
  </w:footnote>
  <w:footnote w:id="9">
    <w:p w:rsidRPr="00DF27FF" w:rsidR="00CB1A55" w:rsidP="00CB1A55" w:rsidRDefault="00CB1A55" w14:paraId="5EEC1783" w14:textId="77777777">
      <w:pPr>
        <w:pStyle w:val="Textonotapie"/>
        <w:ind w:firstLine="708"/>
        <w:jc w:val="both"/>
        <w:rPr>
          <w:rFonts w:ascii="Century Gothic" w:hAnsi="Century Gothic" w:cs="Arial"/>
          <w:sz w:val="16"/>
          <w:szCs w:val="16"/>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Ibidem.</w:t>
      </w:r>
    </w:p>
    <w:p w:rsidRPr="00DF27FF" w:rsidR="00CB1A55" w:rsidP="00CB1A55" w:rsidRDefault="00CB1A55" w14:paraId="224EE711" w14:textId="77777777">
      <w:pPr>
        <w:pStyle w:val="Textonotapie"/>
        <w:ind w:firstLine="708"/>
        <w:jc w:val="both"/>
        <w:rPr>
          <w:rFonts w:ascii="Century Gothic" w:hAnsi="Century Gothic" w:cs="Arial"/>
          <w:sz w:val="16"/>
          <w:szCs w:val="16"/>
        </w:rPr>
      </w:pPr>
    </w:p>
  </w:footnote>
  <w:footnote w:id="10">
    <w:p w:rsidRPr="00DF27FF" w:rsidR="00CB1A55" w:rsidP="00CB1A55" w:rsidRDefault="00CB1A55" w14:paraId="48032EEC" w14:textId="77777777">
      <w:pPr>
        <w:ind w:firstLine="708"/>
        <w:contextualSpacing/>
        <w:jc w:val="both"/>
        <w:rPr>
          <w:rFonts w:ascii="Century Gothic" w:hAnsi="Century Gothic" w:cs="Arial"/>
          <w:sz w:val="16"/>
          <w:szCs w:val="16"/>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CORTE SUPREMA DE JUSTICIA, Sala de Casación Civil, sentencia del 31 de julio de 2018, Radicación n.º 25899-31-03-002-2013-00162-01, M.P. Luis Alonso Rico Puerta.</w:t>
      </w:r>
    </w:p>
  </w:footnote>
  <w:footnote w:id="11">
    <w:p w:rsidRPr="00DF27FF" w:rsidR="00CB1A55" w:rsidP="00CB1A55" w:rsidRDefault="00CB1A55" w14:paraId="3D2BF2F8" w14:textId="77777777">
      <w:pPr>
        <w:pStyle w:val="Textonotapie"/>
        <w:ind w:firstLine="708"/>
        <w:jc w:val="both"/>
        <w:rPr>
          <w:rFonts w:ascii="Century Gothic" w:hAnsi="Century Gothic" w:cs="Arial"/>
          <w:sz w:val="16"/>
          <w:szCs w:val="16"/>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EXPÓSITO VÉLEZ, Juan Carlos. Forma y contenido del contrato estatal. Bogotá: Universidad Externado de Colombia, 2013. p. 181. Frente a este tema, David Suárez Tamayo expresa: </w:t>
      </w:r>
      <w:r w:rsidRPr="00DF27FF">
        <w:rPr>
          <w:rFonts w:ascii="Century Gothic" w:hAnsi="Century Gothic" w:eastAsia="Times New Roman" w:cs="Arial"/>
          <w:sz w:val="16"/>
          <w:szCs w:val="16"/>
          <w:lang w:val="es-ES_tradnl"/>
        </w:rPr>
        <w:t>“</w:t>
      </w:r>
      <w:r w:rsidRPr="00DF27FF">
        <w:rPr>
          <w:rFonts w:ascii="Century Gothic" w:hAnsi="Century Gothic" w:cs="Arial"/>
          <w:sz w:val="16"/>
          <w:szCs w:val="16"/>
        </w:rPr>
        <w:t xml:space="preserve"> […] las multas se han considerado como un apremio, acoso, conminación para que el contratista se ponga al día en sus compromisos, pero igualmente tienen una connotación sancionatoria; de otra parte, la penal pecuniaria es una estimación anticipada, pero no de perjuicios, es decir, tiene un carácter resarcitorio, indemnizatorio, de garantía, pero al igual que las multas, también puede llegar a considerarse como una sanción</w:t>
      </w:r>
      <w:r w:rsidRPr="00DF27FF">
        <w:rPr>
          <w:rFonts w:ascii="Century Gothic" w:hAnsi="Century Gothic" w:eastAsia="Times New Roman" w:cs="Arial"/>
          <w:sz w:val="16"/>
          <w:szCs w:val="16"/>
          <w:lang w:val="es-ES_tradnl"/>
        </w:rPr>
        <w:t>»</w:t>
      </w:r>
      <w:r w:rsidRPr="00DF27FF">
        <w:rPr>
          <w:rFonts w:ascii="Century Gothic" w:hAnsi="Century Gothic" w:cs="Arial"/>
          <w:sz w:val="16"/>
          <w:szCs w:val="16"/>
        </w:rPr>
        <w:t xml:space="preserve"> (</w:t>
      </w:r>
      <w:r w:rsidRPr="00DF27FF">
        <w:rPr>
          <w:rFonts w:ascii="Century Gothic" w:hAnsi="Century Gothic" w:cs="Arial"/>
          <w:sz w:val="16"/>
          <w:szCs w:val="16"/>
          <w:lang w:val="es-CO"/>
        </w:rPr>
        <w:t>SUÁREZ TAMAYO, David. Cláusula de multas y penal pecuniaria. Medellín: Librería Jurídica Sánchez R Ltda y CEDA, 2014.</w:t>
      </w:r>
      <w:r w:rsidRPr="00DF27FF">
        <w:rPr>
          <w:rFonts w:ascii="Century Gothic" w:hAnsi="Century Gothic" w:cs="Arial"/>
          <w:sz w:val="16"/>
          <w:szCs w:val="16"/>
        </w:rPr>
        <w:t xml:space="preserve"> p. 10).</w:t>
      </w:r>
    </w:p>
  </w:footnote>
  <w:footnote w:id="12">
    <w:p w:rsidRPr="00DF27FF" w:rsidR="00CB1A55" w:rsidP="00CB1A55" w:rsidRDefault="00CB1A55" w14:paraId="5A14E8C3" w14:textId="77777777">
      <w:pPr>
        <w:pStyle w:val="Textonotapie"/>
        <w:ind w:firstLine="708"/>
        <w:jc w:val="both"/>
        <w:rPr>
          <w:rFonts w:ascii="Century Gothic" w:hAnsi="Century Gothic" w:cs="Arial"/>
          <w:sz w:val="16"/>
          <w:szCs w:val="16"/>
          <w:lang w:val="es-CO"/>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Consejo de Estado. Sección Tercera. Op. cit., Exp. 17.009. </w:t>
      </w:r>
      <w:r w:rsidRPr="00DF27FF">
        <w:rPr>
          <w:rFonts w:ascii="Century Gothic" w:hAnsi="Century Gothic" w:cs="Arial"/>
          <w:i/>
          <w:sz w:val="16"/>
          <w:szCs w:val="16"/>
          <w:lang w:val="es-CO"/>
        </w:rPr>
        <w:t>Ibídem.</w:t>
      </w:r>
      <w:r w:rsidRPr="00DF27FF">
        <w:rPr>
          <w:rFonts w:ascii="Century Gothic" w:hAnsi="Century Gothic" w:cs="Arial"/>
          <w:sz w:val="16"/>
          <w:szCs w:val="16"/>
          <w:lang w:val="es-CO"/>
        </w:rPr>
        <w:t xml:space="preserve"> </w:t>
      </w:r>
    </w:p>
  </w:footnote>
  <w:footnote w:id="13">
    <w:p w:rsidRPr="00DF27FF" w:rsidR="00CB1A55" w:rsidP="00CB1A55" w:rsidRDefault="00CB1A55" w14:paraId="6F32646B" w14:textId="77777777">
      <w:pPr>
        <w:pStyle w:val="Textonotapie"/>
        <w:ind w:firstLine="708"/>
        <w:jc w:val="both"/>
        <w:rPr>
          <w:rFonts w:ascii="Century Gothic" w:hAnsi="Century Gothic" w:cs="Arial"/>
          <w:sz w:val="16"/>
          <w:szCs w:val="16"/>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Corte Constitucional. Sentencia C-317 de 2012. M.P. María Victoria Calle Correa. </w:t>
      </w:r>
    </w:p>
    <w:p w:rsidRPr="00DF27FF" w:rsidR="00CB1A55" w:rsidP="00CB1A55" w:rsidRDefault="00CB1A55" w14:paraId="7B434611" w14:textId="77777777">
      <w:pPr>
        <w:pStyle w:val="Textonotapie"/>
        <w:ind w:firstLine="708"/>
        <w:jc w:val="both"/>
        <w:rPr>
          <w:rFonts w:ascii="Century Gothic" w:hAnsi="Century Gothic" w:cs="Arial"/>
          <w:sz w:val="16"/>
          <w:szCs w:val="16"/>
        </w:rPr>
      </w:pPr>
    </w:p>
  </w:footnote>
  <w:footnote w:id="14">
    <w:p w:rsidRPr="00DF27FF" w:rsidR="00CB1A55" w:rsidP="00CB1A55" w:rsidRDefault="00CB1A55" w14:paraId="5EE3FB47" w14:textId="77777777">
      <w:pPr>
        <w:pStyle w:val="Textonotapie"/>
        <w:ind w:firstLine="708"/>
        <w:jc w:val="both"/>
        <w:rPr>
          <w:rFonts w:ascii="Century Gothic" w:hAnsi="Century Gothic" w:cs="Arial"/>
          <w:color w:val="000000" w:themeColor="text1"/>
          <w:sz w:val="16"/>
          <w:szCs w:val="16"/>
        </w:rPr>
      </w:pPr>
      <w:r w:rsidRPr="00DF27FF">
        <w:rPr>
          <w:rStyle w:val="Refdenotaalpie"/>
          <w:rFonts w:ascii="Century Gothic" w:hAnsi="Century Gothic" w:cs="Arial"/>
          <w:color w:val="000000" w:themeColor="text1"/>
          <w:sz w:val="16"/>
          <w:szCs w:val="16"/>
        </w:rPr>
        <w:footnoteRef/>
      </w:r>
      <w:r w:rsidRPr="00DF27FF">
        <w:rPr>
          <w:rFonts w:ascii="Century Gothic" w:hAnsi="Century Gothic" w:cs="Arial"/>
          <w:color w:val="000000" w:themeColor="text1"/>
          <w:sz w:val="16"/>
          <w:szCs w:val="16"/>
        </w:rPr>
        <w:t xml:space="preserve"> Así se desprende del primer inciso de aquel artículo, que dice: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 […]».</w:t>
      </w:r>
    </w:p>
    <w:p w:rsidRPr="00DF27FF" w:rsidR="00CB1A55" w:rsidP="00CB1A55" w:rsidRDefault="00CB1A55" w14:paraId="6B2BAB6E" w14:textId="77777777">
      <w:pPr>
        <w:pStyle w:val="Textonotapie"/>
        <w:ind w:firstLine="708"/>
        <w:jc w:val="both"/>
        <w:rPr>
          <w:rFonts w:ascii="Century Gothic" w:hAnsi="Century Gothic" w:cs="Arial"/>
          <w:color w:val="000000" w:themeColor="text1"/>
          <w:sz w:val="16"/>
          <w:szCs w:val="16"/>
        </w:rPr>
      </w:pPr>
    </w:p>
  </w:footnote>
  <w:footnote w:id="15">
    <w:p w:rsidRPr="00DF27FF" w:rsidR="00CB1A55" w:rsidP="00CB1A55" w:rsidRDefault="00CB1A55" w14:paraId="055C9699" w14:textId="77777777">
      <w:pPr>
        <w:pStyle w:val="Textonotapie"/>
        <w:ind w:firstLine="708"/>
        <w:jc w:val="both"/>
        <w:rPr>
          <w:rFonts w:ascii="Century Gothic" w:hAnsi="Century Gothic" w:cs="Arial"/>
          <w:color w:val="000000" w:themeColor="text1"/>
          <w:sz w:val="16"/>
          <w:szCs w:val="16"/>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w:t>
      </w:r>
      <w:r w:rsidRPr="00DF27FF">
        <w:rPr>
          <w:rFonts w:ascii="Century Gothic" w:hAnsi="Century Gothic" w:cs="Arial"/>
          <w:color w:val="000000" w:themeColor="text1"/>
          <w:sz w:val="16"/>
          <w:szCs w:val="16"/>
        </w:rPr>
        <w:t xml:space="preserve">Se entiende por entidades de </w:t>
      </w:r>
      <w:r w:rsidRPr="00DF27FF">
        <w:rPr>
          <w:rFonts w:ascii="Century Gothic" w:hAnsi="Century Gothic" w:cs="Arial"/>
          <w:i/>
          <w:color w:val="000000" w:themeColor="text1"/>
          <w:sz w:val="16"/>
          <w:szCs w:val="16"/>
        </w:rPr>
        <w:t xml:space="preserve">régimen especial </w:t>
      </w:r>
      <w:r w:rsidRPr="00DF27FF">
        <w:rPr>
          <w:rFonts w:ascii="Century Gothic" w:hAnsi="Century Gothic" w:cs="Arial"/>
          <w:color w:val="000000" w:themeColor="text1"/>
          <w:sz w:val="16"/>
          <w:szCs w:val="16"/>
        </w:rPr>
        <w:t>aquellas que tienen un régimen contractual distinto al Estatuto General de Contratación de la Administración Pública, y que por regla general se rigen por el derecho privado.</w:t>
      </w:r>
    </w:p>
    <w:p w:rsidRPr="00DF27FF" w:rsidR="00CB1A55" w:rsidP="00CB1A55" w:rsidRDefault="00CB1A55" w14:paraId="4C0A13F8" w14:textId="77777777">
      <w:pPr>
        <w:pStyle w:val="Textonotapie"/>
        <w:ind w:firstLine="708"/>
        <w:jc w:val="both"/>
        <w:rPr>
          <w:rFonts w:ascii="Century Gothic" w:hAnsi="Century Gothic" w:cs="Arial"/>
          <w:sz w:val="16"/>
          <w:szCs w:val="16"/>
          <w:lang w:val="es-CO"/>
        </w:rPr>
      </w:pPr>
    </w:p>
  </w:footnote>
  <w:footnote w:id="16">
    <w:p w:rsidRPr="00DF27FF" w:rsidR="00CB1A55" w:rsidP="00CB1A55" w:rsidRDefault="00CB1A55" w14:paraId="39ACE743" w14:textId="77777777">
      <w:pPr>
        <w:pStyle w:val="Textonotapie"/>
        <w:ind w:firstLine="708"/>
        <w:jc w:val="both"/>
        <w:rPr>
          <w:rFonts w:ascii="Century Gothic" w:hAnsi="Century Gothic" w:cs="Arial"/>
          <w:sz w:val="16"/>
          <w:szCs w:val="16"/>
          <w:lang w:val="es-CO"/>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w:t>
      </w:r>
      <w:r w:rsidRPr="00DF27FF">
        <w:rPr>
          <w:rFonts w:ascii="Century Gothic" w:hAnsi="Century Gothic" w:cs="Arial"/>
          <w:color w:val="000000" w:themeColor="text1"/>
          <w:sz w:val="16"/>
          <w:szCs w:val="16"/>
        </w:rPr>
        <w:t>Esto se ha señalado en distintos conceptos de esta Subdirección, como el C-219 del 29 de abril de 2020, el C-280 del 6 de julio de 2020 y el C–434 del 29 de julio de 2020.</w:t>
      </w:r>
    </w:p>
  </w:footnote>
  <w:footnote w:id="17">
    <w:p w:rsidRPr="00DF27FF" w:rsidR="00CB1A55" w:rsidP="00CB1A55" w:rsidRDefault="00CB1A55" w14:paraId="3930CAD5" w14:textId="77777777">
      <w:pPr>
        <w:pStyle w:val="Textonotapie"/>
        <w:ind w:firstLine="708"/>
        <w:jc w:val="both"/>
        <w:rPr>
          <w:rFonts w:ascii="Century Gothic" w:hAnsi="Century Gothic" w:cs="Arial"/>
          <w:sz w:val="16"/>
          <w:szCs w:val="16"/>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La posibilidad de realizar la audiencia por medios electrónicos cuenta con un fundamento adicional actual, en el Decreto Legislativo 537 de 2020, que establece lo siguiente: “Artículo 2. Adiciónese los siguientes incisos al artículo 86 de la Ley 1474 de 2011, así:</w:t>
      </w:r>
    </w:p>
    <w:p w:rsidRPr="00DF27FF" w:rsidR="00CB1A55" w:rsidP="00CB1A55" w:rsidRDefault="00CB1A55" w14:paraId="1FE230E3" w14:textId="77777777">
      <w:pPr>
        <w:pStyle w:val="Textonotapie"/>
        <w:ind w:firstLine="708"/>
        <w:jc w:val="both"/>
        <w:rPr>
          <w:rFonts w:ascii="Century Gothic" w:hAnsi="Century Gothic" w:cs="Arial"/>
          <w:sz w:val="16"/>
          <w:szCs w:val="16"/>
        </w:rPr>
      </w:pPr>
      <w:r w:rsidRPr="00DF27FF">
        <w:rPr>
          <w:rFonts w:ascii="Century Gothic" w:hAnsi="Century Gothic" w:cs="Arial"/>
          <w:sz w:val="16"/>
          <w:szCs w:val="16"/>
        </w:rPr>
        <w:t>»Procedimientos sancionatorios. Durante la vigencia de la Emergencia Sanitaria declarada por el Ministerio de Salud y Protección Social, con ocasión de la pandemia derivada del Coronavirus COVID-19, las audiencias programadas de conformidad con el procedimiento establecido en el presente artículo, se podrán realizar a través de medios electrónicos, los cuales deberán garantizar el acceso de los contratistas y de quienes hayan expedido la garantía.</w:t>
      </w:r>
    </w:p>
    <w:p w:rsidRPr="00DF27FF" w:rsidR="00CB1A55" w:rsidP="00CB1A55" w:rsidRDefault="00CB1A55" w14:paraId="437A3055" w14:textId="77777777">
      <w:pPr>
        <w:pStyle w:val="Textonotapie"/>
        <w:ind w:firstLine="708"/>
        <w:jc w:val="both"/>
        <w:rPr>
          <w:rFonts w:ascii="Century Gothic" w:hAnsi="Century Gothic" w:cs="Arial"/>
          <w:sz w:val="16"/>
          <w:szCs w:val="16"/>
        </w:rPr>
      </w:pPr>
      <w:r w:rsidRPr="00DF27FF">
        <w:rPr>
          <w:rFonts w:ascii="Century Gothic" w:hAnsi="Century Gothic" w:cs="Arial"/>
          <w:sz w:val="16"/>
          <w:szCs w:val="16"/>
        </w:rPr>
        <w:t>»La entidad estatal debe elegir y garantizar los medios electrónicos y de comunicación que utilizará, así como los mecanismos para el registro de la Información generada.</w:t>
      </w:r>
    </w:p>
    <w:p w:rsidRPr="00DF27FF" w:rsidR="00CB1A55" w:rsidP="00CB1A55" w:rsidRDefault="00CB1A55" w14:paraId="419D0BBD" w14:textId="77777777">
      <w:pPr>
        <w:pStyle w:val="Textonotapie"/>
        <w:ind w:firstLine="708"/>
        <w:jc w:val="both"/>
        <w:rPr>
          <w:rFonts w:ascii="Century Gothic" w:hAnsi="Century Gothic" w:cs="Arial"/>
          <w:sz w:val="16"/>
          <w:szCs w:val="16"/>
        </w:rPr>
      </w:pPr>
      <w:r w:rsidRPr="00DF27FF">
        <w:rPr>
          <w:rFonts w:ascii="Century Gothic" w:hAnsi="Century Gothic" w:cs="Arial"/>
          <w:sz w:val="16"/>
          <w:szCs w:val="16"/>
        </w:rPr>
        <w:t xml:space="preserve">»Sin perjuicio de lo anterior, el ordenador del gasto o funcionario competente podrá decretar la suspensión de términos, inclusive los iniciados con anterioridad a la vigencia de este Decreto». </w:t>
      </w:r>
    </w:p>
  </w:footnote>
  <w:footnote w:id="18">
    <w:p w:rsidRPr="00DF27FF" w:rsidR="00CB1A55" w:rsidP="00CB1A55" w:rsidRDefault="00CB1A55" w14:paraId="40D829DA" w14:textId="77777777">
      <w:pPr>
        <w:pStyle w:val="Textonotapie"/>
        <w:ind w:firstLine="708"/>
        <w:contextualSpacing/>
        <w:jc w:val="both"/>
        <w:rPr>
          <w:rFonts w:ascii="Century Gothic" w:hAnsi="Century Gothic" w:cs="Arial"/>
          <w:sz w:val="16"/>
          <w:szCs w:val="16"/>
          <w:lang w:val="es-CO"/>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w:t>
      </w:r>
      <w:r w:rsidRPr="00DF27FF">
        <w:rPr>
          <w:rFonts w:ascii="Century Gothic" w:hAnsi="Century Gothic" w:cs="Arial"/>
          <w:sz w:val="16"/>
          <w:szCs w:val="16"/>
          <w:lang w:val="es-CO"/>
        </w:rPr>
        <w:t>Corte Constitucional, sentencia de Unificación Jurisprudencial SU 339 del 4 de mayo de 2011. Magistrado ponente: Humberto Antonio Sierra Porto. Exp. T-2.735.401</w:t>
      </w:r>
    </w:p>
    <w:p w:rsidRPr="00DF27FF" w:rsidR="00CB1A55" w:rsidP="00CB1A55" w:rsidRDefault="00CB1A55" w14:paraId="3FCA6204" w14:textId="77777777">
      <w:pPr>
        <w:pStyle w:val="Textonotapie"/>
        <w:ind w:firstLine="708"/>
        <w:contextualSpacing/>
        <w:jc w:val="both"/>
        <w:rPr>
          <w:rFonts w:ascii="Century Gothic" w:hAnsi="Century Gothic" w:cs="Arial"/>
          <w:sz w:val="16"/>
          <w:szCs w:val="16"/>
          <w:lang w:val="es-CO"/>
        </w:rPr>
      </w:pPr>
    </w:p>
  </w:footnote>
  <w:footnote w:id="19">
    <w:p w:rsidRPr="00DF27FF" w:rsidR="00CB1A55" w:rsidP="00CB1A55" w:rsidRDefault="00CB1A55" w14:paraId="521F1AC7" w14:textId="77777777">
      <w:pPr>
        <w:pStyle w:val="Textonotapie"/>
        <w:ind w:firstLine="708"/>
        <w:contextualSpacing/>
        <w:jc w:val="both"/>
        <w:rPr>
          <w:rFonts w:ascii="Century Gothic" w:hAnsi="Century Gothic" w:cs="Arial"/>
          <w:sz w:val="16"/>
          <w:szCs w:val="16"/>
          <w:lang w:val="es-CO"/>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w:t>
      </w:r>
      <w:r w:rsidRPr="00DF27FF">
        <w:rPr>
          <w:rFonts w:ascii="Century Gothic" w:hAnsi="Century Gothic" w:cs="Arial"/>
          <w:sz w:val="16"/>
          <w:szCs w:val="16"/>
          <w:lang w:val="es-CO"/>
        </w:rPr>
        <w:t xml:space="preserve">Santofimio Gamboa, Jaime Orlando (2017). “Potestad sancionatoria de la administración en materia de contratación estatal”. Montaña Plata, Alberto y Rincón Córdoba, Jorge (Ed.) </w:t>
      </w:r>
      <w:r w:rsidRPr="00DF27FF">
        <w:rPr>
          <w:rFonts w:ascii="Century Gothic" w:hAnsi="Century Gothic" w:cs="Arial"/>
          <w:i/>
          <w:sz w:val="16"/>
          <w:szCs w:val="16"/>
          <w:lang w:val="es-CO"/>
        </w:rPr>
        <w:t xml:space="preserve">“Contratos Públicos: problemas, perspectiva y prospectivas”- </w:t>
      </w:r>
      <w:r w:rsidRPr="00DF27FF">
        <w:rPr>
          <w:rFonts w:ascii="Century Gothic" w:hAnsi="Century Gothic" w:cs="Arial"/>
          <w:sz w:val="16"/>
          <w:szCs w:val="16"/>
          <w:lang w:val="es-CO"/>
        </w:rPr>
        <w:t>Bogotá: Universidad Externado de Colombia. 2017</w:t>
      </w:r>
    </w:p>
    <w:p w:rsidRPr="00DF27FF" w:rsidR="00CB1A55" w:rsidP="00CB1A55" w:rsidRDefault="00CB1A55" w14:paraId="0E5330A5" w14:textId="77777777">
      <w:pPr>
        <w:pStyle w:val="Textonotapie"/>
        <w:ind w:firstLine="708"/>
        <w:contextualSpacing/>
        <w:jc w:val="both"/>
        <w:rPr>
          <w:rFonts w:ascii="Century Gothic" w:hAnsi="Century Gothic" w:cs="Arial"/>
          <w:i/>
          <w:sz w:val="16"/>
          <w:szCs w:val="16"/>
          <w:lang w:val="es-CO"/>
        </w:rPr>
      </w:pPr>
    </w:p>
  </w:footnote>
  <w:footnote w:id="20">
    <w:p w:rsidRPr="00DF27FF" w:rsidR="00CB1A55" w:rsidP="00CB1A55" w:rsidRDefault="00CB1A55" w14:paraId="287DD015" w14:textId="77777777">
      <w:pPr>
        <w:pStyle w:val="Textonotapie"/>
        <w:ind w:firstLine="708"/>
        <w:contextualSpacing/>
        <w:jc w:val="both"/>
        <w:rPr>
          <w:rFonts w:ascii="Century Gothic" w:hAnsi="Century Gothic" w:cs="Arial"/>
          <w:sz w:val="16"/>
          <w:szCs w:val="16"/>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Corte Constitucional, sentencia de acción de tutela del 13 de septiembre de 2010. Magistrado Ponente: Jorge Ignacio Pretelt.</w:t>
      </w:r>
    </w:p>
    <w:p w:rsidRPr="00DF27FF" w:rsidR="00CB1A55" w:rsidP="00CB1A55" w:rsidRDefault="00CB1A55" w14:paraId="7DA47A8F" w14:textId="77777777">
      <w:pPr>
        <w:pStyle w:val="Textonotapie"/>
        <w:ind w:firstLine="708"/>
        <w:contextualSpacing/>
        <w:jc w:val="both"/>
        <w:rPr>
          <w:rFonts w:ascii="Century Gothic" w:hAnsi="Century Gothic" w:cs="Arial"/>
          <w:sz w:val="16"/>
          <w:szCs w:val="16"/>
          <w:lang w:val="es-CO"/>
        </w:rPr>
      </w:pPr>
    </w:p>
  </w:footnote>
  <w:footnote w:id="21">
    <w:p w:rsidRPr="00DF27FF" w:rsidR="00CB1A55" w:rsidP="00CB1A55" w:rsidRDefault="00CB1A55" w14:paraId="29FEC459" w14:textId="77777777">
      <w:pPr>
        <w:pStyle w:val="Textonotapie"/>
        <w:ind w:firstLine="708"/>
        <w:jc w:val="both"/>
        <w:rPr>
          <w:rFonts w:ascii="Century Gothic" w:hAnsi="Century Gothic" w:cs="Arial"/>
          <w:sz w:val="16"/>
          <w:szCs w:val="16"/>
          <w:lang w:val="es-CO"/>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En este sentido, Suárez Tamayo indica: “La citación debe hacerse con un plazo anterior a la audiencia, razonable y suficiente, de modo que el contratista y la aseguradora puedan prepararse para la misma. Dado que la norma no estipuló dicho término se considera que el mismo no debería ser inferior, como mínimo de cinco (5) días hábiles, según la complejidad del hecho que genera la citación a audiencia, plazo que es el que comúnmente utiliza la legislación colombiana para hacer por ejemplo citaciones para notificaciones, o el que se utiliza por ejemplo para citar a audiencias en procesos disciplinarios verbales (Ley 734 de 2002)». (SUÁREZ TAMAYO, David. Cláusula de multas y penal pecuniaria. Medellín: Centro de Estudios de Derecho Administrativo –CEDA– y Librería Jurídica Sánchez, 2014. p. 165).</w:t>
      </w:r>
    </w:p>
  </w:footnote>
  <w:footnote w:id="22">
    <w:p w:rsidRPr="00DF27FF" w:rsidR="00CB1A55" w:rsidP="00CB1A55" w:rsidRDefault="00CB1A55" w14:paraId="2DBF62AD" w14:textId="77777777">
      <w:pPr>
        <w:ind w:firstLine="708"/>
        <w:jc w:val="both"/>
        <w:rPr>
          <w:rFonts w:ascii="Century Gothic" w:hAnsi="Century Gothic" w:cs="Arial"/>
          <w:sz w:val="16"/>
          <w:szCs w:val="16"/>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Consejo de Estado, Sala de lo Contencioso Administrativo, Sección Tercera. Sentencia del 13 de noviembre de 2008, exp. 17009.  </w:t>
      </w:r>
    </w:p>
  </w:footnote>
  <w:footnote w:id="23">
    <w:p w:rsidRPr="00DF27FF" w:rsidR="00CB1A55" w:rsidP="00CB1A55" w:rsidRDefault="00CB1A55" w14:paraId="2239403F" w14:textId="77777777">
      <w:pPr>
        <w:ind w:firstLine="708"/>
        <w:jc w:val="both"/>
        <w:rPr>
          <w:rFonts w:ascii="Century Gothic" w:hAnsi="Century Gothic" w:cs="Arial"/>
          <w:sz w:val="16"/>
          <w:szCs w:val="16"/>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Consejo de Estado, Sala de lo Contencioso Administrativo, Sección Tercera, Subsección C. Sentencia de 26 de noviembre de 2015, exp. 53877.</w:t>
      </w:r>
    </w:p>
  </w:footnote>
  <w:footnote w:id="24">
    <w:p w:rsidRPr="00DF27FF" w:rsidR="00CB1A55" w:rsidP="00CB1A55" w:rsidRDefault="00CB1A55" w14:paraId="0962699C" w14:textId="77777777">
      <w:pPr>
        <w:pStyle w:val="Textonotapie"/>
        <w:ind w:firstLine="708"/>
        <w:jc w:val="both"/>
        <w:rPr>
          <w:rFonts w:ascii="Century Gothic" w:hAnsi="Century Gothic" w:cs="Arial"/>
          <w:sz w:val="16"/>
          <w:szCs w:val="16"/>
          <w:lang w:val="es-CO"/>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Consejo de Estado, Sala de lo Contencioso Administrativo, Sección Tercera. Sentencia del 13 de noviembre de 2008, exp. 17009.  </w:t>
      </w:r>
    </w:p>
  </w:footnote>
  <w:footnote w:id="25">
    <w:p w:rsidRPr="00DF27FF" w:rsidR="00CB1A55" w:rsidP="00CB1A55" w:rsidRDefault="00CB1A55" w14:paraId="1F7A4C68" w14:textId="77777777">
      <w:pPr>
        <w:pStyle w:val="Textonotapie"/>
        <w:ind w:firstLine="708"/>
        <w:rPr>
          <w:rFonts w:ascii="Century Gothic" w:hAnsi="Century Gothic" w:cs="Arial"/>
          <w:sz w:val="16"/>
          <w:szCs w:val="16"/>
          <w:lang w:val="es-CO"/>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w:t>
      </w:r>
      <w:r w:rsidRPr="00DF27FF">
        <w:rPr>
          <w:rFonts w:ascii="Century Gothic" w:hAnsi="Century Gothic" w:cs="Arial"/>
          <w:i/>
          <w:sz w:val="16"/>
          <w:szCs w:val="16"/>
        </w:rPr>
        <w:t>Ibíd</w:t>
      </w:r>
    </w:p>
  </w:footnote>
  <w:footnote w:id="26">
    <w:p w:rsidR="00CB1A55" w:rsidP="00CB1A55" w:rsidRDefault="00CB1A55" w14:paraId="31D1F73E" w14:textId="77777777">
      <w:pPr>
        <w:pStyle w:val="Textonotapie"/>
        <w:ind w:firstLine="709"/>
        <w:rPr>
          <w:rFonts w:ascii="Century Gothic" w:hAnsi="Century Gothic" w:cs="Arial"/>
          <w:sz w:val="16"/>
          <w:szCs w:val="16"/>
          <w:lang w:val="es-CO"/>
        </w:rPr>
      </w:pPr>
      <w:r w:rsidRPr="00DF27FF">
        <w:rPr>
          <w:rStyle w:val="Refdenotaalpie"/>
          <w:rFonts w:ascii="Century Gothic" w:hAnsi="Century Gothic"/>
          <w:sz w:val="16"/>
          <w:szCs w:val="16"/>
        </w:rPr>
        <w:footnoteRef/>
      </w:r>
      <w:r w:rsidRPr="00DF27FF">
        <w:rPr>
          <w:rFonts w:ascii="Century Gothic" w:hAnsi="Century Gothic"/>
          <w:sz w:val="16"/>
          <w:szCs w:val="16"/>
        </w:rPr>
        <w:t xml:space="preserve"> </w:t>
      </w:r>
      <w:r w:rsidRPr="00DF27FF">
        <w:rPr>
          <w:rFonts w:ascii="Century Gothic" w:hAnsi="Century Gothic" w:cs="Arial"/>
          <w:sz w:val="16"/>
          <w:szCs w:val="16"/>
          <w:lang w:val="es-CO"/>
        </w:rPr>
        <w:t>OSPINA FERNÁNDEZ, Guillermo. “Régimen General de las Obligaciones</w:t>
      </w:r>
      <w:r w:rsidRPr="00DF27FF">
        <w:rPr>
          <w:rFonts w:ascii="Century Gothic" w:hAnsi="Century Gothic" w:cs="Arial"/>
          <w:i/>
          <w:sz w:val="16"/>
          <w:szCs w:val="16"/>
          <w:lang w:val="es-CO"/>
        </w:rPr>
        <w:t xml:space="preserve">”. </w:t>
      </w:r>
      <w:r w:rsidRPr="00DF27FF">
        <w:rPr>
          <w:rFonts w:ascii="Century Gothic" w:hAnsi="Century Gothic" w:cs="Arial"/>
          <w:sz w:val="16"/>
          <w:szCs w:val="16"/>
          <w:lang w:val="es-CO"/>
        </w:rPr>
        <w:t>Bogotá – Colombia. Editorial Temis S.A. 2021. Ed. Séptima. P. 152-153.</w:t>
      </w:r>
    </w:p>
    <w:p w:rsidRPr="00DF27FF" w:rsidR="00CB1A55" w:rsidP="00CB1A55" w:rsidRDefault="00CB1A55" w14:paraId="5F06C79C" w14:textId="77777777">
      <w:pPr>
        <w:pStyle w:val="Textonotapie"/>
        <w:ind w:firstLine="709"/>
        <w:rPr>
          <w:rFonts w:ascii="Century Gothic" w:hAnsi="Century Gothic"/>
          <w:sz w:val="16"/>
          <w:szCs w:val="16"/>
          <w:lang w:val="es-CO"/>
        </w:rPr>
      </w:pPr>
    </w:p>
  </w:footnote>
  <w:footnote w:id="27">
    <w:p w:rsidR="00CB1A55" w:rsidP="00CB1A55" w:rsidRDefault="00CB1A55" w14:paraId="22248D75" w14:textId="77777777">
      <w:pPr>
        <w:pStyle w:val="Textonotapie"/>
        <w:ind w:firstLine="709"/>
        <w:jc w:val="both"/>
        <w:rPr>
          <w:rFonts w:ascii="Century Gothic" w:hAnsi="Century Gothic"/>
          <w:sz w:val="16"/>
          <w:szCs w:val="16"/>
          <w:lang w:val="es-CO"/>
        </w:rPr>
      </w:pPr>
      <w:r w:rsidRPr="00DF27FF">
        <w:rPr>
          <w:rStyle w:val="Refdenotaalpie"/>
          <w:rFonts w:ascii="Century Gothic" w:hAnsi="Century Gothic"/>
          <w:sz w:val="16"/>
          <w:szCs w:val="16"/>
        </w:rPr>
        <w:footnoteRef/>
      </w:r>
      <w:r w:rsidRPr="00DF27FF">
        <w:rPr>
          <w:rFonts w:ascii="Century Gothic" w:hAnsi="Century Gothic"/>
          <w:sz w:val="16"/>
          <w:szCs w:val="16"/>
        </w:rPr>
        <w:t xml:space="preserve"> VELÁSQUEZ GÓMEZ, Hernán Darío.</w:t>
      </w:r>
      <w:r w:rsidRPr="00DF27FF">
        <w:rPr>
          <w:rFonts w:ascii="Century Gothic" w:hAnsi="Century Gothic"/>
          <w:sz w:val="16"/>
          <w:szCs w:val="16"/>
          <w:lang w:val="es-CO"/>
        </w:rPr>
        <w:t xml:space="preserve"> “Estudio sobre obligaciones”.  “(…) Siendo ello así, preciso es concluir que cuando el artículo 1600 prohíbe, salvo pacto en contrario, la acumulación de la indemnización de perjuicios y la pena, es porque ésta es la compensatoria, ya que reemplaza la obligación, finalidad que también persigue la indemnización de perjuicios compensatorios, evitándose así el doble cobro. Por lo mismo, pueden acumularse la pena compensatoria y la moratoria, si ambas se estipularon en el acto jurídico respectivo645. También por idéntica razón, pueden acumularse los perjuicios moratorios a la cláusula penal que funge como compensatoria”</w:t>
      </w:r>
      <w:r>
        <w:rPr>
          <w:rFonts w:ascii="Century Gothic" w:hAnsi="Century Gothic"/>
          <w:sz w:val="16"/>
          <w:szCs w:val="16"/>
          <w:lang w:val="es-CO"/>
        </w:rPr>
        <w:t>.</w:t>
      </w:r>
    </w:p>
    <w:p w:rsidRPr="00DF27FF" w:rsidR="00CB1A55" w:rsidP="00CB1A55" w:rsidRDefault="00CB1A55" w14:paraId="6F53768D" w14:textId="77777777">
      <w:pPr>
        <w:pStyle w:val="Textonotapie"/>
        <w:ind w:firstLine="709"/>
        <w:jc w:val="both"/>
        <w:rPr>
          <w:rFonts w:ascii="Century Gothic" w:hAnsi="Century Gothic"/>
          <w:sz w:val="16"/>
          <w:szCs w:val="16"/>
          <w:lang w:val="es-CO"/>
        </w:rPr>
      </w:pPr>
    </w:p>
  </w:footnote>
  <w:footnote w:id="28">
    <w:p w:rsidRPr="00DF27FF" w:rsidR="00CB1A55" w:rsidP="00CB1A55" w:rsidRDefault="00CB1A55" w14:paraId="6FF7F023" w14:textId="77777777">
      <w:pPr>
        <w:pStyle w:val="Textonotapie"/>
        <w:ind w:firstLine="709"/>
        <w:rPr>
          <w:rFonts w:ascii="Century Gothic" w:hAnsi="Century Gothic"/>
          <w:sz w:val="16"/>
          <w:szCs w:val="16"/>
          <w:lang w:val="es-CO"/>
        </w:rPr>
      </w:pPr>
      <w:r w:rsidRPr="00DF27FF">
        <w:rPr>
          <w:rStyle w:val="Refdenotaalpie"/>
          <w:rFonts w:ascii="Century Gothic" w:hAnsi="Century Gothic"/>
          <w:sz w:val="16"/>
          <w:szCs w:val="16"/>
        </w:rPr>
        <w:footnoteRef/>
      </w:r>
      <w:r w:rsidRPr="00DF27FF">
        <w:rPr>
          <w:rFonts w:ascii="Century Gothic" w:hAnsi="Century Gothic"/>
          <w:sz w:val="16"/>
          <w:szCs w:val="16"/>
        </w:rPr>
        <w:t xml:space="preserve"> </w:t>
      </w:r>
      <w:r w:rsidRPr="00DF27FF">
        <w:rPr>
          <w:rFonts w:ascii="Century Gothic" w:hAnsi="Century Gothic"/>
          <w:sz w:val="16"/>
          <w:szCs w:val="16"/>
          <w:lang w:val="es-CO"/>
        </w:rPr>
        <w:t xml:space="preserve">Corte Suprema de Justicia, Sala de Casación Laboral, M.P. Margarita Cabello Blanco, </w:t>
      </w:r>
      <w:r>
        <w:rPr>
          <w:rFonts w:ascii="Century Gothic" w:hAnsi="Century Gothic"/>
          <w:sz w:val="16"/>
          <w:szCs w:val="16"/>
          <w:lang w:val="es-CO"/>
        </w:rPr>
        <w:t xml:space="preserve">SC170-2018, </w:t>
      </w:r>
      <w:r w:rsidRPr="00DF27FF">
        <w:rPr>
          <w:rFonts w:ascii="Century Gothic" w:hAnsi="Century Gothic"/>
          <w:sz w:val="16"/>
          <w:szCs w:val="16"/>
          <w:lang w:val="es-CO"/>
        </w:rPr>
        <w:t>Radicacienn.011001310303920070029901</w:t>
      </w:r>
      <w:r>
        <w:rPr>
          <w:rFonts w:ascii="Century Gothic" w:hAnsi="Century Gothic"/>
          <w:sz w:val="16"/>
          <w:szCs w:val="16"/>
          <w:lang w:val="es-CO"/>
        </w:rPr>
        <w:t xml:space="preserve">, </w:t>
      </w:r>
      <w:r w:rsidRPr="00565CC5">
        <w:rPr>
          <w:rFonts w:ascii="Century Gothic" w:hAnsi="Century Gothic"/>
          <w:sz w:val="16"/>
          <w:szCs w:val="16"/>
          <w:lang w:val="es-CO"/>
        </w:rPr>
        <w:t>Bogot</w:t>
      </w:r>
      <w:r>
        <w:rPr>
          <w:rFonts w:ascii="Century Gothic" w:hAnsi="Century Gothic"/>
          <w:sz w:val="16"/>
          <w:szCs w:val="16"/>
          <w:lang w:val="es-CO"/>
        </w:rPr>
        <w:t xml:space="preserve">á </w:t>
      </w:r>
      <w:r w:rsidRPr="00565CC5">
        <w:rPr>
          <w:rFonts w:ascii="Century Gothic" w:hAnsi="Century Gothic"/>
          <w:sz w:val="16"/>
          <w:szCs w:val="16"/>
          <w:lang w:val="es-CO"/>
        </w:rPr>
        <w:t>D.</w:t>
      </w:r>
      <w:r>
        <w:rPr>
          <w:rFonts w:ascii="Century Gothic" w:hAnsi="Century Gothic"/>
          <w:sz w:val="16"/>
          <w:szCs w:val="16"/>
          <w:lang w:val="es-CO"/>
        </w:rPr>
        <w:t xml:space="preserve"> </w:t>
      </w:r>
      <w:r w:rsidRPr="00565CC5">
        <w:rPr>
          <w:rFonts w:ascii="Century Gothic" w:hAnsi="Century Gothic"/>
          <w:sz w:val="16"/>
          <w:szCs w:val="16"/>
          <w:lang w:val="es-CO"/>
        </w:rPr>
        <w:t>C</w:t>
      </w:r>
      <w:r>
        <w:rPr>
          <w:rFonts w:ascii="Century Gothic" w:hAnsi="Century Gothic"/>
          <w:sz w:val="16"/>
          <w:szCs w:val="16"/>
          <w:lang w:val="es-CO"/>
        </w:rPr>
        <w:t xml:space="preserve">. </w:t>
      </w:r>
      <w:r w:rsidRPr="00565CC5">
        <w:rPr>
          <w:rFonts w:ascii="Century Gothic" w:hAnsi="Century Gothic"/>
          <w:sz w:val="16"/>
          <w:szCs w:val="16"/>
          <w:lang w:val="es-CO"/>
        </w:rPr>
        <w:t>quince</w:t>
      </w:r>
      <w:r>
        <w:rPr>
          <w:rFonts w:ascii="Century Gothic" w:hAnsi="Century Gothic"/>
          <w:sz w:val="16"/>
          <w:szCs w:val="16"/>
          <w:lang w:val="es-CO"/>
        </w:rPr>
        <w:t xml:space="preserve"> </w:t>
      </w:r>
      <w:r w:rsidRPr="00565CC5">
        <w:rPr>
          <w:rFonts w:ascii="Century Gothic" w:hAnsi="Century Gothic"/>
          <w:sz w:val="16"/>
          <w:szCs w:val="16"/>
          <w:lang w:val="es-CO"/>
        </w:rPr>
        <w:t>(15)</w:t>
      </w:r>
      <w:r>
        <w:rPr>
          <w:rFonts w:ascii="Century Gothic" w:hAnsi="Century Gothic"/>
          <w:sz w:val="16"/>
          <w:szCs w:val="16"/>
          <w:lang w:val="es-CO"/>
        </w:rPr>
        <w:t xml:space="preserve"> </w:t>
      </w:r>
      <w:r w:rsidRPr="00565CC5">
        <w:rPr>
          <w:rFonts w:ascii="Century Gothic" w:hAnsi="Century Gothic"/>
          <w:sz w:val="16"/>
          <w:szCs w:val="16"/>
          <w:lang w:val="es-CO"/>
        </w:rPr>
        <w:t>de febrero de dos mil</w:t>
      </w:r>
      <w:r>
        <w:rPr>
          <w:rFonts w:ascii="Century Gothic" w:hAnsi="Century Gothic"/>
          <w:sz w:val="16"/>
          <w:szCs w:val="16"/>
          <w:lang w:val="es-CO"/>
        </w:rPr>
        <w:t xml:space="preserve"> </w:t>
      </w:r>
      <w:r w:rsidRPr="00565CC5">
        <w:rPr>
          <w:rFonts w:ascii="Century Gothic" w:hAnsi="Century Gothic"/>
          <w:sz w:val="16"/>
          <w:szCs w:val="16"/>
          <w:lang w:val="es-CO"/>
        </w:rPr>
        <w:t>Dieciocho</w:t>
      </w:r>
      <w:r>
        <w:rPr>
          <w:rFonts w:ascii="Century Gothic" w:hAnsi="Century Gothic"/>
          <w:sz w:val="16"/>
          <w:szCs w:val="16"/>
          <w:lang w:val="es-CO"/>
        </w:rPr>
        <w:t xml:space="preserve"> </w:t>
      </w:r>
      <w:r w:rsidRPr="00565CC5">
        <w:rPr>
          <w:rFonts w:ascii="Century Gothic" w:hAnsi="Century Gothic"/>
          <w:sz w:val="16"/>
          <w:szCs w:val="16"/>
          <w:lang w:val="es-CO"/>
        </w:rPr>
        <w:t>(2018).</w:t>
      </w:r>
      <w:r>
        <w:rPr>
          <w:rFonts w:ascii="Century Gothic" w:hAnsi="Century Gothic"/>
          <w:sz w:val="16"/>
          <w:szCs w:val="16"/>
          <w:lang w:val="es-CO"/>
        </w:rPr>
        <w:t xml:space="preserve"> </w:t>
      </w:r>
    </w:p>
  </w:footnote>
  <w:footnote w:id="29">
    <w:p w:rsidRPr="00DF27FF" w:rsidR="00CB1A55" w:rsidP="00CB1A55" w:rsidRDefault="00CB1A55" w14:paraId="15C464BB" w14:textId="77777777">
      <w:pPr>
        <w:pStyle w:val="Textonotapie"/>
        <w:ind w:firstLine="708"/>
        <w:rPr>
          <w:rFonts w:ascii="Century Gothic" w:hAnsi="Century Gothic" w:cs="Arial"/>
          <w:sz w:val="16"/>
          <w:szCs w:val="16"/>
          <w:lang w:val="es-CO"/>
        </w:rPr>
      </w:pPr>
      <w:r w:rsidRPr="00DF27FF">
        <w:rPr>
          <w:rStyle w:val="Refdenotaalpie"/>
          <w:rFonts w:ascii="Century Gothic" w:hAnsi="Century Gothic" w:cs="Arial"/>
          <w:sz w:val="16"/>
          <w:szCs w:val="16"/>
        </w:rPr>
        <w:footnoteRef/>
      </w:r>
      <w:r w:rsidRPr="00DF27FF">
        <w:rPr>
          <w:rFonts w:ascii="Century Gothic" w:hAnsi="Century Gothic" w:cs="Arial"/>
          <w:sz w:val="16"/>
          <w:szCs w:val="16"/>
        </w:rPr>
        <w:t xml:space="preserve"> </w:t>
      </w:r>
      <w:r w:rsidRPr="00DF27FF">
        <w:rPr>
          <w:rFonts w:ascii="Century Gothic" w:hAnsi="Century Gothic" w:cs="Arial"/>
          <w:i/>
          <w:sz w:val="16"/>
          <w:szCs w:val="16"/>
        </w:rPr>
        <w:t>Ibíd</w:t>
      </w:r>
    </w:p>
  </w:footnote>
  <w:footnote w:id="30">
    <w:p w:rsidRPr="00DF27FF" w:rsidR="00CB1A55" w:rsidP="00CB1A55" w:rsidRDefault="00CB1A55" w14:paraId="2A5910B5" w14:textId="77777777">
      <w:pPr>
        <w:pStyle w:val="Textonotapie"/>
        <w:ind w:firstLine="708"/>
        <w:rPr>
          <w:rFonts w:ascii="Century Gothic" w:hAnsi="Century Gothic"/>
          <w:sz w:val="16"/>
          <w:szCs w:val="16"/>
          <w:lang w:val="es-CO"/>
        </w:rPr>
      </w:pPr>
      <w:r w:rsidRPr="00DF27FF">
        <w:rPr>
          <w:rStyle w:val="Refdenotaalpie"/>
          <w:rFonts w:ascii="Century Gothic" w:hAnsi="Century Gothic"/>
          <w:sz w:val="16"/>
          <w:szCs w:val="16"/>
        </w:rPr>
        <w:footnoteRef/>
      </w:r>
      <w:r w:rsidRPr="00DF27FF">
        <w:rPr>
          <w:rFonts w:ascii="Century Gothic" w:hAnsi="Century Gothic"/>
          <w:sz w:val="16"/>
          <w:szCs w:val="16"/>
        </w:rPr>
        <w:t xml:space="preserve"> </w:t>
      </w:r>
      <w:r w:rsidRPr="00DF27FF">
        <w:rPr>
          <w:rFonts w:ascii="Century Gothic" w:hAnsi="Century Gothic"/>
          <w:sz w:val="16"/>
          <w:szCs w:val="16"/>
          <w:lang w:val="es-CO"/>
        </w:rPr>
        <w:t>CONSEJO DE ESTADO, SALA DE LO CONTENCIOSO ADMINISTRATIVO, SECCION TERCERA, Consejera ponente: MARÍA ADRIANA MARÍN, Bogotá, D.C., veintiocho (28) de noviembre de dos mil diecinueve (2019), Radicación: 110010326000200900034 00 Expediente: 36600 Actor: MARTÍN BERMÚDEZ MUÑOZ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0617F" w:rsidP="0020617F" w:rsidRDefault="0020617F" w14:paraId="07D3F2FF" w14:textId="77777777">
    <w:pPr>
      <w:pStyle w:val="Encabezado"/>
    </w:pPr>
    <w:r>
      <w:rPr>
        <w:noProof/>
      </w:rPr>
      <w:drawing>
        <wp:anchor distT="0" distB="0" distL="114300" distR="114300" simplePos="0" relativeHeight="251658241" behindDoc="1" locked="0" layoutInCell="1" allowOverlap="1" wp14:anchorId="5DD8D809" wp14:editId="62E4B453">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Cs w:val="24"/>
      </w:rPr>
      <w:drawing>
        <wp:anchor distT="0" distB="0" distL="114300" distR="114300" simplePos="0" relativeHeight="251658244" behindDoc="0" locked="0" layoutInCell="1" allowOverlap="1" wp14:anchorId="7AE6B2EF" wp14:editId="7F6B7268">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56580" name="Imagen 1644356580"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4"/>
      </w:rPr>
      <w:drawing>
        <wp:anchor distT="0" distB="0" distL="114300" distR="114300" simplePos="0" relativeHeight="251658243" behindDoc="0" locked="0" layoutInCell="1" allowOverlap="1" wp14:anchorId="5810FC16" wp14:editId="1EA3BF05">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AE3F34B" wp14:editId="65F93ADE">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20617F" w:rsidP="0020617F" w:rsidRDefault="0020617F" w14:paraId="691DD875" w14:textId="77777777">
    <w:pPr>
      <w:pStyle w:val="Encabezado"/>
    </w:pPr>
  </w:p>
  <w:p w:rsidR="0020617F" w:rsidP="0020617F" w:rsidRDefault="0020617F" w14:paraId="3905E6B5" w14:textId="77777777">
    <w:pPr>
      <w:pStyle w:val="Encabezado"/>
    </w:pPr>
  </w:p>
  <w:p w:rsidRPr="004A305D" w:rsidR="0020617F" w:rsidP="0020617F" w:rsidRDefault="0020617F" w14:paraId="32707E4E" w14:textId="77777777">
    <w:pPr>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20617F" w:rsidP="0020617F" w:rsidRDefault="0020617F" w14:paraId="20AA33EE" w14:textId="77777777">
    <w:pPr>
      <w:pBdr>
        <w:top w:val="nil"/>
        <w:left w:val="nil"/>
        <w:bottom w:val="nil"/>
        <w:right w:val="nil"/>
        <w:between w:val="nil"/>
      </w:pBdr>
      <w:tabs>
        <w:tab w:val="center" w:pos="4419"/>
        <w:tab w:val="right" w:pos="8838"/>
        <w:tab w:val="center" w:pos="5400"/>
      </w:tabs>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Pr>
        <w:rFonts w:ascii="Century Gothic" w:hAnsi="Century Gothic" w:eastAsia="Geo" w:cs="Geo"/>
        <w:bCs/>
        <w:color w:val="000000"/>
        <w:sz w:val="16"/>
        <w:szCs w:val="16"/>
        <w:lang w:eastAsia="es-CO"/>
      </w:rPr>
      <w:t>13</w:t>
    </w:r>
  </w:p>
  <w:p w:rsidR="0020617F" w:rsidP="0020617F" w:rsidRDefault="0020617F" w14:paraId="3C96F0C7" w14:textId="77777777">
    <w:pPr>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Pr>
        <w:rFonts w:ascii="Century Gothic" w:hAnsi="Century Gothic" w:eastAsia="Geo" w:cs="Geo"/>
        <w:sz w:val="16"/>
        <w:szCs w:val="16"/>
        <w:lang w:eastAsia="es-CO"/>
      </w:rPr>
      <w:t>3</w:t>
    </w:r>
  </w:p>
  <w:p w:rsidRPr="0020617F" w:rsidR="00C11EE9" w:rsidP="0020617F" w:rsidRDefault="00C11EE9" w14:paraId="55E5DA52" w14:textId="45BF26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64550035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7"/>
    <w:rsid w:val="00005209"/>
    <w:rsid w:val="00033CA7"/>
    <w:rsid w:val="00040E76"/>
    <w:rsid w:val="000460CE"/>
    <w:rsid w:val="0004698F"/>
    <w:rsid w:val="0005405C"/>
    <w:rsid w:val="000636D4"/>
    <w:rsid w:val="000868A6"/>
    <w:rsid w:val="00092218"/>
    <w:rsid w:val="00094407"/>
    <w:rsid w:val="000977C9"/>
    <w:rsid w:val="000A0743"/>
    <w:rsid w:val="000A5435"/>
    <w:rsid w:val="000B46EA"/>
    <w:rsid w:val="000B5520"/>
    <w:rsid w:val="000B7248"/>
    <w:rsid w:val="000B771D"/>
    <w:rsid w:val="000C3009"/>
    <w:rsid w:val="000C5926"/>
    <w:rsid w:val="000D2D43"/>
    <w:rsid w:val="000D68A1"/>
    <w:rsid w:val="000E0FEB"/>
    <w:rsid w:val="000E40F0"/>
    <w:rsid w:val="000F2799"/>
    <w:rsid w:val="000F6D56"/>
    <w:rsid w:val="00101285"/>
    <w:rsid w:val="00106F32"/>
    <w:rsid w:val="001155BC"/>
    <w:rsid w:val="00117742"/>
    <w:rsid w:val="001235AB"/>
    <w:rsid w:val="00125FAE"/>
    <w:rsid w:val="00127DDC"/>
    <w:rsid w:val="001310BD"/>
    <w:rsid w:val="001425C6"/>
    <w:rsid w:val="00155AA4"/>
    <w:rsid w:val="00172302"/>
    <w:rsid w:val="00175731"/>
    <w:rsid w:val="00181A0F"/>
    <w:rsid w:val="001850B7"/>
    <w:rsid w:val="00187C2F"/>
    <w:rsid w:val="001957A4"/>
    <w:rsid w:val="001A0BEF"/>
    <w:rsid w:val="001A5C14"/>
    <w:rsid w:val="001A5F76"/>
    <w:rsid w:val="001B561E"/>
    <w:rsid w:val="001B742F"/>
    <w:rsid w:val="001B7D44"/>
    <w:rsid w:val="001C7A05"/>
    <w:rsid w:val="001F0E5D"/>
    <w:rsid w:val="0020617F"/>
    <w:rsid w:val="00207A8D"/>
    <w:rsid w:val="00211FD1"/>
    <w:rsid w:val="00212893"/>
    <w:rsid w:val="00241891"/>
    <w:rsid w:val="0024319D"/>
    <w:rsid w:val="00246C39"/>
    <w:rsid w:val="0025047D"/>
    <w:rsid w:val="0025058A"/>
    <w:rsid w:val="00255DF7"/>
    <w:rsid w:val="00256066"/>
    <w:rsid w:val="00264399"/>
    <w:rsid w:val="002669E5"/>
    <w:rsid w:val="00282995"/>
    <w:rsid w:val="00290C3D"/>
    <w:rsid w:val="00293329"/>
    <w:rsid w:val="002B3621"/>
    <w:rsid w:val="002C0664"/>
    <w:rsid w:val="002C1CE3"/>
    <w:rsid w:val="002D5C6B"/>
    <w:rsid w:val="002E5EF3"/>
    <w:rsid w:val="002F7C3F"/>
    <w:rsid w:val="003168A5"/>
    <w:rsid w:val="0031762F"/>
    <w:rsid w:val="00334AF9"/>
    <w:rsid w:val="0034655E"/>
    <w:rsid w:val="00350F02"/>
    <w:rsid w:val="00351231"/>
    <w:rsid w:val="003532FE"/>
    <w:rsid w:val="0036284A"/>
    <w:rsid w:val="00362D7B"/>
    <w:rsid w:val="00370A7F"/>
    <w:rsid w:val="0037323E"/>
    <w:rsid w:val="00373C31"/>
    <w:rsid w:val="00376C51"/>
    <w:rsid w:val="003776A6"/>
    <w:rsid w:val="00397A6A"/>
    <w:rsid w:val="003A0666"/>
    <w:rsid w:val="003A0BAA"/>
    <w:rsid w:val="003A2031"/>
    <w:rsid w:val="003A5D7C"/>
    <w:rsid w:val="003A625B"/>
    <w:rsid w:val="003B145A"/>
    <w:rsid w:val="003B1E39"/>
    <w:rsid w:val="003C068D"/>
    <w:rsid w:val="003C139B"/>
    <w:rsid w:val="003C2315"/>
    <w:rsid w:val="003C69BA"/>
    <w:rsid w:val="003D3123"/>
    <w:rsid w:val="003E6501"/>
    <w:rsid w:val="003F57F6"/>
    <w:rsid w:val="004054C5"/>
    <w:rsid w:val="00414B63"/>
    <w:rsid w:val="00416A9E"/>
    <w:rsid w:val="00427B2C"/>
    <w:rsid w:val="00437115"/>
    <w:rsid w:val="00442C55"/>
    <w:rsid w:val="00444818"/>
    <w:rsid w:val="00445994"/>
    <w:rsid w:val="00445B9A"/>
    <w:rsid w:val="00445F15"/>
    <w:rsid w:val="00457114"/>
    <w:rsid w:val="00461E1C"/>
    <w:rsid w:val="00471153"/>
    <w:rsid w:val="004730E2"/>
    <w:rsid w:val="004845C5"/>
    <w:rsid w:val="004B2C2B"/>
    <w:rsid w:val="004D497A"/>
    <w:rsid w:val="004E4FED"/>
    <w:rsid w:val="004F0204"/>
    <w:rsid w:val="004F59CA"/>
    <w:rsid w:val="004F5B4B"/>
    <w:rsid w:val="00526B09"/>
    <w:rsid w:val="00532050"/>
    <w:rsid w:val="00534DAE"/>
    <w:rsid w:val="00535949"/>
    <w:rsid w:val="005505E3"/>
    <w:rsid w:val="0055220E"/>
    <w:rsid w:val="00565CC5"/>
    <w:rsid w:val="005709F1"/>
    <w:rsid w:val="00592023"/>
    <w:rsid w:val="005A0728"/>
    <w:rsid w:val="005A3120"/>
    <w:rsid w:val="005A3892"/>
    <w:rsid w:val="005B31EF"/>
    <w:rsid w:val="005C0C3C"/>
    <w:rsid w:val="005C1093"/>
    <w:rsid w:val="005D3FDD"/>
    <w:rsid w:val="005D53D8"/>
    <w:rsid w:val="005E29BF"/>
    <w:rsid w:val="005F0149"/>
    <w:rsid w:val="005F5F4C"/>
    <w:rsid w:val="00603258"/>
    <w:rsid w:val="00613B8F"/>
    <w:rsid w:val="00615DCC"/>
    <w:rsid w:val="006242B5"/>
    <w:rsid w:val="00642FAD"/>
    <w:rsid w:val="0064684E"/>
    <w:rsid w:val="00657573"/>
    <w:rsid w:val="00671C54"/>
    <w:rsid w:val="00673576"/>
    <w:rsid w:val="006737CF"/>
    <w:rsid w:val="006774A8"/>
    <w:rsid w:val="0069070E"/>
    <w:rsid w:val="00693B1C"/>
    <w:rsid w:val="0069511D"/>
    <w:rsid w:val="00695E0C"/>
    <w:rsid w:val="00696EC8"/>
    <w:rsid w:val="006A6928"/>
    <w:rsid w:val="006B117F"/>
    <w:rsid w:val="006D319F"/>
    <w:rsid w:val="006E7609"/>
    <w:rsid w:val="006E77C5"/>
    <w:rsid w:val="006E7B77"/>
    <w:rsid w:val="00701046"/>
    <w:rsid w:val="00716AB2"/>
    <w:rsid w:val="007307A6"/>
    <w:rsid w:val="00744227"/>
    <w:rsid w:val="00747FBC"/>
    <w:rsid w:val="00754E16"/>
    <w:rsid w:val="00762584"/>
    <w:rsid w:val="00763E43"/>
    <w:rsid w:val="00773849"/>
    <w:rsid w:val="00781AC2"/>
    <w:rsid w:val="0079188E"/>
    <w:rsid w:val="007955C0"/>
    <w:rsid w:val="007969EF"/>
    <w:rsid w:val="00797A18"/>
    <w:rsid w:val="007A2F39"/>
    <w:rsid w:val="007A617C"/>
    <w:rsid w:val="007B0D03"/>
    <w:rsid w:val="007B79FF"/>
    <w:rsid w:val="007C753D"/>
    <w:rsid w:val="007D2258"/>
    <w:rsid w:val="007D4B63"/>
    <w:rsid w:val="007D76AC"/>
    <w:rsid w:val="007F7197"/>
    <w:rsid w:val="00804297"/>
    <w:rsid w:val="00805FE9"/>
    <w:rsid w:val="008074E3"/>
    <w:rsid w:val="00815DA5"/>
    <w:rsid w:val="00825DA8"/>
    <w:rsid w:val="0083520B"/>
    <w:rsid w:val="0083666D"/>
    <w:rsid w:val="00837844"/>
    <w:rsid w:val="00840E20"/>
    <w:rsid w:val="00860608"/>
    <w:rsid w:val="00867946"/>
    <w:rsid w:val="00890DA4"/>
    <w:rsid w:val="00890FCC"/>
    <w:rsid w:val="008A7F2B"/>
    <w:rsid w:val="0090423F"/>
    <w:rsid w:val="00912B2C"/>
    <w:rsid w:val="00941D0A"/>
    <w:rsid w:val="00947206"/>
    <w:rsid w:val="00950DF7"/>
    <w:rsid w:val="009545C2"/>
    <w:rsid w:val="009564CC"/>
    <w:rsid w:val="00963831"/>
    <w:rsid w:val="00973329"/>
    <w:rsid w:val="00980630"/>
    <w:rsid w:val="00983F0D"/>
    <w:rsid w:val="009919FC"/>
    <w:rsid w:val="009A24F7"/>
    <w:rsid w:val="009B09F6"/>
    <w:rsid w:val="009B34D3"/>
    <w:rsid w:val="009B6FA0"/>
    <w:rsid w:val="009C3530"/>
    <w:rsid w:val="009C4859"/>
    <w:rsid w:val="009D6C30"/>
    <w:rsid w:val="009D7A03"/>
    <w:rsid w:val="009E45F6"/>
    <w:rsid w:val="009E696A"/>
    <w:rsid w:val="009F0C6B"/>
    <w:rsid w:val="00A12113"/>
    <w:rsid w:val="00A1362C"/>
    <w:rsid w:val="00A16495"/>
    <w:rsid w:val="00A174B4"/>
    <w:rsid w:val="00A23285"/>
    <w:rsid w:val="00A23443"/>
    <w:rsid w:val="00A30368"/>
    <w:rsid w:val="00A319D2"/>
    <w:rsid w:val="00A35D77"/>
    <w:rsid w:val="00A40C33"/>
    <w:rsid w:val="00A551D2"/>
    <w:rsid w:val="00A6242E"/>
    <w:rsid w:val="00A62746"/>
    <w:rsid w:val="00A62F8E"/>
    <w:rsid w:val="00A720F6"/>
    <w:rsid w:val="00A76FE8"/>
    <w:rsid w:val="00A83365"/>
    <w:rsid w:val="00AA1BA1"/>
    <w:rsid w:val="00AB126D"/>
    <w:rsid w:val="00AB2EE3"/>
    <w:rsid w:val="00AB3C82"/>
    <w:rsid w:val="00AE1316"/>
    <w:rsid w:val="00AE405B"/>
    <w:rsid w:val="00AE6492"/>
    <w:rsid w:val="00B01E4F"/>
    <w:rsid w:val="00B031D5"/>
    <w:rsid w:val="00B10206"/>
    <w:rsid w:val="00B13910"/>
    <w:rsid w:val="00B17550"/>
    <w:rsid w:val="00B2709C"/>
    <w:rsid w:val="00B43CF0"/>
    <w:rsid w:val="00B43FFA"/>
    <w:rsid w:val="00B5194C"/>
    <w:rsid w:val="00B606C0"/>
    <w:rsid w:val="00B700BD"/>
    <w:rsid w:val="00B715F0"/>
    <w:rsid w:val="00B742E2"/>
    <w:rsid w:val="00B8410B"/>
    <w:rsid w:val="00B910BF"/>
    <w:rsid w:val="00BA6E7F"/>
    <w:rsid w:val="00BC55DC"/>
    <w:rsid w:val="00BD15AC"/>
    <w:rsid w:val="00BE0F40"/>
    <w:rsid w:val="00BE34D1"/>
    <w:rsid w:val="00C05B77"/>
    <w:rsid w:val="00C074A7"/>
    <w:rsid w:val="00C11EE9"/>
    <w:rsid w:val="00C25A81"/>
    <w:rsid w:val="00C420A8"/>
    <w:rsid w:val="00C439CA"/>
    <w:rsid w:val="00C44D80"/>
    <w:rsid w:val="00C54739"/>
    <w:rsid w:val="00C60F43"/>
    <w:rsid w:val="00C72DB0"/>
    <w:rsid w:val="00C85A5E"/>
    <w:rsid w:val="00C87954"/>
    <w:rsid w:val="00CA6A03"/>
    <w:rsid w:val="00CB1A55"/>
    <w:rsid w:val="00CB307A"/>
    <w:rsid w:val="00CB70FF"/>
    <w:rsid w:val="00CC0496"/>
    <w:rsid w:val="00CD3735"/>
    <w:rsid w:val="00CE15DC"/>
    <w:rsid w:val="00CE3A6E"/>
    <w:rsid w:val="00CF4034"/>
    <w:rsid w:val="00CF537D"/>
    <w:rsid w:val="00D04574"/>
    <w:rsid w:val="00D11C34"/>
    <w:rsid w:val="00D26202"/>
    <w:rsid w:val="00D33F26"/>
    <w:rsid w:val="00D42ECD"/>
    <w:rsid w:val="00D47C17"/>
    <w:rsid w:val="00D51C98"/>
    <w:rsid w:val="00D51D91"/>
    <w:rsid w:val="00D56015"/>
    <w:rsid w:val="00D706E2"/>
    <w:rsid w:val="00D74DA1"/>
    <w:rsid w:val="00D905F1"/>
    <w:rsid w:val="00D94E36"/>
    <w:rsid w:val="00DA0FBF"/>
    <w:rsid w:val="00DB3131"/>
    <w:rsid w:val="00DB4A50"/>
    <w:rsid w:val="00DC4C54"/>
    <w:rsid w:val="00DD0B9C"/>
    <w:rsid w:val="00DD6108"/>
    <w:rsid w:val="00DD70AB"/>
    <w:rsid w:val="00DE06FD"/>
    <w:rsid w:val="00DE6E19"/>
    <w:rsid w:val="00DE7E5B"/>
    <w:rsid w:val="00DF0BBC"/>
    <w:rsid w:val="00DF15CC"/>
    <w:rsid w:val="00DF27FF"/>
    <w:rsid w:val="00DF41C8"/>
    <w:rsid w:val="00E02EDC"/>
    <w:rsid w:val="00E06284"/>
    <w:rsid w:val="00E213CE"/>
    <w:rsid w:val="00E37348"/>
    <w:rsid w:val="00E42D0E"/>
    <w:rsid w:val="00E45302"/>
    <w:rsid w:val="00E64259"/>
    <w:rsid w:val="00E7025D"/>
    <w:rsid w:val="00E73D76"/>
    <w:rsid w:val="00E778CC"/>
    <w:rsid w:val="00E8794F"/>
    <w:rsid w:val="00E92452"/>
    <w:rsid w:val="00E96512"/>
    <w:rsid w:val="00EA5E94"/>
    <w:rsid w:val="00EA778C"/>
    <w:rsid w:val="00EB2EFA"/>
    <w:rsid w:val="00EC1D3B"/>
    <w:rsid w:val="00EC48F7"/>
    <w:rsid w:val="00ED0108"/>
    <w:rsid w:val="00ED1561"/>
    <w:rsid w:val="00EE0CF7"/>
    <w:rsid w:val="00EE601D"/>
    <w:rsid w:val="00EF7E7B"/>
    <w:rsid w:val="00F0413A"/>
    <w:rsid w:val="00F2283A"/>
    <w:rsid w:val="00F25A79"/>
    <w:rsid w:val="00F304EA"/>
    <w:rsid w:val="00F32DE5"/>
    <w:rsid w:val="00F33DC1"/>
    <w:rsid w:val="00F3626D"/>
    <w:rsid w:val="00F43B1B"/>
    <w:rsid w:val="00F51B7C"/>
    <w:rsid w:val="00F51F9C"/>
    <w:rsid w:val="00F564C0"/>
    <w:rsid w:val="00F61653"/>
    <w:rsid w:val="00F72B91"/>
    <w:rsid w:val="00F941DB"/>
    <w:rsid w:val="00F95148"/>
    <w:rsid w:val="00F96587"/>
    <w:rsid w:val="00FB347B"/>
    <w:rsid w:val="00FC0252"/>
    <w:rsid w:val="00FC3BED"/>
    <w:rsid w:val="00FC6857"/>
    <w:rsid w:val="00FE4C7B"/>
    <w:rsid w:val="00FF6F2E"/>
    <w:rsid w:val="01BB21EC"/>
    <w:rsid w:val="06379B61"/>
    <w:rsid w:val="07F263A5"/>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448FBCB1"/>
    <w:rsid w:val="48330388"/>
    <w:rsid w:val="495EA5E0"/>
    <w:rsid w:val="4A9A233D"/>
    <w:rsid w:val="4BE22861"/>
    <w:rsid w:val="4C375E08"/>
    <w:rsid w:val="50615FFC"/>
    <w:rsid w:val="50D445F4"/>
    <w:rsid w:val="57CD4398"/>
    <w:rsid w:val="59B4B7FB"/>
    <w:rsid w:val="5AF16B15"/>
    <w:rsid w:val="5B5F60D7"/>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C2A4"/>
  <w15:docId w15:val="{132CAFD2-296D-4E45-8581-B5C252F675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70AB"/>
    <w:pPr>
      <w:spacing w:after="0" w:line="240" w:lineRule="auto"/>
    </w:pPr>
    <w:rPr>
      <w:rFonts w:ascii="Times New Roman" w:hAnsi="Times New Roman" w:eastAsia="Times New Roman" w:cs="Times New Roman"/>
      <w:sz w:val="24"/>
      <w:szCs w:val="24"/>
      <w:lang w:eastAsia="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50DF7"/>
    <w:rPr>
      <w:sz w:val="24"/>
      <w:lang w:val="es-MX"/>
    </w:rPr>
  </w:style>
  <w:style w:type="table" w:styleId="Tablaconcuadrcula">
    <w:name w:val="Table Grid"/>
    <w:basedOn w:val="Tablanormal"/>
    <w:uiPriority w:val="39"/>
    <w:qFormat/>
    <w:rsid w:val="00950D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50DF7"/>
    <w:pPr>
      <w:ind w:left="720"/>
      <w:contextualSpacing/>
    </w:pPr>
    <w:rPr>
      <w:rFonts w:asciiTheme="minorHAnsi" w:hAnsiTheme="minorHAnsi" w:eastAsia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3"/>
    <w:qFormat/>
    <w:rsid w:val="00950DF7"/>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950DF7"/>
    <w:rPr>
      <w:rFonts w:ascii="Times New Roman" w:hAnsi="Times New Roman" w:eastAsia="Times New Roman" w:cs="Times New Roman"/>
      <w:sz w:val="20"/>
      <w:szCs w:val="20"/>
      <w:lang w:eastAsia="es-ES_tradnl"/>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950DF7"/>
    <w:rPr>
      <w:vertAlign w:val="superscript"/>
    </w:rPr>
  </w:style>
  <w:style w:type="table" w:styleId="Tablaconcuadrcula1" w:customStyle="1">
    <w:name w:val="Tabla con cuadrícula1"/>
    <w:basedOn w:val="Tablanormal"/>
    <w:next w:val="Tablaconcuadrcula"/>
    <w:uiPriority w:val="59"/>
    <w:rsid w:val="00950DF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Refdenotaalpie"/>
    <w:rsid w:val="00950DF7"/>
    <w:pPr>
      <w:spacing w:after="160" w:line="240" w:lineRule="exact"/>
    </w:pPr>
    <w:rPr>
      <w:rFonts w:asciiTheme="minorHAnsi" w:hAnsiTheme="minorHAnsi" w:eastAsia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styleId="NormalWebCar" w:customStyle="1">
    <w:name w:val="Normal (Web) Car"/>
    <w:link w:val="NormalWeb"/>
    <w:uiPriority w:val="99"/>
    <w:rsid w:val="00950DF7"/>
    <w:rPr>
      <w:rFonts w:ascii="Times New Roman" w:hAnsi="Times New Roman" w:eastAsia="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hAnsi="Times New Roman" w:eastAsia="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styleId="TextocomentarioCar" w:customStyle="1">
    <w:name w:val="Texto comentario Car"/>
    <w:basedOn w:val="Fuentedeprrafopredeter"/>
    <w:link w:val="Textocomentario"/>
    <w:uiPriority w:val="99"/>
    <w:rsid w:val="003A2031"/>
    <w:rPr>
      <w:rFonts w:ascii="Times New Roman" w:hAnsi="Times New Roman" w:eastAsia="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styleId="AsuntodelcomentarioCar" w:customStyle="1">
    <w:name w:val="Asunto del comentario Car"/>
    <w:basedOn w:val="TextocomentarioCar"/>
    <w:link w:val="Asuntodelcomentario"/>
    <w:uiPriority w:val="99"/>
    <w:semiHidden/>
    <w:rsid w:val="003A2031"/>
    <w:rPr>
      <w:rFonts w:ascii="Times New Roman" w:hAnsi="Times New Roman" w:eastAsia="Times New Roman" w:cs="Times New Roman"/>
      <w:b/>
      <w:bCs/>
      <w:sz w:val="20"/>
      <w:szCs w:val="20"/>
      <w:lang w:eastAsia="es-ES_tradnl"/>
    </w:rPr>
  </w:style>
  <w:style w:type="character" w:styleId="Mencinsinresolver">
    <w:name w:val="Unresolved Mention"/>
    <w:basedOn w:val="Fuentedeprrafopredeter"/>
    <w:uiPriority w:val="99"/>
    <w:semiHidden/>
    <w:unhideWhenUsed/>
    <w:rsid w:val="004845C5"/>
    <w:rPr>
      <w:color w:val="605E5C"/>
      <w:shd w:val="clear" w:color="auto" w:fill="E1DFDD"/>
    </w:rPr>
  </w:style>
  <w:style w:type="character" w:styleId="Mencionar">
    <w:name w:val="Mention"/>
    <w:basedOn w:val="Fuentedeprrafopredeter"/>
    <w:uiPriority w:val="99"/>
    <w:unhideWhenUsed/>
    <w:rPr>
      <w:color w:val="2B579A"/>
      <w:shd w:val="clear" w:color="auto" w:fill="E6E6E6"/>
    </w:rPr>
  </w:style>
  <w:style w:type="character" w:styleId="normaltextrun" w:customStyle="1">
    <w:name w:val="normaltextrun"/>
    <w:basedOn w:val="Fuentedeprrafopredeter"/>
    <w:rsid w:val="0005405C"/>
  </w:style>
  <w:style w:type="paragraph" w:styleId="paragraph" w:customStyle="1">
    <w:name w:val="paragraph"/>
    <w:basedOn w:val="Normal"/>
    <w:rsid w:val="00F51F9C"/>
    <w:pPr>
      <w:spacing w:before="100" w:beforeAutospacing="1" w:after="100" w:afterAutospacing="1"/>
    </w:pPr>
    <w:rPr>
      <w:lang w:eastAsia="es-CO"/>
    </w:rPr>
  </w:style>
  <w:style w:type="character" w:styleId="eop" w:customStyle="1">
    <w:name w:val="eop"/>
    <w:basedOn w:val="Fuentedeprrafopredeter"/>
    <w:rsid w:val="00F5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903315">
      <w:bodyDiv w:val="1"/>
      <w:marLeft w:val="0"/>
      <w:marRight w:val="0"/>
      <w:marTop w:val="0"/>
      <w:marBottom w:val="0"/>
      <w:divBdr>
        <w:top w:val="none" w:sz="0" w:space="0" w:color="auto"/>
        <w:left w:val="none" w:sz="0" w:space="0" w:color="auto"/>
        <w:bottom w:val="none" w:sz="0" w:space="0" w:color="auto"/>
        <w:right w:val="none" w:sz="0" w:space="0" w:color="auto"/>
      </w:divBdr>
      <w:divsChild>
        <w:div w:id="722411169">
          <w:marLeft w:val="0"/>
          <w:marRight w:val="0"/>
          <w:marTop w:val="0"/>
          <w:marBottom w:val="0"/>
          <w:divBdr>
            <w:top w:val="none" w:sz="0" w:space="0" w:color="auto"/>
            <w:left w:val="none" w:sz="0" w:space="0" w:color="auto"/>
            <w:bottom w:val="none" w:sz="0" w:space="0" w:color="auto"/>
            <w:right w:val="none" w:sz="0" w:space="0" w:color="auto"/>
          </w:divBdr>
          <w:divsChild>
            <w:div w:id="1856840831">
              <w:marLeft w:val="0"/>
              <w:marRight w:val="0"/>
              <w:marTop w:val="0"/>
              <w:marBottom w:val="0"/>
              <w:divBdr>
                <w:top w:val="none" w:sz="0" w:space="0" w:color="auto"/>
                <w:left w:val="none" w:sz="0" w:space="0" w:color="auto"/>
                <w:bottom w:val="none" w:sz="0" w:space="0" w:color="auto"/>
                <w:right w:val="none" w:sz="0" w:space="0" w:color="auto"/>
              </w:divBdr>
            </w:div>
          </w:divsChild>
        </w:div>
        <w:div w:id="1754430499">
          <w:marLeft w:val="0"/>
          <w:marRight w:val="0"/>
          <w:marTop w:val="0"/>
          <w:marBottom w:val="0"/>
          <w:divBdr>
            <w:top w:val="none" w:sz="0" w:space="0" w:color="auto"/>
            <w:left w:val="none" w:sz="0" w:space="0" w:color="auto"/>
            <w:bottom w:val="none" w:sz="0" w:space="0" w:color="auto"/>
            <w:right w:val="none" w:sz="0" w:space="0" w:color="auto"/>
          </w:divBdr>
          <w:divsChild>
            <w:div w:id="454956224">
              <w:marLeft w:val="0"/>
              <w:marRight w:val="0"/>
              <w:marTop w:val="0"/>
              <w:marBottom w:val="0"/>
              <w:divBdr>
                <w:top w:val="none" w:sz="0" w:space="0" w:color="auto"/>
                <w:left w:val="none" w:sz="0" w:space="0" w:color="auto"/>
                <w:bottom w:val="none" w:sz="0" w:space="0" w:color="auto"/>
                <w:right w:val="none" w:sz="0" w:space="0" w:color="auto"/>
              </w:divBdr>
            </w:div>
            <w:div w:id="615646031">
              <w:marLeft w:val="0"/>
              <w:marRight w:val="0"/>
              <w:marTop w:val="0"/>
              <w:marBottom w:val="0"/>
              <w:divBdr>
                <w:top w:val="none" w:sz="0" w:space="0" w:color="auto"/>
                <w:left w:val="none" w:sz="0" w:space="0" w:color="auto"/>
                <w:bottom w:val="none" w:sz="0" w:space="0" w:color="auto"/>
                <w:right w:val="none" w:sz="0" w:space="0" w:color="auto"/>
              </w:divBdr>
            </w:div>
            <w:div w:id="8536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Props1.xml><?xml version="1.0" encoding="utf-8"?>
<ds:datastoreItem xmlns:ds="http://schemas.openxmlformats.org/officeDocument/2006/customXml" ds:itemID="{6A812E64-C556-4806-9F52-A80B25D7E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654F0-47A5-4E73-A99F-8965E6BD22B7}">
  <ds:schemaRefs>
    <ds:schemaRef ds:uri="http://schemas.openxmlformats.org/officeDocument/2006/bibliography"/>
  </ds:schemaRefs>
</ds:datastoreItem>
</file>

<file path=customXml/itemProps3.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4.xml><?xml version="1.0" encoding="utf-8"?>
<ds:datastoreItem xmlns:ds="http://schemas.openxmlformats.org/officeDocument/2006/customXml" ds:itemID="{5C56A34D-86C6-4FEF-9F21-278C40FAB5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7595</Words>
  <Characters>41778</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49275</CharactersWithSpaces>
  <SharedDoc>false</SharedDoc>
  <HLinks>
    <vt:vector size="18" baseType="variant">
      <vt:variant>
        <vt:i4>2555946</vt:i4>
      </vt:variant>
      <vt:variant>
        <vt:i4>6</vt:i4>
      </vt:variant>
      <vt:variant>
        <vt:i4>0</vt:i4>
      </vt:variant>
      <vt:variant>
        <vt:i4>5</vt:i4>
      </vt:variant>
      <vt:variant>
        <vt:lpwstr>https://www.camara.gov.co/juntas-de-accion-comunal</vt:lpwstr>
      </vt:variant>
      <vt:variant>
        <vt:lpwstr/>
      </vt:variant>
      <vt:variant>
        <vt:i4>6094936</vt:i4>
      </vt:variant>
      <vt:variant>
        <vt:i4>3</vt:i4>
      </vt:variant>
      <vt:variant>
        <vt:i4>0</vt:i4>
      </vt:variant>
      <vt:variant>
        <vt:i4>5</vt:i4>
      </vt:variant>
      <vt:variant>
        <vt:lpwstr>https://dapre.presidencia.gov.co/normativa/leyes</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ANCP-CCE-</cp:lastModifiedBy>
  <cp:revision>4</cp:revision>
  <dcterms:created xsi:type="dcterms:W3CDTF">2023-11-16T22:26:00Z</dcterms:created>
  <dcterms:modified xsi:type="dcterms:W3CDTF">2023-12-11T16:25:00Z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