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52014" w:rsidR="00252014" w:rsidP="00252014" w:rsidRDefault="00252014" w14:paraId="2CA8BC77" w14:textId="77777777">
      <w:pPr>
        <w:tabs>
          <w:tab w:val="left" w:pos="3374"/>
        </w:tabs>
        <w:spacing w:after="0" w:line="240" w:lineRule="auto"/>
        <w:jc w:val="both"/>
        <w:rPr>
          <w:rFonts w:ascii="Century Gothic" w:hAnsi="Century Gothic" w:cs="Arial"/>
          <w:b/>
          <w:bCs/>
          <w:sz w:val="20"/>
          <w:szCs w:val="20"/>
        </w:rPr>
      </w:pPr>
      <w:bookmarkStart w:name="_Hlk94281581" w:id="0"/>
      <w:bookmarkStart w:name="_Hlk102489058" w:id="1"/>
      <w:bookmarkStart w:name="_Hlk34951122" w:id="2"/>
    </w:p>
    <w:p w:rsidRPr="00252014" w:rsidR="00252014" w:rsidP="00252014" w:rsidRDefault="00252014" w14:paraId="6052E63D" w14:textId="77777777">
      <w:pPr>
        <w:spacing w:after="0" w:line="240" w:lineRule="auto"/>
        <w:contextualSpacing/>
        <w:jc w:val="both"/>
        <w:rPr>
          <w:rFonts w:ascii="Century Gothic" w:hAnsi="Century Gothic" w:eastAsia="Calibri" w:cs="Arial"/>
          <w:b/>
          <w:lang w:eastAsia="es-ES_tradnl"/>
        </w:rPr>
      </w:pPr>
      <w:r w:rsidRPr="00252014">
        <w:rPr>
          <w:rFonts w:ascii="Century Gothic" w:hAnsi="Century Gothic" w:eastAsia="Calibri" w:cs="Arial"/>
          <w:b/>
          <w:lang w:eastAsia="es-ES_tradnl"/>
        </w:rPr>
        <w:t xml:space="preserve">ORGANISMOS INTERNACIONALES – Concepto </w:t>
      </w:r>
    </w:p>
    <w:p w:rsidRPr="00252014" w:rsidR="00252014" w:rsidP="00252014" w:rsidRDefault="00252014" w14:paraId="67579729" w14:textId="77777777">
      <w:pPr>
        <w:spacing w:after="0" w:line="240" w:lineRule="auto"/>
        <w:contextualSpacing/>
        <w:jc w:val="both"/>
        <w:rPr>
          <w:rFonts w:ascii="Century Gothic" w:hAnsi="Century Gothic" w:eastAsia="Calibri" w:cs="Arial"/>
          <w:bCs/>
          <w:sz w:val="20"/>
          <w:szCs w:val="20"/>
          <w:lang w:val="es-MX" w:eastAsia="es-MX"/>
        </w:rPr>
      </w:pPr>
    </w:p>
    <w:p w:rsidRPr="00252014" w:rsidR="00252014" w:rsidP="00252014" w:rsidRDefault="00252014" w14:paraId="264EFA67" w14:textId="77777777">
      <w:pPr>
        <w:spacing w:after="0" w:line="240" w:lineRule="auto"/>
        <w:contextualSpacing/>
        <w:jc w:val="both"/>
        <w:rPr>
          <w:rFonts w:ascii="Century Gothic" w:hAnsi="Century Gothic" w:eastAsia="Calibri" w:cs="Arial"/>
          <w:bCs/>
          <w:sz w:val="20"/>
          <w:szCs w:val="20"/>
          <w:lang w:val="es-MX" w:eastAsia="es-MX"/>
        </w:rPr>
      </w:pPr>
      <w:r w:rsidRPr="00252014">
        <w:rPr>
          <w:rFonts w:ascii="Century Gothic" w:hAnsi="Century Gothic" w:eastAsia="Calibri" w:cs="Arial"/>
          <w:bCs/>
          <w:sz w:val="20"/>
          <w:szCs w:val="20"/>
          <w:lang w:val="es-MX" w:eastAsia="es-MX"/>
        </w:rPr>
        <w:t xml:space="preserve">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rsidRPr="00252014" w:rsidR="00252014" w:rsidP="00252014" w:rsidRDefault="00252014" w14:paraId="3EE91A95" w14:textId="77777777">
      <w:pPr>
        <w:spacing w:after="0" w:line="240" w:lineRule="auto"/>
        <w:contextualSpacing/>
        <w:jc w:val="both"/>
        <w:rPr>
          <w:rFonts w:ascii="Century Gothic" w:hAnsi="Century Gothic" w:eastAsia="Calibri" w:cs="Arial"/>
          <w:bCs/>
          <w:sz w:val="20"/>
          <w:szCs w:val="20"/>
          <w:lang w:val="es-MX" w:eastAsia="es-MX"/>
        </w:rPr>
      </w:pPr>
    </w:p>
    <w:p w:rsidRPr="00252014" w:rsidR="00252014" w:rsidP="00252014" w:rsidRDefault="00252014" w14:paraId="0FADA5D1" w14:textId="77777777">
      <w:pPr>
        <w:spacing w:after="0" w:line="240" w:lineRule="auto"/>
        <w:contextualSpacing/>
        <w:jc w:val="both"/>
        <w:rPr>
          <w:rFonts w:ascii="Century Gothic" w:hAnsi="Century Gothic" w:eastAsia="Calibri" w:cs="Arial"/>
          <w:bCs/>
          <w:sz w:val="20"/>
          <w:szCs w:val="20"/>
          <w:lang w:val="es-MX" w:eastAsia="es-MX"/>
        </w:rPr>
      </w:pPr>
      <w:r w:rsidRPr="00252014">
        <w:rPr>
          <w:rFonts w:ascii="Century Gothic" w:hAnsi="Century Gothic" w:eastAsia="Calibri" w:cs="Arial"/>
          <w:bCs/>
          <w:sz w:val="20"/>
          <w:szCs w:val="20"/>
          <w:lang w:val="es-MX" w:eastAsia="es-MX"/>
        </w:rPr>
        <w:t xml:space="preserve">El artículo 13 de la Ley 80 de 1993 regula de forma general el régimen aplicable a los contratos que celebren las entidades referidas en el artículo segundo del estatuto,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p w:rsidRPr="00252014" w:rsidR="00252014" w:rsidP="00252014" w:rsidRDefault="00252014" w14:paraId="13BEF4AE" w14:textId="77777777">
      <w:pPr>
        <w:spacing w:after="0" w:line="240" w:lineRule="auto"/>
        <w:jc w:val="both"/>
        <w:rPr>
          <w:rFonts w:ascii="Century Gothic" w:hAnsi="Century Gothic" w:eastAsia="Calibri" w:cs="Arial"/>
          <w:bCs/>
          <w:color w:val="000000" w:themeColor="text1"/>
          <w:sz w:val="20"/>
          <w:szCs w:val="20"/>
        </w:rPr>
      </w:pPr>
    </w:p>
    <w:p w:rsidRPr="00252014" w:rsidR="00252014" w:rsidP="00252014" w:rsidRDefault="00252014" w14:paraId="1FBD8211" w14:textId="77777777">
      <w:pPr>
        <w:spacing w:after="0" w:line="240" w:lineRule="auto"/>
        <w:contextualSpacing/>
        <w:jc w:val="both"/>
        <w:rPr>
          <w:rFonts w:ascii="Century Gothic" w:hAnsi="Century Gothic" w:eastAsia="Arial" w:cs="Arial"/>
          <w:b/>
          <w:bCs/>
          <w:lang w:val="es-ES" w:eastAsia="es-ES" w:bidi="es-ES"/>
        </w:rPr>
      </w:pPr>
      <w:r w:rsidRPr="00252014">
        <w:rPr>
          <w:rFonts w:ascii="Century Gothic" w:hAnsi="Century Gothic" w:eastAsia="Arial" w:cs="Arial"/>
          <w:b/>
          <w:bCs/>
          <w:lang w:val="es-ES" w:eastAsia="es-ES" w:bidi="es-ES"/>
        </w:rPr>
        <w:t>RÉGIMEN CONTRACTUAL – Ley 1150 de 2007 – Artículo 20</w:t>
      </w:r>
    </w:p>
    <w:p w:rsidRPr="00252014" w:rsidR="00252014" w:rsidP="00252014" w:rsidRDefault="00252014" w14:paraId="44338B42" w14:textId="77777777">
      <w:pPr>
        <w:spacing w:after="0" w:line="240" w:lineRule="auto"/>
        <w:contextualSpacing/>
        <w:jc w:val="both"/>
        <w:rPr>
          <w:rFonts w:ascii="Century Gothic" w:hAnsi="Century Gothic" w:eastAsia="Arial" w:cs="Arial"/>
          <w:b/>
          <w:bCs/>
          <w:sz w:val="20"/>
          <w:szCs w:val="20"/>
          <w:lang w:val="es-ES" w:eastAsia="es-ES" w:bidi="es-ES"/>
        </w:rPr>
      </w:pPr>
    </w:p>
    <w:p w:rsidRPr="00252014" w:rsidR="00252014" w:rsidP="00252014" w:rsidRDefault="00252014" w14:paraId="08724EF4" w14:textId="77777777">
      <w:pPr>
        <w:spacing w:after="0" w:line="240" w:lineRule="auto"/>
        <w:jc w:val="both"/>
        <w:rPr>
          <w:rFonts w:ascii="Century Gothic" w:hAnsi="Century Gothic" w:eastAsia="Calibri" w:cs="Arial"/>
          <w:color w:val="000000" w:themeColor="text1"/>
          <w:sz w:val="20"/>
          <w:szCs w:val="20"/>
          <w:lang w:val="es-ES_tradnl"/>
        </w:rPr>
      </w:pPr>
      <w:r w:rsidRPr="00252014">
        <w:rPr>
          <w:rFonts w:ascii="Century Gothic" w:hAnsi="Century Gothic" w:eastAsia="Calibri" w:cs="Arial"/>
          <w:color w:val="000000" w:themeColor="text1"/>
          <w:sz w:val="20"/>
          <w:szCs w:val="20"/>
          <w:lang w:val="es-ES_tradnl"/>
        </w:rPr>
        <w:t xml:space="preserve">[…] en lo que tiene que ver con el </w:t>
      </w:r>
      <w:r w:rsidRPr="00252014">
        <w:rPr>
          <w:rFonts w:ascii="Century Gothic" w:hAnsi="Century Gothic" w:eastAsia="Calibri" w:cs="Arial"/>
          <w:i/>
          <w:iCs/>
          <w:color w:val="000000" w:themeColor="text1"/>
          <w:sz w:val="20"/>
          <w:szCs w:val="20"/>
          <w:lang w:val="es-ES_tradnl"/>
        </w:rPr>
        <w:t>inciso primero</w:t>
      </w:r>
      <w:r w:rsidRPr="00252014">
        <w:rPr>
          <w:rFonts w:ascii="Century Gothic" w:hAnsi="Century Gothic" w:eastAsia="Calibri" w:cs="Arial"/>
          <w:color w:val="000000" w:themeColor="text1"/>
          <w:sz w:val="20"/>
          <w:szCs w:val="20"/>
          <w:lang w:val="es-ES_tradnl"/>
        </w:rPr>
        <w:t xml:space="preserve"> [del artículo 20 de la Ley 1150 de 2007],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w:t>
      </w:r>
    </w:p>
    <w:p w:rsidRPr="00252014" w:rsidR="00252014" w:rsidP="00252014" w:rsidRDefault="00252014" w14:paraId="244B904E" w14:textId="77777777">
      <w:pPr>
        <w:spacing w:after="0" w:line="240" w:lineRule="auto"/>
        <w:jc w:val="both"/>
        <w:rPr>
          <w:rFonts w:ascii="Century Gothic" w:hAnsi="Century Gothic" w:eastAsia="Calibri" w:cs="Arial"/>
          <w:color w:val="000000" w:themeColor="text1"/>
          <w:sz w:val="20"/>
          <w:szCs w:val="20"/>
          <w:lang w:val="es-ES_tradnl"/>
        </w:rPr>
      </w:pPr>
      <w:r w:rsidRPr="00252014">
        <w:rPr>
          <w:rFonts w:ascii="Century Gothic" w:hAnsi="Century Gothic" w:eastAsia="Calibri" w:cs="Arial"/>
          <w:color w:val="000000" w:themeColor="text1"/>
          <w:sz w:val="20"/>
          <w:szCs w:val="20"/>
          <w:lang w:val="es-ES_tradnl"/>
        </w:rPr>
        <w:t>[…]</w:t>
      </w:r>
    </w:p>
    <w:p w:rsidRPr="00252014" w:rsidR="00252014" w:rsidP="00252014" w:rsidRDefault="00252014" w14:paraId="01EBB384" w14:textId="77777777">
      <w:pPr>
        <w:spacing w:after="0" w:line="240" w:lineRule="auto"/>
        <w:jc w:val="both"/>
        <w:rPr>
          <w:rFonts w:ascii="Century Gothic" w:hAnsi="Century Gothic" w:eastAsia="Calibri" w:cs="Arial"/>
          <w:color w:val="000000" w:themeColor="text1"/>
          <w:sz w:val="20"/>
          <w:szCs w:val="20"/>
          <w:lang w:val="es-ES_tradnl"/>
        </w:rPr>
      </w:pPr>
    </w:p>
    <w:p w:rsidRPr="00252014" w:rsidR="00252014" w:rsidP="00252014" w:rsidRDefault="00252014" w14:paraId="4A5284C0" w14:textId="77777777">
      <w:pPr>
        <w:spacing w:after="0" w:line="240" w:lineRule="auto"/>
        <w:jc w:val="both"/>
        <w:rPr>
          <w:rFonts w:ascii="Century Gothic" w:hAnsi="Century Gothic" w:eastAsia="Calibri" w:cs="Arial"/>
          <w:color w:val="000000" w:themeColor="text1"/>
          <w:sz w:val="20"/>
          <w:szCs w:val="20"/>
          <w:lang w:val="es-ES_tradnl"/>
        </w:rPr>
      </w:pPr>
      <w:r w:rsidRPr="00252014">
        <w:rPr>
          <w:rFonts w:ascii="Century Gothic" w:hAnsi="Century Gothic" w:eastAsia="Calibri" w:cs="Arial"/>
          <w:color w:val="000000" w:themeColor="text1"/>
          <w:sz w:val="20"/>
          <w:szCs w:val="20"/>
          <w:lang w:val="es-ES_tradnl"/>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w:t>
      </w:r>
    </w:p>
    <w:p w:rsidRPr="00252014" w:rsidR="00252014" w:rsidP="00252014" w:rsidRDefault="00252014" w14:paraId="5ABBA3A0" w14:textId="77777777">
      <w:pPr>
        <w:spacing w:after="0" w:line="240" w:lineRule="auto"/>
        <w:jc w:val="both"/>
        <w:rPr>
          <w:rFonts w:ascii="Century Gothic" w:hAnsi="Century Gothic" w:eastAsia="Calibri" w:cs="Arial"/>
          <w:color w:val="000000" w:themeColor="text1"/>
          <w:sz w:val="20"/>
          <w:szCs w:val="20"/>
          <w:lang w:val="es-ES_tradnl"/>
        </w:rPr>
      </w:pPr>
      <w:r w:rsidRPr="00252014">
        <w:rPr>
          <w:rFonts w:ascii="Century Gothic" w:hAnsi="Century Gothic" w:eastAsia="Calibri" w:cs="Arial"/>
          <w:color w:val="000000" w:themeColor="text1"/>
          <w:sz w:val="20"/>
          <w:szCs w:val="20"/>
          <w:lang w:val="es-ES_tradnl"/>
        </w:rPr>
        <w:t>[…]</w:t>
      </w:r>
    </w:p>
    <w:p w:rsidRPr="00252014" w:rsidR="00252014" w:rsidP="00252014" w:rsidRDefault="00252014" w14:paraId="6B8114DA" w14:textId="77777777">
      <w:pPr>
        <w:spacing w:after="0" w:line="240" w:lineRule="auto"/>
        <w:jc w:val="both"/>
        <w:rPr>
          <w:rFonts w:ascii="Century Gothic" w:hAnsi="Century Gothic" w:eastAsia="Calibri" w:cs="Arial"/>
          <w:color w:val="000000" w:themeColor="text1"/>
          <w:sz w:val="20"/>
          <w:szCs w:val="20"/>
          <w:lang w:val="es-ES_tradnl"/>
        </w:rPr>
      </w:pPr>
    </w:p>
    <w:p w:rsidRPr="00252014" w:rsidR="00252014" w:rsidP="00252014" w:rsidRDefault="00252014" w14:paraId="5209E655" w14:textId="77777777">
      <w:pPr>
        <w:spacing w:after="0" w:line="240" w:lineRule="auto"/>
        <w:jc w:val="both"/>
        <w:rPr>
          <w:rFonts w:ascii="Century Gothic" w:hAnsi="Century Gothic" w:eastAsia="Calibri" w:cs="Arial"/>
          <w:color w:val="000000" w:themeColor="text1"/>
          <w:sz w:val="20"/>
          <w:szCs w:val="20"/>
          <w:lang w:val="es-ES_tradnl"/>
        </w:rPr>
      </w:pPr>
      <w:r w:rsidRPr="00252014">
        <w:rPr>
          <w:rFonts w:ascii="Century Gothic" w:hAnsi="Century Gothic" w:eastAsia="Calibri" w:cs="Arial"/>
          <w:color w:val="000000" w:themeColor="text1"/>
          <w:sz w:val="20"/>
          <w:szCs w:val="20"/>
          <w:lang w:val="es-ES_tradnl"/>
        </w:rPr>
        <w:t xml:space="preserve">Asimismo, el parágrafo primero del artículo 20 de la Ley 1150 de 2007 establece un tercer criterio para determinar el régimen contractual aplicable. De acuerdo con la norma, “Los contratos o acuerdos celebrados con personas extranjeras de derecho público, podrán someterse a las reglas de tales organismos”. Estos negocios jurídicos, a diferencia de los contratos del inciso primero ibidem, son independientes del monto de los aportes realizados </w:t>
      </w:r>
      <w:r w:rsidRPr="00252014">
        <w:rPr>
          <w:rFonts w:ascii="Century Gothic" w:hAnsi="Century Gothic" w:eastAsia="Calibri" w:cs="Arial"/>
          <w:color w:val="000000" w:themeColor="text1"/>
          <w:sz w:val="20"/>
          <w:szCs w:val="20"/>
          <w:lang w:val="es-ES_tradnl"/>
        </w:rPr>
        <w:lastRenderedPageBreak/>
        <w:t>por el organismo. Igualmente, en contraste con los contratos del inciso segundo ibidem, son negocios jurídicos independientes del objeto convenido. No obstante, al igual de los dos (2) supuestos explicados ut supra, en esta hipótesis también es posible optar por someter el contrato a los reglamentos de dichos organismos o bien someterlos a la Ley 80 de 1993.</w:t>
      </w:r>
    </w:p>
    <w:p w:rsidRPr="00252014" w:rsidR="00252014" w:rsidP="00252014" w:rsidRDefault="00252014" w14:paraId="60D61D86" w14:textId="77777777">
      <w:pPr>
        <w:spacing w:after="0" w:line="240" w:lineRule="auto"/>
        <w:jc w:val="both"/>
        <w:rPr>
          <w:rFonts w:ascii="Century Gothic" w:hAnsi="Century Gothic" w:eastAsia="Calibri" w:cs="Arial"/>
          <w:color w:val="000000" w:themeColor="text1"/>
          <w:sz w:val="20"/>
          <w:szCs w:val="20"/>
        </w:rPr>
      </w:pPr>
      <w:r w:rsidRPr="00252014">
        <w:rPr>
          <w:rFonts w:ascii="Century Gothic" w:hAnsi="Century Gothic" w:eastAsia="Calibri" w:cs="Arial"/>
          <w:color w:val="000000" w:themeColor="text1"/>
          <w:sz w:val="20"/>
          <w:szCs w:val="20"/>
        </w:rPr>
        <w:t xml:space="preserve"> </w:t>
      </w:r>
    </w:p>
    <w:p w:rsidRPr="00252014" w:rsidR="00252014" w:rsidP="00252014" w:rsidRDefault="00252014" w14:paraId="113784EF" w14:textId="77777777">
      <w:pPr>
        <w:tabs>
          <w:tab w:val="left" w:pos="426"/>
        </w:tabs>
        <w:spacing w:after="0" w:line="240" w:lineRule="auto"/>
        <w:contextualSpacing/>
        <w:jc w:val="both"/>
        <w:rPr>
          <w:rFonts w:ascii="Century Gothic" w:hAnsi="Century Gothic" w:eastAsia="Calibri" w:cs="Arial"/>
          <w:b/>
          <w:bCs/>
          <w:lang w:val="es-MX"/>
        </w:rPr>
      </w:pPr>
      <w:r w:rsidRPr="00252014">
        <w:rPr>
          <w:rFonts w:ascii="Century Gothic" w:hAnsi="Century Gothic" w:eastAsia="Calibri" w:cs="Arial"/>
          <w:b/>
          <w:bCs/>
          <w:lang w:val="es-MX"/>
        </w:rPr>
        <w:t>SISTEMA NACIONAL DE COOPERACIÓN INTERNACIONAL – Decreto 603 de 2022 – Alcance</w:t>
      </w:r>
    </w:p>
    <w:p w:rsidRPr="00252014" w:rsidR="00252014" w:rsidP="00252014" w:rsidRDefault="00252014" w14:paraId="19F383D7" w14:textId="77777777">
      <w:pPr>
        <w:tabs>
          <w:tab w:val="left" w:pos="426"/>
        </w:tabs>
        <w:spacing w:after="0" w:line="240" w:lineRule="auto"/>
        <w:contextualSpacing/>
        <w:jc w:val="both"/>
        <w:rPr>
          <w:rFonts w:ascii="Century Gothic" w:hAnsi="Century Gothic" w:eastAsia="Calibri" w:cs="Arial"/>
          <w:b/>
          <w:bCs/>
          <w:sz w:val="20"/>
          <w:szCs w:val="20"/>
          <w:lang w:val="es-MX"/>
        </w:rPr>
      </w:pPr>
    </w:p>
    <w:p w:rsidRPr="00252014" w:rsidR="00252014" w:rsidP="00252014" w:rsidRDefault="00252014" w14:paraId="2E159FBB" w14:textId="77777777">
      <w:pPr>
        <w:tabs>
          <w:tab w:val="left" w:pos="426"/>
        </w:tabs>
        <w:spacing w:after="0" w:line="240" w:lineRule="auto"/>
        <w:contextualSpacing/>
        <w:jc w:val="both"/>
        <w:rPr>
          <w:rFonts w:ascii="Century Gothic" w:hAnsi="Century Gothic" w:eastAsia="Calibri" w:cs="Arial"/>
          <w:noProof/>
          <w:sz w:val="20"/>
          <w:szCs w:val="20"/>
          <w:lang w:val="es-ES_tradnl"/>
        </w:rPr>
      </w:pPr>
      <w:r w:rsidRPr="00252014">
        <w:rPr>
          <w:rFonts w:ascii="Century Gothic" w:hAnsi="Century Gothic" w:eastAsia="Calibri" w:cs="Arial"/>
          <w:noProof/>
          <w:sz w:val="20"/>
          <w:szCs w:val="20"/>
          <w:lang w:val="es-ES_tradnl"/>
        </w:rPr>
        <w:t>[…] el tope del 30% establecido en la norma precitada, que determina las condiciones de participación de los socios cooperantes en condición de ejecutor del proyecto o programa, aplica para las contrapartidas dinerarias. Dicho en otras palabras, solo podrán ejecutar programas, proyectos o iniciativas en los que estén involucrados recursos del presupuesto general de la nación, aquellos socios de cooperación internacional que aporte una contrapartida de no menos del 30% de dicho programa, proyecto o iniciativa, que deberá efectuarse únicamente en sumas líquidas de dinero. Además, en cada caso deberán establecerse mecanismos de administración de las condiciones del contrato que permitan hacerle seguimiento al cumplimiento de las obligaciones contractuales.</w:t>
      </w:r>
    </w:p>
    <w:p w:rsidRPr="00252014" w:rsidR="00252014" w:rsidP="00252014" w:rsidRDefault="00252014" w14:paraId="0E9D8D7F" w14:textId="77777777">
      <w:pPr>
        <w:tabs>
          <w:tab w:val="left" w:pos="426"/>
        </w:tabs>
        <w:spacing w:after="0" w:line="240" w:lineRule="auto"/>
        <w:contextualSpacing/>
        <w:jc w:val="both"/>
        <w:rPr>
          <w:rFonts w:ascii="Century Gothic" w:hAnsi="Century Gothic" w:eastAsia="Calibri" w:cs="Arial"/>
          <w:noProof/>
          <w:sz w:val="20"/>
          <w:szCs w:val="20"/>
          <w:lang w:val="es-ES_tradnl"/>
        </w:rPr>
      </w:pPr>
    </w:p>
    <w:p w:rsidRPr="00252014" w:rsidR="00252014" w:rsidP="00252014" w:rsidRDefault="00252014" w14:paraId="4D49FC54" w14:textId="77777777">
      <w:pPr>
        <w:tabs>
          <w:tab w:val="left" w:pos="426"/>
        </w:tabs>
        <w:spacing w:after="0" w:line="240" w:lineRule="auto"/>
        <w:contextualSpacing/>
        <w:jc w:val="both"/>
        <w:rPr>
          <w:rFonts w:ascii="Century Gothic" w:hAnsi="Century Gothic" w:eastAsia="Calibri" w:cs="Arial"/>
          <w:noProof/>
          <w:sz w:val="20"/>
          <w:szCs w:val="20"/>
          <w:lang w:val="es-ES_tradnl"/>
        </w:rPr>
      </w:pPr>
      <w:r w:rsidRPr="00252014">
        <w:rPr>
          <w:rFonts w:ascii="Century Gothic" w:hAnsi="Century Gothic" w:eastAsia="Calibri" w:cs="Arial"/>
          <w:noProof/>
          <w:sz w:val="20"/>
          <w:szCs w:val="20"/>
          <w:lang w:val="es-ES_tradnl"/>
        </w:rPr>
        <w:t>En este orden de ideas, las entidades estatales, en ejercicio de la autonomía de la voluntad, pueden suscribir convenios de cooperación internacional que involucre recursos del Presupuesto General de la Nación, siempre y cuando el 30% del valor del proyecto sea aportado en dinero por el organismo internacional, pues el reglamento, como se indicó, estableció un umbral para que las entidades estatales puedan realizar proyectos, iniciativas o programas financiados con presupuesto general de la Nación en convenio con organismos internacionales. De este modo, si el socio cooperante cumple con este umbral, da lugar a suscribir el convenio.</w:t>
      </w:r>
    </w:p>
    <w:p w:rsidR="00252014" w:rsidP="000B4181" w:rsidRDefault="00252014" w14:paraId="2DF4D561" w14:textId="77777777">
      <w:pPr>
        <w:spacing w:after="0"/>
        <w:rPr>
          <w:rFonts w:ascii="Century Gothic" w:hAnsi="Century Gothic" w:eastAsia="Geomanist Light" w:cs="Arial"/>
          <w:color w:val="000000" w:themeColor="text1"/>
          <w:lang w:val="es-MX"/>
        </w:rPr>
      </w:pPr>
    </w:p>
    <w:p w:rsidR="00252014" w:rsidP="000B4181" w:rsidRDefault="00252014" w14:paraId="44C3F55D" w14:textId="77777777">
      <w:pPr>
        <w:spacing w:after="0"/>
        <w:rPr>
          <w:rFonts w:ascii="Century Gothic" w:hAnsi="Century Gothic" w:eastAsia="Geomanist Light" w:cs="Arial"/>
          <w:color w:val="000000" w:themeColor="text1"/>
          <w:lang w:val="es-MX"/>
        </w:rPr>
      </w:pPr>
    </w:p>
    <w:p w:rsidR="00252014" w:rsidP="000B4181" w:rsidRDefault="00252014" w14:paraId="279F2E2E" w14:textId="77777777">
      <w:pPr>
        <w:spacing w:after="0"/>
        <w:rPr>
          <w:rFonts w:ascii="Century Gothic" w:hAnsi="Century Gothic" w:eastAsia="Geomanist Light" w:cs="Arial"/>
          <w:color w:val="000000" w:themeColor="text1"/>
          <w:lang w:val="es-MX"/>
        </w:rPr>
      </w:pPr>
    </w:p>
    <w:p w:rsidR="00252014" w:rsidP="000B4181" w:rsidRDefault="00252014" w14:paraId="5136E51F" w14:textId="77777777">
      <w:pPr>
        <w:spacing w:after="0"/>
        <w:rPr>
          <w:rFonts w:ascii="Century Gothic" w:hAnsi="Century Gothic" w:eastAsia="Geomanist Light" w:cs="Arial"/>
          <w:color w:val="000000" w:themeColor="text1"/>
          <w:lang w:val="es-MX"/>
        </w:rPr>
      </w:pPr>
    </w:p>
    <w:p w:rsidR="00252014" w:rsidP="000B4181" w:rsidRDefault="00252014" w14:paraId="2E51340D" w14:textId="77777777">
      <w:pPr>
        <w:spacing w:after="0"/>
        <w:rPr>
          <w:rFonts w:ascii="Century Gothic" w:hAnsi="Century Gothic" w:eastAsia="Geomanist Light" w:cs="Arial"/>
          <w:color w:val="000000" w:themeColor="text1"/>
          <w:lang w:val="es-MX"/>
        </w:rPr>
      </w:pPr>
    </w:p>
    <w:p w:rsidR="00252014" w:rsidP="000B4181" w:rsidRDefault="00252014" w14:paraId="3D63A7D5" w14:textId="77777777">
      <w:pPr>
        <w:spacing w:after="0"/>
        <w:rPr>
          <w:rFonts w:ascii="Century Gothic" w:hAnsi="Century Gothic" w:eastAsia="Geomanist Light" w:cs="Arial"/>
          <w:color w:val="000000" w:themeColor="text1"/>
          <w:lang w:val="es-MX"/>
        </w:rPr>
      </w:pPr>
    </w:p>
    <w:p w:rsidR="00252014" w:rsidP="000B4181" w:rsidRDefault="00252014" w14:paraId="7D0BF26D" w14:textId="77777777">
      <w:pPr>
        <w:spacing w:after="0"/>
        <w:rPr>
          <w:rFonts w:ascii="Century Gothic" w:hAnsi="Century Gothic" w:eastAsia="Geomanist Light" w:cs="Arial"/>
          <w:color w:val="000000" w:themeColor="text1"/>
          <w:lang w:val="es-MX"/>
        </w:rPr>
      </w:pPr>
    </w:p>
    <w:p w:rsidR="00252014" w:rsidP="000B4181" w:rsidRDefault="00252014" w14:paraId="5F37194D" w14:textId="77777777">
      <w:pPr>
        <w:spacing w:after="0"/>
        <w:rPr>
          <w:rFonts w:ascii="Century Gothic" w:hAnsi="Century Gothic" w:eastAsia="Geomanist Light" w:cs="Arial"/>
          <w:color w:val="000000" w:themeColor="text1"/>
          <w:lang w:val="es-MX"/>
        </w:rPr>
      </w:pPr>
    </w:p>
    <w:p w:rsidR="00252014" w:rsidP="000B4181" w:rsidRDefault="00252014" w14:paraId="2C0C4BB9" w14:textId="77777777">
      <w:pPr>
        <w:spacing w:after="0"/>
        <w:rPr>
          <w:rFonts w:ascii="Century Gothic" w:hAnsi="Century Gothic" w:eastAsia="Geomanist Light" w:cs="Arial"/>
          <w:color w:val="000000" w:themeColor="text1"/>
          <w:lang w:val="es-MX"/>
        </w:rPr>
      </w:pPr>
    </w:p>
    <w:p w:rsidR="00252014" w:rsidP="000B4181" w:rsidRDefault="00252014" w14:paraId="19CCA8C1" w14:textId="77777777">
      <w:pPr>
        <w:spacing w:after="0"/>
        <w:rPr>
          <w:rFonts w:ascii="Century Gothic" w:hAnsi="Century Gothic" w:eastAsia="Geomanist Light" w:cs="Arial"/>
          <w:color w:val="000000" w:themeColor="text1"/>
          <w:lang w:val="es-MX"/>
        </w:rPr>
      </w:pPr>
    </w:p>
    <w:p w:rsidR="00252014" w:rsidP="000B4181" w:rsidRDefault="00252014" w14:paraId="598B5267" w14:textId="77777777">
      <w:pPr>
        <w:spacing w:after="0"/>
        <w:rPr>
          <w:rFonts w:ascii="Century Gothic" w:hAnsi="Century Gothic" w:eastAsia="Geomanist Light" w:cs="Arial"/>
          <w:color w:val="000000" w:themeColor="text1"/>
          <w:lang w:val="es-MX"/>
        </w:rPr>
      </w:pPr>
    </w:p>
    <w:p w:rsidR="00252014" w:rsidP="000B4181" w:rsidRDefault="00252014" w14:paraId="03706AFE" w14:textId="77777777">
      <w:pPr>
        <w:spacing w:after="0"/>
        <w:rPr>
          <w:rFonts w:ascii="Century Gothic" w:hAnsi="Century Gothic" w:eastAsia="Geomanist Light" w:cs="Arial"/>
          <w:color w:val="000000" w:themeColor="text1"/>
          <w:lang w:val="es-MX"/>
        </w:rPr>
      </w:pPr>
    </w:p>
    <w:p w:rsidR="00252014" w:rsidP="000B4181" w:rsidRDefault="00252014" w14:paraId="4B9079C0" w14:textId="77777777">
      <w:pPr>
        <w:spacing w:after="0"/>
        <w:rPr>
          <w:rFonts w:ascii="Century Gothic" w:hAnsi="Century Gothic" w:eastAsia="Geomanist Light" w:cs="Arial"/>
          <w:color w:val="000000" w:themeColor="text1"/>
          <w:lang w:val="es-MX"/>
        </w:rPr>
      </w:pPr>
    </w:p>
    <w:p w:rsidR="00252014" w:rsidP="000B4181" w:rsidRDefault="00252014" w14:paraId="6DD39D2D" w14:textId="77777777">
      <w:pPr>
        <w:spacing w:after="0"/>
        <w:rPr>
          <w:rFonts w:ascii="Century Gothic" w:hAnsi="Century Gothic" w:eastAsia="Geomanist Light" w:cs="Arial"/>
          <w:color w:val="000000" w:themeColor="text1"/>
          <w:lang w:val="es-MX"/>
        </w:rPr>
      </w:pPr>
    </w:p>
    <w:p w:rsidR="00252014" w:rsidP="000B4181" w:rsidRDefault="00252014" w14:paraId="782F8DE7" w14:textId="77777777">
      <w:pPr>
        <w:spacing w:after="0"/>
        <w:rPr>
          <w:rFonts w:ascii="Century Gothic" w:hAnsi="Century Gothic" w:eastAsia="Geomanist Light" w:cs="Arial"/>
          <w:color w:val="000000" w:themeColor="text1"/>
          <w:lang w:val="es-MX"/>
        </w:rPr>
      </w:pPr>
    </w:p>
    <w:p w:rsidR="00252014" w:rsidP="000B4181" w:rsidRDefault="00252014" w14:paraId="3712BFAA" w14:textId="77777777">
      <w:pPr>
        <w:spacing w:after="0"/>
        <w:rPr>
          <w:rFonts w:ascii="Century Gothic" w:hAnsi="Century Gothic" w:eastAsia="Geomanist Light" w:cs="Arial"/>
          <w:color w:val="000000" w:themeColor="text1"/>
          <w:lang w:val="es-MX"/>
        </w:rPr>
      </w:pPr>
    </w:p>
    <w:p w:rsidR="00252014" w:rsidP="000B4181" w:rsidRDefault="00252014" w14:paraId="3BFD95B2" w14:textId="77777777">
      <w:pPr>
        <w:spacing w:after="0"/>
        <w:rPr>
          <w:rFonts w:ascii="Century Gothic" w:hAnsi="Century Gothic" w:eastAsia="Geomanist Light" w:cs="Arial"/>
          <w:color w:val="000000" w:themeColor="text1"/>
          <w:lang w:val="es-MX"/>
        </w:rPr>
      </w:pPr>
    </w:p>
    <w:p w:rsidR="006845F3" w:rsidP="000B4181" w:rsidRDefault="006845F3" w14:paraId="33058DFF" w14:textId="77777777">
      <w:pPr>
        <w:spacing w:after="0"/>
        <w:rPr>
          <w:rFonts w:ascii="Century Gothic" w:hAnsi="Century Gothic" w:eastAsia="Geomanist Light" w:cs="Arial"/>
          <w:color w:val="000000" w:themeColor="text1"/>
          <w:lang w:val="es-MX"/>
        </w:rPr>
      </w:pPr>
    </w:p>
    <w:p w:rsidRPr="00D005E0" w:rsidR="000B4181" w:rsidP="000B4181" w:rsidRDefault="000B4181" w14:paraId="5F1DD239" w14:textId="3F8A2DA3">
      <w:pPr>
        <w:spacing w:after="0"/>
        <w:rPr>
          <w:rFonts w:ascii="Century Gothic" w:hAnsi="Century Gothic" w:eastAsia="Geomanist Light" w:cs="Arial"/>
          <w:color w:val="201F1E"/>
          <w:lang w:val="es-MX"/>
        </w:rPr>
      </w:pPr>
      <w:r w:rsidRPr="00D005E0">
        <w:rPr>
          <w:rFonts w:ascii="Century Gothic" w:hAnsi="Century Gothic" w:eastAsia="Geomanist Light" w:cs="Arial"/>
          <w:color w:val="000000" w:themeColor="text1"/>
          <w:lang w:val="es-MX"/>
        </w:rPr>
        <w:lastRenderedPageBreak/>
        <w:t>Bogotá D.C., </w:t>
      </w:r>
      <w:r w:rsidRPr="008D0802" w:rsidR="008D0802">
        <w:rPr>
          <w:rFonts w:ascii="Century Gothic" w:hAnsi="Century Gothic" w:eastAsia="Geomanist Light" w:cs="Arial"/>
          <w:color w:val="000000" w:themeColor="text1"/>
          <w:lang w:val="es-MX"/>
        </w:rPr>
        <w:t>27 de Octubre de 2023</w:t>
      </w:r>
    </w:p>
    <w:p w:rsidRPr="00D005E0" w:rsidR="000B4181" w:rsidP="000B4181" w:rsidRDefault="000B4181" w14:paraId="1616BBA9" w14:textId="77777777">
      <w:pPr>
        <w:spacing w:after="0"/>
        <w:rPr>
          <w:rFonts w:ascii="Century Gothic" w:hAnsi="Century Gothic" w:eastAsia="Geomanist Light" w:cs="Arial"/>
          <w:color w:val="201F1E"/>
          <w:lang w:val="es-MX"/>
        </w:rPr>
      </w:pPr>
    </w:p>
    <w:p w:rsidR="000B4181" w:rsidP="008D0802" w:rsidRDefault="008D0802" w14:paraId="012A0BE7" w14:textId="45065C0E">
      <w:pPr>
        <w:spacing w:after="0"/>
        <w:contextualSpacing/>
        <w:jc w:val="right"/>
        <w:rPr>
          <w:rFonts w:ascii="Century Gothic" w:hAnsi="Century Gothic" w:eastAsia="Calibri" w:cs="Arial"/>
          <w:lang w:val="es-ES_tradnl" w:eastAsia="es-ES_tradnl"/>
        </w:rPr>
      </w:pPr>
      <w:r>
        <w:rPr>
          <w:noProof/>
        </w:rPr>
        <w:drawing>
          <wp:inline distT="0" distB="0" distL="0" distR="0" wp14:anchorId="20066931" wp14:editId="4705048E">
            <wp:extent cx="2871788" cy="685800"/>
            <wp:effectExtent l="0" t="0" r="5080" b="0"/>
            <wp:docPr id="319325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25031" name=""/>
                    <pic:cNvPicPr/>
                  </pic:nvPicPr>
                  <pic:blipFill>
                    <a:blip r:embed="rId10"/>
                    <a:stretch>
                      <a:fillRect/>
                    </a:stretch>
                  </pic:blipFill>
                  <pic:spPr>
                    <a:xfrm>
                      <a:off x="0" y="0"/>
                      <a:ext cx="2876136" cy="686838"/>
                    </a:xfrm>
                    <a:prstGeom prst="rect">
                      <a:avLst/>
                    </a:prstGeom>
                  </pic:spPr>
                </pic:pic>
              </a:graphicData>
            </a:graphic>
          </wp:inline>
        </w:drawing>
      </w:r>
    </w:p>
    <w:p w:rsidRPr="00D005E0" w:rsidR="008D0802" w:rsidP="000B4181" w:rsidRDefault="008D0802" w14:paraId="15B02FA3" w14:textId="77777777">
      <w:pPr>
        <w:spacing w:after="0"/>
        <w:contextualSpacing/>
        <w:jc w:val="both"/>
        <w:rPr>
          <w:rFonts w:ascii="Century Gothic" w:hAnsi="Century Gothic" w:eastAsia="Calibri" w:cs="Arial"/>
          <w:lang w:val="es-ES_tradnl" w:eastAsia="es-ES_tradnl"/>
        </w:rPr>
      </w:pPr>
    </w:p>
    <w:p w:rsidRPr="00D005E0" w:rsidR="000B4181" w:rsidP="000B4181" w:rsidRDefault="000B4181" w14:paraId="451757A9" w14:textId="77777777">
      <w:pPr>
        <w:contextualSpacing/>
        <w:jc w:val="both"/>
        <w:rPr>
          <w:rFonts w:ascii="Century Gothic" w:hAnsi="Century Gothic" w:eastAsia="Calibri" w:cs="Arial"/>
          <w:lang w:eastAsia="es-ES_tradnl"/>
        </w:rPr>
      </w:pPr>
      <w:r w:rsidRPr="00D005E0">
        <w:rPr>
          <w:rFonts w:ascii="Century Gothic" w:hAnsi="Century Gothic" w:eastAsia="Calibri" w:cs="Arial"/>
          <w:lang w:eastAsia="es-ES_tradnl"/>
        </w:rPr>
        <w:t>Doctora</w:t>
      </w:r>
    </w:p>
    <w:p w:rsidRPr="00D005E0" w:rsidR="000B4181" w:rsidP="000B4181" w:rsidRDefault="000B4181" w14:paraId="2B8AD7D2" w14:textId="77777777">
      <w:pPr>
        <w:contextualSpacing/>
        <w:jc w:val="both"/>
        <w:rPr>
          <w:rFonts w:ascii="Century Gothic" w:hAnsi="Century Gothic" w:eastAsia="Calibri" w:cs="Arial"/>
          <w:b/>
          <w:lang w:eastAsia="es-ES_tradnl"/>
        </w:rPr>
      </w:pPr>
      <w:r w:rsidRPr="00D005E0">
        <w:rPr>
          <w:rFonts w:ascii="Century Gothic" w:hAnsi="Century Gothic" w:eastAsia="Calibri" w:cs="Arial"/>
          <w:b/>
          <w:lang w:eastAsia="es-ES_tradnl"/>
        </w:rPr>
        <w:t>Johanna Carolina Vergara Ospina</w:t>
      </w:r>
    </w:p>
    <w:p w:rsidRPr="00D005E0" w:rsidR="000B4181" w:rsidP="000B4181" w:rsidRDefault="000B4181" w14:paraId="08866809" w14:textId="77777777">
      <w:pPr>
        <w:contextualSpacing/>
        <w:jc w:val="both"/>
        <w:rPr>
          <w:rFonts w:ascii="Century Gothic" w:hAnsi="Century Gothic" w:eastAsia="Geomanist Light" w:cs="Arial"/>
          <w:color w:val="000000" w:themeColor="text1"/>
          <w:lang w:val="es-MX"/>
        </w:rPr>
      </w:pPr>
      <w:r w:rsidRPr="00D005E0">
        <w:rPr>
          <w:rFonts w:ascii="Century Gothic" w:hAnsi="Century Gothic" w:eastAsia="Geomanist Light" w:cs="Arial"/>
          <w:color w:val="000000" w:themeColor="text1"/>
          <w:lang w:val="es-MX"/>
        </w:rPr>
        <w:t>Secretaria General</w:t>
      </w:r>
    </w:p>
    <w:p w:rsidRPr="00D005E0" w:rsidR="000B4181" w:rsidP="000B4181" w:rsidRDefault="000B4181" w14:paraId="2751E575" w14:textId="77777777">
      <w:pPr>
        <w:contextualSpacing/>
        <w:jc w:val="both"/>
        <w:rPr>
          <w:rFonts w:ascii="Century Gothic" w:hAnsi="Century Gothic" w:eastAsia="Geomanist Light" w:cs="Arial"/>
          <w:color w:val="000000" w:themeColor="text1"/>
          <w:lang w:val="es-MX"/>
        </w:rPr>
      </w:pPr>
      <w:r w:rsidRPr="00D005E0">
        <w:rPr>
          <w:rFonts w:ascii="Century Gothic" w:hAnsi="Century Gothic" w:eastAsia="Geomanist Light" w:cs="Arial"/>
          <w:color w:val="000000" w:themeColor="text1"/>
          <w:lang w:val="es-MX"/>
        </w:rPr>
        <w:t>Agencia para la Reincorporación y la Normalización</w:t>
      </w:r>
    </w:p>
    <w:p w:rsidRPr="00D005E0" w:rsidR="000B4181" w:rsidP="000B4181" w:rsidRDefault="000B4181" w14:paraId="0BDC7839" w14:textId="77777777">
      <w:pPr>
        <w:contextualSpacing/>
        <w:jc w:val="both"/>
        <w:rPr>
          <w:rFonts w:ascii="Century Gothic" w:hAnsi="Century Gothic" w:eastAsia="Calibri" w:cs="Arial"/>
          <w:lang w:eastAsia="es-ES_tradnl"/>
        </w:rPr>
      </w:pPr>
      <w:r w:rsidRPr="00D005E0">
        <w:rPr>
          <w:rFonts w:ascii="Century Gothic" w:hAnsi="Century Gothic" w:eastAsia="Geomanist Light" w:cs="Arial"/>
          <w:color w:val="000000" w:themeColor="text1"/>
          <w:lang w:val="es-MX"/>
        </w:rPr>
        <w:t>Bogotá D.C.</w:t>
      </w:r>
      <w:r w:rsidRPr="00D005E0">
        <w:rPr>
          <w:rFonts w:ascii="Century Gothic" w:hAnsi="Century Gothic" w:eastAsia="Calibri" w:cs="Arial"/>
          <w:lang w:eastAsia="es-ES_tradnl"/>
        </w:rPr>
        <w:t xml:space="preserve">  </w:t>
      </w:r>
    </w:p>
    <w:p w:rsidRPr="00D005E0" w:rsidR="000B4181" w:rsidP="000B4181" w:rsidRDefault="000B4181" w14:paraId="23FCD775" w14:textId="77777777">
      <w:pPr>
        <w:contextualSpacing/>
        <w:jc w:val="both"/>
        <w:rPr>
          <w:rFonts w:ascii="Century Gothic" w:hAnsi="Century Gothic" w:eastAsia="Calibri" w:cs="Arial"/>
          <w:lang w:val="es-ES_tradnl" w:eastAsia="es-ES_tradnl"/>
        </w:rPr>
      </w:pPr>
    </w:p>
    <w:p w:rsidRPr="00D005E0" w:rsidR="000B4181" w:rsidP="000B4181" w:rsidRDefault="000B4181" w14:paraId="4C3772EB" w14:textId="6E4960DA">
      <w:pPr>
        <w:ind w:left="2124" w:firstLine="570"/>
        <w:contextualSpacing/>
        <w:rPr>
          <w:rFonts w:ascii="Century Gothic" w:hAnsi="Century Gothic" w:eastAsia="Calibri" w:cs="Arial"/>
          <w:b/>
          <w:lang w:val="es-ES_tradnl" w:eastAsia="es-ES_tradnl"/>
        </w:rPr>
      </w:pPr>
      <w:r w:rsidRPr="00D005E0">
        <w:rPr>
          <w:rFonts w:ascii="Century Gothic" w:hAnsi="Century Gothic" w:eastAsia="Calibri" w:cs="Arial"/>
          <w:b/>
          <w:lang w:val="es-ES_tradnl" w:eastAsia="es-ES_tradnl"/>
        </w:rPr>
        <w:t xml:space="preserve">Concepto C – </w:t>
      </w:r>
      <w:r w:rsidR="002B64E7">
        <w:rPr>
          <w:rFonts w:ascii="Century Gothic" w:hAnsi="Century Gothic" w:eastAsia="Calibri" w:cs="Arial"/>
          <w:b/>
          <w:lang w:val="es-ES_tradnl" w:eastAsia="es-ES_tradnl"/>
        </w:rPr>
        <w:t>441</w:t>
      </w:r>
      <w:r w:rsidRPr="00D005E0">
        <w:rPr>
          <w:rFonts w:ascii="Century Gothic" w:hAnsi="Century Gothic" w:eastAsia="Calibri" w:cs="Arial"/>
          <w:b/>
          <w:lang w:val="es-ES_tradnl" w:eastAsia="es-ES_tradnl"/>
        </w:rPr>
        <w:t xml:space="preserve"> de 2023</w:t>
      </w:r>
    </w:p>
    <w:p w:rsidRPr="00D005E0" w:rsidR="000B4181" w:rsidP="000B4181" w:rsidRDefault="000B4181" w14:paraId="064075F8" w14:textId="77777777">
      <w:pPr>
        <w:contextualSpacing/>
        <w:jc w:val="both"/>
        <w:rPr>
          <w:rFonts w:ascii="Century Gothic" w:hAnsi="Century Gothic"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C046D8" w:rsidR="000B4181" w:rsidTr="002528FF" w14:paraId="6E539BD2" w14:textId="77777777">
        <w:tc>
          <w:tcPr>
            <w:tcW w:w="2689" w:type="dxa"/>
          </w:tcPr>
          <w:p w:rsidRPr="00D005E0" w:rsidR="000B4181" w:rsidP="002528FF" w:rsidRDefault="000B4181" w14:paraId="71FA6157" w14:textId="77777777">
            <w:pPr>
              <w:contextualSpacing/>
              <w:jc w:val="both"/>
              <w:rPr>
                <w:rFonts w:ascii="Century Gothic" w:hAnsi="Century Gothic" w:eastAsia="Calibri" w:cs="Arial"/>
                <w:lang w:val="es-ES_tradnl" w:eastAsia="es-ES_tradnl"/>
              </w:rPr>
            </w:pPr>
            <w:r w:rsidRPr="00D005E0">
              <w:rPr>
                <w:rFonts w:ascii="Century Gothic" w:hAnsi="Century Gothic" w:eastAsia="Calibri" w:cs="Arial"/>
                <w:b/>
                <w:lang w:val="es-ES_tradnl" w:eastAsia="es-ES_tradnl"/>
              </w:rPr>
              <w:t>Temas:</w:t>
            </w:r>
            <w:r w:rsidRPr="00D005E0">
              <w:rPr>
                <w:rFonts w:ascii="Century Gothic" w:hAnsi="Century Gothic" w:eastAsia="Calibri" w:cs="Arial"/>
                <w:lang w:val="es-ES_tradnl" w:eastAsia="es-ES_tradnl"/>
              </w:rPr>
              <w:t xml:space="preserve">                                      </w:t>
            </w:r>
          </w:p>
        </w:tc>
        <w:tc>
          <w:tcPr>
            <w:tcW w:w="6237" w:type="dxa"/>
          </w:tcPr>
          <w:p w:rsidRPr="00D005E0" w:rsidR="000B4181" w:rsidP="002528FF" w:rsidRDefault="000B4181" w14:paraId="2D7533ED" w14:textId="77777777">
            <w:pPr>
              <w:spacing w:after="120"/>
              <w:contextualSpacing/>
              <w:jc w:val="both"/>
              <w:rPr>
                <w:rFonts w:ascii="Century Gothic" w:hAnsi="Century Gothic" w:eastAsia="Calibri" w:cs="Arial"/>
                <w:lang w:val="es-MX" w:eastAsia="es-ES_tradnl"/>
              </w:rPr>
            </w:pPr>
            <w:r w:rsidRPr="00D005E0">
              <w:rPr>
                <w:rFonts w:ascii="Century Gothic" w:hAnsi="Century Gothic" w:eastAsia="Calibri" w:cs="Arial"/>
                <w:lang w:val="es-MX" w:eastAsia="es-ES_tradnl"/>
              </w:rPr>
              <w:t xml:space="preserve">ORGANISMOS INTERNACIONALES – Concepto / RÉGIMEN CONTRACTUAL – Ley 1150 de 2007 – Artículo 20 / SISTEMA NACIONAL DE COOPERACIÓN INTERNACIONAL – Decreto 603 de 2022 – Alcance </w:t>
            </w:r>
          </w:p>
          <w:p w:rsidRPr="00D005E0" w:rsidR="000B4181" w:rsidP="002528FF" w:rsidRDefault="000B4181" w14:paraId="0455E58A" w14:textId="77777777">
            <w:pPr>
              <w:spacing w:after="120"/>
              <w:contextualSpacing/>
              <w:jc w:val="both"/>
              <w:rPr>
                <w:rFonts w:ascii="Century Gothic" w:hAnsi="Century Gothic" w:eastAsia="Calibri" w:cs="Arial"/>
                <w:sz w:val="12"/>
                <w:szCs w:val="12"/>
                <w:lang w:val="es-ES_tradnl" w:eastAsia="es-ES_tradnl"/>
              </w:rPr>
            </w:pPr>
          </w:p>
        </w:tc>
      </w:tr>
      <w:tr w:rsidRPr="00C046D8" w:rsidR="000B4181" w:rsidTr="002528FF" w14:paraId="049A6176" w14:textId="77777777">
        <w:trPr>
          <w:trHeight w:val="227"/>
        </w:trPr>
        <w:tc>
          <w:tcPr>
            <w:tcW w:w="2689" w:type="dxa"/>
          </w:tcPr>
          <w:p w:rsidRPr="00D005E0" w:rsidR="000B4181" w:rsidP="002528FF" w:rsidRDefault="000B4181" w14:paraId="188DCC70" w14:textId="77777777">
            <w:pPr>
              <w:contextualSpacing/>
              <w:jc w:val="both"/>
              <w:rPr>
                <w:rFonts w:ascii="Century Gothic" w:hAnsi="Century Gothic" w:eastAsia="Calibri" w:cs="Arial"/>
                <w:b/>
                <w:lang w:val="es-ES_tradnl" w:eastAsia="es-ES_tradnl"/>
              </w:rPr>
            </w:pPr>
            <w:r w:rsidRPr="00D005E0">
              <w:rPr>
                <w:rFonts w:ascii="Century Gothic" w:hAnsi="Century Gothic" w:eastAsia="Calibri" w:cs="Arial"/>
                <w:b/>
                <w:lang w:val="es-ES_tradnl" w:eastAsia="es-ES_tradnl"/>
              </w:rPr>
              <w:t>Radicación:</w:t>
            </w:r>
            <w:r w:rsidRPr="00D005E0">
              <w:rPr>
                <w:rFonts w:ascii="Century Gothic" w:hAnsi="Century Gothic" w:eastAsia="Calibri" w:cs="Arial"/>
                <w:lang w:val="es-ES_tradnl" w:eastAsia="es-ES_tradnl"/>
              </w:rPr>
              <w:t xml:space="preserve">                             </w:t>
            </w:r>
          </w:p>
        </w:tc>
        <w:tc>
          <w:tcPr>
            <w:tcW w:w="6237" w:type="dxa"/>
          </w:tcPr>
          <w:p w:rsidRPr="00D005E0" w:rsidR="000B4181" w:rsidP="002528FF" w:rsidRDefault="000B4181" w14:paraId="12E8B5FD" w14:textId="77777777">
            <w:pPr>
              <w:contextualSpacing/>
              <w:jc w:val="both"/>
              <w:rPr>
                <w:rFonts w:ascii="Century Gothic" w:hAnsi="Century Gothic" w:eastAsia="Calibri" w:cs="Arial"/>
                <w:lang w:val="es-ES_tradnl" w:eastAsia="es-ES_tradnl"/>
              </w:rPr>
            </w:pPr>
            <w:r w:rsidRPr="00D005E0">
              <w:rPr>
                <w:rFonts w:ascii="Century Gothic" w:hAnsi="Century Gothic" w:eastAsia="Calibri" w:cs="Arial"/>
                <w:lang w:val="es-ES_tradnl" w:eastAsia="es-ES_tradnl"/>
              </w:rPr>
              <w:t>Respuesta a la consulta P20231011015930</w:t>
            </w:r>
          </w:p>
        </w:tc>
      </w:tr>
    </w:tbl>
    <w:p w:rsidRPr="00D005E0" w:rsidR="000B4181" w:rsidP="000B4181" w:rsidRDefault="000B4181" w14:paraId="3199A856" w14:textId="77777777">
      <w:pPr>
        <w:contextualSpacing/>
        <w:jc w:val="both"/>
        <w:rPr>
          <w:rFonts w:ascii="Century Gothic" w:hAnsi="Century Gothic" w:eastAsia="Calibri" w:cs="Arial"/>
          <w:lang w:val="es-ES_tradnl" w:eastAsia="es-ES_tradnl"/>
        </w:rPr>
      </w:pPr>
    </w:p>
    <w:p w:rsidRPr="00D005E0" w:rsidR="000B4181" w:rsidP="000B4181" w:rsidRDefault="000B4181" w14:paraId="6EDBB51E" w14:textId="77777777">
      <w:pPr>
        <w:contextualSpacing/>
        <w:jc w:val="both"/>
        <w:rPr>
          <w:rFonts w:ascii="Century Gothic" w:hAnsi="Century Gothic" w:eastAsia="Calibri" w:cs="Arial"/>
          <w:lang w:val="es-ES_tradnl" w:eastAsia="es-ES_tradnl"/>
        </w:rPr>
      </w:pPr>
    </w:p>
    <w:p w:rsidRPr="00D005E0" w:rsidR="000B4181" w:rsidP="000B4181" w:rsidRDefault="000B4181" w14:paraId="7DC043D8" w14:textId="77777777">
      <w:pPr>
        <w:contextualSpacing/>
        <w:jc w:val="both"/>
        <w:rPr>
          <w:rFonts w:ascii="Century Gothic" w:hAnsi="Century Gothic" w:eastAsia="Calibri" w:cs="Arial"/>
          <w:lang w:val="es-ES" w:eastAsia="es-ES"/>
        </w:rPr>
      </w:pPr>
      <w:r w:rsidRPr="00D005E0">
        <w:rPr>
          <w:rFonts w:ascii="Century Gothic" w:hAnsi="Century Gothic" w:eastAsia="Calibri" w:cs="Arial"/>
          <w:lang w:val="es-ES" w:eastAsia="es-ES"/>
        </w:rPr>
        <w:t xml:space="preserve">Respetada doctora Vergara Ospina: </w:t>
      </w:r>
    </w:p>
    <w:p w:rsidRPr="00D005E0" w:rsidR="000B4181" w:rsidP="000B4181" w:rsidRDefault="000B4181" w14:paraId="53F7B0BA" w14:textId="77777777">
      <w:pPr>
        <w:spacing w:line="276" w:lineRule="auto"/>
        <w:contextualSpacing/>
        <w:jc w:val="both"/>
        <w:rPr>
          <w:rFonts w:ascii="Century Gothic" w:hAnsi="Century Gothic" w:eastAsia="Calibri" w:cs="Arial"/>
          <w:szCs w:val="24"/>
          <w:lang w:val="es-ES_tradnl" w:eastAsia="es-ES_tradnl"/>
        </w:rPr>
      </w:pPr>
    </w:p>
    <w:bookmarkEnd w:id="0"/>
    <w:bookmarkEnd w:id="1"/>
    <w:p w:rsidRPr="00D005E0" w:rsidR="000B4181" w:rsidP="000B4181" w:rsidRDefault="000B4181" w14:paraId="6043A1C4" w14:textId="77777777">
      <w:pPr>
        <w:spacing w:after="0" w:line="276" w:lineRule="auto"/>
        <w:jc w:val="both"/>
        <w:rPr>
          <w:rFonts w:ascii="Century Gothic" w:hAnsi="Century Gothic" w:eastAsia="Calibri" w:cs="Arial"/>
          <w:color w:val="000000" w:themeColor="text1"/>
          <w:lang w:val="es-ES_tradnl"/>
        </w:rPr>
      </w:pPr>
      <w:r w:rsidRPr="00D005E0">
        <w:rPr>
          <w:rFonts w:ascii="Century Gothic" w:hAnsi="Century Gothic" w:eastAsia="Calibri" w:cs="Arial"/>
          <w:color w:val="000000" w:themeColor="text1"/>
          <w:lang w:val="es-ES_tradnl"/>
        </w:rPr>
        <w:t>En ejercicio de la competencia otorgada por el numeral 8 del artículo 11 y el numeral 5 del artículo 3 del Decreto Ley 4170 de 2011</w:t>
      </w:r>
      <w:bookmarkStart w:name="_Hlk99120496" w:id="3"/>
      <w:r w:rsidRPr="00D005E0">
        <w:rPr>
          <w:rFonts w:ascii="Century Gothic" w:hAnsi="Century Gothic" w:eastAsia="Arial MT" w:cs="Arial MT"/>
          <w:lang w:val="es-ES"/>
        </w:rPr>
        <w:t xml:space="preserve">, </w:t>
      </w:r>
      <w:bookmarkEnd w:id="3"/>
      <w:r w:rsidRPr="00D005E0">
        <w:rPr>
          <w:rFonts w:ascii="Century Gothic" w:hAnsi="Century Gothic" w:eastAsia="Calibri" w:cs="Arial"/>
          <w:color w:val="000000" w:themeColor="text1"/>
          <w:lang w:val="es-ES_tradnl"/>
        </w:rPr>
        <w:t>la Agencia Nacional de Contratación Pública – Colombia Compra Eficiente responde la consulta radicada el 11 de octubre de 2023.</w:t>
      </w:r>
    </w:p>
    <w:p w:rsidRPr="00D005E0" w:rsidR="000B4181" w:rsidP="000B4181" w:rsidRDefault="000B4181" w14:paraId="1DA1C003" w14:textId="77777777">
      <w:pPr>
        <w:spacing w:after="0" w:line="276" w:lineRule="auto"/>
        <w:jc w:val="both"/>
        <w:rPr>
          <w:rFonts w:ascii="Century Gothic" w:hAnsi="Century Gothic" w:eastAsia="Calibri" w:cs="Arial"/>
          <w:b/>
          <w:color w:val="000000" w:themeColor="text1"/>
          <w:lang w:val="es-ES_tradnl"/>
        </w:rPr>
      </w:pPr>
    </w:p>
    <w:p w:rsidRPr="00D005E0" w:rsidR="000B4181" w:rsidP="000B4181" w:rsidRDefault="000B4181" w14:paraId="614FE477" w14:textId="77777777">
      <w:pPr>
        <w:pStyle w:val="Prrafodelista"/>
        <w:numPr>
          <w:ilvl w:val="0"/>
          <w:numId w:val="17"/>
        </w:numPr>
        <w:tabs>
          <w:tab w:val="left" w:pos="0"/>
          <w:tab w:val="left" w:pos="142"/>
          <w:tab w:val="left" w:pos="284"/>
        </w:tabs>
        <w:spacing w:after="0" w:line="276" w:lineRule="auto"/>
        <w:ind w:left="0" w:firstLine="0"/>
        <w:jc w:val="both"/>
        <w:rPr>
          <w:rFonts w:ascii="Century Gothic" w:hAnsi="Century Gothic" w:eastAsia="Calibri" w:cs="Arial"/>
          <w:b/>
          <w:color w:val="000000" w:themeColor="text1"/>
          <w:lang w:val="es-ES_tradnl"/>
        </w:rPr>
      </w:pPr>
      <w:r w:rsidRPr="00D005E0">
        <w:rPr>
          <w:rFonts w:ascii="Century Gothic" w:hAnsi="Century Gothic" w:eastAsia="Calibri" w:cs="Arial"/>
          <w:b/>
          <w:color w:val="000000" w:themeColor="text1"/>
          <w:lang w:val="es-ES_tradnl"/>
        </w:rPr>
        <w:t xml:space="preserve">Problema planteado </w:t>
      </w:r>
    </w:p>
    <w:p w:rsidRPr="00D005E0" w:rsidR="000B4181" w:rsidP="000B4181" w:rsidRDefault="000B4181" w14:paraId="50FC9DF8" w14:textId="77777777">
      <w:pPr>
        <w:tabs>
          <w:tab w:val="left" w:pos="426"/>
        </w:tabs>
        <w:spacing w:after="0" w:line="276" w:lineRule="auto"/>
        <w:jc w:val="both"/>
        <w:rPr>
          <w:rFonts w:ascii="Century Gothic" w:hAnsi="Century Gothic" w:eastAsia="Calibri" w:cs="Arial"/>
          <w:b/>
          <w:color w:val="000000" w:themeColor="text1"/>
          <w:lang w:val="es-ES_tradnl"/>
        </w:rPr>
      </w:pPr>
    </w:p>
    <w:p w:rsidRPr="00D005E0" w:rsidR="000B4181" w:rsidP="000B4181" w:rsidRDefault="000B4181" w14:paraId="06450CC9" w14:textId="77777777">
      <w:pPr>
        <w:spacing w:after="0" w:line="276" w:lineRule="auto"/>
        <w:jc w:val="both"/>
        <w:rPr>
          <w:rFonts w:ascii="Century Gothic" w:hAnsi="Century Gothic" w:cs="Arial"/>
          <w:color w:val="000000" w:themeColor="text1"/>
          <w:lang w:val="es-ES_tradnl"/>
        </w:rPr>
      </w:pPr>
      <w:bookmarkStart w:name="_Hlk132728388" w:id="4"/>
      <w:r w:rsidRPr="00D005E0">
        <w:rPr>
          <w:rFonts w:ascii="Century Gothic" w:hAnsi="Century Gothic" w:cs="Arial"/>
          <w:color w:val="000000" w:themeColor="text1"/>
          <w:lang w:val="es-ES_tradnl"/>
        </w:rPr>
        <w:t>Usted realiza la siguiente pregunta:</w:t>
      </w:r>
      <w:bookmarkEnd w:id="4"/>
      <w:r w:rsidRPr="00D005E0">
        <w:rPr>
          <w:rFonts w:ascii="Century Gothic" w:hAnsi="Century Gothic"/>
          <w:color w:val="000000" w:themeColor="text1"/>
        </w:rPr>
        <w:t xml:space="preserve"> </w:t>
      </w:r>
      <w:r w:rsidRPr="00D005E0">
        <w:rPr>
          <w:rFonts w:ascii="Century Gothic" w:hAnsi="Century Gothic" w:cs="Arial"/>
          <w:color w:val="000000" w:themeColor="text1"/>
          <w:lang w:val="es-ES_tradnl"/>
        </w:rPr>
        <w:t xml:space="preserve">“Para efectos del cálculo del 30% de contrapartida mínima del cooperante internacional establecida en el artículo 2.2.8.3.4 del Decreto 603 de 2022, ¿se debe tomar como referencia el valor total del proyecto, programa o iniciativa de cooperación, es decir el valor del convenio de cooperación; o se debe tomar como referencia el aporte en recursos de la entidad estatal?”. </w:t>
      </w:r>
    </w:p>
    <w:p w:rsidRPr="00D005E0" w:rsidR="000B4181" w:rsidP="000B4181" w:rsidRDefault="000B4181" w14:paraId="571F6ACE" w14:textId="77777777">
      <w:pPr>
        <w:spacing w:after="0" w:line="276" w:lineRule="auto"/>
        <w:ind w:right="709"/>
        <w:jc w:val="both"/>
        <w:rPr>
          <w:rFonts w:ascii="Century Gothic" w:hAnsi="Century Gothic" w:cs="Arial"/>
          <w:color w:val="000000" w:themeColor="text1"/>
          <w:sz w:val="18"/>
          <w:szCs w:val="18"/>
        </w:rPr>
      </w:pPr>
    </w:p>
    <w:p w:rsidRPr="00D005E0" w:rsidR="000B4181" w:rsidP="000B4181" w:rsidRDefault="000B4181" w14:paraId="315C53BF" w14:textId="77777777">
      <w:pPr>
        <w:pStyle w:val="Prrafodelista"/>
        <w:numPr>
          <w:ilvl w:val="0"/>
          <w:numId w:val="17"/>
        </w:numPr>
        <w:tabs>
          <w:tab w:val="left" w:pos="0"/>
          <w:tab w:val="left" w:pos="284"/>
        </w:tabs>
        <w:spacing w:after="0" w:line="240" w:lineRule="auto"/>
        <w:ind w:left="0" w:firstLine="0"/>
        <w:jc w:val="both"/>
        <w:rPr>
          <w:rFonts w:ascii="Century Gothic" w:hAnsi="Century Gothic" w:eastAsia="Calibri" w:cs="Arial"/>
          <w:b/>
          <w:color w:val="000000" w:themeColor="text1"/>
          <w:lang w:val="es-ES_tradnl"/>
        </w:rPr>
      </w:pPr>
      <w:r w:rsidRPr="00D005E0">
        <w:rPr>
          <w:rFonts w:ascii="Century Gothic" w:hAnsi="Century Gothic" w:eastAsia="Calibri" w:cs="Arial"/>
          <w:b/>
          <w:color w:val="000000" w:themeColor="text1"/>
          <w:lang w:val="es-ES_tradnl"/>
        </w:rPr>
        <w:t>Consideraciones</w:t>
      </w:r>
    </w:p>
    <w:p w:rsidRPr="00D005E0" w:rsidR="000B4181" w:rsidP="000B4181" w:rsidRDefault="000B4181" w14:paraId="3E0593DD" w14:textId="77777777">
      <w:pPr>
        <w:spacing w:after="0" w:line="276" w:lineRule="auto"/>
        <w:jc w:val="both"/>
        <w:rPr>
          <w:rFonts w:ascii="Century Gothic" w:hAnsi="Century Gothic" w:eastAsia="Calibri" w:cs="Arial"/>
          <w:color w:val="000000" w:themeColor="text1"/>
          <w:sz w:val="18"/>
          <w:szCs w:val="18"/>
          <w:lang w:val="es-ES"/>
        </w:rPr>
      </w:pPr>
    </w:p>
    <w:p w:rsidRPr="00D005E0" w:rsidR="000B4181" w:rsidP="000B4181" w:rsidRDefault="000B4181" w14:paraId="77065814" w14:textId="77777777">
      <w:pPr>
        <w:spacing w:line="276" w:lineRule="auto"/>
        <w:jc w:val="both"/>
        <w:rPr>
          <w:rFonts w:ascii="Century Gothic" w:hAnsi="Century Gothic" w:cs="Arial"/>
          <w:color w:val="000000" w:themeColor="text1"/>
          <w:lang w:val="es-ES"/>
        </w:rPr>
      </w:pPr>
      <w:r w:rsidRPr="00D005E0">
        <w:rPr>
          <w:rFonts w:ascii="Century Gothic" w:hAnsi="Century Gothic" w:cs="Arial"/>
        </w:rPr>
        <w:t>Para resolver el problema planteado,</w:t>
      </w:r>
      <w:r w:rsidRPr="00D005E0">
        <w:rPr>
          <w:rFonts w:ascii="Century Gothic" w:hAnsi="Century Gothic" w:eastAsia="Calibri" w:cs="Arial"/>
        </w:rPr>
        <w:t xml:space="preserve"> se abordarán </w:t>
      </w:r>
      <w:r w:rsidRPr="00D005E0">
        <w:rPr>
          <w:rFonts w:ascii="Century Gothic" w:hAnsi="Century Gothic" w:eastAsia="Calibri" w:cs="Arial"/>
          <w:lang w:val="es-ES"/>
        </w:rPr>
        <w:t>los siguientes temas:</w:t>
      </w:r>
      <w:r w:rsidRPr="00D005E0">
        <w:rPr>
          <w:rFonts w:ascii="Century Gothic" w:hAnsi="Century Gothic" w:cs="Arial"/>
          <w:color w:val="000000" w:themeColor="text1"/>
          <w:lang w:val="es-ES"/>
        </w:rPr>
        <w:t xml:space="preserve"> </w:t>
      </w:r>
      <w:r w:rsidRPr="00D005E0">
        <w:rPr>
          <w:rFonts w:ascii="Century Gothic" w:hAnsi="Century Gothic" w:cs="Arial"/>
          <w:color w:val="000000" w:themeColor="text1"/>
          <w:lang w:val="es-ES_tradnl"/>
        </w:rPr>
        <w:t xml:space="preserve">i) régimen jurídico de los contratos con organismos internacionales y ii) alcance del artículo 2.2.8.3.4 del Decreto 603 de 2022.   </w:t>
      </w:r>
    </w:p>
    <w:p w:rsidRPr="00D005E0" w:rsidR="000B4181" w:rsidP="000B4181" w:rsidRDefault="000B4181" w14:paraId="496DEC74" w14:textId="77777777">
      <w:pPr>
        <w:spacing w:before="120" w:after="0" w:line="276" w:lineRule="auto"/>
        <w:ind w:firstLine="709"/>
        <w:jc w:val="both"/>
        <w:rPr>
          <w:rFonts w:ascii="Century Gothic" w:hAnsi="Century Gothic" w:eastAsia="Calibri" w:cs="Arial"/>
          <w:color w:val="000000" w:themeColor="text1"/>
          <w:lang w:val="es-ES"/>
        </w:rPr>
      </w:pPr>
      <w:r w:rsidRPr="00D005E0">
        <w:rPr>
          <w:rFonts w:ascii="Century Gothic" w:hAnsi="Century Gothic" w:eastAsia="Calibri" w:cs="Arial"/>
          <w:color w:val="000000" w:themeColor="text1"/>
          <w:lang w:val="es-ES"/>
        </w:rPr>
        <w:t xml:space="preserve">La Agencia Nacional de Contratación Pública – Colombia Compra Eficiente, en los Conceptos C-185 del 13 de abril de 2020, C-372 del 30 de junio de 2020, C-374 del 23 de julio de 2020, C-680 del 18 de noviembre de 2020, C-771 del 13 de enero de 2021, C-781 del 19 de enero de 2021, C-049 del 8 de marzo de 2021, C-296 del 22 de junio de 2021, C-377 del 28 de julio de 2021, </w:t>
      </w:r>
      <w:r w:rsidRPr="00D005E0">
        <w:rPr>
          <w:rFonts w:ascii="Century Gothic" w:hAnsi="Century Gothic" w:eastAsia="Calibri" w:cs="Arial"/>
        </w:rPr>
        <w:t xml:space="preserve">C-559 del 31 de agosto de 2021, C-233 del 6 de junio de 2022, </w:t>
      </w:r>
      <w:r w:rsidRPr="00D005E0">
        <w:rPr>
          <w:rFonts w:ascii="Century Gothic" w:hAnsi="Century Gothic" w:eastAsia="Calibri" w:cs="Arial"/>
          <w:color w:val="000000" w:themeColor="text1"/>
          <w:lang w:val="es-ES"/>
        </w:rPr>
        <w:t xml:space="preserve">C-241 del 12 de mayo de 2022, C-305 del 16 de mayo de 2022, C-313 del 17 de mayo de 2022, C-358 del 27 de mayo de 2022, C-362 del 27 de mayo de 2022, C-367 del 7 de junio de 2022, C-368 del 13 de mayo de 2022, C-461 del 19 de julio de 2022 estudió el contenido del artículo 20 de la Ley 1150 de 2007, e hizo especial énfasis en el </w:t>
      </w:r>
      <w:r w:rsidRPr="00D005E0">
        <w:rPr>
          <w:rFonts w:ascii="Century Gothic" w:hAnsi="Century Gothic" w:cs="Arial"/>
          <w:color w:val="000000" w:themeColor="text1"/>
          <w:lang w:val="es-ES_tradnl"/>
        </w:rPr>
        <w:t>Decreto 603 de 2022 en los Conceptos C-942 del 7 de marzo de 2023, C-012 del 7 de marzo de 2023, C-223 del 14 de agosto de 2023 y C-228 del 21 de septiembre de 2023</w:t>
      </w:r>
      <w:r w:rsidRPr="00D005E0">
        <w:rPr>
          <w:rStyle w:val="Refdenotaalpie"/>
          <w:rFonts w:ascii="Century Gothic" w:hAnsi="Century Gothic" w:eastAsia="Calibri" w:cs="Arial"/>
        </w:rPr>
        <w:footnoteReference w:id="2"/>
      </w:r>
      <w:r w:rsidRPr="00D005E0">
        <w:rPr>
          <w:rStyle w:val="normaltextrun"/>
          <w:rFonts w:ascii="Century Gothic" w:hAnsi="Century Gothic" w:cs="Arial"/>
          <w:color w:val="000000"/>
          <w:shd w:val="clear" w:color="auto" w:fill="FFFFFF"/>
        </w:rPr>
        <w:t xml:space="preserve">. </w:t>
      </w:r>
      <w:r w:rsidRPr="00D005E0">
        <w:rPr>
          <w:rFonts w:ascii="Century Gothic" w:hAnsi="Century Gothic" w:eastAsia="Calibri" w:cs="Arial"/>
          <w:color w:val="000000" w:themeColor="text1"/>
          <w:lang w:val="es-ES_tradnl"/>
        </w:rPr>
        <w:t xml:space="preserve">La tesis propuesta en estos conceptos se reitera a continuación y se complementa en lo pertinente. </w:t>
      </w:r>
    </w:p>
    <w:p w:rsidRPr="00D005E0" w:rsidR="000B4181" w:rsidP="000B4181" w:rsidRDefault="000B4181" w14:paraId="1914FB47" w14:textId="77777777">
      <w:pPr>
        <w:spacing w:after="0" w:line="276" w:lineRule="auto"/>
        <w:contextualSpacing/>
        <w:jc w:val="both"/>
        <w:rPr>
          <w:rFonts w:ascii="Century Gothic" w:hAnsi="Century Gothic" w:eastAsia="Times New Roman" w:cs="Arial"/>
          <w:b/>
          <w:sz w:val="18"/>
          <w:szCs w:val="20"/>
          <w:lang w:eastAsia="es-ES_tradnl"/>
        </w:rPr>
      </w:pPr>
    </w:p>
    <w:p w:rsidRPr="00D005E0" w:rsidR="000B4181" w:rsidP="000B4181" w:rsidRDefault="000B4181" w14:paraId="54F8A42A" w14:textId="77777777">
      <w:pPr>
        <w:spacing w:after="0" w:line="276" w:lineRule="auto"/>
        <w:jc w:val="both"/>
        <w:rPr>
          <w:rFonts w:ascii="Century Gothic" w:hAnsi="Century Gothic" w:eastAsia="Calibri" w:cs="Arial"/>
          <w:b/>
          <w:color w:val="000000" w:themeColor="text1"/>
        </w:rPr>
      </w:pPr>
      <w:r w:rsidRPr="00D005E0">
        <w:rPr>
          <w:rFonts w:ascii="Century Gothic" w:hAnsi="Century Gothic" w:eastAsia="Times New Roman" w:cs="Arial"/>
          <w:b/>
          <w:szCs w:val="24"/>
          <w:lang w:eastAsia="es-ES_tradnl"/>
        </w:rPr>
        <w:t xml:space="preserve">2.1. </w:t>
      </w:r>
      <w:r w:rsidRPr="00D005E0">
        <w:rPr>
          <w:rFonts w:ascii="Century Gothic" w:hAnsi="Century Gothic" w:eastAsia="Calibri" w:cs="Arial"/>
          <w:b/>
          <w:color w:val="000000" w:themeColor="text1"/>
        </w:rPr>
        <w:t>Régimen jurídico de los contratos con organismos internacionales</w:t>
      </w:r>
    </w:p>
    <w:p w:rsidRPr="00D005E0" w:rsidR="000B4181" w:rsidP="000B4181" w:rsidRDefault="000B4181" w14:paraId="61BEC323" w14:textId="77777777">
      <w:pPr>
        <w:spacing w:after="0" w:line="276" w:lineRule="auto"/>
        <w:jc w:val="both"/>
        <w:rPr>
          <w:rFonts w:ascii="Century Gothic" w:hAnsi="Century Gothic" w:eastAsia="Calibri" w:cs="Arial"/>
          <w:b/>
          <w:color w:val="000000" w:themeColor="text1"/>
          <w:sz w:val="16"/>
          <w:szCs w:val="16"/>
        </w:rPr>
      </w:pPr>
    </w:p>
    <w:p w:rsidRPr="00D005E0" w:rsidR="000B4181" w:rsidP="000B4181" w:rsidRDefault="000B4181" w14:paraId="6E50F46C" w14:textId="77777777">
      <w:pPr>
        <w:spacing w:after="120" w:line="276" w:lineRule="auto"/>
        <w:jc w:val="both"/>
        <w:rPr>
          <w:rFonts w:ascii="Century Gothic" w:hAnsi="Century Gothic" w:cs="Arial"/>
          <w:lang w:val="es-ES"/>
        </w:rPr>
      </w:pPr>
      <w:bookmarkStart w:name="_Hlk99449041" w:id="5"/>
      <w:r w:rsidRPr="00D005E0">
        <w:rPr>
          <w:rFonts w:ascii="Century Gothic" w:hAnsi="Century Gothic" w:cs="Arial"/>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 con el propósito de cumplir objetivos comunes entre los Estados miembros</w:t>
      </w:r>
      <w:r w:rsidRPr="00D005E0">
        <w:rPr>
          <w:rStyle w:val="Refdenotaalpie"/>
          <w:rFonts w:ascii="Century Gothic" w:hAnsi="Century Gothic" w:cs="Arial"/>
        </w:rPr>
        <w:footnoteReference w:id="3"/>
      </w:r>
      <w:r w:rsidRPr="00D005E0">
        <w:rPr>
          <w:rFonts w:ascii="Century Gothic" w:hAnsi="Century Gothic" w:cs="Arial"/>
          <w:lang w:val="es-ES"/>
        </w:rPr>
        <w:t xml:space="preserve">.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rsidRPr="00D005E0" w:rsidR="000B4181" w:rsidP="000B4181" w:rsidRDefault="000B4181" w14:paraId="32BDC3DA" w14:textId="77777777">
      <w:pPr>
        <w:pStyle w:val="Prrafodelista"/>
        <w:snapToGrid w:val="0"/>
        <w:spacing w:before="120" w:after="120"/>
        <w:ind w:left="0" w:firstLine="709"/>
        <w:jc w:val="both"/>
        <w:rPr>
          <w:rFonts w:ascii="Century Gothic" w:hAnsi="Century Gothic" w:eastAsia="Calibri" w:cs="Arial"/>
        </w:rPr>
      </w:pPr>
      <w:bookmarkStart w:name="_Hlk99449078" w:id="6"/>
      <w:bookmarkEnd w:id="5"/>
      <w:r w:rsidRPr="00D005E0">
        <w:rPr>
          <w:rFonts w:ascii="Century Gothic" w:hAnsi="Century Gothic" w:eastAsia="Calibri" w:cs="Arial"/>
        </w:rPr>
        <w:t xml:space="preserve">El artículo 13 de la Ley 80 de 1993 regula de forma general el régimen aplicable a los contratos que celebren las entidades referidas en el artículo segundo del estatuto, señalando en el inciso primero, como primer criterio, la aplicabilidad de las disposiciones civiles y comerciales nacionales, sin perjuicio de la aplicación prevalente de las contenidas en el Estatuto General de Contratación </w:t>
      </w:r>
      <w:r w:rsidRPr="00D005E0">
        <w:rPr>
          <w:rFonts w:ascii="Century Gothic" w:hAnsi="Century Gothic" w:eastAsia="Calibri" w:cs="Arial"/>
        </w:rPr>
        <w:lastRenderedPageBreak/>
        <w:t>de la Administración Pública</w:t>
      </w:r>
      <w:r w:rsidRPr="00D005E0">
        <w:rPr>
          <w:rStyle w:val="Refdenotaalpie"/>
          <w:rFonts w:ascii="Century Gothic" w:hAnsi="Century Gothic" w:cs="Arial"/>
        </w:rPr>
        <w:footnoteReference w:id="4"/>
      </w:r>
      <w:r w:rsidRPr="00D005E0">
        <w:rPr>
          <w:rFonts w:ascii="Century Gothic" w:hAnsi="Century Gothic" w:eastAsia="Calibri" w:cs="Arial"/>
        </w:rPr>
        <w:t xml:space="preserve">.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bookmarkEnd w:id="6"/>
    <w:p w:rsidRPr="00D005E0" w:rsidR="000B4181" w:rsidP="000B4181" w:rsidRDefault="000B4181" w14:paraId="350F5C56" w14:textId="77777777">
      <w:pPr>
        <w:pStyle w:val="Prrafodelista"/>
        <w:snapToGrid w:val="0"/>
        <w:spacing w:before="120" w:after="120"/>
        <w:ind w:left="0" w:firstLine="709"/>
        <w:rPr>
          <w:rFonts w:ascii="Century Gothic" w:hAnsi="Century Gothic" w:eastAsia="Calibri" w:cs="Arial"/>
          <w:sz w:val="12"/>
          <w:szCs w:val="12"/>
        </w:rPr>
      </w:pPr>
    </w:p>
    <w:p w:rsidRPr="00D005E0" w:rsidR="000B4181" w:rsidP="000B4181" w:rsidRDefault="000B4181" w14:paraId="2956166D" w14:textId="77777777">
      <w:pPr>
        <w:pStyle w:val="Prrafodelista"/>
        <w:snapToGrid w:val="0"/>
        <w:ind w:left="0" w:firstLine="709"/>
        <w:jc w:val="both"/>
        <w:rPr>
          <w:rFonts w:ascii="Century Gothic" w:hAnsi="Century Gothic" w:eastAsia="Calibri" w:cs="Arial"/>
        </w:rPr>
      </w:pPr>
      <w:r w:rsidRPr="00D005E0">
        <w:rPr>
          <w:rFonts w:ascii="Century Gothic" w:hAnsi="Century Gothic" w:eastAsia="Calibri" w:cs="Arial"/>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rsidRPr="00D005E0" w:rsidR="000B4181" w:rsidP="000B4181" w:rsidRDefault="000B4181" w14:paraId="66A71C80" w14:textId="77777777">
      <w:pPr>
        <w:pStyle w:val="Prrafodelista"/>
        <w:snapToGrid w:val="0"/>
        <w:ind w:left="0" w:firstLine="709"/>
        <w:jc w:val="both"/>
        <w:rPr>
          <w:rFonts w:ascii="Century Gothic" w:hAnsi="Century Gothic" w:eastAsia="Calibri" w:cs="Arial"/>
        </w:rPr>
      </w:pPr>
    </w:p>
    <w:p w:rsidRPr="00D005E0" w:rsidR="000B4181" w:rsidP="000B4181" w:rsidRDefault="000B4181" w14:paraId="33FD5097" w14:textId="77777777">
      <w:pPr>
        <w:pStyle w:val="Prrafodelista"/>
        <w:spacing w:after="0" w:line="240" w:lineRule="auto"/>
        <w:ind w:left="709" w:right="709"/>
        <w:jc w:val="both"/>
        <w:rPr>
          <w:rFonts w:ascii="Century Gothic" w:hAnsi="Century Gothic" w:eastAsia="MS Mincho" w:cs="Arial"/>
          <w:sz w:val="21"/>
          <w:szCs w:val="21"/>
          <w:lang w:eastAsia="es-ES"/>
        </w:rPr>
      </w:pPr>
      <w:r w:rsidRPr="00D005E0">
        <w:rPr>
          <w:rFonts w:ascii="Century Gothic" w:hAnsi="Century Gothic" w:eastAsia="MS Mincho" w:cs="Arial"/>
          <w:sz w:val="21"/>
          <w:szCs w:val="21"/>
          <w:lang w:eastAsia="es-ES"/>
        </w:rPr>
        <w:t>“i) Contratos celebrados en el exterior, los cuales se podrán regir en su ejecución por las reglas del país donde se ha suscrito, salvo cuando su cumplimiento deba 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derecho nacional, iii)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D005E0">
        <w:rPr>
          <w:rStyle w:val="Refdenotaalpie"/>
          <w:rFonts w:ascii="Century Gothic" w:hAnsi="Century Gothic" w:cs="Arial"/>
          <w:sz w:val="21"/>
          <w:szCs w:val="21"/>
        </w:rPr>
        <w:footnoteReference w:id="5"/>
      </w:r>
      <w:r w:rsidRPr="00D005E0">
        <w:rPr>
          <w:rFonts w:ascii="Century Gothic" w:hAnsi="Century Gothic" w:eastAsia="MS Mincho" w:cs="Arial"/>
          <w:sz w:val="21"/>
          <w:szCs w:val="21"/>
          <w:lang w:eastAsia="es-ES"/>
        </w:rPr>
        <w:t xml:space="preserve">. </w:t>
      </w:r>
    </w:p>
    <w:p w:rsidRPr="00D005E0" w:rsidR="000B4181" w:rsidP="000B4181" w:rsidRDefault="000B4181" w14:paraId="18096E86" w14:textId="77777777">
      <w:pPr>
        <w:pStyle w:val="Prrafodelista"/>
        <w:spacing w:before="120" w:after="0" w:line="240" w:lineRule="auto"/>
        <w:ind w:left="851" w:right="709"/>
        <w:rPr>
          <w:rFonts w:ascii="Century Gothic" w:hAnsi="Century Gothic" w:eastAsia="Calibri" w:cs="Arial"/>
        </w:rPr>
      </w:pPr>
    </w:p>
    <w:p w:rsidRPr="00D005E0" w:rsidR="000B4181" w:rsidP="000B4181" w:rsidRDefault="000B4181" w14:paraId="3CE1D0F7" w14:textId="77777777">
      <w:pPr>
        <w:spacing w:line="276" w:lineRule="auto"/>
        <w:ind w:firstLine="709"/>
        <w:jc w:val="both"/>
        <w:rPr>
          <w:rFonts w:ascii="Century Gothic" w:hAnsi="Century Gothic" w:eastAsia="Calibri" w:cs="Arial"/>
          <w:lang w:val="es-ES"/>
        </w:rPr>
      </w:pPr>
      <w:r w:rsidRPr="00D005E0">
        <w:rPr>
          <w:rFonts w:ascii="Century Gothic" w:hAnsi="Century Gothic" w:eastAsia="Calibri" w:cs="Arial"/>
          <w:lang w:val="es-ES"/>
        </w:rPr>
        <w:t xml:space="preserve">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w:t>
      </w:r>
      <w:r w:rsidRPr="00D005E0">
        <w:rPr>
          <w:rFonts w:ascii="Century Gothic" w:hAnsi="Century Gothic" w:eastAsia="Calibri" w:cs="Arial"/>
          <w:lang w:val="es-ES"/>
        </w:rPr>
        <w:lastRenderedPageBreak/>
        <w:t>Administración Pública –en adelante EGCAP–</w:t>
      </w:r>
      <w:r w:rsidRPr="00D005E0">
        <w:rPr>
          <w:rStyle w:val="Refdenotaalpie"/>
          <w:rFonts w:ascii="Century Gothic" w:hAnsi="Century Gothic" w:eastAsia="Calibri" w:cs="Arial"/>
        </w:rPr>
        <w:footnoteReference w:id="6"/>
      </w:r>
      <w:r w:rsidRPr="00D005E0">
        <w:rPr>
          <w:rFonts w:ascii="Century Gothic" w:hAnsi="Century Gothic" w:eastAsia="Calibri" w:cs="Arial"/>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someterse a los reglamentos de tales entidades, en lo que tiene que ver con el inciso primero de dicho artículo. </w:t>
      </w:r>
    </w:p>
    <w:p w:rsidRPr="00D005E0" w:rsidR="000B4181" w:rsidP="000B4181" w:rsidRDefault="000B4181" w14:paraId="3E1A55BE" w14:textId="77777777">
      <w:pPr>
        <w:spacing w:before="120" w:after="120" w:line="276" w:lineRule="auto"/>
        <w:ind w:firstLine="709"/>
        <w:jc w:val="both"/>
        <w:rPr>
          <w:rFonts w:ascii="Century Gothic" w:hAnsi="Century Gothic" w:eastAsia="Calibri" w:cs="Arial"/>
          <w:lang w:val="es-ES"/>
        </w:rPr>
      </w:pPr>
      <w:r w:rsidRPr="00D005E0">
        <w:rPr>
          <w:rFonts w:ascii="Century Gothic" w:hAnsi="Century Gothic" w:eastAsia="Calibri" w:cs="Arial"/>
          <w:lang w:val="es-ES"/>
        </w:rPr>
        <w:t>Para comprender el alcance del régimen aplicable a los contratos o convenios que se suscriban con organismos internacionales, de acuerdo con la financiación de estos, resulta necesario analizar el artículo 20 de la Ley 1150 de 2007</w:t>
      </w:r>
      <w:r w:rsidRPr="00D005E0">
        <w:rPr>
          <w:rStyle w:val="Refdenotaalpie"/>
          <w:rFonts w:ascii="Century Gothic" w:hAnsi="Century Gothic" w:eastAsia="Calibri" w:cs="Arial"/>
        </w:rPr>
        <w:footnoteReference w:id="7"/>
      </w:r>
      <w:r w:rsidRPr="00D005E0">
        <w:rPr>
          <w:rFonts w:ascii="Century Gothic" w:hAnsi="Century Gothic" w:eastAsia="Calibri" w:cs="Arial"/>
          <w:lang w:val="es-ES"/>
        </w:rPr>
        <w:t xml:space="preserve">. De conformidad con este artículo, en lo que tiene que ver con el </w:t>
      </w:r>
      <w:r w:rsidRPr="00D005E0">
        <w:rPr>
          <w:rFonts w:ascii="Century Gothic" w:hAnsi="Century Gothic" w:eastAsia="Calibri" w:cs="Arial"/>
          <w:i/>
          <w:lang w:val="es-ES"/>
        </w:rPr>
        <w:t>inciso primero</w:t>
      </w:r>
      <w:r w:rsidRPr="00D005E0">
        <w:rPr>
          <w:rFonts w:ascii="Century Gothic" w:hAnsi="Century Gothic" w:eastAsia="Calibri" w:cs="Arial"/>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w:t>
      </w:r>
      <w:r w:rsidRPr="00D005E0">
        <w:rPr>
          <w:rFonts w:ascii="Century Gothic" w:hAnsi="Century Gothic" w:eastAsia="Calibri" w:cs="Arial"/>
          <w:lang w:val="es-ES"/>
        </w:rPr>
        <w:lastRenderedPageBreak/>
        <w:t xml:space="preserve">aportes del organismo internacional son inferiores al porcentaje señalado, el contrato o convenio debe someterse al EGCAP. </w:t>
      </w:r>
    </w:p>
    <w:p w:rsidRPr="00D005E0" w:rsidR="000B4181" w:rsidP="000B4181" w:rsidRDefault="000B4181" w14:paraId="135834D7" w14:textId="77777777">
      <w:pPr>
        <w:spacing w:after="120" w:line="276" w:lineRule="auto"/>
        <w:ind w:firstLine="709"/>
        <w:jc w:val="both"/>
        <w:rPr>
          <w:rFonts w:ascii="Century Gothic" w:hAnsi="Century Gothic" w:cs="Arial"/>
        </w:rPr>
      </w:pPr>
      <w:r w:rsidRPr="00D005E0">
        <w:rPr>
          <w:rFonts w:ascii="Century Gothic" w:hAnsi="Century Gothic" w:eastAsia="Calibri" w:cs="Arial"/>
          <w:lang w:val="es-ES"/>
        </w:rPr>
        <w:t>Conviene mencionar que dentro de la ejecución del contrato o convenio pueden presentarse situaciones en las que el porcentaje de los aportes sea modificado, en virtud de su adición o no ejecución en los términos pactados. Previendo este escenario,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D005E0">
        <w:rPr>
          <w:rStyle w:val="Refdenotaalpie"/>
          <w:rFonts w:ascii="Century Gothic" w:hAnsi="Century Gothic" w:eastAsia="Calibri" w:cs="Arial"/>
        </w:rPr>
        <w:footnoteReference w:id="8"/>
      </w:r>
      <w:r w:rsidRPr="00D005E0">
        <w:rPr>
          <w:rFonts w:ascii="Century Gothic" w:hAnsi="Century Gothic" w:eastAsia="Calibri" w:cs="Arial"/>
          <w:lang w:val="es-ES"/>
        </w:rPr>
        <w:t>. Así las cosas, la entidad contratante debe realizar un constante monitoreo respecto de los aportes de cada una de las partes para determinar si se debe realizar un ajuste frente al régimen aplicable, esto es, en relación con los contratos regulados en el inciso primero del artículo 20 de la Ley 1150 de 2007</w:t>
      </w:r>
      <w:r w:rsidRPr="00D005E0">
        <w:rPr>
          <w:rFonts w:ascii="Century Gothic" w:hAnsi="Century Gothic" w:cs="Arial"/>
        </w:rPr>
        <w:t xml:space="preserve">. </w:t>
      </w:r>
    </w:p>
    <w:p w:rsidRPr="00D005E0" w:rsidR="000B4181" w:rsidP="000B4181" w:rsidRDefault="000B4181" w14:paraId="39EFD547" w14:textId="77777777">
      <w:pPr>
        <w:spacing w:after="120" w:line="276" w:lineRule="auto"/>
        <w:ind w:firstLine="709"/>
        <w:jc w:val="both"/>
        <w:rPr>
          <w:rFonts w:ascii="Century Gothic" w:hAnsi="Century Gothic" w:cs="Arial"/>
          <w:lang w:val="es-MX"/>
        </w:rPr>
      </w:pPr>
      <w:r w:rsidRPr="00D005E0">
        <w:rPr>
          <w:rStyle w:val="normaltextrun"/>
          <w:rFonts w:ascii="Century Gothic" w:hAnsi="Century Gothic" w:cs="Arial"/>
          <w:color w:val="000000"/>
          <w:shd w:val="clear" w:color="auto" w:fill="FFFFFF"/>
          <w:lang w:val="es-ES"/>
        </w:rPr>
        <w:t xml:space="preserve">De conformidad con lo expuesto, los contratos o convenios suscritos con organismos de cooperación, asistencia o ayudas internacionales pueden financiarse con aportes en sumas liquidas de dinero o en especie, pues el parágrafo 3 de la misma disposición así lo permite al establecer la obligación de cuantificar en moneda colombiana los aportes en especie realizados por estos organismos. En </w:t>
      </w:r>
      <w:r w:rsidRPr="00D005E0">
        <w:rPr>
          <w:rStyle w:val="normaltextrun"/>
          <w:rFonts w:ascii="Century Gothic" w:hAnsi="Century Gothic" w:cs="Arial"/>
          <w:color w:val="000000"/>
          <w:shd w:val="clear" w:color="auto" w:fill="FFFFFF"/>
          <w:lang w:val="es-ES"/>
        </w:rPr>
        <w:lastRenderedPageBreak/>
        <w:t>caso de que supere el 50% de la totalidad del presupuesto de la contratación, la entidad podrá someter el convenio o contrato a las reglas de contratación del referido organismo.</w:t>
      </w:r>
      <w:r w:rsidRPr="00D005E0">
        <w:rPr>
          <w:rStyle w:val="eop"/>
          <w:rFonts w:ascii="Century Gothic" w:hAnsi="Century Gothic" w:cs="Arial"/>
          <w:color w:val="000000"/>
          <w:shd w:val="clear" w:color="auto" w:fill="FFFFFF"/>
        </w:rPr>
        <w:t> </w:t>
      </w:r>
    </w:p>
    <w:p w:rsidRPr="00D005E0" w:rsidR="000B4181" w:rsidP="000B4181" w:rsidRDefault="000B4181" w14:paraId="40D5CEF9" w14:textId="77777777">
      <w:pPr>
        <w:spacing w:before="120" w:after="0" w:line="276" w:lineRule="auto"/>
        <w:ind w:firstLine="709"/>
        <w:jc w:val="both"/>
        <w:rPr>
          <w:rFonts w:ascii="Century Gothic" w:hAnsi="Century Gothic" w:eastAsia="Calibri" w:cs="Arial"/>
          <w:lang w:val="es-ES"/>
        </w:rPr>
      </w:pPr>
      <w:r w:rsidRPr="00D005E0">
        <w:rPr>
          <w:rFonts w:ascii="Century Gothic" w:hAnsi="Century Gothic" w:eastAsia="Calibri" w:cs="Arial"/>
          <w:lang w:val="es-ES"/>
        </w:rPr>
        <w:t xml:space="preserve">Por otro lado, la norma establece un criterio adicional en el </w:t>
      </w:r>
      <w:r w:rsidRPr="00D005E0">
        <w:rPr>
          <w:rFonts w:ascii="Century Gothic" w:hAnsi="Century Gothic" w:eastAsia="Calibri" w:cs="Arial"/>
          <w:i/>
          <w:lang w:val="es-ES"/>
        </w:rPr>
        <w:t>inciso segundo,</w:t>
      </w:r>
      <w:r w:rsidRPr="00D005E0">
        <w:rPr>
          <w:rFonts w:ascii="Century Gothic" w:hAnsi="Century Gothic" w:eastAsia="Calibri" w:cs="Arial"/>
          <w:lang w:val="es-ES"/>
        </w:rPr>
        <w:t xml:space="preserve"> para determinar la posible aplicación de los reglamentos de los organismos internacionales. Este segundo criterio depende del objeto del convenio o contrato a celebrar con personas extranjeras de derecho público u organismos de derecho internacional, de manera que en dichos casos puede pactarse el sometimiento a los reglamentos de estas entidades. En tal sentido, los supuestos en que es posible someter el régimen contractual a los reglamentos de los organismos internacionales son los siguientes: </w:t>
      </w:r>
    </w:p>
    <w:p w:rsidRPr="00D005E0" w:rsidR="000B4181" w:rsidP="000B4181" w:rsidRDefault="000B4181" w14:paraId="6571F98D" w14:textId="77777777">
      <w:pPr>
        <w:spacing w:after="0" w:line="276" w:lineRule="auto"/>
        <w:ind w:firstLine="709"/>
        <w:jc w:val="both"/>
        <w:rPr>
          <w:rFonts w:ascii="Century Gothic" w:hAnsi="Century Gothic" w:eastAsia="Calibri" w:cs="Arial"/>
          <w:lang w:val="es-ES"/>
        </w:rPr>
      </w:pPr>
    </w:p>
    <w:p w:rsidRPr="00D005E0" w:rsidR="000B4181" w:rsidP="000B4181" w:rsidRDefault="000B4181" w14:paraId="607F80EB" w14:textId="77777777">
      <w:pPr>
        <w:pStyle w:val="Prrafodelista"/>
        <w:numPr>
          <w:ilvl w:val="0"/>
          <w:numId w:val="18"/>
        </w:numPr>
        <w:spacing w:after="200" w:line="276" w:lineRule="auto"/>
        <w:ind w:left="1134" w:right="709" w:hanging="141"/>
        <w:jc w:val="both"/>
        <w:rPr>
          <w:rFonts w:ascii="Century Gothic" w:hAnsi="Century Gothic" w:eastAsia="Calibri" w:cs="Arial"/>
          <w:sz w:val="21"/>
          <w:szCs w:val="21"/>
        </w:rPr>
      </w:pPr>
      <w:r w:rsidRPr="00D005E0">
        <w:rPr>
          <w:rFonts w:ascii="Century Gothic" w:hAnsi="Century Gothic" w:eastAsia="Calibri" w:cs="Arial"/>
          <w:sz w:val="21"/>
          <w:szCs w:val="21"/>
        </w:rPr>
        <w:t xml:space="preserve">Desarrollo de programas de promoción, prevención y atención en salud. </w:t>
      </w:r>
    </w:p>
    <w:p w:rsidRPr="00D005E0" w:rsidR="000B4181" w:rsidP="000B4181" w:rsidRDefault="000B4181" w14:paraId="1681AA64" w14:textId="77777777">
      <w:pPr>
        <w:pStyle w:val="Prrafodelista"/>
        <w:numPr>
          <w:ilvl w:val="0"/>
          <w:numId w:val="18"/>
        </w:numPr>
        <w:spacing w:after="0" w:line="276"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necesarios para la operación de la OIT.</w:t>
      </w:r>
    </w:p>
    <w:p w:rsidRPr="00D005E0" w:rsidR="000B4181" w:rsidP="000B4181" w:rsidRDefault="000B4181" w14:paraId="07726AD7" w14:textId="77777777">
      <w:pPr>
        <w:pStyle w:val="Prrafodelista"/>
        <w:numPr>
          <w:ilvl w:val="0"/>
          <w:numId w:val="18"/>
        </w:numPr>
        <w:spacing w:after="0" w:line="276"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que se ejecuten en desarrollo del sistema integrado de monitoreo de cultivos ilícitos.</w:t>
      </w:r>
    </w:p>
    <w:p w:rsidRPr="00D005E0" w:rsidR="000B4181" w:rsidP="000B4181" w:rsidRDefault="000B4181" w14:paraId="4B796989" w14:textId="77777777">
      <w:pPr>
        <w:pStyle w:val="Prrafodelista"/>
        <w:numPr>
          <w:ilvl w:val="0"/>
          <w:numId w:val="18"/>
        </w:numPr>
        <w:spacing w:after="0" w:line="276"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para la operación del programa mundial de alimentos.</w:t>
      </w:r>
    </w:p>
    <w:p w:rsidRPr="00D005E0" w:rsidR="000B4181" w:rsidP="000B4181" w:rsidRDefault="000B4181" w14:paraId="0BD285CA" w14:textId="77777777">
      <w:pPr>
        <w:pStyle w:val="Prrafodelista"/>
        <w:numPr>
          <w:ilvl w:val="0"/>
          <w:numId w:val="18"/>
        </w:numPr>
        <w:spacing w:after="0" w:line="276"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para el desarrollo de programas de apoyo educativo a población desplazada y vulnerable adelantados por la Unesco y la OIM.</w:t>
      </w:r>
    </w:p>
    <w:p w:rsidRPr="00D005E0" w:rsidR="000B4181" w:rsidP="000B4181" w:rsidRDefault="000B4181" w14:paraId="266341C5" w14:textId="77777777">
      <w:pPr>
        <w:pStyle w:val="Prrafodelista"/>
        <w:numPr>
          <w:ilvl w:val="0"/>
          <w:numId w:val="18"/>
        </w:numPr>
        <w:spacing w:after="0" w:line="276" w:lineRule="auto"/>
        <w:ind w:left="1134" w:right="709" w:hanging="141"/>
        <w:jc w:val="both"/>
        <w:rPr>
          <w:rFonts w:ascii="Century Gothic" w:hAnsi="Century Gothic" w:cs="Arial"/>
        </w:rPr>
      </w:pPr>
      <w:r w:rsidRPr="00D005E0">
        <w:rPr>
          <w:rFonts w:ascii="Century Gothic" w:hAnsi="Century Gothic" w:cs="Arial"/>
          <w:sz w:val="21"/>
          <w:szCs w:val="21"/>
        </w:rPr>
        <w:t>Los contratos o convenios financiados con fondos de los organismos multilaterales de crédito y entes gubernamentales extranjeros.</w:t>
      </w:r>
      <w:r w:rsidRPr="00D005E0">
        <w:rPr>
          <w:rFonts w:ascii="Century Gothic" w:hAnsi="Century Gothic" w:cs="Arial"/>
        </w:rPr>
        <w:t xml:space="preserve"> </w:t>
      </w:r>
    </w:p>
    <w:p w:rsidRPr="00D005E0" w:rsidR="000B4181" w:rsidP="000B4181" w:rsidRDefault="000B4181" w14:paraId="48DEDC90" w14:textId="77777777">
      <w:pPr>
        <w:pStyle w:val="Prrafodelista"/>
        <w:spacing w:after="0"/>
        <w:ind w:left="1429"/>
        <w:rPr>
          <w:rFonts w:ascii="Century Gothic" w:hAnsi="Century Gothic" w:cs="Arial"/>
        </w:rPr>
      </w:pPr>
    </w:p>
    <w:p w:rsidRPr="00D005E0" w:rsidR="000B4181" w:rsidP="000B4181" w:rsidRDefault="000B4181" w14:paraId="28C04A6B" w14:textId="77777777">
      <w:pPr>
        <w:spacing w:after="0" w:line="276" w:lineRule="auto"/>
        <w:ind w:firstLine="709"/>
        <w:jc w:val="both"/>
        <w:rPr>
          <w:rFonts w:ascii="Century Gothic" w:hAnsi="Century Gothic" w:eastAsia="Calibri" w:cs="Arial"/>
          <w:lang w:val="es-ES"/>
        </w:rPr>
      </w:pPr>
      <w:bookmarkStart w:name="_Hlk148447946" w:id="9"/>
      <w:r w:rsidRPr="00D005E0">
        <w:rPr>
          <w:rFonts w:ascii="Century Gothic" w:hAnsi="Century Gothic" w:eastAsia="Calibri" w:cs="Arial"/>
          <w:lang w:val="es-ES"/>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w:t>
      </w:r>
      <w:bookmarkEnd w:id="9"/>
      <w:r w:rsidRPr="00D005E0">
        <w:rPr>
          <w:rFonts w:ascii="Century Gothic" w:hAnsi="Century Gothic" w:eastAsia="Calibri" w:cs="Arial"/>
          <w:lang w:val="es-ES"/>
        </w:rPr>
        <w:t>. Al respecto, en el Concepto C-374 del 27 de julio de 2020, esta Agencia –después de analizar el artículo 20 de la Ley 1150 de 2007– concluyó que:</w:t>
      </w:r>
    </w:p>
    <w:p w:rsidRPr="00D005E0" w:rsidR="000B4181" w:rsidP="000B4181" w:rsidRDefault="000B4181" w14:paraId="73F3B6FF" w14:textId="77777777">
      <w:pPr>
        <w:spacing w:after="0" w:line="276" w:lineRule="auto"/>
        <w:ind w:firstLine="709"/>
        <w:jc w:val="both"/>
        <w:rPr>
          <w:rFonts w:ascii="Century Gothic" w:hAnsi="Century Gothic" w:eastAsia="Calibri" w:cs="Arial"/>
          <w:lang w:val="es-ES"/>
        </w:rPr>
      </w:pPr>
    </w:p>
    <w:p w:rsidRPr="00D005E0" w:rsidR="000B4181" w:rsidP="000B4181" w:rsidRDefault="000B4181" w14:paraId="67C04374" w14:textId="77777777">
      <w:pPr>
        <w:spacing w:after="0" w:line="240" w:lineRule="auto"/>
        <w:ind w:left="709" w:right="709"/>
        <w:jc w:val="both"/>
        <w:rPr>
          <w:rFonts w:ascii="Century Gothic" w:hAnsi="Century Gothic" w:eastAsia="Calibri" w:cs="Arial"/>
          <w:sz w:val="21"/>
          <w:szCs w:val="21"/>
          <w:lang w:val="es-ES"/>
        </w:rPr>
      </w:pPr>
      <w:r w:rsidRPr="00D005E0">
        <w:rPr>
          <w:rFonts w:ascii="Century Gothic" w:hAnsi="Century Gothic" w:eastAsia="Calibri" w:cs="Arial"/>
          <w:sz w:val="21"/>
          <w:szCs w:val="21"/>
          <w:lang w:val="es-ES"/>
        </w:rPr>
        <w:t xml:space="preserve">“[…]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w:t>
      </w:r>
      <w:r w:rsidRPr="00D005E0">
        <w:rPr>
          <w:rFonts w:ascii="Century Gothic" w:hAnsi="Century Gothic" w:eastAsia="Calibri" w:cs="Arial"/>
          <w:sz w:val="21"/>
          <w:szCs w:val="21"/>
          <w:lang w:val="es-ES"/>
        </w:rPr>
        <w:lastRenderedPageBreak/>
        <w:t>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rsidRPr="00D005E0" w:rsidR="000B4181" w:rsidP="000B4181" w:rsidRDefault="000B4181" w14:paraId="55E8ABDB" w14:textId="77777777">
      <w:pPr>
        <w:spacing w:after="0"/>
        <w:ind w:left="709" w:right="709"/>
        <w:jc w:val="both"/>
        <w:rPr>
          <w:rFonts w:ascii="Century Gothic" w:hAnsi="Century Gothic" w:eastAsia="Calibri" w:cs="Arial"/>
          <w:sz w:val="21"/>
          <w:szCs w:val="21"/>
          <w:lang w:val="es-ES"/>
        </w:rPr>
      </w:pPr>
    </w:p>
    <w:p w:rsidRPr="00D005E0" w:rsidR="000B4181" w:rsidP="000B4181" w:rsidRDefault="000B4181" w14:paraId="5A15CDEB" w14:textId="77777777">
      <w:pPr>
        <w:spacing w:after="120" w:line="276" w:lineRule="auto"/>
        <w:ind w:firstLine="709"/>
        <w:jc w:val="both"/>
        <w:rPr>
          <w:rFonts w:ascii="Century Gothic" w:hAnsi="Century Gothic" w:eastAsia="Calibri" w:cs="Arial"/>
          <w:lang w:val="es-ES"/>
        </w:rPr>
      </w:pPr>
      <w:r w:rsidRPr="00D005E0">
        <w:rPr>
          <w:rFonts w:ascii="Century Gothic" w:hAnsi="Century Gothic" w:eastAsia="Calibri" w:cs="Arial"/>
          <w:lang w:val="es-ES"/>
        </w:rPr>
        <w:t xml:space="preserve">Asimismo, el parágrafo primero del artículo 20 de la Ley 1150 de 2007 establece un tercer criterio para determinar el régimen contractual aplicable. De acuerdo con la norma, “Los contratos o acuerdos celebrados con personas extranjeras de derecho público, podrán someterse a las reglas de tales organismos”. Estos negocios jurídicos, a diferencia de los contratos del inciso primero </w:t>
      </w:r>
      <w:r w:rsidRPr="00D005E0">
        <w:rPr>
          <w:rFonts w:ascii="Century Gothic" w:hAnsi="Century Gothic" w:eastAsia="Calibri" w:cs="Arial"/>
          <w:i/>
          <w:lang w:val="es-ES"/>
        </w:rPr>
        <w:t>ibidem</w:t>
      </w:r>
      <w:r w:rsidRPr="00D005E0">
        <w:rPr>
          <w:rFonts w:ascii="Century Gothic" w:hAnsi="Century Gothic" w:eastAsia="Calibri" w:cs="Arial"/>
          <w:lang w:val="es-ES"/>
        </w:rPr>
        <w:t xml:space="preserve">, son independientes del monto de los aportes realizados por el organismo. Igualmente, en contraste con los contratos del inciso segundo </w:t>
      </w:r>
      <w:r w:rsidRPr="00D005E0">
        <w:rPr>
          <w:rFonts w:ascii="Century Gothic" w:hAnsi="Century Gothic" w:eastAsia="Calibri" w:cs="Arial"/>
          <w:i/>
          <w:lang w:val="es-ES"/>
        </w:rPr>
        <w:t>ibidem</w:t>
      </w:r>
      <w:r w:rsidRPr="00D005E0">
        <w:rPr>
          <w:rFonts w:ascii="Century Gothic" w:hAnsi="Century Gothic" w:eastAsia="Calibri" w:cs="Arial"/>
          <w:lang w:val="es-ES"/>
        </w:rPr>
        <w:t xml:space="preserve">, son negocios jurídicos independientes del objeto convenido. No obstante, al igual de los dos (2) supuestos explicados </w:t>
      </w:r>
      <w:r w:rsidRPr="00D005E0">
        <w:rPr>
          <w:rFonts w:ascii="Century Gothic" w:hAnsi="Century Gothic" w:eastAsia="Calibri" w:cs="Arial"/>
          <w:i/>
          <w:lang w:val="es-ES"/>
        </w:rPr>
        <w:t>ut supra</w:t>
      </w:r>
      <w:r w:rsidRPr="00D005E0">
        <w:rPr>
          <w:rFonts w:ascii="Century Gothic" w:hAnsi="Century Gothic" w:eastAsia="Calibri" w:cs="Arial"/>
          <w:lang w:val="es-ES"/>
        </w:rPr>
        <w:t xml:space="preserve">, en esta hipótesis también es posible optar por someter el contrato a los reglamentos de dichos organismos o bien someterlos a la Ley 80 de 1993. </w:t>
      </w:r>
    </w:p>
    <w:p w:rsidRPr="00D005E0" w:rsidR="000B4181" w:rsidP="000B4181" w:rsidRDefault="000B4181" w14:paraId="118996A7" w14:textId="77777777">
      <w:pPr>
        <w:spacing w:after="0" w:line="276" w:lineRule="auto"/>
        <w:ind w:firstLine="709"/>
        <w:jc w:val="both"/>
        <w:rPr>
          <w:rFonts w:ascii="Century Gothic" w:hAnsi="Century Gothic" w:eastAsia="Calibri" w:cs="Arial"/>
          <w:lang w:val="es-ES"/>
        </w:rPr>
      </w:pPr>
      <w:r w:rsidRPr="00D005E0">
        <w:rPr>
          <w:rFonts w:ascii="Century Gothic" w:hAnsi="Century Gothic" w:eastAsia="Calibri" w:cs="Arial"/>
          <w:lang w:val="es-ES"/>
        </w:rPr>
        <w:t xml:space="preserve">Como se observa, la norma en comento no exige aportes mínimos de los organismos internacionales en alguna de las tres (3) hipótesis explicadas, especialmente, cuando el objeto del artículo 20 de la Ley 1150 de 2007 es precisar los casos en que aplica o no el Estatuto General de Contratación. No obstante, esto cambia con el </w:t>
      </w:r>
      <w:bookmarkStart w:name="_Hlk148442847" w:id="10"/>
      <w:r w:rsidRPr="00D005E0">
        <w:rPr>
          <w:rFonts w:ascii="Century Gothic" w:hAnsi="Century Gothic" w:eastAsia="Calibri" w:cs="Arial"/>
          <w:lang w:val="es-ES"/>
        </w:rPr>
        <w:t>Sistema Nacional de Cooperación Internacional</w:t>
      </w:r>
      <w:bookmarkEnd w:id="10"/>
      <w:r w:rsidRPr="00D005E0">
        <w:rPr>
          <w:rFonts w:ascii="Century Gothic" w:hAnsi="Century Gothic" w:eastAsia="Calibri" w:cs="Arial"/>
          <w:lang w:val="es-ES"/>
        </w:rPr>
        <w:t xml:space="preserve">, el cual fue previsto en las bases del Plan Nacional de Desarrollo 2018-2022 y reglamentado por el Decreto 603 de 2022. Dicho aspecto se explica a continuación.    </w:t>
      </w:r>
    </w:p>
    <w:p w:rsidRPr="00D005E0" w:rsidR="000B4181" w:rsidP="000B4181" w:rsidRDefault="000B4181" w14:paraId="666535D2" w14:textId="77777777">
      <w:pPr>
        <w:spacing w:after="0" w:line="276" w:lineRule="auto"/>
        <w:ind w:firstLine="709"/>
        <w:jc w:val="both"/>
        <w:rPr>
          <w:rFonts w:ascii="Century Gothic" w:hAnsi="Century Gothic" w:eastAsia="Calibri" w:cs="Arial"/>
          <w:lang w:val="es-ES"/>
        </w:rPr>
      </w:pPr>
      <w:r w:rsidRPr="00D005E0">
        <w:rPr>
          <w:rFonts w:ascii="Century Gothic" w:hAnsi="Century Gothic" w:eastAsia="Calibri" w:cs="Arial"/>
          <w:lang w:val="es-ES"/>
        </w:rPr>
        <w:t xml:space="preserve"> </w:t>
      </w:r>
    </w:p>
    <w:p w:rsidRPr="00D005E0" w:rsidR="000B4181" w:rsidP="000B4181" w:rsidRDefault="000B4181" w14:paraId="53CE991F" w14:textId="77777777">
      <w:pPr>
        <w:spacing w:after="0" w:line="276" w:lineRule="auto"/>
        <w:jc w:val="both"/>
        <w:rPr>
          <w:rFonts w:ascii="Century Gothic" w:hAnsi="Century Gothic" w:cs="Arial"/>
          <w:b/>
        </w:rPr>
      </w:pPr>
      <w:r w:rsidRPr="00D005E0">
        <w:rPr>
          <w:rFonts w:ascii="Century Gothic" w:hAnsi="Century Gothic" w:cs="Arial"/>
          <w:b/>
        </w:rPr>
        <w:t xml:space="preserve">2.2. </w:t>
      </w:r>
      <w:bookmarkStart w:name="_Hlk148438412" w:id="11"/>
      <w:r w:rsidRPr="00D005E0">
        <w:rPr>
          <w:rFonts w:ascii="Century Gothic" w:hAnsi="Century Gothic" w:cs="Arial"/>
          <w:b/>
        </w:rPr>
        <w:t>Sistema Nacional de Cooperación Internacional en la Bases de Plan Nacional de Desarrollo de la Ley 1955 de 2019: alcance del artículo 2.2.8.3.4 del Decreto 603 de 2022</w:t>
      </w:r>
      <w:bookmarkEnd w:id="11"/>
    </w:p>
    <w:p w:rsidRPr="00D005E0" w:rsidR="000B4181" w:rsidP="000B4181" w:rsidRDefault="000B4181" w14:paraId="37D52051" w14:textId="77777777">
      <w:pPr>
        <w:spacing w:after="0" w:line="276" w:lineRule="auto"/>
        <w:jc w:val="both"/>
        <w:rPr>
          <w:rFonts w:ascii="Century Gothic" w:hAnsi="Century Gothic" w:cs="Arial"/>
        </w:rPr>
      </w:pPr>
    </w:p>
    <w:p w:rsidRPr="00D005E0" w:rsidR="000B4181" w:rsidP="000B4181" w:rsidRDefault="000B4181" w14:paraId="0645860A" w14:textId="77777777">
      <w:pPr>
        <w:spacing w:after="0" w:line="276" w:lineRule="auto"/>
        <w:jc w:val="both"/>
        <w:rPr>
          <w:rStyle w:val="Textoennegrita"/>
          <w:rFonts w:ascii="Century Gothic" w:hAnsi="Century Gothic" w:cs="Arial"/>
          <w:b w:val="0"/>
          <w:shd w:val="clear" w:color="auto" w:fill="FFFFFF"/>
        </w:rPr>
      </w:pPr>
      <w:r w:rsidRPr="00D005E0">
        <w:rPr>
          <w:rFonts w:ascii="Century Gothic" w:hAnsi="Century Gothic" w:cs="Arial"/>
        </w:rPr>
        <w:t xml:space="preserve">El Decreto 603 de 2022, </w:t>
      </w:r>
      <w:r w:rsidRPr="00D005E0">
        <w:rPr>
          <w:rFonts w:ascii="Century Gothic" w:hAnsi="Century Gothic" w:eastAsia="Calibri" w:cs="Arial"/>
          <w:sz w:val="21"/>
          <w:szCs w:val="21"/>
          <w:lang w:val="es-ES_tradnl" w:eastAsia="es-CO"/>
        </w:rPr>
        <w:t>“</w:t>
      </w:r>
      <w:r w:rsidRPr="00D005E0">
        <w:rPr>
          <w:rStyle w:val="Textoennegrita"/>
          <w:rFonts w:ascii="Century Gothic" w:hAnsi="Century Gothic" w:cs="Arial"/>
          <w:b w:val="0"/>
          <w:shd w:val="clear" w:color="auto" w:fill="FFFFFF"/>
        </w:rPr>
        <w:t xml:space="preserve">Por medio del cual se adiciona el Título 8 en la Parte 2 del Libro 2 del Decreto 1067 de 2015, Único Reglamentario del Sector Administrativo de Relaciones Exteriores, para crear el Sistema Nacional de Cooperación Internacional de Colombia y se dictan disposiciones relacionadas con el desarrollo del mismo”, estableció algunos lineamientos para la cooperación internacional en Colombia, </w:t>
      </w:r>
      <w:r w:rsidRPr="00D005E0">
        <w:rPr>
          <w:rStyle w:val="Textoennegrita"/>
          <w:rFonts w:ascii="Century Gothic" w:hAnsi="Century Gothic" w:cs="Arial"/>
          <w:b w:val="0"/>
          <w:shd w:val="clear" w:color="auto" w:fill="FFFFFF"/>
        </w:rPr>
        <w:lastRenderedPageBreak/>
        <w:t xml:space="preserve">determinando su  objetivo –art. 2.2.8.3.1–, naturaleza –art. 2.2.8.3.2–, efectividad –art. 2.2.8.3.3–, participación de socios –art. 2.2.8.3.4– y destinación –art.  2.2.8.3.5–. En lo que se refiere a la participación de los socios, estableció lo siguiente: </w:t>
      </w:r>
    </w:p>
    <w:p w:rsidRPr="00D005E0" w:rsidR="000B4181" w:rsidP="000B4181" w:rsidRDefault="000B4181" w14:paraId="3433F378" w14:textId="77777777">
      <w:pPr>
        <w:spacing w:after="0" w:line="276" w:lineRule="auto"/>
        <w:jc w:val="both"/>
        <w:rPr>
          <w:rStyle w:val="Textoennegrita"/>
          <w:rFonts w:ascii="Century Gothic" w:hAnsi="Century Gothic" w:cs="Arial"/>
          <w:b w:val="0"/>
          <w:shd w:val="clear" w:color="auto" w:fill="FFFFFF"/>
        </w:rPr>
      </w:pPr>
    </w:p>
    <w:p w:rsidRPr="00D005E0" w:rsidR="000B4181" w:rsidP="000B4181" w:rsidRDefault="000B4181" w14:paraId="48100129" w14:textId="77777777">
      <w:pPr>
        <w:shd w:val="clear" w:color="auto" w:fill="FFFFFF"/>
        <w:spacing w:after="120" w:line="240" w:lineRule="auto"/>
        <w:ind w:left="709" w:right="709"/>
        <w:jc w:val="both"/>
        <w:rPr>
          <w:rFonts w:ascii="Century Gothic" w:hAnsi="Century Gothic" w:cs="Arial"/>
          <w:sz w:val="21"/>
          <w:szCs w:val="21"/>
        </w:rPr>
      </w:pPr>
      <w:r w:rsidRPr="00D005E0">
        <w:rPr>
          <w:rStyle w:val="Textoennegrita"/>
          <w:rFonts w:ascii="Century Gothic" w:hAnsi="Century Gothic" w:cs="Arial"/>
          <w:b w:val="0"/>
          <w:sz w:val="21"/>
          <w:szCs w:val="21"/>
        </w:rPr>
        <w:t xml:space="preserve">“Artículo </w:t>
      </w:r>
      <w:r w:rsidRPr="00D005E0">
        <w:rPr>
          <w:rFonts w:ascii="Century Gothic" w:hAnsi="Century Gothic" w:cs="Arial"/>
          <w:sz w:val="21"/>
          <w:szCs w:val="21"/>
        </w:rPr>
        <w:t>2.2.8.3.4</w:t>
      </w:r>
      <w:r w:rsidRPr="00D005E0">
        <w:rPr>
          <w:rStyle w:val="Textoennegrita"/>
          <w:rFonts w:ascii="Century Gothic" w:hAnsi="Century Gothic" w:cs="Arial"/>
          <w:b w:val="0"/>
          <w:sz w:val="21"/>
          <w:szCs w:val="21"/>
        </w:rPr>
        <w:t>. Participación de los Socios de la cooperación Internacional.</w:t>
      </w:r>
      <w:r w:rsidRPr="00D005E0">
        <w:rPr>
          <w:rFonts w:ascii="Century Gothic" w:hAnsi="Century Gothic" w:cs="Arial"/>
          <w:sz w:val="21"/>
          <w:szCs w:val="21"/>
        </w:rPr>
        <w:t xml:space="preserve"> Todo proyecto, programa y/o iniciativa de cooperación internacional que sea implementada por un socio de cooperación internacional y que involucre recursos del Presupuesto General de la Nación, debe tener una contrapartida de </w:t>
      </w:r>
      <w:r w:rsidRPr="00D005E0">
        <w:rPr>
          <w:rFonts w:ascii="Century Gothic" w:hAnsi="Century Gothic" w:cs="Arial"/>
          <w:i/>
          <w:sz w:val="21"/>
          <w:szCs w:val="21"/>
        </w:rPr>
        <w:t>recursos financieros</w:t>
      </w:r>
      <w:r w:rsidRPr="00D005E0">
        <w:rPr>
          <w:rFonts w:ascii="Century Gothic" w:hAnsi="Century Gothic" w:cs="Arial"/>
          <w:sz w:val="21"/>
          <w:szCs w:val="21"/>
        </w:rPr>
        <w:t xml:space="preserve"> mínimo del 30%, del socio de cooperación internacional.</w:t>
      </w:r>
    </w:p>
    <w:p w:rsidRPr="00D005E0" w:rsidR="000B4181" w:rsidP="000B4181" w:rsidRDefault="000B4181" w14:paraId="29094F13" w14:textId="77777777">
      <w:pPr>
        <w:shd w:val="clear" w:color="auto" w:fill="FFFFFF"/>
        <w:spacing w:after="0" w:line="240" w:lineRule="auto"/>
        <w:ind w:left="709" w:right="709"/>
        <w:jc w:val="both"/>
        <w:rPr>
          <w:rStyle w:val="Textoennegrita"/>
          <w:rFonts w:ascii="Century Gothic" w:hAnsi="Century Gothic" w:cs="Arial"/>
          <w:b w:val="0"/>
          <w:sz w:val="21"/>
          <w:szCs w:val="21"/>
        </w:rPr>
      </w:pPr>
      <w:r w:rsidRPr="00D005E0">
        <w:rPr>
          <w:rStyle w:val="Textoennegrita"/>
          <w:rFonts w:ascii="Century Gothic" w:hAnsi="Century Gothic" w:cs="Arial"/>
          <w:b w:val="0"/>
          <w:sz w:val="21"/>
          <w:szCs w:val="21"/>
        </w:rPr>
        <w:t>Parágrafo.</w:t>
      </w:r>
      <w:r w:rsidRPr="00D005E0">
        <w:rPr>
          <w:rStyle w:val="Textoennegrita"/>
          <w:rFonts w:ascii="Century Gothic" w:hAnsi="Century Gothic" w:cs="Arial"/>
          <w:sz w:val="21"/>
          <w:szCs w:val="21"/>
        </w:rPr>
        <w:t xml:space="preserve"> </w:t>
      </w:r>
      <w:r w:rsidRPr="00D005E0">
        <w:rPr>
          <w:rFonts w:ascii="Century Gothic" w:hAnsi="Century Gothic" w:cs="Arial"/>
          <w:sz w:val="21"/>
          <w:szCs w:val="21"/>
        </w:rPr>
        <w:t>Cuando más del 40% del financiamiento proviene del Presupuesto Nacional, el Socio de Cooperación internacional debe presentar estados financieros detallados o documento equivalente, a la entidad nacional o territorial líder del proyecto”.</w:t>
      </w:r>
      <w:r w:rsidRPr="00D005E0">
        <w:rPr>
          <w:rStyle w:val="Textoennegrita"/>
          <w:rFonts w:ascii="Century Gothic" w:hAnsi="Century Gothic" w:cs="Arial"/>
          <w:sz w:val="21"/>
          <w:szCs w:val="21"/>
        </w:rPr>
        <w:t xml:space="preserve"> </w:t>
      </w:r>
      <w:r w:rsidRPr="00D005E0">
        <w:rPr>
          <w:rStyle w:val="Textoennegrita"/>
          <w:rFonts w:ascii="Century Gothic" w:hAnsi="Century Gothic" w:cs="Arial"/>
          <w:b w:val="0"/>
          <w:sz w:val="21"/>
          <w:szCs w:val="21"/>
        </w:rPr>
        <w:t xml:space="preserve">(Énfasis fuera del texto) </w:t>
      </w:r>
    </w:p>
    <w:p w:rsidRPr="00D005E0" w:rsidR="000B4181" w:rsidP="000B4181" w:rsidRDefault="000B4181" w14:paraId="652B42D3" w14:textId="77777777">
      <w:pPr>
        <w:shd w:val="clear" w:color="auto" w:fill="FFFFFF"/>
        <w:spacing w:after="0" w:line="240" w:lineRule="auto"/>
        <w:ind w:left="709" w:right="709"/>
        <w:jc w:val="both"/>
        <w:rPr>
          <w:rStyle w:val="Textoennegrita"/>
          <w:rFonts w:ascii="Century Gothic" w:hAnsi="Century Gothic" w:cs="Arial"/>
          <w:b w:val="0"/>
          <w:sz w:val="21"/>
          <w:szCs w:val="21"/>
        </w:rPr>
      </w:pPr>
    </w:p>
    <w:p w:rsidRPr="00D005E0" w:rsidR="000B4181" w:rsidP="000B4181" w:rsidRDefault="000B4181" w14:paraId="47AF77F6" w14:textId="77777777">
      <w:pPr>
        <w:shd w:val="clear" w:color="auto" w:fill="FFFFFF"/>
        <w:spacing w:after="120" w:line="276" w:lineRule="auto"/>
        <w:ind w:firstLine="709"/>
        <w:jc w:val="both"/>
        <w:rPr>
          <w:rStyle w:val="Textoennegrita"/>
          <w:rFonts w:ascii="Century Gothic" w:hAnsi="Century Gothic" w:cs="Arial"/>
          <w:b w:val="0"/>
          <w:shd w:val="clear" w:color="auto" w:fill="FFFFFF"/>
        </w:rPr>
      </w:pPr>
      <w:r w:rsidRPr="00D005E0">
        <w:rPr>
          <w:rStyle w:val="Textoennegrita"/>
          <w:rFonts w:ascii="Century Gothic" w:hAnsi="Century Gothic" w:cs="Arial"/>
          <w:b w:val="0"/>
          <w:shd w:val="clear" w:color="auto" w:fill="FFFFFF"/>
        </w:rPr>
        <w:t>La norma estableció los lineamientos para la ejecución de proyectos, programas o iniciativas</w:t>
      </w:r>
      <w:r w:rsidRPr="00D005E0">
        <w:rPr>
          <w:rStyle w:val="Textoennegrita"/>
          <w:rFonts w:ascii="Century Gothic" w:hAnsi="Century Gothic" w:cs="Arial"/>
          <w:b w:val="0"/>
        </w:rPr>
        <w:t xml:space="preserve"> de cooperación internacional en los que se involucren recursos del Presupuesto General de la Nación, precisando que los socios de cooperación internacional que pretendan ejecutar dichos </w:t>
      </w:r>
      <w:r w:rsidRPr="00D005E0">
        <w:rPr>
          <w:rStyle w:val="Textoennegrita"/>
          <w:rFonts w:ascii="Century Gothic" w:hAnsi="Century Gothic" w:cs="Arial"/>
          <w:b w:val="0"/>
          <w:shd w:val="clear" w:color="auto" w:fill="FFFFFF"/>
        </w:rPr>
        <w:t>proyectos deben aportar una contrapartida de mínimo el 30% de recursos financieros. De lo anterior entonces, se encuentra que esta norma reglamentó parcialmente la Ley 1955 de 2019, “por el cual se expide el Plan Nacional de Desarrollo 2018-2022 pacto por Colombia, pacto por la equidad”.</w:t>
      </w:r>
    </w:p>
    <w:p w:rsidRPr="00D005E0" w:rsidR="000B4181" w:rsidP="000B4181" w:rsidRDefault="000B4181" w14:paraId="3199F401" w14:textId="77777777">
      <w:pPr>
        <w:shd w:val="clear" w:color="auto" w:fill="FFFFFF"/>
        <w:spacing w:after="120" w:line="276" w:lineRule="auto"/>
        <w:ind w:firstLine="709"/>
        <w:jc w:val="both"/>
        <w:rPr>
          <w:rStyle w:val="Textoennegrita"/>
          <w:rFonts w:ascii="Century Gothic" w:hAnsi="Century Gothic" w:cs="Arial"/>
          <w:b w:val="0"/>
          <w:shd w:val="clear" w:color="auto" w:fill="FFFFFF"/>
        </w:rPr>
      </w:pPr>
      <w:r w:rsidRPr="00D005E0">
        <w:rPr>
          <w:rStyle w:val="Textoennegrita"/>
          <w:rFonts w:ascii="Century Gothic" w:hAnsi="Century Gothic" w:cs="Arial"/>
          <w:b w:val="0"/>
          <w:shd w:val="clear" w:color="auto" w:fill="FFFFFF"/>
        </w:rPr>
        <w:t>Al respecto,</w:t>
      </w:r>
      <w:r w:rsidRPr="00D005E0">
        <w:rPr>
          <w:rStyle w:val="Textoennegrita"/>
          <w:rFonts w:ascii="Century Gothic" w:hAnsi="Century Gothic" w:cs="Arial"/>
          <w:shd w:val="clear" w:color="auto" w:fill="FFFFFF"/>
        </w:rPr>
        <w:t xml:space="preserve"> </w:t>
      </w:r>
      <w:r w:rsidRPr="00D005E0">
        <w:rPr>
          <w:rFonts w:ascii="Century Gothic" w:hAnsi="Century Gothic" w:cs="Arial"/>
        </w:rPr>
        <w:t>las Bases del Plan Nacional de Desarrollo 2018 – 2022 disponen que “El Gobierno nacional creará el Sistema Nacional de Cooperación Internacional como estrategia para la orientación y coordinación de las entidades del nivel nacional, departamental, distrital y municipal, así como del sector privado y no gubernamental, para alcanzar la mayor alineación, pertinencia y eficacia de la cooperación internacional no reembolsable y técnica, cuya secretaría técnica será ejercida por APC-Colombia. Las acciones desarrolladas en el marco de este sistema estarán articuladas con la agenda de política exterior”</w:t>
      </w:r>
      <w:r w:rsidRPr="00D005E0">
        <w:rPr>
          <w:rStyle w:val="Refdenotaalpie"/>
          <w:rFonts w:ascii="Century Gothic" w:hAnsi="Century Gothic" w:cs="Arial"/>
          <w:shd w:val="clear" w:color="auto" w:fill="FFFFFF"/>
        </w:rPr>
        <w:footnoteReference w:id="9"/>
      </w:r>
      <w:r w:rsidRPr="00D005E0">
        <w:rPr>
          <w:rFonts w:ascii="Century Gothic" w:hAnsi="Century Gothic" w:cs="Arial"/>
        </w:rPr>
        <w:t>.</w:t>
      </w:r>
      <w:r w:rsidRPr="00D005E0">
        <w:rPr>
          <w:rStyle w:val="Textoennegrita"/>
          <w:rFonts w:ascii="Century Gothic" w:hAnsi="Century Gothic" w:cs="Arial"/>
          <w:shd w:val="clear" w:color="auto" w:fill="FFFFFF"/>
        </w:rPr>
        <w:t xml:space="preserve"> </w:t>
      </w:r>
      <w:r w:rsidRPr="00D005E0">
        <w:rPr>
          <w:rFonts w:ascii="Century Gothic" w:hAnsi="Century Gothic" w:cs="Arial"/>
        </w:rPr>
        <w:t xml:space="preserve">Asimismo, el artículo 2 de la Ley 1955 de 2019 dispone que “El documento denominado ‘Bases del Plan Nacional de Desarrollo 2018 - 2022: Pacto por Colombia, pacto por la equidad’, elaborado por el Gobierno nacional con la participación del Consejo Superior de la Judicatura y del Consejo Nacional de Planeación, y construido desde los territorios, con las modificaciones realizadas en el trámite legislativo, es parte </w:t>
      </w:r>
      <w:r w:rsidRPr="00D005E0">
        <w:rPr>
          <w:rFonts w:ascii="Century Gothic" w:hAnsi="Century Gothic" w:cs="Arial"/>
        </w:rPr>
        <w:lastRenderedPageBreak/>
        <w:t>integral del Plan Nacional de Desarrollo, y se incorpora a la presente Ley como un anexo”.</w:t>
      </w:r>
      <w:r w:rsidRPr="00D005E0">
        <w:rPr>
          <w:rStyle w:val="Textoennegrita"/>
          <w:rFonts w:ascii="Century Gothic" w:hAnsi="Century Gothic" w:cs="Arial"/>
          <w:shd w:val="clear" w:color="auto" w:fill="FFFFFF"/>
        </w:rPr>
        <w:t xml:space="preserve"> </w:t>
      </w:r>
    </w:p>
    <w:p w:rsidRPr="00D005E0" w:rsidR="000B4181" w:rsidP="7377A778" w:rsidRDefault="000B4181" w14:paraId="7A32A9D2" w14:textId="6534574A">
      <w:pPr>
        <w:shd w:val="clear" w:color="auto" w:fill="FFFFFF" w:themeFill="background1"/>
        <w:spacing w:after="120" w:line="276" w:lineRule="auto"/>
        <w:ind w:firstLine="709"/>
        <w:jc w:val="both"/>
        <w:rPr>
          <w:rStyle w:val="Textoennegrita"/>
          <w:rFonts w:ascii="Century Gothic" w:hAnsi="Century Gothic" w:cs="Arial"/>
          <w:b w:val="0"/>
          <w:bCs w:val="0"/>
          <w:shd w:val="clear" w:color="auto" w:fill="FFFFFF"/>
        </w:rPr>
      </w:pPr>
      <w:r w:rsidRPr="00D005E0" w:rsidR="000B4181">
        <w:rPr>
          <w:rStyle w:val="Textoennegrita"/>
          <w:rFonts w:ascii="Century Gothic" w:hAnsi="Century Gothic" w:cs="Arial"/>
          <w:b w:val="0"/>
          <w:bCs w:val="0"/>
          <w:shd w:val="clear" w:color="auto" w:fill="FFFFFF"/>
        </w:rPr>
        <w:t xml:space="preserve">En todo caso, para el correcto entendimiento del artículo 2.2.8.3.4 del Decreto 603 de 2022 es necesario determinar el alcance del concepto “recursos financieros”. </w:t>
      </w:r>
      <w:r w:rsidRPr="00D005E0" w:rsidR="000B4181">
        <w:rPr>
          <w:rStyle w:val="Textoennegrita"/>
          <w:rFonts w:ascii="Century Gothic" w:hAnsi="Century Gothic" w:cs="Arial"/>
          <w:b w:val="0"/>
          <w:bCs w:val="0"/>
        </w:rPr>
        <w:t xml:space="preserve">Es importante precisar que el Estatuto General de Contratación de la Administración Pública no definió el concepto </w:t>
      </w:r>
      <w:r w:rsidRPr="00D005E0" w:rsidR="000B4181">
        <w:rPr>
          <w:rStyle w:val="Textoennegrita"/>
          <w:rFonts w:ascii="Century Gothic" w:hAnsi="Century Gothic" w:cs="Arial"/>
          <w:b w:val="0"/>
          <w:bCs w:val="0"/>
          <w:shd w:val="clear" w:color="auto" w:fill="FFFFFF"/>
        </w:rPr>
        <w:t>“recursos financieros”</w:t>
      </w:r>
      <w:r w:rsidRPr="00D005E0" w:rsidR="000B4181">
        <w:rPr>
          <w:rStyle w:val="Textoennegrita"/>
          <w:rFonts w:ascii="Century Gothic" w:hAnsi="Century Gothic" w:cs="Arial"/>
          <w:b w:val="0"/>
          <w:bCs w:val="0"/>
        </w:rPr>
        <w:t>. No obstante,</w:t>
      </w:r>
      <w:r w:rsidRPr="00D005E0" w:rsidR="1B5ACA0A">
        <w:rPr>
          <w:rStyle w:val="Textoennegrita"/>
          <w:rFonts w:ascii="Century Gothic" w:hAnsi="Century Gothic" w:cs="Arial"/>
          <w:b w:val="0"/>
          <w:bCs w:val="0"/>
        </w:rPr>
        <w:t xml:space="preserve"> </w:t>
      </w:r>
      <w:r w:rsidRPr="00D005E0" w:rsidR="000B4181">
        <w:rPr>
          <w:rStyle w:val="Textoennegrita"/>
          <w:rFonts w:ascii="Century Gothic" w:hAnsi="Century Gothic" w:cs="Arial"/>
          <w:b w:val="0"/>
          <w:bCs w:val="0"/>
        </w:rPr>
        <w:t>el programa “Gerencia de recursos físicos y financieros”</w:t>
      </w:r>
      <w:r w:rsidRPr="00D005E0" w:rsidR="000B4181">
        <w:rPr>
          <w:rStyle w:val="Textoennegrita"/>
          <w:rFonts w:ascii="Century Gothic" w:hAnsi="Century Gothic" w:cs="Arial"/>
          <w:b w:val="0"/>
          <w:bCs w:val="0"/>
          <w:vertAlign w:val="superscript"/>
        </w:rPr>
        <w:t xml:space="preserve"> </w:t>
      </w:r>
      <w:r w:rsidRPr="00D005E0" w:rsidR="000B4181">
        <w:rPr>
          <w:rStyle w:val="Textoennegrita"/>
          <w:rFonts w:ascii="Century Gothic" w:hAnsi="Century Gothic" w:cs="Arial"/>
          <w:b w:val="0"/>
          <w:bCs w:val="0"/>
        </w:rPr>
        <w:t>de la Escuela Superior de Administración Pública trae una aproximación a la definición de los recursos financieros del Estado, según el cual son “todos aquellos recursos económicos que le permiten al sector público desarrollar sus actividades. El estudio de las operaciones propias para la consecución y administración de dichos recursos corresponde a las Finanzas Públicas” y precisa que estos recursos se clasifican, a su vez, en ingresos corrientes, contribuciones parafiscales y recursos de capital</w:t>
      </w:r>
      <w:r w:rsidRPr="00D005E0">
        <w:rPr>
          <w:rStyle w:val="Textoennegrita"/>
          <w:rFonts w:ascii="Century Gothic" w:hAnsi="Century Gothic" w:cs="Arial"/>
          <w:b w:val="0"/>
          <w:bCs w:val="0"/>
          <w:vertAlign w:val="superscript"/>
        </w:rPr>
        <w:footnoteReference w:id="10"/>
      </w:r>
      <w:r w:rsidRPr="00D005E0" w:rsidR="000B4181">
        <w:rPr>
          <w:rStyle w:val="Textoennegrita"/>
          <w:rFonts w:ascii="Century Gothic" w:hAnsi="Century Gothic" w:cs="Arial"/>
          <w:b w:val="0"/>
          <w:bCs w:val="0"/>
        </w:rPr>
        <w:t xml:space="preserve">. </w:t>
      </w:r>
    </w:p>
    <w:p w:rsidRPr="00D005E0" w:rsidR="000B4181" w:rsidP="000B4181" w:rsidRDefault="000B4181" w14:paraId="04A9C6DE" w14:textId="77777777">
      <w:pPr>
        <w:shd w:val="clear" w:color="auto" w:fill="FFFFFF"/>
        <w:spacing w:after="120" w:line="276" w:lineRule="auto"/>
        <w:ind w:firstLine="709"/>
        <w:jc w:val="both"/>
        <w:rPr>
          <w:rStyle w:val="Textoennegrita"/>
          <w:rFonts w:ascii="Century Gothic" w:hAnsi="Century Gothic" w:cs="Arial"/>
          <w:b w:val="0"/>
        </w:rPr>
      </w:pPr>
      <w:r w:rsidRPr="00D005E0">
        <w:rPr>
          <w:rStyle w:val="Textoennegrita"/>
          <w:rFonts w:ascii="Century Gothic" w:hAnsi="Century Gothic" w:cs="Arial"/>
          <w:b w:val="0"/>
        </w:rPr>
        <w:t>Estas tres categorías, a diferencia de lo señalado en relación con la definición de recursos financieros, fueron definidas por el legislador. De un lado, los ingresos corrientes corresponden a los “ingresos que recaudan los establecimientos por bienes y servicios y los tributos que reciben por norma legal”</w:t>
      </w:r>
      <w:r w:rsidRPr="00D005E0">
        <w:rPr>
          <w:rStyle w:val="Refdenotaalpie"/>
          <w:rFonts w:ascii="Century Gothic" w:hAnsi="Century Gothic" w:cs="Arial"/>
          <w:b/>
        </w:rPr>
        <w:footnoteReference w:id="11"/>
      </w:r>
      <w:r w:rsidRPr="00D005E0">
        <w:rPr>
          <w:rStyle w:val="Textoennegrita"/>
          <w:rFonts w:ascii="Century Gothic" w:hAnsi="Century Gothic" w:cs="Arial"/>
          <w:b w:val="0"/>
        </w:rPr>
        <w:t>. El artículo 27 del Decreto 111 de 1996 señala que se clasifican en ingresos tributarios y no tributarios. Entendiendo por tributarios los impuestos y por no tributarios las tasas y multas</w:t>
      </w:r>
      <w:r w:rsidRPr="00D005E0">
        <w:rPr>
          <w:rStyle w:val="Refdenotaalpie"/>
          <w:rFonts w:ascii="Century Gothic" w:hAnsi="Century Gothic" w:cs="Arial"/>
          <w:b/>
        </w:rPr>
        <w:footnoteReference w:id="12"/>
      </w:r>
      <w:r w:rsidRPr="00D005E0">
        <w:rPr>
          <w:rStyle w:val="Textoennegrita"/>
          <w:rFonts w:ascii="Century Gothic" w:hAnsi="Century Gothic" w:cs="Arial"/>
          <w:b w:val="0"/>
        </w:rPr>
        <w:t xml:space="preserve">. </w:t>
      </w:r>
    </w:p>
    <w:p w:rsidRPr="00D005E0" w:rsidR="000B4181" w:rsidP="000B4181" w:rsidRDefault="000B4181" w14:paraId="003EE395" w14:textId="77777777">
      <w:pPr>
        <w:shd w:val="clear" w:color="auto" w:fill="FFFFFF"/>
        <w:spacing w:after="120" w:line="276" w:lineRule="auto"/>
        <w:ind w:firstLine="709"/>
        <w:jc w:val="both"/>
        <w:rPr>
          <w:rStyle w:val="Textoennegrita"/>
          <w:rFonts w:ascii="Century Gothic" w:hAnsi="Century Gothic" w:cs="Arial"/>
          <w:b w:val="0"/>
        </w:rPr>
      </w:pPr>
      <w:r w:rsidRPr="00D005E0">
        <w:rPr>
          <w:rStyle w:val="Textoennegrita"/>
          <w:rFonts w:ascii="Century Gothic" w:hAnsi="Century Gothic" w:cs="Arial"/>
          <w:b w:val="0"/>
        </w:rPr>
        <w:t xml:space="preserve"> Por su parte, las contribuciones parafiscales son “una institución intermedia entre la tasa administrativa y el impuesto. Se trata de pagos que deben hacer los usuarios de ciertos organismos públicos o semipúblicos para asegurar el financiamiento de estas entidades de manera autónoma”</w:t>
      </w:r>
      <w:r w:rsidRPr="00D005E0">
        <w:rPr>
          <w:rStyle w:val="Refdenotaalpie"/>
          <w:rFonts w:ascii="Century Gothic" w:hAnsi="Century Gothic" w:cs="Arial"/>
          <w:b/>
        </w:rPr>
        <w:footnoteReference w:id="13"/>
      </w:r>
      <w:r w:rsidRPr="00D005E0">
        <w:rPr>
          <w:rStyle w:val="Textoennegrita"/>
          <w:rFonts w:ascii="Century Gothic" w:hAnsi="Century Gothic" w:cs="Arial"/>
          <w:b w:val="0"/>
        </w:rPr>
        <w:t>. El artículo 28 del Decreto 111 de 1996, las define como los gravámenes obligatorios definidos en la Ley, utilizados para beneficio de un sector específico que afectan al grupo social y económico del referido sector</w:t>
      </w:r>
      <w:r w:rsidRPr="00D005E0">
        <w:rPr>
          <w:rStyle w:val="Refdenotaalpie"/>
          <w:rFonts w:ascii="Century Gothic" w:hAnsi="Century Gothic" w:cs="Arial"/>
          <w:b/>
        </w:rPr>
        <w:footnoteReference w:id="14"/>
      </w:r>
      <w:r w:rsidRPr="00D005E0">
        <w:rPr>
          <w:rStyle w:val="Textoennegrita"/>
          <w:rFonts w:ascii="Century Gothic" w:hAnsi="Century Gothic" w:cs="Arial"/>
          <w:b w:val="0"/>
        </w:rPr>
        <w:t>.</w:t>
      </w:r>
    </w:p>
    <w:p w:rsidRPr="00D005E0" w:rsidR="000B4181" w:rsidP="000B4181" w:rsidRDefault="000B4181" w14:paraId="07AD6FB3" w14:textId="77777777">
      <w:pPr>
        <w:shd w:val="clear" w:color="auto" w:fill="FFFFFF"/>
        <w:spacing w:after="120" w:line="276" w:lineRule="auto"/>
        <w:ind w:firstLine="709"/>
        <w:jc w:val="both"/>
        <w:rPr>
          <w:rStyle w:val="Textoennegrita"/>
          <w:rFonts w:ascii="Century Gothic" w:hAnsi="Century Gothic" w:cs="Arial"/>
          <w:b w:val="0"/>
        </w:rPr>
      </w:pPr>
      <w:r w:rsidRPr="00D005E0">
        <w:rPr>
          <w:rStyle w:val="Textoennegrita"/>
          <w:rFonts w:ascii="Century Gothic" w:hAnsi="Century Gothic" w:cs="Arial"/>
          <w:b w:val="0"/>
        </w:rPr>
        <w:lastRenderedPageBreak/>
        <w:t>Los recursos de capital son “los recursos que se obtienen del crédito interno, del crédito externo, los que se generan como recursos del balance, los rendimientos financieros, las donaciones y otros recursos esporádicos”</w:t>
      </w:r>
      <w:r w:rsidRPr="00D005E0">
        <w:rPr>
          <w:rStyle w:val="Refdenotaalpie"/>
          <w:rFonts w:ascii="Century Gothic" w:hAnsi="Century Gothic" w:cs="Arial"/>
          <w:b/>
        </w:rPr>
        <w:footnoteReference w:id="15"/>
      </w:r>
      <w:r w:rsidRPr="00D005E0">
        <w:rPr>
          <w:rStyle w:val="Textoennegrita"/>
          <w:rFonts w:ascii="Century Gothic" w:hAnsi="Century Gothic" w:cs="Arial"/>
          <w:b w:val="0"/>
        </w:rPr>
        <w:t>. El artículo 31 del referido Decreto señala que comprenden “los recursos del balance, los recursos del crédito interno y externo con vencimiento mayor a un año de acuerdo con los cupos autorizados por el Congreso de la República, los rendimientos financieros, el diferencial cambiario originado por la monetización de los desembolsos del crédito externo y de las inversiones en moneda extranjera, las donaciones, el excedente financiero de los establecimientos públicos del orden nacional y de las empresas industriales y comerciales del Estado del orden nacional, y de las sociedades de economía mixta con el régimen de aquéllas, sin perjuicio de la autonomía que la Constitución y la ley les otorga, y las utilidades del Banco de la República, descontadas las reservas de estabilización cambiaria y monetaria”</w:t>
      </w:r>
      <w:r w:rsidRPr="00D005E0">
        <w:rPr>
          <w:rStyle w:val="Refdenotaalpie"/>
          <w:rFonts w:ascii="Century Gothic" w:hAnsi="Century Gothic" w:cs="Arial"/>
          <w:b/>
        </w:rPr>
        <w:footnoteReference w:id="16"/>
      </w:r>
      <w:r w:rsidRPr="00D005E0">
        <w:rPr>
          <w:rStyle w:val="Textoennegrita"/>
          <w:rFonts w:ascii="Century Gothic" w:hAnsi="Century Gothic" w:cs="Arial"/>
          <w:b w:val="0"/>
        </w:rPr>
        <w:t>.</w:t>
      </w:r>
    </w:p>
    <w:p w:rsidRPr="00D005E0" w:rsidR="000B4181" w:rsidP="000B4181" w:rsidRDefault="000B4181" w14:paraId="23A2CBB8" w14:textId="77777777">
      <w:pPr>
        <w:shd w:val="clear" w:color="auto" w:fill="FFFFFF"/>
        <w:spacing w:after="120" w:line="276" w:lineRule="auto"/>
        <w:ind w:firstLine="709"/>
        <w:jc w:val="both"/>
        <w:rPr>
          <w:rFonts w:ascii="Century Gothic" w:hAnsi="Century Gothic" w:cs="Arial"/>
        </w:rPr>
      </w:pPr>
      <w:r w:rsidRPr="00D005E0">
        <w:rPr>
          <w:rStyle w:val="Textoennegrita"/>
          <w:rFonts w:ascii="Century Gothic" w:hAnsi="Century Gothic" w:cs="Arial"/>
          <w:b w:val="0"/>
        </w:rPr>
        <w:t>Además, el Estatuto Orgánico del Presupuesto dispone que las tipologías referidas componen el presupuesto de rentas del presupuesto general de la Nación. En los términos del literal a) del artículo 11 del Decreto 111 de 1996, este “[…]</w:t>
      </w:r>
      <w:r w:rsidRPr="00D005E0">
        <w:rPr>
          <w:rStyle w:val="Textoennegrita"/>
          <w:rFonts w:ascii="Century Gothic" w:hAnsi="Century Gothic" w:cs="Arial"/>
        </w:rPr>
        <w:t xml:space="preserve"> </w:t>
      </w:r>
      <w:r w:rsidRPr="00D005E0">
        <w:rPr>
          <w:rFonts w:ascii="Century Gothic" w:hAnsi="Century Gothic" w:cs="Arial"/>
        </w:rPr>
        <w:t xml:space="preserve">contendrá la estimación de los ingresos corrientes de la Nación; de las contribuciones parafiscales cuando sean administradas por un órgano que haga parte del presupuesto, de los fondos especiales, los recursos de capital y los ingresos de los establecimientos públicos del orden nacional”. </w:t>
      </w:r>
    </w:p>
    <w:p w:rsidRPr="00D005E0" w:rsidR="000B4181" w:rsidP="000B4181" w:rsidRDefault="000B4181" w14:paraId="376E21B5" w14:textId="77777777">
      <w:pPr>
        <w:shd w:val="clear" w:color="auto" w:fill="FFFFFF"/>
        <w:spacing w:after="120" w:line="276" w:lineRule="auto"/>
        <w:ind w:firstLine="709"/>
        <w:jc w:val="both"/>
        <w:rPr>
          <w:rStyle w:val="Textoennegrita"/>
          <w:rFonts w:ascii="Century Gothic" w:hAnsi="Century Gothic" w:cs="Arial"/>
          <w:b w:val="0"/>
        </w:rPr>
      </w:pPr>
      <w:r w:rsidRPr="00D005E0">
        <w:rPr>
          <w:rStyle w:val="Textoennegrita"/>
          <w:rFonts w:ascii="Century Gothic" w:hAnsi="Century Gothic" w:cs="Arial"/>
          <w:b w:val="0"/>
        </w:rPr>
        <w:t xml:space="preserve">De las aproximaciones conceptuales anteriores, se encuentra que los ingresos corrientes, las contribuciones parafiscales y los recursos de capital hacen parte del presupuesto de rentas del presupuesto general de la nación, de manera que constituyen partidas dinerarias. De esta manera, puede concluirse que los recursos financieros del Estado constituyen aquellos ingresos que tienen liquidez. Entonces, debe entenderse que, aunque el legislador también guardó silencio en relación con la definición de los recursos financieros de organismos internacionales, la aproximación anterior permite concluir que cuando la norma se refiere a recursos financieros alude a aquellos ingresos que constituyen sumas dinerarias.  </w:t>
      </w:r>
    </w:p>
    <w:p w:rsidRPr="00D005E0" w:rsidR="000B4181" w:rsidP="000B4181" w:rsidRDefault="000B4181" w14:paraId="170FFF7A" w14:textId="77777777">
      <w:pPr>
        <w:autoSpaceDE w:val="0"/>
        <w:autoSpaceDN w:val="0"/>
        <w:adjustRightInd w:val="0"/>
        <w:spacing w:after="120" w:line="276" w:lineRule="auto"/>
        <w:ind w:firstLine="708"/>
        <w:jc w:val="both"/>
        <w:rPr>
          <w:rStyle w:val="Textoennegrita"/>
          <w:rFonts w:ascii="Century Gothic" w:hAnsi="Century Gothic" w:cs="Arial"/>
          <w:b w:val="0"/>
        </w:rPr>
      </w:pPr>
      <w:r w:rsidRPr="00D005E0">
        <w:rPr>
          <w:rFonts w:ascii="Century Gothic" w:hAnsi="Century Gothic" w:cs="Arial"/>
        </w:rPr>
        <w:lastRenderedPageBreak/>
        <w:t>Si se contrasta esta conclusión, esto es, la relativa a que los recursos financieros son sumas liquidas de dinero, con lo dispuesto en el parágrafo tercero del artículo 20 de la Ley 1150 de 2007 y con el artículo 2.2.1.2.4.4.1 del Decreto 1082 de 2015, se encuentra que, a diferencia de tales disposiciones, para efectos del cálculo del umbral establecido en el artículo 2.2.8.3.4 del Decreto 603 de 2022 no resultan relevantes los aportes en especie. Esto dado que esta última disposición es clara al señalar que solo resulta aplicable a recursos financieros, mientras que el parágrafo tercero del artículo 20 de la Ley 1150 de 2007, referido señala que los aportes en especie deben ser monetizados.</w:t>
      </w:r>
    </w:p>
    <w:p w:rsidRPr="00D005E0" w:rsidR="000B4181" w:rsidP="000B4181" w:rsidRDefault="000B4181" w14:paraId="5BC89787" w14:textId="77777777">
      <w:pPr>
        <w:shd w:val="clear" w:color="auto" w:fill="FFFFFF"/>
        <w:spacing w:after="120" w:line="276" w:lineRule="auto"/>
        <w:ind w:firstLine="709"/>
        <w:jc w:val="both"/>
        <w:rPr>
          <w:rStyle w:val="Textoennegrita"/>
          <w:rFonts w:ascii="Century Gothic" w:hAnsi="Century Gothic" w:cs="Arial"/>
          <w:b w:val="0"/>
        </w:rPr>
      </w:pPr>
      <w:r w:rsidRPr="00D005E0">
        <w:rPr>
          <w:rStyle w:val="Textoennegrita"/>
          <w:rFonts w:ascii="Century Gothic" w:hAnsi="Century Gothic" w:cs="Arial"/>
          <w:b w:val="0"/>
        </w:rPr>
        <w:t>Así las cosas, el artículo 2.2.8.3.4 del Decreto 603 de 2022 reglamentó parcialmente lo establecido en la Ley 1955 de 2019, “por el cual se expide el Plan Nacional de Desarrollo 2018-2022 pacto por Colombia, pacto por la equidad”. Por lo demás, el tope del 30% establecido en la norma precitada, que determina las condiciones de participación de los socios cooperantes en condición de ejecutor del proyecto o programa, aplica para las contrapartidas dinerarias. Dicho en otras palabras, solo podrán ejecutar programas, proyectos o iniciativas en los que estén involucrados recursos del presupuesto general de la nación, aquellos socios de cooperación internacional que aporte una contrapartida de no menos del 30% de dicho programa, proyecto o iniciativa, que deberá efectuarse únicamente en sumas líquidas de dinero. Además, en cada caso deberán establecerse mecanismos de administración de las condiciones del contrato que permitan hacerle seguimiento al cumplimiento de las obligaciones contractuales.</w:t>
      </w:r>
    </w:p>
    <w:p w:rsidRPr="00D005E0" w:rsidR="000B4181" w:rsidP="000B4181" w:rsidRDefault="000B4181" w14:paraId="3969F654" w14:textId="77777777">
      <w:pPr>
        <w:shd w:val="clear" w:color="auto" w:fill="FFFFFF"/>
        <w:spacing w:after="120" w:line="276" w:lineRule="auto"/>
        <w:ind w:firstLine="709"/>
        <w:jc w:val="both"/>
        <w:rPr>
          <w:rStyle w:val="Textoennegrita"/>
          <w:rFonts w:ascii="Century Gothic" w:hAnsi="Century Gothic" w:cs="Arial"/>
          <w:b w:val="0"/>
        </w:rPr>
      </w:pPr>
      <w:r w:rsidRPr="00D005E0">
        <w:rPr>
          <w:rStyle w:val="Textoennegrita"/>
          <w:rFonts w:ascii="Century Gothic" w:hAnsi="Century Gothic" w:cs="Arial"/>
          <w:b w:val="0"/>
        </w:rPr>
        <w:t xml:space="preserve">En este orden de ideas, las entidades estatales, en ejercicio de la autonomía de la voluntad, pueden suscribir convenios de cooperación internacional </w:t>
      </w:r>
      <w:r w:rsidRPr="00D005E0">
        <w:rPr>
          <w:rFonts w:ascii="Century Gothic" w:hAnsi="Century Gothic" w:cs="Arial"/>
        </w:rPr>
        <w:t>que involucre recursos del Presupuesto General de la Nación</w:t>
      </w:r>
      <w:r w:rsidRPr="00D005E0">
        <w:rPr>
          <w:rStyle w:val="Textoennegrita"/>
          <w:rFonts w:ascii="Century Gothic" w:hAnsi="Century Gothic" w:cs="Arial"/>
          <w:b w:val="0"/>
        </w:rPr>
        <w:t xml:space="preserve">, siempre y cuando el 30% del valor del proyecto sea aportado en dinero por el organismo internacional, pues el reglamento, como se indicó, estableció un umbral para que las entidades estatales puedan realizar proyectos, iniciativas o programas financiados con presupuesto general de la Nación en convenio con organismos internacionales. De este modo, si el socio cooperante cumple con este umbral, da lugar a suscribir el convenio. </w:t>
      </w:r>
    </w:p>
    <w:p w:rsidRPr="00D005E0" w:rsidR="000B4181" w:rsidP="000B4181" w:rsidRDefault="000B4181" w14:paraId="311BB7A7" w14:textId="77777777">
      <w:pPr>
        <w:shd w:val="clear" w:color="auto" w:fill="FFFFFF"/>
        <w:spacing w:after="120" w:line="276" w:lineRule="auto"/>
        <w:ind w:firstLine="709"/>
        <w:jc w:val="both"/>
        <w:rPr>
          <w:rStyle w:val="Textoennegrita"/>
          <w:rFonts w:ascii="Century Gothic" w:hAnsi="Century Gothic" w:cs="Arial"/>
          <w:b w:val="0"/>
        </w:rPr>
      </w:pPr>
      <w:r w:rsidRPr="00D005E0">
        <w:rPr>
          <w:rStyle w:val="Textoennegrita"/>
          <w:rFonts w:ascii="Century Gothic" w:hAnsi="Century Gothic" w:cs="Arial"/>
          <w:b w:val="0"/>
        </w:rPr>
        <w:t xml:space="preserve">Por ejemplo, si el proyecto, programa o iniciativa de cooperación internacional que involucra recursos del Presupuesto General de la Nación tiene un valor de 100 millones de pesos, la norma en comento impone una contrapartida en recursos financieros de mínimo 30 millones de pesos. Es decir, el 30% a cargo del socio de cooperación internacional se obtiene del valor total por el cual vaya a </w:t>
      </w:r>
      <w:r w:rsidRPr="00D005E0">
        <w:rPr>
          <w:rStyle w:val="Textoennegrita"/>
          <w:rFonts w:ascii="Century Gothic" w:hAnsi="Century Gothic" w:cs="Arial"/>
          <w:b w:val="0"/>
        </w:rPr>
        <w:lastRenderedPageBreak/>
        <w:t>suscribirse el negocio jurídico, pues el artículo 2.2.8.3.4 del Decreto 603 de 2022 no dispone que el porcentaje se obtenga del aporte en dinero de la entidad estatal. De ser así, si en un contrato de 100 millones de pesos los aportes en dinero de la entidad son de 30 millones de pesos, bastaría un aporte mínimo de 9 millones de pesos del socio de cooperación internacional, lo cual es absurdo teniendo en cuenta que esto representa únicamente el 9% del valor total del proyecto, programa o iniciativa.</w:t>
      </w:r>
    </w:p>
    <w:p w:rsidRPr="00D005E0" w:rsidR="000B4181" w:rsidP="000B4181" w:rsidRDefault="000B4181" w14:paraId="0F6151EB" w14:textId="77777777">
      <w:pPr>
        <w:shd w:val="clear" w:color="auto" w:fill="FFFFFF"/>
        <w:spacing w:after="0" w:line="276" w:lineRule="auto"/>
        <w:ind w:firstLine="709"/>
        <w:jc w:val="both"/>
        <w:rPr>
          <w:rStyle w:val="Textoennegrita"/>
          <w:rFonts w:ascii="Century Gothic" w:hAnsi="Century Gothic" w:cs="Arial"/>
          <w:b w:val="0"/>
        </w:rPr>
      </w:pPr>
      <w:r w:rsidRPr="00D005E0">
        <w:rPr>
          <w:rStyle w:val="Textoennegrita"/>
          <w:rFonts w:ascii="Century Gothic" w:hAnsi="Century Gothic" w:cs="Arial"/>
          <w:b w:val="0"/>
        </w:rPr>
        <w:t>Lo anterior en ningún momento afecta las reglas sobre el régimen de contratación que le sea aplicable al convenio financiados con presupuesto general de la Nación, esto es, si está sometido al Estatuto General de la Administración Pública o al régimen de contratación con el que contratan el organismo cooperante, pues ello aún se rige por las reglas de los establecido en el artículo 20 de la Ley 1150 de 2007 y en el</w:t>
      </w:r>
      <w:r w:rsidRPr="00D005E0">
        <w:rPr>
          <w:rStyle w:val="Textoennegrita"/>
          <w:rFonts w:ascii="Century Gothic" w:hAnsi="Century Gothic" w:cs="Arial"/>
        </w:rPr>
        <w:t xml:space="preserve"> </w:t>
      </w:r>
      <w:r w:rsidRPr="00D005E0">
        <w:rPr>
          <w:rFonts w:ascii="Century Gothic" w:hAnsi="Century Gothic" w:cs="Arial"/>
          <w:lang w:val="es-ES_tradnl"/>
        </w:rPr>
        <w:t xml:space="preserve">artículo </w:t>
      </w:r>
      <w:bookmarkStart w:name="_Hlk146187072" w:id="12"/>
      <w:r w:rsidRPr="00D005E0">
        <w:rPr>
          <w:rFonts w:ascii="Century Gothic" w:hAnsi="Century Gothic" w:cs="Arial"/>
          <w:lang w:val="es-ES_tradnl"/>
        </w:rPr>
        <w:t xml:space="preserve">2.2.1.2.4.4.1 del Decreto 1082 de 2015. Desde esta perspectiva, las reglas precitadas se complementan con </w:t>
      </w:r>
      <w:r w:rsidRPr="00D005E0">
        <w:rPr>
          <w:rStyle w:val="Textoennegrita"/>
          <w:rFonts w:ascii="Century Gothic" w:hAnsi="Century Gothic" w:cs="Arial"/>
          <w:b w:val="0"/>
        </w:rPr>
        <w:t>el artículo 2.2.8.3.4 del Decreto 603 de 2022. En efecto, mientras las primeras definen el marco jurídico aplicable, este último define los aportes mínimos en recursos financieros del organismo internacional.</w:t>
      </w:r>
    </w:p>
    <w:bookmarkEnd w:id="12"/>
    <w:p w:rsidRPr="00D005E0" w:rsidR="000B4181" w:rsidP="000B4181" w:rsidRDefault="000B4181" w14:paraId="23906C74" w14:textId="77777777">
      <w:pPr>
        <w:spacing w:after="0" w:line="276" w:lineRule="auto"/>
        <w:contextualSpacing/>
        <w:jc w:val="both"/>
        <w:rPr>
          <w:rFonts w:ascii="Century Gothic" w:hAnsi="Century Gothic" w:cs="Arial"/>
          <w:color w:val="000000" w:themeColor="text1"/>
          <w:lang w:eastAsia="es-MX"/>
        </w:rPr>
      </w:pPr>
    </w:p>
    <w:p w:rsidRPr="00D005E0" w:rsidR="000B4181" w:rsidP="000B4181" w:rsidRDefault="000B4181" w14:paraId="769D6DF0" w14:textId="77777777">
      <w:pPr>
        <w:tabs>
          <w:tab w:val="left" w:pos="0"/>
        </w:tabs>
        <w:spacing w:after="0"/>
        <w:jc w:val="both"/>
        <w:rPr>
          <w:rFonts w:ascii="Century Gothic" w:hAnsi="Century Gothic" w:eastAsia="Calibri" w:cs="Arial"/>
          <w:b/>
          <w:color w:val="000000" w:themeColor="text1"/>
          <w:lang w:val="es-ES_tradnl"/>
        </w:rPr>
      </w:pPr>
      <w:r w:rsidRPr="00D005E0">
        <w:rPr>
          <w:rFonts w:ascii="Century Gothic" w:hAnsi="Century Gothic" w:eastAsia="Calibri" w:cs="Arial"/>
          <w:b/>
          <w:color w:val="000000" w:themeColor="text1"/>
          <w:lang w:val="es-ES_tradnl"/>
        </w:rPr>
        <w:t>3. Respuesta</w:t>
      </w:r>
    </w:p>
    <w:p w:rsidRPr="00D005E0" w:rsidR="000B4181" w:rsidP="000B4181" w:rsidRDefault="000B4181" w14:paraId="108F7B30" w14:textId="77777777">
      <w:pPr>
        <w:spacing w:after="0" w:line="276" w:lineRule="auto"/>
        <w:jc w:val="both"/>
        <w:rPr>
          <w:rFonts w:ascii="Century Gothic" w:hAnsi="Century Gothic" w:cs="Arial"/>
          <w:color w:val="000000" w:themeColor="text1"/>
        </w:rPr>
      </w:pPr>
    </w:p>
    <w:p w:rsidRPr="00D005E0" w:rsidR="000B4181" w:rsidP="000B4181" w:rsidRDefault="00F31BE3" w14:paraId="1AEBB056" w14:textId="7AD69E0F">
      <w:pPr>
        <w:spacing w:after="0" w:line="240" w:lineRule="auto"/>
        <w:ind w:left="709" w:right="709"/>
        <w:jc w:val="both"/>
        <w:rPr>
          <w:rFonts w:ascii="Century Gothic" w:hAnsi="Century Gothic" w:cs="Arial"/>
          <w:color w:val="000000" w:themeColor="text1"/>
          <w:sz w:val="21"/>
          <w:szCs w:val="21"/>
        </w:rPr>
      </w:pPr>
      <w:r w:rsidRPr="00D005E0">
        <w:rPr>
          <w:rFonts w:ascii="Century Gothic" w:hAnsi="Century Gothic" w:cs="Arial"/>
          <w:color w:val="000000" w:themeColor="text1"/>
          <w:sz w:val="21"/>
          <w:szCs w:val="21"/>
          <w:lang w:val="es-ES_tradnl"/>
        </w:rPr>
        <w:t>“Para efectos del cálculo del 30% de contrapartida mínima del cooperante internacional establecida en el artículo 2.2.8.3.4 del Decreto 603 de 2022, ¿se debe tomar como referencia el valor total del proyecto, programa o iniciativa de cooperación, es decir el valor del convenio de cooperación; o se debe tomar como referencia el aporte en recursos de la entidad estatal?”</w:t>
      </w:r>
      <w:r w:rsidRPr="00D005E0" w:rsidR="000B4181">
        <w:rPr>
          <w:rFonts w:ascii="Century Gothic" w:hAnsi="Century Gothic" w:cs="Arial"/>
          <w:color w:val="000000" w:themeColor="text1"/>
          <w:sz w:val="21"/>
          <w:szCs w:val="21"/>
          <w:lang w:val="es-ES_tradnl"/>
        </w:rPr>
        <w:t>.</w:t>
      </w:r>
    </w:p>
    <w:p w:rsidRPr="00D005E0" w:rsidR="000B4181" w:rsidP="000B4181" w:rsidRDefault="000B4181" w14:paraId="5ED88452" w14:textId="77777777">
      <w:pPr>
        <w:spacing w:after="0" w:line="276" w:lineRule="auto"/>
        <w:ind w:left="709" w:right="709"/>
        <w:jc w:val="both"/>
        <w:rPr>
          <w:rFonts w:ascii="Century Gothic" w:hAnsi="Century Gothic" w:cs="Arial"/>
          <w:color w:val="000000" w:themeColor="text1"/>
        </w:rPr>
      </w:pPr>
      <w:r w:rsidRPr="00D005E0">
        <w:rPr>
          <w:rFonts w:ascii="Century Gothic" w:hAnsi="Century Gothic" w:cs="Arial"/>
          <w:color w:val="000000" w:themeColor="text1"/>
          <w:sz w:val="21"/>
          <w:szCs w:val="21"/>
        </w:rPr>
        <w:t xml:space="preserve">  </w:t>
      </w:r>
    </w:p>
    <w:p w:rsidRPr="00D005E0" w:rsidR="000B4181" w:rsidP="000B4181" w:rsidRDefault="000B4181" w14:paraId="335916A8" w14:textId="77777777">
      <w:pPr>
        <w:shd w:val="clear" w:color="auto" w:fill="FFFFFF"/>
        <w:spacing w:after="120" w:line="276" w:lineRule="auto"/>
        <w:jc w:val="both"/>
        <w:rPr>
          <w:rStyle w:val="Textoennegrita"/>
          <w:rFonts w:ascii="Century Gothic" w:hAnsi="Century Gothic" w:cs="Arial"/>
          <w:b w:val="0"/>
        </w:rPr>
      </w:pPr>
      <w:bookmarkStart w:name="_Hlk131064197" w:id="13"/>
      <w:r w:rsidRPr="00D005E0">
        <w:rPr>
          <w:rStyle w:val="Textoennegrita"/>
          <w:rFonts w:ascii="Century Gothic" w:hAnsi="Century Gothic" w:cs="Arial"/>
          <w:b w:val="0"/>
          <w:shd w:val="clear" w:color="auto" w:fill="FFFFFF"/>
        </w:rPr>
        <w:t xml:space="preserve">De acuerdo con la interpretación general de las normas que conforman el sistema de compras públicas, </w:t>
      </w:r>
      <w:r w:rsidRPr="00D005E0">
        <w:rPr>
          <w:rStyle w:val="Textoennegrita"/>
          <w:rFonts w:ascii="Century Gothic" w:hAnsi="Century Gothic" w:cs="Arial"/>
          <w:b w:val="0"/>
        </w:rPr>
        <w:t xml:space="preserve">el artículo 2.2.8.3.4 del Decreto 603 de 2022, </w:t>
      </w:r>
      <w:r w:rsidRPr="00D005E0">
        <w:rPr>
          <w:rFonts w:ascii="Century Gothic" w:hAnsi="Century Gothic" w:eastAsia="Calibri" w:cs="Arial"/>
          <w:b/>
          <w:sz w:val="21"/>
          <w:szCs w:val="21"/>
          <w:lang w:val="es-ES_tradnl" w:eastAsia="es-CO"/>
        </w:rPr>
        <w:t>“</w:t>
      </w:r>
      <w:r w:rsidRPr="00D005E0">
        <w:rPr>
          <w:rStyle w:val="Textoennegrita"/>
          <w:rFonts w:ascii="Century Gothic" w:hAnsi="Century Gothic" w:cs="Arial"/>
          <w:b w:val="0"/>
          <w:shd w:val="clear" w:color="auto" w:fill="FFFFFF"/>
        </w:rPr>
        <w:t>Por medio del cual se adiciona el Título 8 en la Parte 2 del Libro 2 del Decreto 1067 de 2015, Único Reglamentario del Sector Administrativo de Relaciones Exteriores, para crear el Sistema Nacional de Cooperación Internacional de Colombia y se dictan disposiciones relacionadas con el desarrollo del mismo”,</w:t>
      </w:r>
      <w:r w:rsidRPr="00D005E0">
        <w:rPr>
          <w:rStyle w:val="Textoennegrita"/>
          <w:rFonts w:ascii="Century Gothic" w:hAnsi="Century Gothic" w:cs="Arial"/>
          <w:b w:val="0"/>
        </w:rPr>
        <w:t xml:space="preserve"> desarrolló parcialmente lo establecido en la Ley 1955 de 2019, “por el cual se expide el Plan Nacional de Desarrollo 2018-2022 pacto por Colombia, pacto por la equidad”. </w:t>
      </w:r>
    </w:p>
    <w:p w:rsidRPr="00D005E0" w:rsidR="000B4181" w:rsidP="000B4181" w:rsidRDefault="000B4181" w14:paraId="7BC6EED7" w14:textId="77777777">
      <w:pPr>
        <w:shd w:val="clear" w:color="auto" w:fill="FFFFFF"/>
        <w:spacing w:after="120" w:line="276" w:lineRule="auto"/>
        <w:ind w:firstLine="709"/>
        <w:jc w:val="both"/>
        <w:rPr>
          <w:rStyle w:val="Textoennegrita"/>
          <w:rFonts w:ascii="Century Gothic" w:hAnsi="Century Gothic" w:cs="Arial"/>
          <w:b w:val="0"/>
          <w:shd w:val="clear" w:color="auto" w:fill="FFFFFF"/>
        </w:rPr>
      </w:pPr>
      <w:r w:rsidRPr="00D005E0">
        <w:rPr>
          <w:rStyle w:val="Textoennegrita"/>
          <w:rFonts w:ascii="Century Gothic" w:hAnsi="Century Gothic" w:cs="Arial"/>
          <w:b w:val="0"/>
          <w:shd w:val="clear" w:color="auto" w:fill="FFFFFF"/>
        </w:rPr>
        <w:t>Al respecto,</w:t>
      </w:r>
      <w:r w:rsidRPr="00D005E0">
        <w:rPr>
          <w:rStyle w:val="Textoennegrita"/>
          <w:rFonts w:ascii="Century Gothic" w:hAnsi="Century Gothic" w:cs="Arial"/>
          <w:shd w:val="clear" w:color="auto" w:fill="FFFFFF"/>
        </w:rPr>
        <w:t xml:space="preserve"> </w:t>
      </w:r>
      <w:r w:rsidRPr="00D005E0">
        <w:rPr>
          <w:rFonts w:ascii="Century Gothic" w:hAnsi="Century Gothic" w:cs="Arial"/>
        </w:rPr>
        <w:t xml:space="preserve">las Bases del Plan Nacional de Desarrollo 2018 – 2022 disponen que “El Gobierno nacional creará el Sistema Nacional de Cooperación Internacional como estrategia para la orientación y coordinación de las entidades </w:t>
      </w:r>
      <w:r w:rsidRPr="00D005E0">
        <w:rPr>
          <w:rFonts w:ascii="Century Gothic" w:hAnsi="Century Gothic" w:cs="Arial"/>
        </w:rPr>
        <w:lastRenderedPageBreak/>
        <w:t>del nivel nacional, departamental, distrital y municipal, así como del sector privado y no gubernamental, para alcanzar la mayor alineación, pertinencia y eficacia de la cooperación internacional no reembolsable y técnica, cuya secretaría técnica será ejercida por APC-Colombia. Las acciones desarrolladas en el marco de este sistema estarán articuladas con la agenda de política exterior”</w:t>
      </w:r>
      <w:r w:rsidRPr="00D005E0">
        <w:rPr>
          <w:rStyle w:val="Refdenotaalpie"/>
          <w:rFonts w:ascii="Century Gothic" w:hAnsi="Century Gothic" w:cs="Arial"/>
          <w:shd w:val="clear" w:color="auto" w:fill="FFFFFF"/>
        </w:rPr>
        <w:footnoteReference w:id="17"/>
      </w:r>
      <w:r w:rsidRPr="00D005E0">
        <w:rPr>
          <w:rFonts w:ascii="Century Gothic" w:hAnsi="Century Gothic" w:cs="Arial"/>
        </w:rPr>
        <w:t>.</w:t>
      </w:r>
      <w:r w:rsidRPr="00D005E0">
        <w:rPr>
          <w:rStyle w:val="Textoennegrita"/>
          <w:rFonts w:ascii="Century Gothic" w:hAnsi="Century Gothic" w:cs="Arial"/>
          <w:shd w:val="clear" w:color="auto" w:fill="FFFFFF"/>
        </w:rPr>
        <w:t xml:space="preserve"> </w:t>
      </w:r>
      <w:r w:rsidRPr="00D005E0">
        <w:rPr>
          <w:rFonts w:ascii="Century Gothic" w:hAnsi="Century Gothic" w:cs="Arial"/>
        </w:rPr>
        <w:t>Asimismo, el artículo 2 de la Ley 1955 de 2019 dispone que “El documento denominado ‘Bases del Plan Nacional de Desarrollo 2018 - 2022: Pacto por Colombia, pacto por la equidad’, elaborado por el Gobierno nacional con la participación del Consejo Superior de la Judicatura y del Consejo Nacional de Planeación, y construido desde los territorios, con las modificaciones realizadas en el trámite legislativo, es parte integral del Plan Nacional de Desarrollo, y se incorpora a la presente Ley como un anexo”.</w:t>
      </w:r>
      <w:r w:rsidRPr="00D005E0">
        <w:rPr>
          <w:rStyle w:val="Textoennegrita"/>
          <w:rFonts w:ascii="Century Gothic" w:hAnsi="Century Gothic" w:cs="Arial"/>
          <w:shd w:val="clear" w:color="auto" w:fill="FFFFFF"/>
        </w:rPr>
        <w:t xml:space="preserve"> </w:t>
      </w:r>
    </w:p>
    <w:p w:rsidRPr="00D005E0" w:rsidR="000B4181" w:rsidP="000B4181" w:rsidRDefault="000B4181" w14:paraId="19C596B5" w14:textId="77777777">
      <w:pPr>
        <w:shd w:val="clear" w:color="auto" w:fill="FFFFFF"/>
        <w:spacing w:after="120" w:line="276" w:lineRule="auto"/>
        <w:ind w:firstLine="708"/>
        <w:jc w:val="both"/>
        <w:rPr>
          <w:rStyle w:val="Textoennegrita"/>
          <w:rFonts w:ascii="Century Gothic" w:hAnsi="Century Gothic" w:cs="Arial"/>
          <w:b w:val="0"/>
        </w:rPr>
      </w:pPr>
      <w:r w:rsidRPr="00D005E0">
        <w:rPr>
          <w:rStyle w:val="Textoennegrita"/>
          <w:rFonts w:ascii="Century Gothic" w:hAnsi="Century Gothic" w:cs="Arial"/>
          <w:b w:val="0"/>
        </w:rPr>
        <w:t>Por lo demás, el tope del 30% establecido en la norma precitada, que determina las condiciones de participación de los socios cooperantes en condición de ejecutor del proyecto o programa, aplica para las contrapartidas dinerarias. Dicho en otras palabras, solo podrán ejecutar programas, proyectos o iniciativas en los que estén involucrados recursos del presupuesto general de la nación, aquellos socios de cooperación internacional que aporte una contrapartida de no menos del 30% de dicho programa, proyecto o iniciativa, que deberá efectuarse únicamente en sumas líquidas de dinero. Además, en cada caso deberán establecerse mecanismos de administración de las condiciones del contrato que permitan hacerle seguimiento al cumplimiento de las obligaciones contractuales.</w:t>
      </w:r>
    </w:p>
    <w:p w:rsidRPr="00D005E0" w:rsidR="000B4181" w:rsidP="000B4181" w:rsidRDefault="000B4181" w14:paraId="4C33671C" w14:textId="77777777">
      <w:pPr>
        <w:shd w:val="clear" w:color="auto" w:fill="FFFFFF"/>
        <w:spacing w:after="120" w:line="276" w:lineRule="auto"/>
        <w:ind w:firstLine="709"/>
        <w:jc w:val="both"/>
        <w:rPr>
          <w:rStyle w:val="Textoennegrita"/>
          <w:rFonts w:ascii="Century Gothic" w:hAnsi="Century Gothic" w:cs="Arial"/>
          <w:b w:val="0"/>
        </w:rPr>
      </w:pPr>
      <w:r w:rsidRPr="00D005E0">
        <w:rPr>
          <w:rStyle w:val="Textoennegrita"/>
          <w:rFonts w:ascii="Century Gothic" w:hAnsi="Century Gothic" w:cs="Arial"/>
          <w:b w:val="0"/>
        </w:rPr>
        <w:t xml:space="preserve">En este orden de ideas, las entidades estatales, en ejercicio de la autonomía de la voluntad, pueden suscribir convenios de cooperación internacional </w:t>
      </w:r>
      <w:r w:rsidRPr="00D005E0">
        <w:rPr>
          <w:rFonts w:ascii="Century Gothic" w:hAnsi="Century Gothic" w:cs="Arial"/>
        </w:rPr>
        <w:t>que involucre recursos del Presupuesto General de la Nación</w:t>
      </w:r>
      <w:r w:rsidRPr="00D005E0">
        <w:rPr>
          <w:rStyle w:val="Textoennegrita"/>
          <w:rFonts w:ascii="Century Gothic" w:hAnsi="Century Gothic" w:cs="Arial"/>
          <w:b w:val="0"/>
        </w:rPr>
        <w:t xml:space="preserve">, siempre y cuando el 30% del valor del proyecto sea aportado en dinero por el organismo internacional, pues el reglamento, como se indicó, estableció un umbral para que las entidades estatales puedan realizar proyectos, iniciativas o programas financiados con presupuesto general de la Nación en convenio con organismos internacionales. De este modo, si el socio cooperante cumple con este umbral, da lugar a suscribir el convenio. </w:t>
      </w:r>
    </w:p>
    <w:p w:rsidRPr="00D005E0" w:rsidR="000B4181" w:rsidP="000B4181" w:rsidRDefault="000B4181" w14:paraId="6B077057" w14:textId="77777777">
      <w:pPr>
        <w:shd w:val="clear" w:color="auto" w:fill="FFFFFF"/>
        <w:spacing w:after="120" w:line="276" w:lineRule="auto"/>
        <w:ind w:firstLine="709"/>
        <w:jc w:val="both"/>
        <w:rPr>
          <w:rStyle w:val="Textoennegrita"/>
          <w:rFonts w:ascii="Century Gothic" w:hAnsi="Century Gothic" w:cs="Arial"/>
          <w:b w:val="0"/>
        </w:rPr>
      </w:pPr>
      <w:r w:rsidRPr="00D005E0">
        <w:rPr>
          <w:rStyle w:val="Textoennegrita"/>
          <w:rFonts w:ascii="Century Gothic" w:hAnsi="Century Gothic" w:cs="Arial"/>
          <w:b w:val="0"/>
        </w:rPr>
        <w:t xml:space="preserve">Por ejemplo, si el proyecto, programa o iniciativa de cooperación internacional que involucra recursos del Presupuesto General de la Nación tiene un </w:t>
      </w:r>
      <w:r w:rsidRPr="00D005E0">
        <w:rPr>
          <w:rStyle w:val="Textoennegrita"/>
          <w:rFonts w:ascii="Century Gothic" w:hAnsi="Century Gothic" w:cs="Arial"/>
          <w:b w:val="0"/>
        </w:rPr>
        <w:lastRenderedPageBreak/>
        <w:t>valor de 100 millones de pesos, la norma en comento impone una contrapartida en recursos financieros de mínimo 30 millones de pesos. Es decir, el 30% a cargo del socio de cooperación internacional se obtiene del valor total por el cual vaya a suscribirse el negocio jurídico, pues el artículo 2.2.8.3.4 del Decreto 603 de 2022 no dispone que el porcentaje se obtenga del aporte en dinero de la entidad estatal. De ser así, si en un contrato de 100 millones de pesos los aportes en dinero de la entidad son de 30 millones de pesos, bastaría un aporte mínimo de 9 millones de pesos del socio de cooperación internacional, lo cual es absurdo teniendo en cuenta que esto representa únicamente el 9% del valor total del proyecto, programa o iniciativa.</w:t>
      </w:r>
    </w:p>
    <w:p w:rsidRPr="00D005E0" w:rsidR="000B4181" w:rsidP="000B4181" w:rsidRDefault="000B4181" w14:paraId="176DAB46" w14:textId="77777777">
      <w:pPr>
        <w:shd w:val="clear" w:color="auto" w:fill="FFFFFF"/>
        <w:spacing w:after="120" w:line="276" w:lineRule="auto"/>
        <w:ind w:firstLine="709"/>
        <w:jc w:val="both"/>
        <w:rPr>
          <w:rStyle w:val="Textoennegrita"/>
          <w:rFonts w:ascii="Century Gothic" w:hAnsi="Century Gothic" w:cs="Arial"/>
          <w:b w:val="0"/>
        </w:rPr>
      </w:pPr>
      <w:r w:rsidRPr="00D005E0">
        <w:rPr>
          <w:rStyle w:val="Textoennegrita"/>
          <w:rFonts w:ascii="Century Gothic" w:hAnsi="Century Gothic" w:cs="Arial"/>
          <w:b w:val="0"/>
        </w:rPr>
        <w:t>Lo anterior en ningún momento afecta las reglas sobre el régimen de contratación que le sea aplicable al convenio financiados con presupuesto general de la Nación, esto es, si está sometido al Estatuto General de la Administración Pública o al régimen de contratación con el que contratan el organismo cooperante, pues ello aún se rige por las reglas de los establecido en el artículo 20 de la Ley 1150 de 2007 y en el</w:t>
      </w:r>
      <w:r w:rsidRPr="00D005E0">
        <w:rPr>
          <w:rStyle w:val="Textoennegrita"/>
          <w:rFonts w:ascii="Century Gothic" w:hAnsi="Century Gothic" w:cs="Arial"/>
        </w:rPr>
        <w:t xml:space="preserve"> </w:t>
      </w:r>
      <w:r w:rsidRPr="00D005E0">
        <w:rPr>
          <w:rFonts w:ascii="Century Gothic" w:hAnsi="Century Gothic" w:cs="Arial"/>
          <w:lang w:val="es-ES_tradnl"/>
        </w:rPr>
        <w:t xml:space="preserve">artículo 2.2.1.2.4.4.1 del Decreto 1082 de 2015. Desde esta perspectiva, las reglas precitadas se complementan con </w:t>
      </w:r>
      <w:r w:rsidRPr="00D005E0">
        <w:rPr>
          <w:rStyle w:val="Textoennegrita"/>
          <w:rFonts w:ascii="Century Gothic" w:hAnsi="Century Gothic" w:cs="Arial"/>
          <w:b w:val="0"/>
        </w:rPr>
        <w:t>el artículo 2.2.8.3.4 del Decreto 603 de 2022. En efecto, mientras las primeras definen el marco jurídico aplicable, este último define los aportes mínimos en recursos financieros del organismo internacional.</w:t>
      </w:r>
    </w:p>
    <w:bookmarkEnd w:id="13"/>
    <w:p w:rsidRPr="00D005E0" w:rsidR="000B4181" w:rsidP="000B4181" w:rsidRDefault="000B4181" w14:paraId="65506509" w14:textId="77777777">
      <w:pPr>
        <w:tabs>
          <w:tab w:val="left" w:pos="426"/>
        </w:tabs>
        <w:spacing w:after="0" w:line="276" w:lineRule="auto"/>
        <w:jc w:val="both"/>
        <w:rPr>
          <w:rFonts w:ascii="Century Gothic" w:hAnsi="Century Gothic" w:eastAsia="Arial" w:cs="Arial"/>
          <w:lang w:val="es-ES" w:eastAsia="es-ES" w:bidi="es-ES"/>
        </w:rPr>
      </w:pPr>
    </w:p>
    <w:p w:rsidRPr="00D005E0" w:rsidR="000B4181" w:rsidP="000B4181" w:rsidRDefault="000B4181" w14:paraId="5840E47B" w14:textId="77777777">
      <w:pPr>
        <w:widowControl w:val="0"/>
        <w:autoSpaceDE w:val="0"/>
        <w:autoSpaceDN w:val="0"/>
        <w:spacing w:after="0" w:line="276" w:lineRule="auto"/>
        <w:jc w:val="both"/>
        <w:rPr>
          <w:rFonts w:ascii="Century Gothic" w:hAnsi="Century Gothic" w:cs="Arial"/>
          <w:color w:val="000000" w:themeColor="text1"/>
          <w:lang w:val="es-ES_tradnl" w:bidi="es-ES"/>
        </w:rPr>
      </w:pPr>
      <w:r w:rsidRPr="00D005E0">
        <w:rPr>
          <w:rFonts w:ascii="Century Gothic" w:hAnsi="Century Gothic" w:cs="Arial"/>
          <w:color w:val="000000" w:themeColor="text1"/>
          <w:lang w:val="es-ES_tradnl"/>
        </w:rPr>
        <w:t>Este concepto tiene el alcance previsto en el artículo 28 del Código de Procedimiento Administrativo y de lo Contencioso Administrativo.</w:t>
      </w:r>
    </w:p>
    <w:p w:rsidRPr="00D005E0" w:rsidR="000B4181" w:rsidP="000B4181" w:rsidRDefault="000B4181" w14:paraId="4C8A3732" w14:textId="77777777">
      <w:pPr>
        <w:widowControl w:val="0"/>
        <w:autoSpaceDE w:val="0"/>
        <w:autoSpaceDN w:val="0"/>
        <w:spacing w:after="0" w:line="276" w:lineRule="auto"/>
        <w:jc w:val="both"/>
        <w:rPr>
          <w:rFonts w:ascii="Century Gothic" w:hAnsi="Century Gothic" w:cs="Arial"/>
          <w:color w:val="000000" w:themeColor="text1"/>
          <w:lang w:val="es-ES_tradnl" w:bidi="es-ES"/>
        </w:rPr>
      </w:pPr>
    </w:p>
    <w:p w:rsidRPr="00D005E0" w:rsidR="000B4181" w:rsidP="000B4181" w:rsidRDefault="000B4181" w14:paraId="6D74644F" w14:textId="77777777">
      <w:pPr>
        <w:tabs>
          <w:tab w:val="left" w:pos="426"/>
        </w:tabs>
        <w:spacing w:line="276" w:lineRule="auto"/>
        <w:jc w:val="both"/>
        <w:rPr>
          <w:rFonts w:ascii="Century Gothic" w:hAnsi="Century Gothic" w:eastAsia="Times New Roman" w:cs="Arial"/>
          <w:color w:val="000000" w:themeColor="text1"/>
        </w:rPr>
      </w:pPr>
      <w:r w:rsidRPr="00D005E0">
        <w:rPr>
          <w:rFonts w:ascii="Century Gothic" w:hAnsi="Century Gothic" w:eastAsia="Times New Roman" w:cs="Arial"/>
          <w:color w:val="000000" w:themeColor="text1"/>
        </w:rPr>
        <w:t>Atentamente,</w:t>
      </w:r>
    </w:p>
    <w:p w:rsidRPr="00D005E0" w:rsidR="000B4181" w:rsidP="000B4181" w:rsidRDefault="00830B8D" w14:paraId="2539212A" w14:textId="5068717C">
      <w:pPr>
        <w:jc w:val="center"/>
        <w:rPr>
          <w:rFonts w:ascii="Century Gothic" w:hAnsi="Century Gothic" w:eastAsia="Times New Roman" w:cs="Arial"/>
          <w:lang w:eastAsia="es-CO"/>
        </w:rPr>
      </w:pPr>
      <w:r>
        <w:rPr>
          <w:noProof/>
        </w:rPr>
        <w:drawing>
          <wp:inline distT="0" distB="0" distL="0" distR="0" wp14:anchorId="51D6852D" wp14:editId="2DBFF51A">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3F5F71" w:rsidR="000B4181" w:rsidTr="002528FF" w14:paraId="22423886" w14:textId="77777777">
        <w:trPr>
          <w:trHeight w:val="409"/>
        </w:trPr>
        <w:tc>
          <w:tcPr>
            <w:tcW w:w="817" w:type="dxa"/>
            <w:tcBorders>
              <w:top w:val="nil"/>
              <w:left w:val="nil"/>
              <w:bottom w:val="nil"/>
              <w:right w:val="nil"/>
            </w:tcBorders>
            <w:vAlign w:val="center"/>
            <w:hideMark/>
          </w:tcPr>
          <w:p w:rsidRPr="00D005E0" w:rsidR="000B4181" w:rsidP="002528FF" w:rsidRDefault="000B4181" w14:paraId="1BBA027B" w14:textId="77777777">
            <w:pPr>
              <w:spacing w:after="0" w:line="240" w:lineRule="auto"/>
              <w:jc w:val="both"/>
              <w:rPr>
                <w:rFonts w:ascii="Century Gothic" w:hAnsi="Century Gothic" w:cs="Arial"/>
                <w:sz w:val="16"/>
                <w:szCs w:val="16"/>
              </w:rPr>
            </w:pPr>
            <w:r w:rsidRPr="00D005E0">
              <w:rPr>
                <w:rFonts w:ascii="Century Gothic" w:hAnsi="Century Gothic"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D005E0" w:rsidR="000B4181" w:rsidP="002528FF" w:rsidRDefault="000B4181" w14:paraId="49FDE154" w14:textId="77777777">
            <w:pPr>
              <w:spacing w:after="0" w:line="240" w:lineRule="auto"/>
              <w:jc w:val="both"/>
              <w:rPr>
                <w:rFonts w:ascii="Century Gothic" w:hAnsi="Century Gothic" w:cs="Arial"/>
                <w:sz w:val="16"/>
                <w:szCs w:val="16"/>
              </w:rPr>
            </w:pPr>
            <w:r w:rsidRPr="00D005E0">
              <w:rPr>
                <w:rFonts w:ascii="Century Gothic" w:hAnsi="Century Gothic" w:cs="Arial"/>
                <w:sz w:val="16"/>
                <w:szCs w:val="16"/>
              </w:rPr>
              <w:t>Juan David Montoya Penagos</w:t>
            </w:r>
          </w:p>
          <w:p w:rsidRPr="00D005E0" w:rsidR="000B4181" w:rsidP="002528FF" w:rsidRDefault="000B4181" w14:paraId="2BBA39A5" w14:textId="77777777">
            <w:pPr>
              <w:spacing w:after="0" w:line="240" w:lineRule="auto"/>
              <w:jc w:val="both"/>
              <w:rPr>
                <w:rFonts w:ascii="Century Gothic" w:hAnsi="Century Gothic" w:cs="Arial"/>
                <w:sz w:val="16"/>
                <w:szCs w:val="16"/>
              </w:rPr>
            </w:pPr>
            <w:r w:rsidRPr="00D005E0">
              <w:rPr>
                <w:rFonts w:ascii="Century Gothic" w:hAnsi="Century Gothic" w:cs="Arial"/>
                <w:sz w:val="16"/>
                <w:szCs w:val="16"/>
              </w:rPr>
              <w:t>Contratista de la Subdirección de Gestión Contractual</w:t>
            </w:r>
          </w:p>
        </w:tc>
      </w:tr>
      <w:tr w:rsidRPr="003F5F71" w:rsidR="000B4181" w:rsidTr="002528FF" w14:paraId="6263A2E8" w14:textId="77777777">
        <w:trPr>
          <w:trHeight w:val="409"/>
        </w:trPr>
        <w:tc>
          <w:tcPr>
            <w:tcW w:w="817" w:type="dxa"/>
            <w:tcBorders>
              <w:top w:val="nil"/>
              <w:left w:val="nil"/>
              <w:right w:val="nil"/>
            </w:tcBorders>
            <w:vAlign w:val="center"/>
          </w:tcPr>
          <w:p w:rsidRPr="00D005E0" w:rsidR="000B4181" w:rsidP="002528FF" w:rsidRDefault="000B4181" w14:paraId="617F2E64" w14:textId="77777777">
            <w:pPr>
              <w:jc w:val="both"/>
              <w:rPr>
                <w:rFonts w:ascii="Century Gothic" w:hAnsi="Century Gothic" w:cs="Arial"/>
                <w:sz w:val="16"/>
                <w:szCs w:val="16"/>
              </w:rPr>
            </w:pPr>
            <w:r w:rsidRPr="00D005E0">
              <w:rPr>
                <w:rFonts w:ascii="Century Gothic" w:hAnsi="Century Gothic"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D005E0" w:rsidR="000B4181" w:rsidP="002528FF" w:rsidRDefault="000B4181" w14:paraId="672397A1" w14:textId="77777777">
            <w:pPr>
              <w:spacing w:after="0" w:line="240" w:lineRule="auto"/>
              <w:jc w:val="both"/>
              <w:rPr>
                <w:rFonts w:ascii="Century Gothic" w:hAnsi="Century Gothic" w:cs="Arial"/>
                <w:sz w:val="16"/>
                <w:szCs w:val="16"/>
              </w:rPr>
            </w:pPr>
            <w:r w:rsidRPr="00D005E0">
              <w:rPr>
                <w:rFonts w:ascii="Century Gothic" w:hAnsi="Century Gothic" w:cs="Arial"/>
                <w:sz w:val="16"/>
                <w:szCs w:val="16"/>
              </w:rPr>
              <w:t>Alejandro Sarmiento Cantillo</w:t>
            </w:r>
          </w:p>
          <w:p w:rsidRPr="00D005E0" w:rsidR="000B4181" w:rsidP="002528FF" w:rsidRDefault="000B4181" w14:paraId="5B7CEB81" w14:textId="0C99FD3F">
            <w:pPr>
              <w:spacing w:after="0" w:line="240" w:lineRule="auto"/>
              <w:jc w:val="both"/>
              <w:rPr>
                <w:rFonts w:ascii="Century Gothic" w:hAnsi="Century Gothic" w:cs="Arial"/>
                <w:sz w:val="16"/>
                <w:szCs w:val="16"/>
              </w:rPr>
            </w:pPr>
            <w:r w:rsidRPr="00D005E0">
              <w:rPr>
                <w:rFonts w:ascii="Century Gothic" w:hAnsi="Century Gothic" w:cs="Arial"/>
                <w:sz w:val="16"/>
                <w:szCs w:val="16"/>
              </w:rPr>
              <w:t xml:space="preserve">Gestor T1 </w:t>
            </w:r>
            <w:r w:rsidRPr="00A25BE4">
              <w:rPr>
                <w:rFonts w:ascii="Arial" w:hAnsi="Arial" w:cs="Arial"/>
                <w:sz w:val="16"/>
                <w:szCs w:val="16"/>
              </w:rPr>
              <w:t>‒</w:t>
            </w:r>
            <w:r w:rsidRPr="00D005E0">
              <w:rPr>
                <w:rFonts w:ascii="Century Gothic" w:hAnsi="Century Gothic" w:cs="Arial"/>
                <w:sz w:val="16"/>
                <w:szCs w:val="16"/>
              </w:rPr>
              <w:t xml:space="preserve"> 15 de la Subdirecci</w:t>
            </w:r>
            <w:r w:rsidRPr="00D005E0">
              <w:rPr>
                <w:rFonts w:ascii="Century Gothic" w:hAnsi="Century Gothic" w:cs="Century Gothic"/>
                <w:sz w:val="16"/>
                <w:szCs w:val="16"/>
              </w:rPr>
              <w:t>ó</w:t>
            </w:r>
            <w:r w:rsidRPr="00D005E0">
              <w:rPr>
                <w:rFonts w:ascii="Century Gothic" w:hAnsi="Century Gothic" w:cs="Arial"/>
                <w:sz w:val="16"/>
                <w:szCs w:val="16"/>
              </w:rPr>
              <w:t>n de Gesti</w:t>
            </w:r>
            <w:r w:rsidRPr="00D005E0">
              <w:rPr>
                <w:rFonts w:ascii="Century Gothic" w:hAnsi="Century Gothic" w:cs="Century Gothic"/>
                <w:sz w:val="16"/>
                <w:szCs w:val="16"/>
              </w:rPr>
              <w:t>ó</w:t>
            </w:r>
            <w:r w:rsidRPr="00D005E0">
              <w:rPr>
                <w:rFonts w:ascii="Century Gothic" w:hAnsi="Century Gothic" w:cs="Arial"/>
                <w:sz w:val="16"/>
                <w:szCs w:val="16"/>
              </w:rPr>
              <w:t>n Contractual</w:t>
            </w:r>
          </w:p>
        </w:tc>
      </w:tr>
      <w:tr w:rsidRPr="003F5F71" w:rsidR="000B4181" w:rsidTr="002528FF" w14:paraId="45EC8014" w14:textId="77777777">
        <w:trPr>
          <w:trHeight w:val="389"/>
        </w:trPr>
        <w:tc>
          <w:tcPr>
            <w:tcW w:w="817" w:type="dxa"/>
            <w:tcBorders>
              <w:top w:val="nil"/>
              <w:left w:val="nil"/>
              <w:bottom w:val="nil"/>
              <w:right w:val="nil"/>
            </w:tcBorders>
            <w:vAlign w:val="center"/>
            <w:hideMark/>
          </w:tcPr>
          <w:p w:rsidRPr="00D005E0" w:rsidR="000B4181" w:rsidP="002528FF" w:rsidRDefault="000B4181" w14:paraId="236D7F77" w14:textId="77777777">
            <w:pPr>
              <w:spacing w:after="0" w:line="240" w:lineRule="auto"/>
              <w:jc w:val="both"/>
              <w:rPr>
                <w:rFonts w:ascii="Century Gothic" w:hAnsi="Century Gothic" w:cs="Arial"/>
                <w:sz w:val="16"/>
                <w:szCs w:val="16"/>
              </w:rPr>
            </w:pPr>
            <w:r w:rsidRPr="00D005E0">
              <w:rPr>
                <w:rFonts w:ascii="Century Gothic" w:hAnsi="Century Gothic"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D005E0" w:rsidR="000B4181" w:rsidP="002528FF" w:rsidRDefault="000B4181" w14:paraId="3ABFC243" w14:textId="77777777">
            <w:pPr>
              <w:spacing w:after="0" w:line="240" w:lineRule="auto"/>
              <w:jc w:val="both"/>
              <w:rPr>
                <w:rFonts w:ascii="Century Gothic" w:hAnsi="Century Gothic" w:cs="Arial"/>
                <w:sz w:val="16"/>
                <w:szCs w:val="16"/>
              </w:rPr>
            </w:pPr>
            <w:r w:rsidRPr="00D005E0">
              <w:rPr>
                <w:rFonts w:ascii="Century Gothic" w:hAnsi="Century Gothic" w:cs="Arial"/>
                <w:sz w:val="16"/>
                <w:szCs w:val="16"/>
              </w:rPr>
              <w:t>Nohelia del Carmen Zawady Palacio</w:t>
            </w:r>
          </w:p>
          <w:p w:rsidRPr="00D005E0" w:rsidR="000B4181" w:rsidP="002528FF" w:rsidRDefault="000B4181" w14:paraId="698C497F" w14:textId="77777777">
            <w:pPr>
              <w:spacing w:after="0" w:line="240" w:lineRule="auto"/>
              <w:jc w:val="both"/>
              <w:rPr>
                <w:rFonts w:ascii="Century Gothic" w:hAnsi="Century Gothic" w:cs="Arial"/>
                <w:sz w:val="16"/>
                <w:szCs w:val="16"/>
              </w:rPr>
            </w:pPr>
            <w:r w:rsidRPr="00D005E0">
              <w:rPr>
                <w:rFonts w:ascii="Century Gothic" w:hAnsi="Century Gothic" w:cs="Arial"/>
                <w:sz w:val="16"/>
                <w:szCs w:val="16"/>
              </w:rPr>
              <w:t>Subdirectora de Gestión Contractual ANCP - CCE</w:t>
            </w:r>
          </w:p>
        </w:tc>
      </w:tr>
      <w:bookmarkEnd w:id="2"/>
    </w:tbl>
    <w:p w:rsidRPr="00D005E0" w:rsidR="000B4181" w:rsidP="000A5FAE" w:rsidRDefault="000B4181" w14:paraId="1CFA4B2C" w14:textId="77777777">
      <w:pPr>
        <w:tabs>
          <w:tab w:val="left" w:pos="0"/>
        </w:tabs>
        <w:spacing w:line="276" w:lineRule="auto"/>
        <w:contextualSpacing/>
        <w:jc w:val="both"/>
        <w:rPr>
          <w:rFonts w:ascii="Century Gothic" w:hAnsi="Century Gothic"/>
          <w:lang w:val="es-MX"/>
        </w:rPr>
      </w:pPr>
    </w:p>
    <w:sectPr w:rsidRPr="00D005E0" w:rsidR="000B4181" w:rsidSect="002E4FD9">
      <w:headerReference w:type="default" r:id="rId12"/>
      <w:footerReference w:type="default" r:id="rId13"/>
      <w:pgSz w:w="12240" w:h="15840" w:orient="portrait"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15C1" w:rsidP="004A1847" w:rsidRDefault="007815C1" w14:paraId="26EBF8B7" w14:textId="77777777">
      <w:pPr>
        <w:spacing w:after="0" w:line="240" w:lineRule="auto"/>
      </w:pPr>
      <w:r>
        <w:separator/>
      </w:r>
    </w:p>
  </w:endnote>
  <w:endnote w:type="continuationSeparator" w:id="0">
    <w:p w:rsidR="007815C1" w:rsidP="004A1847" w:rsidRDefault="007815C1" w14:paraId="3FD588F6" w14:textId="77777777">
      <w:pPr>
        <w:spacing w:after="0" w:line="240" w:lineRule="auto"/>
      </w:pPr>
      <w:r>
        <w:continuationSeparator/>
      </w:r>
    </w:p>
  </w:endnote>
  <w:endnote w:type="continuationNotice" w:id="1">
    <w:p w:rsidR="007815C1" w:rsidRDefault="007815C1" w14:paraId="1A9FF7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00000001"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322A85" w:rsidP="00322A85" w:rsidRDefault="003F3941" w14:paraId="171D456F" w14:textId="56C74A82">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415501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061B2A">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F4E4C24">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15C1" w:rsidP="004A1847" w:rsidRDefault="007815C1" w14:paraId="4E0BAF1E" w14:textId="77777777">
      <w:pPr>
        <w:spacing w:after="0" w:line="240" w:lineRule="auto"/>
      </w:pPr>
      <w:r>
        <w:separator/>
      </w:r>
    </w:p>
  </w:footnote>
  <w:footnote w:type="continuationSeparator" w:id="0">
    <w:p w:rsidR="007815C1" w:rsidP="004A1847" w:rsidRDefault="007815C1" w14:paraId="7D3B93F0" w14:textId="77777777">
      <w:pPr>
        <w:spacing w:after="0" w:line="240" w:lineRule="auto"/>
      </w:pPr>
      <w:r>
        <w:continuationSeparator/>
      </w:r>
    </w:p>
  </w:footnote>
  <w:footnote w:type="continuationNotice" w:id="1">
    <w:p w:rsidR="007815C1" w:rsidRDefault="007815C1" w14:paraId="3E0AC66C" w14:textId="77777777">
      <w:pPr>
        <w:spacing w:after="0" w:line="240" w:lineRule="auto"/>
      </w:pPr>
    </w:p>
  </w:footnote>
  <w:footnote w:id="2">
    <w:p w:rsidRPr="00D005E0" w:rsidR="000B4181" w:rsidP="000B4181" w:rsidRDefault="000B4181" w14:paraId="5B9DAA67" w14:textId="77777777">
      <w:pPr>
        <w:pStyle w:val="Textonotapie"/>
        <w:ind w:firstLine="708"/>
        <w:jc w:val="both"/>
        <w:rPr>
          <w:rFonts w:ascii="Century Gothic" w:hAnsi="Century Gothic" w:cs="Arial"/>
          <w:sz w:val="16"/>
          <w:szCs w:val="16"/>
        </w:rPr>
      </w:pPr>
      <w:r w:rsidRPr="00D005E0">
        <w:rPr>
          <w:rStyle w:val="Refdenotaalpie"/>
          <w:rFonts w:ascii="Century Gothic" w:hAnsi="Century Gothic" w:cs="Arial"/>
          <w:sz w:val="16"/>
          <w:szCs w:val="16"/>
        </w:rPr>
        <w:footnoteRef/>
      </w:r>
      <w:r w:rsidRPr="00D005E0">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D005E0">
          <w:rPr>
            <w:rStyle w:val="Hipervnculo"/>
            <w:rFonts w:ascii="Century Gothic" w:hAnsi="Century Gothic" w:cs="Arial"/>
            <w:sz w:val="16"/>
            <w:szCs w:val="16"/>
          </w:rPr>
          <w:t>https://relatoria.colombiacompra.gov.co/busqueda/conceptos</w:t>
        </w:r>
      </w:hyperlink>
      <w:r w:rsidRPr="00D005E0">
        <w:rPr>
          <w:rStyle w:val="Hipervnculo"/>
          <w:rFonts w:ascii="Century Gothic" w:hAnsi="Century Gothic" w:cs="Arial"/>
          <w:sz w:val="16"/>
          <w:szCs w:val="16"/>
        </w:rPr>
        <w:t xml:space="preserve">. </w:t>
      </w:r>
      <w:r w:rsidRPr="00D005E0">
        <w:rPr>
          <w:rFonts w:ascii="Century Gothic" w:hAnsi="Century Gothic" w:cs="Arial"/>
          <w:sz w:val="16"/>
          <w:szCs w:val="16"/>
          <w:shd w:val="clear" w:color="auto" w:fill="E6E6E6"/>
        </w:rPr>
        <w:t xml:space="preserve"> </w:t>
      </w:r>
    </w:p>
  </w:footnote>
  <w:footnote w:id="3">
    <w:p w:rsidRPr="00D005E0" w:rsidR="000B4181" w:rsidP="000B4181" w:rsidRDefault="000B4181" w14:paraId="4A9F0F27" w14:textId="77777777">
      <w:pPr>
        <w:pStyle w:val="Textonotapie"/>
        <w:ind w:firstLine="709"/>
        <w:jc w:val="both"/>
        <w:rPr>
          <w:rFonts w:ascii="Century Gothic" w:hAnsi="Century Gothic" w:cs="Arial"/>
          <w:color w:val="000000" w:themeColor="text1"/>
          <w:sz w:val="16"/>
          <w:szCs w:val="16"/>
          <w:lang w:val="es-CO"/>
        </w:rPr>
      </w:pPr>
      <w:r w:rsidRPr="00D005E0">
        <w:rPr>
          <w:rStyle w:val="Refdenotaalpie"/>
          <w:rFonts w:ascii="Century Gothic" w:hAnsi="Century Gothic" w:cs="Arial"/>
          <w:sz w:val="16"/>
          <w:szCs w:val="16"/>
        </w:rPr>
        <w:footnoteRef/>
      </w:r>
      <w:r w:rsidRPr="00D005E0">
        <w:rPr>
          <w:rFonts w:ascii="Century Gothic" w:hAnsi="Century Gothic" w:cs="Arial"/>
          <w:color w:val="000000" w:themeColor="text1"/>
          <w:sz w:val="16"/>
          <w:szCs w:val="16"/>
          <w:lang w:val="es-CO"/>
        </w:rPr>
        <w:t xml:space="preserve"> FIGUEROA U. Organismos internacionales. 2ª edición. Santiago de Chile: Editorial RIL editores, 2010.</w:t>
      </w:r>
    </w:p>
  </w:footnote>
  <w:footnote w:id="4">
    <w:p w:rsidRPr="00D005E0" w:rsidR="000B4181" w:rsidP="000B4181" w:rsidRDefault="000B4181" w14:paraId="53152DEC"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D005E0">
        <w:rPr>
          <w:rStyle w:val="Refdenotaalpie"/>
          <w:rFonts w:ascii="Century Gothic" w:hAnsi="Century Gothic" w:cs="Arial"/>
          <w:sz w:val="16"/>
          <w:szCs w:val="16"/>
        </w:rPr>
        <w:footnoteRef/>
      </w:r>
      <w:r w:rsidRPr="00D005E0">
        <w:rPr>
          <w:rFonts w:ascii="Century Gothic" w:hAnsi="Century Gothic" w:cs="Arial"/>
          <w:color w:val="000000" w:themeColor="text1"/>
          <w:sz w:val="16"/>
          <w:szCs w:val="16"/>
        </w:rPr>
        <w:t xml:space="preserve"> Ley 80 de 1993: “Artículo 13. De la normatividad aplicable a los contratos estatales. Los contratos que celebren las entidades a que se refiere el artículo </w:t>
      </w:r>
      <w:hyperlink w:history="1" w:anchor="2" r:id="rId2">
        <w:r w:rsidRPr="00D005E0">
          <w:rPr>
            <w:rStyle w:val="Hipervnculo"/>
            <w:rFonts w:ascii="Century Gothic" w:hAnsi="Century Gothic" w:cs="Arial"/>
            <w:color w:val="000000" w:themeColor="text1"/>
            <w:sz w:val="16"/>
            <w:szCs w:val="16"/>
          </w:rPr>
          <w:t>2</w:t>
        </w:r>
      </w:hyperlink>
      <w:r w:rsidRPr="00D005E0">
        <w:rPr>
          <w:rFonts w:ascii="Century Gothic" w:hAnsi="Century Gothic" w:cs="Arial"/>
          <w:color w:val="000000" w:themeColor="text1"/>
          <w:sz w:val="16"/>
          <w:szCs w:val="16"/>
        </w:rPr>
        <w:t>o. del presente estatuto se regirán por las disposiciones comerciales y civiles pertinentes, salvo en las materias particularmente reguladas en esta ley.</w:t>
      </w:r>
    </w:p>
    <w:p w:rsidRPr="00D005E0" w:rsidR="000B4181" w:rsidP="000B4181" w:rsidRDefault="000B4181" w14:paraId="6E8FA002"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D005E0">
        <w:rPr>
          <w:rFonts w:ascii="Century Gothic" w:hAnsi="Century Gothic" w:cs="Arial"/>
          <w:color w:val="000000" w:themeColor="text1"/>
          <w:sz w:val="16"/>
          <w:szCs w:val="16"/>
        </w:rPr>
        <w:t>Los contratos celebrados en el exterior se podrán regir en su ejecución por las reglas del país en donde se hayan suscrito, a menos que deban cumplirse en Colombia.</w:t>
      </w:r>
    </w:p>
    <w:p w:rsidRPr="00D005E0" w:rsidR="000B4181" w:rsidP="000B4181" w:rsidRDefault="000B4181" w14:paraId="16FA4E70"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D005E0">
        <w:rPr>
          <w:rFonts w:ascii="Century Gothic" w:hAnsi="Century Gothic" w:cs="Arial"/>
          <w:color w:val="000000" w:themeColor="text1"/>
          <w:sz w:val="16"/>
          <w:szCs w:val="16"/>
        </w:rPr>
        <w:t>Los contratos que se celebren en Colombia y deban ejecutarse o cumplirse en el extranjero, podrán someterse a la ley extranjera”.</w:t>
      </w:r>
    </w:p>
  </w:footnote>
  <w:footnote w:id="5">
    <w:p w:rsidRPr="00D005E0" w:rsidR="000B4181" w:rsidP="000B4181" w:rsidRDefault="000B4181" w14:paraId="1B9FCCC5" w14:textId="77777777">
      <w:pPr>
        <w:pStyle w:val="Textonotapie"/>
        <w:ind w:firstLine="709"/>
        <w:jc w:val="both"/>
        <w:rPr>
          <w:rFonts w:ascii="Century Gothic" w:hAnsi="Century Gothic" w:cs="Arial"/>
          <w:color w:val="000000" w:themeColor="text1"/>
          <w:sz w:val="16"/>
          <w:szCs w:val="16"/>
          <w:lang w:val="es-ES_tradnl"/>
        </w:rPr>
      </w:pPr>
      <w:r w:rsidRPr="00D005E0">
        <w:rPr>
          <w:rStyle w:val="Refdenotaalpie"/>
          <w:rFonts w:ascii="Century Gothic" w:hAnsi="Century Gothic" w:cs="Arial"/>
          <w:sz w:val="16"/>
          <w:szCs w:val="16"/>
        </w:rPr>
        <w:footnoteRef/>
      </w:r>
      <w:r w:rsidRPr="00D005E0">
        <w:rPr>
          <w:rFonts w:ascii="Century Gothic" w:hAnsi="Century Gothic" w:cs="Arial"/>
          <w:color w:val="000000" w:themeColor="text1"/>
          <w:sz w:val="16"/>
          <w:szCs w:val="16"/>
        </w:rPr>
        <w:t xml:space="preserve"> Consejo de Estado. Sección Tercera, Subsección C. Sentencia del 26 de noviembre de 2015. </w:t>
      </w:r>
      <w:r w:rsidRPr="00D005E0">
        <w:rPr>
          <w:rFonts w:ascii="Century Gothic" w:hAnsi="Century Gothic" w:cs="Arial"/>
          <w:color w:val="000000" w:themeColor="text1"/>
          <w:sz w:val="16"/>
          <w:szCs w:val="16"/>
          <w:lang w:val="es-ES_tradnl"/>
        </w:rPr>
        <w:t xml:space="preserve">Exp. </w:t>
      </w:r>
      <w:r w:rsidRPr="00D005E0">
        <w:rPr>
          <w:rFonts w:ascii="Century Gothic" w:hAnsi="Century Gothic" w:cs="Arial"/>
          <w:color w:val="000000" w:themeColor="text1"/>
          <w:sz w:val="16"/>
          <w:szCs w:val="16"/>
          <w:lang w:val="es-CO"/>
        </w:rPr>
        <w:t xml:space="preserve">54.069. C.P Jaime Orlando Santofimio Gamboa. </w:t>
      </w:r>
    </w:p>
  </w:footnote>
  <w:footnote w:id="6">
    <w:p w:rsidRPr="00D005E0" w:rsidR="000B4181" w:rsidP="000B4181" w:rsidRDefault="000B4181" w14:paraId="5C7F703D" w14:textId="77777777">
      <w:pPr>
        <w:pStyle w:val="Textonotapie"/>
        <w:ind w:firstLine="709"/>
        <w:jc w:val="both"/>
        <w:rPr>
          <w:rFonts w:ascii="Century Gothic" w:hAnsi="Century Gothic" w:cs="Arial"/>
          <w:color w:val="000000" w:themeColor="text1"/>
          <w:sz w:val="16"/>
          <w:szCs w:val="16"/>
          <w:lang w:eastAsia="es-CO"/>
        </w:rPr>
      </w:pPr>
      <w:r w:rsidRPr="00D005E0">
        <w:rPr>
          <w:rStyle w:val="Refdenotaalpie"/>
          <w:rFonts w:ascii="Century Gothic" w:hAnsi="Century Gothic" w:cs="Arial"/>
          <w:sz w:val="16"/>
          <w:szCs w:val="16"/>
        </w:rPr>
        <w:footnoteRef/>
      </w:r>
      <w:r w:rsidRPr="00D005E0">
        <w:rPr>
          <w:rFonts w:ascii="Century Gothic" w:hAnsi="Century Gothic" w:cs="Arial"/>
          <w:color w:val="000000" w:themeColor="text1"/>
          <w:sz w:val="16"/>
          <w:szCs w:val="16"/>
        </w:rPr>
        <w:t xml:space="preserve"> </w:t>
      </w:r>
      <w:r w:rsidRPr="00D005E0">
        <w:rPr>
          <w:rFonts w:ascii="Century Gothic" w:hAnsi="Century Gothic" w:cs="Arial"/>
          <w:color w:val="000000" w:themeColor="text1"/>
          <w:sz w:val="16"/>
          <w:szCs w:val="16"/>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7">
    <w:p w:rsidRPr="00D005E0" w:rsidR="000B4181" w:rsidP="000B4181" w:rsidRDefault="000B4181" w14:paraId="2001C9BA"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D005E0">
        <w:rPr>
          <w:rStyle w:val="Refdenotaalpie"/>
          <w:rFonts w:ascii="Century Gothic" w:hAnsi="Century Gothic" w:cs="Arial"/>
          <w:sz w:val="16"/>
          <w:szCs w:val="16"/>
        </w:rPr>
        <w:footnoteRef/>
      </w:r>
      <w:r w:rsidRPr="00D005E0">
        <w:rPr>
          <w:rFonts w:ascii="Century Gothic" w:hAnsi="Century Gothic" w:cs="Arial"/>
          <w:color w:val="000000" w:themeColor="text1"/>
          <w:sz w:val="16"/>
          <w:szCs w:val="16"/>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rsidRPr="00D005E0" w:rsidR="000B4181" w:rsidP="000B4181" w:rsidRDefault="000B4181" w14:paraId="7FA497D1"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D005E0">
        <w:rPr>
          <w:rFonts w:ascii="Century Gothic" w:hAnsi="Century Gothic" w:cs="Arial"/>
          <w:color w:val="000000" w:themeColor="text1"/>
          <w:sz w:val="16"/>
          <w:szCs w:val="16"/>
        </w:rPr>
        <w:t xml:space="preserve">Los contratos o convenios celebrados con </w:t>
      </w:r>
      <w:bookmarkStart w:name="_Hlk148436103" w:id="7"/>
      <w:r w:rsidRPr="00D005E0">
        <w:rPr>
          <w:rFonts w:ascii="Century Gothic" w:hAnsi="Century Gothic" w:cs="Arial"/>
          <w:color w:val="000000" w:themeColor="text1"/>
          <w:sz w:val="16"/>
          <w:szCs w:val="16"/>
        </w:rPr>
        <w:t>personas extranjeras de derecho público u organismos de derecho internacional</w:t>
      </w:r>
      <w:bookmarkEnd w:id="7"/>
      <w:r w:rsidRPr="00D005E0">
        <w:rPr>
          <w:rFonts w:ascii="Century Gothic" w:hAnsi="Century Gothic" w:cs="Arial"/>
          <w:color w:val="000000" w:themeColor="text1"/>
          <w:sz w:val="16"/>
          <w:szCs w:val="16"/>
        </w:rPr>
        <w:t xml:space="preserve">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rsidRPr="00D005E0" w:rsidR="000B4181" w:rsidP="000B4181" w:rsidRDefault="000B4181" w14:paraId="6861366B"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D005E0">
        <w:rPr>
          <w:rFonts w:ascii="Century Gothic" w:hAnsi="Century Gothic" w:cs="Arial"/>
          <w:color w:val="000000" w:themeColor="text1"/>
          <w:sz w:val="16"/>
          <w:szCs w:val="16"/>
        </w:rPr>
        <w:t>Las entidades estatales no podrán celebrar contratos o convenios para la administración o gerencia de sus recursos propios o de aquellos que les asignen los presupuestos públicos, con organismos de cooperación, asistencia o ayuda internacional.</w:t>
      </w:r>
    </w:p>
    <w:p w:rsidRPr="00D005E0" w:rsidR="000B4181" w:rsidP="000B4181" w:rsidRDefault="000B4181" w14:paraId="74718CB2"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D005E0">
        <w:rPr>
          <w:rStyle w:val="baj"/>
          <w:rFonts w:ascii="Century Gothic" w:hAnsi="Century Gothic" w:cs="Arial"/>
          <w:color w:val="000000" w:themeColor="text1"/>
          <w:sz w:val="16"/>
          <w:szCs w:val="16"/>
        </w:rPr>
        <w:t>PARÁGRAFO 1o.</w:t>
      </w:r>
      <w:r w:rsidRPr="00D005E0">
        <w:rPr>
          <w:rFonts w:ascii="Century Gothic" w:hAnsi="Century Gothic" w:cs="Arial"/>
          <w:color w:val="000000" w:themeColor="text1"/>
          <w:sz w:val="16"/>
          <w:szCs w:val="16"/>
        </w:rPr>
        <w:t> </w:t>
      </w:r>
      <w:bookmarkStart w:name="_Hlk148436375" w:id="8"/>
      <w:r w:rsidRPr="00D005E0">
        <w:rPr>
          <w:rFonts w:ascii="Century Gothic" w:hAnsi="Century Gothic" w:cs="Arial"/>
          <w:color w:val="000000" w:themeColor="text1"/>
          <w:sz w:val="16"/>
          <w:szCs w:val="16"/>
        </w:rPr>
        <w:t>Los contratos o acuerdos celebrados con personas extranjeras de derecho público, podrán someterse a las reglas de tales organismos</w:t>
      </w:r>
      <w:bookmarkEnd w:id="8"/>
      <w:r w:rsidRPr="00D005E0">
        <w:rPr>
          <w:rFonts w:ascii="Century Gothic" w:hAnsi="Century Gothic" w:cs="Arial"/>
          <w:color w:val="000000" w:themeColor="text1"/>
          <w:sz w:val="16"/>
          <w:szCs w:val="16"/>
        </w:rPr>
        <w:t>.</w:t>
      </w:r>
    </w:p>
    <w:p w:rsidRPr="00D005E0" w:rsidR="000B4181" w:rsidP="000B4181" w:rsidRDefault="000B4181" w14:paraId="432F8319"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D005E0">
        <w:rPr>
          <w:rStyle w:val="baj"/>
          <w:rFonts w:ascii="Century Gothic" w:hAnsi="Century Gothic" w:cs="Arial"/>
          <w:color w:val="000000" w:themeColor="text1"/>
          <w:sz w:val="16"/>
          <w:szCs w:val="16"/>
        </w:rPr>
        <w:t>PARÁGRAFO 2o.</w:t>
      </w:r>
      <w:r w:rsidRPr="00D005E0">
        <w:rPr>
          <w:rFonts w:ascii="Century Gothic" w:hAnsi="Century Gothic" w:cs="Arial"/>
          <w:color w:val="000000" w:themeColor="text1"/>
          <w:sz w:val="16"/>
          <w:szCs w:val="16"/>
        </w:rPr>
        <w:t> Las entidades estatales tendrán la obligación de reportar la información a los organismos de control y al Secop relativa a la ejecución de los contratos a los que se refiere el presente artículo.</w:t>
      </w:r>
    </w:p>
    <w:p w:rsidRPr="00D005E0" w:rsidR="000B4181" w:rsidP="000B4181" w:rsidRDefault="000B4181" w14:paraId="10C5286E"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D005E0">
        <w:rPr>
          <w:rStyle w:val="baj"/>
          <w:rFonts w:ascii="Century Gothic" w:hAnsi="Century Gothic" w:cs="Arial"/>
          <w:color w:val="000000" w:themeColor="text1"/>
          <w:sz w:val="16"/>
          <w:szCs w:val="16"/>
        </w:rPr>
        <w:t>PARÁGRAFO 3o.</w:t>
      </w:r>
      <w:r w:rsidRPr="00D005E0">
        <w:rPr>
          <w:rFonts w:ascii="Century Gothic" w:hAnsi="Century Gothic" w:cs="Arial"/>
          <w:color w:val="000000" w:themeColor="text1"/>
          <w:sz w:val="16"/>
          <w:szCs w:val="16"/>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8">
    <w:p w:rsidRPr="00D005E0" w:rsidR="000B4181" w:rsidP="000B4181" w:rsidRDefault="000B4181" w14:paraId="76ACCF56"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D005E0">
        <w:rPr>
          <w:rStyle w:val="Refdenotaalpie"/>
          <w:rFonts w:ascii="Century Gothic" w:hAnsi="Century Gothic" w:cs="Arial"/>
          <w:sz w:val="16"/>
          <w:szCs w:val="16"/>
        </w:rPr>
        <w:footnoteRef/>
      </w:r>
      <w:r w:rsidRPr="00D005E0">
        <w:rPr>
          <w:rFonts w:ascii="Century Gothic" w:hAnsi="Century Gothic" w:cs="Arial"/>
          <w:color w:val="000000" w:themeColor="text1"/>
          <w:sz w:val="16"/>
          <w:szCs w:val="16"/>
        </w:rPr>
        <w:t xml:space="preserve"> Decreto 1082 de 2015. “Artículo </w:t>
      </w:r>
      <w:r w:rsidRPr="00D005E0">
        <w:rPr>
          <w:rStyle w:val="Textoennegrita"/>
          <w:rFonts w:ascii="Century Gothic" w:hAnsi="Century Gothic" w:cs="Arial"/>
          <w:b w:val="0"/>
          <w:color w:val="000000" w:themeColor="text1"/>
          <w:sz w:val="16"/>
          <w:szCs w:val="16"/>
        </w:rPr>
        <w:t>2.2.1.2.4.4.1.</w:t>
      </w:r>
      <w:r w:rsidRPr="00D005E0">
        <w:rPr>
          <w:rStyle w:val="Textoennegrita"/>
          <w:rFonts w:ascii="Century Gothic" w:hAnsi="Century Gothic" w:cs="Arial"/>
          <w:color w:val="000000" w:themeColor="text1"/>
          <w:sz w:val="16"/>
          <w:szCs w:val="16"/>
        </w:rPr>
        <w:t> </w:t>
      </w:r>
      <w:r w:rsidRPr="00D005E0">
        <w:rPr>
          <w:rStyle w:val="nfasis"/>
          <w:rFonts w:ascii="Century Gothic" w:hAnsi="Century Gothic" w:cs="Arial"/>
          <w:color w:val="000000" w:themeColor="text1"/>
          <w:sz w:val="16"/>
          <w:szCs w:val="16"/>
        </w:rPr>
        <w:t>Régimen aplicable a los contratos o convenios de cooperación Internacional. </w:t>
      </w:r>
      <w:r w:rsidRPr="00D005E0">
        <w:rPr>
          <w:rFonts w:ascii="Century Gothic" w:hAnsi="Century Gothic" w:cs="Arial"/>
          <w:color w:val="000000" w:themeColor="text1"/>
          <w:sz w:val="16"/>
          <w:szCs w:val="16"/>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rsidRPr="00D005E0" w:rsidR="000B4181" w:rsidP="000B4181" w:rsidRDefault="000B4181" w14:paraId="5E9B0C1A"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D005E0">
        <w:rPr>
          <w:rFonts w:ascii="Century Gothic" w:hAnsi="Century Gothic" w:cs="Arial"/>
          <w:i/>
          <w:color w:val="000000" w:themeColor="text1"/>
          <w:sz w:val="16"/>
          <w:szCs w:val="16"/>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D005E0">
        <w:rPr>
          <w:rFonts w:ascii="Century Gothic" w:hAnsi="Century Gothic" w:cs="Arial"/>
          <w:color w:val="000000" w:themeColor="text1"/>
          <w:sz w:val="16"/>
          <w:szCs w:val="16"/>
        </w:rPr>
        <w:t>.</w:t>
      </w:r>
    </w:p>
    <w:p w:rsidRPr="00D005E0" w:rsidR="000B4181" w:rsidP="000B4181" w:rsidRDefault="000B4181" w14:paraId="7D2C3701"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D005E0">
        <w:rPr>
          <w:rFonts w:ascii="Century Gothic" w:hAnsi="Century Gothic" w:cs="Arial"/>
          <w:color w:val="000000" w:themeColor="text1"/>
          <w:sz w:val="16"/>
          <w:szCs w:val="16"/>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rsidRPr="00D005E0" w:rsidR="000B4181" w:rsidP="000B4181" w:rsidRDefault="000B4181" w14:paraId="24472158"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D005E0">
        <w:rPr>
          <w:rFonts w:ascii="Century Gothic" w:hAnsi="Century Gothic" w:cs="Arial"/>
          <w:color w:val="000000" w:themeColor="text1"/>
          <w:sz w:val="16"/>
          <w:szCs w:val="16"/>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rsidRPr="00D005E0" w:rsidR="000B4181" w:rsidP="000B4181" w:rsidRDefault="000B4181" w14:paraId="57D6E9BC"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D005E0">
        <w:rPr>
          <w:rFonts w:ascii="Century Gothic" w:hAnsi="Century Gothic" w:cs="Arial"/>
          <w:color w:val="000000" w:themeColor="text1"/>
          <w:sz w:val="16"/>
          <w:szCs w:val="16"/>
        </w:rPr>
        <w:t>Los contratos o convenios financiados con fondos de los organismos multilaterales de crédito, entes gubernamentales extranjeros o personas extranjeras de derecho público, así como aquellos a los que se refiere el inciso 2 del artículo 20 de la </w:t>
      </w:r>
      <w:r w:rsidRPr="00D005E0">
        <w:rPr>
          <w:rFonts w:ascii="Century Gothic" w:hAnsi="Century Gothic" w:cs="Arial"/>
          <w:sz w:val="16"/>
          <w:szCs w:val="16"/>
        </w:rPr>
        <w:t>Ley 1150 de 2007</w:t>
      </w:r>
      <w:r w:rsidRPr="00D005E0">
        <w:rPr>
          <w:rFonts w:ascii="Century Gothic" w:hAnsi="Century Gothic" w:cs="Arial"/>
          <w:color w:val="000000" w:themeColor="text1"/>
          <w:sz w:val="16"/>
          <w:szCs w:val="16"/>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r w:rsidRPr="00D005E0">
        <w:rPr>
          <w:rFonts w:ascii="Century Gothic" w:hAnsi="Century Gothic" w:cs="Arial"/>
          <w:sz w:val="16"/>
          <w:szCs w:val="16"/>
        </w:rPr>
        <w:t> Ley 1150 de 2007</w:t>
      </w:r>
      <w:r w:rsidRPr="00D005E0">
        <w:rPr>
          <w:rFonts w:ascii="Century Gothic" w:hAnsi="Century Gothic" w:cs="Arial"/>
          <w:color w:val="000000" w:themeColor="text1"/>
          <w:sz w:val="16"/>
          <w:szCs w:val="16"/>
        </w:rPr>
        <w:t>.</w:t>
      </w:r>
    </w:p>
    <w:p w:rsidRPr="00D005E0" w:rsidR="000B4181" w:rsidP="000B4181" w:rsidRDefault="000B4181" w14:paraId="6AD1B70C"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D005E0">
        <w:rPr>
          <w:rFonts w:ascii="Century Gothic" w:hAnsi="Century Gothic" w:cs="Arial"/>
          <w:color w:val="000000" w:themeColor="text1"/>
          <w:sz w:val="16"/>
          <w:szCs w:val="16"/>
        </w:rPr>
        <w:t>Los contratos con personas extranjeras de derecho público se deben celebrar y ejecutar según se acuerde entre las partes” (Énfasis fuera de texto).</w:t>
      </w:r>
    </w:p>
  </w:footnote>
  <w:footnote w:id="9">
    <w:p w:rsidRPr="00D005E0" w:rsidR="000B4181" w:rsidP="000B4181" w:rsidRDefault="000B4181" w14:paraId="0A683AD4" w14:textId="77777777">
      <w:pPr>
        <w:pStyle w:val="Textonotapie"/>
        <w:ind w:firstLine="708"/>
        <w:jc w:val="both"/>
        <w:rPr>
          <w:rFonts w:ascii="Century Gothic" w:hAnsi="Century Gothic" w:cs="Arial"/>
          <w:sz w:val="16"/>
          <w:szCs w:val="16"/>
        </w:rPr>
      </w:pPr>
      <w:r w:rsidRPr="00D005E0">
        <w:rPr>
          <w:rStyle w:val="Refdenotaalpie"/>
          <w:rFonts w:ascii="Century Gothic" w:hAnsi="Century Gothic" w:cs="Arial"/>
          <w:sz w:val="16"/>
          <w:szCs w:val="16"/>
        </w:rPr>
        <w:footnoteRef/>
      </w:r>
      <w:r w:rsidRPr="00D005E0">
        <w:rPr>
          <w:rFonts w:ascii="Century Gothic" w:hAnsi="Century Gothic" w:cs="Arial"/>
          <w:sz w:val="16"/>
          <w:szCs w:val="16"/>
        </w:rPr>
        <w:t xml:space="preserve"> Cfr. </w:t>
      </w:r>
      <w:hyperlink w:history="1" r:id="rId3">
        <w:r w:rsidRPr="00D005E0">
          <w:rPr>
            <w:rStyle w:val="Hipervnculo"/>
            <w:rFonts w:ascii="Century Gothic" w:hAnsi="Century Gothic" w:cs="Arial"/>
            <w:sz w:val="16"/>
            <w:szCs w:val="16"/>
          </w:rPr>
          <w:t>https://colaboracion.dnp.gov.co/CDT/portalDNP/PND-2023/PND_2018-2022/pdf/bases-pnd-2018-2022.pdf</w:t>
        </w:r>
      </w:hyperlink>
      <w:r w:rsidRPr="00D005E0">
        <w:rPr>
          <w:rFonts w:ascii="Century Gothic" w:hAnsi="Century Gothic" w:cs="Arial"/>
          <w:sz w:val="16"/>
          <w:szCs w:val="16"/>
        </w:rPr>
        <w:t xml:space="preserve">. </w:t>
      </w:r>
    </w:p>
    <w:p w:rsidRPr="00D005E0" w:rsidR="000B4181" w:rsidP="000B4181" w:rsidRDefault="000B4181" w14:paraId="5BA5870B" w14:textId="77777777">
      <w:pPr>
        <w:pStyle w:val="Textonotapie"/>
        <w:ind w:firstLine="708"/>
        <w:jc w:val="both"/>
        <w:rPr>
          <w:rFonts w:ascii="Century Gothic" w:hAnsi="Century Gothic" w:cs="Arial"/>
          <w:sz w:val="16"/>
          <w:szCs w:val="16"/>
        </w:rPr>
      </w:pPr>
      <w:r w:rsidRPr="00D005E0">
        <w:rPr>
          <w:rFonts w:ascii="Century Gothic" w:hAnsi="Century Gothic" w:cs="Arial"/>
          <w:sz w:val="16"/>
          <w:szCs w:val="16"/>
        </w:rPr>
        <w:t>.</w:t>
      </w:r>
    </w:p>
  </w:footnote>
  <w:footnote w:id="10">
    <w:p w:rsidRPr="00D005E0" w:rsidR="000B4181" w:rsidP="000B4181" w:rsidRDefault="000B4181" w14:paraId="783A9B64" w14:textId="77777777">
      <w:pPr>
        <w:pStyle w:val="Textonotapie"/>
        <w:ind w:firstLine="709"/>
        <w:jc w:val="both"/>
        <w:rPr>
          <w:rFonts w:ascii="Century Gothic" w:hAnsi="Century Gothic" w:cs="Arial"/>
          <w:sz w:val="16"/>
          <w:szCs w:val="16"/>
        </w:rPr>
      </w:pPr>
      <w:r w:rsidRPr="00D005E0">
        <w:rPr>
          <w:rStyle w:val="Refdenotaalpie"/>
          <w:rFonts w:ascii="Century Gothic" w:hAnsi="Century Gothic" w:cs="Arial"/>
          <w:sz w:val="16"/>
          <w:szCs w:val="16"/>
        </w:rPr>
        <w:footnoteRef/>
      </w:r>
      <w:r w:rsidRPr="00D005E0">
        <w:rPr>
          <w:rFonts w:ascii="Century Gothic" w:hAnsi="Century Gothic" w:cs="Arial"/>
          <w:sz w:val="16"/>
          <w:szCs w:val="16"/>
        </w:rPr>
        <w:t xml:space="preserve"> Gerencia de Recursos Físicos y Financieros. Programa Administración pública territorial. Escuela Superior de Administración Pública. Bogotá. 2008. Pág. 22.</w:t>
      </w:r>
    </w:p>
  </w:footnote>
  <w:footnote w:id="11">
    <w:p w:rsidRPr="00D005E0" w:rsidR="000B4181" w:rsidP="000B4181" w:rsidRDefault="000B4181" w14:paraId="7B6848D4" w14:textId="77777777">
      <w:pPr>
        <w:pStyle w:val="Textonotapie"/>
        <w:ind w:firstLine="709"/>
        <w:jc w:val="both"/>
        <w:rPr>
          <w:rFonts w:ascii="Century Gothic" w:hAnsi="Century Gothic" w:cs="Arial"/>
          <w:sz w:val="16"/>
          <w:szCs w:val="16"/>
        </w:rPr>
      </w:pPr>
      <w:r w:rsidRPr="00D005E0">
        <w:rPr>
          <w:rStyle w:val="Refdenotaalpie"/>
          <w:rFonts w:ascii="Century Gothic" w:hAnsi="Century Gothic" w:cs="Arial"/>
          <w:sz w:val="16"/>
          <w:szCs w:val="16"/>
        </w:rPr>
        <w:footnoteRef/>
      </w:r>
      <w:r w:rsidRPr="00D005E0">
        <w:rPr>
          <w:rFonts w:ascii="Century Gothic" w:hAnsi="Century Gothic" w:cs="Arial"/>
          <w:sz w:val="16"/>
          <w:szCs w:val="16"/>
        </w:rPr>
        <w:t xml:space="preserve"> ROMERO ROMERO, Enrique. </w:t>
      </w:r>
      <w:r w:rsidRPr="00D005E0">
        <w:rPr>
          <w:rFonts w:ascii="Century Gothic" w:hAnsi="Century Gothic" w:cs="Arial"/>
          <w:i/>
          <w:sz w:val="16"/>
          <w:szCs w:val="16"/>
        </w:rPr>
        <w:t xml:space="preserve">Presupuesto Público y Contabilidad Gubernamental.ECOE ediciones. </w:t>
      </w:r>
      <w:r w:rsidRPr="00D005E0">
        <w:rPr>
          <w:rFonts w:ascii="Century Gothic" w:hAnsi="Century Gothic" w:cs="Arial"/>
          <w:sz w:val="16"/>
          <w:szCs w:val="16"/>
        </w:rPr>
        <w:t xml:space="preserve">Quinta Edición. Bogotá. 2013. </w:t>
      </w:r>
    </w:p>
  </w:footnote>
  <w:footnote w:id="12">
    <w:p w:rsidRPr="00D005E0" w:rsidR="000B4181" w:rsidP="000B4181" w:rsidRDefault="000B4181" w14:paraId="6ABEF6CE" w14:textId="77777777">
      <w:pPr>
        <w:pStyle w:val="Textonotapie"/>
        <w:ind w:firstLine="709"/>
        <w:jc w:val="both"/>
        <w:rPr>
          <w:rFonts w:ascii="Century Gothic" w:hAnsi="Century Gothic" w:cs="Arial"/>
          <w:sz w:val="16"/>
          <w:szCs w:val="16"/>
        </w:rPr>
      </w:pPr>
      <w:r w:rsidRPr="00D005E0">
        <w:rPr>
          <w:rStyle w:val="Refdenotaalpie"/>
          <w:rFonts w:ascii="Century Gothic" w:hAnsi="Century Gothic" w:cs="Arial"/>
          <w:sz w:val="16"/>
          <w:szCs w:val="16"/>
        </w:rPr>
        <w:footnoteRef/>
      </w:r>
      <w:r w:rsidRPr="00D005E0">
        <w:rPr>
          <w:rFonts w:ascii="Century Gothic" w:hAnsi="Century Gothic" w:cs="Arial"/>
          <w:sz w:val="16"/>
          <w:szCs w:val="16"/>
        </w:rPr>
        <w:t xml:space="preserve"> ARTÍCULO 27. Los ingresos corrientes se clasificarán en tributarios y no tributarios. Los ingresos tributarios se subclasificarán en impuestos directos e indirectos, y los ingresos no tributarios comprenderán las tasas y las multas (L. 38/89, art. 20; L. 179/94, art. 55, inc. 10, y arts. 67 y 71).</w:t>
      </w:r>
    </w:p>
  </w:footnote>
  <w:footnote w:id="13">
    <w:p w:rsidRPr="00D005E0" w:rsidR="000B4181" w:rsidP="000B4181" w:rsidRDefault="000B4181" w14:paraId="3B0F3E8A" w14:textId="77777777">
      <w:pPr>
        <w:pStyle w:val="Textonotapie"/>
        <w:ind w:firstLine="709"/>
        <w:jc w:val="both"/>
        <w:rPr>
          <w:rFonts w:ascii="Century Gothic" w:hAnsi="Century Gothic" w:cs="Arial"/>
          <w:sz w:val="16"/>
          <w:szCs w:val="16"/>
        </w:rPr>
      </w:pPr>
      <w:r w:rsidRPr="00D005E0">
        <w:rPr>
          <w:rStyle w:val="Refdenotaalpie"/>
          <w:rFonts w:ascii="Century Gothic" w:hAnsi="Century Gothic" w:cs="Arial"/>
          <w:sz w:val="16"/>
          <w:szCs w:val="16"/>
        </w:rPr>
        <w:footnoteRef/>
      </w:r>
      <w:r w:rsidRPr="00D005E0">
        <w:rPr>
          <w:rFonts w:ascii="Century Gothic" w:hAnsi="Century Gothic" w:cs="Arial"/>
          <w:sz w:val="16"/>
          <w:szCs w:val="16"/>
        </w:rPr>
        <w:t xml:space="preserve"> RESTREPO, Juan Camilo. </w:t>
      </w:r>
      <w:r w:rsidRPr="00D005E0">
        <w:rPr>
          <w:rFonts w:ascii="Century Gothic" w:hAnsi="Century Gothic" w:cs="Arial"/>
          <w:i/>
          <w:sz w:val="16"/>
          <w:szCs w:val="16"/>
        </w:rPr>
        <w:t>Hacienda Pública.</w:t>
      </w:r>
      <w:r w:rsidRPr="00D005E0">
        <w:rPr>
          <w:rFonts w:ascii="Century Gothic" w:hAnsi="Century Gothic" w:cs="Arial"/>
          <w:sz w:val="16"/>
          <w:szCs w:val="16"/>
        </w:rPr>
        <w:t xml:space="preserve"> Ed. Universidad Externado de Colombia. Decimo primera Edición. Bogotá. 2020. </w:t>
      </w:r>
    </w:p>
  </w:footnote>
  <w:footnote w:id="14">
    <w:p w:rsidRPr="00D005E0" w:rsidR="000B4181" w:rsidP="000B4181" w:rsidRDefault="000B4181" w14:paraId="52DEF7B8" w14:textId="77777777">
      <w:pPr>
        <w:pStyle w:val="Textonotapie"/>
        <w:ind w:firstLine="709"/>
        <w:jc w:val="both"/>
        <w:rPr>
          <w:rFonts w:ascii="Century Gothic" w:hAnsi="Century Gothic" w:cs="Arial"/>
          <w:sz w:val="16"/>
          <w:szCs w:val="16"/>
        </w:rPr>
      </w:pPr>
      <w:r w:rsidRPr="00D005E0">
        <w:rPr>
          <w:rStyle w:val="Refdenotaalpie"/>
          <w:rFonts w:ascii="Century Gothic" w:hAnsi="Century Gothic" w:cs="Arial"/>
          <w:sz w:val="16"/>
          <w:szCs w:val="16"/>
        </w:rPr>
        <w:footnoteRef/>
      </w:r>
      <w:r w:rsidRPr="00D005E0">
        <w:rPr>
          <w:rFonts w:ascii="Century Gothic" w:hAnsi="Century Gothic" w:cs="Arial"/>
          <w:sz w:val="16"/>
          <w:szCs w:val="16"/>
        </w:rPr>
        <w:t xml:space="preserve"> “Artículo 29. Son contribuciones parafiscales los gravámenes establecidos con carácter obligatorio por la ley, que afectan a un determinado y único grupo social y económico y se utilizan para beneficio del propio sector. El manejo, administración y ejecución de estos recursos se hará exclusivamente en forma dispuesta en la ley que los crea y se destinarán sólo al objeto previsto en ella, lo mismo que los rendimientos y excedentes financieros que resulten al cierre del ejercicio contable.</w:t>
      </w:r>
    </w:p>
    <w:p w:rsidRPr="00D005E0" w:rsidR="000B4181" w:rsidP="000B4181" w:rsidRDefault="000B4181" w14:paraId="4ED2218A" w14:textId="77777777">
      <w:pPr>
        <w:pStyle w:val="Textonotapie"/>
        <w:ind w:firstLine="709"/>
        <w:jc w:val="both"/>
        <w:rPr>
          <w:rFonts w:ascii="Century Gothic" w:hAnsi="Century Gothic" w:cs="Arial"/>
          <w:sz w:val="16"/>
          <w:szCs w:val="16"/>
        </w:rPr>
      </w:pPr>
      <w:r w:rsidRPr="00D005E0">
        <w:rPr>
          <w:rFonts w:ascii="Century Gothic" w:hAnsi="Century Gothic" w:cs="Arial"/>
          <w:sz w:val="16"/>
          <w:szCs w:val="16"/>
        </w:rPr>
        <w:t>“Las contribuciones parafiscales administradas por los órganos que formen parte del presupuesto general de la Nación se incorporarán al presupuesto solamente para registrar la estimación de su cuantía y en capítulo separado de las rentas fiscales y su recaudo será efectuado por los órganos encargados de su administración (L. 179/94, art. 12; L. 225/95, art. 2)”.</w:t>
      </w:r>
    </w:p>
  </w:footnote>
  <w:footnote w:id="15">
    <w:p w:rsidRPr="00D005E0" w:rsidR="000B4181" w:rsidP="000B4181" w:rsidRDefault="000B4181" w14:paraId="6E5D80D9" w14:textId="77777777">
      <w:pPr>
        <w:pStyle w:val="Textonotapie"/>
        <w:ind w:firstLine="709"/>
        <w:jc w:val="both"/>
        <w:rPr>
          <w:rFonts w:ascii="Century Gothic" w:hAnsi="Century Gothic" w:cs="Arial"/>
          <w:i/>
          <w:sz w:val="16"/>
          <w:szCs w:val="16"/>
        </w:rPr>
      </w:pPr>
      <w:r w:rsidRPr="00D005E0">
        <w:rPr>
          <w:rStyle w:val="Refdenotaalpie"/>
          <w:rFonts w:ascii="Century Gothic" w:hAnsi="Century Gothic" w:cs="Arial"/>
          <w:sz w:val="16"/>
          <w:szCs w:val="16"/>
        </w:rPr>
        <w:footnoteRef/>
      </w:r>
      <w:r w:rsidRPr="00D005E0">
        <w:rPr>
          <w:rFonts w:ascii="Century Gothic" w:hAnsi="Century Gothic" w:cs="Arial"/>
          <w:sz w:val="16"/>
          <w:szCs w:val="16"/>
        </w:rPr>
        <w:t xml:space="preserve"> </w:t>
      </w:r>
      <w:r w:rsidRPr="00D005E0">
        <w:rPr>
          <w:rFonts w:ascii="Century Gothic" w:hAnsi="Century Gothic" w:cs="Arial"/>
          <w:i/>
          <w:sz w:val="16"/>
          <w:szCs w:val="16"/>
        </w:rPr>
        <w:t xml:space="preserve">Ibíd. </w:t>
      </w:r>
    </w:p>
  </w:footnote>
  <w:footnote w:id="16">
    <w:p w:rsidRPr="00D005E0" w:rsidR="000B4181" w:rsidP="000B4181" w:rsidRDefault="000B4181" w14:paraId="1424FD3F" w14:textId="77777777">
      <w:pPr>
        <w:pStyle w:val="Textonotapie"/>
        <w:ind w:firstLine="708"/>
        <w:rPr>
          <w:rFonts w:ascii="Century Gothic" w:hAnsi="Century Gothic" w:cs="Arial"/>
          <w:sz w:val="16"/>
          <w:szCs w:val="16"/>
        </w:rPr>
      </w:pPr>
      <w:r w:rsidRPr="00D005E0">
        <w:rPr>
          <w:rStyle w:val="Refdenotaalpie"/>
          <w:rFonts w:ascii="Century Gothic" w:hAnsi="Century Gothic" w:cs="Arial"/>
          <w:sz w:val="16"/>
          <w:szCs w:val="16"/>
        </w:rPr>
        <w:footnoteRef/>
      </w:r>
      <w:r w:rsidRPr="00D005E0">
        <w:rPr>
          <w:rFonts w:ascii="Century Gothic" w:hAnsi="Century Gothic" w:cs="Arial"/>
          <w:sz w:val="16"/>
          <w:szCs w:val="16"/>
        </w:rPr>
        <w:t xml:space="preserve"> Artículo 27 del Decreto 111 de 1996. </w:t>
      </w:r>
    </w:p>
  </w:footnote>
  <w:footnote w:id="17">
    <w:p w:rsidRPr="00D005E0" w:rsidR="000B4181" w:rsidP="000B4181" w:rsidRDefault="000B4181" w14:paraId="6A140977" w14:textId="77777777">
      <w:pPr>
        <w:pStyle w:val="Textonotapie"/>
        <w:ind w:firstLine="708"/>
        <w:jc w:val="both"/>
        <w:rPr>
          <w:rFonts w:ascii="Century Gothic" w:hAnsi="Century Gothic" w:cs="Arial"/>
          <w:sz w:val="16"/>
          <w:szCs w:val="16"/>
        </w:rPr>
      </w:pPr>
      <w:r w:rsidRPr="00D005E0">
        <w:rPr>
          <w:rStyle w:val="Refdenotaalpie"/>
          <w:rFonts w:ascii="Century Gothic" w:hAnsi="Century Gothic" w:cs="Arial"/>
          <w:sz w:val="16"/>
          <w:szCs w:val="16"/>
        </w:rPr>
        <w:footnoteRef/>
      </w:r>
      <w:r w:rsidRPr="00D005E0">
        <w:rPr>
          <w:rFonts w:ascii="Century Gothic" w:hAnsi="Century Gothic" w:cs="Arial"/>
          <w:sz w:val="16"/>
          <w:szCs w:val="16"/>
        </w:rPr>
        <w:t xml:space="preserve"> Cfr. </w:t>
      </w:r>
      <w:hyperlink w:history="1" r:id="rId4">
        <w:r w:rsidRPr="00D005E0">
          <w:rPr>
            <w:rStyle w:val="Hipervnculo"/>
            <w:rFonts w:ascii="Century Gothic" w:hAnsi="Century Gothic" w:cs="Arial"/>
            <w:sz w:val="16"/>
            <w:szCs w:val="16"/>
          </w:rPr>
          <w:t>https://colaboracion.dnp.gov.co/CDT/portalDNP/PND-2023/PND_2018-2022/pdf/bases-pnd-2018-2022.pdf</w:t>
        </w:r>
      </w:hyperlink>
      <w:r w:rsidRPr="00D005E0">
        <w:rPr>
          <w:rFonts w:ascii="Century Gothic" w:hAnsi="Century Gothic" w:cs="Arial"/>
          <w:sz w:val="16"/>
          <w:szCs w:val="16"/>
        </w:rPr>
        <w:t xml:space="preserve">. </w:t>
      </w:r>
    </w:p>
    <w:p w:rsidRPr="00D005E0" w:rsidR="000B4181" w:rsidP="000B4181" w:rsidRDefault="000B4181" w14:paraId="1DBC012F" w14:textId="77777777">
      <w:pPr>
        <w:pStyle w:val="Textonotapie"/>
        <w:ind w:firstLine="708"/>
        <w:jc w:val="both"/>
        <w:rPr>
          <w:rFonts w:ascii="Century Gothic" w:hAnsi="Century Gothic" w:cs="Arial"/>
          <w:sz w:val="16"/>
          <w:szCs w:val="16"/>
        </w:rPr>
      </w:pPr>
      <w:r w:rsidRPr="00D005E0">
        <w:rPr>
          <w:rFonts w:ascii="Century Gothic" w:hAnsi="Century Gothic"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D6F55FC">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061B2A">
      <w:rPr>
        <w:rFonts w:ascii="Century Gothic" w:hAnsi="Century Gothic" w:eastAsia="Geo" w:cs="Geo"/>
        <w:bCs/>
        <w:color w:val="000000"/>
        <w:sz w:val="16"/>
        <w:szCs w:val="16"/>
        <w:lang w:eastAsia="es-CO"/>
      </w:rPr>
      <w:t>7</w:t>
    </w:r>
  </w:p>
  <w:p w:rsidRPr="004A305D" w:rsidR="004A305D" w:rsidP="004A305D" w:rsidRDefault="004A305D" w14:paraId="5E18350A" w14:textId="39FD735C">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322A85">
      <w:rPr>
        <w:rFonts w:ascii="Century Gothic" w:hAnsi="Century Gothic" w:eastAsia="Geo" w:cs="Geo"/>
        <w:sz w:val="16"/>
        <w:szCs w:val="16"/>
        <w:lang w:eastAsia="es-CO"/>
      </w:rPr>
      <w:t>2</w:t>
    </w:r>
    <w:r w:rsidRPr="004A305D">
      <w:rPr>
        <w:rFonts w:ascii="Century Gothic" w:hAnsi="Century Gothic" w:eastAsia="Geo" w:cs="Geo"/>
        <w:sz w:val="16"/>
        <w:szCs w:val="16"/>
        <w:lang w:eastAsia="es-CO"/>
      </w:rPr>
      <w:t xml:space="preserve"> DEL </w:t>
    </w:r>
    <w:r w:rsidR="002E4FD9">
      <w:rPr>
        <w:rFonts w:ascii="Century Gothic" w:hAnsi="Century Gothic" w:eastAsia="Geo" w:cs="Geo"/>
        <w:sz w:val="16"/>
        <w:szCs w:val="16"/>
        <w:lang w:eastAsia="es-CO"/>
      </w:rPr>
      <w:t>31</w:t>
    </w:r>
    <w:r w:rsidR="00CB6357">
      <w:rPr>
        <w:rFonts w:ascii="Century Gothic" w:hAnsi="Century Gothic" w:eastAsia="Geo" w:cs="Geo"/>
        <w:sz w:val="16"/>
        <w:szCs w:val="16"/>
        <w:lang w:eastAsia="es-CO"/>
      </w:rPr>
      <w:t xml:space="preserve"> </w:t>
    </w:r>
    <w:r w:rsidRPr="004A305D">
      <w:rPr>
        <w:rFonts w:ascii="Century Gothic" w:hAnsi="Century Gothic" w:eastAsia="Geo" w:cs="Geo"/>
        <w:sz w:val="16"/>
        <w:szCs w:val="16"/>
        <w:lang w:eastAsia="es-CO"/>
      </w:rPr>
      <w:t xml:space="preserve">DE </w:t>
    </w:r>
    <w:r w:rsidR="00322A85">
      <w:rPr>
        <w:rFonts w:ascii="Century Gothic" w:hAnsi="Century Gothic" w:eastAsia="Geo" w:cs="Geo"/>
        <w:sz w:val="16"/>
        <w:szCs w:val="16"/>
        <w:lang w:eastAsia="es-CO"/>
      </w:rPr>
      <w:t>AGOSTO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639" style="width:11.25pt;height:11.25pt" o:bullet="t" type="#_x0000_t75">
        <v:imagedata o:title="mso1B13" r:id="rId1"/>
      </v:shape>
    </w:pict>
  </w:numPicBullet>
  <w:abstractNum w:abstractNumId="0" w15:restartNumberingAfterBreak="0">
    <w:nsid w:val="0075455F"/>
    <w:multiLevelType w:val="multilevel"/>
    <w:tmpl w:val="97C051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C9241D"/>
    <w:multiLevelType w:val="hybrid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16cid:durableId="1621841859">
    <w:abstractNumId w:val="7"/>
  </w:num>
  <w:num w:numId="2" w16cid:durableId="1003122496">
    <w:abstractNumId w:val="3"/>
  </w:num>
  <w:num w:numId="3" w16cid:durableId="221672472">
    <w:abstractNumId w:val="5"/>
  </w:num>
  <w:num w:numId="4" w16cid:durableId="1299645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4545655">
    <w:abstractNumId w:val="3"/>
  </w:num>
  <w:num w:numId="6" w16cid:durableId="1833251067">
    <w:abstractNumId w:val="13"/>
  </w:num>
  <w:num w:numId="7" w16cid:durableId="506333764">
    <w:abstractNumId w:val="6"/>
  </w:num>
  <w:num w:numId="8" w16cid:durableId="342706723">
    <w:abstractNumId w:val="12"/>
  </w:num>
  <w:num w:numId="9" w16cid:durableId="2064399882">
    <w:abstractNumId w:val="8"/>
  </w:num>
  <w:num w:numId="10" w16cid:durableId="1825702015">
    <w:abstractNumId w:val="11"/>
  </w:num>
  <w:num w:numId="11" w16cid:durableId="507981448">
    <w:abstractNumId w:val="9"/>
  </w:num>
  <w:num w:numId="12" w16cid:durableId="1307734772">
    <w:abstractNumId w:val="2"/>
  </w:num>
  <w:num w:numId="13" w16cid:durableId="1688825655">
    <w:abstractNumId w:val="4"/>
  </w:num>
  <w:num w:numId="14" w16cid:durableId="633874072">
    <w:abstractNumId w:val="14"/>
  </w:num>
  <w:num w:numId="15" w16cid:durableId="1683698227">
    <w:abstractNumId w:val="10"/>
  </w:num>
  <w:num w:numId="16" w16cid:durableId="390158191">
    <w:abstractNumId w:val="0"/>
  </w:num>
  <w:num w:numId="17" w16cid:durableId="1103645313">
    <w:abstractNumId w:val="1"/>
  </w:num>
  <w:num w:numId="18" w16cid:durableId="1234655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354D"/>
    <w:rsid w:val="000A5FAE"/>
    <w:rsid w:val="000A683E"/>
    <w:rsid w:val="000B19B9"/>
    <w:rsid w:val="000B4181"/>
    <w:rsid w:val="000D0334"/>
    <w:rsid w:val="000F6486"/>
    <w:rsid w:val="00125105"/>
    <w:rsid w:val="00127233"/>
    <w:rsid w:val="001E4177"/>
    <w:rsid w:val="001F7DC6"/>
    <w:rsid w:val="002421BB"/>
    <w:rsid w:val="00247CD7"/>
    <w:rsid w:val="00252014"/>
    <w:rsid w:val="002707A2"/>
    <w:rsid w:val="002951A0"/>
    <w:rsid w:val="002962BC"/>
    <w:rsid w:val="002A093D"/>
    <w:rsid w:val="002A0DD0"/>
    <w:rsid w:val="002A49AC"/>
    <w:rsid w:val="002A64FD"/>
    <w:rsid w:val="002B64E7"/>
    <w:rsid w:val="002B7BE1"/>
    <w:rsid w:val="002C7A84"/>
    <w:rsid w:val="002E4FD9"/>
    <w:rsid w:val="00322A85"/>
    <w:rsid w:val="00337093"/>
    <w:rsid w:val="003448F4"/>
    <w:rsid w:val="00374F5E"/>
    <w:rsid w:val="00377E3E"/>
    <w:rsid w:val="003A779E"/>
    <w:rsid w:val="003D0F4D"/>
    <w:rsid w:val="003D5B0D"/>
    <w:rsid w:val="003E0499"/>
    <w:rsid w:val="003E1F8D"/>
    <w:rsid w:val="003F3941"/>
    <w:rsid w:val="00406575"/>
    <w:rsid w:val="0042722E"/>
    <w:rsid w:val="004A1847"/>
    <w:rsid w:val="004A305D"/>
    <w:rsid w:val="004F02FD"/>
    <w:rsid w:val="004F21C4"/>
    <w:rsid w:val="004F685F"/>
    <w:rsid w:val="005272F3"/>
    <w:rsid w:val="005566E8"/>
    <w:rsid w:val="00557E47"/>
    <w:rsid w:val="00565B1E"/>
    <w:rsid w:val="00574867"/>
    <w:rsid w:val="00591460"/>
    <w:rsid w:val="005A2340"/>
    <w:rsid w:val="005C3777"/>
    <w:rsid w:val="005C5CDC"/>
    <w:rsid w:val="005D476C"/>
    <w:rsid w:val="006219F8"/>
    <w:rsid w:val="00665D70"/>
    <w:rsid w:val="00672299"/>
    <w:rsid w:val="006845F3"/>
    <w:rsid w:val="006900D9"/>
    <w:rsid w:val="00706C16"/>
    <w:rsid w:val="007559DF"/>
    <w:rsid w:val="00756841"/>
    <w:rsid w:val="007649AB"/>
    <w:rsid w:val="00771D0C"/>
    <w:rsid w:val="007815C1"/>
    <w:rsid w:val="007833AC"/>
    <w:rsid w:val="007845D3"/>
    <w:rsid w:val="007B268C"/>
    <w:rsid w:val="007B7171"/>
    <w:rsid w:val="007C3DC2"/>
    <w:rsid w:val="007E5497"/>
    <w:rsid w:val="00806F5F"/>
    <w:rsid w:val="008156FA"/>
    <w:rsid w:val="00820278"/>
    <w:rsid w:val="00830B8D"/>
    <w:rsid w:val="008843B6"/>
    <w:rsid w:val="00891928"/>
    <w:rsid w:val="008A446D"/>
    <w:rsid w:val="008D0802"/>
    <w:rsid w:val="008D180B"/>
    <w:rsid w:val="008F0EA7"/>
    <w:rsid w:val="00923EEF"/>
    <w:rsid w:val="00936E47"/>
    <w:rsid w:val="009419F9"/>
    <w:rsid w:val="00961B09"/>
    <w:rsid w:val="00965334"/>
    <w:rsid w:val="0097093E"/>
    <w:rsid w:val="009A6976"/>
    <w:rsid w:val="009C71FA"/>
    <w:rsid w:val="009C72E7"/>
    <w:rsid w:val="009F3A13"/>
    <w:rsid w:val="00A122D3"/>
    <w:rsid w:val="00A17F13"/>
    <w:rsid w:val="00A20739"/>
    <w:rsid w:val="00A33C78"/>
    <w:rsid w:val="00A548EA"/>
    <w:rsid w:val="00AB02C6"/>
    <w:rsid w:val="00AB0ADB"/>
    <w:rsid w:val="00B72CD3"/>
    <w:rsid w:val="00B72FFF"/>
    <w:rsid w:val="00BC3D36"/>
    <w:rsid w:val="00BD7F72"/>
    <w:rsid w:val="00C04FB3"/>
    <w:rsid w:val="00C330EB"/>
    <w:rsid w:val="00C633A0"/>
    <w:rsid w:val="00C754BE"/>
    <w:rsid w:val="00C76B1C"/>
    <w:rsid w:val="00CB6357"/>
    <w:rsid w:val="00CC1B26"/>
    <w:rsid w:val="00D005E0"/>
    <w:rsid w:val="00D423A2"/>
    <w:rsid w:val="00D44CEB"/>
    <w:rsid w:val="00D56242"/>
    <w:rsid w:val="00D63AC2"/>
    <w:rsid w:val="00D7383B"/>
    <w:rsid w:val="00DA231B"/>
    <w:rsid w:val="00DF5254"/>
    <w:rsid w:val="00E16408"/>
    <w:rsid w:val="00E20894"/>
    <w:rsid w:val="00E245AB"/>
    <w:rsid w:val="00E2764C"/>
    <w:rsid w:val="00E27F2E"/>
    <w:rsid w:val="00E50AFE"/>
    <w:rsid w:val="00E771DC"/>
    <w:rsid w:val="00E8158D"/>
    <w:rsid w:val="00E8772A"/>
    <w:rsid w:val="00E90F6B"/>
    <w:rsid w:val="00E92C27"/>
    <w:rsid w:val="00E97D30"/>
    <w:rsid w:val="00EA0E3D"/>
    <w:rsid w:val="00EB689F"/>
    <w:rsid w:val="00EE1AA8"/>
    <w:rsid w:val="00F31BE3"/>
    <w:rsid w:val="00F31EDC"/>
    <w:rsid w:val="00F378B1"/>
    <w:rsid w:val="00F462B3"/>
    <w:rsid w:val="00F5664F"/>
    <w:rsid w:val="00F666C4"/>
    <w:rsid w:val="00F76AFC"/>
    <w:rsid w:val="00FB5DD1"/>
    <w:rsid w:val="00FC2B5D"/>
    <w:rsid w:val="00FF1449"/>
    <w:rsid w:val="1B5ACA0A"/>
    <w:rsid w:val="1F91621F"/>
    <w:rsid w:val="60F02899"/>
    <w:rsid w:val="7029D42E"/>
    <w:rsid w:val="7377A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Refdecomentario">
    <w:name w:val="annotation reference"/>
    <w:basedOn w:val="Fuentedeprrafopredeter"/>
    <w:uiPriority w:val="99"/>
    <w:semiHidden/>
    <w:unhideWhenUsed/>
    <w:rsid w:val="000B4181"/>
    <w:rPr>
      <w:sz w:val="16"/>
      <w:szCs w:val="16"/>
    </w:rPr>
  </w:style>
  <w:style w:type="paragraph" w:styleId="Textocomentario">
    <w:name w:val="annotation text"/>
    <w:basedOn w:val="Normal"/>
    <w:link w:val="TextocomentarioCar"/>
    <w:uiPriority w:val="99"/>
    <w:unhideWhenUsed/>
    <w:rsid w:val="000B4181"/>
    <w:pPr>
      <w:spacing w:line="240" w:lineRule="auto"/>
    </w:pPr>
    <w:rPr>
      <w:sz w:val="20"/>
      <w:szCs w:val="20"/>
    </w:rPr>
  </w:style>
  <w:style w:type="character" w:styleId="TextocomentarioCar" w:customStyle="1">
    <w:name w:val="Texto comentario Car"/>
    <w:basedOn w:val="Fuentedeprrafopredeter"/>
    <w:link w:val="Textocomentario"/>
    <w:uiPriority w:val="99"/>
    <w:rsid w:val="000B4181"/>
    <w:rPr>
      <w:sz w:val="20"/>
      <w:szCs w:val="20"/>
    </w:rPr>
  </w:style>
  <w:style w:type="paragraph" w:styleId="Appelnotedebasde" w:customStyle="1">
    <w:name w:val="Appel note de bas de..."/>
    <w:basedOn w:val="Normal"/>
    <w:link w:val="Refdenotaalpie"/>
    <w:rsid w:val="000B4181"/>
    <w:pPr>
      <w:spacing w:line="240" w:lineRule="exact"/>
    </w:pPr>
    <w:rPr>
      <w:vertAlign w:val="superscript"/>
    </w:rPr>
  </w:style>
  <w:style w:type="character" w:styleId="NormalWebCar" w:customStyle="1">
    <w:name w:val="Normal (Web) Car"/>
    <w:link w:val="NormalWeb"/>
    <w:uiPriority w:val="99"/>
    <w:rsid w:val="000B4181"/>
    <w:rPr>
      <w:rFonts w:ascii="Times New Roman" w:hAnsi="Times New Roman" w:eastAsia="Times New Roman" w:cs="Times New Roman"/>
      <w:sz w:val="24"/>
      <w:szCs w:val="24"/>
      <w:lang w:eastAsia="es-CO"/>
    </w:rPr>
  </w:style>
  <w:style w:type="character" w:styleId="baj" w:customStyle="1">
    <w:name w:val="b_aj"/>
    <w:basedOn w:val="Fuentedeprrafopredeter"/>
    <w:rsid w:val="000B4181"/>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B4181"/>
    <w:rPr>
      <w:rFonts w:ascii="Geomanist Light" w:hAnsi="Geomanist Light"/>
      <w:lang w:val="es-ES"/>
    </w:rPr>
  </w:style>
  <w:style w:type="character" w:styleId="Textoennegrita">
    <w:name w:val="Strong"/>
    <w:basedOn w:val="Fuentedeprrafopredeter"/>
    <w:uiPriority w:val="22"/>
    <w:qFormat/>
    <w:rsid w:val="000B4181"/>
    <w:rPr>
      <w:b/>
      <w:bCs/>
    </w:rPr>
  </w:style>
  <w:style w:type="character" w:styleId="nfasis">
    <w:name w:val="Emphasis"/>
    <w:basedOn w:val="Fuentedeprrafopredeter"/>
    <w:uiPriority w:val="20"/>
    <w:qFormat/>
    <w:rsid w:val="000B4181"/>
    <w:rPr>
      <w:i/>
      <w:iCs/>
    </w:rPr>
  </w:style>
  <w:style w:type="paragraph" w:styleId="Asuntodelcomentario">
    <w:name w:val="annotation subject"/>
    <w:basedOn w:val="Textocomentario"/>
    <w:next w:val="Textocomentario"/>
    <w:link w:val="AsuntodelcomentarioCar"/>
    <w:uiPriority w:val="99"/>
    <w:semiHidden/>
    <w:unhideWhenUsed/>
    <w:rsid w:val="00D56242"/>
    <w:rPr>
      <w:b/>
      <w:bCs/>
    </w:rPr>
  </w:style>
  <w:style w:type="character" w:styleId="AsuntodelcomentarioCar" w:customStyle="1">
    <w:name w:val="Asunto del comentario Car"/>
    <w:basedOn w:val="TextocomentarioCar"/>
    <w:link w:val="Asuntodelcomentario"/>
    <w:uiPriority w:val="99"/>
    <w:semiHidden/>
    <w:rsid w:val="00D562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colaboracion.dnp.gov.co/CDT/portalDNP/PND-2023/PND_2018-2022/pdf/bases-pnd-2018-2022.pdf" TargetMode="External"/><Relationship Id="rId2" Type="http://schemas.openxmlformats.org/officeDocument/2006/relationships/hyperlink" Target="http://www.secretariasenado.gov.co/senado/basedoc/ley_0080_1993.html"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colaboracion.dnp.gov.co/CDT/portalDNP/PND-2023/PND_2018-2022/pdf/bases-pnd-2018-202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5CB3514-AB50-4DD8-8039-F478408D79D4}"/>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Jorge Mario Payares Villa</lastModifiedBy>
  <revision>7</revision>
  <lastPrinted>2023-01-10T21:18:00.0000000Z</lastPrinted>
  <dcterms:created xsi:type="dcterms:W3CDTF">2023-10-27T15:50:00.0000000Z</dcterms:created>
  <dcterms:modified xsi:type="dcterms:W3CDTF">2023-12-22T15:58:20.5077380Z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